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8C42F" w14:textId="77777777" w:rsidR="00DA4635" w:rsidRDefault="00DA4635" w:rsidP="00CA4815"/>
    <w:p w14:paraId="146F4EEC" w14:textId="31B4A4F3" w:rsidR="00107DD5" w:rsidRDefault="00221D8F" w:rsidP="00CA4815">
      <w:r w:rsidRPr="00CA4815">
        <w:rPr>
          <w:b/>
          <w:bCs/>
          <w:noProof/>
        </w:rPr>
        <w:drawing>
          <wp:anchor distT="0" distB="0" distL="114300" distR="114300" simplePos="0" relativeHeight="251651072" behindDoc="1" locked="1" layoutInCell="1" allowOverlap="1" wp14:anchorId="4A1B45CD" wp14:editId="4312CA12">
            <wp:simplePos x="0" y="0"/>
            <wp:positionH relativeFrom="page">
              <wp:align>right</wp:align>
            </wp:positionH>
            <wp:positionV relativeFrom="page">
              <wp:align>top</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sz w:val="60"/>
          <w:szCs w:val="6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1B0C0DEE" w:rsidR="00221D8F" w:rsidRPr="00E14F05" w:rsidRDefault="006835FF" w:rsidP="00221D8F">
          <w:pPr>
            <w:pStyle w:val="Heading1"/>
            <w:rPr>
              <w:sz w:val="60"/>
              <w:szCs w:val="60"/>
            </w:rPr>
          </w:pPr>
          <w:r w:rsidRPr="00E14F05">
            <w:rPr>
              <w:rFonts w:eastAsiaTheme="minorHAnsi"/>
              <w:sz w:val="60"/>
              <w:szCs w:val="60"/>
            </w:rPr>
            <w:t>Finance 202</w:t>
          </w:r>
          <w:r>
            <w:rPr>
              <w:rFonts w:eastAsiaTheme="minorHAnsi"/>
              <w:sz w:val="60"/>
              <w:szCs w:val="60"/>
            </w:rPr>
            <w:t>3:</w:t>
          </w:r>
          <w:r w:rsidRPr="00E14F05">
            <w:rPr>
              <w:rFonts w:eastAsiaTheme="minorHAnsi"/>
              <w:sz w:val="60"/>
              <w:szCs w:val="60"/>
            </w:rPr>
            <w:t xml:space="preserve"> Financial Reports of Higher Education Providers</w:t>
          </w:r>
        </w:p>
      </w:sdtContent>
    </w:sdt>
    <w:bookmarkEnd w:id="0" w:displacedByCustomXml="prev"/>
    <w:bookmarkEnd w:id="1" w:displacedByCustomXml="prev"/>
    <w:p w14:paraId="0B2B7527" w14:textId="2681E037" w:rsidR="000D4B07" w:rsidRPr="000D4B07" w:rsidRDefault="00E14F05" w:rsidP="000D4B07">
      <w:pPr>
        <w:pStyle w:val="Subtitle"/>
      </w:pPr>
      <w:r>
        <w:t>Summary Information</w:t>
      </w:r>
      <w:r w:rsidR="00D755F9">
        <w:t xml:space="preserve"> </w:t>
      </w:r>
    </w:p>
    <w:p w14:paraId="0600EC06" w14:textId="77777777" w:rsidR="00107D87" w:rsidRDefault="00107D87">
      <w:pPr>
        <w:sectPr w:rsidR="00107D87" w:rsidSect="00221D8F">
          <w:footerReference w:type="first" r:id="rId14"/>
          <w:pgSz w:w="11906" w:h="16838"/>
          <w:pgMar w:top="1814" w:right="1440" w:bottom="1440" w:left="1440" w:header="709" w:footer="709" w:gutter="0"/>
          <w:cols w:space="708"/>
          <w:docGrid w:linePitch="360"/>
        </w:sectPr>
      </w:pPr>
    </w:p>
    <w:p w14:paraId="024AD7C1" w14:textId="77777777" w:rsidR="0084464F" w:rsidRDefault="0084464F" w:rsidP="00AF1F18">
      <w:pPr>
        <w:pStyle w:val="TOCHeading"/>
        <w:sectPr w:rsidR="0084464F" w:rsidSect="004A468B">
          <w:footerReference w:type="default" r:id="rId15"/>
          <w:type w:val="continuous"/>
          <w:pgSz w:w="11906" w:h="16838"/>
          <w:pgMar w:top="1440" w:right="1440" w:bottom="1440" w:left="1440" w:header="708" w:footer="708" w:gutter="0"/>
          <w:cols w:space="708"/>
          <w:docGrid w:linePitch="360"/>
        </w:sectPr>
      </w:pPr>
    </w:p>
    <w:p w14:paraId="0D32FA28" w14:textId="77777777" w:rsidR="00354BA0" w:rsidRDefault="00354BA0" w:rsidP="00AF1F18">
      <w:pPr>
        <w:pStyle w:val="TOCHeading"/>
      </w:pPr>
    </w:p>
    <w:p w14:paraId="3F8553C0" w14:textId="77777777" w:rsidR="00354BA0" w:rsidRDefault="00354BA0">
      <w:pPr>
        <w:spacing w:after="160"/>
        <w:rPr>
          <w:rFonts w:asciiTheme="majorHAnsi" w:eastAsiaTheme="majorEastAsia" w:hAnsiTheme="majorHAnsi" w:cstheme="majorBidi"/>
          <w:b/>
          <w:color w:val="55437E" w:themeColor="accent2"/>
          <w:sz w:val="44"/>
          <w:szCs w:val="32"/>
          <w:lang w:val="en-US"/>
        </w:rPr>
      </w:pPr>
      <w:r>
        <w:br w:type="page"/>
      </w:r>
    </w:p>
    <w:p w14:paraId="4CCE29C4" w14:textId="77B395C3" w:rsidR="00AF1F18" w:rsidRPr="00AD631F" w:rsidRDefault="00AF1F18" w:rsidP="00AF1F18">
      <w:pPr>
        <w:pStyle w:val="TOCHeading"/>
      </w:pPr>
      <w:r w:rsidRPr="00AF1F18">
        <w:lastRenderedPageBreak/>
        <w:t>Contents</w:t>
      </w:r>
    </w:p>
    <w:p w14:paraId="3A9BF33B" w14:textId="55395FC4" w:rsidR="009A458D"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83521021" w:history="1">
        <w:r w:rsidR="009A458D" w:rsidRPr="0024169D">
          <w:rPr>
            <w:rStyle w:val="Hyperlink"/>
            <w:noProof/>
          </w:rPr>
          <w:t>Introduction</w:t>
        </w:r>
        <w:r w:rsidR="009A458D">
          <w:rPr>
            <w:noProof/>
            <w:webHidden/>
          </w:rPr>
          <w:tab/>
        </w:r>
        <w:r w:rsidR="009A458D">
          <w:rPr>
            <w:noProof/>
            <w:webHidden/>
          </w:rPr>
          <w:fldChar w:fldCharType="begin"/>
        </w:r>
        <w:r w:rsidR="009A458D">
          <w:rPr>
            <w:noProof/>
            <w:webHidden/>
          </w:rPr>
          <w:instrText xml:space="preserve"> PAGEREF _Toc183521021 \h </w:instrText>
        </w:r>
        <w:r w:rsidR="009A458D">
          <w:rPr>
            <w:noProof/>
            <w:webHidden/>
          </w:rPr>
        </w:r>
        <w:r w:rsidR="009A458D">
          <w:rPr>
            <w:noProof/>
            <w:webHidden/>
          </w:rPr>
          <w:fldChar w:fldCharType="separate"/>
        </w:r>
        <w:r w:rsidR="002B188B">
          <w:rPr>
            <w:noProof/>
            <w:webHidden/>
          </w:rPr>
          <w:t>3</w:t>
        </w:r>
        <w:r w:rsidR="009A458D">
          <w:rPr>
            <w:noProof/>
            <w:webHidden/>
          </w:rPr>
          <w:fldChar w:fldCharType="end"/>
        </w:r>
      </w:hyperlink>
    </w:p>
    <w:p w14:paraId="0BCEDFED" w14:textId="3FD61783" w:rsidR="009A458D" w:rsidRDefault="009A458D">
      <w:pPr>
        <w:pStyle w:val="TOC1"/>
        <w:rPr>
          <w:rFonts w:eastAsiaTheme="minorEastAsia"/>
          <w:noProof/>
          <w:kern w:val="2"/>
          <w:sz w:val="24"/>
          <w:szCs w:val="24"/>
          <w:lang w:eastAsia="en-AU"/>
          <w14:ligatures w14:val="standardContextual"/>
        </w:rPr>
      </w:pPr>
      <w:hyperlink w:anchor="_Toc183521022" w:history="1">
        <w:r w:rsidRPr="0024169D">
          <w:rPr>
            <w:rStyle w:val="Hyperlink"/>
            <w:noProof/>
          </w:rPr>
          <w:t>2023 Summary Results</w:t>
        </w:r>
        <w:r>
          <w:rPr>
            <w:noProof/>
            <w:webHidden/>
          </w:rPr>
          <w:tab/>
        </w:r>
        <w:r>
          <w:rPr>
            <w:noProof/>
            <w:webHidden/>
          </w:rPr>
          <w:fldChar w:fldCharType="begin"/>
        </w:r>
        <w:r>
          <w:rPr>
            <w:noProof/>
            <w:webHidden/>
          </w:rPr>
          <w:instrText xml:space="preserve"> PAGEREF _Toc183521022 \h </w:instrText>
        </w:r>
        <w:r>
          <w:rPr>
            <w:noProof/>
            <w:webHidden/>
          </w:rPr>
        </w:r>
        <w:r>
          <w:rPr>
            <w:noProof/>
            <w:webHidden/>
          </w:rPr>
          <w:fldChar w:fldCharType="separate"/>
        </w:r>
        <w:r w:rsidR="002B188B">
          <w:rPr>
            <w:noProof/>
            <w:webHidden/>
          </w:rPr>
          <w:t>4</w:t>
        </w:r>
        <w:r>
          <w:rPr>
            <w:noProof/>
            <w:webHidden/>
          </w:rPr>
          <w:fldChar w:fldCharType="end"/>
        </w:r>
      </w:hyperlink>
    </w:p>
    <w:p w14:paraId="1A713123" w14:textId="1E985323" w:rsidR="009A458D" w:rsidRDefault="009A458D">
      <w:pPr>
        <w:pStyle w:val="TOC1"/>
        <w:rPr>
          <w:rFonts w:eastAsiaTheme="minorEastAsia"/>
          <w:noProof/>
          <w:kern w:val="2"/>
          <w:sz w:val="24"/>
          <w:szCs w:val="24"/>
          <w:lang w:eastAsia="en-AU"/>
          <w14:ligatures w14:val="standardContextual"/>
        </w:rPr>
      </w:pPr>
      <w:hyperlink w:anchor="_Toc183521023" w:history="1">
        <w:r w:rsidRPr="0024169D">
          <w:rPr>
            <w:rStyle w:val="Hyperlink"/>
            <w:noProof/>
          </w:rPr>
          <w:t>Financial Performance</w:t>
        </w:r>
        <w:r>
          <w:rPr>
            <w:noProof/>
            <w:webHidden/>
          </w:rPr>
          <w:tab/>
        </w:r>
        <w:r>
          <w:rPr>
            <w:noProof/>
            <w:webHidden/>
          </w:rPr>
          <w:fldChar w:fldCharType="begin"/>
        </w:r>
        <w:r>
          <w:rPr>
            <w:noProof/>
            <w:webHidden/>
          </w:rPr>
          <w:instrText xml:space="preserve"> PAGEREF _Toc183521023 \h </w:instrText>
        </w:r>
        <w:r>
          <w:rPr>
            <w:noProof/>
            <w:webHidden/>
          </w:rPr>
        </w:r>
        <w:r>
          <w:rPr>
            <w:noProof/>
            <w:webHidden/>
          </w:rPr>
          <w:fldChar w:fldCharType="separate"/>
        </w:r>
        <w:r w:rsidR="002B188B">
          <w:rPr>
            <w:noProof/>
            <w:webHidden/>
          </w:rPr>
          <w:t>4</w:t>
        </w:r>
        <w:r>
          <w:rPr>
            <w:noProof/>
            <w:webHidden/>
          </w:rPr>
          <w:fldChar w:fldCharType="end"/>
        </w:r>
      </w:hyperlink>
    </w:p>
    <w:p w14:paraId="0376BB60" w14:textId="0DEC1ED7"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4" w:history="1">
        <w:r w:rsidRPr="0024169D">
          <w:rPr>
            <w:rStyle w:val="Hyperlink"/>
            <w:noProof/>
          </w:rPr>
          <w:t>Revenue</w:t>
        </w:r>
        <w:r>
          <w:rPr>
            <w:noProof/>
            <w:webHidden/>
          </w:rPr>
          <w:tab/>
        </w:r>
        <w:r>
          <w:rPr>
            <w:noProof/>
            <w:webHidden/>
          </w:rPr>
          <w:fldChar w:fldCharType="begin"/>
        </w:r>
        <w:r>
          <w:rPr>
            <w:noProof/>
            <w:webHidden/>
          </w:rPr>
          <w:instrText xml:space="preserve"> PAGEREF _Toc183521024 \h </w:instrText>
        </w:r>
        <w:r>
          <w:rPr>
            <w:noProof/>
            <w:webHidden/>
          </w:rPr>
        </w:r>
        <w:r>
          <w:rPr>
            <w:noProof/>
            <w:webHidden/>
          </w:rPr>
          <w:fldChar w:fldCharType="separate"/>
        </w:r>
        <w:r w:rsidR="002B188B">
          <w:rPr>
            <w:noProof/>
            <w:webHidden/>
          </w:rPr>
          <w:t>8</w:t>
        </w:r>
        <w:r>
          <w:rPr>
            <w:noProof/>
            <w:webHidden/>
          </w:rPr>
          <w:fldChar w:fldCharType="end"/>
        </w:r>
      </w:hyperlink>
    </w:p>
    <w:p w14:paraId="7CFEF311" w14:textId="3667E1EB"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5" w:history="1">
        <w:r w:rsidRPr="0024169D">
          <w:rPr>
            <w:rStyle w:val="Hyperlink"/>
            <w:noProof/>
          </w:rPr>
          <w:t>Expenses</w:t>
        </w:r>
        <w:r>
          <w:rPr>
            <w:noProof/>
            <w:webHidden/>
          </w:rPr>
          <w:tab/>
        </w:r>
        <w:r>
          <w:rPr>
            <w:noProof/>
            <w:webHidden/>
          </w:rPr>
          <w:fldChar w:fldCharType="begin"/>
        </w:r>
        <w:r>
          <w:rPr>
            <w:noProof/>
            <w:webHidden/>
          </w:rPr>
          <w:instrText xml:space="preserve"> PAGEREF _Toc183521025 \h </w:instrText>
        </w:r>
        <w:r>
          <w:rPr>
            <w:noProof/>
            <w:webHidden/>
          </w:rPr>
        </w:r>
        <w:r>
          <w:rPr>
            <w:noProof/>
            <w:webHidden/>
          </w:rPr>
          <w:fldChar w:fldCharType="separate"/>
        </w:r>
        <w:r w:rsidR="002B188B">
          <w:rPr>
            <w:noProof/>
            <w:webHidden/>
          </w:rPr>
          <w:t>12</w:t>
        </w:r>
        <w:r>
          <w:rPr>
            <w:noProof/>
            <w:webHidden/>
          </w:rPr>
          <w:fldChar w:fldCharType="end"/>
        </w:r>
      </w:hyperlink>
    </w:p>
    <w:p w14:paraId="5BBFBEEC" w14:textId="4A52B69B" w:rsidR="009A458D" w:rsidRDefault="009A458D">
      <w:pPr>
        <w:pStyle w:val="TOC1"/>
        <w:rPr>
          <w:rFonts w:eastAsiaTheme="minorEastAsia"/>
          <w:noProof/>
          <w:kern w:val="2"/>
          <w:sz w:val="24"/>
          <w:szCs w:val="24"/>
          <w:lang w:eastAsia="en-AU"/>
          <w14:ligatures w14:val="standardContextual"/>
        </w:rPr>
      </w:pPr>
      <w:hyperlink w:anchor="_Toc183521026" w:history="1">
        <w:r w:rsidRPr="0024169D">
          <w:rPr>
            <w:rStyle w:val="Hyperlink"/>
            <w:noProof/>
          </w:rPr>
          <w:t>Financial Position</w:t>
        </w:r>
        <w:r>
          <w:rPr>
            <w:noProof/>
            <w:webHidden/>
          </w:rPr>
          <w:tab/>
        </w:r>
        <w:r>
          <w:rPr>
            <w:noProof/>
            <w:webHidden/>
          </w:rPr>
          <w:fldChar w:fldCharType="begin"/>
        </w:r>
        <w:r>
          <w:rPr>
            <w:noProof/>
            <w:webHidden/>
          </w:rPr>
          <w:instrText xml:space="preserve"> PAGEREF _Toc183521026 \h </w:instrText>
        </w:r>
        <w:r>
          <w:rPr>
            <w:noProof/>
            <w:webHidden/>
          </w:rPr>
        </w:r>
        <w:r>
          <w:rPr>
            <w:noProof/>
            <w:webHidden/>
          </w:rPr>
          <w:fldChar w:fldCharType="separate"/>
        </w:r>
        <w:r w:rsidR="002B188B">
          <w:rPr>
            <w:noProof/>
            <w:webHidden/>
          </w:rPr>
          <w:t>13</w:t>
        </w:r>
        <w:r>
          <w:rPr>
            <w:noProof/>
            <w:webHidden/>
          </w:rPr>
          <w:fldChar w:fldCharType="end"/>
        </w:r>
      </w:hyperlink>
    </w:p>
    <w:p w14:paraId="660C455D" w14:textId="62344806"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7" w:history="1">
        <w:r w:rsidRPr="0024169D">
          <w:rPr>
            <w:rStyle w:val="Hyperlink"/>
            <w:noProof/>
          </w:rPr>
          <w:t>Assets</w:t>
        </w:r>
        <w:r>
          <w:rPr>
            <w:noProof/>
            <w:webHidden/>
          </w:rPr>
          <w:tab/>
        </w:r>
        <w:r>
          <w:rPr>
            <w:noProof/>
            <w:webHidden/>
          </w:rPr>
          <w:fldChar w:fldCharType="begin"/>
        </w:r>
        <w:r>
          <w:rPr>
            <w:noProof/>
            <w:webHidden/>
          </w:rPr>
          <w:instrText xml:space="preserve"> PAGEREF _Toc183521027 \h </w:instrText>
        </w:r>
        <w:r>
          <w:rPr>
            <w:noProof/>
            <w:webHidden/>
          </w:rPr>
        </w:r>
        <w:r>
          <w:rPr>
            <w:noProof/>
            <w:webHidden/>
          </w:rPr>
          <w:fldChar w:fldCharType="separate"/>
        </w:r>
        <w:r w:rsidR="002B188B">
          <w:rPr>
            <w:noProof/>
            <w:webHidden/>
          </w:rPr>
          <w:t>13</w:t>
        </w:r>
        <w:r>
          <w:rPr>
            <w:noProof/>
            <w:webHidden/>
          </w:rPr>
          <w:fldChar w:fldCharType="end"/>
        </w:r>
      </w:hyperlink>
    </w:p>
    <w:p w14:paraId="7FCDF49F" w14:textId="0ABC07B8"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8" w:history="1">
        <w:r w:rsidRPr="0024169D">
          <w:rPr>
            <w:rStyle w:val="Hyperlink"/>
            <w:noProof/>
          </w:rPr>
          <w:t>Liabilities</w:t>
        </w:r>
        <w:r>
          <w:rPr>
            <w:noProof/>
            <w:webHidden/>
          </w:rPr>
          <w:tab/>
        </w:r>
        <w:r>
          <w:rPr>
            <w:noProof/>
            <w:webHidden/>
          </w:rPr>
          <w:fldChar w:fldCharType="begin"/>
        </w:r>
        <w:r>
          <w:rPr>
            <w:noProof/>
            <w:webHidden/>
          </w:rPr>
          <w:instrText xml:space="preserve"> PAGEREF _Toc183521028 \h </w:instrText>
        </w:r>
        <w:r>
          <w:rPr>
            <w:noProof/>
            <w:webHidden/>
          </w:rPr>
        </w:r>
        <w:r>
          <w:rPr>
            <w:noProof/>
            <w:webHidden/>
          </w:rPr>
          <w:fldChar w:fldCharType="separate"/>
        </w:r>
        <w:r w:rsidR="002B188B">
          <w:rPr>
            <w:noProof/>
            <w:webHidden/>
          </w:rPr>
          <w:t>17</w:t>
        </w:r>
        <w:r>
          <w:rPr>
            <w:noProof/>
            <w:webHidden/>
          </w:rPr>
          <w:fldChar w:fldCharType="end"/>
        </w:r>
      </w:hyperlink>
    </w:p>
    <w:p w14:paraId="1B2E70EC" w14:textId="6A80C2C8" w:rsidR="009A458D" w:rsidRDefault="009A458D">
      <w:pPr>
        <w:pStyle w:val="TOC1"/>
        <w:rPr>
          <w:rFonts w:eastAsiaTheme="minorEastAsia"/>
          <w:noProof/>
          <w:kern w:val="2"/>
          <w:sz w:val="24"/>
          <w:szCs w:val="24"/>
          <w:lang w:eastAsia="en-AU"/>
          <w14:ligatures w14:val="standardContextual"/>
        </w:rPr>
      </w:pPr>
      <w:hyperlink w:anchor="_Toc183521029" w:history="1">
        <w:r w:rsidRPr="0024169D">
          <w:rPr>
            <w:rStyle w:val="Hyperlink"/>
            <w:bCs/>
            <w:noProof/>
          </w:rPr>
          <w:t>HEPs Included in the Finance Publication</w:t>
        </w:r>
        <w:r>
          <w:rPr>
            <w:noProof/>
            <w:webHidden/>
          </w:rPr>
          <w:tab/>
        </w:r>
        <w:r>
          <w:rPr>
            <w:noProof/>
            <w:webHidden/>
          </w:rPr>
          <w:fldChar w:fldCharType="begin"/>
        </w:r>
        <w:r>
          <w:rPr>
            <w:noProof/>
            <w:webHidden/>
          </w:rPr>
          <w:instrText xml:space="preserve"> PAGEREF _Toc183521029 \h </w:instrText>
        </w:r>
        <w:r>
          <w:rPr>
            <w:noProof/>
            <w:webHidden/>
          </w:rPr>
        </w:r>
        <w:r>
          <w:rPr>
            <w:noProof/>
            <w:webHidden/>
          </w:rPr>
          <w:fldChar w:fldCharType="separate"/>
        </w:r>
        <w:r w:rsidR="002B188B">
          <w:rPr>
            <w:noProof/>
            <w:webHidden/>
          </w:rPr>
          <w:t>18</w:t>
        </w:r>
        <w:r>
          <w:rPr>
            <w:noProof/>
            <w:webHidden/>
          </w:rPr>
          <w:fldChar w:fldCharType="end"/>
        </w:r>
      </w:hyperlink>
    </w:p>
    <w:p w14:paraId="5FAEDCA2" w14:textId="68BD618C"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30" w:history="1">
        <w:r w:rsidRPr="0024169D">
          <w:rPr>
            <w:rStyle w:val="Hyperlink"/>
            <w:noProof/>
          </w:rPr>
          <w:t>Table A</w:t>
        </w:r>
        <w:r>
          <w:rPr>
            <w:noProof/>
            <w:webHidden/>
          </w:rPr>
          <w:tab/>
        </w:r>
        <w:r>
          <w:rPr>
            <w:noProof/>
            <w:webHidden/>
          </w:rPr>
          <w:fldChar w:fldCharType="begin"/>
        </w:r>
        <w:r>
          <w:rPr>
            <w:noProof/>
            <w:webHidden/>
          </w:rPr>
          <w:instrText xml:space="preserve"> PAGEREF _Toc183521030 \h </w:instrText>
        </w:r>
        <w:r>
          <w:rPr>
            <w:noProof/>
            <w:webHidden/>
          </w:rPr>
        </w:r>
        <w:r>
          <w:rPr>
            <w:noProof/>
            <w:webHidden/>
          </w:rPr>
          <w:fldChar w:fldCharType="separate"/>
        </w:r>
        <w:r w:rsidR="002B188B">
          <w:rPr>
            <w:noProof/>
            <w:webHidden/>
          </w:rPr>
          <w:t>18</w:t>
        </w:r>
        <w:r>
          <w:rPr>
            <w:noProof/>
            <w:webHidden/>
          </w:rPr>
          <w:fldChar w:fldCharType="end"/>
        </w:r>
      </w:hyperlink>
    </w:p>
    <w:p w14:paraId="525316F4" w14:textId="44543178"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31" w:history="1">
        <w:r w:rsidRPr="0024169D">
          <w:rPr>
            <w:rStyle w:val="Hyperlink"/>
            <w:noProof/>
          </w:rPr>
          <w:t>Table B</w:t>
        </w:r>
        <w:r>
          <w:rPr>
            <w:noProof/>
            <w:webHidden/>
          </w:rPr>
          <w:tab/>
        </w:r>
        <w:r>
          <w:rPr>
            <w:noProof/>
            <w:webHidden/>
          </w:rPr>
          <w:fldChar w:fldCharType="begin"/>
        </w:r>
        <w:r>
          <w:rPr>
            <w:noProof/>
            <w:webHidden/>
          </w:rPr>
          <w:instrText xml:space="preserve"> PAGEREF _Toc183521031 \h </w:instrText>
        </w:r>
        <w:r>
          <w:rPr>
            <w:noProof/>
            <w:webHidden/>
          </w:rPr>
        </w:r>
        <w:r>
          <w:rPr>
            <w:noProof/>
            <w:webHidden/>
          </w:rPr>
          <w:fldChar w:fldCharType="separate"/>
        </w:r>
        <w:r w:rsidR="002B188B">
          <w:rPr>
            <w:noProof/>
            <w:webHidden/>
          </w:rPr>
          <w:t>19</w:t>
        </w:r>
        <w:r>
          <w:rPr>
            <w:noProof/>
            <w:webHidden/>
          </w:rPr>
          <w:fldChar w:fldCharType="end"/>
        </w:r>
      </w:hyperlink>
    </w:p>
    <w:p w14:paraId="24DE2967" w14:textId="58A48241" w:rsidR="0017134D" w:rsidRDefault="00AF1F18">
      <w:r>
        <w:fldChar w:fldCharType="end"/>
      </w:r>
      <w:r w:rsidR="0017134D">
        <w:br w:type="page"/>
      </w:r>
    </w:p>
    <w:p w14:paraId="79C7C280" w14:textId="77777777" w:rsidR="008066B2" w:rsidRDefault="008066B2" w:rsidP="008066B2">
      <w:pPr>
        <w:pStyle w:val="Heading2"/>
      </w:pPr>
      <w:bookmarkStart w:id="4" w:name="_Toc183521021"/>
      <w:bookmarkStart w:id="5" w:name="_Toc126923147"/>
      <w:bookmarkStart w:id="6" w:name="_Toc126923158"/>
      <w:r w:rsidRPr="00F50F4C">
        <w:rPr>
          <w:rStyle w:val="Hyperlink"/>
        </w:rPr>
        <w:lastRenderedPageBreak/>
        <w:t>Introduction</w:t>
      </w:r>
      <w:bookmarkEnd w:id="4"/>
    </w:p>
    <w:p w14:paraId="1A907157" w14:textId="0FD6E48F" w:rsidR="008066B2" w:rsidRDefault="008066B2" w:rsidP="008066B2">
      <w:r w:rsidRPr="007A0A02">
        <w:t xml:space="preserve">The </w:t>
      </w:r>
      <w:r>
        <w:t>F</w:t>
      </w:r>
      <w:r w:rsidRPr="007A0A02">
        <w:t xml:space="preserve">inance </w:t>
      </w:r>
      <w:r>
        <w:t>202</w:t>
      </w:r>
      <w:r w:rsidR="00E93956">
        <w:t>3</w:t>
      </w:r>
      <w:r>
        <w:t xml:space="preserve"> p</w:t>
      </w:r>
      <w:r w:rsidRPr="007A0A02">
        <w:t xml:space="preserve">ublication </w:t>
      </w:r>
      <w:r>
        <w:t>contains</w:t>
      </w:r>
      <w:r w:rsidRPr="007A0A02">
        <w:t xml:space="preserve"> the results of </w:t>
      </w:r>
      <w:r>
        <w:t>the</w:t>
      </w:r>
      <w:r w:rsidRPr="0040075B">
        <w:t xml:space="preserve"> </w:t>
      </w:r>
      <w:r>
        <w:t>4</w:t>
      </w:r>
      <w:r w:rsidR="00E93956">
        <w:t>3</w:t>
      </w:r>
      <w:r>
        <w:t xml:space="preserve"> </w:t>
      </w:r>
      <w:r w:rsidRPr="0040075B">
        <w:t>high</w:t>
      </w:r>
      <w:r>
        <w:t>er education providers</w:t>
      </w:r>
      <w:r w:rsidR="004518D2">
        <w:t xml:space="preserve"> (HEPs)</w:t>
      </w:r>
      <w:r>
        <w:t xml:space="preserve"> </w:t>
      </w:r>
      <w:r w:rsidRPr="0040075B">
        <w:t>listed in</w:t>
      </w:r>
      <w:r>
        <w:t xml:space="preserve"> </w:t>
      </w:r>
      <w:r w:rsidRPr="009F4296">
        <w:t xml:space="preserve">Table A and Table B of the </w:t>
      </w:r>
      <w:r w:rsidRPr="009F4296">
        <w:rPr>
          <w:i/>
        </w:rPr>
        <w:t>Higher Education Support Act 2003</w:t>
      </w:r>
      <w:r w:rsidRPr="009F4296">
        <w:t xml:space="preserve"> (the Act) for the 202</w:t>
      </w:r>
      <w:r w:rsidR="00E93956">
        <w:t>3</w:t>
      </w:r>
      <w:r w:rsidRPr="009F4296">
        <w:t xml:space="preserve"> reporting period</w:t>
      </w:r>
      <w:r w:rsidRPr="007A0A02">
        <w:t xml:space="preserve">. </w:t>
      </w:r>
    </w:p>
    <w:p w14:paraId="3258DA6B" w14:textId="091CF2B4" w:rsidR="008066B2" w:rsidRDefault="008066B2" w:rsidP="008066B2">
      <w:r w:rsidRPr="009F4296">
        <w:t>The data was extracted from the audited financial statements of these 4</w:t>
      </w:r>
      <w:r w:rsidR="00E93956">
        <w:t>3</w:t>
      </w:r>
      <w:r w:rsidRPr="009F4296">
        <w:t xml:space="preserve"> </w:t>
      </w:r>
      <w:r>
        <w:t>institutions as</w:t>
      </w:r>
      <w:r w:rsidRPr="009F4296">
        <w:t xml:space="preserve"> provided to the Department of Education</w:t>
      </w:r>
      <w:r w:rsidR="00330032">
        <w:t xml:space="preserve"> (department)</w:t>
      </w:r>
      <w:r w:rsidRPr="009F4296">
        <w:t>. The adjusted financial statements are presented in a format</w:t>
      </w:r>
      <w:r w:rsidRPr="0040075B">
        <w:t xml:space="preserve"> </w:t>
      </w:r>
      <w:r w:rsidR="00552D93">
        <w:t>consistent with</w:t>
      </w:r>
      <w:r w:rsidRPr="0040075B">
        <w:t xml:space="preserve"> that outlined in the </w:t>
      </w:r>
      <w:r>
        <w:t>d</w:t>
      </w:r>
      <w:r w:rsidRPr="0040075B">
        <w:t xml:space="preserve">epartment’s </w:t>
      </w:r>
      <w:r w:rsidRPr="0040075B">
        <w:rPr>
          <w:i/>
        </w:rPr>
        <w:t xml:space="preserve">Financial Statement Guidelines for Australian Higher Education Providers for the </w:t>
      </w:r>
      <w:r>
        <w:rPr>
          <w:i/>
        </w:rPr>
        <w:t>202</w:t>
      </w:r>
      <w:r w:rsidR="00E93956">
        <w:rPr>
          <w:i/>
        </w:rPr>
        <w:t>3</w:t>
      </w:r>
      <w:r w:rsidRPr="0040075B">
        <w:rPr>
          <w:i/>
        </w:rPr>
        <w:t xml:space="preserve"> Reporting Period</w:t>
      </w:r>
      <w:r>
        <w:rPr>
          <w:i/>
        </w:rPr>
        <w:t xml:space="preserve"> </w:t>
      </w:r>
      <w:r>
        <w:t>(Guidelines)</w:t>
      </w:r>
      <w:r w:rsidRPr="0040075B">
        <w:t>.</w:t>
      </w:r>
    </w:p>
    <w:p w14:paraId="15BFFD1C" w14:textId="07A6C2E1" w:rsidR="008066B2" w:rsidRDefault="008066B2" w:rsidP="008066B2">
      <w:r>
        <w:t>The Finance 202</w:t>
      </w:r>
      <w:r w:rsidR="00CF7FA0">
        <w:t>3</w:t>
      </w:r>
      <w:r>
        <w:t xml:space="preserve"> publication is available in </w:t>
      </w:r>
      <w:r w:rsidR="0092717D">
        <w:t xml:space="preserve">Microsoft Excel </w:t>
      </w:r>
      <w:r>
        <w:t xml:space="preserve">table format on the department’s website. A data dashboard has also been developed as an interactive visualisation tool to provide </w:t>
      </w:r>
      <w:r w:rsidR="00E93956">
        <w:t>an option</w:t>
      </w:r>
      <w:r>
        <w:t xml:space="preserve"> for viewing the data. The dashboard includes charts and graphs with historical data dating back to 2011. Both the tables and the dashboard are available at</w:t>
      </w:r>
      <w:r w:rsidR="0090758E">
        <w:t xml:space="preserve">  </w:t>
      </w:r>
      <w:hyperlink r:id="rId16" w:history="1">
        <w:r w:rsidR="0090758E" w:rsidRPr="003F73D9">
          <w:rPr>
            <w:rStyle w:val="Hyperlink"/>
            <w:color w:val="0070C0"/>
            <w:u w:val="single"/>
          </w:rPr>
          <w:t>https://www.education.gov.au/higher-education-publications/finance-publication</w:t>
        </w:r>
      </w:hyperlink>
      <w:r>
        <w:t xml:space="preserve">. </w:t>
      </w:r>
    </w:p>
    <w:p w14:paraId="03DA43BB" w14:textId="77777777" w:rsidR="008066B2" w:rsidRDefault="008066B2" w:rsidP="001E7AA9">
      <w:pPr>
        <w:pStyle w:val="Heading5"/>
      </w:pPr>
      <w:bookmarkStart w:id="7" w:name="_Toc126584985"/>
      <w:r>
        <w:t>Changes from previous publications</w:t>
      </w:r>
      <w:bookmarkEnd w:id="7"/>
    </w:p>
    <w:p w14:paraId="67651966" w14:textId="187C90DB" w:rsidR="008066B2" w:rsidRDefault="008066B2" w:rsidP="008066B2">
      <w:r>
        <w:t xml:space="preserve">Table B institutions were added to the publication </w:t>
      </w:r>
      <w:r w:rsidR="00552D93">
        <w:t xml:space="preserve">series </w:t>
      </w:r>
      <w:r>
        <w:t xml:space="preserve">in 2021 to provide a more comprehensive overview of the financial performance and position of the higher education sector. </w:t>
      </w:r>
      <w:r w:rsidRPr="003D5278">
        <w:t>P</w:t>
      </w:r>
      <w:r>
        <w:t>r</w:t>
      </w:r>
      <w:r w:rsidRPr="003D5278">
        <w:t xml:space="preserve">evious versions of this report </w:t>
      </w:r>
      <w:r>
        <w:t xml:space="preserve">before 2021 </w:t>
      </w:r>
      <w:r w:rsidRPr="003D5278">
        <w:t xml:space="preserve">contained the results of the 39 Table A institutions only. This should be considered when comparing sector total results from one </w:t>
      </w:r>
      <w:r w:rsidRPr="001F40AE">
        <w:t xml:space="preserve">year to the next. </w:t>
      </w:r>
    </w:p>
    <w:p w14:paraId="649C33E1" w14:textId="2766CBD5" w:rsidR="00E93956" w:rsidRPr="001F40AE" w:rsidRDefault="00E93956" w:rsidP="008066B2">
      <w:r>
        <w:t xml:space="preserve">The financial results of Avondale University have been added to the 2023 publication for the first time </w:t>
      </w:r>
      <w:r w:rsidR="006C6FD1">
        <w:t xml:space="preserve">as </w:t>
      </w:r>
      <w:r>
        <w:t>the university became a listed Table B provider</w:t>
      </w:r>
      <w:r w:rsidR="007C61C0">
        <w:t xml:space="preserve"> in 2023</w:t>
      </w:r>
      <w:r w:rsidR="00295872">
        <w:t>.</w:t>
      </w:r>
    </w:p>
    <w:p w14:paraId="2C8C4E4C" w14:textId="13509383" w:rsidR="008066B2" w:rsidRPr="001F40AE" w:rsidRDefault="008066B2" w:rsidP="008066B2">
      <w:r w:rsidRPr="001F40AE">
        <w:t xml:space="preserve">All prior period comparative figures contained in this summary report relate to those published in previous versions of the Finance publication. These may be different </w:t>
      </w:r>
      <w:r w:rsidR="00330032" w:rsidRPr="001F40AE">
        <w:t xml:space="preserve">in some cases </w:t>
      </w:r>
      <w:r w:rsidRPr="001F40AE">
        <w:t>from the comparative figures published in each university’s audited financial statements due to changes in presentation.</w:t>
      </w:r>
    </w:p>
    <w:p w14:paraId="2AD9672C" w14:textId="51C47BA1" w:rsidR="008066B2" w:rsidRDefault="008066B2" w:rsidP="008066B2">
      <w:r>
        <w:br w:type="page"/>
      </w:r>
    </w:p>
    <w:p w14:paraId="4CB40C12" w14:textId="6C686E6A" w:rsidR="004A468B" w:rsidRDefault="00E14F05" w:rsidP="00355625">
      <w:pPr>
        <w:pStyle w:val="Heading2"/>
        <w:spacing w:after="0"/>
      </w:pPr>
      <w:bookmarkStart w:id="8" w:name="_Toc183521022"/>
      <w:r>
        <w:lastRenderedPageBreak/>
        <w:t>202</w:t>
      </w:r>
      <w:r w:rsidR="00E93956">
        <w:t>3</w:t>
      </w:r>
      <w:r>
        <w:t xml:space="preserve"> Summary Result</w:t>
      </w:r>
      <w:r w:rsidR="00355625">
        <w:t>s</w:t>
      </w:r>
      <w:bookmarkEnd w:id="8"/>
    </w:p>
    <w:p w14:paraId="5CFC5F1A" w14:textId="77777777" w:rsidR="0033006C" w:rsidRDefault="0033006C">
      <w:pPr>
        <w:spacing w:after="160"/>
      </w:pPr>
    </w:p>
    <w:p w14:paraId="400AAB8F" w14:textId="697F44FF" w:rsidR="005A5894" w:rsidRDefault="005A5894">
      <w:pPr>
        <w:spacing w:after="160"/>
        <w:sectPr w:rsidR="005A5894" w:rsidSect="00766865">
          <w:pgSz w:w="11906" w:h="16838"/>
          <w:pgMar w:top="1440" w:right="1440" w:bottom="1440" w:left="1440" w:header="708" w:footer="708" w:gutter="0"/>
          <w:pgNumType w:start="1"/>
          <w:cols w:space="708"/>
          <w:titlePg/>
          <w:docGrid w:linePitch="360"/>
        </w:sectPr>
      </w:pPr>
    </w:p>
    <w:p w14:paraId="4B3E5D75" w14:textId="282E4665" w:rsidR="00490B5A" w:rsidRDefault="0033006C">
      <w:pPr>
        <w:spacing w:after="160"/>
      </w:pPr>
      <w:r w:rsidRPr="006A3317">
        <w:rPr>
          <w:noProof/>
          <w:color w:val="003A74" w:themeColor="text2" w:themeTint="E6"/>
        </w:rPr>
        <w:drawing>
          <wp:inline distT="0" distB="0" distL="0" distR="0" wp14:anchorId="124F65BD" wp14:editId="670DE064">
            <wp:extent cx="2880000" cy="4032000"/>
            <wp:effectExtent l="19050" t="0" r="92075" b="6985"/>
            <wp:docPr id="163705129"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EAF2EA" w14:textId="29143AE5" w:rsidR="0033006C" w:rsidRDefault="0033006C">
      <w:pPr>
        <w:spacing w:after="160"/>
      </w:pPr>
    </w:p>
    <w:p w14:paraId="7E37BB72" w14:textId="2F0D553D" w:rsidR="0033006C" w:rsidRDefault="0033006C" w:rsidP="0033006C">
      <w:pPr>
        <w:spacing w:after="0"/>
      </w:pPr>
      <w:r>
        <w:rPr>
          <w:noProof/>
        </w:rPr>
        <w:drawing>
          <wp:inline distT="0" distB="0" distL="0" distR="0" wp14:anchorId="2D8BC586" wp14:editId="6733809A">
            <wp:extent cx="2880000" cy="4032000"/>
            <wp:effectExtent l="19050" t="0" r="15875" b="6985"/>
            <wp:docPr id="192312617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DDFCF36" w14:textId="31D41426" w:rsidR="00AC2154" w:rsidRDefault="00AC2154" w:rsidP="006A3317">
      <w:pPr>
        <w:spacing w:after="0"/>
      </w:pPr>
    </w:p>
    <w:p w14:paraId="36F6145E" w14:textId="77777777" w:rsidR="0033006C" w:rsidRDefault="0033006C">
      <w:pPr>
        <w:spacing w:after="160"/>
      </w:pPr>
    </w:p>
    <w:p w14:paraId="2D2D6EAA" w14:textId="384CA0D5" w:rsidR="0033006C" w:rsidRDefault="0033006C">
      <w:pPr>
        <w:spacing w:after="160"/>
        <w:sectPr w:rsidR="0033006C" w:rsidSect="006A3317">
          <w:type w:val="continuous"/>
          <w:pgSz w:w="11906" w:h="16838" w:code="9"/>
          <w:pgMar w:top="1440" w:right="1440" w:bottom="1440" w:left="1440" w:header="709" w:footer="709" w:gutter="0"/>
          <w:pgNumType w:start="1"/>
          <w:cols w:num="2" w:space="284"/>
          <w:titlePg/>
          <w:docGrid w:linePitch="360"/>
        </w:sectPr>
      </w:pPr>
    </w:p>
    <w:p w14:paraId="0FCFB040" w14:textId="75F4D883" w:rsidR="0071657A" w:rsidRDefault="0071657A" w:rsidP="00C0063A">
      <w:pPr>
        <w:pStyle w:val="Heading2"/>
      </w:pPr>
      <w:bookmarkStart w:id="9" w:name="_Toc183521023"/>
      <w:r>
        <w:t>Financial Performance</w:t>
      </w:r>
      <w:bookmarkEnd w:id="9"/>
    </w:p>
    <w:p w14:paraId="55F66637" w14:textId="36634951" w:rsidR="00D66420" w:rsidRDefault="00CF3D8E" w:rsidP="0080183E">
      <w:pPr>
        <w:spacing w:after="160"/>
      </w:pPr>
      <w:r w:rsidRPr="00992260">
        <w:t>The 2023 university financial results show an overall improvement</w:t>
      </w:r>
      <w:r w:rsidR="00C053AD" w:rsidRPr="00992260">
        <w:t xml:space="preserve"> in the financial performance of </w:t>
      </w:r>
      <w:r w:rsidR="00992260">
        <w:t>the university sector in 2023</w:t>
      </w:r>
      <w:r w:rsidR="00B54D58">
        <w:t xml:space="preserve"> when compared to 2022 results</w:t>
      </w:r>
      <w:r w:rsidR="00992260">
        <w:t xml:space="preserve">. This was driven by </w:t>
      </w:r>
      <w:r w:rsidR="00D66420">
        <w:t xml:space="preserve">strong </w:t>
      </w:r>
      <w:r w:rsidR="00992260">
        <w:t xml:space="preserve">growth in </w:t>
      </w:r>
      <w:r w:rsidR="009A458D">
        <w:t xml:space="preserve">investment income and </w:t>
      </w:r>
      <w:r w:rsidR="00992260">
        <w:t xml:space="preserve">international student fees. </w:t>
      </w:r>
    </w:p>
    <w:p w14:paraId="13197CA8" w14:textId="38DB895A" w:rsidR="00385DAC" w:rsidRDefault="00D66420" w:rsidP="0080183E">
      <w:pPr>
        <w:spacing w:after="160"/>
      </w:pPr>
      <w:r w:rsidRPr="00D66420">
        <w:t xml:space="preserve">The net result reported across the sector in 2023 was a surplus of $122.1 million. This is </w:t>
      </w:r>
      <w:r w:rsidR="00A42F17">
        <w:t>up $1.3</w:t>
      </w:r>
      <w:r w:rsidR="004C4183">
        <w:t> </w:t>
      </w:r>
      <w:r w:rsidR="00A42F17">
        <w:t xml:space="preserve">billion </w:t>
      </w:r>
      <w:r w:rsidRPr="00D66420">
        <w:t>from an overall deficit of $1.</w:t>
      </w:r>
      <w:r w:rsidR="00A42F17">
        <w:t>2</w:t>
      </w:r>
      <w:r w:rsidRPr="00D66420">
        <w:t xml:space="preserve"> billion reported in 2022.</w:t>
      </w:r>
      <w:r w:rsidR="00385DAC">
        <w:t xml:space="preserve"> The net operating margin, which measures net income as a proportion of total revenue, was 0.3 percent, up from -3.5</w:t>
      </w:r>
      <w:r w:rsidR="004E6C81">
        <w:t>%</w:t>
      </w:r>
      <w:r w:rsidR="00385DAC">
        <w:t xml:space="preserve"> in 2022.</w:t>
      </w:r>
    </w:p>
    <w:p w14:paraId="02686880" w14:textId="46E5B51C" w:rsidR="00D66420" w:rsidRDefault="00D66420" w:rsidP="0080183E">
      <w:pPr>
        <w:spacing w:after="160"/>
      </w:pPr>
      <w:r w:rsidRPr="00D66420">
        <w:t xml:space="preserve">At the individual university level results were </w:t>
      </w:r>
      <w:r w:rsidR="00B54D58">
        <w:t>mixed with many universities continuing to report a deficit despite the general improvement from the prior year</w:t>
      </w:r>
      <w:r w:rsidR="00882A2C">
        <w:t xml:space="preserve">, </w:t>
      </w:r>
      <w:r w:rsidR="004C4183">
        <w:t>due to growth in expenditure</w:t>
      </w:r>
      <w:r w:rsidR="00882A2C">
        <w:t xml:space="preserve">. </w:t>
      </w:r>
      <w:r w:rsidRPr="00D66420">
        <w:t xml:space="preserve">A total of 16 universities reported an overall surplus </w:t>
      </w:r>
      <w:r w:rsidR="00E937B1">
        <w:t xml:space="preserve">in 2023 </w:t>
      </w:r>
      <w:r w:rsidRPr="00D66420">
        <w:t>and 27 reported a deficit.</w:t>
      </w:r>
    </w:p>
    <w:p w14:paraId="1AAF6EBC" w14:textId="08437605" w:rsidR="00C165C1" w:rsidRDefault="00C165C1" w:rsidP="00C165C1">
      <w:pPr>
        <w:pStyle w:val="Heading6"/>
        <w:rPr>
          <w:rStyle w:val="Strong"/>
          <w:b/>
          <w:bCs w:val="0"/>
        </w:rPr>
      </w:pPr>
      <w:r w:rsidRPr="00D32BFB">
        <w:rPr>
          <w:rStyle w:val="Strong"/>
          <w:b/>
          <w:bCs w:val="0"/>
        </w:rPr>
        <w:lastRenderedPageBreak/>
        <w:t>Figure 1: 202</w:t>
      </w:r>
      <w:r w:rsidR="00B54D58" w:rsidRPr="00D32BFB">
        <w:rPr>
          <w:rStyle w:val="Strong"/>
          <w:b/>
          <w:bCs w:val="0"/>
        </w:rPr>
        <w:t>3</w:t>
      </w:r>
      <w:r w:rsidRPr="00D32BFB">
        <w:rPr>
          <w:rStyle w:val="Strong"/>
          <w:b/>
          <w:bCs w:val="0"/>
        </w:rPr>
        <w:t xml:space="preserve"> </w:t>
      </w:r>
      <w:r w:rsidR="005115E5">
        <w:rPr>
          <w:rStyle w:val="Strong"/>
          <w:b/>
          <w:bCs w:val="0"/>
        </w:rPr>
        <w:t xml:space="preserve">and 2022 </w:t>
      </w:r>
      <w:r w:rsidRPr="00D32BFB">
        <w:rPr>
          <w:rStyle w:val="Strong"/>
          <w:b/>
          <w:bCs w:val="0"/>
        </w:rPr>
        <w:t xml:space="preserve">Net </w:t>
      </w:r>
      <w:r w:rsidR="001F371E">
        <w:rPr>
          <w:rStyle w:val="Strong"/>
          <w:b/>
          <w:bCs w:val="0"/>
        </w:rPr>
        <w:t>Margin</w:t>
      </w:r>
      <w:r w:rsidRPr="00D32BFB">
        <w:rPr>
          <w:rStyle w:val="Strong"/>
          <w:b/>
          <w:bCs w:val="0"/>
        </w:rPr>
        <w:t xml:space="preserve"> across the university sector</w:t>
      </w:r>
    </w:p>
    <w:p w14:paraId="767A9D80" w14:textId="1C4FA5E3" w:rsidR="001B4472" w:rsidRPr="00EB430C" w:rsidRDefault="001B4472" w:rsidP="00EB430C">
      <w:r>
        <w:rPr>
          <w:noProof/>
        </w:rPr>
        <w:drawing>
          <wp:inline distT="0" distB="0" distL="0" distR="0" wp14:anchorId="369BA45F" wp14:editId="62881295">
            <wp:extent cx="5731510" cy="4124325"/>
            <wp:effectExtent l="0" t="0" r="2540" b="9525"/>
            <wp:docPr id="2010301358" name="Chart 1">
              <a:extLst xmlns:a="http://schemas.openxmlformats.org/drawingml/2006/main">
                <a:ext uri="{FF2B5EF4-FFF2-40B4-BE49-F238E27FC236}">
                  <a16:creationId xmlns:a16="http://schemas.microsoft.com/office/drawing/2014/main" id="{06ABC19E-5F4C-317B-E916-B7B5309B06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D2A37A" w14:textId="77777777" w:rsidR="00F33BDC" w:rsidRPr="00F33BDC" w:rsidRDefault="00F33BDC" w:rsidP="00F33BDC"/>
    <w:p w14:paraId="141351DE" w14:textId="1A007D06" w:rsidR="0071657A" w:rsidRPr="00167C67" w:rsidRDefault="0071657A" w:rsidP="0071657A">
      <w:pPr>
        <w:spacing w:after="160"/>
      </w:pPr>
      <w:r w:rsidRPr="00167C67">
        <w:t>Total revenue increased by $5.3 billion in 2023</w:t>
      </w:r>
      <w:r w:rsidR="00E937B1">
        <w:t>,</w:t>
      </w:r>
      <w:r w:rsidRPr="00167C67">
        <w:t xml:space="preserve"> to $40.0 billion across the sector. This was driven by growth in both investment income</w:t>
      </w:r>
      <w:r w:rsidR="009A458D">
        <w:t xml:space="preserve"> and </w:t>
      </w:r>
      <w:r w:rsidR="009A458D" w:rsidRPr="00167C67">
        <w:t>international student fees</w:t>
      </w:r>
      <w:r w:rsidRPr="00167C67">
        <w:t>:</w:t>
      </w:r>
    </w:p>
    <w:p w14:paraId="29931D9E" w14:textId="77777777" w:rsidR="009A458D" w:rsidRPr="00167C67" w:rsidRDefault="009A458D" w:rsidP="009A458D">
      <w:pPr>
        <w:pStyle w:val="ListParagraph"/>
        <w:numPr>
          <w:ilvl w:val="0"/>
          <w:numId w:val="37"/>
        </w:numPr>
        <w:spacing w:after="160"/>
      </w:pPr>
      <w:r w:rsidRPr="00167C67">
        <w:t xml:space="preserve">Investment income recovered strongly in 2023 with a total of $2.3 billion reported across the sector following the strong performance of global equity markets. This is up $2.7 billion from a net loss of $396.8 million reported in 2022. </w:t>
      </w:r>
    </w:p>
    <w:p w14:paraId="44385F21" w14:textId="77777777" w:rsidR="0071657A" w:rsidRPr="00167C67" w:rsidRDefault="0071657A" w:rsidP="0071657A">
      <w:pPr>
        <w:pStyle w:val="ListParagraph"/>
        <w:numPr>
          <w:ilvl w:val="0"/>
          <w:numId w:val="37"/>
        </w:numPr>
        <w:spacing w:after="160"/>
      </w:pPr>
      <w:r w:rsidRPr="00167C67">
        <w:t>International student fees surpassed pre-pandemic levels in 2023 for the first time, with total revenue of $10.2 billion reported across the sector, up $1.6 billion from 2022, and above the total international student fees of $10.0 billion reported prior to the onset of the pandemic in 2019.</w:t>
      </w:r>
    </w:p>
    <w:p w14:paraId="6566A60F" w14:textId="282FBC9E" w:rsidR="00464932" w:rsidRPr="00F6513A" w:rsidRDefault="00464932" w:rsidP="00464932">
      <w:pPr>
        <w:spacing w:after="160"/>
      </w:pPr>
      <w:r w:rsidRPr="00167C67">
        <w:t xml:space="preserve">Total expenses also increased during 2023, up $4.0 billion to $39.9 billion across the sector. </w:t>
      </w:r>
      <w:r w:rsidR="00167C67" w:rsidRPr="00167C67">
        <w:t xml:space="preserve">Increases were reported across all expense categories as spending activity returned to pre-pandemic norms and inflation </w:t>
      </w:r>
      <w:r w:rsidR="009A458D">
        <w:t>impacted</w:t>
      </w:r>
      <w:r w:rsidR="00167C67" w:rsidRPr="00167C67">
        <w:t xml:space="preserve">, however employee expenses and other operating expenses were the key drivers of the overall </w:t>
      </w:r>
      <w:r w:rsidR="00167C67" w:rsidRPr="00F6513A">
        <w:t>increase:</w:t>
      </w:r>
    </w:p>
    <w:p w14:paraId="106DC892" w14:textId="01BD1615" w:rsidR="00464932" w:rsidRPr="00F6513A" w:rsidRDefault="00A061D2" w:rsidP="00464932">
      <w:pPr>
        <w:pStyle w:val="ListParagraph"/>
        <w:numPr>
          <w:ilvl w:val="0"/>
          <w:numId w:val="39"/>
        </w:numPr>
        <w:spacing w:after="160"/>
      </w:pPr>
      <w:r w:rsidRPr="00F6513A">
        <w:t>Spending on salaries, wages and employee benefits increased by $2.1 billion in 2023, up from $20.0 billion in 2022 to a record $22.1 billion.</w:t>
      </w:r>
    </w:p>
    <w:p w14:paraId="42BA090A" w14:textId="5B900B1F" w:rsidR="00ED5E37" w:rsidRPr="00F6513A" w:rsidRDefault="00A061D2" w:rsidP="00F6513A">
      <w:pPr>
        <w:pStyle w:val="ListParagraph"/>
        <w:numPr>
          <w:ilvl w:val="0"/>
          <w:numId w:val="39"/>
        </w:numPr>
        <w:spacing w:after="160"/>
      </w:pPr>
      <w:r w:rsidRPr="00F6513A">
        <w:t>A $1.</w:t>
      </w:r>
      <w:r w:rsidR="00783B54">
        <w:t>6</w:t>
      </w:r>
      <w:r w:rsidRPr="00F6513A">
        <w:t xml:space="preserve"> billion increase in other expen</w:t>
      </w:r>
      <w:r w:rsidR="00003C0B" w:rsidRPr="00F6513A">
        <w:t>ses</w:t>
      </w:r>
      <w:r w:rsidRPr="00F6513A">
        <w:t xml:space="preserve"> was also reported, up from $</w:t>
      </w:r>
      <w:r w:rsidR="00003C0B" w:rsidRPr="00F6513A">
        <w:t>1</w:t>
      </w:r>
      <w:r w:rsidR="00783B54">
        <w:t>2.2</w:t>
      </w:r>
      <w:r w:rsidRPr="00F6513A">
        <w:t xml:space="preserve"> billion in 2022 to $</w:t>
      </w:r>
      <w:r w:rsidR="00003C0B" w:rsidRPr="00F6513A">
        <w:t>13.</w:t>
      </w:r>
      <w:r w:rsidR="00783B54">
        <w:t>8</w:t>
      </w:r>
      <w:r w:rsidRPr="00F6513A">
        <w:t xml:space="preserve"> billion in 2023</w:t>
      </w:r>
      <w:r w:rsidR="00167C67" w:rsidRPr="00F6513A">
        <w:t>.</w:t>
      </w:r>
      <w:r w:rsidR="002D5C93" w:rsidRPr="00F6513A">
        <w:t xml:space="preserve"> This category includes spending on </w:t>
      </w:r>
      <w:r w:rsidR="001970EE">
        <w:t xml:space="preserve">general administrative costs such as professional fees, consultants, and information technology, as well as </w:t>
      </w:r>
      <w:r w:rsidR="00003C0B" w:rsidRPr="00F6513A">
        <w:t xml:space="preserve">scholarships, grants and prizes, advertising and marketing, non-capitalised equipment, </w:t>
      </w:r>
      <w:r w:rsidR="001970EE">
        <w:t>borrowing costs, impairment costs, and</w:t>
      </w:r>
      <w:r w:rsidR="00783B54">
        <w:t xml:space="preserve"> defined benefits expense</w:t>
      </w:r>
      <w:r w:rsidR="00003C0B" w:rsidRPr="00F6513A">
        <w:t>.</w:t>
      </w:r>
      <w:r w:rsidR="00ED5E37" w:rsidRPr="00F6513A">
        <w:br w:type="page"/>
      </w:r>
    </w:p>
    <w:p w14:paraId="7512BF9D" w14:textId="76594C19" w:rsidR="00E10A77" w:rsidRPr="00D32BFB" w:rsidRDefault="00E10A77" w:rsidP="0089445F">
      <w:pPr>
        <w:pStyle w:val="Heading6"/>
        <w:rPr>
          <w:rStyle w:val="Strong"/>
          <w:b/>
          <w:bCs w:val="0"/>
          <w:vertAlign w:val="superscript"/>
        </w:rPr>
      </w:pPr>
      <w:r w:rsidRPr="00D32BFB">
        <w:rPr>
          <w:rStyle w:val="Strong"/>
          <w:b/>
          <w:bCs w:val="0"/>
        </w:rPr>
        <w:lastRenderedPageBreak/>
        <w:t>Table 1: Net result and net margin by university</w:t>
      </w:r>
    </w:p>
    <w:tbl>
      <w:tblPr>
        <w:tblW w:w="5000" w:type="pct"/>
        <w:tblLayout w:type="fixed"/>
        <w:tblLook w:val="04A0" w:firstRow="1" w:lastRow="0" w:firstColumn="1" w:lastColumn="0" w:noHBand="0" w:noVBand="1"/>
      </w:tblPr>
      <w:tblGrid>
        <w:gridCol w:w="4530"/>
        <w:gridCol w:w="1122"/>
        <w:gridCol w:w="1122"/>
        <w:gridCol w:w="1122"/>
        <w:gridCol w:w="1120"/>
      </w:tblGrid>
      <w:tr w:rsidR="00E10A77" w:rsidRPr="00043B5B" w14:paraId="2265B853" w14:textId="77777777" w:rsidTr="00E10A77">
        <w:trPr>
          <w:trHeight w:val="260"/>
        </w:trPr>
        <w:tc>
          <w:tcPr>
            <w:tcW w:w="2512" w:type="pct"/>
            <w:vMerge w:val="restart"/>
            <w:tcBorders>
              <w:top w:val="single" w:sz="4" w:space="0" w:color="auto"/>
              <w:left w:val="single" w:sz="4" w:space="0" w:color="auto"/>
              <w:bottom w:val="single" w:sz="4" w:space="0" w:color="auto"/>
              <w:right w:val="single" w:sz="4" w:space="0" w:color="auto"/>
            </w:tcBorders>
            <w:shd w:val="clear" w:color="auto" w:fill="004C6C" w:themeFill="background2"/>
            <w:noWrap/>
            <w:vAlign w:val="bottom"/>
            <w:hideMark/>
          </w:tcPr>
          <w:p w14:paraId="38B519F8" w14:textId="77777777" w:rsidR="00E10A77" w:rsidRPr="00D32BFB" w:rsidRDefault="00E10A77" w:rsidP="006C0B77">
            <w:pPr>
              <w:spacing w:after="0" w:line="240" w:lineRule="auto"/>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U</w:t>
            </w:r>
            <w:r w:rsidRPr="00D32BFB">
              <w:rPr>
                <w:rFonts w:ascii="Calibri" w:eastAsia="Times New Roman" w:hAnsi="Calibri" w:cs="Calibri"/>
                <w:b/>
                <w:color w:val="FFFFFF"/>
                <w:sz w:val="20"/>
                <w:szCs w:val="20"/>
                <w:lang w:eastAsia="en-AU"/>
              </w:rPr>
              <w:t xml:space="preserve">niversity </w:t>
            </w:r>
          </w:p>
        </w:tc>
        <w:tc>
          <w:tcPr>
            <w:tcW w:w="1244" w:type="pct"/>
            <w:gridSpan w:val="2"/>
            <w:tcBorders>
              <w:top w:val="single" w:sz="4" w:space="0" w:color="auto"/>
              <w:left w:val="nil"/>
              <w:bottom w:val="single" w:sz="4" w:space="0" w:color="auto"/>
              <w:right w:val="single" w:sz="4" w:space="0" w:color="000000"/>
            </w:tcBorders>
            <w:shd w:val="clear" w:color="auto" w:fill="004C6C" w:themeFill="background2"/>
            <w:vAlign w:val="bottom"/>
            <w:hideMark/>
          </w:tcPr>
          <w:p w14:paraId="16B20A2D" w14:textId="543E9F63"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Net Result ($'000)</w:t>
            </w:r>
          </w:p>
        </w:tc>
        <w:tc>
          <w:tcPr>
            <w:tcW w:w="622" w:type="pct"/>
            <w:tcBorders>
              <w:top w:val="single" w:sz="4" w:space="0" w:color="auto"/>
              <w:left w:val="nil"/>
              <w:bottom w:val="single" w:sz="4" w:space="0" w:color="auto"/>
              <w:right w:val="single" w:sz="4" w:space="0" w:color="auto"/>
            </w:tcBorders>
            <w:shd w:val="clear" w:color="auto" w:fill="004C6C" w:themeFill="background2"/>
            <w:vAlign w:val="bottom"/>
            <w:hideMark/>
          </w:tcPr>
          <w:p w14:paraId="473D13F9"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Increase / Decrease</w:t>
            </w:r>
          </w:p>
        </w:tc>
        <w:tc>
          <w:tcPr>
            <w:tcW w:w="621" w:type="pct"/>
            <w:tcBorders>
              <w:top w:val="single" w:sz="4" w:space="0" w:color="auto"/>
              <w:left w:val="nil"/>
              <w:bottom w:val="single" w:sz="4" w:space="0" w:color="auto"/>
              <w:right w:val="single" w:sz="4" w:space="0" w:color="auto"/>
            </w:tcBorders>
            <w:shd w:val="clear" w:color="auto" w:fill="004C6C" w:themeFill="background2"/>
            <w:vAlign w:val="bottom"/>
          </w:tcPr>
          <w:p w14:paraId="0D341712" w14:textId="505A993D" w:rsidR="00E10A77" w:rsidRPr="00D32BFB" w:rsidRDefault="00FF0C39"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202</w:t>
            </w:r>
            <w:r w:rsidR="00EB430C">
              <w:rPr>
                <w:rFonts w:ascii="Calibri" w:eastAsia="Times New Roman" w:hAnsi="Calibri" w:cs="Calibri"/>
                <w:b/>
                <w:bCs/>
                <w:color w:val="FFFFFF"/>
                <w:sz w:val="20"/>
                <w:szCs w:val="20"/>
                <w:lang w:eastAsia="en-AU"/>
              </w:rPr>
              <w:t>3</w:t>
            </w:r>
            <w:r w:rsidRPr="00D32BFB">
              <w:rPr>
                <w:rFonts w:ascii="Calibri" w:eastAsia="Times New Roman" w:hAnsi="Calibri" w:cs="Calibri"/>
                <w:b/>
                <w:bCs/>
                <w:color w:val="FFFFFF"/>
                <w:sz w:val="20"/>
                <w:szCs w:val="20"/>
                <w:lang w:eastAsia="en-AU"/>
              </w:rPr>
              <w:t xml:space="preserve"> </w:t>
            </w:r>
            <w:r w:rsidR="00E10A77" w:rsidRPr="00D32BFB">
              <w:rPr>
                <w:rFonts w:ascii="Calibri" w:eastAsia="Times New Roman" w:hAnsi="Calibri" w:cs="Calibri"/>
                <w:b/>
                <w:bCs/>
                <w:color w:val="FFFFFF"/>
                <w:sz w:val="20"/>
                <w:szCs w:val="20"/>
                <w:lang w:eastAsia="en-AU"/>
              </w:rPr>
              <w:t>Net Margin</w:t>
            </w:r>
          </w:p>
        </w:tc>
      </w:tr>
      <w:tr w:rsidR="00E10A77" w:rsidRPr="00E93956" w14:paraId="66430FB8" w14:textId="77777777" w:rsidTr="00E10A77">
        <w:trPr>
          <w:trHeight w:val="260"/>
        </w:trPr>
        <w:tc>
          <w:tcPr>
            <w:tcW w:w="2512" w:type="pct"/>
            <w:vMerge/>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335D1721" w14:textId="77777777" w:rsidR="00E10A77" w:rsidRPr="00D32BFB" w:rsidRDefault="00E10A77" w:rsidP="006C0B77">
            <w:pPr>
              <w:spacing w:after="0" w:line="240" w:lineRule="auto"/>
              <w:rPr>
                <w:rFonts w:ascii="Calibri" w:eastAsia="Times New Roman" w:hAnsi="Calibri" w:cs="Calibri"/>
                <w:b/>
                <w:bCs/>
                <w:color w:val="FFFFFF"/>
                <w:sz w:val="20"/>
                <w:szCs w:val="20"/>
                <w:lang w:eastAsia="en-AU"/>
              </w:rPr>
            </w:pPr>
          </w:p>
        </w:tc>
        <w:tc>
          <w:tcPr>
            <w:tcW w:w="622" w:type="pct"/>
            <w:tcBorders>
              <w:top w:val="nil"/>
              <w:left w:val="nil"/>
              <w:bottom w:val="single" w:sz="4" w:space="0" w:color="auto"/>
              <w:right w:val="single" w:sz="4" w:space="0" w:color="auto"/>
            </w:tcBorders>
            <w:shd w:val="clear" w:color="auto" w:fill="004C6C" w:themeFill="background2"/>
            <w:noWrap/>
            <w:vAlign w:val="bottom"/>
            <w:hideMark/>
          </w:tcPr>
          <w:p w14:paraId="154D11B3" w14:textId="4306D29F"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202</w:t>
            </w:r>
            <w:r w:rsidR="00EB430C">
              <w:rPr>
                <w:rFonts w:ascii="Calibri" w:eastAsia="Times New Roman" w:hAnsi="Calibri" w:cs="Calibri"/>
                <w:b/>
                <w:bCs/>
                <w:color w:val="FFFFFF"/>
                <w:sz w:val="20"/>
                <w:szCs w:val="20"/>
                <w:lang w:eastAsia="en-AU"/>
              </w:rPr>
              <w:t>3</w:t>
            </w:r>
          </w:p>
        </w:tc>
        <w:tc>
          <w:tcPr>
            <w:tcW w:w="622" w:type="pct"/>
            <w:tcBorders>
              <w:top w:val="nil"/>
              <w:left w:val="nil"/>
              <w:bottom w:val="single" w:sz="4" w:space="0" w:color="auto"/>
              <w:right w:val="single" w:sz="4" w:space="0" w:color="auto"/>
            </w:tcBorders>
            <w:shd w:val="clear" w:color="auto" w:fill="004C6C" w:themeFill="background2"/>
            <w:noWrap/>
            <w:vAlign w:val="bottom"/>
            <w:hideMark/>
          </w:tcPr>
          <w:p w14:paraId="48ACC928" w14:textId="7A1F87FF"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202</w:t>
            </w:r>
            <w:r w:rsidR="00EB430C">
              <w:rPr>
                <w:rFonts w:ascii="Calibri" w:eastAsia="Times New Roman" w:hAnsi="Calibri" w:cs="Calibri"/>
                <w:b/>
                <w:bCs/>
                <w:color w:val="FFFFFF"/>
                <w:sz w:val="20"/>
                <w:szCs w:val="20"/>
                <w:lang w:eastAsia="en-AU"/>
              </w:rPr>
              <w:t>2</w:t>
            </w:r>
          </w:p>
        </w:tc>
        <w:tc>
          <w:tcPr>
            <w:tcW w:w="622" w:type="pct"/>
            <w:tcBorders>
              <w:top w:val="nil"/>
              <w:left w:val="nil"/>
              <w:bottom w:val="single" w:sz="4" w:space="0" w:color="auto"/>
              <w:right w:val="single" w:sz="4" w:space="0" w:color="auto"/>
            </w:tcBorders>
            <w:shd w:val="clear" w:color="auto" w:fill="004C6C" w:themeFill="background2"/>
            <w:vAlign w:val="bottom"/>
            <w:hideMark/>
          </w:tcPr>
          <w:p w14:paraId="27ADE829"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621" w:type="pct"/>
            <w:tcBorders>
              <w:top w:val="nil"/>
              <w:left w:val="nil"/>
              <w:bottom w:val="single" w:sz="4" w:space="0" w:color="auto"/>
              <w:right w:val="single" w:sz="4" w:space="0" w:color="auto"/>
            </w:tcBorders>
            <w:shd w:val="clear" w:color="auto" w:fill="004C6C" w:themeFill="background2"/>
            <w:vAlign w:val="bottom"/>
            <w:hideMark/>
          </w:tcPr>
          <w:p w14:paraId="55B0448F"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w:t>
            </w:r>
          </w:p>
        </w:tc>
      </w:tr>
      <w:tr w:rsidR="00EB430C" w:rsidRPr="00E93956" w14:paraId="1D003BD7"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5BEE3A8" w14:textId="0B50BF7E"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Sydney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7306764" w14:textId="33CEF747"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351,769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6FB4C7C" w14:textId="25F1229B"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298,497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1B1ECEA" w14:textId="2EC9568C"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53,272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61DAABDE" w14:textId="7D0A0236"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sz w:val="20"/>
                <w:szCs w:val="20"/>
              </w:rPr>
              <w:t>10.3%</w:t>
            </w:r>
          </w:p>
        </w:tc>
      </w:tr>
      <w:tr w:rsidR="00EB430C" w:rsidRPr="00E93956" w14:paraId="2CF7160E"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2D0478EE" w14:textId="0403CB28"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Edith Cowan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FA0036D" w14:textId="2095629F"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194,180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8B03294" w14:textId="1DF5443B"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35,460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A914AA1" w14:textId="6547566F"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158,720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E8EDC9" w14:textId="7CCBD9B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28.7%</w:t>
            </w:r>
          </w:p>
        </w:tc>
      </w:tr>
      <w:tr w:rsidR="00EB430C" w:rsidRPr="00E93956" w14:paraId="524F6F53"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E15EF5B" w14:textId="336BD87C"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Melbourne</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A8C287C" w14:textId="4B5CDDE5"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156,300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DFA0040" w14:textId="44B973A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-202,632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AE883F8" w14:textId="1996C93A"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358,932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51BB083" w14:textId="48B27DB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4.8%</w:t>
            </w:r>
          </w:p>
        </w:tc>
      </w:tr>
      <w:tr w:rsidR="00EB430C" w:rsidRPr="00E93956" w14:paraId="353AEE05"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C6EA5E8" w14:textId="028D2EBF"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Australian National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BDF9E8E" w14:textId="7D470C61"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146,595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CD28F4A" w14:textId="29B2F1E2"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-139,568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4D004B1" w14:textId="50F63342"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286,163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B50C8FB" w14:textId="101941B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9.2%</w:t>
            </w:r>
          </w:p>
        </w:tc>
      </w:tr>
      <w:tr w:rsidR="00EB430C" w:rsidRPr="00E93956" w14:paraId="5EEBEAB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0CA0F6F" w14:textId="33FBFCE7"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Queensland</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2BED217" w14:textId="6521EC74"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117,674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D8EA21B" w14:textId="6179035E"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-318,589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3EDD945" w14:textId="7A831632"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436,263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6B528D3" w14:textId="11F76F55"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4.8%</w:t>
            </w:r>
          </w:p>
        </w:tc>
      </w:tr>
      <w:tr w:rsidR="00EB430C" w:rsidRPr="00E93956" w14:paraId="7225079A"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B973915" w14:textId="5C76CA66"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Western Australia</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37597A0" w14:textId="543F7F93"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88,094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146830F" w14:textId="230E000C"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19,359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91E9730" w14:textId="6B24976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68,735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59AE3E2" w14:textId="75D27DAC"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8.1%</w:t>
            </w:r>
          </w:p>
        </w:tc>
      </w:tr>
      <w:tr w:rsidR="00EB430C" w:rsidRPr="00E93956" w14:paraId="13E0341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1A1891F" w14:textId="272C3588"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Adelaide</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D162C92" w14:textId="660E7A98"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39,069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6B8D3B9" w14:textId="54821167"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7,731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B9F55A0" w14:textId="1CE283B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31,338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AA48070" w14:textId="38E4FC5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3.5%</w:t>
            </w:r>
          </w:p>
        </w:tc>
      </w:tr>
      <w:tr w:rsidR="00EB430C" w:rsidRPr="00E93956" w14:paraId="0644FE7B"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B3A0888" w14:textId="43B29503"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Torrens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C65FE29" w14:textId="350B7F63"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35,600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FD41994" w14:textId="1522D701"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33,640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6E5FC76" w14:textId="749EF343"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1,960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50130F76" w14:textId="10E7507F"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sz w:val="20"/>
                <w:szCs w:val="20"/>
              </w:rPr>
              <w:t>11.1%</w:t>
            </w:r>
          </w:p>
        </w:tc>
      </w:tr>
      <w:tr w:rsidR="00EB430C" w:rsidRPr="00E93956" w14:paraId="0E61DC8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FE37BA5" w14:textId="68854769"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Flinders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50B1CF0" w14:textId="5C11725E"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25,662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66225A3" w14:textId="245D5738"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17,411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E4AC132" w14:textId="2BE7B55E"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8,251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54E272FB" w14:textId="7325AF90"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4.0%</w:t>
            </w:r>
          </w:p>
        </w:tc>
      </w:tr>
      <w:tr w:rsidR="00EB430C" w:rsidRPr="00E93956" w14:paraId="7177D89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5B55FC9C" w14:textId="07CD0E0B"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Swinburne University of Technology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CC8D726" w14:textId="60A070AB"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22,536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FF2848E" w14:textId="060F4490" w:rsidR="00EB430C" w:rsidRPr="00D32BFB" w:rsidRDefault="00EB430C" w:rsidP="00EB430C">
            <w:pPr>
              <w:spacing w:after="0" w:line="240" w:lineRule="auto"/>
              <w:jc w:val="right"/>
              <w:rPr>
                <w:rFonts w:eastAsia="Times New Roman" w:cs="Calibri"/>
                <w:color w:val="000000"/>
                <w:sz w:val="20"/>
                <w:szCs w:val="20"/>
                <w:lang w:eastAsia="en-AU"/>
              </w:rPr>
            </w:pPr>
            <w:r w:rsidRPr="00EB430C">
              <w:rPr>
                <w:rFonts w:ascii="Calibri" w:hAnsi="Calibri" w:cs="Calibri"/>
                <w:color w:val="FF0000"/>
                <w:sz w:val="20"/>
                <w:szCs w:val="20"/>
              </w:rPr>
              <w:t xml:space="preserve">-40,660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5D3F474" w14:textId="12C60622"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63,196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F56012D" w14:textId="51E5F435"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2.7%</w:t>
            </w:r>
          </w:p>
        </w:tc>
      </w:tr>
      <w:tr w:rsidR="00EB430C" w:rsidRPr="00E93956" w14:paraId="30BA3EEF"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DBBF584" w14:textId="7DD67562"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the Sunshine Coast</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EC67D54" w14:textId="27623287"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20,858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FC2D815" w14:textId="7D393DAE"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34,940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0E86BED" w14:textId="180037D8" w:rsidR="00EB430C" w:rsidRPr="00D32BFB"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-14,082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F815C2E" w14:textId="5B6B2838"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sz w:val="20"/>
                <w:szCs w:val="20"/>
              </w:rPr>
              <w:t>5.7%</w:t>
            </w:r>
          </w:p>
        </w:tc>
      </w:tr>
      <w:tr w:rsidR="00EB430C" w:rsidRPr="00E93956" w14:paraId="712D3A3A"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740D11B7" w14:textId="38F2C283"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Murdoch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46D90D8" w14:textId="541CF115"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9,060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6A5A6F94" w14:textId="75599621" w:rsidR="00EB430C" w:rsidRPr="00D32BFB" w:rsidRDefault="00EB430C" w:rsidP="00EB430C">
            <w:pPr>
              <w:spacing w:after="0" w:line="240" w:lineRule="auto"/>
              <w:jc w:val="right"/>
              <w:rPr>
                <w:rFonts w:eastAsia="Times New Roman" w:cs="Calibri"/>
                <w:color w:val="000000"/>
                <w:sz w:val="20"/>
                <w:szCs w:val="20"/>
                <w:lang w:eastAsia="en-AU"/>
              </w:rPr>
            </w:pPr>
            <w:r w:rsidRPr="00EB430C">
              <w:rPr>
                <w:rFonts w:ascii="Calibri" w:hAnsi="Calibri" w:cs="Calibri"/>
                <w:color w:val="FF0000"/>
                <w:sz w:val="20"/>
                <w:szCs w:val="20"/>
              </w:rPr>
              <w:t xml:space="preserve">-20,768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A777B0D" w14:textId="08E17896"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29,828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4B865FB" w14:textId="4CDBCB10"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2.0%</w:t>
            </w:r>
          </w:p>
        </w:tc>
      </w:tr>
      <w:tr w:rsidR="00EB430C" w:rsidRPr="00E93956" w14:paraId="5B7E5E03"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F1FC06C" w14:textId="270A03F9"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Bond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025EB18" w14:textId="46473528"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3,973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9B8B4F0" w14:textId="34CF273C"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9,082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E021E05" w14:textId="0A20EB43"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-5,109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46A6EB" w14:textId="2BEE213D"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sz w:val="20"/>
                <w:szCs w:val="20"/>
              </w:rPr>
              <w:t>1.7%</w:t>
            </w:r>
          </w:p>
        </w:tc>
      </w:tr>
      <w:tr w:rsidR="00EB430C" w:rsidRPr="00E93956" w14:paraId="1648320D"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9E96E5C" w14:textId="697DE7F7"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La Trobe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B3B8E06" w14:textId="1E38E186"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3,051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6C4446A" w14:textId="07308FA6"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37,672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2814DE1" w14:textId="6D038F1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-34,621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595937E" w14:textId="3C9589F9"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0.4%</w:t>
            </w:r>
          </w:p>
        </w:tc>
      </w:tr>
      <w:tr w:rsidR="00EB430C" w:rsidRPr="00E93956" w14:paraId="17419966"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AB4D810" w14:textId="4FDAF1D8"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Batchelor Institute of Indigenous Tertiary Education</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6D1D89F" w14:textId="1D7CC3E3"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2,665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B701A70" w14:textId="56739BD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1,509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6B309E4" w14:textId="2C2DEEFB"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1,156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D8F2315" w14:textId="7935DA4A"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sz w:val="20"/>
                <w:szCs w:val="20"/>
              </w:rPr>
              <w:t>7.2%</w:t>
            </w:r>
          </w:p>
        </w:tc>
      </w:tr>
      <w:tr w:rsidR="00EB430C" w:rsidRPr="00E93956" w14:paraId="36641E09"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AA69D72" w14:textId="2204312F"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Notre Dame Australia</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4F2EB83" w14:textId="15DFABEC"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1,160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641FD46" w14:textId="40D33A07"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13,205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C9E237F" w14:textId="0265E85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-12,045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69C49A66" w14:textId="1A8F74F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sz w:val="20"/>
                <w:szCs w:val="20"/>
              </w:rPr>
              <w:t>0.5%</w:t>
            </w:r>
          </w:p>
        </w:tc>
      </w:tr>
      <w:tr w:rsidR="00EB430C" w:rsidRPr="00E93956" w14:paraId="4B6FB574"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9E11716" w14:textId="0C866739"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Divinity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B3F7C57" w14:textId="1B32B121"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-1,037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D91C4D0" w14:textId="02C1F40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-1,330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C3823AB" w14:textId="65BBEE2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293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0BD5B99" w14:textId="75AD7703"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color w:val="FF0000"/>
                <w:sz w:val="20"/>
                <w:szCs w:val="20"/>
              </w:rPr>
              <w:t>-7.8%</w:t>
            </w:r>
          </w:p>
        </w:tc>
      </w:tr>
      <w:tr w:rsidR="00EB430C" w:rsidRPr="00E93956" w14:paraId="526874FB"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790F7D0" w14:textId="1ABB9B30"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Newcastle</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F7FA3C8" w14:textId="2A3D45E6"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-4,314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EBAF27E" w14:textId="0BAF4AA5"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-37,877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4F5A682" w14:textId="5ECF575C"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33,563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F01C829" w14:textId="53573FD5"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color w:val="FF0000"/>
                <w:sz w:val="20"/>
                <w:szCs w:val="20"/>
              </w:rPr>
              <w:t>-0.5%</w:t>
            </w:r>
          </w:p>
        </w:tc>
      </w:tr>
      <w:tr w:rsidR="00EB430C" w:rsidRPr="00E93956" w14:paraId="715DAA0B"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0C5CA1D8" w14:textId="5538BF4B"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Avondale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8B99B15" w14:textId="7D0F962E"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-4,478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637F56A2" w14:textId="5A015F2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-526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72B752C" w14:textId="01ACC33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-3,952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93AD72D" w14:textId="5BCA29F0"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-14.4%</w:t>
            </w:r>
          </w:p>
        </w:tc>
      </w:tr>
      <w:tr w:rsidR="00EB430C" w:rsidRPr="00E93956" w14:paraId="0F9CF51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15159E3" w14:textId="75B7B9EC"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Southern Cross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8F236E7" w14:textId="24648C7F"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-4,493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F3102CD" w14:textId="406E9E0E"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-6,761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64545DE" w14:textId="6EB26895"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2,268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A9635DC" w14:textId="4D6312BD"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color w:val="FF0000"/>
                <w:sz w:val="20"/>
                <w:szCs w:val="20"/>
              </w:rPr>
              <w:t>-1.4%</w:t>
            </w:r>
          </w:p>
        </w:tc>
      </w:tr>
      <w:tr w:rsidR="00EB430C" w:rsidRPr="00E93956" w14:paraId="109E102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37347BA" w14:textId="6CD2CB2D"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Central Queensland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8937247" w14:textId="6DC97A7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-6,072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B93E11D" w14:textId="656C815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-22,833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32FEEC6" w14:textId="0EAB03E2"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16,761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0E80894" w14:textId="51C0B2B1"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color w:val="FF0000"/>
                <w:sz w:val="20"/>
                <w:szCs w:val="20"/>
              </w:rPr>
              <w:t>-1.3%</w:t>
            </w:r>
          </w:p>
        </w:tc>
      </w:tr>
      <w:tr w:rsidR="00EB430C" w:rsidRPr="00E93956" w14:paraId="0F086454"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1ADD66EE" w14:textId="689415FA"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Tasmania</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AC280FE" w14:textId="141C0452"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-6,689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2DB6385" w14:textId="11DE71DE"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37,644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585B796" w14:textId="1DC30E5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-44,333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5E0E044" w14:textId="5F09FE63"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-0.9%</w:t>
            </w:r>
          </w:p>
        </w:tc>
      </w:tr>
      <w:tr w:rsidR="00EB430C" w:rsidRPr="00E93956" w14:paraId="30B3130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FFD92E7" w14:textId="1D71138E"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Monash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DF97E16" w14:textId="1607DE2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-9,031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766E77B" w14:textId="46E2D836" w:rsidR="00EB430C" w:rsidRPr="00D32BFB" w:rsidRDefault="00EB430C" w:rsidP="00EB430C">
            <w:pPr>
              <w:spacing w:after="0" w:line="240" w:lineRule="auto"/>
              <w:jc w:val="right"/>
              <w:rPr>
                <w:rFonts w:eastAsia="Times New Roman" w:cs="Calibri"/>
                <w:color w:val="000000"/>
                <w:sz w:val="20"/>
                <w:szCs w:val="20"/>
                <w:lang w:eastAsia="en-AU"/>
              </w:rPr>
            </w:pPr>
            <w:r w:rsidRPr="00EB430C">
              <w:rPr>
                <w:rFonts w:ascii="Calibri" w:hAnsi="Calibri" w:cs="Calibri"/>
                <w:color w:val="FF0000"/>
                <w:sz w:val="20"/>
                <w:szCs w:val="20"/>
              </w:rPr>
              <w:t xml:space="preserve">-113,593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1CB638D" w14:textId="078D5920"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104,562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B6FA74" w14:textId="54A0DB5E"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-0.3%</w:t>
            </w:r>
          </w:p>
        </w:tc>
      </w:tr>
      <w:tr w:rsidR="00EB430C" w:rsidRPr="00E93956" w14:paraId="54C70A25"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0ECBF30" w14:textId="3A0C8E93"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Canberra</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56F8C9F" w14:textId="0EC666AF"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-11,127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3729716" w14:textId="6C5E13C6" w:rsidR="00EB430C" w:rsidRPr="00D32BFB" w:rsidRDefault="00EB430C" w:rsidP="00EB430C">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7,104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E1B1369" w14:textId="702988B7"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-18,231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FC49CFB" w14:textId="046EC301"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-2.9%</w:t>
            </w:r>
          </w:p>
        </w:tc>
      </w:tr>
      <w:tr w:rsidR="00EB430C" w:rsidRPr="00E93956" w14:paraId="1E3B70C2"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72DD19C9" w14:textId="283BADD8"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Curtin University of Technology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73326E3" w14:textId="1488FEF4"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-12,991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0679779" w14:textId="66A9950E"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-36,120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12AE1F6" w14:textId="12C81FB1"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23,129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52B6E82" w14:textId="22748878"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-1.2%</w:t>
            </w:r>
          </w:p>
        </w:tc>
      </w:tr>
      <w:tr w:rsidR="00EB430C" w:rsidRPr="00E93956" w14:paraId="3F024069"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9617BF2" w14:textId="11CAF711"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South Australia</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BDCD8F7" w14:textId="32750332"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-16,916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27C64B5" w14:textId="4E085B99"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-7,379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9303996" w14:textId="31AECC8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-9,537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A1E146D" w14:textId="19E94FFB"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-2.4%</w:t>
            </w:r>
          </w:p>
        </w:tc>
      </w:tr>
      <w:tr w:rsidR="00EB430C" w:rsidRPr="00E93956" w14:paraId="1FD8250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546DD96E" w14:textId="26AE0A1B"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Victoria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53B3046" w14:textId="7DC670F1"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-18,140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AB7A2B5" w14:textId="40E7C42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-73,190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1E9B2DA" w14:textId="165D476B"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55,050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D7F1868" w14:textId="13898447"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-3.4%</w:t>
            </w:r>
          </w:p>
        </w:tc>
      </w:tr>
      <w:tr w:rsidR="00EB430C" w:rsidRPr="00E93956" w14:paraId="615A298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21034F6" w14:textId="1DA4584F"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Charles Darwin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2CC918B" w14:textId="44DC913C"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-20,603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CF8429B" w14:textId="5CBC9006"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23,285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B202E98" w14:textId="48EE1F3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-43,888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CA8588E" w14:textId="7230E73B"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-6.0%</w:t>
            </w:r>
          </w:p>
        </w:tc>
      </w:tr>
      <w:tr w:rsidR="00EB430C" w:rsidRPr="00E93956" w14:paraId="64DAC71F"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5AF8409D" w14:textId="5923C99A"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Queensland University of Technology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0D3AAB2" w14:textId="4CFA0CDC"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-20,683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348121B" w14:textId="2FCC2DB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-130,421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EEB6C6E" w14:textId="470183A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109,738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8AB7600" w14:textId="20240817"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-1.7%</w:t>
            </w:r>
          </w:p>
        </w:tc>
      </w:tr>
      <w:tr w:rsidR="00EB430C" w:rsidRPr="00E93956" w14:paraId="6E300EA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815EA78" w14:textId="27AE4888"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Southern Queensland</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BD0E140" w14:textId="642143A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-25,009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575E1E0E" w14:textId="6B2C3022"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-15,543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0B3D5B4" w14:textId="193F6E7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-9,466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E1A3355" w14:textId="317E2E57"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-7.0%</w:t>
            </w:r>
          </w:p>
        </w:tc>
      </w:tr>
      <w:tr w:rsidR="00EB430C" w:rsidRPr="00E93956" w14:paraId="7A9967AF"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4AF2783" w14:textId="50C48849"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Australian Catholic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E8B9666" w14:textId="1EAD39B4"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-35,722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C157750" w14:textId="768B786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-7,997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E8EEAA3" w14:textId="5F978C64"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-27,725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BCC605B" w14:textId="53F1CB58" w:rsidR="00EB430C" w:rsidRPr="00D32BFB" w:rsidRDefault="00EB430C" w:rsidP="00EB430C">
            <w:pPr>
              <w:spacing w:after="0" w:line="240" w:lineRule="auto"/>
              <w:jc w:val="right"/>
              <w:rPr>
                <w:rFonts w:eastAsia="Times New Roman" w:cs="Calibri"/>
                <w:sz w:val="20"/>
                <w:szCs w:val="20"/>
                <w:lang w:eastAsia="en-AU"/>
              </w:rPr>
            </w:pPr>
            <w:r>
              <w:rPr>
                <w:rFonts w:ascii="Calibri" w:hAnsi="Calibri" w:cs="Calibri"/>
                <w:color w:val="FF0000"/>
                <w:sz w:val="20"/>
                <w:szCs w:val="20"/>
              </w:rPr>
              <w:t>-6.2%</w:t>
            </w:r>
          </w:p>
        </w:tc>
      </w:tr>
      <w:tr w:rsidR="00EB430C" w:rsidRPr="00E93956" w14:paraId="14B3BFB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A2BA29A" w14:textId="7E12C1D6"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Wollongong</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2709DBDE" w14:textId="30A32AE6"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-39,089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0449908" w14:textId="7EB192A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47,100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2AFA964" w14:textId="7D539CA7"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-86,189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80220DE" w14:textId="0BADB546"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-5.6%</w:t>
            </w:r>
          </w:p>
        </w:tc>
      </w:tr>
      <w:tr w:rsidR="00EB430C" w:rsidRPr="00E93956" w14:paraId="006334EE"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ECD9103" w14:textId="220FE29F"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James Cook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F410445" w14:textId="5675BD56"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-39,740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C4D9F49" w14:textId="7DED6255"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-48,953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8E493A8" w14:textId="16E24BC5"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9,213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401493B" w14:textId="028185D5"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-7.7%</w:t>
            </w:r>
          </w:p>
        </w:tc>
      </w:tr>
      <w:tr w:rsidR="00EB430C" w:rsidRPr="00E93956" w14:paraId="0F539354"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tcPr>
          <w:p w14:paraId="78F22F6D" w14:textId="3DF7F7DF"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Deakin University</w:t>
            </w:r>
          </w:p>
        </w:tc>
        <w:tc>
          <w:tcPr>
            <w:tcW w:w="622" w:type="pct"/>
            <w:tcBorders>
              <w:top w:val="single" w:sz="4" w:space="0" w:color="auto"/>
              <w:left w:val="single" w:sz="4" w:space="0" w:color="auto"/>
              <w:bottom w:val="single" w:sz="4" w:space="0" w:color="auto"/>
              <w:right w:val="single" w:sz="4" w:space="0" w:color="auto"/>
            </w:tcBorders>
            <w:noWrap/>
            <w:vAlign w:val="bottom"/>
          </w:tcPr>
          <w:p w14:paraId="7E1265CD" w14:textId="6CED0864"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-49,749 </w:t>
            </w:r>
          </w:p>
        </w:tc>
        <w:tc>
          <w:tcPr>
            <w:tcW w:w="622" w:type="pct"/>
            <w:tcBorders>
              <w:top w:val="single" w:sz="4" w:space="0" w:color="auto"/>
              <w:left w:val="single" w:sz="4" w:space="0" w:color="auto"/>
              <w:bottom w:val="single" w:sz="4" w:space="0" w:color="auto"/>
              <w:right w:val="single" w:sz="4" w:space="0" w:color="auto"/>
            </w:tcBorders>
            <w:noWrap/>
            <w:vAlign w:val="bottom"/>
          </w:tcPr>
          <w:p w14:paraId="22D865C8" w14:textId="5C67E82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-67,539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62C56A51" w14:textId="194100F3"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17,790 </w:t>
            </w:r>
          </w:p>
        </w:tc>
        <w:tc>
          <w:tcPr>
            <w:tcW w:w="621" w:type="pct"/>
            <w:tcBorders>
              <w:top w:val="single" w:sz="4" w:space="0" w:color="auto"/>
              <w:left w:val="single" w:sz="4" w:space="0" w:color="auto"/>
              <w:bottom w:val="single" w:sz="4" w:space="0" w:color="auto"/>
              <w:right w:val="single" w:sz="4" w:space="0" w:color="auto"/>
            </w:tcBorders>
            <w:noWrap/>
            <w:vAlign w:val="bottom"/>
          </w:tcPr>
          <w:p w14:paraId="4A8C9C43" w14:textId="6DCE1E46"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-3.9%</w:t>
            </w:r>
          </w:p>
        </w:tc>
      </w:tr>
      <w:tr w:rsidR="00EB430C" w:rsidRPr="00E93956" w14:paraId="5171E31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tcPr>
          <w:p w14:paraId="1447C0F4" w14:textId="176C65E2"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New England</w:t>
            </w:r>
          </w:p>
        </w:tc>
        <w:tc>
          <w:tcPr>
            <w:tcW w:w="622" w:type="pct"/>
            <w:tcBorders>
              <w:top w:val="single" w:sz="4" w:space="0" w:color="auto"/>
              <w:left w:val="single" w:sz="4" w:space="0" w:color="auto"/>
              <w:bottom w:val="single" w:sz="4" w:space="0" w:color="auto"/>
              <w:right w:val="single" w:sz="4" w:space="0" w:color="auto"/>
            </w:tcBorders>
            <w:noWrap/>
            <w:vAlign w:val="bottom"/>
          </w:tcPr>
          <w:p w14:paraId="1FC21667" w14:textId="348D4BB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-58,957 </w:t>
            </w:r>
          </w:p>
        </w:tc>
        <w:tc>
          <w:tcPr>
            <w:tcW w:w="622" w:type="pct"/>
            <w:tcBorders>
              <w:top w:val="single" w:sz="4" w:space="0" w:color="auto"/>
              <w:left w:val="single" w:sz="4" w:space="0" w:color="auto"/>
              <w:bottom w:val="single" w:sz="4" w:space="0" w:color="auto"/>
              <w:right w:val="single" w:sz="4" w:space="0" w:color="auto"/>
            </w:tcBorders>
            <w:noWrap/>
            <w:vAlign w:val="bottom"/>
          </w:tcPr>
          <w:p w14:paraId="73E22503" w14:textId="2B9EA9A9"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-14,773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45B2DBC0" w14:textId="00DF8DBE"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-44,184 </w:t>
            </w:r>
          </w:p>
        </w:tc>
        <w:tc>
          <w:tcPr>
            <w:tcW w:w="621" w:type="pct"/>
            <w:tcBorders>
              <w:top w:val="single" w:sz="4" w:space="0" w:color="auto"/>
              <w:left w:val="single" w:sz="4" w:space="0" w:color="auto"/>
              <w:bottom w:val="single" w:sz="4" w:space="0" w:color="auto"/>
              <w:right w:val="single" w:sz="4" w:space="0" w:color="auto"/>
            </w:tcBorders>
            <w:noWrap/>
            <w:vAlign w:val="bottom"/>
          </w:tcPr>
          <w:p w14:paraId="79A531BC" w14:textId="1B4D613B"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-16.1%</w:t>
            </w:r>
          </w:p>
        </w:tc>
      </w:tr>
      <w:tr w:rsidR="00EB430C" w:rsidRPr="00E93956" w14:paraId="18EFF791"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tcPr>
          <w:p w14:paraId="1921FBD8" w14:textId="0297D88C"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RMIT University</w:t>
            </w:r>
          </w:p>
        </w:tc>
        <w:tc>
          <w:tcPr>
            <w:tcW w:w="622" w:type="pct"/>
            <w:tcBorders>
              <w:top w:val="single" w:sz="4" w:space="0" w:color="auto"/>
              <w:left w:val="single" w:sz="4" w:space="0" w:color="auto"/>
              <w:bottom w:val="single" w:sz="4" w:space="0" w:color="auto"/>
              <w:right w:val="single" w:sz="4" w:space="0" w:color="auto"/>
            </w:tcBorders>
            <w:noWrap/>
            <w:vAlign w:val="bottom"/>
          </w:tcPr>
          <w:p w14:paraId="47C74511" w14:textId="165B361C"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-59,891 </w:t>
            </w:r>
          </w:p>
        </w:tc>
        <w:tc>
          <w:tcPr>
            <w:tcW w:w="622" w:type="pct"/>
            <w:tcBorders>
              <w:top w:val="single" w:sz="4" w:space="0" w:color="auto"/>
              <w:left w:val="single" w:sz="4" w:space="0" w:color="auto"/>
              <w:bottom w:val="single" w:sz="4" w:space="0" w:color="auto"/>
              <w:right w:val="single" w:sz="4" w:space="0" w:color="auto"/>
            </w:tcBorders>
            <w:noWrap/>
            <w:vAlign w:val="bottom"/>
          </w:tcPr>
          <w:p w14:paraId="42B16E79" w14:textId="443797B1"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-75,784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2BE7F4DF" w14:textId="23C34D63"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15,893 </w:t>
            </w:r>
          </w:p>
        </w:tc>
        <w:tc>
          <w:tcPr>
            <w:tcW w:w="621" w:type="pct"/>
            <w:tcBorders>
              <w:top w:val="single" w:sz="4" w:space="0" w:color="auto"/>
              <w:left w:val="single" w:sz="4" w:space="0" w:color="auto"/>
              <w:bottom w:val="single" w:sz="4" w:space="0" w:color="auto"/>
              <w:right w:val="single" w:sz="4" w:space="0" w:color="auto"/>
            </w:tcBorders>
            <w:noWrap/>
            <w:vAlign w:val="bottom"/>
          </w:tcPr>
          <w:p w14:paraId="7CA9CB7A" w14:textId="167C964D"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-4.4%</w:t>
            </w:r>
          </w:p>
        </w:tc>
      </w:tr>
      <w:tr w:rsidR="00EB430C" w:rsidRPr="00E93956" w14:paraId="7A87493E"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8F92D0C" w14:textId="449EB874"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Griffith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A42081E" w14:textId="181701A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-66,681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723E29CF" w14:textId="45A6158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-69,732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5D6CBE8" w14:textId="0F9534BD"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3,051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2C5957BA" w14:textId="6A14F5D3"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-6.1%</w:t>
            </w:r>
          </w:p>
        </w:tc>
      </w:tr>
      <w:tr w:rsidR="00EB430C" w:rsidRPr="00E93956" w14:paraId="01B996DC"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3311C516" w14:textId="41277E36"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Charles Sturt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BC2B6AE" w14:textId="2321C04D"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-75,822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7E71B50" w14:textId="60DB05E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-59,753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80F8755" w14:textId="4D7EC7D6"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-16,069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6C7955C" w14:textId="13C530D1"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-15.4%</w:t>
            </w:r>
          </w:p>
        </w:tc>
      </w:tr>
      <w:tr w:rsidR="00EB430C" w:rsidRPr="00E93956" w14:paraId="3CAF666A"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tcPr>
          <w:p w14:paraId="36CCE341" w14:textId="0EEE6DC3" w:rsidR="00EB430C" w:rsidRPr="00D32BFB" w:rsidRDefault="00EB430C" w:rsidP="00EB430C">
            <w:pPr>
              <w:spacing w:after="0" w:line="240" w:lineRule="auto"/>
              <w:rPr>
                <w:rFonts w:ascii="Calibri" w:hAnsi="Calibri" w:cs="Calibri"/>
                <w:color w:val="000000"/>
                <w:sz w:val="20"/>
                <w:szCs w:val="20"/>
              </w:rPr>
            </w:pPr>
            <w:r>
              <w:rPr>
                <w:rFonts w:ascii="Calibri" w:hAnsi="Calibri" w:cs="Calibri"/>
                <w:color w:val="000000"/>
                <w:sz w:val="20"/>
                <w:szCs w:val="20"/>
              </w:rPr>
              <w:t>Federation University Australia</w:t>
            </w:r>
          </w:p>
        </w:tc>
        <w:tc>
          <w:tcPr>
            <w:tcW w:w="622" w:type="pct"/>
            <w:tcBorders>
              <w:top w:val="single" w:sz="4" w:space="0" w:color="auto"/>
              <w:left w:val="single" w:sz="4" w:space="0" w:color="auto"/>
              <w:bottom w:val="single" w:sz="4" w:space="0" w:color="auto"/>
              <w:right w:val="single" w:sz="4" w:space="0" w:color="auto"/>
            </w:tcBorders>
            <w:noWrap/>
            <w:vAlign w:val="bottom"/>
          </w:tcPr>
          <w:p w14:paraId="6D370CE0" w14:textId="6BF58F47" w:rsidR="00EB430C" w:rsidRPr="00EB430C" w:rsidRDefault="00EB430C" w:rsidP="00EB430C">
            <w:pPr>
              <w:spacing w:after="0" w:line="240" w:lineRule="auto"/>
              <w:jc w:val="right"/>
              <w:rPr>
                <w:rFonts w:ascii="Calibri" w:hAnsi="Calibri" w:cs="Calibri"/>
                <w:color w:val="FF0000"/>
                <w:sz w:val="20"/>
                <w:szCs w:val="20"/>
              </w:rPr>
            </w:pPr>
            <w:r w:rsidRPr="00EB430C">
              <w:rPr>
                <w:rFonts w:ascii="Calibri" w:hAnsi="Calibri" w:cs="Calibri"/>
                <w:color w:val="FF0000"/>
                <w:sz w:val="20"/>
                <w:szCs w:val="20"/>
              </w:rPr>
              <w:t xml:space="preserve">-80,961 </w:t>
            </w:r>
          </w:p>
        </w:tc>
        <w:tc>
          <w:tcPr>
            <w:tcW w:w="622" w:type="pct"/>
            <w:tcBorders>
              <w:top w:val="single" w:sz="4" w:space="0" w:color="auto"/>
              <w:left w:val="single" w:sz="4" w:space="0" w:color="auto"/>
              <w:bottom w:val="single" w:sz="4" w:space="0" w:color="auto"/>
              <w:right w:val="single" w:sz="4" w:space="0" w:color="auto"/>
            </w:tcBorders>
            <w:noWrap/>
            <w:vAlign w:val="bottom"/>
          </w:tcPr>
          <w:p w14:paraId="73F5EC87" w14:textId="468694E6" w:rsidR="00EB430C" w:rsidRPr="00EB430C" w:rsidRDefault="00EB430C" w:rsidP="00EB430C">
            <w:pPr>
              <w:spacing w:after="0" w:line="240" w:lineRule="auto"/>
              <w:jc w:val="right"/>
              <w:rPr>
                <w:rFonts w:ascii="Calibri" w:hAnsi="Calibri" w:cs="Calibri"/>
                <w:color w:val="FF0000"/>
                <w:sz w:val="20"/>
                <w:szCs w:val="20"/>
              </w:rPr>
            </w:pPr>
            <w:r w:rsidRPr="00EB430C">
              <w:rPr>
                <w:rFonts w:ascii="Calibri" w:hAnsi="Calibri" w:cs="Calibri"/>
                <w:color w:val="FF0000"/>
                <w:sz w:val="20"/>
                <w:szCs w:val="20"/>
              </w:rPr>
              <w:t xml:space="preserve">-43,811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3C7FDA53" w14:textId="340B0A01" w:rsidR="00EB430C" w:rsidRPr="00EB430C" w:rsidRDefault="00EB430C" w:rsidP="00EB430C">
            <w:pPr>
              <w:spacing w:after="0" w:line="240" w:lineRule="auto"/>
              <w:jc w:val="right"/>
              <w:rPr>
                <w:rFonts w:ascii="Calibri" w:hAnsi="Calibri" w:cs="Calibri"/>
                <w:color w:val="FF0000"/>
                <w:sz w:val="20"/>
                <w:szCs w:val="20"/>
              </w:rPr>
            </w:pPr>
            <w:r w:rsidRPr="00EB430C">
              <w:rPr>
                <w:rFonts w:ascii="Calibri" w:hAnsi="Calibri" w:cs="Calibri"/>
                <w:color w:val="FF0000"/>
                <w:sz w:val="20"/>
                <w:szCs w:val="20"/>
              </w:rPr>
              <w:t xml:space="preserve">-37,150 </w:t>
            </w:r>
          </w:p>
        </w:tc>
        <w:tc>
          <w:tcPr>
            <w:tcW w:w="621" w:type="pct"/>
            <w:tcBorders>
              <w:top w:val="single" w:sz="4" w:space="0" w:color="auto"/>
              <w:left w:val="single" w:sz="4" w:space="0" w:color="auto"/>
              <w:bottom w:val="single" w:sz="4" w:space="0" w:color="auto"/>
              <w:right w:val="single" w:sz="4" w:space="0" w:color="auto"/>
            </w:tcBorders>
            <w:noWrap/>
            <w:vAlign w:val="bottom"/>
          </w:tcPr>
          <w:p w14:paraId="0FE76F8E" w14:textId="268BA906" w:rsidR="00EB430C" w:rsidRPr="00D32BFB" w:rsidRDefault="00EB430C" w:rsidP="00EB430C">
            <w:pPr>
              <w:spacing w:after="0" w:line="240" w:lineRule="auto"/>
              <w:jc w:val="right"/>
              <w:rPr>
                <w:rFonts w:ascii="Calibri" w:hAnsi="Calibri" w:cs="Calibri"/>
                <w:color w:val="FF0000"/>
                <w:sz w:val="20"/>
                <w:szCs w:val="20"/>
              </w:rPr>
            </w:pPr>
            <w:r>
              <w:rPr>
                <w:rFonts w:ascii="Calibri" w:hAnsi="Calibri" w:cs="Calibri"/>
                <w:color w:val="FF0000"/>
                <w:sz w:val="20"/>
                <w:szCs w:val="20"/>
              </w:rPr>
              <w:t>-27.4%</w:t>
            </w:r>
          </w:p>
        </w:tc>
      </w:tr>
      <w:tr w:rsidR="00EB430C" w:rsidRPr="00E93956" w14:paraId="3AA1F370"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47DD1E62" w14:textId="56E00ACB"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New South Wales</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08E372BE" w14:textId="6C0AEFC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-84,871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8B5A50A" w14:textId="7A9C891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-162,649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B892516" w14:textId="624335CD"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77,778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2760762A" w14:textId="4773F794"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-3.2%</w:t>
            </w:r>
          </w:p>
        </w:tc>
      </w:tr>
      <w:tr w:rsidR="00EB430C" w:rsidRPr="00E93956" w14:paraId="1435C569"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7204E2C8" w14:textId="46EDB724"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Macquarie University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07CFD5B" w14:textId="2897B9C5"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-88,436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61058B7" w14:textId="5FBE7E4D"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-42,358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C2810FE" w14:textId="2A00319B"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-46,078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8208FB3" w14:textId="647BD4C8"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-9.5%</w:t>
            </w:r>
          </w:p>
        </w:tc>
      </w:tr>
      <w:tr w:rsidR="00EB430C" w:rsidRPr="00E93956" w14:paraId="137EB2B8"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6DE2F887" w14:textId="7D9EF5D0"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Technology, Sydney</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7653367" w14:textId="564921C0"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-107,025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4071C0AC" w14:textId="4EA09FE3"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-52,542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6F9608C" w14:textId="032298D7"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-54,483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7F9C171" w14:textId="614E2D9F"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-9.3%</w:t>
            </w:r>
          </w:p>
        </w:tc>
      </w:tr>
      <w:tr w:rsidR="00EB430C" w:rsidRPr="00E93956" w14:paraId="73B0B27F" w14:textId="77777777" w:rsidTr="00EB430C">
        <w:trPr>
          <w:trHeight w:val="260"/>
        </w:trPr>
        <w:tc>
          <w:tcPr>
            <w:tcW w:w="2512" w:type="pct"/>
            <w:tcBorders>
              <w:top w:val="single" w:sz="4" w:space="0" w:color="auto"/>
              <w:left w:val="single" w:sz="4" w:space="0" w:color="auto"/>
              <w:bottom w:val="single" w:sz="4" w:space="0" w:color="auto"/>
              <w:right w:val="single" w:sz="4" w:space="0" w:color="auto"/>
            </w:tcBorders>
            <w:noWrap/>
            <w:vAlign w:val="bottom"/>
            <w:hideMark/>
          </w:tcPr>
          <w:p w14:paraId="7E9AE5D3" w14:textId="0F390B7A" w:rsidR="00EB430C" w:rsidRPr="00D32BFB" w:rsidRDefault="00EB430C" w:rsidP="00EB430C">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 xml:space="preserve">Western Sydney University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176FDD92" w14:textId="1A7A0237"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-147,621 </w:t>
            </w:r>
          </w:p>
        </w:tc>
        <w:tc>
          <w:tcPr>
            <w:tcW w:w="622" w:type="pct"/>
            <w:tcBorders>
              <w:top w:val="single" w:sz="4" w:space="0" w:color="auto"/>
              <w:left w:val="single" w:sz="4" w:space="0" w:color="auto"/>
              <w:bottom w:val="single" w:sz="4" w:space="0" w:color="auto"/>
              <w:right w:val="single" w:sz="4" w:space="0" w:color="auto"/>
            </w:tcBorders>
            <w:noWrap/>
            <w:vAlign w:val="bottom"/>
            <w:hideMark/>
          </w:tcPr>
          <w:p w14:paraId="3993DEB7" w14:textId="55B3C8FA"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-15,368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8D3E08D" w14:textId="6D320638" w:rsidR="00EB430C" w:rsidRPr="00EB430C" w:rsidRDefault="00EB430C" w:rsidP="00EB430C">
            <w:pPr>
              <w:spacing w:after="0" w:line="240" w:lineRule="auto"/>
              <w:jc w:val="right"/>
              <w:rPr>
                <w:rFonts w:eastAsia="Times New Roman" w:cs="Calibri"/>
                <w:color w:val="FF0000"/>
                <w:sz w:val="20"/>
                <w:szCs w:val="20"/>
                <w:lang w:eastAsia="en-AU"/>
              </w:rPr>
            </w:pPr>
            <w:r w:rsidRPr="00EB430C">
              <w:rPr>
                <w:rFonts w:ascii="Calibri" w:hAnsi="Calibri" w:cs="Calibri"/>
                <w:color w:val="FF0000"/>
                <w:sz w:val="20"/>
                <w:szCs w:val="20"/>
              </w:rPr>
              <w:t xml:space="preserve">-132,253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35A8BC3" w14:textId="332585A9" w:rsidR="00EB430C" w:rsidRPr="00D32BFB" w:rsidRDefault="00EB430C" w:rsidP="00EB430C">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-15.1%</w:t>
            </w:r>
          </w:p>
        </w:tc>
      </w:tr>
      <w:tr w:rsidR="00537514" w:rsidRPr="00E93956" w14:paraId="2A5C802B" w14:textId="77777777" w:rsidTr="00D32BFB">
        <w:trPr>
          <w:trHeight w:val="260"/>
        </w:trPr>
        <w:tc>
          <w:tcPr>
            <w:tcW w:w="2512" w:type="pct"/>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5CBC9950" w14:textId="77777777" w:rsidR="00537514" w:rsidRPr="00D32BFB" w:rsidRDefault="00537514" w:rsidP="00537514">
            <w:pPr>
              <w:spacing w:after="0" w:line="240" w:lineRule="auto"/>
              <w:rPr>
                <w:rFonts w:ascii="Calibri" w:eastAsia="Times New Roman" w:hAnsi="Calibri" w:cs="Calibri"/>
                <w:b/>
                <w:bCs/>
                <w:sz w:val="20"/>
                <w:szCs w:val="20"/>
                <w:lang w:eastAsia="en-AU"/>
              </w:rPr>
            </w:pPr>
            <w:r w:rsidRPr="00D32BFB">
              <w:rPr>
                <w:rFonts w:ascii="Calibri" w:hAnsi="Calibri" w:cs="Calibri"/>
                <w:b/>
                <w:bCs/>
                <w:sz w:val="20"/>
                <w:szCs w:val="20"/>
              </w:rPr>
              <w:t xml:space="preserve">All Institutions </w:t>
            </w:r>
          </w:p>
        </w:tc>
        <w:tc>
          <w:tcPr>
            <w:tcW w:w="622" w:type="pct"/>
            <w:tcBorders>
              <w:top w:val="single" w:sz="4" w:space="0" w:color="auto"/>
              <w:left w:val="single" w:sz="4" w:space="0" w:color="auto"/>
              <w:bottom w:val="single" w:sz="4" w:space="0" w:color="auto"/>
              <w:right w:val="single" w:sz="4" w:space="0" w:color="auto"/>
            </w:tcBorders>
            <w:shd w:val="clear" w:color="auto" w:fill="90D8CF" w:themeFill="accent4" w:themeFillTint="99"/>
            <w:noWrap/>
            <w:vAlign w:val="bottom"/>
            <w:hideMark/>
          </w:tcPr>
          <w:p w14:paraId="4A52708C" w14:textId="41856CDA" w:rsidR="00537514" w:rsidRPr="00431DB8" w:rsidRDefault="00537514" w:rsidP="00537514">
            <w:pPr>
              <w:spacing w:after="0" w:line="240" w:lineRule="auto"/>
              <w:jc w:val="right"/>
              <w:rPr>
                <w:rFonts w:eastAsia="Times New Roman" w:cs="Calibri"/>
                <w:b/>
                <w:bCs/>
                <w:sz w:val="20"/>
                <w:szCs w:val="20"/>
                <w:highlight w:val="yellow"/>
                <w:lang w:eastAsia="en-AU"/>
              </w:rPr>
            </w:pPr>
            <w:r w:rsidRPr="00D32BFB">
              <w:rPr>
                <w:rFonts w:ascii="Calibri" w:hAnsi="Calibri" w:cs="Calibri"/>
                <w:b/>
                <w:bCs/>
                <w:sz w:val="20"/>
                <w:szCs w:val="20"/>
              </w:rPr>
              <w:t>122,09</w:t>
            </w:r>
            <w:r w:rsidR="00EB430C">
              <w:rPr>
                <w:rFonts w:ascii="Calibri" w:hAnsi="Calibri" w:cs="Calibri"/>
                <w:b/>
                <w:bCs/>
                <w:sz w:val="20"/>
                <w:szCs w:val="20"/>
              </w:rPr>
              <w:t>8</w:t>
            </w:r>
            <w:r w:rsidRPr="00D32BFB">
              <w:rPr>
                <w:rFonts w:ascii="Calibri" w:hAnsi="Calibri" w:cs="Calibri"/>
                <w:b/>
                <w:bCs/>
                <w:sz w:val="20"/>
                <w:szCs w:val="20"/>
              </w:rPr>
              <w:t xml:space="preserve"> </w:t>
            </w:r>
          </w:p>
        </w:tc>
        <w:tc>
          <w:tcPr>
            <w:tcW w:w="622" w:type="pct"/>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57B48692" w14:textId="19FF3585" w:rsidR="00537514" w:rsidRPr="00EB430C" w:rsidRDefault="00537514" w:rsidP="00537514">
            <w:pPr>
              <w:spacing w:after="0" w:line="240" w:lineRule="auto"/>
              <w:jc w:val="right"/>
              <w:rPr>
                <w:rFonts w:eastAsia="Times New Roman" w:cstheme="minorHAnsi"/>
                <w:b/>
                <w:bCs/>
                <w:color w:val="FF0000"/>
                <w:sz w:val="20"/>
                <w:szCs w:val="20"/>
                <w:highlight w:val="yellow"/>
                <w:lang w:eastAsia="en-AU"/>
              </w:rPr>
            </w:pPr>
            <w:r w:rsidRPr="00EB430C">
              <w:rPr>
                <w:rFonts w:cstheme="minorHAnsi"/>
                <w:b/>
                <w:bCs/>
                <w:color w:val="FF0000"/>
                <w:sz w:val="20"/>
                <w:szCs w:val="20"/>
              </w:rPr>
              <w:t xml:space="preserve">-1,205,410 </w:t>
            </w:r>
          </w:p>
        </w:tc>
        <w:tc>
          <w:tcPr>
            <w:tcW w:w="622" w:type="pct"/>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439B7577" w14:textId="36ADB379" w:rsidR="00537514" w:rsidRPr="00D32BFB" w:rsidRDefault="00537514" w:rsidP="00537514">
            <w:pPr>
              <w:spacing w:after="0" w:line="240" w:lineRule="auto"/>
              <w:jc w:val="right"/>
              <w:rPr>
                <w:rFonts w:eastAsia="Times New Roman" w:cs="Calibri"/>
                <w:b/>
                <w:bCs/>
                <w:sz w:val="20"/>
                <w:szCs w:val="20"/>
                <w:highlight w:val="yellow"/>
                <w:lang w:eastAsia="en-AU"/>
              </w:rPr>
            </w:pPr>
            <w:r w:rsidRPr="00D32BFB">
              <w:rPr>
                <w:rFonts w:ascii="Calibri" w:hAnsi="Calibri" w:cs="Calibri"/>
                <w:b/>
                <w:bCs/>
                <w:sz w:val="20"/>
                <w:szCs w:val="20"/>
              </w:rPr>
              <w:t>1,327,50</w:t>
            </w:r>
            <w:r w:rsidR="00EB430C">
              <w:rPr>
                <w:rFonts w:ascii="Calibri" w:hAnsi="Calibri" w:cs="Calibri"/>
                <w:b/>
                <w:bCs/>
                <w:sz w:val="20"/>
                <w:szCs w:val="20"/>
              </w:rPr>
              <w:t>8</w:t>
            </w:r>
            <w:r w:rsidRPr="00D32BFB">
              <w:rPr>
                <w:rFonts w:ascii="Calibri" w:hAnsi="Calibri" w:cs="Calibri"/>
                <w:b/>
                <w:bCs/>
                <w:sz w:val="20"/>
                <w:szCs w:val="20"/>
              </w:rPr>
              <w:t xml:space="preserve"> </w:t>
            </w:r>
          </w:p>
        </w:tc>
        <w:tc>
          <w:tcPr>
            <w:tcW w:w="621" w:type="pct"/>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3DF63BAF" w14:textId="2BAF9FF4" w:rsidR="00537514" w:rsidRPr="00E93956" w:rsidRDefault="00537514" w:rsidP="00537514">
            <w:pPr>
              <w:spacing w:after="0" w:line="240" w:lineRule="auto"/>
              <w:jc w:val="right"/>
              <w:rPr>
                <w:rFonts w:eastAsia="Times New Roman" w:cstheme="minorHAnsi"/>
                <w:b/>
                <w:bCs/>
                <w:color w:val="FF0000"/>
                <w:sz w:val="20"/>
                <w:szCs w:val="20"/>
                <w:highlight w:val="yellow"/>
                <w:lang w:eastAsia="en-AU"/>
              </w:rPr>
            </w:pPr>
            <w:r w:rsidRPr="00D32BFB">
              <w:rPr>
                <w:rFonts w:ascii="Calibri" w:hAnsi="Calibri" w:cs="Calibri"/>
                <w:b/>
                <w:bCs/>
                <w:sz w:val="20"/>
                <w:szCs w:val="20"/>
              </w:rPr>
              <w:t>0.3%</w:t>
            </w:r>
          </w:p>
        </w:tc>
      </w:tr>
    </w:tbl>
    <w:p w14:paraId="215B133A" w14:textId="3A7E7D91" w:rsidR="00E10A77" w:rsidRPr="00992260" w:rsidRDefault="00E10A77" w:rsidP="00E10A77">
      <w:pPr>
        <w:pStyle w:val="Source"/>
        <w:spacing w:before="240" w:after="0" w:line="240" w:lineRule="auto"/>
        <w:rPr>
          <w:rStyle w:val="Strong"/>
          <w:sz w:val="22"/>
          <w:highlight w:val="yellow"/>
          <w:vertAlign w:val="superscript"/>
        </w:rPr>
      </w:pPr>
      <w:r w:rsidRPr="00992260">
        <w:rPr>
          <w:rStyle w:val="Strong"/>
          <w:sz w:val="22"/>
          <w:highlight w:val="yellow"/>
          <w:vertAlign w:val="superscript"/>
        </w:rPr>
        <w:br w:type="page"/>
      </w:r>
    </w:p>
    <w:p w14:paraId="51681A27" w14:textId="1CF8A499" w:rsidR="00ED437C" w:rsidRPr="00D32BFB" w:rsidRDefault="00ED437C" w:rsidP="00ED437C">
      <w:pPr>
        <w:pStyle w:val="Heading5"/>
      </w:pPr>
      <w:r w:rsidRPr="00D32BFB">
        <w:lastRenderedPageBreak/>
        <w:t>Financial performance trends</w:t>
      </w:r>
    </w:p>
    <w:p w14:paraId="18B475AA" w14:textId="77777777" w:rsidR="00F72DE5" w:rsidRPr="00D32BFB" w:rsidRDefault="00F72DE5" w:rsidP="0089445F">
      <w:pPr>
        <w:pStyle w:val="Heading6"/>
        <w:rPr>
          <w:rStyle w:val="Strong"/>
          <w:b/>
          <w:bCs w:val="0"/>
        </w:rPr>
      </w:pPr>
    </w:p>
    <w:p w14:paraId="3B9E9EE7" w14:textId="6888942E" w:rsidR="00ED5E37" w:rsidRDefault="00ED5E37" w:rsidP="0089445F">
      <w:pPr>
        <w:pStyle w:val="Heading6"/>
        <w:rPr>
          <w:rStyle w:val="Strong"/>
          <w:b/>
          <w:bCs w:val="0"/>
        </w:rPr>
      </w:pPr>
      <w:r w:rsidRPr="00D32BFB">
        <w:rPr>
          <w:rStyle w:val="Strong"/>
          <w:b/>
          <w:bCs w:val="0"/>
        </w:rPr>
        <w:t>Figure 2: Net Result 201</w:t>
      </w:r>
      <w:r w:rsidR="00FA2721">
        <w:rPr>
          <w:rStyle w:val="Strong"/>
          <w:b/>
          <w:bCs w:val="0"/>
        </w:rPr>
        <w:t>4</w:t>
      </w:r>
      <w:r w:rsidRPr="00D32BFB">
        <w:rPr>
          <w:rStyle w:val="Strong"/>
          <w:b/>
          <w:bCs w:val="0"/>
        </w:rPr>
        <w:t>-202</w:t>
      </w:r>
      <w:r w:rsidR="00FA2721">
        <w:rPr>
          <w:rStyle w:val="Strong"/>
          <w:b/>
          <w:bCs w:val="0"/>
        </w:rPr>
        <w:t>3</w:t>
      </w:r>
    </w:p>
    <w:p w14:paraId="57DCB0B4" w14:textId="348FB460" w:rsidR="008C2191" w:rsidRPr="00673742" w:rsidRDefault="008C2191" w:rsidP="00673742">
      <w:r>
        <w:rPr>
          <w:noProof/>
        </w:rPr>
        <w:drawing>
          <wp:inline distT="0" distB="0" distL="0" distR="0" wp14:anchorId="08078658" wp14:editId="34AB0B0B">
            <wp:extent cx="5731510" cy="3573145"/>
            <wp:effectExtent l="0" t="0" r="2540" b="8255"/>
            <wp:docPr id="1502601994" name="Chart 1">
              <a:extLst xmlns:a="http://schemas.openxmlformats.org/drawingml/2006/main">
                <a:ext uri="{FF2B5EF4-FFF2-40B4-BE49-F238E27FC236}">
                  <a16:creationId xmlns:a16="http://schemas.microsoft.com/office/drawing/2014/main" id="{037193E4-599D-4F34-A0A4-EB9A86B0A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49EFC" w14:textId="25FD0A9F" w:rsidR="00AB7DFA" w:rsidRPr="00992260" w:rsidRDefault="00AB7DFA" w:rsidP="00ED5E37">
      <w:pPr>
        <w:spacing w:after="120"/>
        <w:rPr>
          <w:rStyle w:val="Strong"/>
          <w:highlight w:val="yellow"/>
        </w:rPr>
      </w:pPr>
    </w:p>
    <w:p w14:paraId="461A0EF8" w14:textId="4A63B737" w:rsidR="00882A2C" w:rsidRPr="005115E5" w:rsidRDefault="00937D6C" w:rsidP="00882A2C">
      <w:pPr>
        <w:spacing w:after="120" w:line="276" w:lineRule="auto"/>
        <w:rPr>
          <w:rFonts w:cstheme="minorHAnsi"/>
        </w:rPr>
      </w:pPr>
      <w:r>
        <w:rPr>
          <w:rFonts w:cstheme="minorHAnsi"/>
        </w:rPr>
        <w:t xml:space="preserve">The financial performance of the </w:t>
      </w:r>
      <w:r w:rsidR="00DC2DD5">
        <w:rPr>
          <w:rFonts w:cstheme="minorHAnsi"/>
        </w:rPr>
        <w:t xml:space="preserve">Australian </w:t>
      </w:r>
      <w:r>
        <w:rPr>
          <w:rFonts w:cstheme="minorHAnsi"/>
        </w:rPr>
        <w:t xml:space="preserve">university sector has been volatile in recent years, </w:t>
      </w:r>
      <w:r w:rsidR="009A458D">
        <w:rPr>
          <w:rFonts w:cstheme="minorHAnsi"/>
        </w:rPr>
        <w:t>in contrast to</w:t>
      </w:r>
      <w:r w:rsidR="001A3E34">
        <w:rPr>
          <w:rFonts w:cstheme="minorHAnsi"/>
        </w:rPr>
        <w:t xml:space="preserve"> the historical </w:t>
      </w:r>
      <w:proofErr w:type="gramStart"/>
      <w:r w:rsidR="001A3E34">
        <w:rPr>
          <w:rFonts w:cstheme="minorHAnsi"/>
        </w:rPr>
        <w:t>longer term</w:t>
      </w:r>
      <w:proofErr w:type="gramEnd"/>
      <w:r w:rsidR="001A3E34">
        <w:rPr>
          <w:rFonts w:cstheme="minorHAnsi"/>
        </w:rPr>
        <w:t xml:space="preserve"> trend of relatively consistent performance. This has been </w:t>
      </w:r>
      <w:r>
        <w:rPr>
          <w:rFonts w:cstheme="minorHAnsi"/>
        </w:rPr>
        <w:t xml:space="preserve">most </w:t>
      </w:r>
      <w:r w:rsidR="001A3E34">
        <w:rPr>
          <w:rFonts w:cstheme="minorHAnsi"/>
        </w:rPr>
        <w:t>evident since</w:t>
      </w:r>
      <w:r>
        <w:rPr>
          <w:rFonts w:cstheme="minorHAnsi"/>
        </w:rPr>
        <w:t xml:space="preserve"> the onset of the </w:t>
      </w:r>
      <w:r w:rsidR="00882A2C">
        <w:rPr>
          <w:rFonts w:cstheme="minorHAnsi"/>
        </w:rPr>
        <w:t>pandemic and</w:t>
      </w:r>
      <w:r w:rsidR="00DC2DD5">
        <w:rPr>
          <w:rFonts w:cstheme="minorHAnsi"/>
        </w:rPr>
        <w:t xml:space="preserve"> is due to </w:t>
      </w:r>
      <w:r w:rsidR="00E937B1">
        <w:rPr>
          <w:rFonts w:cstheme="minorHAnsi"/>
        </w:rPr>
        <w:t xml:space="preserve">both </w:t>
      </w:r>
      <w:r w:rsidR="00E1475F">
        <w:rPr>
          <w:rFonts w:cstheme="minorHAnsi"/>
        </w:rPr>
        <w:t xml:space="preserve">the resulting </w:t>
      </w:r>
      <w:r w:rsidR="0076365B" w:rsidRPr="005115E5">
        <w:rPr>
          <w:rFonts w:cstheme="minorHAnsi"/>
        </w:rPr>
        <w:t>financial impact and broader economic challenges</w:t>
      </w:r>
      <w:r w:rsidR="00882A2C">
        <w:rPr>
          <w:rFonts w:cstheme="minorHAnsi"/>
        </w:rPr>
        <w:t xml:space="preserve">. </w:t>
      </w:r>
      <w:r w:rsidR="00882A2C" w:rsidRPr="005115E5">
        <w:rPr>
          <w:rFonts w:cstheme="minorHAnsi"/>
        </w:rPr>
        <w:t>Key contributing factors to this volatility include:</w:t>
      </w:r>
    </w:p>
    <w:p w14:paraId="032888F1" w14:textId="77777777" w:rsidR="008274D4" w:rsidRDefault="008274D4" w:rsidP="00882A2C">
      <w:pPr>
        <w:pStyle w:val="ListParagraph"/>
        <w:numPr>
          <w:ilvl w:val="0"/>
          <w:numId w:val="38"/>
        </w:numPr>
        <w:spacing w:after="120" w:line="276" w:lineRule="auto"/>
        <w:rPr>
          <w:rFonts w:cstheme="minorHAnsi"/>
        </w:rPr>
      </w:pPr>
      <w:r w:rsidRPr="00CD5FA4">
        <w:rPr>
          <w:rFonts w:cstheme="minorHAnsi"/>
        </w:rPr>
        <w:t>Instability in global financial markets</w:t>
      </w:r>
      <w:r>
        <w:rPr>
          <w:rFonts w:cstheme="minorHAnsi"/>
        </w:rPr>
        <w:t>.</w:t>
      </w:r>
    </w:p>
    <w:p w14:paraId="21CF550B" w14:textId="44D38F2D" w:rsidR="00882A2C" w:rsidRPr="005115E5" w:rsidRDefault="00882A2C" w:rsidP="00882A2C">
      <w:pPr>
        <w:pStyle w:val="ListParagraph"/>
        <w:numPr>
          <w:ilvl w:val="0"/>
          <w:numId w:val="38"/>
        </w:numPr>
        <w:spacing w:after="120" w:line="276" w:lineRule="auto"/>
        <w:rPr>
          <w:rFonts w:cstheme="minorHAnsi"/>
        </w:rPr>
      </w:pPr>
      <w:r w:rsidRPr="005115E5">
        <w:rPr>
          <w:rFonts w:cstheme="minorHAnsi"/>
        </w:rPr>
        <w:t xml:space="preserve">The pipeline effect of 2 years of border closures on international enrolments. </w:t>
      </w:r>
    </w:p>
    <w:p w14:paraId="29FE3886" w14:textId="77777777" w:rsidR="00882A2C" w:rsidRPr="005115E5" w:rsidRDefault="00882A2C" w:rsidP="00882A2C">
      <w:pPr>
        <w:pStyle w:val="ListParagraph"/>
        <w:numPr>
          <w:ilvl w:val="0"/>
          <w:numId w:val="38"/>
        </w:numPr>
        <w:spacing w:after="120" w:line="276" w:lineRule="auto"/>
        <w:rPr>
          <w:rFonts w:cstheme="minorHAnsi"/>
        </w:rPr>
      </w:pPr>
      <w:r w:rsidRPr="005115E5">
        <w:rPr>
          <w:rFonts w:cstheme="minorHAnsi"/>
        </w:rPr>
        <w:t>Challenging economic conditions including weaker domestic enrolments due to a strong labour market.</w:t>
      </w:r>
    </w:p>
    <w:p w14:paraId="1D8F710D" w14:textId="14F98A5E" w:rsidR="00882A2C" w:rsidRPr="008274D4" w:rsidRDefault="00882A2C" w:rsidP="008274D4">
      <w:pPr>
        <w:pStyle w:val="ListParagraph"/>
        <w:numPr>
          <w:ilvl w:val="0"/>
          <w:numId w:val="38"/>
        </w:numPr>
        <w:spacing w:after="120" w:line="276" w:lineRule="auto"/>
        <w:rPr>
          <w:rFonts w:cstheme="minorHAnsi"/>
        </w:rPr>
      </w:pPr>
      <w:r w:rsidRPr="008274D4">
        <w:rPr>
          <w:rFonts w:cstheme="minorHAnsi"/>
        </w:rPr>
        <w:t>Rising inflationary pressures.</w:t>
      </w:r>
    </w:p>
    <w:p w14:paraId="32EF3093" w14:textId="35E171BA" w:rsidR="00F22845" w:rsidRPr="00CD5FA4" w:rsidRDefault="00CD5FA4" w:rsidP="00CD5FA4">
      <w:pPr>
        <w:rPr>
          <w:rFonts w:eastAsia="Times New Roman" w:cstheme="minorHAnsi"/>
          <w:color w:val="000000"/>
          <w:lang w:eastAsia="en-AU"/>
        </w:rPr>
      </w:pPr>
      <w:r w:rsidRPr="00CD5FA4">
        <w:rPr>
          <w:rFonts w:cstheme="minorHAnsi"/>
        </w:rPr>
        <w:t>While</w:t>
      </w:r>
      <w:r w:rsidR="00B12D5E" w:rsidRPr="00CD5FA4">
        <w:rPr>
          <w:rFonts w:cstheme="minorHAnsi"/>
        </w:rPr>
        <w:t xml:space="preserve"> the current economic challenges and fluctuating performance</w:t>
      </w:r>
      <w:r w:rsidRPr="00CD5FA4">
        <w:rPr>
          <w:rFonts w:cstheme="minorHAnsi"/>
        </w:rPr>
        <w:t xml:space="preserve"> remain and are likely to</w:t>
      </w:r>
      <w:r w:rsidR="00B12D5E" w:rsidRPr="00CD5FA4">
        <w:rPr>
          <w:rFonts w:cstheme="minorHAnsi"/>
        </w:rPr>
        <w:t xml:space="preserve"> persist</w:t>
      </w:r>
      <w:r w:rsidRPr="00CD5FA4">
        <w:rPr>
          <w:rFonts w:cstheme="minorHAnsi"/>
        </w:rPr>
        <w:t xml:space="preserve"> in the short term</w:t>
      </w:r>
      <w:r w:rsidR="00B12D5E" w:rsidRPr="00CD5FA4">
        <w:rPr>
          <w:rFonts w:cstheme="minorHAnsi"/>
        </w:rPr>
        <w:t xml:space="preserve">, most universities remain in a solid financial position with sufficient resources and reserves to support operations moving forward, </w:t>
      </w:r>
      <w:r w:rsidR="000408B5" w:rsidRPr="00CD5FA4">
        <w:rPr>
          <w:rFonts w:cstheme="minorHAnsi"/>
        </w:rPr>
        <w:t>reinforced</w:t>
      </w:r>
      <w:r w:rsidR="00B12D5E" w:rsidRPr="00CD5FA4">
        <w:rPr>
          <w:rFonts w:cstheme="minorHAnsi"/>
        </w:rPr>
        <w:t xml:space="preserve"> by strong asset bases and good liquidity. Universities are generally well placed to withstand the current challenges and emerge financially robust provided they </w:t>
      </w:r>
      <w:r w:rsidRPr="00CD5FA4">
        <w:rPr>
          <w:rFonts w:cstheme="minorHAnsi"/>
        </w:rPr>
        <w:t xml:space="preserve">continue to </w:t>
      </w:r>
      <w:r w:rsidR="00B12D5E" w:rsidRPr="00CD5FA4">
        <w:rPr>
          <w:rFonts w:cstheme="minorHAnsi"/>
        </w:rPr>
        <w:t>carefully manage operating costs</w:t>
      </w:r>
      <w:r w:rsidR="00885A96" w:rsidRPr="00CD5FA4">
        <w:rPr>
          <w:rFonts w:cstheme="minorHAnsi"/>
        </w:rPr>
        <w:t xml:space="preserve">. </w:t>
      </w:r>
    </w:p>
    <w:p w14:paraId="1A3C91F2" w14:textId="77777777" w:rsidR="00CB4A81" w:rsidRDefault="00CB4A81">
      <w:pPr>
        <w:spacing w:after="160"/>
        <w:rPr>
          <w:rFonts w:asciiTheme="majorHAnsi" w:eastAsiaTheme="majorEastAsia" w:hAnsiTheme="majorHAnsi" w:cstheme="majorBidi"/>
          <w:b/>
          <w:color w:val="008599" w:themeColor="accent1"/>
          <w:sz w:val="32"/>
          <w:szCs w:val="24"/>
        </w:rPr>
      </w:pPr>
      <w:r>
        <w:br w:type="page"/>
      </w:r>
    </w:p>
    <w:p w14:paraId="52A5E386" w14:textId="6987CFD2" w:rsidR="00E21C6D" w:rsidRPr="00D32BFB" w:rsidRDefault="00FD5D18" w:rsidP="000A1E13">
      <w:pPr>
        <w:pStyle w:val="Heading3"/>
      </w:pPr>
      <w:bookmarkStart w:id="10" w:name="_Toc183521024"/>
      <w:r w:rsidRPr="00D32BFB">
        <w:lastRenderedPageBreak/>
        <w:t>Revenue</w:t>
      </w:r>
      <w:bookmarkEnd w:id="10"/>
    </w:p>
    <w:p w14:paraId="4B76EC91" w14:textId="77777777" w:rsidR="00F72DE5" w:rsidRPr="00D32BFB" w:rsidRDefault="00F72DE5" w:rsidP="0089445F">
      <w:pPr>
        <w:pStyle w:val="Heading6"/>
        <w:rPr>
          <w:rStyle w:val="Strong"/>
          <w:b/>
          <w:bCs w:val="0"/>
        </w:rPr>
      </w:pPr>
    </w:p>
    <w:p w14:paraId="132DF484" w14:textId="4FDF93E0" w:rsidR="00E21C6D" w:rsidRPr="00D32BFB" w:rsidRDefault="00E21C6D" w:rsidP="0089445F">
      <w:pPr>
        <w:pStyle w:val="Heading6"/>
        <w:rPr>
          <w:rStyle w:val="Strong"/>
          <w:b/>
          <w:bCs w:val="0"/>
        </w:rPr>
      </w:pPr>
      <w:r w:rsidRPr="00D32BFB">
        <w:rPr>
          <w:rStyle w:val="Strong"/>
          <w:b/>
          <w:bCs w:val="0"/>
        </w:rPr>
        <w:t>Table 2: Summary of 202</w:t>
      </w:r>
      <w:r w:rsidR="009B5860" w:rsidRPr="00D32BFB">
        <w:rPr>
          <w:rStyle w:val="Strong"/>
          <w:b/>
          <w:bCs w:val="0"/>
        </w:rPr>
        <w:t>3</w:t>
      </w:r>
      <w:r w:rsidRPr="00D32BFB">
        <w:rPr>
          <w:rStyle w:val="Strong"/>
          <w:b/>
          <w:bCs w:val="0"/>
        </w:rPr>
        <w:t xml:space="preserve"> and 202</w:t>
      </w:r>
      <w:r w:rsidR="009B5860" w:rsidRPr="00D32BFB">
        <w:rPr>
          <w:rStyle w:val="Strong"/>
          <w:b/>
          <w:bCs w:val="0"/>
        </w:rPr>
        <w:t>2</w:t>
      </w:r>
      <w:r w:rsidRPr="00D32BFB">
        <w:rPr>
          <w:rStyle w:val="Strong"/>
          <w:b/>
          <w:bCs w:val="0"/>
        </w:rPr>
        <w:t xml:space="preserve"> Revenue</w:t>
      </w:r>
    </w:p>
    <w:tbl>
      <w:tblPr>
        <w:tblW w:w="0" w:type="auto"/>
        <w:tblLayout w:type="fixed"/>
        <w:tblLook w:val="04A0" w:firstRow="1" w:lastRow="0" w:firstColumn="1" w:lastColumn="0" w:noHBand="0" w:noVBand="1"/>
      </w:tblPr>
      <w:tblGrid>
        <w:gridCol w:w="4388"/>
        <w:gridCol w:w="1277"/>
        <w:gridCol w:w="1276"/>
        <w:gridCol w:w="1134"/>
        <w:gridCol w:w="941"/>
      </w:tblGrid>
      <w:tr w:rsidR="00E21C6D" w:rsidRPr="009B5860" w14:paraId="333C4226" w14:textId="77777777" w:rsidTr="002B18D2">
        <w:trPr>
          <w:trHeight w:val="300"/>
        </w:trPr>
        <w:tc>
          <w:tcPr>
            <w:tcW w:w="4388" w:type="dxa"/>
            <w:tcBorders>
              <w:top w:val="single" w:sz="4" w:space="0" w:color="auto"/>
              <w:left w:val="single" w:sz="4" w:space="0" w:color="auto"/>
              <w:bottom w:val="nil"/>
              <w:right w:val="single" w:sz="4" w:space="0" w:color="auto"/>
            </w:tcBorders>
            <w:shd w:val="clear" w:color="auto" w:fill="004C6C" w:themeFill="background2"/>
            <w:noWrap/>
            <w:hideMark/>
          </w:tcPr>
          <w:p w14:paraId="5E6BD4C8" w14:textId="6C94FCB1" w:rsidR="00E21C6D" w:rsidRPr="00D32BFB" w:rsidRDefault="00E21C6D" w:rsidP="006C0B77">
            <w:pPr>
              <w:spacing w:after="0" w:line="240" w:lineRule="auto"/>
              <w:rPr>
                <w:rFonts w:eastAsia="Times New Roman" w:cstheme="minorHAnsi"/>
                <w:b/>
                <w:bCs/>
                <w:color w:val="FFFFFF"/>
                <w:sz w:val="20"/>
                <w:szCs w:val="20"/>
                <w:lang w:eastAsia="en-AU"/>
              </w:rPr>
            </w:pPr>
          </w:p>
        </w:tc>
        <w:tc>
          <w:tcPr>
            <w:tcW w:w="127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69CEF357" w14:textId="4F38D822"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202</w:t>
            </w:r>
            <w:r w:rsidR="009B5860">
              <w:rPr>
                <w:rFonts w:eastAsia="Times New Roman" w:cstheme="minorHAnsi"/>
                <w:b/>
                <w:bCs/>
                <w:color w:val="FFFFFF"/>
                <w:sz w:val="20"/>
                <w:szCs w:val="20"/>
                <w:lang w:eastAsia="en-AU"/>
              </w:rPr>
              <w:t>3</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435A4605" w14:textId="52C86F6F"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202</w:t>
            </w:r>
            <w:r w:rsidR="009B5860">
              <w:rPr>
                <w:rFonts w:eastAsia="Times New Roman" w:cstheme="minorHAnsi"/>
                <w:b/>
                <w:bCs/>
                <w:color w:val="FFFFFF"/>
                <w:sz w:val="20"/>
                <w:szCs w:val="20"/>
                <w:lang w:eastAsia="en-AU"/>
              </w:rPr>
              <w:t>2</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793CF97E"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Change</w:t>
            </w:r>
          </w:p>
        </w:tc>
      </w:tr>
      <w:tr w:rsidR="00E21C6D" w:rsidRPr="009B5860" w14:paraId="3B223EA1" w14:textId="77777777" w:rsidTr="002B18D2">
        <w:trPr>
          <w:trHeight w:val="300"/>
        </w:trPr>
        <w:tc>
          <w:tcPr>
            <w:tcW w:w="4388" w:type="dxa"/>
            <w:tcBorders>
              <w:top w:val="nil"/>
              <w:left w:val="single" w:sz="4" w:space="0" w:color="auto"/>
              <w:bottom w:val="single" w:sz="4" w:space="0" w:color="auto"/>
              <w:right w:val="single" w:sz="4" w:space="0" w:color="auto"/>
            </w:tcBorders>
            <w:shd w:val="clear" w:color="auto" w:fill="004C6C" w:themeFill="background2"/>
            <w:noWrap/>
            <w:hideMark/>
          </w:tcPr>
          <w:p w14:paraId="29C26A85" w14:textId="77777777" w:rsidR="00E21C6D" w:rsidRPr="00D32BFB" w:rsidRDefault="00E21C6D" w:rsidP="006C0B77">
            <w:pPr>
              <w:spacing w:after="0" w:line="240" w:lineRule="auto"/>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 </w:t>
            </w:r>
          </w:p>
        </w:tc>
        <w:tc>
          <w:tcPr>
            <w:tcW w:w="1277" w:type="dxa"/>
            <w:tcBorders>
              <w:top w:val="nil"/>
              <w:left w:val="nil"/>
              <w:bottom w:val="single" w:sz="4" w:space="0" w:color="auto"/>
              <w:right w:val="single" w:sz="4" w:space="0" w:color="auto"/>
            </w:tcBorders>
            <w:shd w:val="clear" w:color="auto" w:fill="004C6C" w:themeFill="background2"/>
            <w:noWrap/>
            <w:vAlign w:val="bottom"/>
            <w:hideMark/>
          </w:tcPr>
          <w:p w14:paraId="227D4B6E"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3BC39001"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5878566C"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254A" w:themeFill="text2"/>
            <w:noWrap/>
            <w:vAlign w:val="bottom"/>
            <w:hideMark/>
          </w:tcPr>
          <w:p w14:paraId="1B9841D5"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w:t>
            </w:r>
          </w:p>
        </w:tc>
      </w:tr>
      <w:tr w:rsidR="00673742" w:rsidRPr="009B5860" w14:paraId="29939659"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2BC96D72" w14:textId="1801DA6B"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Australian Government Grants</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97888C6" w14:textId="7B75AD06"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13,401,654</w:t>
            </w:r>
          </w:p>
        </w:tc>
        <w:tc>
          <w:tcPr>
            <w:tcW w:w="1276" w:type="dxa"/>
            <w:tcBorders>
              <w:top w:val="single" w:sz="4" w:space="0" w:color="auto"/>
              <w:left w:val="nil"/>
              <w:bottom w:val="single" w:sz="4" w:space="0" w:color="auto"/>
              <w:right w:val="single" w:sz="4" w:space="0" w:color="auto"/>
            </w:tcBorders>
            <w:noWrap/>
            <w:vAlign w:val="bottom"/>
            <w:hideMark/>
          </w:tcPr>
          <w:p w14:paraId="50241661" w14:textId="6C7BBB2F"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13,076,751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37B6A26" w14:textId="61C8EB97"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324,903</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0A3DE4B" w14:textId="7402E0E2"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2.5%</w:t>
            </w:r>
          </w:p>
        </w:tc>
      </w:tr>
      <w:tr w:rsidR="00673742" w:rsidRPr="009B5860" w14:paraId="28FCA7B4"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1DFBA987"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HELP Payments</w:t>
            </w:r>
          </w:p>
        </w:tc>
        <w:tc>
          <w:tcPr>
            <w:tcW w:w="1277" w:type="dxa"/>
            <w:tcBorders>
              <w:top w:val="nil"/>
              <w:left w:val="single" w:sz="4" w:space="0" w:color="auto"/>
              <w:bottom w:val="single" w:sz="4" w:space="0" w:color="auto"/>
              <w:right w:val="single" w:sz="4" w:space="0" w:color="auto"/>
            </w:tcBorders>
            <w:noWrap/>
            <w:vAlign w:val="bottom"/>
            <w:hideMark/>
          </w:tcPr>
          <w:p w14:paraId="5AA3732D" w14:textId="2D7A46EC"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6,119,119</w:t>
            </w:r>
          </w:p>
        </w:tc>
        <w:tc>
          <w:tcPr>
            <w:tcW w:w="1276" w:type="dxa"/>
            <w:tcBorders>
              <w:top w:val="nil"/>
              <w:left w:val="nil"/>
              <w:bottom w:val="single" w:sz="4" w:space="0" w:color="auto"/>
              <w:right w:val="single" w:sz="4" w:space="0" w:color="auto"/>
            </w:tcBorders>
            <w:noWrap/>
            <w:vAlign w:val="bottom"/>
            <w:hideMark/>
          </w:tcPr>
          <w:p w14:paraId="4B866059" w14:textId="46FF9949"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6,025,744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7D2B1424" w14:textId="56A85F48"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93,375</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78B092CC" w14:textId="145C3E3A"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1.5%</w:t>
            </w:r>
          </w:p>
        </w:tc>
      </w:tr>
      <w:tr w:rsidR="00673742" w:rsidRPr="009B5860" w14:paraId="44660697" w14:textId="77777777" w:rsidTr="00673742">
        <w:trPr>
          <w:trHeight w:val="300"/>
        </w:trPr>
        <w:tc>
          <w:tcPr>
            <w:tcW w:w="4388"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7FBA6726" w14:textId="77777777" w:rsidR="00673742" w:rsidRPr="00EB4C52" w:rsidRDefault="00673742" w:rsidP="00673742">
            <w:pPr>
              <w:spacing w:after="0" w:line="240" w:lineRule="auto"/>
              <w:rPr>
                <w:rFonts w:eastAsia="Times New Roman" w:cstheme="minorHAnsi"/>
                <w:b/>
                <w:bCs/>
                <w:color w:val="000000"/>
                <w:sz w:val="20"/>
                <w:szCs w:val="20"/>
                <w:lang w:eastAsia="en-AU"/>
              </w:rPr>
            </w:pPr>
            <w:r w:rsidRPr="00EB4C52">
              <w:rPr>
                <w:rFonts w:eastAsia="Times New Roman" w:cstheme="minorHAnsi"/>
                <w:b/>
                <w:bCs/>
                <w:color w:val="000000"/>
                <w:sz w:val="20"/>
                <w:szCs w:val="20"/>
                <w:lang w:eastAsia="en-AU"/>
              </w:rPr>
              <w:t>Australian Government Financial Assistance</w:t>
            </w:r>
          </w:p>
        </w:tc>
        <w:tc>
          <w:tcPr>
            <w:tcW w:w="1277"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2D1416F0" w14:textId="31CBEE38"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19,520,773</w:t>
            </w:r>
          </w:p>
        </w:tc>
        <w:tc>
          <w:tcPr>
            <w:tcW w:w="1276" w:type="dxa"/>
            <w:tcBorders>
              <w:top w:val="nil"/>
              <w:left w:val="nil"/>
              <w:bottom w:val="single" w:sz="4" w:space="0" w:color="auto"/>
              <w:right w:val="single" w:sz="4" w:space="0" w:color="auto"/>
            </w:tcBorders>
            <w:shd w:val="clear" w:color="auto" w:fill="DAF2EF" w:themeFill="accent4" w:themeFillTint="33"/>
            <w:noWrap/>
            <w:vAlign w:val="bottom"/>
            <w:hideMark/>
          </w:tcPr>
          <w:p w14:paraId="76C0D205" w14:textId="777EA831"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19,102,495</w:t>
            </w:r>
          </w:p>
        </w:tc>
        <w:tc>
          <w:tcPr>
            <w:tcW w:w="1134" w:type="dxa"/>
            <w:tcBorders>
              <w:top w:val="nil"/>
              <w:left w:val="nil"/>
              <w:bottom w:val="single" w:sz="4" w:space="0" w:color="auto"/>
              <w:right w:val="single" w:sz="4" w:space="0" w:color="auto"/>
            </w:tcBorders>
            <w:shd w:val="clear" w:color="auto" w:fill="DAF2EF" w:themeFill="accent4" w:themeFillTint="33"/>
            <w:noWrap/>
            <w:vAlign w:val="bottom"/>
            <w:hideMark/>
          </w:tcPr>
          <w:p w14:paraId="5E460C0A" w14:textId="51075570"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418,278</w:t>
            </w:r>
          </w:p>
        </w:tc>
        <w:tc>
          <w:tcPr>
            <w:tcW w:w="941" w:type="dxa"/>
            <w:tcBorders>
              <w:top w:val="nil"/>
              <w:left w:val="nil"/>
              <w:bottom w:val="single" w:sz="4" w:space="0" w:color="auto"/>
              <w:right w:val="single" w:sz="4" w:space="0" w:color="auto"/>
            </w:tcBorders>
            <w:shd w:val="clear" w:color="auto" w:fill="DAF2EF" w:themeFill="accent4" w:themeFillTint="33"/>
            <w:noWrap/>
            <w:vAlign w:val="bottom"/>
            <w:hideMark/>
          </w:tcPr>
          <w:p w14:paraId="4048D026" w14:textId="21658A6C"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2.2%</w:t>
            </w:r>
          </w:p>
        </w:tc>
      </w:tr>
      <w:tr w:rsidR="00673742" w:rsidRPr="009B5860" w14:paraId="0F33DFF6"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19179EF5"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State and Local Government</w:t>
            </w:r>
          </w:p>
        </w:tc>
        <w:tc>
          <w:tcPr>
            <w:tcW w:w="1277" w:type="dxa"/>
            <w:tcBorders>
              <w:top w:val="nil"/>
              <w:left w:val="single" w:sz="4" w:space="0" w:color="auto"/>
              <w:bottom w:val="single" w:sz="4" w:space="0" w:color="auto"/>
              <w:right w:val="single" w:sz="4" w:space="0" w:color="auto"/>
            </w:tcBorders>
            <w:noWrap/>
            <w:vAlign w:val="bottom"/>
            <w:hideMark/>
          </w:tcPr>
          <w:p w14:paraId="3A39D726" w14:textId="4F7C17D1"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901,412</w:t>
            </w:r>
          </w:p>
        </w:tc>
        <w:tc>
          <w:tcPr>
            <w:tcW w:w="1276" w:type="dxa"/>
            <w:tcBorders>
              <w:top w:val="nil"/>
              <w:left w:val="nil"/>
              <w:bottom w:val="single" w:sz="4" w:space="0" w:color="auto"/>
              <w:right w:val="single" w:sz="4" w:space="0" w:color="auto"/>
            </w:tcBorders>
            <w:noWrap/>
            <w:vAlign w:val="bottom"/>
            <w:hideMark/>
          </w:tcPr>
          <w:p w14:paraId="57FFA4D8" w14:textId="66AA8ACF"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929,300</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3DCB9" w14:textId="379C17E4"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FF0000"/>
                <w:sz w:val="20"/>
                <w:szCs w:val="20"/>
              </w:rPr>
              <w:t>-27,888</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317480C" w14:textId="7A4D66DB"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FF0000"/>
                <w:sz w:val="20"/>
                <w:szCs w:val="20"/>
              </w:rPr>
              <w:t>-3.0%</w:t>
            </w:r>
          </w:p>
        </w:tc>
      </w:tr>
      <w:tr w:rsidR="00673742" w:rsidRPr="009B5860" w14:paraId="6466F539"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54238D8C"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Upfront Student Contributions</w:t>
            </w:r>
          </w:p>
        </w:tc>
        <w:tc>
          <w:tcPr>
            <w:tcW w:w="1277" w:type="dxa"/>
            <w:tcBorders>
              <w:top w:val="nil"/>
              <w:left w:val="single" w:sz="4" w:space="0" w:color="auto"/>
              <w:bottom w:val="single" w:sz="4" w:space="0" w:color="auto"/>
              <w:right w:val="single" w:sz="4" w:space="0" w:color="auto"/>
            </w:tcBorders>
            <w:noWrap/>
            <w:vAlign w:val="bottom"/>
            <w:hideMark/>
          </w:tcPr>
          <w:p w14:paraId="72FA2200" w14:textId="066FE862"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531,986</w:t>
            </w:r>
          </w:p>
        </w:tc>
        <w:tc>
          <w:tcPr>
            <w:tcW w:w="1276" w:type="dxa"/>
            <w:tcBorders>
              <w:top w:val="nil"/>
              <w:left w:val="nil"/>
              <w:bottom w:val="single" w:sz="4" w:space="0" w:color="auto"/>
              <w:right w:val="single" w:sz="4" w:space="0" w:color="auto"/>
            </w:tcBorders>
            <w:noWrap/>
            <w:vAlign w:val="bottom"/>
            <w:hideMark/>
          </w:tcPr>
          <w:p w14:paraId="00F75AA8" w14:textId="0E329ECB"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481,553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2C5D8DDD" w14:textId="47028526"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50,433</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1C181EEC" w14:textId="46BACD82"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10.5%</w:t>
            </w:r>
          </w:p>
        </w:tc>
      </w:tr>
      <w:tr w:rsidR="00673742" w:rsidRPr="009B5860" w14:paraId="58D4BCBD"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5CDA77B7"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International Student Fees</w:t>
            </w:r>
          </w:p>
        </w:tc>
        <w:tc>
          <w:tcPr>
            <w:tcW w:w="1277" w:type="dxa"/>
            <w:tcBorders>
              <w:top w:val="nil"/>
              <w:left w:val="single" w:sz="4" w:space="0" w:color="auto"/>
              <w:bottom w:val="single" w:sz="4" w:space="0" w:color="auto"/>
              <w:right w:val="single" w:sz="4" w:space="0" w:color="auto"/>
            </w:tcBorders>
            <w:noWrap/>
            <w:vAlign w:val="bottom"/>
            <w:hideMark/>
          </w:tcPr>
          <w:p w14:paraId="442F8E22" w14:textId="076AD1BE"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10,153,714</w:t>
            </w:r>
          </w:p>
        </w:tc>
        <w:tc>
          <w:tcPr>
            <w:tcW w:w="1276" w:type="dxa"/>
            <w:tcBorders>
              <w:top w:val="nil"/>
              <w:left w:val="nil"/>
              <w:bottom w:val="single" w:sz="4" w:space="0" w:color="auto"/>
              <w:right w:val="single" w:sz="4" w:space="0" w:color="auto"/>
            </w:tcBorders>
            <w:noWrap/>
            <w:vAlign w:val="bottom"/>
            <w:hideMark/>
          </w:tcPr>
          <w:p w14:paraId="6F6C8258" w14:textId="27FD0D83"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8,572,901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0D15B90" w14:textId="31FC29DD"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1,580,813</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AB264DF" w14:textId="31DEE3DE"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18.4%</w:t>
            </w:r>
          </w:p>
        </w:tc>
      </w:tr>
      <w:tr w:rsidR="00673742" w:rsidRPr="009B5860" w14:paraId="01DC9F86"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745996EB"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Other Fees and Charges</w:t>
            </w:r>
          </w:p>
        </w:tc>
        <w:tc>
          <w:tcPr>
            <w:tcW w:w="1277" w:type="dxa"/>
            <w:tcBorders>
              <w:top w:val="nil"/>
              <w:left w:val="single" w:sz="4" w:space="0" w:color="auto"/>
              <w:bottom w:val="single" w:sz="4" w:space="0" w:color="auto"/>
              <w:right w:val="single" w:sz="4" w:space="0" w:color="auto"/>
            </w:tcBorders>
            <w:noWrap/>
            <w:vAlign w:val="bottom"/>
            <w:hideMark/>
          </w:tcPr>
          <w:p w14:paraId="2BFFA3AB" w14:textId="4ED89AA8"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2,036,225</w:t>
            </w:r>
          </w:p>
        </w:tc>
        <w:tc>
          <w:tcPr>
            <w:tcW w:w="1276" w:type="dxa"/>
            <w:tcBorders>
              <w:top w:val="nil"/>
              <w:left w:val="nil"/>
              <w:bottom w:val="single" w:sz="4" w:space="0" w:color="auto"/>
              <w:right w:val="single" w:sz="4" w:space="0" w:color="auto"/>
            </w:tcBorders>
            <w:noWrap/>
            <w:vAlign w:val="bottom"/>
            <w:hideMark/>
          </w:tcPr>
          <w:p w14:paraId="093698FD" w14:textId="66B20528"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1,851,282</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E97C86D" w14:textId="567CBF79"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184,943</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FF0BF02" w14:textId="0ACA6D09"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10.0%</w:t>
            </w:r>
          </w:p>
        </w:tc>
      </w:tr>
      <w:tr w:rsidR="00673742" w:rsidRPr="009B5860" w14:paraId="67F7712D"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07E08B75"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Investment Revenue</w:t>
            </w:r>
          </w:p>
        </w:tc>
        <w:tc>
          <w:tcPr>
            <w:tcW w:w="1277" w:type="dxa"/>
            <w:tcBorders>
              <w:top w:val="nil"/>
              <w:left w:val="single" w:sz="4" w:space="0" w:color="auto"/>
              <w:bottom w:val="single" w:sz="4" w:space="0" w:color="auto"/>
              <w:right w:val="single" w:sz="4" w:space="0" w:color="auto"/>
            </w:tcBorders>
            <w:noWrap/>
            <w:vAlign w:val="bottom"/>
            <w:hideMark/>
          </w:tcPr>
          <w:p w14:paraId="4C52CEB0" w14:textId="12C5B136"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2,332,854</w:t>
            </w:r>
          </w:p>
        </w:tc>
        <w:tc>
          <w:tcPr>
            <w:tcW w:w="1276" w:type="dxa"/>
            <w:tcBorders>
              <w:top w:val="nil"/>
              <w:left w:val="nil"/>
              <w:bottom w:val="single" w:sz="4" w:space="0" w:color="auto"/>
              <w:right w:val="single" w:sz="4" w:space="0" w:color="auto"/>
            </w:tcBorders>
            <w:noWrap/>
            <w:vAlign w:val="bottom"/>
            <w:hideMark/>
          </w:tcPr>
          <w:p w14:paraId="1FD015D7" w14:textId="452C2E46"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FF0000"/>
                <w:sz w:val="20"/>
                <w:szCs w:val="20"/>
              </w:rPr>
              <w:t>(396,783)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CE2907B" w14:textId="4AF7FC1C"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2,729,637</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ACD7B13" w14:textId="268F9F5B"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FF0000"/>
                <w:sz w:val="20"/>
                <w:szCs w:val="20"/>
              </w:rPr>
              <w:t>-687.9%</w:t>
            </w:r>
          </w:p>
        </w:tc>
      </w:tr>
      <w:tr w:rsidR="00673742" w:rsidRPr="009B5860" w14:paraId="437B406A"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1ABDAD22"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Consultancy and Contracts</w:t>
            </w:r>
          </w:p>
        </w:tc>
        <w:tc>
          <w:tcPr>
            <w:tcW w:w="1277" w:type="dxa"/>
            <w:tcBorders>
              <w:top w:val="nil"/>
              <w:left w:val="single" w:sz="4" w:space="0" w:color="auto"/>
              <w:bottom w:val="single" w:sz="4" w:space="0" w:color="auto"/>
              <w:right w:val="single" w:sz="4" w:space="0" w:color="auto"/>
            </w:tcBorders>
            <w:noWrap/>
            <w:vAlign w:val="bottom"/>
            <w:hideMark/>
          </w:tcPr>
          <w:p w14:paraId="79A7A666" w14:textId="6EE13016"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2,266,267</w:t>
            </w:r>
          </w:p>
        </w:tc>
        <w:tc>
          <w:tcPr>
            <w:tcW w:w="1276" w:type="dxa"/>
            <w:tcBorders>
              <w:top w:val="nil"/>
              <w:left w:val="nil"/>
              <w:bottom w:val="single" w:sz="4" w:space="0" w:color="auto"/>
              <w:right w:val="single" w:sz="4" w:space="0" w:color="auto"/>
            </w:tcBorders>
            <w:noWrap/>
            <w:vAlign w:val="bottom"/>
            <w:hideMark/>
          </w:tcPr>
          <w:p w14:paraId="2FA787F9" w14:textId="4FFEA783"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2,039,413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49182B1B" w14:textId="776D3F9A"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226,854</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3F3A87DF" w14:textId="352DF02E"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11.1%</w:t>
            </w:r>
          </w:p>
        </w:tc>
      </w:tr>
      <w:tr w:rsidR="00673742" w:rsidRPr="009B5860" w14:paraId="79DB287F" w14:textId="77777777" w:rsidTr="00673742">
        <w:trPr>
          <w:trHeight w:val="300"/>
        </w:trPr>
        <w:tc>
          <w:tcPr>
            <w:tcW w:w="4388" w:type="dxa"/>
            <w:tcBorders>
              <w:top w:val="nil"/>
              <w:left w:val="single" w:sz="4" w:space="0" w:color="auto"/>
              <w:bottom w:val="single" w:sz="4" w:space="0" w:color="auto"/>
              <w:right w:val="single" w:sz="4" w:space="0" w:color="auto"/>
            </w:tcBorders>
            <w:noWrap/>
            <w:vAlign w:val="bottom"/>
            <w:hideMark/>
          </w:tcPr>
          <w:p w14:paraId="6A630A82" w14:textId="77777777" w:rsidR="00673742" w:rsidRPr="00EB4C52" w:rsidRDefault="00673742" w:rsidP="00673742">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Other Income *</w:t>
            </w:r>
          </w:p>
        </w:tc>
        <w:tc>
          <w:tcPr>
            <w:tcW w:w="1277" w:type="dxa"/>
            <w:tcBorders>
              <w:top w:val="nil"/>
              <w:left w:val="single" w:sz="4" w:space="0" w:color="auto"/>
              <w:bottom w:val="single" w:sz="4" w:space="0" w:color="auto"/>
              <w:right w:val="single" w:sz="4" w:space="0" w:color="auto"/>
            </w:tcBorders>
            <w:noWrap/>
            <w:vAlign w:val="bottom"/>
            <w:hideMark/>
          </w:tcPr>
          <w:p w14:paraId="7496FB8F" w14:textId="3E63EAA7"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2,257,054</w:t>
            </w:r>
          </w:p>
        </w:tc>
        <w:tc>
          <w:tcPr>
            <w:tcW w:w="1276" w:type="dxa"/>
            <w:tcBorders>
              <w:top w:val="nil"/>
              <w:left w:val="nil"/>
              <w:bottom w:val="single" w:sz="4" w:space="0" w:color="auto"/>
              <w:right w:val="single" w:sz="4" w:space="0" w:color="auto"/>
            </w:tcBorders>
            <w:noWrap/>
            <w:vAlign w:val="bottom"/>
            <w:hideMark/>
          </w:tcPr>
          <w:p w14:paraId="5F3D9116" w14:textId="1A2DEF9F"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2,132,573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57F3E7CF" w14:textId="6F4E7044"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124,481</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4310E2D7" w14:textId="2F35C1D0" w:rsidR="00673742" w:rsidRPr="00EB4C52" w:rsidRDefault="00673742" w:rsidP="00673742">
            <w:pPr>
              <w:spacing w:after="0" w:line="240" w:lineRule="auto"/>
              <w:jc w:val="right"/>
              <w:rPr>
                <w:rFonts w:eastAsia="Times New Roman" w:cstheme="minorHAnsi"/>
                <w:color w:val="000000"/>
                <w:sz w:val="20"/>
                <w:szCs w:val="20"/>
                <w:lang w:eastAsia="en-AU"/>
              </w:rPr>
            </w:pPr>
            <w:r w:rsidRPr="00050697">
              <w:rPr>
                <w:rFonts w:ascii="Calibri" w:hAnsi="Calibri" w:cs="Calibri"/>
                <w:color w:val="000000"/>
                <w:sz w:val="20"/>
                <w:szCs w:val="20"/>
              </w:rPr>
              <w:t>5.8%</w:t>
            </w:r>
          </w:p>
        </w:tc>
      </w:tr>
      <w:tr w:rsidR="00673742" w:rsidRPr="009B5860" w14:paraId="34EE6BC6" w14:textId="77777777" w:rsidTr="00673742">
        <w:trPr>
          <w:trHeight w:val="300"/>
        </w:trPr>
        <w:tc>
          <w:tcPr>
            <w:tcW w:w="438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67AD7A88" w14:textId="2CFC6DA4" w:rsidR="00673742" w:rsidRPr="00EB4C52" w:rsidRDefault="00673742" w:rsidP="00673742">
            <w:pPr>
              <w:spacing w:after="0" w:line="240" w:lineRule="auto"/>
              <w:rPr>
                <w:rFonts w:eastAsia="Times New Roman" w:cstheme="minorHAnsi"/>
                <w:b/>
                <w:bCs/>
                <w:color w:val="000000"/>
                <w:sz w:val="20"/>
                <w:szCs w:val="20"/>
                <w:lang w:eastAsia="en-AU"/>
              </w:rPr>
            </w:pPr>
            <w:r w:rsidRPr="00EB4C52">
              <w:rPr>
                <w:rFonts w:eastAsia="Times New Roman" w:cstheme="minorHAnsi"/>
                <w:b/>
                <w:bCs/>
                <w:color w:val="000000"/>
                <w:sz w:val="20"/>
                <w:szCs w:val="20"/>
                <w:lang w:eastAsia="en-AU"/>
              </w:rPr>
              <w:t>Total Revenue</w:t>
            </w:r>
          </w:p>
        </w:tc>
        <w:tc>
          <w:tcPr>
            <w:tcW w:w="127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0542B0EA" w14:textId="3C590BA0"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40,000,285</w:t>
            </w:r>
          </w:p>
        </w:tc>
        <w:tc>
          <w:tcPr>
            <w:tcW w:w="1276" w:type="dxa"/>
            <w:tcBorders>
              <w:top w:val="nil"/>
              <w:left w:val="nil"/>
              <w:bottom w:val="single" w:sz="4" w:space="0" w:color="auto"/>
              <w:right w:val="single" w:sz="4" w:space="0" w:color="auto"/>
            </w:tcBorders>
            <w:shd w:val="clear" w:color="auto" w:fill="90D8CF" w:themeFill="accent4" w:themeFillTint="99"/>
            <w:noWrap/>
            <w:vAlign w:val="bottom"/>
            <w:hideMark/>
          </w:tcPr>
          <w:p w14:paraId="6A89BDFF" w14:textId="3F1FC268"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34,712,734</w:t>
            </w:r>
          </w:p>
        </w:tc>
        <w:tc>
          <w:tcPr>
            <w:tcW w:w="1134" w:type="dxa"/>
            <w:tcBorders>
              <w:top w:val="nil"/>
              <w:left w:val="nil"/>
              <w:bottom w:val="single" w:sz="4" w:space="0" w:color="auto"/>
              <w:right w:val="single" w:sz="4" w:space="0" w:color="auto"/>
            </w:tcBorders>
            <w:shd w:val="clear" w:color="auto" w:fill="90D8CF" w:themeFill="accent4" w:themeFillTint="99"/>
            <w:noWrap/>
            <w:vAlign w:val="bottom"/>
            <w:hideMark/>
          </w:tcPr>
          <w:p w14:paraId="414ADA4B" w14:textId="4071DBFC"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5,287,551</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6FA55658" w14:textId="6B1121F8" w:rsidR="00673742" w:rsidRPr="00EB4C52" w:rsidRDefault="00673742" w:rsidP="00673742">
            <w:pPr>
              <w:spacing w:after="0" w:line="240" w:lineRule="auto"/>
              <w:jc w:val="right"/>
              <w:rPr>
                <w:rFonts w:eastAsia="Times New Roman" w:cstheme="minorHAnsi"/>
                <w:b/>
                <w:bCs/>
                <w:color w:val="000000"/>
                <w:sz w:val="20"/>
                <w:szCs w:val="20"/>
                <w:lang w:eastAsia="en-AU"/>
              </w:rPr>
            </w:pPr>
            <w:r w:rsidRPr="00050697">
              <w:rPr>
                <w:rFonts w:ascii="Calibri" w:hAnsi="Calibri" w:cs="Calibri"/>
                <w:b/>
                <w:bCs/>
                <w:color w:val="000000"/>
                <w:sz w:val="20"/>
                <w:szCs w:val="20"/>
              </w:rPr>
              <w:t>15.2%</w:t>
            </w:r>
          </w:p>
        </w:tc>
      </w:tr>
    </w:tbl>
    <w:p w14:paraId="6B22870A" w14:textId="77777777" w:rsidR="00E21C6D" w:rsidRPr="00D32BFB" w:rsidRDefault="00E21C6D" w:rsidP="00E21C6D">
      <w:pPr>
        <w:spacing w:before="120" w:after="0"/>
        <w:rPr>
          <w:rFonts w:eastAsia="Times New Roman" w:cstheme="minorHAnsi"/>
          <w:color w:val="000000"/>
          <w:sz w:val="18"/>
          <w:szCs w:val="18"/>
          <w:lang w:eastAsia="en-AU"/>
        </w:rPr>
      </w:pPr>
      <w:r w:rsidRPr="00D32BFB">
        <w:rPr>
          <w:rFonts w:eastAsia="Times New Roman" w:cstheme="minorHAnsi"/>
          <w:color w:val="000000"/>
          <w:sz w:val="18"/>
          <w:szCs w:val="18"/>
          <w:lang w:eastAsia="en-AU"/>
        </w:rPr>
        <w:t>* Other income includes royalties, trademarks and licenses and the share of net result of associates and joint ventures accounted for using the equity method.</w:t>
      </w:r>
    </w:p>
    <w:p w14:paraId="26A37AE1" w14:textId="77777777" w:rsidR="00E21C6D" w:rsidRPr="00D32BFB" w:rsidRDefault="00E21C6D" w:rsidP="00E21C6D">
      <w:pPr>
        <w:spacing w:after="0"/>
        <w:rPr>
          <w:rStyle w:val="Strong"/>
        </w:rPr>
      </w:pPr>
    </w:p>
    <w:p w14:paraId="0C5684EC" w14:textId="29A299C2" w:rsidR="00E44274" w:rsidRDefault="00E44274" w:rsidP="0089445F">
      <w:pPr>
        <w:pStyle w:val="Heading6"/>
        <w:rPr>
          <w:rStyle w:val="Strong"/>
          <w:b/>
          <w:bCs w:val="0"/>
        </w:rPr>
      </w:pPr>
      <w:r w:rsidRPr="00D32BFB">
        <w:rPr>
          <w:rStyle w:val="Strong"/>
          <w:b/>
          <w:bCs w:val="0"/>
        </w:rPr>
        <w:t xml:space="preserve">Figure </w:t>
      </w:r>
      <w:r w:rsidR="00DB646E" w:rsidRPr="00D32BFB">
        <w:rPr>
          <w:rStyle w:val="Strong"/>
          <w:b/>
          <w:bCs w:val="0"/>
        </w:rPr>
        <w:t>3</w:t>
      </w:r>
      <w:r w:rsidRPr="00D32BFB">
        <w:rPr>
          <w:rStyle w:val="Strong"/>
          <w:b/>
          <w:bCs w:val="0"/>
        </w:rPr>
        <w:t>: 201</w:t>
      </w:r>
      <w:r w:rsidR="00B413C1" w:rsidRPr="00D32BFB">
        <w:rPr>
          <w:rStyle w:val="Strong"/>
          <w:b/>
          <w:bCs w:val="0"/>
        </w:rPr>
        <w:t>4</w:t>
      </w:r>
      <w:r w:rsidRPr="00D32BFB">
        <w:rPr>
          <w:rStyle w:val="Strong"/>
          <w:b/>
          <w:bCs w:val="0"/>
        </w:rPr>
        <w:t>-202</w:t>
      </w:r>
      <w:r w:rsidR="00B413C1" w:rsidRPr="00D32BFB">
        <w:rPr>
          <w:rStyle w:val="Strong"/>
          <w:b/>
          <w:bCs w:val="0"/>
        </w:rPr>
        <w:t>3</w:t>
      </w:r>
      <w:r w:rsidRPr="00D32BFB">
        <w:rPr>
          <w:rStyle w:val="Strong"/>
          <w:b/>
          <w:bCs w:val="0"/>
        </w:rPr>
        <w:t xml:space="preserve"> Revenue by Source</w:t>
      </w:r>
    </w:p>
    <w:p w14:paraId="55CC4BE3" w14:textId="74C4FBC0" w:rsidR="00673742" w:rsidRPr="00673742" w:rsidRDefault="00673742" w:rsidP="00673742">
      <w:r>
        <w:rPr>
          <w:noProof/>
        </w:rPr>
        <w:drawing>
          <wp:inline distT="0" distB="0" distL="0" distR="0" wp14:anchorId="43FAE5AB" wp14:editId="7A08216B">
            <wp:extent cx="5695950" cy="3448050"/>
            <wp:effectExtent l="0" t="0" r="0" b="0"/>
            <wp:docPr id="2026850308" name="Chart 1">
              <a:extLst xmlns:a="http://schemas.openxmlformats.org/drawingml/2006/main">
                <a:ext uri="{FF2B5EF4-FFF2-40B4-BE49-F238E27FC236}">
                  <a16:creationId xmlns:a16="http://schemas.microsoft.com/office/drawing/2014/main" id="{03772FEF-7760-CB35-9C77-089D0D58E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FE382E" w14:textId="41929FF7" w:rsidR="00B413C1" w:rsidRPr="00D32BFB" w:rsidRDefault="00B413C1" w:rsidP="00D32BFB">
      <w:pPr>
        <w:rPr>
          <w:highlight w:val="yellow"/>
        </w:rPr>
      </w:pPr>
    </w:p>
    <w:p w14:paraId="48DBC81E" w14:textId="5DF1607F" w:rsidR="00FD5D18" w:rsidRPr="00992260" w:rsidRDefault="00FD5D18" w:rsidP="00766865">
      <w:pPr>
        <w:spacing w:after="120"/>
        <w:rPr>
          <w:rFonts w:asciiTheme="majorHAnsi" w:eastAsiaTheme="majorEastAsia" w:hAnsiTheme="majorHAnsi" w:cstheme="majorBidi"/>
          <w:b/>
          <w:color w:val="55437E" w:themeColor="accent2"/>
          <w:sz w:val="44"/>
          <w:szCs w:val="26"/>
          <w:highlight w:val="yellow"/>
        </w:rPr>
      </w:pPr>
      <w:r w:rsidRPr="00992260">
        <w:rPr>
          <w:highlight w:val="yellow"/>
        </w:rPr>
        <w:br w:type="page"/>
      </w:r>
    </w:p>
    <w:p w14:paraId="193BE170" w14:textId="78F9E4D8" w:rsidR="001E12DE" w:rsidRPr="00D35E6F" w:rsidRDefault="00DE0A07" w:rsidP="001E7AA9">
      <w:pPr>
        <w:pStyle w:val="Heading6"/>
      </w:pPr>
      <w:r w:rsidRPr="00D35E6F">
        <w:rPr>
          <w:noProof/>
        </w:rPr>
        <w:lastRenderedPageBreak/>
        <mc:AlternateContent>
          <mc:Choice Requires="wps">
            <w:drawing>
              <wp:anchor distT="0" distB="0" distL="114300" distR="114300" simplePos="0" relativeHeight="251738624" behindDoc="0" locked="0" layoutInCell="1" allowOverlap="1" wp14:anchorId="755C5DB8" wp14:editId="42DEF473">
                <wp:simplePos x="0" y="0"/>
                <wp:positionH relativeFrom="column">
                  <wp:posOffset>3020060</wp:posOffset>
                </wp:positionH>
                <wp:positionV relativeFrom="paragraph">
                  <wp:posOffset>177165</wp:posOffset>
                </wp:positionV>
                <wp:extent cx="2699385" cy="2339975"/>
                <wp:effectExtent l="0" t="0" r="24765" b="22225"/>
                <wp:wrapNone/>
                <wp:docPr id="35" name="Rectangle: Rounded Corners 35"/>
                <wp:cNvGraphicFramePr/>
                <a:graphic xmlns:a="http://schemas.openxmlformats.org/drawingml/2006/main">
                  <a:graphicData uri="http://schemas.microsoft.com/office/word/2010/wordprocessingShape">
                    <wps:wsp>
                      <wps:cNvSpPr/>
                      <wps:spPr>
                        <a:xfrm>
                          <a:off x="0" y="0"/>
                          <a:ext cx="2699385" cy="233997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3F0296F" w14:textId="302D9624" w:rsidR="00AA62BB" w:rsidRPr="0084464F" w:rsidRDefault="00AA62BB" w:rsidP="00AA62BB">
                            <w:pPr>
                              <w:jc w:val="center"/>
                              <w:rPr>
                                <w:color w:val="FFFFFF" w:themeColor="background1"/>
                                <w:sz w:val="24"/>
                                <w:szCs w:val="24"/>
                                <w14:textOutline w14:w="0" w14:cap="flat" w14:cmpd="sng" w14:algn="ctr">
                                  <w14:noFill/>
                                  <w14:prstDash w14:val="solid"/>
                                  <w14:round/>
                                </w14:textOutline>
                              </w:rPr>
                            </w:pPr>
                            <w:r w:rsidRPr="00E01918">
                              <w:rPr>
                                <w:color w:val="006372" w:themeColor="accent1" w:themeShade="BF"/>
                                <w:sz w:val="24"/>
                                <w:szCs w:val="24"/>
                                <w14:textOutline w14:w="0" w14:cap="flat" w14:cmpd="sng" w14:algn="ctr">
                                  <w14:noFill/>
                                  <w14:prstDash w14:val="solid"/>
                                  <w14:round/>
                                </w14:textOutline>
                              </w:rPr>
                              <w:t xml:space="preserve">Australian Government </w:t>
                            </w:r>
                            <w:r w:rsidR="00DA4635">
                              <w:rPr>
                                <w:color w:val="006372" w:themeColor="accent1" w:themeShade="BF"/>
                                <w:sz w:val="24"/>
                                <w:szCs w:val="24"/>
                                <w14:textOutline w14:w="0" w14:cap="flat" w14:cmpd="sng" w14:algn="ctr">
                                  <w14:noFill/>
                                  <w14:prstDash w14:val="solid"/>
                                  <w14:round/>
                                </w14:textOutline>
                              </w:rPr>
                              <w:t>f</w:t>
                            </w:r>
                            <w:r w:rsidRPr="00E01918">
                              <w:rPr>
                                <w:color w:val="006372" w:themeColor="accent1" w:themeShade="BF"/>
                                <w:sz w:val="24"/>
                                <w:szCs w:val="24"/>
                                <w14:textOutline w14:w="0" w14:cap="flat" w14:cmpd="sng" w14:algn="ctr">
                                  <w14:noFill/>
                                  <w14:prstDash w14:val="solid"/>
                                  <w14:round/>
                                </w14:textOutline>
                              </w:rPr>
                              <w:t xml:space="preserve">inancial </w:t>
                            </w:r>
                            <w:r w:rsidR="00DA4635">
                              <w:rPr>
                                <w:color w:val="006372" w:themeColor="accent1" w:themeShade="BF"/>
                                <w:sz w:val="24"/>
                                <w:szCs w:val="24"/>
                                <w14:textOutline w14:w="0" w14:cap="flat" w14:cmpd="sng" w14:algn="ctr">
                                  <w14:noFill/>
                                  <w14:prstDash w14:val="solid"/>
                                  <w14:round/>
                                </w14:textOutline>
                              </w:rPr>
                              <w:t>a</w:t>
                            </w:r>
                            <w:r w:rsidRPr="00E01918">
                              <w:rPr>
                                <w:color w:val="006372" w:themeColor="accent1" w:themeShade="BF"/>
                                <w:sz w:val="24"/>
                                <w:szCs w:val="24"/>
                                <w14:textOutline w14:w="0" w14:cap="flat" w14:cmpd="sng" w14:algn="ctr">
                                  <w14:noFill/>
                                  <w14:prstDash w14:val="solid"/>
                                  <w14:round/>
                                </w14:textOutline>
                              </w:rPr>
                              <w:t xml:space="preserve">ssistance </w:t>
                            </w:r>
                            <w:r w:rsidR="00ED7063" w:rsidRPr="00E01918">
                              <w:rPr>
                                <w:color w:val="006372" w:themeColor="accent1" w:themeShade="BF"/>
                                <w:sz w:val="24"/>
                                <w:szCs w:val="24"/>
                                <w14:textOutline w14:w="0" w14:cap="flat" w14:cmpd="sng" w14:algn="ctr">
                                  <w14:noFill/>
                                  <w14:prstDash w14:val="solid"/>
                                  <w14:round/>
                                </w14:textOutline>
                              </w:rPr>
                              <w:t xml:space="preserve">has </w:t>
                            </w:r>
                            <w:r w:rsidR="00D35E6F">
                              <w:rPr>
                                <w:color w:val="006372" w:themeColor="accent1" w:themeShade="BF"/>
                                <w:sz w:val="24"/>
                                <w:szCs w:val="24"/>
                                <w14:textOutline w14:w="0" w14:cap="flat" w14:cmpd="sng" w14:algn="ctr">
                                  <w14:noFill/>
                                  <w14:prstDash w14:val="solid"/>
                                  <w14:round/>
                                </w14:textOutline>
                              </w:rPr>
                              <w:t>risen steadily</w:t>
                            </w:r>
                            <w:r w:rsidR="004A5E8A" w:rsidRPr="00E01918">
                              <w:rPr>
                                <w:color w:val="006372" w:themeColor="accent1" w:themeShade="BF"/>
                                <w:sz w:val="24"/>
                                <w:szCs w:val="24"/>
                                <w14:textOutline w14:w="0" w14:cap="flat" w14:cmpd="sng" w14:algn="ctr">
                                  <w14:noFill/>
                                  <w14:prstDash w14:val="solid"/>
                                  <w14:round/>
                                </w14:textOutline>
                              </w:rPr>
                              <w:t xml:space="preserve"> </w:t>
                            </w:r>
                            <w:r w:rsidR="00794BDD">
                              <w:rPr>
                                <w:color w:val="006372" w:themeColor="accent1" w:themeShade="BF"/>
                                <w:sz w:val="24"/>
                                <w:szCs w:val="24"/>
                                <w14:textOutline w14:w="0" w14:cap="flat" w14:cmpd="sng" w14:algn="ctr">
                                  <w14:noFill/>
                                  <w14:prstDash w14:val="solid"/>
                                  <w14:round/>
                                </w14:textOutline>
                              </w:rPr>
                              <w:t xml:space="preserve">over the past </w:t>
                            </w:r>
                            <w:r w:rsidR="00D35E6F">
                              <w:rPr>
                                <w:color w:val="006372" w:themeColor="accent1" w:themeShade="BF"/>
                                <w:sz w:val="24"/>
                                <w:szCs w:val="24"/>
                                <w14:textOutline w14:w="0" w14:cap="flat" w14:cmpd="sng" w14:algn="ctr">
                                  <w14:noFill/>
                                  <w14:prstDash w14:val="solid"/>
                                  <w14:round/>
                                </w14:textOutline>
                              </w:rPr>
                              <w:t>10</w:t>
                            </w:r>
                            <w:r w:rsidR="00794BDD">
                              <w:rPr>
                                <w:color w:val="006372" w:themeColor="accent1" w:themeShade="BF"/>
                                <w:sz w:val="24"/>
                                <w:szCs w:val="24"/>
                                <w14:textOutline w14:w="0" w14:cap="flat" w14:cmpd="sng" w14:algn="ctr">
                                  <w14:noFill/>
                                  <w14:prstDash w14:val="solid"/>
                                  <w14:round/>
                                </w14:textOutline>
                              </w:rPr>
                              <w:t xml:space="preserve"> years, up </w:t>
                            </w:r>
                            <w:r w:rsidR="004A5E8A" w:rsidRPr="00E01918">
                              <w:rPr>
                                <w:color w:val="006372" w:themeColor="accent1" w:themeShade="BF"/>
                                <w:sz w:val="24"/>
                                <w:szCs w:val="24"/>
                                <w14:textOutline w14:w="0" w14:cap="flat" w14:cmpd="sng" w14:algn="ctr">
                                  <w14:noFill/>
                                  <w14:prstDash w14:val="solid"/>
                                  <w14:round/>
                                </w14:textOutline>
                              </w:rPr>
                              <w:t xml:space="preserve">from </w:t>
                            </w:r>
                            <w:r w:rsidR="00794BDD">
                              <w:rPr>
                                <w:color w:val="006372" w:themeColor="accent1" w:themeShade="BF"/>
                                <w:sz w:val="24"/>
                                <w:szCs w:val="24"/>
                                <w14:textOutline w14:w="0" w14:cap="flat" w14:cmpd="sng" w14:algn="ctr">
                                  <w14:noFill/>
                                  <w14:prstDash w14:val="solid"/>
                                  <w14:round/>
                                </w14:textOutline>
                              </w:rPr>
                              <w:t>$1</w:t>
                            </w:r>
                            <w:r w:rsidR="00D35E6F">
                              <w:rPr>
                                <w:color w:val="006372" w:themeColor="accent1" w:themeShade="BF"/>
                                <w:sz w:val="24"/>
                                <w:szCs w:val="24"/>
                                <w14:textOutline w14:w="0" w14:cap="flat" w14:cmpd="sng" w14:algn="ctr">
                                  <w14:noFill/>
                                  <w14:prstDash w14:val="solid"/>
                                  <w14:round/>
                                </w14:textOutline>
                              </w:rPr>
                              <w:t>6.1</w:t>
                            </w:r>
                            <w:r w:rsidR="002B7819">
                              <w:rPr>
                                <w:color w:val="006372" w:themeColor="accent1" w:themeShade="BF"/>
                                <w:sz w:val="24"/>
                                <w:szCs w:val="24"/>
                                <w14:textOutline w14:w="0" w14:cap="flat" w14:cmpd="sng" w14:algn="ctr">
                                  <w14:noFill/>
                                  <w14:prstDash w14:val="solid"/>
                                  <w14:round/>
                                </w14:textOutline>
                              </w:rPr>
                              <w:t> </w:t>
                            </w:r>
                            <w:r w:rsidR="00794BDD">
                              <w:rPr>
                                <w:color w:val="006372" w:themeColor="accent1" w:themeShade="BF"/>
                                <w:sz w:val="24"/>
                                <w:szCs w:val="24"/>
                                <w14:textOutline w14:w="0" w14:cap="flat" w14:cmpd="sng" w14:algn="ctr">
                                  <w14:noFill/>
                                  <w14:prstDash w14:val="solid"/>
                                  <w14:round/>
                                </w14:textOutline>
                              </w:rPr>
                              <w:t xml:space="preserve">billion in </w:t>
                            </w:r>
                            <w:r w:rsidR="004A5E8A" w:rsidRPr="00E01918">
                              <w:rPr>
                                <w:color w:val="006372" w:themeColor="accent1" w:themeShade="BF"/>
                                <w:sz w:val="24"/>
                                <w:szCs w:val="24"/>
                                <w14:textOutline w14:w="0" w14:cap="flat" w14:cmpd="sng" w14:algn="ctr">
                                  <w14:noFill/>
                                  <w14:prstDash w14:val="solid"/>
                                  <w14:round/>
                                </w14:textOutline>
                              </w:rPr>
                              <w:t>201</w:t>
                            </w:r>
                            <w:r w:rsidR="00D35E6F">
                              <w:rPr>
                                <w:color w:val="006372" w:themeColor="accent1" w:themeShade="BF"/>
                                <w:sz w:val="24"/>
                                <w:szCs w:val="24"/>
                                <w14:textOutline w14:w="0" w14:cap="flat" w14:cmpd="sng" w14:algn="ctr">
                                  <w14:noFill/>
                                  <w14:prstDash w14:val="solid"/>
                                  <w14:round/>
                                </w14:textOutline>
                              </w:rPr>
                              <w:t>4</w:t>
                            </w:r>
                            <w:r w:rsidR="00794BDD">
                              <w:rPr>
                                <w:color w:val="006372" w:themeColor="accent1" w:themeShade="BF"/>
                                <w:sz w:val="24"/>
                                <w:szCs w:val="24"/>
                                <w14:textOutline w14:w="0" w14:cap="flat" w14:cmpd="sng" w14:algn="ctr">
                                  <w14:noFill/>
                                  <w14:prstDash w14:val="solid"/>
                                  <w14:round/>
                                </w14:textOutline>
                              </w:rPr>
                              <w:t xml:space="preserve"> to $19.</w:t>
                            </w:r>
                            <w:r w:rsidR="00D35E6F">
                              <w:rPr>
                                <w:color w:val="006372" w:themeColor="accent1" w:themeShade="BF"/>
                                <w:sz w:val="24"/>
                                <w:szCs w:val="24"/>
                                <w14:textOutline w14:w="0" w14:cap="flat" w14:cmpd="sng" w14:algn="ctr">
                                  <w14:noFill/>
                                  <w14:prstDash w14:val="solid"/>
                                  <w14:round/>
                                </w14:textOutline>
                              </w:rPr>
                              <w:t>5</w:t>
                            </w:r>
                            <w:r w:rsidR="002B7819">
                              <w:rPr>
                                <w:color w:val="006372" w:themeColor="accent1" w:themeShade="BF"/>
                                <w:sz w:val="24"/>
                                <w:szCs w:val="24"/>
                                <w14:textOutline w14:w="0" w14:cap="flat" w14:cmpd="sng" w14:algn="ctr">
                                  <w14:noFill/>
                                  <w14:prstDash w14:val="solid"/>
                                  <w14:round/>
                                </w14:textOutline>
                              </w:rPr>
                              <w:t> </w:t>
                            </w:r>
                            <w:r w:rsidR="00794BDD">
                              <w:rPr>
                                <w:color w:val="006372" w:themeColor="accent1" w:themeShade="BF"/>
                                <w:sz w:val="24"/>
                                <w:szCs w:val="24"/>
                                <w14:textOutline w14:w="0" w14:cap="flat" w14:cmpd="sng" w14:algn="ctr">
                                  <w14:noFill/>
                                  <w14:prstDash w14:val="solid"/>
                                  <w14:round/>
                                </w14:textOutline>
                              </w:rPr>
                              <w:t>billion in 202</w:t>
                            </w:r>
                            <w:r w:rsidR="00D35E6F">
                              <w:rPr>
                                <w:color w:val="006372" w:themeColor="accent1" w:themeShade="BF"/>
                                <w:sz w:val="24"/>
                                <w:szCs w:val="24"/>
                                <w14:textOutline w14:w="0" w14:cap="flat" w14:cmpd="sng" w14:algn="ctr">
                                  <w14:noFill/>
                                  <w14:prstDash w14:val="solid"/>
                                  <w14:round/>
                                </w14:textOutline>
                              </w:rPr>
                              <w:t>3</w:t>
                            </w:r>
                            <w:r w:rsidR="004A5E8A" w:rsidRPr="00E01918">
                              <w:rPr>
                                <w:color w:val="006372" w:themeColor="accent1" w:themeShade="BF"/>
                                <w:sz w:val="24"/>
                                <w:szCs w:val="24"/>
                                <w14:textOutline w14:w="0" w14:cap="flat" w14:cmpd="sng" w14:algn="ctr">
                                  <w14:noFill/>
                                  <w14:prstDash w14:val="solid"/>
                                  <w14:round/>
                                </w14:textOutline>
                              </w:rPr>
                              <w:t>.</w:t>
                            </w:r>
                            <w:r w:rsidR="00ED7063" w:rsidRPr="00E01918">
                              <w:rPr>
                                <w:color w:val="006372" w:themeColor="accent1" w:themeShade="BF"/>
                                <w:sz w:val="24"/>
                                <w:szCs w:val="24"/>
                                <w14:textOutline w14:w="0" w14:cap="flat" w14:cmpd="sng" w14:algn="ctr">
                                  <w14:noFill/>
                                  <w14:prstDash w14:val="solid"/>
                                  <w14:round/>
                                </w14:textOutline>
                              </w:rPr>
                              <w:t xml:space="preserve"> The jump in revenue reported in 2021 was due to the Government’s additional</w:t>
                            </w:r>
                            <w:r w:rsidR="00794BDD">
                              <w:rPr>
                                <w:color w:val="006372" w:themeColor="accent1" w:themeShade="BF"/>
                                <w:sz w:val="24"/>
                                <w:szCs w:val="24"/>
                                <w14:textOutline w14:w="0" w14:cap="flat" w14:cmpd="sng" w14:algn="ctr">
                                  <w14:noFill/>
                                  <w14:prstDash w14:val="solid"/>
                                  <w14:round/>
                                </w14:textOutline>
                              </w:rPr>
                              <w:t xml:space="preserve"> </w:t>
                            </w:r>
                            <w:r w:rsidR="00794BDD" w:rsidRPr="00E01918">
                              <w:rPr>
                                <w:color w:val="006372" w:themeColor="accent1" w:themeShade="BF"/>
                                <w:sz w:val="24"/>
                                <w:szCs w:val="24"/>
                                <w14:textOutline w14:w="0" w14:cap="flat" w14:cmpd="sng" w14:algn="ctr">
                                  <w14:noFill/>
                                  <w14:prstDash w14:val="solid"/>
                                  <w14:round/>
                                </w14:textOutline>
                              </w:rPr>
                              <w:t xml:space="preserve">$1 billion in </w:t>
                            </w:r>
                            <w:r w:rsidR="00ED7063" w:rsidRPr="00E01918">
                              <w:rPr>
                                <w:color w:val="006372" w:themeColor="accent1" w:themeShade="BF"/>
                                <w:sz w:val="24"/>
                                <w:szCs w:val="24"/>
                                <w14:textOutline w14:w="0" w14:cap="flat" w14:cmpd="sng" w14:algn="ctr">
                                  <w14:noFill/>
                                  <w14:prstDash w14:val="solid"/>
                                  <w14:round/>
                                </w14:textOutline>
                              </w:rPr>
                              <w:t>research funding</w:t>
                            </w:r>
                            <w:r w:rsidR="00794BDD">
                              <w:rPr>
                                <w:color w:val="006372" w:themeColor="accent1" w:themeShade="BF"/>
                                <w:sz w:val="24"/>
                                <w:szCs w:val="24"/>
                                <w14:textOutline w14:w="0" w14:cap="flat" w14:cmpd="sng" w14:algn="ctr">
                                  <w14:noFill/>
                                  <w14:prstDash w14:val="solid"/>
                                  <w14:round/>
                                </w14:textOutline>
                              </w:rPr>
                              <w:t xml:space="preserve"> provided as </w:t>
                            </w:r>
                            <w:r w:rsidR="00794BDD" w:rsidRPr="00E01918">
                              <w:rPr>
                                <w:color w:val="006372" w:themeColor="accent1" w:themeShade="BF"/>
                                <w:sz w:val="24"/>
                                <w:szCs w:val="24"/>
                                <w14:textOutline w14:w="0" w14:cap="flat" w14:cmpd="sng" w14:algn="ctr">
                                  <w14:noFill/>
                                  <w14:prstDash w14:val="solid"/>
                                  <w14:round/>
                                </w14:textOutline>
                              </w:rPr>
                              <w:t>pandemic support</w:t>
                            </w:r>
                            <w:r w:rsidR="00794BDD">
                              <w:rPr>
                                <w:color w:val="006372" w:themeColor="accent1" w:themeShade="BF"/>
                                <w:sz w:val="24"/>
                                <w:szCs w:val="24"/>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C5DB8" id="Rectangle: Rounded Corners 35" o:spid="_x0000_s1026" style="position:absolute;margin-left:237.8pt;margin-top:13.95pt;width:212.55pt;height:184.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" fillcolor="white [3201]" strokecolor="#008599 [3204]" strokeweight="1pt">
                <v:stroke joinstyle="miter"/>
                <v:textbox>
                  <w:txbxContent>
                    <w:p w14:paraId="73F0296F" w14:textId="302D9624" w:rsidR="00AA62BB" w:rsidRPr="0084464F" w:rsidRDefault="00AA62BB" w:rsidP="00AA62BB">
                      <w:pPr>
                        <w:jc w:val="center"/>
                        <w:rPr>
                          <w:color w:val="FFFFFF" w:themeColor="background1"/>
                          <w:sz w:val="24"/>
                          <w:szCs w:val="24"/>
                          <w14:textOutline w14:w="0" w14:cap="flat" w14:cmpd="sng" w14:algn="ctr">
                            <w14:noFill/>
                            <w14:prstDash w14:val="solid"/>
                            <w14:round/>
                          </w14:textOutline>
                        </w:rPr>
                      </w:pPr>
                      <w:r w:rsidRPr="00E01918">
                        <w:rPr>
                          <w:color w:val="006372" w:themeColor="accent1" w:themeShade="BF"/>
                          <w:sz w:val="24"/>
                          <w:szCs w:val="24"/>
                          <w14:textOutline w14:w="0" w14:cap="flat" w14:cmpd="sng" w14:algn="ctr">
                            <w14:noFill/>
                            <w14:prstDash w14:val="solid"/>
                            <w14:round/>
                          </w14:textOutline>
                        </w:rPr>
                        <w:t xml:space="preserve">Australian Government </w:t>
                      </w:r>
                      <w:r w:rsidR="00DA4635">
                        <w:rPr>
                          <w:color w:val="006372" w:themeColor="accent1" w:themeShade="BF"/>
                          <w:sz w:val="24"/>
                          <w:szCs w:val="24"/>
                          <w14:textOutline w14:w="0" w14:cap="flat" w14:cmpd="sng" w14:algn="ctr">
                            <w14:noFill/>
                            <w14:prstDash w14:val="solid"/>
                            <w14:round/>
                          </w14:textOutline>
                        </w:rPr>
                        <w:t>f</w:t>
                      </w:r>
                      <w:r w:rsidRPr="00E01918">
                        <w:rPr>
                          <w:color w:val="006372" w:themeColor="accent1" w:themeShade="BF"/>
                          <w:sz w:val="24"/>
                          <w:szCs w:val="24"/>
                          <w14:textOutline w14:w="0" w14:cap="flat" w14:cmpd="sng" w14:algn="ctr">
                            <w14:noFill/>
                            <w14:prstDash w14:val="solid"/>
                            <w14:round/>
                          </w14:textOutline>
                        </w:rPr>
                        <w:t xml:space="preserve">inancial </w:t>
                      </w:r>
                      <w:r w:rsidR="00DA4635">
                        <w:rPr>
                          <w:color w:val="006372" w:themeColor="accent1" w:themeShade="BF"/>
                          <w:sz w:val="24"/>
                          <w:szCs w:val="24"/>
                          <w14:textOutline w14:w="0" w14:cap="flat" w14:cmpd="sng" w14:algn="ctr">
                            <w14:noFill/>
                            <w14:prstDash w14:val="solid"/>
                            <w14:round/>
                          </w14:textOutline>
                        </w:rPr>
                        <w:t>a</w:t>
                      </w:r>
                      <w:r w:rsidRPr="00E01918">
                        <w:rPr>
                          <w:color w:val="006372" w:themeColor="accent1" w:themeShade="BF"/>
                          <w:sz w:val="24"/>
                          <w:szCs w:val="24"/>
                          <w14:textOutline w14:w="0" w14:cap="flat" w14:cmpd="sng" w14:algn="ctr">
                            <w14:noFill/>
                            <w14:prstDash w14:val="solid"/>
                            <w14:round/>
                          </w14:textOutline>
                        </w:rPr>
                        <w:t xml:space="preserve">ssistance </w:t>
                      </w:r>
                      <w:r w:rsidR="00ED7063" w:rsidRPr="00E01918">
                        <w:rPr>
                          <w:color w:val="006372" w:themeColor="accent1" w:themeShade="BF"/>
                          <w:sz w:val="24"/>
                          <w:szCs w:val="24"/>
                          <w14:textOutline w14:w="0" w14:cap="flat" w14:cmpd="sng" w14:algn="ctr">
                            <w14:noFill/>
                            <w14:prstDash w14:val="solid"/>
                            <w14:round/>
                          </w14:textOutline>
                        </w:rPr>
                        <w:t xml:space="preserve">has </w:t>
                      </w:r>
                      <w:r w:rsidR="00D35E6F">
                        <w:rPr>
                          <w:color w:val="006372" w:themeColor="accent1" w:themeShade="BF"/>
                          <w:sz w:val="24"/>
                          <w:szCs w:val="24"/>
                          <w14:textOutline w14:w="0" w14:cap="flat" w14:cmpd="sng" w14:algn="ctr">
                            <w14:noFill/>
                            <w14:prstDash w14:val="solid"/>
                            <w14:round/>
                          </w14:textOutline>
                        </w:rPr>
                        <w:t>risen steadily</w:t>
                      </w:r>
                      <w:r w:rsidR="004A5E8A" w:rsidRPr="00E01918">
                        <w:rPr>
                          <w:color w:val="006372" w:themeColor="accent1" w:themeShade="BF"/>
                          <w:sz w:val="24"/>
                          <w:szCs w:val="24"/>
                          <w14:textOutline w14:w="0" w14:cap="flat" w14:cmpd="sng" w14:algn="ctr">
                            <w14:noFill/>
                            <w14:prstDash w14:val="solid"/>
                            <w14:round/>
                          </w14:textOutline>
                        </w:rPr>
                        <w:t xml:space="preserve"> </w:t>
                      </w:r>
                      <w:r w:rsidR="00794BDD">
                        <w:rPr>
                          <w:color w:val="006372" w:themeColor="accent1" w:themeShade="BF"/>
                          <w:sz w:val="24"/>
                          <w:szCs w:val="24"/>
                          <w14:textOutline w14:w="0" w14:cap="flat" w14:cmpd="sng" w14:algn="ctr">
                            <w14:noFill/>
                            <w14:prstDash w14:val="solid"/>
                            <w14:round/>
                          </w14:textOutline>
                        </w:rPr>
                        <w:t xml:space="preserve">over the past </w:t>
                      </w:r>
                      <w:r w:rsidR="00D35E6F">
                        <w:rPr>
                          <w:color w:val="006372" w:themeColor="accent1" w:themeShade="BF"/>
                          <w:sz w:val="24"/>
                          <w:szCs w:val="24"/>
                          <w14:textOutline w14:w="0" w14:cap="flat" w14:cmpd="sng" w14:algn="ctr">
                            <w14:noFill/>
                            <w14:prstDash w14:val="solid"/>
                            <w14:round/>
                          </w14:textOutline>
                        </w:rPr>
                        <w:t>10</w:t>
                      </w:r>
                      <w:r w:rsidR="00794BDD">
                        <w:rPr>
                          <w:color w:val="006372" w:themeColor="accent1" w:themeShade="BF"/>
                          <w:sz w:val="24"/>
                          <w:szCs w:val="24"/>
                          <w14:textOutline w14:w="0" w14:cap="flat" w14:cmpd="sng" w14:algn="ctr">
                            <w14:noFill/>
                            <w14:prstDash w14:val="solid"/>
                            <w14:round/>
                          </w14:textOutline>
                        </w:rPr>
                        <w:t xml:space="preserve"> years, up </w:t>
                      </w:r>
                      <w:r w:rsidR="004A5E8A" w:rsidRPr="00E01918">
                        <w:rPr>
                          <w:color w:val="006372" w:themeColor="accent1" w:themeShade="BF"/>
                          <w:sz w:val="24"/>
                          <w:szCs w:val="24"/>
                          <w14:textOutline w14:w="0" w14:cap="flat" w14:cmpd="sng" w14:algn="ctr">
                            <w14:noFill/>
                            <w14:prstDash w14:val="solid"/>
                            <w14:round/>
                          </w14:textOutline>
                        </w:rPr>
                        <w:t xml:space="preserve">from </w:t>
                      </w:r>
                      <w:r w:rsidR="00794BDD">
                        <w:rPr>
                          <w:color w:val="006372" w:themeColor="accent1" w:themeShade="BF"/>
                          <w:sz w:val="24"/>
                          <w:szCs w:val="24"/>
                          <w14:textOutline w14:w="0" w14:cap="flat" w14:cmpd="sng" w14:algn="ctr">
                            <w14:noFill/>
                            <w14:prstDash w14:val="solid"/>
                            <w14:round/>
                          </w14:textOutline>
                        </w:rPr>
                        <w:t>$1</w:t>
                      </w:r>
                      <w:r w:rsidR="00D35E6F">
                        <w:rPr>
                          <w:color w:val="006372" w:themeColor="accent1" w:themeShade="BF"/>
                          <w:sz w:val="24"/>
                          <w:szCs w:val="24"/>
                          <w14:textOutline w14:w="0" w14:cap="flat" w14:cmpd="sng" w14:algn="ctr">
                            <w14:noFill/>
                            <w14:prstDash w14:val="solid"/>
                            <w14:round/>
                          </w14:textOutline>
                        </w:rPr>
                        <w:t>6.1</w:t>
                      </w:r>
                      <w:r w:rsidR="002B7819">
                        <w:rPr>
                          <w:color w:val="006372" w:themeColor="accent1" w:themeShade="BF"/>
                          <w:sz w:val="24"/>
                          <w:szCs w:val="24"/>
                          <w14:textOutline w14:w="0" w14:cap="flat" w14:cmpd="sng" w14:algn="ctr">
                            <w14:noFill/>
                            <w14:prstDash w14:val="solid"/>
                            <w14:round/>
                          </w14:textOutline>
                        </w:rPr>
                        <w:t> </w:t>
                      </w:r>
                      <w:r w:rsidR="00794BDD">
                        <w:rPr>
                          <w:color w:val="006372" w:themeColor="accent1" w:themeShade="BF"/>
                          <w:sz w:val="24"/>
                          <w:szCs w:val="24"/>
                          <w14:textOutline w14:w="0" w14:cap="flat" w14:cmpd="sng" w14:algn="ctr">
                            <w14:noFill/>
                            <w14:prstDash w14:val="solid"/>
                            <w14:round/>
                          </w14:textOutline>
                        </w:rPr>
                        <w:t xml:space="preserve">billion in </w:t>
                      </w:r>
                      <w:r w:rsidR="004A5E8A" w:rsidRPr="00E01918">
                        <w:rPr>
                          <w:color w:val="006372" w:themeColor="accent1" w:themeShade="BF"/>
                          <w:sz w:val="24"/>
                          <w:szCs w:val="24"/>
                          <w14:textOutline w14:w="0" w14:cap="flat" w14:cmpd="sng" w14:algn="ctr">
                            <w14:noFill/>
                            <w14:prstDash w14:val="solid"/>
                            <w14:round/>
                          </w14:textOutline>
                        </w:rPr>
                        <w:t>201</w:t>
                      </w:r>
                      <w:r w:rsidR="00D35E6F">
                        <w:rPr>
                          <w:color w:val="006372" w:themeColor="accent1" w:themeShade="BF"/>
                          <w:sz w:val="24"/>
                          <w:szCs w:val="24"/>
                          <w14:textOutline w14:w="0" w14:cap="flat" w14:cmpd="sng" w14:algn="ctr">
                            <w14:noFill/>
                            <w14:prstDash w14:val="solid"/>
                            <w14:round/>
                          </w14:textOutline>
                        </w:rPr>
                        <w:t>4</w:t>
                      </w:r>
                      <w:r w:rsidR="00794BDD">
                        <w:rPr>
                          <w:color w:val="006372" w:themeColor="accent1" w:themeShade="BF"/>
                          <w:sz w:val="24"/>
                          <w:szCs w:val="24"/>
                          <w14:textOutline w14:w="0" w14:cap="flat" w14:cmpd="sng" w14:algn="ctr">
                            <w14:noFill/>
                            <w14:prstDash w14:val="solid"/>
                            <w14:round/>
                          </w14:textOutline>
                        </w:rPr>
                        <w:t xml:space="preserve"> to $19.</w:t>
                      </w:r>
                      <w:r w:rsidR="00D35E6F">
                        <w:rPr>
                          <w:color w:val="006372" w:themeColor="accent1" w:themeShade="BF"/>
                          <w:sz w:val="24"/>
                          <w:szCs w:val="24"/>
                          <w14:textOutline w14:w="0" w14:cap="flat" w14:cmpd="sng" w14:algn="ctr">
                            <w14:noFill/>
                            <w14:prstDash w14:val="solid"/>
                            <w14:round/>
                          </w14:textOutline>
                        </w:rPr>
                        <w:t>5</w:t>
                      </w:r>
                      <w:r w:rsidR="002B7819">
                        <w:rPr>
                          <w:color w:val="006372" w:themeColor="accent1" w:themeShade="BF"/>
                          <w:sz w:val="24"/>
                          <w:szCs w:val="24"/>
                          <w14:textOutline w14:w="0" w14:cap="flat" w14:cmpd="sng" w14:algn="ctr">
                            <w14:noFill/>
                            <w14:prstDash w14:val="solid"/>
                            <w14:round/>
                          </w14:textOutline>
                        </w:rPr>
                        <w:t> </w:t>
                      </w:r>
                      <w:r w:rsidR="00794BDD">
                        <w:rPr>
                          <w:color w:val="006372" w:themeColor="accent1" w:themeShade="BF"/>
                          <w:sz w:val="24"/>
                          <w:szCs w:val="24"/>
                          <w14:textOutline w14:w="0" w14:cap="flat" w14:cmpd="sng" w14:algn="ctr">
                            <w14:noFill/>
                            <w14:prstDash w14:val="solid"/>
                            <w14:round/>
                          </w14:textOutline>
                        </w:rPr>
                        <w:t>billion in 202</w:t>
                      </w:r>
                      <w:r w:rsidR="00D35E6F">
                        <w:rPr>
                          <w:color w:val="006372" w:themeColor="accent1" w:themeShade="BF"/>
                          <w:sz w:val="24"/>
                          <w:szCs w:val="24"/>
                          <w14:textOutline w14:w="0" w14:cap="flat" w14:cmpd="sng" w14:algn="ctr">
                            <w14:noFill/>
                            <w14:prstDash w14:val="solid"/>
                            <w14:round/>
                          </w14:textOutline>
                        </w:rPr>
                        <w:t>3</w:t>
                      </w:r>
                      <w:r w:rsidR="004A5E8A" w:rsidRPr="00E01918">
                        <w:rPr>
                          <w:color w:val="006372" w:themeColor="accent1" w:themeShade="BF"/>
                          <w:sz w:val="24"/>
                          <w:szCs w:val="24"/>
                          <w14:textOutline w14:w="0" w14:cap="flat" w14:cmpd="sng" w14:algn="ctr">
                            <w14:noFill/>
                            <w14:prstDash w14:val="solid"/>
                            <w14:round/>
                          </w14:textOutline>
                        </w:rPr>
                        <w:t>.</w:t>
                      </w:r>
                      <w:r w:rsidR="00ED7063" w:rsidRPr="00E01918">
                        <w:rPr>
                          <w:color w:val="006372" w:themeColor="accent1" w:themeShade="BF"/>
                          <w:sz w:val="24"/>
                          <w:szCs w:val="24"/>
                          <w14:textOutline w14:w="0" w14:cap="flat" w14:cmpd="sng" w14:algn="ctr">
                            <w14:noFill/>
                            <w14:prstDash w14:val="solid"/>
                            <w14:round/>
                          </w14:textOutline>
                        </w:rPr>
                        <w:t xml:space="preserve"> The jump in revenue reported in 2021 was due to the Government’s additional</w:t>
                      </w:r>
                      <w:r w:rsidR="00794BDD">
                        <w:rPr>
                          <w:color w:val="006372" w:themeColor="accent1" w:themeShade="BF"/>
                          <w:sz w:val="24"/>
                          <w:szCs w:val="24"/>
                          <w14:textOutline w14:w="0" w14:cap="flat" w14:cmpd="sng" w14:algn="ctr">
                            <w14:noFill/>
                            <w14:prstDash w14:val="solid"/>
                            <w14:round/>
                          </w14:textOutline>
                        </w:rPr>
                        <w:t xml:space="preserve"> </w:t>
                      </w:r>
                      <w:r w:rsidR="00794BDD" w:rsidRPr="00E01918">
                        <w:rPr>
                          <w:color w:val="006372" w:themeColor="accent1" w:themeShade="BF"/>
                          <w:sz w:val="24"/>
                          <w:szCs w:val="24"/>
                          <w14:textOutline w14:w="0" w14:cap="flat" w14:cmpd="sng" w14:algn="ctr">
                            <w14:noFill/>
                            <w14:prstDash w14:val="solid"/>
                            <w14:round/>
                          </w14:textOutline>
                        </w:rPr>
                        <w:t xml:space="preserve">$1 billion in </w:t>
                      </w:r>
                      <w:r w:rsidR="00ED7063" w:rsidRPr="00E01918">
                        <w:rPr>
                          <w:color w:val="006372" w:themeColor="accent1" w:themeShade="BF"/>
                          <w:sz w:val="24"/>
                          <w:szCs w:val="24"/>
                          <w14:textOutline w14:w="0" w14:cap="flat" w14:cmpd="sng" w14:algn="ctr">
                            <w14:noFill/>
                            <w14:prstDash w14:val="solid"/>
                            <w14:round/>
                          </w14:textOutline>
                        </w:rPr>
                        <w:t>research funding</w:t>
                      </w:r>
                      <w:r w:rsidR="00794BDD">
                        <w:rPr>
                          <w:color w:val="006372" w:themeColor="accent1" w:themeShade="BF"/>
                          <w:sz w:val="24"/>
                          <w:szCs w:val="24"/>
                          <w14:textOutline w14:w="0" w14:cap="flat" w14:cmpd="sng" w14:algn="ctr">
                            <w14:noFill/>
                            <w14:prstDash w14:val="solid"/>
                            <w14:round/>
                          </w14:textOutline>
                        </w:rPr>
                        <w:t xml:space="preserve"> provided as </w:t>
                      </w:r>
                      <w:r w:rsidR="00794BDD" w:rsidRPr="00E01918">
                        <w:rPr>
                          <w:color w:val="006372" w:themeColor="accent1" w:themeShade="BF"/>
                          <w:sz w:val="24"/>
                          <w:szCs w:val="24"/>
                          <w14:textOutline w14:w="0" w14:cap="flat" w14:cmpd="sng" w14:algn="ctr">
                            <w14:noFill/>
                            <w14:prstDash w14:val="solid"/>
                            <w14:round/>
                          </w14:textOutline>
                        </w:rPr>
                        <w:t>pandemic support</w:t>
                      </w:r>
                      <w:r w:rsidR="00794BDD">
                        <w:rPr>
                          <w:color w:val="006372" w:themeColor="accent1" w:themeShade="BF"/>
                          <w:sz w:val="24"/>
                          <w:szCs w:val="24"/>
                          <w14:textOutline w14:w="0" w14:cap="flat" w14:cmpd="sng" w14:algn="ctr">
                            <w14:noFill/>
                            <w14:prstDash w14:val="solid"/>
                            <w14:round/>
                          </w14:textOutline>
                        </w:rPr>
                        <w:t>.</w:t>
                      </w:r>
                    </w:p>
                  </w:txbxContent>
                </v:textbox>
              </v:roundrect>
            </w:pict>
          </mc:Fallback>
        </mc:AlternateContent>
      </w:r>
      <w:r w:rsidR="0089445F" w:rsidRPr="00D35E6F">
        <w:t xml:space="preserve">Figure 4: </w:t>
      </w:r>
      <w:r w:rsidR="001E12DE" w:rsidRPr="00D35E6F">
        <w:t xml:space="preserve">Australia Government </w:t>
      </w:r>
      <w:r w:rsidR="00DA4635">
        <w:t>f</w:t>
      </w:r>
      <w:r w:rsidR="001E12DE" w:rsidRPr="00D35E6F">
        <w:t xml:space="preserve">inancial </w:t>
      </w:r>
      <w:r w:rsidR="00DA4635">
        <w:t>a</w:t>
      </w:r>
      <w:r w:rsidR="001E12DE" w:rsidRPr="00D35E6F">
        <w:t>ssistance</w:t>
      </w:r>
      <w:r w:rsidR="00932C9B" w:rsidRPr="00D35E6F">
        <w:t xml:space="preserve"> ($ billion</w:t>
      </w:r>
      <w:r w:rsidRPr="00D35E6F">
        <w:t>s</w:t>
      </w:r>
      <w:r w:rsidR="00932C9B" w:rsidRPr="00D35E6F">
        <w:t>)</w:t>
      </w:r>
    </w:p>
    <w:p w14:paraId="079E6A73" w14:textId="65508CA2" w:rsidR="00673742" w:rsidRDefault="00673742" w:rsidP="00673742">
      <w:pPr>
        <w:rPr>
          <w:highlight w:val="yellow"/>
        </w:rPr>
      </w:pPr>
      <w:r>
        <w:rPr>
          <w:noProof/>
        </w:rPr>
        <w:drawing>
          <wp:inline distT="0" distB="0" distL="0" distR="0" wp14:anchorId="5E301D35" wp14:editId="59C2EAC6">
            <wp:extent cx="2857500" cy="2339975"/>
            <wp:effectExtent l="0" t="0" r="0" b="3175"/>
            <wp:docPr id="576446579" name="Chart 1">
              <a:extLst xmlns:a="http://schemas.openxmlformats.org/drawingml/2006/main">
                <a:ext uri="{FF2B5EF4-FFF2-40B4-BE49-F238E27FC236}">
                  <a16:creationId xmlns:a16="http://schemas.microsoft.com/office/drawing/2014/main" id="{4006DC09-1077-E93E-5316-D2548CCF6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4CE3FE" w14:textId="5C33B434" w:rsidR="00A95684" w:rsidRPr="00D35E6F" w:rsidRDefault="00DB646E" w:rsidP="001E7AA9">
      <w:pPr>
        <w:pStyle w:val="Heading6"/>
      </w:pPr>
      <w:r w:rsidRPr="00D35E6F">
        <w:rPr>
          <w:noProof/>
        </w:rPr>
        <mc:AlternateContent>
          <mc:Choice Requires="wps">
            <w:drawing>
              <wp:anchor distT="0" distB="0" distL="114300" distR="114300" simplePos="0" relativeHeight="251750912" behindDoc="0" locked="0" layoutInCell="1" allowOverlap="1" wp14:anchorId="115B511F" wp14:editId="1081D52E">
                <wp:simplePos x="0" y="0"/>
                <wp:positionH relativeFrom="column">
                  <wp:posOffset>3015615</wp:posOffset>
                </wp:positionH>
                <wp:positionV relativeFrom="paragraph">
                  <wp:posOffset>184785</wp:posOffset>
                </wp:positionV>
                <wp:extent cx="2700000" cy="2340000"/>
                <wp:effectExtent l="0" t="0" r="24765" b="22225"/>
                <wp:wrapNone/>
                <wp:docPr id="37" name="Rectangle: Rounded Corners 37"/>
                <wp:cNvGraphicFramePr/>
                <a:graphic xmlns:a="http://schemas.openxmlformats.org/drawingml/2006/main">
                  <a:graphicData uri="http://schemas.microsoft.com/office/word/2010/wordprocessingShape">
                    <wps:wsp>
                      <wps:cNvSpPr/>
                      <wps:spPr>
                        <a:xfrm>
                          <a:off x="0" y="0"/>
                          <a:ext cx="2700000" cy="2340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D2D49CC" w14:textId="3015C7C3" w:rsidR="00ED7063" w:rsidRPr="0084464F" w:rsidRDefault="00ED7063" w:rsidP="00ED7063">
                            <w:pPr>
                              <w:jc w:val="center"/>
                              <w:rPr>
                                <w:color w:val="006372" w:themeColor="accent1" w:themeShade="BF"/>
                                <w:sz w:val="24"/>
                                <w:szCs w:val="24"/>
                                <w14:textOutline w14:w="0" w14:cap="flat" w14:cmpd="sng" w14:algn="ctr">
                                  <w14:noFill/>
                                  <w14:prstDash w14:val="solid"/>
                                  <w14:round/>
                                </w14:textOutline>
                              </w:rPr>
                            </w:pPr>
                            <w:r w:rsidRPr="0084464F">
                              <w:rPr>
                                <w:color w:val="006372" w:themeColor="accent1" w:themeShade="BF"/>
                                <w:sz w:val="24"/>
                                <w:szCs w:val="24"/>
                                <w14:textOutline w14:w="0" w14:cap="flat" w14:cmpd="sng" w14:algn="ctr">
                                  <w14:noFill/>
                                  <w14:prstDash w14:val="solid"/>
                                  <w14:round/>
                                </w14:textOutline>
                              </w:rPr>
                              <w:t>International student fee revenue</w:t>
                            </w:r>
                            <w:r w:rsidR="00794BDD">
                              <w:rPr>
                                <w:color w:val="006372" w:themeColor="accent1" w:themeShade="BF"/>
                                <w:sz w:val="24"/>
                                <w:szCs w:val="24"/>
                                <w14:textOutline w14:w="0" w14:cap="flat" w14:cmpd="sng" w14:algn="ctr">
                                  <w14:noFill/>
                                  <w14:prstDash w14:val="solid"/>
                                  <w14:round/>
                                </w14:textOutline>
                              </w:rPr>
                              <w:t xml:space="preserve"> </w:t>
                            </w:r>
                            <w:r w:rsidR="00D35E6F">
                              <w:rPr>
                                <w:color w:val="006372" w:themeColor="accent1" w:themeShade="BF"/>
                                <w:sz w:val="24"/>
                                <w:szCs w:val="24"/>
                                <w14:textOutline w14:w="0" w14:cap="flat" w14:cmpd="sng" w14:algn="ctr">
                                  <w14:noFill/>
                                  <w14:prstDash w14:val="solid"/>
                                  <w14:round/>
                                </w14:textOutline>
                              </w:rPr>
                              <w:t>recovered above pre-pandemic levels</w:t>
                            </w:r>
                            <w:r w:rsidR="00DA4635">
                              <w:rPr>
                                <w:color w:val="006372" w:themeColor="accent1" w:themeShade="BF"/>
                                <w:sz w:val="24"/>
                                <w:szCs w:val="24"/>
                                <w14:textOutline w14:w="0" w14:cap="flat" w14:cmpd="sng" w14:algn="ctr">
                                  <w14:noFill/>
                                  <w14:prstDash w14:val="solid"/>
                                  <w14:round/>
                                </w14:textOutline>
                              </w:rPr>
                              <w:t xml:space="preserve"> for the first time</w:t>
                            </w:r>
                            <w:r w:rsidR="00D35E6F">
                              <w:rPr>
                                <w:color w:val="006372" w:themeColor="accent1" w:themeShade="BF"/>
                                <w:sz w:val="24"/>
                                <w:szCs w:val="24"/>
                                <w14:textOutline w14:w="0" w14:cap="flat" w14:cmpd="sng" w14:algn="ctr">
                                  <w14:noFill/>
                                  <w14:prstDash w14:val="solid"/>
                                  <w14:round/>
                                </w14:textOutline>
                              </w:rPr>
                              <w:t xml:space="preserve"> in 2023</w:t>
                            </w:r>
                            <w:r w:rsidR="00DA4635">
                              <w:rPr>
                                <w:color w:val="006372" w:themeColor="accent1" w:themeShade="BF"/>
                                <w:sz w:val="24"/>
                                <w:szCs w:val="24"/>
                                <w14:textOutline w14:w="0" w14:cap="flat" w14:cmpd="sng" w14:algn="ctr">
                                  <w14:noFill/>
                                  <w14:prstDash w14:val="solid"/>
                                  <w14:round/>
                                </w14:textOutline>
                              </w:rPr>
                              <w:t xml:space="preserve">. This follows 3 consecutive years of decline due to the pipeline effect of border closures during the pandemic period. Prior to 2020, universities reported consistent upward growth in this revenue stream.  </w:t>
                            </w:r>
                            <w:r w:rsidRPr="0084464F">
                              <w:rPr>
                                <w:color w:val="006372" w:themeColor="accent1" w:themeShade="BF"/>
                                <w:sz w:val="24"/>
                                <w:szCs w:val="24"/>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B511F" id="Rectangle: Rounded Corners 37" o:spid="_x0000_s1027" style="position:absolute;margin-left:237.45pt;margin-top:14.55pt;width:212.6pt;height:184.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" fillcolor="white [3201]" strokecolor="#008599 [3204]" strokeweight="1pt">
                <v:stroke joinstyle="miter"/>
                <v:textbox>
                  <w:txbxContent>
                    <w:p w14:paraId="5D2D49CC" w14:textId="3015C7C3" w:rsidR="00ED7063" w:rsidRPr="0084464F" w:rsidRDefault="00ED7063" w:rsidP="00ED7063">
                      <w:pPr>
                        <w:jc w:val="center"/>
                        <w:rPr>
                          <w:color w:val="006372" w:themeColor="accent1" w:themeShade="BF"/>
                          <w:sz w:val="24"/>
                          <w:szCs w:val="24"/>
                          <w14:textOutline w14:w="0" w14:cap="flat" w14:cmpd="sng" w14:algn="ctr">
                            <w14:noFill/>
                            <w14:prstDash w14:val="solid"/>
                            <w14:round/>
                          </w14:textOutline>
                        </w:rPr>
                      </w:pPr>
                      <w:r w:rsidRPr="0084464F">
                        <w:rPr>
                          <w:color w:val="006372" w:themeColor="accent1" w:themeShade="BF"/>
                          <w:sz w:val="24"/>
                          <w:szCs w:val="24"/>
                          <w14:textOutline w14:w="0" w14:cap="flat" w14:cmpd="sng" w14:algn="ctr">
                            <w14:noFill/>
                            <w14:prstDash w14:val="solid"/>
                            <w14:round/>
                          </w14:textOutline>
                        </w:rPr>
                        <w:t>International student fee revenue</w:t>
                      </w:r>
                      <w:r w:rsidR="00794BDD">
                        <w:rPr>
                          <w:color w:val="006372" w:themeColor="accent1" w:themeShade="BF"/>
                          <w:sz w:val="24"/>
                          <w:szCs w:val="24"/>
                          <w14:textOutline w14:w="0" w14:cap="flat" w14:cmpd="sng" w14:algn="ctr">
                            <w14:noFill/>
                            <w14:prstDash w14:val="solid"/>
                            <w14:round/>
                          </w14:textOutline>
                        </w:rPr>
                        <w:t xml:space="preserve"> </w:t>
                      </w:r>
                      <w:r w:rsidR="00D35E6F">
                        <w:rPr>
                          <w:color w:val="006372" w:themeColor="accent1" w:themeShade="BF"/>
                          <w:sz w:val="24"/>
                          <w:szCs w:val="24"/>
                          <w14:textOutline w14:w="0" w14:cap="flat" w14:cmpd="sng" w14:algn="ctr">
                            <w14:noFill/>
                            <w14:prstDash w14:val="solid"/>
                            <w14:round/>
                          </w14:textOutline>
                        </w:rPr>
                        <w:t>recovered above pre-pandemic levels</w:t>
                      </w:r>
                      <w:r w:rsidR="00DA4635">
                        <w:rPr>
                          <w:color w:val="006372" w:themeColor="accent1" w:themeShade="BF"/>
                          <w:sz w:val="24"/>
                          <w:szCs w:val="24"/>
                          <w14:textOutline w14:w="0" w14:cap="flat" w14:cmpd="sng" w14:algn="ctr">
                            <w14:noFill/>
                            <w14:prstDash w14:val="solid"/>
                            <w14:round/>
                          </w14:textOutline>
                        </w:rPr>
                        <w:t xml:space="preserve"> for the first time</w:t>
                      </w:r>
                      <w:r w:rsidR="00D35E6F">
                        <w:rPr>
                          <w:color w:val="006372" w:themeColor="accent1" w:themeShade="BF"/>
                          <w:sz w:val="24"/>
                          <w:szCs w:val="24"/>
                          <w14:textOutline w14:w="0" w14:cap="flat" w14:cmpd="sng" w14:algn="ctr">
                            <w14:noFill/>
                            <w14:prstDash w14:val="solid"/>
                            <w14:round/>
                          </w14:textOutline>
                        </w:rPr>
                        <w:t xml:space="preserve"> in 2023</w:t>
                      </w:r>
                      <w:r w:rsidR="00DA4635">
                        <w:rPr>
                          <w:color w:val="006372" w:themeColor="accent1" w:themeShade="BF"/>
                          <w:sz w:val="24"/>
                          <w:szCs w:val="24"/>
                          <w14:textOutline w14:w="0" w14:cap="flat" w14:cmpd="sng" w14:algn="ctr">
                            <w14:noFill/>
                            <w14:prstDash w14:val="solid"/>
                            <w14:round/>
                          </w14:textOutline>
                        </w:rPr>
                        <w:t xml:space="preserve">. This follows 3 consecutive years of decline due to the pipeline effect of border closures during the pandemic period. Prior to 2020, universities reported consistent upward growth in this revenue stream.  </w:t>
                      </w:r>
                      <w:r w:rsidRPr="0084464F">
                        <w:rPr>
                          <w:color w:val="006372" w:themeColor="accent1" w:themeShade="BF"/>
                          <w:sz w:val="24"/>
                          <w:szCs w:val="24"/>
                          <w14:textOutline w14:w="0" w14:cap="flat" w14:cmpd="sng" w14:algn="ctr">
                            <w14:noFill/>
                            <w14:prstDash w14:val="solid"/>
                            <w14:round/>
                          </w14:textOutline>
                        </w:rPr>
                        <w:t xml:space="preserve"> </w:t>
                      </w:r>
                    </w:p>
                  </w:txbxContent>
                </v:textbox>
              </v:roundrect>
            </w:pict>
          </mc:Fallback>
        </mc:AlternateContent>
      </w:r>
      <w:r w:rsidR="0089445F" w:rsidRPr="00D35E6F">
        <w:t xml:space="preserve">Figure 5: </w:t>
      </w:r>
      <w:r w:rsidR="00A95684" w:rsidRPr="00D35E6F">
        <w:t>In</w:t>
      </w:r>
      <w:r w:rsidR="00ED7063" w:rsidRPr="00D35E6F">
        <w:t>ternational student fees</w:t>
      </w:r>
      <w:r w:rsidR="00932C9B" w:rsidRPr="00D35E6F">
        <w:t xml:space="preserve"> ($ billion</w:t>
      </w:r>
      <w:r w:rsidR="00DE0A07" w:rsidRPr="00D35E6F">
        <w:t>s</w:t>
      </w:r>
      <w:r w:rsidR="00932C9B" w:rsidRPr="00D35E6F">
        <w:t>)</w:t>
      </w:r>
    </w:p>
    <w:p w14:paraId="3DF39F30" w14:textId="3274D804" w:rsidR="00A95684" w:rsidRPr="00992260" w:rsidRDefault="000E2AA6" w:rsidP="00A95684">
      <w:pPr>
        <w:rPr>
          <w:highlight w:val="yellow"/>
        </w:rPr>
      </w:pPr>
      <w:r>
        <w:rPr>
          <w:noProof/>
        </w:rPr>
        <w:drawing>
          <wp:inline distT="0" distB="0" distL="0" distR="0" wp14:anchorId="66D007D2" wp14:editId="5A04B588">
            <wp:extent cx="2857500" cy="2339975"/>
            <wp:effectExtent l="0" t="0" r="0" b="3175"/>
            <wp:docPr id="1161236886" name="Chart 1">
              <a:extLst xmlns:a="http://schemas.openxmlformats.org/drawingml/2006/main">
                <a:ext uri="{FF2B5EF4-FFF2-40B4-BE49-F238E27FC236}">
                  <a16:creationId xmlns:a16="http://schemas.microsoft.com/office/drawing/2014/main" id="{6CD5BF55-BA09-E003-A42B-1DDB428DA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624C47" w14:textId="0A2ADB22" w:rsidR="00ED7063" w:rsidRPr="00D35E6F" w:rsidRDefault="00F47183" w:rsidP="001E7AA9">
      <w:pPr>
        <w:pStyle w:val="Heading6"/>
      </w:pPr>
      <w:r w:rsidRPr="00D35E6F">
        <w:rPr>
          <w:noProof/>
        </w:rPr>
        <mc:AlternateContent>
          <mc:Choice Requires="wps">
            <w:drawing>
              <wp:anchor distT="0" distB="0" distL="114300" distR="114300" simplePos="0" relativeHeight="251744768" behindDoc="0" locked="0" layoutInCell="1" allowOverlap="1" wp14:anchorId="03767170" wp14:editId="7E54A66E">
                <wp:simplePos x="0" y="0"/>
                <wp:positionH relativeFrom="column">
                  <wp:posOffset>3015615</wp:posOffset>
                </wp:positionH>
                <wp:positionV relativeFrom="paragraph">
                  <wp:posOffset>186055</wp:posOffset>
                </wp:positionV>
                <wp:extent cx="2700000" cy="2340000"/>
                <wp:effectExtent l="0" t="0" r="24765" b="22225"/>
                <wp:wrapNone/>
                <wp:docPr id="36" name="Rectangle: Rounded Corners 36"/>
                <wp:cNvGraphicFramePr/>
                <a:graphic xmlns:a="http://schemas.openxmlformats.org/drawingml/2006/main">
                  <a:graphicData uri="http://schemas.microsoft.com/office/word/2010/wordprocessingShape">
                    <wps:wsp>
                      <wps:cNvSpPr/>
                      <wps:spPr>
                        <a:xfrm>
                          <a:off x="0" y="0"/>
                          <a:ext cx="2700000" cy="2340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AAEDDF3" w14:textId="6BD2F201" w:rsidR="004A5E8A" w:rsidRPr="00E01918" w:rsidRDefault="00DA4635" w:rsidP="004A5E8A">
                            <w:pPr>
                              <w:jc w:val="center"/>
                              <w:rPr>
                                <w:color w:val="006372" w:themeColor="accent1" w:themeShade="BF"/>
                                <w:sz w:val="24"/>
                                <w:szCs w:val="24"/>
                                <w14:textOutline w14:w="0" w14:cap="flat" w14:cmpd="sng" w14:algn="ctr">
                                  <w14:noFill/>
                                  <w14:prstDash w14:val="solid"/>
                                  <w14:round/>
                                </w14:textOutline>
                              </w:rPr>
                            </w:pPr>
                            <w:r>
                              <w:rPr>
                                <w:color w:val="006372" w:themeColor="accent1" w:themeShade="BF"/>
                                <w:sz w:val="24"/>
                                <w:szCs w:val="24"/>
                                <w14:textOutline w14:w="0" w14:cap="flat" w14:cmpd="sng" w14:algn="ctr">
                                  <w14:noFill/>
                                  <w14:prstDash w14:val="solid"/>
                                  <w14:round/>
                                </w14:textOutline>
                              </w:rPr>
                              <w:t>Challenging economic conditions and i</w:t>
                            </w:r>
                            <w:r w:rsidR="004A5E8A" w:rsidRPr="00E01918">
                              <w:rPr>
                                <w:color w:val="006372" w:themeColor="accent1" w:themeShade="BF"/>
                                <w:sz w:val="24"/>
                                <w:szCs w:val="24"/>
                                <w14:textOutline w14:w="0" w14:cap="flat" w14:cmpd="sng" w14:algn="ctr">
                                  <w14:noFill/>
                                  <w14:prstDash w14:val="solid"/>
                                  <w14:round/>
                                </w14:textOutline>
                              </w:rPr>
                              <w:t>n</w:t>
                            </w:r>
                            <w:r w:rsidR="000122D4" w:rsidRPr="00E01918">
                              <w:rPr>
                                <w:color w:val="006372" w:themeColor="accent1" w:themeShade="BF"/>
                                <w:sz w:val="24"/>
                                <w:szCs w:val="24"/>
                                <w14:textOutline w14:w="0" w14:cap="flat" w14:cmpd="sng" w14:algn="ctr">
                                  <w14:noFill/>
                                  <w14:prstDash w14:val="solid"/>
                                  <w14:round/>
                                </w14:textOutline>
                              </w:rPr>
                              <w:t>stability in global in</w:t>
                            </w:r>
                            <w:r w:rsidR="004A5E8A" w:rsidRPr="00E01918">
                              <w:rPr>
                                <w:color w:val="006372" w:themeColor="accent1" w:themeShade="BF"/>
                                <w:sz w:val="24"/>
                                <w:szCs w:val="24"/>
                                <w14:textOutline w14:w="0" w14:cap="flat" w14:cmpd="sng" w14:algn="ctr">
                                  <w14:noFill/>
                                  <w14:prstDash w14:val="solid"/>
                                  <w14:round/>
                                </w14:textOutline>
                              </w:rPr>
                              <w:t>vestment</w:t>
                            </w:r>
                            <w:r w:rsidR="000122D4" w:rsidRPr="00E01918">
                              <w:rPr>
                                <w:color w:val="006372" w:themeColor="accent1" w:themeShade="BF"/>
                                <w:sz w:val="24"/>
                                <w:szCs w:val="24"/>
                                <w14:textOutline w14:w="0" w14:cap="flat" w14:cmpd="sng" w14:algn="ctr">
                                  <w14:noFill/>
                                  <w14:prstDash w14:val="solid"/>
                                  <w14:round/>
                                </w14:textOutline>
                              </w:rPr>
                              <w:t xml:space="preserve"> markets ha</w:t>
                            </w:r>
                            <w:r>
                              <w:rPr>
                                <w:color w:val="006372" w:themeColor="accent1" w:themeShade="BF"/>
                                <w:sz w:val="24"/>
                                <w:szCs w:val="24"/>
                                <w14:textOutline w14:w="0" w14:cap="flat" w14:cmpd="sng" w14:algn="ctr">
                                  <w14:noFill/>
                                  <w14:prstDash w14:val="solid"/>
                                  <w14:round/>
                                </w14:textOutline>
                              </w:rPr>
                              <w:t>ve</w:t>
                            </w:r>
                            <w:r w:rsidR="000122D4" w:rsidRPr="00E01918">
                              <w:rPr>
                                <w:color w:val="006372" w:themeColor="accent1" w:themeShade="BF"/>
                                <w:sz w:val="24"/>
                                <w:szCs w:val="24"/>
                                <w14:textOutline w14:w="0" w14:cap="flat" w14:cmpd="sng" w14:algn="ctr">
                                  <w14:noFill/>
                                  <w14:prstDash w14:val="solid"/>
                                  <w14:round/>
                                </w14:textOutline>
                              </w:rPr>
                              <w:t xml:space="preserve"> contributed to </w:t>
                            </w:r>
                            <w:r w:rsidR="00266127">
                              <w:rPr>
                                <w:color w:val="006372" w:themeColor="accent1" w:themeShade="BF"/>
                                <w:sz w:val="24"/>
                                <w:szCs w:val="24"/>
                                <w14:textOutline w14:w="0" w14:cap="flat" w14:cmpd="sng" w14:algn="ctr">
                                  <w14:noFill/>
                                  <w14:prstDash w14:val="solid"/>
                                  <w14:round/>
                                </w14:textOutline>
                              </w:rPr>
                              <w:t>volatility</w:t>
                            </w:r>
                            <w:r w:rsidR="000122D4" w:rsidRPr="00E01918">
                              <w:rPr>
                                <w:color w:val="006372" w:themeColor="accent1" w:themeShade="BF"/>
                                <w:sz w:val="24"/>
                                <w:szCs w:val="24"/>
                                <w14:textOutline w14:w="0" w14:cap="flat" w14:cmpd="sng" w14:algn="ctr">
                                  <w14:noFill/>
                                  <w14:prstDash w14:val="solid"/>
                                  <w14:round/>
                                </w14:textOutline>
                              </w:rPr>
                              <w:t xml:space="preserve"> in investment income in recent years. </w:t>
                            </w:r>
                            <w:r w:rsidR="00266127">
                              <w:rPr>
                                <w:color w:val="006372" w:themeColor="accent1" w:themeShade="BF"/>
                                <w:sz w:val="24"/>
                                <w:szCs w:val="24"/>
                                <w14:textOutline w14:w="0" w14:cap="flat" w14:cmpd="sng" w14:algn="ctr">
                                  <w14:noFill/>
                                  <w14:prstDash w14:val="solid"/>
                                  <w14:round/>
                                </w14:textOutline>
                              </w:rPr>
                              <w:t xml:space="preserve">These fluctuations have had a greater impact on overall university results due to growth in the underlying financial asset bases at many universities. </w:t>
                            </w:r>
                            <w:r w:rsidR="004A5E8A" w:rsidRPr="00E01918">
                              <w:rPr>
                                <w:color w:val="006372" w:themeColor="accent1" w:themeShade="BF"/>
                                <w:sz w:val="24"/>
                                <w:szCs w:val="24"/>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67170" id="Rectangle: Rounded Corners 36" o:spid="_x0000_s1028" style="position:absolute;margin-left:237.45pt;margin-top:14.65pt;width:212.6pt;height:184.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" fillcolor="white [3201]" strokecolor="#008599 [3204]" strokeweight="1pt">
                <v:stroke joinstyle="miter"/>
                <v:textbox>
                  <w:txbxContent>
                    <w:p w14:paraId="3AAEDDF3" w14:textId="6BD2F201" w:rsidR="004A5E8A" w:rsidRPr="00E01918" w:rsidRDefault="00DA4635" w:rsidP="004A5E8A">
                      <w:pPr>
                        <w:jc w:val="center"/>
                        <w:rPr>
                          <w:color w:val="006372" w:themeColor="accent1" w:themeShade="BF"/>
                          <w:sz w:val="24"/>
                          <w:szCs w:val="24"/>
                          <w14:textOutline w14:w="0" w14:cap="flat" w14:cmpd="sng" w14:algn="ctr">
                            <w14:noFill/>
                            <w14:prstDash w14:val="solid"/>
                            <w14:round/>
                          </w14:textOutline>
                        </w:rPr>
                      </w:pPr>
                      <w:r>
                        <w:rPr>
                          <w:color w:val="006372" w:themeColor="accent1" w:themeShade="BF"/>
                          <w:sz w:val="24"/>
                          <w:szCs w:val="24"/>
                          <w14:textOutline w14:w="0" w14:cap="flat" w14:cmpd="sng" w14:algn="ctr">
                            <w14:noFill/>
                            <w14:prstDash w14:val="solid"/>
                            <w14:round/>
                          </w14:textOutline>
                        </w:rPr>
                        <w:t>Challenging economic conditions and i</w:t>
                      </w:r>
                      <w:r w:rsidR="004A5E8A" w:rsidRPr="00E01918">
                        <w:rPr>
                          <w:color w:val="006372" w:themeColor="accent1" w:themeShade="BF"/>
                          <w:sz w:val="24"/>
                          <w:szCs w:val="24"/>
                          <w14:textOutline w14:w="0" w14:cap="flat" w14:cmpd="sng" w14:algn="ctr">
                            <w14:noFill/>
                            <w14:prstDash w14:val="solid"/>
                            <w14:round/>
                          </w14:textOutline>
                        </w:rPr>
                        <w:t>n</w:t>
                      </w:r>
                      <w:r w:rsidR="000122D4" w:rsidRPr="00E01918">
                        <w:rPr>
                          <w:color w:val="006372" w:themeColor="accent1" w:themeShade="BF"/>
                          <w:sz w:val="24"/>
                          <w:szCs w:val="24"/>
                          <w14:textOutline w14:w="0" w14:cap="flat" w14:cmpd="sng" w14:algn="ctr">
                            <w14:noFill/>
                            <w14:prstDash w14:val="solid"/>
                            <w14:round/>
                          </w14:textOutline>
                        </w:rPr>
                        <w:t>stability in global in</w:t>
                      </w:r>
                      <w:r w:rsidR="004A5E8A" w:rsidRPr="00E01918">
                        <w:rPr>
                          <w:color w:val="006372" w:themeColor="accent1" w:themeShade="BF"/>
                          <w:sz w:val="24"/>
                          <w:szCs w:val="24"/>
                          <w14:textOutline w14:w="0" w14:cap="flat" w14:cmpd="sng" w14:algn="ctr">
                            <w14:noFill/>
                            <w14:prstDash w14:val="solid"/>
                            <w14:round/>
                          </w14:textOutline>
                        </w:rPr>
                        <w:t>vestment</w:t>
                      </w:r>
                      <w:r w:rsidR="000122D4" w:rsidRPr="00E01918">
                        <w:rPr>
                          <w:color w:val="006372" w:themeColor="accent1" w:themeShade="BF"/>
                          <w:sz w:val="24"/>
                          <w:szCs w:val="24"/>
                          <w14:textOutline w14:w="0" w14:cap="flat" w14:cmpd="sng" w14:algn="ctr">
                            <w14:noFill/>
                            <w14:prstDash w14:val="solid"/>
                            <w14:round/>
                          </w14:textOutline>
                        </w:rPr>
                        <w:t xml:space="preserve"> markets ha</w:t>
                      </w:r>
                      <w:r>
                        <w:rPr>
                          <w:color w:val="006372" w:themeColor="accent1" w:themeShade="BF"/>
                          <w:sz w:val="24"/>
                          <w:szCs w:val="24"/>
                          <w14:textOutline w14:w="0" w14:cap="flat" w14:cmpd="sng" w14:algn="ctr">
                            <w14:noFill/>
                            <w14:prstDash w14:val="solid"/>
                            <w14:round/>
                          </w14:textOutline>
                        </w:rPr>
                        <w:t>ve</w:t>
                      </w:r>
                      <w:r w:rsidR="000122D4" w:rsidRPr="00E01918">
                        <w:rPr>
                          <w:color w:val="006372" w:themeColor="accent1" w:themeShade="BF"/>
                          <w:sz w:val="24"/>
                          <w:szCs w:val="24"/>
                          <w14:textOutline w14:w="0" w14:cap="flat" w14:cmpd="sng" w14:algn="ctr">
                            <w14:noFill/>
                            <w14:prstDash w14:val="solid"/>
                            <w14:round/>
                          </w14:textOutline>
                        </w:rPr>
                        <w:t xml:space="preserve"> contributed to </w:t>
                      </w:r>
                      <w:r w:rsidR="00266127">
                        <w:rPr>
                          <w:color w:val="006372" w:themeColor="accent1" w:themeShade="BF"/>
                          <w:sz w:val="24"/>
                          <w:szCs w:val="24"/>
                          <w14:textOutline w14:w="0" w14:cap="flat" w14:cmpd="sng" w14:algn="ctr">
                            <w14:noFill/>
                            <w14:prstDash w14:val="solid"/>
                            <w14:round/>
                          </w14:textOutline>
                        </w:rPr>
                        <w:t>volatility</w:t>
                      </w:r>
                      <w:r w:rsidR="000122D4" w:rsidRPr="00E01918">
                        <w:rPr>
                          <w:color w:val="006372" w:themeColor="accent1" w:themeShade="BF"/>
                          <w:sz w:val="24"/>
                          <w:szCs w:val="24"/>
                          <w14:textOutline w14:w="0" w14:cap="flat" w14:cmpd="sng" w14:algn="ctr">
                            <w14:noFill/>
                            <w14:prstDash w14:val="solid"/>
                            <w14:round/>
                          </w14:textOutline>
                        </w:rPr>
                        <w:t xml:space="preserve"> in investment income in recent years. </w:t>
                      </w:r>
                      <w:r w:rsidR="00266127">
                        <w:rPr>
                          <w:color w:val="006372" w:themeColor="accent1" w:themeShade="BF"/>
                          <w:sz w:val="24"/>
                          <w:szCs w:val="24"/>
                          <w14:textOutline w14:w="0" w14:cap="flat" w14:cmpd="sng" w14:algn="ctr">
                            <w14:noFill/>
                            <w14:prstDash w14:val="solid"/>
                            <w14:round/>
                          </w14:textOutline>
                        </w:rPr>
                        <w:t xml:space="preserve">These fluctuations have had a greater impact on overall university results due to growth in the underlying financial asset bases at many universities. </w:t>
                      </w:r>
                      <w:r w:rsidR="004A5E8A" w:rsidRPr="00E01918">
                        <w:rPr>
                          <w:color w:val="006372" w:themeColor="accent1" w:themeShade="BF"/>
                          <w:sz w:val="24"/>
                          <w:szCs w:val="24"/>
                          <w14:textOutline w14:w="0" w14:cap="flat" w14:cmpd="sng" w14:algn="ctr">
                            <w14:noFill/>
                            <w14:prstDash w14:val="solid"/>
                            <w14:round/>
                          </w14:textOutline>
                        </w:rPr>
                        <w:t xml:space="preserve"> </w:t>
                      </w:r>
                    </w:p>
                  </w:txbxContent>
                </v:textbox>
              </v:roundrect>
            </w:pict>
          </mc:Fallback>
        </mc:AlternateContent>
      </w:r>
      <w:r w:rsidR="0089445F" w:rsidRPr="00D35E6F">
        <w:t xml:space="preserve">Figure 6: </w:t>
      </w:r>
      <w:r w:rsidR="00ED7063" w:rsidRPr="00D35E6F">
        <w:t>Investment income</w:t>
      </w:r>
      <w:r w:rsidR="00932C9B" w:rsidRPr="00D35E6F">
        <w:t xml:space="preserve"> ($ billion</w:t>
      </w:r>
      <w:r w:rsidR="00DE0A07" w:rsidRPr="00D35E6F">
        <w:t>s</w:t>
      </w:r>
      <w:r w:rsidR="00932C9B" w:rsidRPr="00D35E6F">
        <w:t>)</w:t>
      </w:r>
    </w:p>
    <w:p w14:paraId="0D005FA7" w14:textId="1C95ADBB" w:rsidR="00ED7063" w:rsidRPr="00992260" w:rsidRDefault="000E2AA6" w:rsidP="00DE0A07">
      <w:pPr>
        <w:spacing w:after="160"/>
        <w:rPr>
          <w:highlight w:val="yellow"/>
        </w:rPr>
      </w:pPr>
      <w:r>
        <w:rPr>
          <w:noProof/>
        </w:rPr>
        <w:drawing>
          <wp:inline distT="0" distB="0" distL="0" distR="0" wp14:anchorId="4CA7FBA6" wp14:editId="2B3C5753">
            <wp:extent cx="2857500" cy="2343150"/>
            <wp:effectExtent l="0" t="0" r="0" b="0"/>
            <wp:docPr id="277554635" name="Chart 1">
              <a:extLst xmlns:a="http://schemas.openxmlformats.org/drawingml/2006/main">
                <a:ext uri="{FF2B5EF4-FFF2-40B4-BE49-F238E27FC236}">
                  <a16:creationId xmlns:a16="http://schemas.microsoft.com/office/drawing/2014/main" id="{F82F9231-843F-4EC8-B431-F1F5D0033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740040" w14:textId="3875746E" w:rsidR="004A5E8A" w:rsidRPr="00992260" w:rsidRDefault="004A5E8A">
      <w:pPr>
        <w:spacing w:after="160"/>
        <w:rPr>
          <w:rFonts w:asciiTheme="majorHAnsi" w:eastAsiaTheme="majorEastAsia" w:hAnsiTheme="majorHAnsi" w:cstheme="majorBidi"/>
          <w:b/>
          <w:color w:val="55437E" w:themeColor="accent2"/>
          <w:sz w:val="44"/>
          <w:szCs w:val="26"/>
          <w:highlight w:val="yellow"/>
        </w:rPr>
      </w:pPr>
      <w:r w:rsidRPr="00992260">
        <w:rPr>
          <w:highlight w:val="yellow"/>
        </w:rPr>
        <w:br w:type="page"/>
      </w:r>
    </w:p>
    <w:p w14:paraId="3EFB5FF1" w14:textId="77777777" w:rsidR="00D47CB6" w:rsidRPr="004D729C" w:rsidRDefault="00D47CB6" w:rsidP="00D47CB6">
      <w:pPr>
        <w:pStyle w:val="Heading5"/>
      </w:pPr>
      <w:r w:rsidRPr="004D729C">
        <w:lastRenderedPageBreak/>
        <w:t>Australian Government Financial Assistance</w:t>
      </w:r>
    </w:p>
    <w:p w14:paraId="4C9C8853" w14:textId="20F58B9C" w:rsidR="00D47CB6" w:rsidRPr="004D729C" w:rsidRDefault="00D47CB6" w:rsidP="00D47CB6">
      <w:pPr>
        <w:spacing w:after="200" w:line="276" w:lineRule="auto"/>
        <w:rPr>
          <w:rFonts w:cstheme="minorHAnsi"/>
        </w:rPr>
      </w:pPr>
      <w:r w:rsidRPr="004D729C">
        <w:t xml:space="preserve">Australian Government funding </w:t>
      </w:r>
      <w:r w:rsidR="00924227">
        <w:t xml:space="preserve">contributed </w:t>
      </w:r>
      <w:r w:rsidRPr="004D729C">
        <w:t xml:space="preserve">the largest source of </w:t>
      </w:r>
      <w:r w:rsidR="00924227">
        <w:t>revenue</w:t>
      </w:r>
      <w:r w:rsidRPr="004D729C">
        <w:t xml:space="preserve"> for Australian universities </w:t>
      </w:r>
      <w:r w:rsidR="004D729C" w:rsidRPr="004D729C">
        <w:t>in 2023, with</w:t>
      </w:r>
      <w:r w:rsidRPr="004D729C">
        <w:t xml:space="preserve"> $19.</w:t>
      </w:r>
      <w:r w:rsidR="004D729C" w:rsidRPr="004D729C">
        <w:t>5</w:t>
      </w:r>
      <w:r w:rsidRPr="004D729C">
        <w:t xml:space="preserve"> billion or </w:t>
      </w:r>
      <w:r w:rsidR="004D729C" w:rsidRPr="004D729C">
        <w:t>48.8</w:t>
      </w:r>
      <w:r w:rsidR="009C57AF">
        <w:t>%</w:t>
      </w:r>
      <w:r w:rsidRPr="004D729C">
        <w:t xml:space="preserve"> of total revenue</w:t>
      </w:r>
      <w:r w:rsidR="004D729C" w:rsidRPr="004D729C">
        <w:t xml:space="preserve"> reported across the sector</w:t>
      </w:r>
      <w:r w:rsidRPr="004D729C">
        <w:t xml:space="preserve">. This is </w:t>
      </w:r>
      <w:r w:rsidR="004D729C" w:rsidRPr="004D729C">
        <w:t>up</w:t>
      </w:r>
      <w:r w:rsidRPr="004D729C">
        <w:t xml:space="preserve"> </w:t>
      </w:r>
      <w:r w:rsidR="004D729C" w:rsidRPr="004D729C">
        <w:t>2.2</w:t>
      </w:r>
      <w:r w:rsidR="004E6C81">
        <w:t>%</w:t>
      </w:r>
      <w:r w:rsidRPr="004D729C">
        <w:t xml:space="preserve"> from $</w:t>
      </w:r>
      <w:r w:rsidR="004D729C" w:rsidRPr="004D729C">
        <w:t>19.1</w:t>
      </w:r>
      <w:r w:rsidRPr="004D729C">
        <w:t xml:space="preserve"> billion in 202</w:t>
      </w:r>
      <w:r w:rsidR="004D729C" w:rsidRPr="004D729C">
        <w:t>2</w:t>
      </w:r>
      <w:r w:rsidRPr="004D729C">
        <w:t xml:space="preserve"> </w:t>
      </w:r>
      <w:r w:rsidRPr="004D729C">
        <w:rPr>
          <w:rFonts w:cstheme="minorHAnsi"/>
        </w:rPr>
        <w:t>(5</w:t>
      </w:r>
      <w:r w:rsidR="004D729C" w:rsidRPr="004D729C">
        <w:rPr>
          <w:rFonts w:cstheme="minorHAnsi"/>
        </w:rPr>
        <w:t>5</w:t>
      </w:r>
      <w:r w:rsidRPr="004D729C">
        <w:rPr>
          <w:rFonts w:cstheme="minorHAnsi"/>
        </w:rPr>
        <w:t>.0% of total revenue)</w:t>
      </w:r>
      <w:r w:rsidR="004D729C" w:rsidRPr="004D729C">
        <w:rPr>
          <w:rFonts w:cstheme="minorHAnsi"/>
        </w:rPr>
        <w:t>.</w:t>
      </w:r>
      <w:r w:rsidRPr="004D729C">
        <w:t xml:space="preserve"> </w:t>
      </w:r>
      <w:r w:rsidRPr="004D729C">
        <w:rPr>
          <w:rFonts w:cstheme="minorHAnsi"/>
        </w:rPr>
        <w:t xml:space="preserve">The </w:t>
      </w:r>
      <w:r w:rsidR="004D729C" w:rsidRPr="004D729C">
        <w:rPr>
          <w:rFonts w:cstheme="minorHAnsi"/>
        </w:rPr>
        <w:t>de</w:t>
      </w:r>
      <w:r w:rsidRPr="004D729C">
        <w:rPr>
          <w:rFonts w:cstheme="minorHAnsi"/>
        </w:rPr>
        <w:t>crease in the proportion</w:t>
      </w:r>
      <w:r w:rsidR="00FB597E">
        <w:rPr>
          <w:rFonts w:cstheme="minorHAnsi"/>
        </w:rPr>
        <w:t xml:space="preserve"> of</w:t>
      </w:r>
      <w:r w:rsidRPr="004D729C">
        <w:rPr>
          <w:rFonts w:cstheme="minorHAnsi"/>
        </w:rPr>
        <w:t xml:space="preserve"> Australian Government funding in 202</w:t>
      </w:r>
      <w:r w:rsidR="004D729C" w:rsidRPr="004D729C">
        <w:rPr>
          <w:rFonts w:cstheme="minorHAnsi"/>
        </w:rPr>
        <w:t>3</w:t>
      </w:r>
      <w:r w:rsidR="00794BDD" w:rsidRPr="004D729C">
        <w:rPr>
          <w:rFonts w:cstheme="minorHAnsi"/>
        </w:rPr>
        <w:t xml:space="preserve"> despite an overall </w:t>
      </w:r>
      <w:r w:rsidR="004D729C" w:rsidRPr="004D729C">
        <w:rPr>
          <w:rFonts w:cstheme="minorHAnsi"/>
        </w:rPr>
        <w:t>increase</w:t>
      </w:r>
      <w:r w:rsidR="00794BDD" w:rsidRPr="004D729C">
        <w:rPr>
          <w:rFonts w:cstheme="minorHAnsi"/>
        </w:rPr>
        <w:t xml:space="preserve"> in</w:t>
      </w:r>
      <w:r w:rsidR="004845DA" w:rsidRPr="004D729C">
        <w:rPr>
          <w:rFonts w:cstheme="minorHAnsi"/>
        </w:rPr>
        <w:t xml:space="preserve"> the amount of funding</w:t>
      </w:r>
      <w:r w:rsidRPr="004D729C">
        <w:rPr>
          <w:rFonts w:cstheme="minorHAnsi"/>
        </w:rPr>
        <w:t xml:space="preserve"> is due to the proportional </w:t>
      </w:r>
      <w:r w:rsidR="004D729C" w:rsidRPr="004D729C">
        <w:rPr>
          <w:rFonts w:cstheme="minorHAnsi"/>
        </w:rPr>
        <w:t>increase</w:t>
      </w:r>
      <w:r w:rsidRPr="004D729C">
        <w:rPr>
          <w:rFonts w:cstheme="minorHAnsi"/>
        </w:rPr>
        <w:t xml:space="preserve"> in other revenue sources, notably investment income. </w:t>
      </w:r>
    </w:p>
    <w:p w14:paraId="13281E0A" w14:textId="20E06DAE" w:rsidR="004D729C" w:rsidRDefault="004D729C" w:rsidP="00E133E7">
      <w:pPr>
        <w:spacing w:after="0" w:line="276" w:lineRule="auto"/>
        <w:rPr>
          <w:rFonts w:cstheme="minorHAnsi"/>
        </w:rPr>
      </w:pPr>
      <w:r w:rsidRPr="004D729C">
        <w:rPr>
          <w:rFonts w:cstheme="minorHAnsi"/>
        </w:rPr>
        <w:t xml:space="preserve">Australian Government grants </w:t>
      </w:r>
      <w:r w:rsidR="00924227">
        <w:rPr>
          <w:rFonts w:cstheme="minorHAnsi"/>
        </w:rPr>
        <w:t>make up</w:t>
      </w:r>
      <w:r w:rsidR="006D5EE1">
        <w:rPr>
          <w:rFonts w:cstheme="minorHAnsi"/>
        </w:rPr>
        <w:t xml:space="preserve"> </w:t>
      </w:r>
      <w:r w:rsidR="00C62290">
        <w:rPr>
          <w:rFonts w:cstheme="minorHAnsi"/>
        </w:rPr>
        <w:t>most of the</w:t>
      </w:r>
      <w:r w:rsidRPr="004D729C">
        <w:rPr>
          <w:rFonts w:cstheme="minorHAnsi"/>
        </w:rPr>
        <w:t xml:space="preserve"> funding received, with $13.4 billion reported across the sector in 2023, up from $13.1 billion in 2022. </w:t>
      </w:r>
      <w:r>
        <w:rPr>
          <w:rFonts w:cstheme="minorHAnsi"/>
        </w:rPr>
        <w:t xml:space="preserve">This includes </w:t>
      </w:r>
      <w:r w:rsidR="008274D4">
        <w:rPr>
          <w:rFonts w:cstheme="minorHAnsi"/>
        </w:rPr>
        <w:t xml:space="preserve">the </w:t>
      </w:r>
      <w:r>
        <w:rPr>
          <w:rFonts w:cstheme="minorHAnsi"/>
        </w:rPr>
        <w:t xml:space="preserve">Commonwealth Grant Scheme, </w:t>
      </w:r>
      <w:r w:rsidR="008274D4">
        <w:rPr>
          <w:rFonts w:cstheme="minorHAnsi"/>
        </w:rPr>
        <w:t xml:space="preserve">and </w:t>
      </w:r>
      <w:r>
        <w:rPr>
          <w:rFonts w:cstheme="minorHAnsi"/>
        </w:rPr>
        <w:t xml:space="preserve">research and other grants. </w:t>
      </w:r>
      <w:r w:rsidRPr="004D729C">
        <w:rPr>
          <w:rFonts w:cstheme="minorHAnsi"/>
        </w:rPr>
        <w:t>A further $6.1 billion in HELP payments were reported, up from $6.0</w:t>
      </w:r>
      <w:r w:rsidR="00E948B6">
        <w:rPr>
          <w:rFonts w:cstheme="minorHAnsi"/>
        </w:rPr>
        <w:t> </w:t>
      </w:r>
      <w:r w:rsidRPr="004D729C">
        <w:rPr>
          <w:rFonts w:cstheme="minorHAnsi"/>
        </w:rPr>
        <w:t>billion in 2022.</w:t>
      </w:r>
    </w:p>
    <w:p w14:paraId="33B86839" w14:textId="77777777" w:rsidR="00E133E7" w:rsidRPr="004D729C" w:rsidRDefault="00E133E7" w:rsidP="00E133E7">
      <w:pPr>
        <w:spacing w:after="0" w:line="276" w:lineRule="auto"/>
      </w:pPr>
    </w:p>
    <w:p w14:paraId="66D1690D" w14:textId="100FCABF" w:rsidR="00D47CB6" w:rsidRDefault="00D47CB6" w:rsidP="0089445F">
      <w:pPr>
        <w:pStyle w:val="Heading6"/>
        <w:rPr>
          <w:rStyle w:val="Strong"/>
          <w:b/>
          <w:bCs w:val="0"/>
        </w:rPr>
      </w:pPr>
      <w:r w:rsidRPr="00D32BFB">
        <w:rPr>
          <w:rStyle w:val="Strong"/>
          <w:b/>
          <w:bCs w:val="0"/>
        </w:rPr>
        <w:t xml:space="preserve">Figure </w:t>
      </w:r>
      <w:r w:rsidR="0089445F" w:rsidRPr="00D32BFB">
        <w:rPr>
          <w:rStyle w:val="Strong"/>
          <w:b/>
          <w:bCs w:val="0"/>
        </w:rPr>
        <w:t>7</w:t>
      </w:r>
      <w:r w:rsidRPr="00D32BFB">
        <w:rPr>
          <w:rStyle w:val="Strong"/>
          <w:b/>
          <w:bCs w:val="0"/>
        </w:rPr>
        <w:t>: 202</w:t>
      </w:r>
      <w:r w:rsidR="00311D74" w:rsidRPr="00D32BFB">
        <w:rPr>
          <w:rStyle w:val="Strong"/>
          <w:b/>
          <w:bCs w:val="0"/>
        </w:rPr>
        <w:t>3</w:t>
      </w:r>
      <w:r w:rsidRPr="00D32BFB">
        <w:rPr>
          <w:rStyle w:val="Strong"/>
          <w:b/>
          <w:bCs w:val="0"/>
        </w:rPr>
        <w:t xml:space="preserve"> Revenue from Australian Government sources ($ billions)</w:t>
      </w:r>
    </w:p>
    <w:p w14:paraId="7ACA67AA" w14:textId="0338A42F" w:rsidR="007F18DF" w:rsidRDefault="007F18DF" w:rsidP="007F18DF">
      <w:r>
        <w:rPr>
          <w:noProof/>
        </w:rPr>
        <w:drawing>
          <wp:inline distT="0" distB="0" distL="0" distR="0" wp14:anchorId="2EFF47D6" wp14:editId="122019F0">
            <wp:extent cx="5648325" cy="5010150"/>
            <wp:effectExtent l="0" t="0" r="9525" b="0"/>
            <wp:docPr id="1931145975" name="Chart 1">
              <a:extLst xmlns:a="http://schemas.openxmlformats.org/drawingml/2006/main">
                <a:ext uri="{FF2B5EF4-FFF2-40B4-BE49-F238E27FC236}">
                  <a16:creationId xmlns:a16="http://schemas.microsoft.com/office/drawing/2014/main" id="{F0371853-6FF0-9840-1ACC-4D5C196EE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88FDA2C" w14:textId="77777777" w:rsidR="00E133E7" w:rsidRDefault="00E133E7" w:rsidP="00E133E7">
      <w:pPr>
        <w:spacing w:after="0"/>
      </w:pPr>
    </w:p>
    <w:p w14:paraId="50AEF0F9" w14:textId="77777777" w:rsidR="00D47CB6" w:rsidRPr="00AF5D75" w:rsidRDefault="00D47CB6" w:rsidP="00D47CB6">
      <w:pPr>
        <w:pStyle w:val="Heading5"/>
      </w:pPr>
      <w:r w:rsidRPr="00AF5D75">
        <w:t>International Student Fees</w:t>
      </w:r>
    </w:p>
    <w:p w14:paraId="5B9B9253" w14:textId="04405352" w:rsidR="002E3996" w:rsidRPr="00AF5D75" w:rsidRDefault="00D47CB6" w:rsidP="00D47CB6">
      <w:pPr>
        <w:spacing w:after="200" w:line="276" w:lineRule="auto"/>
      </w:pPr>
      <w:r w:rsidRPr="00AF5D75">
        <w:t>International student fees cont</w:t>
      </w:r>
      <w:r w:rsidR="00924227" w:rsidRPr="00AF5D75">
        <w:t>inued to represent</w:t>
      </w:r>
      <w:r w:rsidRPr="00AF5D75">
        <w:t xml:space="preserve"> the second largest proportion of </w:t>
      </w:r>
      <w:r w:rsidR="00924227" w:rsidRPr="00AF5D75">
        <w:t xml:space="preserve">sector </w:t>
      </w:r>
      <w:r w:rsidRPr="00AF5D75">
        <w:t xml:space="preserve">revenue </w:t>
      </w:r>
      <w:r w:rsidR="004845DA" w:rsidRPr="00AF5D75">
        <w:t>in 202</w:t>
      </w:r>
      <w:r w:rsidR="00924227" w:rsidRPr="00AF5D75">
        <w:t xml:space="preserve">3 and experienced strong growth as the market rebounded from the effects of the pandemic. </w:t>
      </w:r>
      <w:r w:rsidR="00924227" w:rsidRPr="00AF5D75">
        <w:lastRenderedPageBreak/>
        <w:t>Total international student fees of</w:t>
      </w:r>
      <w:r w:rsidRPr="00AF5D75">
        <w:t xml:space="preserve"> $</w:t>
      </w:r>
      <w:r w:rsidR="00924227" w:rsidRPr="00AF5D75">
        <w:t>10.</w:t>
      </w:r>
      <w:r w:rsidR="00CF7FA0">
        <w:t>2</w:t>
      </w:r>
      <w:r w:rsidR="004845DA" w:rsidRPr="00AF5D75">
        <w:t> </w:t>
      </w:r>
      <w:r w:rsidRPr="00AF5D75">
        <w:t>billion or 2</w:t>
      </w:r>
      <w:r w:rsidR="00924227" w:rsidRPr="00AF5D75">
        <w:t>5.4</w:t>
      </w:r>
      <w:r w:rsidR="00E948B6">
        <w:t>%</w:t>
      </w:r>
      <w:r w:rsidRPr="00AF5D75">
        <w:t xml:space="preserve"> of total revenue</w:t>
      </w:r>
      <w:r w:rsidR="00924227" w:rsidRPr="00AF5D75">
        <w:t xml:space="preserve"> were reported in 2023</w:t>
      </w:r>
      <w:r w:rsidRPr="00AF5D75">
        <w:t xml:space="preserve">, </w:t>
      </w:r>
      <w:r w:rsidR="00924227" w:rsidRPr="00AF5D75">
        <w:t>up 18.4</w:t>
      </w:r>
      <w:r w:rsidR="00E948B6">
        <w:t>%</w:t>
      </w:r>
      <w:r w:rsidR="00924227" w:rsidRPr="00AF5D75">
        <w:t xml:space="preserve"> or $1.6 billion</w:t>
      </w:r>
      <w:r w:rsidRPr="00AF5D75">
        <w:t xml:space="preserve"> from $8.</w:t>
      </w:r>
      <w:r w:rsidR="00924227" w:rsidRPr="00AF5D75">
        <w:t>6</w:t>
      </w:r>
      <w:r w:rsidRPr="00AF5D75">
        <w:t xml:space="preserve"> billion in 202</w:t>
      </w:r>
      <w:r w:rsidR="00924227" w:rsidRPr="00AF5D75">
        <w:t xml:space="preserve">2. </w:t>
      </w:r>
    </w:p>
    <w:p w14:paraId="7D93D8BD" w14:textId="29E90755" w:rsidR="00D47CB6" w:rsidRPr="00AF5D75" w:rsidRDefault="00924227" w:rsidP="00D47CB6">
      <w:pPr>
        <w:spacing w:after="200" w:line="276" w:lineRule="auto"/>
      </w:pPr>
      <w:r w:rsidRPr="00AF5D75">
        <w:t xml:space="preserve">This amount surpassed </w:t>
      </w:r>
      <w:r w:rsidR="007F18DF">
        <w:t xml:space="preserve">the </w:t>
      </w:r>
      <w:r w:rsidRPr="007F18DF">
        <w:t xml:space="preserve">pre-pandemic </w:t>
      </w:r>
      <w:r w:rsidR="00AF5D75">
        <w:t xml:space="preserve">international student fee revenue </w:t>
      </w:r>
      <w:r w:rsidR="00AD35FE" w:rsidRPr="007F18DF">
        <w:t>of $10.0 billion</w:t>
      </w:r>
      <w:r w:rsidR="007F18DF">
        <w:t xml:space="preserve"> that w</w:t>
      </w:r>
      <w:r w:rsidR="00AF5D75">
        <w:t>as</w:t>
      </w:r>
      <w:r w:rsidR="00AD35FE" w:rsidRPr="007F18DF">
        <w:t xml:space="preserve"> reported in 2019 </w:t>
      </w:r>
      <w:r w:rsidRPr="007F18DF">
        <w:t>for the first time</w:t>
      </w:r>
      <w:r w:rsidR="00AD35FE" w:rsidRPr="007F18DF">
        <w:t>.</w:t>
      </w:r>
      <w:r w:rsidR="007F18DF">
        <w:t xml:space="preserve"> </w:t>
      </w:r>
      <w:r w:rsidR="00AF5D75" w:rsidRPr="00AF5D75">
        <w:t>While i</w:t>
      </w:r>
      <w:r w:rsidR="00D47CB6" w:rsidRPr="00AF5D75">
        <w:rPr>
          <w:rFonts w:cstheme="minorHAnsi"/>
        </w:rPr>
        <w:t xml:space="preserve">nternational students began a gradual return to Australian universities in 2022 </w:t>
      </w:r>
      <w:r w:rsidR="007F18DF" w:rsidRPr="00AF5D75">
        <w:rPr>
          <w:rFonts w:cstheme="minorHAnsi"/>
        </w:rPr>
        <w:t>following nearly two years of border closures</w:t>
      </w:r>
      <w:r w:rsidR="00D47CB6" w:rsidRPr="00AF5D75">
        <w:rPr>
          <w:rFonts w:cstheme="minorHAnsi"/>
        </w:rPr>
        <w:t>, th</w:t>
      </w:r>
      <w:r w:rsidR="007F18DF" w:rsidRPr="00AF5D75">
        <w:rPr>
          <w:rFonts w:cstheme="minorHAnsi"/>
        </w:rPr>
        <w:t xml:space="preserve">e full impact </w:t>
      </w:r>
      <w:r w:rsidR="00AF5D75" w:rsidRPr="00AF5D75">
        <w:rPr>
          <w:rFonts w:cstheme="minorHAnsi"/>
        </w:rPr>
        <w:t xml:space="preserve">on sector revenue </w:t>
      </w:r>
      <w:r w:rsidR="007F18DF" w:rsidRPr="00AF5D75">
        <w:rPr>
          <w:rFonts w:cstheme="minorHAnsi"/>
        </w:rPr>
        <w:t>was not seen until 2023</w:t>
      </w:r>
      <w:r w:rsidR="00AF5D75" w:rsidRPr="00AF5D75">
        <w:rPr>
          <w:rFonts w:cstheme="minorHAnsi"/>
        </w:rPr>
        <w:t xml:space="preserve"> </w:t>
      </w:r>
      <w:r w:rsidR="00D47CB6" w:rsidRPr="00AF5D75">
        <w:rPr>
          <w:rFonts w:cstheme="minorHAnsi"/>
        </w:rPr>
        <w:t xml:space="preserve">due to the pipeline effect of </w:t>
      </w:r>
      <w:r w:rsidR="004845DA" w:rsidRPr="00AF5D75">
        <w:rPr>
          <w:rFonts w:cstheme="minorHAnsi"/>
        </w:rPr>
        <w:t xml:space="preserve">almost </w:t>
      </w:r>
      <w:r w:rsidR="00D47CB6" w:rsidRPr="00AF5D75">
        <w:rPr>
          <w:rFonts w:cstheme="minorHAnsi"/>
        </w:rPr>
        <w:t>two years of border closures.</w:t>
      </w:r>
    </w:p>
    <w:p w14:paraId="7FFB13DB" w14:textId="77777777" w:rsidR="00D47CB6" w:rsidRPr="00D32BFB" w:rsidRDefault="00D47CB6" w:rsidP="00D47CB6">
      <w:pPr>
        <w:pStyle w:val="Heading5"/>
      </w:pPr>
      <w:r w:rsidRPr="00D32BFB">
        <w:t>Investment Income and Other Revenue</w:t>
      </w:r>
    </w:p>
    <w:p w14:paraId="11EC3E60" w14:textId="147FBB50" w:rsidR="008345A9" w:rsidRPr="00171581" w:rsidRDefault="008345A9" w:rsidP="008345A9">
      <w:pPr>
        <w:pStyle w:val="Heading6"/>
        <w:rPr>
          <w:rStyle w:val="Strong"/>
          <w:b/>
          <w:bCs w:val="0"/>
        </w:rPr>
      </w:pPr>
      <w:r w:rsidRPr="00171581">
        <w:rPr>
          <w:rStyle w:val="Strong"/>
          <w:b/>
          <w:bCs w:val="0"/>
        </w:rPr>
        <w:t>Table 3: Summary of 202</w:t>
      </w:r>
      <w:r w:rsidR="00A76FB6">
        <w:rPr>
          <w:rStyle w:val="Strong"/>
          <w:b/>
          <w:bCs w:val="0"/>
        </w:rPr>
        <w:t>3</w:t>
      </w:r>
      <w:r w:rsidRPr="00171581">
        <w:rPr>
          <w:rStyle w:val="Strong"/>
          <w:b/>
          <w:bCs w:val="0"/>
        </w:rPr>
        <w:t xml:space="preserve"> and 202</w:t>
      </w:r>
      <w:r w:rsidR="00A76FB6">
        <w:rPr>
          <w:rStyle w:val="Strong"/>
          <w:b/>
          <w:bCs w:val="0"/>
        </w:rPr>
        <w:t>2</w:t>
      </w:r>
      <w:r w:rsidRPr="00171581">
        <w:rPr>
          <w:rStyle w:val="Strong"/>
          <w:b/>
          <w:bCs w:val="0"/>
        </w:rPr>
        <w:t xml:space="preserve"> Investment Income</w:t>
      </w:r>
    </w:p>
    <w:tbl>
      <w:tblPr>
        <w:tblW w:w="9016" w:type="dxa"/>
        <w:tblLayout w:type="fixed"/>
        <w:tblLook w:val="04A0" w:firstRow="1" w:lastRow="0" w:firstColumn="1" w:lastColumn="0" w:noHBand="0" w:noVBand="1"/>
      </w:tblPr>
      <w:tblGrid>
        <w:gridCol w:w="4390"/>
        <w:gridCol w:w="1275"/>
        <w:gridCol w:w="1276"/>
        <w:gridCol w:w="1134"/>
        <w:gridCol w:w="941"/>
      </w:tblGrid>
      <w:tr w:rsidR="00700504" w:rsidRPr="00171581" w14:paraId="4FFE4ACD" w14:textId="77777777" w:rsidTr="002B63A6">
        <w:trPr>
          <w:trHeight w:val="300"/>
        </w:trPr>
        <w:tc>
          <w:tcPr>
            <w:tcW w:w="4390" w:type="dxa"/>
            <w:tcBorders>
              <w:top w:val="single" w:sz="4" w:space="0" w:color="auto"/>
              <w:left w:val="single" w:sz="4" w:space="0" w:color="auto"/>
              <w:bottom w:val="nil"/>
              <w:right w:val="single" w:sz="4" w:space="0" w:color="auto"/>
            </w:tcBorders>
            <w:shd w:val="clear" w:color="auto" w:fill="004C6C" w:themeFill="background2"/>
            <w:noWrap/>
            <w:hideMark/>
          </w:tcPr>
          <w:p w14:paraId="73ED4D1E" w14:textId="77777777" w:rsidR="00700504" w:rsidRPr="00171581" w:rsidRDefault="00700504" w:rsidP="002B63A6">
            <w:pPr>
              <w:spacing w:after="0" w:line="240" w:lineRule="auto"/>
              <w:rPr>
                <w:rFonts w:ascii="Calibri" w:eastAsia="Times New Roman" w:hAnsi="Calibri" w:cs="Calibri"/>
                <w:b/>
                <w:bCs/>
                <w:color w:val="FFFFFF"/>
                <w:lang w:eastAsia="en-AU"/>
              </w:rPr>
            </w:pPr>
          </w:p>
        </w:tc>
        <w:tc>
          <w:tcPr>
            <w:tcW w:w="1275"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71B47939" w14:textId="1CAB9CF0"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202</w:t>
            </w:r>
            <w:r w:rsidR="00171581">
              <w:rPr>
                <w:rFonts w:ascii="Calibri" w:eastAsia="Times New Roman" w:hAnsi="Calibri" w:cs="Calibri"/>
                <w:b/>
                <w:bCs/>
                <w:color w:val="FFFFFF"/>
                <w:sz w:val="20"/>
                <w:szCs w:val="20"/>
                <w:lang w:eastAsia="en-AU"/>
              </w:rPr>
              <w:t>3</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339B6D54" w14:textId="6FE43986"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202</w:t>
            </w:r>
            <w:r w:rsidR="00171581">
              <w:rPr>
                <w:rFonts w:ascii="Calibri" w:eastAsia="Times New Roman" w:hAnsi="Calibri" w:cs="Calibri"/>
                <w:b/>
                <w:bCs/>
                <w:color w:val="FFFFFF"/>
                <w:sz w:val="20"/>
                <w:szCs w:val="20"/>
                <w:lang w:eastAsia="en-AU"/>
              </w:rPr>
              <w:t>2</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6CBDFF76"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Change</w:t>
            </w:r>
          </w:p>
        </w:tc>
      </w:tr>
      <w:tr w:rsidR="00700504" w:rsidRPr="00311D74" w14:paraId="07A162D6" w14:textId="77777777" w:rsidTr="002B63A6">
        <w:trPr>
          <w:trHeight w:val="300"/>
        </w:trPr>
        <w:tc>
          <w:tcPr>
            <w:tcW w:w="4390" w:type="dxa"/>
            <w:tcBorders>
              <w:top w:val="nil"/>
              <w:left w:val="single" w:sz="4" w:space="0" w:color="auto"/>
              <w:bottom w:val="single" w:sz="4" w:space="0" w:color="auto"/>
              <w:right w:val="single" w:sz="4" w:space="0" w:color="auto"/>
            </w:tcBorders>
            <w:shd w:val="clear" w:color="auto" w:fill="004C6C" w:themeFill="background2"/>
            <w:noWrap/>
            <w:hideMark/>
          </w:tcPr>
          <w:p w14:paraId="69887AE7" w14:textId="77777777" w:rsidR="00700504" w:rsidRPr="00171581" w:rsidRDefault="00700504" w:rsidP="002B63A6">
            <w:pPr>
              <w:spacing w:after="0" w:line="240" w:lineRule="auto"/>
              <w:rPr>
                <w:rFonts w:ascii="Calibri" w:eastAsia="Times New Roman" w:hAnsi="Calibri" w:cs="Calibri"/>
                <w:b/>
                <w:bCs/>
                <w:color w:val="FFFFFF"/>
                <w:lang w:eastAsia="en-AU"/>
              </w:rPr>
            </w:pPr>
            <w:r w:rsidRPr="00171581">
              <w:rPr>
                <w:rFonts w:ascii="Calibri" w:eastAsia="Times New Roman" w:hAnsi="Calibri" w:cs="Calibri"/>
                <w:b/>
                <w:bCs/>
                <w:color w:val="FFFFFF"/>
                <w:lang w:eastAsia="en-AU"/>
              </w:rPr>
              <w:t> </w:t>
            </w:r>
          </w:p>
        </w:tc>
        <w:tc>
          <w:tcPr>
            <w:tcW w:w="1275" w:type="dxa"/>
            <w:tcBorders>
              <w:top w:val="nil"/>
              <w:left w:val="nil"/>
              <w:bottom w:val="single" w:sz="4" w:space="0" w:color="auto"/>
              <w:right w:val="single" w:sz="4" w:space="0" w:color="auto"/>
            </w:tcBorders>
            <w:shd w:val="clear" w:color="auto" w:fill="004C6C" w:themeFill="background2"/>
            <w:noWrap/>
            <w:vAlign w:val="bottom"/>
            <w:hideMark/>
          </w:tcPr>
          <w:p w14:paraId="33DFE75B"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2FBB5611"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40E19302"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4C6C" w:themeFill="background2"/>
            <w:noWrap/>
            <w:vAlign w:val="bottom"/>
            <w:hideMark/>
          </w:tcPr>
          <w:p w14:paraId="28D17C7C"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w:t>
            </w:r>
          </w:p>
        </w:tc>
      </w:tr>
      <w:tr w:rsidR="00171581" w:rsidRPr="00311D74" w14:paraId="05604694" w14:textId="77777777" w:rsidTr="00A76FB6">
        <w:trPr>
          <w:trHeight w:val="300"/>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555971A6" w14:textId="504F9A2B" w:rsidR="00171581" w:rsidRPr="00A76FB6" w:rsidRDefault="00171581" w:rsidP="00171581">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Investment Revenue (interest, dividends &amp; distributions)</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369D933" w14:textId="38A899A5"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1,086,252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EBE68F1" w14:textId="2073449F"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1,183,397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CCE994" w14:textId="1CF7F297" w:rsidR="00171581" w:rsidRPr="00A76FB6" w:rsidRDefault="00171581" w:rsidP="00171581">
            <w:pPr>
              <w:spacing w:after="0" w:line="240" w:lineRule="auto"/>
              <w:jc w:val="right"/>
              <w:rPr>
                <w:rFonts w:ascii="Calibri" w:eastAsia="Times New Roman" w:hAnsi="Calibri" w:cs="Calibri"/>
                <w:color w:val="FF0000"/>
                <w:sz w:val="20"/>
                <w:szCs w:val="20"/>
                <w:lang w:eastAsia="en-AU"/>
              </w:rPr>
            </w:pPr>
            <w:r w:rsidRPr="00A76FB6">
              <w:rPr>
                <w:rFonts w:ascii="Calibri" w:hAnsi="Calibri" w:cs="Calibri"/>
                <w:color w:val="FF0000"/>
                <w:sz w:val="20"/>
                <w:szCs w:val="20"/>
              </w:rPr>
              <w:t xml:space="preserve">-97,145 </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5298856" w14:textId="26284430" w:rsidR="00171581" w:rsidRPr="000F4180" w:rsidRDefault="00171581" w:rsidP="00171581">
            <w:pPr>
              <w:spacing w:after="0" w:line="240" w:lineRule="auto"/>
              <w:jc w:val="right"/>
              <w:rPr>
                <w:rFonts w:ascii="Calibri" w:eastAsia="Times New Roman" w:hAnsi="Calibri" w:cs="Calibri"/>
                <w:color w:val="FF0000"/>
                <w:sz w:val="20"/>
                <w:szCs w:val="20"/>
                <w:lang w:eastAsia="en-AU"/>
              </w:rPr>
            </w:pPr>
            <w:r w:rsidRPr="000F4180">
              <w:rPr>
                <w:rFonts w:ascii="Calibri" w:hAnsi="Calibri" w:cs="Calibri"/>
                <w:color w:val="FF0000"/>
                <w:sz w:val="20"/>
                <w:szCs w:val="20"/>
              </w:rPr>
              <w:t>-8.2%</w:t>
            </w:r>
          </w:p>
        </w:tc>
      </w:tr>
      <w:tr w:rsidR="00171581" w:rsidRPr="00311D74" w14:paraId="397C3C57" w14:textId="77777777" w:rsidTr="00A76FB6">
        <w:trPr>
          <w:trHeight w:val="300"/>
        </w:trPr>
        <w:tc>
          <w:tcPr>
            <w:tcW w:w="4390" w:type="dxa"/>
            <w:tcBorders>
              <w:top w:val="nil"/>
              <w:left w:val="single" w:sz="4" w:space="0" w:color="auto"/>
              <w:bottom w:val="single" w:sz="4" w:space="0" w:color="auto"/>
              <w:right w:val="single" w:sz="4" w:space="0" w:color="auto"/>
            </w:tcBorders>
            <w:noWrap/>
            <w:vAlign w:val="bottom"/>
            <w:hideMark/>
          </w:tcPr>
          <w:p w14:paraId="59804E7E" w14:textId="656B08AF" w:rsidR="00171581" w:rsidRPr="00A76FB6" w:rsidRDefault="00171581" w:rsidP="00171581">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Net Fair Value Gains/(Losses)</w:t>
            </w:r>
          </w:p>
        </w:tc>
        <w:tc>
          <w:tcPr>
            <w:tcW w:w="1275" w:type="dxa"/>
            <w:tcBorders>
              <w:top w:val="nil"/>
              <w:left w:val="single" w:sz="4" w:space="0" w:color="auto"/>
              <w:bottom w:val="single" w:sz="4" w:space="0" w:color="auto"/>
              <w:right w:val="single" w:sz="4" w:space="0" w:color="auto"/>
            </w:tcBorders>
            <w:noWrap/>
            <w:vAlign w:val="bottom"/>
            <w:hideMark/>
          </w:tcPr>
          <w:p w14:paraId="2A50107D" w14:textId="1396977B"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1,118,706 </w:t>
            </w:r>
          </w:p>
        </w:tc>
        <w:tc>
          <w:tcPr>
            <w:tcW w:w="1276" w:type="dxa"/>
            <w:tcBorders>
              <w:top w:val="nil"/>
              <w:left w:val="single" w:sz="4" w:space="0" w:color="auto"/>
              <w:bottom w:val="single" w:sz="4" w:space="0" w:color="auto"/>
              <w:right w:val="single" w:sz="4" w:space="0" w:color="auto"/>
            </w:tcBorders>
            <w:noWrap/>
            <w:vAlign w:val="bottom"/>
            <w:hideMark/>
          </w:tcPr>
          <w:p w14:paraId="5C9567A5" w14:textId="0F4AA109"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FF0000"/>
                <w:sz w:val="20"/>
                <w:szCs w:val="20"/>
              </w:rPr>
              <w:t xml:space="preserve">-1,565,426 </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AB615C8" w14:textId="00A4CF5C" w:rsidR="00171581" w:rsidRPr="00A76FB6" w:rsidRDefault="00171581" w:rsidP="00171581">
            <w:pPr>
              <w:spacing w:after="0" w:line="240" w:lineRule="auto"/>
              <w:jc w:val="right"/>
              <w:rPr>
                <w:rFonts w:ascii="Calibri" w:eastAsia="Times New Roman" w:hAnsi="Calibri" w:cs="Calibri"/>
                <w:color w:val="FF0000"/>
                <w:sz w:val="20"/>
                <w:szCs w:val="20"/>
                <w:lang w:eastAsia="en-AU"/>
              </w:rPr>
            </w:pPr>
            <w:r w:rsidRPr="00A76FB6">
              <w:rPr>
                <w:rFonts w:ascii="Calibri" w:hAnsi="Calibri" w:cs="Calibri"/>
                <w:color w:val="000000"/>
                <w:sz w:val="20"/>
                <w:szCs w:val="20"/>
              </w:rPr>
              <w:t xml:space="preserve">2,684,132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66E889F" w14:textId="665946BA" w:rsidR="00171581" w:rsidRPr="000F4180" w:rsidRDefault="00171581" w:rsidP="00171581">
            <w:pPr>
              <w:spacing w:after="0" w:line="240" w:lineRule="auto"/>
              <w:jc w:val="right"/>
              <w:rPr>
                <w:rFonts w:ascii="Calibri" w:eastAsia="Times New Roman" w:hAnsi="Calibri" w:cs="Calibri"/>
                <w:sz w:val="20"/>
                <w:szCs w:val="20"/>
                <w:lang w:eastAsia="en-AU"/>
              </w:rPr>
            </w:pPr>
            <w:r w:rsidRPr="000F4180">
              <w:rPr>
                <w:rFonts w:ascii="Calibri" w:hAnsi="Calibri" w:cs="Calibri"/>
                <w:sz w:val="20"/>
                <w:szCs w:val="20"/>
              </w:rPr>
              <w:t>171.5%</w:t>
            </w:r>
          </w:p>
        </w:tc>
      </w:tr>
      <w:tr w:rsidR="00171581" w:rsidRPr="00311D74" w14:paraId="29FF6E49" w14:textId="77777777" w:rsidTr="00A76FB6">
        <w:trPr>
          <w:trHeight w:val="300"/>
        </w:trPr>
        <w:tc>
          <w:tcPr>
            <w:tcW w:w="4390" w:type="dxa"/>
            <w:tcBorders>
              <w:top w:val="nil"/>
              <w:left w:val="single" w:sz="4" w:space="0" w:color="auto"/>
              <w:bottom w:val="single" w:sz="4" w:space="0" w:color="auto"/>
              <w:right w:val="single" w:sz="4" w:space="0" w:color="auto"/>
            </w:tcBorders>
            <w:noWrap/>
            <w:vAlign w:val="bottom"/>
            <w:hideMark/>
          </w:tcPr>
          <w:p w14:paraId="3DF5BFA8" w14:textId="65B844A8" w:rsidR="00171581" w:rsidRPr="00A76FB6" w:rsidRDefault="00171581" w:rsidP="00171581">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Net Gain/(Loss) on Sale</w:t>
            </w:r>
          </w:p>
        </w:tc>
        <w:tc>
          <w:tcPr>
            <w:tcW w:w="1275" w:type="dxa"/>
            <w:tcBorders>
              <w:top w:val="nil"/>
              <w:left w:val="single" w:sz="4" w:space="0" w:color="auto"/>
              <w:bottom w:val="single" w:sz="4" w:space="0" w:color="auto"/>
              <w:right w:val="single" w:sz="4" w:space="0" w:color="auto"/>
            </w:tcBorders>
            <w:noWrap/>
            <w:vAlign w:val="bottom"/>
            <w:hideMark/>
          </w:tcPr>
          <w:p w14:paraId="17C66348" w14:textId="2BF7D511"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81,804 </w:t>
            </w:r>
          </w:p>
        </w:tc>
        <w:tc>
          <w:tcPr>
            <w:tcW w:w="1276" w:type="dxa"/>
            <w:tcBorders>
              <w:top w:val="nil"/>
              <w:left w:val="single" w:sz="4" w:space="0" w:color="auto"/>
              <w:bottom w:val="single" w:sz="4" w:space="0" w:color="auto"/>
              <w:right w:val="single" w:sz="4" w:space="0" w:color="auto"/>
            </w:tcBorders>
            <w:noWrap/>
            <w:vAlign w:val="bottom"/>
            <w:hideMark/>
          </w:tcPr>
          <w:p w14:paraId="30DB6D11" w14:textId="59BB685A"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FF0000"/>
                <w:sz w:val="20"/>
                <w:szCs w:val="20"/>
              </w:rPr>
              <w:t xml:space="preserve">-36,111 </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CF3E995" w14:textId="4C8BABB9"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117,915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454F31C" w14:textId="00873849" w:rsidR="00171581" w:rsidRPr="000F4180" w:rsidRDefault="00171581" w:rsidP="00171581">
            <w:pPr>
              <w:spacing w:after="0" w:line="240" w:lineRule="auto"/>
              <w:jc w:val="right"/>
              <w:rPr>
                <w:rFonts w:ascii="Calibri" w:eastAsia="Times New Roman" w:hAnsi="Calibri" w:cs="Calibri"/>
                <w:sz w:val="20"/>
                <w:szCs w:val="20"/>
                <w:lang w:eastAsia="en-AU"/>
              </w:rPr>
            </w:pPr>
            <w:r w:rsidRPr="000F4180">
              <w:rPr>
                <w:rFonts w:ascii="Calibri" w:hAnsi="Calibri" w:cs="Calibri"/>
                <w:sz w:val="20"/>
                <w:szCs w:val="20"/>
              </w:rPr>
              <w:t>326.5%</w:t>
            </w:r>
          </w:p>
        </w:tc>
      </w:tr>
      <w:tr w:rsidR="00171581" w:rsidRPr="00311D74" w14:paraId="3F44CBC3" w14:textId="77777777" w:rsidTr="00A76FB6">
        <w:trPr>
          <w:trHeight w:val="300"/>
        </w:trPr>
        <w:tc>
          <w:tcPr>
            <w:tcW w:w="4390" w:type="dxa"/>
            <w:tcBorders>
              <w:top w:val="nil"/>
              <w:left w:val="single" w:sz="4" w:space="0" w:color="auto"/>
              <w:bottom w:val="single" w:sz="4" w:space="0" w:color="auto"/>
              <w:right w:val="single" w:sz="4" w:space="0" w:color="auto"/>
            </w:tcBorders>
            <w:noWrap/>
            <w:vAlign w:val="bottom"/>
            <w:hideMark/>
          </w:tcPr>
          <w:p w14:paraId="4736BCB0" w14:textId="446CE486" w:rsidR="00171581" w:rsidRPr="00A76FB6" w:rsidRDefault="00171581" w:rsidP="00171581">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Other Investment Income</w:t>
            </w:r>
          </w:p>
        </w:tc>
        <w:tc>
          <w:tcPr>
            <w:tcW w:w="1275" w:type="dxa"/>
            <w:tcBorders>
              <w:top w:val="nil"/>
              <w:left w:val="single" w:sz="4" w:space="0" w:color="auto"/>
              <w:bottom w:val="single" w:sz="4" w:space="0" w:color="auto"/>
              <w:right w:val="single" w:sz="4" w:space="0" w:color="auto"/>
            </w:tcBorders>
            <w:noWrap/>
            <w:vAlign w:val="bottom"/>
            <w:hideMark/>
          </w:tcPr>
          <w:p w14:paraId="19F1816F" w14:textId="20045E5C"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46,092 </w:t>
            </w:r>
          </w:p>
        </w:tc>
        <w:tc>
          <w:tcPr>
            <w:tcW w:w="1276" w:type="dxa"/>
            <w:tcBorders>
              <w:top w:val="nil"/>
              <w:left w:val="single" w:sz="4" w:space="0" w:color="auto"/>
              <w:bottom w:val="single" w:sz="4" w:space="0" w:color="auto"/>
              <w:right w:val="single" w:sz="4" w:space="0" w:color="auto"/>
            </w:tcBorders>
            <w:noWrap/>
            <w:vAlign w:val="bottom"/>
            <w:hideMark/>
          </w:tcPr>
          <w:p w14:paraId="60FF3C77" w14:textId="4FA07701"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21,357 </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ABF8376" w14:textId="071454CD" w:rsidR="00171581" w:rsidRPr="00A76FB6" w:rsidRDefault="00171581" w:rsidP="00171581">
            <w:pPr>
              <w:spacing w:after="0" w:line="240" w:lineRule="auto"/>
              <w:jc w:val="right"/>
              <w:rPr>
                <w:rFonts w:ascii="Calibri" w:eastAsia="Times New Roman" w:hAnsi="Calibri" w:cs="Calibri"/>
                <w:color w:val="000000"/>
                <w:sz w:val="20"/>
                <w:szCs w:val="20"/>
                <w:lang w:eastAsia="en-AU"/>
              </w:rPr>
            </w:pPr>
            <w:r w:rsidRPr="00A76FB6">
              <w:rPr>
                <w:rFonts w:ascii="Calibri" w:hAnsi="Calibri" w:cs="Calibri"/>
                <w:color w:val="000000"/>
                <w:sz w:val="20"/>
                <w:szCs w:val="20"/>
              </w:rPr>
              <w:t xml:space="preserve">24,735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02324BA" w14:textId="4EE88018" w:rsidR="00171581" w:rsidRPr="000F4180" w:rsidRDefault="00171581" w:rsidP="00171581">
            <w:pPr>
              <w:spacing w:after="0" w:line="240" w:lineRule="auto"/>
              <w:jc w:val="right"/>
              <w:rPr>
                <w:rFonts w:ascii="Calibri" w:eastAsia="Times New Roman" w:hAnsi="Calibri" w:cs="Calibri"/>
                <w:sz w:val="20"/>
                <w:szCs w:val="20"/>
                <w:lang w:eastAsia="en-AU"/>
              </w:rPr>
            </w:pPr>
            <w:r w:rsidRPr="000F4180">
              <w:rPr>
                <w:rFonts w:ascii="Calibri" w:hAnsi="Calibri" w:cs="Calibri"/>
                <w:sz w:val="20"/>
                <w:szCs w:val="20"/>
              </w:rPr>
              <w:t>115.8%</w:t>
            </w:r>
          </w:p>
        </w:tc>
      </w:tr>
      <w:tr w:rsidR="00171581" w:rsidRPr="00311D74" w14:paraId="1034E41B" w14:textId="77777777" w:rsidTr="00A76FB6">
        <w:trPr>
          <w:trHeight w:val="300"/>
        </w:trPr>
        <w:tc>
          <w:tcPr>
            <w:tcW w:w="4390"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D49C9A9" w14:textId="315E54D4" w:rsidR="00171581" w:rsidRPr="00A76FB6" w:rsidRDefault="00A76FB6" w:rsidP="00171581">
            <w:pPr>
              <w:spacing w:after="0" w:line="240" w:lineRule="auto"/>
              <w:rPr>
                <w:rFonts w:ascii="Calibri" w:eastAsia="Times New Roman" w:hAnsi="Calibri" w:cs="Calibri"/>
                <w:b/>
                <w:bCs/>
                <w:color w:val="000000"/>
                <w:sz w:val="20"/>
                <w:szCs w:val="20"/>
                <w:lang w:eastAsia="en-AU"/>
              </w:rPr>
            </w:pPr>
            <w:r w:rsidRPr="00A76FB6">
              <w:rPr>
                <w:rFonts w:ascii="Calibri" w:hAnsi="Calibri" w:cs="Calibri"/>
                <w:b/>
                <w:bCs/>
                <w:color w:val="000000"/>
                <w:sz w:val="20"/>
                <w:szCs w:val="20"/>
              </w:rPr>
              <w:t xml:space="preserve">Total </w:t>
            </w:r>
            <w:r w:rsidR="00171581" w:rsidRPr="00A76FB6">
              <w:rPr>
                <w:rFonts w:ascii="Calibri" w:hAnsi="Calibri" w:cs="Calibri"/>
                <w:b/>
                <w:bCs/>
                <w:color w:val="000000"/>
                <w:sz w:val="20"/>
                <w:szCs w:val="20"/>
              </w:rPr>
              <w:t>Investment Income/(Loss)</w:t>
            </w:r>
          </w:p>
        </w:tc>
        <w:tc>
          <w:tcPr>
            <w:tcW w:w="1275"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2CA3FB9" w14:textId="44DDC5D3" w:rsidR="00171581" w:rsidRPr="00A76FB6" w:rsidRDefault="00171581" w:rsidP="00171581">
            <w:pPr>
              <w:spacing w:after="0" w:line="240" w:lineRule="auto"/>
              <w:jc w:val="right"/>
              <w:rPr>
                <w:rFonts w:ascii="Calibri" w:eastAsia="Times New Roman" w:hAnsi="Calibri" w:cs="Calibri"/>
                <w:b/>
                <w:bCs/>
                <w:color w:val="000000"/>
                <w:sz w:val="20"/>
                <w:szCs w:val="20"/>
                <w:lang w:eastAsia="en-AU"/>
              </w:rPr>
            </w:pPr>
            <w:r w:rsidRPr="00A76FB6">
              <w:rPr>
                <w:rFonts w:ascii="Calibri" w:hAnsi="Calibri" w:cs="Calibri"/>
                <w:b/>
                <w:bCs/>
                <w:color w:val="000000"/>
                <w:sz w:val="20"/>
                <w:szCs w:val="20"/>
              </w:rPr>
              <w:t xml:space="preserve">2,332,854 </w:t>
            </w:r>
          </w:p>
        </w:tc>
        <w:tc>
          <w:tcPr>
            <w:tcW w:w="1276"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3FB6231" w14:textId="48548EC9" w:rsidR="00171581" w:rsidRPr="00A76FB6" w:rsidRDefault="00171581" w:rsidP="00171581">
            <w:pPr>
              <w:spacing w:after="0" w:line="240" w:lineRule="auto"/>
              <w:jc w:val="right"/>
              <w:rPr>
                <w:rFonts w:ascii="Calibri" w:eastAsia="Times New Roman" w:hAnsi="Calibri" w:cs="Calibri"/>
                <w:b/>
                <w:bCs/>
                <w:color w:val="000000"/>
                <w:sz w:val="20"/>
                <w:szCs w:val="20"/>
                <w:lang w:eastAsia="en-AU"/>
              </w:rPr>
            </w:pPr>
            <w:r w:rsidRPr="00A76FB6">
              <w:rPr>
                <w:rFonts w:ascii="Calibri" w:hAnsi="Calibri" w:cs="Calibri"/>
                <w:b/>
                <w:bCs/>
                <w:color w:val="FF0000"/>
                <w:sz w:val="20"/>
                <w:szCs w:val="20"/>
              </w:rPr>
              <w:t xml:space="preserve">-396,783 </w:t>
            </w:r>
          </w:p>
        </w:tc>
        <w:tc>
          <w:tcPr>
            <w:tcW w:w="1134"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1DF2BE4E" w14:textId="23FFFC08" w:rsidR="00171581" w:rsidRPr="00A76FB6" w:rsidRDefault="00171581" w:rsidP="00171581">
            <w:pPr>
              <w:spacing w:after="0" w:line="240" w:lineRule="auto"/>
              <w:jc w:val="right"/>
              <w:rPr>
                <w:rFonts w:ascii="Calibri" w:eastAsia="Times New Roman" w:hAnsi="Calibri" w:cs="Calibri"/>
                <w:b/>
                <w:bCs/>
                <w:color w:val="FF0000"/>
                <w:sz w:val="20"/>
                <w:szCs w:val="20"/>
                <w:lang w:eastAsia="en-AU"/>
              </w:rPr>
            </w:pPr>
            <w:r w:rsidRPr="00A76FB6">
              <w:rPr>
                <w:rFonts w:ascii="Calibri" w:hAnsi="Calibri" w:cs="Calibri"/>
                <w:color w:val="000000"/>
                <w:sz w:val="20"/>
                <w:szCs w:val="20"/>
              </w:rPr>
              <w:t xml:space="preserve">2,729,637 </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047B7B46" w14:textId="0EC56DB6" w:rsidR="00171581" w:rsidRPr="000F4180" w:rsidRDefault="00171581" w:rsidP="00171581">
            <w:pPr>
              <w:spacing w:after="0" w:line="240" w:lineRule="auto"/>
              <w:jc w:val="right"/>
              <w:rPr>
                <w:rFonts w:ascii="Calibri" w:eastAsia="Times New Roman" w:hAnsi="Calibri" w:cs="Calibri"/>
                <w:b/>
                <w:bCs/>
                <w:sz w:val="20"/>
                <w:szCs w:val="20"/>
                <w:lang w:eastAsia="en-AU"/>
              </w:rPr>
            </w:pPr>
            <w:r w:rsidRPr="000F4180">
              <w:rPr>
                <w:rFonts w:ascii="Calibri" w:hAnsi="Calibri" w:cs="Calibri"/>
                <w:sz w:val="20"/>
                <w:szCs w:val="20"/>
              </w:rPr>
              <w:t>687.9%</w:t>
            </w:r>
          </w:p>
        </w:tc>
      </w:tr>
    </w:tbl>
    <w:p w14:paraId="741555C3" w14:textId="77777777" w:rsidR="00700504" w:rsidRPr="00311D74" w:rsidRDefault="00700504" w:rsidP="00D47CB6">
      <w:pPr>
        <w:pStyle w:val="MBPoint"/>
        <w:numPr>
          <w:ilvl w:val="0"/>
          <w:numId w:val="0"/>
        </w:numPr>
        <w:spacing w:line="276" w:lineRule="auto"/>
        <w:rPr>
          <w:rFonts w:asciiTheme="minorHAnsi" w:hAnsiTheme="minorHAnsi" w:cstheme="minorHAnsi"/>
          <w:sz w:val="22"/>
          <w:szCs w:val="22"/>
          <w:highlight w:val="yellow"/>
        </w:rPr>
      </w:pPr>
    </w:p>
    <w:p w14:paraId="22219A67" w14:textId="01E1668E" w:rsidR="006D5EE1" w:rsidRPr="006D5EE1" w:rsidRDefault="006D5EE1" w:rsidP="006D5EE1">
      <w:pPr>
        <w:pStyle w:val="MBPoint"/>
        <w:numPr>
          <w:ilvl w:val="0"/>
          <w:numId w:val="0"/>
        </w:numPr>
        <w:spacing w:line="276" w:lineRule="auto"/>
        <w:rPr>
          <w:rFonts w:asciiTheme="minorHAnsi" w:hAnsiTheme="minorHAnsi" w:cstheme="minorHAnsi"/>
          <w:sz w:val="22"/>
          <w:szCs w:val="22"/>
        </w:rPr>
      </w:pPr>
      <w:r w:rsidRPr="006D5EE1">
        <w:rPr>
          <w:rFonts w:asciiTheme="minorHAnsi" w:hAnsiTheme="minorHAnsi" w:cstheme="minorHAnsi"/>
          <w:sz w:val="22"/>
          <w:szCs w:val="22"/>
        </w:rPr>
        <w:t xml:space="preserve">Investment income increased to $2.3 billion in 2023, up by $2.7 billion from an overall loss of $396.8 million reported in 2022 following stronger performance across global financial markets. This amount consisted of realised income including </w:t>
      </w:r>
      <w:r w:rsidR="0095252F" w:rsidRPr="006D5EE1">
        <w:rPr>
          <w:rFonts w:asciiTheme="minorHAnsi" w:hAnsiTheme="minorHAnsi" w:cstheme="minorHAnsi"/>
          <w:sz w:val="22"/>
          <w:szCs w:val="22"/>
        </w:rPr>
        <w:t>interest</w:t>
      </w:r>
      <w:r w:rsidRPr="006D5EE1">
        <w:rPr>
          <w:rFonts w:asciiTheme="minorHAnsi" w:hAnsiTheme="minorHAnsi" w:cstheme="minorHAnsi"/>
          <w:sz w:val="22"/>
          <w:szCs w:val="22"/>
        </w:rPr>
        <w:t xml:space="preserve">, dividends, </w:t>
      </w:r>
      <w:r w:rsidR="0095252F" w:rsidRPr="006D5EE1">
        <w:rPr>
          <w:rFonts w:asciiTheme="minorHAnsi" w:hAnsiTheme="minorHAnsi" w:cstheme="minorHAnsi"/>
          <w:sz w:val="22"/>
          <w:szCs w:val="22"/>
        </w:rPr>
        <w:t>distributions</w:t>
      </w:r>
      <w:r w:rsidR="0095252F">
        <w:rPr>
          <w:rFonts w:asciiTheme="minorHAnsi" w:hAnsiTheme="minorHAnsi" w:cstheme="minorHAnsi"/>
          <w:sz w:val="22"/>
          <w:szCs w:val="22"/>
        </w:rPr>
        <w:t xml:space="preserve"> and gains on sale</w:t>
      </w:r>
      <w:r w:rsidRPr="006D5EE1">
        <w:rPr>
          <w:rFonts w:asciiTheme="minorHAnsi" w:hAnsiTheme="minorHAnsi" w:cstheme="minorHAnsi"/>
          <w:sz w:val="22"/>
          <w:szCs w:val="22"/>
        </w:rPr>
        <w:t xml:space="preserve"> of $1.2 billion, and a further $1.1 billion in unrealised gains on the fair value of underlying investments. </w:t>
      </w:r>
    </w:p>
    <w:p w14:paraId="02640740" w14:textId="77777777" w:rsidR="006D5EE1" w:rsidRDefault="006D5EE1" w:rsidP="00E133E7">
      <w:pPr>
        <w:pStyle w:val="MBPoint"/>
        <w:numPr>
          <w:ilvl w:val="0"/>
          <w:numId w:val="0"/>
        </w:numPr>
        <w:spacing w:after="0" w:line="276" w:lineRule="auto"/>
        <w:rPr>
          <w:rFonts w:asciiTheme="minorHAnsi" w:hAnsiTheme="minorHAnsi" w:cstheme="minorHAnsi"/>
          <w:sz w:val="22"/>
          <w:szCs w:val="22"/>
          <w:highlight w:val="yellow"/>
        </w:rPr>
      </w:pPr>
    </w:p>
    <w:p w14:paraId="10099185" w14:textId="2B9C4116" w:rsidR="00700504" w:rsidRPr="004A320B" w:rsidRDefault="00700504" w:rsidP="00700504">
      <w:pPr>
        <w:pStyle w:val="Heading6"/>
        <w:rPr>
          <w:rStyle w:val="Strong"/>
          <w:b/>
          <w:bCs w:val="0"/>
        </w:rPr>
      </w:pPr>
      <w:r w:rsidRPr="004A320B">
        <w:rPr>
          <w:rStyle w:val="Strong"/>
          <w:b/>
          <w:bCs w:val="0"/>
        </w:rPr>
        <w:t>Figure 8: 201</w:t>
      </w:r>
      <w:r w:rsidR="004A320B" w:rsidRPr="004A320B">
        <w:rPr>
          <w:rStyle w:val="Strong"/>
          <w:b/>
          <w:bCs w:val="0"/>
        </w:rPr>
        <w:t>4</w:t>
      </w:r>
      <w:r w:rsidRPr="004A320B">
        <w:rPr>
          <w:rStyle w:val="Strong"/>
          <w:b/>
          <w:bCs w:val="0"/>
        </w:rPr>
        <w:t xml:space="preserve"> - 202</w:t>
      </w:r>
      <w:r w:rsidR="004A320B" w:rsidRPr="004A320B">
        <w:rPr>
          <w:rStyle w:val="Strong"/>
          <w:b/>
          <w:bCs w:val="0"/>
        </w:rPr>
        <w:t>3</w:t>
      </w:r>
      <w:r w:rsidRPr="004A320B">
        <w:rPr>
          <w:rStyle w:val="Strong"/>
          <w:b/>
          <w:bCs w:val="0"/>
        </w:rPr>
        <w:t xml:space="preserve"> Investment Income by Source</w:t>
      </w:r>
    </w:p>
    <w:p w14:paraId="2B31B2CF" w14:textId="4C17A620" w:rsidR="004A320B" w:rsidRDefault="004A320B" w:rsidP="004A320B">
      <w:pPr>
        <w:rPr>
          <w:highlight w:val="yellow"/>
        </w:rPr>
      </w:pPr>
      <w:r>
        <w:rPr>
          <w:noProof/>
        </w:rPr>
        <w:drawing>
          <wp:inline distT="0" distB="0" distL="0" distR="0" wp14:anchorId="424CF244" wp14:editId="1A6033DF">
            <wp:extent cx="5629275" cy="3224212"/>
            <wp:effectExtent l="0" t="0" r="9525" b="14605"/>
            <wp:docPr id="1679303055" name="Chart 1">
              <a:extLst xmlns:a="http://schemas.openxmlformats.org/drawingml/2006/main">
                <a:ext uri="{FF2B5EF4-FFF2-40B4-BE49-F238E27FC236}">
                  <a16:creationId xmlns:a16="http://schemas.microsoft.com/office/drawing/2014/main" id="{5EAE5446-410E-4F36-89CC-7584300AE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57E432" w14:textId="77777777" w:rsidR="004A320B" w:rsidRPr="004A320B" w:rsidRDefault="004A320B" w:rsidP="004A320B">
      <w:pPr>
        <w:rPr>
          <w:highlight w:val="yellow"/>
        </w:rPr>
      </w:pPr>
    </w:p>
    <w:p w14:paraId="3850DC17" w14:textId="01A45713" w:rsidR="006067F5" w:rsidRPr="00AF16F4" w:rsidRDefault="006067F5" w:rsidP="006067F5">
      <w:pPr>
        <w:spacing w:after="120" w:line="276" w:lineRule="auto"/>
      </w:pPr>
      <w:r w:rsidRPr="00AF16F4">
        <w:lastRenderedPageBreak/>
        <w:t xml:space="preserve">The performance of global financial markets has been turbulent in recent years, </w:t>
      </w:r>
      <w:r w:rsidR="00AF16F4" w:rsidRPr="00AF16F4">
        <w:t>leading to</w:t>
      </w:r>
      <w:r w:rsidRPr="00AF16F4">
        <w:t xml:space="preserve"> significant variability in investment returns reported </w:t>
      </w:r>
      <w:r w:rsidR="00AF16F4" w:rsidRPr="00AF16F4">
        <w:t xml:space="preserve">by universities </w:t>
      </w:r>
      <w:r w:rsidRPr="00AF16F4">
        <w:t xml:space="preserve">over the past 5 years. </w:t>
      </w:r>
      <w:r w:rsidRPr="00AF16F4">
        <w:rPr>
          <w:rFonts w:cstheme="minorHAnsi"/>
        </w:rPr>
        <w:t>Investment income is volatile in nature and fluctuations from one year to the next are to be expected, however a combination of challenging economic conditions and the financial impact of the pandemic has contributed to unprecedented instability in financial markets.</w:t>
      </w:r>
      <w:r w:rsidR="00AF16F4" w:rsidRPr="00AF16F4">
        <w:rPr>
          <w:rFonts w:cstheme="minorHAnsi"/>
        </w:rPr>
        <w:t xml:space="preserve"> As universities have grown their financial asset bases, i</w:t>
      </w:r>
      <w:r w:rsidRPr="00AF16F4">
        <w:rPr>
          <w:rFonts w:cstheme="minorHAnsi"/>
        </w:rPr>
        <w:t>nvestment income has increasingly become a contributing factor to overall university results</w:t>
      </w:r>
      <w:r w:rsidR="00AF16F4" w:rsidRPr="00AF16F4">
        <w:rPr>
          <w:rFonts w:cstheme="minorHAnsi"/>
        </w:rPr>
        <w:t xml:space="preserve">, and fluctuating market conditions have therefore increasingly contributed to variability in the overall performance of the sector, defying the </w:t>
      </w:r>
      <w:proofErr w:type="gramStart"/>
      <w:r w:rsidR="00AF16F4" w:rsidRPr="00AF16F4">
        <w:rPr>
          <w:rFonts w:cstheme="minorHAnsi"/>
        </w:rPr>
        <w:t>longer term</w:t>
      </w:r>
      <w:proofErr w:type="gramEnd"/>
      <w:r w:rsidR="00AF16F4" w:rsidRPr="00AF16F4">
        <w:rPr>
          <w:rFonts w:cstheme="minorHAnsi"/>
        </w:rPr>
        <w:t xml:space="preserve"> trend of relatively </w:t>
      </w:r>
      <w:r w:rsidRPr="00AF16F4">
        <w:t xml:space="preserve">consistent performance. </w:t>
      </w:r>
    </w:p>
    <w:p w14:paraId="5B615992" w14:textId="4885544D" w:rsidR="00C8194B" w:rsidRPr="00817EF9" w:rsidRDefault="00783B54" w:rsidP="00D47CB6">
      <w:pPr>
        <w:pStyle w:val="MBPoint"/>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 xml:space="preserve">All </w:t>
      </w:r>
      <w:r w:rsidRPr="00817EF9">
        <w:rPr>
          <w:rFonts w:asciiTheme="minorHAnsi" w:hAnsiTheme="minorHAnsi" w:cstheme="minorHAnsi"/>
          <w:sz w:val="22"/>
          <w:szCs w:val="22"/>
        </w:rPr>
        <w:t>o</w:t>
      </w:r>
      <w:r w:rsidR="00D47CB6" w:rsidRPr="00817EF9">
        <w:rPr>
          <w:rFonts w:asciiTheme="minorHAnsi" w:hAnsiTheme="minorHAnsi" w:cstheme="minorHAnsi"/>
          <w:sz w:val="22"/>
          <w:szCs w:val="22"/>
        </w:rPr>
        <w:t xml:space="preserve">ther sources of </w:t>
      </w:r>
      <w:r w:rsidR="002D53B7">
        <w:rPr>
          <w:rFonts w:asciiTheme="minorHAnsi" w:hAnsiTheme="minorHAnsi" w:cstheme="minorHAnsi"/>
          <w:sz w:val="22"/>
          <w:szCs w:val="22"/>
        </w:rPr>
        <w:t>revenue</w:t>
      </w:r>
      <w:r w:rsidR="00D47CB6" w:rsidRPr="00817EF9">
        <w:rPr>
          <w:rFonts w:asciiTheme="minorHAnsi" w:hAnsiTheme="minorHAnsi" w:cstheme="minorHAnsi"/>
          <w:sz w:val="22"/>
          <w:szCs w:val="22"/>
        </w:rPr>
        <w:t xml:space="preserve"> across the university sector increased by </w:t>
      </w:r>
      <w:r>
        <w:rPr>
          <w:rFonts w:asciiTheme="minorHAnsi" w:hAnsiTheme="minorHAnsi" w:cstheme="minorHAnsi"/>
          <w:sz w:val="22"/>
          <w:szCs w:val="22"/>
        </w:rPr>
        <w:t xml:space="preserve">a combined </w:t>
      </w:r>
      <w:r w:rsidR="00D47CB6" w:rsidRPr="00817EF9">
        <w:rPr>
          <w:rFonts w:asciiTheme="minorHAnsi" w:hAnsiTheme="minorHAnsi" w:cstheme="minorHAnsi"/>
          <w:sz w:val="22"/>
          <w:szCs w:val="22"/>
        </w:rPr>
        <w:t>$</w:t>
      </w:r>
      <w:r w:rsidR="00817EF9" w:rsidRPr="00817EF9">
        <w:rPr>
          <w:rFonts w:asciiTheme="minorHAnsi" w:hAnsiTheme="minorHAnsi" w:cstheme="minorHAnsi"/>
          <w:sz w:val="22"/>
          <w:szCs w:val="22"/>
        </w:rPr>
        <w:t>558.8</w:t>
      </w:r>
      <w:r w:rsidR="00E042DC" w:rsidRPr="00817EF9">
        <w:rPr>
          <w:rFonts w:asciiTheme="minorHAnsi" w:hAnsiTheme="minorHAnsi" w:cstheme="minorHAnsi"/>
          <w:sz w:val="22"/>
          <w:szCs w:val="22"/>
        </w:rPr>
        <w:t xml:space="preserve"> m</w:t>
      </w:r>
      <w:r w:rsidR="00D47CB6" w:rsidRPr="00817EF9">
        <w:rPr>
          <w:rFonts w:asciiTheme="minorHAnsi" w:hAnsiTheme="minorHAnsi" w:cstheme="minorHAnsi"/>
          <w:sz w:val="22"/>
          <w:szCs w:val="22"/>
        </w:rPr>
        <w:t>illion in 202</w:t>
      </w:r>
      <w:r w:rsidR="00817EF9" w:rsidRPr="00817EF9">
        <w:rPr>
          <w:rFonts w:asciiTheme="minorHAnsi" w:hAnsiTheme="minorHAnsi" w:cstheme="minorHAnsi"/>
          <w:sz w:val="22"/>
          <w:szCs w:val="22"/>
        </w:rPr>
        <w:t>3</w:t>
      </w:r>
      <w:r w:rsidR="00D47CB6" w:rsidRPr="00817EF9">
        <w:rPr>
          <w:rFonts w:asciiTheme="minorHAnsi" w:hAnsiTheme="minorHAnsi" w:cstheme="minorHAnsi"/>
          <w:sz w:val="22"/>
          <w:szCs w:val="22"/>
        </w:rPr>
        <w:t>, driven by increases in consultancy and contract revenue of $</w:t>
      </w:r>
      <w:r w:rsidR="00817EF9" w:rsidRPr="00817EF9">
        <w:rPr>
          <w:rFonts w:asciiTheme="minorHAnsi" w:hAnsiTheme="minorHAnsi" w:cstheme="minorHAnsi"/>
          <w:sz w:val="22"/>
          <w:szCs w:val="22"/>
        </w:rPr>
        <w:t>226.9</w:t>
      </w:r>
      <w:r w:rsidR="00D47CB6" w:rsidRPr="00817EF9">
        <w:rPr>
          <w:rFonts w:asciiTheme="minorHAnsi" w:hAnsiTheme="minorHAnsi" w:cstheme="minorHAnsi"/>
          <w:sz w:val="22"/>
          <w:szCs w:val="22"/>
        </w:rPr>
        <w:t xml:space="preserve"> million, and domestic fees and charges of $</w:t>
      </w:r>
      <w:r w:rsidR="00817EF9" w:rsidRPr="00817EF9">
        <w:rPr>
          <w:rFonts w:asciiTheme="minorHAnsi" w:hAnsiTheme="minorHAnsi" w:cstheme="minorHAnsi"/>
          <w:sz w:val="22"/>
          <w:szCs w:val="22"/>
        </w:rPr>
        <w:t>184.9</w:t>
      </w:r>
      <w:r w:rsidR="00D47CB6" w:rsidRPr="00817EF9">
        <w:rPr>
          <w:rFonts w:asciiTheme="minorHAnsi" w:hAnsiTheme="minorHAnsi" w:cstheme="minorHAnsi"/>
          <w:sz w:val="22"/>
          <w:szCs w:val="22"/>
        </w:rPr>
        <w:t xml:space="preserve"> million.</w:t>
      </w:r>
    </w:p>
    <w:p w14:paraId="2E8BDDC5" w14:textId="40C1A1A9" w:rsidR="000A1E13" w:rsidRPr="00D32BFB" w:rsidRDefault="000A1E13" w:rsidP="000A1E13">
      <w:pPr>
        <w:pStyle w:val="Heading3"/>
      </w:pPr>
      <w:bookmarkStart w:id="11" w:name="_Toc183521025"/>
      <w:r w:rsidRPr="00D32BFB">
        <w:t>Expenses</w:t>
      </w:r>
      <w:bookmarkEnd w:id="11"/>
    </w:p>
    <w:p w14:paraId="186ACED9" w14:textId="77777777" w:rsidR="00F72DE5" w:rsidRPr="00D32BFB" w:rsidRDefault="00F72DE5" w:rsidP="0089445F">
      <w:pPr>
        <w:pStyle w:val="Heading6"/>
        <w:rPr>
          <w:rStyle w:val="Strong"/>
          <w:b/>
          <w:bCs w:val="0"/>
        </w:rPr>
      </w:pPr>
    </w:p>
    <w:p w14:paraId="1C895382" w14:textId="3024F850" w:rsidR="000A1E13" w:rsidRPr="00D32BFB" w:rsidRDefault="000A1E13" w:rsidP="0089445F">
      <w:pPr>
        <w:pStyle w:val="Heading6"/>
        <w:rPr>
          <w:rStyle w:val="Strong"/>
          <w:b/>
          <w:bCs w:val="0"/>
        </w:rPr>
      </w:pPr>
      <w:r w:rsidRPr="00D32BFB">
        <w:rPr>
          <w:rStyle w:val="Strong"/>
          <w:b/>
          <w:bCs w:val="0"/>
        </w:rPr>
        <w:t xml:space="preserve">Table </w:t>
      </w:r>
      <w:r w:rsidR="008345A9" w:rsidRPr="00D32BFB">
        <w:rPr>
          <w:rStyle w:val="Strong"/>
          <w:b/>
          <w:bCs w:val="0"/>
        </w:rPr>
        <w:t>4</w:t>
      </w:r>
      <w:r w:rsidRPr="00D32BFB">
        <w:rPr>
          <w:rStyle w:val="Strong"/>
          <w:b/>
          <w:bCs w:val="0"/>
        </w:rPr>
        <w:t>: Summary of 202</w:t>
      </w:r>
      <w:r w:rsidR="000F4180">
        <w:rPr>
          <w:rStyle w:val="Strong"/>
          <w:b/>
          <w:bCs w:val="0"/>
        </w:rPr>
        <w:t>3</w:t>
      </w:r>
      <w:r w:rsidRPr="00D32BFB">
        <w:rPr>
          <w:rStyle w:val="Strong"/>
          <w:b/>
          <w:bCs w:val="0"/>
        </w:rPr>
        <w:t xml:space="preserve"> and 202</w:t>
      </w:r>
      <w:r w:rsidR="000F4180">
        <w:rPr>
          <w:rStyle w:val="Strong"/>
          <w:b/>
          <w:bCs w:val="0"/>
        </w:rPr>
        <w:t>2</w:t>
      </w:r>
      <w:r w:rsidRPr="00D32BFB">
        <w:rPr>
          <w:rStyle w:val="Strong"/>
          <w:b/>
          <w:bCs w:val="0"/>
        </w:rPr>
        <w:t xml:space="preserve"> Expenses</w:t>
      </w:r>
    </w:p>
    <w:tbl>
      <w:tblPr>
        <w:tblW w:w="9016" w:type="dxa"/>
        <w:tblLayout w:type="fixed"/>
        <w:tblLook w:val="04A0" w:firstRow="1" w:lastRow="0" w:firstColumn="1" w:lastColumn="0" w:noHBand="0" w:noVBand="1"/>
      </w:tblPr>
      <w:tblGrid>
        <w:gridCol w:w="4390"/>
        <w:gridCol w:w="1275"/>
        <w:gridCol w:w="1276"/>
        <w:gridCol w:w="1134"/>
        <w:gridCol w:w="941"/>
      </w:tblGrid>
      <w:tr w:rsidR="000A1E13" w:rsidRPr="00FA2721" w14:paraId="45E256D5" w14:textId="77777777" w:rsidTr="002B18D2">
        <w:trPr>
          <w:trHeight w:val="300"/>
        </w:trPr>
        <w:tc>
          <w:tcPr>
            <w:tcW w:w="4390" w:type="dxa"/>
            <w:tcBorders>
              <w:top w:val="single" w:sz="4" w:space="0" w:color="auto"/>
              <w:left w:val="single" w:sz="4" w:space="0" w:color="auto"/>
              <w:bottom w:val="nil"/>
              <w:right w:val="single" w:sz="4" w:space="0" w:color="auto"/>
            </w:tcBorders>
            <w:shd w:val="clear" w:color="auto" w:fill="004C6C" w:themeFill="background2"/>
            <w:noWrap/>
            <w:hideMark/>
          </w:tcPr>
          <w:p w14:paraId="69671E2B" w14:textId="6B06F748" w:rsidR="000A1E13" w:rsidRPr="00D32BFB" w:rsidRDefault="000A1E13" w:rsidP="006C0B77">
            <w:pPr>
              <w:spacing w:after="0" w:line="240" w:lineRule="auto"/>
              <w:rPr>
                <w:rFonts w:ascii="Calibri" w:eastAsia="Times New Roman" w:hAnsi="Calibri" w:cs="Calibri"/>
                <w:b/>
                <w:bCs/>
                <w:color w:val="FFFFFF"/>
                <w:lang w:eastAsia="en-AU"/>
              </w:rPr>
            </w:pPr>
          </w:p>
        </w:tc>
        <w:tc>
          <w:tcPr>
            <w:tcW w:w="1275"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33FD4A90" w14:textId="0DF3EC2F"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202</w:t>
            </w:r>
            <w:r w:rsidR="00CF7FA0">
              <w:rPr>
                <w:rFonts w:ascii="Calibri" w:eastAsia="Times New Roman" w:hAnsi="Calibri" w:cs="Calibri"/>
                <w:b/>
                <w:bCs/>
                <w:color w:val="FFFFFF"/>
                <w:sz w:val="20"/>
                <w:szCs w:val="20"/>
                <w:lang w:eastAsia="en-AU"/>
              </w:rPr>
              <w:t>3</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17224238" w14:textId="37FEC781"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202</w:t>
            </w:r>
            <w:r w:rsidR="00CF7FA0">
              <w:rPr>
                <w:rFonts w:ascii="Calibri" w:eastAsia="Times New Roman" w:hAnsi="Calibri" w:cs="Calibri"/>
                <w:b/>
                <w:bCs/>
                <w:color w:val="FFFFFF"/>
                <w:sz w:val="20"/>
                <w:szCs w:val="20"/>
                <w:lang w:eastAsia="en-AU"/>
              </w:rPr>
              <w:t>2</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185311E6"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Change</w:t>
            </w:r>
          </w:p>
        </w:tc>
      </w:tr>
      <w:tr w:rsidR="000A1E13" w:rsidRPr="00E93956" w14:paraId="51501E8E" w14:textId="77777777" w:rsidTr="009910FD">
        <w:trPr>
          <w:trHeight w:val="300"/>
        </w:trPr>
        <w:tc>
          <w:tcPr>
            <w:tcW w:w="4390" w:type="dxa"/>
            <w:tcBorders>
              <w:top w:val="nil"/>
              <w:left w:val="single" w:sz="4" w:space="0" w:color="auto"/>
              <w:bottom w:val="single" w:sz="4" w:space="0" w:color="auto"/>
              <w:right w:val="single" w:sz="4" w:space="0" w:color="auto"/>
            </w:tcBorders>
            <w:shd w:val="clear" w:color="auto" w:fill="004C6C" w:themeFill="background2"/>
            <w:noWrap/>
            <w:hideMark/>
          </w:tcPr>
          <w:p w14:paraId="1729FEA6" w14:textId="77777777" w:rsidR="000A1E13" w:rsidRPr="00D32BFB" w:rsidRDefault="000A1E13" w:rsidP="006C0B77">
            <w:pPr>
              <w:spacing w:after="0" w:line="240" w:lineRule="auto"/>
              <w:rPr>
                <w:rFonts w:ascii="Calibri" w:eastAsia="Times New Roman" w:hAnsi="Calibri" w:cs="Calibri"/>
                <w:b/>
                <w:bCs/>
                <w:color w:val="FFFFFF"/>
                <w:lang w:eastAsia="en-AU"/>
              </w:rPr>
            </w:pPr>
            <w:r w:rsidRPr="00D32BFB">
              <w:rPr>
                <w:rFonts w:ascii="Calibri" w:eastAsia="Times New Roman" w:hAnsi="Calibri" w:cs="Calibri"/>
                <w:b/>
                <w:bCs/>
                <w:color w:val="FFFFFF"/>
                <w:lang w:eastAsia="en-AU"/>
              </w:rPr>
              <w:t> </w:t>
            </w:r>
          </w:p>
        </w:tc>
        <w:tc>
          <w:tcPr>
            <w:tcW w:w="1275" w:type="dxa"/>
            <w:tcBorders>
              <w:top w:val="nil"/>
              <w:left w:val="nil"/>
              <w:bottom w:val="single" w:sz="4" w:space="0" w:color="auto"/>
              <w:right w:val="single" w:sz="4" w:space="0" w:color="auto"/>
            </w:tcBorders>
            <w:shd w:val="clear" w:color="auto" w:fill="004C6C" w:themeFill="background2"/>
            <w:noWrap/>
            <w:vAlign w:val="bottom"/>
            <w:hideMark/>
          </w:tcPr>
          <w:p w14:paraId="411AF4E8"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42323083"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1A7BEF54"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4C6C" w:themeFill="background2"/>
            <w:noWrap/>
            <w:vAlign w:val="bottom"/>
            <w:hideMark/>
          </w:tcPr>
          <w:p w14:paraId="1F9925E9"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w:t>
            </w:r>
          </w:p>
        </w:tc>
      </w:tr>
      <w:tr w:rsidR="000F4180" w:rsidRPr="00E93956" w14:paraId="42BB5217" w14:textId="77777777" w:rsidTr="000F4180">
        <w:trPr>
          <w:trHeight w:val="300"/>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09B10F4C" w14:textId="77777777"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Academic Employee Benefits</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8A484B0" w14:textId="1556D521"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11,275,282</w:t>
            </w:r>
          </w:p>
        </w:tc>
        <w:tc>
          <w:tcPr>
            <w:tcW w:w="1276" w:type="dxa"/>
            <w:tcBorders>
              <w:top w:val="single" w:sz="4" w:space="0" w:color="auto"/>
              <w:left w:val="nil"/>
              <w:bottom w:val="single" w:sz="4" w:space="0" w:color="auto"/>
              <w:right w:val="single" w:sz="4" w:space="0" w:color="auto"/>
            </w:tcBorders>
            <w:noWrap/>
            <w:vAlign w:val="bottom"/>
            <w:hideMark/>
          </w:tcPr>
          <w:p w14:paraId="0A8348FB" w14:textId="3F3B1214"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10,334,589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9936E04" w14:textId="583160DB"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color w:val="000000"/>
                <w:sz w:val="20"/>
                <w:szCs w:val="20"/>
              </w:rPr>
              <w:t>940,693</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7F08F6E" w14:textId="795D985B"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color w:val="000000"/>
                <w:sz w:val="20"/>
                <w:szCs w:val="20"/>
              </w:rPr>
              <w:t>9.1%</w:t>
            </w:r>
          </w:p>
        </w:tc>
      </w:tr>
      <w:tr w:rsidR="000F4180" w:rsidRPr="00E93956" w14:paraId="27D1C76B" w14:textId="77777777" w:rsidTr="000F4180">
        <w:trPr>
          <w:trHeight w:val="300"/>
        </w:trPr>
        <w:tc>
          <w:tcPr>
            <w:tcW w:w="4390" w:type="dxa"/>
            <w:tcBorders>
              <w:top w:val="nil"/>
              <w:left w:val="single" w:sz="4" w:space="0" w:color="auto"/>
              <w:bottom w:val="single" w:sz="4" w:space="0" w:color="auto"/>
              <w:right w:val="single" w:sz="4" w:space="0" w:color="auto"/>
            </w:tcBorders>
            <w:noWrap/>
            <w:vAlign w:val="bottom"/>
            <w:hideMark/>
          </w:tcPr>
          <w:p w14:paraId="2749221C" w14:textId="77777777"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Non-Academic Employee Benefits</w:t>
            </w:r>
          </w:p>
        </w:tc>
        <w:tc>
          <w:tcPr>
            <w:tcW w:w="1275" w:type="dxa"/>
            <w:tcBorders>
              <w:top w:val="nil"/>
              <w:left w:val="single" w:sz="4" w:space="0" w:color="auto"/>
              <w:bottom w:val="single" w:sz="4" w:space="0" w:color="auto"/>
              <w:right w:val="single" w:sz="4" w:space="0" w:color="auto"/>
            </w:tcBorders>
            <w:noWrap/>
            <w:vAlign w:val="bottom"/>
            <w:hideMark/>
          </w:tcPr>
          <w:p w14:paraId="3BAE5946" w14:textId="16AAE35B"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10,799,713</w:t>
            </w:r>
          </w:p>
        </w:tc>
        <w:tc>
          <w:tcPr>
            <w:tcW w:w="1276" w:type="dxa"/>
            <w:tcBorders>
              <w:top w:val="nil"/>
              <w:left w:val="nil"/>
              <w:bottom w:val="single" w:sz="4" w:space="0" w:color="auto"/>
              <w:right w:val="single" w:sz="4" w:space="0" w:color="auto"/>
            </w:tcBorders>
            <w:noWrap/>
            <w:vAlign w:val="bottom"/>
            <w:hideMark/>
          </w:tcPr>
          <w:p w14:paraId="2AA3A8C0" w14:textId="34E0DD1F"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9,616,373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38D8AD1" w14:textId="318FB78B"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color w:val="000000"/>
                <w:sz w:val="20"/>
                <w:szCs w:val="20"/>
              </w:rPr>
              <w:t>1,183,340</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48134F30" w14:textId="71811BB2"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color w:val="000000"/>
                <w:sz w:val="20"/>
                <w:szCs w:val="20"/>
              </w:rPr>
              <w:t>12.3%</w:t>
            </w:r>
          </w:p>
        </w:tc>
      </w:tr>
      <w:tr w:rsidR="000F4180" w:rsidRPr="00E93956" w14:paraId="10AEE007" w14:textId="77777777" w:rsidTr="000F4180">
        <w:trPr>
          <w:trHeight w:val="300"/>
        </w:trPr>
        <w:tc>
          <w:tcPr>
            <w:tcW w:w="4390"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35DC2BB0" w14:textId="77777777"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b/>
                <w:bCs/>
                <w:color w:val="000000"/>
                <w:sz w:val="20"/>
                <w:szCs w:val="20"/>
              </w:rPr>
              <w:t>Total Employee Benefits</w:t>
            </w:r>
          </w:p>
        </w:tc>
        <w:tc>
          <w:tcPr>
            <w:tcW w:w="1275"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5A84D448" w14:textId="01107175"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b/>
                <w:bCs/>
                <w:color w:val="000000"/>
                <w:sz w:val="20"/>
                <w:szCs w:val="20"/>
              </w:rPr>
              <w:t>22,074,995</w:t>
            </w:r>
          </w:p>
        </w:tc>
        <w:tc>
          <w:tcPr>
            <w:tcW w:w="1276" w:type="dxa"/>
            <w:tcBorders>
              <w:top w:val="nil"/>
              <w:left w:val="nil"/>
              <w:bottom w:val="single" w:sz="4" w:space="0" w:color="auto"/>
              <w:right w:val="single" w:sz="4" w:space="0" w:color="auto"/>
            </w:tcBorders>
            <w:shd w:val="clear" w:color="auto" w:fill="DAF2EF" w:themeFill="accent4" w:themeFillTint="33"/>
            <w:noWrap/>
            <w:vAlign w:val="bottom"/>
            <w:hideMark/>
          </w:tcPr>
          <w:p w14:paraId="34D0A3BA" w14:textId="6EDD374B"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b/>
                <w:bCs/>
                <w:color w:val="000000"/>
                <w:sz w:val="20"/>
                <w:szCs w:val="20"/>
              </w:rPr>
              <w:t>19,950,962</w:t>
            </w:r>
          </w:p>
        </w:tc>
        <w:tc>
          <w:tcPr>
            <w:tcW w:w="1134" w:type="dxa"/>
            <w:tcBorders>
              <w:top w:val="nil"/>
              <w:left w:val="nil"/>
              <w:bottom w:val="single" w:sz="4" w:space="0" w:color="auto"/>
              <w:right w:val="single" w:sz="4" w:space="0" w:color="auto"/>
            </w:tcBorders>
            <w:shd w:val="clear" w:color="auto" w:fill="DAF2EF" w:themeFill="accent4" w:themeFillTint="33"/>
            <w:noWrap/>
            <w:vAlign w:val="bottom"/>
            <w:hideMark/>
          </w:tcPr>
          <w:p w14:paraId="4325DAAE" w14:textId="379F3561"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b/>
                <w:bCs/>
                <w:color w:val="000000"/>
                <w:sz w:val="20"/>
                <w:szCs w:val="20"/>
              </w:rPr>
              <w:t>2,124,033</w:t>
            </w:r>
          </w:p>
        </w:tc>
        <w:tc>
          <w:tcPr>
            <w:tcW w:w="941" w:type="dxa"/>
            <w:tcBorders>
              <w:top w:val="nil"/>
              <w:left w:val="nil"/>
              <w:bottom w:val="single" w:sz="4" w:space="0" w:color="auto"/>
              <w:right w:val="single" w:sz="4" w:space="0" w:color="auto"/>
            </w:tcBorders>
            <w:shd w:val="clear" w:color="auto" w:fill="DAF2EF" w:themeFill="accent4" w:themeFillTint="33"/>
            <w:noWrap/>
            <w:vAlign w:val="bottom"/>
            <w:hideMark/>
          </w:tcPr>
          <w:p w14:paraId="1E432353" w14:textId="71CF964A" w:rsidR="000F4180" w:rsidRPr="00EB4C52" w:rsidRDefault="000F4180" w:rsidP="000F4180">
            <w:pPr>
              <w:spacing w:after="0" w:line="240" w:lineRule="auto"/>
              <w:jc w:val="right"/>
              <w:rPr>
                <w:rFonts w:ascii="Calibri" w:eastAsia="Times New Roman" w:hAnsi="Calibri" w:cs="Calibri"/>
                <w:color w:val="FF0000"/>
                <w:sz w:val="20"/>
                <w:szCs w:val="20"/>
                <w:highlight w:val="yellow"/>
                <w:lang w:eastAsia="en-AU"/>
              </w:rPr>
            </w:pPr>
            <w:r w:rsidRPr="00050697">
              <w:rPr>
                <w:rFonts w:ascii="Calibri" w:hAnsi="Calibri" w:cs="Calibri"/>
                <w:b/>
                <w:bCs/>
                <w:color w:val="000000"/>
                <w:sz w:val="20"/>
                <w:szCs w:val="20"/>
              </w:rPr>
              <w:t>10.6%</w:t>
            </w:r>
          </w:p>
        </w:tc>
      </w:tr>
      <w:tr w:rsidR="000F4180" w:rsidRPr="00E93956" w14:paraId="5E071CF5" w14:textId="77777777" w:rsidTr="000F4180">
        <w:trPr>
          <w:trHeight w:val="300"/>
        </w:trPr>
        <w:tc>
          <w:tcPr>
            <w:tcW w:w="4390" w:type="dxa"/>
            <w:tcBorders>
              <w:top w:val="nil"/>
              <w:left w:val="single" w:sz="4" w:space="0" w:color="auto"/>
              <w:bottom w:val="single" w:sz="4" w:space="0" w:color="auto"/>
              <w:right w:val="single" w:sz="4" w:space="0" w:color="auto"/>
            </w:tcBorders>
            <w:noWrap/>
            <w:vAlign w:val="bottom"/>
            <w:hideMark/>
          </w:tcPr>
          <w:p w14:paraId="1FD51ADA" w14:textId="77777777"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Depreciation and Amortisation</w:t>
            </w:r>
          </w:p>
        </w:tc>
        <w:tc>
          <w:tcPr>
            <w:tcW w:w="1275" w:type="dxa"/>
            <w:tcBorders>
              <w:top w:val="nil"/>
              <w:left w:val="single" w:sz="4" w:space="0" w:color="auto"/>
              <w:bottom w:val="single" w:sz="4" w:space="0" w:color="auto"/>
              <w:right w:val="single" w:sz="4" w:space="0" w:color="auto"/>
            </w:tcBorders>
            <w:noWrap/>
            <w:vAlign w:val="bottom"/>
            <w:hideMark/>
          </w:tcPr>
          <w:p w14:paraId="4D73DA69" w14:textId="43C57CBC"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2,923,228</w:t>
            </w:r>
          </w:p>
        </w:tc>
        <w:tc>
          <w:tcPr>
            <w:tcW w:w="1276" w:type="dxa"/>
            <w:tcBorders>
              <w:top w:val="nil"/>
              <w:left w:val="nil"/>
              <w:bottom w:val="single" w:sz="4" w:space="0" w:color="auto"/>
              <w:right w:val="single" w:sz="4" w:space="0" w:color="auto"/>
            </w:tcBorders>
            <w:noWrap/>
            <w:vAlign w:val="bottom"/>
            <w:hideMark/>
          </w:tcPr>
          <w:p w14:paraId="708ED757" w14:textId="0A4F08D9"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2,794,451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2E825B5" w14:textId="15132A6D"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128,777</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0EFB6966" w14:textId="1B4F56EA"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4.6%</w:t>
            </w:r>
          </w:p>
        </w:tc>
      </w:tr>
      <w:tr w:rsidR="000F4180" w:rsidRPr="00E93956" w14:paraId="1D7FC4D9" w14:textId="77777777" w:rsidTr="000F4180">
        <w:trPr>
          <w:trHeight w:val="300"/>
        </w:trPr>
        <w:tc>
          <w:tcPr>
            <w:tcW w:w="4390" w:type="dxa"/>
            <w:tcBorders>
              <w:top w:val="nil"/>
              <w:left w:val="single" w:sz="4" w:space="0" w:color="auto"/>
              <w:bottom w:val="single" w:sz="4" w:space="0" w:color="auto"/>
              <w:right w:val="single" w:sz="4" w:space="0" w:color="auto"/>
            </w:tcBorders>
            <w:noWrap/>
            <w:vAlign w:val="bottom"/>
            <w:hideMark/>
          </w:tcPr>
          <w:p w14:paraId="51EED7F7" w14:textId="77777777"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Repairs and Maintenance</w:t>
            </w:r>
          </w:p>
        </w:tc>
        <w:tc>
          <w:tcPr>
            <w:tcW w:w="1275" w:type="dxa"/>
            <w:tcBorders>
              <w:top w:val="nil"/>
              <w:left w:val="single" w:sz="4" w:space="0" w:color="auto"/>
              <w:bottom w:val="single" w:sz="4" w:space="0" w:color="auto"/>
              <w:right w:val="single" w:sz="4" w:space="0" w:color="auto"/>
            </w:tcBorders>
            <w:noWrap/>
            <w:vAlign w:val="bottom"/>
            <w:hideMark/>
          </w:tcPr>
          <w:p w14:paraId="52E00D53" w14:textId="4DC61524"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1,045,273</w:t>
            </w:r>
          </w:p>
        </w:tc>
        <w:tc>
          <w:tcPr>
            <w:tcW w:w="1276" w:type="dxa"/>
            <w:tcBorders>
              <w:top w:val="nil"/>
              <w:left w:val="nil"/>
              <w:bottom w:val="single" w:sz="4" w:space="0" w:color="auto"/>
              <w:right w:val="single" w:sz="4" w:space="0" w:color="auto"/>
            </w:tcBorders>
            <w:noWrap/>
            <w:vAlign w:val="bottom"/>
            <w:hideMark/>
          </w:tcPr>
          <w:p w14:paraId="786C06E2" w14:textId="4325E084"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914,704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3511538" w14:textId="76FB6652"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130,569</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38A7EEC5" w14:textId="3B7D3C50"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14.3%</w:t>
            </w:r>
          </w:p>
        </w:tc>
      </w:tr>
      <w:tr w:rsidR="000F4180" w:rsidRPr="00E93956" w14:paraId="5717E728" w14:textId="77777777" w:rsidTr="000F4180">
        <w:trPr>
          <w:trHeight w:val="300"/>
        </w:trPr>
        <w:tc>
          <w:tcPr>
            <w:tcW w:w="4390" w:type="dxa"/>
            <w:tcBorders>
              <w:top w:val="nil"/>
              <w:left w:val="single" w:sz="4" w:space="0" w:color="auto"/>
              <w:bottom w:val="single" w:sz="4" w:space="0" w:color="auto"/>
              <w:right w:val="single" w:sz="4" w:space="0" w:color="auto"/>
            </w:tcBorders>
            <w:noWrap/>
            <w:vAlign w:val="bottom"/>
            <w:hideMark/>
          </w:tcPr>
          <w:p w14:paraId="49AF8509" w14:textId="60F9730B" w:rsidR="000F4180" w:rsidRPr="00EB4C52" w:rsidRDefault="000F4180" w:rsidP="000F4180">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Other Expenses *</w:t>
            </w:r>
          </w:p>
        </w:tc>
        <w:tc>
          <w:tcPr>
            <w:tcW w:w="1275" w:type="dxa"/>
            <w:tcBorders>
              <w:top w:val="nil"/>
              <w:left w:val="single" w:sz="4" w:space="0" w:color="auto"/>
              <w:bottom w:val="single" w:sz="4" w:space="0" w:color="auto"/>
              <w:right w:val="single" w:sz="4" w:space="0" w:color="auto"/>
            </w:tcBorders>
            <w:noWrap/>
            <w:vAlign w:val="bottom"/>
            <w:hideMark/>
          </w:tcPr>
          <w:p w14:paraId="6D8F79B1" w14:textId="78D34C64"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13,818,191</w:t>
            </w:r>
          </w:p>
        </w:tc>
        <w:tc>
          <w:tcPr>
            <w:tcW w:w="1276" w:type="dxa"/>
            <w:tcBorders>
              <w:top w:val="nil"/>
              <w:left w:val="nil"/>
              <w:bottom w:val="single" w:sz="4" w:space="0" w:color="auto"/>
              <w:right w:val="single" w:sz="4" w:space="0" w:color="auto"/>
            </w:tcBorders>
            <w:noWrap/>
            <w:vAlign w:val="bottom"/>
            <w:hideMark/>
          </w:tcPr>
          <w:p w14:paraId="343C69D2" w14:textId="6D5EAE88"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12,240,315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CB47422" w14:textId="5BBD0F34"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1,577,876</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01D803D6" w14:textId="1D5684EC" w:rsidR="000F4180" w:rsidRPr="00EB4C52" w:rsidRDefault="000F4180" w:rsidP="000F4180">
            <w:pPr>
              <w:spacing w:after="0" w:line="240" w:lineRule="auto"/>
              <w:jc w:val="right"/>
              <w:rPr>
                <w:rFonts w:ascii="Calibri" w:eastAsia="Times New Roman" w:hAnsi="Calibri" w:cs="Calibri"/>
                <w:color w:val="000000"/>
                <w:sz w:val="20"/>
                <w:szCs w:val="20"/>
                <w:highlight w:val="yellow"/>
                <w:lang w:eastAsia="en-AU"/>
              </w:rPr>
            </w:pPr>
            <w:r w:rsidRPr="00050697">
              <w:rPr>
                <w:rFonts w:ascii="Calibri" w:hAnsi="Calibri" w:cs="Calibri"/>
                <w:color w:val="000000"/>
                <w:sz w:val="20"/>
                <w:szCs w:val="20"/>
              </w:rPr>
              <w:t>12.9%</w:t>
            </w:r>
          </w:p>
        </w:tc>
      </w:tr>
      <w:tr w:rsidR="000F4180" w:rsidRPr="00E93956" w14:paraId="3DE4E68C" w14:textId="77777777" w:rsidTr="000F4180">
        <w:trPr>
          <w:trHeight w:val="300"/>
        </w:trPr>
        <w:tc>
          <w:tcPr>
            <w:tcW w:w="4390"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B0BCF23" w14:textId="4B4EBED4" w:rsidR="000F4180" w:rsidRPr="00EB4C52" w:rsidRDefault="000F4180" w:rsidP="000F4180">
            <w:pPr>
              <w:spacing w:after="0" w:line="240" w:lineRule="auto"/>
              <w:rPr>
                <w:rFonts w:ascii="Calibri" w:eastAsia="Times New Roman" w:hAnsi="Calibri" w:cs="Calibri"/>
                <w:b/>
                <w:bCs/>
                <w:color w:val="000000"/>
                <w:sz w:val="20"/>
                <w:szCs w:val="20"/>
                <w:lang w:eastAsia="en-AU"/>
              </w:rPr>
            </w:pPr>
            <w:r w:rsidRPr="00EB4C52">
              <w:rPr>
                <w:rFonts w:ascii="Calibri" w:hAnsi="Calibri" w:cs="Arial"/>
                <w:b/>
                <w:bCs/>
                <w:color w:val="000000"/>
                <w:sz w:val="20"/>
                <w:szCs w:val="20"/>
              </w:rPr>
              <w:t xml:space="preserve">Total Expenses </w:t>
            </w:r>
          </w:p>
        </w:tc>
        <w:tc>
          <w:tcPr>
            <w:tcW w:w="1275"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1F1647E2" w14:textId="3B6F94AF" w:rsidR="000F4180" w:rsidRPr="00EB4C52" w:rsidRDefault="000F4180" w:rsidP="000F4180">
            <w:pPr>
              <w:spacing w:after="0" w:line="240" w:lineRule="auto"/>
              <w:jc w:val="right"/>
              <w:rPr>
                <w:rFonts w:ascii="Calibri" w:eastAsia="Times New Roman" w:hAnsi="Calibri" w:cs="Calibri"/>
                <w:b/>
                <w:bCs/>
                <w:color w:val="000000"/>
                <w:sz w:val="20"/>
                <w:szCs w:val="20"/>
                <w:highlight w:val="yellow"/>
                <w:lang w:eastAsia="en-AU"/>
              </w:rPr>
            </w:pPr>
            <w:r w:rsidRPr="00050697">
              <w:rPr>
                <w:rFonts w:ascii="Calibri" w:hAnsi="Calibri" w:cs="Calibri"/>
                <w:b/>
                <w:bCs/>
                <w:color w:val="000000"/>
                <w:sz w:val="20"/>
                <w:szCs w:val="20"/>
              </w:rPr>
              <w:t>39,861,687</w:t>
            </w:r>
          </w:p>
        </w:tc>
        <w:tc>
          <w:tcPr>
            <w:tcW w:w="1276" w:type="dxa"/>
            <w:tcBorders>
              <w:top w:val="nil"/>
              <w:left w:val="nil"/>
              <w:bottom w:val="single" w:sz="4" w:space="0" w:color="auto"/>
              <w:right w:val="single" w:sz="4" w:space="0" w:color="auto"/>
            </w:tcBorders>
            <w:shd w:val="clear" w:color="auto" w:fill="90D8CF" w:themeFill="accent4" w:themeFillTint="99"/>
            <w:noWrap/>
            <w:vAlign w:val="bottom"/>
            <w:hideMark/>
          </w:tcPr>
          <w:p w14:paraId="34D07E99" w14:textId="291622DB" w:rsidR="000F4180" w:rsidRPr="00EB4C52" w:rsidRDefault="000F4180" w:rsidP="000F4180">
            <w:pPr>
              <w:spacing w:after="0" w:line="240" w:lineRule="auto"/>
              <w:jc w:val="right"/>
              <w:rPr>
                <w:rFonts w:ascii="Calibri" w:eastAsia="Times New Roman" w:hAnsi="Calibri" w:cs="Calibri"/>
                <w:b/>
                <w:bCs/>
                <w:color w:val="000000"/>
                <w:sz w:val="20"/>
                <w:szCs w:val="20"/>
                <w:highlight w:val="yellow"/>
                <w:lang w:eastAsia="en-AU"/>
              </w:rPr>
            </w:pPr>
            <w:r w:rsidRPr="00050697">
              <w:rPr>
                <w:rFonts w:ascii="Calibri" w:hAnsi="Calibri" w:cs="Calibri"/>
                <w:b/>
                <w:bCs/>
                <w:color w:val="000000"/>
                <w:sz w:val="20"/>
                <w:szCs w:val="20"/>
              </w:rPr>
              <w:t>35,900,432</w:t>
            </w:r>
          </w:p>
        </w:tc>
        <w:tc>
          <w:tcPr>
            <w:tcW w:w="1134" w:type="dxa"/>
            <w:tcBorders>
              <w:top w:val="nil"/>
              <w:left w:val="nil"/>
              <w:bottom w:val="single" w:sz="4" w:space="0" w:color="auto"/>
              <w:right w:val="single" w:sz="4" w:space="0" w:color="auto"/>
            </w:tcBorders>
            <w:shd w:val="clear" w:color="auto" w:fill="90D8CF" w:themeFill="accent4" w:themeFillTint="99"/>
            <w:noWrap/>
            <w:vAlign w:val="bottom"/>
            <w:hideMark/>
          </w:tcPr>
          <w:p w14:paraId="3D9570B9" w14:textId="186E280C" w:rsidR="000F4180" w:rsidRPr="00EB4C52" w:rsidRDefault="000F4180" w:rsidP="000F4180">
            <w:pPr>
              <w:spacing w:after="0" w:line="240" w:lineRule="auto"/>
              <w:jc w:val="right"/>
              <w:rPr>
                <w:rFonts w:ascii="Calibri" w:eastAsia="Times New Roman" w:hAnsi="Calibri" w:cs="Calibri"/>
                <w:b/>
                <w:bCs/>
                <w:color w:val="FF0000"/>
                <w:sz w:val="20"/>
                <w:szCs w:val="20"/>
                <w:highlight w:val="yellow"/>
                <w:lang w:eastAsia="en-AU"/>
              </w:rPr>
            </w:pPr>
            <w:r w:rsidRPr="00050697">
              <w:rPr>
                <w:rFonts w:ascii="Calibri" w:hAnsi="Calibri" w:cs="Calibri"/>
                <w:b/>
                <w:bCs/>
                <w:color w:val="000000"/>
                <w:sz w:val="20"/>
                <w:szCs w:val="20"/>
              </w:rPr>
              <w:t>3,961,255</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29124B71" w14:textId="52808172" w:rsidR="000F4180" w:rsidRPr="00EB4C52" w:rsidRDefault="000F4180" w:rsidP="000F4180">
            <w:pPr>
              <w:spacing w:after="0" w:line="240" w:lineRule="auto"/>
              <w:jc w:val="right"/>
              <w:rPr>
                <w:rFonts w:ascii="Calibri" w:eastAsia="Times New Roman" w:hAnsi="Calibri" w:cs="Calibri"/>
                <w:b/>
                <w:bCs/>
                <w:color w:val="FF0000"/>
                <w:sz w:val="20"/>
                <w:szCs w:val="20"/>
                <w:highlight w:val="yellow"/>
                <w:lang w:eastAsia="en-AU"/>
              </w:rPr>
            </w:pPr>
            <w:r w:rsidRPr="00050697">
              <w:rPr>
                <w:rFonts w:ascii="Calibri" w:hAnsi="Calibri" w:cs="Calibri"/>
                <w:b/>
                <w:bCs/>
                <w:color w:val="000000"/>
                <w:sz w:val="20"/>
                <w:szCs w:val="20"/>
              </w:rPr>
              <w:t>11.0%</w:t>
            </w:r>
          </w:p>
        </w:tc>
      </w:tr>
    </w:tbl>
    <w:p w14:paraId="4292E8C0" w14:textId="18E1FC95" w:rsidR="000A1E13" w:rsidRPr="00D32BFB" w:rsidRDefault="000A1E13" w:rsidP="000A1E13">
      <w:pPr>
        <w:spacing w:before="120" w:after="0" w:line="240" w:lineRule="auto"/>
        <w:rPr>
          <w:rFonts w:eastAsia="Times New Roman" w:cstheme="minorHAnsi"/>
          <w:color w:val="000000"/>
          <w:sz w:val="18"/>
          <w:szCs w:val="18"/>
          <w:lang w:eastAsia="en-AU"/>
        </w:rPr>
      </w:pPr>
      <w:r w:rsidRPr="00D32BFB">
        <w:rPr>
          <w:rFonts w:eastAsia="Times New Roman" w:cstheme="minorHAnsi"/>
          <w:color w:val="000000"/>
          <w:sz w:val="18"/>
          <w:szCs w:val="18"/>
          <w:lang w:eastAsia="en-AU"/>
        </w:rPr>
        <w:t xml:space="preserve">* Other expenses include defined benefits expense, </w:t>
      </w:r>
      <w:r w:rsidR="001E0265">
        <w:rPr>
          <w:rFonts w:eastAsia="Times New Roman" w:cstheme="minorHAnsi"/>
          <w:color w:val="000000"/>
          <w:sz w:val="18"/>
          <w:szCs w:val="18"/>
          <w:lang w:eastAsia="en-AU"/>
        </w:rPr>
        <w:t>impairment costs,</w:t>
      </w:r>
      <w:r w:rsidRPr="00D32BFB">
        <w:rPr>
          <w:rFonts w:eastAsia="Times New Roman" w:cstheme="minorHAnsi"/>
          <w:color w:val="000000"/>
          <w:sz w:val="18"/>
          <w:szCs w:val="18"/>
          <w:lang w:eastAsia="en-AU"/>
        </w:rPr>
        <w:t xml:space="preserve"> and borrowing costs.</w:t>
      </w:r>
    </w:p>
    <w:p w14:paraId="76D17F4F" w14:textId="77777777" w:rsidR="000A1E13" w:rsidRPr="00D32BFB" w:rsidRDefault="000A1E13" w:rsidP="000A1E13">
      <w:pPr>
        <w:rPr>
          <w:rStyle w:val="Strong"/>
        </w:rPr>
      </w:pPr>
    </w:p>
    <w:p w14:paraId="22017BAF" w14:textId="2D0C4516" w:rsidR="000A1E13" w:rsidRDefault="000A1E13" w:rsidP="0089445F">
      <w:pPr>
        <w:pStyle w:val="Heading6"/>
        <w:rPr>
          <w:rStyle w:val="Strong"/>
          <w:b/>
          <w:bCs w:val="0"/>
        </w:rPr>
      </w:pPr>
      <w:r w:rsidRPr="00D32BFB">
        <w:rPr>
          <w:rStyle w:val="Strong"/>
          <w:b/>
          <w:bCs w:val="0"/>
        </w:rPr>
        <w:t xml:space="preserve">Figure </w:t>
      </w:r>
      <w:r w:rsidR="008345A9" w:rsidRPr="00D32BFB">
        <w:rPr>
          <w:rStyle w:val="Strong"/>
          <w:b/>
          <w:bCs w:val="0"/>
        </w:rPr>
        <w:t>9</w:t>
      </w:r>
      <w:r w:rsidRPr="00D32BFB">
        <w:rPr>
          <w:rStyle w:val="Strong"/>
          <w:b/>
          <w:bCs w:val="0"/>
        </w:rPr>
        <w:t>: 201</w:t>
      </w:r>
      <w:r w:rsidR="000F4180">
        <w:rPr>
          <w:rStyle w:val="Strong"/>
          <w:b/>
          <w:bCs w:val="0"/>
        </w:rPr>
        <w:t>4</w:t>
      </w:r>
      <w:r w:rsidRPr="00D32BFB">
        <w:rPr>
          <w:rStyle w:val="Strong"/>
          <w:b/>
          <w:bCs w:val="0"/>
        </w:rPr>
        <w:t>-202</w:t>
      </w:r>
      <w:r w:rsidR="000F4180">
        <w:rPr>
          <w:rStyle w:val="Strong"/>
          <w:b/>
          <w:bCs w:val="0"/>
        </w:rPr>
        <w:t>3</w:t>
      </w:r>
      <w:r w:rsidRPr="00D32BFB">
        <w:rPr>
          <w:rStyle w:val="Strong"/>
          <w:b/>
          <w:bCs w:val="0"/>
        </w:rPr>
        <w:t xml:space="preserve"> Expenses by Source</w:t>
      </w:r>
    </w:p>
    <w:p w14:paraId="1ADEB845" w14:textId="60B56FB5" w:rsidR="001E0265" w:rsidRPr="001E0265" w:rsidRDefault="001E0265" w:rsidP="001E0265">
      <w:r>
        <w:rPr>
          <w:noProof/>
        </w:rPr>
        <w:drawing>
          <wp:inline distT="0" distB="0" distL="0" distR="0" wp14:anchorId="2B8B4A92" wp14:editId="432D9CC8">
            <wp:extent cx="5734050" cy="2838450"/>
            <wp:effectExtent l="0" t="0" r="0" b="0"/>
            <wp:docPr id="1384344538" name="Chart 1">
              <a:extLst xmlns:a="http://schemas.openxmlformats.org/drawingml/2006/main">
                <a:ext uri="{FF2B5EF4-FFF2-40B4-BE49-F238E27FC236}">
                  <a16:creationId xmlns:a16="http://schemas.microsoft.com/office/drawing/2014/main" id="{F33B44CD-0599-88C6-5B0F-26AF0ADF5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02A7F6" w14:textId="7CA30B7C" w:rsidR="00B11DB6" w:rsidRDefault="00A370E0" w:rsidP="00D32BFB">
      <w:pPr>
        <w:rPr>
          <w:rFonts w:cstheme="minorHAnsi"/>
        </w:rPr>
      </w:pPr>
      <w:r w:rsidRPr="00B11DB6">
        <w:rPr>
          <w:rFonts w:cstheme="minorHAnsi"/>
        </w:rPr>
        <w:lastRenderedPageBreak/>
        <w:t>Total expenses of $</w:t>
      </w:r>
      <w:r w:rsidR="000F4180" w:rsidRPr="00B11DB6">
        <w:rPr>
          <w:rFonts w:cstheme="minorHAnsi"/>
        </w:rPr>
        <w:t>39.9</w:t>
      </w:r>
      <w:r w:rsidRPr="00B11DB6">
        <w:rPr>
          <w:rFonts w:cstheme="minorHAnsi"/>
        </w:rPr>
        <w:t xml:space="preserve"> billion were reported by Australian universities in 202</w:t>
      </w:r>
      <w:r w:rsidR="000F4180" w:rsidRPr="00B11DB6">
        <w:rPr>
          <w:rFonts w:cstheme="minorHAnsi"/>
        </w:rPr>
        <w:t>3</w:t>
      </w:r>
      <w:r w:rsidRPr="00B11DB6">
        <w:rPr>
          <w:rFonts w:cstheme="minorHAnsi"/>
        </w:rPr>
        <w:t>, up $</w:t>
      </w:r>
      <w:r w:rsidR="000F4180" w:rsidRPr="00B11DB6">
        <w:rPr>
          <w:rFonts w:cstheme="minorHAnsi"/>
        </w:rPr>
        <w:t>4.0</w:t>
      </w:r>
      <w:r w:rsidRPr="00B11DB6">
        <w:rPr>
          <w:rFonts w:cstheme="minorHAnsi"/>
        </w:rPr>
        <w:t xml:space="preserve"> billion or </w:t>
      </w:r>
      <w:r w:rsidR="000F4180" w:rsidRPr="00B11DB6">
        <w:rPr>
          <w:rFonts w:cstheme="minorHAnsi"/>
        </w:rPr>
        <w:t>11.0</w:t>
      </w:r>
      <w:r w:rsidR="00E948B6">
        <w:rPr>
          <w:rFonts w:cstheme="minorHAnsi"/>
        </w:rPr>
        <w:t>%</w:t>
      </w:r>
      <w:r w:rsidRPr="00B11DB6">
        <w:rPr>
          <w:rFonts w:cstheme="minorHAnsi"/>
        </w:rPr>
        <w:t xml:space="preserve"> from $</w:t>
      </w:r>
      <w:r w:rsidR="000F4180" w:rsidRPr="00B11DB6">
        <w:rPr>
          <w:rFonts w:cstheme="minorHAnsi"/>
        </w:rPr>
        <w:t>35.9</w:t>
      </w:r>
      <w:r w:rsidRPr="00B11DB6">
        <w:rPr>
          <w:rFonts w:cstheme="minorHAnsi"/>
        </w:rPr>
        <w:t xml:space="preserve"> billion in 202</w:t>
      </w:r>
      <w:r w:rsidR="000F4180" w:rsidRPr="00B11DB6">
        <w:rPr>
          <w:rFonts w:cstheme="minorHAnsi"/>
        </w:rPr>
        <w:t>2</w:t>
      </w:r>
      <w:r w:rsidRPr="00B11DB6">
        <w:rPr>
          <w:rFonts w:cstheme="minorHAnsi"/>
        </w:rPr>
        <w:t xml:space="preserve">. </w:t>
      </w:r>
      <w:r w:rsidR="00B11DB6">
        <w:rPr>
          <w:rFonts w:cstheme="minorHAnsi"/>
        </w:rPr>
        <w:t xml:space="preserve">Increases were reported across all expense categories as challenging economic conditions and inflationary pressures took effect across the sector, and most cost containment measures implemented during the height of the pandemic were </w:t>
      </w:r>
      <w:r w:rsidR="0095252F">
        <w:rPr>
          <w:rFonts w:cstheme="minorHAnsi"/>
        </w:rPr>
        <w:t>removed</w:t>
      </w:r>
      <w:r w:rsidR="00B11DB6">
        <w:rPr>
          <w:rFonts w:cstheme="minorHAnsi"/>
        </w:rPr>
        <w:t xml:space="preserve">, such as delays to non-essential maintenance and capital works. </w:t>
      </w:r>
    </w:p>
    <w:p w14:paraId="330B6532" w14:textId="2F8D984B" w:rsidR="00F72DE5" w:rsidRPr="00992260" w:rsidRDefault="00A370E0" w:rsidP="00BE013E">
      <w:pPr>
        <w:rPr>
          <w:rFonts w:asciiTheme="majorHAnsi" w:eastAsiaTheme="majorEastAsia" w:hAnsiTheme="majorHAnsi" w:cstheme="majorBidi"/>
          <w:color w:val="55437E" w:themeColor="accent2"/>
          <w:sz w:val="44"/>
          <w:szCs w:val="26"/>
          <w:highlight w:val="yellow"/>
        </w:rPr>
      </w:pPr>
      <w:r w:rsidRPr="00B11DB6">
        <w:rPr>
          <w:rFonts w:cstheme="minorHAnsi"/>
        </w:rPr>
        <w:t>Employee expenses continued to be the most significant cost for universities</w:t>
      </w:r>
      <w:r w:rsidR="000F4180" w:rsidRPr="00B11DB6">
        <w:rPr>
          <w:rFonts w:cstheme="minorHAnsi"/>
        </w:rPr>
        <w:t xml:space="preserve"> and experienced </w:t>
      </w:r>
      <w:r w:rsidR="00581D9D" w:rsidRPr="00B11DB6">
        <w:rPr>
          <w:rFonts w:cstheme="minorHAnsi"/>
        </w:rPr>
        <w:t>strong</w:t>
      </w:r>
      <w:r w:rsidR="000F4180" w:rsidRPr="00B11DB6">
        <w:rPr>
          <w:rFonts w:cstheme="minorHAnsi"/>
        </w:rPr>
        <w:t xml:space="preserve"> growth in 2023, </w:t>
      </w:r>
      <w:r w:rsidR="00581D9D" w:rsidRPr="00B11DB6">
        <w:rPr>
          <w:rFonts w:cstheme="minorHAnsi"/>
        </w:rPr>
        <w:t>up $2.1 billion or 10.6</w:t>
      </w:r>
      <w:r w:rsidR="004E6C81">
        <w:rPr>
          <w:rFonts w:cstheme="minorHAnsi"/>
        </w:rPr>
        <w:t>%</w:t>
      </w:r>
      <w:r w:rsidR="00581D9D" w:rsidRPr="00B11DB6">
        <w:rPr>
          <w:rFonts w:cstheme="minorHAnsi"/>
        </w:rPr>
        <w:t xml:space="preserve"> </w:t>
      </w:r>
      <w:r w:rsidRPr="00B11DB6">
        <w:rPr>
          <w:rFonts w:cstheme="minorHAnsi"/>
        </w:rPr>
        <w:t>to $</w:t>
      </w:r>
      <w:r w:rsidR="00581D9D" w:rsidRPr="00B11DB6">
        <w:rPr>
          <w:rFonts w:cstheme="minorHAnsi"/>
        </w:rPr>
        <w:t>22.1</w:t>
      </w:r>
      <w:r w:rsidRPr="00B11DB6">
        <w:rPr>
          <w:rFonts w:cstheme="minorHAnsi"/>
        </w:rPr>
        <w:t xml:space="preserve"> billion</w:t>
      </w:r>
      <w:r w:rsidR="00B11DB6" w:rsidRPr="00B11DB6">
        <w:rPr>
          <w:rFonts w:cstheme="minorHAnsi"/>
        </w:rPr>
        <w:t>, up</w:t>
      </w:r>
      <w:r w:rsidR="00581D9D" w:rsidRPr="00B11DB6">
        <w:rPr>
          <w:rFonts w:cstheme="minorHAnsi"/>
        </w:rPr>
        <w:t xml:space="preserve"> from $20.0 billion reported</w:t>
      </w:r>
      <w:r w:rsidRPr="00B11DB6">
        <w:rPr>
          <w:rFonts w:cstheme="minorHAnsi"/>
        </w:rPr>
        <w:t xml:space="preserve"> in 2022</w:t>
      </w:r>
      <w:r w:rsidR="00581D9D" w:rsidRPr="00B11DB6">
        <w:rPr>
          <w:rFonts w:cstheme="minorHAnsi"/>
        </w:rPr>
        <w:t xml:space="preserve">. This growth was driven by salary increases as well as increases in employee numbers </w:t>
      </w:r>
      <w:r w:rsidRPr="00B11DB6">
        <w:rPr>
          <w:rFonts w:cstheme="minorHAnsi"/>
        </w:rPr>
        <w:t xml:space="preserve">as wage and hiring freezes implemented during the height of the pandemic were lifted at many </w:t>
      </w:r>
      <w:r w:rsidR="00030F68" w:rsidRPr="00B11DB6">
        <w:rPr>
          <w:rFonts w:cstheme="minorHAnsi"/>
        </w:rPr>
        <w:t>institutions</w:t>
      </w:r>
      <w:r w:rsidRPr="00B11DB6">
        <w:rPr>
          <w:rFonts w:cstheme="minorHAnsi"/>
        </w:rPr>
        <w:t>.</w:t>
      </w:r>
      <w:r w:rsidR="00036E5F" w:rsidRPr="00B11DB6">
        <w:rPr>
          <w:rFonts w:cstheme="minorHAnsi"/>
        </w:rPr>
        <w:t xml:space="preserve"> A</w:t>
      </w:r>
      <w:r w:rsidR="00581D9D" w:rsidRPr="00B11DB6">
        <w:rPr>
          <w:rFonts w:cstheme="minorHAnsi"/>
        </w:rPr>
        <w:t>ll 43</w:t>
      </w:r>
      <w:r w:rsidR="00036E5F" w:rsidRPr="00B11DB6">
        <w:rPr>
          <w:rFonts w:cstheme="minorHAnsi"/>
        </w:rPr>
        <w:t xml:space="preserve"> universities reported an increase in employee expenses in 202</w:t>
      </w:r>
      <w:r w:rsidR="00581D9D" w:rsidRPr="00B11DB6">
        <w:rPr>
          <w:rFonts w:cstheme="minorHAnsi"/>
        </w:rPr>
        <w:t>3</w:t>
      </w:r>
      <w:r w:rsidR="00036E5F" w:rsidRPr="00B11DB6">
        <w:rPr>
          <w:rFonts w:cstheme="minorHAnsi"/>
        </w:rPr>
        <w:t xml:space="preserve"> when compared to 202</w:t>
      </w:r>
      <w:r w:rsidR="00581D9D" w:rsidRPr="00B11DB6">
        <w:rPr>
          <w:rFonts w:cstheme="minorHAnsi"/>
        </w:rPr>
        <w:t>2</w:t>
      </w:r>
      <w:r w:rsidR="00036E5F" w:rsidRPr="00B11DB6">
        <w:rPr>
          <w:rFonts w:cstheme="minorHAnsi"/>
        </w:rPr>
        <w:t>.</w:t>
      </w:r>
    </w:p>
    <w:p w14:paraId="3F042196" w14:textId="477D7557" w:rsidR="000A1E13" w:rsidRPr="00F870D4" w:rsidRDefault="000A1E13" w:rsidP="000A1E13">
      <w:pPr>
        <w:pStyle w:val="Heading2"/>
      </w:pPr>
      <w:bookmarkStart w:id="12" w:name="_Toc183521026"/>
      <w:r w:rsidRPr="00F870D4">
        <w:t>Financial Position</w:t>
      </w:r>
      <w:bookmarkEnd w:id="12"/>
    </w:p>
    <w:p w14:paraId="7DC72851" w14:textId="28ACC5A6" w:rsidR="009910FD" w:rsidRPr="00F870D4" w:rsidRDefault="000A1E13" w:rsidP="002D68B9">
      <w:pPr>
        <w:spacing w:after="0" w:line="276" w:lineRule="auto"/>
      </w:pPr>
      <w:r w:rsidRPr="00F870D4">
        <w:t>The financial position of universities remained strong throughout the 202</w:t>
      </w:r>
      <w:r w:rsidR="00F870D4" w:rsidRPr="00F870D4">
        <w:t>3</w:t>
      </w:r>
      <w:r w:rsidRPr="00F870D4">
        <w:t xml:space="preserve"> reporting period, with net assets of $</w:t>
      </w:r>
      <w:r w:rsidR="00997A4B" w:rsidRPr="00F870D4">
        <w:t>7</w:t>
      </w:r>
      <w:r w:rsidR="00F870D4" w:rsidRPr="00F870D4">
        <w:t>4.2</w:t>
      </w:r>
      <w:r w:rsidR="00997A4B" w:rsidRPr="00F870D4">
        <w:t xml:space="preserve"> </w:t>
      </w:r>
      <w:r w:rsidRPr="00F870D4">
        <w:t xml:space="preserve">billion reported across the sector as </w:t>
      </w:r>
      <w:proofErr w:type="gramStart"/>
      <w:r w:rsidRPr="00F870D4">
        <w:t>at</w:t>
      </w:r>
      <w:proofErr w:type="gramEnd"/>
      <w:r w:rsidRPr="00F870D4">
        <w:t xml:space="preserve"> 31 December 202</w:t>
      </w:r>
      <w:r w:rsidR="00F870D4" w:rsidRPr="00F870D4">
        <w:t>3</w:t>
      </w:r>
      <w:r w:rsidRPr="00F870D4">
        <w:t xml:space="preserve">, up </w:t>
      </w:r>
      <w:r w:rsidR="00F870D4" w:rsidRPr="00F870D4">
        <w:t>3.2</w:t>
      </w:r>
      <w:r w:rsidR="004E6C81">
        <w:t>%</w:t>
      </w:r>
      <w:r w:rsidRPr="00F870D4">
        <w:t xml:space="preserve"> from $</w:t>
      </w:r>
      <w:r w:rsidR="00997A4B" w:rsidRPr="00F870D4">
        <w:t>7</w:t>
      </w:r>
      <w:r w:rsidR="00F870D4" w:rsidRPr="00F870D4">
        <w:t>2.0</w:t>
      </w:r>
      <w:r w:rsidR="004E6C81">
        <w:t> </w:t>
      </w:r>
      <w:r w:rsidRPr="00F870D4">
        <w:t>billion in 202</w:t>
      </w:r>
      <w:r w:rsidR="00F870D4" w:rsidRPr="00F870D4">
        <w:t>2</w:t>
      </w:r>
      <w:r w:rsidRPr="00F870D4">
        <w:t>.</w:t>
      </w:r>
      <w:r w:rsidR="002D68B9" w:rsidRPr="00F870D4">
        <w:t xml:space="preserve"> </w:t>
      </w:r>
    </w:p>
    <w:p w14:paraId="6885C934" w14:textId="77777777" w:rsidR="009910FD" w:rsidRPr="00F870D4" w:rsidRDefault="009910FD" w:rsidP="009910FD">
      <w:pPr>
        <w:pStyle w:val="Heading3"/>
      </w:pPr>
      <w:bookmarkStart w:id="13" w:name="_Toc78463088"/>
      <w:bookmarkStart w:id="14" w:name="_Toc126584992"/>
      <w:bookmarkStart w:id="15" w:name="_Toc183521027"/>
      <w:r w:rsidRPr="00F870D4">
        <w:t>Assets</w:t>
      </w:r>
      <w:bookmarkEnd w:id="13"/>
      <w:bookmarkEnd w:id="14"/>
      <w:bookmarkEnd w:id="15"/>
      <w:r w:rsidRPr="00F870D4">
        <w:t xml:space="preserve"> </w:t>
      </w:r>
    </w:p>
    <w:p w14:paraId="516D4514" w14:textId="3C55148D" w:rsidR="009910FD" w:rsidRPr="00F870D4" w:rsidRDefault="009910FD" w:rsidP="009910FD">
      <w:pPr>
        <w:pStyle w:val="Heading6"/>
      </w:pPr>
      <w:r w:rsidRPr="00F870D4">
        <w:t xml:space="preserve">Table </w:t>
      </w:r>
      <w:r w:rsidR="008345A9" w:rsidRPr="00F870D4">
        <w:t>5</w:t>
      </w:r>
      <w:r w:rsidRPr="00F870D4">
        <w:t>: Summary of 202</w:t>
      </w:r>
      <w:r w:rsidR="00F870D4" w:rsidRPr="00F870D4">
        <w:t>3</w:t>
      </w:r>
      <w:r w:rsidRPr="00F870D4">
        <w:t xml:space="preserve"> and 202</w:t>
      </w:r>
      <w:r w:rsidR="00F870D4">
        <w:t>2</w:t>
      </w:r>
      <w:r w:rsidRPr="00F870D4">
        <w:t xml:space="preserve"> Total Assets</w:t>
      </w:r>
    </w:p>
    <w:tbl>
      <w:tblPr>
        <w:tblW w:w="9016" w:type="dxa"/>
        <w:tblLayout w:type="fixed"/>
        <w:tblLook w:val="04A0" w:firstRow="1" w:lastRow="0" w:firstColumn="1" w:lastColumn="0" w:noHBand="0" w:noVBand="1"/>
      </w:tblPr>
      <w:tblGrid>
        <w:gridCol w:w="3539"/>
        <w:gridCol w:w="1418"/>
        <w:gridCol w:w="1417"/>
        <w:gridCol w:w="1321"/>
        <w:gridCol w:w="1321"/>
      </w:tblGrid>
      <w:tr w:rsidR="009910FD" w:rsidRPr="00F870D4" w14:paraId="22E6FB93" w14:textId="77777777" w:rsidTr="00B736F2">
        <w:trPr>
          <w:trHeight w:val="300"/>
        </w:trPr>
        <w:tc>
          <w:tcPr>
            <w:tcW w:w="3539" w:type="dxa"/>
            <w:tcBorders>
              <w:top w:val="single" w:sz="4" w:space="0" w:color="auto"/>
              <w:left w:val="single" w:sz="4" w:space="0" w:color="auto"/>
              <w:bottom w:val="nil"/>
              <w:right w:val="single" w:sz="4" w:space="0" w:color="auto"/>
            </w:tcBorders>
            <w:shd w:val="clear" w:color="auto" w:fill="004C6C" w:themeFill="background2"/>
            <w:noWrap/>
            <w:hideMark/>
          </w:tcPr>
          <w:p w14:paraId="6E1FA90F" w14:textId="77777777" w:rsidR="009910FD" w:rsidRPr="00F870D4" w:rsidRDefault="009910FD" w:rsidP="00496B5A">
            <w:pPr>
              <w:spacing w:after="0" w:line="240" w:lineRule="auto"/>
              <w:rPr>
                <w:rFonts w:ascii="Calibri" w:eastAsia="Times New Roman" w:hAnsi="Calibri" w:cs="Calibri"/>
                <w:b/>
                <w:bCs/>
                <w:color w:val="FFFFFF"/>
                <w:lang w:eastAsia="en-AU"/>
              </w:rPr>
            </w:pPr>
          </w:p>
        </w:tc>
        <w:tc>
          <w:tcPr>
            <w:tcW w:w="1418"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4FA58F85" w14:textId="0F4100E8"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202</w:t>
            </w:r>
            <w:r w:rsidR="00F870D4" w:rsidRPr="00F870D4">
              <w:rPr>
                <w:rFonts w:ascii="Calibri" w:eastAsia="Times New Roman" w:hAnsi="Calibri" w:cs="Calibri"/>
                <w:b/>
                <w:bCs/>
                <w:color w:val="FFFFFF"/>
                <w:lang w:eastAsia="en-AU"/>
              </w:rPr>
              <w:t>3</w:t>
            </w:r>
          </w:p>
        </w:tc>
        <w:tc>
          <w:tcPr>
            <w:tcW w:w="141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1D7FD0E3" w14:textId="4BCC8CF6"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202</w:t>
            </w:r>
            <w:r w:rsidR="00F870D4" w:rsidRPr="00F870D4">
              <w:rPr>
                <w:rFonts w:ascii="Calibri" w:eastAsia="Times New Roman" w:hAnsi="Calibri" w:cs="Calibri"/>
                <w:b/>
                <w:bCs/>
                <w:color w:val="FFFFFF"/>
                <w:lang w:eastAsia="en-AU"/>
              </w:rPr>
              <w:t>2</w:t>
            </w:r>
          </w:p>
        </w:tc>
        <w:tc>
          <w:tcPr>
            <w:tcW w:w="2642"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4B7D59B3"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Change</w:t>
            </w:r>
          </w:p>
        </w:tc>
      </w:tr>
      <w:tr w:rsidR="009910FD" w:rsidRPr="00F870D4" w14:paraId="436D89F3" w14:textId="77777777" w:rsidTr="00B736F2">
        <w:trPr>
          <w:trHeight w:val="300"/>
        </w:trPr>
        <w:tc>
          <w:tcPr>
            <w:tcW w:w="3539" w:type="dxa"/>
            <w:tcBorders>
              <w:top w:val="nil"/>
              <w:left w:val="single" w:sz="4" w:space="0" w:color="auto"/>
              <w:bottom w:val="single" w:sz="4" w:space="0" w:color="auto"/>
              <w:right w:val="single" w:sz="4" w:space="0" w:color="auto"/>
            </w:tcBorders>
            <w:shd w:val="clear" w:color="auto" w:fill="004C6C" w:themeFill="background2"/>
            <w:noWrap/>
            <w:hideMark/>
          </w:tcPr>
          <w:p w14:paraId="124DFE30" w14:textId="77777777" w:rsidR="009910FD" w:rsidRPr="00F870D4" w:rsidRDefault="009910FD" w:rsidP="00496B5A">
            <w:pPr>
              <w:spacing w:after="0" w:line="240" w:lineRule="auto"/>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 </w:t>
            </w:r>
          </w:p>
        </w:tc>
        <w:tc>
          <w:tcPr>
            <w:tcW w:w="1418" w:type="dxa"/>
            <w:tcBorders>
              <w:top w:val="nil"/>
              <w:left w:val="nil"/>
              <w:bottom w:val="single" w:sz="4" w:space="0" w:color="auto"/>
              <w:right w:val="single" w:sz="4" w:space="0" w:color="auto"/>
            </w:tcBorders>
            <w:shd w:val="clear" w:color="auto" w:fill="004C6C" w:themeFill="background2"/>
            <w:noWrap/>
            <w:vAlign w:val="bottom"/>
            <w:hideMark/>
          </w:tcPr>
          <w:p w14:paraId="551D2B5D"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417" w:type="dxa"/>
            <w:tcBorders>
              <w:top w:val="nil"/>
              <w:left w:val="nil"/>
              <w:bottom w:val="single" w:sz="4" w:space="0" w:color="auto"/>
              <w:right w:val="single" w:sz="4" w:space="0" w:color="auto"/>
            </w:tcBorders>
            <w:shd w:val="clear" w:color="auto" w:fill="004C6C" w:themeFill="background2"/>
            <w:noWrap/>
            <w:vAlign w:val="bottom"/>
            <w:hideMark/>
          </w:tcPr>
          <w:p w14:paraId="5B1563E7"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5EA67BF1"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33EDC363"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w:t>
            </w:r>
          </w:p>
        </w:tc>
      </w:tr>
      <w:tr w:rsidR="00F870D4" w:rsidRPr="00F870D4" w14:paraId="217A18DA" w14:textId="77777777" w:rsidTr="00F870D4">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521913" w14:textId="500FEF96" w:rsidR="00F870D4" w:rsidRPr="00EB4C52" w:rsidRDefault="00F870D4" w:rsidP="00F870D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Property, Plant and Equipment</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498DA06" w14:textId="01489A8E"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67,428,096</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6F0F625" w14:textId="595DDD40"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63,783,550</w:t>
            </w:r>
          </w:p>
        </w:tc>
        <w:tc>
          <w:tcPr>
            <w:tcW w:w="13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1F9460" w14:textId="00FDCBC7"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3,644,546</w:t>
            </w:r>
          </w:p>
        </w:tc>
        <w:tc>
          <w:tcPr>
            <w:tcW w:w="1321" w:type="dxa"/>
            <w:tcBorders>
              <w:top w:val="single" w:sz="4" w:space="0" w:color="auto"/>
              <w:left w:val="nil"/>
              <w:bottom w:val="single" w:sz="4" w:space="0" w:color="auto"/>
              <w:right w:val="single" w:sz="4" w:space="0" w:color="auto"/>
            </w:tcBorders>
            <w:shd w:val="clear" w:color="000000" w:fill="D9D9D9"/>
            <w:noWrap/>
            <w:vAlign w:val="bottom"/>
            <w:hideMark/>
          </w:tcPr>
          <w:p w14:paraId="078C03CA" w14:textId="237F42F9"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5.7%</w:t>
            </w:r>
          </w:p>
        </w:tc>
      </w:tr>
      <w:tr w:rsidR="00F870D4" w:rsidRPr="00F870D4" w14:paraId="5CA76743"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64182D13" w14:textId="24968DFC" w:rsidR="00F870D4" w:rsidRPr="00EB4C52" w:rsidRDefault="00F870D4" w:rsidP="00F870D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Investments</w:t>
            </w:r>
          </w:p>
        </w:tc>
        <w:tc>
          <w:tcPr>
            <w:tcW w:w="1418" w:type="dxa"/>
            <w:tcBorders>
              <w:top w:val="nil"/>
              <w:left w:val="single" w:sz="4" w:space="0" w:color="auto"/>
              <w:bottom w:val="single" w:sz="4" w:space="0" w:color="auto"/>
              <w:right w:val="single" w:sz="4" w:space="0" w:color="auto"/>
            </w:tcBorders>
            <w:noWrap/>
            <w:vAlign w:val="bottom"/>
            <w:hideMark/>
          </w:tcPr>
          <w:p w14:paraId="0E860F7E" w14:textId="64390E57"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26,380,012</w:t>
            </w:r>
          </w:p>
        </w:tc>
        <w:tc>
          <w:tcPr>
            <w:tcW w:w="1417" w:type="dxa"/>
            <w:tcBorders>
              <w:top w:val="nil"/>
              <w:left w:val="single" w:sz="4" w:space="0" w:color="auto"/>
              <w:bottom w:val="single" w:sz="4" w:space="0" w:color="auto"/>
              <w:right w:val="single" w:sz="4" w:space="0" w:color="auto"/>
            </w:tcBorders>
            <w:noWrap/>
            <w:vAlign w:val="bottom"/>
            <w:hideMark/>
          </w:tcPr>
          <w:p w14:paraId="480D033B" w14:textId="7BE81AAC"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24,478,720</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3641B996" w14:textId="125432C5"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1,901,292</w:t>
            </w:r>
          </w:p>
        </w:tc>
        <w:tc>
          <w:tcPr>
            <w:tcW w:w="1321" w:type="dxa"/>
            <w:tcBorders>
              <w:top w:val="nil"/>
              <w:left w:val="nil"/>
              <w:bottom w:val="single" w:sz="4" w:space="0" w:color="auto"/>
              <w:right w:val="single" w:sz="4" w:space="0" w:color="auto"/>
            </w:tcBorders>
            <w:shd w:val="clear" w:color="000000" w:fill="D9D9D9"/>
            <w:noWrap/>
            <w:vAlign w:val="bottom"/>
            <w:hideMark/>
          </w:tcPr>
          <w:p w14:paraId="12799074" w14:textId="432C73D4"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7.8%</w:t>
            </w:r>
          </w:p>
        </w:tc>
      </w:tr>
      <w:tr w:rsidR="00F870D4" w:rsidRPr="00F870D4" w14:paraId="4CA76817"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2C6021C0" w14:textId="12E0E83A" w:rsidR="00F870D4" w:rsidRPr="00EB4C52" w:rsidRDefault="00F870D4" w:rsidP="00F870D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Receivables</w:t>
            </w:r>
          </w:p>
        </w:tc>
        <w:tc>
          <w:tcPr>
            <w:tcW w:w="1418" w:type="dxa"/>
            <w:tcBorders>
              <w:top w:val="nil"/>
              <w:left w:val="single" w:sz="4" w:space="0" w:color="auto"/>
              <w:bottom w:val="single" w:sz="4" w:space="0" w:color="auto"/>
              <w:right w:val="single" w:sz="4" w:space="0" w:color="auto"/>
            </w:tcBorders>
            <w:noWrap/>
            <w:vAlign w:val="bottom"/>
            <w:hideMark/>
          </w:tcPr>
          <w:p w14:paraId="7EFB9C36" w14:textId="729F1704"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8,400,331</w:t>
            </w:r>
          </w:p>
        </w:tc>
        <w:tc>
          <w:tcPr>
            <w:tcW w:w="1417" w:type="dxa"/>
            <w:tcBorders>
              <w:top w:val="nil"/>
              <w:left w:val="single" w:sz="4" w:space="0" w:color="auto"/>
              <w:bottom w:val="single" w:sz="4" w:space="0" w:color="auto"/>
              <w:right w:val="single" w:sz="4" w:space="0" w:color="auto"/>
            </w:tcBorders>
            <w:noWrap/>
            <w:vAlign w:val="bottom"/>
            <w:hideMark/>
          </w:tcPr>
          <w:p w14:paraId="15A4CAAE" w14:textId="0968C2C6"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8,492,816</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6E00253D" w14:textId="788AC79A" w:rsidR="00F870D4" w:rsidRPr="00EB4C52" w:rsidRDefault="00877FC9"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FF0000"/>
                <w:sz w:val="20"/>
                <w:szCs w:val="20"/>
              </w:rPr>
              <w:t>-</w:t>
            </w:r>
            <w:r w:rsidR="00F870D4" w:rsidRPr="00050697">
              <w:rPr>
                <w:rFonts w:ascii="Calibri" w:hAnsi="Calibri" w:cs="Calibri"/>
                <w:color w:val="FF0000"/>
                <w:sz w:val="20"/>
                <w:szCs w:val="20"/>
              </w:rPr>
              <w:t>92,485</w:t>
            </w:r>
          </w:p>
        </w:tc>
        <w:tc>
          <w:tcPr>
            <w:tcW w:w="1321" w:type="dxa"/>
            <w:tcBorders>
              <w:top w:val="nil"/>
              <w:left w:val="nil"/>
              <w:bottom w:val="single" w:sz="4" w:space="0" w:color="auto"/>
              <w:right w:val="single" w:sz="4" w:space="0" w:color="auto"/>
            </w:tcBorders>
            <w:shd w:val="clear" w:color="000000" w:fill="D9D9D9"/>
            <w:noWrap/>
            <w:vAlign w:val="bottom"/>
            <w:hideMark/>
          </w:tcPr>
          <w:p w14:paraId="16A17F90" w14:textId="069201EF"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FF0000"/>
                <w:sz w:val="20"/>
                <w:szCs w:val="20"/>
              </w:rPr>
              <w:t>-1.1%</w:t>
            </w:r>
          </w:p>
        </w:tc>
      </w:tr>
      <w:tr w:rsidR="00F870D4" w:rsidRPr="00F870D4" w14:paraId="52F79069"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4D511DB6" w14:textId="15667F7B" w:rsidR="00F870D4" w:rsidRPr="00EB4C52" w:rsidRDefault="00F870D4" w:rsidP="00F870D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Cash and Cash Equivalents</w:t>
            </w:r>
          </w:p>
        </w:tc>
        <w:tc>
          <w:tcPr>
            <w:tcW w:w="1418" w:type="dxa"/>
            <w:tcBorders>
              <w:top w:val="nil"/>
              <w:left w:val="single" w:sz="4" w:space="0" w:color="auto"/>
              <w:bottom w:val="single" w:sz="4" w:space="0" w:color="auto"/>
              <w:right w:val="single" w:sz="4" w:space="0" w:color="auto"/>
            </w:tcBorders>
            <w:noWrap/>
            <w:vAlign w:val="bottom"/>
            <w:hideMark/>
          </w:tcPr>
          <w:p w14:paraId="3BEDA369" w14:textId="2A60EDE4"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5,810,872</w:t>
            </w:r>
          </w:p>
        </w:tc>
        <w:tc>
          <w:tcPr>
            <w:tcW w:w="1417" w:type="dxa"/>
            <w:tcBorders>
              <w:top w:val="nil"/>
              <w:left w:val="single" w:sz="4" w:space="0" w:color="auto"/>
              <w:bottom w:val="single" w:sz="4" w:space="0" w:color="auto"/>
              <w:right w:val="single" w:sz="4" w:space="0" w:color="auto"/>
            </w:tcBorders>
            <w:noWrap/>
            <w:vAlign w:val="bottom"/>
            <w:hideMark/>
          </w:tcPr>
          <w:p w14:paraId="26A2DA3F" w14:textId="639302EA"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6,766,242</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509B7A54" w14:textId="6660120F" w:rsidR="00F870D4" w:rsidRPr="00EB4C52" w:rsidRDefault="00877FC9"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FF0000"/>
                <w:sz w:val="20"/>
                <w:szCs w:val="20"/>
              </w:rPr>
              <w:t>-</w:t>
            </w:r>
            <w:r w:rsidR="00F870D4" w:rsidRPr="00050697">
              <w:rPr>
                <w:rFonts w:ascii="Calibri" w:hAnsi="Calibri" w:cs="Calibri"/>
                <w:color w:val="FF0000"/>
                <w:sz w:val="20"/>
                <w:szCs w:val="20"/>
              </w:rPr>
              <w:t>955,370</w:t>
            </w:r>
          </w:p>
        </w:tc>
        <w:tc>
          <w:tcPr>
            <w:tcW w:w="1321" w:type="dxa"/>
            <w:tcBorders>
              <w:top w:val="nil"/>
              <w:left w:val="nil"/>
              <w:bottom w:val="single" w:sz="4" w:space="0" w:color="auto"/>
              <w:right w:val="single" w:sz="4" w:space="0" w:color="auto"/>
            </w:tcBorders>
            <w:shd w:val="clear" w:color="000000" w:fill="D9D9D9"/>
            <w:noWrap/>
            <w:vAlign w:val="bottom"/>
            <w:hideMark/>
          </w:tcPr>
          <w:p w14:paraId="77B0C161" w14:textId="52A16C2B"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FF0000"/>
                <w:sz w:val="20"/>
                <w:szCs w:val="20"/>
              </w:rPr>
              <w:t>-14.1%</w:t>
            </w:r>
          </w:p>
        </w:tc>
      </w:tr>
      <w:tr w:rsidR="00F870D4" w:rsidRPr="00F870D4" w14:paraId="7084AEC6"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7E6BF4D1" w14:textId="515CE887" w:rsidR="00F870D4" w:rsidRPr="00EB4C52" w:rsidRDefault="00F870D4" w:rsidP="00F870D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Other Assets</w:t>
            </w:r>
          </w:p>
        </w:tc>
        <w:tc>
          <w:tcPr>
            <w:tcW w:w="1418" w:type="dxa"/>
            <w:tcBorders>
              <w:top w:val="nil"/>
              <w:left w:val="single" w:sz="4" w:space="0" w:color="auto"/>
              <w:bottom w:val="single" w:sz="4" w:space="0" w:color="auto"/>
              <w:right w:val="single" w:sz="4" w:space="0" w:color="auto"/>
            </w:tcBorders>
            <w:noWrap/>
            <w:vAlign w:val="bottom"/>
            <w:hideMark/>
          </w:tcPr>
          <w:p w14:paraId="0E9BEC9E" w14:textId="15BF8F8E"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2,815,168</w:t>
            </w:r>
          </w:p>
        </w:tc>
        <w:tc>
          <w:tcPr>
            <w:tcW w:w="1417" w:type="dxa"/>
            <w:tcBorders>
              <w:top w:val="nil"/>
              <w:left w:val="single" w:sz="4" w:space="0" w:color="auto"/>
              <w:bottom w:val="single" w:sz="4" w:space="0" w:color="auto"/>
              <w:right w:val="single" w:sz="4" w:space="0" w:color="auto"/>
            </w:tcBorders>
            <w:noWrap/>
            <w:vAlign w:val="bottom"/>
            <w:hideMark/>
          </w:tcPr>
          <w:p w14:paraId="0ED11216" w14:textId="70F2FD92"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2,646,987</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05AFA1AC" w14:textId="34F6B2B7" w:rsidR="00F870D4" w:rsidRPr="00EB4C52" w:rsidRDefault="00F870D4" w:rsidP="00F870D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168,181</w:t>
            </w:r>
          </w:p>
        </w:tc>
        <w:tc>
          <w:tcPr>
            <w:tcW w:w="1321" w:type="dxa"/>
            <w:tcBorders>
              <w:top w:val="nil"/>
              <w:left w:val="nil"/>
              <w:bottom w:val="single" w:sz="4" w:space="0" w:color="auto"/>
              <w:right w:val="single" w:sz="4" w:space="0" w:color="auto"/>
            </w:tcBorders>
            <w:shd w:val="clear" w:color="000000" w:fill="D9D9D9"/>
            <w:noWrap/>
            <w:vAlign w:val="bottom"/>
            <w:hideMark/>
          </w:tcPr>
          <w:p w14:paraId="3DDA087E" w14:textId="7732E6E0" w:rsidR="00F870D4" w:rsidRPr="00EB4C52" w:rsidRDefault="00F870D4" w:rsidP="00F870D4">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6.4%</w:t>
            </w:r>
          </w:p>
        </w:tc>
      </w:tr>
      <w:tr w:rsidR="00F870D4" w:rsidRPr="00F870D4" w14:paraId="108914BF" w14:textId="77777777" w:rsidTr="00F870D4">
        <w:trPr>
          <w:trHeight w:val="300"/>
        </w:trPr>
        <w:tc>
          <w:tcPr>
            <w:tcW w:w="3539"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D31DC70" w14:textId="7195CE10" w:rsidR="00F870D4" w:rsidRPr="00EB4C52" w:rsidRDefault="00F870D4" w:rsidP="00F870D4">
            <w:pPr>
              <w:spacing w:after="0" w:line="240" w:lineRule="auto"/>
              <w:rPr>
                <w:rFonts w:ascii="Calibri" w:eastAsia="Times New Roman" w:hAnsi="Calibri" w:cs="Calibri"/>
                <w:b/>
                <w:bCs/>
                <w:color w:val="000000"/>
                <w:sz w:val="20"/>
                <w:szCs w:val="20"/>
                <w:lang w:eastAsia="en-AU"/>
              </w:rPr>
            </w:pPr>
            <w:r w:rsidRPr="00EB4C52">
              <w:rPr>
                <w:rFonts w:ascii="Calibri" w:hAnsi="Calibri" w:cs="Calibri"/>
                <w:b/>
                <w:bCs/>
                <w:color w:val="000000"/>
                <w:sz w:val="20"/>
                <w:szCs w:val="20"/>
              </w:rPr>
              <w:t>Total Assets</w:t>
            </w:r>
          </w:p>
        </w:tc>
        <w:tc>
          <w:tcPr>
            <w:tcW w:w="141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6CE28DED" w14:textId="2B4FBF9E" w:rsidR="00F870D4" w:rsidRPr="00EB4C52" w:rsidRDefault="00F870D4" w:rsidP="00F870D4">
            <w:pPr>
              <w:spacing w:after="0" w:line="240" w:lineRule="auto"/>
              <w:jc w:val="right"/>
              <w:rPr>
                <w:rFonts w:ascii="Calibri" w:eastAsia="Times New Roman" w:hAnsi="Calibri" w:cs="Calibri"/>
                <w:b/>
                <w:bCs/>
                <w:color w:val="000000"/>
                <w:sz w:val="20"/>
                <w:szCs w:val="20"/>
                <w:lang w:eastAsia="en-AU"/>
              </w:rPr>
            </w:pPr>
            <w:r w:rsidRPr="00050697">
              <w:rPr>
                <w:rFonts w:ascii="Calibri" w:hAnsi="Calibri" w:cs="Calibri"/>
                <w:b/>
                <w:bCs/>
                <w:color w:val="000000"/>
                <w:sz w:val="20"/>
                <w:szCs w:val="20"/>
              </w:rPr>
              <w:t>110,834,479</w:t>
            </w:r>
          </w:p>
        </w:tc>
        <w:tc>
          <w:tcPr>
            <w:tcW w:w="141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A6BA3C0" w14:textId="52703A25" w:rsidR="00F870D4" w:rsidRPr="00EB4C52" w:rsidRDefault="00F870D4" w:rsidP="00F870D4">
            <w:pPr>
              <w:spacing w:after="0" w:line="240" w:lineRule="auto"/>
              <w:jc w:val="right"/>
              <w:rPr>
                <w:rFonts w:ascii="Calibri" w:eastAsia="Times New Roman" w:hAnsi="Calibri" w:cs="Calibri"/>
                <w:b/>
                <w:bCs/>
                <w:color w:val="000000"/>
                <w:sz w:val="20"/>
                <w:szCs w:val="20"/>
                <w:lang w:eastAsia="en-AU"/>
              </w:rPr>
            </w:pPr>
            <w:r w:rsidRPr="00EB4C52">
              <w:rPr>
                <w:rFonts w:ascii="Calibri" w:hAnsi="Calibri" w:cs="Calibri"/>
                <w:b/>
                <w:bCs/>
                <w:color w:val="000000"/>
                <w:sz w:val="20"/>
                <w:szCs w:val="20"/>
              </w:rPr>
              <w:t>106,168,315</w:t>
            </w:r>
          </w:p>
        </w:tc>
        <w:tc>
          <w:tcPr>
            <w:tcW w:w="1321"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1E75D0E6" w14:textId="677CF337" w:rsidR="00F870D4" w:rsidRPr="00EB4C52" w:rsidRDefault="00F870D4" w:rsidP="00F870D4">
            <w:pPr>
              <w:spacing w:after="0" w:line="240" w:lineRule="auto"/>
              <w:jc w:val="right"/>
              <w:rPr>
                <w:rFonts w:ascii="Calibri" w:eastAsia="Times New Roman" w:hAnsi="Calibri" w:cs="Calibri"/>
                <w:b/>
                <w:bCs/>
                <w:color w:val="FF0000"/>
                <w:sz w:val="20"/>
                <w:szCs w:val="20"/>
                <w:lang w:eastAsia="en-AU"/>
              </w:rPr>
            </w:pPr>
            <w:r w:rsidRPr="00050697">
              <w:rPr>
                <w:rFonts w:ascii="Calibri" w:hAnsi="Calibri" w:cs="Calibri"/>
                <w:b/>
                <w:bCs/>
                <w:color w:val="000000"/>
                <w:sz w:val="20"/>
                <w:szCs w:val="20"/>
              </w:rPr>
              <w:t>4,666,164</w:t>
            </w:r>
          </w:p>
        </w:tc>
        <w:tc>
          <w:tcPr>
            <w:tcW w:w="1321" w:type="dxa"/>
            <w:tcBorders>
              <w:top w:val="nil"/>
              <w:left w:val="nil"/>
              <w:bottom w:val="single" w:sz="4" w:space="0" w:color="auto"/>
              <w:right w:val="single" w:sz="4" w:space="0" w:color="auto"/>
            </w:tcBorders>
            <w:shd w:val="clear" w:color="auto" w:fill="90D8CF" w:themeFill="accent4" w:themeFillTint="99"/>
            <w:noWrap/>
            <w:vAlign w:val="bottom"/>
            <w:hideMark/>
          </w:tcPr>
          <w:p w14:paraId="28DBBA5C" w14:textId="6ADAAC7E" w:rsidR="00F870D4" w:rsidRPr="00EB4C52" w:rsidRDefault="00F870D4" w:rsidP="00F870D4">
            <w:pPr>
              <w:spacing w:after="0" w:line="240" w:lineRule="auto"/>
              <w:jc w:val="right"/>
              <w:rPr>
                <w:rFonts w:ascii="Calibri" w:eastAsia="Times New Roman" w:hAnsi="Calibri" w:cs="Calibri"/>
                <w:b/>
                <w:bCs/>
                <w:color w:val="FF0000"/>
                <w:sz w:val="20"/>
                <w:szCs w:val="20"/>
                <w:lang w:eastAsia="en-AU"/>
              </w:rPr>
            </w:pPr>
            <w:r w:rsidRPr="00050697">
              <w:rPr>
                <w:rFonts w:ascii="Calibri" w:hAnsi="Calibri" w:cs="Calibri"/>
                <w:b/>
                <w:bCs/>
                <w:color w:val="000000"/>
                <w:sz w:val="20"/>
                <w:szCs w:val="20"/>
              </w:rPr>
              <w:t>4.4%</w:t>
            </w:r>
          </w:p>
        </w:tc>
      </w:tr>
    </w:tbl>
    <w:p w14:paraId="00FB7F49" w14:textId="77777777" w:rsidR="009910FD" w:rsidRPr="00F870D4" w:rsidRDefault="009910FD" w:rsidP="002D68B9">
      <w:pPr>
        <w:spacing w:after="0" w:line="276" w:lineRule="auto"/>
      </w:pPr>
    </w:p>
    <w:p w14:paraId="22745250" w14:textId="0EDDAFC4" w:rsidR="00AC2F99" w:rsidRPr="0009769B" w:rsidRDefault="00AC2F99" w:rsidP="00AC2F99">
      <w:pPr>
        <w:pStyle w:val="Heading6"/>
        <w:rPr>
          <w:rStyle w:val="Strong"/>
          <w:b/>
          <w:bCs w:val="0"/>
        </w:rPr>
      </w:pPr>
      <w:r w:rsidRPr="0009769B">
        <w:rPr>
          <w:rStyle w:val="Strong"/>
          <w:b/>
          <w:bCs w:val="0"/>
        </w:rPr>
        <w:lastRenderedPageBreak/>
        <w:t xml:space="preserve">Figure </w:t>
      </w:r>
      <w:r w:rsidR="008345A9" w:rsidRPr="0009769B">
        <w:rPr>
          <w:rStyle w:val="Strong"/>
          <w:b/>
          <w:bCs w:val="0"/>
        </w:rPr>
        <w:t>10</w:t>
      </w:r>
      <w:r w:rsidRPr="0009769B">
        <w:rPr>
          <w:rStyle w:val="Strong"/>
          <w:b/>
          <w:bCs w:val="0"/>
        </w:rPr>
        <w:t>: 201</w:t>
      </w:r>
      <w:r w:rsidR="009F6936" w:rsidRPr="0009769B">
        <w:rPr>
          <w:rStyle w:val="Strong"/>
          <w:b/>
          <w:bCs w:val="0"/>
        </w:rPr>
        <w:t>4</w:t>
      </w:r>
      <w:r w:rsidRPr="0009769B">
        <w:rPr>
          <w:rStyle w:val="Strong"/>
          <w:b/>
          <w:bCs w:val="0"/>
        </w:rPr>
        <w:t>-202</w:t>
      </w:r>
      <w:r w:rsidR="009F6936" w:rsidRPr="0009769B">
        <w:rPr>
          <w:rStyle w:val="Strong"/>
          <w:b/>
          <w:bCs w:val="0"/>
        </w:rPr>
        <w:t>3</w:t>
      </w:r>
      <w:r w:rsidRPr="0009769B">
        <w:rPr>
          <w:rStyle w:val="Strong"/>
          <w:b/>
          <w:bCs w:val="0"/>
        </w:rPr>
        <w:t xml:space="preserve"> Assets by Type</w:t>
      </w:r>
    </w:p>
    <w:p w14:paraId="35A8814A" w14:textId="6E2BCFAE" w:rsidR="00F870D4" w:rsidRPr="009F6936" w:rsidRDefault="00F870D4" w:rsidP="00F870D4">
      <w:r w:rsidRPr="009F6936">
        <w:rPr>
          <w:noProof/>
        </w:rPr>
        <w:drawing>
          <wp:inline distT="0" distB="0" distL="0" distR="0" wp14:anchorId="21CB4225" wp14:editId="0D900872">
            <wp:extent cx="5715000" cy="2781300"/>
            <wp:effectExtent l="0" t="0" r="0" b="0"/>
            <wp:docPr id="49875868" name="Chart 1">
              <a:extLst xmlns:a="http://schemas.openxmlformats.org/drawingml/2006/main">
                <a:ext uri="{FF2B5EF4-FFF2-40B4-BE49-F238E27FC236}">
                  <a16:creationId xmlns:a16="http://schemas.microsoft.com/office/drawing/2014/main" id="{7C0B5B2C-5906-49D7-9866-056F911D4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928971C" w14:textId="77777777" w:rsidR="00F870D4" w:rsidRPr="009F6936" w:rsidRDefault="00F870D4" w:rsidP="00E133E7">
      <w:pPr>
        <w:spacing w:after="0"/>
      </w:pPr>
    </w:p>
    <w:p w14:paraId="616AA18A" w14:textId="15FC9620" w:rsidR="0082359E" w:rsidRPr="009F6936" w:rsidRDefault="0082359E" w:rsidP="0082359E">
      <w:pPr>
        <w:spacing w:after="200" w:line="276" w:lineRule="auto"/>
      </w:pPr>
      <w:r w:rsidRPr="009F6936">
        <w:t>Total assets across the sector were $1</w:t>
      </w:r>
      <w:r w:rsidR="009F6936" w:rsidRPr="009F6936">
        <w:t>10.8</w:t>
      </w:r>
      <w:r w:rsidRPr="009F6936">
        <w:t xml:space="preserve"> billion as </w:t>
      </w:r>
      <w:proofErr w:type="gramStart"/>
      <w:r w:rsidRPr="009F6936">
        <w:t>at</w:t>
      </w:r>
      <w:proofErr w:type="gramEnd"/>
      <w:r w:rsidRPr="009F6936">
        <w:t xml:space="preserve"> 31 December 202</w:t>
      </w:r>
      <w:r w:rsidR="009F6936" w:rsidRPr="009F6936">
        <w:t>3</w:t>
      </w:r>
      <w:r w:rsidRPr="009F6936">
        <w:t xml:space="preserve">, increasing by </w:t>
      </w:r>
      <w:r w:rsidR="009F6936" w:rsidRPr="009F6936">
        <w:t>4.4</w:t>
      </w:r>
      <w:r w:rsidR="004E6C81">
        <w:t>%</w:t>
      </w:r>
      <w:r w:rsidRPr="009F6936">
        <w:t xml:space="preserve"> or $</w:t>
      </w:r>
      <w:r w:rsidR="009F6936" w:rsidRPr="009F6936">
        <w:t>4.7</w:t>
      </w:r>
      <w:r w:rsidRPr="009F6936">
        <w:t> billion from $10</w:t>
      </w:r>
      <w:r w:rsidR="009F6936" w:rsidRPr="009F6936">
        <w:t>6.2</w:t>
      </w:r>
      <w:r w:rsidRPr="009F6936">
        <w:t xml:space="preserve"> billion in 202</w:t>
      </w:r>
      <w:r w:rsidR="009F6936" w:rsidRPr="009F6936">
        <w:t>2</w:t>
      </w:r>
      <w:r w:rsidRPr="009F6936">
        <w:t xml:space="preserve">. </w:t>
      </w:r>
      <w:r w:rsidR="009F6936" w:rsidRPr="009F6936">
        <w:t>This increase was driven by growth in p</w:t>
      </w:r>
      <w:r w:rsidRPr="009F6936">
        <w:t>roperty, plant and equipment</w:t>
      </w:r>
      <w:r w:rsidR="009F6936" w:rsidRPr="009F6936">
        <w:t>, which continued to</w:t>
      </w:r>
      <w:r w:rsidRPr="009F6936">
        <w:t xml:space="preserve"> represent the largest component </w:t>
      </w:r>
      <w:r w:rsidR="009F6936" w:rsidRPr="009F6936">
        <w:t xml:space="preserve">of assets </w:t>
      </w:r>
      <w:r w:rsidRPr="009F6936">
        <w:t>at $6</w:t>
      </w:r>
      <w:r w:rsidR="009F6936" w:rsidRPr="009F6936">
        <w:t>7.4</w:t>
      </w:r>
      <w:r w:rsidRPr="009F6936">
        <w:t xml:space="preserve"> billion, up from $</w:t>
      </w:r>
      <w:r w:rsidR="009F6936" w:rsidRPr="009F6936">
        <w:t>63.8</w:t>
      </w:r>
      <w:r w:rsidRPr="009F6936">
        <w:t xml:space="preserve"> billion in 202</w:t>
      </w:r>
      <w:r w:rsidR="009F6936" w:rsidRPr="009F6936">
        <w:t>2</w:t>
      </w:r>
      <w:r w:rsidRPr="009F6936">
        <w:t>. This was followed by investments</w:t>
      </w:r>
      <w:r w:rsidR="009F6936" w:rsidRPr="009F6936">
        <w:t>, which grew by $1.9 billion to</w:t>
      </w:r>
      <w:r w:rsidRPr="009F6936">
        <w:t xml:space="preserve"> $2</w:t>
      </w:r>
      <w:r w:rsidR="009F6936" w:rsidRPr="009F6936">
        <w:t>6.4</w:t>
      </w:r>
      <w:r w:rsidR="00ED437C" w:rsidRPr="009F6936">
        <w:t> </w:t>
      </w:r>
      <w:r w:rsidRPr="009F6936">
        <w:t>billion, up from $2</w:t>
      </w:r>
      <w:r w:rsidR="009F6936" w:rsidRPr="009F6936">
        <w:t>4</w:t>
      </w:r>
      <w:r w:rsidRPr="009F6936">
        <w:t>.5 billion in 202</w:t>
      </w:r>
      <w:r w:rsidR="009F6936" w:rsidRPr="009F6936">
        <w:t>2</w:t>
      </w:r>
      <w:r w:rsidRPr="009F6936">
        <w:t xml:space="preserve">. </w:t>
      </w:r>
    </w:p>
    <w:p w14:paraId="2E60AC55" w14:textId="2D326497" w:rsidR="00AC2F99" w:rsidRPr="0009769B" w:rsidRDefault="0082359E" w:rsidP="009910FD">
      <w:pPr>
        <w:spacing w:after="200" w:line="276" w:lineRule="auto"/>
      </w:pPr>
      <w:r w:rsidRPr="009F6936">
        <w:t xml:space="preserve">Overall growth in assets across the sector over the past 10 years has </w:t>
      </w:r>
      <w:r w:rsidR="0095252F">
        <w:t xml:space="preserve">also </w:t>
      </w:r>
      <w:r w:rsidRPr="009F6936">
        <w:t xml:space="preserve">been driven by increases in </w:t>
      </w:r>
      <w:r w:rsidR="00ED437C" w:rsidRPr="009F6936">
        <w:t>p</w:t>
      </w:r>
      <w:r w:rsidR="00AC2F99" w:rsidRPr="009F6936">
        <w:t xml:space="preserve">roperty, </w:t>
      </w:r>
      <w:r w:rsidRPr="009F6936">
        <w:t>p</w:t>
      </w:r>
      <w:r w:rsidR="00AC2F99" w:rsidRPr="009F6936">
        <w:t xml:space="preserve">lant and </w:t>
      </w:r>
      <w:r w:rsidRPr="009F6936">
        <w:t>e</w:t>
      </w:r>
      <w:r w:rsidR="00AC2F99" w:rsidRPr="009F6936">
        <w:t>quipment</w:t>
      </w:r>
      <w:r w:rsidR="0095252F">
        <w:t>,</w:t>
      </w:r>
      <w:r w:rsidR="00AC2F99" w:rsidRPr="009F6936">
        <w:t xml:space="preserve"> and </w:t>
      </w:r>
      <w:r w:rsidR="00ED437C" w:rsidRPr="009F6936">
        <w:t>i</w:t>
      </w:r>
      <w:r w:rsidR="00AC2F99" w:rsidRPr="009F6936">
        <w:t>nvestments, with universities investing heavily in campus facilities and continuing to grow their financial asset bases</w:t>
      </w:r>
      <w:r w:rsidR="00E93365" w:rsidRPr="009F6936">
        <w:t xml:space="preserve"> over this period</w:t>
      </w:r>
      <w:r w:rsidR="00AC2F99" w:rsidRPr="009F6936">
        <w:t xml:space="preserve">. </w:t>
      </w:r>
      <w:r w:rsidR="00E93365" w:rsidRPr="009F6936">
        <w:t xml:space="preserve">In contrast, other asset categories have remained relatively consistent from one year to the </w:t>
      </w:r>
      <w:r w:rsidRPr="009F6936">
        <w:t>next and</w:t>
      </w:r>
      <w:r w:rsidR="00E93365" w:rsidRPr="009F6936">
        <w:t xml:space="preserve"> make up a </w:t>
      </w:r>
      <w:r w:rsidR="00E93365" w:rsidRPr="0009769B">
        <w:t>comparatively small component of overall asset bases.</w:t>
      </w:r>
    </w:p>
    <w:p w14:paraId="44F703F9" w14:textId="063F67B8" w:rsidR="009910FD" w:rsidRPr="0009769B" w:rsidRDefault="009910FD" w:rsidP="009910FD">
      <w:pPr>
        <w:spacing w:after="200" w:line="276" w:lineRule="auto"/>
      </w:pPr>
      <w:r w:rsidRPr="0009769B">
        <w:t xml:space="preserve">Payments for property, plant and equipment were </w:t>
      </w:r>
      <w:r w:rsidRPr="003175FE">
        <w:t>$</w:t>
      </w:r>
      <w:r w:rsidR="00CD632A" w:rsidRPr="003175FE">
        <w:t>3.</w:t>
      </w:r>
      <w:r w:rsidR="003175FE" w:rsidRPr="003175FE">
        <w:t>6</w:t>
      </w:r>
      <w:r w:rsidRPr="003175FE">
        <w:t xml:space="preserve"> billion in 202</w:t>
      </w:r>
      <w:r w:rsidR="00CD632A" w:rsidRPr="003175FE">
        <w:t>3</w:t>
      </w:r>
      <w:r w:rsidRPr="003175FE">
        <w:t xml:space="preserve">, </w:t>
      </w:r>
      <w:r w:rsidR="005C32C3" w:rsidRPr="003175FE">
        <w:t xml:space="preserve">up </w:t>
      </w:r>
      <w:r w:rsidR="00CD632A" w:rsidRPr="003175FE">
        <w:t>2</w:t>
      </w:r>
      <w:r w:rsidR="003175FE" w:rsidRPr="003175FE">
        <w:t>6.7</w:t>
      </w:r>
      <w:r w:rsidR="004E6C81">
        <w:t>%</w:t>
      </w:r>
      <w:r w:rsidRPr="0009769B">
        <w:t xml:space="preserve"> from $</w:t>
      </w:r>
      <w:r w:rsidR="005C32C3" w:rsidRPr="0009769B">
        <w:t>2.</w:t>
      </w:r>
      <w:r w:rsidR="00CD632A" w:rsidRPr="0009769B">
        <w:t>8</w:t>
      </w:r>
      <w:r w:rsidR="004845DA" w:rsidRPr="0009769B">
        <w:t> </w:t>
      </w:r>
      <w:r w:rsidRPr="0009769B">
        <w:t>billion in 202</w:t>
      </w:r>
      <w:r w:rsidR="00CD632A" w:rsidRPr="0009769B">
        <w:t>2</w:t>
      </w:r>
      <w:r w:rsidRPr="0009769B">
        <w:t xml:space="preserve"> as universities </w:t>
      </w:r>
      <w:r w:rsidR="005F6605" w:rsidRPr="0009769B">
        <w:t>continued</w:t>
      </w:r>
      <w:r w:rsidR="005C32C3" w:rsidRPr="0009769B">
        <w:t xml:space="preserve"> to invest in campus facilities and undertake </w:t>
      </w:r>
      <w:r w:rsidRPr="0009769B">
        <w:t>capital works</w:t>
      </w:r>
      <w:r w:rsidR="005C32C3" w:rsidRPr="0009769B">
        <w:t>.</w:t>
      </w:r>
      <w:r w:rsidRPr="0009769B">
        <w:t xml:space="preserve"> </w:t>
      </w:r>
    </w:p>
    <w:p w14:paraId="623706DF" w14:textId="77777777" w:rsidR="00F72DE5" w:rsidRPr="0009769B" w:rsidRDefault="00F72DE5" w:rsidP="009910FD">
      <w:pPr>
        <w:spacing w:after="200" w:line="276" w:lineRule="auto"/>
      </w:pPr>
    </w:p>
    <w:p w14:paraId="1FF07F8D" w14:textId="77777777" w:rsidR="000A1E13" w:rsidRPr="0009769B" w:rsidRDefault="000A1E13" w:rsidP="001E7AA9">
      <w:pPr>
        <w:pStyle w:val="Heading5"/>
      </w:pPr>
      <w:bookmarkStart w:id="16" w:name="_Toc78463089"/>
      <w:bookmarkStart w:id="17" w:name="_Toc126584993"/>
      <w:r w:rsidRPr="0009769B">
        <w:t>Cash and investments</w:t>
      </w:r>
      <w:bookmarkEnd w:id="16"/>
      <w:bookmarkEnd w:id="17"/>
    </w:p>
    <w:p w14:paraId="622C5568" w14:textId="110F07A2" w:rsidR="000A1E13" w:rsidRPr="0009769B" w:rsidRDefault="000A1E13" w:rsidP="005C32C3">
      <w:pPr>
        <w:spacing w:after="200" w:line="276" w:lineRule="auto"/>
        <w:rPr>
          <w:rFonts w:cstheme="minorHAnsi"/>
        </w:rPr>
      </w:pPr>
      <w:r w:rsidRPr="0009769B">
        <w:rPr>
          <w:rFonts w:cstheme="minorHAnsi"/>
        </w:rPr>
        <w:t>Liquidity remains strong across the sector, with total cash and investments of $</w:t>
      </w:r>
      <w:r w:rsidR="005C32C3" w:rsidRPr="0009769B">
        <w:rPr>
          <w:rFonts w:cstheme="minorHAnsi"/>
        </w:rPr>
        <w:t>3</w:t>
      </w:r>
      <w:r w:rsidR="0009769B" w:rsidRPr="0009769B">
        <w:rPr>
          <w:rFonts w:cstheme="minorHAnsi"/>
        </w:rPr>
        <w:t>2.2</w:t>
      </w:r>
      <w:r w:rsidRPr="0009769B">
        <w:rPr>
          <w:rFonts w:cstheme="minorHAnsi"/>
        </w:rPr>
        <w:t xml:space="preserve"> billion as </w:t>
      </w:r>
      <w:proofErr w:type="gramStart"/>
      <w:r w:rsidRPr="0009769B">
        <w:rPr>
          <w:rFonts w:cstheme="minorHAnsi"/>
        </w:rPr>
        <w:t>at</w:t>
      </w:r>
      <w:proofErr w:type="gramEnd"/>
      <w:r w:rsidRPr="0009769B">
        <w:rPr>
          <w:rFonts w:cstheme="minorHAnsi"/>
        </w:rPr>
        <w:t xml:space="preserve"> 31 December 202</w:t>
      </w:r>
      <w:r w:rsidR="0009769B" w:rsidRPr="0009769B">
        <w:rPr>
          <w:rFonts w:cstheme="minorHAnsi"/>
        </w:rPr>
        <w:t>3</w:t>
      </w:r>
      <w:r w:rsidRPr="0009769B">
        <w:rPr>
          <w:rFonts w:cstheme="minorHAnsi"/>
        </w:rPr>
        <w:t>, up $</w:t>
      </w:r>
      <w:r w:rsidR="005C32C3" w:rsidRPr="0009769B">
        <w:rPr>
          <w:rFonts w:cstheme="minorHAnsi"/>
        </w:rPr>
        <w:t>0.</w:t>
      </w:r>
      <w:r w:rsidR="0009769B" w:rsidRPr="0009769B">
        <w:rPr>
          <w:rFonts w:cstheme="minorHAnsi"/>
        </w:rPr>
        <w:t>9</w:t>
      </w:r>
      <w:r w:rsidRPr="0009769B">
        <w:rPr>
          <w:rFonts w:cstheme="minorHAnsi"/>
        </w:rPr>
        <w:t xml:space="preserve"> billion or </w:t>
      </w:r>
      <w:r w:rsidR="0009769B" w:rsidRPr="0009769B">
        <w:rPr>
          <w:rFonts w:cstheme="minorHAnsi"/>
        </w:rPr>
        <w:t>3.0</w:t>
      </w:r>
      <w:r w:rsidR="004E6C81">
        <w:rPr>
          <w:rFonts w:cstheme="minorHAnsi"/>
        </w:rPr>
        <w:t>%</w:t>
      </w:r>
      <w:r w:rsidRPr="0009769B">
        <w:rPr>
          <w:rFonts w:cstheme="minorHAnsi"/>
        </w:rPr>
        <w:t xml:space="preserve"> from $</w:t>
      </w:r>
      <w:r w:rsidR="005C32C3" w:rsidRPr="0009769B">
        <w:rPr>
          <w:rFonts w:cstheme="minorHAnsi"/>
        </w:rPr>
        <w:t>3</w:t>
      </w:r>
      <w:r w:rsidR="0009769B" w:rsidRPr="0009769B">
        <w:rPr>
          <w:rFonts w:cstheme="minorHAnsi"/>
        </w:rPr>
        <w:t>1.2</w:t>
      </w:r>
      <w:r w:rsidRPr="0009769B">
        <w:rPr>
          <w:rFonts w:cstheme="minorHAnsi"/>
        </w:rPr>
        <w:t xml:space="preserve"> billion in 202</w:t>
      </w:r>
      <w:r w:rsidR="0009769B" w:rsidRPr="0009769B">
        <w:rPr>
          <w:rFonts w:cstheme="minorHAnsi"/>
        </w:rPr>
        <w:t>2</w:t>
      </w:r>
      <w:r w:rsidRPr="0009769B">
        <w:rPr>
          <w:rFonts w:cstheme="minorHAnsi"/>
        </w:rPr>
        <w:t>.</w:t>
      </w:r>
      <w:r w:rsidR="005C32C3" w:rsidRPr="0009769B">
        <w:rPr>
          <w:rFonts w:cstheme="minorHAnsi"/>
        </w:rPr>
        <w:t xml:space="preserve"> </w:t>
      </w:r>
      <w:r w:rsidRPr="0009769B">
        <w:rPr>
          <w:rFonts w:cstheme="minorHAnsi"/>
        </w:rPr>
        <w:t xml:space="preserve">This amount would be sufficient to cover university operating expenses, on average, for more than </w:t>
      </w:r>
      <w:r w:rsidR="0009769B" w:rsidRPr="0009769B">
        <w:rPr>
          <w:rFonts w:cstheme="minorHAnsi"/>
        </w:rPr>
        <w:t>9</w:t>
      </w:r>
      <w:r w:rsidRPr="0009769B">
        <w:rPr>
          <w:rFonts w:cstheme="minorHAnsi"/>
        </w:rPr>
        <w:t xml:space="preserve"> months across the sector, with a range of between </w:t>
      </w:r>
      <w:r w:rsidR="0009769B" w:rsidRPr="0009769B">
        <w:rPr>
          <w:rFonts w:cstheme="minorHAnsi"/>
        </w:rPr>
        <w:t>7</w:t>
      </w:r>
      <w:r w:rsidR="005C32C3" w:rsidRPr="0009769B">
        <w:rPr>
          <w:rFonts w:cstheme="minorHAnsi"/>
        </w:rPr>
        <w:t xml:space="preserve"> weeks</w:t>
      </w:r>
      <w:r w:rsidRPr="0009769B">
        <w:rPr>
          <w:rFonts w:cstheme="minorHAnsi"/>
        </w:rPr>
        <w:t xml:space="preserve"> and 2</w:t>
      </w:r>
      <w:r w:rsidR="0009769B" w:rsidRPr="0009769B">
        <w:rPr>
          <w:rFonts w:cstheme="minorHAnsi"/>
        </w:rPr>
        <w:t>8</w:t>
      </w:r>
      <w:r w:rsidRPr="0009769B">
        <w:rPr>
          <w:rFonts w:cstheme="minorHAnsi"/>
        </w:rPr>
        <w:t xml:space="preserve"> months</w:t>
      </w:r>
      <w:r w:rsidR="005C32C3" w:rsidRPr="0009769B">
        <w:rPr>
          <w:rFonts w:cstheme="minorHAnsi"/>
        </w:rPr>
        <w:t xml:space="preserve"> at the individual institution level</w:t>
      </w:r>
      <w:r w:rsidRPr="0009769B">
        <w:rPr>
          <w:rFonts w:cstheme="minorHAnsi"/>
        </w:rPr>
        <w:t>.</w:t>
      </w:r>
    </w:p>
    <w:p w14:paraId="0C22295F" w14:textId="464C4F79" w:rsidR="00F83ECF" w:rsidRPr="0009769B" w:rsidRDefault="00F83ECF" w:rsidP="00F83ECF">
      <w:pPr>
        <w:spacing w:after="200" w:line="276" w:lineRule="auto"/>
        <w:rPr>
          <w:rFonts w:cstheme="minorHAnsi"/>
        </w:rPr>
      </w:pPr>
      <w:r w:rsidRPr="0009769B">
        <w:rPr>
          <w:rFonts w:cstheme="minorHAnsi"/>
        </w:rPr>
        <w:t>Cash reserves decreased across the sector during 202</w:t>
      </w:r>
      <w:r w:rsidR="0009769B" w:rsidRPr="0009769B">
        <w:rPr>
          <w:rFonts w:cstheme="minorHAnsi"/>
        </w:rPr>
        <w:t>3</w:t>
      </w:r>
      <w:r w:rsidRPr="0009769B">
        <w:rPr>
          <w:rFonts w:cstheme="minorHAnsi"/>
        </w:rPr>
        <w:t>, down from $</w:t>
      </w:r>
      <w:r w:rsidR="0009769B" w:rsidRPr="0009769B">
        <w:rPr>
          <w:rFonts w:cstheme="minorHAnsi"/>
        </w:rPr>
        <w:t>6.8</w:t>
      </w:r>
      <w:r w:rsidRPr="0009769B">
        <w:rPr>
          <w:rFonts w:cstheme="minorHAnsi"/>
        </w:rPr>
        <w:t xml:space="preserve"> billion in 202</w:t>
      </w:r>
      <w:r w:rsidR="0009769B" w:rsidRPr="0009769B">
        <w:rPr>
          <w:rFonts w:cstheme="minorHAnsi"/>
        </w:rPr>
        <w:t>2</w:t>
      </w:r>
      <w:r w:rsidRPr="0009769B">
        <w:rPr>
          <w:rFonts w:cstheme="minorHAnsi"/>
        </w:rPr>
        <w:t xml:space="preserve"> to $</w:t>
      </w:r>
      <w:r w:rsidR="0009769B" w:rsidRPr="0009769B">
        <w:rPr>
          <w:rFonts w:cstheme="minorHAnsi"/>
        </w:rPr>
        <w:t>5.8</w:t>
      </w:r>
      <w:r w:rsidR="00E937B1">
        <w:rPr>
          <w:rFonts w:cstheme="minorHAnsi"/>
        </w:rPr>
        <w:t> </w:t>
      </w:r>
      <w:r w:rsidRPr="0009769B">
        <w:rPr>
          <w:rFonts w:cstheme="minorHAnsi"/>
        </w:rPr>
        <w:t>billion</w:t>
      </w:r>
      <w:r w:rsidR="00ED437C" w:rsidRPr="0009769B">
        <w:rPr>
          <w:rFonts w:cstheme="minorHAnsi"/>
        </w:rPr>
        <w:t>,</w:t>
      </w:r>
      <w:r w:rsidRPr="0009769B">
        <w:rPr>
          <w:rFonts w:cstheme="minorHAnsi"/>
        </w:rPr>
        <w:t xml:space="preserve"> as universities </w:t>
      </w:r>
      <w:r w:rsidR="0009769B" w:rsidRPr="0009769B">
        <w:rPr>
          <w:rFonts w:cstheme="minorHAnsi"/>
        </w:rPr>
        <w:t>continued</w:t>
      </w:r>
      <w:r w:rsidRPr="0009769B">
        <w:rPr>
          <w:rFonts w:cstheme="minorHAnsi"/>
        </w:rPr>
        <w:t xml:space="preserve"> to invest the </w:t>
      </w:r>
      <w:r w:rsidR="00853EB3" w:rsidRPr="0009769B">
        <w:rPr>
          <w:rFonts w:cstheme="minorHAnsi"/>
        </w:rPr>
        <w:t xml:space="preserve">additional </w:t>
      </w:r>
      <w:r w:rsidRPr="0009769B">
        <w:rPr>
          <w:rFonts w:cstheme="minorHAnsi"/>
        </w:rPr>
        <w:t>cash buffers built up during the pandemic into longer term investments or capital projects. Total cash holdings across the sector rose by nearly 80</w:t>
      </w:r>
      <w:r w:rsidR="004E6C81">
        <w:rPr>
          <w:rFonts w:cstheme="minorHAnsi"/>
        </w:rPr>
        <w:t>%</w:t>
      </w:r>
      <w:r w:rsidRPr="0009769B">
        <w:rPr>
          <w:rFonts w:cstheme="minorHAnsi"/>
        </w:rPr>
        <w:t xml:space="preserve"> during the pandemic as universities implemented strategies to improve working capital and provide a buffer to weather the effects of the pandemic.</w:t>
      </w:r>
      <w:r w:rsidR="00F92471" w:rsidRPr="0009769B">
        <w:rPr>
          <w:rFonts w:cstheme="minorHAnsi"/>
        </w:rPr>
        <w:t xml:space="preserve"> </w:t>
      </w:r>
      <w:r w:rsidR="00853EB3" w:rsidRPr="0009769B">
        <w:rPr>
          <w:rFonts w:cstheme="minorHAnsi"/>
        </w:rPr>
        <w:t>It is expected that these additional cash reserves will return to more typical levels in the post-pandemic world.</w:t>
      </w:r>
    </w:p>
    <w:p w14:paraId="67F7611F" w14:textId="4BA1FE76" w:rsidR="006F2704" w:rsidRDefault="000A1E13" w:rsidP="00CC1440">
      <w:pPr>
        <w:spacing w:after="200" w:line="276" w:lineRule="auto"/>
        <w:rPr>
          <w:rFonts w:cstheme="minorHAnsi"/>
        </w:rPr>
      </w:pPr>
      <w:r w:rsidRPr="0009769B">
        <w:rPr>
          <w:rFonts w:cstheme="minorHAnsi"/>
        </w:rPr>
        <w:lastRenderedPageBreak/>
        <w:t>Total investments grew by $</w:t>
      </w:r>
      <w:r w:rsidR="0009769B" w:rsidRPr="0009769B">
        <w:rPr>
          <w:rFonts w:cstheme="minorHAnsi"/>
        </w:rPr>
        <w:t>1.9</w:t>
      </w:r>
      <w:r w:rsidRPr="0009769B">
        <w:rPr>
          <w:rFonts w:cstheme="minorHAnsi"/>
        </w:rPr>
        <w:t xml:space="preserve"> billion</w:t>
      </w:r>
      <w:r w:rsidR="00256FA8" w:rsidRPr="0009769B">
        <w:rPr>
          <w:rFonts w:cstheme="minorHAnsi"/>
        </w:rPr>
        <w:t xml:space="preserve"> in 202</w:t>
      </w:r>
      <w:r w:rsidR="0009769B" w:rsidRPr="0009769B">
        <w:rPr>
          <w:rFonts w:cstheme="minorHAnsi"/>
        </w:rPr>
        <w:t>3</w:t>
      </w:r>
      <w:r w:rsidRPr="0009769B">
        <w:rPr>
          <w:rFonts w:cstheme="minorHAnsi"/>
        </w:rPr>
        <w:t xml:space="preserve">, up </w:t>
      </w:r>
      <w:r w:rsidR="0009769B" w:rsidRPr="0009769B">
        <w:rPr>
          <w:rFonts w:cstheme="minorHAnsi"/>
        </w:rPr>
        <w:t>7.8</w:t>
      </w:r>
      <w:r w:rsidR="004E6C81">
        <w:rPr>
          <w:rFonts w:cstheme="minorHAnsi"/>
        </w:rPr>
        <w:t>%</w:t>
      </w:r>
      <w:r w:rsidRPr="0009769B">
        <w:rPr>
          <w:rFonts w:cstheme="minorHAnsi"/>
        </w:rPr>
        <w:t xml:space="preserve"> from $</w:t>
      </w:r>
      <w:r w:rsidR="00C87B44" w:rsidRPr="0009769B">
        <w:rPr>
          <w:rFonts w:cstheme="minorHAnsi"/>
        </w:rPr>
        <w:t>2</w:t>
      </w:r>
      <w:r w:rsidR="0009769B" w:rsidRPr="0009769B">
        <w:rPr>
          <w:rFonts w:cstheme="minorHAnsi"/>
        </w:rPr>
        <w:t>4</w:t>
      </w:r>
      <w:r w:rsidR="00C87B44" w:rsidRPr="0009769B">
        <w:rPr>
          <w:rFonts w:cstheme="minorHAnsi"/>
        </w:rPr>
        <w:t>.5</w:t>
      </w:r>
      <w:r w:rsidRPr="0009769B">
        <w:rPr>
          <w:rFonts w:cstheme="minorHAnsi"/>
        </w:rPr>
        <w:t xml:space="preserve"> billion in 202</w:t>
      </w:r>
      <w:r w:rsidR="0009769B" w:rsidRPr="0009769B">
        <w:rPr>
          <w:rFonts w:cstheme="minorHAnsi"/>
        </w:rPr>
        <w:t>2</w:t>
      </w:r>
      <w:r w:rsidRPr="0009769B">
        <w:rPr>
          <w:rFonts w:cstheme="minorHAnsi"/>
        </w:rPr>
        <w:t xml:space="preserve"> to $2</w:t>
      </w:r>
      <w:r w:rsidR="0009769B" w:rsidRPr="0009769B">
        <w:rPr>
          <w:rFonts w:cstheme="minorHAnsi"/>
        </w:rPr>
        <w:t>6.4</w:t>
      </w:r>
      <w:r w:rsidR="004845DA" w:rsidRPr="0009769B">
        <w:rPr>
          <w:rFonts w:cstheme="minorHAnsi"/>
        </w:rPr>
        <w:t> </w:t>
      </w:r>
      <w:r w:rsidRPr="0009769B">
        <w:rPr>
          <w:rFonts w:cstheme="minorHAnsi"/>
        </w:rPr>
        <w:t xml:space="preserve">billion. </w:t>
      </w:r>
      <w:r w:rsidR="00C87B44" w:rsidRPr="0009769B">
        <w:rPr>
          <w:rFonts w:cstheme="minorHAnsi"/>
        </w:rPr>
        <w:t xml:space="preserve">This was driven by </w:t>
      </w:r>
      <w:r w:rsidR="0009769B" w:rsidRPr="0009769B">
        <w:rPr>
          <w:rFonts w:cstheme="minorHAnsi"/>
        </w:rPr>
        <w:t xml:space="preserve">growth in the underlying value of the investments following the strong performance across global equity markets, as well as </w:t>
      </w:r>
      <w:r w:rsidR="00C87B44" w:rsidRPr="0009769B">
        <w:rPr>
          <w:rFonts w:cstheme="minorHAnsi"/>
        </w:rPr>
        <w:t>a</w:t>
      </w:r>
      <w:r w:rsidR="00CC1440" w:rsidRPr="0009769B">
        <w:rPr>
          <w:rFonts w:cstheme="minorHAnsi"/>
        </w:rPr>
        <w:t xml:space="preserve">dditions </w:t>
      </w:r>
      <w:r w:rsidR="00256FA8" w:rsidRPr="0009769B">
        <w:rPr>
          <w:rFonts w:cstheme="minorHAnsi"/>
        </w:rPr>
        <w:t xml:space="preserve">made </w:t>
      </w:r>
      <w:r w:rsidR="00CC1440" w:rsidRPr="0009769B">
        <w:rPr>
          <w:rFonts w:cstheme="minorHAnsi"/>
        </w:rPr>
        <w:t>to financial asset bases</w:t>
      </w:r>
      <w:r w:rsidR="0009769B" w:rsidRPr="0009769B">
        <w:rPr>
          <w:rFonts w:cstheme="minorHAnsi"/>
        </w:rPr>
        <w:t>. A</w:t>
      </w:r>
      <w:r w:rsidR="00CC1440" w:rsidRPr="0009769B">
        <w:rPr>
          <w:rFonts w:cstheme="minorHAnsi"/>
        </w:rPr>
        <w:t xml:space="preserve"> total of </w:t>
      </w:r>
      <w:r w:rsidR="00CC1440" w:rsidRPr="003175FE">
        <w:rPr>
          <w:rFonts w:cstheme="minorHAnsi"/>
        </w:rPr>
        <w:t>$</w:t>
      </w:r>
      <w:r w:rsidR="0009769B" w:rsidRPr="003175FE">
        <w:rPr>
          <w:rFonts w:cstheme="minorHAnsi"/>
        </w:rPr>
        <w:t>1</w:t>
      </w:r>
      <w:r w:rsidR="003175FE" w:rsidRPr="003175FE">
        <w:rPr>
          <w:rFonts w:cstheme="minorHAnsi"/>
        </w:rPr>
        <w:t>31.1</w:t>
      </w:r>
      <w:r w:rsidR="0009769B" w:rsidRPr="003175FE">
        <w:rPr>
          <w:rFonts w:cstheme="minorHAnsi"/>
        </w:rPr>
        <w:t xml:space="preserve"> m</w:t>
      </w:r>
      <w:r w:rsidR="00CC1440" w:rsidRPr="003175FE">
        <w:rPr>
          <w:rFonts w:cstheme="minorHAnsi"/>
        </w:rPr>
        <w:t>illion</w:t>
      </w:r>
      <w:r w:rsidR="00CC1440" w:rsidRPr="0009769B">
        <w:rPr>
          <w:rFonts w:cstheme="minorHAnsi"/>
        </w:rPr>
        <w:t xml:space="preserve"> in net payments for financial assets </w:t>
      </w:r>
      <w:r w:rsidR="0009769B" w:rsidRPr="0009769B">
        <w:rPr>
          <w:rFonts w:cstheme="minorHAnsi"/>
        </w:rPr>
        <w:t xml:space="preserve">were </w:t>
      </w:r>
      <w:r w:rsidR="00CC1440" w:rsidRPr="0009769B">
        <w:rPr>
          <w:rFonts w:cstheme="minorHAnsi"/>
        </w:rPr>
        <w:t>made across the sector in 202</w:t>
      </w:r>
      <w:r w:rsidR="0009769B" w:rsidRPr="0009769B">
        <w:rPr>
          <w:rFonts w:cstheme="minorHAnsi"/>
        </w:rPr>
        <w:t>3</w:t>
      </w:r>
      <w:r w:rsidR="00CC1440" w:rsidRPr="0009769B">
        <w:rPr>
          <w:rFonts w:cstheme="minorHAnsi"/>
        </w:rPr>
        <w:t xml:space="preserve">. </w:t>
      </w:r>
    </w:p>
    <w:p w14:paraId="18CDD9CA" w14:textId="77777777" w:rsidR="00E133E7" w:rsidRPr="0009769B" w:rsidRDefault="00E133E7" w:rsidP="00E133E7">
      <w:pPr>
        <w:spacing w:after="0" w:line="276" w:lineRule="auto"/>
        <w:rPr>
          <w:rFonts w:cstheme="minorHAnsi"/>
        </w:rPr>
      </w:pPr>
    </w:p>
    <w:p w14:paraId="29DBCB04" w14:textId="00DE7A69" w:rsidR="006F2704" w:rsidRDefault="006F2704" w:rsidP="006F2704">
      <w:pPr>
        <w:pStyle w:val="Heading6"/>
        <w:rPr>
          <w:rStyle w:val="Strong"/>
          <w:b/>
          <w:bCs w:val="0"/>
        </w:rPr>
      </w:pPr>
      <w:r w:rsidRPr="0009769B">
        <w:rPr>
          <w:rStyle w:val="Strong"/>
          <w:b/>
          <w:bCs w:val="0"/>
        </w:rPr>
        <w:t>Figure 1</w:t>
      </w:r>
      <w:r w:rsidR="008345A9" w:rsidRPr="0009769B">
        <w:rPr>
          <w:rStyle w:val="Strong"/>
          <w:b/>
          <w:bCs w:val="0"/>
        </w:rPr>
        <w:t>1</w:t>
      </w:r>
      <w:r w:rsidRPr="0009769B">
        <w:rPr>
          <w:rStyle w:val="Strong"/>
          <w:b/>
          <w:bCs w:val="0"/>
        </w:rPr>
        <w:t>: Total cash and investments by university</w:t>
      </w:r>
    </w:p>
    <w:p w14:paraId="75E7E553" w14:textId="12C5443B" w:rsidR="00C57FF4" w:rsidRPr="00C57FF4" w:rsidRDefault="00C57FF4" w:rsidP="00C57FF4">
      <w:r>
        <w:rPr>
          <w:noProof/>
        </w:rPr>
        <w:drawing>
          <wp:inline distT="0" distB="0" distL="0" distR="0" wp14:anchorId="34D74D12" wp14:editId="3D492B91">
            <wp:extent cx="5731510" cy="4538980"/>
            <wp:effectExtent l="0" t="0" r="2540" b="0"/>
            <wp:docPr id="851133861" name="Chart 1">
              <a:extLst xmlns:a="http://schemas.openxmlformats.org/drawingml/2006/main">
                <a:ext uri="{FF2B5EF4-FFF2-40B4-BE49-F238E27FC236}">
                  <a16:creationId xmlns:a16="http://schemas.microsoft.com/office/drawing/2014/main" id="{4AF9FE98-3132-45F4-AA04-F3C5CFC98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EBC678" w14:textId="77777777" w:rsidR="007B5DE4" w:rsidRPr="007E6498" w:rsidRDefault="007B5DE4" w:rsidP="007E6498"/>
    <w:p w14:paraId="5C26102F" w14:textId="2D9AE4C3" w:rsidR="002B18D2" w:rsidRPr="00992260" w:rsidRDefault="002B18D2" w:rsidP="001E2BB5">
      <w:pPr>
        <w:spacing w:after="200" w:line="276" w:lineRule="auto"/>
        <w:rPr>
          <w:rStyle w:val="Strong"/>
          <w:b w:val="0"/>
          <w:bCs w:val="0"/>
          <w:highlight w:val="yellow"/>
        </w:rPr>
      </w:pPr>
      <w:r w:rsidRPr="00992260">
        <w:rPr>
          <w:rStyle w:val="Strong"/>
          <w:bCs w:val="0"/>
          <w:highlight w:val="yellow"/>
        </w:rPr>
        <w:br w:type="page"/>
      </w:r>
    </w:p>
    <w:p w14:paraId="1D9FB6E2" w14:textId="49A8F0E4" w:rsidR="00746865" w:rsidRPr="003B17D7" w:rsidRDefault="00746865" w:rsidP="002B18D2">
      <w:pPr>
        <w:pStyle w:val="Heading6"/>
        <w:rPr>
          <w:rStyle w:val="Strong"/>
          <w:b/>
          <w:bCs w:val="0"/>
          <w:vertAlign w:val="superscript"/>
        </w:rPr>
      </w:pPr>
      <w:r w:rsidRPr="003B17D7">
        <w:rPr>
          <w:rStyle w:val="Strong"/>
          <w:b/>
          <w:bCs w:val="0"/>
        </w:rPr>
        <w:lastRenderedPageBreak/>
        <w:t xml:space="preserve">Table </w:t>
      </w:r>
      <w:r w:rsidR="008345A9" w:rsidRPr="003B17D7">
        <w:rPr>
          <w:rStyle w:val="Strong"/>
          <w:b/>
          <w:bCs w:val="0"/>
        </w:rPr>
        <w:t>6</w:t>
      </w:r>
      <w:r w:rsidRPr="003B17D7">
        <w:rPr>
          <w:rStyle w:val="Strong"/>
          <w:b/>
          <w:bCs w:val="0"/>
        </w:rPr>
        <w:t>: 202</w:t>
      </w:r>
      <w:r w:rsidR="007E6498" w:rsidRPr="003B17D7">
        <w:rPr>
          <w:rStyle w:val="Strong"/>
          <w:b/>
          <w:bCs w:val="0"/>
        </w:rPr>
        <w:t>3</w:t>
      </w:r>
      <w:r w:rsidRPr="003B17D7">
        <w:rPr>
          <w:rStyle w:val="Strong"/>
          <w:b/>
          <w:bCs w:val="0"/>
        </w:rPr>
        <w:t xml:space="preserve"> Cash and Investments and Liquidity by university</w:t>
      </w:r>
    </w:p>
    <w:tbl>
      <w:tblPr>
        <w:tblStyle w:val="TableGrid"/>
        <w:tblW w:w="0" w:type="auto"/>
        <w:tblLook w:val="04A0" w:firstRow="1" w:lastRow="0" w:firstColumn="1" w:lastColumn="0" w:noHBand="0" w:noVBand="1"/>
      </w:tblPr>
      <w:tblGrid>
        <w:gridCol w:w="3667"/>
        <w:gridCol w:w="1337"/>
        <w:gridCol w:w="1337"/>
        <w:gridCol w:w="1337"/>
        <w:gridCol w:w="1338"/>
      </w:tblGrid>
      <w:tr w:rsidR="00746865" w:rsidRPr="00E93956" w14:paraId="48E46A73" w14:textId="77777777" w:rsidTr="001E2BB5">
        <w:trPr>
          <w:trHeight w:hRule="exact" w:val="510"/>
        </w:trPr>
        <w:tc>
          <w:tcPr>
            <w:tcW w:w="3667" w:type="dxa"/>
            <w:vMerge w:val="restart"/>
            <w:shd w:val="clear" w:color="auto" w:fill="004C6C" w:themeFill="background2"/>
            <w:noWrap/>
            <w:hideMark/>
          </w:tcPr>
          <w:p w14:paraId="1337C4DC" w14:textId="77777777" w:rsidR="00746865" w:rsidRPr="003B17D7" w:rsidRDefault="00746865" w:rsidP="006C0B77">
            <w:pPr>
              <w:rPr>
                <w:rFonts w:cstheme="minorHAnsi"/>
                <w:b/>
                <w:bCs/>
                <w:color w:val="FFFFFF" w:themeColor="background1"/>
                <w:sz w:val="20"/>
                <w:szCs w:val="20"/>
              </w:rPr>
            </w:pPr>
            <w:r w:rsidRPr="003B17D7">
              <w:rPr>
                <w:rFonts w:cstheme="minorHAnsi"/>
                <w:b/>
                <w:bCs/>
                <w:color w:val="FFFFFF" w:themeColor="background1"/>
                <w:sz w:val="20"/>
                <w:szCs w:val="20"/>
              </w:rPr>
              <w:t> </w:t>
            </w:r>
          </w:p>
        </w:tc>
        <w:tc>
          <w:tcPr>
            <w:tcW w:w="1337" w:type="dxa"/>
            <w:shd w:val="clear" w:color="auto" w:fill="004C6C" w:themeFill="background2"/>
            <w:hideMark/>
          </w:tcPr>
          <w:p w14:paraId="5D87EDB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Cash</w:t>
            </w:r>
          </w:p>
        </w:tc>
        <w:tc>
          <w:tcPr>
            <w:tcW w:w="1337" w:type="dxa"/>
            <w:shd w:val="clear" w:color="auto" w:fill="004C6C" w:themeFill="background2"/>
            <w:hideMark/>
          </w:tcPr>
          <w:p w14:paraId="42B72507"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Investments</w:t>
            </w:r>
          </w:p>
        </w:tc>
        <w:tc>
          <w:tcPr>
            <w:tcW w:w="1337" w:type="dxa"/>
            <w:shd w:val="clear" w:color="auto" w:fill="004C6C" w:themeFill="background2"/>
            <w:hideMark/>
          </w:tcPr>
          <w:p w14:paraId="0714431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Total Cash &amp; Investments</w:t>
            </w:r>
          </w:p>
        </w:tc>
        <w:tc>
          <w:tcPr>
            <w:tcW w:w="1338" w:type="dxa"/>
            <w:vMerge w:val="restart"/>
            <w:shd w:val="clear" w:color="auto" w:fill="004C6C" w:themeFill="background2"/>
            <w:hideMark/>
          </w:tcPr>
          <w:p w14:paraId="2F5E1F52"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 xml:space="preserve">Liquidity </w:t>
            </w:r>
            <w:r w:rsidRPr="00712DCB">
              <w:rPr>
                <w:rFonts w:cstheme="minorHAnsi"/>
                <w:b/>
                <w:bCs/>
                <w:color w:val="FFFFFF" w:themeColor="background1"/>
                <w:sz w:val="18"/>
                <w:szCs w:val="18"/>
              </w:rPr>
              <w:t>(Weeks Cash &amp; Investments)</w:t>
            </w:r>
          </w:p>
        </w:tc>
      </w:tr>
      <w:tr w:rsidR="00746865" w:rsidRPr="00E93956" w14:paraId="0050E597" w14:textId="77777777" w:rsidTr="001E2BB5">
        <w:trPr>
          <w:trHeight w:hRule="exact" w:val="283"/>
        </w:trPr>
        <w:tc>
          <w:tcPr>
            <w:tcW w:w="3667" w:type="dxa"/>
            <w:vMerge/>
            <w:hideMark/>
          </w:tcPr>
          <w:p w14:paraId="7DD49990" w14:textId="77777777" w:rsidR="00746865" w:rsidRPr="003B17D7" w:rsidRDefault="00746865" w:rsidP="006C0B77">
            <w:pPr>
              <w:rPr>
                <w:rFonts w:cstheme="minorHAnsi"/>
                <w:b/>
                <w:bCs/>
                <w:sz w:val="20"/>
                <w:szCs w:val="20"/>
              </w:rPr>
            </w:pPr>
          </w:p>
        </w:tc>
        <w:tc>
          <w:tcPr>
            <w:tcW w:w="1337" w:type="dxa"/>
            <w:shd w:val="clear" w:color="auto" w:fill="004C6C" w:themeFill="background2"/>
            <w:hideMark/>
          </w:tcPr>
          <w:p w14:paraId="601416B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7" w:type="dxa"/>
            <w:shd w:val="clear" w:color="auto" w:fill="004C6C" w:themeFill="background2"/>
            <w:hideMark/>
          </w:tcPr>
          <w:p w14:paraId="7DB7FF1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7" w:type="dxa"/>
            <w:shd w:val="clear" w:color="auto" w:fill="004C6C" w:themeFill="background2"/>
            <w:hideMark/>
          </w:tcPr>
          <w:p w14:paraId="16C1C6F6"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8" w:type="dxa"/>
            <w:vMerge/>
            <w:hideMark/>
          </w:tcPr>
          <w:p w14:paraId="22FA8870" w14:textId="77777777" w:rsidR="00746865" w:rsidRPr="00992260" w:rsidRDefault="00746865" w:rsidP="006C0B77">
            <w:pPr>
              <w:rPr>
                <w:rFonts w:cstheme="minorHAnsi"/>
                <w:b/>
                <w:bCs/>
                <w:sz w:val="20"/>
                <w:szCs w:val="20"/>
                <w:highlight w:val="yellow"/>
              </w:rPr>
            </w:pPr>
          </w:p>
        </w:tc>
      </w:tr>
      <w:tr w:rsidR="00712DCB" w:rsidRPr="00E93956" w14:paraId="0AB3DA4B"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848E79" w14:textId="1004D40A" w:rsidR="00712DCB" w:rsidRPr="003B17D7" w:rsidRDefault="00712DCB" w:rsidP="00712DCB">
            <w:pPr>
              <w:rPr>
                <w:rFonts w:cstheme="minorHAnsi"/>
                <w:bCs/>
                <w:sz w:val="20"/>
                <w:szCs w:val="20"/>
              </w:rPr>
            </w:pPr>
            <w:r w:rsidRPr="00712DCB">
              <w:rPr>
                <w:rFonts w:ascii="Calibri" w:hAnsi="Calibri" w:cs="Calibri"/>
                <w:color w:val="000000"/>
                <w:sz w:val="20"/>
                <w:szCs w:val="20"/>
              </w:rPr>
              <w:t>Edith Cowan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A5A8FC7" w14:textId="24472FC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177,424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F4A82A9" w14:textId="5A004B8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945,993</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8835E2A" w14:textId="585DF49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1,123,417</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2C06A1E" w14:textId="277C7B4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121.0</w:t>
            </w:r>
          </w:p>
        </w:tc>
      </w:tr>
      <w:tr w:rsidR="00712DCB" w:rsidRPr="00E93956" w14:paraId="36D173C7"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0CA171C" w14:textId="6D921E65" w:rsidR="00712DCB" w:rsidRPr="003B17D7" w:rsidRDefault="00712DCB" w:rsidP="00712DCB">
            <w:pPr>
              <w:rPr>
                <w:rFonts w:cstheme="minorHAnsi"/>
                <w:bCs/>
                <w:sz w:val="20"/>
                <w:szCs w:val="20"/>
              </w:rPr>
            </w:pPr>
            <w:r w:rsidRPr="00712DCB">
              <w:rPr>
                <w:rFonts w:ascii="Calibri" w:hAnsi="Calibri" w:cs="Calibri"/>
                <w:color w:val="000000"/>
                <w:sz w:val="20"/>
                <w:szCs w:val="20"/>
              </w:rPr>
              <w:t>The University of Melbourne</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3E558EC" w14:textId="19A4ED1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154,756</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0914814" w14:textId="67289AD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4,592,512</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086E1CA" w14:textId="1BC9243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4,747,268</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190B08A" w14:textId="0E8014D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79.8</w:t>
            </w:r>
          </w:p>
        </w:tc>
      </w:tr>
      <w:tr w:rsidR="00712DCB" w:rsidRPr="00E93956" w14:paraId="50B30399"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C536FD6" w14:textId="62AC96C1" w:rsidR="00712DCB" w:rsidRPr="003B17D7" w:rsidRDefault="00712DCB" w:rsidP="00712DCB">
            <w:pPr>
              <w:rPr>
                <w:rFonts w:cstheme="minorHAnsi"/>
                <w:bCs/>
                <w:sz w:val="20"/>
                <w:szCs w:val="20"/>
              </w:rPr>
            </w:pPr>
            <w:r w:rsidRPr="00712DCB">
              <w:rPr>
                <w:rFonts w:ascii="Calibri" w:hAnsi="Calibri" w:cs="Calibri"/>
                <w:color w:val="000000"/>
                <w:sz w:val="20"/>
                <w:szCs w:val="20"/>
              </w:rPr>
              <w:t>The University of Sydney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7F636B7" w14:textId="122066B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779,834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B9DD961" w14:textId="00117D4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3,720,329</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1A94259" w14:textId="3A00F8B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4,500,163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562F738" w14:textId="52528D7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76.3</w:t>
            </w:r>
          </w:p>
        </w:tc>
      </w:tr>
      <w:tr w:rsidR="00712DCB" w:rsidRPr="00E93956" w14:paraId="7DDD3031"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E9DEB3B" w14:textId="44095DC1"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Western Australia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B5630CC" w14:textId="365E7AF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77,538</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49AA70E" w14:textId="619F7AD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1,387,547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C076641" w14:textId="3E387DA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1,465,085</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2EA9EDD" w14:textId="1839003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76.3</w:t>
            </w:r>
          </w:p>
        </w:tc>
      </w:tr>
      <w:tr w:rsidR="00712DCB" w:rsidRPr="00E93956" w14:paraId="73C040D6"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98EB294" w14:textId="5DCA9061" w:rsidR="00712DCB" w:rsidRPr="00992260" w:rsidRDefault="00712DCB" w:rsidP="00712DCB">
            <w:pPr>
              <w:rPr>
                <w:rFonts w:cstheme="minorHAnsi"/>
                <w:bCs/>
                <w:sz w:val="20"/>
                <w:szCs w:val="20"/>
                <w:highlight w:val="yellow"/>
              </w:rPr>
            </w:pPr>
            <w:r>
              <w:rPr>
                <w:rFonts w:ascii="Calibri" w:hAnsi="Calibri" w:cs="Calibri"/>
                <w:color w:val="000000"/>
                <w:sz w:val="20"/>
                <w:szCs w:val="20"/>
              </w:rPr>
              <w:t>Australian National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2659C06" w14:textId="3F11B4E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191,448</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F1F7E39" w14:textId="2554D4D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1,607,617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63A4E10" w14:textId="4275D8F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1,799,065</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25D1914F" w14:textId="3E10DFD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65.5</w:t>
            </w:r>
          </w:p>
        </w:tc>
      </w:tr>
      <w:tr w:rsidR="00712DCB" w:rsidRPr="00E93956" w14:paraId="38E3A6EF"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1845A56" w14:textId="2868BEE2" w:rsidR="00712DCB" w:rsidRPr="00992260" w:rsidRDefault="00712DCB" w:rsidP="00712DCB">
            <w:pPr>
              <w:rPr>
                <w:rFonts w:cstheme="minorHAnsi"/>
                <w:bCs/>
                <w:sz w:val="20"/>
                <w:szCs w:val="20"/>
                <w:highlight w:val="yellow"/>
              </w:rPr>
            </w:pPr>
            <w:r>
              <w:rPr>
                <w:rFonts w:ascii="Calibri" w:hAnsi="Calibri" w:cs="Calibri"/>
                <w:color w:val="000000"/>
                <w:sz w:val="20"/>
                <w:szCs w:val="20"/>
              </w:rPr>
              <w:t>Murdoch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D8A742D" w14:textId="556FB44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100,879</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397C183" w14:textId="3963C8E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409,009</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FE765ED" w14:textId="441F403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509,888</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1B3E1CCD" w14:textId="7DEECF2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58.7</w:t>
            </w:r>
          </w:p>
        </w:tc>
      </w:tr>
      <w:tr w:rsidR="00712DCB" w:rsidRPr="00E93956" w14:paraId="62FA4DBC"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087FD16" w14:textId="4D8DD0DA" w:rsidR="00712DCB" w:rsidRPr="00992260" w:rsidRDefault="00712DCB" w:rsidP="00712DCB">
            <w:pPr>
              <w:rPr>
                <w:rFonts w:cstheme="minorHAnsi"/>
                <w:bCs/>
                <w:sz w:val="20"/>
                <w:szCs w:val="20"/>
                <w:highlight w:val="yellow"/>
              </w:rPr>
            </w:pPr>
            <w:r>
              <w:rPr>
                <w:rFonts w:ascii="Calibri" w:hAnsi="Calibri" w:cs="Calibri"/>
                <w:color w:val="000000"/>
                <w:sz w:val="20"/>
                <w:szCs w:val="20"/>
              </w:rPr>
              <w:t>Federation University Australia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C04FBCD" w14:textId="5492125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57,331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63CB3E6" w14:textId="02D6509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275,192</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1CE62E3" w14:textId="72DED1E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332,523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35B45A55" w14:textId="6926657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45.9</w:t>
            </w:r>
          </w:p>
        </w:tc>
      </w:tr>
      <w:tr w:rsidR="00712DCB" w:rsidRPr="00E93956" w14:paraId="4F5FEC9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78523DA" w14:textId="010FE7D8" w:rsidR="00712DCB" w:rsidRPr="00992260" w:rsidRDefault="00712DCB" w:rsidP="00712DCB">
            <w:pPr>
              <w:rPr>
                <w:rFonts w:cstheme="minorHAnsi"/>
                <w:bCs/>
                <w:sz w:val="20"/>
                <w:szCs w:val="20"/>
                <w:highlight w:val="yellow"/>
              </w:rPr>
            </w:pPr>
            <w:r>
              <w:rPr>
                <w:rFonts w:ascii="Calibri" w:hAnsi="Calibri" w:cs="Calibri"/>
                <w:color w:val="000000"/>
                <w:sz w:val="20"/>
                <w:szCs w:val="20"/>
              </w:rPr>
              <w:t>Deakin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9BD3405" w14:textId="5A3DF9D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180,441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A8164C8" w14:textId="16A7C6E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969,577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10412A4" w14:textId="3D85E6D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1,150,018</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44BEA14" w14:textId="54F5303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44.7</w:t>
            </w:r>
          </w:p>
        </w:tc>
      </w:tr>
      <w:tr w:rsidR="00712DCB" w:rsidRPr="00E93956" w14:paraId="2D1F41E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E032E59" w14:textId="5D47F969"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Adelaide</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B15E499" w14:textId="2D3810E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60,521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1EF9A60" w14:textId="5AED4D0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831,934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00211B9" w14:textId="5CAFE61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892,455</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A6E8633" w14:textId="631B128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42.9</w:t>
            </w:r>
          </w:p>
        </w:tc>
      </w:tr>
      <w:tr w:rsidR="00712DCB" w:rsidRPr="00E93956" w14:paraId="2AED6351"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32EEC91" w14:textId="20A32096" w:rsidR="00712DCB" w:rsidRPr="00992260" w:rsidRDefault="00712DCB" w:rsidP="00712DCB">
            <w:pPr>
              <w:rPr>
                <w:rFonts w:cstheme="minorHAnsi"/>
                <w:bCs/>
                <w:sz w:val="20"/>
                <w:szCs w:val="20"/>
                <w:highlight w:val="yellow"/>
              </w:rPr>
            </w:pPr>
            <w:r>
              <w:rPr>
                <w:rFonts w:ascii="Calibri" w:hAnsi="Calibri" w:cs="Calibri"/>
                <w:color w:val="000000"/>
                <w:sz w:val="20"/>
                <w:szCs w:val="20"/>
              </w:rPr>
              <w:t xml:space="preserve">Western Sydney University </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A36475F" w14:textId="2D25D5E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361,735</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F5CF966" w14:textId="1F8C270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531,964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CD8C1DA" w14:textId="5EC3350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893,699</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291B585" w14:textId="01D536F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41.4</w:t>
            </w:r>
          </w:p>
        </w:tc>
      </w:tr>
      <w:tr w:rsidR="00712DCB" w:rsidRPr="00E93956" w14:paraId="16C3DF87"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007F683" w14:textId="5D8577AF"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South Australia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C88F97F" w14:textId="644D4CE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525,400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DD86B5C" w14:textId="048C8CC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48,044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29B6363" w14:textId="1F011A4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573,444</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7E40CB4A" w14:textId="085A4F9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40.8</w:t>
            </w:r>
          </w:p>
        </w:tc>
      </w:tr>
      <w:tr w:rsidR="00712DCB" w:rsidRPr="00E93956" w14:paraId="20EFA6C4"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3630B71" w14:textId="0BAD25DC"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Newcastle</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9BAE03E" w14:textId="0C922B0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45,896</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1397D78" w14:textId="5E88CD8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611,720</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58F415B" w14:textId="4140CFA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657,616</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3CB14F5" w14:textId="6E6A912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40.5</w:t>
            </w:r>
          </w:p>
        </w:tc>
      </w:tr>
      <w:tr w:rsidR="00712DCB" w:rsidRPr="00E93956" w14:paraId="458CB259"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4DD63AE" w14:textId="094E94EE" w:rsidR="00712DCB" w:rsidRPr="00992260" w:rsidRDefault="00712DCB" w:rsidP="00712DCB">
            <w:pPr>
              <w:rPr>
                <w:rFonts w:cstheme="minorHAnsi"/>
                <w:bCs/>
                <w:sz w:val="20"/>
                <w:szCs w:val="20"/>
                <w:highlight w:val="yellow"/>
              </w:rPr>
            </w:pPr>
            <w:r>
              <w:rPr>
                <w:rFonts w:ascii="Calibri" w:hAnsi="Calibri" w:cs="Calibri"/>
                <w:color w:val="000000"/>
                <w:sz w:val="20"/>
                <w:szCs w:val="20"/>
              </w:rPr>
              <w:t>Charles Sturt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C45BFB5" w14:textId="26B41E5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83,760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AD8771D" w14:textId="66FCCC1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349,161</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D5E971C" w14:textId="0B2D879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432,921</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10D7E584" w14:textId="6CB65B8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39.6</w:t>
            </w:r>
          </w:p>
        </w:tc>
      </w:tr>
      <w:tr w:rsidR="00712DCB" w:rsidRPr="00E93956" w14:paraId="7B368B3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41A2DF6B" w14:textId="2AE331ED" w:rsidR="00712DCB" w:rsidRPr="00992260" w:rsidRDefault="00712DCB" w:rsidP="00712DCB">
            <w:pPr>
              <w:rPr>
                <w:rFonts w:cstheme="minorHAnsi"/>
                <w:bCs/>
                <w:sz w:val="20"/>
                <w:szCs w:val="20"/>
                <w:highlight w:val="yellow"/>
              </w:rPr>
            </w:pPr>
            <w:r>
              <w:rPr>
                <w:rFonts w:ascii="Calibri" w:hAnsi="Calibri" w:cs="Calibri"/>
                <w:color w:val="000000"/>
                <w:sz w:val="20"/>
                <w:szCs w:val="20"/>
              </w:rPr>
              <w:t>Queensland University of Technology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061D29B" w14:textId="68FF14C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122,668</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3D949C4" w14:textId="1CCC312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793,868</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1EFCCA8" w14:textId="608603A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916,536</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78B0474" w14:textId="1047D64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39.4</w:t>
            </w:r>
          </w:p>
        </w:tc>
      </w:tr>
      <w:tr w:rsidR="00712DCB" w:rsidRPr="00E93956" w14:paraId="0DB3834F"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686A15A" w14:textId="2EF3E76A" w:rsidR="00712DCB" w:rsidRPr="00992260" w:rsidRDefault="00712DCB" w:rsidP="00712DCB">
            <w:pPr>
              <w:rPr>
                <w:rFonts w:cstheme="minorHAnsi"/>
                <w:bCs/>
                <w:sz w:val="20"/>
                <w:szCs w:val="20"/>
                <w:highlight w:val="yellow"/>
              </w:rPr>
            </w:pPr>
            <w:r>
              <w:rPr>
                <w:rFonts w:ascii="Calibri" w:hAnsi="Calibri" w:cs="Calibri"/>
                <w:color w:val="000000"/>
                <w:sz w:val="20"/>
                <w:szCs w:val="20"/>
              </w:rPr>
              <w:t>Swinburne University of Technology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5E8EFB6" w14:textId="5E0198E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57,778</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440CFE3" w14:textId="7E530BF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556,330</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5742F33" w14:textId="52FED1D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614,108</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5439B8F" w14:textId="14C5913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39.3</w:t>
            </w:r>
          </w:p>
        </w:tc>
      </w:tr>
      <w:tr w:rsidR="00712DCB" w:rsidRPr="00E93956" w14:paraId="3ABFB9D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C136AE" w14:textId="7A605F23" w:rsidR="00712DCB" w:rsidRPr="00992260" w:rsidRDefault="00712DCB" w:rsidP="00712DCB">
            <w:pPr>
              <w:rPr>
                <w:rFonts w:cstheme="minorHAnsi"/>
                <w:bCs/>
                <w:sz w:val="20"/>
                <w:szCs w:val="20"/>
                <w:highlight w:val="yellow"/>
              </w:rPr>
            </w:pPr>
            <w:r>
              <w:rPr>
                <w:rFonts w:ascii="Calibri" w:hAnsi="Calibri" w:cs="Calibri"/>
                <w:color w:val="000000"/>
                <w:sz w:val="20"/>
                <w:szCs w:val="20"/>
              </w:rPr>
              <w:t>Bond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15B87E8" w14:textId="5E2ECD7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149,390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F7988D3" w14:textId="448CD23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13,672</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482F3AD" w14:textId="6968E06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163,062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2ECAF257" w14:textId="7776464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37.7</w:t>
            </w:r>
          </w:p>
        </w:tc>
      </w:tr>
      <w:tr w:rsidR="00712DCB" w:rsidRPr="00E93956" w14:paraId="5C780FE9"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84841F8" w14:textId="0F740B96" w:rsidR="00712DCB" w:rsidRPr="00992260" w:rsidRDefault="00712DCB" w:rsidP="00712DCB">
            <w:pPr>
              <w:rPr>
                <w:rFonts w:cstheme="minorHAnsi"/>
                <w:bCs/>
                <w:sz w:val="20"/>
                <w:szCs w:val="20"/>
                <w:highlight w:val="yellow"/>
              </w:rPr>
            </w:pPr>
            <w:r>
              <w:rPr>
                <w:rFonts w:ascii="Calibri" w:hAnsi="Calibri" w:cs="Calibri"/>
                <w:color w:val="000000"/>
                <w:sz w:val="20"/>
                <w:szCs w:val="20"/>
              </w:rPr>
              <w:t>Griffith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717A607" w14:textId="71ED26A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147,980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14939B4" w14:textId="31F182A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669,065</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1377C18" w14:textId="192D34E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817,045</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18A0660F" w14:textId="76544B2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36.6</w:t>
            </w:r>
          </w:p>
        </w:tc>
      </w:tr>
      <w:tr w:rsidR="00712DCB" w:rsidRPr="00E93956" w14:paraId="355A9A7F"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5073BE9" w14:textId="1AD3F5F4"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Queensland</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191FA18" w14:textId="508F62F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175,281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83410C8" w14:textId="27D36E1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1,476,043</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074ACFC" w14:textId="753397E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1,651,324</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771D2D2A" w14:textId="5757B5E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36.5</w:t>
            </w:r>
          </w:p>
        </w:tc>
      </w:tr>
      <w:tr w:rsidR="00712DCB" w:rsidRPr="00E93956" w14:paraId="263E093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FE5C5E3" w14:textId="5AE9A333"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Tasmania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CE587CE" w14:textId="5026BE4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67,938</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C97CADE" w14:textId="795EB96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454,425</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64E891B" w14:textId="41FC92A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522,363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DEE9E5C" w14:textId="11937E9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36.0</w:t>
            </w:r>
          </w:p>
        </w:tc>
      </w:tr>
      <w:tr w:rsidR="00712DCB" w:rsidRPr="00E93956" w14:paraId="76690986"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4F34124" w14:textId="626B4F59"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the Sunshine Coast</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316DF96" w14:textId="49CFFEE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182,390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F8C71B5" w14:textId="4B7270C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51,077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9F2FC1A" w14:textId="005E71F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233,467</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9BE58FF" w14:textId="4246F67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34.9</w:t>
            </w:r>
          </w:p>
        </w:tc>
      </w:tr>
      <w:tr w:rsidR="00712DCB" w:rsidRPr="00E93956" w14:paraId="6D7C7E52"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69F402F" w14:textId="376AC027" w:rsidR="00712DCB" w:rsidRPr="00992260" w:rsidRDefault="00712DCB" w:rsidP="00712DCB">
            <w:pPr>
              <w:rPr>
                <w:rFonts w:cstheme="minorHAnsi"/>
                <w:bCs/>
                <w:sz w:val="20"/>
                <w:szCs w:val="20"/>
                <w:highlight w:val="yellow"/>
              </w:rPr>
            </w:pPr>
            <w:r>
              <w:rPr>
                <w:rFonts w:ascii="Calibri" w:hAnsi="Calibri" w:cs="Calibri"/>
                <w:color w:val="000000"/>
                <w:sz w:val="20"/>
                <w:szCs w:val="20"/>
              </w:rPr>
              <w:t>Flinders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66E1123" w14:textId="155A568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175,507</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79418D3" w14:textId="45B597D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224,515</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7891778" w14:textId="628FBC9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400,022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1560EA4" w14:textId="3F420B3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34.2</w:t>
            </w:r>
          </w:p>
        </w:tc>
      </w:tr>
      <w:tr w:rsidR="00712DCB" w:rsidRPr="00E93956" w14:paraId="6E1871ED"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5C06FA56" w14:textId="63B56FE8" w:rsidR="00712DCB" w:rsidRPr="00992260" w:rsidRDefault="00712DCB" w:rsidP="00712DCB">
            <w:pPr>
              <w:rPr>
                <w:rFonts w:cstheme="minorHAnsi"/>
                <w:bCs/>
                <w:sz w:val="20"/>
                <w:szCs w:val="20"/>
                <w:highlight w:val="yellow"/>
              </w:rPr>
            </w:pPr>
            <w:r>
              <w:rPr>
                <w:rFonts w:ascii="Calibri" w:hAnsi="Calibri" w:cs="Calibri"/>
                <w:color w:val="000000"/>
                <w:sz w:val="20"/>
                <w:szCs w:val="20"/>
              </w:rPr>
              <w:t>Charles Darwin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2BE9A79" w14:textId="42930E3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84,924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538D6A5" w14:textId="1E9451C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151,986</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08F44BE" w14:textId="3B113EC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236,910</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734D0DD4" w14:textId="1FA2B7E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34.0</w:t>
            </w:r>
          </w:p>
        </w:tc>
      </w:tr>
      <w:tr w:rsidR="00712DCB" w:rsidRPr="00E93956" w14:paraId="5825B070"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D7914D" w14:textId="40750D2D"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New South Wales</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AEE08B7" w14:textId="65875A6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135,633</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8D15B34" w14:textId="14A4003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1,602,107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2A4A425" w14:textId="72A89C1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1,737,740</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7139F981" w14:textId="4979DA7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33.4</w:t>
            </w:r>
          </w:p>
        </w:tc>
      </w:tr>
      <w:tr w:rsidR="00712DCB" w:rsidRPr="00E93956" w14:paraId="5D39E1BA"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8EEAC27" w14:textId="630663CE" w:rsidR="00712DCB" w:rsidRPr="00992260" w:rsidRDefault="00712DCB" w:rsidP="00712DCB">
            <w:pPr>
              <w:rPr>
                <w:rFonts w:cstheme="minorHAnsi"/>
                <w:bCs/>
                <w:sz w:val="20"/>
                <w:szCs w:val="20"/>
                <w:highlight w:val="yellow"/>
              </w:rPr>
            </w:pPr>
            <w:r>
              <w:rPr>
                <w:rFonts w:ascii="Calibri" w:hAnsi="Calibri" w:cs="Calibri"/>
                <w:color w:val="000000"/>
                <w:sz w:val="20"/>
                <w:szCs w:val="20"/>
              </w:rPr>
              <w:t>Torrens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74F2A7C" w14:textId="072FB2D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62,924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31DBA79" w14:textId="4BEC0C1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105,274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687B595" w14:textId="3998941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168,198</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2F4DF843" w14:textId="2D76FA7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32.6</w:t>
            </w:r>
          </w:p>
        </w:tc>
      </w:tr>
      <w:tr w:rsidR="00712DCB" w:rsidRPr="00E93956" w14:paraId="71D47C89"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tcPr>
          <w:p w14:paraId="2073B04A" w14:textId="16673123" w:rsidR="00712DCB" w:rsidRPr="00992260" w:rsidRDefault="00712DCB" w:rsidP="00712DCB">
            <w:pPr>
              <w:rPr>
                <w:rFonts w:cstheme="minorHAnsi"/>
                <w:bCs/>
                <w:sz w:val="20"/>
                <w:szCs w:val="20"/>
                <w:highlight w:val="yellow"/>
              </w:rPr>
            </w:pPr>
            <w:r>
              <w:rPr>
                <w:rFonts w:ascii="Calibri" w:hAnsi="Calibri" w:cs="Calibri"/>
                <w:color w:val="000000"/>
                <w:sz w:val="20"/>
                <w:szCs w:val="20"/>
              </w:rPr>
              <w:t>Curtin University of Technology</w:t>
            </w:r>
          </w:p>
        </w:tc>
        <w:tc>
          <w:tcPr>
            <w:tcW w:w="1337" w:type="dxa"/>
            <w:tcBorders>
              <w:top w:val="single" w:sz="4" w:space="0" w:color="auto"/>
              <w:left w:val="single" w:sz="4" w:space="0" w:color="auto"/>
              <w:bottom w:val="single" w:sz="4" w:space="0" w:color="auto"/>
              <w:right w:val="single" w:sz="4" w:space="0" w:color="auto"/>
            </w:tcBorders>
            <w:noWrap/>
            <w:vAlign w:val="bottom"/>
          </w:tcPr>
          <w:p w14:paraId="113EC719" w14:textId="0FD4BD6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77,810</w:t>
            </w:r>
          </w:p>
        </w:tc>
        <w:tc>
          <w:tcPr>
            <w:tcW w:w="1337" w:type="dxa"/>
            <w:tcBorders>
              <w:top w:val="single" w:sz="4" w:space="0" w:color="auto"/>
              <w:left w:val="single" w:sz="4" w:space="0" w:color="auto"/>
              <w:bottom w:val="single" w:sz="4" w:space="0" w:color="auto"/>
              <w:right w:val="single" w:sz="4" w:space="0" w:color="auto"/>
            </w:tcBorders>
            <w:noWrap/>
            <w:vAlign w:val="bottom"/>
          </w:tcPr>
          <w:p w14:paraId="3068D71C" w14:textId="6F728F9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598,824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41111C85" w14:textId="18FAE9F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676,634</w:t>
            </w:r>
          </w:p>
        </w:tc>
        <w:tc>
          <w:tcPr>
            <w:tcW w:w="1338" w:type="dxa"/>
            <w:tcBorders>
              <w:top w:val="single" w:sz="4" w:space="0" w:color="auto"/>
              <w:left w:val="single" w:sz="4" w:space="0" w:color="auto"/>
              <w:bottom w:val="single" w:sz="4" w:space="0" w:color="auto"/>
              <w:right w:val="single" w:sz="4" w:space="0" w:color="auto"/>
            </w:tcBorders>
            <w:noWrap/>
            <w:vAlign w:val="bottom"/>
          </w:tcPr>
          <w:p w14:paraId="488001DE" w14:textId="6CEEBAC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32.1</w:t>
            </w:r>
          </w:p>
        </w:tc>
      </w:tr>
      <w:tr w:rsidR="00712DCB" w:rsidRPr="00E93956" w14:paraId="57B0D1F4"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095900A" w14:textId="4874AB6F" w:rsidR="00712DCB" w:rsidRPr="00992260" w:rsidRDefault="00712DCB" w:rsidP="00712DCB">
            <w:pPr>
              <w:rPr>
                <w:rFonts w:cstheme="minorHAnsi"/>
                <w:bCs/>
                <w:sz w:val="20"/>
                <w:szCs w:val="20"/>
                <w:highlight w:val="yellow"/>
              </w:rPr>
            </w:pPr>
            <w:r>
              <w:rPr>
                <w:rFonts w:ascii="Calibri" w:hAnsi="Calibri" w:cs="Calibri"/>
                <w:color w:val="000000"/>
                <w:sz w:val="20"/>
                <w:szCs w:val="20"/>
              </w:rPr>
              <w:t>Central Queensland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4C37F96" w14:textId="3EE19E3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226,516</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B0280EB" w14:textId="708046A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67,697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A18B8FF" w14:textId="0422585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294,213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017DF1C5" w14:textId="34A4EBE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31.6</w:t>
            </w:r>
          </w:p>
        </w:tc>
      </w:tr>
      <w:tr w:rsidR="00712DCB" w:rsidRPr="00E93956" w14:paraId="6CBD3F34"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573711B" w14:textId="35FA1FDC" w:rsidR="00712DCB" w:rsidRPr="00992260" w:rsidRDefault="00712DCB" w:rsidP="00712DCB">
            <w:pPr>
              <w:rPr>
                <w:rFonts w:cstheme="minorHAnsi"/>
                <w:bCs/>
                <w:sz w:val="20"/>
                <w:szCs w:val="20"/>
                <w:highlight w:val="yellow"/>
              </w:rPr>
            </w:pPr>
            <w:r>
              <w:rPr>
                <w:rFonts w:ascii="Calibri" w:hAnsi="Calibri" w:cs="Calibri"/>
                <w:color w:val="000000"/>
                <w:sz w:val="20"/>
                <w:szCs w:val="20"/>
              </w:rPr>
              <w:t>Monash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8C6FA97" w14:textId="57A4FDD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397,994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4884E44" w14:textId="6FAAB61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1,395,803</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C2F779F" w14:textId="03183E7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1,793,797</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340CDE69" w14:textId="54201D7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30.9</w:t>
            </w:r>
          </w:p>
        </w:tc>
      </w:tr>
      <w:tr w:rsidR="00712DCB" w:rsidRPr="00E93956" w14:paraId="3813C1DE"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32E9EA9" w14:textId="6F1627DB"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Wollongong</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E897B1C" w14:textId="4003E90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47,433</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B44A01D" w14:textId="7110988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389,638</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2BF4231" w14:textId="24B82FB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437,071</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E5B1A7B" w14:textId="490C1E3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30.9</w:t>
            </w:r>
          </w:p>
        </w:tc>
      </w:tr>
      <w:tr w:rsidR="00712DCB" w:rsidRPr="00E93956" w14:paraId="31895B44"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9012BC0" w14:textId="59B440EB" w:rsidR="00712DCB" w:rsidRPr="00992260" w:rsidRDefault="00712DCB" w:rsidP="00712DCB">
            <w:pPr>
              <w:rPr>
                <w:rFonts w:cstheme="minorHAnsi"/>
                <w:bCs/>
                <w:sz w:val="20"/>
                <w:szCs w:val="20"/>
                <w:highlight w:val="yellow"/>
              </w:rPr>
            </w:pPr>
            <w:r>
              <w:rPr>
                <w:rFonts w:ascii="Calibri" w:hAnsi="Calibri" w:cs="Calibri"/>
                <w:color w:val="000000"/>
                <w:sz w:val="20"/>
                <w:szCs w:val="20"/>
              </w:rPr>
              <w:t>James Cook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CF8573D" w14:textId="732B5F2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121,555</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E37ADFC" w14:textId="61EDFE3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208,707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91A428A" w14:textId="023F1DF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330,262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4F775F21" w14:textId="4A6C475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30.9</w:t>
            </w:r>
          </w:p>
        </w:tc>
      </w:tr>
      <w:tr w:rsidR="00712DCB" w:rsidRPr="00E93956" w14:paraId="492CE4CB"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D7F1737" w14:textId="36FAD06C"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Southern Queensland</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FAA9F2E" w14:textId="4F1A7F9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18,865</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FA9677A" w14:textId="469DEB8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194,404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0F37CE6" w14:textId="336220F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213,269</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80B6BA1" w14:textId="56978C0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29.0</w:t>
            </w:r>
          </w:p>
        </w:tc>
      </w:tr>
      <w:tr w:rsidR="00712DCB" w:rsidRPr="00E93956" w14:paraId="29D35915"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5A520966" w14:textId="0EE3E2C1" w:rsidR="00712DCB" w:rsidRPr="00992260" w:rsidRDefault="00712DCB" w:rsidP="00712DCB">
            <w:pPr>
              <w:rPr>
                <w:rFonts w:cstheme="minorHAnsi"/>
                <w:bCs/>
                <w:sz w:val="20"/>
                <w:szCs w:val="20"/>
                <w:highlight w:val="yellow"/>
              </w:rPr>
            </w:pPr>
            <w:r>
              <w:rPr>
                <w:rFonts w:ascii="Calibri" w:hAnsi="Calibri" w:cs="Calibri"/>
                <w:color w:val="000000"/>
                <w:sz w:val="20"/>
                <w:szCs w:val="20"/>
              </w:rPr>
              <w:t>Southern Cross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83F7D1A" w14:textId="577EC36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27,415</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6AF0943" w14:textId="351B369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138,467</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4033FBC" w14:textId="7009EF1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165,882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BB0D474" w14:textId="4826DE1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27.2</w:t>
            </w:r>
          </w:p>
        </w:tc>
      </w:tr>
      <w:tr w:rsidR="00712DCB" w:rsidRPr="00E93956" w14:paraId="36FEC281"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C0D4688" w14:textId="1623C964" w:rsidR="00712DCB" w:rsidRPr="00992260" w:rsidRDefault="00712DCB" w:rsidP="00712DCB">
            <w:pPr>
              <w:rPr>
                <w:rFonts w:cstheme="minorHAnsi"/>
                <w:bCs/>
                <w:sz w:val="20"/>
                <w:szCs w:val="20"/>
                <w:highlight w:val="yellow"/>
              </w:rPr>
            </w:pPr>
            <w:r>
              <w:rPr>
                <w:rFonts w:ascii="Calibri" w:hAnsi="Calibri" w:cs="Calibri"/>
                <w:color w:val="000000"/>
                <w:sz w:val="20"/>
                <w:szCs w:val="20"/>
              </w:rPr>
              <w:t>Victoria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1457A953" w14:textId="75F1C66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32,274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207876F" w14:textId="5755961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231,286</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5E35C3A" w14:textId="096CCD0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263,560</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2E56120A" w14:textId="2E01332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24.6</w:t>
            </w:r>
          </w:p>
        </w:tc>
      </w:tr>
      <w:tr w:rsidR="00712DCB" w:rsidRPr="00E93956" w14:paraId="31BC4B1A"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678A388" w14:textId="7F13EA7B"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New England</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D267BFD" w14:textId="3A175AE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28,315</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86F5BC0" w14:textId="2D084C2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164,674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31F8920" w14:textId="325F53E2"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192,989</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BDC6930" w14:textId="0E21D06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23.5</w:t>
            </w:r>
          </w:p>
        </w:tc>
      </w:tr>
      <w:tr w:rsidR="00712DCB" w:rsidRPr="00E93956" w14:paraId="12E1FA42"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F99F72B" w14:textId="4244EE50" w:rsidR="00712DCB" w:rsidRPr="00992260" w:rsidRDefault="00712DCB" w:rsidP="00712DCB">
            <w:pPr>
              <w:rPr>
                <w:rFonts w:cstheme="minorHAnsi"/>
                <w:bCs/>
                <w:sz w:val="20"/>
                <w:szCs w:val="20"/>
                <w:highlight w:val="yellow"/>
              </w:rPr>
            </w:pPr>
            <w:r>
              <w:rPr>
                <w:rFonts w:ascii="Calibri" w:hAnsi="Calibri" w:cs="Calibri"/>
                <w:color w:val="000000"/>
                <w:sz w:val="20"/>
                <w:szCs w:val="20"/>
              </w:rPr>
              <w:t>Avondale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0ABF47A" w14:textId="6977464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14,396</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FCECD95" w14:textId="1FD116F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0</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BB177EB" w14:textId="336B12D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14,396</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32521AFC" w14:textId="2DBFA24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21.0</w:t>
            </w:r>
          </w:p>
        </w:tc>
      </w:tr>
      <w:tr w:rsidR="00712DCB" w:rsidRPr="00E93956" w14:paraId="2AB1BF2F"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24A7F1C" w14:textId="2BC0FFD1" w:rsidR="00712DCB" w:rsidRPr="00992260" w:rsidRDefault="00712DCB" w:rsidP="00712DCB">
            <w:pPr>
              <w:rPr>
                <w:rFonts w:cstheme="minorHAnsi"/>
                <w:bCs/>
                <w:sz w:val="20"/>
                <w:szCs w:val="20"/>
                <w:highlight w:val="yellow"/>
              </w:rPr>
            </w:pPr>
            <w:r>
              <w:rPr>
                <w:rFonts w:ascii="Calibri" w:hAnsi="Calibri" w:cs="Calibri"/>
                <w:color w:val="000000"/>
                <w:sz w:val="20"/>
                <w:szCs w:val="20"/>
              </w:rPr>
              <w:t>Batchelor Institute of Indigenous Tertiary Education</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EFB136F" w14:textId="2622CB18"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12,662</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125875C" w14:textId="1FD62D3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0</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7C68C8C" w14:textId="7691541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12,662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370A8C36" w14:textId="40550B7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19.2</w:t>
            </w:r>
          </w:p>
        </w:tc>
      </w:tr>
      <w:tr w:rsidR="00712DCB" w:rsidRPr="00E93956" w14:paraId="17C66896"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0003BDB" w14:textId="19A6BFB6"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Technology, Sydney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404E281" w14:textId="2D1561E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226,432</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A722D34" w14:textId="285A1BB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154,361</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93D1050" w14:textId="23E5D67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380,793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76A7A088" w14:textId="436108F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15.8</w:t>
            </w:r>
          </w:p>
        </w:tc>
      </w:tr>
      <w:tr w:rsidR="00712DCB" w:rsidRPr="00E93956" w14:paraId="0F2A69B1"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1A6FA9D" w14:textId="7CA1C9FD"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Divinity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6DE934BF" w14:textId="65CEDC14"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1,431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69969D1" w14:textId="4BDDDE2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2,783</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67D3617" w14:textId="199F834A"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4,214</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C90EEEA" w14:textId="177C658F"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15.3</w:t>
            </w:r>
          </w:p>
        </w:tc>
      </w:tr>
      <w:tr w:rsidR="00712DCB" w:rsidRPr="00E93956" w14:paraId="565AA2A5"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9256751" w14:textId="1A50D0DB" w:rsidR="00712DCB" w:rsidRPr="00992260" w:rsidRDefault="00712DCB" w:rsidP="00712DCB">
            <w:pPr>
              <w:rPr>
                <w:rFonts w:cstheme="minorHAnsi"/>
                <w:bCs/>
                <w:sz w:val="20"/>
                <w:szCs w:val="20"/>
                <w:highlight w:val="yellow"/>
              </w:rPr>
            </w:pPr>
            <w:r>
              <w:rPr>
                <w:rFonts w:ascii="Calibri" w:hAnsi="Calibri" w:cs="Calibri"/>
                <w:color w:val="000000"/>
                <w:sz w:val="20"/>
                <w:szCs w:val="20"/>
              </w:rPr>
              <w:t>La Trobe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AF97B38" w14:textId="296913F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159,781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FF909A8" w14:textId="3F308DC1"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84,171</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FF44499" w14:textId="44BAEB7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243,952</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58F8A83A" w14:textId="51E849F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14.8</w:t>
            </w:r>
          </w:p>
        </w:tc>
      </w:tr>
      <w:tr w:rsidR="00712DCB" w:rsidRPr="00E93956" w14:paraId="2B6D6162"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E1E6B28" w14:textId="576952E1" w:rsidR="00712DCB" w:rsidRPr="00992260" w:rsidRDefault="00712DCB" w:rsidP="00712DCB">
            <w:pPr>
              <w:rPr>
                <w:rFonts w:cstheme="minorHAnsi"/>
                <w:bCs/>
                <w:sz w:val="20"/>
                <w:szCs w:val="20"/>
                <w:highlight w:val="yellow"/>
              </w:rPr>
            </w:pPr>
            <w:r>
              <w:rPr>
                <w:rFonts w:ascii="Calibri" w:hAnsi="Calibri" w:cs="Calibri"/>
                <w:color w:val="000000"/>
                <w:sz w:val="20"/>
                <w:szCs w:val="20"/>
              </w:rPr>
              <w:t>The University of Notre Dame Australia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2001C7DB" w14:textId="7E9D61A5"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56,160</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F5CECCE" w14:textId="76B7E3F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5,854</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AF58948" w14:textId="07B1394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62,014</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28A05F1B" w14:textId="34EFE5D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14.0</w:t>
            </w:r>
          </w:p>
        </w:tc>
      </w:tr>
      <w:tr w:rsidR="00712DCB" w:rsidRPr="00E93956" w14:paraId="51F01137"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E3DA686" w14:textId="72520D2C" w:rsidR="00712DCB" w:rsidRPr="00992260" w:rsidRDefault="00712DCB" w:rsidP="00712DCB">
            <w:pPr>
              <w:rPr>
                <w:rFonts w:cstheme="minorHAnsi"/>
                <w:bCs/>
                <w:sz w:val="20"/>
                <w:szCs w:val="20"/>
                <w:highlight w:val="yellow"/>
              </w:rPr>
            </w:pPr>
            <w:r>
              <w:rPr>
                <w:rFonts w:ascii="Calibri" w:hAnsi="Calibri" w:cs="Calibri"/>
                <w:color w:val="000000"/>
                <w:sz w:val="20"/>
                <w:szCs w:val="20"/>
              </w:rPr>
              <w:t>Australian Catholic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E2A25D1" w14:textId="50D05289"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22,421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71F9932C" w14:textId="62FB2DDB"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124,892</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E8FED6F" w14:textId="591B0D7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147,313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429464E9" w14:textId="7DE05F1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12.6</w:t>
            </w:r>
          </w:p>
        </w:tc>
      </w:tr>
      <w:tr w:rsidR="00712DCB" w:rsidRPr="00E93956" w14:paraId="642A59CE"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1D14B44" w14:textId="23AC5BBB" w:rsidR="00712DCB" w:rsidRPr="00992260" w:rsidRDefault="00712DCB" w:rsidP="00712DCB">
            <w:pPr>
              <w:rPr>
                <w:rFonts w:cstheme="minorHAnsi"/>
                <w:bCs/>
                <w:sz w:val="20"/>
                <w:szCs w:val="20"/>
                <w:highlight w:val="yellow"/>
              </w:rPr>
            </w:pPr>
            <w:r>
              <w:rPr>
                <w:rFonts w:ascii="Calibri" w:hAnsi="Calibri" w:cs="Calibri"/>
                <w:color w:val="000000"/>
                <w:sz w:val="20"/>
                <w:szCs w:val="20"/>
              </w:rPr>
              <w:t>University of Canberra</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54132D7" w14:textId="2647EA47"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30,941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148325B" w14:textId="2FF37B5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48,425</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9C0AC25" w14:textId="2AD062E6"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79,366</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3F98CE2D" w14:textId="176EC94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10.5</w:t>
            </w:r>
          </w:p>
        </w:tc>
      </w:tr>
      <w:tr w:rsidR="00712DCB" w:rsidRPr="00E93956" w14:paraId="2662AC63"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47C41C49" w14:textId="102D6E36" w:rsidR="00712DCB" w:rsidRPr="00992260" w:rsidRDefault="00712DCB" w:rsidP="00712DCB">
            <w:pPr>
              <w:rPr>
                <w:rFonts w:cstheme="minorHAnsi"/>
                <w:bCs/>
                <w:sz w:val="20"/>
                <w:szCs w:val="20"/>
                <w:highlight w:val="yellow"/>
              </w:rPr>
            </w:pPr>
            <w:r>
              <w:rPr>
                <w:rFonts w:ascii="Calibri" w:hAnsi="Calibri" w:cs="Calibri"/>
                <w:color w:val="000000"/>
                <w:sz w:val="20"/>
                <w:szCs w:val="20"/>
              </w:rPr>
              <w:t>Macquarie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497DFE4D" w14:textId="39E9BBEC"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104,971</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0191AB64" w14:textId="56DB3050"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55,296</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C68BF85" w14:textId="31D9564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160,267</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698820E4" w14:textId="79CF231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8.2</w:t>
            </w:r>
          </w:p>
        </w:tc>
      </w:tr>
      <w:tr w:rsidR="00712DCB" w:rsidRPr="00E93956" w14:paraId="67705CDA" w14:textId="77777777" w:rsidTr="00712DCB">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27C1879" w14:textId="1A818ED5" w:rsidR="00712DCB" w:rsidRPr="00992260" w:rsidRDefault="00712DCB" w:rsidP="00712DCB">
            <w:pPr>
              <w:rPr>
                <w:rFonts w:cstheme="minorHAnsi"/>
                <w:bCs/>
                <w:sz w:val="20"/>
                <w:szCs w:val="20"/>
                <w:highlight w:val="yellow"/>
              </w:rPr>
            </w:pPr>
            <w:r>
              <w:rPr>
                <w:rFonts w:ascii="Calibri" w:hAnsi="Calibri" w:cs="Calibri"/>
                <w:color w:val="000000"/>
                <w:sz w:val="20"/>
                <w:szCs w:val="20"/>
              </w:rPr>
              <w:t>RMIT University</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5DC3B0DF" w14:textId="77514FD3"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44,124</w:t>
            </w:r>
          </w:p>
        </w:tc>
        <w:tc>
          <w:tcPr>
            <w:tcW w:w="1337" w:type="dxa"/>
            <w:tcBorders>
              <w:top w:val="single" w:sz="4" w:space="0" w:color="auto"/>
              <w:left w:val="single" w:sz="4" w:space="0" w:color="auto"/>
              <w:bottom w:val="single" w:sz="4" w:space="0" w:color="auto"/>
              <w:right w:val="single" w:sz="4" w:space="0" w:color="auto"/>
            </w:tcBorders>
            <w:noWrap/>
            <w:vAlign w:val="bottom"/>
            <w:hideMark/>
          </w:tcPr>
          <w:p w14:paraId="37654FD3" w14:textId="057058A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135,769</w:t>
            </w:r>
          </w:p>
        </w:tc>
        <w:tc>
          <w:tcPr>
            <w:tcW w:w="1337" w:type="dxa"/>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4B4324F" w14:textId="4206A49D"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179,893</w:t>
            </w:r>
          </w:p>
        </w:tc>
        <w:tc>
          <w:tcPr>
            <w:tcW w:w="1338" w:type="dxa"/>
            <w:tcBorders>
              <w:top w:val="single" w:sz="4" w:space="0" w:color="auto"/>
              <w:left w:val="single" w:sz="4" w:space="0" w:color="auto"/>
              <w:bottom w:val="single" w:sz="4" w:space="0" w:color="auto"/>
              <w:right w:val="single" w:sz="4" w:space="0" w:color="auto"/>
            </w:tcBorders>
            <w:noWrap/>
            <w:vAlign w:val="bottom"/>
            <w:hideMark/>
          </w:tcPr>
          <w:p w14:paraId="4FFAE6AD" w14:textId="13E5E49E" w:rsidR="00712DCB" w:rsidRPr="00992260" w:rsidRDefault="00712DCB" w:rsidP="00712DCB">
            <w:pPr>
              <w:jc w:val="right"/>
              <w:rPr>
                <w:rFonts w:cstheme="minorHAnsi"/>
                <w:bCs/>
                <w:sz w:val="20"/>
                <w:szCs w:val="20"/>
                <w:highlight w:val="yellow"/>
              </w:rPr>
            </w:pPr>
            <w:r>
              <w:rPr>
                <w:rFonts w:ascii="Calibri" w:hAnsi="Calibri" w:cs="Calibri"/>
                <w:color w:val="000000"/>
                <w:sz w:val="20"/>
                <w:szCs w:val="20"/>
              </w:rPr>
              <w:t>6.6</w:t>
            </w:r>
          </w:p>
        </w:tc>
      </w:tr>
      <w:tr w:rsidR="00712DCB" w:rsidRPr="00E93956" w14:paraId="31E01E45" w14:textId="77777777" w:rsidTr="003B17D7">
        <w:trPr>
          <w:trHeight w:hRule="exact" w:val="284"/>
        </w:trPr>
        <w:tc>
          <w:tcPr>
            <w:tcW w:w="3667" w:type="dxa"/>
            <w:shd w:val="clear" w:color="auto" w:fill="90D8CF" w:themeFill="accent4" w:themeFillTint="99"/>
            <w:noWrap/>
            <w:hideMark/>
          </w:tcPr>
          <w:p w14:paraId="5CA70783" w14:textId="4CA1D0A9" w:rsidR="00712DCB" w:rsidRPr="003B17D7" w:rsidRDefault="00712DCB" w:rsidP="00712DCB">
            <w:pPr>
              <w:rPr>
                <w:rFonts w:cstheme="minorHAnsi"/>
                <w:b/>
                <w:bCs/>
                <w:sz w:val="20"/>
                <w:szCs w:val="20"/>
              </w:rPr>
            </w:pPr>
            <w:r w:rsidRPr="003B17D7">
              <w:rPr>
                <w:rFonts w:cstheme="minorHAnsi"/>
                <w:b/>
                <w:bCs/>
                <w:sz w:val="20"/>
                <w:szCs w:val="20"/>
              </w:rPr>
              <w:t>All Institutions</w:t>
            </w:r>
          </w:p>
        </w:tc>
        <w:tc>
          <w:tcPr>
            <w:tcW w:w="1337" w:type="dxa"/>
            <w:tcBorders>
              <w:top w:val="single" w:sz="4" w:space="0" w:color="auto"/>
              <w:left w:val="single" w:sz="4" w:space="0" w:color="auto"/>
              <w:bottom w:val="single" w:sz="4" w:space="0" w:color="auto"/>
              <w:right w:val="single" w:sz="4" w:space="0" w:color="auto"/>
            </w:tcBorders>
            <w:shd w:val="clear" w:color="auto" w:fill="90D8CF" w:themeFill="accent4" w:themeFillTint="99"/>
            <w:noWrap/>
            <w:vAlign w:val="bottom"/>
            <w:hideMark/>
          </w:tcPr>
          <w:p w14:paraId="0ED81126" w14:textId="1B1CD4D5" w:rsidR="00712DCB" w:rsidRPr="00992260" w:rsidRDefault="00712DCB" w:rsidP="00712DCB">
            <w:pPr>
              <w:jc w:val="right"/>
              <w:rPr>
                <w:rFonts w:cstheme="minorHAnsi"/>
                <w:b/>
                <w:bCs/>
                <w:sz w:val="20"/>
                <w:szCs w:val="20"/>
                <w:highlight w:val="yellow"/>
              </w:rPr>
            </w:pPr>
            <w:r>
              <w:rPr>
                <w:rFonts w:ascii="Calibri" w:hAnsi="Calibri" w:cs="Calibri"/>
                <w:b/>
                <w:bCs/>
                <w:color w:val="000000"/>
                <w:sz w:val="20"/>
                <w:szCs w:val="20"/>
              </w:rPr>
              <w:t>5,810,872</w:t>
            </w:r>
          </w:p>
        </w:tc>
        <w:tc>
          <w:tcPr>
            <w:tcW w:w="1337"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12168924" w14:textId="3C1DA21B" w:rsidR="00712DCB" w:rsidRPr="00992260" w:rsidRDefault="00712DCB" w:rsidP="00712DCB">
            <w:pPr>
              <w:jc w:val="right"/>
              <w:rPr>
                <w:rFonts w:cstheme="minorHAnsi"/>
                <w:b/>
                <w:bCs/>
                <w:sz w:val="20"/>
                <w:szCs w:val="20"/>
                <w:highlight w:val="yellow"/>
              </w:rPr>
            </w:pPr>
            <w:r>
              <w:rPr>
                <w:rFonts w:ascii="Calibri" w:hAnsi="Calibri" w:cs="Calibri"/>
                <w:b/>
                <w:bCs/>
                <w:color w:val="000000"/>
                <w:sz w:val="20"/>
                <w:szCs w:val="20"/>
              </w:rPr>
              <w:t>26,380,012</w:t>
            </w:r>
          </w:p>
        </w:tc>
        <w:tc>
          <w:tcPr>
            <w:tcW w:w="1337"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0597F59C" w14:textId="6513E596" w:rsidR="00712DCB" w:rsidRPr="00992260" w:rsidRDefault="00712DCB" w:rsidP="00712DCB">
            <w:pPr>
              <w:jc w:val="right"/>
              <w:rPr>
                <w:rFonts w:cstheme="minorHAnsi"/>
                <w:b/>
                <w:bCs/>
                <w:sz w:val="20"/>
                <w:szCs w:val="20"/>
                <w:highlight w:val="yellow"/>
              </w:rPr>
            </w:pPr>
            <w:r>
              <w:rPr>
                <w:rFonts w:ascii="Calibri" w:hAnsi="Calibri" w:cs="Calibri"/>
                <w:b/>
                <w:bCs/>
                <w:color w:val="000000"/>
                <w:sz w:val="20"/>
                <w:szCs w:val="20"/>
              </w:rPr>
              <w:t>32,190,884</w:t>
            </w:r>
          </w:p>
        </w:tc>
        <w:tc>
          <w:tcPr>
            <w:tcW w:w="1338"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31B618BF" w14:textId="238ABEBD" w:rsidR="00712DCB" w:rsidRPr="00992260" w:rsidRDefault="00712DCB" w:rsidP="00712DCB">
            <w:pPr>
              <w:jc w:val="right"/>
              <w:rPr>
                <w:rFonts w:cstheme="minorHAnsi"/>
                <w:b/>
                <w:bCs/>
                <w:sz w:val="20"/>
                <w:szCs w:val="20"/>
                <w:highlight w:val="yellow"/>
              </w:rPr>
            </w:pPr>
            <w:r>
              <w:rPr>
                <w:rFonts w:ascii="Calibri" w:hAnsi="Calibri" w:cs="Calibri"/>
                <w:b/>
                <w:bCs/>
                <w:color w:val="000000"/>
                <w:sz w:val="20"/>
                <w:szCs w:val="20"/>
              </w:rPr>
              <w:t>42.0</w:t>
            </w:r>
          </w:p>
        </w:tc>
      </w:tr>
    </w:tbl>
    <w:p w14:paraId="13C3A680" w14:textId="77777777" w:rsidR="000A1E13" w:rsidRPr="00E93956" w:rsidRDefault="000A1E13" w:rsidP="000A1E13">
      <w:pPr>
        <w:spacing w:after="160"/>
        <w:rPr>
          <w:rStyle w:val="Strong"/>
          <w:highlight w:val="yellow"/>
        </w:rPr>
      </w:pPr>
      <w:r w:rsidRPr="00E93956">
        <w:rPr>
          <w:rStyle w:val="Strong"/>
          <w:highlight w:val="yellow"/>
        </w:rPr>
        <w:br w:type="page"/>
      </w:r>
    </w:p>
    <w:p w14:paraId="518C35D5" w14:textId="77777777" w:rsidR="000A1E13" w:rsidRPr="00877FC9" w:rsidRDefault="000A1E13" w:rsidP="000A1E13">
      <w:pPr>
        <w:pStyle w:val="Heading3"/>
      </w:pPr>
      <w:bookmarkStart w:id="18" w:name="_Toc78463090"/>
      <w:bookmarkStart w:id="19" w:name="_Toc126584995"/>
      <w:bookmarkStart w:id="20" w:name="_Toc183521028"/>
      <w:r w:rsidRPr="00877FC9">
        <w:lastRenderedPageBreak/>
        <w:t>Liabilities</w:t>
      </w:r>
      <w:bookmarkEnd w:id="18"/>
      <w:bookmarkEnd w:id="19"/>
      <w:bookmarkEnd w:id="20"/>
    </w:p>
    <w:p w14:paraId="38100D90" w14:textId="77777777" w:rsidR="00F72DE5" w:rsidRPr="00877FC9" w:rsidRDefault="00F72DE5" w:rsidP="00704E6A">
      <w:pPr>
        <w:pStyle w:val="Heading6"/>
      </w:pPr>
      <w:bookmarkStart w:id="21" w:name="_Toc26884147"/>
    </w:p>
    <w:p w14:paraId="5F808B63" w14:textId="7AA10785" w:rsidR="00704E6A" w:rsidRPr="00877FC9" w:rsidRDefault="00704E6A" w:rsidP="00704E6A">
      <w:pPr>
        <w:pStyle w:val="Heading6"/>
      </w:pPr>
      <w:r w:rsidRPr="00877FC9">
        <w:t xml:space="preserve">Table </w:t>
      </w:r>
      <w:r w:rsidR="008345A9" w:rsidRPr="00877FC9">
        <w:t>7</w:t>
      </w:r>
      <w:r w:rsidRPr="00877FC9">
        <w:t>: Summary of 202</w:t>
      </w:r>
      <w:r w:rsidR="007E6498" w:rsidRPr="00877FC9">
        <w:t>3</w:t>
      </w:r>
      <w:r w:rsidRPr="00877FC9">
        <w:t xml:space="preserve"> and 202</w:t>
      </w:r>
      <w:r w:rsidR="007E6498" w:rsidRPr="00877FC9">
        <w:t>2</w:t>
      </w:r>
      <w:r w:rsidRPr="00877FC9">
        <w:t xml:space="preserve"> Total Liabilities</w:t>
      </w:r>
    </w:p>
    <w:tbl>
      <w:tblPr>
        <w:tblW w:w="9016" w:type="dxa"/>
        <w:tblLayout w:type="fixed"/>
        <w:tblLook w:val="04A0" w:firstRow="1" w:lastRow="0" w:firstColumn="1" w:lastColumn="0" w:noHBand="0" w:noVBand="1"/>
      </w:tblPr>
      <w:tblGrid>
        <w:gridCol w:w="3539"/>
        <w:gridCol w:w="1418"/>
        <w:gridCol w:w="1417"/>
        <w:gridCol w:w="1321"/>
        <w:gridCol w:w="1321"/>
      </w:tblGrid>
      <w:tr w:rsidR="00704E6A" w:rsidRPr="00877FC9" w14:paraId="2C1951CE" w14:textId="77777777" w:rsidTr="00B736F2">
        <w:trPr>
          <w:trHeight w:val="300"/>
        </w:trPr>
        <w:tc>
          <w:tcPr>
            <w:tcW w:w="3539" w:type="dxa"/>
            <w:tcBorders>
              <w:top w:val="single" w:sz="4" w:space="0" w:color="auto"/>
              <w:left w:val="single" w:sz="4" w:space="0" w:color="auto"/>
              <w:bottom w:val="nil"/>
              <w:right w:val="single" w:sz="4" w:space="0" w:color="auto"/>
            </w:tcBorders>
            <w:shd w:val="clear" w:color="auto" w:fill="004C6C" w:themeFill="background2"/>
            <w:noWrap/>
            <w:hideMark/>
          </w:tcPr>
          <w:p w14:paraId="3F03683F" w14:textId="77777777" w:rsidR="00704E6A" w:rsidRPr="00877FC9" w:rsidRDefault="00704E6A" w:rsidP="00496B5A">
            <w:pPr>
              <w:spacing w:after="0" w:line="240" w:lineRule="auto"/>
              <w:rPr>
                <w:rFonts w:ascii="Calibri" w:eastAsia="Times New Roman" w:hAnsi="Calibri" w:cs="Calibri"/>
                <w:b/>
                <w:bCs/>
                <w:color w:val="FFFFFF"/>
                <w:lang w:eastAsia="en-AU"/>
              </w:rPr>
            </w:pPr>
          </w:p>
        </w:tc>
        <w:tc>
          <w:tcPr>
            <w:tcW w:w="1418"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00C2FFEC" w14:textId="0EAA8429"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202</w:t>
            </w:r>
            <w:r w:rsidR="007E6498" w:rsidRPr="00877FC9">
              <w:rPr>
                <w:rFonts w:ascii="Calibri" w:eastAsia="Times New Roman" w:hAnsi="Calibri" w:cs="Calibri"/>
                <w:b/>
                <w:bCs/>
                <w:color w:val="FFFFFF"/>
                <w:lang w:eastAsia="en-AU"/>
              </w:rPr>
              <w:t>3</w:t>
            </w:r>
          </w:p>
        </w:tc>
        <w:tc>
          <w:tcPr>
            <w:tcW w:w="141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53E0BBB4" w14:textId="3E9CE2B3"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202</w:t>
            </w:r>
            <w:r w:rsidR="007E6498" w:rsidRPr="00877FC9">
              <w:rPr>
                <w:rFonts w:ascii="Calibri" w:eastAsia="Times New Roman" w:hAnsi="Calibri" w:cs="Calibri"/>
                <w:b/>
                <w:bCs/>
                <w:color w:val="FFFFFF"/>
                <w:lang w:eastAsia="en-AU"/>
              </w:rPr>
              <w:t>2</w:t>
            </w:r>
          </w:p>
        </w:tc>
        <w:tc>
          <w:tcPr>
            <w:tcW w:w="2642"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6F8DC05B"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Change</w:t>
            </w:r>
          </w:p>
        </w:tc>
      </w:tr>
      <w:tr w:rsidR="00704E6A" w:rsidRPr="00877FC9" w14:paraId="1BACCB9E" w14:textId="77777777" w:rsidTr="00B736F2">
        <w:trPr>
          <w:trHeight w:val="300"/>
        </w:trPr>
        <w:tc>
          <w:tcPr>
            <w:tcW w:w="3539" w:type="dxa"/>
            <w:tcBorders>
              <w:top w:val="nil"/>
              <w:left w:val="single" w:sz="4" w:space="0" w:color="auto"/>
              <w:bottom w:val="single" w:sz="4" w:space="0" w:color="auto"/>
              <w:right w:val="single" w:sz="4" w:space="0" w:color="auto"/>
            </w:tcBorders>
            <w:shd w:val="clear" w:color="auto" w:fill="004C6C" w:themeFill="background2"/>
            <w:noWrap/>
            <w:hideMark/>
          </w:tcPr>
          <w:p w14:paraId="6264114B" w14:textId="77777777" w:rsidR="00704E6A" w:rsidRPr="00877FC9" w:rsidRDefault="00704E6A" w:rsidP="00496B5A">
            <w:pPr>
              <w:spacing w:after="0" w:line="240" w:lineRule="auto"/>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 </w:t>
            </w:r>
          </w:p>
        </w:tc>
        <w:tc>
          <w:tcPr>
            <w:tcW w:w="1418" w:type="dxa"/>
            <w:tcBorders>
              <w:top w:val="nil"/>
              <w:left w:val="nil"/>
              <w:bottom w:val="single" w:sz="4" w:space="0" w:color="auto"/>
              <w:right w:val="single" w:sz="4" w:space="0" w:color="auto"/>
            </w:tcBorders>
            <w:shd w:val="clear" w:color="auto" w:fill="004C6C" w:themeFill="background2"/>
            <w:noWrap/>
            <w:vAlign w:val="bottom"/>
            <w:hideMark/>
          </w:tcPr>
          <w:p w14:paraId="33F852B2"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417" w:type="dxa"/>
            <w:tcBorders>
              <w:top w:val="nil"/>
              <w:left w:val="nil"/>
              <w:bottom w:val="single" w:sz="4" w:space="0" w:color="auto"/>
              <w:right w:val="single" w:sz="4" w:space="0" w:color="auto"/>
            </w:tcBorders>
            <w:shd w:val="clear" w:color="auto" w:fill="004C6C" w:themeFill="background2"/>
            <w:noWrap/>
            <w:vAlign w:val="bottom"/>
            <w:hideMark/>
          </w:tcPr>
          <w:p w14:paraId="58895872"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2812E8D4"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787AD791"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w:t>
            </w:r>
          </w:p>
        </w:tc>
      </w:tr>
      <w:tr w:rsidR="00877FC9" w:rsidRPr="00877FC9" w14:paraId="6A116BDF" w14:textId="77777777" w:rsidTr="00877FC9">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0C1C47" w14:textId="793E7F08" w:rsidR="00877FC9" w:rsidRPr="00EB4C52" w:rsidRDefault="00877FC9" w:rsidP="00877FC9">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Provisions</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EA5AC42" w14:textId="23B1C3A6"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11,414,648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4CE18FF" w14:textId="75AB69E1"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11,234,018</w:t>
            </w:r>
          </w:p>
        </w:tc>
        <w:tc>
          <w:tcPr>
            <w:tcW w:w="13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A1D13F" w14:textId="4C09CDE1" w:rsidR="00877FC9" w:rsidRPr="00EB4C52" w:rsidRDefault="00877FC9" w:rsidP="00877FC9">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180,630</w:t>
            </w:r>
          </w:p>
        </w:tc>
        <w:tc>
          <w:tcPr>
            <w:tcW w:w="1321" w:type="dxa"/>
            <w:tcBorders>
              <w:top w:val="single" w:sz="4" w:space="0" w:color="auto"/>
              <w:left w:val="nil"/>
              <w:bottom w:val="single" w:sz="4" w:space="0" w:color="auto"/>
              <w:right w:val="single" w:sz="4" w:space="0" w:color="auto"/>
            </w:tcBorders>
            <w:shd w:val="clear" w:color="000000" w:fill="D9D9D9"/>
            <w:noWrap/>
            <w:vAlign w:val="bottom"/>
            <w:hideMark/>
          </w:tcPr>
          <w:p w14:paraId="37E512DD" w14:textId="2F2C155E" w:rsidR="00877FC9" w:rsidRPr="00EB4C52" w:rsidRDefault="00877FC9" w:rsidP="00877FC9">
            <w:pPr>
              <w:spacing w:after="0" w:line="240" w:lineRule="auto"/>
              <w:jc w:val="right"/>
              <w:rPr>
                <w:rFonts w:ascii="Calibri" w:eastAsia="Times New Roman" w:hAnsi="Calibri" w:cs="Calibri"/>
                <w:color w:val="FF0000"/>
                <w:sz w:val="20"/>
                <w:szCs w:val="20"/>
                <w:lang w:eastAsia="en-AU"/>
              </w:rPr>
            </w:pPr>
            <w:r w:rsidRPr="00050697">
              <w:rPr>
                <w:rFonts w:ascii="Calibri" w:hAnsi="Calibri" w:cs="Calibri"/>
                <w:color w:val="000000"/>
                <w:sz w:val="20"/>
                <w:szCs w:val="20"/>
              </w:rPr>
              <w:t>1.6%</w:t>
            </w:r>
          </w:p>
        </w:tc>
      </w:tr>
      <w:tr w:rsidR="00877FC9" w:rsidRPr="00877FC9" w14:paraId="55F0AC0D"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3964292C" w14:textId="20E84A33" w:rsidR="00877FC9" w:rsidRPr="00EB4C52" w:rsidRDefault="00877FC9" w:rsidP="00877FC9">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Borrowings</w:t>
            </w:r>
          </w:p>
        </w:tc>
        <w:tc>
          <w:tcPr>
            <w:tcW w:w="1418" w:type="dxa"/>
            <w:tcBorders>
              <w:top w:val="nil"/>
              <w:left w:val="single" w:sz="4" w:space="0" w:color="auto"/>
              <w:bottom w:val="single" w:sz="4" w:space="0" w:color="auto"/>
              <w:right w:val="single" w:sz="4" w:space="0" w:color="auto"/>
            </w:tcBorders>
            <w:noWrap/>
            <w:vAlign w:val="bottom"/>
            <w:hideMark/>
          </w:tcPr>
          <w:p w14:paraId="528C4AAF" w14:textId="493C8ED0"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7,783,162</w:t>
            </w:r>
          </w:p>
        </w:tc>
        <w:tc>
          <w:tcPr>
            <w:tcW w:w="1417" w:type="dxa"/>
            <w:tcBorders>
              <w:top w:val="nil"/>
              <w:left w:val="single" w:sz="4" w:space="0" w:color="auto"/>
              <w:bottom w:val="single" w:sz="4" w:space="0" w:color="auto"/>
              <w:right w:val="single" w:sz="4" w:space="0" w:color="auto"/>
            </w:tcBorders>
            <w:noWrap/>
            <w:vAlign w:val="bottom"/>
            <w:hideMark/>
          </w:tcPr>
          <w:p w14:paraId="6B1A0346" w14:textId="333FAF55"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7,296,194</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5FFC7D41" w14:textId="2D362DB1" w:rsidR="00877FC9" w:rsidRPr="00EB4C52" w:rsidRDefault="00877FC9" w:rsidP="00877FC9">
            <w:pPr>
              <w:spacing w:after="0" w:line="240" w:lineRule="auto"/>
              <w:jc w:val="right"/>
              <w:rPr>
                <w:rFonts w:ascii="Calibri" w:eastAsia="Times New Roman" w:hAnsi="Calibri" w:cs="Calibri"/>
                <w:sz w:val="20"/>
                <w:szCs w:val="20"/>
                <w:lang w:eastAsia="en-AU"/>
              </w:rPr>
            </w:pPr>
            <w:r w:rsidRPr="00050697">
              <w:rPr>
                <w:rFonts w:ascii="Calibri" w:hAnsi="Calibri" w:cs="Calibri"/>
                <w:color w:val="000000"/>
                <w:sz w:val="20"/>
                <w:szCs w:val="20"/>
              </w:rPr>
              <w:t>486,968</w:t>
            </w:r>
          </w:p>
        </w:tc>
        <w:tc>
          <w:tcPr>
            <w:tcW w:w="1321" w:type="dxa"/>
            <w:tcBorders>
              <w:top w:val="nil"/>
              <w:left w:val="nil"/>
              <w:bottom w:val="single" w:sz="4" w:space="0" w:color="auto"/>
              <w:right w:val="single" w:sz="4" w:space="0" w:color="auto"/>
            </w:tcBorders>
            <w:shd w:val="clear" w:color="000000" w:fill="D9D9D9"/>
            <w:noWrap/>
            <w:vAlign w:val="bottom"/>
            <w:hideMark/>
          </w:tcPr>
          <w:p w14:paraId="745E04F2" w14:textId="1283A2AA" w:rsidR="00877FC9" w:rsidRPr="00EB4C52" w:rsidRDefault="00877FC9" w:rsidP="00877FC9">
            <w:pPr>
              <w:spacing w:after="0" w:line="240" w:lineRule="auto"/>
              <w:jc w:val="right"/>
              <w:rPr>
                <w:rFonts w:ascii="Calibri" w:eastAsia="Times New Roman" w:hAnsi="Calibri" w:cs="Calibri"/>
                <w:sz w:val="20"/>
                <w:szCs w:val="20"/>
                <w:lang w:eastAsia="en-AU"/>
              </w:rPr>
            </w:pPr>
            <w:r w:rsidRPr="00050697">
              <w:rPr>
                <w:rFonts w:ascii="Calibri" w:hAnsi="Calibri" w:cs="Calibri"/>
                <w:color w:val="000000"/>
                <w:sz w:val="20"/>
                <w:szCs w:val="20"/>
              </w:rPr>
              <w:t>6.7%</w:t>
            </w:r>
          </w:p>
        </w:tc>
      </w:tr>
      <w:tr w:rsidR="00877FC9" w:rsidRPr="00877FC9" w14:paraId="5B5AA0F6"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tcPr>
          <w:p w14:paraId="403E87FE" w14:textId="0A733BCE" w:rsidR="00877FC9" w:rsidRPr="00EB4C52" w:rsidRDefault="00877FC9" w:rsidP="00877FC9">
            <w:pPr>
              <w:spacing w:after="0" w:line="240" w:lineRule="auto"/>
              <w:rPr>
                <w:rFonts w:ascii="Calibri" w:hAnsi="Calibri" w:cs="Calibri"/>
                <w:color w:val="000000"/>
                <w:sz w:val="20"/>
                <w:szCs w:val="20"/>
              </w:rPr>
            </w:pPr>
            <w:r w:rsidRPr="00EB4C52">
              <w:rPr>
                <w:rFonts w:ascii="Calibri" w:hAnsi="Calibri" w:cs="Calibri"/>
                <w:color w:val="000000"/>
                <w:sz w:val="20"/>
                <w:szCs w:val="20"/>
              </w:rPr>
              <w:t>Contract Liabilities</w:t>
            </w:r>
          </w:p>
        </w:tc>
        <w:tc>
          <w:tcPr>
            <w:tcW w:w="1418" w:type="dxa"/>
            <w:tcBorders>
              <w:top w:val="nil"/>
              <w:left w:val="single" w:sz="4" w:space="0" w:color="auto"/>
              <w:bottom w:val="single" w:sz="4" w:space="0" w:color="auto"/>
              <w:right w:val="single" w:sz="4" w:space="0" w:color="auto"/>
            </w:tcBorders>
            <w:noWrap/>
            <w:vAlign w:val="bottom"/>
          </w:tcPr>
          <w:p w14:paraId="39F3FD5B" w14:textId="5F04128C" w:rsidR="00877FC9" w:rsidRPr="00EB4C52" w:rsidRDefault="00877FC9" w:rsidP="00877FC9">
            <w:pPr>
              <w:spacing w:after="0" w:line="240" w:lineRule="auto"/>
              <w:jc w:val="right"/>
              <w:rPr>
                <w:rFonts w:ascii="Calibri" w:hAnsi="Calibri" w:cs="Calibri"/>
                <w:color w:val="000000"/>
                <w:sz w:val="20"/>
                <w:szCs w:val="20"/>
              </w:rPr>
            </w:pPr>
            <w:r w:rsidRPr="00050697">
              <w:rPr>
                <w:rFonts w:ascii="Calibri" w:hAnsi="Calibri" w:cs="Calibri"/>
                <w:color w:val="000000"/>
                <w:sz w:val="20"/>
                <w:szCs w:val="20"/>
              </w:rPr>
              <w:t>5,796,115</w:t>
            </w:r>
          </w:p>
        </w:tc>
        <w:tc>
          <w:tcPr>
            <w:tcW w:w="1417" w:type="dxa"/>
            <w:tcBorders>
              <w:top w:val="nil"/>
              <w:left w:val="single" w:sz="4" w:space="0" w:color="auto"/>
              <w:bottom w:val="single" w:sz="4" w:space="0" w:color="auto"/>
              <w:right w:val="single" w:sz="4" w:space="0" w:color="auto"/>
            </w:tcBorders>
            <w:noWrap/>
            <w:vAlign w:val="bottom"/>
          </w:tcPr>
          <w:p w14:paraId="604B5CFB" w14:textId="3A4866F1" w:rsidR="00877FC9" w:rsidRPr="00EB4C52" w:rsidRDefault="00877FC9" w:rsidP="00877FC9">
            <w:pPr>
              <w:spacing w:after="0" w:line="240" w:lineRule="auto"/>
              <w:jc w:val="right"/>
              <w:rPr>
                <w:rFonts w:ascii="Calibri" w:hAnsi="Calibri" w:cs="Calibri"/>
                <w:color w:val="000000"/>
                <w:sz w:val="20"/>
                <w:szCs w:val="20"/>
              </w:rPr>
            </w:pPr>
            <w:r w:rsidRPr="00EB4C52">
              <w:rPr>
                <w:rFonts w:ascii="Calibri" w:hAnsi="Calibri" w:cs="Calibri"/>
                <w:color w:val="000000"/>
                <w:sz w:val="20"/>
                <w:szCs w:val="20"/>
              </w:rPr>
              <w:t>5,205,320</w:t>
            </w:r>
          </w:p>
        </w:tc>
        <w:tc>
          <w:tcPr>
            <w:tcW w:w="1321" w:type="dxa"/>
            <w:tcBorders>
              <w:top w:val="nil"/>
              <w:left w:val="single" w:sz="4" w:space="0" w:color="auto"/>
              <w:bottom w:val="single" w:sz="4" w:space="0" w:color="auto"/>
              <w:right w:val="single" w:sz="4" w:space="0" w:color="auto"/>
            </w:tcBorders>
            <w:shd w:val="clear" w:color="000000" w:fill="D9D9D9"/>
            <w:noWrap/>
            <w:vAlign w:val="bottom"/>
          </w:tcPr>
          <w:p w14:paraId="463AE99E" w14:textId="06A1FC7A" w:rsidR="00877FC9" w:rsidRPr="00EB4C52" w:rsidRDefault="00877FC9" w:rsidP="00877FC9">
            <w:pPr>
              <w:spacing w:after="0" w:line="240" w:lineRule="auto"/>
              <w:jc w:val="right"/>
              <w:rPr>
                <w:rFonts w:ascii="Calibri" w:hAnsi="Calibri" w:cs="Calibri"/>
                <w:sz w:val="20"/>
                <w:szCs w:val="20"/>
              </w:rPr>
            </w:pPr>
            <w:r w:rsidRPr="00050697">
              <w:rPr>
                <w:rFonts w:ascii="Calibri" w:hAnsi="Calibri" w:cs="Calibri"/>
                <w:color w:val="000000"/>
                <w:sz w:val="20"/>
                <w:szCs w:val="20"/>
              </w:rPr>
              <w:t>590,795</w:t>
            </w:r>
          </w:p>
        </w:tc>
        <w:tc>
          <w:tcPr>
            <w:tcW w:w="1321" w:type="dxa"/>
            <w:tcBorders>
              <w:top w:val="nil"/>
              <w:left w:val="nil"/>
              <w:bottom w:val="single" w:sz="4" w:space="0" w:color="auto"/>
              <w:right w:val="single" w:sz="4" w:space="0" w:color="auto"/>
            </w:tcBorders>
            <w:shd w:val="clear" w:color="000000" w:fill="D9D9D9"/>
            <w:noWrap/>
            <w:vAlign w:val="bottom"/>
          </w:tcPr>
          <w:p w14:paraId="5D212378" w14:textId="0F5F8E65" w:rsidR="00877FC9" w:rsidRPr="00EB4C52" w:rsidRDefault="00877FC9" w:rsidP="00877FC9">
            <w:pPr>
              <w:spacing w:after="0" w:line="240" w:lineRule="auto"/>
              <w:jc w:val="right"/>
              <w:rPr>
                <w:rFonts w:ascii="Calibri" w:hAnsi="Calibri" w:cs="Calibri"/>
                <w:color w:val="000000"/>
                <w:sz w:val="20"/>
                <w:szCs w:val="20"/>
              </w:rPr>
            </w:pPr>
            <w:r w:rsidRPr="00050697">
              <w:rPr>
                <w:rFonts w:ascii="Calibri" w:hAnsi="Calibri" w:cs="Calibri"/>
                <w:color w:val="000000"/>
                <w:sz w:val="20"/>
                <w:szCs w:val="20"/>
              </w:rPr>
              <w:t>11.3%</w:t>
            </w:r>
          </w:p>
        </w:tc>
      </w:tr>
      <w:tr w:rsidR="00877FC9" w:rsidRPr="00877FC9" w14:paraId="5E43101E"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0D055D8C" w14:textId="3E78C209" w:rsidR="00877FC9" w:rsidRPr="00EB4C52" w:rsidRDefault="00877FC9" w:rsidP="00877FC9">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Other Liabilities</w:t>
            </w:r>
          </w:p>
        </w:tc>
        <w:tc>
          <w:tcPr>
            <w:tcW w:w="1418" w:type="dxa"/>
            <w:tcBorders>
              <w:top w:val="nil"/>
              <w:left w:val="single" w:sz="4" w:space="0" w:color="auto"/>
              <w:bottom w:val="single" w:sz="4" w:space="0" w:color="auto"/>
              <w:right w:val="single" w:sz="4" w:space="0" w:color="auto"/>
            </w:tcBorders>
            <w:noWrap/>
            <w:vAlign w:val="bottom"/>
            <w:hideMark/>
          </w:tcPr>
          <w:p w14:paraId="21E269C6" w14:textId="24802E6D"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4,563,218</w:t>
            </w:r>
          </w:p>
        </w:tc>
        <w:tc>
          <w:tcPr>
            <w:tcW w:w="1417" w:type="dxa"/>
            <w:tcBorders>
              <w:top w:val="nil"/>
              <w:left w:val="single" w:sz="4" w:space="0" w:color="auto"/>
              <w:bottom w:val="single" w:sz="4" w:space="0" w:color="auto"/>
              <w:right w:val="single" w:sz="4" w:space="0" w:color="auto"/>
            </w:tcBorders>
            <w:noWrap/>
            <w:vAlign w:val="bottom"/>
            <w:hideMark/>
          </w:tcPr>
          <w:p w14:paraId="0600A753" w14:textId="6481D46D"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4,186,598</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621FDF2F" w14:textId="3C557CA2"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376,620</w:t>
            </w:r>
          </w:p>
        </w:tc>
        <w:tc>
          <w:tcPr>
            <w:tcW w:w="1321" w:type="dxa"/>
            <w:tcBorders>
              <w:top w:val="nil"/>
              <w:left w:val="nil"/>
              <w:bottom w:val="single" w:sz="4" w:space="0" w:color="auto"/>
              <w:right w:val="single" w:sz="4" w:space="0" w:color="auto"/>
            </w:tcBorders>
            <w:shd w:val="clear" w:color="000000" w:fill="D9D9D9"/>
            <w:noWrap/>
            <w:vAlign w:val="bottom"/>
            <w:hideMark/>
          </w:tcPr>
          <w:p w14:paraId="7BC20B93" w14:textId="369B18C3"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9.0%</w:t>
            </w:r>
          </w:p>
        </w:tc>
      </w:tr>
      <w:tr w:rsidR="00877FC9" w:rsidRPr="00877FC9" w14:paraId="56A1E0B3"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4DCE49B5" w14:textId="7C71585F" w:rsidR="00877FC9" w:rsidRPr="00EB4C52" w:rsidRDefault="00877FC9" w:rsidP="00877FC9">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Payables</w:t>
            </w:r>
          </w:p>
        </w:tc>
        <w:tc>
          <w:tcPr>
            <w:tcW w:w="1418" w:type="dxa"/>
            <w:tcBorders>
              <w:top w:val="nil"/>
              <w:left w:val="single" w:sz="4" w:space="0" w:color="auto"/>
              <w:bottom w:val="single" w:sz="4" w:space="0" w:color="auto"/>
              <w:right w:val="single" w:sz="4" w:space="0" w:color="auto"/>
            </w:tcBorders>
            <w:noWrap/>
            <w:vAlign w:val="bottom"/>
            <w:hideMark/>
          </w:tcPr>
          <w:p w14:paraId="7DEE736D" w14:textId="7711B65F"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3,309,789</w:t>
            </w:r>
          </w:p>
        </w:tc>
        <w:tc>
          <w:tcPr>
            <w:tcW w:w="1417" w:type="dxa"/>
            <w:tcBorders>
              <w:top w:val="nil"/>
              <w:left w:val="single" w:sz="4" w:space="0" w:color="auto"/>
              <w:bottom w:val="single" w:sz="4" w:space="0" w:color="auto"/>
              <w:right w:val="single" w:sz="4" w:space="0" w:color="auto"/>
            </w:tcBorders>
            <w:noWrap/>
            <w:vAlign w:val="bottom"/>
            <w:hideMark/>
          </w:tcPr>
          <w:p w14:paraId="3FCF1229" w14:textId="7D8E49ED"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3,311,645</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05F88896" w14:textId="08FF6CBE"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FF0000"/>
                <w:sz w:val="20"/>
                <w:szCs w:val="20"/>
              </w:rPr>
              <w:t>-1,856</w:t>
            </w:r>
          </w:p>
        </w:tc>
        <w:tc>
          <w:tcPr>
            <w:tcW w:w="1321" w:type="dxa"/>
            <w:tcBorders>
              <w:top w:val="nil"/>
              <w:left w:val="nil"/>
              <w:bottom w:val="single" w:sz="4" w:space="0" w:color="auto"/>
              <w:right w:val="single" w:sz="4" w:space="0" w:color="auto"/>
            </w:tcBorders>
            <w:shd w:val="clear" w:color="000000" w:fill="D9D9D9"/>
            <w:noWrap/>
            <w:vAlign w:val="bottom"/>
            <w:hideMark/>
          </w:tcPr>
          <w:p w14:paraId="2A9CA63B" w14:textId="478219FF"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FF0000"/>
                <w:sz w:val="20"/>
                <w:szCs w:val="20"/>
              </w:rPr>
              <w:t>-0.1</w:t>
            </w:r>
            <w:r w:rsidRPr="00050697">
              <w:rPr>
                <w:rFonts w:ascii="Calibri" w:hAnsi="Calibri" w:cs="Calibri"/>
                <w:color w:val="000000"/>
                <w:sz w:val="20"/>
                <w:szCs w:val="20"/>
              </w:rPr>
              <w:t>%</w:t>
            </w:r>
          </w:p>
        </w:tc>
      </w:tr>
      <w:tr w:rsidR="00877FC9" w:rsidRPr="00877FC9" w14:paraId="7F59970F"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1B3626DE" w14:textId="071C8290" w:rsidR="00877FC9" w:rsidRPr="00EB4C52" w:rsidRDefault="00877FC9" w:rsidP="00877FC9">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Lease Liabilities</w:t>
            </w:r>
          </w:p>
        </w:tc>
        <w:tc>
          <w:tcPr>
            <w:tcW w:w="1418" w:type="dxa"/>
            <w:tcBorders>
              <w:top w:val="nil"/>
              <w:left w:val="single" w:sz="4" w:space="0" w:color="auto"/>
              <w:bottom w:val="single" w:sz="4" w:space="0" w:color="auto"/>
              <w:right w:val="single" w:sz="4" w:space="0" w:color="auto"/>
            </w:tcBorders>
            <w:noWrap/>
            <w:vAlign w:val="bottom"/>
            <w:hideMark/>
          </w:tcPr>
          <w:p w14:paraId="077DE573" w14:textId="652C1584"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3,737,978</w:t>
            </w:r>
          </w:p>
        </w:tc>
        <w:tc>
          <w:tcPr>
            <w:tcW w:w="1417" w:type="dxa"/>
            <w:tcBorders>
              <w:top w:val="nil"/>
              <w:left w:val="single" w:sz="4" w:space="0" w:color="auto"/>
              <w:bottom w:val="single" w:sz="4" w:space="0" w:color="auto"/>
              <w:right w:val="single" w:sz="4" w:space="0" w:color="auto"/>
            </w:tcBorders>
            <w:noWrap/>
            <w:vAlign w:val="bottom"/>
            <w:hideMark/>
          </w:tcPr>
          <w:p w14:paraId="03D8153E" w14:textId="67424689"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EB4C52">
              <w:rPr>
                <w:rFonts w:ascii="Calibri" w:hAnsi="Calibri" w:cs="Calibri"/>
                <w:color w:val="000000"/>
                <w:sz w:val="20"/>
                <w:szCs w:val="20"/>
              </w:rPr>
              <w:t>2,984,084</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13B3A24D" w14:textId="7498F0F3"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753,894</w:t>
            </w:r>
          </w:p>
        </w:tc>
        <w:tc>
          <w:tcPr>
            <w:tcW w:w="1321" w:type="dxa"/>
            <w:tcBorders>
              <w:top w:val="nil"/>
              <w:left w:val="nil"/>
              <w:bottom w:val="single" w:sz="4" w:space="0" w:color="auto"/>
              <w:right w:val="single" w:sz="4" w:space="0" w:color="auto"/>
            </w:tcBorders>
            <w:shd w:val="clear" w:color="000000" w:fill="D9D9D9"/>
            <w:noWrap/>
            <w:vAlign w:val="bottom"/>
            <w:hideMark/>
          </w:tcPr>
          <w:p w14:paraId="6D660EFB" w14:textId="2A608BCC" w:rsidR="00877FC9" w:rsidRPr="00EB4C52" w:rsidRDefault="00877FC9" w:rsidP="00877FC9">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25.3%</w:t>
            </w:r>
          </w:p>
        </w:tc>
      </w:tr>
      <w:tr w:rsidR="00877FC9" w:rsidRPr="00877FC9" w14:paraId="262B3CAD" w14:textId="77777777" w:rsidTr="00B87870">
        <w:trPr>
          <w:trHeight w:val="300"/>
        </w:trPr>
        <w:tc>
          <w:tcPr>
            <w:tcW w:w="3539"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B051F99" w14:textId="2CAA5260" w:rsidR="00877FC9" w:rsidRPr="00EB4C52" w:rsidRDefault="00877FC9" w:rsidP="00877FC9">
            <w:pPr>
              <w:spacing w:after="0" w:line="240" w:lineRule="auto"/>
              <w:rPr>
                <w:rFonts w:ascii="Calibri" w:eastAsia="Times New Roman" w:hAnsi="Calibri" w:cs="Calibri"/>
                <w:b/>
                <w:bCs/>
                <w:sz w:val="20"/>
                <w:szCs w:val="20"/>
                <w:lang w:eastAsia="en-AU"/>
              </w:rPr>
            </w:pPr>
            <w:r w:rsidRPr="00EB4C52">
              <w:rPr>
                <w:rFonts w:ascii="Calibri" w:hAnsi="Calibri" w:cs="Calibri"/>
                <w:b/>
                <w:bCs/>
                <w:sz w:val="20"/>
                <w:szCs w:val="20"/>
              </w:rPr>
              <w:t>Total Liabilities</w:t>
            </w:r>
          </w:p>
        </w:tc>
        <w:tc>
          <w:tcPr>
            <w:tcW w:w="141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7E9A01E0" w14:textId="289973C0" w:rsidR="00877FC9" w:rsidRPr="00EB4C52" w:rsidRDefault="00877FC9" w:rsidP="00877FC9">
            <w:pPr>
              <w:spacing w:after="0" w:line="240" w:lineRule="auto"/>
              <w:jc w:val="right"/>
              <w:rPr>
                <w:rFonts w:ascii="Calibri" w:eastAsia="Times New Roman" w:hAnsi="Calibri" w:cs="Calibri"/>
                <w:b/>
                <w:bCs/>
                <w:sz w:val="20"/>
                <w:szCs w:val="20"/>
                <w:lang w:eastAsia="en-AU"/>
              </w:rPr>
            </w:pPr>
            <w:r w:rsidRPr="00050697">
              <w:rPr>
                <w:rFonts w:ascii="Calibri" w:hAnsi="Calibri" w:cs="Calibri"/>
                <w:b/>
                <w:bCs/>
                <w:color w:val="000000"/>
                <w:sz w:val="20"/>
                <w:szCs w:val="20"/>
              </w:rPr>
              <w:t>36,604,910</w:t>
            </w:r>
          </w:p>
        </w:tc>
        <w:tc>
          <w:tcPr>
            <w:tcW w:w="141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7546F1A5" w14:textId="21FA5A27" w:rsidR="00877FC9" w:rsidRPr="00EB4C52" w:rsidRDefault="00877FC9" w:rsidP="00877FC9">
            <w:pPr>
              <w:spacing w:after="0" w:line="240" w:lineRule="auto"/>
              <w:jc w:val="right"/>
              <w:rPr>
                <w:rFonts w:ascii="Calibri" w:eastAsia="Times New Roman" w:hAnsi="Calibri" w:cs="Calibri"/>
                <w:b/>
                <w:bCs/>
                <w:sz w:val="20"/>
                <w:szCs w:val="20"/>
                <w:lang w:eastAsia="en-AU"/>
              </w:rPr>
            </w:pPr>
            <w:r w:rsidRPr="00EB4C52">
              <w:rPr>
                <w:rFonts w:ascii="Calibri" w:hAnsi="Calibri" w:cs="Calibri"/>
                <w:b/>
                <w:bCs/>
                <w:sz w:val="20"/>
                <w:szCs w:val="20"/>
              </w:rPr>
              <w:t>34,217,859</w:t>
            </w:r>
          </w:p>
        </w:tc>
        <w:tc>
          <w:tcPr>
            <w:tcW w:w="1321"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3DB15023" w14:textId="6350A2C4" w:rsidR="00877FC9" w:rsidRPr="00EB4C52" w:rsidRDefault="00877FC9" w:rsidP="00877FC9">
            <w:pPr>
              <w:spacing w:after="0" w:line="240" w:lineRule="auto"/>
              <w:jc w:val="right"/>
              <w:rPr>
                <w:rFonts w:ascii="Calibri" w:eastAsia="Times New Roman" w:hAnsi="Calibri" w:cs="Calibri"/>
                <w:b/>
                <w:bCs/>
                <w:sz w:val="20"/>
                <w:szCs w:val="20"/>
                <w:lang w:eastAsia="en-AU"/>
              </w:rPr>
            </w:pPr>
            <w:r w:rsidRPr="00050697">
              <w:rPr>
                <w:rFonts w:ascii="Calibri" w:hAnsi="Calibri" w:cs="Calibri"/>
                <w:b/>
                <w:bCs/>
                <w:color w:val="000000"/>
                <w:sz w:val="20"/>
                <w:szCs w:val="20"/>
              </w:rPr>
              <w:t>2,387,051</w:t>
            </w:r>
          </w:p>
        </w:tc>
        <w:tc>
          <w:tcPr>
            <w:tcW w:w="1321" w:type="dxa"/>
            <w:tcBorders>
              <w:top w:val="nil"/>
              <w:left w:val="nil"/>
              <w:bottom w:val="single" w:sz="4" w:space="0" w:color="auto"/>
              <w:right w:val="single" w:sz="4" w:space="0" w:color="auto"/>
            </w:tcBorders>
            <w:shd w:val="clear" w:color="auto" w:fill="90D8CF" w:themeFill="accent4" w:themeFillTint="99"/>
            <w:noWrap/>
            <w:vAlign w:val="bottom"/>
            <w:hideMark/>
          </w:tcPr>
          <w:p w14:paraId="565C18AB" w14:textId="0A2E390E" w:rsidR="00877FC9" w:rsidRPr="00EB4C52" w:rsidRDefault="00877FC9" w:rsidP="00877FC9">
            <w:pPr>
              <w:spacing w:after="0" w:line="240" w:lineRule="auto"/>
              <w:jc w:val="right"/>
              <w:rPr>
                <w:rFonts w:ascii="Calibri" w:eastAsia="Times New Roman" w:hAnsi="Calibri" w:cs="Calibri"/>
                <w:b/>
                <w:bCs/>
                <w:sz w:val="20"/>
                <w:szCs w:val="20"/>
                <w:lang w:eastAsia="en-AU"/>
              </w:rPr>
            </w:pPr>
            <w:r w:rsidRPr="00050697">
              <w:rPr>
                <w:rFonts w:ascii="Calibri" w:hAnsi="Calibri" w:cs="Calibri"/>
                <w:b/>
                <w:bCs/>
                <w:color w:val="000000"/>
                <w:sz w:val="20"/>
                <w:szCs w:val="20"/>
              </w:rPr>
              <w:t>7.0%</w:t>
            </w:r>
          </w:p>
        </w:tc>
      </w:tr>
    </w:tbl>
    <w:p w14:paraId="240A6CFA" w14:textId="77777777" w:rsidR="00704E6A" w:rsidRPr="00877FC9" w:rsidRDefault="00704E6A" w:rsidP="00704E6A">
      <w:pPr>
        <w:spacing w:after="200" w:line="276" w:lineRule="auto"/>
        <w:rPr>
          <w:bCs/>
        </w:rPr>
      </w:pPr>
    </w:p>
    <w:p w14:paraId="300B2D99" w14:textId="3028C8F0" w:rsidR="005D21E8" w:rsidRDefault="005D21E8" w:rsidP="005D21E8">
      <w:pPr>
        <w:pStyle w:val="Heading6"/>
        <w:rPr>
          <w:rStyle w:val="Strong"/>
          <w:b/>
          <w:bCs w:val="0"/>
          <w:vertAlign w:val="superscript"/>
        </w:rPr>
      </w:pPr>
      <w:r w:rsidRPr="00877FC9">
        <w:rPr>
          <w:rStyle w:val="Strong"/>
          <w:b/>
          <w:bCs w:val="0"/>
        </w:rPr>
        <w:t>Figure 1</w:t>
      </w:r>
      <w:r w:rsidR="008345A9" w:rsidRPr="00877FC9">
        <w:rPr>
          <w:rStyle w:val="Strong"/>
          <w:b/>
          <w:bCs w:val="0"/>
        </w:rPr>
        <w:t>2</w:t>
      </w:r>
      <w:r w:rsidRPr="00877FC9">
        <w:rPr>
          <w:rStyle w:val="Strong"/>
          <w:b/>
          <w:bCs w:val="0"/>
        </w:rPr>
        <w:t>: 201</w:t>
      </w:r>
      <w:r w:rsidR="00877FC9">
        <w:rPr>
          <w:rStyle w:val="Strong"/>
          <w:b/>
          <w:bCs w:val="0"/>
        </w:rPr>
        <w:t>4</w:t>
      </w:r>
      <w:r w:rsidRPr="00877FC9">
        <w:rPr>
          <w:rStyle w:val="Strong"/>
          <w:b/>
          <w:bCs w:val="0"/>
        </w:rPr>
        <w:t>-202</w:t>
      </w:r>
      <w:r w:rsidR="00B87870">
        <w:rPr>
          <w:rStyle w:val="Strong"/>
          <w:b/>
          <w:bCs w:val="0"/>
        </w:rPr>
        <w:t>3</w:t>
      </w:r>
      <w:r w:rsidRPr="00877FC9">
        <w:rPr>
          <w:rStyle w:val="Strong"/>
          <w:b/>
          <w:bCs w:val="0"/>
        </w:rPr>
        <w:t xml:space="preserve"> Liabilities by Type</w:t>
      </w:r>
      <w:r w:rsidRPr="00877FC9">
        <w:rPr>
          <w:rStyle w:val="Strong"/>
          <w:b/>
          <w:bCs w:val="0"/>
          <w:vertAlign w:val="superscript"/>
        </w:rPr>
        <w:t>*</w:t>
      </w:r>
    </w:p>
    <w:p w14:paraId="233E1D25" w14:textId="2C2378CD" w:rsidR="00877FC9" w:rsidRDefault="00877FC9" w:rsidP="00B87870">
      <w:pPr>
        <w:spacing w:after="120"/>
      </w:pPr>
      <w:r>
        <w:rPr>
          <w:noProof/>
        </w:rPr>
        <w:drawing>
          <wp:inline distT="0" distB="0" distL="0" distR="0" wp14:anchorId="67DE2A76" wp14:editId="68BF0C7E">
            <wp:extent cx="5715000" cy="2476500"/>
            <wp:effectExtent l="0" t="0" r="0" b="0"/>
            <wp:docPr id="1279652907" name="Chart 1">
              <a:extLst xmlns:a="http://schemas.openxmlformats.org/drawingml/2006/main">
                <a:ext uri="{FF2B5EF4-FFF2-40B4-BE49-F238E27FC236}">
                  <a16:creationId xmlns:a16="http://schemas.microsoft.com/office/drawing/2014/main" id="{94E655F4-C0BA-458A-B6B6-BE47A9F260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B2AFB9" w14:textId="49AC5D8A" w:rsidR="005D21E8" w:rsidRPr="00B87870" w:rsidRDefault="005D21E8" w:rsidP="00B87870">
      <w:pPr>
        <w:spacing w:after="0" w:line="276" w:lineRule="auto"/>
        <w:rPr>
          <w:bCs/>
        </w:rPr>
      </w:pPr>
      <w:r w:rsidRPr="00B87870">
        <w:rPr>
          <w:bCs/>
          <w:vertAlign w:val="superscript"/>
        </w:rPr>
        <w:t>*</w:t>
      </w:r>
      <w:r w:rsidRPr="00B87870">
        <w:rPr>
          <w:bCs/>
          <w:sz w:val="18"/>
          <w:szCs w:val="18"/>
        </w:rPr>
        <w:t>Contract Liabilities and Lease Liabilities were recognised as a separate category from 2019 onwards due to changes in Australian Accounting Standards</w:t>
      </w:r>
      <w:r w:rsidR="001E2BB5" w:rsidRPr="00B87870">
        <w:rPr>
          <w:bCs/>
          <w:sz w:val="18"/>
          <w:szCs w:val="18"/>
        </w:rPr>
        <w:t>. There was no balance in these categories prior to 2019.</w:t>
      </w:r>
    </w:p>
    <w:p w14:paraId="134A7FE2" w14:textId="77777777" w:rsidR="00E133E7" w:rsidRDefault="00E133E7" w:rsidP="00E133E7">
      <w:pPr>
        <w:spacing w:after="0" w:line="276" w:lineRule="auto"/>
      </w:pPr>
    </w:p>
    <w:p w14:paraId="0059636F" w14:textId="386DE0E7" w:rsidR="00B235C6" w:rsidRPr="00B87870" w:rsidRDefault="000A1E13" w:rsidP="00E133E7">
      <w:pPr>
        <w:spacing w:after="200" w:line="276" w:lineRule="auto"/>
        <w:rPr>
          <w:bCs/>
        </w:rPr>
      </w:pPr>
      <w:r w:rsidRPr="00B87870">
        <w:t xml:space="preserve">Total liabilities </w:t>
      </w:r>
      <w:r w:rsidR="00432243" w:rsidRPr="00B87870">
        <w:t xml:space="preserve">across the sector </w:t>
      </w:r>
      <w:r w:rsidRPr="00B87870">
        <w:t>were $3</w:t>
      </w:r>
      <w:r w:rsidR="00B87870" w:rsidRPr="00B87870">
        <w:t>6.6</w:t>
      </w:r>
      <w:r w:rsidRPr="00B87870">
        <w:t xml:space="preserve"> billion as </w:t>
      </w:r>
      <w:proofErr w:type="gramStart"/>
      <w:r w:rsidRPr="00B87870">
        <w:t>at</w:t>
      </w:r>
      <w:proofErr w:type="gramEnd"/>
      <w:r w:rsidRPr="00B87870">
        <w:t xml:space="preserve"> 31 December 202</w:t>
      </w:r>
      <w:r w:rsidR="00B87870" w:rsidRPr="00B87870">
        <w:t>3</w:t>
      </w:r>
      <w:r w:rsidRPr="00B87870">
        <w:t xml:space="preserve">, an increase of </w:t>
      </w:r>
      <w:r w:rsidR="00B87870" w:rsidRPr="00B87870">
        <w:t>7.0</w:t>
      </w:r>
      <w:r w:rsidR="004E6C81">
        <w:t>%</w:t>
      </w:r>
      <w:r w:rsidRPr="00B87870">
        <w:t xml:space="preserve"> from $3</w:t>
      </w:r>
      <w:r w:rsidR="00B87870" w:rsidRPr="00B87870">
        <w:t>4.2</w:t>
      </w:r>
      <w:r w:rsidRPr="00B87870">
        <w:t> billion in 202</w:t>
      </w:r>
      <w:r w:rsidR="00B87870" w:rsidRPr="00B87870">
        <w:t>2</w:t>
      </w:r>
      <w:r w:rsidRPr="00B87870">
        <w:t xml:space="preserve">. </w:t>
      </w:r>
      <w:r w:rsidR="00B87870" w:rsidRPr="00B87870">
        <w:t>This growth was driven by increases in most categories, most notably lease liabilities, borrowings and contract liabilities.</w:t>
      </w:r>
    </w:p>
    <w:p w14:paraId="34DEA33E" w14:textId="0D2FD20F" w:rsidR="000A1E13" w:rsidRPr="00B87870" w:rsidRDefault="000A1E13" w:rsidP="00432243">
      <w:pPr>
        <w:spacing w:after="200" w:line="276" w:lineRule="auto"/>
        <w:rPr>
          <w:bCs/>
        </w:rPr>
      </w:pPr>
      <w:r w:rsidRPr="00B87870">
        <w:t>Provisions continue to represent the largest component of liabilities at $1</w:t>
      </w:r>
      <w:r w:rsidR="00B235C6" w:rsidRPr="00B87870">
        <w:t>1.</w:t>
      </w:r>
      <w:r w:rsidR="00B87870" w:rsidRPr="00B87870">
        <w:t>4</w:t>
      </w:r>
      <w:r w:rsidRPr="00B87870">
        <w:t xml:space="preserve"> billion and </w:t>
      </w:r>
      <w:r w:rsidR="00E937B1">
        <w:t xml:space="preserve">are </w:t>
      </w:r>
      <w:r w:rsidRPr="00B87870">
        <w:t>comprised mostly of provisions for employee benefits</w:t>
      </w:r>
      <w:r w:rsidR="004845DA" w:rsidRPr="00B87870">
        <w:t xml:space="preserve">, including long service leave and </w:t>
      </w:r>
      <w:r w:rsidR="005D0D34" w:rsidRPr="00B87870">
        <w:t>retirement obligations</w:t>
      </w:r>
      <w:r w:rsidRPr="00B87870">
        <w:t>.</w:t>
      </w:r>
    </w:p>
    <w:p w14:paraId="20DFA4A5" w14:textId="7991A5E1" w:rsidR="000A1E13" w:rsidRDefault="000A1E13" w:rsidP="00737379">
      <w:pPr>
        <w:spacing w:after="200" w:line="276" w:lineRule="auto"/>
        <w:rPr>
          <w:rFonts w:ascii="Calibri" w:eastAsiaTheme="majorEastAsia" w:hAnsi="Calibri" w:cstheme="majorBidi"/>
          <w:b/>
          <w:color w:val="002D3F"/>
          <w:sz w:val="32"/>
          <w:szCs w:val="32"/>
        </w:rPr>
      </w:pPr>
      <w:r w:rsidRPr="00B87870">
        <w:t>Borrowings made up the second largest component of liabilities at $</w:t>
      </w:r>
      <w:r w:rsidR="00B17054" w:rsidRPr="00B87870">
        <w:t>7.</w:t>
      </w:r>
      <w:r w:rsidR="00B87870" w:rsidRPr="00B87870">
        <w:t>8</w:t>
      </w:r>
      <w:r w:rsidRPr="00B87870">
        <w:t xml:space="preserve"> billion, </w:t>
      </w:r>
      <w:r w:rsidR="00B17054" w:rsidRPr="00B87870">
        <w:t xml:space="preserve">up </w:t>
      </w:r>
      <w:r w:rsidR="00B87870" w:rsidRPr="00B87870">
        <w:t>6</w:t>
      </w:r>
      <w:r w:rsidR="00B17054" w:rsidRPr="00B87870">
        <w:t>.7</w:t>
      </w:r>
      <w:r w:rsidR="004E6C81">
        <w:t>%</w:t>
      </w:r>
      <w:r w:rsidRPr="00B87870">
        <w:t xml:space="preserve"> from $</w:t>
      </w:r>
      <w:r w:rsidR="00B87870" w:rsidRPr="00B87870">
        <w:t>7.3</w:t>
      </w:r>
      <w:r w:rsidRPr="00B87870">
        <w:t> billion in 202</w:t>
      </w:r>
      <w:r w:rsidR="00B87870" w:rsidRPr="00B87870">
        <w:t>2</w:t>
      </w:r>
      <w:r w:rsidR="00131289" w:rsidRPr="00B87870">
        <w:t xml:space="preserve"> as universities </w:t>
      </w:r>
      <w:r w:rsidR="00B87870" w:rsidRPr="00B87870">
        <w:t>continue</w:t>
      </w:r>
      <w:r w:rsidR="00131289" w:rsidRPr="00B87870">
        <w:t xml:space="preserve"> to invest in </w:t>
      </w:r>
      <w:r w:rsidR="00B87870" w:rsidRPr="00B87870">
        <w:t xml:space="preserve">capital works and </w:t>
      </w:r>
      <w:r w:rsidR="00131289" w:rsidRPr="00B87870">
        <w:t>campus development projects</w:t>
      </w:r>
      <w:r w:rsidRPr="00B87870">
        <w:t>.</w:t>
      </w:r>
      <w:r w:rsidRPr="008B4359">
        <w:t xml:space="preserve"> </w:t>
      </w:r>
      <w:bookmarkEnd w:id="21"/>
      <w:r>
        <w:br w:type="page"/>
      </w:r>
    </w:p>
    <w:p w14:paraId="69F924D3" w14:textId="40B67525" w:rsidR="00504A08" w:rsidRPr="001311B7" w:rsidRDefault="00504A08" w:rsidP="00504A08">
      <w:pPr>
        <w:pStyle w:val="Heading1"/>
        <w:rPr>
          <w:rFonts w:asciiTheme="minorHAnsi" w:eastAsiaTheme="minorEastAsia" w:hAnsiTheme="minorHAnsi" w:cstheme="minorBidi"/>
          <w:bCs/>
          <w:color w:val="auto"/>
          <w:sz w:val="22"/>
          <w:szCs w:val="22"/>
        </w:rPr>
      </w:pPr>
      <w:bookmarkStart w:id="22" w:name="_Toc183521029"/>
      <w:bookmarkStart w:id="23" w:name="_Toc126584997"/>
      <w:r w:rsidRPr="00504A08">
        <w:rPr>
          <w:rStyle w:val="Heading2Char"/>
          <w:b/>
          <w:bCs/>
        </w:rPr>
        <w:lastRenderedPageBreak/>
        <w:t>HEPs Included in the Finance</w:t>
      </w:r>
      <w:r w:rsidR="001E7AA9">
        <w:rPr>
          <w:rStyle w:val="Heading2Char"/>
          <w:b/>
          <w:bCs/>
        </w:rPr>
        <w:t xml:space="preserve"> Publication</w:t>
      </w:r>
      <w:bookmarkEnd w:id="22"/>
    </w:p>
    <w:p w14:paraId="44B1CDB4" w14:textId="77777777" w:rsidR="00504A08" w:rsidRDefault="00504A08" w:rsidP="00504A08">
      <w:pPr>
        <w:pStyle w:val="Heading3"/>
      </w:pPr>
      <w:bookmarkStart w:id="24" w:name="_Toc183521030"/>
      <w:r>
        <w:t>Table A</w:t>
      </w:r>
      <w:bookmarkEnd w:id="23"/>
      <w:bookmarkEnd w:id="24"/>
    </w:p>
    <w:p w14:paraId="742D3BD1" w14:textId="77777777" w:rsidR="00504A08" w:rsidRPr="00481173" w:rsidRDefault="00504A08" w:rsidP="001E7AA9">
      <w:pPr>
        <w:pStyle w:val="Heading5"/>
      </w:pPr>
      <w:r w:rsidRPr="00481173">
        <w:t>New South Wales</w:t>
      </w:r>
    </w:p>
    <w:p w14:paraId="065CC16F" w14:textId="77777777" w:rsidR="00504A08" w:rsidRDefault="00504A08" w:rsidP="00504A08">
      <w:pPr>
        <w:spacing w:after="120"/>
      </w:pPr>
      <w:r w:rsidRPr="00D0226D">
        <w:t>Charles Sturt University</w:t>
      </w:r>
    </w:p>
    <w:p w14:paraId="2F756038" w14:textId="77777777" w:rsidR="00504A08" w:rsidRDefault="00504A08" w:rsidP="00504A08">
      <w:pPr>
        <w:spacing w:after="120"/>
      </w:pPr>
      <w:r w:rsidRPr="00D0226D">
        <w:t>Macquarie University</w:t>
      </w:r>
    </w:p>
    <w:p w14:paraId="44F91438" w14:textId="77777777" w:rsidR="00504A08" w:rsidRDefault="00504A08" w:rsidP="00504A08">
      <w:pPr>
        <w:spacing w:after="120"/>
      </w:pPr>
      <w:r w:rsidRPr="00D0226D">
        <w:t>Southern Cross University</w:t>
      </w:r>
    </w:p>
    <w:p w14:paraId="228973F3" w14:textId="77777777" w:rsidR="00504A08" w:rsidRDefault="00504A08" w:rsidP="00504A08">
      <w:pPr>
        <w:spacing w:after="120"/>
      </w:pPr>
      <w:r w:rsidRPr="00D0226D">
        <w:t>The University of New England</w:t>
      </w:r>
    </w:p>
    <w:p w14:paraId="0E31EF52" w14:textId="77777777" w:rsidR="00504A08" w:rsidRDefault="00504A08" w:rsidP="00504A08">
      <w:pPr>
        <w:spacing w:after="120"/>
      </w:pPr>
      <w:r w:rsidRPr="00D0226D">
        <w:t>The University of New South Wales</w:t>
      </w:r>
    </w:p>
    <w:p w14:paraId="2CB6DF8D" w14:textId="77777777" w:rsidR="00504A08" w:rsidRDefault="00504A08" w:rsidP="00504A08">
      <w:pPr>
        <w:spacing w:after="120"/>
      </w:pPr>
      <w:r w:rsidRPr="00D0226D">
        <w:t>The University of Newcastle</w:t>
      </w:r>
    </w:p>
    <w:p w14:paraId="7EAAF7FD" w14:textId="77777777" w:rsidR="00504A08" w:rsidRDefault="00504A08" w:rsidP="00504A08">
      <w:pPr>
        <w:spacing w:after="120"/>
      </w:pPr>
      <w:r w:rsidRPr="00D0226D">
        <w:t>The University of Sydney</w:t>
      </w:r>
    </w:p>
    <w:p w14:paraId="7FF8A7F5" w14:textId="77777777" w:rsidR="00504A08" w:rsidRDefault="00504A08" w:rsidP="00504A08">
      <w:pPr>
        <w:spacing w:after="120"/>
      </w:pPr>
      <w:r>
        <w:t>University of Technology</w:t>
      </w:r>
      <w:r w:rsidRPr="00D0226D">
        <w:t xml:space="preserve"> Sydney</w:t>
      </w:r>
    </w:p>
    <w:p w14:paraId="0150565F" w14:textId="77777777" w:rsidR="00504A08" w:rsidRDefault="00504A08" w:rsidP="00504A08">
      <w:pPr>
        <w:spacing w:after="120"/>
      </w:pPr>
      <w:r w:rsidRPr="00D0226D">
        <w:t>University of Wollongong</w:t>
      </w:r>
    </w:p>
    <w:p w14:paraId="020E3170" w14:textId="77777777" w:rsidR="00504A08" w:rsidRDefault="00504A08" w:rsidP="00504A08">
      <w:pPr>
        <w:spacing w:after="120"/>
      </w:pPr>
      <w:r w:rsidRPr="00D0226D">
        <w:t>Western Sydney</w:t>
      </w:r>
      <w:r>
        <w:t xml:space="preserve"> University</w:t>
      </w:r>
    </w:p>
    <w:p w14:paraId="758B4EA2" w14:textId="77777777" w:rsidR="00504A08" w:rsidRPr="00481173" w:rsidRDefault="00504A08" w:rsidP="001E7AA9">
      <w:pPr>
        <w:pStyle w:val="Heading5"/>
      </w:pPr>
      <w:bookmarkStart w:id="25" w:name="_Toc531167989"/>
      <w:r w:rsidRPr="00481173">
        <w:t>Victoria</w:t>
      </w:r>
      <w:bookmarkEnd w:id="25"/>
    </w:p>
    <w:p w14:paraId="7C5483FC" w14:textId="77777777" w:rsidR="00504A08" w:rsidRDefault="00504A08" w:rsidP="00504A08">
      <w:pPr>
        <w:spacing w:after="120"/>
      </w:pPr>
      <w:r>
        <w:t>Federation University</w:t>
      </w:r>
      <w:r w:rsidRPr="00D0226D">
        <w:t xml:space="preserve"> </w:t>
      </w:r>
      <w:r>
        <w:t>Australia</w:t>
      </w:r>
    </w:p>
    <w:p w14:paraId="5158580D" w14:textId="77777777" w:rsidR="00504A08" w:rsidRDefault="00504A08" w:rsidP="00504A08">
      <w:pPr>
        <w:spacing w:after="120"/>
      </w:pPr>
      <w:r w:rsidRPr="00D0226D">
        <w:t>Deakin University</w:t>
      </w:r>
    </w:p>
    <w:p w14:paraId="4536CE27" w14:textId="77777777" w:rsidR="00504A08" w:rsidRDefault="00504A08" w:rsidP="00504A08">
      <w:pPr>
        <w:spacing w:after="120"/>
      </w:pPr>
      <w:r w:rsidRPr="00D0226D">
        <w:t>La Trobe University</w:t>
      </w:r>
    </w:p>
    <w:p w14:paraId="628F896E" w14:textId="77777777" w:rsidR="00504A08" w:rsidRDefault="00504A08" w:rsidP="00504A08">
      <w:pPr>
        <w:spacing w:after="120"/>
      </w:pPr>
      <w:r w:rsidRPr="00D0226D">
        <w:t>Monash University</w:t>
      </w:r>
    </w:p>
    <w:p w14:paraId="379823F1" w14:textId="77777777" w:rsidR="00504A08" w:rsidRDefault="00504A08" w:rsidP="00504A08">
      <w:pPr>
        <w:spacing w:after="120"/>
      </w:pPr>
      <w:r w:rsidRPr="00D0226D">
        <w:t>RMIT University</w:t>
      </w:r>
    </w:p>
    <w:p w14:paraId="62A7AC5D" w14:textId="77777777" w:rsidR="00504A08" w:rsidRDefault="00504A08" w:rsidP="00504A08">
      <w:pPr>
        <w:spacing w:after="120"/>
      </w:pPr>
      <w:r w:rsidRPr="00D0226D">
        <w:t>Swinburne University</w:t>
      </w:r>
    </w:p>
    <w:p w14:paraId="558C677E" w14:textId="77777777" w:rsidR="00504A08" w:rsidRDefault="00504A08" w:rsidP="00504A08">
      <w:pPr>
        <w:spacing w:after="120"/>
      </w:pPr>
      <w:r w:rsidRPr="00D0226D">
        <w:t>The University of Melbourne</w:t>
      </w:r>
    </w:p>
    <w:p w14:paraId="066B2258" w14:textId="77777777" w:rsidR="00504A08" w:rsidRDefault="00504A08" w:rsidP="00504A08">
      <w:pPr>
        <w:spacing w:after="120"/>
      </w:pPr>
      <w:r w:rsidRPr="00904A67">
        <w:t>Victoria University</w:t>
      </w:r>
    </w:p>
    <w:p w14:paraId="57114E14" w14:textId="77777777" w:rsidR="00504A08" w:rsidRPr="00481173" w:rsidRDefault="00504A08" w:rsidP="001E7AA9">
      <w:pPr>
        <w:pStyle w:val="Heading5"/>
      </w:pPr>
      <w:bookmarkStart w:id="26" w:name="_Toc531167990"/>
      <w:r w:rsidRPr="00481173">
        <w:t>Queensland</w:t>
      </w:r>
      <w:bookmarkEnd w:id="26"/>
    </w:p>
    <w:p w14:paraId="4DED3360" w14:textId="77777777" w:rsidR="00504A08" w:rsidRDefault="00504A08" w:rsidP="00504A08">
      <w:pPr>
        <w:spacing w:after="120"/>
      </w:pPr>
      <w:r w:rsidRPr="00D0226D">
        <w:t>Central Queensland University</w:t>
      </w:r>
    </w:p>
    <w:p w14:paraId="1FD8C91C" w14:textId="77777777" w:rsidR="00504A08" w:rsidRDefault="00504A08" w:rsidP="00504A08">
      <w:pPr>
        <w:spacing w:after="120"/>
      </w:pPr>
      <w:r w:rsidRPr="00D0226D">
        <w:t>Griffith University</w:t>
      </w:r>
    </w:p>
    <w:p w14:paraId="5AA80BD7" w14:textId="77777777" w:rsidR="00504A08" w:rsidRDefault="00504A08" w:rsidP="00504A08">
      <w:pPr>
        <w:spacing w:after="120"/>
      </w:pPr>
      <w:r w:rsidRPr="00D0226D">
        <w:t>James Cook University</w:t>
      </w:r>
    </w:p>
    <w:p w14:paraId="7BDB1AAF" w14:textId="77777777" w:rsidR="00504A08" w:rsidRDefault="00504A08" w:rsidP="00504A08">
      <w:pPr>
        <w:spacing w:after="120"/>
      </w:pPr>
      <w:r w:rsidRPr="00D0226D">
        <w:t>Queensland University of Technology</w:t>
      </w:r>
    </w:p>
    <w:p w14:paraId="1F9B94C7" w14:textId="77777777" w:rsidR="00504A08" w:rsidRDefault="00504A08" w:rsidP="00504A08">
      <w:pPr>
        <w:spacing w:after="120"/>
      </w:pPr>
      <w:r w:rsidRPr="00D0226D">
        <w:t>The University of Queensland</w:t>
      </w:r>
    </w:p>
    <w:p w14:paraId="2EA74AAB" w14:textId="77777777" w:rsidR="00504A08" w:rsidRDefault="00504A08" w:rsidP="00504A08">
      <w:pPr>
        <w:spacing w:after="120"/>
      </w:pPr>
      <w:r w:rsidRPr="00D0226D">
        <w:t>University of Southern Queensland</w:t>
      </w:r>
    </w:p>
    <w:p w14:paraId="62E85AAF" w14:textId="77777777" w:rsidR="00504A08" w:rsidRDefault="00504A08" w:rsidP="00504A08">
      <w:pPr>
        <w:spacing w:after="120"/>
      </w:pPr>
      <w:r w:rsidRPr="00D0226D">
        <w:t>University of the Sunshine Coast</w:t>
      </w:r>
    </w:p>
    <w:p w14:paraId="06EBE03E" w14:textId="77777777" w:rsidR="00504A08" w:rsidRPr="00481173" w:rsidRDefault="00504A08" w:rsidP="001E7AA9">
      <w:pPr>
        <w:pStyle w:val="Heading5"/>
      </w:pPr>
      <w:bookmarkStart w:id="27" w:name="_Toc531167991"/>
      <w:r w:rsidRPr="00481173">
        <w:t>Western Australia</w:t>
      </w:r>
      <w:bookmarkEnd w:id="27"/>
    </w:p>
    <w:p w14:paraId="220656E2" w14:textId="77777777" w:rsidR="00504A08" w:rsidRPr="005E3AC9" w:rsidRDefault="00504A08" w:rsidP="00504A08">
      <w:pPr>
        <w:spacing w:after="120"/>
      </w:pPr>
      <w:r w:rsidRPr="005E3AC9">
        <w:t>Curtin University of Technology</w:t>
      </w:r>
    </w:p>
    <w:p w14:paraId="683FE3F5" w14:textId="77777777" w:rsidR="00504A08" w:rsidRPr="005E3AC9" w:rsidRDefault="00504A08" w:rsidP="00504A08">
      <w:pPr>
        <w:spacing w:after="120"/>
      </w:pPr>
      <w:r w:rsidRPr="005E3AC9">
        <w:lastRenderedPageBreak/>
        <w:t>Edith Cowan University</w:t>
      </w:r>
    </w:p>
    <w:p w14:paraId="76190F42" w14:textId="77777777" w:rsidR="00504A08" w:rsidRPr="005E3AC9" w:rsidRDefault="00504A08" w:rsidP="00504A08">
      <w:pPr>
        <w:spacing w:after="120"/>
      </w:pPr>
      <w:r w:rsidRPr="005E3AC9">
        <w:t>Murdoch University</w:t>
      </w:r>
    </w:p>
    <w:p w14:paraId="3A6B4E57" w14:textId="77777777" w:rsidR="00504A08" w:rsidRPr="005E3AC9" w:rsidRDefault="00504A08" w:rsidP="00504A08">
      <w:pPr>
        <w:spacing w:after="120"/>
      </w:pPr>
      <w:r w:rsidRPr="005E3AC9">
        <w:t>The University of Notre Dame Australia</w:t>
      </w:r>
    </w:p>
    <w:p w14:paraId="41A920B8" w14:textId="77777777" w:rsidR="00504A08" w:rsidRPr="005E3AC9" w:rsidRDefault="00504A08" w:rsidP="00504A08">
      <w:pPr>
        <w:spacing w:after="120"/>
      </w:pPr>
      <w:r w:rsidRPr="005E3AC9">
        <w:t>The University of Western Australia</w:t>
      </w:r>
    </w:p>
    <w:p w14:paraId="105906C4" w14:textId="77777777" w:rsidR="00504A08" w:rsidRPr="00481173" w:rsidRDefault="00504A08" w:rsidP="001E7AA9">
      <w:pPr>
        <w:pStyle w:val="Heading5"/>
      </w:pPr>
      <w:bookmarkStart w:id="28" w:name="_Toc531167992"/>
      <w:r w:rsidRPr="00481173">
        <w:t>South Australia</w:t>
      </w:r>
      <w:bookmarkEnd w:id="28"/>
    </w:p>
    <w:p w14:paraId="42655177" w14:textId="77777777" w:rsidR="00504A08" w:rsidRPr="005E3AC9" w:rsidRDefault="00504A08" w:rsidP="00504A08">
      <w:pPr>
        <w:spacing w:after="120"/>
      </w:pPr>
      <w:r w:rsidRPr="005E3AC9">
        <w:t>The Flinders University of South Australia</w:t>
      </w:r>
    </w:p>
    <w:p w14:paraId="43F307EA" w14:textId="77777777" w:rsidR="00504A08" w:rsidRPr="005E3AC9" w:rsidRDefault="00504A08" w:rsidP="00504A08">
      <w:pPr>
        <w:spacing w:after="120"/>
      </w:pPr>
      <w:r w:rsidRPr="005E3AC9">
        <w:t>The University of Adelaide</w:t>
      </w:r>
    </w:p>
    <w:p w14:paraId="5D837300" w14:textId="77777777" w:rsidR="00504A08" w:rsidRPr="005E3AC9" w:rsidRDefault="00504A08" w:rsidP="00504A08">
      <w:pPr>
        <w:spacing w:after="120"/>
      </w:pPr>
      <w:r w:rsidRPr="005E3AC9">
        <w:t>University of South Australia</w:t>
      </w:r>
    </w:p>
    <w:p w14:paraId="16DF9C6C" w14:textId="77777777" w:rsidR="00504A08" w:rsidRPr="00481173" w:rsidRDefault="00504A08" w:rsidP="001E7AA9">
      <w:pPr>
        <w:pStyle w:val="Heading5"/>
      </w:pPr>
      <w:bookmarkStart w:id="29" w:name="_Toc531167993"/>
      <w:r w:rsidRPr="00481173">
        <w:t>Tasmania</w:t>
      </w:r>
      <w:bookmarkEnd w:id="29"/>
    </w:p>
    <w:p w14:paraId="1B809169" w14:textId="77777777" w:rsidR="00504A08" w:rsidRPr="005E3AC9" w:rsidRDefault="00504A08" w:rsidP="00504A08">
      <w:pPr>
        <w:spacing w:after="120"/>
      </w:pPr>
      <w:r w:rsidRPr="005E3AC9">
        <w:t>University of Tasmania</w:t>
      </w:r>
    </w:p>
    <w:p w14:paraId="2E572922" w14:textId="77777777" w:rsidR="00504A08" w:rsidRPr="00481173" w:rsidRDefault="00504A08" w:rsidP="001E7AA9">
      <w:pPr>
        <w:pStyle w:val="Heading5"/>
      </w:pPr>
      <w:bookmarkStart w:id="30" w:name="_Toc531167994"/>
      <w:r w:rsidRPr="00481173">
        <w:t>Northern Territory</w:t>
      </w:r>
      <w:bookmarkEnd w:id="30"/>
    </w:p>
    <w:p w14:paraId="60D1DBD6" w14:textId="77777777" w:rsidR="00504A08" w:rsidRPr="005E3AC9" w:rsidRDefault="00504A08" w:rsidP="00504A08">
      <w:pPr>
        <w:spacing w:after="120"/>
      </w:pPr>
      <w:r w:rsidRPr="005E3AC9">
        <w:t>Batchelor Institute of Indigenous Tertiary Education</w:t>
      </w:r>
    </w:p>
    <w:p w14:paraId="6DEB7C74" w14:textId="77777777" w:rsidR="00504A08" w:rsidRPr="005E3AC9" w:rsidRDefault="00504A08" w:rsidP="00504A08">
      <w:pPr>
        <w:spacing w:after="120"/>
      </w:pPr>
      <w:r w:rsidRPr="005E3AC9">
        <w:t>Charles Darwin University</w:t>
      </w:r>
    </w:p>
    <w:p w14:paraId="7E125490" w14:textId="77777777" w:rsidR="00504A08" w:rsidRPr="00481173" w:rsidRDefault="00504A08" w:rsidP="001E7AA9">
      <w:pPr>
        <w:pStyle w:val="Heading5"/>
      </w:pPr>
      <w:bookmarkStart w:id="31" w:name="_Toc531167995"/>
      <w:r w:rsidRPr="00481173">
        <w:t>Australian Capital Territory</w:t>
      </w:r>
      <w:bookmarkEnd w:id="31"/>
    </w:p>
    <w:p w14:paraId="20432435" w14:textId="77777777" w:rsidR="00504A08" w:rsidRDefault="00504A08" w:rsidP="00504A08">
      <w:pPr>
        <w:spacing w:after="120"/>
      </w:pPr>
      <w:r w:rsidRPr="00D0226D">
        <w:t>The Australian National University</w:t>
      </w:r>
    </w:p>
    <w:p w14:paraId="4AD0BD86" w14:textId="77777777" w:rsidR="00504A08" w:rsidRDefault="00504A08" w:rsidP="00504A08">
      <w:pPr>
        <w:spacing w:after="120"/>
      </w:pPr>
      <w:r w:rsidRPr="00D0226D">
        <w:t>University of Canberra</w:t>
      </w:r>
    </w:p>
    <w:p w14:paraId="4503A754" w14:textId="77777777" w:rsidR="00504A08" w:rsidRPr="00481173" w:rsidRDefault="00504A08" w:rsidP="001E7AA9">
      <w:pPr>
        <w:pStyle w:val="Heading5"/>
      </w:pPr>
      <w:bookmarkStart w:id="32" w:name="_Toc531167996"/>
      <w:r w:rsidRPr="00481173">
        <w:t>Multi State</w:t>
      </w:r>
      <w:bookmarkEnd w:id="32"/>
    </w:p>
    <w:p w14:paraId="38371FB4" w14:textId="77777777" w:rsidR="00504A08" w:rsidRPr="00904A67" w:rsidRDefault="00504A08" w:rsidP="00504A08">
      <w:pPr>
        <w:spacing w:after="120"/>
        <w:rPr>
          <w:rFonts w:cs="Times New Roman"/>
        </w:rPr>
      </w:pPr>
      <w:r w:rsidRPr="00D0226D">
        <w:t>Australian Catholic University</w:t>
      </w:r>
    </w:p>
    <w:p w14:paraId="35C7FC3B" w14:textId="77777777" w:rsidR="00504A08" w:rsidRDefault="00504A08" w:rsidP="00504A08">
      <w:pPr>
        <w:pStyle w:val="Heading3"/>
      </w:pPr>
      <w:bookmarkStart w:id="33" w:name="_Toc126584998"/>
      <w:bookmarkStart w:id="34" w:name="_Toc183521031"/>
      <w:r>
        <w:t>Table B</w:t>
      </w:r>
      <w:bookmarkEnd w:id="33"/>
      <w:bookmarkEnd w:id="34"/>
    </w:p>
    <w:p w14:paraId="6C162C6F" w14:textId="77777777" w:rsidR="00E93956" w:rsidRDefault="00E93956" w:rsidP="00504A08">
      <w:pPr>
        <w:spacing w:after="120"/>
      </w:pPr>
      <w:r>
        <w:t>Avondale University</w:t>
      </w:r>
    </w:p>
    <w:p w14:paraId="542433FB" w14:textId="424F0240" w:rsidR="00504A08" w:rsidRPr="009F4296" w:rsidRDefault="00504A08" w:rsidP="00504A08">
      <w:pPr>
        <w:spacing w:after="120"/>
      </w:pPr>
      <w:r w:rsidRPr="009F4296">
        <w:t>Bond University Limited</w:t>
      </w:r>
    </w:p>
    <w:p w14:paraId="52A40C64" w14:textId="77777777" w:rsidR="00504A08" w:rsidRDefault="00504A08" w:rsidP="00504A08">
      <w:pPr>
        <w:spacing w:after="120"/>
      </w:pPr>
      <w:r w:rsidRPr="009F4296">
        <w:t>Torrens University Australia Ltd</w:t>
      </w:r>
    </w:p>
    <w:p w14:paraId="032F70E9" w14:textId="77777777" w:rsidR="00E93956" w:rsidRPr="009F4296" w:rsidRDefault="00E93956" w:rsidP="00E93956">
      <w:pPr>
        <w:spacing w:after="120"/>
      </w:pPr>
      <w:r w:rsidRPr="009F4296">
        <w:t>University of Divinity</w:t>
      </w:r>
    </w:p>
    <w:p w14:paraId="464C0EB3" w14:textId="77777777" w:rsidR="00E93956" w:rsidRPr="005E3AC9" w:rsidRDefault="00E93956" w:rsidP="00504A08">
      <w:pPr>
        <w:spacing w:after="120"/>
      </w:pPr>
    </w:p>
    <w:bookmarkEnd w:id="5"/>
    <w:bookmarkEnd w:id="6"/>
    <w:p w14:paraId="7A7C44D2" w14:textId="77777777" w:rsidR="00504A08" w:rsidRPr="001F40AE" w:rsidRDefault="00504A08" w:rsidP="00504A08"/>
    <w:sectPr w:rsidR="00504A08" w:rsidRPr="001F40AE" w:rsidSect="009C1397">
      <w:type w:val="continuous"/>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2C9D" w14:textId="77777777" w:rsidR="000C7D77" w:rsidRDefault="000C7D77" w:rsidP="000A6228">
      <w:pPr>
        <w:spacing w:after="0" w:line="240" w:lineRule="auto"/>
      </w:pPr>
      <w:r>
        <w:separator/>
      </w:r>
    </w:p>
  </w:endnote>
  <w:endnote w:type="continuationSeparator" w:id="0">
    <w:p w14:paraId="5E336B8E" w14:textId="77777777" w:rsidR="000C7D77" w:rsidRDefault="000C7D7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23FA" w14:textId="77777777" w:rsidR="00354BA0" w:rsidRDefault="00354BA0" w:rsidP="00354BA0">
    <w:pPr>
      <w:tabs>
        <w:tab w:val="left" w:pos="5856"/>
      </w:tabs>
      <w:spacing w:before="8040"/>
      <w:contextualSpacing/>
    </w:pPr>
    <w:bookmarkStart w:id="2" w:name="_Hlk110543550"/>
    <w:r w:rsidRPr="003C539C">
      <w:t>ISBN</w:t>
    </w:r>
    <w:r>
      <w:t xml:space="preserve">  </w:t>
    </w:r>
    <w:r w:rsidRPr="00BB169A">
      <w:t>2209-9654</w:t>
    </w:r>
    <w:r w:rsidRPr="003C539C">
      <w:t xml:space="preserve"> </w:t>
    </w:r>
  </w:p>
  <w:p w14:paraId="38B51DEA" w14:textId="77777777" w:rsidR="00354BA0" w:rsidRDefault="00354BA0" w:rsidP="00354BA0">
    <w:pPr>
      <w:tabs>
        <w:tab w:val="left" w:pos="5856"/>
      </w:tabs>
      <w:spacing w:before="8040"/>
      <w:contextualSpacing/>
    </w:pPr>
  </w:p>
  <w:p w14:paraId="174969A9" w14:textId="77777777" w:rsidR="00354BA0" w:rsidRDefault="00354BA0" w:rsidP="00354BA0">
    <w:pPr>
      <w:tabs>
        <w:tab w:val="left" w:pos="5856"/>
      </w:tabs>
      <w:spacing w:before="8040"/>
      <w:contextualSpacing/>
    </w:pPr>
  </w:p>
  <w:p w14:paraId="76672F17" w14:textId="77777777" w:rsidR="00354BA0" w:rsidRPr="003C539C" w:rsidRDefault="00354BA0" w:rsidP="00354BA0">
    <w:pPr>
      <w:tabs>
        <w:tab w:val="left" w:pos="5856"/>
      </w:tabs>
      <w:spacing w:before="8040"/>
      <w:contextualSpacing/>
    </w:pPr>
  </w:p>
  <w:p w14:paraId="6F86761F" w14:textId="77777777" w:rsidR="00354BA0" w:rsidRPr="003C539C" w:rsidRDefault="00354BA0" w:rsidP="00354BA0">
    <w:bookmarkStart w:id="3" w:name="_Hlk110543639"/>
    <w:r w:rsidRPr="003C539C">
      <w:rPr>
        <w:noProof/>
      </w:rPr>
      <w:drawing>
        <wp:inline distT="0" distB="0" distL="0" distR="0" wp14:anchorId="4A694D86" wp14:editId="44CFEF3D">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 r:link="rId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46E6B57" w14:textId="77777777" w:rsidR="00354BA0" w:rsidRPr="00155022" w:rsidRDefault="00354BA0" w:rsidP="00354BA0">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3" w:history="1">
      <w:r w:rsidRPr="00155022">
        <w:rPr>
          <w:rStyle w:val="Hyperlink"/>
        </w:rPr>
        <w:t>Creative Commons Attribution 4.0 International</w:t>
      </w:r>
    </w:hyperlink>
    <w:r w:rsidRPr="00155022">
      <w:t xml:space="preserve"> (https://creativecommons.org/licenses/by/4.0/) licence.</w:t>
    </w:r>
  </w:p>
  <w:p w14:paraId="6B18A79E" w14:textId="77777777" w:rsidR="00354BA0" w:rsidRPr="00155022" w:rsidRDefault="00354BA0" w:rsidP="00354BA0">
    <w:r w:rsidRPr="00155022">
      <w:t xml:space="preserve">The details of the relevant licence conditions are available on the Creative Commons website (accessible using the links provided) as is the full legal code for the </w:t>
    </w:r>
    <w:hyperlink r:id="rId4" w:history="1">
      <w:r w:rsidRPr="00155022">
        <w:rPr>
          <w:rStyle w:val="Hyperlink"/>
        </w:rPr>
        <w:t>CC BY 4.0 International</w:t>
      </w:r>
    </w:hyperlink>
    <w:r w:rsidRPr="00155022">
      <w:t xml:space="preserve"> (https://creativecommons.org/licenses/by/4.0/legalcode)</w:t>
    </w:r>
  </w:p>
  <w:p w14:paraId="10364787" w14:textId="1A7D6BC9" w:rsidR="00354BA0" w:rsidRDefault="00354BA0" w:rsidP="00766865">
    <w:pPr>
      <w:pStyle w:val="Footer"/>
      <w:jc w:val="left"/>
    </w:pPr>
    <w:r w:rsidRPr="003C539C">
      <w:t xml:space="preserve">The document must be attributed as </w:t>
    </w:r>
    <w:r>
      <w:t>Finance 202</w:t>
    </w:r>
    <w:r w:rsidR="00CF7FA0">
      <w:t>3</w:t>
    </w:r>
    <w:r>
      <w:t>: Financial Reports of Higher Education Providers</w:t>
    </w:r>
    <w:r w:rsidRPr="003C539C">
      <w:t>.</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4A934225" w:rsidR="00221D8F" w:rsidRDefault="002B188B">
    <w:pPr>
      <w:pStyle w:val="Footer"/>
    </w:pPr>
    <w:fldSimple w:instr=" DOCPROPERTY  Title  \* MERGEFORMAT ">
      <w:r>
        <w:t>Finance 2023: Financial Reports of Higher Education Providers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581952"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923814635" name="Picture 923814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C287" w14:textId="77777777" w:rsidR="000C7D77" w:rsidRDefault="000C7D77" w:rsidP="000A6228">
      <w:pPr>
        <w:spacing w:after="0" w:line="240" w:lineRule="auto"/>
      </w:pPr>
      <w:r>
        <w:separator/>
      </w:r>
    </w:p>
  </w:footnote>
  <w:footnote w:type="continuationSeparator" w:id="0">
    <w:p w14:paraId="79B15D74" w14:textId="77777777" w:rsidR="000C7D77" w:rsidRDefault="000C7D7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1236DA"/>
    <w:multiLevelType w:val="hybridMultilevel"/>
    <w:tmpl w:val="2C0A06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3F56B14"/>
    <w:multiLevelType w:val="hybridMultilevel"/>
    <w:tmpl w:val="8C4A77BC"/>
    <w:lvl w:ilvl="0" w:tplc="0E10C6B4">
      <w:start w:val="1"/>
      <w:numFmt w:val="decimal"/>
      <w:pStyle w:val="MBPoint"/>
      <w:lvlText w:val="%1."/>
      <w:lvlJc w:val="left"/>
      <w:pPr>
        <w:ind w:left="786" w:hanging="360"/>
      </w:pPr>
      <w:rPr>
        <w:rFonts w:hint="default"/>
        <w:b w:val="0"/>
        <w:bCs w:val="0"/>
      </w:rPr>
    </w:lvl>
    <w:lvl w:ilvl="1" w:tplc="16F40C2E">
      <w:start w:val="1"/>
      <w:numFmt w:val="lowerLetter"/>
      <w:lvlText w:val="%2."/>
      <w:lvlJc w:val="left"/>
      <w:pPr>
        <w:ind w:left="1137" w:hanging="360"/>
      </w:pPr>
    </w:lvl>
    <w:lvl w:ilvl="2" w:tplc="94A648E8" w:tentative="1">
      <w:start w:val="1"/>
      <w:numFmt w:val="lowerRoman"/>
      <w:lvlText w:val="%3."/>
      <w:lvlJc w:val="right"/>
      <w:pPr>
        <w:ind w:left="1857" w:hanging="180"/>
      </w:pPr>
    </w:lvl>
    <w:lvl w:ilvl="3" w:tplc="7C984AF8" w:tentative="1">
      <w:start w:val="1"/>
      <w:numFmt w:val="decimal"/>
      <w:lvlText w:val="%4."/>
      <w:lvlJc w:val="left"/>
      <w:pPr>
        <w:ind w:left="2577" w:hanging="360"/>
      </w:pPr>
    </w:lvl>
    <w:lvl w:ilvl="4" w:tplc="6430F9A2" w:tentative="1">
      <w:start w:val="1"/>
      <w:numFmt w:val="lowerLetter"/>
      <w:lvlText w:val="%5."/>
      <w:lvlJc w:val="left"/>
      <w:pPr>
        <w:ind w:left="3297" w:hanging="360"/>
      </w:pPr>
    </w:lvl>
    <w:lvl w:ilvl="5" w:tplc="67BC1A4E" w:tentative="1">
      <w:start w:val="1"/>
      <w:numFmt w:val="lowerRoman"/>
      <w:lvlText w:val="%6."/>
      <w:lvlJc w:val="right"/>
      <w:pPr>
        <w:ind w:left="4017" w:hanging="180"/>
      </w:pPr>
    </w:lvl>
    <w:lvl w:ilvl="6" w:tplc="8A7C29AE" w:tentative="1">
      <w:start w:val="1"/>
      <w:numFmt w:val="decimal"/>
      <w:lvlText w:val="%7."/>
      <w:lvlJc w:val="left"/>
      <w:pPr>
        <w:ind w:left="4737" w:hanging="360"/>
      </w:pPr>
    </w:lvl>
    <w:lvl w:ilvl="7" w:tplc="868AFB0C" w:tentative="1">
      <w:start w:val="1"/>
      <w:numFmt w:val="lowerLetter"/>
      <w:lvlText w:val="%8."/>
      <w:lvlJc w:val="left"/>
      <w:pPr>
        <w:ind w:left="5457" w:hanging="360"/>
      </w:pPr>
    </w:lvl>
    <w:lvl w:ilvl="8" w:tplc="C830973E" w:tentative="1">
      <w:start w:val="1"/>
      <w:numFmt w:val="lowerRoman"/>
      <w:lvlText w:val="%9."/>
      <w:lvlJc w:val="right"/>
      <w:pPr>
        <w:ind w:left="6177" w:hanging="180"/>
      </w:p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7EC786B"/>
    <w:multiLevelType w:val="hybridMultilevel"/>
    <w:tmpl w:val="E496D3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8E637A3"/>
    <w:multiLevelType w:val="hybridMultilevel"/>
    <w:tmpl w:val="56FC80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D497EA7"/>
    <w:multiLevelType w:val="hybridMultilevel"/>
    <w:tmpl w:val="2D2C5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7A0285"/>
    <w:multiLevelType w:val="hybridMultilevel"/>
    <w:tmpl w:val="B6EE4C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773BD5"/>
    <w:multiLevelType w:val="hybridMultilevel"/>
    <w:tmpl w:val="366AD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A943BA"/>
    <w:multiLevelType w:val="hybridMultilevel"/>
    <w:tmpl w:val="0120A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6F4E5C"/>
    <w:multiLevelType w:val="hybridMultilevel"/>
    <w:tmpl w:val="EE305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DD50BC"/>
    <w:multiLevelType w:val="hybridMultilevel"/>
    <w:tmpl w:val="F3DCF8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E35500"/>
    <w:multiLevelType w:val="hybridMultilevel"/>
    <w:tmpl w:val="646E5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5C2AE6"/>
    <w:multiLevelType w:val="hybridMultilevel"/>
    <w:tmpl w:val="F32EEB90"/>
    <w:lvl w:ilvl="0" w:tplc="DAC44810">
      <w:start w:val="20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3F600E"/>
    <w:multiLevelType w:val="hybridMultilevel"/>
    <w:tmpl w:val="7CA8CE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F0F67E6"/>
    <w:multiLevelType w:val="hybridMultilevel"/>
    <w:tmpl w:val="57A01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956C1B"/>
    <w:multiLevelType w:val="hybridMultilevel"/>
    <w:tmpl w:val="3EC21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500D8E"/>
    <w:multiLevelType w:val="hybridMultilevel"/>
    <w:tmpl w:val="74B23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05115EB"/>
    <w:multiLevelType w:val="hybridMultilevel"/>
    <w:tmpl w:val="02AA8C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B7D2FA7"/>
    <w:multiLevelType w:val="hybridMultilevel"/>
    <w:tmpl w:val="D17AD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EA30912"/>
    <w:multiLevelType w:val="hybridMultilevel"/>
    <w:tmpl w:val="6BD2EE7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928884414">
    <w:abstractNumId w:val="14"/>
  </w:num>
  <w:num w:numId="2" w16cid:durableId="768542592">
    <w:abstractNumId w:val="5"/>
  </w:num>
  <w:num w:numId="3" w16cid:durableId="1464155824">
    <w:abstractNumId w:val="4"/>
  </w:num>
  <w:num w:numId="4" w16cid:durableId="897397609">
    <w:abstractNumId w:val="3"/>
  </w:num>
  <w:num w:numId="5" w16cid:durableId="1044256754">
    <w:abstractNumId w:val="18"/>
  </w:num>
  <w:num w:numId="6" w16cid:durableId="82531425">
    <w:abstractNumId w:val="2"/>
  </w:num>
  <w:num w:numId="7" w16cid:durableId="1752969892">
    <w:abstractNumId w:val="1"/>
  </w:num>
  <w:num w:numId="8" w16cid:durableId="1689941090">
    <w:abstractNumId w:val="0"/>
  </w:num>
  <w:num w:numId="9" w16cid:durableId="1834687947">
    <w:abstractNumId w:val="17"/>
  </w:num>
  <w:num w:numId="10" w16cid:durableId="1943611379">
    <w:abstractNumId w:val="9"/>
  </w:num>
  <w:num w:numId="11" w16cid:durableId="1071660937">
    <w:abstractNumId w:val="30"/>
  </w:num>
  <w:num w:numId="12" w16cid:durableId="1179925769">
    <w:abstractNumId w:val="13"/>
  </w:num>
  <w:num w:numId="13" w16cid:durableId="1384717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6927998">
    <w:abstractNumId w:val="11"/>
  </w:num>
  <w:num w:numId="15" w16cid:durableId="657542449">
    <w:abstractNumId w:val="6"/>
  </w:num>
  <w:num w:numId="16" w16cid:durableId="1646159688">
    <w:abstractNumId w:val="34"/>
  </w:num>
  <w:num w:numId="17" w16cid:durableId="1959026290">
    <w:abstractNumId w:val="20"/>
  </w:num>
  <w:num w:numId="18" w16cid:durableId="801925013">
    <w:abstractNumId w:val="10"/>
  </w:num>
  <w:num w:numId="19" w16cid:durableId="1607468479">
    <w:abstractNumId w:val="26"/>
  </w:num>
  <w:num w:numId="20" w16cid:durableId="1921132335">
    <w:abstractNumId w:val="27"/>
  </w:num>
  <w:num w:numId="21" w16cid:durableId="245499783">
    <w:abstractNumId w:val="15"/>
  </w:num>
  <w:num w:numId="22" w16cid:durableId="593440834">
    <w:abstractNumId w:val="25"/>
  </w:num>
  <w:num w:numId="23" w16cid:durableId="1959071036">
    <w:abstractNumId w:val="7"/>
  </w:num>
  <w:num w:numId="24" w16cid:durableId="445077892">
    <w:abstractNumId w:val="31"/>
  </w:num>
  <w:num w:numId="25" w16cid:durableId="961038046">
    <w:abstractNumId w:val="12"/>
  </w:num>
  <w:num w:numId="26" w16cid:durableId="2005938803">
    <w:abstractNumId w:val="24"/>
  </w:num>
  <w:num w:numId="27" w16cid:durableId="2052026021">
    <w:abstractNumId w:val="19"/>
  </w:num>
  <w:num w:numId="28" w16cid:durableId="1819953592">
    <w:abstractNumId w:val="35"/>
  </w:num>
  <w:num w:numId="29" w16cid:durableId="43527843">
    <w:abstractNumId w:val="16"/>
  </w:num>
  <w:num w:numId="30" w16cid:durableId="1579171461">
    <w:abstractNumId w:val="29"/>
  </w:num>
  <w:num w:numId="31" w16cid:durableId="655112115">
    <w:abstractNumId w:val="36"/>
  </w:num>
  <w:num w:numId="32" w16cid:durableId="495077136">
    <w:abstractNumId w:val="8"/>
  </w:num>
  <w:num w:numId="33" w16cid:durableId="1831603930">
    <w:abstractNumId w:val="32"/>
  </w:num>
  <w:num w:numId="34" w16cid:durableId="356395447">
    <w:abstractNumId w:val="28"/>
  </w:num>
  <w:num w:numId="35" w16cid:durableId="1290166213">
    <w:abstractNumId w:val="23"/>
  </w:num>
  <w:num w:numId="36" w16cid:durableId="2082362850">
    <w:abstractNumId w:val="37"/>
  </w:num>
  <w:num w:numId="37" w16cid:durableId="863057034">
    <w:abstractNumId w:val="21"/>
  </w:num>
  <w:num w:numId="38" w16cid:durableId="150798998">
    <w:abstractNumId w:val="33"/>
  </w:num>
  <w:num w:numId="39" w16cid:durableId="19545101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trackRevisions/>
  <w:documentProtection w:edit="comments" w:enforcement="0"/>
  <w:defaultTabStop w:val="720"/>
  <w:defaultTableStyle w:val="EDU-Basic"/>
  <w:characterSpacingControl w:val="doNotCompress"/>
  <w:hdrShapeDefaults>
    <o:shapedefaults v:ext="edit" spidmax="2050" fillcolor="white" strokecolor="none [1941]">
      <v:fill color="white"/>
      <v:stroke color="none [194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E7"/>
    <w:rsid w:val="00003C0B"/>
    <w:rsid w:val="00005D9B"/>
    <w:rsid w:val="00011B8E"/>
    <w:rsid w:val="000122D4"/>
    <w:rsid w:val="00012366"/>
    <w:rsid w:val="00021BF9"/>
    <w:rsid w:val="00021FBE"/>
    <w:rsid w:val="00030F68"/>
    <w:rsid w:val="00031322"/>
    <w:rsid w:val="000362D2"/>
    <w:rsid w:val="00036E5F"/>
    <w:rsid w:val="000408B5"/>
    <w:rsid w:val="00041624"/>
    <w:rsid w:val="00042941"/>
    <w:rsid w:val="00043B5B"/>
    <w:rsid w:val="00045CA1"/>
    <w:rsid w:val="00050697"/>
    <w:rsid w:val="000521D7"/>
    <w:rsid w:val="00065E5D"/>
    <w:rsid w:val="00082D2B"/>
    <w:rsid w:val="000860B5"/>
    <w:rsid w:val="000863D8"/>
    <w:rsid w:val="00086A57"/>
    <w:rsid w:val="0009769B"/>
    <w:rsid w:val="000A0B58"/>
    <w:rsid w:val="000A1E13"/>
    <w:rsid w:val="000A2E55"/>
    <w:rsid w:val="000A6228"/>
    <w:rsid w:val="000B1668"/>
    <w:rsid w:val="000B1FB2"/>
    <w:rsid w:val="000B2AB0"/>
    <w:rsid w:val="000B5D40"/>
    <w:rsid w:val="000B7EC6"/>
    <w:rsid w:val="000C3F18"/>
    <w:rsid w:val="000C738A"/>
    <w:rsid w:val="000C741E"/>
    <w:rsid w:val="000C75EB"/>
    <w:rsid w:val="000C7D77"/>
    <w:rsid w:val="000D4B07"/>
    <w:rsid w:val="000D6BB5"/>
    <w:rsid w:val="000E2AA6"/>
    <w:rsid w:val="000E4EF7"/>
    <w:rsid w:val="000E6757"/>
    <w:rsid w:val="000E679C"/>
    <w:rsid w:val="000E7771"/>
    <w:rsid w:val="000F4180"/>
    <w:rsid w:val="00107D87"/>
    <w:rsid w:val="00107DD5"/>
    <w:rsid w:val="00123385"/>
    <w:rsid w:val="0012343A"/>
    <w:rsid w:val="00131289"/>
    <w:rsid w:val="00133B8D"/>
    <w:rsid w:val="0013611E"/>
    <w:rsid w:val="00144489"/>
    <w:rsid w:val="001515BF"/>
    <w:rsid w:val="00156123"/>
    <w:rsid w:val="00167C67"/>
    <w:rsid w:val="00170BC0"/>
    <w:rsid w:val="0017134D"/>
    <w:rsid w:val="00171581"/>
    <w:rsid w:val="00173282"/>
    <w:rsid w:val="00173331"/>
    <w:rsid w:val="00183F9D"/>
    <w:rsid w:val="001859F4"/>
    <w:rsid w:val="00186363"/>
    <w:rsid w:val="001935FE"/>
    <w:rsid w:val="001954F5"/>
    <w:rsid w:val="001970EE"/>
    <w:rsid w:val="00197DD2"/>
    <w:rsid w:val="001A0C36"/>
    <w:rsid w:val="001A3E34"/>
    <w:rsid w:val="001B4472"/>
    <w:rsid w:val="001B4A08"/>
    <w:rsid w:val="001B6F23"/>
    <w:rsid w:val="001C1523"/>
    <w:rsid w:val="001C49A2"/>
    <w:rsid w:val="001C6970"/>
    <w:rsid w:val="001D5B57"/>
    <w:rsid w:val="001E0265"/>
    <w:rsid w:val="001E1120"/>
    <w:rsid w:val="001E12DE"/>
    <w:rsid w:val="001E1309"/>
    <w:rsid w:val="001E2BB5"/>
    <w:rsid w:val="001E7AA9"/>
    <w:rsid w:val="001E7C95"/>
    <w:rsid w:val="001F0287"/>
    <w:rsid w:val="001F371E"/>
    <w:rsid w:val="002002C5"/>
    <w:rsid w:val="00205DB3"/>
    <w:rsid w:val="0020640A"/>
    <w:rsid w:val="00207927"/>
    <w:rsid w:val="00207A28"/>
    <w:rsid w:val="00207C13"/>
    <w:rsid w:val="002144F5"/>
    <w:rsid w:val="00216137"/>
    <w:rsid w:val="00220E69"/>
    <w:rsid w:val="00221D8F"/>
    <w:rsid w:val="00222A31"/>
    <w:rsid w:val="002272DB"/>
    <w:rsid w:val="00231A7F"/>
    <w:rsid w:val="00232827"/>
    <w:rsid w:val="00233725"/>
    <w:rsid w:val="00246F03"/>
    <w:rsid w:val="00256FA8"/>
    <w:rsid w:val="00266127"/>
    <w:rsid w:val="00267F15"/>
    <w:rsid w:val="00272FEC"/>
    <w:rsid w:val="00273FC9"/>
    <w:rsid w:val="00276047"/>
    <w:rsid w:val="0028398B"/>
    <w:rsid w:val="00286CDC"/>
    <w:rsid w:val="00286DA8"/>
    <w:rsid w:val="0028780B"/>
    <w:rsid w:val="00293898"/>
    <w:rsid w:val="00295872"/>
    <w:rsid w:val="00297E3C"/>
    <w:rsid w:val="002A4458"/>
    <w:rsid w:val="002A46B4"/>
    <w:rsid w:val="002B188B"/>
    <w:rsid w:val="002B18D2"/>
    <w:rsid w:val="002B546B"/>
    <w:rsid w:val="002B7819"/>
    <w:rsid w:val="002C4FC4"/>
    <w:rsid w:val="002C6D89"/>
    <w:rsid w:val="002D1D75"/>
    <w:rsid w:val="002D53B7"/>
    <w:rsid w:val="002D589A"/>
    <w:rsid w:val="002D5C93"/>
    <w:rsid w:val="002D68B9"/>
    <w:rsid w:val="002E00E9"/>
    <w:rsid w:val="002E01AC"/>
    <w:rsid w:val="002E3996"/>
    <w:rsid w:val="002E3AA5"/>
    <w:rsid w:val="002E5FED"/>
    <w:rsid w:val="002E6406"/>
    <w:rsid w:val="002F0B30"/>
    <w:rsid w:val="0030397C"/>
    <w:rsid w:val="00303DBA"/>
    <w:rsid w:val="00306E96"/>
    <w:rsid w:val="00311D74"/>
    <w:rsid w:val="00316716"/>
    <w:rsid w:val="003175FE"/>
    <w:rsid w:val="00320E6F"/>
    <w:rsid w:val="0032189E"/>
    <w:rsid w:val="00326A4F"/>
    <w:rsid w:val="00330032"/>
    <w:rsid w:val="0033006C"/>
    <w:rsid w:val="00334CC0"/>
    <w:rsid w:val="00352F8C"/>
    <w:rsid w:val="00354BA0"/>
    <w:rsid w:val="00355625"/>
    <w:rsid w:val="003675CB"/>
    <w:rsid w:val="00372B93"/>
    <w:rsid w:val="003753B4"/>
    <w:rsid w:val="00375562"/>
    <w:rsid w:val="00375650"/>
    <w:rsid w:val="00385DAC"/>
    <w:rsid w:val="00395BC9"/>
    <w:rsid w:val="003A02DA"/>
    <w:rsid w:val="003A25F3"/>
    <w:rsid w:val="003A6400"/>
    <w:rsid w:val="003B17D7"/>
    <w:rsid w:val="003B7C36"/>
    <w:rsid w:val="003C0F42"/>
    <w:rsid w:val="003C54E4"/>
    <w:rsid w:val="003C7097"/>
    <w:rsid w:val="003E3C74"/>
    <w:rsid w:val="003F0FA0"/>
    <w:rsid w:val="003F3125"/>
    <w:rsid w:val="003F73D9"/>
    <w:rsid w:val="0040155D"/>
    <w:rsid w:val="00407957"/>
    <w:rsid w:val="00410543"/>
    <w:rsid w:val="00413D2F"/>
    <w:rsid w:val="0041713E"/>
    <w:rsid w:val="00417429"/>
    <w:rsid w:val="00421D3F"/>
    <w:rsid w:val="00423785"/>
    <w:rsid w:val="00426DE0"/>
    <w:rsid w:val="00431DB8"/>
    <w:rsid w:val="00432243"/>
    <w:rsid w:val="0043596B"/>
    <w:rsid w:val="00443217"/>
    <w:rsid w:val="00447802"/>
    <w:rsid w:val="004518D2"/>
    <w:rsid w:val="00452D26"/>
    <w:rsid w:val="00464932"/>
    <w:rsid w:val="004755EE"/>
    <w:rsid w:val="004815CE"/>
    <w:rsid w:val="004816E3"/>
    <w:rsid w:val="004845DA"/>
    <w:rsid w:val="00490B5A"/>
    <w:rsid w:val="0049137C"/>
    <w:rsid w:val="00496856"/>
    <w:rsid w:val="0049772B"/>
    <w:rsid w:val="004A06CD"/>
    <w:rsid w:val="004A320B"/>
    <w:rsid w:val="004A468B"/>
    <w:rsid w:val="004A4B6F"/>
    <w:rsid w:val="004A4CF9"/>
    <w:rsid w:val="004A5E8A"/>
    <w:rsid w:val="004B23D6"/>
    <w:rsid w:val="004B3E18"/>
    <w:rsid w:val="004B679E"/>
    <w:rsid w:val="004C2622"/>
    <w:rsid w:val="004C4183"/>
    <w:rsid w:val="004C4B0D"/>
    <w:rsid w:val="004D2965"/>
    <w:rsid w:val="004D550B"/>
    <w:rsid w:val="004D572F"/>
    <w:rsid w:val="004D729C"/>
    <w:rsid w:val="004E103F"/>
    <w:rsid w:val="004E2388"/>
    <w:rsid w:val="004E5EB3"/>
    <w:rsid w:val="004E6C81"/>
    <w:rsid w:val="004F653B"/>
    <w:rsid w:val="0050088B"/>
    <w:rsid w:val="005026A8"/>
    <w:rsid w:val="005041BA"/>
    <w:rsid w:val="00504A08"/>
    <w:rsid w:val="005115E5"/>
    <w:rsid w:val="00516046"/>
    <w:rsid w:val="00521130"/>
    <w:rsid w:val="00524B79"/>
    <w:rsid w:val="00525EB4"/>
    <w:rsid w:val="0052675B"/>
    <w:rsid w:val="0053012C"/>
    <w:rsid w:val="00530539"/>
    <w:rsid w:val="00530D1A"/>
    <w:rsid w:val="00536DCB"/>
    <w:rsid w:val="00537514"/>
    <w:rsid w:val="0054082B"/>
    <w:rsid w:val="00540AAE"/>
    <w:rsid w:val="00541889"/>
    <w:rsid w:val="00547331"/>
    <w:rsid w:val="00547DCD"/>
    <w:rsid w:val="005527A6"/>
    <w:rsid w:val="00552D93"/>
    <w:rsid w:val="00555428"/>
    <w:rsid w:val="005577D2"/>
    <w:rsid w:val="00562455"/>
    <w:rsid w:val="00564ABF"/>
    <w:rsid w:val="00565162"/>
    <w:rsid w:val="00573DE0"/>
    <w:rsid w:val="00581D9D"/>
    <w:rsid w:val="00583890"/>
    <w:rsid w:val="0059508C"/>
    <w:rsid w:val="00596057"/>
    <w:rsid w:val="005A003E"/>
    <w:rsid w:val="005A5894"/>
    <w:rsid w:val="005A5D4E"/>
    <w:rsid w:val="005A75C9"/>
    <w:rsid w:val="005B187D"/>
    <w:rsid w:val="005C1B6F"/>
    <w:rsid w:val="005C32C3"/>
    <w:rsid w:val="005C33E1"/>
    <w:rsid w:val="005C3C46"/>
    <w:rsid w:val="005D0199"/>
    <w:rsid w:val="005D0279"/>
    <w:rsid w:val="005D05C3"/>
    <w:rsid w:val="005D0D34"/>
    <w:rsid w:val="005D21E8"/>
    <w:rsid w:val="005E3E89"/>
    <w:rsid w:val="005E5456"/>
    <w:rsid w:val="005E6E82"/>
    <w:rsid w:val="005F099E"/>
    <w:rsid w:val="005F21FD"/>
    <w:rsid w:val="005F334B"/>
    <w:rsid w:val="005F4081"/>
    <w:rsid w:val="005F6605"/>
    <w:rsid w:val="005F7512"/>
    <w:rsid w:val="00602854"/>
    <w:rsid w:val="0060384C"/>
    <w:rsid w:val="006067F5"/>
    <w:rsid w:val="00614826"/>
    <w:rsid w:val="006179AF"/>
    <w:rsid w:val="006232DC"/>
    <w:rsid w:val="0063094F"/>
    <w:rsid w:val="0063418E"/>
    <w:rsid w:val="006354CD"/>
    <w:rsid w:val="00640D08"/>
    <w:rsid w:val="006568B1"/>
    <w:rsid w:val="00656CF4"/>
    <w:rsid w:val="00673742"/>
    <w:rsid w:val="00673EAD"/>
    <w:rsid w:val="006835FF"/>
    <w:rsid w:val="00687CE4"/>
    <w:rsid w:val="00687D46"/>
    <w:rsid w:val="00690123"/>
    <w:rsid w:val="006A3317"/>
    <w:rsid w:val="006A3BBE"/>
    <w:rsid w:val="006B3439"/>
    <w:rsid w:val="006B5DF0"/>
    <w:rsid w:val="006B7FDA"/>
    <w:rsid w:val="006C0045"/>
    <w:rsid w:val="006C1BB0"/>
    <w:rsid w:val="006C69C4"/>
    <w:rsid w:val="006C6FD1"/>
    <w:rsid w:val="006C79AC"/>
    <w:rsid w:val="006D2486"/>
    <w:rsid w:val="006D5EE1"/>
    <w:rsid w:val="006D67F3"/>
    <w:rsid w:val="006D7AB0"/>
    <w:rsid w:val="006E0B9C"/>
    <w:rsid w:val="006E4C94"/>
    <w:rsid w:val="006E4ECA"/>
    <w:rsid w:val="006F0C43"/>
    <w:rsid w:val="006F1188"/>
    <w:rsid w:val="006F1FFF"/>
    <w:rsid w:val="006F2704"/>
    <w:rsid w:val="006F6D10"/>
    <w:rsid w:val="006F6E57"/>
    <w:rsid w:val="006F7CB1"/>
    <w:rsid w:val="00700504"/>
    <w:rsid w:val="00702109"/>
    <w:rsid w:val="00703B75"/>
    <w:rsid w:val="00704E6A"/>
    <w:rsid w:val="00706E58"/>
    <w:rsid w:val="00707340"/>
    <w:rsid w:val="00712B94"/>
    <w:rsid w:val="00712DCB"/>
    <w:rsid w:val="0071657A"/>
    <w:rsid w:val="00717CEE"/>
    <w:rsid w:val="007237C9"/>
    <w:rsid w:val="00724B52"/>
    <w:rsid w:val="007254BF"/>
    <w:rsid w:val="007265B5"/>
    <w:rsid w:val="0073112B"/>
    <w:rsid w:val="00737379"/>
    <w:rsid w:val="007463FF"/>
    <w:rsid w:val="00746415"/>
    <w:rsid w:val="00746865"/>
    <w:rsid w:val="00750935"/>
    <w:rsid w:val="00754E1A"/>
    <w:rsid w:val="00755B67"/>
    <w:rsid w:val="007630E8"/>
    <w:rsid w:val="0076365B"/>
    <w:rsid w:val="00766865"/>
    <w:rsid w:val="0078271D"/>
    <w:rsid w:val="00783A76"/>
    <w:rsid w:val="00783B54"/>
    <w:rsid w:val="00784254"/>
    <w:rsid w:val="00784FA9"/>
    <w:rsid w:val="007872EB"/>
    <w:rsid w:val="00792E63"/>
    <w:rsid w:val="00793487"/>
    <w:rsid w:val="00794BDD"/>
    <w:rsid w:val="007A2984"/>
    <w:rsid w:val="007B2CA1"/>
    <w:rsid w:val="007B3F38"/>
    <w:rsid w:val="007B5DE4"/>
    <w:rsid w:val="007C1CD7"/>
    <w:rsid w:val="007C524F"/>
    <w:rsid w:val="007C61C0"/>
    <w:rsid w:val="007D0ABC"/>
    <w:rsid w:val="007D2414"/>
    <w:rsid w:val="007D2E85"/>
    <w:rsid w:val="007E6498"/>
    <w:rsid w:val="007F18DF"/>
    <w:rsid w:val="0080115C"/>
    <w:rsid w:val="0080183E"/>
    <w:rsid w:val="008042F5"/>
    <w:rsid w:val="008066B2"/>
    <w:rsid w:val="00806FE9"/>
    <w:rsid w:val="0081049B"/>
    <w:rsid w:val="00811163"/>
    <w:rsid w:val="00817EF9"/>
    <w:rsid w:val="00820D53"/>
    <w:rsid w:val="00820F0F"/>
    <w:rsid w:val="0082359E"/>
    <w:rsid w:val="008274D4"/>
    <w:rsid w:val="008345A9"/>
    <w:rsid w:val="00834FFE"/>
    <w:rsid w:val="0084464F"/>
    <w:rsid w:val="00853EB3"/>
    <w:rsid w:val="0085503E"/>
    <w:rsid w:val="00870623"/>
    <w:rsid w:val="00873EA0"/>
    <w:rsid w:val="0087680D"/>
    <w:rsid w:val="00877FC9"/>
    <w:rsid w:val="00880D55"/>
    <w:rsid w:val="00882A2C"/>
    <w:rsid w:val="00885802"/>
    <w:rsid w:val="00885A96"/>
    <w:rsid w:val="00886959"/>
    <w:rsid w:val="00887F57"/>
    <w:rsid w:val="0089319A"/>
    <w:rsid w:val="00893261"/>
    <w:rsid w:val="00893291"/>
    <w:rsid w:val="0089445F"/>
    <w:rsid w:val="008A36E1"/>
    <w:rsid w:val="008A37A7"/>
    <w:rsid w:val="008B0736"/>
    <w:rsid w:val="008B4359"/>
    <w:rsid w:val="008C0597"/>
    <w:rsid w:val="008C0E15"/>
    <w:rsid w:val="008C2191"/>
    <w:rsid w:val="008C502F"/>
    <w:rsid w:val="008D0D70"/>
    <w:rsid w:val="008E45CF"/>
    <w:rsid w:val="008F0205"/>
    <w:rsid w:val="008F2929"/>
    <w:rsid w:val="00901789"/>
    <w:rsid w:val="00902FAB"/>
    <w:rsid w:val="0090758E"/>
    <w:rsid w:val="00917016"/>
    <w:rsid w:val="00924227"/>
    <w:rsid w:val="0092717D"/>
    <w:rsid w:val="00930058"/>
    <w:rsid w:val="0093062A"/>
    <w:rsid w:val="00932C9B"/>
    <w:rsid w:val="00934E7E"/>
    <w:rsid w:val="00937D6C"/>
    <w:rsid w:val="00945DE5"/>
    <w:rsid w:val="00950B06"/>
    <w:rsid w:val="009515FC"/>
    <w:rsid w:val="0095252F"/>
    <w:rsid w:val="0095361D"/>
    <w:rsid w:val="00970069"/>
    <w:rsid w:val="009721EB"/>
    <w:rsid w:val="00975215"/>
    <w:rsid w:val="0097645D"/>
    <w:rsid w:val="00985277"/>
    <w:rsid w:val="00986E05"/>
    <w:rsid w:val="009910FD"/>
    <w:rsid w:val="00992260"/>
    <w:rsid w:val="00993E41"/>
    <w:rsid w:val="00997A4B"/>
    <w:rsid w:val="009A458D"/>
    <w:rsid w:val="009B016D"/>
    <w:rsid w:val="009B496C"/>
    <w:rsid w:val="009B5860"/>
    <w:rsid w:val="009B706E"/>
    <w:rsid w:val="009C0324"/>
    <w:rsid w:val="009C1397"/>
    <w:rsid w:val="009C423A"/>
    <w:rsid w:val="009C57AF"/>
    <w:rsid w:val="009D22D0"/>
    <w:rsid w:val="009D2AC2"/>
    <w:rsid w:val="009E08A3"/>
    <w:rsid w:val="009E79ED"/>
    <w:rsid w:val="009F6936"/>
    <w:rsid w:val="00A061D2"/>
    <w:rsid w:val="00A07596"/>
    <w:rsid w:val="00A17300"/>
    <w:rsid w:val="00A17A08"/>
    <w:rsid w:val="00A21349"/>
    <w:rsid w:val="00A21E9D"/>
    <w:rsid w:val="00A315D9"/>
    <w:rsid w:val="00A355CE"/>
    <w:rsid w:val="00A370E0"/>
    <w:rsid w:val="00A42A5B"/>
    <w:rsid w:val="00A42F17"/>
    <w:rsid w:val="00A4365F"/>
    <w:rsid w:val="00A45081"/>
    <w:rsid w:val="00A4751F"/>
    <w:rsid w:val="00A50396"/>
    <w:rsid w:val="00A503C2"/>
    <w:rsid w:val="00A55F4D"/>
    <w:rsid w:val="00A5785A"/>
    <w:rsid w:val="00A60673"/>
    <w:rsid w:val="00A65263"/>
    <w:rsid w:val="00A7034E"/>
    <w:rsid w:val="00A742D7"/>
    <w:rsid w:val="00A75297"/>
    <w:rsid w:val="00A76FB6"/>
    <w:rsid w:val="00A907A3"/>
    <w:rsid w:val="00A940B3"/>
    <w:rsid w:val="00A95684"/>
    <w:rsid w:val="00A97CD8"/>
    <w:rsid w:val="00AA62BB"/>
    <w:rsid w:val="00AB3F5A"/>
    <w:rsid w:val="00AB6AA0"/>
    <w:rsid w:val="00AB7DFA"/>
    <w:rsid w:val="00AC1872"/>
    <w:rsid w:val="00AC2154"/>
    <w:rsid w:val="00AC2F99"/>
    <w:rsid w:val="00AD35FE"/>
    <w:rsid w:val="00AD631F"/>
    <w:rsid w:val="00AD7763"/>
    <w:rsid w:val="00AE21FF"/>
    <w:rsid w:val="00AE2735"/>
    <w:rsid w:val="00AF16F4"/>
    <w:rsid w:val="00AF1F18"/>
    <w:rsid w:val="00AF3956"/>
    <w:rsid w:val="00AF5D75"/>
    <w:rsid w:val="00B04427"/>
    <w:rsid w:val="00B04D83"/>
    <w:rsid w:val="00B0726E"/>
    <w:rsid w:val="00B11DB6"/>
    <w:rsid w:val="00B12D5E"/>
    <w:rsid w:val="00B17054"/>
    <w:rsid w:val="00B2111E"/>
    <w:rsid w:val="00B219D1"/>
    <w:rsid w:val="00B21A34"/>
    <w:rsid w:val="00B235C6"/>
    <w:rsid w:val="00B33B8E"/>
    <w:rsid w:val="00B33FDE"/>
    <w:rsid w:val="00B36E42"/>
    <w:rsid w:val="00B413C1"/>
    <w:rsid w:val="00B47662"/>
    <w:rsid w:val="00B47F9C"/>
    <w:rsid w:val="00B515AE"/>
    <w:rsid w:val="00B54D58"/>
    <w:rsid w:val="00B624A2"/>
    <w:rsid w:val="00B67C6C"/>
    <w:rsid w:val="00B736F2"/>
    <w:rsid w:val="00B75B1E"/>
    <w:rsid w:val="00B818FC"/>
    <w:rsid w:val="00B81FA4"/>
    <w:rsid w:val="00B87870"/>
    <w:rsid w:val="00B8794C"/>
    <w:rsid w:val="00B87ABB"/>
    <w:rsid w:val="00B94CE7"/>
    <w:rsid w:val="00B955EF"/>
    <w:rsid w:val="00B95EF4"/>
    <w:rsid w:val="00BB1E2D"/>
    <w:rsid w:val="00BB1E5C"/>
    <w:rsid w:val="00BB6509"/>
    <w:rsid w:val="00BC0708"/>
    <w:rsid w:val="00BC248C"/>
    <w:rsid w:val="00BC6039"/>
    <w:rsid w:val="00BC638D"/>
    <w:rsid w:val="00BD394B"/>
    <w:rsid w:val="00BE013E"/>
    <w:rsid w:val="00BE5A39"/>
    <w:rsid w:val="00BE7902"/>
    <w:rsid w:val="00C0063A"/>
    <w:rsid w:val="00C0133B"/>
    <w:rsid w:val="00C01EC0"/>
    <w:rsid w:val="00C05155"/>
    <w:rsid w:val="00C053AD"/>
    <w:rsid w:val="00C063D5"/>
    <w:rsid w:val="00C15CC6"/>
    <w:rsid w:val="00C165C1"/>
    <w:rsid w:val="00C17B78"/>
    <w:rsid w:val="00C244EE"/>
    <w:rsid w:val="00C30B52"/>
    <w:rsid w:val="00C321F5"/>
    <w:rsid w:val="00C479E7"/>
    <w:rsid w:val="00C534B8"/>
    <w:rsid w:val="00C57FF4"/>
    <w:rsid w:val="00C62290"/>
    <w:rsid w:val="00C62434"/>
    <w:rsid w:val="00C654E8"/>
    <w:rsid w:val="00C66D94"/>
    <w:rsid w:val="00C70780"/>
    <w:rsid w:val="00C72224"/>
    <w:rsid w:val="00C7510E"/>
    <w:rsid w:val="00C75706"/>
    <w:rsid w:val="00C75DAD"/>
    <w:rsid w:val="00C76D59"/>
    <w:rsid w:val="00C8194B"/>
    <w:rsid w:val="00C85567"/>
    <w:rsid w:val="00C87B44"/>
    <w:rsid w:val="00CA3C01"/>
    <w:rsid w:val="00CA4815"/>
    <w:rsid w:val="00CB1591"/>
    <w:rsid w:val="00CB4687"/>
    <w:rsid w:val="00CB4A81"/>
    <w:rsid w:val="00CC1440"/>
    <w:rsid w:val="00CD5FA4"/>
    <w:rsid w:val="00CD632A"/>
    <w:rsid w:val="00CD785D"/>
    <w:rsid w:val="00CF2C96"/>
    <w:rsid w:val="00CF3D8E"/>
    <w:rsid w:val="00CF6562"/>
    <w:rsid w:val="00CF65A1"/>
    <w:rsid w:val="00CF7FA0"/>
    <w:rsid w:val="00D04580"/>
    <w:rsid w:val="00D07C6E"/>
    <w:rsid w:val="00D12030"/>
    <w:rsid w:val="00D1241E"/>
    <w:rsid w:val="00D20A98"/>
    <w:rsid w:val="00D24A51"/>
    <w:rsid w:val="00D32BFB"/>
    <w:rsid w:val="00D35E6F"/>
    <w:rsid w:val="00D37B6F"/>
    <w:rsid w:val="00D411D8"/>
    <w:rsid w:val="00D44D3A"/>
    <w:rsid w:val="00D47CB6"/>
    <w:rsid w:val="00D50C38"/>
    <w:rsid w:val="00D5253B"/>
    <w:rsid w:val="00D5688A"/>
    <w:rsid w:val="00D66420"/>
    <w:rsid w:val="00D70AA8"/>
    <w:rsid w:val="00D755F9"/>
    <w:rsid w:val="00D76CBC"/>
    <w:rsid w:val="00D814BE"/>
    <w:rsid w:val="00D9174F"/>
    <w:rsid w:val="00D95140"/>
    <w:rsid w:val="00D96233"/>
    <w:rsid w:val="00DA4635"/>
    <w:rsid w:val="00DA4FFD"/>
    <w:rsid w:val="00DA70D5"/>
    <w:rsid w:val="00DB03A7"/>
    <w:rsid w:val="00DB385E"/>
    <w:rsid w:val="00DB646E"/>
    <w:rsid w:val="00DB7EFE"/>
    <w:rsid w:val="00DC2523"/>
    <w:rsid w:val="00DC2DD5"/>
    <w:rsid w:val="00DC5980"/>
    <w:rsid w:val="00DD2736"/>
    <w:rsid w:val="00DD2B46"/>
    <w:rsid w:val="00DD6E18"/>
    <w:rsid w:val="00DE0A07"/>
    <w:rsid w:val="00DE0B2B"/>
    <w:rsid w:val="00DF32B2"/>
    <w:rsid w:val="00DF4223"/>
    <w:rsid w:val="00E01918"/>
    <w:rsid w:val="00E025AB"/>
    <w:rsid w:val="00E02702"/>
    <w:rsid w:val="00E042DC"/>
    <w:rsid w:val="00E045E5"/>
    <w:rsid w:val="00E07BA1"/>
    <w:rsid w:val="00E10A77"/>
    <w:rsid w:val="00E10BAE"/>
    <w:rsid w:val="00E133E7"/>
    <w:rsid w:val="00E1475F"/>
    <w:rsid w:val="00E14F05"/>
    <w:rsid w:val="00E21C6D"/>
    <w:rsid w:val="00E21D84"/>
    <w:rsid w:val="00E25589"/>
    <w:rsid w:val="00E44274"/>
    <w:rsid w:val="00E46DE7"/>
    <w:rsid w:val="00E529E5"/>
    <w:rsid w:val="00E53910"/>
    <w:rsid w:val="00E57107"/>
    <w:rsid w:val="00E62813"/>
    <w:rsid w:val="00E64C4D"/>
    <w:rsid w:val="00E667B0"/>
    <w:rsid w:val="00E67212"/>
    <w:rsid w:val="00E72F1D"/>
    <w:rsid w:val="00E74D76"/>
    <w:rsid w:val="00E762E8"/>
    <w:rsid w:val="00E76F7C"/>
    <w:rsid w:val="00E771E2"/>
    <w:rsid w:val="00E8074F"/>
    <w:rsid w:val="00E82B71"/>
    <w:rsid w:val="00E8307D"/>
    <w:rsid w:val="00E91BE6"/>
    <w:rsid w:val="00E93365"/>
    <w:rsid w:val="00E937B1"/>
    <w:rsid w:val="00E93956"/>
    <w:rsid w:val="00E948B6"/>
    <w:rsid w:val="00EA1F2B"/>
    <w:rsid w:val="00EA2461"/>
    <w:rsid w:val="00EA775D"/>
    <w:rsid w:val="00EB38B9"/>
    <w:rsid w:val="00EB430C"/>
    <w:rsid w:val="00EB4C2F"/>
    <w:rsid w:val="00EB4C52"/>
    <w:rsid w:val="00EB7452"/>
    <w:rsid w:val="00EC4D53"/>
    <w:rsid w:val="00ED0DDF"/>
    <w:rsid w:val="00ED437C"/>
    <w:rsid w:val="00ED5E37"/>
    <w:rsid w:val="00ED7063"/>
    <w:rsid w:val="00EE141A"/>
    <w:rsid w:val="00EE1B52"/>
    <w:rsid w:val="00EE2754"/>
    <w:rsid w:val="00EE3815"/>
    <w:rsid w:val="00EE5C2C"/>
    <w:rsid w:val="00EE6AB0"/>
    <w:rsid w:val="00EF35C6"/>
    <w:rsid w:val="00EF4CE5"/>
    <w:rsid w:val="00EF7FA4"/>
    <w:rsid w:val="00F019D0"/>
    <w:rsid w:val="00F038E4"/>
    <w:rsid w:val="00F1000D"/>
    <w:rsid w:val="00F22845"/>
    <w:rsid w:val="00F22FB2"/>
    <w:rsid w:val="00F2616B"/>
    <w:rsid w:val="00F3089C"/>
    <w:rsid w:val="00F311A4"/>
    <w:rsid w:val="00F33B30"/>
    <w:rsid w:val="00F33BDC"/>
    <w:rsid w:val="00F4101F"/>
    <w:rsid w:val="00F47183"/>
    <w:rsid w:val="00F50F4C"/>
    <w:rsid w:val="00F56358"/>
    <w:rsid w:val="00F603CC"/>
    <w:rsid w:val="00F62AAD"/>
    <w:rsid w:val="00F62E57"/>
    <w:rsid w:val="00F6513A"/>
    <w:rsid w:val="00F729E3"/>
    <w:rsid w:val="00F72DE5"/>
    <w:rsid w:val="00F76C95"/>
    <w:rsid w:val="00F82C2C"/>
    <w:rsid w:val="00F83ECF"/>
    <w:rsid w:val="00F85913"/>
    <w:rsid w:val="00F870D4"/>
    <w:rsid w:val="00F87216"/>
    <w:rsid w:val="00F903E3"/>
    <w:rsid w:val="00F92471"/>
    <w:rsid w:val="00FA1071"/>
    <w:rsid w:val="00FA2721"/>
    <w:rsid w:val="00FA2E06"/>
    <w:rsid w:val="00FA7EBC"/>
    <w:rsid w:val="00FB173C"/>
    <w:rsid w:val="00FB597E"/>
    <w:rsid w:val="00FC21A8"/>
    <w:rsid w:val="00FC350C"/>
    <w:rsid w:val="00FD18FE"/>
    <w:rsid w:val="00FD4D6E"/>
    <w:rsid w:val="00FD5D18"/>
    <w:rsid w:val="00FD6631"/>
    <w:rsid w:val="00FE1A5E"/>
    <w:rsid w:val="00FE1B8F"/>
    <w:rsid w:val="00FE3FA4"/>
    <w:rsid w:val="00FE5822"/>
    <w:rsid w:val="00FF0C39"/>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1941]">
      <v:fill color="white"/>
      <v:stroke color="none [1941]"/>
    </o:shapedefaults>
    <o:shapelayout v:ext="edit">
      <o:idmap v:ext="edit" data="2"/>
    </o:shapelayout>
  </w:shapeDefaults>
  <w:decimalSymbol w:val="."/>
  <w:listSeparator w:val=","/>
  <w14:docId w14:val="1D272784"/>
  <w15:docId w15:val="{97BA48D2-BC89-45D4-A85C-0477A894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uiPriority w:val="99"/>
    <w:unhideWhenUsed/>
    <w:qFormat/>
    <w:rsid w:val="0090758E"/>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1"/>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OSM,Bullets,CV text,Dot pt,F5 List Paragraph,FooterText,L,List Paragraph1,List Paragraph11,List Paragraph111,List Paragraph2,Medium Grid 1 - Accent 21,Numbered Paragraph,Proposal Bullet List,Recommendation,TOC style,Table text,lp1"/>
    <w:basedOn w:val="Normal"/>
    <w:link w:val="ListParagraphChar"/>
    <w:uiPriority w:val="34"/>
    <w:qFormat/>
    <w:rsid w:val="00123385"/>
    <w:pPr>
      <w:ind w:left="720"/>
      <w:contextualSpacing/>
    </w:pPr>
  </w:style>
  <w:style w:type="character" w:styleId="CommentReference">
    <w:name w:val="annotation reference"/>
    <w:basedOn w:val="DefaultParagraphFont"/>
    <w:uiPriority w:val="99"/>
    <w:semiHidden/>
    <w:unhideWhenUsed/>
    <w:rsid w:val="005C1B6F"/>
    <w:rPr>
      <w:sz w:val="16"/>
      <w:szCs w:val="16"/>
    </w:rPr>
  </w:style>
  <w:style w:type="paragraph" w:styleId="CommentText">
    <w:name w:val="annotation text"/>
    <w:basedOn w:val="Normal"/>
    <w:link w:val="CommentTextChar"/>
    <w:uiPriority w:val="99"/>
    <w:unhideWhenUsed/>
    <w:rsid w:val="005C1B6F"/>
    <w:pPr>
      <w:spacing w:line="240" w:lineRule="auto"/>
    </w:pPr>
    <w:rPr>
      <w:sz w:val="20"/>
      <w:szCs w:val="20"/>
    </w:rPr>
  </w:style>
  <w:style w:type="character" w:customStyle="1" w:styleId="CommentTextChar">
    <w:name w:val="Comment Text Char"/>
    <w:basedOn w:val="DefaultParagraphFont"/>
    <w:link w:val="CommentText"/>
    <w:uiPriority w:val="99"/>
    <w:rsid w:val="005C1B6F"/>
    <w:rPr>
      <w:sz w:val="20"/>
      <w:szCs w:val="20"/>
    </w:rPr>
  </w:style>
  <w:style w:type="paragraph" w:styleId="CommentSubject">
    <w:name w:val="annotation subject"/>
    <w:basedOn w:val="CommentText"/>
    <w:next w:val="CommentText"/>
    <w:link w:val="CommentSubjectChar"/>
    <w:uiPriority w:val="99"/>
    <w:semiHidden/>
    <w:unhideWhenUsed/>
    <w:rsid w:val="005C1B6F"/>
    <w:rPr>
      <w:b/>
      <w:bCs/>
    </w:rPr>
  </w:style>
  <w:style w:type="character" w:customStyle="1" w:styleId="CommentSubjectChar">
    <w:name w:val="Comment Subject Char"/>
    <w:basedOn w:val="CommentTextChar"/>
    <w:link w:val="CommentSubject"/>
    <w:uiPriority w:val="99"/>
    <w:semiHidden/>
    <w:rsid w:val="005C1B6F"/>
    <w:rPr>
      <w:b/>
      <w:bCs/>
      <w:sz w:val="20"/>
      <w:szCs w:val="20"/>
    </w:rPr>
  </w:style>
  <w:style w:type="paragraph" w:styleId="Revision">
    <w:name w:val="Revision"/>
    <w:hidden/>
    <w:uiPriority w:val="99"/>
    <w:semiHidden/>
    <w:rsid w:val="005C1B6F"/>
    <w:pPr>
      <w:spacing w:after="0" w:line="240" w:lineRule="auto"/>
    </w:pPr>
  </w:style>
  <w:style w:type="character" w:customStyle="1" w:styleId="ListParagraphChar">
    <w:name w:val="List Paragraph Char"/>
    <w:aliases w:val="Bullet OSM Char,Bullets Char,CV text Char,Dot pt Char,F5 List Paragraph Char,FooterText Char,L Char,List Paragraph1 Char,List Paragraph11 Char,List Paragraph111 Char,List Paragraph2 Char,Medium Grid 1 - Accent 21 Char,TOC style Char"/>
    <w:basedOn w:val="DefaultParagraphFont"/>
    <w:link w:val="ListParagraph"/>
    <w:uiPriority w:val="34"/>
    <w:qFormat/>
    <w:locked/>
    <w:rsid w:val="0049137C"/>
  </w:style>
  <w:style w:type="table" w:styleId="TableGridLight">
    <w:name w:val="Grid Table Light"/>
    <w:basedOn w:val="TableNormal"/>
    <w:uiPriority w:val="40"/>
    <w:rsid w:val="001733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BPoint">
    <w:name w:val="MB Point"/>
    <w:basedOn w:val="ListParagraph"/>
    <w:link w:val="MBPointChar"/>
    <w:qFormat/>
    <w:rsid w:val="006E0B9C"/>
    <w:pPr>
      <w:numPr>
        <w:numId w:val="32"/>
      </w:numPr>
      <w:spacing w:after="60" w:line="240" w:lineRule="auto"/>
      <w:ind w:left="417"/>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6E0B9C"/>
    <w:rPr>
      <w:rFonts w:ascii="Times New Roman" w:hAnsi="Times New Roman" w:cs="Times New Roman"/>
      <w:sz w:val="24"/>
      <w:szCs w:val="24"/>
    </w:rPr>
  </w:style>
  <w:style w:type="table" w:styleId="PlainTable3">
    <w:name w:val="Plain Table 3"/>
    <w:basedOn w:val="TableNormal"/>
    <w:uiPriority w:val="43"/>
    <w:rsid w:val="007237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74D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74D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74D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E74D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9508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7905">
      <w:bodyDiv w:val="1"/>
      <w:marLeft w:val="0"/>
      <w:marRight w:val="0"/>
      <w:marTop w:val="0"/>
      <w:marBottom w:val="0"/>
      <w:divBdr>
        <w:top w:val="none" w:sz="0" w:space="0" w:color="auto"/>
        <w:left w:val="none" w:sz="0" w:space="0" w:color="auto"/>
        <w:bottom w:val="none" w:sz="0" w:space="0" w:color="auto"/>
        <w:right w:val="none" w:sz="0" w:space="0" w:color="auto"/>
      </w:divBdr>
      <w:divsChild>
        <w:div w:id="470832451">
          <w:marLeft w:val="547"/>
          <w:marRight w:val="0"/>
          <w:marTop w:val="0"/>
          <w:marBottom w:val="0"/>
          <w:divBdr>
            <w:top w:val="none" w:sz="0" w:space="0" w:color="auto"/>
            <w:left w:val="none" w:sz="0" w:space="0" w:color="auto"/>
            <w:bottom w:val="none" w:sz="0" w:space="0" w:color="auto"/>
            <w:right w:val="none" w:sz="0" w:space="0" w:color="auto"/>
          </w:divBdr>
        </w:div>
      </w:divsChild>
    </w:div>
    <w:div w:id="260144363">
      <w:bodyDiv w:val="1"/>
      <w:marLeft w:val="0"/>
      <w:marRight w:val="0"/>
      <w:marTop w:val="0"/>
      <w:marBottom w:val="0"/>
      <w:divBdr>
        <w:top w:val="none" w:sz="0" w:space="0" w:color="auto"/>
        <w:left w:val="none" w:sz="0" w:space="0" w:color="auto"/>
        <w:bottom w:val="none" w:sz="0" w:space="0" w:color="auto"/>
        <w:right w:val="none" w:sz="0" w:space="0" w:color="auto"/>
      </w:divBdr>
      <w:divsChild>
        <w:div w:id="1438909604">
          <w:marLeft w:val="547"/>
          <w:marRight w:val="0"/>
          <w:marTop w:val="0"/>
          <w:marBottom w:val="0"/>
          <w:divBdr>
            <w:top w:val="none" w:sz="0" w:space="0" w:color="auto"/>
            <w:left w:val="none" w:sz="0" w:space="0" w:color="auto"/>
            <w:bottom w:val="none" w:sz="0" w:space="0" w:color="auto"/>
            <w:right w:val="none" w:sz="0" w:space="0" w:color="auto"/>
          </w:divBdr>
        </w:div>
      </w:divsChild>
    </w:div>
    <w:div w:id="1788961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chart" Target="charts/chart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higher-education-publications/finance-publication" TargetMode="External"/><Relationship Id="rId20" Type="http://schemas.openxmlformats.org/officeDocument/2006/relationships/diagramColors" Target="diagrams/colors1.xml"/><Relationship Id="rId29" Type="http://schemas.openxmlformats.org/officeDocument/2006/relationships/chart" Target="charts/char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2.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Layout" Target="diagrams/layout2.xml"/><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Data" Target="diagrams/data2.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chart" Target="charts/chart7.xml"/><Relationship Id="rId38" Type="http://schemas.openxmlformats.org/officeDocument/2006/relationships/chart" Target="charts/chart1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cid:image001.png@01CC5B5E.C6C84990" TargetMode="External"/><Relationship Id="rId1" Type="http://schemas.openxmlformats.org/officeDocument/2006/relationships/image" Target="media/image4.png"/><Relationship Id="rId4" Type="http://schemas.openxmlformats.org/officeDocument/2006/relationships/hyperlink" Target="https://creativecommons.org/licenses/by/4.0/legalco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EDU.application.enet\51005000\SS\FAS\FIN%20REPT\Fin%20Analysis\Finance%20Publication\Finance%20Publication%202023\2023%20Finance%20Publication%20-%20Briefing%20Tables%20-%20DRAFT%20AT.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3\2023%20Finance%20Publication%20-%20Briefing%20Tables%20-%20DRAFT%20A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3\2023%20Finance%20Publication%20-%20Briefing%20Tables%20-%20DRAFT%20A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'Figure 1 Margin'!$B$7</c:f>
              <c:strCache>
                <c:ptCount val="1"/>
                <c:pt idx="0">
                  <c:v>2023</c:v>
                </c:pt>
              </c:strCache>
            </c:strRef>
          </c:tx>
          <c:spPr>
            <a:solidFill>
              <a:schemeClr val="accent1"/>
            </a:solidFill>
            <a:ln>
              <a:noFill/>
            </a:ln>
            <a:effectLst/>
          </c:spPr>
          <c:cat>
            <c:strRef>
              <c:f>'Figure 1 Margin'!$A$8:$A$50</c:f>
              <c:strCache>
                <c:ptCount val="43"/>
                <c:pt idx="0">
                  <c:v>ECU</c:v>
                </c:pt>
                <c:pt idx="1">
                  <c:v>Torrens</c:v>
                </c:pt>
                <c:pt idx="2">
                  <c:v>USYD</c:v>
                </c:pt>
                <c:pt idx="3">
                  <c:v>ANU</c:v>
                </c:pt>
                <c:pt idx="4">
                  <c:v>UWA</c:v>
                </c:pt>
                <c:pt idx="5">
                  <c:v>Batchelor</c:v>
                </c:pt>
                <c:pt idx="6">
                  <c:v>Sunshine Coast</c:v>
                </c:pt>
                <c:pt idx="7">
                  <c:v>Melbourne</c:v>
                </c:pt>
                <c:pt idx="8">
                  <c:v>UQ</c:v>
                </c:pt>
                <c:pt idx="9">
                  <c:v>Flinders</c:v>
                </c:pt>
                <c:pt idx="10">
                  <c:v>Adelaide</c:v>
                </c:pt>
                <c:pt idx="11">
                  <c:v>Swinburne</c:v>
                </c:pt>
                <c:pt idx="12">
                  <c:v>Murdoch</c:v>
                </c:pt>
                <c:pt idx="13">
                  <c:v>Bond</c:v>
                </c:pt>
                <c:pt idx="14">
                  <c:v>Notre Dame</c:v>
                </c:pt>
                <c:pt idx="15">
                  <c:v>La Trobe</c:v>
                </c:pt>
                <c:pt idx="16">
                  <c:v>Monash</c:v>
                </c:pt>
                <c:pt idx="17">
                  <c:v>Newcastle</c:v>
                </c:pt>
                <c:pt idx="18">
                  <c:v>UTAS</c:v>
                </c:pt>
                <c:pt idx="19">
                  <c:v>Curtin</c:v>
                </c:pt>
                <c:pt idx="20">
                  <c:v>CQU</c:v>
                </c:pt>
                <c:pt idx="21">
                  <c:v>Southern Cross</c:v>
                </c:pt>
                <c:pt idx="22">
                  <c:v>QUT</c:v>
                </c:pt>
                <c:pt idx="23">
                  <c:v>USA</c:v>
                </c:pt>
                <c:pt idx="24">
                  <c:v>UC</c:v>
                </c:pt>
                <c:pt idx="25">
                  <c:v>UNSW</c:v>
                </c:pt>
                <c:pt idx="26">
                  <c:v>VU</c:v>
                </c:pt>
                <c:pt idx="27">
                  <c:v>Deakin</c:v>
                </c:pt>
                <c:pt idx="28">
                  <c:v>RMIT</c:v>
                </c:pt>
                <c:pt idx="29">
                  <c:v>Wollongong</c:v>
                </c:pt>
                <c:pt idx="30">
                  <c:v>CDU</c:v>
                </c:pt>
                <c:pt idx="31">
                  <c:v>Griffith</c:v>
                </c:pt>
                <c:pt idx="32">
                  <c:v>ACU</c:v>
                </c:pt>
                <c:pt idx="33">
                  <c:v>USQ</c:v>
                </c:pt>
                <c:pt idx="34">
                  <c:v>JCU</c:v>
                </c:pt>
                <c:pt idx="35">
                  <c:v>Divinity</c:v>
                </c:pt>
                <c:pt idx="36">
                  <c:v>UTS</c:v>
                </c:pt>
                <c:pt idx="37">
                  <c:v>Macquarie</c:v>
                </c:pt>
                <c:pt idx="38">
                  <c:v>Avondale</c:v>
                </c:pt>
                <c:pt idx="39">
                  <c:v>WSU</c:v>
                </c:pt>
                <c:pt idx="40">
                  <c:v>Charles Sturt</c:v>
                </c:pt>
                <c:pt idx="41">
                  <c:v>UNE</c:v>
                </c:pt>
                <c:pt idx="42">
                  <c:v>FedUni</c:v>
                </c:pt>
              </c:strCache>
            </c:strRef>
          </c:cat>
          <c:val>
            <c:numRef>
              <c:f>'Figure 1 Margin'!$B$8:$B$50</c:f>
              <c:numCache>
                <c:formatCode>0.0%</c:formatCode>
                <c:ptCount val="43"/>
                <c:pt idx="0">
                  <c:v>0.286766617045911</c:v>
                </c:pt>
                <c:pt idx="1">
                  <c:v>0.11141852051227481</c:v>
                </c:pt>
                <c:pt idx="2">
                  <c:v>0.10290159511528306</c:v>
                </c:pt>
                <c:pt idx="3">
                  <c:v>9.1887372075691198E-2</c:v>
                </c:pt>
                <c:pt idx="4">
                  <c:v>8.1078892097905059E-2</c:v>
                </c:pt>
                <c:pt idx="5">
                  <c:v>7.2017294960140518E-2</c:v>
                </c:pt>
                <c:pt idx="6">
                  <c:v>5.657296605296562E-2</c:v>
                </c:pt>
                <c:pt idx="7">
                  <c:v>4.8097887047205169E-2</c:v>
                </c:pt>
                <c:pt idx="8">
                  <c:v>4.7681583589048719E-2</c:v>
                </c:pt>
                <c:pt idx="9">
                  <c:v>4.0428324088267402E-2</c:v>
                </c:pt>
                <c:pt idx="10">
                  <c:v>3.4838958210906379E-2</c:v>
                </c:pt>
                <c:pt idx="11">
                  <c:v>2.6952134129204244E-2</c:v>
                </c:pt>
                <c:pt idx="12">
                  <c:v>1.9667348294411087E-2</c:v>
                </c:pt>
                <c:pt idx="13">
                  <c:v>1.736860972432305E-2</c:v>
                </c:pt>
                <c:pt idx="14">
                  <c:v>5.0167368721510553E-3</c:v>
                </c:pt>
                <c:pt idx="15">
                  <c:v>3.5431301481936538E-3</c:v>
                </c:pt>
                <c:pt idx="16">
                  <c:v>-2.9976234100746171E-3</c:v>
                </c:pt>
                <c:pt idx="17">
                  <c:v>-5.1306569238893087E-3</c:v>
                </c:pt>
                <c:pt idx="18">
                  <c:v>-8.9338661509448074E-3</c:v>
                </c:pt>
                <c:pt idx="19">
                  <c:v>-1.1979874622141973E-2</c:v>
                </c:pt>
                <c:pt idx="20">
                  <c:v>-1.2687719532861236E-2</c:v>
                </c:pt>
                <c:pt idx="21">
                  <c:v>-1.434578678322951E-2</c:v>
                </c:pt>
                <c:pt idx="22">
                  <c:v>-1.7405024677384744E-2</c:v>
                </c:pt>
                <c:pt idx="23">
                  <c:v>-2.3698813798436798E-2</c:v>
                </c:pt>
                <c:pt idx="24">
                  <c:v>-2.9160715455677128E-2</c:v>
                </c:pt>
                <c:pt idx="25">
                  <c:v>-3.2393165263882674E-2</c:v>
                </c:pt>
                <c:pt idx="26">
                  <c:v>-3.3621357531814257E-2</c:v>
                </c:pt>
                <c:pt idx="27">
                  <c:v>-3.8626289542275094E-2</c:v>
                </c:pt>
                <c:pt idx="28">
                  <c:v>-4.398985510546298E-2</c:v>
                </c:pt>
                <c:pt idx="29">
                  <c:v>-5.607284923061033E-2</c:v>
                </c:pt>
                <c:pt idx="30">
                  <c:v>-6.0240224084394209E-2</c:v>
                </c:pt>
                <c:pt idx="31">
                  <c:v>-6.1022114236296998E-2</c:v>
                </c:pt>
                <c:pt idx="32">
                  <c:v>-6.2056469615399984E-2</c:v>
                </c:pt>
                <c:pt idx="33">
                  <c:v>-6.9889363034007099E-2</c:v>
                </c:pt>
                <c:pt idx="34">
                  <c:v>-7.6908041283400522E-2</c:v>
                </c:pt>
                <c:pt idx="35">
                  <c:v>-7.8211026472584655E-2</c:v>
                </c:pt>
                <c:pt idx="36">
                  <c:v>-9.3350219670664092E-2</c:v>
                </c:pt>
                <c:pt idx="37">
                  <c:v>-9.5046074282017168E-2</c:v>
                </c:pt>
                <c:pt idx="38">
                  <c:v>-0.14404271744724653</c:v>
                </c:pt>
                <c:pt idx="39">
                  <c:v>-0.15130078642668338</c:v>
                </c:pt>
                <c:pt idx="40">
                  <c:v>-0.15393392100892883</c:v>
                </c:pt>
                <c:pt idx="41">
                  <c:v>-0.16050014564441528</c:v>
                </c:pt>
                <c:pt idx="42">
                  <c:v>-0.27361857447024229</c:v>
                </c:pt>
              </c:numCache>
            </c:numRef>
          </c:val>
          <c:extLst>
            <c:ext xmlns:c16="http://schemas.microsoft.com/office/drawing/2014/chart" uri="{C3380CC4-5D6E-409C-BE32-E72D297353CC}">
              <c16:uniqueId val="{00000000-1424-4FF9-8B53-22A43A29C533}"/>
            </c:ext>
          </c:extLst>
        </c:ser>
        <c:dLbls>
          <c:showLegendKey val="0"/>
          <c:showVal val="0"/>
          <c:showCatName val="0"/>
          <c:showSerName val="0"/>
          <c:showPercent val="0"/>
          <c:showBubbleSize val="0"/>
        </c:dLbls>
        <c:axId val="727133360"/>
        <c:axId val="590028528"/>
      </c:areaChart>
      <c:barChart>
        <c:barDir val="col"/>
        <c:grouping val="clustered"/>
        <c:varyColors val="0"/>
        <c:ser>
          <c:idx val="1"/>
          <c:order val="1"/>
          <c:tx>
            <c:strRef>
              <c:f>'Figure 1 Margin'!$C$7</c:f>
              <c:strCache>
                <c:ptCount val="1"/>
                <c:pt idx="0">
                  <c:v>2022</c:v>
                </c:pt>
              </c:strCache>
            </c:strRef>
          </c:tx>
          <c:spPr>
            <a:solidFill>
              <a:schemeClr val="accent2"/>
            </a:solidFill>
            <a:ln>
              <a:noFill/>
            </a:ln>
            <a:effectLst/>
          </c:spPr>
          <c:invertIfNegative val="0"/>
          <c:cat>
            <c:strRef>
              <c:f>'Figure 1 Margin'!$A$8:$A$50</c:f>
              <c:strCache>
                <c:ptCount val="43"/>
                <c:pt idx="0">
                  <c:v>ECU</c:v>
                </c:pt>
                <c:pt idx="1">
                  <c:v>Torrens</c:v>
                </c:pt>
                <c:pt idx="2">
                  <c:v>USYD</c:v>
                </c:pt>
                <c:pt idx="3">
                  <c:v>ANU</c:v>
                </c:pt>
                <c:pt idx="4">
                  <c:v>UWA</c:v>
                </c:pt>
                <c:pt idx="5">
                  <c:v>Batchelor</c:v>
                </c:pt>
                <c:pt idx="6">
                  <c:v>Sunshine Coast</c:v>
                </c:pt>
                <c:pt idx="7">
                  <c:v>Melbourne</c:v>
                </c:pt>
                <c:pt idx="8">
                  <c:v>UQ</c:v>
                </c:pt>
                <c:pt idx="9">
                  <c:v>Flinders</c:v>
                </c:pt>
                <c:pt idx="10">
                  <c:v>Adelaide</c:v>
                </c:pt>
                <c:pt idx="11">
                  <c:v>Swinburne</c:v>
                </c:pt>
                <c:pt idx="12">
                  <c:v>Murdoch</c:v>
                </c:pt>
                <c:pt idx="13">
                  <c:v>Bond</c:v>
                </c:pt>
                <c:pt idx="14">
                  <c:v>Notre Dame</c:v>
                </c:pt>
                <c:pt idx="15">
                  <c:v>La Trobe</c:v>
                </c:pt>
                <c:pt idx="16">
                  <c:v>Monash</c:v>
                </c:pt>
                <c:pt idx="17">
                  <c:v>Newcastle</c:v>
                </c:pt>
                <c:pt idx="18">
                  <c:v>UTAS</c:v>
                </c:pt>
                <c:pt idx="19">
                  <c:v>Curtin</c:v>
                </c:pt>
                <c:pt idx="20">
                  <c:v>CQU</c:v>
                </c:pt>
                <c:pt idx="21">
                  <c:v>Southern Cross</c:v>
                </c:pt>
                <c:pt idx="22">
                  <c:v>QUT</c:v>
                </c:pt>
                <c:pt idx="23">
                  <c:v>USA</c:v>
                </c:pt>
                <c:pt idx="24">
                  <c:v>UC</c:v>
                </c:pt>
                <c:pt idx="25">
                  <c:v>UNSW</c:v>
                </c:pt>
                <c:pt idx="26">
                  <c:v>VU</c:v>
                </c:pt>
                <c:pt idx="27">
                  <c:v>Deakin</c:v>
                </c:pt>
                <c:pt idx="28">
                  <c:v>RMIT</c:v>
                </c:pt>
                <c:pt idx="29">
                  <c:v>Wollongong</c:v>
                </c:pt>
                <c:pt idx="30">
                  <c:v>CDU</c:v>
                </c:pt>
                <c:pt idx="31">
                  <c:v>Griffith</c:v>
                </c:pt>
                <c:pt idx="32">
                  <c:v>ACU</c:v>
                </c:pt>
                <c:pt idx="33">
                  <c:v>USQ</c:v>
                </c:pt>
                <c:pt idx="34">
                  <c:v>JCU</c:v>
                </c:pt>
                <c:pt idx="35">
                  <c:v>Divinity</c:v>
                </c:pt>
                <c:pt idx="36">
                  <c:v>UTS</c:v>
                </c:pt>
                <c:pt idx="37">
                  <c:v>Macquarie</c:v>
                </c:pt>
                <c:pt idx="38">
                  <c:v>Avondale</c:v>
                </c:pt>
                <c:pt idx="39">
                  <c:v>WSU</c:v>
                </c:pt>
                <c:pt idx="40">
                  <c:v>Charles Sturt</c:v>
                </c:pt>
                <c:pt idx="41">
                  <c:v>UNE</c:v>
                </c:pt>
                <c:pt idx="42">
                  <c:v>FedUni</c:v>
                </c:pt>
              </c:strCache>
            </c:strRef>
          </c:cat>
          <c:val>
            <c:numRef>
              <c:f>'Figure 1 Margin'!$C$8:$C$50</c:f>
              <c:numCache>
                <c:formatCode>0.0%</c:formatCode>
                <c:ptCount val="43"/>
                <c:pt idx="0">
                  <c:v>7.5115978562501323E-2</c:v>
                </c:pt>
                <c:pt idx="1">
                  <c:v>0.11371203542515254</c:v>
                </c:pt>
                <c:pt idx="2">
                  <c:v>9.9658120799543268E-2</c:v>
                </c:pt>
                <c:pt idx="3">
                  <c:v>-0.11708538202830659</c:v>
                </c:pt>
                <c:pt idx="4">
                  <c:v>2.0587343872130678E-2</c:v>
                </c:pt>
                <c:pt idx="5">
                  <c:v>4.3908400500480109E-2</c:v>
                </c:pt>
                <c:pt idx="6">
                  <c:v>0.1009429819492916</c:v>
                </c:pt>
                <c:pt idx="7">
                  <c:v>-7.5914056081362827E-2</c:v>
                </c:pt>
                <c:pt idx="8">
                  <c:v>-0.16977713450426402</c:v>
                </c:pt>
                <c:pt idx="9">
                  <c:v>3.169278152349609E-2</c:v>
                </c:pt>
                <c:pt idx="10">
                  <c:v>7.97390919583265E-3</c:v>
                </c:pt>
                <c:pt idx="11">
                  <c:v>-5.7561167588504186E-2</c:v>
                </c:pt>
                <c:pt idx="12">
                  <c:v>-5.6951056314854219E-2</c:v>
                </c:pt>
                <c:pt idx="13">
                  <c:v>4.3389564909967371E-2</c:v>
                </c:pt>
                <c:pt idx="14">
                  <c:v>5.994752038351886E-2</c:v>
                </c:pt>
                <c:pt idx="15">
                  <c:v>4.6309909573238793E-2</c:v>
                </c:pt>
                <c:pt idx="16">
                  <c:v>-4.1482809684057528E-2</c:v>
                </c:pt>
                <c:pt idx="17">
                  <c:v>-5.0079925323700869E-2</c:v>
                </c:pt>
                <c:pt idx="18">
                  <c:v>5.0058377504315146E-2</c:v>
                </c:pt>
                <c:pt idx="19">
                  <c:v>-3.948209806032716E-2</c:v>
                </c:pt>
                <c:pt idx="20">
                  <c:v>-5.5741498890443164E-2</c:v>
                </c:pt>
                <c:pt idx="21">
                  <c:v>-2.4246532111144584E-2</c:v>
                </c:pt>
                <c:pt idx="22">
                  <c:v>-0.13773427690059067</c:v>
                </c:pt>
                <c:pt idx="23">
                  <c:v>-1.1055824497213944E-2</c:v>
                </c:pt>
                <c:pt idx="24">
                  <c:v>2.2201526354936902E-2</c:v>
                </c:pt>
                <c:pt idx="25">
                  <c:v>-7.1107460143072676E-2</c:v>
                </c:pt>
                <c:pt idx="26">
                  <c:v>-0.17282866136302993</c:v>
                </c:pt>
                <c:pt idx="27">
                  <c:v>-6.1192371950755449E-2</c:v>
                </c:pt>
                <c:pt idx="28">
                  <c:v>-6.0809824063627886E-2</c:v>
                </c:pt>
                <c:pt idx="29">
                  <c:v>6.5744108853260819E-2</c:v>
                </c:pt>
                <c:pt idx="30">
                  <c:v>7.1633149674366806E-2</c:v>
                </c:pt>
                <c:pt idx="31">
                  <c:v>-7.459826887341979E-2</c:v>
                </c:pt>
                <c:pt idx="32">
                  <c:v>-1.4435825831409338E-2</c:v>
                </c:pt>
                <c:pt idx="33">
                  <c:v>-4.7538652108088268E-2</c:v>
                </c:pt>
                <c:pt idx="34">
                  <c:v>-0.10951380639503538</c:v>
                </c:pt>
                <c:pt idx="35">
                  <c:v>-9.7493036211699163E-2</c:v>
                </c:pt>
                <c:pt idx="36">
                  <c:v>-5.1311498943828061E-2</c:v>
                </c:pt>
                <c:pt idx="37">
                  <c:v>-4.4907916401175127E-2</c:v>
                </c:pt>
                <c:pt idx="38">
                  <c:v>-1.7000000000000001E-2</c:v>
                </c:pt>
                <c:pt idx="39">
                  <c:v>-1.7544440474138275E-2</c:v>
                </c:pt>
                <c:pt idx="40">
                  <c:v>-0.1346315898572864</c:v>
                </c:pt>
                <c:pt idx="41">
                  <c:v>-4.3288178602928468E-2</c:v>
                </c:pt>
                <c:pt idx="42">
                  <c:v>-0.16416730368571728</c:v>
                </c:pt>
              </c:numCache>
            </c:numRef>
          </c:val>
          <c:extLst>
            <c:ext xmlns:c16="http://schemas.microsoft.com/office/drawing/2014/chart" uri="{C3380CC4-5D6E-409C-BE32-E72D297353CC}">
              <c16:uniqueId val="{00000001-1424-4FF9-8B53-22A43A29C533}"/>
            </c:ext>
          </c:extLst>
        </c:ser>
        <c:dLbls>
          <c:showLegendKey val="0"/>
          <c:showVal val="0"/>
          <c:showCatName val="0"/>
          <c:showSerName val="0"/>
          <c:showPercent val="0"/>
          <c:showBubbleSize val="0"/>
        </c:dLbls>
        <c:gapWidth val="100"/>
        <c:axId val="727133360"/>
        <c:axId val="590028528"/>
      </c:barChart>
      <c:catAx>
        <c:axId val="7271333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28528"/>
        <c:crosses val="autoZero"/>
        <c:auto val="1"/>
        <c:lblAlgn val="ctr"/>
        <c:lblOffset val="100"/>
        <c:tickLblSkip val="1"/>
        <c:noMultiLvlLbl val="0"/>
      </c:catAx>
      <c:valAx>
        <c:axId val="590028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13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5,7 &amp; Fig 10,12'!$B$9</c:f>
              <c:strCache>
                <c:ptCount val="1"/>
                <c:pt idx="0">
                  <c:v>Property, Plant and Equipment</c:v>
                </c:pt>
              </c:strCache>
            </c:strRef>
          </c:tx>
          <c:spPr>
            <a:ln w="28575" cap="rnd">
              <a:solidFill>
                <a:schemeClr val="accent1"/>
              </a:solidFill>
              <a:round/>
            </a:ln>
            <a:effectLst/>
          </c:spPr>
          <c:marker>
            <c:symbol val="none"/>
          </c:marker>
          <c:cat>
            <c:strRef>
              <c:f>'Table 5,7 &amp; Fig 10,12'!$C$8:$L$8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10,12'!$C$9:$L$9</c:f>
              <c:numCache>
                <c:formatCode>#,##0;[Red]\(#,##0\)</c:formatCode>
                <c:ptCount val="10"/>
                <c:pt idx="0">
                  <c:v>42633975</c:v>
                </c:pt>
                <c:pt idx="1">
                  <c:v>44053768</c:v>
                </c:pt>
                <c:pt idx="2">
                  <c:v>45819281</c:v>
                </c:pt>
                <c:pt idx="3">
                  <c:v>48416992</c:v>
                </c:pt>
                <c:pt idx="4">
                  <c:v>50959495</c:v>
                </c:pt>
                <c:pt idx="5">
                  <c:v>55733290</c:v>
                </c:pt>
                <c:pt idx="6">
                  <c:v>58643944</c:v>
                </c:pt>
                <c:pt idx="7">
                  <c:v>59930775</c:v>
                </c:pt>
                <c:pt idx="8">
                  <c:v>63783550</c:v>
                </c:pt>
                <c:pt idx="9">
                  <c:v>67428096</c:v>
                </c:pt>
              </c:numCache>
            </c:numRef>
          </c:val>
          <c:smooth val="0"/>
          <c:extLst>
            <c:ext xmlns:c16="http://schemas.microsoft.com/office/drawing/2014/chart" uri="{C3380CC4-5D6E-409C-BE32-E72D297353CC}">
              <c16:uniqueId val="{00000000-31BD-4D47-8609-004EE757B7F6}"/>
            </c:ext>
          </c:extLst>
        </c:ser>
        <c:ser>
          <c:idx val="1"/>
          <c:order val="1"/>
          <c:tx>
            <c:strRef>
              <c:f>'Table 5,7 &amp; Fig 10,12'!$B$10</c:f>
              <c:strCache>
                <c:ptCount val="1"/>
                <c:pt idx="0">
                  <c:v>Investments</c:v>
                </c:pt>
              </c:strCache>
            </c:strRef>
          </c:tx>
          <c:spPr>
            <a:ln w="28575" cap="rnd">
              <a:solidFill>
                <a:schemeClr val="accent2"/>
              </a:solidFill>
              <a:round/>
            </a:ln>
            <a:effectLst/>
          </c:spPr>
          <c:marker>
            <c:symbol val="none"/>
          </c:marker>
          <c:cat>
            <c:strRef>
              <c:f>'Table 5,7 &amp; Fig 10,12'!$C$8:$L$8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10,12'!$C$10:$L$10</c:f>
              <c:numCache>
                <c:formatCode>#,##0;[Red]\(#,##0\)</c:formatCode>
                <c:ptCount val="10"/>
                <c:pt idx="0">
                  <c:v>9972860</c:v>
                </c:pt>
                <c:pt idx="1">
                  <c:v>10954389</c:v>
                </c:pt>
                <c:pt idx="2">
                  <c:v>12456901</c:v>
                </c:pt>
                <c:pt idx="3">
                  <c:v>14789126</c:v>
                </c:pt>
                <c:pt idx="4">
                  <c:v>15863247</c:v>
                </c:pt>
                <c:pt idx="5">
                  <c:v>17758617</c:v>
                </c:pt>
                <c:pt idx="6">
                  <c:v>18297334</c:v>
                </c:pt>
                <c:pt idx="7">
                  <c:v>22525539</c:v>
                </c:pt>
                <c:pt idx="8">
                  <c:v>24478720</c:v>
                </c:pt>
                <c:pt idx="9">
                  <c:v>26380012</c:v>
                </c:pt>
              </c:numCache>
            </c:numRef>
          </c:val>
          <c:smooth val="0"/>
          <c:extLst>
            <c:ext xmlns:c16="http://schemas.microsoft.com/office/drawing/2014/chart" uri="{C3380CC4-5D6E-409C-BE32-E72D297353CC}">
              <c16:uniqueId val="{00000001-31BD-4D47-8609-004EE757B7F6}"/>
            </c:ext>
          </c:extLst>
        </c:ser>
        <c:ser>
          <c:idx val="2"/>
          <c:order val="2"/>
          <c:tx>
            <c:strRef>
              <c:f>'Table 5,7 &amp; Fig 10,12'!$B$11</c:f>
              <c:strCache>
                <c:ptCount val="1"/>
                <c:pt idx="0">
                  <c:v>Receivables</c:v>
                </c:pt>
              </c:strCache>
            </c:strRef>
          </c:tx>
          <c:spPr>
            <a:ln w="28575" cap="rnd">
              <a:solidFill>
                <a:schemeClr val="accent3"/>
              </a:solidFill>
              <a:round/>
            </a:ln>
            <a:effectLst/>
          </c:spPr>
          <c:marker>
            <c:symbol val="none"/>
          </c:marker>
          <c:cat>
            <c:strRef>
              <c:f>'Table 5,7 &amp; Fig 10,12'!$C$8:$L$8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10,12'!$C$11:$L$11</c:f>
              <c:numCache>
                <c:formatCode>#,##0;[Red]\(#,##0\)</c:formatCode>
                <c:ptCount val="10"/>
                <c:pt idx="0">
                  <c:v>9084138</c:v>
                </c:pt>
                <c:pt idx="1">
                  <c:v>9359879</c:v>
                </c:pt>
                <c:pt idx="2">
                  <c:v>9320570</c:v>
                </c:pt>
                <c:pt idx="3">
                  <c:v>9246948</c:v>
                </c:pt>
                <c:pt idx="4">
                  <c:v>9401162</c:v>
                </c:pt>
                <c:pt idx="5">
                  <c:v>9946951</c:v>
                </c:pt>
                <c:pt idx="6">
                  <c:v>9399532</c:v>
                </c:pt>
                <c:pt idx="7">
                  <c:v>9710764</c:v>
                </c:pt>
                <c:pt idx="8">
                  <c:v>8492816</c:v>
                </c:pt>
                <c:pt idx="9">
                  <c:v>8400331</c:v>
                </c:pt>
              </c:numCache>
            </c:numRef>
          </c:val>
          <c:smooth val="0"/>
          <c:extLst>
            <c:ext xmlns:c16="http://schemas.microsoft.com/office/drawing/2014/chart" uri="{C3380CC4-5D6E-409C-BE32-E72D297353CC}">
              <c16:uniqueId val="{00000002-31BD-4D47-8609-004EE757B7F6}"/>
            </c:ext>
          </c:extLst>
        </c:ser>
        <c:ser>
          <c:idx val="3"/>
          <c:order val="3"/>
          <c:tx>
            <c:strRef>
              <c:f>'Table 5,7 &amp; Fig 10,12'!$B$12</c:f>
              <c:strCache>
                <c:ptCount val="1"/>
                <c:pt idx="0">
                  <c:v>Cash and Cash Equivalents</c:v>
                </c:pt>
              </c:strCache>
            </c:strRef>
          </c:tx>
          <c:spPr>
            <a:ln w="28575" cap="rnd">
              <a:solidFill>
                <a:schemeClr val="accent4"/>
              </a:solidFill>
              <a:round/>
            </a:ln>
            <a:effectLst/>
          </c:spPr>
          <c:marker>
            <c:symbol val="none"/>
          </c:marker>
          <c:cat>
            <c:strRef>
              <c:f>'Table 5,7 &amp; Fig 10,12'!$C$8:$L$8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10,12'!$C$12:$L$12</c:f>
              <c:numCache>
                <c:formatCode>#,##0;[Red]\(#,##0\)</c:formatCode>
                <c:ptCount val="10"/>
                <c:pt idx="0">
                  <c:v>3576345</c:v>
                </c:pt>
                <c:pt idx="1">
                  <c:v>3917001</c:v>
                </c:pt>
                <c:pt idx="2">
                  <c:v>4112138</c:v>
                </c:pt>
                <c:pt idx="3">
                  <c:v>4358228</c:v>
                </c:pt>
                <c:pt idx="4">
                  <c:v>4428487</c:v>
                </c:pt>
                <c:pt idx="5">
                  <c:v>4640359</c:v>
                </c:pt>
                <c:pt idx="6">
                  <c:v>6575477</c:v>
                </c:pt>
                <c:pt idx="7">
                  <c:v>8349923</c:v>
                </c:pt>
                <c:pt idx="8">
                  <c:v>6766242</c:v>
                </c:pt>
                <c:pt idx="9">
                  <c:v>5810872</c:v>
                </c:pt>
              </c:numCache>
            </c:numRef>
          </c:val>
          <c:smooth val="0"/>
          <c:extLst>
            <c:ext xmlns:c16="http://schemas.microsoft.com/office/drawing/2014/chart" uri="{C3380CC4-5D6E-409C-BE32-E72D297353CC}">
              <c16:uniqueId val="{00000003-31BD-4D47-8609-004EE757B7F6}"/>
            </c:ext>
          </c:extLst>
        </c:ser>
        <c:ser>
          <c:idx val="4"/>
          <c:order val="4"/>
          <c:tx>
            <c:strRef>
              <c:f>'Table 5,7 &amp; Fig 10,12'!$B$13</c:f>
              <c:strCache>
                <c:ptCount val="1"/>
                <c:pt idx="0">
                  <c:v>Other Assets</c:v>
                </c:pt>
              </c:strCache>
            </c:strRef>
          </c:tx>
          <c:spPr>
            <a:ln w="28575" cap="rnd">
              <a:solidFill>
                <a:schemeClr val="accent5"/>
              </a:solidFill>
              <a:round/>
            </a:ln>
            <a:effectLst/>
          </c:spPr>
          <c:marker>
            <c:symbol val="none"/>
          </c:marker>
          <c:cat>
            <c:strRef>
              <c:f>'Table 5,7 &amp; Fig 10,12'!$C$8:$L$8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10,12'!$C$13:$L$13</c:f>
              <c:numCache>
                <c:formatCode>#,##0;[Red]\(#,##0\)</c:formatCode>
                <c:ptCount val="10"/>
                <c:pt idx="0">
                  <c:v>1623293</c:v>
                </c:pt>
                <c:pt idx="1">
                  <c:v>1837071</c:v>
                </c:pt>
                <c:pt idx="2">
                  <c:v>1847849</c:v>
                </c:pt>
                <c:pt idx="3">
                  <c:v>1968097</c:v>
                </c:pt>
                <c:pt idx="4">
                  <c:v>2176156</c:v>
                </c:pt>
                <c:pt idx="5">
                  <c:v>2330247</c:v>
                </c:pt>
                <c:pt idx="6">
                  <c:v>2655760</c:v>
                </c:pt>
                <c:pt idx="7">
                  <c:v>2706800</c:v>
                </c:pt>
                <c:pt idx="8">
                  <c:v>2646987</c:v>
                </c:pt>
                <c:pt idx="9">
                  <c:v>2815168</c:v>
                </c:pt>
              </c:numCache>
            </c:numRef>
          </c:val>
          <c:smooth val="0"/>
          <c:extLst>
            <c:ext xmlns:c16="http://schemas.microsoft.com/office/drawing/2014/chart" uri="{C3380CC4-5D6E-409C-BE32-E72D297353CC}">
              <c16:uniqueId val="{00000004-31BD-4D47-8609-004EE757B7F6}"/>
            </c:ext>
          </c:extLst>
        </c:ser>
        <c:dLbls>
          <c:showLegendKey val="0"/>
          <c:showVal val="0"/>
          <c:showCatName val="0"/>
          <c:showSerName val="0"/>
          <c:showPercent val="0"/>
          <c:showBubbleSize val="0"/>
        </c:dLbls>
        <c:smooth val="0"/>
        <c:axId val="839193104"/>
        <c:axId val="620781680"/>
      </c:lineChart>
      <c:catAx>
        <c:axId val="8391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781680"/>
        <c:crosses val="autoZero"/>
        <c:auto val="1"/>
        <c:lblAlgn val="ctr"/>
        <c:lblOffset val="100"/>
        <c:noMultiLvlLbl val="0"/>
      </c:catAx>
      <c:valAx>
        <c:axId val="620781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193104"/>
        <c:crosses val="autoZero"/>
        <c:crossBetween val="between"/>
        <c:dispUnits>
          <c:builtInUnit val="millions"/>
          <c:dispUnitsLbl>
            <c:layout>
              <c:manualLayout>
                <c:xMode val="edge"/>
                <c:yMode val="edge"/>
                <c:x val="2.0434227330779056E-2"/>
                <c:y val="0.419271402550091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396607525765457E-2"/>
          <c:y val="5.1772861725617639E-2"/>
          <c:w val="0.88957552198286316"/>
          <c:h val="0.72681637724775183"/>
        </c:manualLayout>
      </c:layout>
      <c:barChart>
        <c:barDir val="col"/>
        <c:grouping val="clustered"/>
        <c:varyColors val="0"/>
        <c:ser>
          <c:idx val="0"/>
          <c:order val="0"/>
          <c:tx>
            <c:strRef>
              <c:f>'Fig 11 - Cash &amp; Inv'!$C$7</c:f>
              <c:strCache>
                <c:ptCount val="1"/>
                <c:pt idx="0">
                  <c:v>2022</c:v>
                </c:pt>
              </c:strCache>
            </c:strRef>
          </c:tx>
          <c:spPr>
            <a:solidFill>
              <a:srgbClr val="242852"/>
            </a:solidFill>
            <a:ln>
              <a:solidFill>
                <a:srgbClr val="242852"/>
              </a:solidFill>
            </a:ln>
            <a:effectLst/>
          </c:spPr>
          <c:invertIfNegative val="0"/>
          <c:cat>
            <c:strRef>
              <c:f>'Fig 11 - Cash &amp; Inv'!$A$8:$A$50</c:f>
              <c:strCache>
                <c:ptCount val="43"/>
                <c:pt idx="0">
                  <c:v>Melbourne</c:v>
                </c:pt>
                <c:pt idx="1">
                  <c:v>USYD</c:v>
                </c:pt>
                <c:pt idx="2">
                  <c:v>ANU</c:v>
                </c:pt>
                <c:pt idx="3">
                  <c:v>Monash</c:v>
                </c:pt>
                <c:pt idx="4">
                  <c:v>UNSW</c:v>
                </c:pt>
                <c:pt idx="5">
                  <c:v>UQ</c:v>
                </c:pt>
                <c:pt idx="6">
                  <c:v>UWA</c:v>
                </c:pt>
                <c:pt idx="7">
                  <c:v>Deakin</c:v>
                </c:pt>
                <c:pt idx="8">
                  <c:v>ECU</c:v>
                </c:pt>
                <c:pt idx="9">
                  <c:v>QUT</c:v>
                </c:pt>
                <c:pt idx="10">
                  <c:v>WSU</c:v>
                </c:pt>
                <c:pt idx="11">
                  <c:v>Adelaide</c:v>
                </c:pt>
                <c:pt idx="12">
                  <c:v>Griffith</c:v>
                </c:pt>
                <c:pt idx="13">
                  <c:v>Curtin</c:v>
                </c:pt>
                <c:pt idx="14">
                  <c:v>Newcastle</c:v>
                </c:pt>
                <c:pt idx="15">
                  <c:v>Swinburne</c:v>
                </c:pt>
                <c:pt idx="16">
                  <c:v>USA</c:v>
                </c:pt>
                <c:pt idx="17">
                  <c:v>UTAS</c:v>
                </c:pt>
                <c:pt idx="18">
                  <c:v>Murdoch</c:v>
                </c:pt>
                <c:pt idx="19">
                  <c:v>Wollongong</c:v>
                </c:pt>
                <c:pt idx="20">
                  <c:v>Charles Sturt</c:v>
                </c:pt>
                <c:pt idx="21">
                  <c:v>Flinders</c:v>
                </c:pt>
                <c:pt idx="22">
                  <c:v>UTS</c:v>
                </c:pt>
                <c:pt idx="23">
                  <c:v>FedUni</c:v>
                </c:pt>
                <c:pt idx="24">
                  <c:v>JCU</c:v>
                </c:pt>
                <c:pt idx="25">
                  <c:v>CQU</c:v>
                </c:pt>
                <c:pt idx="26">
                  <c:v>VU</c:v>
                </c:pt>
                <c:pt idx="27">
                  <c:v>La Trobe</c:v>
                </c:pt>
                <c:pt idx="28">
                  <c:v>CDU</c:v>
                </c:pt>
                <c:pt idx="29">
                  <c:v>Sunshine Coast</c:v>
                </c:pt>
                <c:pt idx="30">
                  <c:v>USQ</c:v>
                </c:pt>
                <c:pt idx="31">
                  <c:v>UNE</c:v>
                </c:pt>
                <c:pt idx="32">
                  <c:v>RMIT</c:v>
                </c:pt>
                <c:pt idx="33">
                  <c:v>Torrens</c:v>
                </c:pt>
                <c:pt idx="34">
                  <c:v>Southern Cross</c:v>
                </c:pt>
                <c:pt idx="35">
                  <c:v>Bond</c:v>
                </c:pt>
                <c:pt idx="36">
                  <c:v>Macquarie</c:v>
                </c:pt>
                <c:pt idx="37">
                  <c:v>ACU</c:v>
                </c:pt>
                <c:pt idx="38">
                  <c:v>UC</c:v>
                </c:pt>
                <c:pt idx="39">
                  <c:v>Notre Dame</c:v>
                </c:pt>
                <c:pt idx="40">
                  <c:v>Avondale</c:v>
                </c:pt>
                <c:pt idx="41">
                  <c:v>Batchelor</c:v>
                </c:pt>
                <c:pt idx="42">
                  <c:v>Divinity</c:v>
                </c:pt>
              </c:strCache>
            </c:strRef>
          </c:cat>
          <c:val>
            <c:numRef>
              <c:f>'Fig 11 - Cash &amp; Inv'!$C$8:$C$50</c:f>
              <c:numCache>
                <c:formatCode>#,##0</c:formatCode>
                <c:ptCount val="43"/>
                <c:pt idx="0">
                  <c:v>4543424</c:v>
                </c:pt>
                <c:pt idx="1">
                  <c:v>4152792</c:v>
                </c:pt>
                <c:pt idx="2">
                  <c:v>1859175</c:v>
                </c:pt>
                <c:pt idx="3">
                  <c:v>1828195</c:v>
                </c:pt>
                <c:pt idx="4">
                  <c:v>1612903</c:v>
                </c:pt>
                <c:pt idx="5">
                  <c:v>1387361</c:v>
                </c:pt>
                <c:pt idx="6">
                  <c:v>1322573</c:v>
                </c:pt>
                <c:pt idx="7">
                  <c:v>1202269</c:v>
                </c:pt>
                <c:pt idx="8">
                  <c:v>1059037</c:v>
                </c:pt>
                <c:pt idx="9">
                  <c:v>902501</c:v>
                </c:pt>
                <c:pt idx="10">
                  <c:v>864674</c:v>
                </c:pt>
                <c:pt idx="11">
                  <c:v>791766</c:v>
                </c:pt>
                <c:pt idx="12">
                  <c:v>882960</c:v>
                </c:pt>
                <c:pt idx="13">
                  <c:v>651078</c:v>
                </c:pt>
                <c:pt idx="14">
                  <c:v>608616</c:v>
                </c:pt>
                <c:pt idx="15">
                  <c:v>596824</c:v>
                </c:pt>
                <c:pt idx="16">
                  <c:v>489932</c:v>
                </c:pt>
                <c:pt idx="17">
                  <c:v>672573</c:v>
                </c:pt>
                <c:pt idx="18">
                  <c:v>504350</c:v>
                </c:pt>
                <c:pt idx="19">
                  <c:v>459975</c:v>
                </c:pt>
                <c:pt idx="20">
                  <c:v>475822</c:v>
                </c:pt>
                <c:pt idx="21">
                  <c:v>414061</c:v>
                </c:pt>
                <c:pt idx="22">
                  <c:v>395147</c:v>
                </c:pt>
                <c:pt idx="23">
                  <c:v>382304</c:v>
                </c:pt>
                <c:pt idx="24">
                  <c:v>316604</c:v>
                </c:pt>
                <c:pt idx="25">
                  <c:v>261672</c:v>
                </c:pt>
                <c:pt idx="26">
                  <c:v>280486</c:v>
                </c:pt>
                <c:pt idx="27">
                  <c:v>200198</c:v>
                </c:pt>
                <c:pt idx="28">
                  <c:v>225309</c:v>
                </c:pt>
                <c:pt idx="29">
                  <c:v>281013</c:v>
                </c:pt>
                <c:pt idx="30">
                  <c:v>239371</c:v>
                </c:pt>
                <c:pt idx="31">
                  <c:v>221291</c:v>
                </c:pt>
                <c:pt idx="32">
                  <c:v>224076</c:v>
                </c:pt>
                <c:pt idx="33">
                  <c:v>93397</c:v>
                </c:pt>
                <c:pt idx="34">
                  <c:v>177068</c:v>
                </c:pt>
                <c:pt idx="35">
                  <c:v>206737</c:v>
                </c:pt>
                <c:pt idx="36">
                  <c:v>121734</c:v>
                </c:pt>
                <c:pt idx="37">
                  <c:v>161412</c:v>
                </c:pt>
                <c:pt idx="38">
                  <c:v>92393</c:v>
                </c:pt>
                <c:pt idx="39">
                  <c:v>65984</c:v>
                </c:pt>
                <c:pt idx="40">
                  <c:v>17869</c:v>
                </c:pt>
                <c:pt idx="41">
                  <c:v>10313</c:v>
                </c:pt>
                <c:pt idx="42">
                  <c:v>5592</c:v>
                </c:pt>
              </c:numCache>
            </c:numRef>
          </c:val>
          <c:extLst>
            <c:ext xmlns:c16="http://schemas.microsoft.com/office/drawing/2014/chart" uri="{C3380CC4-5D6E-409C-BE32-E72D297353CC}">
              <c16:uniqueId val="{00000000-FE75-4342-B5AF-8F49F3D7005A}"/>
            </c:ext>
          </c:extLst>
        </c:ser>
        <c:ser>
          <c:idx val="1"/>
          <c:order val="1"/>
          <c:tx>
            <c:strRef>
              <c:f>'Fig 11 - Cash &amp; Inv'!$B$7</c:f>
              <c:strCache>
                <c:ptCount val="1"/>
                <c:pt idx="0">
                  <c:v>2023</c:v>
                </c:pt>
              </c:strCache>
            </c:strRef>
          </c:tx>
          <c:spPr>
            <a:solidFill>
              <a:srgbClr val="5AA2AE"/>
            </a:solidFill>
            <a:ln>
              <a:solidFill>
                <a:srgbClr val="5AA2AE"/>
              </a:solidFill>
            </a:ln>
            <a:effectLst/>
          </c:spPr>
          <c:invertIfNegative val="0"/>
          <c:cat>
            <c:strRef>
              <c:f>'Fig 11 - Cash &amp; Inv'!$A$8:$A$50</c:f>
              <c:strCache>
                <c:ptCount val="43"/>
                <c:pt idx="0">
                  <c:v>Melbourne</c:v>
                </c:pt>
                <c:pt idx="1">
                  <c:v>USYD</c:v>
                </c:pt>
                <c:pt idx="2">
                  <c:v>ANU</c:v>
                </c:pt>
                <c:pt idx="3">
                  <c:v>Monash</c:v>
                </c:pt>
                <c:pt idx="4">
                  <c:v>UNSW</c:v>
                </c:pt>
                <c:pt idx="5">
                  <c:v>UQ</c:v>
                </c:pt>
                <c:pt idx="6">
                  <c:v>UWA</c:v>
                </c:pt>
                <c:pt idx="7">
                  <c:v>Deakin</c:v>
                </c:pt>
                <c:pt idx="8">
                  <c:v>ECU</c:v>
                </c:pt>
                <c:pt idx="9">
                  <c:v>QUT</c:v>
                </c:pt>
                <c:pt idx="10">
                  <c:v>WSU</c:v>
                </c:pt>
                <c:pt idx="11">
                  <c:v>Adelaide</c:v>
                </c:pt>
                <c:pt idx="12">
                  <c:v>Griffith</c:v>
                </c:pt>
                <c:pt idx="13">
                  <c:v>Curtin</c:v>
                </c:pt>
                <c:pt idx="14">
                  <c:v>Newcastle</c:v>
                </c:pt>
                <c:pt idx="15">
                  <c:v>Swinburne</c:v>
                </c:pt>
                <c:pt idx="16">
                  <c:v>USA</c:v>
                </c:pt>
                <c:pt idx="17">
                  <c:v>UTAS</c:v>
                </c:pt>
                <c:pt idx="18">
                  <c:v>Murdoch</c:v>
                </c:pt>
                <c:pt idx="19">
                  <c:v>Wollongong</c:v>
                </c:pt>
                <c:pt idx="20">
                  <c:v>Charles Sturt</c:v>
                </c:pt>
                <c:pt idx="21">
                  <c:v>Flinders</c:v>
                </c:pt>
                <c:pt idx="22">
                  <c:v>UTS</c:v>
                </c:pt>
                <c:pt idx="23">
                  <c:v>FedUni</c:v>
                </c:pt>
                <c:pt idx="24">
                  <c:v>JCU</c:v>
                </c:pt>
                <c:pt idx="25">
                  <c:v>CQU</c:v>
                </c:pt>
                <c:pt idx="26">
                  <c:v>VU</c:v>
                </c:pt>
                <c:pt idx="27">
                  <c:v>La Trobe</c:v>
                </c:pt>
                <c:pt idx="28">
                  <c:v>CDU</c:v>
                </c:pt>
                <c:pt idx="29">
                  <c:v>Sunshine Coast</c:v>
                </c:pt>
                <c:pt idx="30">
                  <c:v>USQ</c:v>
                </c:pt>
                <c:pt idx="31">
                  <c:v>UNE</c:v>
                </c:pt>
                <c:pt idx="32">
                  <c:v>RMIT</c:v>
                </c:pt>
                <c:pt idx="33">
                  <c:v>Torrens</c:v>
                </c:pt>
                <c:pt idx="34">
                  <c:v>Southern Cross</c:v>
                </c:pt>
                <c:pt idx="35">
                  <c:v>Bond</c:v>
                </c:pt>
                <c:pt idx="36">
                  <c:v>Macquarie</c:v>
                </c:pt>
                <c:pt idx="37">
                  <c:v>ACU</c:v>
                </c:pt>
                <c:pt idx="38">
                  <c:v>UC</c:v>
                </c:pt>
                <c:pt idx="39">
                  <c:v>Notre Dame</c:v>
                </c:pt>
                <c:pt idx="40">
                  <c:v>Avondale</c:v>
                </c:pt>
                <c:pt idx="41">
                  <c:v>Batchelor</c:v>
                </c:pt>
                <c:pt idx="42">
                  <c:v>Divinity</c:v>
                </c:pt>
              </c:strCache>
            </c:strRef>
          </c:cat>
          <c:val>
            <c:numRef>
              <c:f>'Fig 11 - Cash &amp; Inv'!$B$8:$B$50</c:f>
              <c:numCache>
                <c:formatCode>#,##0</c:formatCode>
                <c:ptCount val="43"/>
                <c:pt idx="0">
                  <c:v>4747268</c:v>
                </c:pt>
                <c:pt idx="1">
                  <c:v>4500163</c:v>
                </c:pt>
                <c:pt idx="2">
                  <c:v>1799065</c:v>
                </c:pt>
                <c:pt idx="3">
                  <c:v>1793797</c:v>
                </c:pt>
                <c:pt idx="4">
                  <c:v>1737740</c:v>
                </c:pt>
                <c:pt idx="5">
                  <c:v>1651324</c:v>
                </c:pt>
                <c:pt idx="6">
                  <c:v>1465085</c:v>
                </c:pt>
                <c:pt idx="7">
                  <c:v>1150018</c:v>
                </c:pt>
                <c:pt idx="8">
                  <c:v>1123417</c:v>
                </c:pt>
                <c:pt idx="9">
                  <c:v>916536</c:v>
                </c:pt>
                <c:pt idx="10">
                  <c:v>893699</c:v>
                </c:pt>
                <c:pt idx="11">
                  <c:v>892455</c:v>
                </c:pt>
                <c:pt idx="12">
                  <c:v>817045</c:v>
                </c:pt>
                <c:pt idx="13">
                  <c:v>676634</c:v>
                </c:pt>
                <c:pt idx="14">
                  <c:v>657616</c:v>
                </c:pt>
                <c:pt idx="15">
                  <c:v>614108</c:v>
                </c:pt>
                <c:pt idx="16">
                  <c:v>573444</c:v>
                </c:pt>
                <c:pt idx="17">
                  <c:v>522363</c:v>
                </c:pt>
                <c:pt idx="18">
                  <c:v>509888</c:v>
                </c:pt>
                <c:pt idx="19">
                  <c:v>437071</c:v>
                </c:pt>
                <c:pt idx="20">
                  <c:v>432921</c:v>
                </c:pt>
                <c:pt idx="21">
                  <c:v>400022</c:v>
                </c:pt>
                <c:pt idx="22">
                  <c:v>380793</c:v>
                </c:pt>
                <c:pt idx="23">
                  <c:v>332523</c:v>
                </c:pt>
                <c:pt idx="24">
                  <c:v>330262</c:v>
                </c:pt>
                <c:pt idx="25">
                  <c:v>294213</c:v>
                </c:pt>
                <c:pt idx="26">
                  <c:v>263560</c:v>
                </c:pt>
                <c:pt idx="27">
                  <c:v>243952</c:v>
                </c:pt>
                <c:pt idx="28">
                  <c:v>236910</c:v>
                </c:pt>
                <c:pt idx="29">
                  <c:v>233467</c:v>
                </c:pt>
                <c:pt idx="30">
                  <c:v>213269</c:v>
                </c:pt>
                <c:pt idx="31">
                  <c:v>192989</c:v>
                </c:pt>
                <c:pt idx="32">
                  <c:v>179893</c:v>
                </c:pt>
                <c:pt idx="33">
                  <c:v>168198</c:v>
                </c:pt>
                <c:pt idx="34">
                  <c:v>165882</c:v>
                </c:pt>
                <c:pt idx="35">
                  <c:v>163062</c:v>
                </c:pt>
                <c:pt idx="36">
                  <c:v>160267</c:v>
                </c:pt>
                <c:pt idx="37">
                  <c:v>147313</c:v>
                </c:pt>
                <c:pt idx="38">
                  <c:v>79366</c:v>
                </c:pt>
                <c:pt idx="39">
                  <c:v>62014</c:v>
                </c:pt>
                <c:pt idx="40">
                  <c:v>14396</c:v>
                </c:pt>
                <c:pt idx="41">
                  <c:v>12662</c:v>
                </c:pt>
                <c:pt idx="42">
                  <c:v>4214</c:v>
                </c:pt>
              </c:numCache>
            </c:numRef>
          </c:val>
          <c:extLst>
            <c:ext xmlns:c16="http://schemas.microsoft.com/office/drawing/2014/chart" uri="{C3380CC4-5D6E-409C-BE32-E72D297353CC}">
              <c16:uniqueId val="{00000001-FE75-4342-B5AF-8F49F3D7005A}"/>
            </c:ext>
          </c:extLst>
        </c:ser>
        <c:dLbls>
          <c:showLegendKey val="0"/>
          <c:showVal val="0"/>
          <c:showCatName val="0"/>
          <c:showSerName val="0"/>
          <c:showPercent val="0"/>
          <c:showBubbleSize val="0"/>
        </c:dLbls>
        <c:gapWidth val="100"/>
        <c:overlap val="-30"/>
        <c:axId val="526399648"/>
        <c:axId val="526398816"/>
      </c:barChart>
      <c:catAx>
        <c:axId val="526399648"/>
        <c:scaling>
          <c:orientation val="minMax"/>
        </c:scaling>
        <c:delete val="0"/>
        <c:axPos val="b"/>
        <c:numFmt formatCode="General" sourceLinked="1"/>
        <c:majorTickMark val="out"/>
        <c:minorTickMark val="none"/>
        <c:tickLblPos val="low"/>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26398816"/>
        <c:crosses val="autoZero"/>
        <c:auto val="1"/>
        <c:lblAlgn val="ctr"/>
        <c:lblOffset val="100"/>
        <c:tickLblSkip val="1"/>
        <c:noMultiLvlLbl val="0"/>
      </c:catAx>
      <c:valAx>
        <c:axId val="526398816"/>
        <c:scaling>
          <c:orientation val="minMax"/>
        </c:scaling>
        <c:delete val="0"/>
        <c:axPos val="l"/>
        <c:majorGridlines>
          <c:spPr>
            <a:ln w="9525" cap="flat" cmpd="sng" algn="ctr">
              <a:solidFill>
                <a:srgbClr val="D7D8D8"/>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26399648"/>
        <c:crosses val="autoZero"/>
        <c:crossBetween val="between"/>
        <c:dispUnits>
          <c:builtInUnit val="millions"/>
          <c:dispUnitsLbl>
            <c:layout>
              <c:manualLayout>
                <c:xMode val="edge"/>
                <c:yMode val="edge"/>
                <c:x val="5.1911420908527725E-3"/>
                <c:y val="0.4741165204882535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5,7 &amp; Fig 10,12'!$B$20</c:f>
              <c:strCache>
                <c:ptCount val="1"/>
                <c:pt idx="0">
                  <c:v>Provisions</c:v>
                </c:pt>
              </c:strCache>
            </c:strRef>
          </c:tx>
          <c:spPr>
            <a:ln w="28575" cap="rnd">
              <a:solidFill>
                <a:schemeClr val="accent1"/>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10,12'!$C$20:$L$20</c:f>
              <c:numCache>
                <c:formatCode>#,##0;[Red]\(#,##0\)</c:formatCode>
                <c:ptCount val="10"/>
                <c:pt idx="0">
                  <c:v>11849485</c:v>
                </c:pt>
                <c:pt idx="1">
                  <c:v>12018039</c:v>
                </c:pt>
                <c:pt idx="2">
                  <c:v>11994121</c:v>
                </c:pt>
                <c:pt idx="3">
                  <c:v>11987994</c:v>
                </c:pt>
                <c:pt idx="4">
                  <c:v>12436996</c:v>
                </c:pt>
                <c:pt idx="5">
                  <c:v>13354040</c:v>
                </c:pt>
                <c:pt idx="6">
                  <c:v>13362194</c:v>
                </c:pt>
                <c:pt idx="7">
                  <c:v>12727147</c:v>
                </c:pt>
                <c:pt idx="8">
                  <c:v>11234018</c:v>
                </c:pt>
                <c:pt idx="9">
                  <c:v>11414648</c:v>
                </c:pt>
              </c:numCache>
            </c:numRef>
          </c:val>
          <c:smooth val="0"/>
          <c:extLst>
            <c:ext xmlns:c16="http://schemas.microsoft.com/office/drawing/2014/chart" uri="{C3380CC4-5D6E-409C-BE32-E72D297353CC}">
              <c16:uniqueId val="{00000000-143F-4749-8A1A-98446C28523B}"/>
            </c:ext>
          </c:extLst>
        </c:ser>
        <c:ser>
          <c:idx val="1"/>
          <c:order val="1"/>
          <c:tx>
            <c:strRef>
              <c:f>'Table 5,7 &amp; Fig 10,12'!$B$21</c:f>
              <c:strCache>
                <c:ptCount val="1"/>
                <c:pt idx="0">
                  <c:v>Borrowings</c:v>
                </c:pt>
              </c:strCache>
            </c:strRef>
          </c:tx>
          <c:spPr>
            <a:ln w="28575" cap="rnd">
              <a:solidFill>
                <a:schemeClr val="accent2"/>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10,12'!$C$21:$L$21</c:f>
              <c:numCache>
                <c:formatCode>#,##0;[Red]\(#,##0\)</c:formatCode>
                <c:ptCount val="10"/>
                <c:pt idx="0">
                  <c:v>3427538</c:v>
                </c:pt>
                <c:pt idx="1">
                  <c:v>3927792</c:v>
                </c:pt>
                <c:pt idx="2">
                  <c:v>4231954</c:v>
                </c:pt>
                <c:pt idx="3">
                  <c:v>5215786</c:v>
                </c:pt>
                <c:pt idx="4">
                  <c:v>5592266</c:v>
                </c:pt>
                <c:pt idx="5">
                  <c:v>6161759</c:v>
                </c:pt>
                <c:pt idx="6">
                  <c:v>7046808</c:v>
                </c:pt>
                <c:pt idx="7">
                  <c:v>6415127</c:v>
                </c:pt>
                <c:pt idx="8">
                  <c:v>7296194</c:v>
                </c:pt>
                <c:pt idx="9">
                  <c:v>7783162</c:v>
                </c:pt>
              </c:numCache>
            </c:numRef>
          </c:val>
          <c:smooth val="0"/>
          <c:extLst>
            <c:ext xmlns:c16="http://schemas.microsoft.com/office/drawing/2014/chart" uri="{C3380CC4-5D6E-409C-BE32-E72D297353CC}">
              <c16:uniqueId val="{00000001-143F-4749-8A1A-98446C28523B}"/>
            </c:ext>
          </c:extLst>
        </c:ser>
        <c:ser>
          <c:idx val="4"/>
          <c:order val="4"/>
          <c:tx>
            <c:strRef>
              <c:f>'Table 5,7 &amp; Fig 10,12'!$B$24</c:f>
              <c:strCache>
                <c:ptCount val="1"/>
                <c:pt idx="0">
                  <c:v>Contract Liabilities</c:v>
                </c:pt>
              </c:strCache>
            </c:strRef>
          </c:tx>
          <c:spPr>
            <a:ln w="28575" cap="rnd">
              <a:solidFill>
                <a:schemeClr val="accent5"/>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10,12'!$C$24:$L$24</c:f>
              <c:numCache>
                <c:formatCode>#,##0;[Red]\(#,##0\)</c:formatCode>
                <c:ptCount val="10"/>
                <c:pt idx="0">
                  <c:v>0</c:v>
                </c:pt>
                <c:pt idx="1">
                  <c:v>0</c:v>
                </c:pt>
                <c:pt idx="2">
                  <c:v>0</c:v>
                </c:pt>
                <c:pt idx="3">
                  <c:v>0</c:v>
                </c:pt>
                <c:pt idx="4">
                  <c:v>0</c:v>
                </c:pt>
                <c:pt idx="5">
                  <c:v>2658291</c:v>
                </c:pt>
                <c:pt idx="6">
                  <c:v>3725241</c:v>
                </c:pt>
                <c:pt idx="7">
                  <c:v>4470869</c:v>
                </c:pt>
                <c:pt idx="8">
                  <c:v>5205320</c:v>
                </c:pt>
                <c:pt idx="9">
                  <c:v>5796115</c:v>
                </c:pt>
              </c:numCache>
            </c:numRef>
          </c:val>
          <c:smooth val="0"/>
          <c:extLst>
            <c:ext xmlns:c16="http://schemas.microsoft.com/office/drawing/2014/chart" uri="{C3380CC4-5D6E-409C-BE32-E72D297353CC}">
              <c16:uniqueId val="{00000002-143F-4749-8A1A-98446C28523B}"/>
            </c:ext>
          </c:extLst>
        </c:ser>
        <c:ser>
          <c:idx val="7"/>
          <c:order val="7"/>
          <c:tx>
            <c:strRef>
              <c:f>'Table 5,7 &amp; Fig 10,12'!$B$27</c:f>
              <c:strCache>
                <c:ptCount val="1"/>
                <c:pt idx="0">
                  <c:v>Other Liabilities</c:v>
                </c:pt>
              </c:strCache>
            </c:strRef>
          </c:tx>
          <c:spPr>
            <a:ln w="28575" cap="rnd">
              <a:solidFill>
                <a:schemeClr val="accent2">
                  <a:lumMod val="60000"/>
                </a:schemeClr>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10,12'!$C$27:$L$27</c:f>
              <c:numCache>
                <c:formatCode>#,##0;[Red]\(#,##0\)</c:formatCode>
                <c:ptCount val="10"/>
                <c:pt idx="0">
                  <c:v>1982990</c:v>
                </c:pt>
                <c:pt idx="1">
                  <c:v>2044587</c:v>
                </c:pt>
                <c:pt idx="2">
                  <c:v>2163222</c:v>
                </c:pt>
                <c:pt idx="3">
                  <c:v>2562099</c:v>
                </c:pt>
                <c:pt idx="4">
                  <c:v>3183122</c:v>
                </c:pt>
                <c:pt idx="5">
                  <c:v>2119840</c:v>
                </c:pt>
                <c:pt idx="6">
                  <c:v>3479846</c:v>
                </c:pt>
                <c:pt idx="7">
                  <c:v>3710118</c:v>
                </c:pt>
                <c:pt idx="8">
                  <c:v>4186598</c:v>
                </c:pt>
                <c:pt idx="9">
                  <c:v>4563218</c:v>
                </c:pt>
              </c:numCache>
            </c:numRef>
          </c:val>
          <c:smooth val="0"/>
          <c:extLst>
            <c:ext xmlns:c16="http://schemas.microsoft.com/office/drawing/2014/chart" uri="{C3380CC4-5D6E-409C-BE32-E72D297353CC}">
              <c16:uniqueId val="{00000003-143F-4749-8A1A-98446C28523B}"/>
            </c:ext>
          </c:extLst>
        </c:ser>
        <c:ser>
          <c:idx val="8"/>
          <c:order val="8"/>
          <c:tx>
            <c:strRef>
              <c:f>'Table 5,7 &amp; Fig 10,12'!$B$28</c:f>
              <c:strCache>
                <c:ptCount val="1"/>
                <c:pt idx="0">
                  <c:v>Payables</c:v>
                </c:pt>
              </c:strCache>
            </c:strRef>
          </c:tx>
          <c:spPr>
            <a:ln w="28575" cap="rnd">
              <a:solidFill>
                <a:schemeClr val="accent3">
                  <a:lumMod val="60000"/>
                </a:schemeClr>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10,12'!$C$28:$L$28</c:f>
              <c:numCache>
                <c:formatCode>#,##0;[Red]\(#,##0\)</c:formatCode>
                <c:ptCount val="10"/>
                <c:pt idx="0">
                  <c:v>1632167</c:v>
                </c:pt>
                <c:pt idx="1">
                  <c:v>1832777</c:v>
                </c:pt>
                <c:pt idx="2">
                  <c:v>2125415</c:v>
                </c:pt>
                <c:pt idx="3">
                  <c:v>2303396</c:v>
                </c:pt>
                <c:pt idx="4">
                  <c:v>2555871</c:v>
                </c:pt>
                <c:pt idx="5">
                  <c:v>2610614</c:v>
                </c:pt>
                <c:pt idx="6">
                  <c:v>2767019</c:v>
                </c:pt>
                <c:pt idx="7">
                  <c:v>3022373</c:v>
                </c:pt>
                <c:pt idx="8">
                  <c:v>3311645</c:v>
                </c:pt>
                <c:pt idx="9">
                  <c:v>3309789</c:v>
                </c:pt>
              </c:numCache>
            </c:numRef>
          </c:val>
          <c:smooth val="0"/>
          <c:extLst>
            <c:ext xmlns:c16="http://schemas.microsoft.com/office/drawing/2014/chart" uri="{C3380CC4-5D6E-409C-BE32-E72D297353CC}">
              <c16:uniqueId val="{00000004-143F-4749-8A1A-98446C28523B}"/>
            </c:ext>
          </c:extLst>
        </c:ser>
        <c:ser>
          <c:idx val="11"/>
          <c:order val="11"/>
          <c:tx>
            <c:strRef>
              <c:f>'Table 5,7 &amp; Fig 10,12'!$B$31</c:f>
              <c:strCache>
                <c:ptCount val="1"/>
                <c:pt idx="0">
                  <c:v>Lease Liabilities</c:v>
                </c:pt>
              </c:strCache>
            </c:strRef>
          </c:tx>
          <c:spPr>
            <a:ln w="28575" cap="rnd">
              <a:solidFill>
                <a:schemeClr val="accent6">
                  <a:lumMod val="60000"/>
                </a:schemeClr>
              </a:solidFill>
              <a:round/>
            </a:ln>
            <a:effectLst/>
          </c:spPr>
          <c:marker>
            <c:symbol val="none"/>
          </c:marker>
          <c:cat>
            <c:strRef>
              <c:f>'Table 5,7 &amp; Fig 10,12'!$C$19:$L$19</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'Table 5,7 &amp; Fig 10,12'!$C$31:$L$31</c:f>
              <c:numCache>
                <c:formatCode>#,##0;[Red]\(#,##0\)</c:formatCode>
                <c:ptCount val="10"/>
                <c:pt idx="0">
                  <c:v>0</c:v>
                </c:pt>
                <c:pt idx="1">
                  <c:v>0</c:v>
                </c:pt>
                <c:pt idx="2">
                  <c:v>0</c:v>
                </c:pt>
                <c:pt idx="3">
                  <c:v>0</c:v>
                </c:pt>
                <c:pt idx="4">
                  <c:v>0</c:v>
                </c:pt>
                <c:pt idx="5">
                  <c:v>1952335</c:v>
                </c:pt>
                <c:pt idx="6">
                  <c:v>2101157</c:v>
                </c:pt>
                <c:pt idx="7">
                  <c:v>2749193</c:v>
                </c:pt>
                <c:pt idx="8">
                  <c:v>2984084</c:v>
                </c:pt>
                <c:pt idx="9">
                  <c:v>3737978</c:v>
                </c:pt>
              </c:numCache>
            </c:numRef>
          </c:val>
          <c:smooth val="0"/>
          <c:extLst>
            <c:ext xmlns:c16="http://schemas.microsoft.com/office/drawing/2014/chart" uri="{C3380CC4-5D6E-409C-BE32-E72D297353CC}">
              <c16:uniqueId val="{00000005-143F-4749-8A1A-98446C28523B}"/>
            </c:ext>
          </c:extLst>
        </c:ser>
        <c:dLbls>
          <c:showLegendKey val="0"/>
          <c:showVal val="0"/>
          <c:showCatName val="0"/>
          <c:showSerName val="0"/>
          <c:showPercent val="0"/>
          <c:showBubbleSize val="0"/>
        </c:dLbls>
        <c:smooth val="0"/>
        <c:axId val="1373760288"/>
        <c:axId val="1700193024"/>
        <c:extLst>
          <c:ext xmlns:c15="http://schemas.microsoft.com/office/drawing/2012/chart" uri="{02D57815-91ED-43cb-92C2-25804820EDAC}">
            <c15:filteredLineSeries>
              <c15:ser>
                <c:idx val="2"/>
                <c:order val="2"/>
                <c:tx>
                  <c:strRef>
                    <c:extLst>
                      <c:ext uri="{02D57815-91ED-43cb-92C2-25804820EDAC}">
                        <c15:formulaRef>
                          <c15:sqref>'Table 5,7 &amp; Fig 10,12'!$B$22</c15:sqref>
                        </c15:formulaRef>
                      </c:ext>
                    </c:extLst>
                    <c:strCache>
                      <c:ptCount val="1"/>
                      <c:pt idx="0">
                        <c:v>Current Contract Liabilities</c:v>
                      </c:pt>
                    </c:strCache>
                  </c:strRef>
                </c:tx>
                <c:spPr>
                  <a:ln w="28575" cap="rnd">
                    <a:solidFill>
                      <a:schemeClr val="accent3"/>
                    </a:solidFill>
                    <a:round/>
                  </a:ln>
                  <a:effectLst/>
                </c:spPr>
                <c:marker>
                  <c:symbol val="none"/>
                </c:marker>
                <c:cat>
                  <c:strRef>
                    <c:extLst>
                      <c:ex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c:ext uri="{02D57815-91ED-43cb-92C2-25804820EDAC}">
                        <c15:formulaRef>
                          <c15:sqref>'Table 5,7 &amp; Fig 10,12'!$C$22:$L$22</c15:sqref>
                        </c15:formulaRef>
                      </c:ext>
                    </c:extLst>
                  </c:numRef>
                </c:val>
                <c:smooth val="0"/>
                <c:extLst>
                  <c:ext xmlns:c16="http://schemas.microsoft.com/office/drawing/2014/chart" uri="{C3380CC4-5D6E-409C-BE32-E72D297353CC}">
                    <c16:uniqueId val="{00000006-143F-4749-8A1A-98446C28523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5,7 &amp; Fig 10,12'!$B$23</c15:sqref>
                        </c15:formulaRef>
                      </c:ext>
                    </c:extLst>
                    <c:strCache>
                      <c:ptCount val="1"/>
                      <c:pt idx="0">
                        <c:v>Non-Current Contract Liabilities</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xmlns:c15="http://schemas.microsoft.com/office/drawing/2012/chart">
                      <c:ext xmlns:c15="http://schemas.microsoft.com/office/drawing/2012/chart" uri="{02D57815-91ED-43cb-92C2-25804820EDAC}">
                        <c15:formulaRef>
                          <c15:sqref>'Table 5,7 &amp; Fig 10,12'!$C$23:$L$23</c15:sqref>
                        </c15:formulaRef>
                      </c:ext>
                    </c:extLst>
                  </c:numRef>
                </c:val>
                <c:smooth val="0"/>
                <c:extLst xmlns:c15="http://schemas.microsoft.com/office/drawing/2012/chart">
                  <c:ext xmlns:c16="http://schemas.microsoft.com/office/drawing/2014/chart" uri="{C3380CC4-5D6E-409C-BE32-E72D297353CC}">
                    <c16:uniqueId val="{00000007-143F-4749-8A1A-98446C28523B}"/>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5,7 &amp; Fig 10,12'!$B$25</c15:sqref>
                        </c15:formulaRef>
                      </c:ext>
                    </c:extLst>
                    <c:strCache>
                      <c:ptCount val="1"/>
                      <c:pt idx="0">
                        <c:v>Other Current  Liabilities</c:v>
                      </c:pt>
                    </c:strCache>
                  </c:strRef>
                </c:tx>
                <c:spPr>
                  <a:ln w="28575" cap="rnd">
                    <a:solidFill>
                      <a:schemeClr val="accent6"/>
                    </a:solidFill>
                    <a:round/>
                  </a:ln>
                  <a:effectLst/>
                </c:spPr>
                <c:marker>
                  <c:symbol val="none"/>
                </c:marker>
                <c:cat>
                  <c:strRef>
                    <c:extLst xmlns:c15="http://schemas.microsoft.com/office/drawing/2012/chart">
                      <c:ext xmlns:c15="http://schemas.microsoft.com/office/drawing/2012/char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xmlns:c15="http://schemas.microsoft.com/office/drawing/2012/chart">
                      <c:ext xmlns:c15="http://schemas.microsoft.com/office/drawing/2012/chart" uri="{02D57815-91ED-43cb-92C2-25804820EDAC}">
                        <c15:formulaRef>
                          <c15:sqref>'Table 5,7 &amp; Fig 10,12'!$C$25:$L$25</c15:sqref>
                        </c15:formulaRef>
                      </c:ext>
                    </c:extLst>
                  </c:numRef>
                </c:val>
                <c:smooth val="0"/>
                <c:extLst xmlns:c15="http://schemas.microsoft.com/office/drawing/2012/chart">
                  <c:ext xmlns:c16="http://schemas.microsoft.com/office/drawing/2014/chart" uri="{C3380CC4-5D6E-409C-BE32-E72D297353CC}">
                    <c16:uniqueId val="{00000008-143F-4749-8A1A-98446C28523B}"/>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5,7 &amp; Fig 10,12'!$B$26</c15:sqref>
                        </c15:formulaRef>
                      </c:ext>
                    </c:extLst>
                    <c:strCache>
                      <c:ptCount val="1"/>
                      <c:pt idx="0">
                        <c:v>Other Non-Current Liabilities</c:v>
                      </c:pt>
                    </c:strCache>
                  </c:strRef>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xmlns:c15="http://schemas.microsoft.com/office/drawing/2012/chart">
                      <c:ext xmlns:c15="http://schemas.microsoft.com/office/drawing/2012/chart" uri="{02D57815-91ED-43cb-92C2-25804820EDAC}">
                        <c15:formulaRef>
                          <c15:sqref>'Table 5,7 &amp; Fig 10,12'!$C$26:$L$26</c15:sqref>
                        </c15:formulaRef>
                      </c:ext>
                    </c:extLst>
                  </c:numRef>
                </c:val>
                <c:smooth val="0"/>
                <c:extLst xmlns:c15="http://schemas.microsoft.com/office/drawing/2012/chart">
                  <c:ext xmlns:c16="http://schemas.microsoft.com/office/drawing/2014/chart" uri="{C3380CC4-5D6E-409C-BE32-E72D297353CC}">
                    <c16:uniqueId val="{00000009-143F-4749-8A1A-98446C28523B}"/>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5,7 &amp; Fig 10,12'!$B$29</c15:sqref>
                        </c15:formulaRef>
                      </c:ext>
                    </c:extLst>
                    <c:strCache>
                      <c:ptCount val="1"/>
                      <c:pt idx="0">
                        <c:v>Current Lease Liabilities</c:v>
                      </c:pt>
                    </c:strCache>
                  </c:strRef>
                </c:tx>
                <c:spPr>
                  <a:ln w="28575" cap="rnd">
                    <a:solidFill>
                      <a:schemeClr val="accent4">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xmlns:c15="http://schemas.microsoft.com/office/drawing/2012/chart">
                      <c:ext xmlns:c15="http://schemas.microsoft.com/office/drawing/2012/chart" uri="{02D57815-91ED-43cb-92C2-25804820EDAC}">
                        <c15:formulaRef>
                          <c15:sqref>'Table 5,7 &amp; Fig 10,12'!$C$29:$L$29</c15:sqref>
                        </c15:formulaRef>
                      </c:ext>
                    </c:extLst>
                  </c:numRef>
                </c:val>
                <c:smooth val="0"/>
                <c:extLst xmlns:c15="http://schemas.microsoft.com/office/drawing/2012/chart">
                  <c:ext xmlns:c16="http://schemas.microsoft.com/office/drawing/2014/chart" uri="{C3380CC4-5D6E-409C-BE32-E72D297353CC}">
                    <c16:uniqueId val="{0000000A-143F-4749-8A1A-98446C28523B}"/>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5,7 &amp; Fig 10,12'!$B$30</c15:sqref>
                        </c15:formulaRef>
                      </c:ext>
                    </c:extLst>
                    <c:strCache>
                      <c:ptCount val="1"/>
                      <c:pt idx="0">
                        <c:v>Non-Current Lease Liabilities</c:v>
                      </c:pt>
                    </c:strCache>
                  </c:strRef>
                </c:tx>
                <c:spPr>
                  <a:ln w="28575" cap="rnd">
                    <a:solidFill>
                      <a:schemeClr val="accent5">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&amp; Fig 10,12'!$C$19:$L$19</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xmlns:c15="http://schemas.microsoft.com/office/drawing/2012/chart">
                      <c:ext xmlns:c15="http://schemas.microsoft.com/office/drawing/2012/chart" uri="{02D57815-91ED-43cb-92C2-25804820EDAC}">
                        <c15:formulaRef>
                          <c15:sqref>'Table 5,7 &amp; Fig 10,12'!$C$30:$L$30</c15:sqref>
                        </c15:formulaRef>
                      </c:ext>
                    </c:extLst>
                  </c:numRef>
                </c:val>
                <c:smooth val="0"/>
                <c:extLst xmlns:c15="http://schemas.microsoft.com/office/drawing/2012/chart">
                  <c:ext xmlns:c16="http://schemas.microsoft.com/office/drawing/2014/chart" uri="{C3380CC4-5D6E-409C-BE32-E72D297353CC}">
                    <c16:uniqueId val="{0000000B-143F-4749-8A1A-98446C28523B}"/>
                  </c:ext>
                </c:extLst>
              </c15:ser>
            </c15:filteredLineSeries>
          </c:ext>
        </c:extLst>
      </c:lineChart>
      <c:catAx>
        <c:axId val="137376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93024"/>
        <c:crosses val="autoZero"/>
        <c:auto val="1"/>
        <c:lblAlgn val="ctr"/>
        <c:lblOffset val="100"/>
        <c:noMultiLvlLbl val="0"/>
      </c:catAx>
      <c:valAx>
        <c:axId val="1700193024"/>
        <c:scaling>
          <c:orientation val="minMax"/>
        </c:scaling>
        <c:delete val="0"/>
        <c:axPos val="l"/>
        <c:majorGridlines>
          <c:spPr>
            <a:ln w="9525" cap="flat" cmpd="sng" algn="ctr">
              <a:solidFill>
                <a:schemeClr val="tx1">
                  <a:lumMod val="15000"/>
                  <a:lumOff val="85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760288"/>
        <c:crosses val="autoZero"/>
        <c:crossBetween val="between"/>
        <c:dispUnits>
          <c:builtInUnit val="millions"/>
          <c:dispUnitsLbl>
            <c:layout>
              <c:manualLayout>
                <c:xMode val="edge"/>
                <c:yMode val="edge"/>
                <c:x val="2.2988505747126436E-2"/>
                <c:y val="0.4075615212527964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'Fig 2 - Net Result'!$B$7</c:f>
              <c:strCache>
                <c:ptCount val="1"/>
                <c:pt idx="0">
                  <c:v>Net Operating Result for the Year after income tax</c:v>
                </c:pt>
              </c:strCache>
            </c:strRef>
          </c:tx>
          <c:spPr>
            <a:solidFill>
              <a:schemeClr val="accent1"/>
            </a:solidFill>
            <a:ln>
              <a:noFill/>
            </a:ln>
            <a:effectLst/>
          </c:spPr>
          <c:cat>
            <c:strRef>
              <c:f>'Fig 2 - Net Result'!$A$12:$A$21</c:f>
              <c:strCache>
                <c:ptCount val="10"/>
                <c:pt idx="0">
                  <c:v>2014</c:v>
                </c:pt>
                <c:pt idx="1">
                  <c:v>2015</c:v>
                </c:pt>
                <c:pt idx="2">
                  <c:v>2016</c:v>
                </c:pt>
                <c:pt idx="3">
                  <c:v>2017</c:v>
                </c:pt>
                <c:pt idx="4">
                  <c:v>2018</c:v>
                </c:pt>
                <c:pt idx="5">
                  <c:v>2019</c:v>
                </c:pt>
                <c:pt idx="6">
                  <c:v>2020</c:v>
                </c:pt>
                <c:pt idx="7">
                  <c:v>2021</c:v>
                </c:pt>
                <c:pt idx="8">
                  <c:v>2022</c:v>
                </c:pt>
                <c:pt idx="9">
                  <c:v>2023</c:v>
                </c:pt>
              </c:strCache>
              <c:extLst/>
            </c:strRef>
          </c:cat>
          <c:val>
            <c:numRef>
              <c:f>'Fig 2 - Net Result'!$B$12:$B$21</c:f>
              <c:numCache>
                <c:formatCode>#,##0</c:formatCode>
                <c:ptCount val="10"/>
                <c:pt idx="0">
                  <c:v>1888270</c:v>
                </c:pt>
                <c:pt idx="1">
                  <c:v>1647899</c:v>
                </c:pt>
                <c:pt idx="2">
                  <c:v>1557176</c:v>
                </c:pt>
                <c:pt idx="3">
                  <c:v>1990351</c:v>
                </c:pt>
                <c:pt idx="4">
                  <c:v>1460744</c:v>
                </c:pt>
                <c:pt idx="5">
                  <c:v>2280194</c:v>
                </c:pt>
                <c:pt idx="6">
                  <c:v>706930</c:v>
                </c:pt>
                <c:pt idx="7">
                  <c:v>5285812</c:v>
                </c:pt>
                <c:pt idx="8">
                  <c:v>-1204884</c:v>
                </c:pt>
                <c:pt idx="9">
                  <c:v>122098</c:v>
                </c:pt>
              </c:numCache>
              <c:extLst/>
            </c:numRef>
          </c:val>
          <c:extLst>
            <c:ext xmlns:c16="http://schemas.microsoft.com/office/drawing/2014/chart" uri="{C3380CC4-5D6E-409C-BE32-E72D297353CC}">
              <c16:uniqueId val="{00000000-BA83-46F8-BED3-31FA997E24FF}"/>
            </c:ext>
          </c:extLst>
        </c:ser>
        <c:dLbls>
          <c:showLegendKey val="0"/>
          <c:showVal val="0"/>
          <c:showCatName val="0"/>
          <c:showSerName val="0"/>
          <c:showPercent val="0"/>
          <c:showBubbleSize val="0"/>
        </c:dLbls>
        <c:axId val="1674599807"/>
        <c:axId val="1674598975"/>
      </c:areaChart>
      <c:catAx>
        <c:axId val="16745998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98975"/>
        <c:crosses val="autoZero"/>
        <c:auto val="1"/>
        <c:lblAlgn val="ctr"/>
        <c:lblOffset val="100"/>
        <c:noMultiLvlLbl val="0"/>
      </c:catAx>
      <c:valAx>
        <c:axId val="16745989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99807"/>
        <c:crosses val="autoZero"/>
        <c:crossBetween val="midCat"/>
        <c:minorUnit val="100000"/>
        <c:dispUnits>
          <c:builtInUnit val="millions"/>
          <c:dispUnitsLbl>
            <c:layout>
              <c:manualLayout>
                <c:xMode val="edge"/>
                <c:yMode val="edge"/>
                <c:x val="1.2767899690554368E-2"/>
                <c:y val="0.453399810212988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3,4,5,6 and 9'!$B$9</c:f>
              <c:strCache>
                <c:ptCount val="1"/>
                <c:pt idx="0">
                  <c:v>Australian Government Grants</c:v>
                </c:pt>
              </c:strCache>
            </c:strRef>
          </c:tx>
          <c:spPr>
            <a:ln w="28575" cap="rnd">
              <a:solidFill>
                <a:schemeClr val="accent1"/>
              </a:solidFill>
              <a:round/>
            </a:ln>
            <a:effectLst/>
          </c:spPr>
          <c:marker>
            <c:symbol val="none"/>
          </c:marker>
          <c:cat>
            <c:strRef>
              <c:f>'Figure 3,4,5,6 and 9'!$C$8:$L$8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9'!$C$9:$L$9</c:f>
              <c:numCache>
                <c:formatCode>#,##0;[Red]\(#,##0\)</c:formatCode>
                <c:ptCount val="10"/>
                <c:pt idx="0">
                  <c:v>11283737</c:v>
                </c:pt>
                <c:pt idx="1">
                  <c:v>11307774</c:v>
                </c:pt>
                <c:pt idx="2">
                  <c:v>11639037</c:v>
                </c:pt>
                <c:pt idx="3">
                  <c:v>11679178</c:v>
                </c:pt>
                <c:pt idx="4">
                  <c:v>11985759</c:v>
                </c:pt>
                <c:pt idx="5">
                  <c:v>11976440</c:v>
                </c:pt>
                <c:pt idx="6">
                  <c:v>12150696</c:v>
                </c:pt>
                <c:pt idx="7">
                  <c:v>14054602</c:v>
                </c:pt>
                <c:pt idx="8">
                  <c:v>13076751</c:v>
                </c:pt>
                <c:pt idx="9">
                  <c:v>13401654</c:v>
                </c:pt>
              </c:numCache>
            </c:numRef>
          </c:val>
          <c:smooth val="0"/>
          <c:extLst>
            <c:ext xmlns:c16="http://schemas.microsoft.com/office/drawing/2014/chart" uri="{C3380CC4-5D6E-409C-BE32-E72D297353CC}">
              <c16:uniqueId val="{00000000-8C34-424A-8A37-8D29DD82BA94}"/>
            </c:ext>
          </c:extLst>
        </c:ser>
        <c:ser>
          <c:idx val="1"/>
          <c:order val="1"/>
          <c:tx>
            <c:strRef>
              <c:f>'Figure 3,4,5,6 and 9'!$B$10</c:f>
              <c:strCache>
                <c:ptCount val="1"/>
                <c:pt idx="0">
                  <c:v>International Student Fees</c:v>
                </c:pt>
              </c:strCache>
            </c:strRef>
          </c:tx>
          <c:spPr>
            <a:ln w="28575" cap="rnd">
              <a:solidFill>
                <a:schemeClr val="accent2"/>
              </a:solidFill>
              <a:round/>
            </a:ln>
            <a:effectLst/>
          </c:spPr>
          <c:marker>
            <c:symbol val="none"/>
          </c:marker>
          <c:cat>
            <c:strRef>
              <c:f>'Figure 3,4,5,6 and 9'!$C$8:$L$8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9'!$C$10:$L$10</c:f>
              <c:numCache>
                <c:formatCode>#,##0;[Red]\(#,##0\)</c:formatCode>
                <c:ptCount val="10"/>
                <c:pt idx="0">
                  <c:v>4741973</c:v>
                </c:pt>
                <c:pt idx="1">
                  <c:v>5349879</c:v>
                </c:pt>
                <c:pt idx="2">
                  <c:v>6249049</c:v>
                </c:pt>
                <c:pt idx="3">
                  <c:v>7457002</c:v>
                </c:pt>
                <c:pt idx="4">
                  <c:v>8838891</c:v>
                </c:pt>
                <c:pt idx="5">
                  <c:v>9978794</c:v>
                </c:pt>
                <c:pt idx="6">
                  <c:v>9481913</c:v>
                </c:pt>
                <c:pt idx="7">
                  <c:v>8724947</c:v>
                </c:pt>
                <c:pt idx="8">
                  <c:v>8572901</c:v>
                </c:pt>
                <c:pt idx="9">
                  <c:v>10153714</c:v>
                </c:pt>
              </c:numCache>
            </c:numRef>
          </c:val>
          <c:smooth val="0"/>
          <c:extLst>
            <c:ext xmlns:c16="http://schemas.microsoft.com/office/drawing/2014/chart" uri="{C3380CC4-5D6E-409C-BE32-E72D297353CC}">
              <c16:uniqueId val="{00000001-8C34-424A-8A37-8D29DD82BA94}"/>
            </c:ext>
          </c:extLst>
        </c:ser>
        <c:ser>
          <c:idx val="2"/>
          <c:order val="2"/>
          <c:tx>
            <c:strRef>
              <c:f>'Figure 3,4,5,6 and 9'!$B$11</c:f>
              <c:strCache>
                <c:ptCount val="1"/>
                <c:pt idx="0">
                  <c:v>HELP Payments</c:v>
                </c:pt>
              </c:strCache>
            </c:strRef>
          </c:tx>
          <c:spPr>
            <a:ln w="28575" cap="rnd">
              <a:solidFill>
                <a:schemeClr val="accent3"/>
              </a:solidFill>
              <a:round/>
            </a:ln>
            <a:effectLst/>
          </c:spPr>
          <c:marker>
            <c:symbol val="none"/>
          </c:marker>
          <c:cat>
            <c:strRef>
              <c:f>'Figure 3,4,5,6 and 9'!$C$8:$L$8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9'!$C$11:$L$11</c:f>
              <c:numCache>
                <c:formatCode>#,##0;[Red]\(#,##0\)</c:formatCode>
                <c:ptCount val="10"/>
                <c:pt idx="0">
                  <c:v>4838951</c:v>
                </c:pt>
                <c:pt idx="1">
                  <c:v>5098590</c:v>
                </c:pt>
                <c:pt idx="2">
                  <c:v>5287106</c:v>
                </c:pt>
                <c:pt idx="3">
                  <c:v>5472474</c:v>
                </c:pt>
                <c:pt idx="4">
                  <c:v>5633166</c:v>
                </c:pt>
                <c:pt idx="5">
                  <c:v>5806178</c:v>
                </c:pt>
                <c:pt idx="6">
                  <c:v>6228873</c:v>
                </c:pt>
                <c:pt idx="7">
                  <c:v>6177235</c:v>
                </c:pt>
                <c:pt idx="8">
                  <c:v>6025744</c:v>
                </c:pt>
                <c:pt idx="9">
                  <c:v>6119119</c:v>
                </c:pt>
              </c:numCache>
            </c:numRef>
          </c:val>
          <c:smooth val="0"/>
          <c:extLst>
            <c:ext xmlns:c16="http://schemas.microsoft.com/office/drawing/2014/chart" uri="{C3380CC4-5D6E-409C-BE32-E72D297353CC}">
              <c16:uniqueId val="{00000002-8C34-424A-8A37-8D29DD82BA94}"/>
            </c:ext>
          </c:extLst>
        </c:ser>
        <c:ser>
          <c:idx val="3"/>
          <c:order val="3"/>
          <c:tx>
            <c:strRef>
              <c:f>'Figure 3,4,5,6 and 9'!$B$12</c:f>
              <c:strCache>
                <c:ptCount val="1"/>
                <c:pt idx="0">
                  <c:v>Investment Revenue</c:v>
                </c:pt>
              </c:strCache>
            </c:strRef>
          </c:tx>
          <c:spPr>
            <a:ln w="28575" cap="rnd">
              <a:solidFill>
                <a:schemeClr val="accent4"/>
              </a:solidFill>
              <a:round/>
            </a:ln>
            <a:effectLst/>
          </c:spPr>
          <c:marker>
            <c:symbol val="none"/>
          </c:marker>
          <c:cat>
            <c:strRef>
              <c:f>'Figure 3,4,5,6 and 9'!$C$8:$L$8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9'!$C$12:$L$12</c:f>
              <c:numCache>
                <c:formatCode>#,##0;[Red]\(#,##0\)</c:formatCode>
                <c:ptCount val="10"/>
                <c:pt idx="0">
                  <c:v>1060803</c:v>
                </c:pt>
                <c:pt idx="1">
                  <c:v>919578</c:v>
                </c:pt>
                <c:pt idx="2">
                  <c:v>964876</c:v>
                </c:pt>
                <c:pt idx="3">
                  <c:v>1233927</c:v>
                </c:pt>
                <c:pt idx="4">
                  <c:v>731221</c:v>
                </c:pt>
                <c:pt idx="5">
                  <c:v>2191312</c:v>
                </c:pt>
                <c:pt idx="6">
                  <c:v>934450</c:v>
                </c:pt>
                <c:pt idx="7">
                  <c:v>3222463</c:v>
                </c:pt>
                <c:pt idx="8">
                  <c:v>-396783</c:v>
                </c:pt>
                <c:pt idx="9">
                  <c:v>2332854</c:v>
                </c:pt>
              </c:numCache>
            </c:numRef>
          </c:val>
          <c:smooth val="0"/>
          <c:extLst>
            <c:ext xmlns:c16="http://schemas.microsoft.com/office/drawing/2014/chart" uri="{C3380CC4-5D6E-409C-BE32-E72D297353CC}">
              <c16:uniqueId val="{00000003-8C34-424A-8A37-8D29DD82BA94}"/>
            </c:ext>
          </c:extLst>
        </c:ser>
        <c:ser>
          <c:idx val="4"/>
          <c:order val="4"/>
          <c:tx>
            <c:strRef>
              <c:f>'Figure 3,4,5,6 and 9'!$B$13</c:f>
              <c:strCache>
                <c:ptCount val="1"/>
                <c:pt idx="0">
                  <c:v>Other Income </c:v>
                </c:pt>
              </c:strCache>
            </c:strRef>
          </c:tx>
          <c:spPr>
            <a:ln w="28575" cap="rnd">
              <a:solidFill>
                <a:schemeClr val="accent5"/>
              </a:solidFill>
              <a:round/>
            </a:ln>
            <a:effectLst/>
          </c:spPr>
          <c:marker>
            <c:symbol val="none"/>
          </c:marker>
          <c:cat>
            <c:strRef>
              <c:f>'Figure 3,4,5,6 and 9'!$C$8:$L$8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9'!$C$13:$L$13</c:f>
              <c:numCache>
                <c:formatCode>#,##0;[Red]\(#,##0\)</c:formatCode>
                <c:ptCount val="10"/>
                <c:pt idx="0">
                  <c:v>5826394</c:v>
                </c:pt>
                <c:pt idx="1">
                  <c:v>5934158</c:v>
                </c:pt>
                <c:pt idx="2">
                  <c:v>6007011</c:v>
                </c:pt>
                <c:pt idx="3">
                  <c:v>6185510</c:v>
                </c:pt>
                <c:pt idx="4">
                  <c:v>6552873</c:v>
                </c:pt>
                <c:pt idx="5">
                  <c:v>6566525</c:v>
                </c:pt>
                <c:pt idx="6">
                  <c:v>6388331</c:v>
                </c:pt>
                <c:pt idx="7">
                  <c:v>6713591</c:v>
                </c:pt>
                <c:pt idx="8">
                  <c:v>7434121</c:v>
                </c:pt>
                <c:pt idx="9">
                  <c:v>7992944</c:v>
                </c:pt>
              </c:numCache>
            </c:numRef>
          </c:val>
          <c:smooth val="0"/>
          <c:extLst>
            <c:ext xmlns:c16="http://schemas.microsoft.com/office/drawing/2014/chart" uri="{C3380CC4-5D6E-409C-BE32-E72D297353CC}">
              <c16:uniqueId val="{00000004-8C34-424A-8A37-8D29DD82BA94}"/>
            </c:ext>
          </c:extLst>
        </c:ser>
        <c:dLbls>
          <c:showLegendKey val="0"/>
          <c:showVal val="0"/>
          <c:showCatName val="0"/>
          <c:showSerName val="0"/>
          <c:showPercent val="0"/>
          <c:showBubbleSize val="0"/>
        </c:dLbls>
        <c:smooth val="0"/>
        <c:axId val="839193104"/>
        <c:axId val="620781680"/>
      </c:lineChart>
      <c:catAx>
        <c:axId val="8391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781680"/>
        <c:crosses val="autoZero"/>
        <c:auto val="1"/>
        <c:lblAlgn val="ctr"/>
        <c:lblOffset val="100"/>
        <c:noMultiLvlLbl val="0"/>
      </c:catAx>
      <c:valAx>
        <c:axId val="620781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193104"/>
        <c:crosses val="autoZero"/>
        <c:crossBetween val="between"/>
        <c:dispUnits>
          <c:builtInUnit val="millions"/>
          <c:dispUnitsLbl>
            <c:layout>
              <c:manualLayout>
                <c:xMode val="edge"/>
                <c:yMode val="edge"/>
                <c:x val="2.0434227330779056E-2"/>
                <c:y val="0.419271402550091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9'!$B$43</c:f>
              <c:strCache>
                <c:ptCount val="1"/>
                <c:pt idx="0">
                  <c:v>Australian Government Financial Assistance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9'!$C$43:$L$43</c:f>
              <c:numCache>
                <c:formatCode>#,##0;[Red]\(#,##0\)</c:formatCode>
                <c:ptCount val="10"/>
                <c:pt idx="0">
                  <c:v>16122688</c:v>
                </c:pt>
                <c:pt idx="1">
                  <c:v>16406364</c:v>
                </c:pt>
                <c:pt idx="2">
                  <c:v>16926143</c:v>
                </c:pt>
                <c:pt idx="3">
                  <c:v>17151652</c:v>
                </c:pt>
                <c:pt idx="4">
                  <c:v>17618925</c:v>
                </c:pt>
                <c:pt idx="5">
                  <c:v>17782618</c:v>
                </c:pt>
                <c:pt idx="6">
                  <c:v>18379569</c:v>
                </c:pt>
                <c:pt idx="7">
                  <c:v>20231837</c:v>
                </c:pt>
                <c:pt idx="8">
                  <c:v>19102495</c:v>
                </c:pt>
                <c:pt idx="9">
                  <c:v>19520773</c:v>
                </c:pt>
              </c:numCache>
            </c:numRef>
          </c:val>
          <c:extLst>
            <c:ext xmlns:c16="http://schemas.microsoft.com/office/drawing/2014/chart" uri="{C3380CC4-5D6E-409C-BE32-E72D297353CC}">
              <c16:uniqueId val="{00000000-8005-44F9-898D-C5BE627F1EC1}"/>
            </c:ext>
          </c:extLst>
        </c:ser>
        <c:dLbls>
          <c:showLegendKey val="0"/>
          <c:showVal val="0"/>
          <c:showCatName val="0"/>
          <c:showSerName val="0"/>
          <c:showPercent val="0"/>
          <c:showBubbleSize val="0"/>
        </c:dLbls>
        <c:gapWidth val="100"/>
        <c:axId val="578666512"/>
        <c:axId val="118823696"/>
      </c:barChart>
      <c:catAx>
        <c:axId val="57866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823696"/>
        <c:crosses val="autoZero"/>
        <c:auto val="1"/>
        <c:lblAlgn val="ctr"/>
        <c:lblOffset val="100"/>
        <c:noMultiLvlLbl val="0"/>
      </c:catAx>
      <c:valAx>
        <c:axId val="118823696"/>
        <c:scaling>
          <c:orientation val="minMax"/>
        </c:scaling>
        <c:delete val="1"/>
        <c:axPos val="l"/>
        <c:numFmt formatCode="#,##0;[Red]\(#,##0\)" sourceLinked="1"/>
        <c:majorTickMark val="none"/>
        <c:minorTickMark val="none"/>
        <c:tickLblPos val="nextTo"/>
        <c:crossAx val="578666512"/>
        <c:crosses val="autoZero"/>
        <c:crossBetween val="between"/>
        <c:dispUnits>
          <c:builtInUnit val="millions"/>
          <c:dispUnitsLbl>
            <c:layout>
              <c:manualLayout>
                <c:xMode val="edge"/>
                <c:yMode val="edge"/>
                <c:x val="2.5000000000000001E-2"/>
                <c:y val="0.43560185185185185"/>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9'!$B$44</c:f>
              <c:strCache>
                <c:ptCount val="1"/>
                <c:pt idx="0">
                  <c:v>International Student Fees</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9'!$C$44:$L$44</c:f>
              <c:numCache>
                <c:formatCode>#,##0;[Red]\(#,##0\)</c:formatCode>
                <c:ptCount val="10"/>
                <c:pt idx="0">
                  <c:v>4741973</c:v>
                </c:pt>
                <c:pt idx="1">
                  <c:v>5349879</c:v>
                </c:pt>
                <c:pt idx="2">
                  <c:v>6249049</c:v>
                </c:pt>
                <c:pt idx="3">
                  <c:v>7457002</c:v>
                </c:pt>
                <c:pt idx="4">
                  <c:v>8838891</c:v>
                </c:pt>
                <c:pt idx="5">
                  <c:v>9978794</c:v>
                </c:pt>
                <c:pt idx="6">
                  <c:v>9481913</c:v>
                </c:pt>
                <c:pt idx="7">
                  <c:v>8724947</c:v>
                </c:pt>
                <c:pt idx="8">
                  <c:v>8572901</c:v>
                </c:pt>
                <c:pt idx="9">
                  <c:v>10153714</c:v>
                </c:pt>
              </c:numCache>
            </c:numRef>
          </c:val>
          <c:extLst>
            <c:ext xmlns:c16="http://schemas.microsoft.com/office/drawing/2014/chart" uri="{C3380CC4-5D6E-409C-BE32-E72D297353CC}">
              <c16:uniqueId val="{00000000-F79E-48C9-8624-79E26DF0673E}"/>
            </c:ext>
          </c:extLst>
        </c:ser>
        <c:dLbls>
          <c:showLegendKey val="0"/>
          <c:showVal val="0"/>
          <c:showCatName val="0"/>
          <c:showSerName val="0"/>
          <c:showPercent val="0"/>
          <c:showBubbleSize val="0"/>
        </c:dLbls>
        <c:gapWidth val="100"/>
        <c:axId val="838679552"/>
        <c:axId val="471074128"/>
        <c:extLst>
          <c:ext xmlns:c15="http://schemas.microsoft.com/office/drawing/2012/chart" uri="{02D57815-91ED-43cb-92C2-25804820EDAC}">
            <c15:filteredBarSeries>
              <c15:ser>
                <c:idx val="1"/>
                <c:order val="1"/>
                <c:tx>
                  <c:strRef>
                    <c:extLst>
                      <c:ext uri="{02D57815-91ED-43cb-92C2-25804820EDAC}">
                        <c15:formulaRef>
                          <c15:sqref>'Figure 3,4,5,6 and 9'!$C$42</c15:sqref>
                        </c15:formulaRef>
                      </c:ext>
                    </c:extLst>
                    <c:strCache>
                      <c:ptCount val="1"/>
                      <c:pt idx="0">
                        <c:v>2014</c:v>
                      </c:pt>
                    </c:strCache>
                  </c:strRef>
                </c:tx>
                <c:spPr>
                  <a:solidFill>
                    <a:schemeClr val="accent2"/>
                  </a:solidFill>
                  <a:ln>
                    <a:noFill/>
                  </a:ln>
                  <a:effectLst/>
                </c:spPr>
                <c:invertIfNegative val="0"/>
                <c:cat>
                  <c:strRef>
                    <c:extLst>
                      <c:ext uri="{02D57815-91ED-43cb-92C2-25804820EDAC}">
                        <c15:formulaRef>
                          <c15:sqref>'Figure 3,4,5,6 and 9'!$C$42:$L$42</c15:sqref>
                        </c15:formulaRef>
                      </c:ext>
                    </c:extLst>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extLst>
                      <c:ext uri="{02D57815-91ED-43cb-92C2-25804820EDAC}">
                        <c15:formulaRef>
                          <c15:sqref>'Figure 3,4,5,6 and 9'!$D$42:$L$42</c15:sqref>
                        </c15:formulaRef>
                      </c:ext>
                    </c:extLst>
                    <c:numCache>
                      <c:formatCode>General</c:formatCode>
                      <c:ptCount val="9"/>
                      <c:pt idx="0">
                        <c:v>2015</c:v>
                      </c:pt>
                      <c:pt idx="1">
                        <c:v>2016</c:v>
                      </c:pt>
                      <c:pt idx="2">
                        <c:v>2017</c:v>
                      </c:pt>
                      <c:pt idx="3">
                        <c:v>2018</c:v>
                      </c:pt>
                      <c:pt idx="4">
                        <c:v>2019</c:v>
                      </c:pt>
                      <c:pt idx="5">
                        <c:v>2020</c:v>
                      </c:pt>
                      <c:pt idx="6">
                        <c:v>2021</c:v>
                      </c:pt>
                      <c:pt idx="7">
                        <c:v>0</c:v>
                      </c:pt>
                      <c:pt idx="8">
                        <c:v>0</c:v>
                      </c:pt>
                    </c:numCache>
                  </c:numRef>
                </c:val>
                <c:extLst>
                  <c:ext xmlns:c16="http://schemas.microsoft.com/office/drawing/2014/chart" uri="{C3380CC4-5D6E-409C-BE32-E72D297353CC}">
                    <c16:uniqueId val="{00000001-F79E-48C9-8624-79E26DF0673E}"/>
                  </c:ext>
                </c:extLst>
              </c15:ser>
            </c15:filteredBarSeries>
          </c:ext>
        </c:extLst>
      </c:barChart>
      <c:catAx>
        <c:axId val="83867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74128"/>
        <c:crosses val="autoZero"/>
        <c:auto val="1"/>
        <c:lblAlgn val="ctr"/>
        <c:lblOffset val="100"/>
        <c:noMultiLvlLbl val="0"/>
      </c:catAx>
      <c:valAx>
        <c:axId val="471074128"/>
        <c:scaling>
          <c:orientation val="minMax"/>
        </c:scaling>
        <c:delete val="1"/>
        <c:axPos val="l"/>
        <c:numFmt formatCode="#,##0;[Red]\(#,##0\)" sourceLinked="1"/>
        <c:majorTickMark val="none"/>
        <c:minorTickMark val="none"/>
        <c:tickLblPos val="nextTo"/>
        <c:crossAx val="838679552"/>
        <c:crosses val="autoZero"/>
        <c:crossBetween val="between"/>
        <c:dispUnits>
          <c:builtInUnit val="millions"/>
          <c:dispUnitsLbl>
            <c:layout>
              <c:manualLayout>
                <c:xMode val="edge"/>
                <c:yMode val="edge"/>
                <c:x val="3.0555555555555555E-2"/>
                <c:y val="0.4263425925925926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9'!$B$45</c:f>
              <c:strCache>
                <c:ptCount val="1"/>
                <c:pt idx="0">
                  <c:v>Investment Income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9'!$C$45:$L$45</c:f>
              <c:numCache>
                <c:formatCode>#,##0;[Red]\(#,##0\)</c:formatCode>
                <c:ptCount val="10"/>
                <c:pt idx="0">
                  <c:v>1060803</c:v>
                </c:pt>
                <c:pt idx="1">
                  <c:v>919578</c:v>
                </c:pt>
                <c:pt idx="2">
                  <c:v>964876</c:v>
                </c:pt>
                <c:pt idx="3">
                  <c:v>1233927</c:v>
                </c:pt>
                <c:pt idx="4">
                  <c:v>731221</c:v>
                </c:pt>
                <c:pt idx="5">
                  <c:v>2191312</c:v>
                </c:pt>
                <c:pt idx="6">
                  <c:v>934450</c:v>
                </c:pt>
                <c:pt idx="7">
                  <c:v>3222463</c:v>
                </c:pt>
                <c:pt idx="8">
                  <c:v>-396783</c:v>
                </c:pt>
                <c:pt idx="9">
                  <c:v>2332854</c:v>
                </c:pt>
              </c:numCache>
            </c:numRef>
          </c:val>
          <c:extLst>
            <c:ext xmlns:c16="http://schemas.microsoft.com/office/drawing/2014/chart" uri="{C3380CC4-5D6E-409C-BE32-E72D297353CC}">
              <c16:uniqueId val="{00000000-C84E-4677-B211-13F1A3E5737D}"/>
            </c:ext>
          </c:extLst>
        </c:ser>
        <c:dLbls>
          <c:showLegendKey val="0"/>
          <c:showVal val="0"/>
          <c:showCatName val="0"/>
          <c:showSerName val="0"/>
          <c:showPercent val="0"/>
          <c:showBubbleSize val="0"/>
        </c:dLbls>
        <c:gapWidth val="100"/>
        <c:axId val="1365874784"/>
        <c:axId val="847055408"/>
      </c:barChart>
      <c:catAx>
        <c:axId val="1365874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055408"/>
        <c:crossesAt val="0"/>
        <c:auto val="1"/>
        <c:lblAlgn val="ctr"/>
        <c:lblOffset val="300"/>
        <c:noMultiLvlLbl val="0"/>
      </c:catAx>
      <c:valAx>
        <c:axId val="847055408"/>
        <c:scaling>
          <c:orientation val="minMax"/>
          <c:min val="-500000"/>
        </c:scaling>
        <c:delete val="1"/>
        <c:axPos val="l"/>
        <c:numFmt formatCode="#,##0" sourceLinked="0"/>
        <c:majorTickMark val="none"/>
        <c:minorTickMark val="none"/>
        <c:tickLblPos val="nextTo"/>
        <c:crossAx val="1365874784"/>
        <c:crosses val="autoZero"/>
        <c:crossBetween val="between"/>
        <c:dispUnits>
          <c:builtInUnit val="millions"/>
          <c:dispUnitsLbl>
            <c:layout>
              <c:manualLayout>
                <c:xMode val="edge"/>
                <c:yMode val="edge"/>
                <c:x val="2.2222222222222223E-2"/>
                <c:y val="0.4124537037037037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'Fig 7 - AGFA'!$J$7</c:f>
              <c:strCache>
                <c:ptCount val="1"/>
                <c:pt idx="0">
                  <c:v>2023</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7C54-41AF-9C73-1F576FFC8656}"/>
              </c:ext>
            </c:extLst>
          </c:dPt>
          <c:dPt>
            <c:idx val="1"/>
            <c:bubble3D val="0"/>
            <c:spPr>
              <a:solidFill>
                <a:schemeClr val="accent2"/>
              </a:solidFill>
              <a:ln w="19050">
                <a:noFill/>
              </a:ln>
              <a:effectLst/>
            </c:spPr>
            <c:extLst>
              <c:ext xmlns:c16="http://schemas.microsoft.com/office/drawing/2014/chart" uri="{C3380CC4-5D6E-409C-BE32-E72D297353CC}">
                <c16:uniqueId val="{00000003-7C54-41AF-9C73-1F576FFC8656}"/>
              </c:ext>
            </c:extLst>
          </c:dPt>
          <c:dPt>
            <c:idx val="2"/>
            <c:bubble3D val="0"/>
            <c:spPr>
              <a:solidFill>
                <a:schemeClr val="accent3"/>
              </a:solidFill>
              <a:ln w="19050">
                <a:noFill/>
              </a:ln>
              <a:effectLst/>
            </c:spPr>
            <c:extLst>
              <c:ext xmlns:c16="http://schemas.microsoft.com/office/drawing/2014/chart" uri="{C3380CC4-5D6E-409C-BE32-E72D297353CC}">
                <c16:uniqueId val="{00000005-7C54-41AF-9C73-1F576FFC8656}"/>
              </c:ext>
            </c:extLst>
          </c:dPt>
          <c:dPt>
            <c:idx val="3"/>
            <c:bubble3D val="0"/>
            <c:spPr>
              <a:solidFill>
                <a:schemeClr val="accent4"/>
              </a:solidFill>
              <a:ln w="19050">
                <a:noFill/>
              </a:ln>
              <a:effectLst/>
            </c:spPr>
            <c:extLst>
              <c:ext xmlns:c16="http://schemas.microsoft.com/office/drawing/2014/chart" uri="{C3380CC4-5D6E-409C-BE32-E72D297353CC}">
                <c16:uniqueId val="{00000007-7C54-41AF-9C73-1F576FFC8656}"/>
              </c:ext>
            </c:extLst>
          </c:dPt>
          <c:dPt>
            <c:idx val="4"/>
            <c:bubble3D val="0"/>
            <c:spPr>
              <a:solidFill>
                <a:schemeClr val="accent5"/>
              </a:solidFill>
              <a:ln w="19050">
                <a:noFill/>
              </a:ln>
              <a:effectLst/>
            </c:spPr>
            <c:extLst>
              <c:ext xmlns:c16="http://schemas.microsoft.com/office/drawing/2014/chart" uri="{C3380CC4-5D6E-409C-BE32-E72D297353CC}">
                <c16:uniqueId val="{00000009-7C54-41AF-9C73-1F576FFC8656}"/>
              </c:ext>
            </c:extLst>
          </c:dPt>
          <c:dPt>
            <c:idx val="5"/>
            <c:bubble3D val="0"/>
            <c:spPr>
              <a:solidFill>
                <a:schemeClr val="accent6"/>
              </a:solidFill>
              <a:ln w="19050">
                <a:noFill/>
              </a:ln>
              <a:effectLst/>
            </c:spPr>
            <c:extLst>
              <c:ext xmlns:c16="http://schemas.microsoft.com/office/drawing/2014/chart" uri="{C3380CC4-5D6E-409C-BE32-E72D297353CC}">
                <c16:uniqueId val="{0000000B-7C54-41AF-9C73-1F576FFC8656}"/>
              </c:ext>
            </c:extLst>
          </c:dPt>
          <c:dLbls>
            <c:dLbl>
              <c:idx val="0"/>
              <c:layout>
                <c:manualLayout>
                  <c:x val="-4.4969083754918494E-3"/>
                  <c:y val="1.7743979721166026E-2"/>
                </c:manualLayout>
              </c:layout>
              <c:numFmt formatCode="&quot;$&quot;#,##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14912881252406687"/>
                      <c:h val="0.15193916349809886"/>
                    </c:manualLayout>
                  </c15:layout>
                </c:ext>
                <c:ext xmlns:c16="http://schemas.microsoft.com/office/drawing/2014/chart" uri="{C3380CC4-5D6E-409C-BE32-E72D297353CC}">
                  <c16:uniqueId val="{00000001-7C54-41AF-9C73-1F576FFC8656}"/>
                </c:ext>
              </c:extLst>
            </c:dLbl>
            <c:dLbl>
              <c:idx val="2"/>
              <c:showLegendKey val="0"/>
              <c:showVal val="1"/>
              <c:showCatName val="1"/>
              <c:showSerName val="0"/>
              <c:showPercent val="0"/>
              <c:showBubbleSize val="0"/>
              <c:separator>
</c:separator>
              <c:extLst>
                <c:ext xmlns:c15="http://schemas.microsoft.com/office/drawing/2012/chart" uri="{CE6537A1-D6FC-4f65-9D91-7224C49458BB}">
                  <c15:layout>
                    <c:manualLayout>
                      <c:w val="0.16020236087689713"/>
                      <c:h val="9.1140784208057643E-2"/>
                    </c:manualLayout>
                  </c15:layout>
                </c:ext>
                <c:ext xmlns:c16="http://schemas.microsoft.com/office/drawing/2014/chart" uri="{C3380CC4-5D6E-409C-BE32-E72D297353CC}">
                  <c16:uniqueId val="{00000005-7C54-41AF-9C73-1F576FFC8656}"/>
                </c:ext>
              </c:extLst>
            </c:dLbl>
            <c:dLbl>
              <c:idx val="5"/>
              <c:layout>
                <c:manualLayout>
                  <c:x val="7.4198988195615517E-2"/>
                  <c:y val="-0.12167300380228137"/>
                </c:manualLayout>
              </c:layout>
              <c:numFmt formatCode="&quot;$&quot;#,##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7C54-41AF-9C73-1F576FFC8656}"/>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 7 - AGFA'!$I$8:$I$13</c:f>
              <c:strCache>
                <c:ptCount val="6"/>
                <c:pt idx="0">
                  <c:v>Commonwealth Grants Scheme and Other Grants</c:v>
                </c:pt>
                <c:pt idx="1">
                  <c:v>HELP Australian Government Payments</c:v>
                </c:pt>
                <c:pt idx="2">
                  <c:v>Education Research Grants</c:v>
                </c:pt>
                <c:pt idx="3">
                  <c:v>Other Commonwealth Funding</c:v>
                </c:pt>
                <c:pt idx="4">
                  <c:v>Australian Research Council</c:v>
                </c:pt>
                <c:pt idx="5">
                  <c:v>Other Capital Funding</c:v>
                </c:pt>
              </c:strCache>
            </c:strRef>
          </c:cat>
          <c:val>
            <c:numRef>
              <c:f>'Fig 7 - AGFA'!$J$8:$J$13</c:f>
              <c:numCache>
                <c:formatCode>_(* #,##0.0_);_(* \(#,##0.0\);_(* "-"??_);_(@_)</c:formatCode>
                <c:ptCount val="6"/>
                <c:pt idx="0">
                  <c:v>8.1090680000000006</c:v>
                </c:pt>
                <c:pt idx="1">
                  <c:v>6.1191190000000004</c:v>
                </c:pt>
                <c:pt idx="2">
                  <c:v>2.0884119999999999</c:v>
                </c:pt>
                <c:pt idx="3">
                  <c:v>2.4571519999999998</c:v>
                </c:pt>
                <c:pt idx="4">
                  <c:v>0.71849099999999999</c:v>
                </c:pt>
                <c:pt idx="5" formatCode="_(* #,##0.00_);_(* \(#,##0.00\);_(* &quot;-&quot;??_);_(@_)">
                  <c:v>2.8531000000000001E-2</c:v>
                </c:pt>
              </c:numCache>
            </c:numRef>
          </c:val>
          <c:extLst>
            <c:ext xmlns:c16="http://schemas.microsoft.com/office/drawing/2014/chart" uri="{C3380CC4-5D6E-409C-BE32-E72D297353CC}">
              <c16:uniqueId val="{0000000C-7C54-41AF-9C73-1F576FFC8656}"/>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 8 Investment Income'!$A$8</c:f>
              <c:strCache>
                <c:ptCount val="1"/>
                <c:pt idx="0">
                  <c:v>Investment Revenue</c:v>
                </c:pt>
              </c:strCache>
            </c:strRef>
          </c:tx>
          <c:spPr>
            <a:ln w="28575" cap="rnd">
              <a:solidFill>
                <a:schemeClr val="accent1"/>
              </a:solidFill>
              <a:round/>
            </a:ln>
            <a:effectLst/>
          </c:spPr>
          <c:marker>
            <c:symbol val="none"/>
          </c:marker>
          <c:cat>
            <c:strRef>
              <c:f>'Fig 8 Investment Income'!$B$7:$K$7</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 8 Investment Income'!$B$8:$K$8</c:f>
              <c:numCache>
                <c:formatCode>#,##0_ ;[Red]\-#,##0\ </c:formatCode>
                <c:ptCount val="10"/>
                <c:pt idx="0">
                  <c:v>630826</c:v>
                </c:pt>
                <c:pt idx="1">
                  <c:v>715623</c:v>
                </c:pt>
                <c:pt idx="2">
                  <c:v>739246</c:v>
                </c:pt>
                <c:pt idx="3">
                  <c:v>793078</c:v>
                </c:pt>
                <c:pt idx="4">
                  <c:v>998541</c:v>
                </c:pt>
                <c:pt idx="5">
                  <c:v>990626</c:v>
                </c:pt>
                <c:pt idx="6">
                  <c:v>775652</c:v>
                </c:pt>
                <c:pt idx="7">
                  <c:v>1736031</c:v>
                </c:pt>
                <c:pt idx="8">
                  <c:v>1183397</c:v>
                </c:pt>
                <c:pt idx="9">
                  <c:v>1086252</c:v>
                </c:pt>
              </c:numCache>
            </c:numRef>
          </c:val>
          <c:smooth val="0"/>
          <c:extLst>
            <c:ext xmlns:c16="http://schemas.microsoft.com/office/drawing/2014/chart" uri="{C3380CC4-5D6E-409C-BE32-E72D297353CC}">
              <c16:uniqueId val="{00000000-43F3-4771-BBA5-4C8B397CFADA}"/>
            </c:ext>
          </c:extLst>
        </c:ser>
        <c:ser>
          <c:idx val="1"/>
          <c:order val="1"/>
          <c:tx>
            <c:strRef>
              <c:f>'Fig 8 Investment Income'!$A$9</c:f>
              <c:strCache>
                <c:ptCount val="1"/>
                <c:pt idx="0">
                  <c:v>Net Fair Value Gains/(Losses)</c:v>
                </c:pt>
              </c:strCache>
            </c:strRef>
          </c:tx>
          <c:spPr>
            <a:ln w="28575" cap="rnd">
              <a:solidFill>
                <a:schemeClr val="accent2"/>
              </a:solidFill>
              <a:round/>
            </a:ln>
            <a:effectLst/>
          </c:spPr>
          <c:marker>
            <c:symbol val="none"/>
          </c:marker>
          <c:cat>
            <c:strRef>
              <c:f>'Fig 8 Investment Income'!$B$7:$K$7</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 8 Investment Income'!$B$9:$K$9</c:f>
              <c:numCache>
                <c:formatCode>#,##0_ ;[Red]\-#,##0\ </c:formatCode>
                <c:ptCount val="10"/>
                <c:pt idx="0">
                  <c:v>82970</c:v>
                </c:pt>
                <c:pt idx="1">
                  <c:v>22376</c:v>
                </c:pt>
                <c:pt idx="2">
                  <c:v>86819</c:v>
                </c:pt>
                <c:pt idx="3">
                  <c:v>159108</c:v>
                </c:pt>
                <c:pt idx="4">
                  <c:v>-336740</c:v>
                </c:pt>
                <c:pt idx="5">
                  <c:v>1123459</c:v>
                </c:pt>
                <c:pt idx="6">
                  <c:v>128083</c:v>
                </c:pt>
                <c:pt idx="7">
                  <c:v>1364815</c:v>
                </c:pt>
                <c:pt idx="8">
                  <c:v>-1565426</c:v>
                </c:pt>
                <c:pt idx="9">
                  <c:v>1118706</c:v>
                </c:pt>
              </c:numCache>
            </c:numRef>
          </c:val>
          <c:smooth val="0"/>
          <c:extLst>
            <c:ext xmlns:c16="http://schemas.microsoft.com/office/drawing/2014/chart" uri="{C3380CC4-5D6E-409C-BE32-E72D297353CC}">
              <c16:uniqueId val="{00000001-43F3-4771-BBA5-4C8B397CFADA}"/>
            </c:ext>
          </c:extLst>
        </c:ser>
        <c:ser>
          <c:idx val="2"/>
          <c:order val="2"/>
          <c:tx>
            <c:strRef>
              <c:f>'Fig 8 Investment Income'!$A$10</c:f>
              <c:strCache>
                <c:ptCount val="1"/>
                <c:pt idx="0">
                  <c:v>Net Gain/(Loss) on Sale</c:v>
                </c:pt>
              </c:strCache>
            </c:strRef>
          </c:tx>
          <c:spPr>
            <a:ln w="28575" cap="rnd">
              <a:solidFill>
                <a:schemeClr val="accent3"/>
              </a:solidFill>
              <a:round/>
            </a:ln>
            <a:effectLst/>
          </c:spPr>
          <c:marker>
            <c:symbol val="none"/>
          </c:marker>
          <c:cat>
            <c:strRef>
              <c:f>'Fig 8 Investment Income'!$B$7:$K$7</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 8 Investment Income'!$B$10:$K$10</c:f>
              <c:numCache>
                <c:formatCode>#,##0_ ;[Red]\-#,##0\ </c:formatCode>
                <c:ptCount val="10"/>
                <c:pt idx="0">
                  <c:v>229333</c:v>
                </c:pt>
                <c:pt idx="1">
                  <c:v>102596</c:v>
                </c:pt>
                <c:pt idx="2">
                  <c:v>123783</c:v>
                </c:pt>
                <c:pt idx="3">
                  <c:v>143582</c:v>
                </c:pt>
                <c:pt idx="4">
                  <c:v>47233</c:v>
                </c:pt>
                <c:pt idx="5">
                  <c:v>61932</c:v>
                </c:pt>
                <c:pt idx="6">
                  <c:v>14701</c:v>
                </c:pt>
                <c:pt idx="7">
                  <c:v>66894</c:v>
                </c:pt>
                <c:pt idx="8">
                  <c:v>-36111</c:v>
                </c:pt>
                <c:pt idx="9">
                  <c:v>81804</c:v>
                </c:pt>
              </c:numCache>
            </c:numRef>
          </c:val>
          <c:smooth val="0"/>
          <c:extLst>
            <c:ext xmlns:c16="http://schemas.microsoft.com/office/drawing/2014/chart" uri="{C3380CC4-5D6E-409C-BE32-E72D297353CC}">
              <c16:uniqueId val="{00000002-43F3-4771-BBA5-4C8B397CFADA}"/>
            </c:ext>
          </c:extLst>
        </c:ser>
        <c:ser>
          <c:idx val="3"/>
          <c:order val="3"/>
          <c:tx>
            <c:strRef>
              <c:f>'Fig 8 Investment Income'!$A$11</c:f>
              <c:strCache>
                <c:ptCount val="1"/>
                <c:pt idx="0">
                  <c:v>Other Investment Income</c:v>
                </c:pt>
              </c:strCache>
            </c:strRef>
          </c:tx>
          <c:spPr>
            <a:ln w="28575" cap="rnd">
              <a:solidFill>
                <a:schemeClr val="accent6"/>
              </a:solidFill>
              <a:round/>
            </a:ln>
            <a:effectLst/>
          </c:spPr>
          <c:marker>
            <c:symbol val="none"/>
          </c:marker>
          <c:cat>
            <c:strRef>
              <c:f>'Fig 8 Investment Income'!$B$7:$K$7</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 8 Investment Income'!$B$11:$K$11</c:f>
              <c:numCache>
                <c:formatCode>#,##0_ ;[Red]\-#,##0\ </c:formatCode>
                <c:ptCount val="10"/>
                <c:pt idx="0">
                  <c:v>117674</c:v>
                </c:pt>
                <c:pt idx="1">
                  <c:v>78983</c:v>
                </c:pt>
                <c:pt idx="2">
                  <c:v>15028</c:v>
                </c:pt>
                <c:pt idx="3">
                  <c:v>138159</c:v>
                </c:pt>
                <c:pt idx="4">
                  <c:v>22187</c:v>
                </c:pt>
                <c:pt idx="5">
                  <c:v>15295</c:v>
                </c:pt>
                <c:pt idx="6">
                  <c:v>16014</c:v>
                </c:pt>
                <c:pt idx="7">
                  <c:v>54723</c:v>
                </c:pt>
                <c:pt idx="8">
                  <c:v>21357</c:v>
                </c:pt>
                <c:pt idx="9">
                  <c:v>46092</c:v>
                </c:pt>
              </c:numCache>
            </c:numRef>
          </c:val>
          <c:smooth val="0"/>
          <c:extLst>
            <c:ext xmlns:c16="http://schemas.microsoft.com/office/drawing/2014/chart" uri="{C3380CC4-5D6E-409C-BE32-E72D297353CC}">
              <c16:uniqueId val="{00000003-43F3-4771-BBA5-4C8B397CFADA}"/>
            </c:ext>
          </c:extLst>
        </c:ser>
        <c:dLbls>
          <c:showLegendKey val="0"/>
          <c:showVal val="0"/>
          <c:showCatName val="0"/>
          <c:showSerName val="0"/>
          <c:showPercent val="0"/>
          <c:showBubbleSize val="0"/>
        </c:dLbls>
        <c:smooth val="0"/>
        <c:axId val="1220120064"/>
        <c:axId val="1930641056"/>
      </c:lineChart>
      <c:catAx>
        <c:axId val="122012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0641056"/>
        <c:crosses val="autoZero"/>
        <c:auto val="1"/>
        <c:lblAlgn val="ctr"/>
        <c:lblOffset val="100"/>
        <c:noMultiLvlLbl val="0"/>
      </c:catAx>
      <c:valAx>
        <c:axId val="1930641056"/>
        <c:scaling>
          <c:orientation val="minMax"/>
        </c:scaling>
        <c:delete val="0"/>
        <c:axPos val="l"/>
        <c:majorGridlines>
          <c:spPr>
            <a:ln w="9525" cap="flat" cmpd="sng" algn="ctr">
              <a:solidFill>
                <a:schemeClr val="tx1">
                  <a:lumMod val="15000"/>
                  <a:lumOff val="85000"/>
                </a:schemeClr>
              </a:solidFill>
              <a:round/>
            </a:ln>
            <a:effectLst/>
          </c:spPr>
        </c:majorGridlines>
        <c:numFmt formatCode="#,##0.0_ ;[Red]\-#,##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120064"/>
        <c:crosses val="autoZero"/>
        <c:crossBetween val="between"/>
        <c:dispUnits>
          <c:builtInUnit val="millions"/>
          <c:dispUnitsLbl>
            <c:layout>
              <c:manualLayout>
                <c:xMode val="edge"/>
                <c:yMode val="edge"/>
                <c:x val="1.804850535815003E-2"/>
                <c:y val="0.391933491651306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3,4,5,6 and 9'!$B$29</c:f>
              <c:strCache>
                <c:ptCount val="1"/>
                <c:pt idx="0">
                  <c:v>Employee Benefits</c:v>
                </c:pt>
              </c:strCache>
            </c:strRef>
          </c:tx>
          <c:spPr>
            <a:ln w="28575" cap="rnd">
              <a:solidFill>
                <a:schemeClr val="accent1"/>
              </a:solidFill>
              <a:round/>
            </a:ln>
            <a:effectLst/>
          </c:spPr>
          <c:marker>
            <c:symbol val="none"/>
          </c:marker>
          <c:cat>
            <c:strRef>
              <c:f>'Figure 3,4,5,6 and 9'!$C$28:$L$28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9'!$C$29:$L$29</c:f>
              <c:numCache>
                <c:formatCode>#,##0;[Red]\(#,##0\)</c:formatCode>
                <c:ptCount val="10"/>
                <c:pt idx="0">
                  <c:v>14976593</c:v>
                </c:pt>
                <c:pt idx="1">
                  <c:v>15443278</c:v>
                </c:pt>
                <c:pt idx="2">
                  <c:v>16305404</c:v>
                </c:pt>
                <c:pt idx="3">
                  <c:v>17141243</c:v>
                </c:pt>
                <c:pt idx="4">
                  <c:v>18096813</c:v>
                </c:pt>
                <c:pt idx="5">
                  <c:v>19159179</c:v>
                </c:pt>
                <c:pt idx="6">
                  <c:v>20402407</c:v>
                </c:pt>
                <c:pt idx="7">
                  <c:v>19355630</c:v>
                </c:pt>
                <c:pt idx="8">
                  <c:v>19950962</c:v>
                </c:pt>
                <c:pt idx="9">
                  <c:v>22074995</c:v>
                </c:pt>
              </c:numCache>
            </c:numRef>
          </c:val>
          <c:smooth val="0"/>
          <c:extLst>
            <c:ext xmlns:c16="http://schemas.microsoft.com/office/drawing/2014/chart" uri="{C3380CC4-5D6E-409C-BE32-E72D297353CC}">
              <c16:uniqueId val="{00000000-D33B-4582-AA6B-447F02CEA238}"/>
            </c:ext>
          </c:extLst>
        </c:ser>
        <c:ser>
          <c:idx val="1"/>
          <c:order val="1"/>
          <c:tx>
            <c:strRef>
              <c:f>'Figure 3,4,5,6 and 9'!$B$30</c:f>
              <c:strCache>
                <c:ptCount val="1"/>
                <c:pt idx="0">
                  <c:v>Other Expenses </c:v>
                </c:pt>
              </c:strCache>
            </c:strRef>
          </c:tx>
          <c:spPr>
            <a:ln w="28575" cap="rnd">
              <a:solidFill>
                <a:schemeClr val="accent2"/>
              </a:solidFill>
              <a:round/>
            </a:ln>
            <a:effectLst/>
          </c:spPr>
          <c:marker>
            <c:symbol val="none"/>
          </c:marker>
          <c:cat>
            <c:strRef>
              <c:f>'Figure 3,4,5,6 and 9'!$C$28:$L$28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9'!$C$30:$L$30</c:f>
              <c:numCache>
                <c:formatCode>#,##0;[Red]\(#,##0\)</c:formatCode>
                <c:ptCount val="10"/>
                <c:pt idx="0">
                  <c:v>8403211</c:v>
                </c:pt>
                <c:pt idx="1">
                  <c:v>8834205</c:v>
                </c:pt>
                <c:pt idx="2">
                  <c:v>9449333</c:v>
                </c:pt>
                <c:pt idx="3">
                  <c:v>9966636</c:v>
                </c:pt>
                <c:pt idx="4">
                  <c:v>11144173</c:v>
                </c:pt>
                <c:pt idx="5">
                  <c:v>11598842</c:v>
                </c:pt>
                <c:pt idx="6">
                  <c:v>10544554</c:v>
                </c:pt>
                <c:pt idx="7">
                  <c:v>10664132</c:v>
                </c:pt>
                <c:pt idx="8">
                  <c:v>12240315</c:v>
                </c:pt>
                <c:pt idx="9">
                  <c:v>13818191</c:v>
                </c:pt>
              </c:numCache>
            </c:numRef>
          </c:val>
          <c:smooth val="0"/>
          <c:extLst>
            <c:ext xmlns:c16="http://schemas.microsoft.com/office/drawing/2014/chart" uri="{C3380CC4-5D6E-409C-BE32-E72D297353CC}">
              <c16:uniqueId val="{00000001-D33B-4582-AA6B-447F02CEA238}"/>
            </c:ext>
          </c:extLst>
        </c:ser>
        <c:ser>
          <c:idx val="2"/>
          <c:order val="2"/>
          <c:tx>
            <c:strRef>
              <c:f>'Figure 3,4,5,6 and 9'!$B$31</c:f>
              <c:strCache>
                <c:ptCount val="1"/>
                <c:pt idx="0">
                  <c:v>Depreciation and Amortisation</c:v>
                </c:pt>
              </c:strCache>
            </c:strRef>
          </c:tx>
          <c:spPr>
            <a:ln w="28575" cap="rnd">
              <a:solidFill>
                <a:schemeClr val="accent3"/>
              </a:solidFill>
              <a:round/>
            </a:ln>
            <a:effectLst/>
          </c:spPr>
          <c:marker>
            <c:symbol val="none"/>
          </c:marker>
          <c:cat>
            <c:strRef>
              <c:f>'Figure 3,4,5,6 and 9'!$C$28:$L$28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9'!$C$31:$L$31</c:f>
              <c:numCache>
                <c:formatCode>#,##0;[Red]\(#,##0\)</c:formatCode>
                <c:ptCount val="10"/>
                <c:pt idx="0">
                  <c:v>1749522</c:v>
                </c:pt>
                <c:pt idx="1">
                  <c:v>1925014</c:v>
                </c:pt>
                <c:pt idx="2">
                  <c:v>2059284</c:v>
                </c:pt>
                <c:pt idx="3">
                  <c:v>2154107</c:v>
                </c:pt>
                <c:pt idx="4">
                  <c:v>2228843</c:v>
                </c:pt>
                <c:pt idx="5">
                  <c:v>2655470</c:v>
                </c:pt>
                <c:pt idx="6">
                  <c:v>2724096</c:v>
                </c:pt>
                <c:pt idx="7">
                  <c:v>2751690</c:v>
                </c:pt>
                <c:pt idx="8">
                  <c:v>2794451</c:v>
                </c:pt>
                <c:pt idx="9">
                  <c:v>2923228</c:v>
                </c:pt>
              </c:numCache>
            </c:numRef>
          </c:val>
          <c:smooth val="0"/>
          <c:extLst>
            <c:ext xmlns:c16="http://schemas.microsoft.com/office/drawing/2014/chart" uri="{C3380CC4-5D6E-409C-BE32-E72D297353CC}">
              <c16:uniqueId val="{00000002-D33B-4582-AA6B-447F02CEA238}"/>
            </c:ext>
          </c:extLst>
        </c:ser>
        <c:ser>
          <c:idx val="3"/>
          <c:order val="3"/>
          <c:tx>
            <c:strRef>
              <c:f>'Figure 3,4,5,6 and 9'!$B$32</c:f>
              <c:strCache>
                <c:ptCount val="1"/>
                <c:pt idx="0">
                  <c:v>Repairs and Maintenance</c:v>
                </c:pt>
              </c:strCache>
            </c:strRef>
          </c:tx>
          <c:spPr>
            <a:ln w="28575" cap="rnd">
              <a:solidFill>
                <a:schemeClr val="accent4"/>
              </a:solidFill>
              <a:round/>
            </a:ln>
            <a:effectLst/>
          </c:spPr>
          <c:marker>
            <c:symbol val="none"/>
          </c:marker>
          <c:cat>
            <c:strRef>
              <c:f>'Figure 3,4,5,6 and 9'!$C$28:$L$28</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'Figure 3,4,5,6 and 9'!$C$32:$L$32</c:f>
              <c:numCache>
                <c:formatCode>#,##0;[Red]\(#,##0\)</c:formatCode>
                <c:ptCount val="10"/>
                <c:pt idx="0">
                  <c:v>730134</c:v>
                </c:pt>
                <c:pt idx="1">
                  <c:v>755950</c:v>
                </c:pt>
                <c:pt idx="2">
                  <c:v>771837</c:v>
                </c:pt>
                <c:pt idx="3">
                  <c:v>777085</c:v>
                </c:pt>
                <c:pt idx="4">
                  <c:v>809316</c:v>
                </c:pt>
                <c:pt idx="5">
                  <c:v>820986</c:v>
                </c:pt>
                <c:pt idx="6">
                  <c:v>791332</c:v>
                </c:pt>
                <c:pt idx="7">
                  <c:v>821474</c:v>
                </c:pt>
                <c:pt idx="8">
                  <c:v>914704</c:v>
                </c:pt>
                <c:pt idx="9">
                  <c:v>1045273</c:v>
                </c:pt>
              </c:numCache>
            </c:numRef>
          </c:val>
          <c:smooth val="0"/>
          <c:extLst>
            <c:ext xmlns:c16="http://schemas.microsoft.com/office/drawing/2014/chart" uri="{C3380CC4-5D6E-409C-BE32-E72D297353CC}">
              <c16:uniqueId val="{00000003-D33B-4582-AA6B-447F02CEA238}"/>
            </c:ext>
          </c:extLst>
        </c:ser>
        <c:dLbls>
          <c:showLegendKey val="0"/>
          <c:showVal val="0"/>
          <c:showCatName val="0"/>
          <c:showSerName val="0"/>
          <c:showPercent val="0"/>
          <c:showBubbleSize val="0"/>
        </c:dLbls>
        <c:smooth val="0"/>
        <c:axId val="1373760288"/>
        <c:axId val="1700193024"/>
      </c:lineChart>
      <c:catAx>
        <c:axId val="137376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93024"/>
        <c:crosses val="autoZero"/>
        <c:auto val="1"/>
        <c:lblAlgn val="ctr"/>
        <c:lblOffset val="100"/>
        <c:noMultiLvlLbl val="0"/>
      </c:catAx>
      <c:valAx>
        <c:axId val="1700193024"/>
        <c:scaling>
          <c:orientation val="minMax"/>
        </c:scaling>
        <c:delete val="0"/>
        <c:axPos val="l"/>
        <c:majorGridlines>
          <c:spPr>
            <a:ln w="9525" cap="flat" cmpd="sng" algn="ctr">
              <a:solidFill>
                <a:schemeClr val="tx1">
                  <a:lumMod val="15000"/>
                  <a:lumOff val="85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760288"/>
        <c:crosses val="autoZero"/>
        <c:crossBetween val="between"/>
        <c:dispUnits>
          <c:builtInUnit val="millions"/>
          <c:dispUnitsLbl>
            <c:layout>
              <c:manualLayout>
                <c:xMode val="edge"/>
                <c:yMode val="edge"/>
                <c:x val="2.2988505747126436E-2"/>
                <c:y val="0.4075615212527964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ata2.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rawing2.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32319-35F8-4CB5-8F3D-F249D2381A03}" type="doc">
      <dgm:prSet loTypeId="urn:microsoft.com/office/officeart/2008/layout/AlternatingPictureBlocks" loCatId="picture" qsTypeId="urn:microsoft.com/office/officeart/2005/8/quickstyle/simple1" qsCatId="simple" csTypeId="urn:microsoft.com/office/officeart/2005/8/colors/colorful1" csCatId="colorful" phldr="1"/>
      <dgm:spPr/>
    </dgm:pt>
    <dgm:pt modelId="{8CAE2A02-3F9C-49CB-B1BD-D1439A752B2E}">
      <dgm:prSet phldrT="[Text]"/>
      <dgm:spPr>
        <a:solidFill>
          <a:schemeClr val="tx1">
            <a:lumMod val="65000"/>
            <a:lumOff val="35000"/>
          </a:schemeClr>
        </a:solidFill>
      </dgm:spPr>
      <dgm:t>
        <a:bodyPr/>
        <a:lstStyle/>
        <a:p>
          <a:r>
            <a:rPr lang="en-AU"/>
            <a:t>$122.1 million net surplus</a:t>
          </a:r>
        </a:p>
      </dgm:t>
    </dgm:pt>
    <dgm:pt modelId="{DA24E2B6-C38F-4474-B4C6-951690899A3A}" type="parTrans" cxnId="{DCB2EE27-E640-41BD-937A-7470731FD0A0}">
      <dgm:prSet/>
      <dgm:spPr/>
      <dgm:t>
        <a:bodyPr/>
        <a:lstStyle/>
        <a:p>
          <a:endParaRPr lang="en-AU"/>
        </a:p>
      </dgm:t>
    </dgm:pt>
    <dgm:pt modelId="{CCF51765-887A-4A3C-97AF-9ACB8DB0D41A}" type="sibTrans" cxnId="{DCB2EE27-E640-41BD-937A-7470731FD0A0}">
      <dgm:prSet/>
      <dgm:spPr/>
      <dgm:t>
        <a:bodyPr/>
        <a:lstStyle/>
        <a:p>
          <a:endParaRPr lang="en-AU"/>
        </a:p>
      </dgm:t>
    </dgm:pt>
    <dgm:pt modelId="{0E91FD66-2B09-459B-945F-AEB6AC23609F}">
      <dgm:prSet phldrT="[Text]"/>
      <dgm:spPr>
        <a:solidFill>
          <a:schemeClr val="tx2">
            <a:lumMod val="90000"/>
            <a:lumOff val="10000"/>
          </a:schemeClr>
        </a:solidFill>
      </dgm:spPr>
      <dgm:t>
        <a:bodyPr/>
        <a:lstStyle/>
        <a:p>
          <a:r>
            <a:rPr lang="en-AU"/>
            <a:t>$40.0 billion total revenue</a:t>
          </a:r>
        </a:p>
      </dgm:t>
    </dgm:pt>
    <dgm:pt modelId="{7BD04169-C1A4-427C-BC5F-3E362A789164}" type="parTrans" cxnId="{9CD1644B-A0BE-4168-8FF1-F88C35077983}">
      <dgm:prSet/>
      <dgm:spPr/>
      <dgm:t>
        <a:bodyPr/>
        <a:lstStyle/>
        <a:p>
          <a:endParaRPr lang="en-AU"/>
        </a:p>
      </dgm:t>
    </dgm:pt>
    <dgm:pt modelId="{BA11129C-8FA3-41AC-9C87-37151377E2CF}" type="sibTrans" cxnId="{9CD1644B-A0BE-4168-8FF1-F88C35077983}">
      <dgm:prSet/>
      <dgm:spPr/>
      <dgm:t>
        <a:bodyPr/>
        <a:lstStyle/>
        <a:p>
          <a:endParaRPr lang="en-AU"/>
        </a:p>
      </dgm:t>
    </dgm:pt>
    <dgm:pt modelId="{62218E02-D9D9-4D65-801C-B2D90787030F}">
      <dgm:prSet phldrT="[Text]"/>
      <dgm:spPr>
        <a:solidFill>
          <a:schemeClr val="accent2"/>
        </a:solidFill>
      </dgm:spPr>
      <dgm:t>
        <a:bodyPr/>
        <a:lstStyle/>
        <a:p>
          <a:r>
            <a:rPr lang="en-AU"/>
            <a:t>$74.2 billion net assets</a:t>
          </a:r>
        </a:p>
      </dgm:t>
    </dgm:pt>
    <dgm:pt modelId="{5E1C770C-9C00-4E59-83FE-3168356D75C9}" type="parTrans" cxnId="{4C97135B-E1B6-4E7B-B81B-BD3EBCECF983}">
      <dgm:prSet/>
      <dgm:spPr/>
      <dgm:t>
        <a:bodyPr/>
        <a:lstStyle/>
        <a:p>
          <a:endParaRPr lang="en-AU"/>
        </a:p>
      </dgm:t>
    </dgm:pt>
    <dgm:pt modelId="{D039E792-130C-4AD2-BBCC-EE3FDA842A10}" type="sibTrans" cxnId="{4C97135B-E1B6-4E7B-B81B-BD3EBCECF983}">
      <dgm:prSet/>
      <dgm:spPr/>
      <dgm:t>
        <a:bodyPr/>
        <a:lstStyle/>
        <a:p>
          <a:endParaRPr lang="en-AU"/>
        </a:p>
      </dgm:t>
    </dgm:pt>
    <dgm:pt modelId="{2BF927A1-2516-438F-AA18-D3132048290E}">
      <dgm:prSet/>
      <dgm:spPr>
        <a:solidFill>
          <a:schemeClr val="accent1"/>
        </a:solidFill>
      </dgm:spPr>
      <dgm:t>
        <a:bodyPr/>
        <a:lstStyle/>
        <a:p>
          <a:r>
            <a:rPr lang="en-AU"/>
            <a:t>$39.9 billion total expenses</a:t>
          </a:r>
        </a:p>
      </dgm:t>
    </dgm:pt>
    <dgm:pt modelId="{F63E9883-8315-46CD-89AC-B052F9058C41}" type="parTrans" cxnId="{3DC0239C-D0A0-441C-9205-1FAF0CA1B774}">
      <dgm:prSet/>
      <dgm:spPr/>
      <dgm:t>
        <a:bodyPr/>
        <a:lstStyle/>
        <a:p>
          <a:endParaRPr lang="en-AU"/>
        </a:p>
      </dgm:t>
    </dgm:pt>
    <dgm:pt modelId="{0E0C4BD1-DC20-4505-A9A1-0A277E60E9BE}" type="sibTrans" cxnId="{3DC0239C-D0A0-441C-9205-1FAF0CA1B774}">
      <dgm:prSet/>
      <dgm:spPr/>
      <dgm:t>
        <a:bodyPr/>
        <a:lstStyle/>
        <a:p>
          <a:endParaRPr lang="en-AU"/>
        </a:p>
      </dgm:t>
    </dgm:pt>
    <dgm:pt modelId="{4710DBD1-4EF3-40DD-9D9A-DAD85B7FB5AA}" type="pres">
      <dgm:prSet presAssocID="{7CF32319-35F8-4CB5-8F3D-F249D2381A03}" presName="linearFlow" presStyleCnt="0">
        <dgm:presLayoutVars>
          <dgm:dir/>
          <dgm:resizeHandles val="exact"/>
        </dgm:presLayoutVars>
      </dgm:prSet>
      <dgm:spPr/>
    </dgm:pt>
    <dgm:pt modelId="{B5CBDC65-F296-4BBA-ABE8-99CF0A99F52B}" type="pres">
      <dgm:prSet presAssocID="{8CAE2A02-3F9C-49CB-B1BD-D1439A752B2E}" presName="comp" presStyleCnt="0"/>
      <dgm:spPr/>
    </dgm:pt>
    <dgm:pt modelId="{0152BC0B-7B4C-4220-B745-DBB2B017AA67}" type="pres">
      <dgm:prSet presAssocID="{8CAE2A02-3F9C-49CB-B1BD-D1439A752B2E}" presName="rect2" presStyleLbl="node1" presStyleIdx="0" presStyleCnt="4">
        <dgm:presLayoutVars>
          <dgm:bulletEnabled val="1"/>
        </dgm:presLayoutVars>
      </dgm:prSet>
      <dgm:spPr/>
    </dgm:pt>
    <dgm:pt modelId="{5895A235-C188-41BB-8353-BF6AF00AA50E}" type="pres">
      <dgm:prSet presAssocID="{8CAE2A02-3F9C-49CB-B1BD-D1439A752B2E}" presName="rect1" presStyleLbl="lnNode1" presStyleIdx="0" presStyleCnt="4"/>
      <dgm:spPr>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Bar graph with upward trend with solid fill"/>
        </a:ext>
      </dgm:extLst>
    </dgm:pt>
    <dgm:pt modelId="{E54E65CA-8694-4EF5-B5FC-01FE82D50767}" type="pres">
      <dgm:prSet presAssocID="{CCF51765-887A-4A3C-97AF-9ACB8DB0D41A}" presName="sibTrans" presStyleCnt="0"/>
      <dgm:spPr/>
    </dgm:pt>
    <dgm:pt modelId="{72FC0250-E027-4AF8-A226-B3F1E4D91920}" type="pres">
      <dgm:prSet presAssocID="{0E91FD66-2B09-459B-945F-AEB6AC23609F}" presName="comp" presStyleCnt="0"/>
      <dgm:spPr/>
    </dgm:pt>
    <dgm:pt modelId="{F568157C-CEC5-4BF9-AC0F-8412E9F2AB30}" type="pres">
      <dgm:prSet presAssocID="{0E91FD66-2B09-459B-945F-AEB6AC23609F}" presName="rect2" presStyleLbl="node1" presStyleIdx="1" presStyleCnt="4">
        <dgm:presLayoutVars>
          <dgm:bulletEnabled val="1"/>
        </dgm:presLayoutVars>
      </dgm:prSet>
      <dgm:spPr/>
    </dgm:pt>
    <dgm:pt modelId="{4D0C5CFD-76E7-44E7-8D1F-98A6DA3117BB}" type="pres">
      <dgm:prSet presAssocID="{0E91FD66-2B09-459B-945F-AEB6AC23609F}" presName="rect1" presStyleLbl="lnNode1" presStyleIdx="1" presStyleCnt="4"/>
      <dgm:spPr>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a:noFill/>
        </a:ln>
      </dgm:spPr>
      <dgm:extLst>
        <a:ext uri="{E40237B7-FDA0-4F09-8148-C483321AD2D9}">
          <dgm14:cNvPr xmlns:dgm14="http://schemas.microsoft.com/office/drawing/2010/diagram" id="0" name="" descr="Philanthropy with solid fill"/>
        </a:ext>
      </dgm:extLst>
    </dgm:pt>
    <dgm:pt modelId="{F6ECB432-FD78-4737-BBE4-C0ABC02C195C}" type="pres">
      <dgm:prSet presAssocID="{BA11129C-8FA3-41AC-9C87-37151377E2CF}" presName="sibTrans" presStyleCnt="0"/>
      <dgm:spPr/>
    </dgm:pt>
    <dgm:pt modelId="{2BDFEDAA-A535-4178-B303-331BB6D58707}" type="pres">
      <dgm:prSet presAssocID="{2BF927A1-2516-438F-AA18-D3132048290E}" presName="comp" presStyleCnt="0"/>
      <dgm:spPr/>
    </dgm:pt>
    <dgm:pt modelId="{A0EBA58A-3F28-4C07-A189-58F6E6A23CE7}" type="pres">
      <dgm:prSet presAssocID="{2BF927A1-2516-438F-AA18-D3132048290E}" presName="rect2" presStyleLbl="node1" presStyleIdx="2" presStyleCnt="4">
        <dgm:presLayoutVars>
          <dgm:bulletEnabled val="1"/>
        </dgm:presLayoutVars>
      </dgm:prSet>
      <dgm:spPr/>
    </dgm:pt>
    <dgm:pt modelId="{D619A4DB-CF14-448E-AFC3-37DAADF85873}" type="pres">
      <dgm:prSet presAssocID="{2BF927A1-2516-438F-AA18-D3132048290E}" presName="rect1" presStyleLbl="lnNode1" presStyleIdx="2" presStyleCnt="4"/>
      <dgm:spPr>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dgm:spPr>
      <dgm:extLst>
        <a:ext uri="{E40237B7-FDA0-4F09-8148-C483321AD2D9}">
          <dgm14:cNvPr xmlns:dgm14="http://schemas.microsoft.com/office/drawing/2010/diagram" id="0" name="" descr="Transfer1 with solid fill"/>
        </a:ext>
      </dgm:extLst>
    </dgm:pt>
    <dgm:pt modelId="{B7B4116E-DB21-4F86-994D-445E0BC92AD7}" type="pres">
      <dgm:prSet presAssocID="{0E0C4BD1-DC20-4505-A9A1-0A277E60E9BE}" presName="sibTrans" presStyleCnt="0"/>
      <dgm:spPr/>
    </dgm:pt>
    <dgm:pt modelId="{0450B504-0C93-4DBE-B9B5-5CEED4D647CD}" type="pres">
      <dgm:prSet presAssocID="{62218E02-D9D9-4D65-801C-B2D90787030F}" presName="comp" presStyleCnt="0"/>
      <dgm:spPr/>
    </dgm:pt>
    <dgm:pt modelId="{6CD256BF-B2C7-4210-BA38-7EB071DF1DDE}" type="pres">
      <dgm:prSet presAssocID="{62218E02-D9D9-4D65-801C-B2D90787030F}" presName="rect2" presStyleLbl="node1" presStyleIdx="3" presStyleCnt="4">
        <dgm:presLayoutVars>
          <dgm:bulletEnabled val="1"/>
        </dgm:presLayoutVars>
      </dgm:prSet>
      <dgm:spPr/>
    </dgm:pt>
    <dgm:pt modelId="{7D1F7FE7-C853-41D1-B76F-BA1AD7138598}" type="pres">
      <dgm:prSet presAssocID="{62218E02-D9D9-4D65-801C-B2D90787030F}" presName="rect1" presStyleLbl="lnNode1" presStyleIdx="3" presStyleCnt="4"/>
      <dgm:spPr>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dgm:spPr>
      <dgm:extLst>
        <a:ext uri="{E40237B7-FDA0-4F09-8148-C483321AD2D9}">
          <dgm14:cNvPr xmlns:dgm14="http://schemas.microsoft.com/office/drawing/2010/diagram" id="0" name="" descr="Schoolhouse with solid fill"/>
        </a:ext>
      </dgm:extLst>
    </dgm:pt>
  </dgm:ptLst>
  <dgm:cxnLst>
    <dgm:cxn modelId="{ADF2DE26-311C-4D37-AC0B-5A5811630A6D}" type="presOf" srcId="{7CF32319-35F8-4CB5-8F3D-F249D2381A03}" destId="{4710DBD1-4EF3-40DD-9D9A-DAD85B7FB5AA}" srcOrd="0" destOrd="0" presId="urn:microsoft.com/office/officeart/2008/layout/AlternatingPictureBlocks"/>
    <dgm:cxn modelId="{DCB2EE27-E640-41BD-937A-7470731FD0A0}" srcId="{7CF32319-35F8-4CB5-8F3D-F249D2381A03}" destId="{8CAE2A02-3F9C-49CB-B1BD-D1439A752B2E}" srcOrd="0" destOrd="0" parTransId="{DA24E2B6-C38F-4474-B4C6-951690899A3A}" sibTransId="{CCF51765-887A-4A3C-97AF-9ACB8DB0D41A}"/>
    <dgm:cxn modelId="{F925AD2F-7D62-4EA6-B2A7-4A4DA77A348A}" type="presOf" srcId="{62218E02-D9D9-4D65-801C-B2D90787030F}" destId="{6CD256BF-B2C7-4210-BA38-7EB071DF1DDE}" srcOrd="0" destOrd="0" presId="urn:microsoft.com/office/officeart/2008/layout/AlternatingPictureBlocks"/>
    <dgm:cxn modelId="{4C6F8D34-6528-474E-BBDF-7739F0CE299B}" type="presOf" srcId="{0E91FD66-2B09-459B-945F-AEB6AC23609F}" destId="{F568157C-CEC5-4BF9-AC0F-8412E9F2AB30}" srcOrd="0" destOrd="0" presId="urn:microsoft.com/office/officeart/2008/layout/AlternatingPictureBlocks"/>
    <dgm:cxn modelId="{4C97135B-E1B6-4E7B-B81B-BD3EBCECF983}" srcId="{7CF32319-35F8-4CB5-8F3D-F249D2381A03}" destId="{62218E02-D9D9-4D65-801C-B2D90787030F}" srcOrd="3" destOrd="0" parTransId="{5E1C770C-9C00-4E59-83FE-3168356D75C9}" sibTransId="{D039E792-130C-4AD2-BBCC-EE3FDA842A10}"/>
    <dgm:cxn modelId="{AD5B6660-4FAB-4AE7-98D2-E14BE1870B2D}" type="presOf" srcId="{8CAE2A02-3F9C-49CB-B1BD-D1439A752B2E}" destId="{0152BC0B-7B4C-4220-B745-DBB2B017AA67}" srcOrd="0" destOrd="0" presId="urn:microsoft.com/office/officeart/2008/layout/AlternatingPictureBlocks"/>
    <dgm:cxn modelId="{9CD1644B-A0BE-4168-8FF1-F88C35077983}" srcId="{7CF32319-35F8-4CB5-8F3D-F249D2381A03}" destId="{0E91FD66-2B09-459B-945F-AEB6AC23609F}" srcOrd="1" destOrd="0" parTransId="{7BD04169-C1A4-427C-BC5F-3E362A789164}" sibTransId="{BA11129C-8FA3-41AC-9C87-37151377E2CF}"/>
    <dgm:cxn modelId="{3DC0239C-D0A0-441C-9205-1FAF0CA1B774}" srcId="{7CF32319-35F8-4CB5-8F3D-F249D2381A03}" destId="{2BF927A1-2516-438F-AA18-D3132048290E}" srcOrd="2" destOrd="0" parTransId="{F63E9883-8315-46CD-89AC-B052F9058C41}" sibTransId="{0E0C4BD1-DC20-4505-A9A1-0A277E60E9BE}"/>
    <dgm:cxn modelId="{382552CD-D604-4A6A-A2A5-F1084215C191}" type="presOf" srcId="{2BF927A1-2516-438F-AA18-D3132048290E}" destId="{A0EBA58A-3F28-4C07-A189-58F6E6A23CE7}" srcOrd="0" destOrd="0" presId="urn:microsoft.com/office/officeart/2008/layout/AlternatingPictureBlocks"/>
    <dgm:cxn modelId="{8DB05C7C-601F-4087-91EC-D209123298F8}" type="presParOf" srcId="{4710DBD1-4EF3-40DD-9D9A-DAD85B7FB5AA}" destId="{B5CBDC65-F296-4BBA-ABE8-99CF0A99F52B}" srcOrd="0" destOrd="0" presId="urn:microsoft.com/office/officeart/2008/layout/AlternatingPictureBlocks"/>
    <dgm:cxn modelId="{4A0B6CFA-954A-4A4E-ADC1-A828969E004C}" type="presParOf" srcId="{B5CBDC65-F296-4BBA-ABE8-99CF0A99F52B}" destId="{0152BC0B-7B4C-4220-B745-DBB2B017AA67}" srcOrd="0" destOrd="0" presId="urn:microsoft.com/office/officeart/2008/layout/AlternatingPictureBlocks"/>
    <dgm:cxn modelId="{DBF7AE95-41B9-432C-B6F0-3BA9F7CFD40B}" type="presParOf" srcId="{B5CBDC65-F296-4BBA-ABE8-99CF0A99F52B}" destId="{5895A235-C188-41BB-8353-BF6AF00AA50E}" srcOrd="1" destOrd="0" presId="urn:microsoft.com/office/officeart/2008/layout/AlternatingPictureBlocks"/>
    <dgm:cxn modelId="{5F5E9A22-4BF3-41C0-B667-3250359D15D4}" type="presParOf" srcId="{4710DBD1-4EF3-40DD-9D9A-DAD85B7FB5AA}" destId="{E54E65CA-8694-4EF5-B5FC-01FE82D50767}" srcOrd="1" destOrd="0" presId="urn:microsoft.com/office/officeart/2008/layout/AlternatingPictureBlocks"/>
    <dgm:cxn modelId="{9731FEC5-50FA-4A84-82E7-D8A02C22B012}" type="presParOf" srcId="{4710DBD1-4EF3-40DD-9D9A-DAD85B7FB5AA}" destId="{72FC0250-E027-4AF8-A226-B3F1E4D91920}" srcOrd="2" destOrd="0" presId="urn:microsoft.com/office/officeart/2008/layout/AlternatingPictureBlocks"/>
    <dgm:cxn modelId="{7494995D-8D5F-4383-AB45-F5A5468B0167}" type="presParOf" srcId="{72FC0250-E027-4AF8-A226-B3F1E4D91920}" destId="{F568157C-CEC5-4BF9-AC0F-8412E9F2AB30}" srcOrd="0" destOrd="0" presId="urn:microsoft.com/office/officeart/2008/layout/AlternatingPictureBlocks"/>
    <dgm:cxn modelId="{F39CB7E0-395D-4522-830F-D535125B8776}" type="presParOf" srcId="{72FC0250-E027-4AF8-A226-B3F1E4D91920}" destId="{4D0C5CFD-76E7-44E7-8D1F-98A6DA3117BB}" srcOrd="1" destOrd="0" presId="urn:microsoft.com/office/officeart/2008/layout/AlternatingPictureBlocks"/>
    <dgm:cxn modelId="{5D7A1820-5A98-40D6-ADF8-822F15573395}" type="presParOf" srcId="{4710DBD1-4EF3-40DD-9D9A-DAD85B7FB5AA}" destId="{F6ECB432-FD78-4737-BBE4-C0ABC02C195C}" srcOrd="3" destOrd="0" presId="urn:microsoft.com/office/officeart/2008/layout/AlternatingPictureBlocks"/>
    <dgm:cxn modelId="{1D3929A8-76D2-4B16-899B-5AB7D998BC2C}" type="presParOf" srcId="{4710DBD1-4EF3-40DD-9D9A-DAD85B7FB5AA}" destId="{2BDFEDAA-A535-4178-B303-331BB6D58707}" srcOrd="4" destOrd="0" presId="urn:microsoft.com/office/officeart/2008/layout/AlternatingPictureBlocks"/>
    <dgm:cxn modelId="{AFC2BF86-C6A3-49F2-A512-33BBCA0F3837}" type="presParOf" srcId="{2BDFEDAA-A535-4178-B303-331BB6D58707}" destId="{A0EBA58A-3F28-4C07-A189-58F6E6A23CE7}" srcOrd="0" destOrd="0" presId="urn:microsoft.com/office/officeart/2008/layout/AlternatingPictureBlocks"/>
    <dgm:cxn modelId="{81248BC4-F5DC-46B5-9C94-47830F80866E}" type="presParOf" srcId="{2BDFEDAA-A535-4178-B303-331BB6D58707}" destId="{D619A4DB-CF14-448E-AFC3-37DAADF85873}" srcOrd="1" destOrd="0" presId="urn:microsoft.com/office/officeart/2008/layout/AlternatingPictureBlocks"/>
    <dgm:cxn modelId="{6C3F43E9-59DE-414B-8C7D-42E8E4CCA5CA}" type="presParOf" srcId="{4710DBD1-4EF3-40DD-9D9A-DAD85B7FB5AA}" destId="{B7B4116E-DB21-4F86-994D-445E0BC92AD7}" srcOrd="5" destOrd="0" presId="urn:microsoft.com/office/officeart/2008/layout/AlternatingPictureBlocks"/>
    <dgm:cxn modelId="{C8C24DC6-3810-484C-B675-990B1183D00C}" type="presParOf" srcId="{4710DBD1-4EF3-40DD-9D9A-DAD85B7FB5AA}" destId="{0450B504-0C93-4DBE-B9B5-5CEED4D647CD}" srcOrd="6" destOrd="0" presId="urn:microsoft.com/office/officeart/2008/layout/AlternatingPictureBlocks"/>
    <dgm:cxn modelId="{9C3466E0-7353-44E0-87A7-D8DC1FA44DB2}" type="presParOf" srcId="{0450B504-0C93-4DBE-B9B5-5CEED4D647CD}" destId="{6CD256BF-B2C7-4210-BA38-7EB071DF1DDE}" srcOrd="0" destOrd="0" presId="urn:microsoft.com/office/officeart/2008/layout/AlternatingPictureBlocks"/>
    <dgm:cxn modelId="{F0791089-2C36-4B8B-BD0E-0DF428C669B3}" type="presParOf" srcId="{0450B504-0C93-4DBE-B9B5-5CEED4D647CD}" destId="{7D1F7FE7-C853-41D1-B76F-BA1AD7138598}" srcOrd="1" destOrd="0" presId="urn:microsoft.com/office/officeart/2008/layout/AlternatingPictureBlock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9CCC1A0-C2B5-4CEC-90BA-E9ADB02DE362}" type="doc">
      <dgm:prSet loTypeId="urn:microsoft.com/office/officeart/2008/layout/AlternatingPictureBlocks" loCatId="picture" qsTypeId="urn:microsoft.com/office/officeart/2005/8/quickstyle/simple1" qsCatId="simple" csTypeId="urn:microsoft.com/office/officeart/2005/8/colors/colorful1" csCatId="colorful" phldr="1"/>
      <dgm:spPr/>
    </dgm:pt>
    <dgm:pt modelId="{3158C290-4839-4A5C-801A-0230AF63DDE1}">
      <dgm:prSet phldrT="[Text]" custT="1"/>
      <dgm:spPr>
        <a:noFill/>
        <a:ln>
          <a:solidFill>
            <a:schemeClr val="tx1">
              <a:lumMod val="65000"/>
              <a:lumOff val="35000"/>
            </a:schemeClr>
          </a:solidFill>
        </a:ln>
      </dgm:spPr>
      <dgm:t>
        <a:bodyPr/>
        <a:lstStyle/>
        <a:p>
          <a:pPr algn="l"/>
          <a:r>
            <a:rPr lang="en-AU" sz="1800">
              <a:solidFill>
                <a:schemeClr val="tx1">
                  <a:lumMod val="65000"/>
                  <a:lumOff val="35000"/>
                </a:schemeClr>
              </a:solidFill>
            </a:rPr>
            <a:t>16</a:t>
          </a:r>
          <a:r>
            <a:rPr lang="en-AU" sz="1100">
              <a:solidFill>
                <a:schemeClr val="tx1">
                  <a:lumMod val="65000"/>
                  <a:lumOff val="35000"/>
                </a:schemeClr>
              </a:solidFill>
            </a:rPr>
            <a:t> universities in surplus </a:t>
          </a:r>
          <a:br>
            <a:rPr lang="en-AU" sz="1100">
              <a:solidFill>
                <a:schemeClr val="tx1">
                  <a:lumMod val="65000"/>
                  <a:lumOff val="35000"/>
                </a:schemeClr>
              </a:solidFill>
            </a:rPr>
          </a:br>
          <a:r>
            <a:rPr lang="en-AU" sz="1800">
              <a:solidFill>
                <a:schemeClr val="tx1">
                  <a:lumMod val="65000"/>
                  <a:lumOff val="35000"/>
                </a:schemeClr>
              </a:solidFill>
            </a:rPr>
            <a:t>27 </a:t>
          </a:r>
          <a:r>
            <a:rPr lang="en-AU" sz="1100">
              <a:solidFill>
                <a:schemeClr val="tx1">
                  <a:lumMod val="65000"/>
                  <a:lumOff val="35000"/>
                </a:schemeClr>
              </a:solidFill>
            </a:rPr>
            <a:t>universities in deficit</a:t>
          </a:r>
        </a:p>
      </dgm:t>
    </dgm:pt>
    <dgm:pt modelId="{BD2E61D2-6D45-4273-8A8C-643EDF4AE1C4}" type="parTrans" cxnId="{87C8233A-07E9-450E-A3E8-C3A4BBC600C7}">
      <dgm:prSet/>
      <dgm:spPr/>
      <dgm:t>
        <a:bodyPr/>
        <a:lstStyle/>
        <a:p>
          <a:endParaRPr lang="en-AU">
            <a:solidFill>
              <a:schemeClr val="tx1">
                <a:lumMod val="65000"/>
                <a:lumOff val="35000"/>
              </a:schemeClr>
            </a:solidFill>
          </a:endParaRPr>
        </a:p>
      </dgm:t>
    </dgm:pt>
    <dgm:pt modelId="{C18AD1AA-FC38-4DF7-9CE6-FF423B177CAE}" type="sibTrans" cxnId="{87C8233A-07E9-450E-A3E8-C3A4BBC600C7}">
      <dgm:prSet/>
      <dgm:spPr/>
      <dgm:t>
        <a:bodyPr/>
        <a:lstStyle/>
        <a:p>
          <a:endParaRPr lang="en-AU">
            <a:solidFill>
              <a:schemeClr val="tx1">
                <a:lumMod val="65000"/>
                <a:lumOff val="35000"/>
              </a:schemeClr>
            </a:solidFill>
          </a:endParaRPr>
        </a:p>
      </dgm:t>
    </dgm:pt>
    <dgm:pt modelId="{7F4EEDBD-F6FD-4BFE-8A83-91C638715217}">
      <dgm:prSet phldrT="[Text]" custT="1"/>
      <dgm:spPr>
        <a:noFill/>
        <a:ln>
          <a:solidFill>
            <a:schemeClr val="tx2">
              <a:lumMod val="90000"/>
              <a:lumOff val="10000"/>
            </a:schemeClr>
          </a:solidFill>
        </a:ln>
      </dgm:spPr>
      <dgm:t>
        <a:bodyPr/>
        <a:lstStyle/>
        <a:p>
          <a:pPr algn="l"/>
          <a:r>
            <a:rPr lang="en-AU" sz="1600">
              <a:solidFill>
                <a:schemeClr val="tx2">
                  <a:lumMod val="90000"/>
                  <a:lumOff val="10000"/>
                </a:schemeClr>
              </a:solidFill>
            </a:rPr>
            <a:t>$19.5 billion</a:t>
          </a:r>
          <a:br>
            <a:rPr lang="en-AU" sz="1100">
              <a:solidFill>
                <a:schemeClr val="tx2">
                  <a:lumMod val="90000"/>
                  <a:lumOff val="10000"/>
                </a:schemeClr>
              </a:solidFill>
            </a:rPr>
          </a:br>
          <a:r>
            <a:rPr lang="en-AU" sz="1100">
              <a:solidFill>
                <a:schemeClr val="tx2">
                  <a:lumMod val="90000"/>
                  <a:lumOff val="10000"/>
                </a:schemeClr>
              </a:solidFill>
            </a:rPr>
            <a:t>Australian Govt funding</a:t>
          </a:r>
          <a:br>
            <a:rPr lang="en-AU" sz="1100">
              <a:solidFill>
                <a:schemeClr val="tx2">
                  <a:lumMod val="90000"/>
                  <a:lumOff val="10000"/>
                </a:schemeClr>
              </a:solidFill>
            </a:rPr>
          </a:br>
          <a:r>
            <a:rPr lang="en-AU" sz="1600">
              <a:solidFill>
                <a:schemeClr val="tx2">
                  <a:lumMod val="90000"/>
                  <a:lumOff val="10000"/>
                </a:schemeClr>
              </a:solidFill>
            </a:rPr>
            <a:t>$10.2 billion</a:t>
          </a:r>
          <a:br>
            <a:rPr lang="en-AU" sz="1100">
              <a:solidFill>
                <a:schemeClr val="tx2">
                  <a:lumMod val="90000"/>
                  <a:lumOff val="10000"/>
                </a:schemeClr>
              </a:solidFill>
            </a:rPr>
          </a:br>
          <a:r>
            <a:rPr lang="en-AU" sz="1100">
              <a:solidFill>
                <a:schemeClr val="tx2">
                  <a:lumMod val="90000"/>
                  <a:lumOff val="10000"/>
                </a:schemeClr>
              </a:solidFill>
            </a:rPr>
            <a:t>International student fees</a:t>
          </a:r>
        </a:p>
      </dgm:t>
    </dgm:pt>
    <dgm:pt modelId="{45F87DDC-82B3-43A9-BFC2-48C979CD9553}" type="parTrans" cxnId="{32761244-3EEE-4F2C-BF8C-21C911AA7FCA}">
      <dgm:prSet/>
      <dgm:spPr/>
      <dgm:t>
        <a:bodyPr/>
        <a:lstStyle/>
        <a:p>
          <a:endParaRPr lang="en-AU">
            <a:solidFill>
              <a:schemeClr val="tx1">
                <a:lumMod val="65000"/>
                <a:lumOff val="35000"/>
              </a:schemeClr>
            </a:solidFill>
          </a:endParaRPr>
        </a:p>
      </dgm:t>
    </dgm:pt>
    <dgm:pt modelId="{DB85D359-AE4B-4DAC-9C29-43F1E54AF92D}" type="sibTrans" cxnId="{32761244-3EEE-4F2C-BF8C-21C911AA7FCA}">
      <dgm:prSet/>
      <dgm:spPr/>
      <dgm:t>
        <a:bodyPr/>
        <a:lstStyle/>
        <a:p>
          <a:endParaRPr lang="en-AU">
            <a:solidFill>
              <a:schemeClr val="tx1">
                <a:lumMod val="65000"/>
                <a:lumOff val="35000"/>
              </a:schemeClr>
            </a:solidFill>
          </a:endParaRPr>
        </a:p>
      </dgm:t>
    </dgm:pt>
    <dgm:pt modelId="{132924D1-D18C-4AD4-BDEE-EC07AD951B05}">
      <dgm:prSet phldrT="[Text]" custT="1"/>
      <dgm:spPr>
        <a:noFill/>
        <a:ln>
          <a:solidFill>
            <a:schemeClr val="accent2"/>
          </a:solidFill>
        </a:ln>
      </dgm:spPr>
      <dgm:t>
        <a:bodyPr/>
        <a:lstStyle/>
        <a:p>
          <a:pPr algn="l"/>
          <a:r>
            <a:rPr lang="en-AU" sz="1600">
              <a:solidFill>
                <a:schemeClr val="accent2"/>
              </a:solidFill>
            </a:rPr>
            <a:t>$67.4 billion</a:t>
          </a:r>
          <a:br>
            <a:rPr lang="en-AU" sz="1200">
              <a:solidFill>
                <a:schemeClr val="accent2"/>
              </a:solidFill>
            </a:rPr>
          </a:br>
          <a:r>
            <a:rPr lang="en-AU" sz="1100">
              <a:solidFill>
                <a:schemeClr val="accent2"/>
              </a:solidFill>
            </a:rPr>
            <a:t>Property, plant &amp; equipment</a:t>
          </a:r>
          <a:br>
            <a:rPr lang="en-AU" sz="1200">
              <a:solidFill>
                <a:schemeClr val="accent2"/>
              </a:solidFill>
            </a:rPr>
          </a:br>
          <a:r>
            <a:rPr lang="en-AU" sz="1600">
              <a:solidFill>
                <a:schemeClr val="accent2"/>
              </a:solidFill>
            </a:rPr>
            <a:t>$32.2 billion</a:t>
          </a:r>
          <a:br>
            <a:rPr lang="en-AU" sz="1200">
              <a:solidFill>
                <a:schemeClr val="accent2"/>
              </a:solidFill>
            </a:rPr>
          </a:br>
          <a:r>
            <a:rPr lang="en-AU" sz="1100">
              <a:solidFill>
                <a:schemeClr val="accent2"/>
              </a:solidFill>
            </a:rPr>
            <a:t>Cash and investments</a:t>
          </a:r>
        </a:p>
      </dgm:t>
    </dgm:pt>
    <dgm:pt modelId="{CC5F7110-C8A8-4692-B522-B0B08CC1D27F}" type="parTrans" cxnId="{6A15011B-AFDC-41E8-A7C0-C8EF8237E970}">
      <dgm:prSet/>
      <dgm:spPr/>
      <dgm:t>
        <a:bodyPr/>
        <a:lstStyle/>
        <a:p>
          <a:endParaRPr lang="en-AU">
            <a:solidFill>
              <a:schemeClr val="tx1">
                <a:lumMod val="65000"/>
                <a:lumOff val="35000"/>
              </a:schemeClr>
            </a:solidFill>
          </a:endParaRPr>
        </a:p>
      </dgm:t>
    </dgm:pt>
    <dgm:pt modelId="{7313C021-4FF6-4DB8-A515-DD9318231676}" type="sibTrans" cxnId="{6A15011B-AFDC-41E8-A7C0-C8EF8237E970}">
      <dgm:prSet/>
      <dgm:spPr/>
      <dgm:t>
        <a:bodyPr/>
        <a:lstStyle/>
        <a:p>
          <a:endParaRPr lang="en-AU">
            <a:solidFill>
              <a:schemeClr val="tx1">
                <a:lumMod val="65000"/>
                <a:lumOff val="35000"/>
              </a:schemeClr>
            </a:solidFill>
          </a:endParaRPr>
        </a:p>
      </dgm:t>
    </dgm:pt>
    <dgm:pt modelId="{99E9DBE6-B5D3-4CAB-98C0-7A33F544352E}">
      <dgm:prSet custT="1"/>
      <dgm:spPr>
        <a:noFill/>
        <a:ln>
          <a:solidFill>
            <a:schemeClr val="accent1"/>
          </a:solidFill>
        </a:ln>
      </dgm:spPr>
      <dgm:t>
        <a:bodyPr/>
        <a:lstStyle/>
        <a:p>
          <a:pPr algn="l"/>
          <a:r>
            <a:rPr lang="en-AU" sz="1600">
              <a:solidFill>
                <a:schemeClr val="accent1"/>
              </a:solidFill>
            </a:rPr>
            <a:t>$22.1 billion</a:t>
          </a:r>
          <a:br>
            <a:rPr lang="en-AU" sz="1200">
              <a:solidFill>
                <a:schemeClr val="accent1"/>
              </a:solidFill>
            </a:rPr>
          </a:br>
          <a:r>
            <a:rPr lang="en-AU" sz="1100">
              <a:solidFill>
                <a:schemeClr val="accent1"/>
              </a:solidFill>
            </a:rPr>
            <a:t>Employee expenses</a:t>
          </a:r>
          <a:br>
            <a:rPr lang="en-AU" sz="1200">
              <a:solidFill>
                <a:schemeClr val="accent1"/>
              </a:solidFill>
            </a:rPr>
          </a:br>
          <a:r>
            <a:rPr lang="en-AU" sz="1600">
              <a:solidFill>
                <a:schemeClr val="accent1"/>
              </a:solidFill>
            </a:rPr>
            <a:t>$13.8 billion</a:t>
          </a:r>
          <a:br>
            <a:rPr lang="en-AU" sz="1200">
              <a:solidFill>
                <a:schemeClr val="accent1"/>
              </a:solidFill>
            </a:rPr>
          </a:br>
          <a:r>
            <a:rPr lang="en-AU" sz="1100">
              <a:solidFill>
                <a:schemeClr val="accent1"/>
              </a:solidFill>
            </a:rPr>
            <a:t>Other expenses</a:t>
          </a:r>
        </a:p>
      </dgm:t>
    </dgm:pt>
    <dgm:pt modelId="{4EAFD0A2-31FA-406F-913D-32A9B3D3C39D}" type="parTrans" cxnId="{5625AB23-5B85-453B-BBE9-E20BE10B5AC1}">
      <dgm:prSet/>
      <dgm:spPr/>
      <dgm:t>
        <a:bodyPr/>
        <a:lstStyle/>
        <a:p>
          <a:endParaRPr lang="en-AU">
            <a:solidFill>
              <a:schemeClr val="tx1">
                <a:lumMod val="65000"/>
                <a:lumOff val="35000"/>
              </a:schemeClr>
            </a:solidFill>
          </a:endParaRPr>
        </a:p>
      </dgm:t>
    </dgm:pt>
    <dgm:pt modelId="{0FB5F95B-A3C0-44DF-BE22-494ABD5EE182}" type="sibTrans" cxnId="{5625AB23-5B85-453B-BBE9-E20BE10B5AC1}">
      <dgm:prSet/>
      <dgm:spPr/>
      <dgm:t>
        <a:bodyPr/>
        <a:lstStyle/>
        <a:p>
          <a:endParaRPr lang="en-AU">
            <a:solidFill>
              <a:schemeClr val="tx1">
                <a:lumMod val="65000"/>
                <a:lumOff val="35000"/>
              </a:schemeClr>
            </a:solidFill>
          </a:endParaRPr>
        </a:p>
      </dgm:t>
    </dgm:pt>
    <dgm:pt modelId="{E3316A40-189F-459C-BA82-B600B47D513D}" type="pres">
      <dgm:prSet presAssocID="{39CCC1A0-C2B5-4CEC-90BA-E9ADB02DE362}" presName="linearFlow" presStyleCnt="0">
        <dgm:presLayoutVars>
          <dgm:dir/>
          <dgm:resizeHandles val="exact"/>
        </dgm:presLayoutVars>
      </dgm:prSet>
      <dgm:spPr/>
    </dgm:pt>
    <dgm:pt modelId="{21457D07-D67E-408E-90FE-4F161ABFB68E}" type="pres">
      <dgm:prSet presAssocID="{3158C290-4839-4A5C-801A-0230AF63DDE1}" presName="comp" presStyleCnt="0"/>
      <dgm:spPr/>
    </dgm:pt>
    <dgm:pt modelId="{6B74ECE0-51BA-4B7B-9570-0B85AF92BF90}" type="pres">
      <dgm:prSet presAssocID="{3158C290-4839-4A5C-801A-0230AF63DDE1}" presName="rect2" presStyleLbl="node1" presStyleIdx="0" presStyleCnt="4">
        <dgm:presLayoutVars>
          <dgm:bulletEnabled val="1"/>
        </dgm:presLayoutVars>
      </dgm:prSet>
      <dgm:spPr>
        <a:prstGeom prst="roundRect">
          <a:avLst/>
        </a:prstGeom>
      </dgm:spPr>
    </dgm:pt>
    <dgm:pt modelId="{03B4E600-9965-46C5-BEEA-06ADC2BF05F0}" type="pres">
      <dgm:prSet presAssocID="{3158C290-4839-4A5C-801A-0230AF63DDE1}" presName="rect1" presStyleLbl="lnNode1" presStyleIdx="0" presStyleCnt="4"/>
      <dgm:spPr>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Scales of justice with solid fill"/>
        </a:ext>
      </dgm:extLst>
    </dgm:pt>
    <dgm:pt modelId="{DFCED005-3569-497E-82C8-C942A41E95FE}" type="pres">
      <dgm:prSet presAssocID="{C18AD1AA-FC38-4DF7-9CE6-FF423B177CAE}" presName="sibTrans" presStyleCnt="0"/>
      <dgm:spPr/>
    </dgm:pt>
    <dgm:pt modelId="{9707CBD3-F906-4726-B375-3CE41A7B0A73}" type="pres">
      <dgm:prSet presAssocID="{7F4EEDBD-F6FD-4BFE-8A83-91C638715217}" presName="comp" presStyleCnt="0"/>
      <dgm:spPr/>
    </dgm:pt>
    <dgm:pt modelId="{000FA74A-F1EA-49F3-9CBB-EC09E376466C}" type="pres">
      <dgm:prSet presAssocID="{7F4EEDBD-F6FD-4BFE-8A83-91C638715217}" presName="rect2" presStyleLbl="node1" presStyleIdx="1" presStyleCnt="4">
        <dgm:presLayoutVars>
          <dgm:bulletEnabled val="1"/>
        </dgm:presLayoutVars>
      </dgm:prSet>
      <dgm:spPr>
        <a:prstGeom prst="roundRect">
          <a:avLst/>
        </a:prstGeom>
      </dgm:spPr>
    </dgm:pt>
    <dgm:pt modelId="{C0C802BF-509D-4CA2-B9DE-7925ADADF30E}" type="pres">
      <dgm:prSet presAssocID="{7F4EEDBD-F6FD-4BFE-8A83-91C638715217}" presName="rect1" presStyleLbl="lnNode1" presStyleIdx="1" presStyleCnt="4"/>
      <dgm:spPr>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dgm:spPr>
      <dgm:extLst>
        <a:ext uri="{E40237B7-FDA0-4F09-8148-C483321AD2D9}">
          <dgm14:cNvPr xmlns:dgm14="http://schemas.microsoft.com/office/drawing/2010/diagram" id="0" name="" descr="Earth Globe - Asia with solid fill"/>
        </a:ext>
      </dgm:extLst>
    </dgm:pt>
    <dgm:pt modelId="{6A8E77EB-1DA1-4DCC-B51C-ED19F6A28B40}" type="pres">
      <dgm:prSet presAssocID="{DB85D359-AE4B-4DAC-9C29-43F1E54AF92D}" presName="sibTrans" presStyleCnt="0"/>
      <dgm:spPr/>
    </dgm:pt>
    <dgm:pt modelId="{C5529014-1485-4EED-ADB0-6D8A76C8FE8B}" type="pres">
      <dgm:prSet presAssocID="{99E9DBE6-B5D3-4CAB-98C0-7A33F544352E}" presName="comp" presStyleCnt="0"/>
      <dgm:spPr/>
    </dgm:pt>
    <dgm:pt modelId="{FF4E7CA7-6937-487F-85E9-E871AAFCF7C9}" type="pres">
      <dgm:prSet presAssocID="{99E9DBE6-B5D3-4CAB-98C0-7A33F544352E}" presName="rect2" presStyleLbl="node1" presStyleIdx="2" presStyleCnt="4">
        <dgm:presLayoutVars>
          <dgm:bulletEnabled val="1"/>
        </dgm:presLayoutVars>
      </dgm:prSet>
      <dgm:spPr>
        <a:prstGeom prst="roundRect">
          <a:avLst/>
        </a:prstGeom>
      </dgm:spPr>
    </dgm:pt>
    <dgm:pt modelId="{34A54D22-98A8-4558-87B7-8724FDB705C2}" type="pres">
      <dgm:prSet presAssocID="{99E9DBE6-B5D3-4CAB-98C0-7A33F544352E}" presName="rect1" presStyleLbl="lnNode1" presStyleIdx="2" presStyleCnt="4"/>
      <dgm:spPr>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dgm:spPr>
      <dgm:extLst>
        <a:ext uri="{E40237B7-FDA0-4F09-8148-C483321AD2D9}">
          <dgm14:cNvPr xmlns:dgm14="http://schemas.microsoft.com/office/drawing/2010/diagram" id="0" name="" descr="Users with solid fill"/>
        </a:ext>
      </dgm:extLst>
    </dgm:pt>
    <dgm:pt modelId="{3B1746CC-566B-4D0C-AE42-5C35B88C1149}" type="pres">
      <dgm:prSet presAssocID="{0FB5F95B-A3C0-44DF-BE22-494ABD5EE182}" presName="sibTrans" presStyleCnt="0"/>
      <dgm:spPr/>
    </dgm:pt>
    <dgm:pt modelId="{E1BE5DB3-E825-425C-87FF-5DEB5824DAE5}" type="pres">
      <dgm:prSet presAssocID="{132924D1-D18C-4AD4-BDEE-EC07AD951B05}" presName="comp" presStyleCnt="0"/>
      <dgm:spPr/>
    </dgm:pt>
    <dgm:pt modelId="{007B9203-7740-4C9A-B4C8-7B58C0774011}" type="pres">
      <dgm:prSet presAssocID="{132924D1-D18C-4AD4-BDEE-EC07AD951B05}" presName="rect2" presStyleLbl="node1" presStyleIdx="3" presStyleCnt="4">
        <dgm:presLayoutVars>
          <dgm:bulletEnabled val="1"/>
        </dgm:presLayoutVars>
      </dgm:prSet>
      <dgm:spPr>
        <a:prstGeom prst="roundRect">
          <a:avLst/>
        </a:prstGeom>
      </dgm:spPr>
    </dgm:pt>
    <dgm:pt modelId="{864F8582-8178-4BA6-BCAE-B56F6C9FB53D}" type="pres">
      <dgm:prSet presAssocID="{132924D1-D18C-4AD4-BDEE-EC07AD951B05}" presName="rect1" presStyleLbl="lnNode1" presStyleIdx="3" presStyleCnt="4"/>
      <dgm:spPr>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dgm:spPr>
      <dgm:extLst>
        <a:ext uri="{E40237B7-FDA0-4F09-8148-C483321AD2D9}">
          <dgm14:cNvPr xmlns:dgm14="http://schemas.microsoft.com/office/drawing/2010/diagram" id="0" name="" descr="Coins with solid fill"/>
        </a:ext>
      </dgm:extLst>
    </dgm:pt>
  </dgm:ptLst>
  <dgm:cxnLst>
    <dgm:cxn modelId="{6A15011B-AFDC-41E8-A7C0-C8EF8237E970}" srcId="{39CCC1A0-C2B5-4CEC-90BA-E9ADB02DE362}" destId="{132924D1-D18C-4AD4-BDEE-EC07AD951B05}" srcOrd="3" destOrd="0" parTransId="{CC5F7110-C8A8-4692-B522-B0B08CC1D27F}" sibTransId="{7313C021-4FF6-4DB8-A515-DD9318231676}"/>
    <dgm:cxn modelId="{433CAF1D-6D8A-457E-B614-D6109DFE90B1}" type="presOf" srcId="{39CCC1A0-C2B5-4CEC-90BA-E9ADB02DE362}" destId="{E3316A40-189F-459C-BA82-B600B47D513D}" srcOrd="0" destOrd="0" presId="urn:microsoft.com/office/officeart/2008/layout/AlternatingPictureBlocks"/>
    <dgm:cxn modelId="{5625AB23-5B85-453B-BBE9-E20BE10B5AC1}" srcId="{39CCC1A0-C2B5-4CEC-90BA-E9ADB02DE362}" destId="{99E9DBE6-B5D3-4CAB-98C0-7A33F544352E}" srcOrd="2" destOrd="0" parTransId="{4EAFD0A2-31FA-406F-913D-32A9B3D3C39D}" sibTransId="{0FB5F95B-A3C0-44DF-BE22-494ABD5EE182}"/>
    <dgm:cxn modelId="{87C8233A-07E9-450E-A3E8-C3A4BBC600C7}" srcId="{39CCC1A0-C2B5-4CEC-90BA-E9ADB02DE362}" destId="{3158C290-4839-4A5C-801A-0230AF63DDE1}" srcOrd="0" destOrd="0" parTransId="{BD2E61D2-6D45-4273-8A8C-643EDF4AE1C4}" sibTransId="{C18AD1AA-FC38-4DF7-9CE6-FF423B177CAE}"/>
    <dgm:cxn modelId="{32761244-3EEE-4F2C-BF8C-21C911AA7FCA}" srcId="{39CCC1A0-C2B5-4CEC-90BA-E9ADB02DE362}" destId="{7F4EEDBD-F6FD-4BFE-8A83-91C638715217}" srcOrd="1" destOrd="0" parTransId="{45F87DDC-82B3-43A9-BFC2-48C979CD9553}" sibTransId="{DB85D359-AE4B-4DAC-9C29-43F1E54AF92D}"/>
    <dgm:cxn modelId="{6E7B2753-F3D3-42B1-A449-DA4FFA2ED0AB}" type="presOf" srcId="{3158C290-4839-4A5C-801A-0230AF63DDE1}" destId="{6B74ECE0-51BA-4B7B-9570-0B85AF92BF90}" srcOrd="0" destOrd="0" presId="urn:microsoft.com/office/officeart/2008/layout/AlternatingPictureBlocks"/>
    <dgm:cxn modelId="{0C01ACB4-3FED-4AFF-BB7D-A7DE61F80814}" type="presOf" srcId="{99E9DBE6-B5D3-4CAB-98C0-7A33F544352E}" destId="{FF4E7CA7-6937-487F-85E9-E871AAFCF7C9}" srcOrd="0" destOrd="0" presId="urn:microsoft.com/office/officeart/2008/layout/AlternatingPictureBlocks"/>
    <dgm:cxn modelId="{7E4C3BC8-1764-4077-B7AC-AD9AB7C2EAE4}" type="presOf" srcId="{7F4EEDBD-F6FD-4BFE-8A83-91C638715217}" destId="{000FA74A-F1EA-49F3-9CBB-EC09E376466C}" srcOrd="0" destOrd="0" presId="urn:microsoft.com/office/officeart/2008/layout/AlternatingPictureBlocks"/>
    <dgm:cxn modelId="{C2E793F7-8B75-487F-8191-D638567B9A2B}" type="presOf" srcId="{132924D1-D18C-4AD4-BDEE-EC07AD951B05}" destId="{007B9203-7740-4C9A-B4C8-7B58C0774011}" srcOrd="0" destOrd="0" presId="urn:microsoft.com/office/officeart/2008/layout/AlternatingPictureBlocks"/>
    <dgm:cxn modelId="{D2398964-0259-4A3A-ADE8-4726D9B856F4}" type="presParOf" srcId="{E3316A40-189F-459C-BA82-B600B47D513D}" destId="{21457D07-D67E-408E-90FE-4F161ABFB68E}" srcOrd="0" destOrd="0" presId="urn:microsoft.com/office/officeart/2008/layout/AlternatingPictureBlocks"/>
    <dgm:cxn modelId="{E7F9282D-4CBB-4A2D-ACEB-82FE5537B3DF}" type="presParOf" srcId="{21457D07-D67E-408E-90FE-4F161ABFB68E}" destId="{6B74ECE0-51BA-4B7B-9570-0B85AF92BF90}" srcOrd="0" destOrd="0" presId="urn:microsoft.com/office/officeart/2008/layout/AlternatingPictureBlocks"/>
    <dgm:cxn modelId="{E9B7F360-DC89-4F57-B861-FB8BDF7C6373}" type="presParOf" srcId="{21457D07-D67E-408E-90FE-4F161ABFB68E}" destId="{03B4E600-9965-46C5-BEEA-06ADC2BF05F0}" srcOrd="1" destOrd="0" presId="urn:microsoft.com/office/officeart/2008/layout/AlternatingPictureBlocks"/>
    <dgm:cxn modelId="{EFB82870-2E88-421F-9102-D0049118286B}" type="presParOf" srcId="{E3316A40-189F-459C-BA82-B600B47D513D}" destId="{DFCED005-3569-497E-82C8-C942A41E95FE}" srcOrd="1" destOrd="0" presId="urn:microsoft.com/office/officeart/2008/layout/AlternatingPictureBlocks"/>
    <dgm:cxn modelId="{50ACFE1A-FA00-474B-AF50-6688D3732859}" type="presParOf" srcId="{E3316A40-189F-459C-BA82-B600B47D513D}" destId="{9707CBD3-F906-4726-B375-3CE41A7B0A73}" srcOrd="2" destOrd="0" presId="urn:microsoft.com/office/officeart/2008/layout/AlternatingPictureBlocks"/>
    <dgm:cxn modelId="{593D0C62-4F64-45B8-9BE8-8742BB0AB9D3}" type="presParOf" srcId="{9707CBD3-F906-4726-B375-3CE41A7B0A73}" destId="{000FA74A-F1EA-49F3-9CBB-EC09E376466C}" srcOrd="0" destOrd="0" presId="urn:microsoft.com/office/officeart/2008/layout/AlternatingPictureBlocks"/>
    <dgm:cxn modelId="{6FE76882-B833-4796-B8C0-116CDF54120A}" type="presParOf" srcId="{9707CBD3-F906-4726-B375-3CE41A7B0A73}" destId="{C0C802BF-509D-4CA2-B9DE-7925ADADF30E}" srcOrd="1" destOrd="0" presId="urn:microsoft.com/office/officeart/2008/layout/AlternatingPictureBlocks"/>
    <dgm:cxn modelId="{9681E59D-3E18-43A6-9E45-6FA0C6895D94}" type="presParOf" srcId="{E3316A40-189F-459C-BA82-B600B47D513D}" destId="{6A8E77EB-1DA1-4DCC-B51C-ED19F6A28B40}" srcOrd="3" destOrd="0" presId="urn:microsoft.com/office/officeart/2008/layout/AlternatingPictureBlocks"/>
    <dgm:cxn modelId="{8ADCC391-3354-41A7-98BD-E36460F33904}" type="presParOf" srcId="{E3316A40-189F-459C-BA82-B600B47D513D}" destId="{C5529014-1485-4EED-ADB0-6D8A76C8FE8B}" srcOrd="4" destOrd="0" presId="urn:microsoft.com/office/officeart/2008/layout/AlternatingPictureBlocks"/>
    <dgm:cxn modelId="{F255CDE6-3C54-4733-8CEC-3A97DFB9846C}" type="presParOf" srcId="{C5529014-1485-4EED-ADB0-6D8A76C8FE8B}" destId="{FF4E7CA7-6937-487F-85E9-E871AAFCF7C9}" srcOrd="0" destOrd="0" presId="urn:microsoft.com/office/officeart/2008/layout/AlternatingPictureBlocks"/>
    <dgm:cxn modelId="{6463656B-BF10-4EF3-ADA0-7C59ADCAF441}" type="presParOf" srcId="{C5529014-1485-4EED-ADB0-6D8A76C8FE8B}" destId="{34A54D22-98A8-4558-87B7-8724FDB705C2}" srcOrd="1" destOrd="0" presId="urn:microsoft.com/office/officeart/2008/layout/AlternatingPictureBlocks"/>
    <dgm:cxn modelId="{8CA9124E-AF6D-46D4-A9E8-B3FB6509E4E6}" type="presParOf" srcId="{E3316A40-189F-459C-BA82-B600B47D513D}" destId="{3B1746CC-566B-4D0C-AE42-5C35B88C1149}" srcOrd="5" destOrd="0" presId="urn:microsoft.com/office/officeart/2008/layout/AlternatingPictureBlocks"/>
    <dgm:cxn modelId="{658B9928-130A-401E-B362-27755A0413BC}" type="presParOf" srcId="{E3316A40-189F-459C-BA82-B600B47D513D}" destId="{E1BE5DB3-E825-425C-87FF-5DEB5824DAE5}" srcOrd="6" destOrd="0" presId="urn:microsoft.com/office/officeart/2008/layout/AlternatingPictureBlocks"/>
    <dgm:cxn modelId="{3300F274-AF42-47AA-8123-AB734F98A729}" type="presParOf" srcId="{E1BE5DB3-E825-425C-87FF-5DEB5824DAE5}" destId="{007B9203-7740-4C9A-B4C8-7B58C0774011}" srcOrd="0" destOrd="0" presId="urn:microsoft.com/office/officeart/2008/layout/AlternatingPictureBlocks"/>
    <dgm:cxn modelId="{DF5A384F-6A75-4933-A327-5DE63EB1CD4E}" type="presParOf" srcId="{E1BE5DB3-E825-425C-87FF-5DEB5824DAE5}" destId="{864F8582-8178-4BA6-BCAE-B56F6C9FB53D}" srcOrd="1" destOrd="0" presId="urn:microsoft.com/office/officeart/2008/layout/AlternatingPictureBlocks"/>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2BC0B-7B4C-4220-B745-DBB2B017AA67}">
      <dsp:nvSpPr>
        <dsp:cNvPr id="0" name=""/>
        <dsp:cNvSpPr/>
      </dsp:nvSpPr>
      <dsp:spPr>
        <a:xfrm>
          <a:off x="950400" y="54545"/>
          <a:ext cx="1929600" cy="872727"/>
        </a:xfrm>
        <a:prstGeom prst="rect">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$122.1 million net surplus</a:t>
          </a:r>
        </a:p>
      </dsp:txBody>
      <dsp:txXfrm>
        <a:off x="950400" y="54545"/>
        <a:ext cx="1929600" cy="872727"/>
      </dsp:txXfrm>
    </dsp:sp>
    <dsp:sp modelId="{5895A235-C188-41BB-8353-BF6AF00AA50E}">
      <dsp:nvSpPr>
        <dsp:cNvPr id="0" name=""/>
        <dsp:cNvSpPr/>
      </dsp:nvSpPr>
      <dsp:spPr>
        <a:xfrm>
          <a:off x="0" y="54545"/>
          <a:ext cx="864000" cy="872727"/>
        </a:xfrm>
        <a:prstGeom prst="rect">
          <a:avLst/>
        </a:prstGeom>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68157C-CEC5-4BF9-AC0F-8412E9F2AB30}">
      <dsp:nvSpPr>
        <dsp:cNvPr id="0" name=""/>
        <dsp:cNvSpPr/>
      </dsp:nvSpPr>
      <dsp:spPr>
        <a:xfrm>
          <a:off x="0" y="1071272"/>
          <a:ext cx="1929600" cy="872727"/>
        </a:xfrm>
        <a:prstGeom prst="rect">
          <a:avLst/>
        </a:prstGeom>
        <a:solidFill>
          <a:schemeClr val="tx2">
            <a:lumMod val="90000"/>
            <a:lum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$40.0 billion total revenue</a:t>
          </a:r>
        </a:p>
      </dsp:txBody>
      <dsp:txXfrm>
        <a:off x="0" y="1071272"/>
        <a:ext cx="1929600" cy="872727"/>
      </dsp:txXfrm>
    </dsp:sp>
    <dsp:sp modelId="{4D0C5CFD-76E7-44E7-8D1F-98A6DA3117BB}">
      <dsp:nvSpPr>
        <dsp:cNvPr id="0" name=""/>
        <dsp:cNvSpPr/>
      </dsp:nvSpPr>
      <dsp:spPr>
        <a:xfrm>
          <a:off x="2016000" y="1071272"/>
          <a:ext cx="864000" cy="872727"/>
        </a:xfrm>
        <a:prstGeom prst="rect">
          <a:avLst/>
        </a:prstGeom>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A0EBA58A-3F28-4C07-A189-58F6E6A23CE7}">
      <dsp:nvSpPr>
        <dsp:cNvPr id="0" name=""/>
        <dsp:cNvSpPr/>
      </dsp:nvSpPr>
      <dsp:spPr>
        <a:xfrm>
          <a:off x="950400" y="2088000"/>
          <a:ext cx="1929600" cy="872727"/>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$39.9 billion total expenses</a:t>
          </a:r>
        </a:p>
      </dsp:txBody>
      <dsp:txXfrm>
        <a:off x="950400" y="2088000"/>
        <a:ext cx="1929600" cy="872727"/>
      </dsp:txXfrm>
    </dsp:sp>
    <dsp:sp modelId="{D619A4DB-CF14-448E-AFC3-37DAADF85873}">
      <dsp:nvSpPr>
        <dsp:cNvPr id="0" name=""/>
        <dsp:cNvSpPr/>
      </dsp:nvSpPr>
      <dsp:spPr>
        <a:xfrm>
          <a:off x="0" y="2088000"/>
          <a:ext cx="864000" cy="872727"/>
        </a:xfrm>
        <a:prstGeom prst="rect">
          <a:avLst/>
        </a:prstGeom>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D256BF-B2C7-4210-BA38-7EB071DF1DDE}">
      <dsp:nvSpPr>
        <dsp:cNvPr id="0" name=""/>
        <dsp:cNvSpPr/>
      </dsp:nvSpPr>
      <dsp:spPr>
        <a:xfrm>
          <a:off x="0" y="3104727"/>
          <a:ext cx="1929600" cy="87272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$74.2 billion net assets</a:t>
          </a:r>
        </a:p>
      </dsp:txBody>
      <dsp:txXfrm>
        <a:off x="0" y="3104727"/>
        <a:ext cx="1929600" cy="872727"/>
      </dsp:txXfrm>
    </dsp:sp>
    <dsp:sp modelId="{7D1F7FE7-C853-41D1-B76F-BA1AD7138598}">
      <dsp:nvSpPr>
        <dsp:cNvPr id="0" name=""/>
        <dsp:cNvSpPr/>
      </dsp:nvSpPr>
      <dsp:spPr>
        <a:xfrm>
          <a:off x="2016000" y="3104727"/>
          <a:ext cx="864000" cy="872727"/>
        </a:xfrm>
        <a:prstGeom prst="rect">
          <a:avLst/>
        </a:prstGeom>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74ECE0-51BA-4B7B-9570-0B85AF92BF90}">
      <dsp:nvSpPr>
        <dsp:cNvPr id="0" name=""/>
        <dsp:cNvSpPr/>
      </dsp:nvSpPr>
      <dsp:spPr>
        <a:xfrm>
          <a:off x="950878" y="56460"/>
          <a:ext cx="1927715" cy="871874"/>
        </a:xfrm>
        <a:prstGeom prst="roundRect">
          <a:avLst/>
        </a:prstGeom>
        <a:noFill/>
        <a:ln w="12700" cap="flat" cmpd="sng" algn="ctr">
          <a:solidFill>
            <a:schemeClr val="tx1">
              <a:lumMod val="65000"/>
              <a:lumOff val="3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AU" sz="1800" kern="1200">
              <a:solidFill>
                <a:schemeClr val="tx1">
                  <a:lumMod val="65000"/>
                  <a:lumOff val="35000"/>
                </a:schemeClr>
              </a:solidFill>
            </a:rPr>
            <a:t>16</a:t>
          </a:r>
          <a:r>
            <a:rPr lang="en-AU" sz="1100" kern="1200">
              <a:solidFill>
                <a:schemeClr val="tx1">
                  <a:lumMod val="65000"/>
                  <a:lumOff val="35000"/>
                </a:schemeClr>
              </a:solidFill>
            </a:rPr>
            <a:t> universities in surplus </a:t>
          </a:r>
          <a:br>
            <a:rPr lang="en-AU" sz="1100" kern="1200">
              <a:solidFill>
                <a:schemeClr val="tx1">
                  <a:lumMod val="65000"/>
                  <a:lumOff val="35000"/>
                </a:schemeClr>
              </a:solidFill>
            </a:rPr>
          </a:br>
          <a:r>
            <a:rPr lang="en-AU" sz="1800" kern="1200">
              <a:solidFill>
                <a:schemeClr val="tx1">
                  <a:lumMod val="65000"/>
                  <a:lumOff val="35000"/>
                </a:schemeClr>
              </a:solidFill>
            </a:rPr>
            <a:t>27 </a:t>
          </a:r>
          <a:r>
            <a:rPr lang="en-AU" sz="1100" kern="1200">
              <a:solidFill>
                <a:schemeClr val="tx1">
                  <a:lumMod val="65000"/>
                  <a:lumOff val="35000"/>
                </a:schemeClr>
              </a:solidFill>
            </a:rPr>
            <a:t>universities in deficit</a:t>
          </a:r>
        </a:p>
      </dsp:txBody>
      <dsp:txXfrm>
        <a:off x="993439" y="99021"/>
        <a:ext cx="1842593" cy="786752"/>
      </dsp:txXfrm>
    </dsp:sp>
    <dsp:sp modelId="{03B4E600-9965-46C5-BEEA-06ADC2BF05F0}">
      <dsp:nvSpPr>
        <dsp:cNvPr id="0" name=""/>
        <dsp:cNvSpPr/>
      </dsp:nvSpPr>
      <dsp:spPr>
        <a:xfrm>
          <a:off x="1406" y="56460"/>
          <a:ext cx="863156" cy="871874"/>
        </a:xfrm>
        <a:prstGeom prst="rect">
          <a:avLst/>
        </a:prstGeom>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0FA74A-F1EA-49F3-9CBB-EC09E376466C}">
      <dsp:nvSpPr>
        <dsp:cNvPr id="0" name=""/>
        <dsp:cNvSpPr/>
      </dsp:nvSpPr>
      <dsp:spPr>
        <a:xfrm>
          <a:off x="1406" y="1072195"/>
          <a:ext cx="1927715" cy="871874"/>
        </a:xfrm>
        <a:prstGeom prst="roundRect">
          <a:avLst/>
        </a:prstGeom>
        <a:noFill/>
        <a:ln w="12700" cap="flat" cmpd="sng" algn="ctr">
          <a:solidFill>
            <a:schemeClr val="tx2">
              <a:lumMod val="90000"/>
              <a:lumOff val="1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tx2">
                  <a:lumMod val="90000"/>
                  <a:lumOff val="10000"/>
                </a:schemeClr>
              </a:solidFill>
            </a:rPr>
            <a:t>$19.5 billion</a:t>
          </a:r>
          <a:br>
            <a:rPr lang="en-AU" sz="1100" kern="1200">
              <a:solidFill>
                <a:schemeClr val="tx2">
                  <a:lumMod val="90000"/>
                  <a:lumOff val="10000"/>
                </a:schemeClr>
              </a:solidFill>
            </a:rPr>
          </a:br>
          <a:r>
            <a:rPr lang="en-AU" sz="1100" kern="1200">
              <a:solidFill>
                <a:schemeClr val="tx2">
                  <a:lumMod val="90000"/>
                  <a:lumOff val="10000"/>
                </a:schemeClr>
              </a:solidFill>
            </a:rPr>
            <a:t>Australian Govt funding</a:t>
          </a:r>
          <a:br>
            <a:rPr lang="en-AU" sz="1100" kern="1200">
              <a:solidFill>
                <a:schemeClr val="tx2">
                  <a:lumMod val="90000"/>
                  <a:lumOff val="10000"/>
                </a:schemeClr>
              </a:solidFill>
            </a:rPr>
          </a:br>
          <a:r>
            <a:rPr lang="en-AU" sz="1600" kern="1200">
              <a:solidFill>
                <a:schemeClr val="tx2">
                  <a:lumMod val="90000"/>
                  <a:lumOff val="10000"/>
                </a:schemeClr>
              </a:solidFill>
            </a:rPr>
            <a:t>$10.2 billion</a:t>
          </a:r>
          <a:br>
            <a:rPr lang="en-AU" sz="1100" kern="1200">
              <a:solidFill>
                <a:schemeClr val="tx2">
                  <a:lumMod val="90000"/>
                  <a:lumOff val="10000"/>
                </a:schemeClr>
              </a:solidFill>
            </a:rPr>
          </a:br>
          <a:r>
            <a:rPr lang="en-AU" sz="1100" kern="1200">
              <a:solidFill>
                <a:schemeClr val="tx2">
                  <a:lumMod val="90000"/>
                  <a:lumOff val="10000"/>
                </a:schemeClr>
              </a:solidFill>
            </a:rPr>
            <a:t>International student fees</a:t>
          </a:r>
        </a:p>
      </dsp:txBody>
      <dsp:txXfrm>
        <a:off x="43967" y="1114756"/>
        <a:ext cx="1842593" cy="786752"/>
      </dsp:txXfrm>
    </dsp:sp>
    <dsp:sp modelId="{C0C802BF-509D-4CA2-B9DE-7925ADADF30E}">
      <dsp:nvSpPr>
        <dsp:cNvPr id="0" name=""/>
        <dsp:cNvSpPr/>
      </dsp:nvSpPr>
      <dsp:spPr>
        <a:xfrm>
          <a:off x="2015437" y="1072195"/>
          <a:ext cx="863156" cy="871874"/>
        </a:xfrm>
        <a:prstGeom prst="rect">
          <a:avLst/>
        </a:prstGeom>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4E7CA7-6937-487F-85E9-E871AAFCF7C9}">
      <dsp:nvSpPr>
        <dsp:cNvPr id="0" name=""/>
        <dsp:cNvSpPr/>
      </dsp:nvSpPr>
      <dsp:spPr>
        <a:xfrm>
          <a:off x="950878" y="2087929"/>
          <a:ext cx="1927715" cy="871874"/>
        </a:xfrm>
        <a:prstGeom prst="roundRect">
          <a:avLst/>
        </a:prstGeom>
        <a:no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accent1"/>
              </a:solidFill>
            </a:rPr>
            <a:t>$22.1 billion</a:t>
          </a:r>
          <a:br>
            <a:rPr lang="en-AU" sz="1200" kern="1200">
              <a:solidFill>
                <a:schemeClr val="accent1"/>
              </a:solidFill>
            </a:rPr>
          </a:br>
          <a:r>
            <a:rPr lang="en-AU" sz="1100" kern="1200">
              <a:solidFill>
                <a:schemeClr val="accent1"/>
              </a:solidFill>
            </a:rPr>
            <a:t>Employee expenses</a:t>
          </a:r>
          <a:br>
            <a:rPr lang="en-AU" sz="1200" kern="1200">
              <a:solidFill>
                <a:schemeClr val="accent1"/>
              </a:solidFill>
            </a:rPr>
          </a:br>
          <a:r>
            <a:rPr lang="en-AU" sz="1600" kern="1200">
              <a:solidFill>
                <a:schemeClr val="accent1"/>
              </a:solidFill>
            </a:rPr>
            <a:t>$13.8 billion</a:t>
          </a:r>
          <a:br>
            <a:rPr lang="en-AU" sz="1200" kern="1200">
              <a:solidFill>
                <a:schemeClr val="accent1"/>
              </a:solidFill>
            </a:rPr>
          </a:br>
          <a:r>
            <a:rPr lang="en-AU" sz="1100" kern="1200">
              <a:solidFill>
                <a:schemeClr val="accent1"/>
              </a:solidFill>
            </a:rPr>
            <a:t>Other expenses</a:t>
          </a:r>
        </a:p>
      </dsp:txBody>
      <dsp:txXfrm>
        <a:off x="993439" y="2130490"/>
        <a:ext cx="1842593" cy="786752"/>
      </dsp:txXfrm>
    </dsp:sp>
    <dsp:sp modelId="{34A54D22-98A8-4558-87B7-8724FDB705C2}">
      <dsp:nvSpPr>
        <dsp:cNvPr id="0" name=""/>
        <dsp:cNvSpPr/>
      </dsp:nvSpPr>
      <dsp:spPr>
        <a:xfrm>
          <a:off x="1406" y="2087929"/>
          <a:ext cx="863156" cy="871874"/>
        </a:xfrm>
        <a:prstGeom prst="rect">
          <a:avLst/>
        </a:prstGeom>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7B9203-7740-4C9A-B4C8-7B58C0774011}">
      <dsp:nvSpPr>
        <dsp:cNvPr id="0" name=""/>
        <dsp:cNvSpPr/>
      </dsp:nvSpPr>
      <dsp:spPr>
        <a:xfrm>
          <a:off x="1406" y="3103664"/>
          <a:ext cx="1927715" cy="871874"/>
        </a:xfrm>
        <a:prstGeom prst="roundRect">
          <a:avLst/>
        </a:prstGeom>
        <a:no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accent2"/>
              </a:solidFill>
            </a:rPr>
            <a:t>$67.4 billion</a:t>
          </a:r>
          <a:br>
            <a:rPr lang="en-AU" sz="1200" kern="1200">
              <a:solidFill>
                <a:schemeClr val="accent2"/>
              </a:solidFill>
            </a:rPr>
          </a:br>
          <a:r>
            <a:rPr lang="en-AU" sz="1100" kern="1200">
              <a:solidFill>
                <a:schemeClr val="accent2"/>
              </a:solidFill>
            </a:rPr>
            <a:t>Property, plant &amp; equipment</a:t>
          </a:r>
          <a:br>
            <a:rPr lang="en-AU" sz="1200" kern="1200">
              <a:solidFill>
                <a:schemeClr val="accent2"/>
              </a:solidFill>
            </a:rPr>
          </a:br>
          <a:r>
            <a:rPr lang="en-AU" sz="1600" kern="1200">
              <a:solidFill>
                <a:schemeClr val="accent2"/>
              </a:solidFill>
            </a:rPr>
            <a:t>$32.2 billion</a:t>
          </a:r>
          <a:br>
            <a:rPr lang="en-AU" sz="1200" kern="1200">
              <a:solidFill>
                <a:schemeClr val="accent2"/>
              </a:solidFill>
            </a:rPr>
          </a:br>
          <a:r>
            <a:rPr lang="en-AU" sz="1100" kern="1200">
              <a:solidFill>
                <a:schemeClr val="accent2"/>
              </a:solidFill>
            </a:rPr>
            <a:t>Cash and investments</a:t>
          </a:r>
        </a:p>
      </dsp:txBody>
      <dsp:txXfrm>
        <a:off x="43967" y="3146225"/>
        <a:ext cx="1842593" cy="786752"/>
      </dsp:txXfrm>
    </dsp:sp>
    <dsp:sp modelId="{864F8582-8178-4BA6-BCAE-B56F6C9FB53D}">
      <dsp:nvSpPr>
        <dsp:cNvPr id="0" name=""/>
        <dsp:cNvSpPr/>
      </dsp:nvSpPr>
      <dsp:spPr>
        <a:xfrm>
          <a:off x="2015437" y="3103664"/>
          <a:ext cx="863156" cy="871874"/>
        </a:xfrm>
        <a:prstGeom prst="rect">
          <a:avLst/>
        </a:prstGeom>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52EB1"/>
    <w:rsid w:val="00065E5D"/>
    <w:rsid w:val="000863D8"/>
    <w:rsid w:val="000E679C"/>
    <w:rsid w:val="0014783E"/>
    <w:rsid w:val="00147A04"/>
    <w:rsid w:val="00183F9D"/>
    <w:rsid w:val="001946A6"/>
    <w:rsid w:val="001E0930"/>
    <w:rsid w:val="002002C5"/>
    <w:rsid w:val="00237B9B"/>
    <w:rsid w:val="002505F4"/>
    <w:rsid w:val="00267F15"/>
    <w:rsid w:val="002A70BB"/>
    <w:rsid w:val="002B3ACA"/>
    <w:rsid w:val="00375562"/>
    <w:rsid w:val="003A6400"/>
    <w:rsid w:val="003F4E01"/>
    <w:rsid w:val="004544B5"/>
    <w:rsid w:val="004755EE"/>
    <w:rsid w:val="00516046"/>
    <w:rsid w:val="00552C37"/>
    <w:rsid w:val="005949D0"/>
    <w:rsid w:val="005C7E45"/>
    <w:rsid w:val="005D5B73"/>
    <w:rsid w:val="005E6E82"/>
    <w:rsid w:val="005F4FED"/>
    <w:rsid w:val="00697F69"/>
    <w:rsid w:val="0073217F"/>
    <w:rsid w:val="00785B1E"/>
    <w:rsid w:val="00792E63"/>
    <w:rsid w:val="00806FE9"/>
    <w:rsid w:val="008303B5"/>
    <w:rsid w:val="008D41D6"/>
    <w:rsid w:val="008D57DE"/>
    <w:rsid w:val="0095361D"/>
    <w:rsid w:val="009648B3"/>
    <w:rsid w:val="00967785"/>
    <w:rsid w:val="0097172B"/>
    <w:rsid w:val="00986E05"/>
    <w:rsid w:val="00993D3F"/>
    <w:rsid w:val="00A06088"/>
    <w:rsid w:val="00A30AB1"/>
    <w:rsid w:val="00A940B3"/>
    <w:rsid w:val="00AB7A3C"/>
    <w:rsid w:val="00B97295"/>
    <w:rsid w:val="00C05155"/>
    <w:rsid w:val="00C14C0C"/>
    <w:rsid w:val="00C52A30"/>
    <w:rsid w:val="00C575F2"/>
    <w:rsid w:val="00C7386C"/>
    <w:rsid w:val="00CD785D"/>
    <w:rsid w:val="00D16352"/>
    <w:rsid w:val="00D20A98"/>
    <w:rsid w:val="00D44ED4"/>
    <w:rsid w:val="00D96233"/>
    <w:rsid w:val="00DC4522"/>
    <w:rsid w:val="00E02702"/>
    <w:rsid w:val="00E667B0"/>
    <w:rsid w:val="00E76F7C"/>
    <w:rsid w:val="00EA2461"/>
    <w:rsid w:val="00EF35C6"/>
    <w:rsid w:val="00EF7FAF"/>
    <w:rsid w:val="00F70404"/>
    <w:rsid w:val="00FA7EBC"/>
    <w:rsid w:val="00FB7532"/>
    <w:rsid w:val="00FE58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FC4F9FE-6AE1-4E6A-A4EC-736A1255C2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B7CB777F1186645BFD38492CB580026" ma:contentTypeVersion="" ma:contentTypeDescription="PDMS Document Site Content Type" ma:contentTypeScope="" ma:versionID="66b6494b0b76e879898c73372739c227">
  <xsd:schema xmlns:xsd="http://www.w3.org/2001/XMLSchema" xmlns:xs="http://www.w3.org/2001/XMLSchema" xmlns:p="http://schemas.microsoft.com/office/2006/metadata/properties" xmlns:ns2="DFC4F9FE-6AE1-4E6A-A4EC-736A1255C21A" targetNamespace="http://schemas.microsoft.com/office/2006/metadata/properties" ma:root="true" ma:fieldsID="183394c102b720cd246efe0e74aa49fd" ns2:_="">
    <xsd:import namespace="DFC4F9FE-6AE1-4E6A-A4EC-736A1255C21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4F9FE-6AE1-4E6A-A4EC-736A1255C21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0E31F-9071-41A2-AF7F-BBEDD4A33FFD}">
  <ds:schemaRefs>
    <ds:schemaRef ds:uri="http://schemas.microsoft.com/office/2006/documentManagement/types"/>
    <ds:schemaRef ds:uri="http://schemas.microsoft.com/office/infopath/2007/PartnerControls"/>
    <ds:schemaRef ds:uri="DFC4F9FE-6AE1-4E6A-A4EC-736A1255C21A"/>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7B40352-7E58-4193-BBD9-C63FE85E1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4F9FE-6AE1-4E6A-A4EC-736A1255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9165530-1BE2-43A5-A2FF-448637C1C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3340</Words>
  <Characters>19783</Characters>
  <Application>Microsoft Office Word</Application>
  <DocSecurity>0</DocSecurity>
  <Lines>1001</Lines>
  <Paragraphs>815</Paragraphs>
  <ScaleCrop>false</ScaleCrop>
  <HeadingPairs>
    <vt:vector size="2" baseType="variant">
      <vt:variant>
        <vt:lpstr>Title</vt:lpstr>
      </vt:variant>
      <vt:variant>
        <vt:i4>1</vt:i4>
      </vt:variant>
    </vt:vector>
  </HeadingPairs>
  <TitlesOfParts>
    <vt:vector size="1" baseType="lpstr">
      <vt:lpstr>Finance 2023: Financial Reports of Higher Education Providers</vt:lpstr>
    </vt:vector>
  </TitlesOfParts>
  <Company/>
  <LinksUpToDate>false</LinksUpToDate>
  <CharactersWithSpaces>22490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2023: Financial Reports of Higher Education Providers</dc:title>
  <dc:subject/>
  <dc:creator>HON,Phoebe</dc:creator>
  <cp:keywords>Report; template</cp:keywords>
  <dc:description/>
  <cp:lastModifiedBy>DOWNEY,Grace</cp:lastModifiedBy>
  <cp:revision>3</cp:revision>
  <cp:lastPrinted>2024-06-17T02:57:00Z</cp:lastPrinted>
  <dcterms:created xsi:type="dcterms:W3CDTF">2025-11-17T03:18:00Z</dcterms:created>
  <dcterms:modified xsi:type="dcterms:W3CDTF">2025-11-17T03:18:00Z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0x010100266966F133664895A6EE3632470D45F5007B7CB777F1186645BFD38492CB580026</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ies>
</file>