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footer14.xml" ContentType="application/vnd.openxmlformats-officedocument.wordprocessingml.foot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footer16.xml" ContentType="application/vnd.openxmlformats-officedocument.wordprocessingml.footer+xml"/>
  <Override PartName="/word/header27.xml" ContentType="application/vnd.openxmlformats-officedocument.wordprocessingml.header+xml"/>
  <Override PartName="/word/footer17.xml" ContentType="application/vnd.openxmlformats-officedocument.wordprocessingml.footer+xml"/>
  <Override PartName="/word/header28.xml" ContentType="application/vnd.openxmlformats-officedocument.wordprocessingml.header+xml"/>
  <Override PartName="/word/footer1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9.xml" ContentType="application/vnd.openxmlformats-officedocument.wordprocessingml.footer+xml"/>
  <Override PartName="/word/header31.xml" ContentType="application/vnd.openxmlformats-officedocument.wordprocessingml.header+xml"/>
  <Override PartName="/word/footer2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1.xml" ContentType="application/vnd.openxmlformats-officedocument.wordprocessingml.footer+xml"/>
  <Override PartName="/word/header3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97614" w14:textId="675FC348" w:rsidR="001E349B" w:rsidRDefault="00FB2C3E" w:rsidP="001E349B">
      <w:bookmarkStart w:id="0" w:name="Frontpage_Logo_Negativ"/>
      <w:r>
        <w:rPr>
          <w:noProof/>
          <w:lang w:eastAsia="en-AU"/>
        </w:rPr>
        <w:drawing>
          <wp:anchor distT="0" distB="0" distL="114300" distR="114300" simplePos="0" relativeHeight="251658259" behindDoc="0" locked="0" layoutInCell="1" allowOverlap="1" wp14:anchorId="4469A39C" wp14:editId="4B3FDB9A">
            <wp:simplePos x="0" y="0"/>
            <wp:positionH relativeFrom="page">
              <wp:posOffset>428625</wp:posOffset>
            </wp:positionH>
            <wp:positionV relativeFrom="page">
              <wp:posOffset>427990</wp:posOffset>
            </wp:positionV>
            <wp:extent cx="2084070" cy="914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anchor>
        </w:drawing>
      </w:r>
      <w:bookmarkStart w:id="1" w:name="_Ref152859121"/>
      <w:bookmarkEnd w:id="1"/>
      <w:r w:rsidR="00215C20">
        <w:rPr>
          <w:noProof/>
          <w:lang w:eastAsia="en-AU"/>
        </w:rPr>
        <w:drawing>
          <wp:anchor distT="0" distB="0" distL="0" distR="0" simplePos="0" relativeHeight="251658260" behindDoc="0" locked="0" layoutInCell="1" allowOverlap="1" wp14:anchorId="29897C20" wp14:editId="65F45FA0">
            <wp:simplePos x="0" y="0"/>
            <wp:positionH relativeFrom="margin">
              <wp:posOffset>-487680</wp:posOffset>
            </wp:positionH>
            <wp:positionV relativeFrom="page">
              <wp:posOffset>431165</wp:posOffset>
            </wp:positionV>
            <wp:extent cx="2086118" cy="914400"/>
            <wp:effectExtent l="0" t="0" r="0" b="0"/>
            <wp:wrapNone/>
            <wp:docPr id="1489793624" name="Picture 1489793624"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89793624" name="Picture 1489793624" hidden="1">
                      <a:extLst>
                        <a:ext uri="{C183D7F6-B498-43B3-948B-1728B52AA6E4}">
                          <adec:decorative xmlns:adec="http://schemas.microsoft.com/office/drawing/2017/decorative" val="1"/>
                        </a:ext>
                      </a:extLst>
                    </pic:cNvPr>
                    <pic:cNvPicPr/>
                  </pic:nvPicPr>
                  <pic:blipFill>
                    <a:blip r:embed="rId14"/>
                    <a:srcRect/>
                    <a:stretch/>
                  </pic:blipFill>
                  <pic:spPr>
                    <a:xfrm>
                      <a:off x="0" y="0"/>
                      <a:ext cx="2086118" cy="914400"/>
                    </a:xfrm>
                    <a:prstGeom prst="rect">
                      <a:avLst/>
                    </a:prstGeom>
                  </pic:spPr>
                </pic:pic>
              </a:graphicData>
            </a:graphic>
          </wp:anchor>
        </w:drawing>
      </w:r>
      <w:bookmarkEnd w:id="0"/>
    </w:p>
    <w:p w14:paraId="7453A62B" w14:textId="31E393EA" w:rsidR="001E349B" w:rsidRPr="004A7D78" w:rsidRDefault="001E349B" w:rsidP="001E349B">
      <w:r w:rsidRPr="004A7D78">
        <w:rPr>
          <w:noProof/>
          <w:lang w:eastAsia="en-AU"/>
        </w:rPr>
        <mc:AlternateContent>
          <mc:Choice Requires="wps">
            <w:drawing>
              <wp:anchor distT="0" distB="0" distL="114300" distR="114300" simplePos="0" relativeHeight="251658250" behindDoc="1" locked="1" layoutInCell="1" allowOverlap="1" wp14:anchorId="5F719C49" wp14:editId="1D329D24">
                <wp:simplePos x="0" y="0"/>
                <wp:positionH relativeFrom="page">
                  <wp:align>left</wp:align>
                </wp:positionH>
                <wp:positionV relativeFrom="page">
                  <wp:align>top</wp:align>
                </wp:positionV>
                <wp:extent cx="7596000" cy="10728000"/>
                <wp:effectExtent l="0" t="0" r="5080" b="0"/>
                <wp:wrapNone/>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CEAAEF" w14:textId="77777777" w:rsidR="00F12EFB" w:rsidRDefault="00F12EFB" w:rsidP="00F12EF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19C49" id="Rectangle 35" o:spid="_x0000_s1026" alt="&quot;&quot;" style="position:absolute;margin-left:0;margin-top:0;width:598.1pt;height:844.7pt;z-index:-25165823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" stroked="f" strokeweight="2pt">
                <v:textbox>
                  <w:txbxContent>
                    <w:p w14:paraId="78CEAAEF" w14:textId="77777777" w:rsidR="00F12EFB" w:rsidRDefault="00F12EFB" w:rsidP="00F12EFB">
                      <w:pPr>
                        <w:jc w:val="center"/>
                      </w:pPr>
                    </w:p>
                  </w:txbxContent>
                </v:textbox>
                <w10:wrap anchorx="page" anchory="page"/>
                <w10:anchorlock/>
              </v:rect>
            </w:pict>
          </mc:Fallback>
        </mc:AlternateContent>
      </w:r>
      <w:r w:rsidRPr="004A7D78">
        <w:rPr>
          <w:noProof/>
          <w:lang w:eastAsia="en-AU"/>
        </w:rPr>
        <mc:AlternateContent>
          <mc:Choice Requires="wps">
            <w:drawing>
              <wp:anchor distT="0" distB="0" distL="114300" distR="114300" simplePos="0" relativeHeight="251658251" behindDoc="0" locked="1" layoutInCell="1" allowOverlap="1" wp14:anchorId="336487B1" wp14:editId="0D2A1C5D">
                <wp:simplePos x="0" y="0"/>
                <wp:positionH relativeFrom="page">
                  <wp:posOffset>463550</wp:posOffset>
                </wp:positionH>
                <wp:positionV relativeFrom="page">
                  <wp:posOffset>397510</wp:posOffset>
                </wp:positionV>
                <wp:extent cx="6771005" cy="9677400"/>
                <wp:effectExtent l="0" t="0" r="10795" b="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771005" cy="9677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Look w:val="04A0" w:firstRow="1" w:lastRow="0" w:firstColumn="1" w:lastColumn="0" w:noHBand="0" w:noVBand="1"/>
                            </w:tblPr>
                            <w:tblGrid>
                              <w:gridCol w:w="10603"/>
                            </w:tblGrid>
                            <w:tr w:rsidR="001E349B" w:rsidRPr="00AA1B91" w14:paraId="7ACECE14" w14:textId="77777777" w:rsidTr="005A6340">
                              <w:trPr>
                                <w:trHeight w:val="1604"/>
                              </w:trPr>
                              <w:tc>
                                <w:tcPr>
                                  <w:tcW w:w="10603" w:type="dxa"/>
                                </w:tcPr>
                                <w:p w14:paraId="7D9290ED" w14:textId="77777777" w:rsidR="001E349B" w:rsidRPr="00AA1B91" w:rsidRDefault="001E349B"/>
                              </w:tc>
                            </w:tr>
                            <w:tr w:rsidR="001E349B" w:rsidRPr="00AA1B91" w14:paraId="1A94C17C" w14:textId="77777777" w:rsidTr="00691FA7">
                              <w:trPr>
                                <w:trHeight w:hRule="exact" w:val="10603"/>
                              </w:trPr>
                              <w:tc>
                                <w:tcPr>
                                  <w:tcW w:w="10603" w:type="dxa"/>
                                  <w:vAlign w:val="center"/>
                                </w:tcPr>
                                <w:p w14:paraId="6AC4CA60" w14:textId="59D8B7DF" w:rsidR="001E349B" w:rsidRPr="00AA1B91" w:rsidRDefault="00F12EFB" w:rsidP="00691FA7">
                                  <w:pPr>
                                    <w:pStyle w:val="FPPicture"/>
                                    <w:jc w:val="center"/>
                                  </w:pPr>
                                  <w:r>
                                    <w:rPr>
                                      <w:noProof/>
                                      <w:lang w:eastAsia="en-AU"/>
                                    </w:rPr>
                                    <w:drawing>
                                      <wp:inline distT="0" distB="0" distL="0" distR="0" wp14:anchorId="5CE3528C" wp14:editId="3D3E7028">
                                        <wp:extent cx="5639805" cy="5540991"/>
                                        <wp:effectExtent l="0" t="0" r="0" b="3175"/>
                                        <wp:docPr id="11" name="Pictur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bwMode="auto">
                                                <a:xfrm>
                                                  <a:off x="0" y="0"/>
                                                  <a:ext cx="5645560" cy="554664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7CF6838" w14:textId="77777777" w:rsidR="001E349B" w:rsidRDefault="001E349B" w:rsidP="00981018">
                            <w:pPr>
                              <w:pStyle w:val="NoSpacing"/>
                            </w:pPr>
                          </w:p>
                          <w:tbl>
                            <w:tblPr>
                              <w:tblStyle w:val="Tabel-Gitter1"/>
                              <w:tblOverlap w:val="never"/>
                              <w:tblW w:w="0" w:type="auto"/>
                              <w:tblLayout w:type="fixed"/>
                              <w:tblLook w:val="04A0" w:firstRow="1" w:lastRow="0" w:firstColumn="1" w:lastColumn="0" w:noHBand="0" w:noVBand="1"/>
                            </w:tblPr>
                            <w:tblGrid>
                              <w:gridCol w:w="6945"/>
                            </w:tblGrid>
                            <w:tr w:rsidR="001E349B" w14:paraId="2C60C2B2" w14:textId="77777777">
                              <w:trPr>
                                <w:cnfStyle w:val="100000000000" w:firstRow="1" w:lastRow="0" w:firstColumn="0" w:lastColumn="0" w:oddVBand="0" w:evenVBand="0" w:oddHBand="0" w:evenHBand="0" w:firstRowFirstColumn="0" w:firstRowLastColumn="0" w:lastRowFirstColumn="0" w:lastRowLastColumn="0"/>
                                <w:trHeight w:val="2438"/>
                              </w:trPr>
                              <w:tc>
                                <w:tcPr>
                                  <w:tcW w:w="6945" w:type="dxa"/>
                                  <w:vAlign w:val="bottom"/>
                                  <w:hideMark/>
                                </w:tcPr>
                                <w:p w14:paraId="00B82E85" w14:textId="20F33B20" w:rsidR="001E349B" w:rsidRDefault="00294B40" w:rsidP="00691FA7">
                                  <w:pPr>
                                    <w:pStyle w:val="Documentsubtitle"/>
                                    <w:spacing w:before="120" w:after="60" w:line="240" w:lineRule="atLeast"/>
                                    <w:rPr>
                                      <w:sz w:val="24"/>
                                      <w:szCs w:val="24"/>
                                    </w:rPr>
                                  </w:pPr>
                                  <w:r w:rsidRPr="00294B40">
                                    <w:rPr>
                                      <w:rFonts w:eastAsiaTheme="majorEastAsia" w:cstheme="majorBidi"/>
                                      <w:b/>
                                      <w:bCs/>
                                      <w:szCs w:val="28"/>
                                    </w:rPr>
                                    <w:t xml:space="preserve">Review of the Community Child Care Fund Restricted (CCCFR) </w:t>
                                  </w:r>
                                  <w:r w:rsidR="002411BE">
                                    <w:rPr>
                                      <w:rFonts w:eastAsiaTheme="majorEastAsia" w:cstheme="majorBidi"/>
                                      <w:b/>
                                      <w:bCs/>
                                      <w:szCs w:val="28"/>
                                    </w:rPr>
                                    <w:t>grant</w:t>
                                  </w:r>
                                </w:p>
                                <w:p w14:paraId="782F7868" w14:textId="7C8FBF54" w:rsidR="00294B40" w:rsidRPr="00691FA7" w:rsidRDefault="00F61BAE" w:rsidP="00691FA7">
                                  <w:pPr>
                                    <w:pStyle w:val="Documentsubtitle"/>
                                    <w:spacing w:line="240" w:lineRule="atLeast"/>
                                    <w:rPr>
                                      <w:szCs w:val="28"/>
                                    </w:rPr>
                                  </w:pPr>
                                  <w:r>
                                    <w:rPr>
                                      <w:szCs w:val="28"/>
                                    </w:rPr>
                                    <w:t xml:space="preserve">Final </w:t>
                                  </w:r>
                                  <w:r w:rsidR="00050383">
                                    <w:rPr>
                                      <w:szCs w:val="28"/>
                                    </w:rPr>
                                    <w:t>report</w:t>
                                  </w:r>
                                </w:p>
                                <w:p w14:paraId="3E9FF4CE" w14:textId="2D8CB335" w:rsidR="00294B40" w:rsidRPr="00EF39DC" w:rsidRDefault="00294B40" w:rsidP="00EF39DC">
                                  <w:pPr>
                                    <w:pStyle w:val="Documentsubtitle"/>
                                    <w:spacing w:before="120" w:line="240" w:lineRule="atLeast"/>
                                    <w:rPr>
                                      <w:sz w:val="24"/>
                                      <w:szCs w:val="24"/>
                                    </w:rPr>
                                  </w:pPr>
                                  <w:r>
                                    <w:rPr>
                                      <w:sz w:val="24"/>
                                      <w:szCs w:val="24"/>
                                    </w:rPr>
                                    <w:t>Australian</w:t>
                                  </w:r>
                                  <w:r w:rsidR="005F0AA0">
                                    <w:rPr>
                                      <w:sz w:val="24"/>
                                      <w:szCs w:val="24"/>
                                    </w:rPr>
                                    <w:t xml:space="preserve"> Government Department of Education</w:t>
                                  </w:r>
                                </w:p>
                                <w:p w14:paraId="34DD6462" w14:textId="16962B07" w:rsidR="001E349B" w:rsidRDefault="00FA11BD" w:rsidP="005D3CA2">
                                  <w:pPr>
                                    <w:pStyle w:val="Documentdate"/>
                                  </w:pPr>
                                  <w:r>
                                    <w:t xml:space="preserve">June </w:t>
                                  </w:r>
                                  <w:r w:rsidR="0017744F">
                                    <w:t>202</w:t>
                                  </w:r>
                                  <w:r w:rsidR="00F61BAE">
                                    <w:t>4</w:t>
                                  </w:r>
                                </w:p>
                              </w:tc>
                            </w:tr>
                          </w:tbl>
                          <w:p w14:paraId="1719E365" w14:textId="77777777" w:rsidR="001E349B" w:rsidRPr="00AA1B91" w:rsidRDefault="001E349B" w:rsidP="001E349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487B1" id="_x0000_t202" coordsize="21600,21600" o:spt="202" path="m,l,21600r21600,l21600,xe">
                <v:stroke joinstyle="miter"/>
                <v:path gradientshapeok="t" o:connecttype="rect"/>
              </v:shapetype>
              <v:shape id="Text Box 36" o:spid="_x0000_s1027" type="#_x0000_t202" alt="&quot;&quot;" style="position:absolute;margin-left:36.5pt;margin-top:31.3pt;width:533.15pt;height:762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" filled="f" fillcolor="white [3201]" stroked="f" strokeweight=".5pt">
                <v:textbox inset="0,0,0,0">
                  <w:txbxContent>
                    <w:tbl>
                      <w:tblPr>
                        <w:tblW w:w="0" w:type="auto"/>
                        <w:tblLayout w:type="fixed"/>
                        <w:tblLook w:val="04A0" w:firstRow="1" w:lastRow="0" w:firstColumn="1" w:lastColumn="0" w:noHBand="0" w:noVBand="1"/>
                      </w:tblPr>
                      <w:tblGrid>
                        <w:gridCol w:w="10603"/>
                      </w:tblGrid>
                      <w:tr w:rsidR="001E349B" w:rsidRPr="00AA1B91" w14:paraId="7ACECE14" w14:textId="77777777" w:rsidTr="005A6340">
                        <w:trPr>
                          <w:trHeight w:val="1604"/>
                        </w:trPr>
                        <w:tc>
                          <w:tcPr>
                            <w:tcW w:w="10603" w:type="dxa"/>
                          </w:tcPr>
                          <w:p w14:paraId="7D9290ED" w14:textId="77777777" w:rsidR="001E349B" w:rsidRPr="00AA1B91" w:rsidRDefault="001E349B"/>
                        </w:tc>
                      </w:tr>
                      <w:tr w:rsidR="001E349B" w:rsidRPr="00AA1B91" w14:paraId="1A94C17C" w14:textId="77777777" w:rsidTr="00691FA7">
                        <w:trPr>
                          <w:trHeight w:hRule="exact" w:val="10603"/>
                        </w:trPr>
                        <w:tc>
                          <w:tcPr>
                            <w:tcW w:w="10603" w:type="dxa"/>
                            <w:vAlign w:val="center"/>
                          </w:tcPr>
                          <w:p w14:paraId="6AC4CA60" w14:textId="59D8B7DF" w:rsidR="001E349B" w:rsidRPr="00AA1B91" w:rsidRDefault="00F12EFB" w:rsidP="00691FA7">
                            <w:pPr>
                              <w:pStyle w:val="FPPicture"/>
                              <w:jc w:val="center"/>
                            </w:pPr>
                            <w:r>
                              <w:rPr>
                                <w:noProof/>
                                <w:lang w:eastAsia="en-AU"/>
                              </w:rPr>
                              <w:drawing>
                                <wp:inline distT="0" distB="0" distL="0" distR="0" wp14:anchorId="5CE3528C" wp14:editId="3D3E7028">
                                  <wp:extent cx="5639805" cy="5540991"/>
                                  <wp:effectExtent l="0" t="0" r="0" b="3175"/>
                                  <wp:docPr id="11" name="Pictur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bwMode="auto">
                                          <a:xfrm>
                                            <a:off x="0" y="0"/>
                                            <a:ext cx="5645560" cy="554664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7CF6838" w14:textId="77777777" w:rsidR="001E349B" w:rsidRDefault="001E349B" w:rsidP="00981018">
                      <w:pPr>
                        <w:pStyle w:val="NoSpacing"/>
                      </w:pPr>
                    </w:p>
                    <w:tbl>
                      <w:tblPr>
                        <w:tblStyle w:val="Tabel-Gitter1"/>
                        <w:tblOverlap w:val="never"/>
                        <w:tblW w:w="0" w:type="auto"/>
                        <w:tblLayout w:type="fixed"/>
                        <w:tblLook w:val="04A0" w:firstRow="1" w:lastRow="0" w:firstColumn="1" w:lastColumn="0" w:noHBand="0" w:noVBand="1"/>
                      </w:tblPr>
                      <w:tblGrid>
                        <w:gridCol w:w="6945"/>
                      </w:tblGrid>
                      <w:tr w:rsidR="001E349B" w14:paraId="2C60C2B2" w14:textId="77777777">
                        <w:trPr>
                          <w:cnfStyle w:val="100000000000" w:firstRow="1" w:lastRow="0" w:firstColumn="0" w:lastColumn="0" w:oddVBand="0" w:evenVBand="0" w:oddHBand="0" w:evenHBand="0" w:firstRowFirstColumn="0" w:firstRowLastColumn="0" w:lastRowFirstColumn="0" w:lastRowLastColumn="0"/>
                          <w:trHeight w:val="2438"/>
                        </w:trPr>
                        <w:tc>
                          <w:tcPr>
                            <w:tcW w:w="6945" w:type="dxa"/>
                            <w:vAlign w:val="bottom"/>
                            <w:hideMark/>
                          </w:tcPr>
                          <w:p w14:paraId="00B82E85" w14:textId="20F33B20" w:rsidR="001E349B" w:rsidRDefault="00294B40" w:rsidP="00691FA7">
                            <w:pPr>
                              <w:pStyle w:val="Documentsubtitle"/>
                              <w:spacing w:before="120" w:after="60" w:line="240" w:lineRule="atLeast"/>
                              <w:rPr>
                                <w:sz w:val="24"/>
                                <w:szCs w:val="24"/>
                              </w:rPr>
                            </w:pPr>
                            <w:r w:rsidRPr="00294B40">
                              <w:rPr>
                                <w:rFonts w:eastAsiaTheme="majorEastAsia" w:cstheme="majorBidi"/>
                                <w:b/>
                                <w:bCs/>
                                <w:szCs w:val="28"/>
                              </w:rPr>
                              <w:t xml:space="preserve">Review of the Community Child Care Fund Restricted (CCCFR) </w:t>
                            </w:r>
                            <w:r w:rsidR="002411BE">
                              <w:rPr>
                                <w:rFonts w:eastAsiaTheme="majorEastAsia" w:cstheme="majorBidi"/>
                                <w:b/>
                                <w:bCs/>
                                <w:szCs w:val="28"/>
                              </w:rPr>
                              <w:t>grant</w:t>
                            </w:r>
                          </w:p>
                          <w:p w14:paraId="782F7868" w14:textId="7C8FBF54" w:rsidR="00294B40" w:rsidRPr="00691FA7" w:rsidRDefault="00F61BAE" w:rsidP="00691FA7">
                            <w:pPr>
                              <w:pStyle w:val="Documentsubtitle"/>
                              <w:spacing w:line="240" w:lineRule="atLeast"/>
                              <w:rPr>
                                <w:szCs w:val="28"/>
                              </w:rPr>
                            </w:pPr>
                            <w:r>
                              <w:rPr>
                                <w:szCs w:val="28"/>
                              </w:rPr>
                              <w:t xml:space="preserve">Final </w:t>
                            </w:r>
                            <w:r w:rsidR="00050383">
                              <w:rPr>
                                <w:szCs w:val="28"/>
                              </w:rPr>
                              <w:t>report</w:t>
                            </w:r>
                          </w:p>
                          <w:p w14:paraId="3E9FF4CE" w14:textId="2D8CB335" w:rsidR="00294B40" w:rsidRPr="00EF39DC" w:rsidRDefault="00294B40" w:rsidP="00EF39DC">
                            <w:pPr>
                              <w:pStyle w:val="Documentsubtitle"/>
                              <w:spacing w:before="120" w:line="240" w:lineRule="atLeast"/>
                              <w:rPr>
                                <w:sz w:val="24"/>
                                <w:szCs w:val="24"/>
                              </w:rPr>
                            </w:pPr>
                            <w:r>
                              <w:rPr>
                                <w:sz w:val="24"/>
                                <w:szCs w:val="24"/>
                              </w:rPr>
                              <w:t>Australian</w:t>
                            </w:r>
                            <w:r w:rsidR="005F0AA0">
                              <w:rPr>
                                <w:sz w:val="24"/>
                                <w:szCs w:val="24"/>
                              </w:rPr>
                              <w:t xml:space="preserve"> Government Department of Education</w:t>
                            </w:r>
                          </w:p>
                          <w:p w14:paraId="34DD6462" w14:textId="16962B07" w:rsidR="001E349B" w:rsidRDefault="00FA11BD" w:rsidP="005D3CA2">
                            <w:pPr>
                              <w:pStyle w:val="Documentdate"/>
                            </w:pPr>
                            <w:r>
                              <w:t xml:space="preserve">June </w:t>
                            </w:r>
                            <w:r w:rsidR="0017744F">
                              <w:t>202</w:t>
                            </w:r>
                            <w:r w:rsidR="00F61BAE">
                              <w:t>4</w:t>
                            </w:r>
                          </w:p>
                        </w:tc>
                      </w:tr>
                    </w:tbl>
                    <w:p w14:paraId="1719E365" w14:textId="77777777" w:rsidR="001E349B" w:rsidRPr="00AA1B91" w:rsidRDefault="001E349B" w:rsidP="001E349B"/>
                  </w:txbxContent>
                </v:textbox>
                <w10:wrap anchorx="page" anchory="page"/>
                <w10:anchorlock/>
              </v:shape>
            </w:pict>
          </mc:Fallback>
        </mc:AlternateContent>
      </w:r>
      <w:bookmarkStart w:id="2" w:name="BIT_CoverPage"/>
    </w:p>
    <w:p w14:paraId="481AB5B5" w14:textId="77777777" w:rsidR="001E349B" w:rsidRPr="004A7D78" w:rsidRDefault="00031008" w:rsidP="001E349B">
      <w:r>
        <w:rPr>
          <w:noProof/>
          <w:lang w:eastAsia="en-AU"/>
        </w:rPr>
        <w:drawing>
          <wp:anchor distT="0" distB="0" distL="114300" distR="114300" simplePos="0" relativeHeight="251658261" behindDoc="0" locked="0" layoutInCell="1" allowOverlap="1" wp14:anchorId="1AF418DB" wp14:editId="39C32CCB">
            <wp:simplePos x="0" y="0"/>
            <wp:positionH relativeFrom="page">
              <wp:posOffset>5154295</wp:posOffset>
            </wp:positionH>
            <wp:positionV relativeFrom="page">
              <wp:posOffset>9591040</wp:posOffset>
            </wp:positionV>
            <wp:extent cx="2003425" cy="528955"/>
            <wp:effectExtent l="0" t="0" r="0" b="0"/>
            <wp:wrapNone/>
            <wp:docPr id="52379519" name="Picture 52379519"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2379519" name="Picture 52379519" hidden="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03425" cy="528955"/>
                    </a:xfrm>
                    <a:prstGeom prst="rect">
                      <a:avLst/>
                    </a:prstGeom>
                  </pic:spPr>
                </pic:pic>
              </a:graphicData>
            </a:graphic>
          </wp:anchor>
        </w:drawing>
      </w:r>
    </w:p>
    <w:bookmarkEnd w:id="2"/>
    <w:p w14:paraId="43B9C4C9" w14:textId="77777777" w:rsidR="001E349B" w:rsidRDefault="001E349B" w:rsidP="00A31EF9"/>
    <w:p w14:paraId="48BF194D" w14:textId="109E97D6" w:rsidR="001E349B" w:rsidRPr="000F05E4" w:rsidRDefault="007F356C" w:rsidP="00A31EF9">
      <w:r>
        <w:rPr>
          <w:noProof/>
          <w:lang w:eastAsia="en-AU"/>
        </w:rPr>
        <mc:AlternateContent>
          <mc:Choice Requires="wps">
            <w:drawing>
              <wp:anchor distT="0" distB="0" distL="114300" distR="114300" simplePos="0" relativeHeight="251658271" behindDoc="0" locked="0" layoutInCell="1" allowOverlap="1" wp14:anchorId="2EE5844A" wp14:editId="379F7DB8">
                <wp:simplePos x="0" y="0"/>
                <wp:positionH relativeFrom="column">
                  <wp:posOffset>-490330</wp:posOffset>
                </wp:positionH>
                <wp:positionV relativeFrom="paragraph">
                  <wp:posOffset>8155608</wp:posOffset>
                </wp:positionV>
                <wp:extent cx="6896100" cy="437321"/>
                <wp:effectExtent l="0" t="0" r="0" b="0"/>
                <wp:wrapNone/>
                <wp:docPr id="58" name="Text Box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96100" cy="437321"/>
                        </a:xfrm>
                        <a:prstGeom prst="rect">
                          <a:avLst/>
                        </a:prstGeom>
                        <a:noFill/>
                      </wps:spPr>
                      <wps:txbx>
                        <w:txbxContent>
                          <w:p w14:paraId="6D4F3A9C" w14:textId="241FE467" w:rsidR="00A62086" w:rsidRPr="0004689A" w:rsidRDefault="00A51BEF">
                            <w:pPr>
                              <w:rPr>
                                <w:sz w:val="14"/>
                                <w:szCs w:val="14"/>
                              </w:rPr>
                            </w:pPr>
                            <w:r>
                              <w:rPr>
                                <w:sz w:val="14"/>
                                <w:szCs w:val="14"/>
                              </w:rPr>
                              <w:t xml:space="preserve">Disclaimer: </w:t>
                            </w:r>
                            <w:r w:rsidR="00A62086" w:rsidRPr="0004689A">
                              <w:rPr>
                                <w:sz w:val="14"/>
                                <w:szCs w:val="14"/>
                              </w:rPr>
                              <w:t xml:space="preserve">This report </w:t>
                            </w:r>
                            <w:r w:rsidR="0004689A" w:rsidRPr="0004689A">
                              <w:rPr>
                                <w:sz w:val="14"/>
                                <w:szCs w:val="14"/>
                              </w:rPr>
                              <w:t>uses data from the Australian Early Development Census (AEDC). The AEDC is funded by the Australian Government Department of Education. The findings and/or views reported are those of the author and should not be attributed to the Department or the Australian Government.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5844A" id="Text Box 58" o:spid="_x0000_s1028" type="#_x0000_t202" alt="&quot;&quot;" style="position:absolute;margin-left:-38.6pt;margin-top:642.15pt;width:543pt;height:34.4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" filled="f" stroked="f">
                <v:textbox inset="0,0,0,0">
                  <w:txbxContent>
                    <w:p w14:paraId="6D4F3A9C" w14:textId="241FE467" w:rsidR="00A62086" w:rsidRPr="0004689A" w:rsidRDefault="00A51BEF">
                      <w:pPr>
                        <w:rPr>
                          <w:sz w:val="14"/>
                          <w:szCs w:val="14"/>
                        </w:rPr>
                      </w:pPr>
                      <w:r>
                        <w:rPr>
                          <w:sz w:val="14"/>
                          <w:szCs w:val="14"/>
                        </w:rPr>
                        <w:t xml:space="preserve">Disclaimer: </w:t>
                      </w:r>
                      <w:r w:rsidR="00A62086" w:rsidRPr="0004689A">
                        <w:rPr>
                          <w:sz w:val="14"/>
                          <w:szCs w:val="14"/>
                        </w:rPr>
                        <w:t xml:space="preserve">This report </w:t>
                      </w:r>
                      <w:r w:rsidR="0004689A" w:rsidRPr="0004689A">
                        <w:rPr>
                          <w:sz w:val="14"/>
                          <w:szCs w:val="14"/>
                        </w:rPr>
                        <w:t>uses data from the Australian Early Development Census (AEDC). The AEDC is funded by the Australian Government Department of Education. The findings and/or views reported are those of the author and should not be attributed to the Department or the Australian Government.</w:t>
                      </w:r>
                    </w:p>
                  </w:txbxContent>
                </v:textbox>
              </v:shape>
            </w:pict>
          </mc:Fallback>
        </mc:AlternateContent>
      </w:r>
      <w:r w:rsidR="004C68E7">
        <w:rPr>
          <w:noProof/>
          <w:lang w:eastAsia="en-AU"/>
        </w:rPr>
        <w:drawing>
          <wp:anchor distT="0" distB="0" distL="114300" distR="114300" simplePos="0" relativeHeight="251658263" behindDoc="0" locked="0" layoutInCell="1" allowOverlap="1" wp14:anchorId="2DEED1A6" wp14:editId="52A204F4">
            <wp:simplePos x="0" y="0"/>
            <wp:positionH relativeFrom="page">
              <wp:posOffset>5052695</wp:posOffset>
            </wp:positionH>
            <wp:positionV relativeFrom="page">
              <wp:posOffset>7724140</wp:posOffset>
            </wp:positionV>
            <wp:extent cx="2005200" cy="529200"/>
            <wp:effectExtent l="0" t="0" r="0" b="0"/>
            <wp:wrapNone/>
            <wp:docPr id="475882791" name="Picture 4758827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5882791" name="Picture 475882791">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5200" cy="529200"/>
                    </a:xfrm>
                    <a:prstGeom prst="rect">
                      <a:avLst/>
                    </a:prstGeom>
                  </pic:spPr>
                </pic:pic>
              </a:graphicData>
            </a:graphic>
            <wp14:sizeRelH relativeFrom="margin">
              <wp14:pctWidth>0</wp14:pctWidth>
            </wp14:sizeRelH>
            <wp14:sizeRelV relativeFrom="margin">
              <wp14:pctHeight>0</wp14:pctHeight>
            </wp14:sizeRelV>
          </wp:anchor>
        </w:drawing>
      </w:r>
    </w:p>
    <w:p w14:paraId="663A8759" w14:textId="77777777" w:rsidR="00D96296" w:rsidRDefault="00D96296" w:rsidP="008C16DC">
      <w:pPr>
        <w:pageBreakBefore/>
        <w:sectPr w:rsidR="00D96296" w:rsidSect="005F043A">
          <w:headerReference w:type="default" r:id="rId18"/>
          <w:footerReference w:type="default" r:id="rId19"/>
          <w:pgSz w:w="11906" w:h="16838" w:code="9"/>
          <w:pgMar w:top="1440" w:right="4281" w:bottom="1440" w:left="1440" w:header="680" w:footer="425" w:gutter="0"/>
          <w:cols w:space="284"/>
          <w:docGrid w:linePitch="360"/>
        </w:sectPr>
      </w:pPr>
    </w:p>
    <w:p w14:paraId="069C243B" w14:textId="0D709637" w:rsidR="00C81435" w:rsidRPr="001C655F" w:rsidRDefault="0087513A" w:rsidP="008E7EE7">
      <w:pPr>
        <w:pStyle w:val="Heading1un-numbered"/>
      </w:pPr>
      <w:bookmarkStart w:id="3" w:name="_Toc158993733"/>
      <w:bookmarkStart w:id="4" w:name="_Toc170227384"/>
      <w:bookmarkStart w:id="5" w:name="LAN_ContentsRP"/>
      <w:r w:rsidRPr="001C655F">
        <w:lastRenderedPageBreak/>
        <w:t xml:space="preserve">Acknowledgement of </w:t>
      </w:r>
      <w:r w:rsidR="00C81435" w:rsidRPr="001C655F">
        <w:t>Country</w:t>
      </w:r>
      <w:bookmarkEnd w:id="3"/>
      <w:bookmarkEnd w:id="4"/>
    </w:p>
    <w:p w14:paraId="14BD6CE7" w14:textId="4D337D8E" w:rsidR="00CE6440" w:rsidRPr="001C655F" w:rsidRDefault="00CE6440" w:rsidP="7C2E03AA">
      <w:pPr>
        <w:spacing w:after="0"/>
        <w:rPr>
          <w:i/>
          <w:color w:val="000000" w:themeColor="text1"/>
          <w:sz w:val="20"/>
        </w:rPr>
      </w:pPr>
      <w:r w:rsidRPr="001C655F">
        <w:rPr>
          <w:rFonts w:asciiTheme="minorHAnsi" w:hAnsiTheme="minorHAnsi"/>
        </w:rPr>
        <w:br/>
      </w:r>
      <w:r w:rsidR="00691FA7" w:rsidRPr="001C655F">
        <w:rPr>
          <w:rFonts w:asciiTheme="minorHAnsi" w:hAnsiTheme="minorHAnsi"/>
          <w:sz w:val="14"/>
        </w:rPr>
        <w:br/>
      </w:r>
      <w:r w:rsidR="42309927" w:rsidRPr="001C655F">
        <w:rPr>
          <w:i/>
          <w:color w:val="000000" w:themeColor="text1"/>
          <w:sz w:val="20"/>
        </w:rPr>
        <w:t xml:space="preserve">In my culture we bring our children close to the campfire, they learn with us, they listen with us, they are cared for collectively in our community. They are not kept apart; they are not forced to the edges or the back. They are at the centre of a circle that widens to accommodate them. We do that because our systems of support value the role of community. </w:t>
      </w:r>
      <w:r w:rsidRPr="001C655F">
        <w:rPr>
          <w:sz w:val="14"/>
        </w:rPr>
        <w:br/>
      </w:r>
    </w:p>
    <w:p w14:paraId="63B8E103" w14:textId="0B448608" w:rsidR="00CE6440" w:rsidRPr="001C655F" w:rsidRDefault="42309927" w:rsidP="7C2E03AA">
      <w:pPr>
        <w:spacing w:after="0"/>
        <w:rPr>
          <w:i/>
          <w:color w:val="000000" w:themeColor="text1"/>
          <w:sz w:val="20"/>
        </w:rPr>
      </w:pPr>
      <w:r w:rsidRPr="001C655F">
        <w:rPr>
          <w:i/>
          <w:color w:val="000000" w:themeColor="text1"/>
          <w:sz w:val="20"/>
        </w:rPr>
        <w:t xml:space="preserve">But it doesn’t always work and that's because the systems of community are disrupted, and all communities (Aboriginal and non-Aboriginal) are challenged. A nation of families and communities doing their best within a fluid system of economics, need and vulnerabilities, intersected by multiple layers of government policy and services, that often reminds families of their failings as much as their opportunities. </w:t>
      </w:r>
    </w:p>
    <w:p w14:paraId="7E9B9BCE" w14:textId="5B65D5D7" w:rsidR="00CE6440" w:rsidRPr="001C655F" w:rsidRDefault="00CE6440" w:rsidP="7C2E03AA">
      <w:pPr>
        <w:spacing w:after="0"/>
        <w:rPr>
          <w:i/>
          <w:color w:val="000000" w:themeColor="text1"/>
          <w:sz w:val="20"/>
        </w:rPr>
      </w:pPr>
      <w:r w:rsidRPr="001C655F">
        <w:rPr>
          <w:sz w:val="14"/>
        </w:rPr>
        <w:br/>
      </w:r>
      <w:r w:rsidR="42309927" w:rsidRPr="001C655F">
        <w:rPr>
          <w:i/>
          <w:color w:val="000000" w:themeColor="text1"/>
          <w:sz w:val="20"/>
        </w:rPr>
        <w:t xml:space="preserve">The early years for our children are times of freedom, connection, learning and love and they require us, as adults, business, community and policy leaders, to see beyond the surface economics, to the deeper economic fabric that recognises the long-term impact of healthy early years systems and the systemic consequence of unhealthy ones. </w:t>
      </w:r>
    </w:p>
    <w:p w14:paraId="2586166E" w14:textId="0C32B74C" w:rsidR="00CE6440" w:rsidRPr="001C655F" w:rsidRDefault="00161F0E" w:rsidP="7C2E03AA">
      <w:pPr>
        <w:spacing w:after="0"/>
        <w:rPr>
          <w:i/>
          <w:color w:val="000000" w:themeColor="text1"/>
          <w:sz w:val="20"/>
        </w:rPr>
      </w:pPr>
      <w:r w:rsidRPr="001C655F">
        <w:rPr>
          <w:i/>
          <w:color w:val="000000" w:themeColor="text1"/>
          <w:sz w:val="20"/>
        </w:rPr>
        <w:br/>
      </w:r>
      <w:r w:rsidR="42309927" w:rsidRPr="001C655F">
        <w:rPr>
          <w:i/>
          <w:color w:val="000000" w:themeColor="text1"/>
          <w:sz w:val="20"/>
        </w:rPr>
        <w:t xml:space="preserve">In my language (Gathang language for the Worimi nation) we speak of </w:t>
      </w:r>
      <w:r w:rsidR="42309927" w:rsidRPr="001C655F">
        <w:rPr>
          <w:b/>
          <w:i/>
          <w:color w:val="000000" w:themeColor="text1"/>
          <w:sz w:val="20"/>
        </w:rPr>
        <w:t>‘Maa-Bularrbu’</w:t>
      </w:r>
      <w:r w:rsidR="42309927" w:rsidRPr="001C655F">
        <w:rPr>
          <w:i/>
          <w:color w:val="000000" w:themeColor="text1"/>
          <w:sz w:val="20"/>
        </w:rPr>
        <w:t>,</w:t>
      </w:r>
      <w:r w:rsidR="42309927" w:rsidRPr="001C655F">
        <w:rPr>
          <w:b/>
          <w:i/>
          <w:color w:val="000000" w:themeColor="text1"/>
          <w:sz w:val="20"/>
        </w:rPr>
        <w:t xml:space="preserve"> </w:t>
      </w:r>
      <w:r w:rsidR="42309927" w:rsidRPr="001C655F">
        <w:rPr>
          <w:i/>
          <w:color w:val="000000" w:themeColor="text1"/>
          <w:sz w:val="20"/>
        </w:rPr>
        <w:t xml:space="preserve">which acknowledges that our responsibility as human beings is to the ‘next seven again’. It is our responsibility to carry those next seven generations in the way we care for our community, our children, our knowledge and </w:t>
      </w:r>
      <w:r w:rsidR="42309927" w:rsidRPr="001C655F">
        <w:rPr>
          <w:b/>
          <w:i/>
          <w:color w:val="000000" w:themeColor="text1"/>
          <w:sz w:val="20"/>
        </w:rPr>
        <w:t xml:space="preserve">‘Nayiri Barray’ </w:t>
      </w:r>
      <w:r w:rsidR="42309927" w:rsidRPr="001C655F">
        <w:rPr>
          <w:i/>
          <w:color w:val="000000" w:themeColor="text1"/>
          <w:sz w:val="20"/>
        </w:rPr>
        <w:t>– our country. This curatorial, caring responsibility does not conclude at the borders of country or culture; it is not a story for Indigenous Australia, this responsibility is one that we carry for all of Australia.</w:t>
      </w:r>
    </w:p>
    <w:p w14:paraId="393E3A77" w14:textId="4CBA3C91" w:rsidR="00CE6440" w:rsidRPr="001C655F" w:rsidRDefault="42309927" w:rsidP="7C2E03AA">
      <w:pPr>
        <w:spacing w:after="0"/>
        <w:rPr>
          <w:i/>
          <w:color w:val="000000" w:themeColor="text1"/>
          <w:sz w:val="20"/>
        </w:rPr>
      </w:pPr>
      <w:r w:rsidRPr="001C655F">
        <w:rPr>
          <w:sz w:val="14"/>
        </w:rPr>
        <w:br/>
      </w:r>
      <w:r w:rsidRPr="001C655F">
        <w:rPr>
          <w:i/>
          <w:color w:val="000000" w:themeColor="text1"/>
          <w:sz w:val="20"/>
        </w:rPr>
        <w:t xml:space="preserve">It is why acknowledging country is such an important task. It connects us to the country we are on and to each other. It reminds us of the responsibilities we have to our past, to our future, to our families and children and to the land that holds our lore for us. I want to acknowledge that this project is for all Australia; </w:t>
      </w:r>
      <w:r w:rsidRPr="001C655F">
        <w:rPr>
          <w:b/>
          <w:i/>
          <w:color w:val="000000" w:themeColor="text1"/>
          <w:sz w:val="20"/>
        </w:rPr>
        <w:t>Ngatha Ginyang Nayiri Barray gaba</w:t>
      </w:r>
      <w:r w:rsidRPr="001C655F">
        <w:rPr>
          <w:i/>
          <w:color w:val="000000" w:themeColor="text1"/>
          <w:sz w:val="20"/>
        </w:rPr>
        <w:t xml:space="preserve"> and acknowledge the elders of this land – past and present; </w:t>
      </w:r>
      <w:r w:rsidRPr="001C655F">
        <w:rPr>
          <w:b/>
          <w:i/>
          <w:color w:val="000000" w:themeColor="text1"/>
          <w:sz w:val="20"/>
        </w:rPr>
        <w:t>Ngatha ngarrayn marrun dangaygal</w:t>
      </w:r>
      <w:r w:rsidRPr="001C655F">
        <w:rPr>
          <w:i/>
          <w:color w:val="000000" w:themeColor="text1"/>
          <w:sz w:val="20"/>
        </w:rPr>
        <w:t xml:space="preserve">. This land is sacred land, cared for and curated for tens of thousands of years by our people; </w:t>
      </w:r>
      <w:r w:rsidR="00CE6440" w:rsidRPr="001C655F">
        <w:rPr>
          <w:sz w:val="14"/>
        </w:rPr>
        <w:br/>
      </w:r>
      <w:r w:rsidRPr="001C655F">
        <w:rPr>
          <w:sz w:val="14"/>
        </w:rPr>
        <w:br/>
      </w:r>
      <w:r w:rsidRPr="001C655F">
        <w:rPr>
          <w:b/>
          <w:i/>
          <w:color w:val="000000" w:themeColor="text1"/>
          <w:sz w:val="20"/>
        </w:rPr>
        <w:t>Wanyimbu wanyimbu ganyiy nyiirunba barray</w:t>
      </w:r>
      <w:r w:rsidRPr="001C655F">
        <w:rPr>
          <w:i/>
          <w:color w:val="000000" w:themeColor="text1"/>
          <w:sz w:val="20"/>
        </w:rPr>
        <w:t xml:space="preserve"> – Always will be Aboriginal land.</w:t>
      </w:r>
    </w:p>
    <w:p w14:paraId="13100776" w14:textId="73F45673" w:rsidR="00CE6440" w:rsidRPr="001C655F" w:rsidRDefault="00CE6440" w:rsidP="7C2E03AA">
      <w:pPr>
        <w:spacing w:after="217"/>
        <w:rPr>
          <w:color w:val="000000" w:themeColor="text1"/>
          <w:sz w:val="14"/>
        </w:rPr>
      </w:pPr>
    </w:p>
    <w:p w14:paraId="5F9ECD18" w14:textId="7EF8D37D" w:rsidR="00CE6440" w:rsidRPr="001C655F" w:rsidRDefault="42309927" w:rsidP="7C2E03AA">
      <w:pPr>
        <w:spacing w:after="217"/>
        <w:rPr>
          <w:color w:val="000000" w:themeColor="text1"/>
          <w:sz w:val="20"/>
        </w:rPr>
      </w:pPr>
      <w:r w:rsidRPr="001C655F">
        <w:rPr>
          <w:color w:val="000000" w:themeColor="text1"/>
          <w:sz w:val="20"/>
        </w:rPr>
        <w:t>Professor Deen Sanders OAM</w:t>
      </w:r>
      <w:r w:rsidR="00CE6440" w:rsidRPr="001C655F">
        <w:rPr>
          <w:sz w:val="14"/>
        </w:rPr>
        <w:br/>
      </w:r>
      <w:r w:rsidRPr="001C655F">
        <w:rPr>
          <w:color w:val="000000" w:themeColor="text1"/>
          <w:sz w:val="20"/>
        </w:rPr>
        <w:t>Worimi Man</w:t>
      </w:r>
      <w:r w:rsidR="00CE6440" w:rsidRPr="001C655F">
        <w:rPr>
          <w:sz w:val="14"/>
        </w:rPr>
        <w:br/>
      </w:r>
      <w:r w:rsidRPr="001C655F">
        <w:rPr>
          <w:color w:val="000000" w:themeColor="text1"/>
          <w:sz w:val="20"/>
        </w:rPr>
        <w:t>Deloitte Integrity Lead Partner</w:t>
      </w:r>
    </w:p>
    <w:p w14:paraId="3E791B7F" w14:textId="3FBBFC71" w:rsidR="00CE6440" w:rsidRPr="00042DC3" w:rsidRDefault="00CE6440" w:rsidP="00CE6440">
      <w:pPr>
        <w:pStyle w:val="NoSpacing"/>
        <w:rPr>
          <w:color w:val="000000" w:themeColor="text1"/>
        </w:rPr>
      </w:pPr>
    </w:p>
    <w:p w14:paraId="6E050B72" w14:textId="4E05ABCD" w:rsidR="00CE6440" w:rsidRPr="00042DC3" w:rsidRDefault="00CE6440" w:rsidP="7C2E03AA">
      <w:pPr>
        <w:pStyle w:val="NoSpacing"/>
        <w:rPr>
          <w:sz w:val="20"/>
          <w:szCs w:val="20"/>
          <w:highlight w:val="yellow"/>
        </w:rPr>
      </w:pPr>
    </w:p>
    <w:p w14:paraId="7AB7186C" w14:textId="77777777" w:rsidR="00CE6440" w:rsidRDefault="00CE6440" w:rsidP="00C81435">
      <w:pPr>
        <w:pStyle w:val="NoSpacing"/>
      </w:pPr>
    </w:p>
    <w:p w14:paraId="3007D610" w14:textId="77777777" w:rsidR="005166CB" w:rsidRDefault="005166CB" w:rsidP="00C81435">
      <w:pPr>
        <w:pStyle w:val="NoSpacing"/>
      </w:pPr>
    </w:p>
    <w:p w14:paraId="59EA1B76" w14:textId="77777777" w:rsidR="005166CB" w:rsidRDefault="005166CB" w:rsidP="00C81435">
      <w:pPr>
        <w:pStyle w:val="NoSpacing"/>
      </w:pPr>
    </w:p>
    <w:p w14:paraId="15215EE8" w14:textId="77777777" w:rsidR="005166CB" w:rsidRDefault="005166CB" w:rsidP="00C81435">
      <w:pPr>
        <w:pStyle w:val="NoSpacing"/>
      </w:pPr>
    </w:p>
    <w:p w14:paraId="63ADA182" w14:textId="77777777" w:rsidR="005166CB" w:rsidRDefault="005166CB" w:rsidP="00C81435">
      <w:pPr>
        <w:pStyle w:val="NoSpacing"/>
      </w:pPr>
    </w:p>
    <w:p w14:paraId="567412A3" w14:textId="77777777" w:rsidR="005166CB" w:rsidRDefault="005166CB" w:rsidP="00C81435">
      <w:pPr>
        <w:pStyle w:val="NoSpacing"/>
      </w:pPr>
    </w:p>
    <w:p w14:paraId="02B1FF31" w14:textId="77777777" w:rsidR="005166CB" w:rsidRDefault="005166CB" w:rsidP="00C81435">
      <w:pPr>
        <w:pStyle w:val="NoSpacing"/>
      </w:pPr>
    </w:p>
    <w:p w14:paraId="1E28C6FB" w14:textId="77777777" w:rsidR="00527504" w:rsidRDefault="00527504" w:rsidP="00C81435">
      <w:pPr>
        <w:pStyle w:val="NoSpacing"/>
      </w:pPr>
    </w:p>
    <w:bookmarkEnd w:id="5"/>
    <w:p w14:paraId="27BDAECB" w14:textId="7ABA61CE" w:rsidR="008D020D" w:rsidRDefault="008D020D" w:rsidP="008D020D">
      <w:pPr>
        <w:pStyle w:val="TOCHeading"/>
      </w:pPr>
      <w:r>
        <w:lastRenderedPageBreak/>
        <w:t>Contents</w:t>
      </w:r>
    </w:p>
    <w:p w14:paraId="1074AEEC" w14:textId="5C8D3390" w:rsidR="00501526" w:rsidRDefault="00F338AC">
      <w:pPr>
        <w:pStyle w:val="TOC1"/>
        <w:rPr>
          <w:rFonts w:asciiTheme="minorHAnsi" w:eastAsiaTheme="minorEastAsia" w:hAnsiTheme="minorHAnsi"/>
          <w:noProof/>
          <w:kern w:val="2"/>
          <w:sz w:val="22"/>
          <w:szCs w:val="22"/>
          <w:lang w:eastAsia="en-AU"/>
          <w14:ligatures w14:val="standardContextual"/>
        </w:rPr>
      </w:pPr>
      <w:r>
        <w:fldChar w:fldCharType="begin"/>
      </w:r>
      <w:r>
        <w:instrText xml:space="preserve"> TOC \o "1-2" \h \z \u </w:instrText>
      </w:r>
      <w:r>
        <w:fldChar w:fldCharType="separate"/>
      </w:r>
      <w:hyperlink w:anchor="_Toc170227384" w:history="1">
        <w:r w:rsidR="00501526" w:rsidRPr="001F4BC9">
          <w:rPr>
            <w:rStyle w:val="Hyperlink"/>
            <w:noProof/>
          </w:rPr>
          <w:t>Acknowledgement of Country</w:t>
        </w:r>
        <w:r w:rsidR="00501526">
          <w:rPr>
            <w:noProof/>
            <w:webHidden/>
          </w:rPr>
          <w:tab/>
        </w:r>
        <w:r w:rsidR="00501526">
          <w:rPr>
            <w:noProof/>
            <w:webHidden/>
          </w:rPr>
          <w:fldChar w:fldCharType="begin"/>
        </w:r>
        <w:r w:rsidR="00501526">
          <w:rPr>
            <w:noProof/>
            <w:webHidden/>
          </w:rPr>
          <w:instrText xml:space="preserve"> PAGEREF _Toc170227384 \h </w:instrText>
        </w:r>
        <w:r w:rsidR="00501526">
          <w:rPr>
            <w:noProof/>
            <w:webHidden/>
          </w:rPr>
        </w:r>
        <w:r w:rsidR="00501526">
          <w:rPr>
            <w:noProof/>
            <w:webHidden/>
          </w:rPr>
          <w:fldChar w:fldCharType="separate"/>
        </w:r>
        <w:r w:rsidR="00D300D0">
          <w:rPr>
            <w:noProof/>
            <w:webHidden/>
          </w:rPr>
          <w:t>i</w:t>
        </w:r>
        <w:r w:rsidR="00501526">
          <w:rPr>
            <w:noProof/>
            <w:webHidden/>
          </w:rPr>
          <w:fldChar w:fldCharType="end"/>
        </w:r>
      </w:hyperlink>
    </w:p>
    <w:p w14:paraId="676751EC" w14:textId="07B66B8F"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85" w:history="1">
        <w:r w:rsidR="00501526" w:rsidRPr="001F4BC9">
          <w:rPr>
            <w:rStyle w:val="Hyperlink"/>
            <w:noProof/>
          </w:rPr>
          <w:t>Acronyms</w:t>
        </w:r>
        <w:r w:rsidR="00501526">
          <w:rPr>
            <w:noProof/>
            <w:webHidden/>
          </w:rPr>
          <w:tab/>
        </w:r>
        <w:r w:rsidR="00501526">
          <w:rPr>
            <w:noProof/>
            <w:webHidden/>
          </w:rPr>
          <w:fldChar w:fldCharType="begin"/>
        </w:r>
        <w:r w:rsidR="00501526">
          <w:rPr>
            <w:noProof/>
            <w:webHidden/>
          </w:rPr>
          <w:instrText xml:space="preserve"> PAGEREF _Toc170227385 \h </w:instrText>
        </w:r>
        <w:r w:rsidR="00501526">
          <w:rPr>
            <w:noProof/>
            <w:webHidden/>
          </w:rPr>
        </w:r>
        <w:r w:rsidR="00501526">
          <w:rPr>
            <w:noProof/>
            <w:webHidden/>
          </w:rPr>
          <w:fldChar w:fldCharType="separate"/>
        </w:r>
        <w:r w:rsidR="00D300D0">
          <w:rPr>
            <w:noProof/>
            <w:webHidden/>
          </w:rPr>
          <w:t>vii</w:t>
        </w:r>
        <w:r w:rsidR="00501526">
          <w:rPr>
            <w:noProof/>
            <w:webHidden/>
          </w:rPr>
          <w:fldChar w:fldCharType="end"/>
        </w:r>
      </w:hyperlink>
    </w:p>
    <w:p w14:paraId="01BEC1CD" w14:textId="18D2D990"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86" w:history="1">
        <w:r w:rsidR="00501526" w:rsidRPr="001F4BC9">
          <w:rPr>
            <w:rStyle w:val="Hyperlink"/>
            <w:noProof/>
          </w:rPr>
          <w:t>Navigating this report</w:t>
        </w:r>
        <w:r w:rsidR="00501526">
          <w:rPr>
            <w:noProof/>
            <w:webHidden/>
          </w:rPr>
          <w:tab/>
        </w:r>
        <w:r w:rsidR="00501526">
          <w:rPr>
            <w:noProof/>
            <w:webHidden/>
          </w:rPr>
          <w:fldChar w:fldCharType="begin"/>
        </w:r>
        <w:r w:rsidR="00501526">
          <w:rPr>
            <w:noProof/>
            <w:webHidden/>
          </w:rPr>
          <w:instrText xml:space="preserve"> PAGEREF _Toc170227386 \h </w:instrText>
        </w:r>
        <w:r w:rsidR="00501526">
          <w:rPr>
            <w:noProof/>
            <w:webHidden/>
          </w:rPr>
        </w:r>
        <w:r w:rsidR="00501526">
          <w:rPr>
            <w:noProof/>
            <w:webHidden/>
          </w:rPr>
          <w:fldChar w:fldCharType="separate"/>
        </w:r>
        <w:r w:rsidR="00D300D0">
          <w:rPr>
            <w:noProof/>
            <w:webHidden/>
          </w:rPr>
          <w:t>ix</w:t>
        </w:r>
        <w:r w:rsidR="00501526">
          <w:rPr>
            <w:noProof/>
            <w:webHidden/>
          </w:rPr>
          <w:fldChar w:fldCharType="end"/>
        </w:r>
      </w:hyperlink>
    </w:p>
    <w:p w14:paraId="0E1D7AA4" w14:textId="1F5F9B3A"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87" w:history="1">
        <w:r w:rsidR="00501526" w:rsidRPr="001F4BC9">
          <w:rPr>
            <w:rStyle w:val="Hyperlink"/>
            <w:noProof/>
          </w:rPr>
          <w:t>Overview</w:t>
        </w:r>
        <w:r w:rsidR="00501526">
          <w:rPr>
            <w:noProof/>
            <w:webHidden/>
          </w:rPr>
          <w:tab/>
        </w:r>
        <w:r w:rsidR="00501526">
          <w:rPr>
            <w:noProof/>
            <w:webHidden/>
          </w:rPr>
          <w:fldChar w:fldCharType="begin"/>
        </w:r>
        <w:r w:rsidR="00501526">
          <w:rPr>
            <w:noProof/>
            <w:webHidden/>
          </w:rPr>
          <w:instrText xml:space="preserve"> PAGEREF _Toc170227387 \h </w:instrText>
        </w:r>
        <w:r w:rsidR="00501526">
          <w:rPr>
            <w:noProof/>
            <w:webHidden/>
          </w:rPr>
        </w:r>
        <w:r w:rsidR="00501526">
          <w:rPr>
            <w:noProof/>
            <w:webHidden/>
          </w:rPr>
          <w:fldChar w:fldCharType="separate"/>
        </w:r>
        <w:r w:rsidR="00D300D0">
          <w:rPr>
            <w:noProof/>
            <w:webHidden/>
          </w:rPr>
          <w:t>x</w:t>
        </w:r>
        <w:r w:rsidR="00501526">
          <w:rPr>
            <w:noProof/>
            <w:webHidden/>
          </w:rPr>
          <w:fldChar w:fldCharType="end"/>
        </w:r>
      </w:hyperlink>
    </w:p>
    <w:p w14:paraId="1BF69CA8" w14:textId="7AB4D9BC"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88" w:history="1">
        <w:r w:rsidR="00501526" w:rsidRPr="001F4BC9">
          <w:rPr>
            <w:rStyle w:val="Hyperlink"/>
            <w:noProof/>
          </w:rPr>
          <w:t>Executive summary</w:t>
        </w:r>
        <w:r w:rsidR="00501526">
          <w:rPr>
            <w:noProof/>
            <w:webHidden/>
          </w:rPr>
          <w:tab/>
        </w:r>
        <w:r w:rsidR="00501526">
          <w:rPr>
            <w:noProof/>
            <w:webHidden/>
          </w:rPr>
          <w:fldChar w:fldCharType="begin"/>
        </w:r>
        <w:r w:rsidR="00501526">
          <w:rPr>
            <w:noProof/>
            <w:webHidden/>
          </w:rPr>
          <w:instrText xml:space="preserve"> PAGEREF _Toc170227388 \h </w:instrText>
        </w:r>
        <w:r w:rsidR="00501526">
          <w:rPr>
            <w:noProof/>
            <w:webHidden/>
          </w:rPr>
        </w:r>
        <w:r w:rsidR="00501526">
          <w:rPr>
            <w:noProof/>
            <w:webHidden/>
          </w:rPr>
          <w:fldChar w:fldCharType="separate"/>
        </w:r>
        <w:r w:rsidR="00D300D0">
          <w:rPr>
            <w:noProof/>
            <w:webHidden/>
          </w:rPr>
          <w:t>xvi</w:t>
        </w:r>
        <w:r w:rsidR="00501526">
          <w:rPr>
            <w:noProof/>
            <w:webHidden/>
          </w:rPr>
          <w:fldChar w:fldCharType="end"/>
        </w:r>
      </w:hyperlink>
    </w:p>
    <w:p w14:paraId="5EE4908D" w14:textId="59A513AD"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89" w:history="1">
        <w:r w:rsidR="00501526" w:rsidRPr="001F4BC9">
          <w:rPr>
            <w:rStyle w:val="Hyperlink"/>
            <w:noProof/>
          </w:rPr>
          <w:t>Review recommendations</w:t>
        </w:r>
        <w:r w:rsidR="00501526">
          <w:rPr>
            <w:noProof/>
            <w:webHidden/>
          </w:rPr>
          <w:tab/>
        </w:r>
        <w:r w:rsidR="00501526">
          <w:rPr>
            <w:noProof/>
            <w:webHidden/>
          </w:rPr>
          <w:fldChar w:fldCharType="begin"/>
        </w:r>
        <w:r w:rsidR="00501526">
          <w:rPr>
            <w:noProof/>
            <w:webHidden/>
          </w:rPr>
          <w:instrText xml:space="preserve"> PAGEREF _Toc170227389 \h </w:instrText>
        </w:r>
        <w:r w:rsidR="00501526">
          <w:rPr>
            <w:noProof/>
            <w:webHidden/>
          </w:rPr>
        </w:r>
        <w:r w:rsidR="00501526">
          <w:rPr>
            <w:noProof/>
            <w:webHidden/>
          </w:rPr>
          <w:fldChar w:fldCharType="separate"/>
        </w:r>
        <w:r w:rsidR="00D300D0">
          <w:rPr>
            <w:noProof/>
            <w:webHidden/>
          </w:rPr>
          <w:t>xxxiv</w:t>
        </w:r>
        <w:r w:rsidR="00501526">
          <w:rPr>
            <w:noProof/>
            <w:webHidden/>
          </w:rPr>
          <w:fldChar w:fldCharType="end"/>
        </w:r>
      </w:hyperlink>
    </w:p>
    <w:p w14:paraId="018A61EB" w14:textId="2988DBFF"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90" w:history="1">
        <w:r w:rsidR="00501526" w:rsidRPr="001F4BC9">
          <w:rPr>
            <w:rStyle w:val="Hyperlink"/>
            <w:noProof/>
          </w:rPr>
          <w:t>Part A: Background and context</w:t>
        </w:r>
        <w:r w:rsidR="00501526">
          <w:rPr>
            <w:noProof/>
            <w:webHidden/>
          </w:rPr>
          <w:tab/>
        </w:r>
        <w:r w:rsidR="00501526">
          <w:rPr>
            <w:noProof/>
            <w:webHidden/>
          </w:rPr>
          <w:fldChar w:fldCharType="begin"/>
        </w:r>
        <w:r w:rsidR="00501526">
          <w:rPr>
            <w:noProof/>
            <w:webHidden/>
          </w:rPr>
          <w:instrText xml:space="preserve"> PAGEREF _Toc170227390 \h </w:instrText>
        </w:r>
        <w:r w:rsidR="00501526">
          <w:rPr>
            <w:noProof/>
            <w:webHidden/>
          </w:rPr>
        </w:r>
        <w:r w:rsidR="00501526">
          <w:rPr>
            <w:noProof/>
            <w:webHidden/>
          </w:rPr>
          <w:fldChar w:fldCharType="separate"/>
        </w:r>
        <w:r w:rsidR="00D300D0">
          <w:rPr>
            <w:noProof/>
            <w:webHidden/>
          </w:rPr>
          <w:t>1</w:t>
        </w:r>
        <w:r w:rsidR="00501526">
          <w:rPr>
            <w:noProof/>
            <w:webHidden/>
          </w:rPr>
          <w:fldChar w:fldCharType="end"/>
        </w:r>
      </w:hyperlink>
    </w:p>
    <w:p w14:paraId="34DB2F0A" w14:textId="1B5186F4"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91" w:history="1">
        <w:r w:rsidR="00501526" w:rsidRPr="001F4BC9">
          <w:rPr>
            <w:rStyle w:val="Hyperlink"/>
            <w:noProof/>
          </w:rPr>
          <w:t>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Introduction</w:t>
        </w:r>
        <w:r w:rsidR="00501526">
          <w:rPr>
            <w:noProof/>
            <w:webHidden/>
          </w:rPr>
          <w:tab/>
        </w:r>
        <w:r w:rsidR="00501526">
          <w:rPr>
            <w:noProof/>
            <w:webHidden/>
          </w:rPr>
          <w:fldChar w:fldCharType="begin"/>
        </w:r>
        <w:r w:rsidR="00501526">
          <w:rPr>
            <w:noProof/>
            <w:webHidden/>
          </w:rPr>
          <w:instrText xml:space="preserve"> PAGEREF _Toc170227391 \h </w:instrText>
        </w:r>
        <w:r w:rsidR="00501526">
          <w:rPr>
            <w:noProof/>
            <w:webHidden/>
          </w:rPr>
        </w:r>
        <w:r w:rsidR="00501526">
          <w:rPr>
            <w:noProof/>
            <w:webHidden/>
          </w:rPr>
          <w:fldChar w:fldCharType="separate"/>
        </w:r>
        <w:r w:rsidR="00D300D0">
          <w:rPr>
            <w:noProof/>
            <w:webHidden/>
          </w:rPr>
          <w:t>2</w:t>
        </w:r>
        <w:r w:rsidR="00501526">
          <w:rPr>
            <w:noProof/>
            <w:webHidden/>
          </w:rPr>
          <w:fldChar w:fldCharType="end"/>
        </w:r>
      </w:hyperlink>
    </w:p>
    <w:p w14:paraId="57A87517" w14:textId="6A7DA05F"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392" w:history="1">
        <w:r w:rsidR="00501526" w:rsidRPr="001F4BC9">
          <w:rPr>
            <w:rStyle w:val="Hyperlink"/>
            <w:noProof/>
          </w:rPr>
          <w:t>1.1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Review of the Community Child Care Fund Restricted (CCCFR) grant</w:t>
        </w:r>
        <w:r w:rsidR="00501526">
          <w:rPr>
            <w:noProof/>
            <w:webHidden/>
          </w:rPr>
          <w:tab/>
        </w:r>
        <w:r w:rsidR="00501526">
          <w:rPr>
            <w:noProof/>
            <w:webHidden/>
          </w:rPr>
          <w:fldChar w:fldCharType="begin"/>
        </w:r>
        <w:r w:rsidR="00501526">
          <w:rPr>
            <w:noProof/>
            <w:webHidden/>
          </w:rPr>
          <w:instrText xml:space="preserve"> PAGEREF _Toc170227392 \h </w:instrText>
        </w:r>
        <w:r w:rsidR="00501526">
          <w:rPr>
            <w:noProof/>
            <w:webHidden/>
          </w:rPr>
        </w:r>
        <w:r w:rsidR="00501526">
          <w:rPr>
            <w:noProof/>
            <w:webHidden/>
          </w:rPr>
          <w:fldChar w:fldCharType="separate"/>
        </w:r>
        <w:r w:rsidR="00D300D0">
          <w:rPr>
            <w:noProof/>
            <w:webHidden/>
          </w:rPr>
          <w:t>2</w:t>
        </w:r>
        <w:r w:rsidR="00501526">
          <w:rPr>
            <w:noProof/>
            <w:webHidden/>
          </w:rPr>
          <w:fldChar w:fldCharType="end"/>
        </w:r>
      </w:hyperlink>
    </w:p>
    <w:p w14:paraId="74A0CC41" w14:textId="37A40D97"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393" w:history="1">
        <w:r w:rsidR="00501526" w:rsidRPr="001F4BC9">
          <w:rPr>
            <w:rStyle w:val="Hyperlink"/>
            <w:noProof/>
          </w:rPr>
          <w:t>1.2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Scope and structure of this report</w:t>
        </w:r>
        <w:r w:rsidR="00501526">
          <w:rPr>
            <w:noProof/>
            <w:webHidden/>
          </w:rPr>
          <w:tab/>
        </w:r>
        <w:r w:rsidR="00501526">
          <w:rPr>
            <w:noProof/>
            <w:webHidden/>
          </w:rPr>
          <w:fldChar w:fldCharType="begin"/>
        </w:r>
        <w:r w:rsidR="00501526">
          <w:rPr>
            <w:noProof/>
            <w:webHidden/>
          </w:rPr>
          <w:instrText xml:space="preserve"> PAGEREF _Toc170227393 \h </w:instrText>
        </w:r>
        <w:r w:rsidR="00501526">
          <w:rPr>
            <w:noProof/>
            <w:webHidden/>
          </w:rPr>
        </w:r>
        <w:r w:rsidR="00501526">
          <w:rPr>
            <w:noProof/>
            <w:webHidden/>
          </w:rPr>
          <w:fldChar w:fldCharType="separate"/>
        </w:r>
        <w:r w:rsidR="00D300D0">
          <w:rPr>
            <w:noProof/>
            <w:webHidden/>
          </w:rPr>
          <w:t>8</w:t>
        </w:r>
        <w:r w:rsidR="00501526">
          <w:rPr>
            <w:noProof/>
            <w:webHidden/>
          </w:rPr>
          <w:fldChar w:fldCharType="end"/>
        </w:r>
      </w:hyperlink>
    </w:p>
    <w:p w14:paraId="57C8DA7D" w14:textId="383B2B9E"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94" w:history="1">
        <w:r w:rsidR="00501526" w:rsidRPr="001F4BC9">
          <w:rPr>
            <w:rStyle w:val="Hyperlink"/>
            <w:noProof/>
          </w:rPr>
          <w:t>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Overview of the Community Child Care Fund Restricted (CCCFR) grant</w:t>
        </w:r>
        <w:r w:rsidR="00501526">
          <w:rPr>
            <w:noProof/>
            <w:webHidden/>
          </w:rPr>
          <w:tab/>
        </w:r>
        <w:r w:rsidR="00501526">
          <w:rPr>
            <w:noProof/>
            <w:webHidden/>
          </w:rPr>
          <w:fldChar w:fldCharType="begin"/>
        </w:r>
        <w:r w:rsidR="00501526">
          <w:rPr>
            <w:noProof/>
            <w:webHidden/>
          </w:rPr>
          <w:instrText xml:space="preserve"> PAGEREF _Toc170227394 \h </w:instrText>
        </w:r>
        <w:r w:rsidR="00501526">
          <w:rPr>
            <w:noProof/>
            <w:webHidden/>
          </w:rPr>
        </w:r>
        <w:r w:rsidR="00501526">
          <w:rPr>
            <w:noProof/>
            <w:webHidden/>
          </w:rPr>
          <w:fldChar w:fldCharType="separate"/>
        </w:r>
        <w:r w:rsidR="00D300D0">
          <w:rPr>
            <w:noProof/>
            <w:webHidden/>
          </w:rPr>
          <w:t>9</w:t>
        </w:r>
        <w:r w:rsidR="00501526">
          <w:rPr>
            <w:noProof/>
            <w:webHidden/>
          </w:rPr>
          <w:fldChar w:fldCharType="end"/>
        </w:r>
      </w:hyperlink>
    </w:p>
    <w:p w14:paraId="4F72D76F" w14:textId="4C5C920F"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395" w:history="1">
        <w:r w:rsidR="00501526" w:rsidRPr="001F4BC9">
          <w:rPr>
            <w:rStyle w:val="Hyperlink"/>
            <w:noProof/>
          </w:rPr>
          <w:t>2.1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History of the CCCFR grant</w:t>
        </w:r>
        <w:r w:rsidR="00501526">
          <w:rPr>
            <w:noProof/>
            <w:webHidden/>
          </w:rPr>
          <w:tab/>
        </w:r>
        <w:r w:rsidR="00501526">
          <w:rPr>
            <w:noProof/>
            <w:webHidden/>
          </w:rPr>
          <w:fldChar w:fldCharType="begin"/>
        </w:r>
        <w:r w:rsidR="00501526">
          <w:rPr>
            <w:noProof/>
            <w:webHidden/>
          </w:rPr>
          <w:instrText xml:space="preserve"> PAGEREF _Toc170227395 \h </w:instrText>
        </w:r>
        <w:r w:rsidR="00501526">
          <w:rPr>
            <w:noProof/>
            <w:webHidden/>
          </w:rPr>
        </w:r>
        <w:r w:rsidR="00501526">
          <w:rPr>
            <w:noProof/>
            <w:webHidden/>
          </w:rPr>
          <w:fldChar w:fldCharType="separate"/>
        </w:r>
        <w:r w:rsidR="00D300D0">
          <w:rPr>
            <w:noProof/>
            <w:webHidden/>
          </w:rPr>
          <w:t>9</w:t>
        </w:r>
        <w:r w:rsidR="00501526">
          <w:rPr>
            <w:noProof/>
            <w:webHidden/>
          </w:rPr>
          <w:fldChar w:fldCharType="end"/>
        </w:r>
      </w:hyperlink>
    </w:p>
    <w:p w14:paraId="03BF97FE" w14:textId="66A32C7C"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396" w:history="1">
        <w:r w:rsidR="00501526" w:rsidRPr="001F4BC9">
          <w:rPr>
            <w:rStyle w:val="Hyperlink"/>
            <w:noProof/>
          </w:rPr>
          <w:t>2.2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CCCFR grant objectives and intent</w:t>
        </w:r>
        <w:r w:rsidR="00501526">
          <w:rPr>
            <w:noProof/>
            <w:webHidden/>
          </w:rPr>
          <w:tab/>
        </w:r>
        <w:r w:rsidR="00501526">
          <w:rPr>
            <w:noProof/>
            <w:webHidden/>
          </w:rPr>
          <w:fldChar w:fldCharType="begin"/>
        </w:r>
        <w:r w:rsidR="00501526">
          <w:rPr>
            <w:noProof/>
            <w:webHidden/>
          </w:rPr>
          <w:instrText xml:space="preserve"> PAGEREF _Toc170227396 \h </w:instrText>
        </w:r>
        <w:r w:rsidR="00501526">
          <w:rPr>
            <w:noProof/>
            <w:webHidden/>
          </w:rPr>
        </w:r>
        <w:r w:rsidR="00501526">
          <w:rPr>
            <w:noProof/>
            <w:webHidden/>
          </w:rPr>
          <w:fldChar w:fldCharType="separate"/>
        </w:r>
        <w:r w:rsidR="00D300D0">
          <w:rPr>
            <w:noProof/>
            <w:webHidden/>
          </w:rPr>
          <w:t>13</w:t>
        </w:r>
        <w:r w:rsidR="00501526">
          <w:rPr>
            <w:noProof/>
            <w:webHidden/>
          </w:rPr>
          <w:fldChar w:fldCharType="end"/>
        </w:r>
      </w:hyperlink>
    </w:p>
    <w:p w14:paraId="68369681" w14:textId="05BA67C6"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397" w:history="1">
        <w:r w:rsidR="00501526" w:rsidRPr="001F4BC9">
          <w:rPr>
            <w:rStyle w:val="Hyperlink"/>
            <w:noProof/>
          </w:rPr>
          <w:t>2.3</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The CCCFR grant today</w:t>
        </w:r>
        <w:r w:rsidR="00501526">
          <w:rPr>
            <w:noProof/>
            <w:webHidden/>
          </w:rPr>
          <w:tab/>
        </w:r>
        <w:r w:rsidR="00501526">
          <w:rPr>
            <w:noProof/>
            <w:webHidden/>
          </w:rPr>
          <w:fldChar w:fldCharType="begin"/>
        </w:r>
        <w:r w:rsidR="00501526">
          <w:rPr>
            <w:noProof/>
            <w:webHidden/>
          </w:rPr>
          <w:instrText xml:space="preserve"> PAGEREF _Toc170227397 \h </w:instrText>
        </w:r>
        <w:r w:rsidR="00501526">
          <w:rPr>
            <w:noProof/>
            <w:webHidden/>
          </w:rPr>
        </w:r>
        <w:r w:rsidR="00501526">
          <w:rPr>
            <w:noProof/>
            <w:webHidden/>
          </w:rPr>
          <w:fldChar w:fldCharType="separate"/>
        </w:r>
        <w:r w:rsidR="00D300D0">
          <w:rPr>
            <w:noProof/>
            <w:webHidden/>
          </w:rPr>
          <w:t>15</w:t>
        </w:r>
        <w:r w:rsidR="00501526">
          <w:rPr>
            <w:noProof/>
            <w:webHidden/>
          </w:rPr>
          <w:fldChar w:fldCharType="end"/>
        </w:r>
      </w:hyperlink>
    </w:p>
    <w:p w14:paraId="1138CBA7" w14:textId="38ECD5DE"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398" w:history="1">
        <w:r w:rsidR="00501526" w:rsidRPr="001F4BC9">
          <w:rPr>
            <w:rStyle w:val="Hyperlink"/>
            <w:noProof/>
          </w:rPr>
          <w:t>2.4</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Profile of CCCFR services</w:t>
        </w:r>
        <w:r w:rsidR="00501526">
          <w:rPr>
            <w:noProof/>
            <w:webHidden/>
          </w:rPr>
          <w:tab/>
        </w:r>
        <w:r w:rsidR="00501526">
          <w:rPr>
            <w:noProof/>
            <w:webHidden/>
          </w:rPr>
          <w:fldChar w:fldCharType="begin"/>
        </w:r>
        <w:r w:rsidR="00501526">
          <w:rPr>
            <w:noProof/>
            <w:webHidden/>
          </w:rPr>
          <w:instrText xml:space="preserve"> PAGEREF _Toc170227398 \h </w:instrText>
        </w:r>
        <w:r w:rsidR="00501526">
          <w:rPr>
            <w:noProof/>
            <w:webHidden/>
          </w:rPr>
        </w:r>
        <w:r w:rsidR="00501526">
          <w:rPr>
            <w:noProof/>
            <w:webHidden/>
          </w:rPr>
          <w:fldChar w:fldCharType="separate"/>
        </w:r>
        <w:r w:rsidR="00D300D0">
          <w:rPr>
            <w:noProof/>
            <w:webHidden/>
          </w:rPr>
          <w:t>24</w:t>
        </w:r>
        <w:r w:rsidR="00501526">
          <w:rPr>
            <w:noProof/>
            <w:webHidden/>
          </w:rPr>
          <w:fldChar w:fldCharType="end"/>
        </w:r>
      </w:hyperlink>
    </w:p>
    <w:p w14:paraId="4AE971A7" w14:textId="4B435C2A"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399" w:history="1">
        <w:r w:rsidR="00501526" w:rsidRPr="001F4BC9">
          <w:rPr>
            <w:rStyle w:val="Hyperlink"/>
            <w:noProof/>
          </w:rPr>
          <w:t>3</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Review framework</w:t>
        </w:r>
        <w:r w:rsidR="00501526">
          <w:rPr>
            <w:noProof/>
            <w:webHidden/>
          </w:rPr>
          <w:tab/>
        </w:r>
        <w:r w:rsidR="00501526">
          <w:rPr>
            <w:noProof/>
            <w:webHidden/>
          </w:rPr>
          <w:fldChar w:fldCharType="begin"/>
        </w:r>
        <w:r w:rsidR="00501526">
          <w:rPr>
            <w:noProof/>
            <w:webHidden/>
          </w:rPr>
          <w:instrText xml:space="preserve"> PAGEREF _Toc170227399 \h </w:instrText>
        </w:r>
        <w:r w:rsidR="00501526">
          <w:rPr>
            <w:noProof/>
            <w:webHidden/>
          </w:rPr>
        </w:r>
        <w:r w:rsidR="00501526">
          <w:rPr>
            <w:noProof/>
            <w:webHidden/>
          </w:rPr>
          <w:fldChar w:fldCharType="separate"/>
        </w:r>
        <w:r w:rsidR="00D300D0">
          <w:rPr>
            <w:noProof/>
            <w:webHidden/>
          </w:rPr>
          <w:t>41</w:t>
        </w:r>
        <w:r w:rsidR="00501526">
          <w:rPr>
            <w:noProof/>
            <w:webHidden/>
          </w:rPr>
          <w:fldChar w:fldCharType="end"/>
        </w:r>
      </w:hyperlink>
    </w:p>
    <w:p w14:paraId="78B9DF0B" w14:textId="41E1A045"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00" w:history="1">
        <w:r w:rsidR="00501526" w:rsidRPr="001F4BC9">
          <w:rPr>
            <w:rStyle w:val="Hyperlink"/>
            <w:noProof/>
          </w:rPr>
          <w:t>3.2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Review domains and underlying research questions</w:t>
        </w:r>
        <w:r w:rsidR="00501526">
          <w:rPr>
            <w:noProof/>
            <w:webHidden/>
          </w:rPr>
          <w:tab/>
        </w:r>
        <w:r w:rsidR="00501526">
          <w:rPr>
            <w:noProof/>
            <w:webHidden/>
          </w:rPr>
          <w:fldChar w:fldCharType="begin"/>
        </w:r>
        <w:r w:rsidR="00501526">
          <w:rPr>
            <w:noProof/>
            <w:webHidden/>
          </w:rPr>
          <w:instrText xml:space="preserve"> PAGEREF _Toc170227400 \h </w:instrText>
        </w:r>
        <w:r w:rsidR="00501526">
          <w:rPr>
            <w:noProof/>
            <w:webHidden/>
          </w:rPr>
        </w:r>
        <w:r w:rsidR="00501526">
          <w:rPr>
            <w:noProof/>
            <w:webHidden/>
          </w:rPr>
          <w:fldChar w:fldCharType="separate"/>
        </w:r>
        <w:r w:rsidR="00D300D0">
          <w:rPr>
            <w:noProof/>
            <w:webHidden/>
          </w:rPr>
          <w:t>43</w:t>
        </w:r>
        <w:r w:rsidR="00501526">
          <w:rPr>
            <w:noProof/>
            <w:webHidden/>
          </w:rPr>
          <w:fldChar w:fldCharType="end"/>
        </w:r>
      </w:hyperlink>
    </w:p>
    <w:p w14:paraId="0DAE9EDD" w14:textId="0E22C710"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01" w:history="1">
        <w:r w:rsidR="00501526" w:rsidRPr="001F4BC9">
          <w:rPr>
            <w:rStyle w:val="Hyperlink"/>
            <w:noProof/>
          </w:rPr>
          <w:t>4</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Underpinning evidence base</w:t>
        </w:r>
        <w:r w:rsidR="00501526">
          <w:rPr>
            <w:noProof/>
            <w:webHidden/>
          </w:rPr>
          <w:tab/>
        </w:r>
        <w:r w:rsidR="00501526">
          <w:rPr>
            <w:noProof/>
            <w:webHidden/>
          </w:rPr>
          <w:fldChar w:fldCharType="begin"/>
        </w:r>
        <w:r w:rsidR="00501526">
          <w:rPr>
            <w:noProof/>
            <w:webHidden/>
          </w:rPr>
          <w:instrText xml:space="preserve"> PAGEREF _Toc170227401 \h </w:instrText>
        </w:r>
        <w:r w:rsidR="00501526">
          <w:rPr>
            <w:noProof/>
            <w:webHidden/>
          </w:rPr>
        </w:r>
        <w:r w:rsidR="00501526">
          <w:rPr>
            <w:noProof/>
            <w:webHidden/>
          </w:rPr>
          <w:fldChar w:fldCharType="separate"/>
        </w:r>
        <w:r w:rsidR="00D300D0">
          <w:rPr>
            <w:noProof/>
            <w:webHidden/>
          </w:rPr>
          <w:t>47</w:t>
        </w:r>
        <w:r w:rsidR="00501526">
          <w:rPr>
            <w:noProof/>
            <w:webHidden/>
          </w:rPr>
          <w:fldChar w:fldCharType="end"/>
        </w:r>
      </w:hyperlink>
    </w:p>
    <w:p w14:paraId="7F112D1E" w14:textId="6F51DC38"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02" w:history="1">
        <w:r w:rsidR="00501526" w:rsidRPr="001F4BC9">
          <w:rPr>
            <w:rStyle w:val="Hyperlink"/>
            <w:noProof/>
          </w:rPr>
          <w:t>4.1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Primary evidence</w:t>
        </w:r>
        <w:r w:rsidR="00501526">
          <w:rPr>
            <w:noProof/>
            <w:webHidden/>
          </w:rPr>
          <w:tab/>
        </w:r>
        <w:r w:rsidR="00501526">
          <w:rPr>
            <w:noProof/>
            <w:webHidden/>
          </w:rPr>
          <w:fldChar w:fldCharType="begin"/>
        </w:r>
        <w:r w:rsidR="00501526">
          <w:rPr>
            <w:noProof/>
            <w:webHidden/>
          </w:rPr>
          <w:instrText xml:space="preserve"> PAGEREF _Toc170227402 \h </w:instrText>
        </w:r>
        <w:r w:rsidR="00501526">
          <w:rPr>
            <w:noProof/>
            <w:webHidden/>
          </w:rPr>
        </w:r>
        <w:r w:rsidR="00501526">
          <w:rPr>
            <w:noProof/>
            <w:webHidden/>
          </w:rPr>
          <w:fldChar w:fldCharType="separate"/>
        </w:r>
        <w:r w:rsidR="00D300D0">
          <w:rPr>
            <w:noProof/>
            <w:webHidden/>
          </w:rPr>
          <w:t>47</w:t>
        </w:r>
        <w:r w:rsidR="00501526">
          <w:rPr>
            <w:noProof/>
            <w:webHidden/>
          </w:rPr>
          <w:fldChar w:fldCharType="end"/>
        </w:r>
      </w:hyperlink>
    </w:p>
    <w:p w14:paraId="50FCD7E0" w14:textId="1A3453D1"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03" w:history="1">
        <w:r w:rsidR="00501526" w:rsidRPr="001F4BC9">
          <w:rPr>
            <w:rStyle w:val="Hyperlink"/>
            <w:noProof/>
          </w:rPr>
          <w:t>4.2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Secondary evidence</w:t>
        </w:r>
        <w:r w:rsidR="00501526">
          <w:rPr>
            <w:noProof/>
            <w:webHidden/>
          </w:rPr>
          <w:tab/>
        </w:r>
        <w:r w:rsidR="00501526">
          <w:rPr>
            <w:noProof/>
            <w:webHidden/>
          </w:rPr>
          <w:fldChar w:fldCharType="begin"/>
        </w:r>
        <w:r w:rsidR="00501526">
          <w:rPr>
            <w:noProof/>
            <w:webHidden/>
          </w:rPr>
          <w:instrText xml:space="preserve"> PAGEREF _Toc170227403 \h </w:instrText>
        </w:r>
        <w:r w:rsidR="00501526">
          <w:rPr>
            <w:noProof/>
            <w:webHidden/>
          </w:rPr>
        </w:r>
        <w:r w:rsidR="00501526">
          <w:rPr>
            <w:noProof/>
            <w:webHidden/>
          </w:rPr>
          <w:fldChar w:fldCharType="separate"/>
        </w:r>
        <w:r w:rsidR="00D300D0">
          <w:rPr>
            <w:noProof/>
            <w:webHidden/>
          </w:rPr>
          <w:t>58</w:t>
        </w:r>
        <w:r w:rsidR="00501526">
          <w:rPr>
            <w:noProof/>
            <w:webHidden/>
          </w:rPr>
          <w:fldChar w:fldCharType="end"/>
        </w:r>
      </w:hyperlink>
    </w:p>
    <w:p w14:paraId="0EF28F82" w14:textId="236DE604"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04" w:history="1">
        <w:r w:rsidR="00501526" w:rsidRPr="001F4BC9">
          <w:rPr>
            <w:rStyle w:val="Hyperlink"/>
            <w:noProof/>
          </w:rPr>
          <w:t>Part B: Review findings and recommendations</w:t>
        </w:r>
        <w:r w:rsidR="00501526">
          <w:rPr>
            <w:noProof/>
            <w:webHidden/>
          </w:rPr>
          <w:tab/>
        </w:r>
        <w:r w:rsidR="00501526">
          <w:rPr>
            <w:noProof/>
            <w:webHidden/>
          </w:rPr>
          <w:fldChar w:fldCharType="begin"/>
        </w:r>
        <w:r w:rsidR="00501526">
          <w:rPr>
            <w:noProof/>
            <w:webHidden/>
          </w:rPr>
          <w:instrText xml:space="preserve"> PAGEREF _Toc170227404 \h </w:instrText>
        </w:r>
        <w:r w:rsidR="00501526">
          <w:rPr>
            <w:noProof/>
            <w:webHidden/>
          </w:rPr>
        </w:r>
        <w:r w:rsidR="00501526">
          <w:rPr>
            <w:noProof/>
            <w:webHidden/>
          </w:rPr>
          <w:fldChar w:fldCharType="separate"/>
        </w:r>
        <w:r w:rsidR="00D300D0">
          <w:rPr>
            <w:noProof/>
            <w:webHidden/>
          </w:rPr>
          <w:t>63</w:t>
        </w:r>
        <w:r w:rsidR="00501526">
          <w:rPr>
            <w:noProof/>
            <w:webHidden/>
          </w:rPr>
          <w:fldChar w:fldCharType="end"/>
        </w:r>
      </w:hyperlink>
    </w:p>
    <w:p w14:paraId="0A782D9F" w14:textId="78B1F39E"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05" w:history="1">
        <w:r w:rsidR="00501526" w:rsidRPr="001F4BC9">
          <w:rPr>
            <w:rStyle w:val="Hyperlink"/>
            <w:noProof/>
          </w:rPr>
          <w:t>5</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Objectives and intent</w:t>
        </w:r>
        <w:r w:rsidR="00501526">
          <w:rPr>
            <w:noProof/>
            <w:webHidden/>
          </w:rPr>
          <w:tab/>
        </w:r>
        <w:r w:rsidR="00501526">
          <w:rPr>
            <w:noProof/>
            <w:webHidden/>
          </w:rPr>
          <w:fldChar w:fldCharType="begin"/>
        </w:r>
        <w:r w:rsidR="00501526">
          <w:rPr>
            <w:noProof/>
            <w:webHidden/>
          </w:rPr>
          <w:instrText xml:space="preserve"> PAGEREF _Toc170227405 \h </w:instrText>
        </w:r>
        <w:r w:rsidR="00501526">
          <w:rPr>
            <w:noProof/>
            <w:webHidden/>
          </w:rPr>
        </w:r>
        <w:r w:rsidR="00501526">
          <w:rPr>
            <w:noProof/>
            <w:webHidden/>
          </w:rPr>
          <w:fldChar w:fldCharType="separate"/>
        </w:r>
        <w:r w:rsidR="00D300D0">
          <w:rPr>
            <w:noProof/>
            <w:webHidden/>
          </w:rPr>
          <w:t>64</w:t>
        </w:r>
        <w:r w:rsidR="00501526">
          <w:rPr>
            <w:noProof/>
            <w:webHidden/>
          </w:rPr>
          <w:fldChar w:fldCharType="end"/>
        </w:r>
      </w:hyperlink>
    </w:p>
    <w:p w14:paraId="3F7AD380" w14:textId="5A12ABF7"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06" w:history="1">
        <w:r w:rsidR="00501526" w:rsidRPr="001F4BC9">
          <w:rPr>
            <w:rStyle w:val="Hyperlink"/>
            <w:noProof/>
          </w:rPr>
          <w:t>5.1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Outcomes against the objectives of the CCCFR grant</w:t>
        </w:r>
        <w:r w:rsidR="00501526">
          <w:rPr>
            <w:noProof/>
            <w:webHidden/>
          </w:rPr>
          <w:tab/>
        </w:r>
        <w:r w:rsidR="00501526">
          <w:rPr>
            <w:noProof/>
            <w:webHidden/>
          </w:rPr>
          <w:fldChar w:fldCharType="begin"/>
        </w:r>
        <w:r w:rsidR="00501526">
          <w:rPr>
            <w:noProof/>
            <w:webHidden/>
          </w:rPr>
          <w:instrText xml:space="preserve"> PAGEREF _Toc170227406 \h </w:instrText>
        </w:r>
        <w:r w:rsidR="00501526">
          <w:rPr>
            <w:noProof/>
            <w:webHidden/>
          </w:rPr>
        </w:r>
        <w:r w:rsidR="00501526">
          <w:rPr>
            <w:noProof/>
            <w:webHidden/>
          </w:rPr>
          <w:fldChar w:fldCharType="separate"/>
        </w:r>
        <w:r w:rsidR="00D300D0">
          <w:rPr>
            <w:noProof/>
            <w:webHidden/>
          </w:rPr>
          <w:t>64</w:t>
        </w:r>
        <w:r w:rsidR="00501526">
          <w:rPr>
            <w:noProof/>
            <w:webHidden/>
          </w:rPr>
          <w:fldChar w:fldCharType="end"/>
        </w:r>
      </w:hyperlink>
    </w:p>
    <w:p w14:paraId="6610ABD1" w14:textId="79FAD2F0"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07" w:history="1">
        <w:r w:rsidR="00501526" w:rsidRPr="001F4BC9">
          <w:rPr>
            <w:rStyle w:val="Hyperlink"/>
            <w:noProof/>
          </w:rPr>
          <w:t>5.2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Awareness and understanding</w:t>
        </w:r>
        <w:r w:rsidR="00501526">
          <w:rPr>
            <w:noProof/>
            <w:webHidden/>
          </w:rPr>
          <w:tab/>
        </w:r>
        <w:r w:rsidR="00501526">
          <w:rPr>
            <w:noProof/>
            <w:webHidden/>
          </w:rPr>
          <w:fldChar w:fldCharType="begin"/>
        </w:r>
        <w:r w:rsidR="00501526">
          <w:rPr>
            <w:noProof/>
            <w:webHidden/>
          </w:rPr>
          <w:instrText xml:space="preserve"> PAGEREF _Toc170227407 \h </w:instrText>
        </w:r>
        <w:r w:rsidR="00501526">
          <w:rPr>
            <w:noProof/>
            <w:webHidden/>
          </w:rPr>
        </w:r>
        <w:r w:rsidR="00501526">
          <w:rPr>
            <w:noProof/>
            <w:webHidden/>
          </w:rPr>
          <w:fldChar w:fldCharType="separate"/>
        </w:r>
        <w:r w:rsidR="00D300D0">
          <w:rPr>
            <w:noProof/>
            <w:webHidden/>
          </w:rPr>
          <w:t>78</w:t>
        </w:r>
        <w:r w:rsidR="00501526">
          <w:rPr>
            <w:noProof/>
            <w:webHidden/>
          </w:rPr>
          <w:fldChar w:fldCharType="end"/>
        </w:r>
      </w:hyperlink>
    </w:p>
    <w:p w14:paraId="289C545B" w14:textId="62C1BCE7"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08" w:history="1">
        <w:r w:rsidR="00501526" w:rsidRPr="001F4BC9">
          <w:rPr>
            <w:rStyle w:val="Hyperlink"/>
            <w:noProof/>
          </w:rPr>
          <w:t>5.3</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Alignment with Australian Government strategic objectives</w:t>
        </w:r>
        <w:r w:rsidR="00501526">
          <w:rPr>
            <w:noProof/>
            <w:webHidden/>
          </w:rPr>
          <w:tab/>
        </w:r>
        <w:r w:rsidR="00501526">
          <w:rPr>
            <w:noProof/>
            <w:webHidden/>
          </w:rPr>
          <w:fldChar w:fldCharType="begin"/>
        </w:r>
        <w:r w:rsidR="00501526">
          <w:rPr>
            <w:noProof/>
            <w:webHidden/>
          </w:rPr>
          <w:instrText xml:space="preserve"> PAGEREF _Toc170227408 \h </w:instrText>
        </w:r>
        <w:r w:rsidR="00501526">
          <w:rPr>
            <w:noProof/>
            <w:webHidden/>
          </w:rPr>
        </w:r>
        <w:r w:rsidR="00501526">
          <w:rPr>
            <w:noProof/>
            <w:webHidden/>
          </w:rPr>
          <w:fldChar w:fldCharType="separate"/>
        </w:r>
        <w:r w:rsidR="00D300D0">
          <w:rPr>
            <w:noProof/>
            <w:webHidden/>
          </w:rPr>
          <w:t>82</w:t>
        </w:r>
        <w:r w:rsidR="00501526">
          <w:rPr>
            <w:noProof/>
            <w:webHidden/>
          </w:rPr>
          <w:fldChar w:fldCharType="end"/>
        </w:r>
      </w:hyperlink>
    </w:p>
    <w:p w14:paraId="105D0253" w14:textId="5E95C8A7"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09" w:history="1">
        <w:r w:rsidR="00501526" w:rsidRPr="001F4BC9">
          <w:rPr>
            <w:rStyle w:val="Hyperlink"/>
            <w:noProof/>
          </w:rPr>
          <w:t>5.4</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Alignment with service, family and community needs and expectations</w:t>
        </w:r>
        <w:r w:rsidR="00501526">
          <w:rPr>
            <w:noProof/>
            <w:webHidden/>
          </w:rPr>
          <w:tab/>
        </w:r>
        <w:r w:rsidR="00501526">
          <w:rPr>
            <w:noProof/>
            <w:webHidden/>
          </w:rPr>
          <w:fldChar w:fldCharType="begin"/>
        </w:r>
        <w:r w:rsidR="00501526">
          <w:rPr>
            <w:noProof/>
            <w:webHidden/>
          </w:rPr>
          <w:instrText xml:space="preserve"> PAGEREF _Toc170227409 \h </w:instrText>
        </w:r>
        <w:r w:rsidR="00501526">
          <w:rPr>
            <w:noProof/>
            <w:webHidden/>
          </w:rPr>
        </w:r>
        <w:r w:rsidR="00501526">
          <w:rPr>
            <w:noProof/>
            <w:webHidden/>
          </w:rPr>
          <w:fldChar w:fldCharType="separate"/>
        </w:r>
        <w:r w:rsidR="00D300D0">
          <w:rPr>
            <w:noProof/>
            <w:webHidden/>
          </w:rPr>
          <w:t>89</w:t>
        </w:r>
        <w:r w:rsidR="00501526">
          <w:rPr>
            <w:noProof/>
            <w:webHidden/>
          </w:rPr>
          <w:fldChar w:fldCharType="end"/>
        </w:r>
      </w:hyperlink>
    </w:p>
    <w:p w14:paraId="5B2EE6C5" w14:textId="2AFF6B63"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10" w:history="1">
        <w:r w:rsidR="00501526" w:rsidRPr="001F4BC9">
          <w:rPr>
            <w:rStyle w:val="Hyperlink"/>
            <w:noProof/>
          </w:rPr>
          <w:t>6</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Policy and funding design</w:t>
        </w:r>
        <w:r w:rsidR="00501526">
          <w:rPr>
            <w:noProof/>
            <w:webHidden/>
          </w:rPr>
          <w:tab/>
        </w:r>
        <w:r w:rsidR="00501526">
          <w:rPr>
            <w:noProof/>
            <w:webHidden/>
          </w:rPr>
          <w:fldChar w:fldCharType="begin"/>
        </w:r>
        <w:r w:rsidR="00501526">
          <w:rPr>
            <w:noProof/>
            <w:webHidden/>
          </w:rPr>
          <w:instrText xml:space="preserve"> PAGEREF _Toc170227410 \h </w:instrText>
        </w:r>
        <w:r w:rsidR="00501526">
          <w:rPr>
            <w:noProof/>
            <w:webHidden/>
          </w:rPr>
        </w:r>
        <w:r w:rsidR="00501526">
          <w:rPr>
            <w:noProof/>
            <w:webHidden/>
          </w:rPr>
          <w:fldChar w:fldCharType="separate"/>
        </w:r>
        <w:r w:rsidR="00D300D0">
          <w:rPr>
            <w:noProof/>
            <w:webHidden/>
          </w:rPr>
          <w:t>94</w:t>
        </w:r>
        <w:r w:rsidR="00501526">
          <w:rPr>
            <w:noProof/>
            <w:webHidden/>
          </w:rPr>
          <w:fldChar w:fldCharType="end"/>
        </w:r>
      </w:hyperlink>
    </w:p>
    <w:p w14:paraId="3157EB62" w14:textId="36E7073A"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11" w:history="1">
        <w:r w:rsidR="00501526" w:rsidRPr="001F4BC9">
          <w:rPr>
            <w:rStyle w:val="Hyperlink"/>
            <w:noProof/>
          </w:rPr>
          <w:t>6.1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Efficacy of current funding design in supporting outcomes</w:t>
        </w:r>
        <w:r w:rsidR="00501526">
          <w:rPr>
            <w:noProof/>
            <w:webHidden/>
          </w:rPr>
          <w:tab/>
        </w:r>
        <w:r w:rsidR="00501526">
          <w:rPr>
            <w:noProof/>
            <w:webHidden/>
          </w:rPr>
          <w:fldChar w:fldCharType="begin"/>
        </w:r>
        <w:r w:rsidR="00501526">
          <w:rPr>
            <w:noProof/>
            <w:webHidden/>
          </w:rPr>
          <w:instrText xml:space="preserve"> PAGEREF _Toc170227411 \h </w:instrText>
        </w:r>
        <w:r w:rsidR="00501526">
          <w:rPr>
            <w:noProof/>
            <w:webHidden/>
          </w:rPr>
        </w:r>
        <w:r w:rsidR="00501526">
          <w:rPr>
            <w:noProof/>
            <w:webHidden/>
          </w:rPr>
          <w:fldChar w:fldCharType="separate"/>
        </w:r>
        <w:r w:rsidR="00D300D0">
          <w:rPr>
            <w:noProof/>
            <w:webHidden/>
          </w:rPr>
          <w:t>94</w:t>
        </w:r>
        <w:r w:rsidR="00501526">
          <w:rPr>
            <w:noProof/>
            <w:webHidden/>
          </w:rPr>
          <w:fldChar w:fldCharType="end"/>
        </w:r>
      </w:hyperlink>
    </w:p>
    <w:p w14:paraId="14EDE3F3" w14:textId="0A02B254"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12" w:history="1">
        <w:r w:rsidR="00501526" w:rsidRPr="001F4BC9">
          <w:rPr>
            <w:rStyle w:val="Hyperlink"/>
            <w:noProof/>
          </w:rPr>
          <w:t>6.2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Alignment to other relevant policy and grant settings</w:t>
        </w:r>
        <w:r w:rsidR="00501526">
          <w:rPr>
            <w:noProof/>
            <w:webHidden/>
          </w:rPr>
          <w:tab/>
        </w:r>
        <w:r w:rsidR="00501526">
          <w:rPr>
            <w:noProof/>
            <w:webHidden/>
          </w:rPr>
          <w:fldChar w:fldCharType="begin"/>
        </w:r>
        <w:r w:rsidR="00501526">
          <w:rPr>
            <w:noProof/>
            <w:webHidden/>
          </w:rPr>
          <w:instrText xml:space="preserve"> PAGEREF _Toc170227412 \h </w:instrText>
        </w:r>
        <w:r w:rsidR="00501526">
          <w:rPr>
            <w:noProof/>
            <w:webHidden/>
          </w:rPr>
        </w:r>
        <w:r w:rsidR="00501526">
          <w:rPr>
            <w:noProof/>
            <w:webHidden/>
          </w:rPr>
          <w:fldChar w:fldCharType="separate"/>
        </w:r>
        <w:r w:rsidR="00D300D0">
          <w:rPr>
            <w:noProof/>
            <w:webHidden/>
          </w:rPr>
          <w:t>101</w:t>
        </w:r>
        <w:r w:rsidR="00501526">
          <w:rPr>
            <w:noProof/>
            <w:webHidden/>
          </w:rPr>
          <w:fldChar w:fldCharType="end"/>
        </w:r>
      </w:hyperlink>
    </w:p>
    <w:p w14:paraId="054E907C" w14:textId="5AEE5262"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13" w:history="1">
        <w:r w:rsidR="00501526" w:rsidRPr="001F4BC9">
          <w:rPr>
            <w:rStyle w:val="Hyperlink"/>
            <w:noProof/>
          </w:rPr>
          <w:t>6.3</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Alternative approaches to funding</w:t>
        </w:r>
        <w:r w:rsidR="00501526">
          <w:rPr>
            <w:noProof/>
            <w:webHidden/>
          </w:rPr>
          <w:tab/>
        </w:r>
        <w:r w:rsidR="00501526">
          <w:rPr>
            <w:noProof/>
            <w:webHidden/>
          </w:rPr>
          <w:fldChar w:fldCharType="begin"/>
        </w:r>
        <w:r w:rsidR="00501526">
          <w:rPr>
            <w:noProof/>
            <w:webHidden/>
          </w:rPr>
          <w:instrText xml:space="preserve"> PAGEREF _Toc170227413 \h </w:instrText>
        </w:r>
        <w:r w:rsidR="00501526">
          <w:rPr>
            <w:noProof/>
            <w:webHidden/>
          </w:rPr>
        </w:r>
        <w:r w:rsidR="00501526">
          <w:rPr>
            <w:noProof/>
            <w:webHidden/>
          </w:rPr>
          <w:fldChar w:fldCharType="separate"/>
        </w:r>
        <w:r w:rsidR="00D300D0">
          <w:rPr>
            <w:noProof/>
            <w:webHidden/>
          </w:rPr>
          <w:t>106</w:t>
        </w:r>
        <w:r w:rsidR="00501526">
          <w:rPr>
            <w:noProof/>
            <w:webHidden/>
          </w:rPr>
          <w:fldChar w:fldCharType="end"/>
        </w:r>
      </w:hyperlink>
    </w:p>
    <w:p w14:paraId="3209A928" w14:textId="14E290C3"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14" w:history="1">
        <w:r w:rsidR="00501526" w:rsidRPr="001F4BC9">
          <w:rPr>
            <w:rStyle w:val="Hyperlink"/>
            <w:noProof/>
          </w:rPr>
          <w:t>7</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Administration, governance and compliance</w:t>
        </w:r>
        <w:r w:rsidR="00501526">
          <w:rPr>
            <w:noProof/>
            <w:webHidden/>
          </w:rPr>
          <w:tab/>
        </w:r>
        <w:r w:rsidR="00501526">
          <w:rPr>
            <w:noProof/>
            <w:webHidden/>
          </w:rPr>
          <w:fldChar w:fldCharType="begin"/>
        </w:r>
        <w:r w:rsidR="00501526">
          <w:rPr>
            <w:noProof/>
            <w:webHidden/>
          </w:rPr>
          <w:instrText xml:space="preserve"> PAGEREF _Toc170227414 \h </w:instrText>
        </w:r>
        <w:r w:rsidR="00501526">
          <w:rPr>
            <w:noProof/>
            <w:webHidden/>
          </w:rPr>
        </w:r>
        <w:r w:rsidR="00501526">
          <w:rPr>
            <w:noProof/>
            <w:webHidden/>
          </w:rPr>
          <w:fldChar w:fldCharType="separate"/>
        </w:r>
        <w:r w:rsidR="00D300D0">
          <w:rPr>
            <w:noProof/>
            <w:webHidden/>
          </w:rPr>
          <w:t>109</w:t>
        </w:r>
        <w:r w:rsidR="00501526">
          <w:rPr>
            <w:noProof/>
            <w:webHidden/>
          </w:rPr>
          <w:fldChar w:fldCharType="end"/>
        </w:r>
      </w:hyperlink>
    </w:p>
    <w:p w14:paraId="37AB41A4" w14:textId="4E7A4AFB"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15" w:history="1">
        <w:r w:rsidR="00501526" w:rsidRPr="001F4BC9">
          <w:rPr>
            <w:rStyle w:val="Hyperlink"/>
            <w:noProof/>
          </w:rPr>
          <w:t>7.1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CCCFR grant administration and governance</w:t>
        </w:r>
        <w:r w:rsidR="00501526">
          <w:rPr>
            <w:noProof/>
            <w:webHidden/>
          </w:rPr>
          <w:tab/>
        </w:r>
        <w:r w:rsidR="00501526">
          <w:rPr>
            <w:noProof/>
            <w:webHidden/>
          </w:rPr>
          <w:fldChar w:fldCharType="begin"/>
        </w:r>
        <w:r w:rsidR="00501526">
          <w:rPr>
            <w:noProof/>
            <w:webHidden/>
          </w:rPr>
          <w:instrText xml:space="preserve"> PAGEREF _Toc170227415 \h </w:instrText>
        </w:r>
        <w:r w:rsidR="00501526">
          <w:rPr>
            <w:noProof/>
            <w:webHidden/>
          </w:rPr>
        </w:r>
        <w:r w:rsidR="00501526">
          <w:rPr>
            <w:noProof/>
            <w:webHidden/>
          </w:rPr>
          <w:fldChar w:fldCharType="separate"/>
        </w:r>
        <w:r w:rsidR="00D300D0">
          <w:rPr>
            <w:noProof/>
            <w:webHidden/>
          </w:rPr>
          <w:t>109</w:t>
        </w:r>
        <w:r w:rsidR="00501526">
          <w:rPr>
            <w:noProof/>
            <w:webHidden/>
          </w:rPr>
          <w:fldChar w:fldCharType="end"/>
        </w:r>
      </w:hyperlink>
    </w:p>
    <w:p w14:paraId="40020FD0" w14:textId="1A4243DC"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16" w:history="1">
        <w:r w:rsidR="00501526" w:rsidRPr="001F4BC9">
          <w:rPr>
            <w:rStyle w:val="Hyperlink"/>
            <w:noProof/>
          </w:rPr>
          <w:t>7.2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CCCFR grant monitoring and reporting</w:t>
        </w:r>
        <w:r w:rsidR="00501526">
          <w:rPr>
            <w:noProof/>
            <w:webHidden/>
          </w:rPr>
          <w:tab/>
        </w:r>
        <w:r w:rsidR="00501526">
          <w:rPr>
            <w:noProof/>
            <w:webHidden/>
          </w:rPr>
          <w:fldChar w:fldCharType="begin"/>
        </w:r>
        <w:r w:rsidR="00501526">
          <w:rPr>
            <w:noProof/>
            <w:webHidden/>
          </w:rPr>
          <w:instrText xml:space="preserve"> PAGEREF _Toc170227416 \h </w:instrText>
        </w:r>
        <w:r w:rsidR="00501526">
          <w:rPr>
            <w:noProof/>
            <w:webHidden/>
          </w:rPr>
        </w:r>
        <w:r w:rsidR="00501526">
          <w:rPr>
            <w:noProof/>
            <w:webHidden/>
          </w:rPr>
          <w:fldChar w:fldCharType="separate"/>
        </w:r>
        <w:r w:rsidR="00D300D0">
          <w:rPr>
            <w:noProof/>
            <w:webHidden/>
          </w:rPr>
          <w:t>114</w:t>
        </w:r>
        <w:r w:rsidR="00501526">
          <w:rPr>
            <w:noProof/>
            <w:webHidden/>
          </w:rPr>
          <w:fldChar w:fldCharType="end"/>
        </w:r>
      </w:hyperlink>
    </w:p>
    <w:p w14:paraId="2A25733C" w14:textId="4833F8FE"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17" w:history="1">
        <w:r w:rsidR="00501526" w:rsidRPr="001F4BC9">
          <w:rPr>
            <w:rStyle w:val="Hyperlink"/>
            <w:noProof/>
          </w:rPr>
          <w:t>7.3</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Expected barriers to meeting the National Quality Framework and Family Assistance Law obligations</w:t>
        </w:r>
        <w:r w:rsidR="00501526">
          <w:rPr>
            <w:noProof/>
            <w:webHidden/>
          </w:rPr>
          <w:tab/>
        </w:r>
        <w:r w:rsidR="00501526">
          <w:rPr>
            <w:noProof/>
            <w:webHidden/>
          </w:rPr>
          <w:fldChar w:fldCharType="begin"/>
        </w:r>
        <w:r w:rsidR="00501526">
          <w:rPr>
            <w:noProof/>
            <w:webHidden/>
          </w:rPr>
          <w:instrText xml:space="preserve"> PAGEREF _Toc170227417 \h </w:instrText>
        </w:r>
        <w:r w:rsidR="00501526">
          <w:rPr>
            <w:noProof/>
            <w:webHidden/>
          </w:rPr>
        </w:r>
        <w:r w:rsidR="00501526">
          <w:rPr>
            <w:noProof/>
            <w:webHidden/>
          </w:rPr>
          <w:fldChar w:fldCharType="separate"/>
        </w:r>
        <w:r w:rsidR="00D300D0">
          <w:rPr>
            <w:noProof/>
            <w:webHidden/>
          </w:rPr>
          <w:t>117</w:t>
        </w:r>
        <w:r w:rsidR="00501526">
          <w:rPr>
            <w:noProof/>
            <w:webHidden/>
          </w:rPr>
          <w:fldChar w:fldCharType="end"/>
        </w:r>
      </w:hyperlink>
    </w:p>
    <w:p w14:paraId="79C28203" w14:textId="254580C6"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18" w:history="1">
        <w:r w:rsidR="00501526" w:rsidRPr="001F4BC9">
          <w:rPr>
            <w:rStyle w:val="Hyperlink"/>
            <w:noProof/>
          </w:rPr>
          <w:t>7.4</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Service compliance with the Minister’s Rules</w:t>
        </w:r>
        <w:r w:rsidR="00501526">
          <w:rPr>
            <w:noProof/>
            <w:webHidden/>
          </w:rPr>
          <w:tab/>
        </w:r>
        <w:r w:rsidR="00501526">
          <w:rPr>
            <w:noProof/>
            <w:webHidden/>
          </w:rPr>
          <w:fldChar w:fldCharType="begin"/>
        </w:r>
        <w:r w:rsidR="00501526">
          <w:rPr>
            <w:noProof/>
            <w:webHidden/>
          </w:rPr>
          <w:instrText xml:space="preserve"> PAGEREF _Toc170227418 \h </w:instrText>
        </w:r>
        <w:r w:rsidR="00501526">
          <w:rPr>
            <w:noProof/>
            <w:webHidden/>
          </w:rPr>
        </w:r>
        <w:r w:rsidR="00501526">
          <w:rPr>
            <w:noProof/>
            <w:webHidden/>
          </w:rPr>
          <w:fldChar w:fldCharType="separate"/>
        </w:r>
        <w:r w:rsidR="00D300D0">
          <w:rPr>
            <w:noProof/>
            <w:webHidden/>
          </w:rPr>
          <w:t>130</w:t>
        </w:r>
        <w:r w:rsidR="00501526">
          <w:rPr>
            <w:noProof/>
            <w:webHidden/>
          </w:rPr>
          <w:fldChar w:fldCharType="end"/>
        </w:r>
      </w:hyperlink>
    </w:p>
    <w:p w14:paraId="3602964A" w14:textId="59DCC5B9"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19" w:history="1">
        <w:r w:rsidR="00501526" w:rsidRPr="001F4BC9">
          <w:rPr>
            <w:rStyle w:val="Hyperlink"/>
            <w:noProof/>
          </w:rPr>
          <w:t>7.5</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Impact on service governance and leadership</w:t>
        </w:r>
        <w:r w:rsidR="00501526">
          <w:rPr>
            <w:noProof/>
            <w:webHidden/>
          </w:rPr>
          <w:tab/>
        </w:r>
        <w:r w:rsidR="00501526">
          <w:rPr>
            <w:noProof/>
            <w:webHidden/>
          </w:rPr>
          <w:fldChar w:fldCharType="begin"/>
        </w:r>
        <w:r w:rsidR="00501526">
          <w:rPr>
            <w:noProof/>
            <w:webHidden/>
          </w:rPr>
          <w:instrText xml:space="preserve"> PAGEREF _Toc170227419 \h </w:instrText>
        </w:r>
        <w:r w:rsidR="00501526">
          <w:rPr>
            <w:noProof/>
            <w:webHidden/>
          </w:rPr>
        </w:r>
        <w:r w:rsidR="00501526">
          <w:rPr>
            <w:noProof/>
            <w:webHidden/>
          </w:rPr>
          <w:fldChar w:fldCharType="separate"/>
        </w:r>
        <w:r w:rsidR="00D300D0">
          <w:rPr>
            <w:noProof/>
            <w:webHidden/>
          </w:rPr>
          <w:t>135</w:t>
        </w:r>
        <w:r w:rsidR="00501526">
          <w:rPr>
            <w:noProof/>
            <w:webHidden/>
          </w:rPr>
          <w:fldChar w:fldCharType="end"/>
        </w:r>
      </w:hyperlink>
    </w:p>
    <w:p w14:paraId="1C4C6FA0" w14:textId="082E91F6"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20" w:history="1">
        <w:r w:rsidR="00501526" w:rsidRPr="001F4BC9">
          <w:rPr>
            <w:rStyle w:val="Hyperlink"/>
            <w:noProof/>
          </w:rPr>
          <w:t>8</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Resourcing and financial sustainability</w:t>
        </w:r>
        <w:r w:rsidR="00501526">
          <w:rPr>
            <w:noProof/>
            <w:webHidden/>
          </w:rPr>
          <w:tab/>
        </w:r>
        <w:r w:rsidR="00501526">
          <w:rPr>
            <w:noProof/>
            <w:webHidden/>
          </w:rPr>
          <w:fldChar w:fldCharType="begin"/>
        </w:r>
        <w:r w:rsidR="00501526">
          <w:rPr>
            <w:noProof/>
            <w:webHidden/>
          </w:rPr>
          <w:instrText xml:space="preserve"> PAGEREF _Toc170227420 \h </w:instrText>
        </w:r>
        <w:r w:rsidR="00501526">
          <w:rPr>
            <w:noProof/>
            <w:webHidden/>
          </w:rPr>
        </w:r>
        <w:r w:rsidR="00501526">
          <w:rPr>
            <w:noProof/>
            <w:webHidden/>
          </w:rPr>
          <w:fldChar w:fldCharType="separate"/>
        </w:r>
        <w:r w:rsidR="00D300D0">
          <w:rPr>
            <w:noProof/>
            <w:webHidden/>
          </w:rPr>
          <w:t>137</w:t>
        </w:r>
        <w:r w:rsidR="00501526">
          <w:rPr>
            <w:noProof/>
            <w:webHidden/>
          </w:rPr>
          <w:fldChar w:fldCharType="end"/>
        </w:r>
      </w:hyperlink>
    </w:p>
    <w:p w14:paraId="3B62FF54" w14:textId="562B021F"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21" w:history="1">
        <w:r w:rsidR="00501526" w:rsidRPr="001F4BC9">
          <w:rPr>
            <w:rStyle w:val="Hyperlink"/>
            <w:noProof/>
          </w:rPr>
          <w:t>8.1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The relationship between funding, cost and need</w:t>
        </w:r>
        <w:r w:rsidR="00501526">
          <w:rPr>
            <w:noProof/>
            <w:webHidden/>
          </w:rPr>
          <w:tab/>
        </w:r>
        <w:r w:rsidR="00501526">
          <w:rPr>
            <w:noProof/>
            <w:webHidden/>
          </w:rPr>
          <w:fldChar w:fldCharType="begin"/>
        </w:r>
        <w:r w:rsidR="00501526">
          <w:rPr>
            <w:noProof/>
            <w:webHidden/>
          </w:rPr>
          <w:instrText xml:space="preserve"> PAGEREF _Toc170227421 \h </w:instrText>
        </w:r>
        <w:r w:rsidR="00501526">
          <w:rPr>
            <w:noProof/>
            <w:webHidden/>
          </w:rPr>
        </w:r>
        <w:r w:rsidR="00501526">
          <w:rPr>
            <w:noProof/>
            <w:webHidden/>
          </w:rPr>
          <w:fldChar w:fldCharType="separate"/>
        </w:r>
        <w:r w:rsidR="00D300D0">
          <w:rPr>
            <w:noProof/>
            <w:webHidden/>
          </w:rPr>
          <w:t>137</w:t>
        </w:r>
        <w:r w:rsidR="00501526">
          <w:rPr>
            <w:noProof/>
            <w:webHidden/>
          </w:rPr>
          <w:fldChar w:fldCharType="end"/>
        </w:r>
      </w:hyperlink>
    </w:p>
    <w:p w14:paraId="5FEA07D0" w14:textId="6EC0F4E9"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22" w:history="1">
        <w:r w:rsidR="00501526" w:rsidRPr="001F4BC9">
          <w:rPr>
            <w:rStyle w:val="Hyperlink"/>
            <w:noProof/>
          </w:rPr>
          <w:t>8.2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Financial sustainability of services</w:t>
        </w:r>
        <w:r w:rsidR="00501526">
          <w:rPr>
            <w:noProof/>
            <w:webHidden/>
          </w:rPr>
          <w:tab/>
        </w:r>
        <w:r w:rsidR="00501526">
          <w:rPr>
            <w:noProof/>
            <w:webHidden/>
          </w:rPr>
          <w:fldChar w:fldCharType="begin"/>
        </w:r>
        <w:r w:rsidR="00501526">
          <w:rPr>
            <w:noProof/>
            <w:webHidden/>
          </w:rPr>
          <w:instrText xml:space="preserve"> PAGEREF _Toc170227422 \h </w:instrText>
        </w:r>
        <w:r w:rsidR="00501526">
          <w:rPr>
            <w:noProof/>
            <w:webHidden/>
          </w:rPr>
        </w:r>
        <w:r w:rsidR="00501526">
          <w:rPr>
            <w:noProof/>
            <w:webHidden/>
          </w:rPr>
          <w:fldChar w:fldCharType="separate"/>
        </w:r>
        <w:r w:rsidR="00D300D0">
          <w:rPr>
            <w:noProof/>
            <w:webHidden/>
          </w:rPr>
          <w:t>142</w:t>
        </w:r>
        <w:r w:rsidR="00501526">
          <w:rPr>
            <w:noProof/>
            <w:webHidden/>
          </w:rPr>
          <w:fldChar w:fldCharType="end"/>
        </w:r>
      </w:hyperlink>
    </w:p>
    <w:p w14:paraId="303AAFA6" w14:textId="09E45B66"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23" w:history="1">
        <w:r w:rsidR="00501526" w:rsidRPr="001F4BC9">
          <w:rPr>
            <w:rStyle w:val="Hyperlink"/>
            <w:noProof/>
          </w:rPr>
          <w:t>8.3</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Leasing arrangements and their relationship with the grant objectives</w:t>
        </w:r>
        <w:r w:rsidR="00501526">
          <w:rPr>
            <w:noProof/>
            <w:webHidden/>
          </w:rPr>
          <w:tab/>
        </w:r>
        <w:r w:rsidR="00501526">
          <w:rPr>
            <w:noProof/>
            <w:webHidden/>
          </w:rPr>
          <w:fldChar w:fldCharType="begin"/>
        </w:r>
        <w:r w:rsidR="00501526">
          <w:rPr>
            <w:noProof/>
            <w:webHidden/>
          </w:rPr>
          <w:instrText xml:space="preserve"> PAGEREF _Toc170227423 \h </w:instrText>
        </w:r>
        <w:r w:rsidR="00501526">
          <w:rPr>
            <w:noProof/>
            <w:webHidden/>
          </w:rPr>
        </w:r>
        <w:r w:rsidR="00501526">
          <w:rPr>
            <w:noProof/>
            <w:webHidden/>
          </w:rPr>
          <w:fldChar w:fldCharType="separate"/>
        </w:r>
        <w:r w:rsidR="00D300D0">
          <w:rPr>
            <w:noProof/>
            <w:webHidden/>
          </w:rPr>
          <w:t>147</w:t>
        </w:r>
        <w:r w:rsidR="00501526">
          <w:rPr>
            <w:noProof/>
            <w:webHidden/>
          </w:rPr>
          <w:fldChar w:fldCharType="end"/>
        </w:r>
      </w:hyperlink>
    </w:p>
    <w:p w14:paraId="56713B29" w14:textId="5C846E32"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24" w:history="1">
        <w:r w:rsidR="00501526" w:rsidRPr="001F4BC9">
          <w:rPr>
            <w:rStyle w:val="Hyperlink"/>
            <w:noProof/>
          </w:rPr>
          <w:t>8.4</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Infrastructure funding, suitability and environmental sustainability</w:t>
        </w:r>
        <w:r w:rsidR="00501526">
          <w:rPr>
            <w:noProof/>
            <w:webHidden/>
          </w:rPr>
          <w:tab/>
        </w:r>
        <w:r w:rsidR="00501526">
          <w:rPr>
            <w:noProof/>
            <w:webHidden/>
          </w:rPr>
          <w:fldChar w:fldCharType="begin"/>
        </w:r>
        <w:r w:rsidR="00501526">
          <w:rPr>
            <w:noProof/>
            <w:webHidden/>
          </w:rPr>
          <w:instrText xml:space="preserve"> PAGEREF _Toc170227424 \h </w:instrText>
        </w:r>
        <w:r w:rsidR="00501526">
          <w:rPr>
            <w:noProof/>
            <w:webHidden/>
          </w:rPr>
        </w:r>
        <w:r w:rsidR="00501526">
          <w:rPr>
            <w:noProof/>
            <w:webHidden/>
          </w:rPr>
          <w:fldChar w:fldCharType="separate"/>
        </w:r>
        <w:r w:rsidR="00D300D0">
          <w:rPr>
            <w:noProof/>
            <w:webHidden/>
          </w:rPr>
          <w:t>148</w:t>
        </w:r>
        <w:r w:rsidR="00501526">
          <w:rPr>
            <w:noProof/>
            <w:webHidden/>
          </w:rPr>
          <w:fldChar w:fldCharType="end"/>
        </w:r>
      </w:hyperlink>
    </w:p>
    <w:p w14:paraId="50F77527" w14:textId="76181B56"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25" w:history="1">
        <w:r w:rsidR="00501526" w:rsidRPr="001F4BC9">
          <w:rPr>
            <w:rStyle w:val="Hyperlink"/>
            <w:noProof/>
          </w:rPr>
          <w:t>9</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Future grant design</w:t>
        </w:r>
        <w:r w:rsidR="00501526">
          <w:rPr>
            <w:noProof/>
            <w:webHidden/>
          </w:rPr>
          <w:tab/>
        </w:r>
        <w:r w:rsidR="00501526">
          <w:rPr>
            <w:noProof/>
            <w:webHidden/>
          </w:rPr>
          <w:fldChar w:fldCharType="begin"/>
        </w:r>
        <w:r w:rsidR="00501526">
          <w:rPr>
            <w:noProof/>
            <w:webHidden/>
          </w:rPr>
          <w:instrText xml:space="preserve"> PAGEREF _Toc170227425 \h </w:instrText>
        </w:r>
        <w:r w:rsidR="00501526">
          <w:rPr>
            <w:noProof/>
            <w:webHidden/>
          </w:rPr>
        </w:r>
        <w:r w:rsidR="00501526">
          <w:rPr>
            <w:noProof/>
            <w:webHidden/>
          </w:rPr>
          <w:fldChar w:fldCharType="separate"/>
        </w:r>
        <w:r w:rsidR="00D300D0">
          <w:rPr>
            <w:noProof/>
            <w:webHidden/>
          </w:rPr>
          <w:t>150</w:t>
        </w:r>
        <w:r w:rsidR="00501526">
          <w:rPr>
            <w:noProof/>
            <w:webHidden/>
          </w:rPr>
          <w:fldChar w:fldCharType="end"/>
        </w:r>
      </w:hyperlink>
    </w:p>
    <w:p w14:paraId="40562A2A" w14:textId="7461592D"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26" w:history="1">
        <w:r w:rsidR="00501526" w:rsidRPr="001F4BC9">
          <w:rPr>
            <w:rStyle w:val="Hyperlink"/>
            <w:noProof/>
          </w:rPr>
          <w:t>9.1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Translating review findings to recommendations</w:t>
        </w:r>
        <w:r w:rsidR="00501526">
          <w:rPr>
            <w:noProof/>
            <w:webHidden/>
          </w:rPr>
          <w:tab/>
        </w:r>
        <w:r w:rsidR="00501526">
          <w:rPr>
            <w:noProof/>
            <w:webHidden/>
          </w:rPr>
          <w:fldChar w:fldCharType="begin"/>
        </w:r>
        <w:r w:rsidR="00501526">
          <w:rPr>
            <w:noProof/>
            <w:webHidden/>
          </w:rPr>
          <w:instrText xml:space="preserve"> PAGEREF _Toc170227426 \h </w:instrText>
        </w:r>
        <w:r w:rsidR="00501526">
          <w:rPr>
            <w:noProof/>
            <w:webHidden/>
          </w:rPr>
        </w:r>
        <w:r w:rsidR="00501526">
          <w:rPr>
            <w:noProof/>
            <w:webHidden/>
          </w:rPr>
          <w:fldChar w:fldCharType="separate"/>
        </w:r>
        <w:r w:rsidR="00D300D0">
          <w:rPr>
            <w:noProof/>
            <w:webHidden/>
          </w:rPr>
          <w:t>150</w:t>
        </w:r>
        <w:r w:rsidR="00501526">
          <w:rPr>
            <w:noProof/>
            <w:webHidden/>
          </w:rPr>
          <w:fldChar w:fldCharType="end"/>
        </w:r>
      </w:hyperlink>
    </w:p>
    <w:p w14:paraId="449C74A9" w14:textId="04ABC526" w:rsidR="00501526" w:rsidRDefault="00000000">
      <w:pPr>
        <w:pStyle w:val="TOC2"/>
        <w:tabs>
          <w:tab w:val="left" w:pos="1134"/>
        </w:tabs>
        <w:rPr>
          <w:rFonts w:asciiTheme="minorHAnsi" w:eastAsiaTheme="minorEastAsia" w:hAnsiTheme="minorHAnsi"/>
          <w:noProof/>
          <w:kern w:val="2"/>
          <w:sz w:val="22"/>
          <w:szCs w:val="22"/>
          <w:lang w:eastAsia="en-AU"/>
          <w14:ligatures w14:val="standardContextual"/>
        </w:rPr>
      </w:pPr>
      <w:hyperlink w:anchor="_Toc170227427" w:history="1">
        <w:r w:rsidR="00501526" w:rsidRPr="001F4BC9">
          <w:rPr>
            <w:rStyle w:val="Hyperlink"/>
            <w:noProof/>
          </w:rPr>
          <w:t>9.2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Categorising the recommendations</w:t>
        </w:r>
        <w:r w:rsidR="00501526">
          <w:rPr>
            <w:noProof/>
            <w:webHidden/>
          </w:rPr>
          <w:tab/>
        </w:r>
        <w:r w:rsidR="00501526">
          <w:rPr>
            <w:noProof/>
            <w:webHidden/>
          </w:rPr>
          <w:fldChar w:fldCharType="begin"/>
        </w:r>
        <w:r w:rsidR="00501526">
          <w:rPr>
            <w:noProof/>
            <w:webHidden/>
          </w:rPr>
          <w:instrText xml:space="preserve"> PAGEREF _Toc170227427 \h </w:instrText>
        </w:r>
        <w:r w:rsidR="00501526">
          <w:rPr>
            <w:noProof/>
            <w:webHidden/>
          </w:rPr>
        </w:r>
        <w:r w:rsidR="00501526">
          <w:rPr>
            <w:noProof/>
            <w:webHidden/>
          </w:rPr>
          <w:fldChar w:fldCharType="separate"/>
        </w:r>
        <w:r w:rsidR="00D300D0">
          <w:rPr>
            <w:noProof/>
            <w:webHidden/>
          </w:rPr>
          <w:t>152</w:t>
        </w:r>
        <w:r w:rsidR="00501526">
          <w:rPr>
            <w:noProof/>
            <w:webHidden/>
          </w:rPr>
          <w:fldChar w:fldCharType="end"/>
        </w:r>
      </w:hyperlink>
    </w:p>
    <w:p w14:paraId="41344459" w14:textId="23FE83B7"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28" w:history="1">
        <w:r w:rsidR="00501526" w:rsidRPr="001F4BC9">
          <w:rPr>
            <w:rStyle w:val="Hyperlink"/>
            <w:noProof/>
          </w:rPr>
          <w:t>10</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Considerations for implementation</w:t>
        </w:r>
        <w:r w:rsidR="00501526">
          <w:rPr>
            <w:noProof/>
            <w:webHidden/>
          </w:rPr>
          <w:tab/>
        </w:r>
        <w:r w:rsidR="00501526">
          <w:rPr>
            <w:noProof/>
            <w:webHidden/>
          </w:rPr>
          <w:fldChar w:fldCharType="begin"/>
        </w:r>
        <w:r w:rsidR="00501526">
          <w:rPr>
            <w:noProof/>
            <w:webHidden/>
          </w:rPr>
          <w:instrText xml:space="preserve"> PAGEREF _Toc170227428 \h </w:instrText>
        </w:r>
        <w:r w:rsidR="00501526">
          <w:rPr>
            <w:noProof/>
            <w:webHidden/>
          </w:rPr>
        </w:r>
        <w:r w:rsidR="00501526">
          <w:rPr>
            <w:noProof/>
            <w:webHidden/>
          </w:rPr>
          <w:fldChar w:fldCharType="separate"/>
        </w:r>
        <w:r w:rsidR="00D300D0">
          <w:rPr>
            <w:noProof/>
            <w:webHidden/>
          </w:rPr>
          <w:t>170</w:t>
        </w:r>
        <w:r w:rsidR="00501526">
          <w:rPr>
            <w:noProof/>
            <w:webHidden/>
          </w:rPr>
          <w:fldChar w:fldCharType="end"/>
        </w:r>
      </w:hyperlink>
    </w:p>
    <w:p w14:paraId="0D2ED2B7" w14:textId="5779DDAE" w:rsidR="00501526" w:rsidRDefault="00000000">
      <w:pPr>
        <w:pStyle w:val="TOC2"/>
        <w:tabs>
          <w:tab w:val="left" w:pos="1196"/>
        </w:tabs>
        <w:rPr>
          <w:rFonts w:asciiTheme="minorHAnsi" w:eastAsiaTheme="minorEastAsia" w:hAnsiTheme="minorHAnsi"/>
          <w:noProof/>
          <w:kern w:val="2"/>
          <w:sz w:val="22"/>
          <w:szCs w:val="22"/>
          <w:lang w:eastAsia="en-AU"/>
          <w14:ligatures w14:val="standardContextual"/>
        </w:rPr>
      </w:pPr>
      <w:hyperlink w:anchor="_Toc170227429" w:history="1">
        <w:r w:rsidR="00501526" w:rsidRPr="001F4BC9">
          <w:rPr>
            <w:rStyle w:val="Hyperlink"/>
            <w:noProof/>
            <w:lang w:val="en-GB"/>
          </w:rPr>
          <w:t>10.1</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lang w:val="en-GB"/>
          </w:rPr>
          <w:t>Lessons learned from the transition to the CCCFR grant</w:t>
        </w:r>
        <w:r w:rsidR="00501526">
          <w:rPr>
            <w:noProof/>
            <w:webHidden/>
          </w:rPr>
          <w:tab/>
        </w:r>
        <w:r w:rsidR="00501526">
          <w:rPr>
            <w:noProof/>
            <w:webHidden/>
          </w:rPr>
          <w:fldChar w:fldCharType="begin"/>
        </w:r>
        <w:r w:rsidR="00501526">
          <w:rPr>
            <w:noProof/>
            <w:webHidden/>
          </w:rPr>
          <w:instrText xml:space="preserve"> PAGEREF _Toc170227429 \h </w:instrText>
        </w:r>
        <w:r w:rsidR="00501526">
          <w:rPr>
            <w:noProof/>
            <w:webHidden/>
          </w:rPr>
        </w:r>
        <w:r w:rsidR="00501526">
          <w:rPr>
            <w:noProof/>
            <w:webHidden/>
          </w:rPr>
          <w:fldChar w:fldCharType="separate"/>
        </w:r>
        <w:r w:rsidR="00D300D0">
          <w:rPr>
            <w:noProof/>
            <w:webHidden/>
          </w:rPr>
          <w:t>170</w:t>
        </w:r>
        <w:r w:rsidR="00501526">
          <w:rPr>
            <w:noProof/>
            <w:webHidden/>
          </w:rPr>
          <w:fldChar w:fldCharType="end"/>
        </w:r>
      </w:hyperlink>
    </w:p>
    <w:p w14:paraId="58567BCA" w14:textId="48DC6688" w:rsidR="00501526" w:rsidRDefault="00000000">
      <w:pPr>
        <w:pStyle w:val="TOC2"/>
        <w:tabs>
          <w:tab w:val="left" w:pos="1196"/>
        </w:tabs>
        <w:rPr>
          <w:rFonts w:asciiTheme="minorHAnsi" w:eastAsiaTheme="minorEastAsia" w:hAnsiTheme="minorHAnsi"/>
          <w:noProof/>
          <w:kern w:val="2"/>
          <w:sz w:val="22"/>
          <w:szCs w:val="22"/>
          <w:lang w:eastAsia="en-AU"/>
          <w14:ligatures w14:val="standardContextual"/>
        </w:rPr>
      </w:pPr>
      <w:hyperlink w:anchor="_Toc170227430" w:history="1">
        <w:r w:rsidR="00501526" w:rsidRPr="001F4BC9">
          <w:rPr>
            <w:rStyle w:val="Hyperlink"/>
            <w:noProof/>
          </w:rPr>
          <w:t>10.2</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Potential legislative and regulatory implications</w:t>
        </w:r>
        <w:r w:rsidR="00501526">
          <w:rPr>
            <w:noProof/>
            <w:webHidden/>
          </w:rPr>
          <w:tab/>
        </w:r>
        <w:r w:rsidR="00501526">
          <w:rPr>
            <w:noProof/>
            <w:webHidden/>
          </w:rPr>
          <w:fldChar w:fldCharType="begin"/>
        </w:r>
        <w:r w:rsidR="00501526">
          <w:rPr>
            <w:noProof/>
            <w:webHidden/>
          </w:rPr>
          <w:instrText xml:space="preserve"> PAGEREF _Toc170227430 \h </w:instrText>
        </w:r>
        <w:r w:rsidR="00501526">
          <w:rPr>
            <w:noProof/>
            <w:webHidden/>
          </w:rPr>
        </w:r>
        <w:r w:rsidR="00501526">
          <w:rPr>
            <w:noProof/>
            <w:webHidden/>
          </w:rPr>
          <w:fldChar w:fldCharType="separate"/>
        </w:r>
        <w:r w:rsidR="00D300D0">
          <w:rPr>
            <w:noProof/>
            <w:webHidden/>
          </w:rPr>
          <w:t>173</w:t>
        </w:r>
        <w:r w:rsidR="00501526">
          <w:rPr>
            <w:noProof/>
            <w:webHidden/>
          </w:rPr>
          <w:fldChar w:fldCharType="end"/>
        </w:r>
      </w:hyperlink>
    </w:p>
    <w:p w14:paraId="08D7CEE6" w14:textId="6DBD2B1B" w:rsidR="00501526" w:rsidRDefault="00000000">
      <w:pPr>
        <w:pStyle w:val="TOC2"/>
        <w:tabs>
          <w:tab w:val="left" w:pos="1196"/>
        </w:tabs>
        <w:rPr>
          <w:rFonts w:asciiTheme="minorHAnsi" w:eastAsiaTheme="minorEastAsia" w:hAnsiTheme="minorHAnsi"/>
          <w:noProof/>
          <w:kern w:val="2"/>
          <w:sz w:val="22"/>
          <w:szCs w:val="22"/>
          <w:lang w:eastAsia="en-AU"/>
          <w14:ligatures w14:val="standardContextual"/>
        </w:rPr>
      </w:pPr>
      <w:hyperlink w:anchor="_Toc170227431" w:history="1">
        <w:r w:rsidR="00501526" w:rsidRPr="001F4BC9">
          <w:rPr>
            <w:rStyle w:val="Hyperlink"/>
            <w:noProof/>
          </w:rPr>
          <w:t>10.3</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A potential roadmap for change</w:t>
        </w:r>
        <w:r w:rsidR="00501526">
          <w:rPr>
            <w:noProof/>
            <w:webHidden/>
          </w:rPr>
          <w:tab/>
        </w:r>
        <w:r w:rsidR="00501526">
          <w:rPr>
            <w:noProof/>
            <w:webHidden/>
          </w:rPr>
          <w:fldChar w:fldCharType="begin"/>
        </w:r>
        <w:r w:rsidR="00501526">
          <w:rPr>
            <w:noProof/>
            <w:webHidden/>
          </w:rPr>
          <w:instrText xml:space="preserve"> PAGEREF _Toc170227431 \h </w:instrText>
        </w:r>
        <w:r w:rsidR="00501526">
          <w:rPr>
            <w:noProof/>
            <w:webHidden/>
          </w:rPr>
        </w:r>
        <w:r w:rsidR="00501526">
          <w:rPr>
            <w:noProof/>
            <w:webHidden/>
          </w:rPr>
          <w:fldChar w:fldCharType="separate"/>
        </w:r>
        <w:r w:rsidR="00D300D0">
          <w:rPr>
            <w:noProof/>
            <w:webHidden/>
          </w:rPr>
          <w:t>179</w:t>
        </w:r>
        <w:r w:rsidR="00501526">
          <w:rPr>
            <w:noProof/>
            <w:webHidden/>
          </w:rPr>
          <w:fldChar w:fldCharType="end"/>
        </w:r>
      </w:hyperlink>
    </w:p>
    <w:p w14:paraId="5A291137" w14:textId="5B97CE83"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32" w:history="1">
        <w:r w:rsidR="00501526" w:rsidRPr="001F4BC9">
          <w:rPr>
            <w:rStyle w:val="Hyperlink"/>
            <w:noProof/>
          </w:rPr>
          <w:t>Part C: Appendices and supplementary information</w:t>
        </w:r>
        <w:r w:rsidR="00501526">
          <w:rPr>
            <w:noProof/>
            <w:webHidden/>
          </w:rPr>
          <w:tab/>
        </w:r>
        <w:r w:rsidR="00501526">
          <w:rPr>
            <w:noProof/>
            <w:webHidden/>
          </w:rPr>
          <w:fldChar w:fldCharType="begin"/>
        </w:r>
        <w:r w:rsidR="00501526">
          <w:rPr>
            <w:noProof/>
            <w:webHidden/>
          </w:rPr>
          <w:instrText xml:space="preserve"> PAGEREF _Toc170227432 \h </w:instrText>
        </w:r>
        <w:r w:rsidR="00501526">
          <w:rPr>
            <w:noProof/>
            <w:webHidden/>
          </w:rPr>
        </w:r>
        <w:r w:rsidR="00501526">
          <w:rPr>
            <w:noProof/>
            <w:webHidden/>
          </w:rPr>
          <w:fldChar w:fldCharType="separate"/>
        </w:r>
        <w:r w:rsidR="00D300D0">
          <w:rPr>
            <w:noProof/>
            <w:webHidden/>
          </w:rPr>
          <w:t>182</w:t>
        </w:r>
        <w:r w:rsidR="00501526">
          <w:rPr>
            <w:noProof/>
            <w:webHidden/>
          </w:rPr>
          <w:fldChar w:fldCharType="end"/>
        </w:r>
      </w:hyperlink>
    </w:p>
    <w:p w14:paraId="748645A4" w14:textId="7B01F1A2" w:rsidR="00501526" w:rsidRDefault="00000000">
      <w:pPr>
        <w:pStyle w:val="TOC1"/>
        <w:tabs>
          <w:tab w:val="left" w:pos="1243"/>
        </w:tabs>
        <w:rPr>
          <w:rFonts w:asciiTheme="minorHAnsi" w:eastAsiaTheme="minorEastAsia" w:hAnsiTheme="minorHAnsi"/>
          <w:noProof/>
          <w:kern w:val="2"/>
          <w:sz w:val="22"/>
          <w:szCs w:val="22"/>
          <w:lang w:eastAsia="en-AU"/>
          <w14:ligatures w14:val="standardContextual"/>
        </w:rPr>
      </w:pPr>
      <w:hyperlink w:anchor="_Toc170227433" w:history="1">
        <w:r w:rsidR="00501526" w:rsidRPr="001F4BC9">
          <w:rPr>
            <w:rStyle w:val="Hyperlink"/>
            <w:noProof/>
            <w14:scene3d>
              <w14:camera w14:prst="orthographicFront"/>
              <w14:lightRig w14:rig="threePt" w14:dir="t">
                <w14:rot w14:lat="0" w14:lon="0" w14:rev="0"/>
              </w14:lightRig>
            </w14:scene3d>
          </w:rPr>
          <w:t>Appendix A</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Voices of services, families and community</w:t>
        </w:r>
        <w:r w:rsidR="00501526">
          <w:rPr>
            <w:noProof/>
            <w:webHidden/>
          </w:rPr>
          <w:tab/>
        </w:r>
        <w:r w:rsidR="00501526">
          <w:rPr>
            <w:noProof/>
            <w:webHidden/>
          </w:rPr>
          <w:fldChar w:fldCharType="begin"/>
        </w:r>
        <w:r w:rsidR="00501526">
          <w:rPr>
            <w:noProof/>
            <w:webHidden/>
          </w:rPr>
          <w:instrText xml:space="preserve"> PAGEREF _Toc170227433 \h </w:instrText>
        </w:r>
        <w:r w:rsidR="00501526">
          <w:rPr>
            <w:noProof/>
            <w:webHidden/>
          </w:rPr>
        </w:r>
        <w:r w:rsidR="00501526">
          <w:rPr>
            <w:noProof/>
            <w:webHidden/>
          </w:rPr>
          <w:fldChar w:fldCharType="separate"/>
        </w:r>
        <w:r w:rsidR="00D300D0">
          <w:rPr>
            <w:noProof/>
            <w:webHidden/>
          </w:rPr>
          <w:t>183</w:t>
        </w:r>
        <w:r w:rsidR="00501526">
          <w:rPr>
            <w:noProof/>
            <w:webHidden/>
          </w:rPr>
          <w:fldChar w:fldCharType="end"/>
        </w:r>
      </w:hyperlink>
    </w:p>
    <w:p w14:paraId="5E2A9C89" w14:textId="5238132D" w:rsidR="00501526" w:rsidRDefault="00000000">
      <w:pPr>
        <w:pStyle w:val="TOC1"/>
        <w:tabs>
          <w:tab w:val="left" w:pos="1243"/>
        </w:tabs>
        <w:rPr>
          <w:rFonts w:asciiTheme="minorHAnsi" w:eastAsiaTheme="minorEastAsia" w:hAnsiTheme="minorHAnsi"/>
          <w:noProof/>
          <w:kern w:val="2"/>
          <w:sz w:val="22"/>
          <w:szCs w:val="22"/>
          <w:lang w:eastAsia="en-AU"/>
          <w14:ligatures w14:val="standardContextual"/>
        </w:rPr>
      </w:pPr>
      <w:hyperlink w:anchor="_Toc170227434" w:history="1">
        <w:r w:rsidR="00501526" w:rsidRPr="001F4BC9">
          <w:rPr>
            <w:rStyle w:val="Hyperlink"/>
            <w:noProof/>
            <w14:scene3d>
              <w14:camera w14:prst="orthographicFront"/>
              <w14:lightRig w14:rig="threePt" w14:dir="t">
                <w14:rot w14:lat="0" w14:lon="0" w14:rev="0"/>
              </w14:lightRig>
            </w14:scene3d>
          </w:rPr>
          <w:t>Appendix B</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Detailed Statement of Work for the review</w:t>
        </w:r>
        <w:r w:rsidR="00501526">
          <w:rPr>
            <w:noProof/>
            <w:webHidden/>
          </w:rPr>
          <w:tab/>
        </w:r>
        <w:r w:rsidR="00501526">
          <w:rPr>
            <w:noProof/>
            <w:webHidden/>
          </w:rPr>
          <w:fldChar w:fldCharType="begin"/>
        </w:r>
        <w:r w:rsidR="00501526">
          <w:rPr>
            <w:noProof/>
            <w:webHidden/>
          </w:rPr>
          <w:instrText xml:space="preserve"> PAGEREF _Toc170227434 \h </w:instrText>
        </w:r>
        <w:r w:rsidR="00501526">
          <w:rPr>
            <w:noProof/>
            <w:webHidden/>
          </w:rPr>
        </w:r>
        <w:r w:rsidR="00501526">
          <w:rPr>
            <w:noProof/>
            <w:webHidden/>
          </w:rPr>
          <w:fldChar w:fldCharType="separate"/>
        </w:r>
        <w:r w:rsidR="00D300D0">
          <w:rPr>
            <w:noProof/>
            <w:webHidden/>
          </w:rPr>
          <w:t>210</w:t>
        </w:r>
        <w:r w:rsidR="00501526">
          <w:rPr>
            <w:noProof/>
            <w:webHidden/>
          </w:rPr>
          <w:fldChar w:fldCharType="end"/>
        </w:r>
      </w:hyperlink>
    </w:p>
    <w:p w14:paraId="23C42CA2" w14:textId="7A37CCF6" w:rsidR="00501526" w:rsidRDefault="00000000">
      <w:pPr>
        <w:pStyle w:val="TOC1"/>
        <w:tabs>
          <w:tab w:val="left" w:pos="1246"/>
        </w:tabs>
        <w:rPr>
          <w:rFonts w:asciiTheme="minorHAnsi" w:eastAsiaTheme="minorEastAsia" w:hAnsiTheme="minorHAnsi"/>
          <w:noProof/>
          <w:kern w:val="2"/>
          <w:sz w:val="22"/>
          <w:szCs w:val="22"/>
          <w:lang w:eastAsia="en-AU"/>
          <w14:ligatures w14:val="standardContextual"/>
        </w:rPr>
      </w:pPr>
      <w:hyperlink w:anchor="_Toc170227435" w:history="1">
        <w:r w:rsidR="00501526" w:rsidRPr="001F4BC9">
          <w:rPr>
            <w:rStyle w:val="Hyperlink"/>
            <w:noProof/>
            <w14:scene3d>
              <w14:camera w14:prst="orthographicFront"/>
              <w14:lightRig w14:rig="threePt" w14:dir="t">
                <w14:rot w14:lat="0" w14:lon="0" w14:rev="0"/>
              </w14:lightRig>
            </w14:scene3d>
          </w:rPr>
          <w:t>Appendix C</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Consultation guide for CCCFR services</w:t>
        </w:r>
        <w:r w:rsidR="00501526">
          <w:rPr>
            <w:noProof/>
            <w:webHidden/>
          </w:rPr>
          <w:tab/>
        </w:r>
        <w:r w:rsidR="00501526">
          <w:rPr>
            <w:noProof/>
            <w:webHidden/>
          </w:rPr>
          <w:fldChar w:fldCharType="begin"/>
        </w:r>
        <w:r w:rsidR="00501526">
          <w:rPr>
            <w:noProof/>
            <w:webHidden/>
          </w:rPr>
          <w:instrText xml:space="preserve"> PAGEREF _Toc170227435 \h </w:instrText>
        </w:r>
        <w:r w:rsidR="00501526">
          <w:rPr>
            <w:noProof/>
            <w:webHidden/>
          </w:rPr>
        </w:r>
        <w:r w:rsidR="00501526">
          <w:rPr>
            <w:noProof/>
            <w:webHidden/>
          </w:rPr>
          <w:fldChar w:fldCharType="separate"/>
        </w:r>
        <w:r w:rsidR="00D300D0">
          <w:rPr>
            <w:noProof/>
            <w:webHidden/>
          </w:rPr>
          <w:t>212</w:t>
        </w:r>
        <w:r w:rsidR="00501526">
          <w:rPr>
            <w:noProof/>
            <w:webHidden/>
          </w:rPr>
          <w:fldChar w:fldCharType="end"/>
        </w:r>
      </w:hyperlink>
    </w:p>
    <w:p w14:paraId="37F0F5CE" w14:textId="3CA49CCB" w:rsidR="00501526" w:rsidRDefault="00000000">
      <w:pPr>
        <w:pStyle w:val="TOC1"/>
        <w:tabs>
          <w:tab w:val="left" w:pos="1259"/>
        </w:tabs>
        <w:rPr>
          <w:rFonts w:asciiTheme="minorHAnsi" w:eastAsiaTheme="minorEastAsia" w:hAnsiTheme="minorHAnsi"/>
          <w:noProof/>
          <w:kern w:val="2"/>
          <w:sz w:val="22"/>
          <w:szCs w:val="22"/>
          <w:lang w:eastAsia="en-AU"/>
          <w14:ligatures w14:val="standardContextual"/>
        </w:rPr>
      </w:pPr>
      <w:hyperlink w:anchor="_Toc170227436" w:history="1">
        <w:r w:rsidR="00501526" w:rsidRPr="001F4BC9">
          <w:rPr>
            <w:rStyle w:val="Hyperlink"/>
            <w:noProof/>
            <w14:scene3d>
              <w14:camera w14:prst="orthographicFront"/>
              <w14:lightRig w14:rig="threePt" w14:dir="t">
                <w14:rot w14:lat="0" w14:lon="0" w14:rev="0"/>
              </w14:lightRig>
            </w14:scene3d>
          </w:rPr>
          <w:t>Appendix D</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Consultation guide for families and communities</w:t>
        </w:r>
        <w:r w:rsidR="00501526">
          <w:rPr>
            <w:noProof/>
            <w:webHidden/>
          </w:rPr>
          <w:tab/>
        </w:r>
        <w:r w:rsidR="00501526">
          <w:rPr>
            <w:noProof/>
            <w:webHidden/>
          </w:rPr>
          <w:fldChar w:fldCharType="begin"/>
        </w:r>
        <w:r w:rsidR="00501526">
          <w:rPr>
            <w:noProof/>
            <w:webHidden/>
          </w:rPr>
          <w:instrText xml:space="preserve"> PAGEREF _Toc170227436 \h </w:instrText>
        </w:r>
        <w:r w:rsidR="00501526">
          <w:rPr>
            <w:noProof/>
            <w:webHidden/>
          </w:rPr>
        </w:r>
        <w:r w:rsidR="00501526">
          <w:rPr>
            <w:noProof/>
            <w:webHidden/>
          </w:rPr>
          <w:fldChar w:fldCharType="separate"/>
        </w:r>
        <w:r w:rsidR="00D300D0">
          <w:rPr>
            <w:noProof/>
            <w:webHidden/>
          </w:rPr>
          <w:t>215</w:t>
        </w:r>
        <w:r w:rsidR="00501526">
          <w:rPr>
            <w:noProof/>
            <w:webHidden/>
          </w:rPr>
          <w:fldChar w:fldCharType="end"/>
        </w:r>
      </w:hyperlink>
    </w:p>
    <w:p w14:paraId="3212A718" w14:textId="6BA11A66" w:rsidR="00501526" w:rsidRDefault="00000000">
      <w:pPr>
        <w:pStyle w:val="TOC1"/>
        <w:tabs>
          <w:tab w:val="left" w:pos="1234"/>
        </w:tabs>
        <w:rPr>
          <w:rFonts w:asciiTheme="minorHAnsi" w:eastAsiaTheme="minorEastAsia" w:hAnsiTheme="minorHAnsi"/>
          <w:noProof/>
          <w:kern w:val="2"/>
          <w:sz w:val="22"/>
          <w:szCs w:val="22"/>
          <w:lang w:eastAsia="en-AU"/>
          <w14:ligatures w14:val="standardContextual"/>
        </w:rPr>
      </w:pPr>
      <w:hyperlink w:anchor="_Toc170227437" w:history="1">
        <w:r w:rsidR="00501526" w:rsidRPr="001F4BC9">
          <w:rPr>
            <w:rStyle w:val="Hyperlink"/>
            <w:noProof/>
            <w14:scene3d>
              <w14:camera w14:prst="orthographicFront"/>
              <w14:lightRig w14:rig="threePt" w14:dir="t">
                <w14:rot w14:lat="0" w14:lon="0" w14:rev="0"/>
              </w14:lightRig>
            </w14:scene3d>
          </w:rPr>
          <w:t>Appendix E</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Consultation guide for Departmental and broader stakeholders</w:t>
        </w:r>
        <w:r w:rsidR="00501526">
          <w:rPr>
            <w:noProof/>
            <w:webHidden/>
          </w:rPr>
          <w:tab/>
        </w:r>
        <w:r w:rsidR="00501526">
          <w:rPr>
            <w:noProof/>
            <w:webHidden/>
          </w:rPr>
          <w:fldChar w:fldCharType="begin"/>
        </w:r>
        <w:r w:rsidR="00501526">
          <w:rPr>
            <w:noProof/>
            <w:webHidden/>
          </w:rPr>
          <w:instrText xml:space="preserve"> PAGEREF _Toc170227437 \h </w:instrText>
        </w:r>
        <w:r w:rsidR="00501526">
          <w:rPr>
            <w:noProof/>
            <w:webHidden/>
          </w:rPr>
        </w:r>
        <w:r w:rsidR="00501526">
          <w:rPr>
            <w:noProof/>
            <w:webHidden/>
          </w:rPr>
          <w:fldChar w:fldCharType="separate"/>
        </w:r>
        <w:r w:rsidR="00D300D0">
          <w:rPr>
            <w:noProof/>
            <w:webHidden/>
          </w:rPr>
          <w:t>216</w:t>
        </w:r>
        <w:r w:rsidR="00501526">
          <w:rPr>
            <w:noProof/>
            <w:webHidden/>
          </w:rPr>
          <w:fldChar w:fldCharType="end"/>
        </w:r>
      </w:hyperlink>
    </w:p>
    <w:p w14:paraId="10A11398" w14:textId="7C8F9F6A" w:rsidR="00501526" w:rsidRDefault="00000000">
      <w:pPr>
        <w:pStyle w:val="TOC1"/>
        <w:tabs>
          <w:tab w:val="left" w:pos="1223"/>
        </w:tabs>
        <w:rPr>
          <w:rFonts w:asciiTheme="minorHAnsi" w:eastAsiaTheme="minorEastAsia" w:hAnsiTheme="minorHAnsi"/>
          <w:noProof/>
          <w:kern w:val="2"/>
          <w:sz w:val="22"/>
          <w:szCs w:val="22"/>
          <w:lang w:eastAsia="en-AU"/>
          <w14:ligatures w14:val="standardContextual"/>
        </w:rPr>
      </w:pPr>
      <w:hyperlink w:anchor="_Toc170227438" w:history="1">
        <w:r w:rsidR="00501526" w:rsidRPr="001F4BC9">
          <w:rPr>
            <w:rStyle w:val="Hyperlink"/>
            <w:noProof/>
            <w14:scene3d>
              <w14:camera w14:prst="orthographicFront"/>
              <w14:lightRig w14:rig="threePt" w14:dir="t">
                <w14:rot w14:lat="0" w14:lon="0" w14:rev="0"/>
              </w14:lightRig>
            </w14:scene3d>
          </w:rPr>
          <w:t>Appendix F</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Online survey of CCCFR services</w:t>
        </w:r>
        <w:r w:rsidR="00501526">
          <w:rPr>
            <w:noProof/>
            <w:webHidden/>
          </w:rPr>
          <w:tab/>
        </w:r>
        <w:r w:rsidR="00501526">
          <w:rPr>
            <w:noProof/>
            <w:webHidden/>
          </w:rPr>
          <w:fldChar w:fldCharType="begin"/>
        </w:r>
        <w:r w:rsidR="00501526">
          <w:rPr>
            <w:noProof/>
            <w:webHidden/>
          </w:rPr>
          <w:instrText xml:space="preserve"> PAGEREF _Toc170227438 \h </w:instrText>
        </w:r>
        <w:r w:rsidR="00501526">
          <w:rPr>
            <w:noProof/>
            <w:webHidden/>
          </w:rPr>
        </w:r>
        <w:r w:rsidR="00501526">
          <w:rPr>
            <w:noProof/>
            <w:webHidden/>
          </w:rPr>
          <w:fldChar w:fldCharType="separate"/>
        </w:r>
        <w:r w:rsidR="00D300D0">
          <w:rPr>
            <w:noProof/>
            <w:webHidden/>
          </w:rPr>
          <w:t>220</w:t>
        </w:r>
        <w:r w:rsidR="00501526">
          <w:rPr>
            <w:noProof/>
            <w:webHidden/>
          </w:rPr>
          <w:fldChar w:fldCharType="end"/>
        </w:r>
      </w:hyperlink>
    </w:p>
    <w:p w14:paraId="0E7979D3" w14:textId="35A39A11" w:rsidR="00501526" w:rsidRDefault="00000000">
      <w:pPr>
        <w:pStyle w:val="TOC1"/>
        <w:tabs>
          <w:tab w:val="left" w:pos="1259"/>
        </w:tabs>
        <w:rPr>
          <w:rFonts w:asciiTheme="minorHAnsi" w:eastAsiaTheme="minorEastAsia" w:hAnsiTheme="minorHAnsi"/>
          <w:noProof/>
          <w:kern w:val="2"/>
          <w:sz w:val="22"/>
          <w:szCs w:val="22"/>
          <w:lang w:eastAsia="en-AU"/>
          <w14:ligatures w14:val="standardContextual"/>
        </w:rPr>
      </w:pPr>
      <w:hyperlink w:anchor="_Toc170227439" w:history="1">
        <w:r w:rsidR="00501526" w:rsidRPr="001F4BC9">
          <w:rPr>
            <w:rStyle w:val="Hyperlink"/>
            <w:noProof/>
            <w14:scene3d>
              <w14:camera w14:prst="orthographicFront"/>
              <w14:lightRig w14:rig="threePt" w14:dir="t">
                <w14:rot w14:lat="0" w14:lon="0" w14:rev="0"/>
              </w14:lightRig>
            </w14:scene3d>
          </w:rPr>
          <w:t>Appendix G</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Sampling process for service consultations</w:t>
        </w:r>
        <w:r w:rsidR="00501526">
          <w:rPr>
            <w:noProof/>
            <w:webHidden/>
          </w:rPr>
          <w:tab/>
        </w:r>
        <w:r w:rsidR="00501526">
          <w:rPr>
            <w:noProof/>
            <w:webHidden/>
          </w:rPr>
          <w:fldChar w:fldCharType="begin"/>
        </w:r>
        <w:r w:rsidR="00501526">
          <w:rPr>
            <w:noProof/>
            <w:webHidden/>
          </w:rPr>
          <w:instrText xml:space="preserve"> PAGEREF _Toc170227439 \h </w:instrText>
        </w:r>
        <w:r w:rsidR="00501526">
          <w:rPr>
            <w:noProof/>
            <w:webHidden/>
          </w:rPr>
        </w:r>
        <w:r w:rsidR="00501526">
          <w:rPr>
            <w:noProof/>
            <w:webHidden/>
          </w:rPr>
          <w:fldChar w:fldCharType="separate"/>
        </w:r>
        <w:r w:rsidR="00D300D0">
          <w:rPr>
            <w:noProof/>
            <w:webHidden/>
          </w:rPr>
          <w:t>239</w:t>
        </w:r>
        <w:r w:rsidR="00501526">
          <w:rPr>
            <w:noProof/>
            <w:webHidden/>
          </w:rPr>
          <w:fldChar w:fldCharType="end"/>
        </w:r>
      </w:hyperlink>
    </w:p>
    <w:p w14:paraId="654351B1" w14:textId="04EC8342" w:rsidR="00501526" w:rsidRDefault="00000000">
      <w:pPr>
        <w:pStyle w:val="TOC1"/>
        <w:tabs>
          <w:tab w:val="left" w:pos="1255"/>
        </w:tabs>
        <w:rPr>
          <w:rFonts w:asciiTheme="minorHAnsi" w:eastAsiaTheme="minorEastAsia" w:hAnsiTheme="minorHAnsi"/>
          <w:noProof/>
          <w:kern w:val="2"/>
          <w:sz w:val="22"/>
          <w:szCs w:val="22"/>
          <w:lang w:eastAsia="en-AU"/>
          <w14:ligatures w14:val="standardContextual"/>
        </w:rPr>
      </w:pPr>
      <w:hyperlink w:anchor="_Toc170227440" w:history="1">
        <w:r w:rsidR="00501526" w:rsidRPr="001F4BC9">
          <w:rPr>
            <w:rStyle w:val="Hyperlink"/>
            <w:noProof/>
            <w14:scene3d>
              <w14:camera w14:prst="orthographicFront"/>
              <w14:lightRig w14:rig="threePt" w14:dir="t">
                <w14:rot w14:lat="0" w14:lon="0" w14:rev="0"/>
              </w14:lightRig>
            </w14:scene3d>
          </w:rPr>
          <w:t>Appendix H</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Summary of approach to multi-criteria analysis</w:t>
        </w:r>
        <w:r w:rsidR="00501526">
          <w:rPr>
            <w:noProof/>
            <w:webHidden/>
          </w:rPr>
          <w:tab/>
        </w:r>
        <w:r w:rsidR="00501526">
          <w:rPr>
            <w:noProof/>
            <w:webHidden/>
          </w:rPr>
          <w:fldChar w:fldCharType="begin"/>
        </w:r>
        <w:r w:rsidR="00501526">
          <w:rPr>
            <w:noProof/>
            <w:webHidden/>
          </w:rPr>
          <w:instrText xml:space="preserve"> PAGEREF _Toc170227440 \h </w:instrText>
        </w:r>
        <w:r w:rsidR="00501526">
          <w:rPr>
            <w:noProof/>
            <w:webHidden/>
          </w:rPr>
        </w:r>
        <w:r w:rsidR="00501526">
          <w:rPr>
            <w:noProof/>
            <w:webHidden/>
          </w:rPr>
          <w:fldChar w:fldCharType="separate"/>
        </w:r>
        <w:r w:rsidR="00D300D0">
          <w:rPr>
            <w:noProof/>
            <w:webHidden/>
          </w:rPr>
          <w:t>245</w:t>
        </w:r>
        <w:r w:rsidR="00501526">
          <w:rPr>
            <w:noProof/>
            <w:webHidden/>
          </w:rPr>
          <w:fldChar w:fldCharType="end"/>
        </w:r>
      </w:hyperlink>
    </w:p>
    <w:p w14:paraId="62A1DC6C" w14:textId="04B3C37B" w:rsidR="00501526" w:rsidRDefault="00000000">
      <w:pPr>
        <w:pStyle w:val="TOC1"/>
        <w:tabs>
          <w:tab w:val="left" w:pos="1196"/>
        </w:tabs>
        <w:rPr>
          <w:rFonts w:asciiTheme="minorHAnsi" w:eastAsiaTheme="minorEastAsia" w:hAnsiTheme="minorHAnsi"/>
          <w:noProof/>
          <w:kern w:val="2"/>
          <w:sz w:val="22"/>
          <w:szCs w:val="22"/>
          <w:lang w:eastAsia="en-AU"/>
          <w14:ligatures w14:val="standardContextual"/>
        </w:rPr>
      </w:pPr>
      <w:hyperlink w:anchor="_Toc170227441" w:history="1">
        <w:r w:rsidR="00501526" w:rsidRPr="001F4BC9">
          <w:rPr>
            <w:rStyle w:val="Hyperlink"/>
            <w:noProof/>
            <w14:scene3d>
              <w14:camera w14:prst="orthographicFront"/>
              <w14:lightRig w14:rig="threePt" w14:dir="t">
                <w14:rot w14:lat="0" w14:lon="0" w14:rev="0"/>
              </w14:lightRig>
            </w14:scene3d>
          </w:rPr>
          <w:t>Appendix I</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Environmental sustainability guidelines</w:t>
        </w:r>
        <w:r w:rsidR="00501526">
          <w:rPr>
            <w:noProof/>
            <w:webHidden/>
          </w:rPr>
          <w:tab/>
        </w:r>
        <w:r w:rsidR="00501526">
          <w:rPr>
            <w:noProof/>
            <w:webHidden/>
          </w:rPr>
          <w:fldChar w:fldCharType="begin"/>
        </w:r>
        <w:r w:rsidR="00501526">
          <w:rPr>
            <w:noProof/>
            <w:webHidden/>
          </w:rPr>
          <w:instrText xml:space="preserve"> PAGEREF _Toc170227441 \h </w:instrText>
        </w:r>
        <w:r w:rsidR="00501526">
          <w:rPr>
            <w:noProof/>
            <w:webHidden/>
          </w:rPr>
        </w:r>
        <w:r w:rsidR="00501526">
          <w:rPr>
            <w:noProof/>
            <w:webHidden/>
          </w:rPr>
          <w:fldChar w:fldCharType="separate"/>
        </w:r>
        <w:r w:rsidR="00D300D0">
          <w:rPr>
            <w:noProof/>
            <w:webHidden/>
          </w:rPr>
          <w:t>256</w:t>
        </w:r>
        <w:r w:rsidR="00501526">
          <w:rPr>
            <w:noProof/>
            <w:webHidden/>
          </w:rPr>
          <w:fldChar w:fldCharType="end"/>
        </w:r>
      </w:hyperlink>
    </w:p>
    <w:p w14:paraId="7692155D" w14:textId="77F4294C" w:rsidR="00501526" w:rsidRDefault="00000000">
      <w:pPr>
        <w:pStyle w:val="TOC1"/>
        <w:tabs>
          <w:tab w:val="left" w:pos="1202"/>
        </w:tabs>
        <w:rPr>
          <w:rFonts w:asciiTheme="minorHAnsi" w:eastAsiaTheme="minorEastAsia" w:hAnsiTheme="minorHAnsi"/>
          <w:noProof/>
          <w:kern w:val="2"/>
          <w:sz w:val="22"/>
          <w:szCs w:val="22"/>
          <w:lang w:eastAsia="en-AU"/>
          <w14:ligatures w14:val="standardContextual"/>
        </w:rPr>
      </w:pPr>
      <w:hyperlink w:anchor="_Toc170227442" w:history="1">
        <w:r w:rsidR="00501526" w:rsidRPr="001F4BC9">
          <w:rPr>
            <w:rStyle w:val="Hyperlink"/>
            <w:noProof/>
            <w14:scene3d>
              <w14:camera w14:prst="orthographicFront"/>
              <w14:lightRig w14:rig="threePt" w14:dir="t">
                <w14:rot w14:lat="0" w14:lon="0" w14:rev="0"/>
              </w14:lightRig>
            </w14:scene3d>
          </w:rPr>
          <w:t>Appendix J</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Leasing arrangement summaries</w:t>
        </w:r>
        <w:r w:rsidR="00501526">
          <w:rPr>
            <w:noProof/>
            <w:webHidden/>
          </w:rPr>
          <w:tab/>
        </w:r>
        <w:r w:rsidR="00501526">
          <w:rPr>
            <w:noProof/>
            <w:webHidden/>
          </w:rPr>
          <w:fldChar w:fldCharType="begin"/>
        </w:r>
        <w:r w:rsidR="00501526">
          <w:rPr>
            <w:noProof/>
            <w:webHidden/>
          </w:rPr>
          <w:instrText xml:space="preserve"> PAGEREF _Toc170227442 \h </w:instrText>
        </w:r>
        <w:r w:rsidR="00501526">
          <w:rPr>
            <w:noProof/>
            <w:webHidden/>
          </w:rPr>
        </w:r>
        <w:r w:rsidR="00501526">
          <w:rPr>
            <w:noProof/>
            <w:webHidden/>
          </w:rPr>
          <w:fldChar w:fldCharType="separate"/>
        </w:r>
        <w:r w:rsidR="00D300D0">
          <w:rPr>
            <w:noProof/>
            <w:webHidden/>
          </w:rPr>
          <w:t>259</w:t>
        </w:r>
        <w:r w:rsidR="00501526">
          <w:rPr>
            <w:noProof/>
            <w:webHidden/>
          </w:rPr>
          <w:fldChar w:fldCharType="end"/>
        </w:r>
      </w:hyperlink>
    </w:p>
    <w:p w14:paraId="5D4A93D5" w14:textId="15CAD251" w:rsidR="00501526" w:rsidRDefault="00000000">
      <w:pPr>
        <w:pStyle w:val="TOC1"/>
        <w:tabs>
          <w:tab w:val="left" w:pos="1245"/>
        </w:tabs>
        <w:rPr>
          <w:rFonts w:asciiTheme="minorHAnsi" w:eastAsiaTheme="minorEastAsia" w:hAnsiTheme="minorHAnsi"/>
          <w:noProof/>
          <w:kern w:val="2"/>
          <w:sz w:val="22"/>
          <w:szCs w:val="22"/>
          <w:lang w:eastAsia="en-AU"/>
          <w14:ligatures w14:val="standardContextual"/>
        </w:rPr>
      </w:pPr>
      <w:hyperlink w:anchor="_Toc170227443" w:history="1">
        <w:r w:rsidR="00501526" w:rsidRPr="001F4BC9">
          <w:rPr>
            <w:rStyle w:val="Hyperlink"/>
            <w:noProof/>
            <w14:scene3d>
              <w14:camera w14:prst="orthographicFront"/>
              <w14:lightRig w14:rig="threePt" w14:dir="t">
                <w14:rot w14:lat="0" w14:lon="0" w14:rev="0"/>
              </w14:lightRig>
            </w14:scene3d>
          </w:rPr>
          <w:t>Appendix K</w:t>
        </w:r>
        <w:r w:rsidR="00501526">
          <w:rPr>
            <w:rFonts w:asciiTheme="minorHAnsi" w:eastAsiaTheme="minorEastAsia" w:hAnsiTheme="minorHAnsi"/>
            <w:noProof/>
            <w:kern w:val="2"/>
            <w:sz w:val="22"/>
            <w:szCs w:val="22"/>
            <w:lang w:eastAsia="en-AU"/>
            <w14:ligatures w14:val="standardContextual"/>
          </w:rPr>
          <w:tab/>
        </w:r>
        <w:r w:rsidR="00501526" w:rsidRPr="001F4BC9">
          <w:rPr>
            <w:rStyle w:val="Hyperlink"/>
            <w:noProof/>
          </w:rPr>
          <w:t>Methodology for outcomes analysis</w:t>
        </w:r>
        <w:r w:rsidR="00501526">
          <w:rPr>
            <w:noProof/>
            <w:webHidden/>
          </w:rPr>
          <w:tab/>
        </w:r>
        <w:r w:rsidR="00501526">
          <w:rPr>
            <w:noProof/>
            <w:webHidden/>
          </w:rPr>
          <w:fldChar w:fldCharType="begin"/>
        </w:r>
        <w:r w:rsidR="00501526">
          <w:rPr>
            <w:noProof/>
            <w:webHidden/>
          </w:rPr>
          <w:instrText xml:space="preserve"> PAGEREF _Toc170227443 \h </w:instrText>
        </w:r>
        <w:r w:rsidR="00501526">
          <w:rPr>
            <w:noProof/>
            <w:webHidden/>
          </w:rPr>
        </w:r>
        <w:r w:rsidR="00501526">
          <w:rPr>
            <w:noProof/>
            <w:webHidden/>
          </w:rPr>
          <w:fldChar w:fldCharType="separate"/>
        </w:r>
        <w:r w:rsidR="00D300D0">
          <w:rPr>
            <w:noProof/>
            <w:webHidden/>
          </w:rPr>
          <w:t>263</w:t>
        </w:r>
        <w:r w:rsidR="00501526">
          <w:rPr>
            <w:noProof/>
            <w:webHidden/>
          </w:rPr>
          <w:fldChar w:fldCharType="end"/>
        </w:r>
      </w:hyperlink>
    </w:p>
    <w:p w14:paraId="111646BF" w14:textId="2D726ADD"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44" w:history="1">
        <w:r w:rsidR="00501526" w:rsidRPr="001F4BC9">
          <w:rPr>
            <w:rStyle w:val="Hyperlink"/>
            <w:noProof/>
          </w:rPr>
          <w:t>References</w:t>
        </w:r>
        <w:r w:rsidR="00501526">
          <w:rPr>
            <w:noProof/>
            <w:webHidden/>
          </w:rPr>
          <w:tab/>
        </w:r>
        <w:r w:rsidR="00501526">
          <w:rPr>
            <w:noProof/>
            <w:webHidden/>
          </w:rPr>
          <w:fldChar w:fldCharType="begin"/>
        </w:r>
        <w:r w:rsidR="00501526">
          <w:rPr>
            <w:noProof/>
            <w:webHidden/>
          </w:rPr>
          <w:instrText xml:space="preserve"> PAGEREF _Toc170227444 \h </w:instrText>
        </w:r>
        <w:r w:rsidR="00501526">
          <w:rPr>
            <w:noProof/>
            <w:webHidden/>
          </w:rPr>
        </w:r>
        <w:r w:rsidR="00501526">
          <w:rPr>
            <w:noProof/>
            <w:webHidden/>
          </w:rPr>
          <w:fldChar w:fldCharType="separate"/>
        </w:r>
        <w:r w:rsidR="00D300D0">
          <w:rPr>
            <w:noProof/>
            <w:webHidden/>
          </w:rPr>
          <w:t>266</w:t>
        </w:r>
        <w:r w:rsidR="00501526">
          <w:rPr>
            <w:noProof/>
            <w:webHidden/>
          </w:rPr>
          <w:fldChar w:fldCharType="end"/>
        </w:r>
      </w:hyperlink>
    </w:p>
    <w:p w14:paraId="1EA4C43D" w14:textId="07AF51B4" w:rsidR="00501526" w:rsidRDefault="00000000">
      <w:pPr>
        <w:pStyle w:val="TOC1"/>
        <w:rPr>
          <w:rFonts w:asciiTheme="minorHAnsi" w:eastAsiaTheme="minorEastAsia" w:hAnsiTheme="minorHAnsi"/>
          <w:noProof/>
          <w:kern w:val="2"/>
          <w:sz w:val="22"/>
          <w:szCs w:val="22"/>
          <w:lang w:eastAsia="en-AU"/>
          <w14:ligatures w14:val="standardContextual"/>
        </w:rPr>
      </w:pPr>
      <w:hyperlink w:anchor="_Toc170227445" w:history="1">
        <w:r w:rsidR="00501526" w:rsidRPr="001F4BC9">
          <w:rPr>
            <w:rStyle w:val="Hyperlink"/>
            <w:noProof/>
            <w:lang w:eastAsia="en-AU"/>
          </w:rPr>
          <w:t>Limitation of our work</w:t>
        </w:r>
        <w:r w:rsidR="00501526">
          <w:rPr>
            <w:noProof/>
            <w:webHidden/>
          </w:rPr>
          <w:tab/>
        </w:r>
        <w:r w:rsidR="00501526">
          <w:rPr>
            <w:noProof/>
            <w:webHidden/>
          </w:rPr>
          <w:fldChar w:fldCharType="begin"/>
        </w:r>
        <w:r w:rsidR="00501526">
          <w:rPr>
            <w:noProof/>
            <w:webHidden/>
          </w:rPr>
          <w:instrText xml:space="preserve"> PAGEREF _Toc170227445 \h </w:instrText>
        </w:r>
        <w:r w:rsidR="00501526">
          <w:rPr>
            <w:noProof/>
            <w:webHidden/>
          </w:rPr>
        </w:r>
        <w:r w:rsidR="00501526">
          <w:rPr>
            <w:noProof/>
            <w:webHidden/>
          </w:rPr>
          <w:fldChar w:fldCharType="separate"/>
        </w:r>
        <w:r w:rsidR="00D300D0">
          <w:rPr>
            <w:noProof/>
            <w:webHidden/>
          </w:rPr>
          <w:t>273</w:t>
        </w:r>
        <w:r w:rsidR="00501526">
          <w:rPr>
            <w:noProof/>
            <w:webHidden/>
          </w:rPr>
          <w:fldChar w:fldCharType="end"/>
        </w:r>
      </w:hyperlink>
    </w:p>
    <w:p w14:paraId="32090A23" w14:textId="400F484A" w:rsidR="00501526" w:rsidRDefault="00000000">
      <w:pPr>
        <w:pStyle w:val="TOC2"/>
        <w:rPr>
          <w:rFonts w:asciiTheme="minorHAnsi" w:eastAsiaTheme="minorEastAsia" w:hAnsiTheme="minorHAnsi"/>
          <w:noProof/>
          <w:kern w:val="2"/>
          <w:sz w:val="22"/>
          <w:szCs w:val="22"/>
          <w:lang w:eastAsia="en-AU"/>
          <w14:ligatures w14:val="standardContextual"/>
        </w:rPr>
      </w:pPr>
      <w:hyperlink w:anchor="_Toc170227446" w:history="1">
        <w:r w:rsidR="00501526" w:rsidRPr="001F4BC9">
          <w:rPr>
            <w:rStyle w:val="Hyperlink"/>
            <w:noProof/>
          </w:rPr>
          <w:t>General use restriction</w:t>
        </w:r>
        <w:r w:rsidR="00501526">
          <w:rPr>
            <w:noProof/>
            <w:webHidden/>
          </w:rPr>
          <w:tab/>
        </w:r>
        <w:r w:rsidR="00501526">
          <w:rPr>
            <w:noProof/>
            <w:webHidden/>
          </w:rPr>
          <w:fldChar w:fldCharType="begin"/>
        </w:r>
        <w:r w:rsidR="00501526">
          <w:rPr>
            <w:noProof/>
            <w:webHidden/>
          </w:rPr>
          <w:instrText xml:space="preserve"> PAGEREF _Toc170227446 \h </w:instrText>
        </w:r>
        <w:r w:rsidR="00501526">
          <w:rPr>
            <w:noProof/>
            <w:webHidden/>
          </w:rPr>
        </w:r>
        <w:r w:rsidR="00501526">
          <w:rPr>
            <w:noProof/>
            <w:webHidden/>
          </w:rPr>
          <w:fldChar w:fldCharType="separate"/>
        </w:r>
        <w:r w:rsidR="00D300D0">
          <w:rPr>
            <w:noProof/>
            <w:webHidden/>
          </w:rPr>
          <w:t>273</w:t>
        </w:r>
        <w:r w:rsidR="00501526">
          <w:rPr>
            <w:noProof/>
            <w:webHidden/>
          </w:rPr>
          <w:fldChar w:fldCharType="end"/>
        </w:r>
      </w:hyperlink>
    </w:p>
    <w:p w14:paraId="4DB7EE13" w14:textId="1FD6C07A" w:rsidR="0080001F" w:rsidRPr="00315C25" w:rsidRDefault="00F338AC" w:rsidP="003F553E">
      <w:pPr>
        <w:pStyle w:val="TOC1"/>
      </w:pPr>
      <w:r>
        <w:fldChar w:fldCharType="end"/>
      </w:r>
      <w:r w:rsidR="003F553E" w:rsidRPr="00315C25">
        <w:t xml:space="preserve"> </w:t>
      </w:r>
    </w:p>
    <w:p w14:paraId="24352CA4" w14:textId="77777777" w:rsidR="00A6563E" w:rsidRDefault="00A6563E" w:rsidP="00FC6122">
      <w:pPr>
        <w:sectPr w:rsidR="00A6563E" w:rsidSect="00FB45CD">
          <w:headerReference w:type="even" r:id="rId20"/>
          <w:headerReference w:type="default" r:id="rId21"/>
          <w:footerReference w:type="default" r:id="rId22"/>
          <w:headerReference w:type="first" r:id="rId23"/>
          <w:pgSz w:w="11906" w:h="16838" w:code="9"/>
          <w:pgMar w:top="1440" w:right="1440" w:bottom="1440" w:left="1440" w:header="680" w:footer="425" w:gutter="0"/>
          <w:pgNumType w:fmt="lowerRoman" w:start="1"/>
          <w:cols w:space="284"/>
          <w:noEndnote/>
          <w:docGrid w:linePitch="360"/>
        </w:sectPr>
      </w:pPr>
    </w:p>
    <w:p w14:paraId="26FE4BF9" w14:textId="3A355A4B" w:rsidR="00FC6122" w:rsidRPr="003549F9" w:rsidRDefault="00FC6122" w:rsidP="00FC6122">
      <w:pPr>
        <w:pStyle w:val="TOCHeading"/>
      </w:pPr>
      <w:bookmarkStart w:id="6" w:name="_Hlk482167878"/>
      <w:r w:rsidRPr="003549F9">
        <w:lastRenderedPageBreak/>
        <w:t>Charts</w:t>
      </w:r>
    </w:p>
    <w:p w14:paraId="766239BF" w14:textId="2DB773B1" w:rsidR="00CF2D00" w:rsidRDefault="00FC6122" w:rsidP="00014332">
      <w:pPr>
        <w:pStyle w:val="TOC6"/>
        <w:ind w:left="1021" w:hanging="1021"/>
        <w:rPr>
          <w:rFonts w:asciiTheme="minorHAnsi" w:eastAsiaTheme="minorEastAsia" w:hAnsiTheme="minorHAnsi"/>
          <w:noProof/>
          <w:kern w:val="2"/>
          <w:sz w:val="22"/>
          <w:szCs w:val="22"/>
          <w:lang w:eastAsia="en-AU"/>
          <w14:ligatures w14:val="standardContextual"/>
        </w:rPr>
      </w:pPr>
      <w:r w:rsidRPr="003549F9">
        <w:fldChar w:fldCharType="begin"/>
      </w:r>
      <w:r w:rsidRPr="003549F9">
        <w:instrText xml:space="preserve"> TOC \h \z \t "Caption_Chart,6,Exec Chart Caption,6,Appendix Chart Caption,6" </w:instrText>
      </w:r>
      <w:r w:rsidRPr="003549F9">
        <w:fldChar w:fldCharType="separate"/>
      </w:r>
      <w:hyperlink w:anchor="_Toc167130528" w:history="1">
        <w:r w:rsidR="00CF2D00" w:rsidRPr="002E5DD4">
          <w:rPr>
            <w:rStyle w:val="Hyperlink"/>
            <w:noProof/>
          </w:rPr>
          <w:t>Chart 2.1 : CCCFR services by state/territory</w:t>
        </w:r>
        <w:r w:rsidR="00CF2D00">
          <w:rPr>
            <w:noProof/>
            <w:webHidden/>
          </w:rPr>
          <w:tab/>
        </w:r>
        <w:r w:rsidR="00CF2D00">
          <w:rPr>
            <w:noProof/>
            <w:webHidden/>
          </w:rPr>
          <w:fldChar w:fldCharType="begin"/>
        </w:r>
        <w:r w:rsidR="00CF2D00">
          <w:rPr>
            <w:noProof/>
            <w:webHidden/>
          </w:rPr>
          <w:instrText xml:space="preserve"> PAGEREF _Toc167130528 \h </w:instrText>
        </w:r>
        <w:r w:rsidR="00CF2D00">
          <w:rPr>
            <w:noProof/>
            <w:webHidden/>
          </w:rPr>
        </w:r>
        <w:r w:rsidR="00CF2D00">
          <w:rPr>
            <w:noProof/>
            <w:webHidden/>
          </w:rPr>
          <w:fldChar w:fldCharType="separate"/>
        </w:r>
        <w:r w:rsidR="00D300D0">
          <w:rPr>
            <w:noProof/>
            <w:webHidden/>
          </w:rPr>
          <w:t>25</w:t>
        </w:r>
        <w:r w:rsidR="00CF2D00">
          <w:rPr>
            <w:noProof/>
            <w:webHidden/>
          </w:rPr>
          <w:fldChar w:fldCharType="end"/>
        </w:r>
      </w:hyperlink>
    </w:p>
    <w:p w14:paraId="314E3D36" w14:textId="6E043620"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29" w:history="1">
        <w:r w:rsidR="00CF2D00" w:rsidRPr="002E5DD4">
          <w:rPr>
            <w:rStyle w:val="Hyperlink"/>
            <w:noProof/>
          </w:rPr>
          <w:t>Chart 2.2 : CCCFR services by state/territory and remoteness</w:t>
        </w:r>
        <w:r w:rsidR="00CF2D00">
          <w:rPr>
            <w:noProof/>
            <w:webHidden/>
          </w:rPr>
          <w:tab/>
        </w:r>
        <w:r w:rsidR="00CF2D00">
          <w:rPr>
            <w:noProof/>
            <w:webHidden/>
          </w:rPr>
          <w:fldChar w:fldCharType="begin"/>
        </w:r>
        <w:r w:rsidR="00CF2D00">
          <w:rPr>
            <w:noProof/>
            <w:webHidden/>
          </w:rPr>
          <w:instrText xml:space="preserve"> PAGEREF _Toc167130529 \h </w:instrText>
        </w:r>
        <w:r w:rsidR="00CF2D00">
          <w:rPr>
            <w:noProof/>
            <w:webHidden/>
          </w:rPr>
        </w:r>
        <w:r w:rsidR="00CF2D00">
          <w:rPr>
            <w:noProof/>
            <w:webHidden/>
          </w:rPr>
          <w:fldChar w:fldCharType="separate"/>
        </w:r>
        <w:r w:rsidR="00D300D0">
          <w:rPr>
            <w:noProof/>
            <w:webHidden/>
          </w:rPr>
          <w:t>25</w:t>
        </w:r>
        <w:r w:rsidR="00CF2D00">
          <w:rPr>
            <w:noProof/>
            <w:webHidden/>
          </w:rPr>
          <w:fldChar w:fldCharType="end"/>
        </w:r>
      </w:hyperlink>
    </w:p>
    <w:p w14:paraId="218F1EF4" w14:textId="590C1D21"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0" w:history="1">
        <w:r w:rsidR="00CF2D00" w:rsidRPr="002E5DD4">
          <w:rPr>
            <w:rStyle w:val="Hyperlink"/>
            <w:noProof/>
          </w:rPr>
          <w:t xml:space="preserve">Chart 2.3 : CCCFR services by remoteness and Aboriginal and/or Torres Strait Islander identity </w:t>
        </w:r>
        <w:r w:rsidR="00CF2D00">
          <w:rPr>
            <w:noProof/>
            <w:webHidden/>
          </w:rPr>
          <w:tab/>
        </w:r>
        <w:r w:rsidR="00CF2D00">
          <w:rPr>
            <w:noProof/>
            <w:webHidden/>
          </w:rPr>
          <w:fldChar w:fldCharType="begin"/>
        </w:r>
        <w:r w:rsidR="00CF2D00">
          <w:rPr>
            <w:noProof/>
            <w:webHidden/>
          </w:rPr>
          <w:instrText xml:space="preserve"> PAGEREF _Toc167130530 \h </w:instrText>
        </w:r>
        <w:r w:rsidR="00CF2D00">
          <w:rPr>
            <w:noProof/>
            <w:webHidden/>
          </w:rPr>
        </w:r>
        <w:r w:rsidR="00CF2D00">
          <w:rPr>
            <w:noProof/>
            <w:webHidden/>
          </w:rPr>
          <w:fldChar w:fldCharType="separate"/>
        </w:r>
        <w:r w:rsidR="00D300D0">
          <w:rPr>
            <w:noProof/>
            <w:webHidden/>
          </w:rPr>
          <w:t>26</w:t>
        </w:r>
        <w:r w:rsidR="00CF2D00">
          <w:rPr>
            <w:noProof/>
            <w:webHidden/>
          </w:rPr>
          <w:fldChar w:fldCharType="end"/>
        </w:r>
      </w:hyperlink>
    </w:p>
    <w:p w14:paraId="0AA3446B" w14:textId="13078252"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1" w:history="1">
        <w:r w:rsidR="00CF2D00" w:rsidRPr="002E5DD4">
          <w:rPr>
            <w:rStyle w:val="Hyperlink"/>
            <w:noProof/>
          </w:rPr>
          <w:t>Chart 2.4 : CCCFR services by service type and additional services offered</w:t>
        </w:r>
        <w:r w:rsidR="00CF2D00">
          <w:rPr>
            <w:noProof/>
            <w:webHidden/>
          </w:rPr>
          <w:tab/>
        </w:r>
        <w:r w:rsidR="00CF2D00">
          <w:rPr>
            <w:noProof/>
            <w:webHidden/>
          </w:rPr>
          <w:fldChar w:fldCharType="begin"/>
        </w:r>
        <w:r w:rsidR="00CF2D00">
          <w:rPr>
            <w:noProof/>
            <w:webHidden/>
          </w:rPr>
          <w:instrText xml:space="preserve"> PAGEREF _Toc167130531 \h </w:instrText>
        </w:r>
        <w:r w:rsidR="00CF2D00">
          <w:rPr>
            <w:noProof/>
            <w:webHidden/>
          </w:rPr>
        </w:r>
        <w:r w:rsidR="00CF2D00">
          <w:rPr>
            <w:noProof/>
            <w:webHidden/>
          </w:rPr>
          <w:fldChar w:fldCharType="separate"/>
        </w:r>
        <w:r w:rsidR="00D300D0">
          <w:rPr>
            <w:noProof/>
            <w:webHidden/>
          </w:rPr>
          <w:t>27</w:t>
        </w:r>
        <w:r w:rsidR="00CF2D00">
          <w:rPr>
            <w:noProof/>
            <w:webHidden/>
          </w:rPr>
          <w:fldChar w:fldCharType="end"/>
        </w:r>
      </w:hyperlink>
    </w:p>
    <w:p w14:paraId="3484852E" w14:textId="247807C8"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2" w:history="1">
        <w:r w:rsidR="00CF2D00" w:rsidRPr="002E5DD4">
          <w:rPr>
            <w:rStyle w:val="Hyperlink"/>
            <w:noProof/>
          </w:rPr>
          <w:t>Chart 2.5 : Number of services receiving the CCCFR grant by grant size, 2022-2023</w:t>
        </w:r>
        <w:r w:rsidR="00CF2D00">
          <w:rPr>
            <w:noProof/>
            <w:webHidden/>
          </w:rPr>
          <w:tab/>
        </w:r>
        <w:r w:rsidR="00CF2D00">
          <w:rPr>
            <w:noProof/>
            <w:webHidden/>
          </w:rPr>
          <w:fldChar w:fldCharType="begin"/>
        </w:r>
        <w:r w:rsidR="00CF2D00">
          <w:rPr>
            <w:noProof/>
            <w:webHidden/>
          </w:rPr>
          <w:instrText xml:space="preserve"> PAGEREF _Toc167130532 \h </w:instrText>
        </w:r>
        <w:r w:rsidR="00CF2D00">
          <w:rPr>
            <w:noProof/>
            <w:webHidden/>
          </w:rPr>
        </w:r>
        <w:r w:rsidR="00CF2D00">
          <w:rPr>
            <w:noProof/>
            <w:webHidden/>
          </w:rPr>
          <w:fldChar w:fldCharType="separate"/>
        </w:r>
        <w:r w:rsidR="00D300D0">
          <w:rPr>
            <w:noProof/>
            <w:webHidden/>
          </w:rPr>
          <w:t>28</w:t>
        </w:r>
        <w:r w:rsidR="00CF2D00">
          <w:rPr>
            <w:noProof/>
            <w:webHidden/>
          </w:rPr>
          <w:fldChar w:fldCharType="end"/>
        </w:r>
      </w:hyperlink>
    </w:p>
    <w:p w14:paraId="5AF5F40D" w14:textId="47CAC1CA"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3" w:history="1">
        <w:r w:rsidR="00CF2D00" w:rsidRPr="002E5DD4">
          <w:rPr>
            <w:rStyle w:val="Hyperlink"/>
            <w:noProof/>
          </w:rPr>
          <w:t>Chart 2.6 : Number of services by self-reported capacity</w:t>
        </w:r>
        <w:r w:rsidR="00CF2D00">
          <w:rPr>
            <w:noProof/>
            <w:webHidden/>
          </w:rPr>
          <w:tab/>
        </w:r>
        <w:r w:rsidR="00CF2D00">
          <w:rPr>
            <w:noProof/>
            <w:webHidden/>
          </w:rPr>
          <w:fldChar w:fldCharType="begin"/>
        </w:r>
        <w:r w:rsidR="00CF2D00">
          <w:rPr>
            <w:noProof/>
            <w:webHidden/>
          </w:rPr>
          <w:instrText xml:space="preserve"> PAGEREF _Toc167130533 \h </w:instrText>
        </w:r>
        <w:r w:rsidR="00CF2D00">
          <w:rPr>
            <w:noProof/>
            <w:webHidden/>
          </w:rPr>
        </w:r>
        <w:r w:rsidR="00CF2D00">
          <w:rPr>
            <w:noProof/>
            <w:webHidden/>
          </w:rPr>
          <w:fldChar w:fldCharType="separate"/>
        </w:r>
        <w:r w:rsidR="00D300D0">
          <w:rPr>
            <w:noProof/>
            <w:webHidden/>
          </w:rPr>
          <w:t>29</w:t>
        </w:r>
        <w:r w:rsidR="00CF2D00">
          <w:rPr>
            <w:noProof/>
            <w:webHidden/>
          </w:rPr>
          <w:fldChar w:fldCharType="end"/>
        </w:r>
      </w:hyperlink>
    </w:p>
    <w:p w14:paraId="28A0755C" w14:textId="6FC5B455"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4" w:history="1">
        <w:r w:rsidR="00CF2D00" w:rsidRPr="002E5DD4">
          <w:rPr>
            <w:rStyle w:val="Hyperlink"/>
            <w:noProof/>
          </w:rPr>
          <w:t>Chart 2.7 : CCCFR services by identification as Aboriginal and/or Torres Strait Islander service</w:t>
        </w:r>
        <w:r w:rsidR="00CF2D00">
          <w:rPr>
            <w:noProof/>
            <w:webHidden/>
          </w:rPr>
          <w:tab/>
        </w:r>
        <w:r w:rsidR="00CF2D00">
          <w:rPr>
            <w:noProof/>
            <w:webHidden/>
          </w:rPr>
          <w:fldChar w:fldCharType="begin"/>
        </w:r>
        <w:r w:rsidR="00CF2D00">
          <w:rPr>
            <w:noProof/>
            <w:webHidden/>
          </w:rPr>
          <w:instrText xml:space="preserve"> PAGEREF _Toc167130534 \h </w:instrText>
        </w:r>
        <w:r w:rsidR="00CF2D00">
          <w:rPr>
            <w:noProof/>
            <w:webHidden/>
          </w:rPr>
        </w:r>
        <w:r w:rsidR="00CF2D00">
          <w:rPr>
            <w:noProof/>
            <w:webHidden/>
          </w:rPr>
          <w:fldChar w:fldCharType="separate"/>
        </w:r>
        <w:r w:rsidR="00D300D0">
          <w:rPr>
            <w:noProof/>
            <w:webHidden/>
          </w:rPr>
          <w:t>30</w:t>
        </w:r>
        <w:r w:rsidR="00CF2D00">
          <w:rPr>
            <w:noProof/>
            <w:webHidden/>
          </w:rPr>
          <w:fldChar w:fldCharType="end"/>
        </w:r>
      </w:hyperlink>
    </w:p>
    <w:p w14:paraId="2EC30DB5" w14:textId="45C78024"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5" w:history="1">
        <w:r w:rsidR="00CF2D00" w:rsidRPr="002E5DD4">
          <w:rPr>
            <w:rStyle w:val="Hyperlink"/>
            <w:noProof/>
          </w:rPr>
          <w:t>Chart 2.8 : Number of services by SA2 SEIFA Decile</w:t>
        </w:r>
        <w:r w:rsidR="00CF2D00">
          <w:rPr>
            <w:noProof/>
            <w:webHidden/>
          </w:rPr>
          <w:tab/>
        </w:r>
        <w:r w:rsidR="00CF2D00">
          <w:rPr>
            <w:noProof/>
            <w:webHidden/>
          </w:rPr>
          <w:fldChar w:fldCharType="begin"/>
        </w:r>
        <w:r w:rsidR="00CF2D00">
          <w:rPr>
            <w:noProof/>
            <w:webHidden/>
          </w:rPr>
          <w:instrText xml:space="preserve"> PAGEREF _Toc167130535 \h </w:instrText>
        </w:r>
        <w:r w:rsidR="00CF2D00">
          <w:rPr>
            <w:noProof/>
            <w:webHidden/>
          </w:rPr>
        </w:r>
        <w:r w:rsidR="00CF2D00">
          <w:rPr>
            <w:noProof/>
            <w:webHidden/>
          </w:rPr>
          <w:fldChar w:fldCharType="separate"/>
        </w:r>
        <w:r w:rsidR="00D300D0">
          <w:rPr>
            <w:noProof/>
            <w:webHidden/>
          </w:rPr>
          <w:t>31</w:t>
        </w:r>
        <w:r w:rsidR="00CF2D00">
          <w:rPr>
            <w:noProof/>
            <w:webHidden/>
          </w:rPr>
          <w:fldChar w:fldCharType="end"/>
        </w:r>
      </w:hyperlink>
    </w:p>
    <w:p w14:paraId="0BF1B6F1" w14:textId="3B7B1446"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6" w:history="1">
        <w:r w:rsidR="00CF2D00" w:rsidRPr="002E5DD4">
          <w:rPr>
            <w:rStyle w:val="Hyperlink"/>
            <w:noProof/>
          </w:rPr>
          <w:t>Chart 2.9 : SA2s with at least one CCCFR service, by SEIFA decile</w:t>
        </w:r>
        <w:r w:rsidR="00CF2D00">
          <w:rPr>
            <w:noProof/>
            <w:webHidden/>
          </w:rPr>
          <w:tab/>
        </w:r>
        <w:r w:rsidR="00CF2D00">
          <w:rPr>
            <w:noProof/>
            <w:webHidden/>
          </w:rPr>
          <w:fldChar w:fldCharType="begin"/>
        </w:r>
        <w:r w:rsidR="00CF2D00">
          <w:rPr>
            <w:noProof/>
            <w:webHidden/>
          </w:rPr>
          <w:instrText xml:space="preserve"> PAGEREF _Toc167130536 \h </w:instrText>
        </w:r>
        <w:r w:rsidR="00CF2D00">
          <w:rPr>
            <w:noProof/>
            <w:webHidden/>
          </w:rPr>
        </w:r>
        <w:r w:rsidR="00CF2D00">
          <w:rPr>
            <w:noProof/>
            <w:webHidden/>
          </w:rPr>
          <w:fldChar w:fldCharType="separate"/>
        </w:r>
        <w:r w:rsidR="00D300D0">
          <w:rPr>
            <w:noProof/>
            <w:webHidden/>
          </w:rPr>
          <w:t>31</w:t>
        </w:r>
        <w:r w:rsidR="00CF2D00">
          <w:rPr>
            <w:noProof/>
            <w:webHidden/>
          </w:rPr>
          <w:fldChar w:fldCharType="end"/>
        </w:r>
      </w:hyperlink>
    </w:p>
    <w:p w14:paraId="5303FB64" w14:textId="65756829"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7" w:history="1">
        <w:r w:rsidR="00CF2D00" w:rsidRPr="002E5DD4">
          <w:rPr>
            <w:rStyle w:val="Hyperlink"/>
            <w:noProof/>
          </w:rPr>
          <w:t>Chart 2.10 : Number of services by SA2 unemployment rate</w:t>
        </w:r>
        <w:r w:rsidR="00CF2D00">
          <w:rPr>
            <w:noProof/>
            <w:webHidden/>
          </w:rPr>
          <w:tab/>
        </w:r>
        <w:r w:rsidR="00CF2D00">
          <w:rPr>
            <w:noProof/>
            <w:webHidden/>
          </w:rPr>
          <w:fldChar w:fldCharType="begin"/>
        </w:r>
        <w:r w:rsidR="00CF2D00">
          <w:rPr>
            <w:noProof/>
            <w:webHidden/>
          </w:rPr>
          <w:instrText xml:space="preserve"> PAGEREF _Toc167130537 \h </w:instrText>
        </w:r>
        <w:r w:rsidR="00CF2D00">
          <w:rPr>
            <w:noProof/>
            <w:webHidden/>
          </w:rPr>
        </w:r>
        <w:r w:rsidR="00CF2D00">
          <w:rPr>
            <w:noProof/>
            <w:webHidden/>
          </w:rPr>
          <w:fldChar w:fldCharType="separate"/>
        </w:r>
        <w:r w:rsidR="00D300D0">
          <w:rPr>
            <w:noProof/>
            <w:webHidden/>
          </w:rPr>
          <w:t>32</w:t>
        </w:r>
        <w:r w:rsidR="00CF2D00">
          <w:rPr>
            <w:noProof/>
            <w:webHidden/>
          </w:rPr>
          <w:fldChar w:fldCharType="end"/>
        </w:r>
      </w:hyperlink>
    </w:p>
    <w:p w14:paraId="5ACFFBE0" w14:textId="355D4211"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8" w:history="1">
        <w:r w:rsidR="00CF2D00" w:rsidRPr="002E5DD4">
          <w:rPr>
            <w:rStyle w:val="Hyperlink"/>
            <w:noProof/>
          </w:rPr>
          <w:t>Chart 2.11 : CCCFR locations (SA2) by unemployment and proportion of children vulnerable on 2 or more AEDC domains</w:t>
        </w:r>
        <w:r w:rsidR="00CF2D00">
          <w:rPr>
            <w:noProof/>
            <w:webHidden/>
          </w:rPr>
          <w:tab/>
        </w:r>
        <w:r w:rsidR="00CF2D00">
          <w:rPr>
            <w:noProof/>
            <w:webHidden/>
          </w:rPr>
          <w:fldChar w:fldCharType="begin"/>
        </w:r>
        <w:r w:rsidR="00CF2D00">
          <w:rPr>
            <w:noProof/>
            <w:webHidden/>
          </w:rPr>
          <w:instrText xml:space="preserve"> PAGEREF _Toc167130538 \h </w:instrText>
        </w:r>
        <w:r w:rsidR="00CF2D00">
          <w:rPr>
            <w:noProof/>
            <w:webHidden/>
          </w:rPr>
        </w:r>
        <w:r w:rsidR="00CF2D00">
          <w:rPr>
            <w:noProof/>
            <w:webHidden/>
          </w:rPr>
          <w:fldChar w:fldCharType="separate"/>
        </w:r>
        <w:r w:rsidR="00D300D0">
          <w:rPr>
            <w:noProof/>
            <w:webHidden/>
          </w:rPr>
          <w:t>32</w:t>
        </w:r>
        <w:r w:rsidR="00CF2D00">
          <w:rPr>
            <w:noProof/>
            <w:webHidden/>
          </w:rPr>
          <w:fldChar w:fldCharType="end"/>
        </w:r>
      </w:hyperlink>
    </w:p>
    <w:p w14:paraId="77FEA454" w14:textId="37CA7EF8"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39" w:history="1">
        <w:r w:rsidR="00CF2D00" w:rsidRPr="002E5DD4">
          <w:rPr>
            <w:rStyle w:val="Hyperlink"/>
            <w:noProof/>
          </w:rPr>
          <w:t>Chart 2.12 : Distribution of children enrolled from select backgrounds as a share of total CCCFR attendance in reference week, 2021</w:t>
        </w:r>
        <w:r w:rsidR="00CF2D00">
          <w:rPr>
            <w:noProof/>
            <w:webHidden/>
          </w:rPr>
          <w:tab/>
        </w:r>
        <w:r w:rsidR="00CF2D00">
          <w:rPr>
            <w:noProof/>
            <w:webHidden/>
          </w:rPr>
          <w:fldChar w:fldCharType="begin"/>
        </w:r>
        <w:r w:rsidR="00CF2D00">
          <w:rPr>
            <w:noProof/>
            <w:webHidden/>
          </w:rPr>
          <w:instrText xml:space="preserve"> PAGEREF _Toc167130539 \h </w:instrText>
        </w:r>
        <w:r w:rsidR="00CF2D00">
          <w:rPr>
            <w:noProof/>
            <w:webHidden/>
          </w:rPr>
        </w:r>
        <w:r w:rsidR="00CF2D00">
          <w:rPr>
            <w:noProof/>
            <w:webHidden/>
          </w:rPr>
          <w:fldChar w:fldCharType="separate"/>
        </w:r>
        <w:r w:rsidR="00D300D0">
          <w:rPr>
            <w:noProof/>
            <w:webHidden/>
          </w:rPr>
          <w:t>34</w:t>
        </w:r>
        <w:r w:rsidR="00CF2D00">
          <w:rPr>
            <w:noProof/>
            <w:webHidden/>
          </w:rPr>
          <w:fldChar w:fldCharType="end"/>
        </w:r>
      </w:hyperlink>
    </w:p>
    <w:p w14:paraId="7EF31031" w14:textId="372FAEBD"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0" w:history="1">
        <w:r w:rsidR="00CF2D00" w:rsidRPr="002E5DD4">
          <w:rPr>
            <w:rStyle w:val="Hyperlink"/>
            <w:noProof/>
          </w:rPr>
          <w:t>Chart 2.13 : Distribution of children enrolled by expected family income and Aboriginal and/or Torres Strait Islander background, financial year 2023</w:t>
        </w:r>
        <w:r w:rsidR="00CF2D00">
          <w:rPr>
            <w:noProof/>
            <w:webHidden/>
          </w:rPr>
          <w:tab/>
        </w:r>
        <w:r w:rsidR="00CF2D00">
          <w:rPr>
            <w:noProof/>
            <w:webHidden/>
          </w:rPr>
          <w:fldChar w:fldCharType="begin"/>
        </w:r>
        <w:r w:rsidR="00CF2D00">
          <w:rPr>
            <w:noProof/>
            <w:webHidden/>
          </w:rPr>
          <w:instrText xml:space="preserve"> PAGEREF _Toc167130540 \h </w:instrText>
        </w:r>
        <w:r w:rsidR="00CF2D00">
          <w:rPr>
            <w:noProof/>
            <w:webHidden/>
          </w:rPr>
        </w:r>
        <w:r w:rsidR="00CF2D00">
          <w:rPr>
            <w:noProof/>
            <w:webHidden/>
          </w:rPr>
          <w:fldChar w:fldCharType="separate"/>
        </w:r>
        <w:r w:rsidR="00D300D0">
          <w:rPr>
            <w:noProof/>
            <w:webHidden/>
          </w:rPr>
          <w:t>35</w:t>
        </w:r>
        <w:r w:rsidR="00CF2D00">
          <w:rPr>
            <w:noProof/>
            <w:webHidden/>
          </w:rPr>
          <w:fldChar w:fldCharType="end"/>
        </w:r>
      </w:hyperlink>
    </w:p>
    <w:p w14:paraId="4DC1145F" w14:textId="6F8E19A7"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1" w:history="1">
        <w:r w:rsidR="00CF2D00" w:rsidRPr="002E5DD4">
          <w:rPr>
            <w:rStyle w:val="Hyperlink"/>
            <w:noProof/>
          </w:rPr>
          <w:t>Chart 2.14 : Distribution of children enrolled by distance from service, 2023</w:t>
        </w:r>
        <w:r w:rsidR="00CF2D00">
          <w:rPr>
            <w:noProof/>
            <w:webHidden/>
          </w:rPr>
          <w:tab/>
        </w:r>
        <w:r w:rsidR="00CF2D00">
          <w:rPr>
            <w:noProof/>
            <w:webHidden/>
          </w:rPr>
          <w:fldChar w:fldCharType="begin"/>
        </w:r>
        <w:r w:rsidR="00CF2D00">
          <w:rPr>
            <w:noProof/>
            <w:webHidden/>
          </w:rPr>
          <w:instrText xml:space="preserve"> PAGEREF _Toc167130541 \h </w:instrText>
        </w:r>
        <w:r w:rsidR="00CF2D00">
          <w:rPr>
            <w:noProof/>
            <w:webHidden/>
          </w:rPr>
        </w:r>
        <w:r w:rsidR="00CF2D00">
          <w:rPr>
            <w:noProof/>
            <w:webHidden/>
          </w:rPr>
          <w:fldChar w:fldCharType="separate"/>
        </w:r>
        <w:r w:rsidR="00D300D0">
          <w:rPr>
            <w:noProof/>
            <w:webHidden/>
          </w:rPr>
          <w:t>36</w:t>
        </w:r>
        <w:r w:rsidR="00CF2D00">
          <w:rPr>
            <w:noProof/>
            <w:webHidden/>
          </w:rPr>
          <w:fldChar w:fldCharType="end"/>
        </w:r>
      </w:hyperlink>
    </w:p>
    <w:p w14:paraId="033761FF" w14:textId="405F68FD"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2" w:history="1">
        <w:r w:rsidR="00CF2D00" w:rsidRPr="002E5DD4">
          <w:rPr>
            <w:rStyle w:val="Hyperlink"/>
            <w:noProof/>
          </w:rPr>
          <w:t>Chart 2.15 : Distribution of children enrolled by age, 2023</w:t>
        </w:r>
        <w:r w:rsidR="00CF2D00">
          <w:rPr>
            <w:noProof/>
            <w:webHidden/>
          </w:rPr>
          <w:tab/>
        </w:r>
        <w:r w:rsidR="00CF2D00">
          <w:rPr>
            <w:noProof/>
            <w:webHidden/>
          </w:rPr>
          <w:fldChar w:fldCharType="begin"/>
        </w:r>
        <w:r w:rsidR="00CF2D00">
          <w:rPr>
            <w:noProof/>
            <w:webHidden/>
          </w:rPr>
          <w:instrText xml:space="preserve"> PAGEREF _Toc167130542 \h </w:instrText>
        </w:r>
        <w:r w:rsidR="00CF2D00">
          <w:rPr>
            <w:noProof/>
            <w:webHidden/>
          </w:rPr>
        </w:r>
        <w:r w:rsidR="00CF2D00">
          <w:rPr>
            <w:noProof/>
            <w:webHidden/>
          </w:rPr>
          <w:fldChar w:fldCharType="separate"/>
        </w:r>
        <w:r w:rsidR="00D300D0">
          <w:rPr>
            <w:noProof/>
            <w:webHidden/>
          </w:rPr>
          <w:t>36</w:t>
        </w:r>
        <w:r w:rsidR="00CF2D00">
          <w:rPr>
            <w:noProof/>
            <w:webHidden/>
          </w:rPr>
          <w:fldChar w:fldCharType="end"/>
        </w:r>
      </w:hyperlink>
    </w:p>
    <w:p w14:paraId="7EB7332C" w14:textId="150F9B06"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3" w:history="1">
        <w:r w:rsidR="00CF2D00" w:rsidRPr="002E5DD4">
          <w:rPr>
            <w:rStyle w:val="Hyperlink"/>
            <w:noProof/>
          </w:rPr>
          <w:t>Chart 5.1 : Enrolments in CCCFR services, financial year 2019 to 2023 (June)</w:t>
        </w:r>
        <w:r w:rsidR="00CF2D00">
          <w:rPr>
            <w:noProof/>
            <w:webHidden/>
          </w:rPr>
          <w:tab/>
        </w:r>
        <w:r w:rsidR="00CF2D00">
          <w:rPr>
            <w:noProof/>
            <w:webHidden/>
          </w:rPr>
          <w:fldChar w:fldCharType="begin"/>
        </w:r>
        <w:r w:rsidR="00CF2D00">
          <w:rPr>
            <w:noProof/>
            <w:webHidden/>
          </w:rPr>
          <w:instrText xml:space="preserve"> PAGEREF _Toc167130543 \h </w:instrText>
        </w:r>
        <w:r w:rsidR="00CF2D00">
          <w:rPr>
            <w:noProof/>
            <w:webHidden/>
          </w:rPr>
        </w:r>
        <w:r w:rsidR="00CF2D00">
          <w:rPr>
            <w:noProof/>
            <w:webHidden/>
          </w:rPr>
          <w:fldChar w:fldCharType="separate"/>
        </w:r>
        <w:r w:rsidR="00D300D0">
          <w:rPr>
            <w:noProof/>
            <w:webHidden/>
          </w:rPr>
          <w:t>67</w:t>
        </w:r>
        <w:r w:rsidR="00CF2D00">
          <w:rPr>
            <w:noProof/>
            <w:webHidden/>
          </w:rPr>
          <w:fldChar w:fldCharType="end"/>
        </w:r>
      </w:hyperlink>
    </w:p>
    <w:p w14:paraId="55332063" w14:textId="29B84CF8"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4" w:history="1">
        <w:r w:rsidR="00CF2D00" w:rsidRPr="002E5DD4">
          <w:rPr>
            <w:rStyle w:val="Hyperlink"/>
            <w:noProof/>
          </w:rPr>
          <w:t>Chart 5.2 : Enrolment growth by Aboriginal and Torres Strait Islander children by service type, financial year 2019-2023 [2019 June level = 100]</w:t>
        </w:r>
        <w:r w:rsidR="00CF2D00">
          <w:rPr>
            <w:noProof/>
            <w:webHidden/>
          </w:rPr>
          <w:tab/>
        </w:r>
        <w:r w:rsidR="00CF2D00">
          <w:rPr>
            <w:noProof/>
            <w:webHidden/>
          </w:rPr>
          <w:fldChar w:fldCharType="begin"/>
        </w:r>
        <w:r w:rsidR="00CF2D00">
          <w:rPr>
            <w:noProof/>
            <w:webHidden/>
          </w:rPr>
          <w:instrText xml:space="preserve"> PAGEREF _Toc167130544 \h </w:instrText>
        </w:r>
        <w:r w:rsidR="00CF2D00">
          <w:rPr>
            <w:noProof/>
            <w:webHidden/>
          </w:rPr>
        </w:r>
        <w:r w:rsidR="00CF2D00">
          <w:rPr>
            <w:noProof/>
            <w:webHidden/>
          </w:rPr>
          <w:fldChar w:fldCharType="separate"/>
        </w:r>
        <w:r w:rsidR="00D300D0">
          <w:rPr>
            <w:noProof/>
            <w:webHidden/>
          </w:rPr>
          <w:t>67</w:t>
        </w:r>
        <w:r w:rsidR="00CF2D00">
          <w:rPr>
            <w:noProof/>
            <w:webHidden/>
          </w:rPr>
          <w:fldChar w:fldCharType="end"/>
        </w:r>
      </w:hyperlink>
    </w:p>
    <w:p w14:paraId="256E5B0C" w14:textId="6C615F3B"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5" w:history="1">
        <w:r w:rsidR="00CF2D00" w:rsidRPr="002E5DD4">
          <w:rPr>
            <w:rStyle w:val="Hyperlink"/>
            <w:noProof/>
          </w:rPr>
          <w:t>Chart 5.3 : Distribution of ‘service utilisation’ across CCCFR services, financial year 2023</w:t>
        </w:r>
        <w:r w:rsidR="00CF2D00">
          <w:rPr>
            <w:noProof/>
            <w:webHidden/>
          </w:rPr>
          <w:tab/>
        </w:r>
        <w:r w:rsidR="00CF2D00">
          <w:rPr>
            <w:noProof/>
            <w:webHidden/>
          </w:rPr>
          <w:fldChar w:fldCharType="begin"/>
        </w:r>
        <w:r w:rsidR="00CF2D00">
          <w:rPr>
            <w:noProof/>
            <w:webHidden/>
          </w:rPr>
          <w:instrText xml:space="preserve"> PAGEREF _Toc167130545 \h </w:instrText>
        </w:r>
        <w:r w:rsidR="00CF2D00">
          <w:rPr>
            <w:noProof/>
            <w:webHidden/>
          </w:rPr>
        </w:r>
        <w:r w:rsidR="00CF2D00">
          <w:rPr>
            <w:noProof/>
            <w:webHidden/>
          </w:rPr>
          <w:fldChar w:fldCharType="separate"/>
        </w:r>
        <w:r w:rsidR="00D300D0">
          <w:rPr>
            <w:noProof/>
            <w:webHidden/>
          </w:rPr>
          <w:t>68</w:t>
        </w:r>
        <w:r w:rsidR="00CF2D00">
          <w:rPr>
            <w:noProof/>
            <w:webHidden/>
          </w:rPr>
          <w:fldChar w:fldCharType="end"/>
        </w:r>
      </w:hyperlink>
    </w:p>
    <w:p w14:paraId="15A7901D" w14:textId="08EEBB12"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6" w:history="1">
        <w:r w:rsidR="00CF2D00" w:rsidRPr="002E5DD4">
          <w:rPr>
            <w:rStyle w:val="Hyperlink"/>
            <w:noProof/>
          </w:rPr>
          <w:t>Chart 5.4 : Annual hours attended per enrolled child in CCCFR services, financial year 2019-2023</w:t>
        </w:r>
        <w:r w:rsidR="00CF2D00">
          <w:rPr>
            <w:noProof/>
            <w:webHidden/>
          </w:rPr>
          <w:tab/>
        </w:r>
        <w:r w:rsidR="00CF2D00">
          <w:rPr>
            <w:noProof/>
            <w:webHidden/>
          </w:rPr>
          <w:fldChar w:fldCharType="begin"/>
        </w:r>
        <w:r w:rsidR="00CF2D00">
          <w:rPr>
            <w:noProof/>
            <w:webHidden/>
          </w:rPr>
          <w:instrText xml:space="preserve"> PAGEREF _Toc167130546 \h </w:instrText>
        </w:r>
        <w:r w:rsidR="00CF2D00">
          <w:rPr>
            <w:noProof/>
            <w:webHidden/>
          </w:rPr>
        </w:r>
        <w:r w:rsidR="00CF2D00">
          <w:rPr>
            <w:noProof/>
            <w:webHidden/>
          </w:rPr>
          <w:fldChar w:fldCharType="separate"/>
        </w:r>
        <w:r w:rsidR="00D300D0">
          <w:rPr>
            <w:noProof/>
            <w:webHidden/>
          </w:rPr>
          <w:t>69</w:t>
        </w:r>
        <w:r w:rsidR="00CF2D00">
          <w:rPr>
            <w:noProof/>
            <w:webHidden/>
          </w:rPr>
          <w:fldChar w:fldCharType="end"/>
        </w:r>
      </w:hyperlink>
    </w:p>
    <w:p w14:paraId="58505737" w14:textId="02D03A8A"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7" w:history="1">
        <w:r w:rsidR="00CF2D00" w:rsidRPr="002E5DD4">
          <w:rPr>
            <w:rStyle w:val="Hyperlink"/>
            <w:noProof/>
          </w:rPr>
          <w:t>Chart 5.5 : Out-of-pocket fees per charged hour by service type, financial year 2019-2023</w:t>
        </w:r>
        <w:r w:rsidR="00CF2D00">
          <w:rPr>
            <w:noProof/>
            <w:webHidden/>
          </w:rPr>
          <w:tab/>
        </w:r>
        <w:r w:rsidR="00CF2D00">
          <w:rPr>
            <w:noProof/>
            <w:webHidden/>
          </w:rPr>
          <w:fldChar w:fldCharType="begin"/>
        </w:r>
        <w:r w:rsidR="00CF2D00">
          <w:rPr>
            <w:noProof/>
            <w:webHidden/>
          </w:rPr>
          <w:instrText xml:space="preserve"> PAGEREF _Toc167130547 \h </w:instrText>
        </w:r>
        <w:r w:rsidR="00CF2D00">
          <w:rPr>
            <w:noProof/>
            <w:webHidden/>
          </w:rPr>
        </w:r>
        <w:r w:rsidR="00CF2D00">
          <w:rPr>
            <w:noProof/>
            <w:webHidden/>
          </w:rPr>
          <w:fldChar w:fldCharType="separate"/>
        </w:r>
        <w:r w:rsidR="00D300D0">
          <w:rPr>
            <w:noProof/>
            <w:webHidden/>
          </w:rPr>
          <w:t>69</w:t>
        </w:r>
        <w:r w:rsidR="00CF2D00">
          <w:rPr>
            <w:noProof/>
            <w:webHidden/>
          </w:rPr>
          <w:fldChar w:fldCharType="end"/>
        </w:r>
      </w:hyperlink>
    </w:p>
    <w:p w14:paraId="1D2EB90A" w14:textId="2327A042"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8" w:history="1">
        <w:r w:rsidR="00CF2D00" w:rsidRPr="002E5DD4">
          <w:rPr>
            <w:rStyle w:val="Hyperlink"/>
            <w:noProof/>
          </w:rPr>
          <w:t>Chart 5.6 : Out-of-pocket fees as a share of family income, financial year 2023</w:t>
        </w:r>
        <w:r w:rsidR="00CF2D00">
          <w:rPr>
            <w:noProof/>
            <w:webHidden/>
          </w:rPr>
          <w:tab/>
        </w:r>
        <w:r w:rsidR="00CF2D00">
          <w:rPr>
            <w:noProof/>
            <w:webHidden/>
          </w:rPr>
          <w:fldChar w:fldCharType="begin"/>
        </w:r>
        <w:r w:rsidR="00CF2D00">
          <w:rPr>
            <w:noProof/>
            <w:webHidden/>
          </w:rPr>
          <w:instrText xml:space="preserve"> PAGEREF _Toc167130548 \h </w:instrText>
        </w:r>
        <w:r w:rsidR="00CF2D00">
          <w:rPr>
            <w:noProof/>
            <w:webHidden/>
          </w:rPr>
        </w:r>
        <w:r w:rsidR="00CF2D00">
          <w:rPr>
            <w:noProof/>
            <w:webHidden/>
          </w:rPr>
          <w:fldChar w:fldCharType="separate"/>
        </w:r>
        <w:r w:rsidR="00D300D0">
          <w:rPr>
            <w:noProof/>
            <w:webHidden/>
          </w:rPr>
          <w:t>70</w:t>
        </w:r>
        <w:r w:rsidR="00CF2D00">
          <w:rPr>
            <w:noProof/>
            <w:webHidden/>
          </w:rPr>
          <w:fldChar w:fldCharType="end"/>
        </w:r>
      </w:hyperlink>
    </w:p>
    <w:p w14:paraId="247D893B" w14:textId="0C46414F"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49" w:history="1">
        <w:r w:rsidR="00CF2D00" w:rsidRPr="002E5DD4">
          <w:rPr>
            <w:rStyle w:val="Hyperlink"/>
            <w:noProof/>
          </w:rPr>
          <w:t>Chart 5.7 : Out-of-pocket fees per charged hour for CCCFR services, financial year 2019-2023</w:t>
        </w:r>
        <w:r w:rsidR="00CF2D00">
          <w:rPr>
            <w:noProof/>
            <w:webHidden/>
          </w:rPr>
          <w:tab/>
        </w:r>
        <w:r w:rsidR="00CF2D00">
          <w:rPr>
            <w:noProof/>
            <w:webHidden/>
          </w:rPr>
          <w:fldChar w:fldCharType="begin"/>
        </w:r>
        <w:r w:rsidR="00CF2D00">
          <w:rPr>
            <w:noProof/>
            <w:webHidden/>
          </w:rPr>
          <w:instrText xml:space="preserve"> PAGEREF _Toc167130549 \h </w:instrText>
        </w:r>
        <w:r w:rsidR="00CF2D00">
          <w:rPr>
            <w:noProof/>
            <w:webHidden/>
          </w:rPr>
        </w:r>
        <w:r w:rsidR="00CF2D00">
          <w:rPr>
            <w:noProof/>
            <w:webHidden/>
          </w:rPr>
          <w:fldChar w:fldCharType="separate"/>
        </w:r>
        <w:r w:rsidR="00D300D0">
          <w:rPr>
            <w:noProof/>
            <w:webHidden/>
          </w:rPr>
          <w:t>71</w:t>
        </w:r>
        <w:r w:rsidR="00CF2D00">
          <w:rPr>
            <w:noProof/>
            <w:webHidden/>
          </w:rPr>
          <w:fldChar w:fldCharType="end"/>
        </w:r>
      </w:hyperlink>
    </w:p>
    <w:p w14:paraId="7F0652AE" w14:textId="19D041CE"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0" w:history="1">
        <w:r w:rsidR="00CF2D00" w:rsidRPr="002E5DD4">
          <w:rPr>
            <w:rStyle w:val="Hyperlink"/>
            <w:noProof/>
          </w:rPr>
          <w:t>Chart 5.8 : ECEC enrolment in the YBFS by children in SA2s with CCCFR services</w:t>
        </w:r>
        <w:r w:rsidR="00CF2D00">
          <w:rPr>
            <w:noProof/>
            <w:webHidden/>
          </w:rPr>
          <w:tab/>
        </w:r>
        <w:r w:rsidR="00CF2D00">
          <w:rPr>
            <w:noProof/>
            <w:webHidden/>
          </w:rPr>
          <w:fldChar w:fldCharType="begin"/>
        </w:r>
        <w:r w:rsidR="00CF2D00">
          <w:rPr>
            <w:noProof/>
            <w:webHidden/>
          </w:rPr>
          <w:instrText xml:space="preserve"> PAGEREF _Toc167130550 \h </w:instrText>
        </w:r>
        <w:r w:rsidR="00CF2D00">
          <w:rPr>
            <w:noProof/>
            <w:webHidden/>
          </w:rPr>
        </w:r>
        <w:r w:rsidR="00CF2D00">
          <w:rPr>
            <w:noProof/>
            <w:webHidden/>
          </w:rPr>
          <w:fldChar w:fldCharType="separate"/>
        </w:r>
        <w:r w:rsidR="00D300D0">
          <w:rPr>
            <w:noProof/>
            <w:webHidden/>
          </w:rPr>
          <w:t>72</w:t>
        </w:r>
        <w:r w:rsidR="00CF2D00">
          <w:rPr>
            <w:noProof/>
            <w:webHidden/>
          </w:rPr>
          <w:fldChar w:fldCharType="end"/>
        </w:r>
      </w:hyperlink>
    </w:p>
    <w:p w14:paraId="309ECA88" w14:textId="75581EE3"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1" w:history="1">
        <w:r w:rsidR="00CF2D00" w:rsidRPr="002E5DD4">
          <w:rPr>
            <w:rStyle w:val="Hyperlink"/>
            <w:noProof/>
          </w:rPr>
          <w:t>Chart 5.9 : Difference in preschool participation rate growth for CCCFR and like regions in the YBFS, 2015-2021</w:t>
        </w:r>
        <w:r w:rsidR="00CF2D00">
          <w:rPr>
            <w:noProof/>
            <w:webHidden/>
          </w:rPr>
          <w:tab/>
        </w:r>
        <w:r w:rsidR="00CF2D00">
          <w:rPr>
            <w:noProof/>
            <w:webHidden/>
          </w:rPr>
          <w:fldChar w:fldCharType="begin"/>
        </w:r>
        <w:r w:rsidR="00CF2D00">
          <w:rPr>
            <w:noProof/>
            <w:webHidden/>
          </w:rPr>
          <w:instrText xml:space="preserve"> PAGEREF _Toc167130551 \h </w:instrText>
        </w:r>
        <w:r w:rsidR="00CF2D00">
          <w:rPr>
            <w:noProof/>
            <w:webHidden/>
          </w:rPr>
        </w:r>
        <w:r w:rsidR="00CF2D00">
          <w:rPr>
            <w:noProof/>
            <w:webHidden/>
          </w:rPr>
          <w:fldChar w:fldCharType="separate"/>
        </w:r>
        <w:r w:rsidR="00D300D0">
          <w:rPr>
            <w:noProof/>
            <w:webHidden/>
          </w:rPr>
          <w:t>73</w:t>
        </w:r>
        <w:r w:rsidR="00CF2D00">
          <w:rPr>
            <w:noProof/>
            <w:webHidden/>
          </w:rPr>
          <w:fldChar w:fldCharType="end"/>
        </w:r>
      </w:hyperlink>
    </w:p>
    <w:p w14:paraId="56CC9DD8" w14:textId="06008CB4"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2" w:history="1">
        <w:r w:rsidR="00CF2D00" w:rsidRPr="002E5DD4">
          <w:rPr>
            <w:rStyle w:val="Hyperlink"/>
            <w:noProof/>
          </w:rPr>
          <w:t>Chart 5.10 : Difference in preschool participation rate growth for CCCFR and like regions in 2015-2021 in the YBFS, by region type</w:t>
        </w:r>
        <w:r w:rsidR="00CF2D00">
          <w:rPr>
            <w:noProof/>
            <w:webHidden/>
          </w:rPr>
          <w:tab/>
        </w:r>
        <w:r w:rsidR="00CF2D00">
          <w:rPr>
            <w:noProof/>
            <w:webHidden/>
          </w:rPr>
          <w:fldChar w:fldCharType="begin"/>
        </w:r>
        <w:r w:rsidR="00CF2D00">
          <w:rPr>
            <w:noProof/>
            <w:webHidden/>
          </w:rPr>
          <w:instrText xml:space="preserve"> PAGEREF _Toc167130552 \h </w:instrText>
        </w:r>
        <w:r w:rsidR="00CF2D00">
          <w:rPr>
            <w:noProof/>
            <w:webHidden/>
          </w:rPr>
        </w:r>
        <w:r w:rsidR="00CF2D00">
          <w:rPr>
            <w:noProof/>
            <w:webHidden/>
          </w:rPr>
          <w:fldChar w:fldCharType="separate"/>
        </w:r>
        <w:r w:rsidR="00D300D0">
          <w:rPr>
            <w:noProof/>
            <w:webHidden/>
          </w:rPr>
          <w:t>74</w:t>
        </w:r>
        <w:r w:rsidR="00CF2D00">
          <w:rPr>
            <w:noProof/>
            <w:webHidden/>
          </w:rPr>
          <w:fldChar w:fldCharType="end"/>
        </w:r>
      </w:hyperlink>
    </w:p>
    <w:p w14:paraId="02D04A87" w14:textId="6CBBABE6"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3" w:history="1">
        <w:r w:rsidR="00CF2D00" w:rsidRPr="002E5DD4">
          <w:rPr>
            <w:rStyle w:val="Hyperlink"/>
            <w:noProof/>
          </w:rPr>
          <w:t>Chart 5.11 : Proportion of children developmentally vulnerable in SA2s with CCCFR services</w:t>
        </w:r>
        <w:r w:rsidR="00CF2D00">
          <w:rPr>
            <w:noProof/>
            <w:webHidden/>
          </w:rPr>
          <w:tab/>
        </w:r>
        <w:r w:rsidR="00CF2D00">
          <w:rPr>
            <w:noProof/>
            <w:webHidden/>
          </w:rPr>
          <w:fldChar w:fldCharType="begin"/>
        </w:r>
        <w:r w:rsidR="00CF2D00">
          <w:rPr>
            <w:noProof/>
            <w:webHidden/>
          </w:rPr>
          <w:instrText xml:space="preserve"> PAGEREF _Toc167130553 \h </w:instrText>
        </w:r>
        <w:r w:rsidR="00CF2D00">
          <w:rPr>
            <w:noProof/>
            <w:webHidden/>
          </w:rPr>
        </w:r>
        <w:r w:rsidR="00CF2D00">
          <w:rPr>
            <w:noProof/>
            <w:webHidden/>
          </w:rPr>
          <w:fldChar w:fldCharType="separate"/>
        </w:r>
        <w:r w:rsidR="00D300D0">
          <w:rPr>
            <w:noProof/>
            <w:webHidden/>
          </w:rPr>
          <w:t>75</w:t>
        </w:r>
        <w:r w:rsidR="00CF2D00">
          <w:rPr>
            <w:noProof/>
            <w:webHidden/>
          </w:rPr>
          <w:fldChar w:fldCharType="end"/>
        </w:r>
      </w:hyperlink>
    </w:p>
    <w:p w14:paraId="0BC7D578" w14:textId="047472A6"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4" w:history="1">
        <w:r w:rsidR="00CF2D00" w:rsidRPr="002E5DD4">
          <w:rPr>
            <w:rStyle w:val="Hyperlink"/>
            <w:noProof/>
          </w:rPr>
          <w:t>Chart 5.12 : Proportion of Aboriginal children developmentally vulnerable in Indigenous Areas with CCCFR services</w:t>
        </w:r>
        <w:r w:rsidR="00CF2D00">
          <w:rPr>
            <w:noProof/>
            <w:webHidden/>
          </w:rPr>
          <w:tab/>
        </w:r>
        <w:r w:rsidR="00CF2D00">
          <w:rPr>
            <w:noProof/>
            <w:webHidden/>
          </w:rPr>
          <w:fldChar w:fldCharType="begin"/>
        </w:r>
        <w:r w:rsidR="00CF2D00">
          <w:rPr>
            <w:noProof/>
            <w:webHidden/>
          </w:rPr>
          <w:instrText xml:space="preserve"> PAGEREF _Toc167130554 \h </w:instrText>
        </w:r>
        <w:r w:rsidR="00CF2D00">
          <w:rPr>
            <w:noProof/>
            <w:webHidden/>
          </w:rPr>
        </w:r>
        <w:r w:rsidR="00CF2D00">
          <w:rPr>
            <w:noProof/>
            <w:webHidden/>
          </w:rPr>
          <w:fldChar w:fldCharType="separate"/>
        </w:r>
        <w:r w:rsidR="00D300D0">
          <w:rPr>
            <w:noProof/>
            <w:webHidden/>
          </w:rPr>
          <w:t>75</w:t>
        </w:r>
        <w:r w:rsidR="00CF2D00">
          <w:rPr>
            <w:noProof/>
            <w:webHidden/>
          </w:rPr>
          <w:fldChar w:fldCharType="end"/>
        </w:r>
      </w:hyperlink>
    </w:p>
    <w:p w14:paraId="0C550775" w14:textId="12CD213A"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5" w:history="1">
        <w:r w:rsidR="00CF2D00" w:rsidRPr="002E5DD4">
          <w:rPr>
            <w:rStyle w:val="Hyperlink"/>
            <w:noProof/>
          </w:rPr>
          <w:t>Chart 5.13 : Difference in improvements in child developmental outcomes for CCCFR and like regions, 2015-2021</w:t>
        </w:r>
        <w:r w:rsidR="00CF2D00">
          <w:rPr>
            <w:noProof/>
            <w:webHidden/>
          </w:rPr>
          <w:tab/>
        </w:r>
        <w:r w:rsidR="00CF2D00">
          <w:rPr>
            <w:noProof/>
            <w:webHidden/>
          </w:rPr>
          <w:fldChar w:fldCharType="begin"/>
        </w:r>
        <w:r w:rsidR="00CF2D00">
          <w:rPr>
            <w:noProof/>
            <w:webHidden/>
          </w:rPr>
          <w:instrText xml:space="preserve"> PAGEREF _Toc167130555 \h </w:instrText>
        </w:r>
        <w:r w:rsidR="00CF2D00">
          <w:rPr>
            <w:noProof/>
            <w:webHidden/>
          </w:rPr>
        </w:r>
        <w:r w:rsidR="00CF2D00">
          <w:rPr>
            <w:noProof/>
            <w:webHidden/>
          </w:rPr>
          <w:fldChar w:fldCharType="separate"/>
        </w:r>
        <w:r w:rsidR="00D300D0">
          <w:rPr>
            <w:noProof/>
            <w:webHidden/>
          </w:rPr>
          <w:t>76</w:t>
        </w:r>
        <w:r w:rsidR="00CF2D00">
          <w:rPr>
            <w:noProof/>
            <w:webHidden/>
          </w:rPr>
          <w:fldChar w:fldCharType="end"/>
        </w:r>
      </w:hyperlink>
    </w:p>
    <w:p w14:paraId="350BDA14" w14:textId="71E063E5"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6" w:history="1">
        <w:r w:rsidR="00CF2D00" w:rsidRPr="002E5DD4">
          <w:rPr>
            <w:rStyle w:val="Hyperlink"/>
            <w:noProof/>
          </w:rPr>
          <w:t>Chart 5.14 : Difference in improvements in child developmental outcomes for CCCFR and like regions, by region</w:t>
        </w:r>
        <w:r w:rsidR="00CF2D00">
          <w:rPr>
            <w:noProof/>
            <w:webHidden/>
          </w:rPr>
          <w:tab/>
        </w:r>
        <w:r w:rsidR="00CF2D00">
          <w:rPr>
            <w:noProof/>
            <w:webHidden/>
          </w:rPr>
          <w:fldChar w:fldCharType="begin"/>
        </w:r>
        <w:r w:rsidR="00CF2D00">
          <w:rPr>
            <w:noProof/>
            <w:webHidden/>
          </w:rPr>
          <w:instrText xml:space="preserve"> PAGEREF _Toc167130556 \h </w:instrText>
        </w:r>
        <w:r w:rsidR="00CF2D00">
          <w:rPr>
            <w:noProof/>
            <w:webHidden/>
          </w:rPr>
        </w:r>
        <w:r w:rsidR="00CF2D00">
          <w:rPr>
            <w:noProof/>
            <w:webHidden/>
          </w:rPr>
          <w:fldChar w:fldCharType="separate"/>
        </w:r>
        <w:r w:rsidR="00D300D0">
          <w:rPr>
            <w:noProof/>
            <w:webHidden/>
          </w:rPr>
          <w:t>77</w:t>
        </w:r>
        <w:r w:rsidR="00CF2D00">
          <w:rPr>
            <w:noProof/>
            <w:webHidden/>
          </w:rPr>
          <w:fldChar w:fldCharType="end"/>
        </w:r>
      </w:hyperlink>
    </w:p>
    <w:p w14:paraId="22B9FFE5" w14:textId="6DF95AA5"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7" w:history="1">
        <w:r w:rsidR="00CF2D00" w:rsidRPr="002E5DD4">
          <w:rPr>
            <w:rStyle w:val="Hyperlink"/>
            <w:noProof/>
          </w:rPr>
          <w:t>Chart 5.15 : Difference in parental workforce participation outcomes for CCCFR and like regions, by regionality</w:t>
        </w:r>
        <w:r w:rsidR="00CF2D00">
          <w:rPr>
            <w:noProof/>
            <w:webHidden/>
          </w:rPr>
          <w:tab/>
        </w:r>
        <w:r w:rsidR="00CF2D00">
          <w:rPr>
            <w:noProof/>
            <w:webHidden/>
          </w:rPr>
          <w:fldChar w:fldCharType="begin"/>
        </w:r>
        <w:r w:rsidR="00CF2D00">
          <w:rPr>
            <w:noProof/>
            <w:webHidden/>
          </w:rPr>
          <w:instrText xml:space="preserve"> PAGEREF _Toc167130557 \h </w:instrText>
        </w:r>
        <w:r w:rsidR="00CF2D00">
          <w:rPr>
            <w:noProof/>
            <w:webHidden/>
          </w:rPr>
        </w:r>
        <w:r w:rsidR="00CF2D00">
          <w:rPr>
            <w:noProof/>
            <w:webHidden/>
          </w:rPr>
          <w:fldChar w:fldCharType="separate"/>
        </w:r>
        <w:r w:rsidR="00D300D0">
          <w:rPr>
            <w:noProof/>
            <w:webHidden/>
          </w:rPr>
          <w:t>78</w:t>
        </w:r>
        <w:r w:rsidR="00CF2D00">
          <w:rPr>
            <w:noProof/>
            <w:webHidden/>
          </w:rPr>
          <w:fldChar w:fldCharType="end"/>
        </w:r>
      </w:hyperlink>
    </w:p>
    <w:p w14:paraId="549AC3D7" w14:textId="240D6243"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8" w:history="1">
        <w:r w:rsidR="00CF2D00" w:rsidRPr="002E5DD4">
          <w:rPr>
            <w:rStyle w:val="Hyperlink"/>
            <w:noProof/>
          </w:rPr>
          <w:t>Chart 6.1 : Local SA2 unemployment rate and average CCCFR funding</w:t>
        </w:r>
        <w:r w:rsidR="00CF2D00">
          <w:rPr>
            <w:noProof/>
            <w:webHidden/>
          </w:rPr>
          <w:tab/>
        </w:r>
        <w:r w:rsidR="00CF2D00">
          <w:rPr>
            <w:noProof/>
            <w:webHidden/>
          </w:rPr>
          <w:fldChar w:fldCharType="begin"/>
        </w:r>
        <w:r w:rsidR="00CF2D00">
          <w:rPr>
            <w:noProof/>
            <w:webHidden/>
          </w:rPr>
          <w:instrText xml:space="preserve"> PAGEREF _Toc167130558 \h </w:instrText>
        </w:r>
        <w:r w:rsidR="00CF2D00">
          <w:rPr>
            <w:noProof/>
            <w:webHidden/>
          </w:rPr>
        </w:r>
        <w:r w:rsidR="00CF2D00">
          <w:rPr>
            <w:noProof/>
            <w:webHidden/>
          </w:rPr>
          <w:fldChar w:fldCharType="separate"/>
        </w:r>
        <w:r w:rsidR="00D300D0">
          <w:rPr>
            <w:noProof/>
            <w:webHidden/>
          </w:rPr>
          <w:t>96</w:t>
        </w:r>
        <w:r w:rsidR="00CF2D00">
          <w:rPr>
            <w:noProof/>
            <w:webHidden/>
          </w:rPr>
          <w:fldChar w:fldCharType="end"/>
        </w:r>
      </w:hyperlink>
    </w:p>
    <w:p w14:paraId="5057EC2A" w14:textId="22ABC3D4"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59" w:history="1">
        <w:r w:rsidR="00CF2D00" w:rsidRPr="002E5DD4">
          <w:rPr>
            <w:rStyle w:val="Hyperlink"/>
            <w:noProof/>
          </w:rPr>
          <w:t>Chart 7.1 : Histography of 2023 Compliance and Operations Report submissions</w:t>
        </w:r>
        <w:r w:rsidR="00CF2D00">
          <w:rPr>
            <w:noProof/>
            <w:webHidden/>
          </w:rPr>
          <w:tab/>
        </w:r>
        <w:r w:rsidR="00CF2D00">
          <w:rPr>
            <w:noProof/>
            <w:webHidden/>
          </w:rPr>
          <w:fldChar w:fldCharType="begin"/>
        </w:r>
        <w:r w:rsidR="00CF2D00">
          <w:rPr>
            <w:noProof/>
            <w:webHidden/>
          </w:rPr>
          <w:instrText xml:space="preserve"> PAGEREF _Toc167130559 \h </w:instrText>
        </w:r>
        <w:r w:rsidR="00CF2D00">
          <w:rPr>
            <w:noProof/>
            <w:webHidden/>
          </w:rPr>
        </w:r>
        <w:r w:rsidR="00CF2D00">
          <w:rPr>
            <w:noProof/>
            <w:webHidden/>
          </w:rPr>
          <w:fldChar w:fldCharType="separate"/>
        </w:r>
        <w:r w:rsidR="00D300D0">
          <w:rPr>
            <w:noProof/>
            <w:webHidden/>
          </w:rPr>
          <w:t>115</w:t>
        </w:r>
        <w:r w:rsidR="00CF2D00">
          <w:rPr>
            <w:noProof/>
            <w:webHidden/>
          </w:rPr>
          <w:fldChar w:fldCharType="end"/>
        </w:r>
      </w:hyperlink>
    </w:p>
    <w:p w14:paraId="580BF806" w14:textId="1D3D14A8"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0" w:history="1">
        <w:r w:rsidR="00CF2D00" w:rsidRPr="002E5DD4">
          <w:rPr>
            <w:rStyle w:val="Hyperlink"/>
            <w:noProof/>
          </w:rPr>
          <w:t>Chart 7.2 : Proportion of services rated working towards NQS</w:t>
        </w:r>
        <w:r w:rsidR="00CF2D00">
          <w:rPr>
            <w:noProof/>
            <w:webHidden/>
          </w:rPr>
          <w:tab/>
        </w:r>
        <w:r w:rsidR="00CF2D00">
          <w:rPr>
            <w:noProof/>
            <w:webHidden/>
          </w:rPr>
          <w:fldChar w:fldCharType="begin"/>
        </w:r>
        <w:r w:rsidR="00CF2D00">
          <w:rPr>
            <w:noProof/>
            <w:webHidden/>
          </w:rPr>
          <w:instrText xml:space="preserve"> PAGEREF _Toc167130560 \h </w:instrText>
        </w:r>
        <w:r w:rsidR="00CF2D00">
          <w:rPr>
            <w:noProof/>
            <w:webHidden/>
          </w:rPr>
        </w:r>
        <w:r w:rsidR="00CF2D00">
          <w:rPr>
            <w:noProof/>
            <w:webHidden/>
          </w:rPr>
          <w:fldChar w:fldCharType="separate"/>
        </w:r>
        <w:r w:rsidR="00D300D0">
          <w:rPr>
            <w:noProof/>
            <w:webHidden/>
          </w:rPr>
          <w:t>127</w:t>
        </w:r>
        <w:r w:rsidR="00CF2D00">
          <w:rPr>
            <w:noProof/>
            <w:webHidden/>
          </w:rPr>
          <w:fldChar w:fldCharType="end"/>
        </w:r>
      </w:hyperlink>
    </w:p>
    <w:p w14:paraId="5E36E62E" w14:textId="137BD721"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1" w:history="1">
        <w:r w:rsidR="00CF2D00" w:rsidRPr="002E5DD4">
          <w:rPr>
            <w:rStyle w:val="Hyperlink"/>
            <w:noProof/>
          </w:rPr>
          <w:t>Chart 8.1 : CCCFR service income source(s)</w:t>
        </w:r>
        <w:r w:rsidR="00CF2D00">
          <w:rPr>
            <w:noProof/>
            <w:webHidden/>
          </w:rPr>
          <w:tab/>
        </w:r>
        <w:r w:rsidR="00CF2D00">
          <w:rPr>
            <w:noProof/>
            <w:webHidden/>
          </w:rPr>
          <w:fldChar w:fldCharType="begin"/>
        </w:r>
        <w:r w:rsidR="00CF2D00">
          <w:rPr>
            <w:noProof/>
            <w:webHidden/>
          </w:rPr>
          <w:instrText xml:space="preserve"> PAGEREF _Toc167130561 \h </w:instrText>
        </w:r>
        <w:r w:rsidR="00CF2D00">
          <w:rPr>
            <w:noProof/>
            <w:webHidden/>
          </w:rPr>
        </w:r>
        <w:r w:rsidR="00CF2D00">
          <w:rPr>
            <w:noProof/>
            <w:webHidden/>
          </w:rPr>
          <w:fldChar w:fldCharType="separate"/>
        </w:r>
        <w:r w:rsidR="00D300D0">
          <w:rPr>
            <w:noProof/>
            <w:webHidden/>
          </w:rPr>
          <w:t>137</w:t>
        </w:r>
        <w:r w:rsidR="00CF2D00">
          <w:rPr>
            <w:noProof/>
            <w:webHidden/>
          </w:rPr>
          <w:fldChar w:fldCharType="end"/>
        </w:r>
      </w:hyperlink>
    </w:p>
    <w:p w14:paraId="7B29510B" w14:textId="33A8B3A2"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2" w:history="1">
        <w:r w:rsidR="00CF2D00" w:rsidRPr="002E5DD4">
          <w:rPr>
            <w:rStyle w:val="Hyperlink"/>
            <w:noProof/>
          </w:rPr>
          <w:t>Chart 8.2 : Responses to ‘Is the grant amount you receive enough to meet the CCCFR grant objectives and support the provision of high-quality child care?’</w:t>
        </w:r>
        <w:r w:rsidR="00CF2D00">
          <w:rPr>
            <w:noProof/>
            <w:webHidden/>
          </w:rPr>
          <w:tab/>
        </w:r>
        <w:r w:rsidR="00CF2D00">
          <w:rPr>
            <w:noProof/>
            <w:webHidden/>
          </w:rPr>
          <w:fldChar w:fldCharType="begin"/>
        </w:r>
        <w:r w:rsidR="00CF2D00">
          <w:rPr>
            <w:noProof/>
            <w:webHidden/>
          </w:rPr>
          <w:instrText xml:space="preserve"> PAGEREF _Toc167130562 \h </w:instrText>
        </w:r>
        <w:r w:rsidR="00CF2D00">
          <w:rPr>
            <w:noProof/>
            <w:webHidden/>
          </w:rPr>
        </w:r>
        <w:r w:rsidR="00CF2D00">
          <w:rPr>
            <w:noProof/>
            <w:webHidden/>
          </w:rPr>
          <w:fldChar w:fldCharType="separate"/>
        </w:r>
        <w:r w:rsidR="00D300D0">
          <w:rPr>
            <w:noProof/>
            <w:webHidden/>
          </w:rPr>
          <w:t>139</w:t>
        </w:r>
        <w:r w:rsidR="00CF2D00">
          <w:rPr>
            <w:noProof/>
            <w:webHidden/>
          </w:rPr>
          <w:fldChar w:fldCharType="end"/>
        </w:r>
      </w:hyperlink>
    </w:p>
    <w:p w14:paraId="7B170722" w14:textId="22E5A423"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3" w:history="1">
        <w:r w:rsidR="00CF2D00" w:rsidRPr="002E5DD4">
          <w:rPr>
            <w:rStyle w:val="Hyperlink"/>
            <w:noProof/>
          </w:rPr>
          <w:t>Chart 8.3 : Relationship between unit costs and remoteness</w:t>
        </w:r>
        <w:r w:rsidR="00CF2D00">
          <w:rPr>
            <w:noProof/>
            <w:webHidden/>
          </w:rPr>
          <w:tab/>
        </w:r>
        <w:r w:rsidR="00CF2D00">
          <w:rPr>
            <w:noProof/>
            <w:webHidden/>
          </w:rPr>
          <w:fldChar w:fldCharType="begin"/>
        </w:r>
        <w:r w:rsidR="00CF2D00">
          <w:rPr>
            <w:noProof/>
            <w:webHidden/>
          </w:rPr>
          <w:instrText xml:space="preserve"> PAGEREF _Toc167130563 \h </w:instrText>
        </w:r>
        <w:r w:rsidR="00CF2D00">
          <w:rPr>
            <w:noProof/>
            <w:webHidden/>
          </w:rPr>
        </w:r>
        <w:r w:rsidR="00CF2D00">
          <w:rPr>
            <w:noProof/>
            <w:webHidden/>
          </w:rPr>
          <w:fldChar w:fldCharType="separate"/>
        </w:r>
        <w:r w:rsidR="00D300D0">
          <w:rPr>
            <w:noProof/>
            <w:webHidden/>
          </w:rPr>
          <w:t>140</w:t>
        </w:r>
        <w:r w:rsidR="00CF2D00">
          <w:rPr>
            <w:noProof/>
            <w:webHidden/>
          </w:rPr>
          <w:fldChar w:fldCharType="end"/>
        </w:r>
      </w:hyperlink>
    </w:p>
    <w:p w14:paraId="3D79922C" w14:textId="6C64783B"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4" w:history="1">
        <w:r w:rsidR="00CF2D00" w:rsidRPr="002E5DD4">
          <w:rPr>
            <w:rStyle w:val="Hyperlink"/>
            <w:noProof/>
          </w:rPr>
          <w:t>Chart 8.4 : Relationship between unit cost and selected need indicators</w:t>
        </w:r>
        <w:r w:rsidR="00CF2D00">
          <w:rPr>
            <w:noProof/>
            <w:webHidden/>
          </w:rPr>
          <w:tab/>
        </w:r>
        <w:r w:rsidR="00CF2D00">
          <w:rPr>
            <w:noProof/>
            <w:webHidden/>
          </w:rPr>
          <w:fldChar w:fldCharType="begin"/>
        </w:r>
        <w:r w:rsidR="00CF2D00">
          <w:rPr>
            <w:noProof/>
            <w:webHidden/>
          </w:rPr>
          <w:instrText xml:space="preserve"> PAGEREF _Toc167130564 \h </w:instrText>
        </w:r>
        <w:r w:rsidR="00CF2D00">
          <w:rPr>
            <w:noProof/>
            <w:webHidden/>
          </w:rPr>
        </w:r>
        <w:r w:rsidR="00CF2D00">
          <w:rPr>
            <w:noProof/>
            <w:webHidden/>
          </w:rPr>
          <w:fldChar w:fldCharType="separate"/>
        </w:r>
        <w:r w:rsidR="00D300D0">
          <w:rPr>
            <w:noProof/>
            <w:webHidden/>
          </w:rPr>
          <w:t>141</w:t>
        </w:r>
        <w:r w:rsidR="00CF2D00">
          <w:rPr>
            <w:noProof/>
            <w:webHidden/>
          </w:rPr>
          <w:fldChar w:fldCharType="end"/>
        </w:r>
      </w:hyperlink>
    </w:p>
    <w:p w14:paraId="7BE96E55" w14:textId="7C5C55DB"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5" w:history="1">
        <w:r w:rsidR="00CF2D00" w:rsidRPr="002E5DD4">
          <w:rPr>
            <w:rStyle w:val="Hyperlink"/>
            <w:noProof/>
          </w:rPr>
          <w:t>Chart 8.5 : Responses to ‘Overall, to what degree is the revenue your services receive (including CCS, ACCS, CCCFR grant, fees and other funding) sufficient to cover your operating costs on an ongoing basis?’</w:t>
        </w:r>
        <w:r w:rsidR="00CF2D00">
          <w:rPr>
            <w:noProof/>
            <w:webHidden/>
          </w:rPr>
          <w:tab/>
        </w:r>
        <w:r w:rsidR="00CF2D00">
          <w:rPr>
            <w:noProof/>
            <w:webHidden/>
          </w:rPr>
          <w:fldChar w:fldCharType="begin"/>
        </w:r>
        <w:r w:rsidR="00CF2D00">
          <w:rPr>
            <w:noProof/>
            <w:webHidden/>
          </w:rPr>
          <w:instrText xml:space="preserve"> PAGEREF _Toc167130565 \h </w:instrText>
        </w:r>
        <w:r w:rsidR="00CF2D00">
          <w:rPr>
            <w:noProof/>
            <w:webHidden/>
          </w:rPr>
        </w:r>
        <w:r w:rsidR="00CF2D00">
          <w:rPr>
            <w:noProof/>
            <w:webHidden/>
          </w:rPr>
          <w:fldChar w:fldCharType="separate"/>
        </w:r>
        <w:r w:rsidR="00D300D0">
          <w:rPr>
            <w:noProof/>
            <w:webHidden/>
          </w:rPr>
          <w:t>143</w:t>
        </w:r>
        <w:r w:rsidR="00CF2D00">
          <w:rPr>
            <w:noProof/>
            <w:webHidden/>
          </w:rPr>
          <w:fldChar w:fldCharType="end"/>
        </w:r>
      </w:hyperlink>
    </w:p>
    <w:p w14:paraId="453AB69A" w14:textId="02B2CD8D"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6" w:history="1">
        <w:r w:rsidR="00CF2D00" w:rsidRPr="002E5DD4">
          <w:rPr>
            <w:rStyle w:val="Hyperlink"/>
            <w:noProof/>
          </w:rPr>
          <w:t>Chart G.1 : Service size comparison between sample and population</w:t>
        </w:r>
        <w:r w:rsidR="00CF2D00">
          <w:rPr>
            <w:noProof/>
            <w:webHidden/>
          </w:rPr>
          <w:tab/>
        </w:r>
        <w:r w:rsidR="00CF2D00">
          <w:rPr>
            <w:noProof/>
            <w:webHidden/>
          </w:rPr>
          <w:fldChar w:fldCharType="begin"/>
        </w:r>
        <w:r w:rsidR="00CF2D00">
          <w:rPr>
            <w:noProof/>
            <w:webHidden/>
          </w:rPr>
          <w:instrText xml:space="preserve"> PAGEREF _Toc167130566 \h </w:instrText>
        </w:r>
        <w:r w:rsidR="00CF2D00">
          <w:rPr>
            <w:noProof/>
            <w:webHidden/>
          </w:rPr>
        </w:r>
        <w:r w:rsidR="00CF2D00">
          <w:rPr>
            <w:noProof/>
            <w:webHidden/>
          </w:rPr>
          <w:fldChar w:fldCharType="separate"/>
        </w:r>
        <w:r w:rsidR="00D300D0">
          <w:rPr>
            <w:noProof/>
            <w:webHidden/>
          </w:rPr>
          <w:t>240</w:t>
        </w:r>
        <w:r w:rsidR="00CF2D00">
          <w:rPr>
            <w:noProof/>
            <w:webHidden/>
          </w:rPr>
          <w:fldChar w:fldCharType="end"/>
        </w:r>
      </w:hyperlink>
    </w:p>
    <w:p w14:paraId="787C185F" w14:textId="11350038"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7" w:history="1">
        <w:r w:rsidR="00CF2D00" w:rsidRPr="002E5DD4">
          <w:rPr>
            <w:rStyle w:val="Hyperlink"/>
            <w:noProof/>
          </w:rPr>
          <w:t>Chart G.2 : Service remoteness comparison between sample and population</w:t>
        </w:r>
        <w:r w:rsidR="00CF2D00">
          <w:rPr>
            <w:noProof/>
            <w:webHidden/>
          </w:rPr>
          <w:tab/>
        </w:r>
        <w:r w:rsidR="00CF2D00">
          <w:rPr>
            <w:noProof/>
            <w:webHidden/>
          </w:rPr>
          <w:fldChar w:fldCharType="begin"/>
        </w:r>
        <w:r w:rsidR="00CF2D00">
          <w:rPr>
            <w:noProof/>
            <w:webHidden/>
          </w:rPr>
          <w:instrText xml:space="preserve"> PAGEREF _Toc167130567 \h </w:instrText>
        </w:r>
        <w:r w:rsidR="00CF2D00">
          <w:rPr>
            <w:noProof/>
            <w:webHidden/>
          </w:rPr>
        </w:r>
        <w:r w:rsidR="00CF2D00">
          <w:rPr>
            <w:noProof/>
            <w:webHidden/>
          </w:rPr>
          <w:fldChar w:fldCharType="separate"/>
        </w:r>
        <w:r w:rsidR="00D300D0">
          <w:rPr>
            <w:noProof/>
            <w:webHidden/>
          </w:rPr>
          <w:t>241</w:t>
        </w:r>
        <w:r w:rsidR="00CF2D00">
          <w:rPr>
            <w:noProof/>
            <w:webHidden/>
          </w:rPr>
          <w:fldChar w:fldCharType="end"/>
        </w:r>
      </w:hyperlink>
    </w:p>
    <w:p w14:paraId="4BBFD9F7" w14:textId="37697EA0"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8" w:history="1">
        <w:r w:rsidR="00CF2D00" w:rsidRPr="002E5DD4">
          <w:rPr>
            <w:rStyle w:val="Hyperlink"/>
            <w:noProof/>
          </w:rPr>
          <w:t>Chart G.3 : Regulation status comparison between sample and population</w:t>
        </w:r>
        <w:r w:rsidR="00CF2D00">
          <w:rPr>
            <w:noProof/>
            <w:webHidden/>
          </w:rPr>
          <w:tab/>
        </w:r>
        <w:r w:rsidR="00CF2D00">
          <w:rPr>
            <w:noProof/>
            <w:webHidden/>
          </w:rPr>
          <w:fldChar w:fldCharType="begin"/>
        </w:r>
        <w:r w:rsidR="00CF2D00">
          <w:rPr>
            <w:noProof/>
            <w:webHidden/>
          </w:rPr>
          <w:instrText xml:space="preserve"> PAGEREF _Toc167130568 \h </w:instrText>
        </w:r>
        <w:r w:rsidR="00CF2D00">
          <w:rPr>
            <w:noProof/>
            <w:webHidden/>
          </w:rPr>
        </w:r>
        <w:r w:rsidR="00CF2D00">
          <w:rPr>
            <w:noProof/>
            <w:webHidden/>
          </w:rPr>
          <w:fldChar w:fldCharType="separate"/>
        </w:r>
        <w:r w:rsidR="00D300D0">
          <w:rPr>
            <w:noProof/>
            <w:webHidden/>
          </w:rPr>
          <w:t>241</w:t>
        </w:r>
        <w:r w:rsidR="00CF2D00">
          <w:rPr>
            <w:noProof/>
            <w:webHidden/>
          </w:rPr>
          <w:fldChar w:fldCharType="end"/>
        </w:r>
      </w:hyperlink>
    </w:p>
    <w:p w14:paraId="1A19B079" w14:textId="53291CA3"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69" w:history="1">
        <w:r w:rsidR="00CF2D00" w:rsidRPr="002E5DD4">
          <w:rPr>
            <w:rStyle w:val="Hyperlink"/>
            <w:noProof/>
          </w:rPr>
          <w:t>Chart G.4 : Proportion of Aboriginal and Torres Strait Islander children comparison between sample and population</w:t>
        </w:r>
        <w:r w:rsidR="00CF2D00">
          <w:rPr>
            <w:noProof/>
            <w:webHidden/>
          </w:rPr>
          <w:tab/>
        </w:r>
        <w:r w:rsidR="00CF2D00">
          <w:rPr>
            <w:noProof/>
            <w:webHidden/>
          </w:rPr>
          <w:fldChar w:fldCharType="begin"/>
        </w:r>
        <w:r w:rsidR="00CF2D00">
          <w:rPr>
            <w:noProof/>
            <w:webHidden/>
          </w:rPr>
          <w:instrText xml:space="preserve"> PAGEREF _Toc167130569 \h </w:instrText>
        </w:r>
        <w:r w:rsidR="00CF2D00">
          <w:rPr>
            <w:noProof/>
            <w:webHidden/>
          </w:rPr>
        </w:r>
        <w:r w:rsidR="00CF2D00">
          <w:rPr>
            <w:noProof/>
            <w:webHidden/>
          </w:rPr>
          <w:fldChar w:fldCharType="separate"/>
        </w:r>
        <w:r w:rsidR="00D300D0">
          <w:rPr>
            <w:noProof/>
            <w:webHidden/>
          </w:rPr>
          <w:t>242</w:t>
        </w:r>
        <w:r w:rsidR="00CF2D00">
          <w:rPr>
            <w:noProof/>
            <w:webHidden/>
          </w:rPr>
          <w:fldChar w:fldCharType="end"/>
        </w:r>
      </w:hyperlink>
    </w:p>
    <w:p w14:paraId="6693E054" w14:textId="09DD08D7"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70" w:history="1">
        <w:r w:rsidR="00CF2D00" w:rsidRPr="002E5DD4">
          <w:rPr>
            <w:rStyle w:val="Hyperlink"/>
            <w:noProof/>
          </w:rPr>
          <w:t>Chart G.5 : Service type comparison between sample and population</w:t>
        </w:r>
        <w:r w:rsidR="00CF2D00">
          <w:rPr>
            <w:noProof/>
            <w:webHidden/>
          </w:rPr>
          <w:tab/>
        </w:r>
        <w:r w:rsidR="00CF2D00">
          <w:rPr>
            <w:noProof/>
            <w:webHidden/>
          </w:rPr>
          <w:fldChar w:fldCharType="begin"/>
        </w:r>
        <w:r w:rsidR="00CF2D00">
          <w:rPr>
            <w:noProof/>
            <w:webHidden/>
          </w:rPr>
          <w:instrText xml:space="preserve"> PAGEREF _Toc167130570 \h </w:instrText>
        </w:r>
        <w:r w:rsidR="00CF2D00">
          <w:rPr>
            <w:noProof/>
            <w:webHidden/>
          </w:rPr>
        </w:r>
        <w:r w:rsidR="00CF2D00">
          <w:rPr>
            <w:noProof/>
            <w:webHidden/>
          </w:rPr>
          <w:fldChar w:fldCharType="separate"/>
        </w:r>
        <w:r w:rsidR="00D300D0">
          <w:rPr>
            <w:noProof/>
            <w:webHidden/>
          </w:rPr>
          <w:t>242</w:t>
        </w:r>
        <w:r w:rsidR="00CF2D00">
          <w:rPr>
            <w:noProof/>
            <w:webHidden/>
          </w:rPr>
          <w:fldChar w:fldCharType="end"/>
        </w:r>
      </w:hyperlink>
    </w:p>
    <w:p w14:paraId="5211F691" w14:textId="085CE8BD"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71" w:history="1">
        <w:r w:rsidR="00CF2D00" w:rsidRPr="002E5DD4">
          <w:rPr>
            <w:rStyle w:val="Hyperlink"/>
            <w:noProof/>
          </w:rPr>
          <w:t>Chart G.6 : Previous funding programs comparison between sample and population</w:t>
        </w:r>
        <w:r w:rsidR="00CF2D00">
          <w:rPr>
            <w:noProof/>
            <w:webHidden/>
          </w:rPr>
          <w:tab/>
        </w:r>
        <w:r w:rsidR="00CF2D00">
          <w:rPr>
            <w:noProof/>
            <w:webHidden/>
          </w:rPr>
          <w:fldChar w:fldCharType="begin"/>
        </w:r>
        <w:r w:rsidR="00CF2D00">
          <w:rPr>
            <w:noProof/>
            <w:webHidden/>
          </w:rPr>
          <w:instrText xml:space="preserve"> PAGEREF _Toc167130571 \h </w:instrText>
        </w:r>
        <w:r w:rsidR="00CF2D00">
          <w:rPr>
            <w:noProof/>
            <w:webHidden/>
          </w:rPr>
        </w:r>
        <w:r w:rsidR="00CF2D00">
          <w:rPr>
            <w:noProof/>
            <w:webHidden/>
          </w:rPr>
          <w:fldChar w:fldCharType="separate"/>
        </w:r>
        <w:r w:rsidR="00D300D0">
          <w:rPr>
            <w:noProof/>
            <w:webHidden/>
          </w:rPr>
          <w:t>243</w:t>
        </w:r>
        <w:r w:rsidR="00CF2D00">
          <w:rPr>
            <w:noProof/>
            <w:webHidden/>
          </w:rPr>
          <w:fldChar w:fldCharType="end"/>
        </w:r>
      </w:hyperlink>
    </w:p>
    <w:p w14:paraId="162D02C7" w14:textId="5136D974"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72" w:history="1">
        <w:r w:rsidR="00CF2D00" w:rsidRPr="002E5DD4">
          <w:rPr>
            <w:rStyle w:val="Hyperlink"/>
            <w:noProof/>
          </w:rPr>
          <w:t>Chart G.7 : Average CCS funding amount comparison between sample and population</w:t>
        </w:r>
        <w:r w:rsidR="00CF2D00">
          <w:rPr>
            <w:noProof/>
            <w:webHidden/>
          </w:rPr>
          <w:tab/>
        </w:r>
        <w:r w:rsidR="00CF2D00">
          <w:rPr>
            <w:noProof/>
            <w:webHidden/>
          </w:rPr>
          <w:fldChar w:fldCharType="begin"/>
        </w:r>
        <w:r w:rsidR="00CF2D00">
          <w:rPr>
            <w:noProof/>
            <w:webHidden/>
          </w:rPr>
          <w:instrText xml:space="preserve"> PAGEREF _Toc167130572 \h </w:instrText>
        </w:r>
        <w:r w:rsidR="00CF2D00">
          <w:rPr>
            <w:noProof/>
            <w:webHidden/>
          </w:rPr>
        </w:r>
        <w:r w:rsidR="00CF2D00">
          <w:rPr>
            <w:noProof/>
            <w:webHidden/>
          </w:rPr>
          <w:fldChar w:fldCharType="separate"/>
        </w:r>
        <w:r w:rsidR="00D300D0">
          <w:rPr>
            <w:noProof/>
            <w:webHidden/>
          </w:rPr>
          <w:t>243</w:t>
        </w:r>
        <w:r w:rsidR="00CF2D00">
          <w:rPr>
            <w:noProof/>
            <w:webHidden/>
          </w:rPr>
          <w:fldChar w:fldCharType="end"/>
        </w:r>
      </w:hyperlink>
    </w:p>
    <w:p w14:paraId="57D0478F" w14:textId="1CA52E4E"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73" w:history="1">
        <w:r w:rsidR="00CF2D00" w:rsidRPr="002E5DD4">
          <w:rPr>
            <w:rStyle w:val="Hyperlink"/>
            <w:noProof/>
          </w:rPr>
          <w:t>Chart G.8 : Average CCCFR funding amount comparison between sample and population</w:t>
        </w:r>
        <w:r w:rsidR="00CF2D00">
          <w:rPr>
            <w:noProof/>
            <w:webHidden/>
          </w:rPr>
          <w:tab/>
        </w:r>
        <w:r w:rsidR="00CF2D00">
          <w:rPr>
            <w:noProof/>
            <w:webHidden/>
          </w:rPr>
          <w:fldChar w:fldCharType="begin"/>
        </w:r>
        <w:r w:rsidR="00CF2D00">
          <w:rPr>
            <w:noProof/>
            <w:webHidden/>
          </w:rPr>
          <w:instrText xml:space="preserve"> PAGEREF _Toc167130573 \h </w:instrText>
        </w:r>
        <w:r w:rsidR="00CF2D00">
          <w:rPr>
            <w:noProof/>
            <w:webHidden/>
          </w:rPr>
        </w:r>
        <w:r w:rsidR="00CF2D00">
          <w:rPr>
            <w:noProof/>
            <w:webHidden/>
          </w:rPr>
          <w:fldChar w:fldCharType="separate"/>
        </w:r>
        <w:r w:rsidR="00D300D0">
          <w:rPr>
            <w:noProof/>
            <w:webHidden/>
          </w:rPr>
          <w:t>243</w:t>
        </w:r>
        <w:r w:rsidR="00CF2D00">
          <w:rPr>
            <w:noProof/>
            <w:webHidden/>
          </w:rPr>
          <w:fldChar w:fldCharType="end"/>
        </w:r>
      </w:hyperlink>
    </w:p>
    <w:p w14:paraId="6C562CC9" w14:textId="55BFC275" w:rsidR="00CF2D00" w:rsidRDefault="00000000" w:rsidP="00014332">
      <w:pPr>
        <w:pStyle w:val="TOC6"/>
        <w:ind w:left="1021" w:hanging="1021"/>
        <w:rPr>
          <w:rFonts w:asciiTheme="minorHAnsi" w:eastAsiaTheme="minorEastAsia" w:hAnsiTheme="minorHAnsi"/>
          <w:noProof/>
          <w:kern w:val="2"/>
          <w:sz w:val="22"/>
          <w:szCs w:val="22"/>
          <w:lang w:eastAsia="en-AU"/>
          <w14:ligatures w14:val="standardContextual"/>
        </w:rPr>
      </w:pPr>
      <w:hyperlink w:anchor="_Toc167130574" w:history="1">
        <w:r w:rsidR="00CF2D00" w:rsidRPr="002E5DD4">
          <w:rPr>
            <w:rStyle w:val="Hyperlink"/>
            <w:noProof/>
          </w:rPr>
          <w:t>Chart K.1 : Distribution of CBDC and OSHC services in SA2s with CCCFR services</w:t>
        </w:r>
        <w:r w:rsidR="00CF2D00">
          <w:rPr>
            <w:noProof/>
            <w:webHidden/>
          </w:rPr>
          <w:tab/>
        </w:r>
        <w:r w:rsidR="00CF2D00">
          <w:rPr>
            <w:noProof/>
            <w:webHidden/>
          </w:rPr>
          <w:fldChar w:fldCharType="begin"/>
        </w:r>
        <w:r w:rsidR="00CF2D00">
          <w:rPr>
            <w:noProof/>
            <w:webHidden/>
          </w:rPr>
          <w:instrText xml:space="preserve"> PAGEREF _Toc167130574 \h </w:instrText>
        </w:r>
        <w:r w:rsidR="00CF2D00">
          <w:rPr>
            <w:noProof/>
            <w:webHidden/>
          </w:rPr>
        </w:r>
        <w:r w:rsidR="00CF2D00">
          <w:rPr>
            <w:noProof/>
            <w:webHidden/>
          </w:rPr>
          <w:fldChar w:fldCharType="separate"/>
        </w:r>
        <w:r w:rsidR="00D300D0">
          <w:rPr>
            <w:noProof/>
            <w:webHidden/>
          </w:rPr>
          <w:t>265</w:t>
        </w:r>
        <w:r w:rsidR="00CF2D00">
          <w:rPr>
            <w:noProof/>
            <w:webHidden/>
          </w:rPr>
          <w:fldChar w:fldCharType="end"/>
        </w:r>
      </w:hyperlink>
    </w:p>
    <w:p w14:paraId="04B5525F" w14:textId="4101142E" w:rsidR="00FC6122" w:rsidRPr="003549F9" w:rsidRDefault="00FC6122" w:rsidP="00014332">
      <w:pPr>
        <w:ind w:left="1021" w:hanging="1021"/>
      </w:pPr>
      <w:r w:rsidRPr="003549F9">
        <w:fldChar w:fldCharType="end"/>
      </w:r>
    </w:p>
    <w:p w14:paraId="3B25C1DB" w14:textId="77777777" w:rsidR="00FC6122" w:rsidRPr="003549F9" w:rsidRDefault="00FC6122" w:rsidP="00FC6122"/>
    <w:p w14:paraId="328AC301" w14:textId="77777777" w:rsidR="00FC6122" w:rsidRPr="003549F9" w:rsidRDefault="00FC6122" w:rsidP="00FC6122">
      <w:pPr>
        <w:pStyle w:val="TOCHeading"/>
      </w:pPr>
      <w:r w:rsidRPr="003549F9">
        <w:t>Tables</w:t>
      </w:r>
    </w:p>
    <w:p w14:paraId="6CF56F73" w14:textId="1ACC7567" w:rsidR="00C50374" w:rsidRDefault="00FC6122" w:rsidP="00014332">
      <w:pPr>
        <w:pStyle w:val="TOC8"/>
        <w:ind w:left="1021" w:hanging="1021"/>
        <w:rPr>
          <w:rFonts w:asciiTheme="minorHAnsi" w:eastAsiaTheme="minorEastAsia" w:hAnsiTheme="minorHAnsi"/>
          <w:noProof/>
          <w:kern w:val="2"/>
          <w:sz w:val="22"/>
          <w:szCs w:val="22"/>
          <w:lang w:eastAsia="en-AU"/>
          <w14:ligatures w14:val="standardContextual"/>
        </w:rPr>
      </w:pPr>
      <w:r w:rsidRPr="003549F9">
        <w:fldChar w:fldCharType="begin"/>
      </w:r>
      <w:r w:rsidRPr="003549F9">
        <w:instrText xml:space="preserve"> TOC \h \z \t "Caption_Table,8,Exec Table Caption,8,Appendix Table Caption,8" </w:instrText>
      </w:r>
      <w:r w:rsidRPr="003549F9">
        <w:fldChar w:fldCharType="separate"/>
      </w:r>
      <w:hyperlink w:anchor="_Toc167130701" w:history="1">
        <w:r w:rsidR="00C50374" w:rsidRPr="008D035A">
          <w:rPr>
            <w:rStyle w:val="Hyperlink"/>
            <w:noProof/>
          </w:rPr>
          <w:t>Table 2.1 : Roles and responsibilities of key stakeholders for CCCFR grant</w:t>
        </w:r>
        <w:r w:rsidR="00C50374">
          <w:rPr>
            <w:noProof/>
            <w:webHidden/>
          </w:rPr>
          <w:tab/>
        </w:r>
        <w:r w:rsidR="00C50374">
          <w:rPr>
            <w:noProof/>
            <w:webHidden/>
          </w:rPr>
          <w:fldChar w:fldCharType="begin"/>
        </w:r>
        <w:r w:rsidR="00C50374">
          <w:rPr>
            <w:noProof/>
            <w:webHidden/>
          </w:rPr>
          <w:instrText xml:space="preserve"> PAGEREF _Toc167130701 \h </w:instrText>
        </w:r>
        <w:r w:rsidR="00C50374">
          <w:rPr>
            <w:noProof/>
            <w:webHidden/>
          </w:rPr>
        </w:r>
        <w:r w:rsidR="00C50374">
          <w:rPr>
            <w:noProof/>
            <w:webHidden/>
          </w:rPr>
          <w:fldChar w:fldCharType="separate"/>
        </w:r>
        <w:r w:rsidR="00D300D0">
          <w:rPr>
            <w:noProof/>
            <w:webHidden/>
          </w:rPr>
          <w:t>21</w:t>
        </w:r>
        <w:r w:rsidR="00C50374">
          <w:rPr>
            <w:noProof/>
            <w:webHidden/>
          </w:rPr>
          <w:fldChar w:fldCharType="end"/>
        </w:r>
      </w:hyperlink>
    </w:p>
    <w:p w14:paraId="1EC1785B" w14:textId="6BDA7D27"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02" w:history="1">
        <w:r w:rsidR="00C50374" w:rsidRPr="008D035A">
          <w:rPr>
            <w:rStyle w:val="Hyperlink"/>
            <w:noProof/>
          </w:rPr>
          <w:t>Table 2.2 : Number of CCCFR services operated by providers</w:t>
        </w:r>
        <w:r w:rsidR="00C50374">
          <w:rPr>
            <w:noProof/>
            <w:webHidden/>
          </w:rPr>
          <w:tab/>
        </w:r>
        <w:r w:rsidR="00C50374">
          <w:rPr>
            <w:noProof/>
            <w:webHidden/>
          </w:rPr>
          <w:fldChar w:fldCharType="begin"/>
        </w:r>
        <w:r w:rsidR="00C50374">
          <w:rPr>
            <w:noProof/>
            <w:webHidden/>
          </w:rPr>
          <w:instrText xml:space="preserve"> PAGEREF _Toc167130702 \h </w:instrText>
        </w:r>
        <w:r w:rsidR="00C50374">
          <w:rPr>
            <w:noProof/>
            <w:webHidden/>
          </w:rPr>
        </w:r>
        <w:r w:rsidR="00C50374">
          <w:rPr>
            <w:noProof/>
            <w:webHidden/>
          </w:rPr>
          <w:fldChar w:fldCharType="separate"/>
        </w:r>
        <w:r w:rsidR="00D300D0">
          <w:rPr>
            <w:noProof/>
            <w:webHidden/>
          </w:rPr>
          <w:t>27</w:t>
        </w:r>
        <w:r w:rsidR="00C50374">
          <w:rPr>
            <w:noProof/>
            <w:webHidden/>
          </w:rPr>
          <w:fldChar w:fldCharType="end"/>
        </w:r>
      </w:hyperlink>
    </w:p>
    <w:p w14:paraId="7F32EBFC" w14:textId="77E7E429"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03" w:history="1">
        <w:r w:rsidR="00C50374" w:rsidRPr="008D035A">
          <w:rPr>
            <w:rStyle w:val="Hyperlink"/>
            <w:noProof/>
          </w:rPr>
          <w:t>Table 3.1 : Objectives and intent – Lines of enquiry and key research questions</w:t>
        </w:r>
        <w:r w:rsidR="00C50374">
          <w:rPr>
            <w:noProof/>
            <w:webHidden/>
          </w:rPr>
          <w:tab/>
        </w:r>
        <w:r w:rsidR="00C50374">
          <w:rPr>
            <w:noProof/>
            <w:webHidden/>
          </w:rPr>
          <w:fldChar w:fldCharType="begin"/>
        </w:r>
        <w:r w:rsidR="00C50374">
          <w:rPr>
            <w:noProof/>
            <w:webHidden/>
          </w:rPr>
          <w:instrText xml:space="preserve"> PAGEREF _Toc167130703 \h </w:instrText>
        </w:r>
        <w:r w:rsidR="00C50374">
          <w:rPr>
            <w:noProof/>
            <w:webHidden/>
          </w:rPr>
        </w:r>
        <w:r w:rsidR="00C50374">
          <w:rPr>
            <w:noProof/>
            <w:webHidden/>
          </w:rPr>
          <w:fldChar w:fldCharType="separate"/>
        </w:r>
        <w:r w:rsidR="00D300D0">
          <w:rPr>
            <w:noProof/>
            <w:webHidden/>
          </w:rPr>
          <w:t>43</w:t>
        </w:r>
        <w:r w:rsidR="00C50374">
          <w:rPr>
            <w:noProof/>
            <w:webHidden/>
          </w:rPr>
          <w:fldChar w:fldCharType="end"/>
        </w:r>
      </w:hyperlink>
    </w:p>
    <w:p w14:paraId="5F9413D6" w14:textId="39AA4B48"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04" w:history="1">
        <w:r w:rsidR="00C50374" w:rsidRPr="008D035A">
          <w:rPr>
            <w:rStyle w:val="Hyperlink"/>
            <w:noProof/>
          </w:rPr>
          <w:t>Table 3.2 : Policy design and funding instruments – Lines of enquiry and key research questions</w:t>
        </w:r>
        <w:r w:rsidR="00C50374">
          <w:rPr>
            <w:noProof/>
            <w:webHidden/>
          </w:rPr>
          <w:tab/>
        </w:r>
        <w:r w:rsidR="00C50374">
          <w:rPr>
            <w:noProof/>
            <w:webHidden/>
          </w:rPr>
          <w:fldChar w:fldCharType="begin"/>
        </w:r>
        <w:r w:rsidR="00C50374">
          <w:rPr>
            <w:noProof/>
            <w:webHidden/>
          </w:rPr>
          <w:instrText xml:space="preserve"> PAGEREF _Toc167130704 \h </w:instrText>
        </w:r>
        <w:r w:rsidR="00C50374">
          <w:rPr>
            <w:noProof/>
            <w:webHidden/>
          </w:rPr>
        </w:r>
        <w:r w:rsidR="00C50374">
          <w:rPr>
            <w:noProof/>
            <w:webHidden/>
          </w:rPr>
          <w:fldChar w:fldCharType="separate"/>
        </w:r>
        <w:r w:rsidR="00D300D0">
          <w:rPr>
            <w:noProof/>
            <w:webHidden/>
          </w:rPr>
          <w:t>44</w:t>
        </w:r>
        <w:r w:rsidR="00C50374">
          <w:rPr>
            <w:noProof/>
            <w:webHidden/>
          </w:rPr>
          <w:fldChar w:fldCharType="end"/>
        </w:r>
      </w:hyperlink>
    </w:p>
    <w:p w14:paraId="4EC9EB28" w14:textId="6696EA45"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05" w:history="1">
        <w:r w:rsidR="00C50374" w:rsidRPr="008D035A">
          <w:rPr>
            <w:rStyle w:val="Hyperlink"/>
            <w:noProof/>
          </w:rPr>
          <w:t>Table 3.3 : Administration, governance and compliance – Lines of enquiry and key research questions</w:t>
        </w:r>
        <w:r w:rsidR="00C50374">
          <w:rPr>
            <w:noProof/>
            <w:webHidden/>
          </w:rPr>
          <w:tab/>
        </w:r>
        <w:r w:rsidR="00C50374">
          <w:rPr>
            <w:noProof/>
            <w:webHidden/>
          </w:rPr>
          <w:fldChar w:fldCharType="begin"/>
        </w:r>
        <w:r w:rsidR="00C50374">
          <w:rPr>
            <w:noProof/>
            <w:webHidden/>
          </w:rPr>
          <w:instrText xml:space="preserve"> PAGEREF _Toc167130705 \h </w:instrText>
        </w:r>
        <w:r w:rsidR="00C50374">
          <w:rPr>
            <w:noProof/>
            <w:webHidden/>
          </w:rPr>
        </w:r>
        <w:r w:rsidR="00C50374">
          <w:rPr>
            <w:noProof/>
            <w:webHidden/>
          </w:rPr>
          <w:fldChar w:fldCharType="separate"/>
        </w:r>
        <w:r w:rsidR="00D300D0">
          <w:rPr>
            <w:noProof/>
            <w:webHidden/>
          </w:rPr>
          <w:t>44</w:t>
        </w:r>
        <w:r w:rsidR="00C50374">
          <w:rPr>
            <w:noProof/>
            <w:webHidden/>
          </w:rPr>
          <w:fldChar w:fldCharType="end"/>
        </w:r>
      </w:hyperlink>
    </w:p>
    <w:p w14:paraId="334F4562" w14:textId="720713EC"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06" w:history="1">
        <w:r w:rsidR="00C50374" w:rsidRPr="008D035A">
          <w:rPr>
            <w:rStyle w:val="Hyperlink"/>
            <w:noProof/>
          </w:rPr>
          <w:t>Table 3.4 : Resoucing and financial sustainability – Lines of enquiry and key research questions</w:t>
        </w:r>
        <w:r w:rsidR="00C50374">
          <w:rPr>
            <w:noProof/>
            <w:webHidden/>
          </w:rPr>
          <w:tab/>
        </w:r>
        <w:r w:rsidR="00C50374">
          <w:rPr>
            <w:noProof/>
            <w:webHidden/>
          </w:rPr>
          <w:fldChar w:fldCharType="begin"/>
        </w:r>
        <w:r w:rsidR="00C50374">
          <w:rPr>
            <w:noProof/>
            <w:webHidden/>
          </w:rPr>
          <w:instrText xml:space="preserve"> PAGEREF _Toc167130706 \h </w:instrText>
        </w:r>
        <w:r w:rsidR="00C50374">
          <w:rPr>
            <w:noProof/>
            <w:webHidden/>
          </w:rPr>
        </w:r>
        <w:r w:rsidR="00C50374">
          <w:rPr>
            <w:noProof/>
            <w:webHidden/>
          </w:rPr>
          <w:fldChar w:fldCharType="separate"/>
        </w:r>
        <w:r w:rsidR="00D300D0">
          <w:rPr>
            <w:noProof/>
            <w:webHidden/>
          </w:rPr>
          <w:t>45</w:t>
        </w:r>
        <w:r w:rsidR="00C50374">
          <w:rPr>
            <w:noProof/>
            <w:webHidden/>
          </w:rPr>
          <w:fldChar w:fldCharType="end"/>
        </w:r>
      </w:hyperlink>
    </w:p>
    <w:p w14:paraId="03259101" w14:textId="17229D24"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07" w:history="1">
        <w:r w:rsidR="00C50374" w:rsidRPr="008D035A">
          <w:rPr>
            <w:rStyle w:val="Hyperlink"/>
            <w:noProof/>
          </w:rPr>
          <w:t>Table 4.1 : Representativeness of consultation service sample</w:t>
        </w:r>
        <w:r w:rsidR="00C50374">
          <w:rPr>
            <w:noProof/>
            <w:webHidden/>
          </w:rPr>
          <w:tab/>
        </w:r>
        <w:r w:rsidR="00C50374">
          <w:rPr>
            <w:noProof/>
            <w:webHidden/>
          </w:rPr>
          <w:fldChar w:fldCharType="begin"/>
        </w:r>
        <w:r w:rsidR="00C50374">
          <w:rPr>
            <w:noProof/>
            <w:webHidden/>
          </w:rPr>
          <w:instrText xml:space="preserve"> PAGEREF _Toc167130707 \h </w:instrText>
        </w:r>
        <w:r w:rsidR="00C50374">
          <w:rPr>
            <w:noProof/>
            <w:webHidden/>
          </w:rPr>
        </w:r>
        <w:r w:rsidR="00C50374">
          <w:rPr>
            <w:noProof/>
            <w:webHidden/>
          </w:rPr>
          <w:fldChar w:fldCharType="separate"/>
        </w:r>
        <w:r w:rsidR="00D300D0">
          <w:rPr>
            <w:noProof/>
            <w:webHidden/>
          </w:rPr>
          <w:t>51</w:t>
        </w:r>
        <w:r w:rsidR="00C50374">
          <w:rPr>
            <w:noProof/>
            <w:webHidden/>
          </w:rPr>
          <w:fldChar w:fldCharType="end"/>
        </w:r>
      </w:hyperlink>
    </w:p>
    <w:p w14:paraId="53388304" w14:textId="7DFE97DD"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08" w:history="1">
        <w:r w:rsidR="00C50374" w:rsidRPr="008D035A">
          <w:rPr>
            <w:rStyle w:val="Hyperlink"/>
            <w:noProof/>
          </w:rPr>
          <w:t>Table 4.2 : Services consulted with by Aboriginal and Torres Strait Islander provider status and consultation mode</w:t>
        </w:r>
        <w:r w:rsidR="00C50374">
          <w:rPr>
            <w:noProof/>
            <w:webHidden/>
          </w:rPr>
          <w:tab/>
        </w:r>
        <w:r w:rsidR="00C50374">
          <w:rPr>
            <w:noProof/>
            <w:webHidden/>
          </w:rPr>
          <w:fldChar w:fldCharType="begin"/>
        </w:r>
        <w:r w:rsidR="00C50374">
          <w:rPr>
            <w:noProof/>
            <w:webHidden/>
          </w:rPr>
          <w:instrText xml:space="preserve"> PAGEREF _Toc167130708 \h </w:instrText>
        </w:r>
        <w:r w:rsidR="00C50374">
          <w:rPr>
            <w:noProof/>
            <w:webHidden/>
          </w:rPr>
        </w:r>
        <w:r w:rsidR="00C50374">
          <w:rPr>
            <w:noProof/>
            <w:webHidden/>
          </w:rPr>
          <w:fldChar w:fldCharType="separate"/>
        </w:r>
        <w:r w:rsidR="00D300D0">
          <w:rPr>
            <w:noProof/>
            <w:webHidden/>
          </w:rPr>
          <w:t>54</w:t>
        </w:r>
        <w:r w:rsidR="00C50374">
          <w:rPr>
            <w:noProof/>
            <w:webHidden/>
          </w:rPr>
          <w:fldChar w:fldCharType="end"/>
        </w:r>
      </w:hyperlink>
    </w:p>
    <w:p w14:paraId="3A071E60" w14:textId="5D3B7306"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09" w:history="1">
        <w:r w:rsidR="00C50374" w:rsidRPr="008D035A">
          <w:rPr>
            <w:rStyle w:val="Hyperlink"/>
            <w:noProof/>
          </w:rPr>
          <w:t>Table 4.3 : Services consulted with by proportion of Aboriginal and Torres Strait Islander children enrolled compared to self-reported capacity (expressed as a percentage) and consultation mode</w:t>
        </w:r>
        <w:r w:rsidR="00C50374">
          <w:rPr>
            <w:noProof/>
            <w:webHidden/>
          </w:rPr>
          <w:tab/>
        </w:r>
        <w:r w:rsidR="00C50374">
          <w:rPr>
            <w:noProof/>
            <w:webHidden/>
          </w:rPr>
          <w:fldChar w:fldCharType="begin"/>
        </w:r>
        <w:r w:rsidR="00C50374">
          <w:rPr>
            <w:noProof/>
            <w:webHidden/>
          </w:rPr>
          <w:instrText xml:space="preserve"> PAGEREF _Toc167130709 \h </w:instrText>
        </w:r>
        <w:r w:rsidR="00C50374">
          <w:rPr>
            <w:noProof/>
            <w:webHidden/>
          </w:rPr>
        </w:r>
        <w:r w:rsidR="00C50374">
          <w:rPr>
            <w:noProof/>
            <w:webHidden/>
          </w:rPr>
          <w:fldChar w:fldCharType="separate"/>
        </w:r>
        <w:r w:rsidR="00D300D0">
          <w:rPr>
            <w:noProof/>
            <w:webHidden/>
          </w:rPr>
          <w:t>54</w:t>
        </w:r>
        <w:r w:rsidR="00C50374">
          <w:rPr>
            <w:noProof/>
            <w:webHidden/>
          </w:rPr>
          <w:fldChar w:fldCharType="end"/>
        </w:r>
      </w:hyperlink>
    </w:p>
    <w:p w14:paraId="3E252543" w14:textId="5E79B87A"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0" w:history="1">
        <w:r w:rsidR="00C50374" w:rsidRPr="008D035A">
          <w:rPr>
            <w:rStyle w:val="Hyperlink"/>
            <w:noProof/>
          </w:rPr>
          <w:t>Table 4.4 : Representativeness of survey respondent sample</w:t>
        </w:r>
        <w:r w:rsidR="00C50374">
          <w:rPr>
            <w:noProof/>
            <w:webHidden/>
          </w:rPr>
          <w:tab/>
        </w:r>
        <w:r w:rsidR="00C50374">
          <w:rPr>
            <w:noProof/>
            <w:webHidden/>
          </w:rPr>
          <w:fldChar w:fldCharType="begin"/>
        </w:r>
        <w:r w:rsidR="00C50374">
          <w:rPr>
            <w:noProof/>
            <w:webHidden/>
          </w:rPr>
          <w:instrText xml:space="preserve"> PAGEREF _Toc167130710 \h </w:instrText>
        </w:r>
        <w:r w:rsidR="00C50374">
          <w:rPr>
            <w:noProof/>
            <w:webHidden/>
          </w:rPr>
        </w:r>
        <w:r w:rsidR="00C50374">
          <w:rPr>
            <w:noProof/>
            <w:webHidden/>
          </w:rPr>
          <w:fldChar w:fldCharType="separate"/>
        </w:r>
        <w:r w:rsidR="00D300D0">
          <w:rPr>
            <w:noProof/>
            <w:webHidden/>
          </w:rPr>
          <w:t>55</w:t>
        </w:r>
        <w:r w:rsidR="00C50374">
          <w:rPr>
            <w:noProof/>
            <w:webHidden/>
          </w:rPr>
          <w:fldChar w:fldCharType="end"/>
        </w:r>
      </w:hyperlink>
    </w:p>
    <w:p w14:paraId="321353C2" w14:textId="6AA07CFB"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1" w:history="1">
        <w:r w:rsidR="00C50374" w:rsidRPr="008D035A">
          <w:rPr>
            <w:rStyle w:val="Hyperlink"/>
            <w:noProof/>
          </w:rPr>
          <w:t>Table 4.5 : Departmental and broader stakeholder groups</w:t>
        </w:r>
        <w:r w:rsidR="00C50374">
          <w:rPr>
            <w:noProof/>
            <w:webHidden/>
          </w:rPr>
          <w:tab/>
        </w:r>
        <w:r w:rsidR="00C50374">
          <w:rPr>
            <w:noProof/>
            <w:webHidden/>
          </w:rPr>
          <w:fldChar w:fldCharType="begin"/>
        </w:r>
        <w:r w:rsidR="00C50374">
          <w:rPr>
            <w:noProof/>
            <w:webHidden/>
          </w:rPr>
          <w:instrText xml:space="preserve"> PAGEREF _Toc167130711 \h </w:instrText>
        </w:r>
        <w:r w:rsidR="00C50374">
          <w:rPr>
            <w:noProof/>
            <w:webHidden/>
          </w:rPr>
        </w:r>
        <w:r w:rsidR="00C50374">
          <w:rPr>
            <w:noProof/>
            <w:webHidden/>
          </w:rPr>
          <w:fldChar w:fldCharType="separate"/>
        </w:r>
        <w:r w:rsidR="00D300D0">
          <w:rPr>
            <w:noProof/>
            <w:webHidden/>
          </w:rPr>
          <w:t>57</w:t>
        </w:r>
        <w:r w:rsidR="00C50374">
          <w:rPr>
            <w:noProof/>
            <w:webHidden/>
          </w:rPr>
          <w:fldChar w:fldCharType="end"/>
        </w:r>
      </w:hyperlink>
    </w:p>
    <w:p w14:paraId="2A80F9D7" w14:textId="36239A9B"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2" w:history="1">
        <w:r w:rsidR="00C50374" w:rsidRPr="008D035A">
          <w:rPr>
            <w:rStyle w:val="Hyperlink"/>
            <w:noProof/>
          </w:rPr>
          <w:t>Table 4.6 : Overview of secondary data sources</w:t>
        </w:r>
        <w:r w:rsidR="00C50374">
          <w:rPr>
            <w:noProof/>
            <w:webHidden/>
          </w:rPr>
          <w:tab/>
        </w:r>
        <w:r w:rsidR="00C50374">
          <w:rPr>
            <w:noProof/>
            <w:webHidden/>
          </w:rPr>
          <w:fldChar w:fldCharType="begin"/>
        </w:r>
        <w:r w:rsidR="00C50374">
          <w:rPr>
            <w:noProof/>
            <w:webHidden/>
          </w:rPr>
          <w:instrText xml:space="preserve"> PAGEREF _Toc167130712 \h </w:instrText>
        </w:r>
        <w:r w:rsidR="00C50374">
          <w:rPr>
            <w:noProof/>
            <w:webHidden/>
          </w:rPr>
        </w:r>
        <w:r w:rsidR="00C50374">
          <w:rPr>
            <w:noProof/>
            <w:webHidden/>
          </w:rPr>
          <w:fldChar w:fldCharType="separate"/>
        </w:r>
        <w:r w:rsidR="00D300D0">
          <w:rPr>
            <w:noProof/>
            <w:webHidden/>
          </w:rPr>
          <w:t>59</w:t>
        </w:r>
        <w:r w:rsidR="00C50374">
          <w:rPr>
            <w:noProof/>
            <w:webHidden/>
          </w:rPr>
          <w:fldChar w:fldCharType="end"/>
        </w:r>
      </w:hyperlink>
    </w:p>
    <w:p w14:paraId="30FD8812" w14:textId="00700CA4"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3" w:history="1">
        <w:r w:rsidR="00C50374" w:rsidRPr="008D035A">
          <w:rPr>
            <w:rStyle w:val="Hyperlink"/>
            <w:noProof/>
          </w:rPr>
          <w:t>Table 5.1 : CCCFR grant objectives</w:t>
        </w:r>
        <w:r w:rsidR="00C50374">
          <w:rPr>
            <w:noProof/>
            <w:webHidden/>
          </w:rPr>
          <w:tab/>
        </w:r>
        <w:r w:rsidR="00C50374">
          <w:rPr>
            <w:noProof/>
            <w:webHidden/>
          </w:rPr>
          <w:fldChar w:fldCharType="begin"/>
        </w:r>
        <w:r w:rsidR="00C50374">
          <w:rPr>
            <w:noProof/>
            <w:webHidden/>
          </w:rPr>
          <w:instrText xml:space="preserve"> PAGEREF _Toc167130713 \h </w:instrText>
        </w:r>
        <w:r w:rsidR="00C50374">
          <w:rPr>
            <w:noProof/>
            <w:webHidden/>
          </w:rPr>
        </w:r>
        <w:r w:rsidR="00C50374">
          <w:rPr>
            <w:noProof/>
            <w:webHidden/>
          </w:rPr>
          <w:fldChar w:fldCharType="separate"/>
        </w:r>
        <w:r w:rsidR="00D300D0">
          <w:rPr>
            <w:noProof/>
            <w:webHidden/>
          </w:rPr>
          <w:t>80</w:t>
        </w:r>
        <w:r w:rsidR="00C50374">
          <w:rPr>
            <w:noProof/>
            <w:webHidden/>
          </w:rPr>
          <w:fldChar w:fldCharType="end"/>
        </w:r>
      </w:hyperlink>
    </w:p>
    <w:p w14:paraId="0959E1A6" w14:textId="025E3FC4"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4" w:history="1">
        <w:r w:rsidR="00C50374" w:rsidRPr="008D035A">
          <w:rPr>
            <w:rStyle w:val="Hyperlink"/>
            <w:noProof/>
          </w:rPr>
          <w:t>Table 7.1 : CCCFR Program Officer roles and responsibilities</w:t>
        </w:r>
        <w:r w:rsidR="00C50374">
          <w:rPr>
            <w:noProof/>
            <w:webHidden/>
          </w:rPr>
          <w:tab/>
        </w:r>
        <w:r w:rsidR="00C50374">
          <w:rPr>
            <w:noProof/>
            <w:webHidden/>
          </w:rPr>
          <w:fldChar w:fldCharType="begin"/>
        </w:r>
        <w:r w:rsidR="00C50374">
          <w:rPr>
            <w:noProof/>
            <w:webHidden/>
          </w:rPr>
          <w:instrText xml:space="preserve"> PAGEREF _Toc167130714 \h </w:instrText>
        </w:r>
        <w:r w:rsidR="00C50374">
          <w:rPr>
            <w:noProof/>
            <w:webHidden/>
          </w:rPr>
        </w:r>
        <w:r w:rsidR="00C50374">
          <w:rPr>
            <w:noProof/>
            <w:webHidden/>
          </w:rPr>
          <w:fldChar w:fldCharType="separate"/>
        </w:r>
        <w:r w:rsidR="00D300D0">
          <w:rPr>
            <w:noProof/>
            <w:webHidden/>
          </w:rPr>
          <w:t>110</w:t>
        </w:r>
        <w:r w:rsidR="00C50374">
          <w:rPr>
            <w:noProof/>
            <w:webHidden/>
          </w:rPr>
          <w:fldChar w:fldCharType="end"/>
        </w:r>
      </w:hyperlink>
    </w:p>
    <w:p w14:paraId="58325F3E" w14:textId="2AD1780D"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5" w:history="1">
        <w:r w:rsidR="00C50374" w:rsidRPr="008D035A">
          <w:rPr>
            <w:rStyle w:val="Hyperlink"/>
            <w:noProof/>
          </w:rPr>
          <w:t>Table 7.2 : Cumulative responses to CCCFR service survey questions around accessing support</w:t>
        </w:r>
        <w:r w:rsidR="00C50374">
          <w:rPr>
            <w:noProof/>
            <w:webHidden/>
          </w:rPr>
          <w:tab/>
        </w:r>
        <w:r w:rsidR="00C50374">
          <w:rPr>
            <w:noProof/>
            <w:webHidden/>
          </w:rPr>
          <w:fldChar w:fldCharType="begin"/>
        </w:r>
        <w:r w:rsidR="00C50374">
          <w:rPr>
            <w:noProof/>
            <w:webHidden/>
          </w:rPr>
          <w:instrText xml:space="preserve"> PAGEREF _Toc167130715 \h </w:instrText>
        </w:r>
        <w:r w:rsidR="00C50374">
          <w:rPr>
            <w:noProof/>
            <w:webHidden/>
          </w:rPr>
        </w:r>
        <w:r w:rsidR="00C50374">
          <w:rPr>
            <w:noProof/>
            <w:webHidden/>
          </w:rPr>
          <w:fldChar w:fldCharType="separate"/>
        </w:r>
        <w:r w:rsidR="00D300D0">
          <w:rPr>
            <w:noProof/>
            <w:webHidden/>
          </w:rPr>
          <w:t>111</w:t>
        </w:r>
        <w:r w:rsidR="00C50374">
          <w:rPr>
            <w:noProof/>
            <w:webHidden/>
          </w:rPr>
          <w:fldChar w:fldCharType="end"/>
        </w:r>
      </w:hyperlink>
    </w:p>
    <w:p w14:paraId="1F7CA15F" w14:textId="68A3F5FD"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6" w:history="1">
        <w:r w:rsidR="00C50374" w:rsidRPr="008D035A">
          <w:rPr>
            <w:rStyle w:val="Hyperlink"/>
            <w:noProof/>
          </w:rPr>
          <w:t>Table 7.3 : Infrastructure-related regulatory requirements</w:t>
        </w:r>
        <w:r w:rsidR="00C50374">
          <w:rPr>
            <w:noProof/>
            <w:webHidden/>
          </w:rPr>
          <w:tab/>
        </w:r>
        <w:r w:rsidR="00C50374">
          <w:rPr>
            <w:noProof/>
            <w:webHidden/>
          </w:rPr>
          <w:fldChar w:fldCharType="begin"/>
        </w:r>
        <w:r w:rsidR="00C50374">
          <w:rPr>
            <w:noProof/>
            <w:webHidden/>
          </w:rPr>
          <w:instrText xml:space="preserve"> PAGEREF _Toc167130716 \h </w:instrText>
        </w:r>
        <w:r w:rsidR="00C50374">
          <w:rPr>
            <w:noProof/>
            <w:webHidden/>
          </w:rPr>
        </w:r>
        <w:r w:rsidR="00C50374">
          <w:rPr>
            <w:noProof/>
            <w:webHidden/>
          </w:rPr>
          <w:fldChar w:fldCharType="separate"/>
        </w:r>
        <w:r w:rsidR="00D300D0">
          <w:rPr>
            <w:noProof/>
            <w:webHidden/>
          </w:rPr>
          <w:t>123</w:t>
        </w:r>
        <w:r w:rsidR="00C50374">
          <w:rPr>
            <w:noProof/>
            <w:webHidden/>
          </w:rPr>
          <w:fldChar w:fldCharType="end"/>
        </w:r>
      </w:hyperlink>
    </w:p>
    <w:p w14:paraId="0B4776CE" w14:textId="09F15455"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7" w:history="1">
        <w:r w:rsidR="00C50374" w:rsidRPr="008D035A">
          <w:rPr>
            <w:rStyle w:val="Hyperlink"/>
            <w:rFonts w:eastAsia="MingLiU"/>
            <w:noProof/>
          </w:rPr>
          <w:t>Table 7.4 : Elements most not met under NQS (as of Q3 2023)</w:t>
        </w:r>
        <w:r w:rsidR="00C50374">
          <w:rPr>
            <w:noProof/>
            <w:webHidden/>
          </w:rPr>
          <w:tab/>
        </w:r>
        <w:r w:rsidR="00C50374">
          <w:rPr>
            <w:noProof/>
            <w:webHidden/>
          </w:rPr>
          <w:fldChar w:fldCharType="begin"/>
        </w:r>
        <w:r w:rsidR="00C50374">
          <w:rPr>
            <w:noProof/>
            <w:webHidden/>
          </w:rPr>
          <w:instrText xml:space="preserve"> PAGEREF _Toc167130717 \h </w:instrText>
        </w:r>
        <w:r w:rsidR="00C50374">
          <w:rPr>
            <w:noProof/>
            <w:webHidden/>
          </w:rPr>
        </w:r>
        <w:r w:rsidR="00C50374">
          <w:rPr>
            <w:noProof/>
            <w:webHidden/>
          </w:rPr>
          <w:fldChar w:fldCharType="separate"/>
        </w:r>
        <w:r w:rsidR="00D300D0">
          <w:rPr>
            <w:noProof/>
            <w:webHidden/>
          </w:rPr>
          <w:t>125</w:t>
        </w:r>
        <w:r w:rsidR="00C50374">
          <w:rPr>
            <w:noProof/>
            <w:webHidden/>
          </w:rPr>
          <w:fldChar w:fldCharType="end"/>
        </w:r>
      </w:hyperlink>
    </w:p>
    <w:p w14:paraId="4FA586A4" w14:textId="60C489BA"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8" w:history="1">
        <w:r w:rsidR="00C50374" w:rsidRPr="008D035A">
          <w:rPr>
            <w:rStyle w:val="Hyperlink"/>
            <w:noProof/>
          </w:rPr>
          <w:t>Table 7.5 : Theme and indicators for Multi-Criteria Analysis (MCA)</w:t>
        </w:r>
        <w:r w:rsidR="00C50374">
          <w:rPr>
            <w:noProof/>
            <w:webHidden/>
          </w:rPr>
          <w:tab/>
        </w:r>
        <w:r w:rsidR="00C50374">
          <w:rPr>
            <w:noProof/>
            <w:webHidden/>
          </w:rPr>
          <w:fldChar w:fldCharType="begin"/>
        </w:r>
        <w:r w:rsidR="00C50374">
          <w:rPr>
            <w:noProof/>
            <w:webHidden/>
          </w:rPr>
          <w:instrText xml:space="preserve"> PAGEREF _Toc167130718 \h </w:instrText>
        </w:r>
        <w:r w:rsidR="00C50374">
          <w:rPr>
            <w:noProof/>
            <w:webHidden/>
          </w:rPr>
        </w:r>
        <w:r w:rsidR="00C50374">
          <w:rPr>
            <w:noProof/>
            <w:webHidden/>
          </w:rPr>
          <w:fldChar w:fldCharType="separate"/>
        </w:r>
        <w:r w:rsidR="00D300D0">
          <w:rPr>
            <w:noProof/>
            <w:webHidden/>
          </w:rPr>
          <w:t>130</w:t>
        </w:r>
        <w:r w:rsidR="00C50374">
          <w:rPr>
            <w:noProof/>
            <w:webHidden/>
          </w:rPr>
          <w:fldChar w:fldCharType="end"/>
        </w:r>
      </w:hyperlink>
    </w:p>
    <w:p w14:paraId="1C2B1833" w14:textId="51DA70E6"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19" w:history="1">
        <w:r w:rsidR="00C50374" w:rsidRPr="008D035A">
          <w:rPr>
            <w:rStyle w:val="Hyperlink"/>
            <w:noProof/>
          </w:rPr>
          <w:t>Table 7.6 : MCA outcomes for CCCFR services across identified themes</w:t>
        </w:r>
        <w:r w:rsidR="00C50374">
          <w:rPr>
            <w:noProof/>
            <w:webHidden/>
          </w:rPr>
          <w:tab/>
        </w:r>
        <w:r w:rsidR="00C50374">
          <w:rPr>
            <w:noProof/>
            <w:webHidden/>
          </w:rPr>
          <w:fldChar w:fldCharType="begin"/>
        </w:r>
        <w:r w:rsidR="00C50374">
          <w:rPr>
            <w:noProof/>
            <w:webHidden/>
          </w:rPr>
          <w:instrText xml:space="preserve"> PAGEREF _Toc167130719 \h </w:instrText>
        </w:r>
        <w:r w:rsidR="00C50374">
          <w:rPr>
            <w:noProof/>
            <w:webHidden/>
          </w:rPr>
        </w:r>
        <w:r w:rsidR="00C50374">
          <w:rPr>
            <w:noProof/>
            <w:webHidden/>
          </w:rPr>
          <w:fldChar w:fldCharType="separate"/>
        </w:r>
        <w:r w:rsidR="00D300D0">
          <w:rPr>
            <w:noProof/>
            <w:webHidden/>
          </w:rPr>
          <w:t>131</w:t>
        </w:r>
        <w:r w:rsidR="00C50374">
          <w:rPr>
            <w:noProof/>
            <w:webHidden/>
          </w:rPr>
          <w:fldChar w:fldCharType="end"/>
        </w:r>
      </w:hyperlink>
    </w:p>
    <w:p w14:paraId="3C4C0F1B" w14:textId="1A6D5267"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20" w:history="1">
        <w:r w:rsidR="00C50374" w:rsidRPr="008D035A">
          <w:rPr>
            <w:rStyle w:val="Hyperlink"/>
            <w:noProof/>
          </w:rPr>
          <w:t>Table 9.1 : Likely impact of review recommendations on services with varying characteristics</w:t>
        </w:r>
        <w:r w:rsidR="00C50374">
          <w:rPr>
            <w:noProof/>
            <w:webHidden/>
          </w:rPr>
          <w:tab/>
        </w:r>
        <w:r w:rsidR="00C50374">
          <w:rPr>
            <w:noProof/>
            <w:webHidden/>
          </w:rPr>
          <w:fldChar w:fldCharType="begin"/>
        </w:r>
        <w:r w:rsidR="00C50374">
          <w:rPr>
            <w:noProof/>
            <w:webHidden/>
          </w:rPr>
          <w:instrText xml:space="preserve"> PAGEREF _Toc167130720 \h </w:instrText>
        </w:r>
        <w:r w:rsidR="00C50374">
          <w:rPr>
            <w:noProof/>
            <w:webHidden/>
          </w:rPr>
        </w:r>
        <w:r w:rsidR="00C50374">
          <w:rPr>
            <w:noProof/>
            <w:webHidden/>
          </w:rPr>
          <w:fldChar w:fldCharType="separate"/>
        </w:r>
        <w:r w:rsidR="00D300D0">
          <w:rPr>
            <w:noProof/>
            <w:webHidden/>
          </w:rPr>
          <w:t>167</w:t>
        </w:r>
        <w:r w:rsidR="00C50374">
          <w:rPr>
            <w:noProof/>
            <w:webHidden/>
          </w:rPr>
          <w:fldChar w:fldCharType="end"/>
        </w:r>
      </w:hyperlink>
    </w:p>
    <w:p w14:paraId="4CEC4996" w14:textId="43F2A8F3"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21" w:history="1">
        <w:r w:rsidR="00C50374" w:rsidRPr="008D035A">
          <w:rPr>
            <w:rStyle w:val="Hyperlink"/>
            <w:rFonts w:eastAsia="Verdana"/>
            <w:noProof/>
          </w:rPr>
          <w:t>Table H.1 : Relevant obligations under Minister’s Rules and scope of inclusion within Multi-Criteria Analysis</w:t>
        </w:r>
        <w:r w:rsidR="00C50374">
          <w:rPr>
            <w:noProof/>
            <w:webHidden/>
          </w:rPr>
          <w:tab/>
        </w:r>
        <w:r w:rsidR="00C50374">
          <w:rPr>
            <w:noProof/>
            <w:webHidden/>
          </w:rPr>
          <w:fldChar w:fldCharType="begin"/>
        </w:r>
        <w:r w:rsidR="00C50374">
          <w:rPr>
            <w:noProof/>
            <w:webHidden/>
          </w:rPr>
          <w:instrText xml:space="preserve"> PAGEREF _Toc167130721 \h </w:instrText>
        </w:r>
        <w:r w:rsidR="00C50374">
          <w:rPr>
            <w:noProof/>
            <w:webHidden/>
          </w:rPr>
        </w:r>
        <w:r w:rsidR="00C50374">
          <w:rPr>
            <w:noProof/>
            <w:webHidden/>
          </w:rPr>
          <w:fldChar w:fldCharType="separate"/>
        </w:r>
        <w:r w:rsidR="00D300D0">
          <w:rPr>
            <w:noProof/>
            <w:webHidden/>
          </w:rPr>
          <w:t>247</w:t>
        </w:r>
        <w:r w:rsidR="00C50374">
          <w:rPr>
            <w:noProof/>
            <w:webHidden/>
          </w:rPr>
          <w:fldChar w:fldCharType="end"/>
        </w:r>
      </w:hyperlink>
    </w:p>
    <w:p w14:paraId="1FCFE3F9" w14:textId="25B95442"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22" w:history="1">
        <w:r w:rsidR="00C50374" w:rsidRPr="008D035A">
          <w:rPr>
            <w:rStyle w:val="Hyperlink"/>
            <w:noProof/>
          </w:rPr>
          <w:t>Table J.1 : Land Leases</w:t>
        </w:r>
        <w:r w:rsidR="00C50374">
          <w:rPr>
            <w:noProof/>
            <w:webHidden/>
          </w:rPr>
          <w:tab/>
        </w:r>
        <w:r w:rsidR="00C50374">
          <w:rPr>
            <w:noProof/>
            <w:webHidden/>
          </w:rPr>
          <w:fldChar w:fldCharType="begin"/>
        </w:r>
        <w:r w:rsidR="00C50374">
          <w:rPr>
            <w:noProof/>
            <w:webHidden/>
          </w:rPr>
          <w:instrText xml:space="preserve"> PAGEREF _Toc167130722 \h </w:instrText>
        </w:r>
        <w:r w:rsidR="00C50374">
          <w:rPr>
            <w:noProof/>
            <w:webHidden/>
          </w:rPr>
        </w:r>
        <w:r w:rsidR="00C50374">
          <w:rPr>
            <w:noProof/>
            <w:webHidden/>
          </w:rPr>
          <w:fldChar w:fldCharType="separate"/>
        </w:r>
        <w:r w:rsidR="00D300D0">
          <w:rPr>
            <w:noProof/>
            <w:webHidden/>
          </w:rPr>
          <w:t>259</w:t>
        </w:r>
        <w:r w:rsidR="00C50374">
          <w:rPr>
            <w:noProof/>
            <w:webHidden/>
          </w:rPr>
          <w:fldChar w:fldCharType="end"/>
        </w:r>
      </w:hyperlink>
    </w:p>
    <w:p w14:paraId="05699131" w14:textId="6ED30E4E" w:rsidR="00C50374" w:rsidRPr="00014332"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23" w:history="1">
        <w:r w:rsidR="00C50374" w:rsidRPr="00014332">
          <w:rPr>
            <w:rStyle w:val="Hyperlink"/>
            <w:noProof/>
          </w:rPr>
          <w:t>Table J.2 : Memorandum of Understanding</w:t>
        </w:r>
        <w:r w:rsidR="00C50374" w:rsidRPr="00014332">
          <w:rPr>
            <w:noProof/>
            <w:webHidden/>
          </w:rPr>
          <w:tab/>
        </w:r>
        <w:r w:rsidR="00C50374" w:rsidRPr="00014332">
          <w:rPr>
            <w:noProof/>
            <w:webHidden/>
          </w:rPr>
          <w:fldChar w:fldCharType="begin"/>
        </w:r>
        <w:r w:rsidR="00C50374" w:rsidRPr="00014332">
          <w:rPr>
            <w:noProof/>
            <w:webHidden/>
          </w:rPr>
          <w:instrText xml:space="preserve"> PAGEREF _Toc167130723 \h </w:instrText>
        </w:r>
        <w:r w:rsidR="00C50374" w:rsidRPr="00014332">
          <w:rPr>
            <w:noProof/>
            <w:webHidden/>
          </w:rPr>
        </w:r>
        <w:r w:rsidR="00C50374" w:rsidRPr="00014332">
          <w:rPr>
            <w:noProof/>
            <w:webHidden/>
          </w:rPr>
          <w:fldChar w:fldCharType="separate"/>
        </w:r>
        <w:r w:rsidR="00D300D0">
          <w:rPr>
            <w:noProof/>
            <w:webHidden/>
          </w:rPr>
          <w:t>260</w:t>
        </w:r>
        <w:r w:rsidR="00C50374" w:rsidRPr="00014332">
          <w:rPr>
            <w:noProof/>
            <w:webHidden/>
          </w:rPr>
          <w:fldChar w:fldCharType="end"/>
        </w:r>
      </w:hyperlink>
    </w:p>
    <w:p w14:paraId="3DF3AE16" w14:textId="60AD9743" w:rsidR="00C50374" w:rsidRPr="00014332"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24" w:history="1">
        <w:r w:rsidR="00C50374" w:rsidRPr="00014332">
          <w:rPr>
            <w:rStyle w:val="Hyperlink"/>
            <w:noProof/>
          </w:rPr>
          <w:t>Table J.3 : Management Agreement</w:t>
        </w:r>
        <w:r w:rsidR="00C50374" w:rsidRPr="00014332">
          <w:rPr>
            <w:noProof/>
            <w:webHidden/>
          </w:rPr>
          <w:tab/>
        </w:r>
        <w:r w:rsidR="00C50374" w:rsidRPr="00014332">
          <w:rPr>
            <w:noProof/>
            <w:webHidden/>
          </w:rPr>
          <w:fldChar w:fldCharType="begin"/>
        </w:r>
        <w:r w:rsidR="00C50374" w:rsidRPr="00014332">
          <w:rPr>
            <w:noProof/>
            <w:webHidden/>
          </w:rPr>
          <w:instrText xml:space="preserve"> PAGEREF _Toc167130724 \h </w:instrText>
        </w:r>
        <w:r w:rsidR="00C50374" w:rsidRPr="00014332">
          <w:rPr>
            <w:noProof/>
            <w:webHidden/>
          </w:rPr>
        </w:r>
        <w:r w:rsidR="00C50374" w:rsidRPr="00014332">
          <w:rPr>
            <w:noProof/>
            <w:webHidden/>
          </w:rPr>
          <w:fldChar w:fldCharType="separate"/>
        </w:r>
        <w:r w:rsidR="00D300D0">
          <w:rPr>
            <w:noProof/>
            <w:webHidden/>
          </w:rPr>
          <w:t>261</w:t>
        </w:r>
        <w:r w:rsidR="00C50374" w:rsidRPr="00014332">
          <w:rPr>
            <w:noProof/>
            <w:webHidden/>
          </w:rPr>
          <w:fldChar w:fldCharType="end"/>
        </w:r>
      </w:hyperlink>
    </w:p>
    <w:p w14:paraId="486A5F0E" w14:textId="1525154E" w:rsidR="00C50374" w:rsidRDefault="00000000" w:rsidP="00014332">
      <w:pPr>
        <w:pStyle w:val="TOC8"/>
        <w:ind w:left="1021" w:hanging="1021"/>
        <w:rPr>
          <w:rFonts w:asciiTheme="minorHAnsi" w:eastAsiaTheme="minorEastAsia" w:hAnsiTheme="minorHAnsi"/>
          <w:noProof/>
          <w:kern w:val="2"/>
          <w:sz w:val="22"/>
          <w:szCs w:val="22"/>
          <w:lang w:eastAsia="en-AU"/>
          <w14:ligatures w14:val="standardContextual"/>
        </w:rPr>
      </w:pPr>
      <w:hyperlink w:anchor="_Toc167130725" w:history="1">
        <w:r w:rsidR="00C50374" w:rsidRPr="008D035A">
          <w:rPr>
            <w:rStyle w:val="Hyperlink"/>
            <w:noProof/>
          </w:rPr>
          <w:t>Table K.1 : Analysis undertaken by outcome measure</w:t>
        </w:r>
        <w:r w:rsidR="00C50374">
          <w:rPr>
            <w:noProof/>
            <w:webHidden/>
          </w:rPr>
          <w:tab/>
        </w:r>
        <w:r w:rsidR="00C50374">
          <w:rPr>
            <w:noProof/>
            <w:webHidden/>
          </w:rPr>
          <w:fldChar w:fldCharType="begin"/>
        </w:r>
        <w:r w:rsidR="00C50374">
          <w:rPr>
            <w:noProof/>
            <w:webHidden/>
          </w:rPr>
          <w:instrText xml:space="preserve"> PAGEREF _Toc167130725 \h </w:instrText>
        </w:r>
        <w:r w:rsidR="00C50374">
          <w:rPr>
            <w:noProof/>
            <w:webHidden/>
          </w:rPr>
        </w:r>
        <w:r w:rsidR="00C50374">
          <w:rPr>
            <w:noProof/>
            <w:webHidden/>
          </w:rPr>
          <w:fldChar w:fldCharType="separate"/>
        </w:r>
        <w:r w:rsidR="00D300D0">
          <w:rPr>
            <w:noProof/>
            <w:webHidden/>
          </w:rPr>
          <w:t>264</w:t>
        </w:r>
        <w:r w:rsidR="00C50374">
          <w:rPr>
            <w:noProof/>
            <w:webHidden/>
          </w:rPr>
          <w:fldChar w:fldCharType="end"/>
        </w:r>
      </w:hyperlink>
    </w:p>
    <w:p w14:paraId="1067CC0B" w14:textId="33CD667E" w:rsidR="00FC6122" w:rsidRPr="003549F9" w:rsidRDefault="00FC6122" w:rsidP="009F4F05">
      <w:pPr>
        <w:ind w:left="1077" w:hanging="1077"/>
      </w:pPr>
      <w:r w:rsidRPr="003549F9">
        <w:fldChar w:fldCharType="end"/>
      </w:r>
    </w:p>
    <w:p w14:paraId="790B6AD4" w14:textId="77777777" w:rsidR="00FC6122" w:rsidRPr="003549F9" w:rsidRDefault="00FC6122" w:rsidP="00FC6122"/>
    <w:p w14:paraId="460E46FE" w14:textId="77777777" w:rsidR="00FC6122" w:rsidRPr="003549F9" w:rsidRDefault="00FC6122" w:rsidP="00FC6122">
      <w:pPr>
        <w:pStyle w:val="TOCHeading"/>
      </w:pPr>
      <w:r w:rsidRPr="003549F9">
        <w:lastRenderedPageBreak/>
        <w:t>Figures</w:t>
      </w:r>
    </w:p>
    <w:p w14:paraId="3CCBB6BB" w14:textId="37752FF1" w:rsidR="00637B60" w:rsidRDefault="00FC6122" w:rsidP="003E26D1">
      <w:pPr>
        <w:pStyle w:val="TOC7"/>
        <w:ind w:left="1021" w:hanging="1021"/>
        <w:rPr>
          <w:rFonts w:asciiTheme="minorHAnsi" w:eastAsiaTheme="minorEastAsia" w:hAnsiTheme="minorHAnsi"/>
          <w:noProof/>
          <w:kern w:val="2"/>
          <w:sz w:val="22"/>
          <w:szCs w:val="22"/>
          <w:lang w:eastAsia="en-AU"/>
          <w14:ligatures w14:val="standardContextual"/>
        </w:rPr>
      </w:pPr>
      <w:r w:rsidRPr="003549F9">
        <w:fldChar w:fldCharType="begin"/>
      </w:r>
      <w:r w:rsidRPr="003549F9">
        <w:instrText xml:space="preserve"> TOC \o "7-7" \h \z \t "Caption_Figure,7,Exec Figure Caption,7,Appendix Figure Caption,7" </w:instrText>
      </w:r>
      <w:r w:rsidRPr="003549F9">
        <w:fldChar w:fldCharType="separate"/>
      </w:r>
      <w:hyperlink w:anchor="_Toc170228781" w:history="1">
        <w:r w:rsidR="00637B60" w:rsidRPr="00666259">
          <w:rPr>
            <w:rStyle w:val="Hyperlink"/>
            <w:noProof/>
          </w:rPr>
          <w:t>Figure i : Decision framework for individual CCCFR services</w:t>
        </w:r>
        <w:r w:rsidR="00637B60">
          <w:rPr>
            <w:noProof/>
            <w:webHidden/>
          </w:rPr>
          <w:tab/>
        </w:r>
        <w:r w:rsidR="00637B60">
          <w:rPr>
            <w:noProof/>
            <w:webHidden/>
          </w:rPr>
          <w:fldChar w:fldCharType="begin"/>
        </w:r>
        <w:r w:rsidR="00637B60">
          <w:rPr>
            <w:noProof/>
            <w:webHidden/>
          </w:rPr>
          <w:instrText xml:space="preserve"> PAGEREF _Toc170228781 \h </w:instrText>
        </w:r>
        <w:r w:rsidR="00637B60">
          <w:rPr>
            <w:noProof/>
            <w:webHidden/>
          </w:rPr>
        </w:r>
        <w:r w:rsidR="00637B60">
          <w:rPr>
            <w:noProof/>
            <w:webHidden/>
          </w:rPr>
          <w:fldChar w:fldCharType="separate"/>
        </w:r>
        <w:r w:rsidR="00D300D0">
          <w:rPr>
            <w:noProof/>
            <w:webHidden/>
          </w:rPr>
          <w:t>xxxi</w:t>
        </w:r>
        <w:r w:rsidR="00637B60">
          <w:rPr>
            <w:noProof/>
            <w:webHidden/>
          </w:rPr>
          <w:fldChar w:fldCharType="end"/>
        </w:r>
      </w:hyperlink>
    </w:p>
    <w:p w14:paraId="6E2DE9EA" w14:textId="5FC5F5B0"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82" w:history="1">
        <w:r w:rsidR="00637B60" w:rsidRPr="00666259">
          <w:rPr>
            <w:rStyle w:val="Hyperlink"/>
            <w:noProof/>
          </w:rPr>
          <w:t>Figure 1.1 : Phases of the CCCFR review</w:t>
        </w:r>
        <w:r w:rsidR="00637B60">
          <w:rPr>
            <w:noProof/>
            <w:webHidden/>
          </w:rPr>
          <w:tab/>
        </w:r>
        <w:r w:rsidR="00637B60">
          <w:rPr>
            <w:noProof/>
            <w:webHidden/>
          </w:rPr>
          <w:fldChar w:fldCharType="begin"/>
        </w:r>
        <w:r w:rsidR="00637B60">
          <w:rPr>
            <w:noProof/>
            <w:webHidden/>
          </w:rPr>
          <w:instrText xml:space="preserve"> PAGEREF _Toc170228782 \h </w:instrText>
        </w:r>
        <w:r w:rsidR="00637B60">
          <w:rPr>
            <w:noProof/>
            <w:webHidden/>
          </w:rPr>
        </w:r>
        <w:r w:rsidR="00637B60">
          <w:rPr>
            <w:noProof/>
            <w:webHidden/>
          </w:rPr>
          <w:fldChar w:fldCharType="separate"/>
        </w:r>
        <w:r w:rsidR="00D300D0">
          <w:rPr>
            <w:noProof/>
            <w:webHidden/>
          </w:rPr>
          <w:t>4</w:t>
        </w:r>
        <w:r w:rsidR="00637B60">
          <w:rPr>
            <w:noProof/>
            <w:webHidden/>
          </w:rPr>
          <w:fldChar w:fldCharType="end"/>
        </w:r>
      </w:hyperlink>
    </w:p>
    <w:p w14:paraId="7273A8DF" w14:textId="724AC6A1"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83" w:history="1">
        <w:r w:rsidR="00637B60" w:rsidRPr="00666259">
          <w:rPr>
            <w:rStyle w:val="Hyperlink"/>
            <w:noProof/>
          </w:rPr>
          <w:t>Figure 2.1 : Two elements within the CCCFR grant</w:t>
        </w:r>
        <w:r w:rsidR="00637B60">
          <w:rPr>
            <w:noProof/>
            <w:webHidden/>
          </w:rPr>
          <w:tab/>
        </w:r>
        <w:r w:rsidR="00637B60">
          <w:rPr>
            <w:noProof/>
            <w:webHidden/>
          </w:rPr>
          <w:fldChar w:fldCharType="begin"/>
        </w:r>
        <w:r w:rsidR="00637B60">
          <w:rPr>
            <w:noProof/>
            <w:webHidden/>
          </w:rPr>
          <w:instrText xml:space="preserve"> PAGEREF _Toc170228783 \h </w:instrText>
        </w:r>
        <w:r w:rsidR="00637B60">
          <w:rPr>
            <w:noProof/>
            <w:webHidden/>
          </w:rPr>
        </w:r>
        <w:r w:rsidR="00637B60">
          <w:rPr>
            <w:noProof/>
            <w:webHidden/>
          </w:rPr>
          <w:fldChar w:fldCharType="separate"/>
        </w:r>
        <w:r w:rsidR="00D300D0">
          <w:rPr>
            <w:noProof/>
            <w:webHidden/>
          </w:rPr>
          <w:t>16</w:t>
        </w:r>
        <w:r w:rsidR="00637B60">
          <w:rPr>
            <w:noProof/>
            <w:webHidden/>
          </w:rPr>
          <w:fldChar w:fldCharType="end"/>
        </w:r>
      </w:hyperlink>
    </w:p>
    <w:p w14:paraId="5A225E62" w14:textId="236483C7"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84" w:history="1">
        <w:r w:rsidR="00637B60" w:rsidRPr="00666259">
          <w:rPr>
            <w:rStyle w:val="Hyperlink"/>
            <w:noProof/>
          </w:rPr>
          <w:t>Figure 2.2 : Overview of legislative and non-legislative obligations for CCCFR grant recipients</w:t>
        </w:r>
        <w:r w:rsidR="00637B60">
          <w:rPr>
            <w:noProof/>
            <w:webHidden/>
          </w:rPr>
          <w:tab/>
        </w:r>
        <w:r w:rsidR="00637B60">
          <w:rPr>
            <w:noProof/>
            <w:webHidden/>
          </w:rPr>
          <w:fldChar w:fldCharType="begin"/>
        </w:r>
        <w:r w:rsidR="00637B60">
          <w:rPr>
            <w:noProof/>
            <w:webHidden/>
          </w:rPr>
          <w:instrText xml:space="preserve"> PAGEREF _Toc170228784 \h </w:instrText>
        </w:r>
        <w:r w:rsidR="00637B60">
          <w:rPr>
            <w:noProof/>
            <w:webHidden/>
          </w:rPr>
        </w:r>
        <w:r w:rsidR="00637B60">
          <w:rPr>
            <w:noProof/>
            <w:webHidden/>
          </w:rPr>
          <w:fldChar w:fldCharType="separate"/>
        </w:r>
        <w:r w:rsidR="00D300D0">
          <w:rPr>
            <w:noProof/>
            <w:webHidden/>
          </w:rPr>
          <w:t>18</w:t>
        </w:r>
        <w:r w:rsidR="00637B60">
          <w:rPr>
            <w:noProof/>
            <w:webHidden/>
          </w:rPr>
          <w:fldChar w:fldCharType="end"/>
        </w:r>
      </w:hyperlink>
    </w:p>
    <w:p w14:paraId="738BBAAD" w14:textId="063B94E3"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85" w:history="1">
        <w:r w:rsidR="00637B60" w:rsidRPr="00666259">
          <w:rPr>
            <w:rStyle w:val="Hyperlink"/>
            <w:noProof/>
          </w:rPr>
          <w:t>Figure 2.3 : Land Lease structure</w:t>
        </w:r>
        <w:r w:rsidR="00637B60">
          <w:rPr>
            <w:noProof/>
            <w:webHidden/>
          </w:rPr>
          <w:tab/>
        </w:r>
        <w:r w:rsidR="00637B60">
          <w:rPr>
            <w:noProof/>
            <w:webHidden/>
          </w:rPr>
          <w:fldChar w:fldCharType="begin"/>
        </w:r>
        <w:r w:rsidR="00637B60">
          <w:rPr>
            <w:noProof/>
            <w:webHidden/>
          </w:rPr>
          <w:instrText xml:space="preserve"> PAGEREF _Toc170228785 \h </w:instrText>
        </w:r>
        <w:r w:rsidR="00637B60">
          <w:rPr>
            <w:noProof/>
            <w:webHidden/>
          </w:rPr>
        </w:r>
        <w:r w:rsidR="00637B60">
          <w:rPr>
            <w:noProof/>
            <w:webHidden/>
          </w:rPr>
          <w:fldChar w:fldCharType="separate"/>
        </w:r>
        <w:r w:rsidR="00D300D0">
          <w:rPr>
            <w:noProof/>
            <w:webHidden/>
          </w:rPr>
          <w:t>23</w:t>
        </w:r>
        <w:r w:rsidR="00637B60">
          <w:rPr>
            <w:noProof/>
            <w:webHidden/>
          </w:rPr>
          <w:fldChar w:fldCharType="end"/>
        </w:r>
      </w:hyperlink>
    </w:p>
    <w:p w14:paraId="52858053" w14:textId="37BD79F5"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86" w:history="1">
        <w:r w:rsidR="00637B60" w:rsidRPr="00666259">
          <w:rPr>
            <w:rStyle w:val="Hyperlink"/>
            <w:noProof/>
          </w:rPr>
          <w:t>Figure 2.4 : Management Agreement structure</w:t>
        </w:r>
        <w:r w:rsidR="00637B60">
          <w:rPr>
            <w:noProof/>
            <w:webHidden/>
          </w:rPr>
          <w:tab/>
        </w:r>
        <w:r w:rsidR="00637B60">
          <w:rPr>
            <w:noProof/>
            <w:webHidden/>
          </w:rPr>
          <w:fldChar w:fldCharType="begin"/>
        </w:r>
        <w:r w:rsidR="00637B60">
          <w:rPr>
            <w:noProof/>
            <w:webHidden/>
          </w:rPr>
          <w:instrText xml:space="preserve"> PAGEREF _Toc170228786 \h </w:instrText>
        </w:r>
        <w:r w:rsidR="00637B60">
          <w:rPr>
            <w:noProof/>
            <w:webHidden/>
          </w:rPr>
        </w:r>
        <w:r w:rsidR="00637B60">
          <w:rPr>
            <w:noProof/>
            <w:webHidden/>
          </w:rPr>
          <w:fldChar w:fldCharType="separate"/>
        </w:r>
        <w:r w:rsidR="00D300D0">
          <w:rPr>
            <w:noProof/>
            <w:webHidden/>
          </w:rPr>
          <w:t>24</w:t>
        </w:r>
        <w:r w:rsidR="00637B60">
          <w:rPr>
            <w:noProof/>
            <w:webHidden/>
          </w:rPr>
          <w:fldChar w:fldCharType="end"/>
        </w:r>
      </w:hyperlink>
    </w:p>
    <w:p w14:paraId="6698C532" w14:textId="41744600"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87" w:history="1">
        <w:r w:rsidR="00637B60" w:rsidRPr="00666259">
          <w:rPr>
            <w:rStyle w:val="Hyperlink"/>
            <w:noProof/>
            <w:lang w:val="da-DK"/>
          </w:rPr>
          <w:t>Figure 3.1 : Components of the review framework</w:t>
        </w:r>
        <w:r w:rsidR="00637B60">
          <w:rPr>
            <w:noProof/>
            <w:webHidden/>
          </w:rPr>
          <w:tab/>
        </w:r>
        <w:r w:rsidR="00637B60">
          <w:rPr>
            <w:noProof/>
            <w:webHidden/>
          </w:rPr>
          <w:fldChar w:fldCharType="begin"/>
        </w:r>
        <w:r w:rsidR="00637B60">
          <w:rPr>
            <w:noProof/>
            <w:webHidden/>
          </w:rPr>
          <w:instrText xml:space="preserve"> PAGEREF _Toc170228787 \h </w:instrText>
        </w:r>
        <w:r w:rsidR="00637B60">
          <w:rPr>
            <w:noProof/>
            <w:webHidden/>
          </w:rPr>
        </w:r>
        <w:r w:rsidR="00637B60">
          <w:rPr>
            <w:noProof/>
            <w:webHidden/>
          </w:rPr>
          <w:fldChar w:fldCharType="separate"/>
        </w:r>
        <w:r w:rsidR="00D300D0">
          <w:rPr>
            <w:noProof/>
            <w:webHidden/>
          </w:rPr>
          <w:t>41</w:t>
        </w:r>
        <w:r w:rsidR="00637B60">
          <w:rPr>
            <w:noProof/>
            <w:webHidden/>
          </w:rPr>
          <w:fldChar w:fldCharType="end"/>
        </w:r>
      </w:hyperlink>
    </w:p>
    <w:p w14:paraId="0DD1EF3A" w14:textId="4AC22EE7"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88" w:history="1">
        <w:r w:rsidR="00637B60" w:rsidRPr="00666259">
          <w:rPr>
            <w:rStyle w:val="Hyperlink"/>
            <w:noProof/>
          </w:rPr>
          <w:t>Figure 3.2 : Review framework</w:t>
        </w:r>
        <w:r w:rsidR="00637B60">
          <w:rPr>
            <w:noProof/>
            <w:webHidden/>
          </w:rPr>
          <w:tab/>
        </w:r>
        <w:r w:rsidR="00637B60">
          <w:rPr>
            <w:noProof/>
            <w:webHidden/>
          </w:rPr>
          <w:fldChar w:fldCharType="begin"/>
        </w:r>
        <w:r w:rsidR="00637B60">
          <w:rPr>
            <w:noProof/>
            <w:webHidden/>
          </w:rPr>
          <w:instrText xml:space="preserve"> PAGEREF _Toc170228788 \h </w:instrText>
        </w:r>
        <w:r w:rsidR="00637B60">
          <w:rPr>
            <w:noProof/>
            <w:webHidden/>
          </w:rPr>
        </w:r>
        <w:r w:rsidR="00637B60">
          <w:rPr>
            <w:noProof/>
            <w:webHidden/>
          </w:rPr>
          <w:fldChar w:fldCharType="separate"/>
        </w:r>
        <w:r w:rsidR="00D300D0">
          <w:rPr>
            <w:noProof/>
            <w:webHidden/>
          </w:rPr>
          <w:t>42</w:t>
        </w:r>
        <w:r w:rsidR="00637B60">
          <w:rPr>
            <w:noProof/>
            <w:webHidden/>
          </w:rPr>
          <w:fldChar w:fldCharType="end"/>
        </w:r>
      </w:hyperlink>
    </w:p>
    <w:p w14:paraId="49D3324D" w14:textId="65B251D7"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89" w:history="1">
        <w:r w:rsidR="00637B60" w:rsidRPr="00666259">
          <w:rPr>
            <w:rStyle w:val="Hyperlink"/>
            <w:noProof/>
          </w:rPr>
          <w:t>Figure 4.1 : : CCCFR service consultation map, as of August 2023</w:t>
        </w:r>
        <w:r w:rsidR="00637B60">
          <w:rPr>
            <w:noProof/>
            <w:webHidden/>
          </w:rPr>
          <w:tab/>
        </w:r>
        <w:r w:rsidR="00637B60">
          <w:rPr>
            <w:noProof/>
            <w:webHidden/>
          </w:rPr>
          <w:fldChar w:fldCharType="begin"/>
        </w:r>
        <w:r w:rsidR="00637B60">
          <w:rPr>
            <w:noProof/>
            <w:webHidden/>
          </w:rPr>
          <w:instrText xml:space="preserve"> PAGEREF _Toc170228789 \h </w:instrText>
        </w:r>
        <w:r w:rsidR="00637B60">
          <w:rPr>
            <w:noProof/>
            <w:webHidden/>
          </w:rPr>
        </w:r>
        <w:r w:rsidR="00637B60">
          <w:rPr>
            <w:noProof/>
            <w:webHidden/>
          </w:rPr>
          <w:fldChar w:fldCharType="separate"/>
        </w:r>
        <w:r w:rsidR="00D300D0">
          <w:rPr>
            <w:noProof/>
            <w:webHidden/>
          </w:rPr>
          <w:t>49</w:t>
        </w:r>
        <w:r w:rsidR="00637B60">
          <w:rPr>
            <w:noProof/>
            <w:webHidden/>
          </w:rPr>
          <w:fldChar w:fldCharType="end"/>
        </w:r>
      </w:hyperlink>
    </w:p>
    <w:p w14:paraId="463D9095" w14:textId="19E78FF3"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0" w:history="1">
        <w:r w:rsidR="00637B60" w:rsidRPr="00666259">
          <w:rPr>
            <w:rStyle w:val="Hyperlink"/>
            <w:noProof/>
          </w:rPr>
          <w:t>Figure 4.2 : CCCFR service consultation map, as of November 2023</w:t>
        </w:r>
        <w:r w:rsidR="00637B60">
          <w:rPr>
            <w:noProof/>
            <w:webHidden/>
          </w:rPr>
          <w:tab/>
        </w:r>
        <w:r w:rsidR="00637B60">
          <w:rPr>
            <w:noProof/>
            <w:webHidden/>
          </w:rPr>
          <w:fldChar w:fldCharType="begin"/>
        </w:r>
        <w:r w:rsidR="00637B60">
          <w:rPr>
            <w:noProof/>
            <w:webHidden/>
          </w:rPr>
          <w:instrText xml:space="preserve"> PAGEREF _Toc170228790 \h </w:instrText>
        </w:r>
        <w:r w:rsidR="00637B60">
          <w:rPr>
            <w:noProof/>
            <w:webHidden/>
          </w:rPr>
        </w:r>
        <w:r w:rsidR="00637B60">
          <w:rPr>
            <w:noProof/>
            <w:webHidden/>
          </w:rPr>
          <w:fldChar w:fldCharType="separate"/>
        </w:r>
        <w:r w:rsidR="00D300D0">
          <w:rPr>
            <w:noProof/>
            <w:webHidden/>
          </w:rPr>
          <w:t>50</w:t>
        </w:r>
        <w:r w:rsidR="00637B60">
          <w:rPr>
            <w:noProof/>
            <w:webHidden/>
          </w:rPr>
          <w:fldChar w:fldCharType="end"/>
        </w:r>
      </w:hyperlink>
    </w:p>
    <w:p w14:paraId="42E09173" w14:textId="4488F893"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1" w:history="1">
        <w:r w:rsidR="00637B60" w:rsidRPr="00666259">
          <w:rPr>
            <w:rStyle w:val="Hyperlink"/>
            <w:bCs/>
            <w:noProof/>
          </w:rPr>
          <w:t>Box 5.1: Interpreting the outcomes analysis</w:t>
        </w:r>
        <w:r w:rsidR="00637B60">
          <w:rPr>
            <w:noProof/>
            <w:webHidden/>
          </w:rPr>
          <w:tab/>
        </w:r>
        <w:r w:rsidR="00637B60">
          <w:rPr>
            <w:noProof/>
            <w:webHidden/>
          </w:rPr>
          <w:fldChar w:fldCharType="begin"/>
        </w:r>
        <w:r w:rsidR="00637B60">
          <w:rPr>
            <w:noProof/>
            <w:webHidden/>
          </w:rPr>
          <w:instrText xml:space="preserve"> PAGEREF _Toc170228791 \h </w:instrText>
        </w:r>
        <w:r w:rsidR="00637B60">
          <w:rPr>
            <w:noProof/>
            <w:webHidden/>
          </w:rPr>
        </w:r>
        <w:r w:rsidR="00637B60">
          <w:rPr>
            <w:noProof/>
            <w:webHidden/>
          </w:rPr>
          <w:fldChar w:fldCharType="separate"/>
        </w:r>
        <w:r w:rsidR="00D300D0">
          <w:rPr>
            <w:noProof/>
            <w:webHidden/>
          </w:rPr>
          <w:t>64</w:t>
        </w:r>
        <w:r w:rsidR="00637B60">
          <w:rPr>
            <w:noProof/>
            <w:webHidden/>
          </w:rPr>
          <w:fldChar w:fldCharType="end"/>
        </w:r>
      </w:hyperlink>
    </w:p>
    <w:p w14:paraId="3C38C324" w14:textId="1CECB8A0"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2" w:history="1">
        <w:r w:rsidR="00637B60" w:rsidRPr="00666259">
          <w:rPr>
            <w:rStyle w:val="Hyperlink"/>
            <w:noProof/>
          </w:rPr>
          <w:t>Figure 5.1 : Most frequent words used in response to survey question: ‘What kinds of vulnerability and disadvantage do children and families experience where you operate?’</w:t>
        </w:r>
        <w:r w:rsidR="00637B60">
          <w:rPr>
            <w:noProof/>
            <w:webHidden/>
          </w:rPr>
          <w:tab/>
        </w:r>
        <w:r w:rsidR="00637B60">
          <w:rPr>
            <w:noProof/>
            <w:webHidden/>
          </w:rPr>
          <w:fldChar w:fldCharType="begin"/>
        </w:r>
        <w:r w:rsidR="00637B60">
          <w:rPr>
            <w:noProof/>
            <w:webHidden/>
          </w:rPr>
          <w:instrText xml:space="preserve"> PAGEREF _Toc170228792 \h </w:instrText>
        </w:r>
        <w:r w:rsidR="00637B60">
          <w:rPr>
            <w:noProof/>
            <w:webHidden/>
          </w:rPr>
        </w:r>
        <w:r w:rsidR="00637B60">
          <w:rPr>
            <w:noProof/>
            <w:webHidden/>
          </w:rPr>
          <w:fldChar w:fldCharType="separate"/>
        </w:r>
        <w:r w:rsidR="00D300D0">
          <w:rPr>
            <w:noProof/>
            <w:webHidden/>
          </w:rPr>
          <w:t>81</w:t>
        </w:r>
        <w:r w:rsidR="00637B60">
          <w:rPr>
            <w:noProof/>
            <w:webHidden/>
          </w:rPr>
          <w:fldChar w:fldCharType="end"/>
        </w:r>
      </w:hyperlink>
    </w:p>
    <w:p w14:paraId="68A3182A" w14:textId="2E2C1057"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3" w:history="1">
        <w:r w:rsidR="00637B60" w:rsidRPr="00666259">
          <w:rPr>
            <w:rStyle w:val="Hyperlink"/>
            <w:noProof/>
          </w:rPr>
          <w:t>Figure 5.2 : Overview of CCCFR objectives and alignment with service, family and community needs and expectations</w:t>
        </w:r>
        <w:r w:rsidR="00637B60">
          <w:rPr>
            <w:noProof/>
            <w:webHidden/>
          </w:rPr>
          <w:tab/>
        </w:r>
        <w:r w:rsidR="00637B60">
          <w:rPr>
            <w:noProof/>
            <w:webHidden/>
          </w:rPr>
          <w:fldChar w:fldCharType="begin"/>
        </w:r>
        <w:r w:rsidR="00637B60">
          <w:rPr>
            <w:noProof/>
            <w:webHidden/>
          </w:rPr>
          <w:instrText xml:space="preserve"> PAGEREF _Toc170228793 \h </w:instrText>
        </w:r>
        <w:r w:rsidR="00637B60">
          <w:rPr>
            <w:noProof/>
            <w:webHidden/>
          </w:rPr>
        </w:r>
        <w:r w:rsidR="00637B60">
          <w:rPr>
            <w:noProof/>
            <w:webHidden/>
          </w:rPr>
          <w:fldChar w:fldCharType="separate"/>
        </w:r>
        <w:r w:rsidR="00D300D0">
          <w:rPr>
            <w:noProof/>
            <w:webHidden/>
          </w:rPr>
          <w:t>93</w:t>
        </w:r>
        <w:r w:rsidR="00637B60">
          <w:rPr>
            <w:noProof/>
            <w:webHidden/>
          </w:rPr>
          <w:fldChar w:fldCharType="end"/>
        </w:r>
      </w:hyperlink>
    </w:p>
    <w:p w14:paraId="53E2E62A" w14:textId="7EF9E3A0"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4" w:history="1">
        <w:r w:rsidR="00637B60" w:rsidRPr="00666259">
          <w:rPr>
            <w:rStyle w:val="Hyperlink"/>
            <w:noProof/>
          </w:rPr>
          <w:t>Figure 6.1 : Program logic model</w:t>
        </w:r>
        <w:r w:rsidR="00637B60">
          <w:rPr>
            <w:noProof/>
            <w:webHidden/>
          </w:rPr>
          <w:tab/>
        </w:r>
        <w:r w:rsidR="00637B60">
          <w:rPr>
            <w:noProof/>
            <w:webHidden/>
          </w:rPr>
          <w:fldChar w:fldCharType="begin"/>
        </w:r>
        <w:r w:rsidR="00637B60">
          <w:rPr>
            <w:noProof/>
            <w:webHidden/>
          </w:rPr>
          <w:instrText xml:space="preserve"> PAGEREF _Toc170228794 \h </w:instrText>
        </w:r>
        <w:r w:rsidR="00637B60">
          <w:rPr>
            <w:noProof/>
            <w:webHidden/>
          </w:rPr>
        </w:r>
        <w:r w:rsidR="00637B60">
          <w:rPr>
            <w:noProof/>
            <w:webHidden/>
          </w:rPr>
          <w:fldChar w:fldCharType="separate"/>
        </w:r>
        <w:r w:rsidR="00D300D0">
          <w:rPr>
            <w:noProof/>
            <w:webHidden/>
          </w:rPr>
          <w:t>99</w:t>
        </w:r>
        <w:r w:rsidR="00637B60">
          <w:rPr>
            <w:noProof/>
            <w:webHidden/>
          </w:rPr>
          <w:fldChar w:fldCharType="end"/>
        </w:r>
      </w:hyperlink>
    </w:p>
    <w:p w14:paraId="42A4AA1B" w14:textId="7D5518F4"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5" w:history="1">
        <w:r w:rsidR="00637B60" w:rsidRPr="00666259">
          <w:rPr>
            <w:rStyle w:val="Hyperlink"/>
            <w:noProof/>
          </w:rPr>
          <w:t>Figure 7.1 : An adapted version of the regulatory pyramid</w:t>
        </w:r>
        <w:r w:rsidR="00637B60">
          <w:rPr>
            <w:noProof/>
            <w:webHidden/>
          </w:rPr>
          <w:tab/>
        </w:r>
        <w:r w:rsidR="00637B60">
          <w:rPr>
            <w:noProof/>
            <w:webHidden/>
          </w:rPr>
          <w:fldChar w:fldCharType="begin"/>
        </w:r>
        <w:r w:rsidR="00637B60">
          <w:rPr>
            <w:noProof/>
            <w:webHidden/>
          </w:rPr>
          <w:instrText xml:space="preserve"> PAGEREF _Toc170228795 \h </w:instrText>
        </w:r>
        <w:r w:rsidR="00637B60">
          <w:rPr>
            <w:noProof/>
            <w:webHidden/>
          </w:rPr>
        </w:r>
        <w:r w:rsidR="00637B60">
          <w:rPr>
            <w:noProof/>
            <w:webHidden/>
          </w:rPr>
          <w:fldChar w:fldCharType="separate"/>
        </w:r>
        <w:r w:rsidR="00D300D0">
          <w:rPr>
            <w:noProof/>
            <w:webHidden/>
          </w:rPr>
          <w:t>117</w:t>
        </w:r>
        <w:r w:rsidR="00637B60">
          <w:rPr>
            <w:noProof/>
            <w:webHidden/>
          </w:rPr>
          <w:fldChar w:fldCharType="end"/>
        </w:r>
      </w:hyperlink>
    </w:p>
    <w:p w14:paraId="421EA746" w14:textId="790B0451"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6" w:history="1">
        <w:r w:rsidR="00637B60" w:rsidRPr="00666259">
          <w:rPr>
            <w:rStyle w:val="Hyperlink"/>
            <w:noProof/>
          </w:rPr>
          <w:t>Figure 9.1 : Decision framework for individual services</w:t>
        </w:r>
        <w:r w:rsidR="00637B60">
          <w:rPr>
            <w:noProof/>
            <w:webHidden/>
          </w:rPr>
          <w:tab/>
        </w:r>
        <w:r w:rsidR="00637B60">
          <w:rPr>
            <w:noProof/>
            <w:webHidden/>
          </w:rPr>
          <w:fldChar w:fldCharType="begin"/>
        </w:r>
        <w:r w:rsidR="00637B60">
          <w:rPr>
            <w:noProof/>
            <w:webHidden/>
          </w:rPr>
          <w:instrText xml:space="preserve"> PAGEREF _Toc170228796 \h </w:instrText>
        </w:r>
        <w:r w:rsidR="00637B60">
          <w:rPr>
            <w:noProof/>
            <w:webHidden/>
          </w:rPr>
        </w:r>
        <w:r w:rsidR="00637B60">
          <w:rPr>
            <w:noProof/>
            <w:webHidden/>
          </w:rPr>
          <w:fldChar w:fldCharType="separate"/>
        </w:r>
        <w:r w:rsidR="00D300D0">
          <w:rPr>
            <w:noProof/>
            <w:webHidden/>
          </w:rPr>
          <w:t>166</w:t>
        </w:r>
        <w:r w:rsidR="00637B60">
          <w:rPr>
            <w:noProof/>
            <w:webHidden/>
          </w:rPr>
          <w:fldChar w:fldCharType="end"/>
        </w:r>
      </w:hyperlink>
    </w:p>
    <w:p w14:paraId="2D03FDA0" w14:textId="524A18E4"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7" w:history="1">
        <w:r w:rsidR="00637B60" w:rsidRPr="00666259">
          <w:rPr>
            <w:rStyle w:val="Hyperlink"/>
            <w:noProof/>
          </w:rPr>
          <w:t>Figure 10.1 : Roadmap for recommendations</w:t>
        </w:r>
        <w:r w:rsidR="00637B60">
          <w:rPr>
            <w:noProof/>
            <w:webHidden/>
          </w:rPr>
          <w:tab/>
        </w:r>
        <w:r w:rsidR="00637B60">
          <w:rPr>
            <w:noProof/>
            <w:webHidden/>
          </w:rPr>
          <w:fldChar w:fldCharType="begin"/>
        </w:r>
        <w:r w:rsidR="00637B60">
          <w:rPr>
            <w:noProof/>
            <w:webHidden/>
          </w:rPr>
          <w:instrText xml:space="preserve"> PAGEREF _Toc170228797 \h </w:instrText>
        </w:r>
        <w:r w:rsidR="00637B60">
          <w:rPr>
            <w:noProof/>
            <w:webHidden/>
          </w:rPr>
        </w:r>
        <w:r w:rsidR="00637B60">
          <w:rPr>
            <w:noProof/>
            <w:webHidden/>
          </w:rPr>
          <w:fldChar w:fldCharType="separate"/>
        </w:r>
        <w:r w:rsidR="00D300D0">
          <w:rPr>
            <w:noProof/>
            <w:webHidden/>
          </w:rPr>
          <w:t>181</w:t>
        </w:r>
        <w:r w:rsidR="00637B60">
          <w:rPr>
            <w:noProof/>
            <w:webHidden/>
          </w:rPr>
          <w:fldChar w:fldCharType="end"/>
        </w:r>
      </w:hyperlink>
    </w:p>
    <w:p w14:paraId="0D25AAC3" w14:textId="30E53932" w:rsidR="00637B60" w:rsidRDefault="00000000" w:rsidP="003E26D1">
      <w:pPr>
        <w:pStyle w:val="TOC7"/>
        <w:ind w:left="1021" w:hanging="1021"/>
        <w:rPr>
          <w:rFonts w:asciiTheme="minorHAnsi" w:eastAsiaTheme="minorEastAsia" w:hAnsiTheme="minorHAnsi"/>
          <w:noProof/>
          <w:kern w:val="2"/>
          <w:sz w:val="22"/>
          <w:szCs w:val="22"/>
          <w:lang w:eastAsia="en-AU"/>
          <w14:ligatures w14:val="standardContextual"/>
        </w:rPr>
      </w:pPr>
      <w:hyperlink w:anchor="_Toc170228798" w:history="1">
        <w:r w:rsidR="00637B60" w:rsidRPr="00666259">
          <w:rPr>
            <w:rStyle w:val="Hyperlink"/>
            <w:noProof/>
          </w:rPr>
          <w:t>Figure H.1 : Approach to Multi-Criteria Analysis to assess service compliance with Minister’s Rules</w:t>
        </w:r>
        <w:r w:rsidR="00637B60">
          <w:rPr>
            <w:noProof/>
            <w:webHidden/>
          </w:rPr>
          <w:tab/>
        </w:r>
        <w:r w:rsidR="00637B60">
          <w:rPr>
            <w:noProof/>
            <w:webHidden/>
          </w:rPr>
          <w:fldChar w:fldCharType="begin"/>
        </w:r>
        <w:r w:rsidR="00637B60">
          <w:rPr>
            <w:noProof/>
            <w:webHidden/>
          </w:rPr>
          <w:instrText xml:space="preserve"> PAGEREF _Toc170228798 \h </w:instrText>
        </w:r>
        <w:r w:rsidR="00637B60">
          <w:rPr>
            <w:noProof/>
            <w:webHidden/>
          </w:rPr>
        </w:r>
        <w:r w:rsidR="00637B60">
          <w:rPr>
            <w:noProof/>
            <w:webHidden/>
          </w:rPr>
          <w:fldChar w:fldCharType="separate"/>
        </w:r>
        <w:r w:rsidR="00D300D0">
          <w:rPr>
            <w:noProof/>
            <w:webHidden/>
          </w:rPr>
          <w:t>246</w:t>
        </w:r>
        <w:r w:rsidR="00637B60">
          <w:rPr>
            <w:noProof/>
            <w:webHidden/>
          </w:rPr>
          <w:fldChar w:fldCharType="end"/>
        </w:r>
      </w:hyperlink>
    </w:p>
    <w:p w14:paraId="2CC66168" w14:textId="7914A0D3" w:rsidR="00FC6122" w:rsidRPr="003549F9" w:rsidRDefault="00FC6122" w:rsidP="009F4F05">
      <w:pPr>
        <w:ind w:left="1077" w:hanging="1077"/>
      </w:pPr>
      <w:r w:rsidRPr="003549F9">
        <w:fldChar w:fldCharType="end"/>
      </w:r>
    </w:p>
    <w:p w14:paraId="5193922B" w14:textId="77777777" w:rsidR="00FC6122" w:rsidRPr="003549F9" w:rsidRDefault="00FC6122" w:rsidP="00FC6122"/>
    <w:bookmarkEnd w:id="6"/>
    <w:p w14:paraId="7BBE3B20" w14:textId="77777777" w:rsidR="00F9113D" w:rsidRPr="003549F9" w:rsidRDefault="00F9113D" w:rsidP="00485C27"/>
    <w:p w14:paraId="4BEF3C40" w14:textId="77777777" w:rsidR="00F9113D" w:rsidRPr="003549F9" w:rsidRDefault="00F9113D" w:rsidP="00485C27">
      <w:pPr>
        <w:sectPr w:rsidR="00F9113D" w:rsidRPr="003549F9" w:rsidSect="00FB45CD">
          <w:headerReference w:type="even" r:id="rId24"/>
          <w:headerReference w:type="default" r:id="rId25"/>
          <w:footerReference w:type="default" r:id="rId26"/>
          <w:headerReference w:type="first" r:id="rId27"/>
          <w:pgSz w:w="11906" w:h="16838" w:code="9"/>
          <w:pgMar w:top="1440" w:right="1440" w:bottom="1440" w:left="1440" w:header="680" w:footer="425" w:gutter="0"/>
          <w:pgNumType w:fmt="lowerRoman"/>
          <w:cols w:space="284"/>
          <w:noEndnote/>
          <w:docGrid w:linePitch="360"/>
        </w:sectPr>
      </w:pPr>
    </w:p>
    <w:p w14:paraId="6660ED59" w14:textId="77777777" w:rsidR="00FD11E0" w:rsidRDefault="00FD11E0" w:rsidP="00FD11E0">
      <w:pPr>
        <w:pStyle w:val="Heading1un-numbered"/>
      </w:pPr>
      <w:bookmarkStart w:id="7" w:name="_Toc147769453"/>
      <w:bookmarkStart w:id="8" w:name="_Toc158993734"/>
      <w:bookmarkStart w:id="9" w:name="_Toc170227385"/>
      <w:r>
        <w:lastRenderedPageBreak/>
        <w:t>Acronyms</w:t>
      </w:r>
      <w:bookmarkEnd w:id="7"/>
      <w:bookmarkEnd w:id="8"/>
      <w:bookmarkEnd w:id="9"/>
    </w:p>
    <w:tbl>
      <w:tblPr>
        <w:tblStyle w:val="Deloittetable"/>
        <w:tblW w:w="5000" w:type="pct"/>
        <w:tblLook w:val="04A0" w:firstRow="1" w:lastRow="0" w:firstColumn="1" w:lastColumn="0" w:noHBand="0" w:noVBand="1"/>
      </w:tblPr>
      <w:tblGrid>
        <w:gridCol w:w="2771"/>
        <w:gridCol w:w="6255"/>
      </w:tblGrid>
      <w:tr w:rsidR="00FD11E0" w:rsidRPr="004B4D01" w14:paraId="7AA5FEAE" w14:textId="77777777" w:rsidTr="00A06ED0">
        <w:trPr>
          <w:cnfStyle w:val="100000000000" w:firstRow="1" w:lastRow="0" w:firstColumn="0" w:lastColumn="0" w:oddVBand="0" w:evenVBand="0" w:oddHBand="0" w:evenHBand="0" w:firstRowFirstColumn="0" w:firstRowLastColumn="0" w:lastRowFirstColumn="0" w:lastRowLastColumn="0"/>
        </w:trPr>
        <w:tc>
          <w:tcPr>
            <w:tcW w:w="1535" w:type="pct"/>
          </w:tcPr>
          <w:p w14:paraId="2F7E5D8E" w14:textId="77777777" w:rsidR="00FD11E0" w:rsidRPr="000C695E" w:rsidRDefault="00FD11E0" w:rsidP="00A06ED0">
            <w:pPr>
              <w:pStyle w:val="TabletextLeft"/>
              <w:rPr>
                <w:b/>
                <w:bCs/>
              </w:rPr>
            </w:pPr>
            <w:r w:rsidRPr="000C695E">
              <w:rPr>
                <w:b/>
                <w:bCs/>
              </w:rPr>
              <w:t>Acronym</w:t>
            </w:r>
          </w:p>
        </w:tc>
        <w:tc>
          <w:tcPr>
            <w:tcW w:w="3465" w:type="pct"/>
          </w:tcPr>
          <w:p w14:paraId="1DD7CB7B" w14:textId="77777777" w:rsidR="00FD11E0" w:rsidRPr="000C695E" w:rsidRDefault="00FD11E0" w:rsidP="00A06ED0">
            <w:pPr>
              <w:pStyle w:val="TabletextLeft"/>
              <w:rPr>
                <w:b/>
                <w:bCs/>
              </w:rPr>
            </w:pPr>
            <w:r w:rsidRPr="000C695E">
              <w:rPr>
                <w:b/>
                <w:bCs/>
              </w:rPr>
              <w:t>Full name</w:t>
            </w:r>
          </w:p>
        </w:tc>
      </w:tr>
      <w:tr w:rsidR="00A31B6E" w:rsidRPr="004B4D01" w14:paraId="4DA3B644" w14:textId="77777777" w:rsidTr="00A06ED0">
        <w:tc>
          <w:tcPr>
            <w:tcW w:w="1535" w:type="pct"/>
          </w:tcPr>
          <w:p w14:paraId="38481449" w14:textId="69BE347B" w:rsidR="00A31B6E" w:rsidRDefault="00A31B6E" w:rsidP="00A06ED0">
            <w:pPr>
              <w:pStyle w:val="TabletextLeft"/>
            </w:pPr>
            <w:r w:rsidRPr="00A31B6E">
              <w:t>A&amp;R</w:t>
            </w:r>
          </w:p>
        </w:tc>
        <w:tc>
          <w:tcPr>
            <w:tcW w:w="3465" w:type="pct"/>
          </w:tcPr>
          <w:p w14:paraId="403F0B5D" w14:textId="49129A81" w:rsidR="00A31B6E" w:rsidRPr="00C77D5D" w:rsidRDefault="00A31B6E" w:rsidP="00A06ED0">
            <w:pPr>
              <w:pStyle w:val="TabletextLeft"/>
            </w:pPr>
            <w:r>
              <w:t>A</w:t>
            </w:r>
            <w:r w:rsidRPr="00A31B6E">
              <w:t xml:space="preserve">ssessment and rating </w:t>
            </w:r>
          </w:p>
        </w:tc>
      </w:tr>
      <w:tr w:rsidR="00FD11E0" w:rsidRPr="004B4D01" w14:paraId="6791194A" w14:textId="77777777" w:rsidTr="00A06ED0">
        <w:tc>
          <w:tcPr>
            <w:tcW w:w="1535" w:type="pct"/>
          </w:tcPr>
          <w:p w14:paraId="4D28409D" w14:textId="77777777" w:rsidR="00FD11E0" w:rsidRPr="005D550E" w:rsidRDefault="00FD11E0" w:rsidP="00A06ED0">
            <w:pPr>
              <w:pStyle w:val="TabletextLeft"/>
            </w:pPr>
            <w:r>
              <w:t>ABS</w:t>
            </w:r>
          </w:p>
        </w:tc>
        <w:tc>
          <w:tcPr>
            <w:tcW w:w="3465" w:type="pct"/>
          </w:tcPr>
          <w:p w14:paraId="1C4393FD" w14:textId="77777777" w:rsidR="00FD11E0" w:rsidRPr="005D550E" w:rsidRDefault="00FD11E0" w:rsidP="00A06ED0">
            <w:pPr>
              <w:pStyle w:val="TabletextLeft"/>
            </w:pPr>
            <w:r w:rsidRPr="00C77D5D">
              <w:t>Australian Bureau of Statistics</w:t>
            </w:r>
          </w:p>
        </w:tc>
      </w:tr>
      <w:tr w:rsidR="0006651C" w:rsidRPr="004B4D01" w14:paraId="1540D00F" w14:textId="77777777" w:rsidTr="00A06ED0">
        <w:tc>
          <w:tcPr>
            <w:tcW w:w="1535" w:type="pct"/>
          </w:tcPr>
          <w:p w14:paraId="7371B052" w14:textId="5F557AE4" w:rsidR="0006651C" w:rsidRDefault="0006651C" w:rsidP="00A06ED0">
            <w:pPr>
              <w:pStyle w:val="TabletextLeft"/>
            </w:pPr>
            <w:r>
              <w:t>ACCC</w:t>
            </w:r>
          </w:p>
        </w:tc>
        <w:tc>
          <w:tcPr>
            <w:tcW w:w="3465" w:type="pct"/>
          </w:tcPr>
          <w:p w14:paraId="6B862B87" w14:textId="546C2749" w:rsidR="0006651C" w:rsidRPr="00C77D5D" w:rsidRDefault="000C3B71" w:rsidP="00A06ED0">
            <w:pPr>
              <w:pStyle w:val="TabletextLeft"/>
            </w:pPr>
            <w:r>
              <w:t>Australian Competition and Consumer Commission</w:t>
            </w:r>
          </w:p>
        </w:tc>
      </w:tr>
      <w:tr w:rsidR="008F6D4B" w:rsidRPr="004B4D01" w14:paraId="1B13316E" w14:textId="77777777" w:rsidTr="00A06ED0">
        <w:tc>
          <w:tcPr>
            <w:tcW w:w="1535" w:type="pct"/>
          </w:tcPr>
          <w:p w14:paraId="02751A43" w14:textId="6A9E8062" w:rsidR="008F6D4B" w:rsidRDefault="008F6D4B" w:rsidP="00A06ED0">
            <w:pPr>
              <w:pStyle w:val="TabletextLeft"/>
            </w:pPr>
            <w:r>
              <w:t>ACCO</w:t>
            </w:r>
          </w:p>
        </w:tc>
        <w:tc>
          <w:tcPr>
            <w:tcW w:w="3465" w:type="pct"/>
          </w:tcPr>
          <w:p w14:paraId="617D32D0" w14:textId="4454CF80" w:rsidR="008F6D4B" w:rsidRPr="00C77D5D" w:rsidRDefault="00ED0A2C" w:rsidP="00A06ED0">
            <w:pPr>
              <w:pStyle w:val="TabletextLeft"/>
            </w:pPr>
            <w:r>
              <w:t xml:space="preserve">Aboriginal </w:t>
            </w:r>
            <w:r w:rsidR="00010EE5">
              <w:t xml:space="preserve">or Torres Strait Islander </w:t>
            </w:r>
            <w:r>
              <w:t xml:space="preserve">Community Controlled </w:t>
            </w:r>
            <w:r w:rsidR="00010EE5">
              <w:t>Organisation</w:t>
            </w:r>
            <w:r>
              <w:t xml:space="preserve"> </w:t>
            </w:r>
          </w:p>
        </w:tc>
      </w:tr>
      <w:tr w:rsidR="00FD11E0" w:rsidRPr="004B4D01" w14:paraId="0134121C" w14:textId="77777777" w:rsidTr="00A06ED0">
        <w:tc>
          <w:tcPr>
            <w:tcW w:w="1535" w:type="pct"/>
          </w:tcPr>
          <w:p w14:paraId="4484178E" w14:textId="77777777" w:rsidR="00FD11E0" w:rsidRPr="005D550E" w:rsidRDefault="00FD11E0" w:rsidP="00A06ED0">
            <w:pPr>
              <w:pStyle w:val="TabletextLeft"/>
            </w:pPr>
            <w:r>
              <w:t>ACCS</w:t>
            </w:r>
          </w:p>
        </w:tc>
        <w:tc>
          <w:tcPr>
            <w:tcW w:w="3465" w:type="pct"/>
          </w:tcPr>
          <w:p w14:paraId="1A887D1A" w14:textId="77777777" w:rsidR="00FD11E0" w:rsidRPr="005D550E" w:rsidRDefault="00FD11E0" w:rsidP="00A06ED0">
            <w:pPr>
              <w:pStyle w:val="TabletextLeft"/>
            </w:pPr>
            <w:r>
              <w:t>Additional Child Care Subsidy</w:t>
            </w:r>
          </w:p>
        </w:tc>
      </w:tr>
      <w:tr w:rsidR="00FD11E0" w:rsidRPr="004B4D01" w14:paraId="6B995C78" w14:textId="77777777" w:rsidTr="00A06ED0">
        <w:tc>
          <w:tcPr>
            <w:tcW w:w="1535" w:type="pct"/>
          </w:tcPr>
          <w:p w14:paraId="45A77079" w14:textId="77777777" w:rsidR="00FD11E0" w:rsidRDefault="00FD11E0" w:rsidP="00A06ED0">
            <w:pPr>
              <w:pStyle w:val="TabletextLeft"/>
            </w:pPr>
            <w:r w:rsidRPr="00E277FC">
              <w:t>ACECQA</w:t>
            </w:r>
          </w:p>
        </w:tc>
        <w:tc>
          <w:tcPr>
            <w:tcW w:w="3465" w:type="pct"/>
          </w:tcPr>
          <w:p w14:paraId="4392A38E" w14:textId="77777777" w:rsidR="00FD11E0" w:rsidRDefault="00FD11E0" w:rsidP="00A06ED0">
            <w:pPr>
              <w:pStyle w:val="TabletextLeft"/>
            </w:pPr>
            <w:r>
              <w:t>Australian Children’s Education and Care Quality Authority</w:t>
            </w:r>
          </w:p>
        </w:tc>
      </w:tr>
      <w:tr w:rsidR="00FD11E0" w:rsidRPr="004B4D01" w14:paraId="6D3108C0" w14:textId="77777777" w:rsidTr="00A06ED0">
        <w:tc>
          <w:tcPr>
            <w:tcW w:w="1535" w:type="pct"/>
          </w:tcPr>
          <w:p w14:paraId="757D5848" w14:textId="77777777" w:rsidR="00FD11E0" w:rsidRPr="00E277FC" w:rsidRDefault="00FD11E0" w:rsidP="00A06ED0">
            <w:pPr>
              <w:pStyle w:val="TabletextLeft"/>
            </w:pPr>
            <w:r>
              <w:t>AEDC</w:t>
            </w:r>
          </w:p>
        </w:tc>
        <w:tc>
          <w:tcPr>
            <w:tcW w:w="3465" w:type="pct"/>
          </w:tcPr>
          <w:p w14:paraId="64B0C98D" w14:textId="77777777" w:rsidR="00FD11E0" w:rsidRDefault="00FD11E0" w:rsidP="00A06ED0">
            <w:pPr>
              <w:pStyle w:val="TabletextLeft"/>
            </w:pPr>
            <w:r>
              <w:t>Australian Early Development Census</w:t>
            </w:r>
          </w:p>
        </w:tc>
      </w:tr>
      <w:tr w:rsidR="00425DD3" w:rsidRPr="004B4D01" w14:paraId="393431D0" w14:textId="77777777" w:rsidTr="00A06ED0">
        <w:tc>
          <w:tcPr>
            <w:tcW w:w="1535" w:type="pct"/>
          </w:tcPr>
          <w:p w14:paraId="524A0728" w14:textId="2089DB36" w:rsidR="00425DD3" w:rsidRDefault="00425DD3" w:rsidP="00A06ED0">
            <w:pPr>
              <w:pStyle w:val="TabletextLeft"/>
            </w:pPr>
            <w:r w:rsidRPr="00425DD3">
              <w:t>AHSUNC</w:t>
            </w:r>
          </w:p>
        </w:tc>
        <w:tc>
          <w:tcPr>
            <w:tcW w:w="3465" w:type="pct"/>
          </w:tcPr>
          <w:p w14:paraId="7D0162B2" w14:textId="5AEFFFBE" w:rsidR="00425DD3" w:rsidRDefault="00425DD3" w:rsidP="00A06ED0">
            <w:pPr>
              <w:pStyle w:val="TabletextLeft"/>
            </w:pPr>
            <w:r w:rsidRPr="00425DD3">
              <w:t xml:space="preserve">Aboriginal Head Start in </w:t>
            </w:r>
            <w:r>
              <w:t>U</w:t>
            </w:r>
            <w:r w:rsidRPr="00425DD3">
              <w:t xml:space="preserve">rban and Northern Communities </w:t>
            </w:r>
          </w:p>
        </w:tc>
      </w:tr>
      <w:tr w:rsidR="00FD11E0" w:rsidRPr="004B4D01" w14:paraId="0BF8D32E" w14:textId="77777777" w:rsidTr="00A06ED0">
        <w:tc>
          <w:tcPr>
            <w:tcW w:w="1535" w:type="pct"/>
          </w:tcPr>
          <w:p w14:paraId="0D29A87C" w14:textId="77777777" w:rsidR="00FD11E0" w:rsidRDefault="00FD11E0" w:rsidP="00A06ED0">
            <w:pPr>
              <w:pStyle w:val="TabletextLeft"/>
            </w:pPr>
            <w:r w:rsidRPr="00656B0A">
              <w:t>AIATSIS</w:t>
            </w:r>
          </w:p>
        </w:tc>
        <w:tc>
          <w:tcPr>
            <w:tcW w:w="3465" w:type="pct"/>
          </w:tcPr>
          <w:p w14:paraId="123164E8" w14:textId="77777777" w:rsidR="00FD11E0" w:rsidRDefault="00FD11E0" w:rsidP="00A06ED0">
            <w:pPr>
              <w:pStyle w:val="TabletextLeft"/>
            </w:pPr>
            <w:r w:rsidRPr="00656B0A">
              <w:t xml:space="preserve">Australian Institute of Aboriginal and Torres Strait Islander Studies </w:t>
            </w:r>
          </w:p>
        </w:tc>
      </w:tr>
      <w:tr w:rsidR="008E2823" w:rsidRPr="004B4D01" w14:paraId="5A96B657" w14:textId="77777777" w:rsidTr="00A06ED0">
        <w:tc>
          <w:tcPr>
            <w:tcW w:w="1535" w:type="pct"/>
          </w:tcPr>
          <w:p w14:paraId="5A77692C" w14:textId="31F2B6E4" w:rsidR="008E2823" w:rsidRDefault="008E2823" w:rsidP="00A06ED0">
            <w:pPr>
              <w:pStyle w:val="TabletextLeft"/>
            </w:pPr>
            <w:r>
              <w:t>AOD</w:t>
            </w:r>
          </w:p>
        </w:tc>
        <w:tc>
          <w:tcPr>
            <w:tcW w:w="3465" w:type="pct"/>
          </w:tcPr>
          <w:p w14:paraId="320A922E" w14:textId="490D12FD" w:rsidR="008E2823" w:rsidRDefault="008E2823" w:rsidP="00A06ED0">
            <w:pPr>
              <w:pStyle w:val="TabletextLeft"/>
            </w:pPr>
            <w:r>
              <w:t>Alcohol and Other</w:t>
            </w:r>
            <w:r w:rsidR="00842AD0">
              <w:t xml:space="preserve"> Drugs</w:t>
            </w:r>
          </w:p>
        </w:tc>
      </w:tr>
      <w:tr w:rsidR="00FD11E0" w:rsidRPr="004B4D01" w14:paraId="40A1CA77" w14:textId="77777777" w:rsidTr="00A06ED0">
        <w:tc>
          <w:tcPr>
            <w:tcW w:w="1535" w:type="pct"/>
          </w:tcPr>
          <w:p w14:paraId="63CA3658" w14:textId="77777777" w:rsidR="00FD11E0" w:rsidRDefault="00FD11E0" w:rsidP="00A06ED0">
            <w:pPr>
              <w:pStyle w:val="TabletextLeft"/>
            </w:pPr>
            <w:r>
              <w:t>BBF</w:t>
            </w:r>
          </w:p>
        </w:tc>
        <w:tc>
          <w:tcPr>
            <w:tcW w:w="3465" w:type="pct"/>
          </w:tcPr>
          <w:p w14:paraId="5F93B55E" w14:textId="77777777" w:rsidR="00FD11E0" w:rsidRPr="005D550E" w:rsidRDefault="00FD11E0" w:rsidP="00A06ED0">
            <w:pPr>
              <w:pStyle w:val="TabletextLeft"/>
            </w:pPr>
            <w:r>
              <w:t>Budget Based Funded</w:t>
            </w:r>
          </w:p>
        </w:tc>
      </w:tr>
      <w:tr w:rsidR="00FD11E0" w:rsidRPr="004B4D01" w14:paraId="097CDD7C" w14:textId="77777777" w:rsidTr="00A06ED0">
        <w:tc>
          <w:tcPr>
            <w:tcW w:w="1535" w:type="pct"/>
          </w:tcPr>
          <w:p w14:paraId="19E0FF9D" w14:textId="77777777" w:rsidR="00FD11E0" w:rsidRDefault="00FD11E0" w:rsidP="00A06ED0">
            <w:pPr>
              <w:pStyle w:val="TabletextLeft"/>
            </w:pPr>
            <w:r>
              <w:t>CBDC</w:t>
            </w:r>
          </w:p>
        </w:tc>
        <w:tc>
          <w:tcPr>
            <w:tcW w:w="3465" w:type="pct"/>
          </w:tcPr>
          <w:p w14:paraId="67BAEF57" w14:textId="77777777" w:rsidR="00FD11E0" w:rsidRDefault="00FD11E0" w:rsidP="00A06ED0">
            <w:pPr>
              <w:pStyle w:val="TabletextLeft"/>
            </w:pPr>
            <w:r>
              <w:t>Centre Based Day Care</w:t>
            </w:r>
          </w:p>
        </w:tc>
      </w:tr>
      <w:tr w:rsidR="00FD11E0" w:rsidRPr="004B4D01" w14:paraId="626B1577" w14:textId="77777777" w:rsidTr="00A06ED0">
        <w:tc>
          <w:tcPr>
            <w:tcW w:w="1535" w:type="pct"/>
          </w:tcPr>
          <w:p w14:paraId="1649A1B6" w14:textId="77777777" w:rsidR="00FD11E0" w:rsidRDefault="00FD11E0" w:rsidP="00A06ED0">
            <w:pPr>
              <w:pStyle w:val="TabletextLeft"/>
            </w:pPr>
            <w:r>
              <w:t>CCCF</w:t>
            </w:r>
          </w:p>
        </w:tc>
        <w:tc>
          <w:tcPr>
            <w:tcW w:w="3465" w:type="pct"/>
          </w:tcPr>
          <w:p w14:paraId="21CD776B" w14:textId="77777777" w:rsidR="00FD11E0" w:rsidRDefault="00FD11E0" w:rsidP="00A06ED0">
            <w:pPr>
              <w:pStyle w:val="TabletextLeft"/>
            </w:pPr>
            <w:r>
              <w:t>Community Child Care Fund</w:t>
            </w:r>
          </w:p>
        </w:tc>
      </w:tr>
      <w:tr w:rsidR="00FD11E0" w:rsidRPr="004B4D01" w14:paraId="0BB289DB" w14:textId="77777777" w:rsidTr="00A06ED0">
        <w:tc>
          <w:tcPr>
            <w:tcW w:w="1535" w:type="pct"/>
          </w:tcPr>
          <w:p w14:paraId="41236F04" w14:textId="77777777" w:rsidR="00FD11E0" w:rsidRPr="005D550E" w:rsidRDefault="00FD11E0" w:rsidP="00A06ED0">
            <w:pPr>
              <w:pStyle w:val="TabletextLeft"/>
            </w:pPr>
            <w:r>
              <w:t>CCCFR</w:t>
            </w:r>
          </w:p>
        </w:tc>
        <w:tc>
          <w:tcPr>
            <w:tcW w:w="3465" w:type="pct"/>
          </w:tcPr>
          <w:p w14:paraId="0766BECE" w14:textId="77777777" w:rsidR="00FD11E0" w:rsidRPr="005D550E" w:rsidRDefault="00FD11E0" w:rsidP="00A06ED0">
            <w:pPr>
              <w:pStyle w:val="TabletextLeft"/>
            </w:pPr>
            <w:r>
              <w:t xml:space="preserve">Community Child Care Fund Restricted </w:t>
            </w:r>
          </w:p>
        </w:tc>
      </w:tr>
      <w:tr w:rsidR="00FD11E0" w:rsidRPr="004B4D01" w14:paraId="65103E07" w14:textId="77777777" w:rsidTr="00A06ED0">
        <w:tc>
          <w:tcPr>
            <w:tcW w:w="1535" w:type="pct"/>
          </w:tcPr>
          <w:p w14:paraId="5B5F3FB1" w14:textId="77777777" w:rsidR="00FD11E0" w:rsidRPr="005D550E" w:rsidRDefault="00FD11E0" w:rsidP="00A06ED0">
            <w:pPr>
              <w:pStyle w:val="TabletextLeft"/>
            </w:pPr>
            <w:r>
              <w:t>CCS</w:t>
            </w:r>
          </w:p>
        </w:tc>
        <w:tc>
          <w:tcPr>
            <w:tcW w:w="3465" w:type="pct"/>
          </w:tcPr>
          <w:p w14:paraId="701B5EC9" w14:textId="77777777" w:rsidR="00FD11E0" w:rsidRPr="005D550E" w:rsidRDefault="00FD11E0" w:rsidP="00A06ED0">
            <w:pPr>
              <w:pStyle w:val="TabletextLeft"/>
            </w:pPr>
            <w:r>
              <w:t>Child Care Subsidy</w:t>
            </w:r>
          </w:p>
        </w:tc>
      </w:tr>
      <w:tr w:rsidR="00A214CE" w:rsidRPr="004B4D01" w14:paraId="3042A65D" w14:textId="77777777" w:rsidTr="00A06ED0">
        <w:tc>
          <w:tcPr>
            <w:tcW w:w="1535" w:type="pct"/>
          </w:tcPr>
          <w:p w14:paraId="4257B3C7" w14:textId="04BA397E" w:rsidR="00A214CE" w:rsidRDefault="00A214CE" w:rsidP="00A06ED0">
            <w:pPr>
              <w:pStyle w:val="TabletextLeft"/>
            </w:pPr>
            <w:r>
              <w:t>CCSS</w:t>
            </w:r>
          </w:p>
        </w:tc>
        <w:tc>
          <w:tcPr>
            <w:tcW w:w="3465" w:type="pct"/>
          </w:tcPr>
          <w:p w14:paraId="3998A6C5" w14:textId="478B236D" w:rsidR="00A214CE" w:rsidRDefault="00A214CE" w:rsidP="00A06ED0">
            <w:pPr>
              <w:pStyle w:val="TabletextLeft"/>
            </w:pPr>
            <w:r>
              <w:t>Child Care Subsidy System</w:t>
            </w:r>
          </w:p>
        </w:tc>
      </w:tr>
      <w:tr w:rsidR="00C83F64" w:rsidRPr="004B4D01" w14:paraId="6868DDC2" w14:textId="77777777" w:rsidTr="00A06ED0">
        <w:tc>
          <w:tcPr>
            <w:tcW w:w="1535" w:type="pct"/>
          </w:tcPr>
          <w:p w14:paraId="0F1D7A40" w14:textId="2BC38EDB" w:rsidR="00C83F64" w:rsidRDefault="00C83F64" w:rsidP="00A06ED0">
            <w:pPr>
              <w:pStyle w:val="TabletextLeft"/>
            </w:pPr>
            <w:r>
              <w:t>CLC</w:t>
            </w:r>
          </w:p>
        </w:tc>
        <w:tc>
          <w:tcPr>
            <w:tcW w:w="3465" w:type="pct"/>
          </w:tcPr>
          <w:p w14:paraId="78E79C6C" w14:textId="35EFEEBA" w:rsidR="00C83F64" w:rsidRPr="00AF63B1" w:rsidRDefault="00C83F64" w:rsidP="00A06ED0">
            <w:pPr>
              <w:pStyle w:val="TabletextLeft"/>
            </w:pPr>
            <w:r>
              <w:t xml:space="preserve">Central Land Council </w:t>
            </w:r>
          </w:p>
        </w:tc>
      </w:tr>
      <w:tr w:rsidR="00AF63B1" w:rsidRPr="004B4D01" w14:paraId="0A929B9F" w14:textId="77777777" w:rsidTr="00A06ED0">
        <w:tc>
          <w:tcPr>
            <w:tcW w:w="1535" w:type="pct"/>
          </w:tcPr>
          <w:p w14:paraId="371B5B26" w14:textId="2129A977" w:rsidR="00AF63B1" w:rsidRDefault="00AF63B1" w:rsidP="00A06ED0">
            <w:pPr>
              <w:pStyle w:val="TabletextLeft"/>
            </w:pPr>
            <w:r>
              <w:t>CLEA</w:t>
            </w:r>
          </w:p>
        </w:tc>
        <w:tc>
          <w:tcPr>
            <w:tcW w:w="3465" w:type="pct"/>
          </w:tcPr>
          <w:p w14:paraId="2F848943" w14:textId="2477A7F1" w:rsidR="00AF63B1" w:rsidRDefault="00AF63B1" w:rsidP="00A06ED0">
            <w:pPr>
              <w:pStyle w:val="TabletextLeft"/>
            </w:pPr>
            <w:r w:rsidRPr="00AF63B1">
              <w:t>Community Early Learning Australia</w:t>
            </w:r>
          </w:p>
        </w:tc>
      </w:tr>
      <w:tr w:rsidR="00356E39" w:rsidRPr="004B4D01" w14:paraId="39F8E92D" w14:textId="77777777" w:rsidTr="00A06ED0">
        <w:tc>
          <w:tcPr>
            <w:tcW w:w="1535" w:type="pct"/>
          </w:tcPr>
          <w:p w14:paraId="517C609A" w14:textId="541D8C45" w:rsidR="00356E39" w:rsidRDefault="00356E39" w:rsidP="00A06ED0">
            <w:pPr>
              <w:pStyle w:val="TabletextLeft"/>
            </w:pPr>
            <w:r>
              <w:t>CRN</w:t>
            </w:r>
          </w:p>
        </w:tc>
        <w:tc>
          <w:tcPr>
            <w:tcW w:w="3465" w:type="pct"/>
          </w:tcPr>
          <w:p w14:paraId="2B92CE16" w14:textId="44E77A3D" w:rsidR="00356E39" w:rsidRPr="00AF63B1" w:rsidRDefault="00356E39" w:rsidP="00A06ED0">
            <w:pPr>
              <w:pStyle w:val="TabletextLeft"/>
            </w:pPr>
            <w:r>
              <w:t>Customer Reference Number</w:t>
            </w:r>
          </w:p>
        </w:tc>
      </w:tr>
      <w:tr w:rsidR="00FD11E0" w:rsidRPr="004B4D01" w14:paraId="71367423" w14:textId="77777777" w:rsidTr="00A06ED0">
        <w:tc>
          <w:tcPr>
            <w:tcW w:w="1535" w:type="pct"/>
          </w:tcPr>
          <w:p w14:paraId="3B2879DF" w14:textId="77777777" w:rsidR="00FD11E0" w:rsidRDefault="00FD11E0" w:rsidP="00A06ED0">
            <w:pPr>
              <w:pStyle w:val="TabletextLeft"/>
            </w:pPr>
            <w:r>
              <w:t>DSS</w:t>
            </w:r>
          </w:p>
        </w:tc>
        <w:tc>
          <w:tcPr>
            <w:tcW w:w="3465" w:type="pct"/>
          </w:tcPr>
          <w:p w14:paraId="1AD825FF" w14:textId="77777777" w:rsidR="00FD11E0" w:rsidRDefault="00FD11E0" w:rsidP="00A06ED0">
            <w:pPr>
              <w:pStyle w:val="TabletextLeft"/>
            </w:pPr>
            <w:r>
              <w:t xml:space="preserve">Department of Social Services </w:t>
            </w:r>
          </w:p>
        </w:tc>
      </w:tr>
      <w:tr w:rsidR="00F5530B" w:rsidRPr="004B4D01" w14:paraId="6BF88134" w14:textId="77777777" w:rsidTr="00A06ED0">
        <w:tc>
          <w:tcPr>
            <w:tcW w:w="1535" w:type="pct"/>
          </w:tcPr>
          <w:p w14:paraId="68D0204E" w14:textId="3B922D78" w:rsidR="00F5530B" w:rsidRDefault="00F5530B" w:rsidP="00A06ED0">
            <w:pPr>
              <w:pStyle w:val="TabletextLeft"/>
            </w:pPr>
            <w:r>
              <w:t>ECCDPP</w:t>
            </w:r>
          </w:p>
        </w:tc>
        <w:tc>
          <w:tcPr>
            <w:tcW w:w="3465" w:type="pct"/>
          </w:tcPr>
          <w:p w14:paraId="137433EB" w14:textId="5E7F41E1" w:rsidR="00F5530B" w:rsidRPr="003F0342" w:rsidRDefault="00F5530B" w:rsidP="00A06ED0">
            <w:pPr>
              <w:pStyle w:val="TabletextLeft"/>
            </w:pPr>
            <w:r>
              <w:t>Early Childhood Care and Development Policy Partnership</w:t>
            </w:r>
          </w:p>
        </w:tc>
      </w:tr>
      <w:tr w:rsidR="00FD11E0" w:rsidRPr="004B4D01" w14:paraId="45E34EE4" w14:textId="77777777" w:rsidTr="00A06ED0">
        <w:tc>
          <w:tcPr>
            <w:tcW w:w="1535" w:type="pct"/>
          </w:tcPr>
          <w:p w14:paraId="51124E03" w14:textId="77777777" w:rsidR="00FD11E0" w:rsidRPr="005D550E" w:rsidRDefault="00FD11E0" w:rsidP="00A06ED0">
            <w:pPr>
              <w:pStyle w:val="TabletextLeft"/>
            </w:pPr>
            <w:r>
              <w:t>ECEC</w:t>
            </w:r>
          </w:p>
        </w:tc>
        <w:tc>
          <w:tcPr>
            <w:tcW w:w="3465" w:type="pct"/>
          </w:tcPr>
          <w:p w14:paraId="4647A720" w14:textId="77777777" w:rsidR="00FD11E0" w:rsidRPr="005D550E" w:rsidRDefault="00FD11E0" w:rsidP="00A06ED0">
            <w:pPr>
              <w:pStyle w:val="TabletextLeft"/>
            </w:pPr>
            <w:r w:rsidRPr="003F0342">
              <w:t>Early Childhood Education and Care</w:t>
            </w:r>
          </w:p>
        </w:tc>
      </w:tr>
      <w:tr w:rsidR="007D636A" w:rsidRPr="004B4D01" w14:paraId="3C8554F5" w14:textId="77777777" w:rsidTr="00A06ED0">
        <w:tc>
          <w:tcPr>
            <w:tcW w:w="1535" w:type="pct"/>
          </w:tcPr>
          <w:p w14:paraId="525C9C41" w14:textId="0EA4C296" w:rsidR="007D636A" w:rsidRDefault="007D636A" w:rsidP="00A06ED0">
            <w:pPr>
              <w:pStyle w:val="TabletextLeft"/>
            </w:pPr>
            <w:r>
              <w:t>ECEK</w:t>
            </w:r>
          </w:p>
        </w:tc>
        <w:tc>
          <w:tcPr>
            <w:tcW w:w="3465" w:type="pct"/>
          </w:tcPr>
          <w:p w14:paraId="45E3501D" w14:textId="6B0370FF" w:rsidR="007D636A" w:rsidRPr="003F0342" w:rsidRDefault="007D636A" w:rsidP="00A06ED0">
            <w:pPr>
              <w:pStyle w:val="TabletextLeft"/>
            </w:pPr>
            <w:r>
              <w:t xml:space="preserve">Empowered Communities East Kimberly </w:t>
            </w:r>
          </w:p>
        </w:tc>
      </w:tr>
      <w:tr w:rsidR="00FD11E0" w:rsidRPr="004B4D01" w14:paraId="6B4D31AA" w14:textId="77777777" w:rsidTr="00A06ED0">
        <w:tc>
          <w:tcPr>
            <w:tcW w:w="1535" w:type="pct"/>
          </w:tcPr>
          <w:p w14:paraId="3C56599E" w14:textId="77777777" w:rsidR="00FD11E0" w:rsidRDefault="00FD11E0" w:rsidP="00A06ED0">
            <w:pPr>
              <w:pStyle w:val="TabletextLeft"/>
            </w:pPr>
            <w:r w:rsidRPr="002F2F74">
              <w:t>ECECRG</w:t>
            </w:r>
          </w:p>
        </w:tc>
        <w:tc>
          <w:tcPr>
            <w:tcW w:w="3465" w:type="pct"/>
          </w:tcPr>
          <w:p w14:paraId="57B8E59A" w14:textId="77777777" w:rsidR="00FD11E0" w:rsidRPr="003F0342" w:rsidRDefault="00FD11E0" w:rsidP="00A06ED0">
            <w:pPr>
              <w:pStyle w:val="TabletextLeft"/>
            </w:pPr>
            <w:r w:rsidRPr="002F2F74">
              <w:t>Early Childhood Education and Care Reference Group</w:t>
            </w:r>
          </w:p>
        </w:tc>
      </w:tr>
      <w:tr w:rsidR="00FD11E0" w:rsidRPr="004B4D01" w14:paraId="398B905D" w14:textId="77777777" w:rsidTr="00A06ED0">
        <w:tc>
          <w:tcPr>
            <w:tcW w:w="1535" w:type="pct"/>
          </w:tcPr>
          <w:p w14:paraId="0B77361B" w14:textId="77777777" w:rsidR="00FD11E0" w:rsidRDefault="00FD11E0" w:rsidP="00A06ED0">
            <w:pPr>
              <w:pStyle w:val="TabletextLeft"/>
            </w:pPr>
            <w:r>
              <w:t>ECPG</w:t>
            </w:r>
          </w:p>
        </w:tc>
        <w:tc>
          <w:tcPr>
            <w:tcW w:w="3465" w:type="pct"/>
          </w:tcPr>
          <w:p w14:paraId="77635A49" w14:textId="77777777" w:rsidR="00FD11E0" w:rsidRPr="003F0342" w:rsidRDefault="00FD11E0" w:rsidP="00A06ED0">
            <w:pPr>
              <w:pStyle w:val="TabletextLeft"/>
            </w:pPr>
            <w:r>
              <w:t>Early Childhood Policy Group</w:t>
            </w:r>
          </w:p>
        </w:tc>
      </w:tr>
      <w:tr w:rsidR="00FD11E0" w:rsidRPr="004B4D01" w14:paraId="0C070352" w14:textId="77777777" w:rsidTr="00A06ED0">
        <w:tc>
          <w:tcPr>
            <w:tcW w:w="1535" w:type="pct"/>
          </w:tcPr>
          <w:p w14:paraId="3A2E24B7" w14:textId="77777777" w:rsidR="00FD11E0" w:rsidRDefault="00FD11E0" w:rsidP="00A06ED0">
            <w:pPr>
              <w:pStyle w:val="TabletextLeft"/>
            </w:pPr>
            <w:r>
              <w:t>ECPP</w:t>
            </w:r>
          </w:p>
        </w:tc>
        <w:tc>
          <w:tcPr>
            <w:tcW w:w="3465" w:type="pct"/>
          </w:tcPr>
          <w:p w14:paraId="17434DA9" w14:textId="77777777" w:rsidR="00FD11E0" w:rsidRDefault="00FD11E0" w:rsidP="00A06ED0">
            <w:pPr>
              <w:pStyle w:val="TabletextLeft"/>
            </w:pPr>
            <w:r w:rsidRPr="002F2F74">
              <w:t>Early Childhood Care and Development Policy Partnership</w:t>
            </w:r>
          </w:p>
        </w:tc>
      </w:tr>
      <w:tr w:rsidR="00485F52" w:rsidRPr="004B4D01" w14:paraId="7802B9AA" w14:textId="77777777" w:rsidTr="00A06ED0">
        <w:tc>
          <w:tcPr>
            <w:tcW w:w="1535" w:type="pct"/>
          </w:tcPr>
          <w:p w14:paraId="7F122995" w14:textId="2AC0F9FE" w:rsidR="00485F52" w:rsidRDefault="00485F52" w:rsidP="00A06ED0">
            <w:pPr>
              <w:pStyle w:val="TabletextLeft"/>
            </w:pPr>
            <w:r>
              <w:t>EDTL</w:t>
            </w:r>
          </w:p>
        </w:tc>
        <w:tc>
          <w:tcPr>
            <w:tcW w:w="3465" w:type="pct"/>
          </w:tcPr>
          <w:p w14:paraId="76D22C84" w14:textId="70E71DDB" w:rsidR="00485F52" w:rsidRPr="00BE0561" w:rsidRDefault="00485F52" w:rsidP="00A06ED0">
            <w:pPr>
              <w:pStyle w:val="TabletextLeft"/>
            </w:pPr>
            <w:r>
              <w:t>Executive Director of Township Leasing</w:t>
            </w:r>
          </w:p>
        </w:tc>
      </w:tr>
      <w:tr w:rsidR="00CA01E6" w:rsidRPr="004B4D01" w14:paraId="0B9C0C80" w14:textId="77777777" w:rsidTr="00A06ED0">
        <w:tc>
          <w:tcPr>
            <w:tcW w:w="1535" w:type="pct"/>
          </w:tcPr>
          <w:p w14:paraId="0F50947C" w14:textId="391B87FC" w:rsidR="00CA01E6" w:rsidRDefault="00CA01E6" w:rsidP="00A06ED0">
            <w:pPr>
              <w:pStyle w:val="TabletextLeft"/>
            </w:pPr>
            <w:r>
              <w:t>EY</w:t>
            </w:r>
            <w:r w:rsidR="00114BDE">
              <w:t>LF</w:t>
            </w:r>
          </w:p>
        </w:tc>
        <w:tc>
          <w:tcPr>
            <w:tcW w:w="3465" w:type="pct"/>
          </w:tcPr>
          <w:p w14:paraId="215D1930" w14:textId="480C0969" w:rsidR="00CA01E6" w:rsidRPr="00BE0561" w:rsidRDefault="00114BDE" w:rsidP="00A06ED0">
            <w:pPr>
              <w:pStyle w:val="TabletextLeft"/>
            </w:pPr>
            <w:r>
              <w:t>Early Years Learning Framework</w:t>
            </w:r>
          </w:p>
        </w:tc>
      </w:tr>
      <w:tr w:rsidR="00FD11E0" w:rsidRPr="004B4D01" w14:paraId="7AB9DC48" w14:textId="77777777" w:rsidTr="00A06ED0">
        <w:tc>
          <w:tcPr>
            <w:tcW w:w="1535" w:type="pct"/>
          </w:tcPr>
          <w:p w14:paraId="041719BD" w14:textId="77777777" w:rsidR="00FD11E0" w:rsidRDefault="00FD11E0" w:rsidP="00A06ED0">
            <w:pPr>
              <w:pStyle w:val="TabletextLeft"/>
            </w:pPr>
            <w:r>
              <w:t>FAL</w:t>
            </w:r>
          </w:p>
        </w:tc>
        <w:tc>
          <w:tcPr>
            <w:tcW w:w="3465" w:type="pct"/>
          </w:tcPr>
          <w:p w14:paraId="05431CF0" w14:textId="77777777" w:rsidR="00FD11E0" w:rsidRPr="002F2F74" w:rsidRDefault="00FD11E0" w:rsidP="00A06ED0">
            <w:pPr>
              <w:pStyle w:val="TabletextLeft"/>
            </w:pPr>
            <w:r w:rsidRPr="00BE0561">
              <w:t xml:space="preserve">Family Assistance Law </w:t>
            </w:r>
          </w:p>
        </w:tc>
      </w:tr>
      <w:tr w:rsidR="00FD11E0" w:rsidRPr="004B4D01" w14:paraId="48FF9C00" w14:textId="77777777" w:rsidTr="00A06ED0">
        <w:tc>
          <w:tcPr>
            <w:tcW w:w="1535" w:type="pct"/>
          </w:tcPr>
          <w:p w14:paraId="47449FBB" w14:textId="77777777" w:rsidR="00FD11E0" w:rsidRDefault="00FD11E0" w:rsidP="00A06ED0">
            <w:pPr>
              <w:pStyle w:val="TabletextLeft"/>
            </w:pPr>
            <w:r w:rsidRPr="00656B0A">
              <w:t>HREC</w:t>
            </w:r>
          </w:p>
        </w:tc>
        <w:tc>
          <w:tcPr>
            <w:tcW w:w="3465" w:type="pct"/>
          </w:tcPr>
          <w:p w14:paraId="2EB0A03A" w14:textId="77777777" w:rsidR="00FD11E0" w:rsidRPr="003F0342" w:rsidRDefault="00FD11E0" w:rsidP="00A06ED0">
            <w:pPr>
              <w:pStyle w:val="TabletextLeft"/>
            </w:pPr>
            <w:r w:rsidRPr="00656B0A">
              <w:t xml:space="preserve">Human Research Ethics Committee </w:t>
            </w:r>
          </w:p>
        </w:tc>
      </w:tr>
      <w:tr w:rsidR="00FD11E0" w:rsidRPr="004B4D01" w14:paraId="3A6A41CD" w14:textId="77777777" w:rsidTr="00A06ED0">
        <w:tc>
          <w:tcPr>
            <w:tcW w:w="1535" w:type="pct"/>
          </w:tcPr>
          <w:p w14:paraId="1110780E" w14:textId="77777777" w:rsidR="00FD11E0" w:rsidRPr="005D550E" w:rsidRDefault="00FD11E0" w:rsidP="00A06ED0">
            <w:pPr>
              <w:pStyle w:val="TabletextLeft"/>
            </w:pPr>
            <w:r>
              <w:t>IAS</w:t>
            </w:r>
          </w:p>
        </w:tc>
        <w:tc>
          <w:tcPr>
            <w:tcW w:w="3465" w:type="pct"/>
          </w:tcPr>
          <w:p w14:paraId="3FDA7293" w14:textId="77777777" w:rsidR="00FD11E0" w:rsidRPr="005D550E" w:rsidRDefault="00FD11E0" w:rsidP="00A06ED0">
            <w:pPr>
              <w:pStyle w:val="TabletextLeft"/>
            </w:pPr>
            <w:r>
              <w:t>Indigenous Advancement Strategy</w:t>
            </w:r>
          </w:p>
        </w:tc>
      </w:tr>
      <w:tr w:rsidR="00C6535F" w:rsidRPr="004B4D01" w14:paraId="01FF7047" w14:textId="77777777" w:rsidTr="00A06ED0">
        <w:tc>
          <w:tcPr>
            <w:tcW w:w="1535" w:type="pct"/>
          </w:tcPr>
          <w:p w14:paraId="5F18A414" w14:textId="1AFA45F7" w:rsidR="00C6535F" w:rsidRDefault="00C6535F" w:rsidP="00A06ED0">
            <w:pPr>
              <w:pStyle w:val="TabletextLeft"/>
            </w:pPr>
            <w:r>
              <w:t>ISP</w:t>
            </w:r>
          </w:p>
        </w:tc>
        <w:tc>
          <w:tcPr>
            <w:tcW w:w="3465" w:type="pct"/>
          </w:tcPr>
          <w:p w14:paraId="4F5B70B3" w14:textId="7B095A23" w:rsidR="00C6535F" w:rsidRDefault="00826B97" w:rsidP="00A06ED0">
            <w:pPr>
              <w:pStyle w:val="TabletextLeft"/>
            </w:pPr>
            <w:r>
              <w:t>Inclusion Support Program</w:t>
            </w:r>
          </w:p>
        </w:tc>
      </w:tr>
      <w:tr w:rsidR="00F52E13" w:rsidRPr="004B4D01" w14:paraId="6AAFD15A" w14:textId="77777777" w:rsidTr="00A06ED0">
        <w:tc>
          <w:tcPr>
            <w:tcW w:w="1535" w:type="pct"/>
          </w:tcPr>
          <w:p w14:paraId="20C36D38" w14:textId="5CA25228" w:rsidR="00F52E13" w:rsidRDefault="00F52E13" w:rsidP="00A06ED0">
            <w:pPr>
              <w:pStyle w:val="TabletextLeft"/>
            </w:pPr>
            <w:r>
              <w:t>MCA</w:t>
            </w:r>
          </w:p>
        </w:tc>
        <w:tc>
          <w:tcPr>
            <w:tcW w:w="3465" w:type="pct"/>
          </w:tcPr>
          <w:p w14:paraId="0441C85A" w14:textId="212CBE61" w:rsidR="00F52E13" w:rsidRDefault="00F52E13" w:rsidP="00A06ED0">
            <w:pPr>
              <w:pStyle w:val="TabletextLeft"/>
            </w:pPr>
            <w:r>
              <w:t xml:space="preserve">Multi-criteria analysis </w:t>
            </w:r>
          </w:p>
        </w:tc>
      </w:tr>
      <w:tr w:rsidR="00311F67" w:rsidRPr="004B4D01" w14:paraId="54D150B9" w14:textId="77777777" w:rsidTr="00A06ED0">
        <w:tc>
          <w:tcPr>
            <w:tcW w:w="1535" w:type="pct"/>
          </w:tcPr>
          <w:p w14:paraId="550E3013" w14:textId="1454B921" w:rsidR="00311F67" w:rsidRDefault="00311F67" w:rsidP="00A06ED0">
            <w:pPr>
              <w:pStyle w:val="TabletextLeft"/>
            </w:pPr>
            <w:r>
              <w:t>MACS</w:t>
            </w:r>
          </w:p>
        </w:tc>
        <w:tc>
          <w:tcPr>
            <w:tcW w:w="3465" w:type="pct"/>
          </w:tcPr>
          <w:p w14:paraId="1C571BC7" w14:textId="49F84430" w:rsidR="00311F67" w:rsidRPr="006E09E6" w:rsidRDefault="00311F67" w:rsidP="00A06ED0">
            <w:pPr>
              <w:pStyle w:val="TabletextLeft"/>
            </w:pPr>
            <w:r>
              <w:t>Mobile, Occasional Care, Multifunctional Aboriginal Children’s Services</w:t>
            </w:r>
          </w:p>
        </w:tc>
      </w:tr>
      <w:tr w:rsidR="00114BDE" w:rsidRPr="004B4D01" w14:paraId="7C59FAC6" w14:textId="77777777" w:rsidTr="00A06ED0">
        <w:tc>
          <w:tcPr>
            <w:tcW w:w="1535" w:type="pct"/>
          </w:tcPr>
          <w:p w14:paraId="2EE5B562" w14:textId="23106AE0" w:rsidR="00114BDE" w:rsidRDefault="00114BDE" w:rsidP="00A06ED0">
            <w:pPr>
              <w:pStyle w:val="TabletextLeft"/>
            </w:pPr>
            <w:r>
              <w:t>MTOP</w:t>
            </w:r>
          </w:p>
        </w:tc>
        <w:tc>
          <w:tcPr>
            <w:tcW w:w="3465" w:type="pct"/>
          </w:tcPr>
          <w:p w14:paraId="3D6C3C81" w14:textId="1C3263ED" w:rsidR="00114BDE" w:rsidRPr="006E09E6" w:rsidRDefault="00114BDE" w:rsidP="00A06ED0">
            <w:pPr>
              <w:pStyle w:val="TabletextLeft"/>
            </w:pPr>
            <w:r>
              <w:t>My Time, Our Place</w:t>
            </w:r>
          </w:p>
        </w:tc>
      </w:tr>
      <w:tr w:rsidR="008E7AA0" w:rsidRPr="004B4D01" w14:paraId="62F00879" w14:textId="77777777" w:rsidTr="00A06ED0">
        <w:tc>
          <w:tcPr>
            <w:tcW w:w="1535" w:type="pct"/>
          </w:tcPr>
          <w:p w14:paraId="52A140AC" w14:textId="1FC50009" w:rsidR="008E7AA0" w:rsidRDefault="008E7AA0" w:rsidP="00A06ED0">
            <w:pPr>
              <w:pStyle w:val="TabletextLeft"/>
            </w:pPr>
            <w:r>
              <w:t>NACCHO</w:t>
            </w:r>
          </w:p>
        </w:tc>
        <w:tc>
          <w:tcPr>
            <w:tcW w:w="3465" w:type="pct"/>
          </w:tcPr>
          <w:p w14:paraId="0F3AEF03" w14:textId="22B80796" w:rsidR="008E7AA0" w:rsidRPr="006E09E6" w:rsidRDefault="008E7AA0" w:rsidP="00A06ED0">
            <w:pPr>
              <w:pStyle w:val="TabletextLeft"/>
            </w:pPr>
            <w:r>
              <w:t>National Aboriginal Community Controlled Health Organisation</w:t>
            </w:r>
          </w:p>
        </w:tc>
      </w:tr>
      <w:tr w:rsidR="00FD11E0" w:rsidRPr="004B4D01" w14:paraId="5193AA43" w14:textId="77777777" w:rsidTr="00A06ED0">
        <w:tc>
          <w:tcPr>
            <w:tcW w:w="1535" w:type="pct"/>
          </w:tcPr>
          <w:p w14:paraId="196B2B7E" w14:textId="77777777" w:rsidR="00FD11E0" w:rsidRDefault="00FD11E0" w:rsidP="00A06ED0">
            <w:pPr>
              <w:pStyle w:val="TabletextLeft"/>
            </w:pPr>
            <w:r>
              <w:t>NAPLAN</w:t>
            </w:r>
          </w:p>
        </w:tc>
        <w:tc>
          <w:tcPr>
            <w:tcW w:w="3465" w:type="pct"/>
          </w:tcPr>
          <w:p w14:paraId="3F704855" w14:textId="77777777" w:rsidR="00FD11E0" w:rsidRDefault="00FD11E0" w:rsidP="00A06ED0">
            <w:pPr>
              <w:pStyle w:val="TabletextLeft"/>
            </w:pPr>
            <w:r w:rsidRPr="006E09E6">
              <w:t>National Assessment Program – Literacy and Numeracy</w:t>
            </w:r>
          </w:p>
        </w:tc>
      </w:tr>
      <w:tr w:rsidR="00C6535F" w:rsidRPr="004B4D01" w14:paraId="64AC4E4A" w14:textId="77777777" w:rsidTr="00A06ED0">
        <w:tc>
          <w:tcPr>
            <w:tcW w:w="1535" w:type="pct"/>
          </w:tcPr>
          <w:p w14:paraId="7A0A4412" w14:textId="06E5AC19" w:rsidR="00C6535F" w:rsidRDefault="00C6535F" w:rsidP="00A06ED0">
            <w:pPr>
              <w:pStyle w:val="TabletextLeft"/>
            </w:pPr>
            <w:r>
              <w:lastRenderedPageBreak/>
              <w:t>NDIS</w:t>
            </w:r>
          </w:p>
        </w:tc>
        <w:tc>
          <w:tcPr>
            <w:tcW w:w="3465" w:type="pct"/>
          </w:tcPr>
          <w:p w14:paraId="76E25A3A" w14:textId="5175DF20" w:rsidR="00C6535F" w:rsidRPr="006E09E6" w:rsidRDefault="00826B97" w:rsidP="00A06ED0">
            <w:pPr>
              <w:pStyle w:val="TabletextLeft"/>
            </w:pPr>
            <w:r>
              <w:t>National Disability Insurance Scheme</w:t>
            </w:r>
          </w:p>
        </w:tc>
      </w:tr>
      <w:tr w:rsidR="00FD11E0" w:rsidRPr="004B4D01" w14:paraId="28562DD7" w14:textId="77777777" w:rsidTr="00A06ED0">
        <w:tc>
          <w:tcPr>
            <w:tcW w:w="1535" w:type="pct"/>
          </w:tcPr>
          <w:p w14:paraId="28F7ADD3" w14:textId="77777777" w:rsidR="00FD11E0" w:rsidRPr="005D550E" w:rsidRDefault="00FD11E0" w:rsidP="00A06ED0">
            <w:pPr>
              <w:pStyle w:val="TabletextLeft"/>
            </w:pPr>
            <w:bookmarkStart w:id="10" w:name="_Hlk153440723"/>
            <w:r w:rsidRPr="0082564D">
              <w:t>NFFOCC</w:t>
            </w:r>
          </w:p>
        </w:tc>
        <w:tc>
          <w:tcPr>
            <w:tcW w:w="3465" w:type="pct"/>
          </w:tcPr>
          <w:p w14:paraId="40D43731" w14:textId="77777777" w:rsidR="00FD11E0" w:rsidRPr="005D550E" w:rsidRDefault="00FD11E0" w:rsidP="00A06ED0">
            <w:pPr>
              <w:pStyle w:val="TabletextLeft"/>
            </w:pPr>
            <w:r w:rsidRPr="0082564D">
              <w:t>Non-Formula Funded Occasional Care</w:t>
            </w:r>
          </w:p>
        </w:tc>
      </w:tr>
      <w:bookmarkEnd w:id="10"/>
      <w:tr w:rsidR="00FD11E0" w:rsidRPr="004B4D01" w14:paraId="22AD3E0D" w14:textId="77777777" w:rsidTr="00A06ED0">
        <w:tc>
          <w:tcPr>
            <w:tcW w:w="1535" w:type="pct"/>
          </w:tcPr>
          <w:p w14:paraId="0D295F2F" w14:textId="77777777" w:rsidR="00FD11E0" w:rsidRPr="0082564D" w:rsidRDefault="00FD11E0" w:rsidP="00A06ED0">
            <w:pPr>
              <w:pStyle w:val="TabletextLeft"/>
            </w:pPr>
            <w:r>
              <w:t>NIAA</w:t>
            </w:r>
          </w:p>
        </w:tc>
        <w:tc>
          <w:tcPr>
            <w:tcW w:w="3465" w:type="pct"/>
          </w:tcPr>
          <w:p w14:paraId="07354BE5" w14:textId="77777777" w:rsidR="00FD11E0" w:rsidRPr="0082564D" w:rsidRDefault="00FD11E0" w:rsidP="00A06ED0">
            <w:pPr>
              <w:pStyle w:val="TabletextLeft"/>
            </w:pPr>
            <w:r w:rsidRPr="002965D5">
              <w:t xml:space="preserve">National Indigenous Australians Agency </w:t>
            </w:r>
          </w:p>
        </w:tc>
      </w:tr>
      <w:tr w:rsidR="009E2C64" w:rsidRPr="004B4D01" w14:paraId="77C5A8FB" w14:textId="77777777" w:rsidTr="00A06ED0">
        <w:tc>
          <w:tcPr>
            <w:tcW w:w="1535" w:type="pct"/>
          </w:tcPr>
          <w:p w14:paraId="7F805EA0" w14:textId="055934AD" w:rsidR="009E2C64" w:rsidRDefault="009E2C64" w:rsidP="00A06ED0">
            <w:pPr>
              <w:pStyle w:val="TabletextLeft"/>
            </w:pPr>
            <w:r>
              <w:t>NLC</w:t>
            </w:r>
          </w:p>
        </w:tc>
        <w:tc>
          <w:tcPr>
            <w:tcW w:w="3465" w:type="pct"/>
          </w:tcPr>
          <w:p w14:paraId="7ABB1FF3" w14:textId="2534ED72" w:rsidR="009E2C64" w:rsidRPr="002965D5" w:rsidRDefault="009E2C64" w:rsidP="00A06ED0">
            <w:pPr>
              <w:pStyle w:val="TabletextLeft"/>
            </w:pPr>
            <w:r>
              <w:t>Northern Land Council</w:t>
            </w:r>
          </w:p>
        </w:tc>
      </w:tr>
      <w:tr w:rsidR="00FD11E0" w:rsidRPr="004B4D01" w14:paraId="3302A6E2" w14:textId="77777777" w:rsidTr="00A06ED0">
        <w:tc>
          <w:tcPr>
            <w:tcW w:w="1535" w:type="pct"/>
          </w:tcPr>
          <w:p w14:paraId="6B32327D" w14:textId="77777777" w:rsidR="00FD11E0" w:rsidRPr="0082564D" w:rsidRDefault="00FD11E0" w:rsidP="00A06ED0">
            <w:pPr>
              <w:pStyle w:val="TabletextLeft"/>
            </w:pPr>
            <w:r>
              <w:t>NQF</w:t>
            </w:r>
          </w:p>
        </w:tc>
        <w:tc>
          <w:tcPr>
            <w:tcW w:w="3465" w:type="pct"/>
          </w:tcPr>
          <w:p w14:paraId="7FC7E755" w14:textId="77777777" w:rsidR="00FD11E0" w:rsidRPr="0082564D" w:rsidRDefault="00FD11E0" w:rsidP="00A06ED0">
            <w:pPr>
              <w:pStyle w:val="TabletextLeft"/>
            </w:pPr>
            <w:r>
              <w:t>National Quality Framework</w:t>
            </w:r>
          </w:p>
        </w:tc>
      </w:tr>
      <w:tr w:rsidR="00FD11E0" w:rsidRPr="004B4D01" w14:paraId="275B52A9" w14:textId="77777777" w:rsidTr="00A06ED0">
        <w:tc>
          <w:tcPr>
            <w:tcW w:w="1535" w:type="pct"/>
          </w:tcPr>
          <w:p w14:paraId="07C90173" w14:textId="77777777" w:rsidR="00FD11E0" w:rsidRDefault="00FD11E0" w:rsidP="00A06ED0">
            <w:pPr>
              <w:pStyle w:val="TabletextLeft"/>
            </w:pPr>
            <w:r>
              <w:t>NQS</w:t>
            </w:r>
          </w:p>
        </w:tc>
        <w:tc>
          <w:tcPr>
            <w:tcW w:w="3465" w:type="pct"/>
          </w:tcPr>
          <w:p w14:paraId="454947FB" w14:textId="77777777" w:rsidR="00FD11E0" w:rsidRDefault="00FD11E0" w:rsidP="00A06ED0">
            <w:pPr>
              <w:pStyle w:val="TabletextLeft"/>
            </w:pPr>
            <w:r>
              <w:t xml:space="preserve">National Quality Standard </w:t>
            </w:r>
          </w:p>
        </w:tc>
      </w:tr>
      <w:tr w:rsidR="004A44AE" w:rsidRPr="004B4D01" w14:paraId="51D2F16F" w14:textId="77777777" w:rsidTr="00A06ED0">
        <w:tc>
          <w:tcPr>
            <w:tcW w:w="1535" w:type="pct"/>
          </w:tcPr>
          <w:p w14:paraId="0685387A" w14:textId="2EB472B7" w:rsidR="004A44AE" w:rsidRDefault="004A44AE" w:rsidP="00A06ED0">
            <w:pPr>
              <w:pStyle w:val="TabletextLeft"/>
            </w:pPr>
            <w:r>
              <w:t>NWC</w:t>
            </w:r>
          </w:p>
        </w:tc>
        <w:tc>
          <w:tcPr>
            <w:tcW w:w="3465" w:type="pct"/>
          </w:tcPr>
          <w:p w14:paraId="3FD4627B" w14:textId="1C8706F0" w:rsidR="004A44AE" w:rsidRDefault="00F371EC" w:rsidP="00A06ED0">
            <w:pPr>
              <w:pStyle w:val="TabletextLeft"/>
            </w:pPr>
            <w:r>
              <w:t>National Workforce Census</w:t>
            </w:r>
          </w:p>
        </w:tc>
      </w:tr>
      <w:tr w:rsidR="00DB2AA8" w:rsidRPr="004B4D01" w14:paraId="52942417" w14:textId="77777777" w:rsidTr="00A06ED0">
        <w:tc>
          <w:tcPr>
            <w:tcW w:w="1535" w:type="pct"/>
          </w:tcPr>
          <w:p w14:paraId="7AD194AD" w14:textId="68E680F5" w:rsidR="00DB2AA8" w:rsidRDefault="00DB2AA8" w:rsidP="00A06ED0">
            <w:pPr>
              <w:pStyle w:val="TabletextLeft"/>
            </w:pPr>
            <w:r>
              <w:t>OOP</w:t>
            </w:r>
          </w:p>
        </w:tc>
        <w:tc>
          <w:tcPr>
            <w:tcW w:w="3465" w:type="pct"/>
          </w:tcPr>
          <w:p w14:paraId="5541A642" w14:textId="7ABD0A83" w:rsidR="00DB2AA8" w:rsidRDefault="00DB2AA8" w:rsidP="00A06ED0">
            <w:pPr>
              <w:pStyle w:val="TabletextLeft"/>
            </w:pPr>
            <w:r>
              <w:t>Out of Pocket</w:t>
            </w:r>
          </w:p>
        </w:tc>
      </w:tr>
      <w:tr w:rsidR="00FD11E0" w:rsidRPr="004B4D01" w14:paraId="75A9C2CE" w14:textId="77777777" w:rsidTr="00A06ED0">
        <w:tc>
          <w:tcPr>
            <w:tcW w:w="1535" w:type="pct"/>
          </w:tcPr>
          <w:p w14:paraId="757ED523" w14:textId="77777777" w:rsidR="00FD11E0" w:rsidRDefault="00FD11E0" w:rsidP="00A06ED0">
            <w:pPr>
              <w:pStyle w:val="TabletextLeft"/>
            </w:pPr>
            <w:r>
              <w:t>OSHC</w:t>
            </w:r>
          </w:p>
        </w:tc>
        <w:tc>
          <w:tcPr>
            <w:tcW w:w="3465" w:type="pct"/>
          </w:tcPr>
          <w:p w14:paraId="1DC3A550" w14:textId="77777777" w:rsidR="00FD11E0" w:rsidRDefault="00FD11E0" w:rsidP="00A06ED0">
            <w:pPr>
              <w:pStyle w:val="TabletextLeft"/>
            </w:pPr>
            <w:r w:rsidRPr="00970C19">
              <w:t>Outside School Hours Care</w:t>
            </w:r>
          </w:p>
        </w:tc>
      </w:tr>
      <w:tr w:rsidR="00425DD3" w:rsidRPr="004B4D01" w14:paraId="55A3A3AF" w14:textId="77777777" w:rsidTr="00A06ED0">
        <w:tc>
          <w:tcPr>
            <w:tcW w:w="1535" w:type="pct"/>
          </w:tcPr>
          <w:p w14:paraId="44989925" w14:textId="3F8983FD" w:rsidR="00425DD3" w:rsidRDefault="00425DD3" w:rsidP="00A06ED0">
            <w:pPr>
              <w:pStyle w:val="TabletextLeft"/>
            </w:pPr>
            <w:r w:rsidRPr="00425DD3">
              <w:t>PHAC</w:t>
            </w:r>
          </w:p>
        </w:tc>
        <w:tc>
          <w:tcPr>
            <w:tcW w:w="3465" w:type="pct"/>
          </w:tcPr>
          <w:p w14:paraId="2D37ED9E" w14:textId="4B24E5EB" w:rsidR="00425DD3" w:rsidRPr="00970C19" w:rsidRDefault="00425DD3" w:rsidP="00A06ED0">
            <w:pPr>
              <w:pStyle w:val="TabletextLeft"/>
            </w:pPr>
            <w:r w:rsidRPr="00425DD3">
              <w:t xml:space="preserve">Public Health Agency of Canada </w:t>
            </w:r>
          </w:p>
        </w:tc>
      </w:tr>
      <w:tr w:rsidR="00356E39" w:rsidRPr="004B4D01" w14:paraId="072B57AE" w14:textId="77777777" w:rsidTr="00A06ED0">
        <w:tc>
          <w:tcPr>
            <w:tcW w:w="1535" w:type="pct"/>
          </w:tcPr>
          <w:p w14:paraId="625A9F3F" w14:textId="2E761C8D" w:rsidR="00356E39" w:rsidRPr="00425DD3" w:rsidRDefault="00356E39" w:rsidP="00A06ED0">
            <w:pPr>
              <w:pStyle w:val="TabletextLeft"/>
            </w:pPr>
            <w:r>
              <w:t>PMC</w:t>
            </w:r>
          </w:p>
        </w:tc>
        <w:tc>
          <w:tcPr>
            <w:tcW w:w="3465" w:type="pct"/>
          </w:tcPr>
          <w:p w14:paraId="499C2B06" w14:textId="53F70D4F" w:rsidR="00356E39" w:rsidRPr="00425DD3" w:rsidRDefault="00356E39" w:rsidP="00A06ED0">
            <w:pPr>
              <w:pStyle w:val="TabletextLeft"/>
            </w:pPr>
            <w:r>
              <w:t>P</w:t>
            </w:r>
            <w:r w:rsidRPr="00356E39">
              <w:t xml:space="preserve">erson with management or control </w:t>
            </w:r>
          </w:p>
        </w:tc>
      </w:tr>
      <w:tr w:rsidR="008E7AA0" w:rsidRPr="004B4D01" w14:paraId="6E4AC1F0" w14:textId="77777777" w:rsidTr="00A06ED0">
        <w:tc>
          <w:tcPr>
            <w:tcW w:w="1535" w:type="pct"/>
          </w:tcPr>
          <w:p w14:paraId="49046812" w14:textId="259F0A22" w:rsidR="008E7AA0" w:rsidRPr="00AF63B1" w:rsidRDefault="008E7AA0" w:rsidP="00A06ED0">
            <w:pPr>
              <w:pStyle w:val="TabletextLeft"/>
            </w:pPr>
            <w:r>
              <w:t>QIP</w:t>
            </w:r>
          </w:p>
        </w:tc>
        <w:tc>
          <w:tcPr>
            <w:tcW w:w="3465" w:type="pct"/>
          </w:tcPr>
          <w:p w14:paraId="49196529" w14:textId="7B5BF156" w:rsidR="008E7AA0" w:rsidRPr="00AF63B1" w:rsidRDefault="008E7AA0" w:rsidP="00A06ED0">
            <w:pPr>
              <w:pStyle w:val="TabletextLeft"/>
            </w:pPr>
            <w:r w:rsidRPr="008E7AA0">
              <w:t xml:space="preserve">Quality Improvement Plan </w:t>
            </w:r>
          </w:p>
        </w:tc>
      </w:tr>
      <w:tr w:rsidR="00AF63B1" w:rsidRPr="004B4D01" w14:paraId="628123FD" w14:textId="77777777" w:rsidTr="00A06ED0">
        <w:tc>
          <w:tcPr>
            <w:tcW w:w="1535" w:type="pct"/>
          </w:tcPr>
          <w:p w14:paraId="09AA2BEA" w14:textId="2F4BB95F" w:rsidR="00AF63B1" w:rsidRPr="00425DD3" w:rsidRDefault="00AF63B1" w:rsidP="00A06ED0">
            <w:pPr>
              <w:pStyle w:val="TabletextLeft"/>
            </w:pPr>
            <w:r w:rsidRPr="00AF63B1">
              <w:t>QSP</w:t>
            </w:r>
          </w:p>
        </w:tc>
        <w:tc>
          <w:tcPr>
            <w:tcW w:w="3465" w:type="pct"/>
          </w:tcPr>
          <w:p w14:paraId="606374B5" w14:textId="32096683" w:rsidR="00AF63B1" w:rsidRPr="00425DD3" w:rsidRDefault="00AF63B1" w:rsidP="00A06ED0">
            <w:pPr>
              <w:pStyle w:val="TabletextLeft"/>
            </w:pPr>
            <w:r w:rsidRPr="00AF63B1">
              <w:t>Quality Support Program</w:t>
            </w:r>
          </w:p>
        </w:tc>
      </w:tr>
      <w:tr w:rsidR="00FD11E0" w:rsidRPr="004B4D01" w14:paraId="7DD00D10" w14:textId="77777777" w:rsidTr="00A06ED0">
        <w:tc>
          <w:tcPr>
            <w:tcW w:w="1535" w:type="pct"/>
          </w:tcPr>
          <w:p w14:paraId="0CA34363" w14:textId="77777777" w:rsidR="00FD11E0" w:rsidRDefault="00FD11E0" w:rsidP="00A06ED0">
            <w:pPr>
              <w:pStyle w:val="TabletextLeft"/>
            </w:pPr>
            <w:r>
              <w:t>RPC</w:t>
            </w:r>
          </w:p>
        </w:tc>
        <w:tc>
          <w:tcPr>
            <w:tcW w:w="3465" w:type="pct"/>
          </w:tcPr>
          <w:p w14:paraId="6E5CEBD4" w14:textId="77777777" w:rsidR="00FD11E0" w:rsidRDefault="00FD11E0" w:rsidP="00A06ED0">
            <w:pPr>
              <w:pStyle w:val="TabletextLeft"/>
            </w:pPr>
            <w:r>
              <w:t>Regulatory Practice Committee</w:t>
            </w:r>
          </w:p>
        </w:tc>
      </w:tr>
      <w:tr w:rsidR="00FD11E0" w:rsidRPr="004B4D01" w14:paraId="432495B1" w14:textId="77777777" w:rsidTr="00A06ED0">
        <w:tc>
          <w:tcPr>
            <w:tcW w:w="1535" w:type="pct"/>
          </w:tcPr>
          <w:p w14:paraId="31921221" w14:textId="77777777" w:rsidR="00FD11E0" w:rsidRDefault="00FD11E0" w:rsidP="00A06ED0">
            <w:pPr>
              <w:pStyle w:val="TabletextLeft"/>
            </w:pPr>
            <w:r>
              <w:t>SA2</w:t>
            </w:r>
          </w:p>
        </w:tc>
        <w:tc>
          <w:tcPr>
            <w:tcW w:w="3465" w:type="pct"/>
          </w:tcPr>
          <w:p w14:paraId="4BCE4472" w14:textId="77777777" w:rsidR="00FD11E0" w:rsidRPr="006B58E4" w:rsidRDefault="00FD11E0" w:rsidP="00A06ED0">
            <w:pPr>
              <w:pStyle w:val="TabletextLeft"/>
            </w:pPr>
            <w:r>
              <w:t>S</w:t>
            </w:r>
            <w:r w:rsidRPr="007B2749">
              <w:t xml:space="preserve">tatistical area level 2 </w:t>
            </w:r>
          </w:p>
        </w:tc>
      </w:tr>
      <w:tr w:rsidR="00FD11E0" w:rsidRPr="004B4D01" w14:paraId="0B0D7F2C" w14:textId="77777777" w:rsidTr="00A06ED0">
        <w:tc>
          <w:tcPr>
            <w:tcW w:w="1535" w:type="pct"/>
          </w:tcPr>
          <w:p w14:paraId="6D8F7DB1" w14:textId="77777777" w:rsidR="00FD11E0" w:rsidRPr="0082564D" w:rsidRDefault="00FD11E0" w:rsidP="00A06ED0">
            <w:pPr>
              <w:pStyle w:val="TabletextLeft"/>
            </w:pPr>
            <w:r>
              <w:t>SEIFA</w:t>
            </w:r>
          </w:p>
        </w:tc>
        <w:tc>
          <w:tcPr>
            <w:tcW w:w="3465" w:type="pct"/>
          </w:tcPr>
          <w:p w14:paraId="34D5D9B3" w14:textId="77777777" w:rsidR="00FD11E0" w:rsidRPr="0082564D" w:rsidRDefault="00FD11E0" w:rsidP="00A06ED0">
            <w:pPr>
              <w:pStyle w:val="TabletextLeft"/>
            </w:pPr>
            <w:r w:rsidRPr="006B58E4">
              <w:t>Socio-Economic Indexes for Areas</w:t>
            </w:r>
          </w:p>
        </w:tc>
      </w:tr>
      <w:tr w:rsidR="00927053" w:rsidRPr="004B4D01" w14:paraId="4A59773A" w14:textId="77777777" w:rsidTr="00A06ED0">
        <w:tc>
          <w:tcPr>
            <w:tcW w:w="1535" w:type="pct"/>
          </w:tcPr>
          <w:p w14:paraId="1D0F2BEF" w14:textId="78FC5446" w:rsidR="00927053" w:rsidRDefault="00927053" w:rsidP="00A06ED0">
            <w:pPr>
              <w:pStyle w:val="TabletextLeft"/>
            </w:pPr>
            <w:r>
              <w:t>VACCA</w:t>
            </w:r>
          </w:p>
        </w:tc>
        <w:tc>
          <w:tcPr>
            <w:tcW w:w="3465" w:type="pct"/>
          </w:tcPr>
          <w:p w14:paraId="6A15332F" w14:textId="4006898A" w:rsidR="00927053" w:rsidRPr="006B58E4" w:rsidRDefault="00927053" w:rsidP="00A06ED0">
            <w:pPr>
              <w:pStyle w:val="TabletextLeft"/>
            </w:pPr>
            <w:r w:rsidRPr="00927053">
              <w:t xml:space="preserve">Victorian Aboriginal Child Care Agency </w:t>
            </w:r>
          </w:p>
        </w:tc>
      </w:tr>
      <w:tr w:rsidR="008E7AA0" w:rsidRPr="004B4D01" w14:paraId="56AD11ED" w14:textId="77777777" w:rsidTr="00A06ED0">
        <w:tc>
          <w:tcPr>
            <w:tcW w:w="1535" w:type="pct"/>
          </w:tcPr>
          <w:p w14:paraId="41EBC4C6" w14:textId="43297CF3" w:rsidR="008E7AA0" w:rsidRDefault="008E7AA0" w:rsidP="00A06ED0">
            <w:pPr>
              <w:pStyle w:val="TabletextLeft"/>
            </w:pPr>
            <w:r>
              <w:t>VACCHO</w:t>
            </w:r>
          </w:p>
        </w:tc>
        <w:tc>
          <w:tcPr>
            <w:tcW w:w="3465" w:type="pct"/>
          </w:tcPr>
          <w:p w14:paraId="0CE8B67A" w14:textId="25AE9032" w:rsidR="008E7AA0" w:rsidRPr="00927053" w:rsidRDefault="008E7AA0" w:rsidP="00A06ED0">
            <w:pPr>
              <w:pStyle w:val="TabletextLeft"/>
            </w:pPr>
            <w:r>
              <w:t xml:space="preserve">Victorian Aboriginal Community Controlled Health Organisation </w:t>
            </w:r>
          </w:p>
        </w:tc>
      </w:tr>
      <w:tr w:rsidR="00D7144B" w:rsidRPr="004B4D01" w14:paraId="76AC4081" w14:textId="77777777" w:rsidTr="00A06ED0">
        <w:tc>
          <w:tcPr>
            <w:tcW w:w="1535" w:type="pct"/>
          </w:tcPr>
          <w:p w14:paraId="2CC77F83" w14:textId="0B55B1F6" w:rsidR="00D7144B" w:rsidRDefault="00D7144B" w:rsidP="00A06ED0">
            <w:pPr>
              <w:pStyle w:val="TabletextLeft"/>
            </w:pPr>
            <w:r>
              <w:t>YBF</w:t>
            </w:r>
            <w:r w:rsidR="004F0485">
              <w:t>S</w:t>
            </w:r>
          </w:p>
        </w:tc>
        <w:tc>
          <w:tcPr>
            <w:tcW w:w="3465" w:type="pct"/>
          </w:tcPr>
          <w:p w14:paraId="7C73846D" w14:textId="247863E1" w:rsidR="00D7144B" w:rsidRPr="006B58E4" w:rsidRDefault="00D7144B" w:rsidP="00A06ED0">
            <w:pPr>
              <w:pStyle w:val="TabletextLeft"/>
            </w:pPr>
            <w:r>
              <w:t xml:space="preserve">Year before </w:t>
            </w:r>
            <w:r w:rsidR="004F0485">
              <w:t xml:space="preserve">full-time </w:t>
            </w:r>
            <w:r>
              <w:t>schooling</w:t>
            </w:r>
          </w:p>
        </w:tc>
      </w:tr>
    </w:tbl>
    <w:p w14:paraId="1A2F0320" w14:textId="77777777" w:rsidR="00E32F35" w:rsidRDefault="00E32F35" w:rsidP="000D4F42">
      <w:pPr>
        <w:spacing w:before="120" w:after="0"/>
        <w:rPr>
          <w:b/>
          <w:bCs/>
        </w:rPr>
      </w:pPr>
    </w:p>
    <w:p w14:paraId="350B861E" w14:textId="35D07BED" w:rsidR="00FD11E0" w:rsidRPr="00036D78" w:rsidRDefault="00FD11E0" w:rsidP="000D4F42">
      <w:pPr>
        <w:spacing w:before="120" w:after="0"/>
      </w:pPr>
      <w:r w:rsidRPr="5CEE9859">
        <w:rPr>
          <w:b/>
          <w:bCs/>
        </w:rPr>
        <w:t xml:space="preserve">A note on language used throughout this report </w:t>
      </w:r>
      <w:r>
        <w:br/>
        <w:t>Throughout this report we have elected to use the terms Aboriginal and Torres Strait Islander rather than First Nations or Indigenous, as Aboriginal and Torres Strait Islander are the terms that the stakeholders consulted largely chose to identify themselves by. There are some cases in the report where Aboriginal is used in isolation without Torres Strait Islander (and vice versa), when referring to observations by relevant peoples or communities or cultures that do not extend to both groups. Where the terms Indigenous or First Nations are used, this is due to an external formal naming convention being observed.</w:t>
      </w:r>
    </w:p>
    <w:p w14:paraId="0101E6D3" w14:textId="77777777" w:rsidR="00D67839" w:rsidRPr="003549F9" w:rsidRDefault="00D67839" w:rsidP="00672300"/>
    <w:p w14:paraId="7A82E022" w14:textId="77777777" w:rsidR="00CB1604" w:rsidRDefault="00CB1604">
      <w:pPr>
        <w:spacing w:after="0"/>
      </w:pPr>
      <w:r>
        <w:br w:type="page"/>
      </w:r>
    </w:p>
    <w:p w14:paraId="43EB2414" w14:textId="6942BE1A" w:rsidR="00CF70AE" w:rsidRDefault="00CF70AE" w:rsidP="00CD38C6">
      <w:pPr>
        <w:pStyle w:val="Heading1un-numbered"/>
      </w:pPr>
      <w:bookmarkStart w:id="11" w:name="_Toc170227386"/>
      <w:bookmarkStart w:id="12" w:name="_Toc158993735"/>
      <w:r>
        <w:lastRenderedPageBreak/>
        <w:t>Navigating this report</w:t>
      </w:r>
      <w:bookmarkEnd w:id="11"/>
    </w:p>
    <w:p w14:paraId="293632A1" w14:textId="77777777" w:rsidR="00013CB7" w:rsidRPr="00013CB7" w:rsidRDefault="00013CB7" w:rsidP="00013CB7"/>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013CB7" w14:paraId="4F1E109F" w14:textId="77777777" w:rsidTr="00070D36">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10655B96" w14:textId="6E8FA1C0" w:rsidR="004C2A97" w:rsidRDefault="009530D0" w:rsidP="001702ED">
            <w:pPr>
              <w:spacing w:after="360"/>
            </w:pPr>
            <w:r>
              <w:t>A navigation guide for report readers is provided below.</w:t>
            </w:r>
          </w:p>
          <w:p w14:paraId="0FBC3E80" w14:textId="6E44C6B3" w:rsidR="00A176A9" w:rsidRPr="00F359EB" w:rsidRDefault="00FC30A6" w:rsidP="00B655E8">
            <w:pPr>
              <w:spacing w:after="60"/>
              <w:rPr>
                <w:b/>
                <w:bCs/>
              </w:rPr>
            </w:pPr>
            <w:r w:rsidRPr="00F359EB">
              <w:rPr>
                <w:b/>
                <w:bCs/>
              </w:rPr>
              <w:t>Overview</w:t>
            </w:r>
            <w:r w:rsidR="00584660" w:rsidRPr="00F359EB">
              <w:rPr>
                <w:b/>
                <w:bCs/>
              </w:rPr>
              <w:t xml:space="preserve"> – page </w:t>
            </w:r>
            <w:r w:rsidR="00A96049">
              <w:rPr>
                <w:b/>
                <w:bCs/>
              </w:rPr>
              <w:t>x</w:t>
            </w:r>
          </w:p>
          <w:p w14:paraId="01F02335" w14:textId="0348C5FE" w:rsidR="00584660" w:rsidRDefault="00893574" w:rsidP="001702ED">
            <w:pPr>
              <w:spacing w:after="360"/>
            </w:pPr>
            <w:r w:rsidRPr="00A96049">
              <w:t xml:space="preserve">This </w:t>
            </w:r>
            <w:r w:rsidR="00DC4C25" w:rsidRPr="00A96049">
              <w:t>six</w:t>
            </w:r>
            <w:r w:rsidRPr="00A96049">
              <w:t xml:space="preserve">-page section </w:t>
            </w:r>
            <w:r w:rsidR="005B07E5" w:rsidRPr="00A96049">
              <w:t xml:space="preserve">is for readers who </w:t>
            </w:r>
            <w:r w:rsidR="003260D6" w:rsidRPr="00A96049">
              <w:t>want to understand the review’s purpose, findings and recommendations</w:t>
            </w:r>
            <w:r w:rsidR="00740246" w:rsidRPr="00A96049">
              <w:t xml:space="preserve"> at a</w:t>
            </w:r>
            <w:r w:rsidR="00740246">
              <w:t xml:space="preserve"> high level</w:t>
            </w:r>
            <w:r w:rsidR="00886B33">
              <w:t>.</w:t>
            </w:r>
          </w:p>
          <w:p w14:paraId="3133E92A" w14:textId="28CCA7AB" w:rsidR="003260D6" w:rsidRPr="005535BC" w:rsidRDefault="0082158A" w:rsidP="00B655E8">
            <w:pPr>
              <w:spacing w:after="60"/>
              <w:rPr>
                <w:b/>
                <w:bCs/>
              </w:rPr>
            </w:pPr>
            <w:r w:rsidRPr="005535BC">
              <w:rPr>
                <w:b/>
                <w:bCs/>
              </w:rPr>
              <w:t>Executive summary</w:t>
            </w:r>
            <w:r w:rsidR="00F359EB" w:rsidRPr="005535BC">
              <w:rPr>
                <w:b/>
                <w:bCs/>
              </w:rPr>
              <w:t xml:space="preserve"> – page </w:t>
            </w:r>
            <w:r w:rsidR="005535BC" w:rsidRPr="005535BC">
              <w:rPr>
                <w:b/>
                <w:bCs/>
              </w:rPr>
              <w:t>xvi</w:t>
            </w:r>
          </w:p>
          <w:p w14:paraId="35468440" w14:textId="696B396A" w:rsidR="0082158A" w:rsidRDefault="0082158A" w:rsidP="001702ED">
            <w:pPr>
              <w:spacing w:after="360"/>
            </w:pPr>
            <w:r w:rsidRPr="005535BC">
              <w:t>This 18-</w:t>
            </w:r>
            <w:r>
              <w:t xml:space="preserve">page section provides more detailed </w:t>
            </w:r>
            <w:r w:rsidR="0094271C">
              <w:t>information on</w:t>
            </w:r>
            <w:r w:rsidR="00886B33">
              <w:t xml:space="preserve"> the </w:t>
            </w:r>
            <w:r w:rsidR="009530D0">
              <w:t xml:space="preserve">CCCFR grant, the review’s purpose and </w:t>
            </w:r>
            <w:r w:rsidR="00F278E5">
              <w:t xml:space="preserve">its findings and recommendations. It brings together the key messages </w:t>
            </w:r>
            <w:r w:rsidR="00CB0D45">
              <w:t>in the report</w:t>
            </w:r>
            <w:r w:rsidR="003F1C3D">
              <w:t xml:space="preserve">, providing a </w:t>
            </w:r>
            <w:r w:rsidR="00FF4910">
              <w:t>deep</w:t>
            </w:r>
            <w:r w:rsidR="00827F02">
              <w:t>er</w:t>
            </w:r>
            <w:r w:rsidR="00FF4910">
              <w:t xml:space="preserve"> understanding </w:t>
            </w:r>
            <w:r w:rsidR="00827F02">
              <w:t xml:space="preserve">of the </w:t>
            </w:r>
            <w:r w:rsidR="00DD2C4B">
              <w:t>review</w:t>
            </w:r>
            <w:r w:rsidR="00DC4C25">
              <w:t xml:space="preserve"> than that provided in the Overview</w:t>
            </w:r>
            <w:r w:rsidR="00DA4B1F">
              <w:t>.</w:t>
            </w:r>
          </w:p>
          <w:p w14:paraId="3E0824B4" w14:textId="71C155DE" w:rsidR="009E7636" w:rsidRDefault="00042C3C" w:rsidP="00B655E8">
            <w:pPr>
              <w:spacing w:after="60"/>
              <w:rPr>
                <w:b/>
                <w:bCs/>
              </w:rPr>
            </w:pPr>
            <w:r>
              <w:rPr>
                <w:b/>
                <w:bCs/>
              </w:rPr>
              <w:t>Review</w:t>
            </w:r>
            <w:r w:rsidR="009E7636" w:rsidRPr="00F359EB">
              <w:rPr>
                <w:b/>
                <w:bCs/>
              </w:rPr>
              <w:t xml:space="preserve"> recommendations</w:t>
            </w:r>
            <w:r w:rsidR="008A4FB8">
              <w:rPr>
                <w:b/>
                <w:bCs/>
              </w:rPr>
              <w:t xml:space="preserve"> – page </w:t>
            </w:r>
            <w:r w:rsidR="005535BC">
              <w:rPr>
                <w:b/>
                <w:bCs/>
              </w:rPr>
              <w:t>x</w:t>
            </w:r>
            <w:r w:rsidR="00B573E2">
              <w:rPr>
                <w:b/>
                <w:bCs/>
              </w:rPr>
              <w:t>xxiv</w:t>
            </w:r>
          </w:p>
          <w:p w14:paraId="3A6679CB" w14:textId="4C511F9A" w:rsidR="008A4FB8" w:rsidRPr="008A4FB8" w:rsidRDefault="008A4FB8" w:rsidP="001702ED">
            <w:pPr>
              <w:spacing w:after="360"/>
            </w:pPr>
            <w:r w:rsidRPr="00B573E2">
              <w:t>This 1</w:t>
            </w:r>
            <w:r w:rsidR="00B573E2" w:rsidRPr="00B573E2">
              <w:t>1</w:t>
            </w:r>
            <w:r w:rsidRPr="00B573E2">
              <w:t xml:space="preserve">-page section </w:t>
            </w:r>
            <w:r w:rsidR="006025BE" w:rsidRPr="00B573E2">
              <w:t xml:space="preserve">sets out all review </w:t>
            </w:r>
            <w:r w:rsidR="00044DAD" w:rsidRPr="00B573E2">
              <w:t>recommendation</w:t>
            </w:r>
            <w:r w:rsidR="009A6D03" w:rsidRPr="00B573E2">
              <w:t>s</w:t>
            </w:r>
            <w:r w:rsidR="00435FC1" w:rsidRPr="00B573E2">
              <w:t>. It provides</w:t>
            </w:r>
            <w:r w:rsidR="009A6D03" w:rsidRPr="00B573E2">
              <w:t xml:space="preserve"> </w:t>
            </w:r>
            <w:r w:rsidR="00DC4C25" w:rsidRPr="00B573E2">
              <w:t xml:space="preserve">additional </w:t>
            </w:r>
            <w:r w:rsidR="00C81AA2" w:rsidRPr="00B573E2">
              <w:t>explanatory</w:t>
            </w:r>
            <w:r w:rsidR="009A6D03" w:rsidRPr="00B573E2">
              <w:t xml:space="preserve"> </w:t>
            </w:r>
            <w:r w:rsidR="00A03B14" w:rsidRPr="00B573E2">
              <w:t>detail</w:t>
            </w:r>
            <w:r w:rsidR="00650433" w:rsidRPr="00B573E2">
              <w:t xml:space="preserve"> on the recommendations</w:t>
            </w:r>
            <w:r w:rsidR="00F55EA5" w:rsidRPr="00B573E2">
              <w:t xml:space="preserve">, including </w:t>
            </w:r>
            <w:r w:rsidR="00903C3F" w:rsidRPr="00B573E2">
              <w:t xml:space="preserve">how </w:t>
            </w:r>
            <w:r w:rsidR="0067037C" w:rsidRPr="00B573E2">
              <w:t xml:space="preserve">review </w:t>
            </w:r>
            <w:r w:rsidR="00903C3F" w:rsidRPr="00B573E2">
              <w:t>findings</w:t>
            </w:r>
            <w:r w:rsidR="0067037C" w:rsidRPr="00B573E2">
              <w:t xml:space="preserve"> have informed each recommendation.</w:t>
            </w:r>
          </w:p>
          <w:p w14:paraId="4BD5A4BB" w14:textId="097F2E30" w:rsidR="009E7636" w:rsidRPr="00F359EB" w:rsidRDefault="009E7636" w:rsidP="00B655E8">
            <w:pPr>
              <w:spacing w:after="60"/>
              <w:rPr>
                <w:b/>
                <w:bCs/>
              </w:rPr>
            </w:pPr>
            <w:r w:rsidRPr="00F359EB">
              <w:rPr>
                <w:b/>
                <w:bCs/>
              </w:rPr>
              <w:t>Part A: Background and context</w:t>
            </w:r>
            <w:r w:rsidR="00767291">
              <w:rPr>
                <w:b/>
                <w:bCs/>
              </w:rPr>
              <w:t xml:space="preserve"> – page</w:t>
            </w:r>
            <w:r w:rsidR="00B573E2">
              <w:rPr>
                <w:b/>
                <w:bCs/>
              </w:rPr>
              <w:t xml:space="preserve"> 1</w:t>
            </w:r>
          </w:p>
          <w:p w14:paraId="69C7E9B9" w14:textId="7C6C5B8F" w:rsidR="009E7636" w:rsidRDefault="00ED1674" w:rsidP="001702ED">
            <w:pPr>
              <w:spacing w:after="360"/>
            </w:pPr>
            <w:r>
              <w:t>Containing Chapters</w:t>
            </w:r>
            <w:r w:rsidR="00767291">
              <w:t xml:space="preserve"> 1-4, this part of the report </w:t>
            </w:r>
            <w:r w:rsidR="00DC4C25">
              <w:t>provides</w:t>
            </w:r>
            <w:r w:rsidR="0021052D">
              <w:t xml:space="preserve"> </w:t>
            </w:r>
            <w:r w:rsidR="00DE1D76">
              <w:t xml:space="preserve">important </w:t>
            </w:r>
            <w:r w:rsidR="002E0B99">
              <w:t>background information, including detail</w:t>
            </w:r>
            <w:r w:rsidR="00DC4C25">
              <w:t>s</w:t>
            </w:r>
            <w:r w:rsidR="002E0B99">
              <w:t xml:space="preserve"> </w:t>
            </w:r>
            <w:r w:rsidR="00DC4C25">
              <w:t xml:space="preserve">regarding </w:t>
            </w:r>
            <w:r w:rsidR="002E0B99">
              <w:t>the review scope and approach</w:t>
            </w:r>
            <w:r w:rsidR="00C451C7">
              <w:t>, the CCCFR grant itself</w:t>
            </w:r>
            <w:r w:rsidR="007611FF">
              <w:t>, the review framework and the review’s underpinning evidence base.</w:t>
            </w:r>
          </w:p>
          <w:p w14:paraId="7E368C63" w14:textId="62A13CD3" w:rsidR="009E7636" w:rsidRPr="00F359EB" w:rsidRDefault="009E7636" w:rsidP="00987CFF">
            <w:pPr>
              <w:spacing w:after="60"/>
              <w:rPr>
                <w:b/>
                <w:bCs/>
              </w:rPr>
            </w:pPr>
            <w:r w:rsidRPr="00F359EB">
              <w:rPr>
                <w:b/>
                <w:bCs/>
              </w:rPr>
              <w:t xml:space="preserve">Part B: </w:t>
            </w:r>
            <w:r w:rsidR="00A803C8" w:rsidRPr="00F359EB">
              <w:rPr>
                <w:b/>
                <w:bCs/>
              </w:rPr>
              <w:t>Review findings and recommendations</w:t>
            </w:r>
            <w:r w:rsidR="00987CFF">
              <w:rPr>
                <w:b/>
                <w:bCs/>
              </w:rPr>
              <w:t xml:space="preserve"> – page </w:t>
            </w:r>
            <w:r w:rsidR="00B573E2">
              <w:rPr>
                <w:b/>
                <w:bCs/>
              </w:rPr>
              <w:t>63</w:t>
            </w:r>
          </w:p>
          <w:p w14:paraId="61A4B396" w14:textId="075FD9FA" w:rsidR="00A803C8" w:rsidRDefault="007611FF" w:rsidP="001702ED">
            <w:pPr>
              <w:spacing w:after="360"/>
            </w:pPr>
            <w:r>
              <w:t xml:space="preserve">Containing Chapters </w:t>
            </w:r>
            <w:r w:rsidR="008D65B5">
              <w:t>5-10, this part of the report</w:t>
            </w:r>
            <w:r w:rsidR="00FC5F53">
              <w:t xml:space="preserve"> sets out </w:t>
            </w:r>
            <w:r w:rsidR="00005B48">
              <w:t>evidence that supports review f</w:t>
            </w:r>
            <w:r w:rsidR="00DC4C25">
              <w:t>i</w:t>
            </w:r>
            <w:r w:rsidR="00005B48">
              <w:t xml:space="preserve">ndings and recommendations, </w:t>
            </w:r>
            <w:r w:rsidR="00E2005F">
              <w:t>thematically organised by</w:t>
            </w:r>
            <w:r w:rsidR="0025402E">
              <w:t xml:space="preserve"> the four review domains</w:t>
            </w:r>
            <w:r w:rsidR="00B75EE6">
              <w:t xml:space="preserve">: (1) objectives and intent, (2) policy and funding design, (3) </w:t>
            </w:r>
            <w:r w:rsidR="005E4A91">
              <w:t xml:space="preserve">administration, </w:t>
            </w:r>
            <w:r w:rsidR="00B3080F">
              <w:t>governance and compliance, and (4)</w:t>
            </w:r>
            <w:r w:rsidR="003529E7">
              <w:t xml:space="preserve"> resourcing and financial sustainability. It provides </w:t>
            </w:r>
            <w:r w:rsidR="0064546B">
              <w:t>advice on future grant design</w:t>
            </w:r>
            <w:r w:rsidR="00F64DEC">
              <w:t xml:space="preserve"> and </w:t>
            </w:r>
            <w:r w:rsidR="00987CFF">
              <w:t>considerations for implementing the recommendations.</w:t>
            </w:r>
          </w:p>
          <w:p w14:paraId="06F8255F" w14:textId="5AE2C712" w:rsidR="00A803C8" w:rsidRPr="00F359EB" w:rsidRDefault="00A803C8" w:rsidP="00987CFF">
            <w:pPr>
              <w:spacing w:after="60"/>
              <w:rPr>
                <w:b/>
                <w:bCs/>
              </w:rPr>
            </w:pPr>
            <w:r w:rsidRPr="00F359EB">
              <w:rPr>
                <w:b/>
                <w:bCs/>
              </w:rPr>
              <w:t>Part C: Appendices and supplementary information</w:t>
            </w:r>
            <w:r w:rsidR="00987CFF">
              <w:rPr>
                <w:b/>
                <w:bCs/>
              </w:rPr>
              <w:t xml:space="preserve">– page </w:t>
            </w:r>
            <w:r w:rsidR="00B573E2">
              <w:rPr>
                <w:b/>
                <w:bCs/>
              </w:rPr>
              <w:t>182</w:t>
            </w:r>
          </w:p>
          <w:p w14:paraId="65537E38" w14:textId="25D52221" w:rsidR="00F638F1" w:rsidRDefault="00987CFF" w:rsidP="001702ED">
            <w:pPr>
              <w:spacing w:after="360"/>
            </w:pPr>
            <w:r>
              <w:t xml:space="preserve">This part of the report </w:t>
            </w:r>
            <w:r w:rsidR="00357E20">
              <w:t>sets out</w:t>
            </w:r>
            <w:r>
              <w:t xml:space="preserve"> </w:t>
            </w:r>
            <w:r w:rsidR="001545A7">
              <w:t xml:space="preserve">supplementary </w:t>
            </w:r>
            <w:r w:rsidR="007C51DE">
              <w:t xml:space="preserve">information </w:t>
            </w:r>
            <w:r w:rsidR="001545A7">
              <w:t xml:space="preserve">to </w:t>
            </w:r>
            <w:r w:rsidR="007C51DE">
              <w:t>Parts A and B</w:t>
            </w:r>
            <w:r w:rsidR="001545A7">
              <w:t>, for readers who would like to understand</w:t>
            </w:r>
            <w:r w:rsidR="00FC7520">
              <w:t xml:space="preserve"> </w:t>
            </w:r>
            <w:r w:rsidR="00443E3D">
              <w:t>various aspects in more detail.</w:t>
            </w:r>
            <w:r w:rsidR="001545A7">
              <w:t xml:space="preserve"> </w:t>
            </w:r>
          </w:p>
        </w:tc>
      </w:tr>
    </w:tbl>
    <w:p w14:paraId="7DF9C488" w14:textId="77777777" w:rsidR="00A03DBA" w:rsidRPr="00A03DBA" w:rsidRDefault="00A03DBA" w:rsidP="00A03DBA"/>
    <w:p w14:paraId="2EEB37F9" w14:textId="6C48DCC8" w:rsidR="00F05D65" w:rsidRDefault="00751031" w:rsidP="00CD38C6">
      <w:pPr>
        <w:pStyle w:val="Heading1un-numbered"/>
      </w:pPr>
      <w:bookmarkStart w:id="13" w:name="_Toc170227387"/>
      <w:r>
        <w:lastRenderedPageBreak/>
        <w:t>Overview</w:t>
      </w:r>
      <w:bookmarkEnd w:id="12"/>
      <w:bookmarkEnd w:id="13"/>
    </w:p>
    <w:p w14:paraId="2F18DC47" w14:textId="28F6AB49" w:rsidR="00E575F3" w:rsidRPr="001959C0" w:rsidRDefault="00E575F3" w:rsidP="001959C0">
      <w:pPr>
        <w:rPr>
          <w:b/>
          <w:bCs/>
          <w:color w:val="007CB0"/>
          <w:sz w:val="22"/>
          <w:szCs w:val="22"/>
          <w:lang w:val="en-GB"/>
        </w:rPr>
      </w:pPr>
      <w:bookmarkStart w:id="14" w:name="_Toc158993736"/>
      <w:r w:rsidRPr="001959C0">
        <w:rPr>
          <w:b/>
          <w:bCs/>
          <w:color w:val="007CB0"/>
          <w:sz w:val="22"/>
          <w:szCs w:val="22"/>
          <w:lang w:val="en-GB"/>
        </w:rPr>
        <w:t>Review purpose and intent</w:t>
      </w:r>
      <w:bookmarkEnd w:id="14"/>
    </w:p>
    <w:p w14:paraId="67C74D9B" w14:textId="0025F0C9" w:rsidR="00E575F3" w:rsidRPr="00E575F3" w:rsidRDefault="00E575F3" w:rsidP="00E575F3">
      <w:pPr>
        <w:rPr>
          <w:lang w:val="en-GB"/>
        </w:rPr>
      </w:pPr>
      <w:r w:rsidRPr="00E575F3">
        <w:rPr>
          <w:lang w:val="en-GB"/>
        </w:rPr>
        <w:t xml:space="preserve">The Australian Government Department of Education </w:t>
      </w:r>
      <w:r w:rsidR="3F3B92F5" w:rsidRPr="6E48A908">
        <w:rPr>
          <w:lang w:val="en-GB"/>
        </w:rPr>
        <w:t>(the Department)</w:t>
      </w:r>
      <w:r w:rsidRPr="6E48A908">
        <w:rPr>
          <w:lang w:val="en-GB"/>
        </w:rPr>
        <w:t xml:space="preserve"> </w:t>
      </w:r>
      <w:r w:rsidRPr="00E575F3">
        <w:rPr>
          <w:lang w:val="en-GB"/>
        </w:rPr>
        <w:t xml:space="preserve">commissioned a review of </w:t>
      </w:r>
      <w:bookmarkStart w:id="15" w:name="_Hlk156991710"/>
      <w:r w:rsidRPr="00E575F3">
        <w:rPr>
          <w:lang w:val="en-GB"/>
        </w:rPr>
        <w:t xml:space="preserve">the Community Child Care Fund Restricted (CCCFR) Non-Competitive </w:t>
      </w:r>
      <w:r w:rsidR="00E81B4B">
        <w:rPr>
          <w:lang w:val="en-GB"/>
        </w:rPr>
        <w:t>g</w:t>
      </w:r>
      <w:r w:rsidRPr="00E575F3">
        <w:rPr>
          <w:lang w:val="en-GB"/>
        </w:rPr>
        <w:t>rant funding arrangements</w:t>
      </w:r>
      <w:bookmarkEnd w:id="15"/>
      <w:r w:rsidR="00C80C48">
        <w:rPr>
          <w:lang w:val="en-GB"/>
        </w:rPr>
        <w:t>.</w:t>
      </w:r>
      <w:r w:rsidRPr="00E575F3">
        <w:rPr>
          <w:lang w:val="en-GB"/>
        </w:rPr>
        <w:t xml:space="preserve"> </w:t>
      </w:r>
    </w:p>
    <w:p w14:paraId="63F92DE4" w14:textId="77777777" w:rsidR="00E575F3" w:rsidRPr="00E575F3" w:rsidRDefault="00E575F3" w:rsidP="00E575F3">
      <w:pPr>
        <w:rPr>
          <w:lang w:val="en-GB"/>
        </w:rPr>
      </w:pPr>
      <w:r w:rsidRPr="00E575F3">
        <w:rPr>
          <w:lang w:val="en-GB"/>
        </w:rPr>
        <w:t>The purpose of the review was to:</w:t>
      </w:r>
    </w:p>
    <w:p w14:paraId="696263F5" w14:textId="77777777" w:rsidR="00E575F3" w:rsidRPr="00E575F3" w:rsidRDefault="00E575F3" w:rsidP="00E81FA3">
      <w:pPr>
        <w:pStyle w:val="ListBullet"/>
      </w:pPr>
      <w:r w:rsidRPr="00E575F3">
        <w:t>determine how well the grant is meeting its stated goals, which are to improve early childhood development outcomes for vulnerable and disadvantaged children; and increase workforce participation by vulnerable and disadvantaged families.</w:t>
      </w:r>
    </w:p>
    <w:p w14:paraId="7EA1AFED" w14:textId="0596D04C" w:rsidR="00E575F3" w:rsidRPr="00E575F3" w:rsidRDefault="00E575F3" w:rsidP="00E81FA3">
      <w:pPr>
        <w:pStyle w:val="ListBullet"/>
      </w:pPr>
      <w:r w:rsidRPr="00E575F3">
        <w:t xml:space="preserve">determine how the </w:t>
      </w:r>
      <w:r w:rsidR="001E5A5F">
        <w:t>grant</w:t>
      </w:r>
      <w:r w:rsidRPr="00E575F3">
        <w:t xml:space="preserve"> contributes to the government’s broader reforms to improve the child care system, to support affordability of and access to child care. Additionally, focusing on vulnerable and disadvantaged children to ensure they benefit from these reforms. </w:t>
      </w:r>
    </w:p>
    <w:p w14:paraId="1BE715F4" w14:textId="482F2A65" w:rsidR="00E575F3" w:rsidRPr="00E575F3" w:rsidRDefault="00E575F3" w:rsidP="00E81FA3">
      <w:pPr>
        <w:pStyle w:val="ListBullet"/>
      </w:pPr>
      <w:r w:rsidRPr="00E575F3">
        <w:t xml:space="preserve">determine the future of the </w:t>
      </w:r>
      <w:r w:rsidR="00216C67" w:rsidRPr="00216C67">
        <w:t>grant</w:t>
      </w:r>
      <w:r w:rsidRPr="00E575F3">
        <w:t xml:space="preserve"> and if the initial objectives of the </w:t>
      </w:r>
      <w:r w:rsidR="0068437F" w:rsidRPr="0068437F">
        <w:t>grant</w:t>
      </w:r>
      <w:r w:rsidRPr="00E575F3">
        <w:t xml:space="preserve"> can be realised or improved. </w:t>
      </w:r>
    </w:p>
    <w:p w14:paraId="0B41F90D" w14:textId="6F90AF20" w:rsidR="00E575F3" w:rsidRPr="00E575F3" w:rsidRDefault="00E575F3" w:rsidP="00E81FA3">
      <w:pPr>
        <w:pStyle w:val="ListBullet"/>
      </w:pPr>
      <w:r w:rsidRPr="00E575F3">
        <w:t xml:space="preserve">determine if the </w:t>
      </w:r>
      <w:r w:rsidR="007D4317">
        <w:t xml:space="preserve">CCCFR </w:t>
      </w:r>
      <w:r w:rsidRPr="00E575F3">
        <w:t xml:space="preserve">services captured under the </w:t>
      </w:r>
      <w:r w:rsidR="0068437F" w:rsidRPr="0068437F">
        <w:t>grant</w:t>
      </w:r>
      <w:r w:rsidRPr="00E575F3">
        <w:t xml:space="preserve"> would benefit from a different funding model, and what this might be. </w:t>
      </w:r>
    </w:p>
    <w:p w14:paraId="7CFC1F2B" w14:textId="2D2533AF" w:rsidR="00E575F3" w:rsidRPr="00E575F3" w:rsidRDefault="00E575F3" w:rsidP="00E81FA3">
      <w:pPr>
        <w:pStyle w:val="ListBullet"/>
      </w:pPr>
      <w:r w:rsidRPr="00E575F3">
        <w:t xml:space="preserve">examine aspects of the existing </w:t>
      </w:r>
      <w:r w:rsidR="0068437F" w:rsidRPr="0068437F">
        <w:t>grant</w:t>
      </w:r>
      <w:r w:rsidRPr="00E575F3">
        <w:t xml:space="preserve"> to determine if the operation of some elements of the </w:t>
      </w:r>
      <w:r w:rsidR="0068437F" w:rsidRPr="0068437F">
        <w:t>grant</w:t>
      </w:r>
      <w:r w:rsidRPr="00E575F3">
        <w:t xml:space="preserve"> can be improved and/or regulatory burden decreased. </w:t>
      </w:r>
    </w:p>
    <w:p w14:paraId="6F449E58" w14:textId="670DC60C" w:rsidR="00E575F3" w:rsidRPr="00E575F3" w:rsidRDefault="00E575F3" w:rsidP="00E81FA3">
      <w:pPr>
        <w:pStyle w:val="ListBullet"/>
      </w:pPr>
      <w:r w:rsidRPr="00E575F3">
        <w:t xml:space="preserve">determine if the </w:t>
      </w:r>
      <w:r w:rsidR="0068437F" w:rsidRPr="0068437F">
        <w:t>grant</w:t>
      </w:r>
      <w:r w:rsidRPr="00E575F3">
        <w:t xml:space="preserve"> aligns with additional government policy such as the National Agreement on Closing the Gap. </w:t>
      </w:r>
    </w:p>
    <w:p w14:paraId="367B7B33" w14:textId="083ED071" w:rsidR="00E575F3" w:rsidRPr="00E575F3" w:rsidRDefault="00E575F3" w:rsidP="00E81FA3">
      <w:pPr>
        <w:pStyle w:val="ListBullet"/>
      </w:pPr>
      <w:r w:rsidRPr="00E575F3">
        <w:t>determine if the focus on workforce participation of parents and caregivers is both effective and appropriate in driving engagement and developmental outcomes for vulnerable and disadvantaged children.</w:t>
      </w:r>
      <w:r w:rsidR="00F01F8A">
        <w:rPr>
          <w:rStyle w:val="FootnoteReference"/>
        </w:rPr>
        <w:footnoteReference w:id="2"/>
      </w:r>
    </w:p>
    <w:p w14:paraId="498DE363" w14:textId="38E3096B" w:rsidR="0021308B" w:rsidRDefault="00E575F3" w:rsidP="00E575F3">
      <w:pPr>
        <w:rPr>
          <w:lang w:val="en-GB"/>
        </w:rPr>
      </w:pPr>
      <w:r>
        <w:br/>
      </w:r>
      <w:r w:rsidR="00DC4C25">
        <w:rPr>
          <w:rFonts w:eastAsia="Verdana" w:cs="Verdana"/>
        </w:rPr>
        <w:t>C</w:t>
      </w:r>
      <w:r w:rsidR="00BC7C11" w:rsidRPr="00FA6484">
        <w:rPr>
          <w:rFonts w:eastAsia="Verdana" w:cs="Verdana"/>
        </w:rPr>
        <w:t>onsultation with Aboriginal and Torres Strait Islander communities where CCCFR services operate was an important component of the review</w:t>
      </w:r>
      <w:r w:rsidR="00A41937" w:rsidRPr="00FA6484">
        <w:rPr>
          <w:lang w:val="en-GB"/>
        </w:rPr>
        <w:t>, in line with t</w:t>
      </w:r>
      <w:r w:rsidR="006F3218" w:rsidRPr="00FA6484">
        <w:rPr>
          <w:lang w:val="en-GB"/>
        </w:rPr>
        <w:t>he</w:t>
      </w:r>
      <w:r w:rsidR="005A54C8" w:rsidRPr="00FA6484">
        <w:rPr>
          <w:lang w:val="en-GB"/>
        </w:rPr>
        <w:t xml:space="preserve"> requirement in the</w:t>
      </w:r>
      <w:r w:rsidR="006F3218" w:rsidRPr="00FA6484">
        <w:rPr>
          <w:lang w:val="en-GB"/>
        </w:rPr>
        <w:t xml:space="preserve"> review’s Statement of Work </w:t>
      </w:r>
      <w:r w:rsidR="005A54C8" w:rsidRPr="00FA6484">
        <w:rPr>
          <w:lang w:val="en-GB"/>
        </w:rPr>
        <w:t>to examine</w:t>
      </w:r>
      <w:r w:rsidR="006F3218" w:rsidRPr="00FA6484">
        <w:rPr>
          <w:rFonts w:eastAsia="Verdana" w:cs="Verdana"/>
        </w:rPr>
        <w:t xml:space="preserve"> </w:t>
      </w:r>
      <w:r w:rsidR="00285091" w:rsidRPr="00FA6484">
        <w:rPr>
          <w:rFonts w:eastAsia="Verdana" w:cs="Verdana"/>
        </w:rPr>
        <w:t>ho</w:t>
      </w:r>
      <w:r w:rsidR="00AB6375" w:rsidRPr="00FA6484">
        <w:rPr>
          <w:rFonts w:eastAsia="Verdana" w:cs="Verdana"/>
        </w:rPr>
        <w:t>w</w:t>
      </w:r>
      <w:r w:rsidR="00285091" w:rsidRPr="00FA6484">
        <w:rPr>
          <w:rFonts w:eastAsia="Verdana" w:cs="Verdana"/>
        </w:rPr>
        <w:t xml:space="preserve"> much</w:t>
      </w:r>
      <w:r w:rsidR="006F3218" w:rsidRPr="00FA6484">
        <w:rPr>
          <w:rFonts w:eastAsia="Verdana" w:cs="Verdana"/>
        </w:rPr>
        <w:t xml:space="preserve"> the CCCFR grant</w:t>
      </w:r>
      <w:r w:rsidR="00AB6375" w:rsidRPr="00FA6484">
        <w:rPr>
          <w:rFonts w:eastAsia="Verdana" w:cs="Verdana"/>
        </w:rPr>
        <w:t xml:space="preserve"> and supporting </w:t>
      </w:r>
      <w:r w:rsidR="006F3218" w:rsidRPr="00FA6484">
        <w:rPr>
          <w:rFonts w:eastAsia="Verdana" w:cs="Verdana"/>
        </w:rPr>
        <w:t xml:space="preserve">processes and practices embed cultural safety in service delivery </w:t>
      </w:r>
      <w:r w:rsidR="00DF4B43" w:rsidRPr="00FA6484">
        <w:rPr>
          <w:rFonts w:eastAsia="Verdana" w:cs="Verdana"/>
        </w:rPr>
        <w:t>(</w:t>
      </w:r>
      <w:r w:rsidR="006F3218" w:rsidRPr="00FA6484">
        <w:rPr>
          <w:rFonts w:eastAsia="Verdana" w:cs="Verdana"/>
        </w:rPr>
        <w:t>in alignment with the National Agreement on Closing the Gap</w:t>
      </w:r>
      <w:r w:rsidR="00DF4B43" w:rsidRPr="00FA6484">
        <w:rPr>
          <w:rFonts w:eastAsia="Verdana" w:cs="Verdana"/>
        </w:rPr>
        <w:t>)</w:t>
      </w:r>
      <w:r w:rsidR="004D530A" w:rsidRPr="00FA6484">
        <w:rPr>
          <w:lang w:val="en-GB"/>
        </w:rPr>
        <w:t>.</w:t>
      </w:r>
      <w:r w:rsidR="004D530A" w:rsidRPr="47C593E7">
        <w:rPr>
          <w:lang w:val="en-GB"/>
        </w:rPr>
        <w:t xml:space="preserve">  </w:t>
      </w:r>
    </w:p>
    <w:p w14:paraId="3A32164A" w14:textId="339E5A77" w:rsidR="00E575F3" w:rsidRPr="00E575F3" w:rsidRDefault="00E575F3" w:rsidP="00E575F3">
      <w:pPr>
        <w:rPr>
          <w:lang w:val="en-GB"/>
        </w:rPr>
      </w:pPr>
      <w:r w:rsidRPr="00E575F3">
        <w:rPr>
          <w:lang w:val="en-GB"/>
        </w:rPr>
        <w:t xml:space="preserve">Deloitte Access Economics, together with the support of Aboriginal and Torres Strait Islander organisations SNAICC and Murawin, was appointed to conduct the review over a period from May 2023 through to February 2024. While SNAICC and Murawin significantly contributed to the process of this review, it is important to note that this report was prepared by Deloitte Access Economics. </w:t>
      </w:r>
    </w:p>
    <w:p w14:paraId="2E8DE8A7" w14:textId="3DB955B5" w:rsidR="00E575F3" w:rsidRPr="001959C0" w:rsidRDefault="0061717D" w:rsidP="001959C0">
      <w:pPr>
        <w:rPr>
          <w:b/>
          <w:bCs/>
          <w:color w:val="007CB0"/>
          <w:sz w:val="22"/>
          <w:szCs w:val="22"/>
          <w:lang w:val="en-GB"/>
        </w:rPr>
      </w:pPr>
      <w:bookmarkStart w:id="16" w:name="_Toc158993737"/>
      <w:r w:rsidRPr="001959C0">
        <w:rPr>
          <w:b/>
          <w:bCs/>
          <w:color w:val="007CB0"/>
          <w:sz w:val="22"/>
          <w:szCs w:val="22"/>
          <w:lang w:val="en-GB"/>
        </w:rPr>
        <w:t>The review backdrop</w:t>
      </w:r>
      <w:bookmarkEnd w:id="16"/>
      <w:r w:rsidRPr="001959C0">
        <w:rPr>
          <w:b/>
          <w:bCs/>
          <w:color w:val="007CB0"/>
          <w:sz w:val="22"/>
          <w:szCs w:val="22"/>
          <w:lang w:val="en-GB"/>
        </w:rPr>
        <w:t xml:space="preserve"> </w:t>
      </w:r>
    </w:p>
    <w:p w14:paraId="01430FFD" w14:textId="75784BDF" w:rsidR="00E575F3" w:rsidRPr="00E575F3" w:rsidRDefault="00E575F3" w:rsidP="00E575F3">
      <w:pPr>
        <w:rPr>
          <w:lang w:val="en-GB"/>
        </w:rPr>
      </w:pPr>
      <w:r w:rsidRPr="00E575F3">
        <w:rPr>
          <w:lang w:val="en-GB"/>
        </w:rPr>
        <w:t xml:space="preserve">The Australian Government has committed to charting a course for universal early childhood education and care (ECEC) – a system that satisfies conditions of </w:t>
      </w:r>
      <w:bookmarkStart w:id="17" w:name="_Hlk157083532"/>
      <w:r w:rsidRPr="00E575F3">
        <w:rPr>
          <w:lang w:val="en-GB"/>
        </w:rPr>
        <w:t>inclusivity, accessibility, affordability and availability</w:t>
      </w:r>
      <w:bookmarkEnd w:id="17"/>
      <w:r w:rsidR="00F01F8A">
        <w:rPr>
          <w:lang w:val="en-GB"/>
        </w:rPr>
        <w:t>.</w:t>
      </w:r>
      <w:r w:rsidR="009758C2">
        <w:rPr>
          <w:rStyle w:val="FootnoteReference"/>
        </w:rPr>
        <w:footnoteReference w:id="3"/>
      </w:r>
      <w:r w:rsidRPr="00E575F3">
        <w:rPr>
          <w:lang w:val="en-GB"/>
        </w:rPr>
        <w:t xml:space="preserve"> </w:t>
      </w:r>
    </w:p>
    <w:p w14:paraId="3E615F17" w14:textId="77777777" w:rsidR="00C25CA7" w:rsidRDefault="00E575F3" w:rsidP="00E575F3">
      <w:pPr>
        <w:rPr>
          <w:lang w:val="en-GB"/>
        </w:rPr>
      </w:pPr>
      <w:r w:rsidRPr="00E575F3">
        <w:rPr>
          <w:lang w:val="en-GB"/>
        </w:rPr>
        <w:t>In this context, services funded under the CCCFR grant play a vital role. While currently representing just 149 of the more than 14,000 approved child care services in Australia, they are an incredibly important part of the service provision landscape and of endeavours to achieve universal access to high quality ECEC.</w:t>
      </w:r>
      <w:r w:rsidR="002E497C">
        <w:rPr>
          <w:lang w:val="en-GB"/>
        </w:rPr>
        <w:t xml:space="preserve"> </w:t>
      </w:r>
    </w:p>
    <w:p w14:paraId="6B3E916F" w14:textId="30D57F5B" w:rsidR="00DC4C25" w:rsidRDefault="00E575F3" w:rsidP="00E575F3">
      <w:r w:rsidRPr="00E575F3">
        <w:rPr>
          <w:lang w:val="en-GB"/>
        </w:rPr>
        <w:t xml:space="preserve">Most operate in remote communities where barriers to provision are among the nation’s highest and the benefits to overcoming these barriers among the nation’s greatest. They are communities experiencing vulnerability and disadvantage of the highest order. </w:t>
      </w:r>
      <w:r w:rsidR="00B45E9C" w:rsidRPr="00564C7C">
        <w:t xml:space="preserve">Over half of CCCFR services are located in remote areas of Australia (57 per cent), with most of these services in very remote </w:t>
      </w:r>
      <w:r w:rsidR="00B45E9C" w:rsidRPr="00564C7C">
        <w:lastRenderedPageBreak/>
        <w:t>areas (44 per cent). Just under half of CCCFR services identify as an Aboriginal or Torres Strait Islander service (48 per cent).</w:t>
      </w:r>
      <w:r w:rsidR="00B45E9C" w:rsidRPr="00564C7C">
        <w:rPr>
          <w:rStyle w:val="FootnoteReference"/>
        </w:rPr>
        <w:footnoteReference w:id="4"/>
      </w:r>
      <w:r w:rsidR="00B45E9C" w:rsidRPr="00564C7C">
        <w:t xml:space="preserve"> </w:t>
      </w:r>
      <w:r w:rsidR="00DC4C25">
        <w:t xml:space="preserve"> Of the services that do not identify as Aboriginal and Torres Strait Islander, there are at least </w:t>
      </w:r>
      <w:r w:rsidR="00C16A1A">
        <w:t xml:space="preserve">a </w:t>
      </w:r>
      <w:r w:rsidR="00DC4C25">
        <w:t xml:space="preserve">further 19 and possibly as many as 25 services for which Aboriginal or Torres Strait Islander </w:t>
      </w:r>
      <w:r w:rsidR="00C16A1A">
        <w:t>c</w:t>
      </w:r>
      <w:r w:rsidR="00DC4C25">
        <w:t>hildren represent more than 50</w:t>
      </w:r>
      <w:r w:rsidR="00C16A1A">
        <w:t xml:space="preserve"> per cent</w:t>
      </w:r>
      <w:r w:rsidR="00DC4C25">
        <w:t xml:space="preserve"> of enrolments.  Put another way, Aboriginal and Torres Strait Islander enrolments comprise the majority of enrolments for between a quarter and a third of the services that </w:t>
      </w:r>
      <w:r w:rsidR="00892183">
        <w:t>do</w:t>
      </w:r>
      <w:r w:rsidR="00DC4C25">
        <w:t xml:space="preserve"> not identify as Aboriginal and Torres Strait Islander.</w:t>
      </w:r>
    </w:p>
    <w:p w14:paraId="04C90CCB" w14:textId="6B5C635E" w:rsidR="00E575F3" w:rsidRPr="00E575F3" w:rsidRDefault="00621FA3" w:rsidP="00E575F3">
      <w:pPr>
        <w:rPr>
          <w:lang w:val="en-GB"/>
        </w:rPr>
      </w:pPr>
      <w:r w:rsidRPr="00564C7C">
        <w:t xml:space="preserve">Most CCCFR services are located in areas of </w:t>
      </w:r>
      <w:r w:rsidR="00C10314" w:rsidRPr="00564C7C">
        <w:t>higher</w:t>
      </w:r>
      <w:r w:rsidRPr="00564C7C">
        <w:t xml:space="preserve"> </w:t>
      </w:r>
      <w:r w:rsidR="00DC4C25">
        <w:t xml:space="preserve">than average </w:t>
      </w:r>
      <w:r w:rsidRPr="00564C7C">
        <w:t>unemployment and</w:t>
      </w:r>
      <w:r w:rsidR="00C10314" w:rsidRPr="00564C7C">
        <w:t xml:space="preserve"> </w:t>
      </w:r>
      <w:r w:rsidR="00DC4C25">
        <w:t>where</w:t>
      </w:r>
      <w:r w:rsidR="00DC4C25" w:rsidRPr="00564C7C">
        <w:t xml:space="preserve"> </w:t>
      </w:r>
      <w:r w:rsidR="00C10314" w:rsidRPr="00564C7C">
        <w:t xml:space="preserve">more children </w:t>
      </w:r>
      <w:r w:rsidR="00DC4C25">
        <w:t xml:space="preserve">are </w:t>
      </w:r>
      <w:r w:rsidR="00C10314" w:rsidRPr="00564C7C">
        <w:t>at developmental risk</w:t>
      </w:r>
      <w:r w:rsidR="00C10314" w:rsidRPr="00564C7C">
        <w:rPr>
          <w:rStyle w:val="FootnoteReference"/>
        </w:rPr>
        <w:footnoteReference w:id="5"/>
      </w:r>
      <w:r w:rsidRPr="00564C7C">
        <w:t xml:space="preserve"> </w:t>
      </w:r>
      <w:r w:rsidR="00012E7C" w:rsidRPr="00564C7C">
        <w:t xml:space="preserve">– with half of all </w:t>
      </w:r>
      <w:r w:rsidR="00012E7C" w:rsidRPr="00564C7C">
        <w:rPr>
          <w:lang w:val="en-GB"/>
        </w:rPr>
        <w:t xml:space="preserve">CCCFR services located in areas experiencing </w:t>
      </w:r>
      <w:r w:rsidR="00DC4C25">
        <w:rPr>
          <w:lang w:val="en-GB"/>
        </w:rPr>
        <w:t>some of the greatest levels of</w:t>
      </w:r>
      <w:r w:rsidR="00012E7C" w:rsidRPr="00564C7C">
        <w:rPr>
          <w:lang w:val="en-GB"/>
        </w:rPr>
        <w:t xml:space="preserve"> disadvantage in Australia, as indicated by the </w:t>
      </w:r>
      <w:r w:rsidR="00DC4C25">
        <w:rPr>
          <w:lang w:val="en-GB"/>
        </w:rPr>
        <w:t>top dec</w:t>
      </w:r>
      <w:r w:rsidR="00892183">
        <w:rPr>
          <w:lang w:val="en-GB"/>
        </w:rPr>
        <w:t>ile</w:t>
      </w:r>
      <w:r w:rsidR="00DC4C25">
        <w:rPr>
          <w:lang w:val="en-GB"/>
        </w:rPr>
        <w:t xml:space="preserve"> </w:t>
      </w:r>
      <w:r w:rsidR="00741AA8">
        <w:rPr>
          <w:lang w:val="en-GB"/>
        </w:rPr>
        <w:t xml:space="preserve">of the </w:t>
      </w:r>
      <w:r w:rsidR="00012E7C" w:rsidRPr="00564C7C">
        <w:t>Socio-Economic Indexes for Areas (SEIFA).</w:t>
      </w:r>
      <w:r w:rsidR="00012E7C" w:rsidRPr="00564C7C">
        <w:rPr>
          <w:rStyle w:val="FootnoteReference"/>
        </w:rPr>
        <w:footnoteReference w:id="6"/>
      </w:r>
    </w:p>
    <w:p w14:paraId="2FFC7DD9" w14:textId="58FBCD54" w:rsidR="00E575F3" w:rsidRPr="00E575F3" w:rsidRDefault="00E575F3" w:rsidP="00E575F3">
      <w:pPr>
        <w:rPr>
          <w:lang w:val="en-GB"/>
        </w:rPr>
      </w:pPr>
      <w:r w:rsidRPr="00E575F3">
        <w:rPr>
          <w:lang w:val="en-GB"/>
        </w:rPr>
        <w:t xml:space="preserve">The CCCFR grant was established in 2017 as </w:t>
      </w:r>
      <w:r w:rsidRPr="00E575F3">
        <w:t>part of a suite of grants under the Community Child Care Fund (CCCF), which formed part of the Child Care Safety Net in the Jobs for Families Child Care Package.</w:t>
      </w:r>
      <w:r w:rsidR="002E497C">
        <w:t xml:space="preserve"> </w:t>
      </w:r>
    </w:p>
    <w:p w14:paraId="0474B25A" w14:textId="2CCABE98" w:rsidR="00E575F3" w:rsidRPr="00E575F3" w:rsidRDefault="00E575F3" w:rsidP="00E575F3">
      <w:pPr>
        <w:rPr>
          <w:lang w:val="en-GB"/>
        </w:rPr>
      </w:pPr>
      <w:r w:rsidRPr="00E575F3">
        <w:rPr>
          <w:lang w:val="en-GB"/>
        </w:rPr>
        <w:t xml:space="preserve">The CCCFR grant was ‘restricted’ in that eligibility was based on a </w:t>
      </w:r>
      <w:r w:rsidR="000917C7" w:rsidRPr="057B5CA7">
        <w:rPr>
          <w:lang w:val="en-GB"/>
        </w:rPr>
        <w:t>CCCF</w:t>
      </w:r>
      <w:r w:rsidR="00550AA1" w:rsidRPr="057B5CA7">
        <w:rPr>
          <w:lang w:val="en-GB"/>
        </w:rPr>
        <w:t>R</w:t>
      </w:r>
      <w:r w:rsidR="000917C7" w:rsidRPr="057B5CA7">
        <w:rPr>
          <w:lang w:val="en-GB"/>
        </w:rPr>
        <w:t xml:space="preserve"> </w:t>
      </w:r>
      <w:r w:rsidRPr="057B5CA7">
        <w:rPr>
          <w:lang w:val="en-GB"/>
        </w:rPr>
        <w:t>service</w:t>
      </w:r>
      <w:r w:rsidR="00667871" w:rsidRPr="057B5CA7">
        <w:rPr>
          <w:lang w:val="en-GB"/>
        </w:rPr>
        <w:t>’</w:t>
      </w:r>
      <w:r w:rsidRPr="057B5CA7">
        <w:rPr>
          <w:lang w:val="en-GB"/>
        </w:rPr>
        <w:t>s</w:t>
      </w:r>
      <w:r w:rsidRPr="00E575F3">
        <w:rPr>
          <w:lang w:val="en-GB"/>
        </w:rPr>
        <w:t xml:space="preserve"> former funding arrangements. Former funding arrangements initially included Budget Based Funded (BBF) services, Non-Formula Funded Occasional Child Care (NFFOCC) and the Indigenous Advancement Strategy (IAS). </w:t>
      </w:r>
      <w:r w:rsidR="00EA3B93" w:rsidRPr="00F549A8">
        <w:rPr>
          <w:lang w:val="en-GB"/>
        </w:rPr>
        <w:t xml:space="preserve">Nearly all services are </w:t>
      </w:r>
      <w:r w:rsidR="003B145C" w:rsidRPr="00F549A8">
        <w:rPr>
          <w:lang w:val="en-GB"/>
        </w:rPr>
        <w:t>centre based day care services (93 per cent), with the remainder</w:t>
      </w:r>
      <w:r w:rsidR="00EE34B7" w:rsidRPr="00F549A8">
        <w:rPr>
          <w:lang w:val="en-GB"/>
        </w:rPr>
        <w:t xml:space="preserve"> classified as outside school hours care services </w:t>
      </w:r>
      <w:r w:rsidR="00E02209" w:rsidRPr="00F549A8">
        <w:rPr>
          <w:lang w:val="en-GB"/>
        </w:rPr>
        <w:t>(7 per cent).</w:t>
      </w:r>
      <w:r w:rsidR="003E6BD0" w:rsidRPr="00F549A8">
        <w:rPr>
          <w:lang w:val="en-GB"/>
        </w:rPr>
        <w:t xml:space="preserve"> </w:t>
      </w:r>
      <w:r w:rsidR="006060DB" w:rsidRPr="00F549A8">
        <w:rPr>
          <w:lang w:val="en-GB"/>
        </w:rPr>
        <w:t>A small number of</w:t>
      </w:r>
      <w:r w:rsidR="000C70B1" w:rsidRPr="00F549A8">
        <w:rPr>
          <w:lang w:val="en-GB"/>
        </w:rPr>
        <w:t xml:space="preserve"> centre based day care services </w:t>
      </w:r>
      <w:r w:rsidR="00F41842" w:rsidRPr="00F549A8">
        <w:rPr>
          <w:lang w:val="en-GB"/>
        </w:rPr>
        <w:t>also provide mobil</w:t>
      </w:r>
      <w:r w:rsidR="006060DB" w:rsidRPr="00F549A8">
        <w:rPr>
          <w:lang w:val="en-GB"/>
        </w:rPr>
        <w:t>e services (</w:t>
      </w:r>
      <w:r w:rsidR="006060DB" w:rsidRPr="00F549A8">
        <w:t>10 per cent of all CCCFR services).</w:t>
      </w:r>
    </w:p>
    <w:p w14:paraId="0BEAE9F2" w14:textId="3DDED926" w:rsidR="00E575F3" w:rsidRPr="00E575F3" w:rsidRDefault="00E575F3" w:rsidP="00E575F3">
      <w:pPr>
        <w:rPr>
          <w:lang w:val="en-GB"/>
        </w:rPr>
      </w:pPr>
      <w:r w:rsidRPr="00E575F3">
        <w:rPr>
          <w:lang w:val="en-GB"/>
        </w:rPr>
        <w:t xml:space="preserve">The CCCFR grant was intended to provide </w:t>
      </w:r>
      <w:r w:rsidR="00630AA3">
        <w:rPr>
          <w:lang w:val="en-GB"/>
        </w:rPr>
        <w:t xml:space="preserve">another </w:t>
      </w:r>
      <w:r w:rsidRPr="00E575F3">
        <w:rPr>
          <w:lang w:val="en-GB"/>
        </w:rPr>
        <w:t>source of funding to these services, in addition to the CCS and ACCS under the Jobs for Families Child Care Package. It was identified that these services would likely need further funding and other support to remain viable during and beyond the transition period. The funding was designed to taper gradually over a five-year period as more children eligible for CCS and ACCS would enrol and reliance on grant funding was expected to decrease as a result.</w:t>
      </w:r>
    </w:p>
    <w:p w14:paraId="4E1DB06F" w14:textId="6C5586DA" w:rsidR="00E575F3" w:rsidRPr="00E575F3" w:rsidRDefault="00544ED6" w:rsidP="00E575F3">
      <w:pPr>
        <w:rPr>
          <w:lang w:val="en-GB"/>
        </w:rPr>
      </w:pPr>
      <w:r>
        <w:rPr>
          <w:lang w:val="en-GB"/>
        </w:rPr>
        <w:t>Due to</w:t>
      </w:r>
      <w:r w:rsidR="00E575F3" w:rsidRPr="00E575F3">
        <w:rPr>
          <w:lang w:val="en-GB"/>
        </w:rPr>
        <w:t xml:space="preserve"> the broad funding arrangements through which </w:t>
      </w:r>
      <w:r w:rsidR="00E016FD" w:rsidRPr="00E016FD">
        <w:rPr>
          <w:lang w:val="en-GB"/>
        </w:rPr>
        <w:t xml:space="preserve">CCCFR </w:t>
      </w:r>
      <w:r w:rsidR="00E575F3" w:rsidRPr="00E575F3">
        <w:rPr>
          <w:lang w:val="en-GB"/>
        </w:rPr>
        <w:t xml:space="preserve">services were supported prior to being incorporated into the CCCFR grant, there is significant diversity among them. In addition to the large number of centre-based child care </w:t>
      </w:r>
      <w:r w:rsidR="00E016FD" w:rsidRPr="00E016FD">
        <w:rPr>
          <w:lang w:val="en-GB"/>
        </w:rPr>
        <w:t xml:space="preserve">CCCFR </w:t>
      </w:r>
      <w:r w:rsidR="00E575F3" w:rsidRPr="00E575F3">
        <w:rPr>
          <w:lang w:val="en-GB"/>
        </w:rPr>
        <w:t xml:space="preserve">services operating in remote Aboriginal and Torres Strait Islander communities, there are also smaller numbers of </w:t>
      </w:r>
      <w:r w:rsidR="00E016FD" w:rsidRPr="00E016FD">
        <w:rPr>
          <w:lang w:val="en-GB"/>
        </w:rPr>
        <w:t xml:space="preserve">CCCFR </w:t>
      </w:r>
      <w:r w:rsidR="00E575F3" w:rsidRPr="00E575F3">
        <w:rPr>
          <w:lang w:val="en-GB"/>
        </w:rPr>
        <w:t xml:space="preserve">services responding to additional community needs including: mobile </w:t>
      </w:r>
      <w:r w:rsidR="00E016FD" w:rsidRPr="00E016FD">
        <w:rPr>
          <w:lang w:val="en-GB"/>
        </w:rPr>
        <w:t xml:space="preserve">CCCFR </w:t>
      </w:r>
      <w:r w:rsidR="00E575F3" w:rsidRPr="00E575F3">
        <w:rPr>
          <w:lang w:val="en-GB"/>
        </w:rPr>
        <w:t xml:space="preserve">services targeting families in rural communities, </w:t>
      </w:r>
      <w:r w:rsidR="00E016FD" w:rsidRPr="00E016FD">
        <w:rPr>
          <w:lang w:val="en-GB"/>
        </w:rPr>
        <w:t xml:space="preserve">CCCFR </w:t>
      </w:r>
      <w:r w:rsidR="00E575F3" w:rsidRPr="00E575F3">
        <w:rPr>
          <w:lang w:val="en-GB"/>
        </w:rPr>
        <w:t>services providing child</w:t>
      </w:r>
      <w:r w:rsidR="00C03FB1">
        <w:rPr>
          <w:lang w:val="en-GB"/>
        </w:rPr>
        <w:t xml:space="preserve"> </w:t>
      </w:r>
      <w:r w:rsidR="00E575F3" w:rsidRPr="00E575F3">
        <w:rPr>
          <w:lang w:val="en-GB"/>
        </w:rPr>
        <w:t xml:space="preserve">care to support refugee and migrant families in urban settings, </w:t>
      </w:r>
      <w:r w:rsidR="00E016FD" w:rsidRPr="00E016FD">
        <w:rPr>
          <w:lang w:val="en-GB"/>
        </w:rPr>
        <w:t xml:space="preserve">CCCFR </w:t>
      </w:r>
      <w:r w:rsidR="00E575F3" w:rsidRPr="00E575F3">
        <w:rPr>
          <w:lang w:val="en-GB"/>
        </w:rPr>
        <w:t>services providing child</w:t>
      </w:r>
      <w:r w:rsidR="00C03FB1">
        <w:rPr>
          <w:lang w:val="en-GB"/>
        </w:rPr>
        <w:t xml:space="preserve"> </w:t>
      </w:r>
      <w:r w:rsidR="00E575F3" w:rsidRPr="00E575F3">
        <w:rPr>
          <w:lang w:val="en-GB"/>
        </w:rPr>
        <w:t xml:space="preserve">care to enable young mothers to complete school, </w:t>
      </w:r>
      <w:r w:rsidR="00E016FD" w:rsidRPr="00E016FD">
        <w:rPr>
          <w:lang w:val="en-GB"/>
        </w:rPr>
        <w:t xml:space="preserve">CCCFR </w:t>
      </w:r>
      <w:r w:rsidR="00E575F3" w:rsidRPr="00E575F3">
        <w:rPr>
          <w:lang w:val="en-GB"/>
        </w:rPr>
        <w:t>services providing child</w:t>
      </w:r>
      <w:r w:rsidR="00C03FB1">
        <w:rPr>
          <w:lang w:val="en-GB"/>
        </w:rPr>
        <w:t xml:space="preserve"> </w:t>
      </w:r>
      <w:r w:rsidR="00E575F3" w:rsidRPr="00E575F3">
        <w:rPr>
          <w:lang w:val="en-GB"/>
        </w:rPr>
        <w:t xml:space="preserve">care to enable families to receive treatment for their health and wellbeing, and outside school hours care </w:t>
      </w:r>
      <w:r w:rsidR="00667F08" w:rsidRPr="00667F08">
        <w:rPr>
          <w:lang w:val="en-GB"/>
        </w:rPr>
        <w:t xml:space="preserve">CCCFR </w:t>
      </w:r>
      <w:r w:rsidR="00E575F3" w:rsidRPr="00E575F3">
        <w:rPr>
          <w:lang w:val="en-GB"/>
        </w:rPr>
        <w:t xml:space="preserve">services. </w:t>
      </w:r>
    </w:p>
    <w:p w14:paraId="64066767" w14:textId="717AF46D" w:rsidR="00E575F3" w:rsidRPr="00E575F3" w:rsidRDefault="00DF7292" w:rsidP="00E575F3">
      <w:pPr>
        <w:rPr>
          <w:lang w:val="en-GB"/>
        </w:rPr>
      </w:pPr>
      <w:r>
        <w:rPr>
          <w:lang w:val="en-GB"/>
        </w:rPr>
        <w:t>In addition</w:t>
      </w:r>
      <w:r w:rsidR="00E575F3" w:rsidRPr="00E575F3">
        <w:rPr>
          <w:lang w:val="en-GB"/>
        </w:rPr>
        <w:t xml:space="preserve"> to the breadth of service delivery models and community circumstances, there are differences in the organising structures of the providers. Providers include councils, Aboriginal Community Controlled Organisations, large and small non-profits, some of which are ECEC-specific, some of which have broader community remits.</w:t>
      </w:r>
      <w:r w:rsidR="002E497C">
        <w:rPr>
          <w:lang w:val="en-GB"/>
        </w:rPr>
        <w:t xml:space="preserve"> </w:t>
      </w:r>
      <w:r w:rsidR="00E575F3" w:rsidRPr="00E575F3">
        <w:rPr>
          <w:lang w:val="en-GB"/>
        </w:rPr>
        <w:t xml:space="preserve"> </w:t>
      </w:r>
    </w:p>
    <w:p w14:paraId="64B9D11A" w14:textId="1777110E" w:rsidR="00E575F3" w:rsidRPr="00E575F3" w:rsidRDefault="00E575F3" w:rsidP="00E575F3">
      <w:pPr>
        <w:rPr>
          <w:lang w:val="en-GB"/>
        </w:rPr>
      </w:pPr>
      <w:r w:rsidRPr="00E575F3">
        <w:rPr>
          <w:lang w:val="en-GB"/>
        </w:rPr>
        <w:t xml:space="preserve">While these </w:t>
      </w:r>
      <w:r w:rsidR="00EC3673" w:rsidRPr="00EC3673">
        <w:rPr>
          <w:lang w:val="en-GB"/>
        </w:rPr>
        <w:t xml:space="preserve">CCCFR </w:t>
      </w:r>
      <w:r w:rsidRPr="00E575F3">
        <w:rPr>
          <w:lang w:val="en-GB"/>
        </w:rPr>
        <w:t xml:space="preserve">services by and large share a common thread in that they are used by families experiencing vulnerability and disadvantage, the economic, social and financial barriers to delivering education and child care within these settings </w:t>
      </w:r>
      <w:r w:rsidR="00741AA8">
        <w:rPr>
          <w:lang w:val="en-GB"/>
        </w:rPr>
        <w:t>vary widely</w:t>
      </w:r>
      <w:r w:rsidRPr="00E575F3">
        <w:rPr>
          <w:lang w:val="en-GB"/>
        </w:rPr>
        <w:t>.</w:t>
      </w:r>
      <w:r w:rsidR="002E497C">
        <w:rPr>
          <w:lang w:val="en-GB"/>
        </w:rPr>
        <w:t xml:space="preserve"> </w:t>
      </w:r>
    </w:p>
    <w:p w14:paraId="4797C7DC" w14:textId="25833319" w:rsidR="00E575F3" w:rsidRPr="00E575F3" w:rsidRDefault="00E575F3" w:rsidP="00E575F3">
      <w:pPr>
        <w:rPr>
          <w:lang w:val="en-GB"/>
        </w:rPr>
      </w:pPr>
      <w:r w:rsidRPr="00E575F3">
        <w:rPr>
          <w:lang w:val="en-GB"/>
        </w:rPr>
        <w:t xml:space="preserve">Charting a course for the future of these services is a </w:t>
      </w:r>
      <w:r w:rsidR="00385476">
        <w:rPr>
          <w:lang w:val="en-GB"/>
        </w:rPr>
        <w:t>multifaceted challenge</w:t>
      </w:r>
      <w:r w:rsidRPr="00E575F3">
        <w:rPr>
          <w:lang w:val="en-GB"/>
        </w:rPr>
        <w:t>, not least due to these situational differences</w:t>
      </w:r>
      <w:r w:rsidR="00F60656">
        <w:rPr>
          <w:lang w:val="en-GB"/>
        </w:rPr>
        <w:t>. Compounding this complexity is</w:t>
      </w:r>
      <w:r w:rsidRPr="00E575F3">
        <w:rPr>
          <w:lang w:val="en-GB"/>
        </w:rPr>
        <w:t xml:space="preserve"> the policy and funding ecosystem </w:t>
      </w:r>
      <w:r w:rsidR="00741AA8">
        <w:rPr>
          <w:lang w:val="en-GB"/>
        </w:rPr>
        <w:t xml:space="preserve">that the </w:t>
      </w:r>
      <w:r w:rsidRPr="00E575F3">
        <w:rPr>
          <w:lang w:val="en-GB"/>
        </w:rPr>
        <w:t xml:space="preserve">CCCFR </w:t>
      </w:r>
      <w:r w:rsidR="00741AA8">
        <w:rPr>
          <w:lang w:val="en-GB"/>
        </w:rPr>
        <w:t xml:space="preserve">grant </w:t>
      </w:r>
      <w:r w:rsidRPr="00E575F3">
        <w:rPr>
          <w:lang w:val="en-GB"/>
        </w:rPr>
        <w:t>is both reliant on and responsive to.</w:t>
      </w:r>
      <w:r w:rsidR="002E497C">
        <w:rPr>
          <w:lang w:val="en-GB"/>
        </w:rPr>
        <w:t xml:space="preserve">  </w:t>
      </w:r>
    </w:p>
    <w:p w14:paraId="24DB0E9A" w14:textId="354C0A45" w:rsidR="00E575F3" w:rsidRPr="00E575F3" w:rsidRDefault="00E575F3" w:rsidP="00E575F3">
      <w:pPr>
        <w:rPr>
          <w:lang w:val="en-GB"/>
        </w:rPr>
      </w:pPr>
      <w:bookmarkStart w:id="18" w:name="_Hlk162342848"/>
      <w:r w:rsidRPr="00E575F3">
        <w:rPr>
          <w:lang w:val="en-GB"/>
        </w:rPr>
        <w:lastRenderedPageBreak/>
        <w:t xml:space="preserve">At the time of this review a number of concurrent sector-level reviews were underway that have the potential to materially impact the broader policy and funding environment, including the Productivity Commission </w:t>
      </w:r>
      <w:r w:rsidR="00741AA8">
        <w:rPr>
          <w:lang w:val="en-GB"/>
        </w:rPr>
        <w:t>i</w:t>
      </w:r>
      <w:r w:rsidRPr="00E575F3">
        <w:rPr>
          <w:lang w:val="en-GB"/>
        </w:rPr>
        <w:t xml:space="preserve">nquiry into ECEC, the ACCC inquiry into the market supply of child care services, the DSS Early Years Strategy, the Inclusion Support Program review, </w:t>
      </w:r>
      <w:r w:rsidR="001A588A" w:rsidRPr="001A588A">
        <w:rPr>
          <w:lang w:val="en-GB"/>
        </w:rPr>
        <w:t>and a research project commissioned by the Early Childhood Care and Development Policy Partnership on funding model options for ACCOs that deliver ECEC</w:t>
      </w:r>
      <w:r w:rsidR="001A588A">
        <w:rPr>
          <w:lang w:val="en-GB"/>
        </w:rPr>
        <w:t>.</w:t>
      </w:r>
      <w:bookmarkEnd w:id="18"/>
      <w:r w:rsidRPr="00E575F3">
        <w:rPr>
          <w:lang w:val="en-GB"/>
        </w:rPr>
        <w:br/>
      </w:r>
      <w:r w:rsidRPr="00E575F3">
        <w:rPr>
          <w:lang w:val="en-GB"/>
        </w:rPr>
        <w:br/>
        <w:t xml:space="preserve">As this review was being finalised, the Productivity Commission </w:t>
      </w:r>
      <w:r w:rsidR="00620C03">
        <w:rPr>
          <w:lang w:val="en-GB"/>
        </w:rPr>
        <w:t xml:space="preserve">(PC) </w:t>
      </w:r>
      <w:r w:rsidRPr="00E575F3">
        <w:rPr>
          <w:lang w:val="en-GB"/>
        </w:rPr>
        <w:t>also released its review of progress on the National Agreement on Closing the Gap and found governments have largely not fulfilled their obligations.</w:t>
      </w:r>
      <w:r w:rsidR="00654AEB">
        <w:rPr>
          <w:rStyle w:val="FootnoteReference"/>
        </w:rPr>
        <w:footnoteReference w:id="7"/>
      </w:r>
      <w:r w:rsidRPr="00E575F3">
        <w:rPr>
          <w:lang w:val="en-GB"/>
        </w:rPr>
        <w:t xml:space="preserve"> The PC makes four recommendations to government to drive progress: share power; recognise and support Indigenous Data Sovereignty; fundamentally rethink mainstream government systems and culture; and implement stronger accountability.</w:t>
      </w:r>
    </w:p>
    <w:p w14:paraId="649AEBA4" w14:textId="2DD2DC31" w:rsidR="00E575F3" w:rsidRPr="001959C0" w:rsidRDefault="00350073" w:rsidP="001959C0">
      <w:pPr>
        <w:rPr>
          <w:b/>
          <w:bCs/>
          <w:color w:val="007CB0"/>
          <w:sz w:val="22"/>
          <w:szCs w:val="22"/>
          <w:lang w:val="en-GB"/>
        </w:rPr>
      </w:pPr>
      <w:bookmarkStart w:id="19" w:name="_Toc158993738"/>
      <w:r w:rsidRPr="001959C0">
        <w:rPr>
          <w:b/>
          <w:bCs/>
          <w:color w:val="007CB0"/>
          <w:sz w:val="22"/>
          <w:szCs w:val="22"/>
          <w:lang w:val="en-GB"/>
        </w:rPr>
        <w:t>The case for change: f</w:t>
      </w:r>
      <w:r w:rsidR="00956D07" w:rsidRPr="001959C0">
        <w:rPr>
          <w:b/>
          <w:bCs/>
          <w:color w:val="007CB0"/>
          <w:sz w:val="22"/>
          <w:szCs w:val="22"/>
          <w:lang w:val="en-GB"/>
        </w:rPr>
        <w:t>indings overview</w:t>
      </w:r>
      <w:bookmarkEnd w:id="19"/>
    </w:p>
    <w:p w14:paraId="264EED17" w14:textId="040D8E07" w:rsidR="00E575F3" w:rsidRPr="00E575F3" w:rsidRDefault="00C223E8" w:rsidP="00E575F3">
      <w:pPr>
        <w:rPr>
          <w:lang w:val="en-GB"/>
        </w:rPr>
      </w:pPr>
      <w:r>
        <w:rPr>
          <w:lang w:val="en-GB"/>
        </w:rPr>
        <w:t>A</w:t>
      </w:r>
      <w:r w:rsidRPr="00E575F3">
        <w:rPr>
          <w:lang w:val="en-GB"/>
        </w:rPr>
        <w:t xml:space="preserve"> </w:t>
      </w:r>
      <w:r w:rsidR="00E575F3" w:rsidRPr="00E575F3">
        <w:rPr>
          <w:lang w:val="en-GB"/>
        </w:rPr>
        <w:t xml:space="preserve">central truth of the CCCFR service ecosystem is that each organisation </w:t>
      </w:r>
      <w:r w:rsidR="00141E27">
        <w:rPr>
          <w:lang w:val="en-GB"/>
        </w:rPr>
        <w:t>has evolved</w:t>
      </w:r>
      <w:r w:rsidR="00E575F3" w:rsidRPr="00E575F3">
        <w:rPr>
          <w:lang w:val="en-GB"/>
        </w:rPr>
        <w:t xml:space="preserve"> in response to the unique needs of </w:t>
      </w:r>
      <w:r w:rsidR="00E34DC1">
        <w:rPr>
          <w:lang w:val="en-GB"/>
        </w:rPr>
        <w:t>its</w:t>
      </w:r>
      <w:r w:rsidR="00E575F3" w:rsidRPr="00E575F3">
        <w:rPr>
          <w:lang w:val="en-GB"/>
        </w:rPr>
        <w:t xml:space="preserve"> community. </w:t>
      </w:r>
      <w:r w:rsidR="00E2391E" w:rsidRPr="00E2391E">
        <w:t>The nature, structure, problem-solving focus, and financial capacity of the service are all shaped by various determinants, including the child community, parent community, service community, employment community, as well as demographic and social factors</w:t>
      </w:r>
      <w:r w:rsidR="00E575F3" w:rsidRPr="00E575F3">
        <w:rPr>
          <w:lang w:val="en-GB"/>
        </w:rPr>
        <w:t xml:space="preserve">. </w:t>
      </w:r>
    </w:p>
    <w:p w14:paraId="3CEA5529" w14:textId="32CA1733" w:rsidR="00E575F3" w:rsidRPr="00E575F3" w:rsidRDefault="00E92DC0" w:rsidP="00E575F3">
      <w:pPr>
        <w:rPr>
          <w:lang w:val="en-GB"/>
        </w:rPr>
      </w:pPr>
      <w:r w:rsidRPr="00E92DC0">
        <w:rPr>
          <w:lang w:val="en-GB"/>
        </w:rPr>
        <w:t xml:space="preserve">CCCFR </w:t>
      </w:r>
      <w:r>
        <w:rPr>
          <w:lang w:val="en-GB"/>
        </w:rPr>
        <w:t>s</w:t>
      </w:r>
      <w:r w:rsidR="00FE6373" w:rsidRPr="00FE6373">
        <w:rPr>
          <w:lang w:val="en-GB"/>
        </w:rPr>
        <w:t xml:space="preserve">ervices are not only influenced by current circumstances; they are also intricately shaped by the rich context, history, and aspirations </w:t>
      </w:r>
      <w:r w:rsidR="00D0693E">
        <w:rPr>
          <w:lang w:val="en-GB"/>
        </w:rPr>
        <w:t>of</w:t>
      </w:r>
      <w:r w:rsidR="00FE6373" w:rsidRPr="00FE6373">
        <w:rPr>
          <w:lang w:val="en-GB"/>
        </w:rPr>
        <w:t xml:space="preserve"> each community. </w:t>
      </w:r>
      <w:r w:rsidR="00E575F3" w:rsidRPr="00E575F3">
        <w:rPr>
          <w:lang w:val="en-GB"/>
        </w:rPr>
        <w:t>In many instances</w:t>
      </w:r>
      <w:r w:rsidR="009352CC">
        <w:rPr>
          <w:lang w:val="en-GB"/>
        </w:rPr>
        <w:t>,</w:t>
      </w:r>
      <w:r w:rsidR="00E575F3" w:rsidRPr="00E575F3">
        <w:rPr>
          <w:lang w:val="en-GB"/>
        </w:rPr>
        <w:t xml:space="preserve"> the gap to be closed in these communities is anchored in history</w:t>
      </w:r>
      <w:r w:rsidR="009352CC">
        <w:rPr>
          <w:lang w:val="en-GB"/>
        </w:rPr>
        <w:t>.</w:t>
      </w:r>
      <w:r w:rsidR="00E575F3" w:rsidRPr="00E575F3">
        <w:rPr>
          <w:lang w:val="en-GB"/>
        </w:rPr>
        <w:t xml:space="preserve"> </w:t>
      </w:r>
      <w:r w:rsidR="00766C5D">
        <w:rPr>
          <w:lang w:val="en-GB"/>
        </w:rPr>
        <w:t xml:space="preserve">Consequently, </w:t>
      </w:r>
      <w:r w:rsidR="007D3522">
        <w:rPr>
          <w:lang w:val="en-GB"/>
        </w:rPr>
        <w:t xml:space="preserve">CCCFR services </w:t>
      </w:r>
      <w:r w:rsidR="00F00068">
        <w:rPr>
          <w:lang w:val="en-GB"/>
        </w:rPr>
        <w:t>vary greatly in their</w:t>
      </w:r>
      <w:r w:rsidR="00D65D35">
        <w:rPr>
          <w:lang w:val="en-GB"/>
        </w:rPr>
        <w:t xml:space="preserve"> </w:t>
      </w:r>
      <w:r w:rsidR="00C840A7">
        <w:rPr>
          <w:lang w:val="en-GB"/>
        </w:rPr>
        <w:t xml:space="preserve">key areas of </w:t>
      </w:r>
      <w:r w:rsidR="006A1964">
        <w:rPr>
          <w:lang w:val="en-GB"/>
        </w:rPr>
        <w:t>focus</w:t>
      </w:r>
      <w:r w:rsidR="00E575F3" w:rsidRPr="00E575F3">
        <w:rPr>
          <w:lang w:val="en-GB"/>
        </w:rPr>
        <w:t xml:space="preserve">. </w:t>
      </w:r>
    </w:p>
    <w:p w14:paraId="04D1DC84" w14:textId="486A14BE" w:rsidR="00E575F3" w:rsidRPr="00E575F3" w:rsidRDefault="00D12E57" w:rsidP="00E575F3">
      <w:pPr>
        <w:rPr>
          <w:lang w:val="en-GB"/>
        </w:rPr>
      </w:pPr>
      <w:r w:rsidRPr="00D12E57">
        <w:rPr>
          <w:lang w:val="en-GB"/>
        </w:rPr>
        <w:t>The myriad</w:t>
      </w:r>
      <w:r w:rsidR="00E575F3" w:rsidRPr="00E575F3">
        <w:rPr>
          <w:lang w:val="en-GB"/>
        </w:rPr>
        <w:t xml:space="preserve"> </w:t>
      </w:r>
      <w:r w:rsidR="00C223E8">
        <w:rPr>
          <w:lang w:val="en-GB"/>
        </w:rPr>
        <w:t xml:space="preserve">of </w:t>
      </w:r>
      <w:r w:rsidR="00E575F3" w:rsidRPr="00E575F3">
        <w:rPr>
          <w:lang w:val="en-GB"/>
        </w:rPr>
        <w:t xml:space="preserve">forces </w:t>
      </w:r>
      <w:r w:rsidRPr="00D12E57">
        <w:rPr>
          <w:lang w:val="en-GB"/>
        </w:rPr>
        <w:t>stemming from diverse contexts complicate</w:t>
      </w:r>
      <w:r w:rsidR="00E575F3" w:rsidRPr="00E575F3">
        <w:rPr>
          <w:lang w:val="en-GB"/>
        </w:rPr>
        <w:t xml:space="preserve"> the </w:t>
      </w:r>
      <w:r w:rsidRPr="00D12E57">
        <w:rPr>
          <w:lang w:val="en-GB"/>
        </w:rPr>
        <w:t>quest</w:t>
      </w:r>
      <w:r w:rsidR="00E575F3" w:rsidRPr="00E575F3">
        <w:rPr>
          <w:lang w:val="en-GB"/>
        </w:rPr>
        <w:t xml:space="preserve"> for metrics of comparison </w:t>
      </w:r>
      <w:r w:rsidRPr="00D12E57">
        <w:rPr>
          <w:lang w:val="en-GB"/>
        </w:rPr>
        <w:t>regarding</w:t>
      </w:r>
      <w:r w:rsidR="00E575F3" w:rsidRPr="00E575F3">
        <w:rPr>
          <w:lang w:val="en-GB"/>
        </w:rPr>
        <w:t xml:space="preserve"> policy and funding alignment for CCCFR grant administrators</w:t>
      </w:r>
      <w:r w:rsidRPr="00D12E57">
        <w:rPr>
          <w:lang w:val="en-GB"/>
        </w:rPr>
        <w:t>. They are tasked with navigating not only varying</w:t>
      </w:r>
      <w:r w:rsidR="00E575F3" w:rsidRPr="00E575F3">
        <w:rPr>
          <w:lang w:val="en-GB"/>
        </w:rPr>
        <w:t xml:space="preserve"> jurisdictional responsibilities</w:t>
      </w:r>
      <w:r w:rsidRPr="00D12E57">
        <w:rPr>
          <w:lang w:val="en-GB"/>
        </w:rPr>
        <w:t xml:space="preserve"> but also juggling</w:t>
      </w:r>
      <w:r w:rsidR="00E575F3" w:rsidRPr="00E575F3">
        <w:rPr>
          <w:lang w:val="en-GB"/>
        </w:rPr>
        <w:t xml:space="preserve"> community priorities and </w:t>
      </w:r>
      <w:r w:rsidRPr="00D12E57">
        <w:rPr>
          <w:lang w:val="en-GB"/>
        </w:rPr>
        <w:t>divergent</w:t>
      </w:r>
      <w:r w:rsidR="00E575F3" w:rsidRPr="00E575F3">
        <w:rPr>
          <w:lang w:val="en-GB"/>
        </w:rPr>
        <w:t xml:space="preserve"> policy </w:t>
      </w:r>
      <w:r w:rsidRPr="00D12E57">
        <w:rPr>
          <w:lang w:val="en-GB"/>
        </w:rPr>
        <w:t>focuses</w:t>
      </w:r>
      <w:r w:rsidR="00E575F3" w:rsidRPr="00E575F3">
        <w:rPr>
          <w:lang w:val="en-GB"/>
        </w:rPr>
        <w:t xml:space="preserve"> within </w:t>
      </w:r>
      <w:r w:rsidR="00642936">
        <w:rPr>
          <w:lang w:val="en-GB"/>
        </w:rPr>
        <w:t xml:space="preserve">and across </w:t>
      </w:r>
      <w:r w:rsidR="00E575F3" w:rsidRPr="00E575F3">
        <w:rPr>
          <w:lang w:val="en-GB"/>
        </w:rPr>
        <w:t>government</w:t>
      </w:r>
      <w:r w:rsidR="00642936">
        <w:rPr>
          <w:lang w:val="en-GB"/>
        </w:rPr>
        <w:t>s</w:t>
      </w:r>
      <w:r w:rsidR="00E575F3" w:rsidRPr="00E575F3">
        <w:rPr>
          <w:lang w:val="en-GB"/>
        </w:rPr>
        <w:t xml:space="preserve">. </w:t>
      </w:r>
    </w:p>
    <w:p w14:paraId="02056689" w14:textId="45FAF2E9" w:rsidR="00E575F3" w:rsidRPr="00E575F3" w:rsidRDefault="00E575F3" w:rsidP="00E575F3">
      <w:pPr>
        <w:rPr>
          <w:lang w:val="en-GB"/>
        </w:rPr>
      </w:pPr>
      <w:r w:rsidRPr="00E575F3">
        <w:rPr>
          <w:lang w:val="en-GB"/>
        </w:rPr>
        <w:t xml:space="preserve">When the CCCFR grant administrators </w:t>
      </w:r>
      <w:r w:rsidR="00BD2F6E">
        <w:rPr>
          <w:lang w:val="en-GB"/>
        </w:rPr>
        <w:t>assumed responsibility for</w:t>
      </w:r>
      <w:r w:rsidRPr="00E575F3">
        <w:rPr>
          <w:lang w:val="en-GB"/>
        </w:rPr>
        <w:t xml:space="preserve"> these</w:t>
      </w:r>
      <w:r w:rsidR="00D507C3">
        <w:rPr>
          <w:lang w:val="en-GB"/>
        </w:rPr>
        <w:t xml:space="preserve"> </w:t>
      </w:r>
      <w:r w:rsidR="00D507C3" w:rsidRPr="00D507C3">
        <w:rPr>
          <w:lang w:val="en-GB"/>
        </w:rPr>
        <w:t>CCCFR</w:t>
      </w:r>
      <w:r w:rsidRPr="00E575F3">
        <w:rPr>
          <w:lang w:val="en-GB"/>
        </w:rPr>
        <w:t xml:space="preserve"> services in 2017, they </w:t>
      </w:r>
      <w:r w:rsidR="00BD2F6E">
        <w:rPr>
          <w:lang w:val="en-GB"/>
        </w:rPr>
        <w:t xml:space="preserve">inherited </w:t>
      </w:r>
      <w:r w:rsidRPr="00E575F3">
        <w:rPr>
          <w:lang w:val="en-GB"/>
        </w:rPr>
        <w:t xml:space="preserve">the legacy of the </w:t>
      </w:r>
      <w:r w:rsidR="00D507C3" w:rsidRPr="00D507C3">
        <w:rPr>
          <w:lang w:val="en-GB"/>
        </w:rPr>
        <w:t xml:space="preserve">CCCFR </w:t>
      </w:r>
      <w:r w:rsidRPr="00E575F3">
        <w:rPr>
          <w:lang w:val="en-GB"/>
        </w:rPr>
        <w:t xml:space="preserve">services’ previous funding arrangements, including expectations of how they would and should be supported. </w:t>
      </w:r>
      <w:r w:rsidR="00F10768">
        <w:rPr>
          <w:lang w:val="en-GB"/>
        </w:rPr>
        <w:t>T</w:t>
      </w:r>
      <w:r w:rsidR="00736196">
        <w:rPr>
          <w:lang w:val="en-GB"/>
        </w:rPr>
        <w:t xml:space="preserve">hey </w:t>
      </w:r>
      <w:r w:rsidR="003853CF">
        <w:rPr>
          <w:lang w:val="en-GB"/>
        </w:rPr>
        <w:t xml:space="preserve">also </w:t>
      </w:r>
      <w:r w:rsidR="00736196">
        <w:rPr>
          <w:lang w:val="en-GB"/>
        </w:rPr>
        <w:t>took</w:t>
      </w:r>
      <w:r w:rsidRPr="00E575F3">
        <w:rPr>
          <w:lang w:val="en-GB"/>
        </w:rPr>
        <w:t xml:space="preserve"> </w:t>
      </w:r>
      <w:r w:rsidR="003853CF">
        <w:rPr>
          <w:lang w:val="en-GB"/>
        </w:rPr>
        <w:t>on</w:t>
      </w:r>
      <w:r w:rsidRPr="00E575F3">
        <w:rPr>
          <w:lang w:val="en-GB"/>
        </w:rPr>
        <w:t xml:space="preserve"> </w:t>
      </w:r>
      <w:r w:rsidR="00736196">
        <w:rPr>
          <w:lang w:val="en-GB"/>
        </w:rPr>
        <w:t xml:space="preserve">responsibility for </w:t>
      </w:r>
      <w:r w:rsidR="0094393B">
        <w:rPr>
          <w:lang w:val="en-GB"/>
        </w:rPr>
        <w:t>addressing</w:t>
      </w:r>
      <w:r w:rsidRPr="00E575F3">
        <w:rPr>
          <w:lang w:val="en-GB"/>
        </w:rPr>
        <w:t xml:space="preserve"> needs </w:t>
      </w:r>
      <w:r w:rsidR="00230902">
        <w:rPr>
          <w:lang w:val="en-GB"/>
        </w:rPr>
        <w:t xml:space="preserve">that had been </w:t>
      </w:r>
      <w:r w:rsidRPr="00E575F3">
        <w:rPr>
          <w:lang w:val="en-GB"/>
        </w:rPr>
        <w:t xml:space="preserve">unmet by the previous funding arrangements, </w:t>
      </w:r>
      <w:r w:rsidR="00D74312">
        <w:rPr>
          <w:lang w:val="en-GB"/>
        </w:rPr>
        <w:t>including</w:t>
      </w:r>
      <w:r w:rsidRPr="00E575F3">
        <w:rPr>
          <w:lang w:val="en-GB"/>
        </w:rPr>
        <w:t xml:space="preserve"> significant infrastructure limitations.</w:t>
      </w:r>
      <w:r w:rsidR="002E497C">
        <w:rPr>
          <w:lang w:val="en-GB"/>
        </w:rPr>
        <w:t xml:space="preserve"> </w:t>
      </w:r>
      <w:r w:rsidR="00702442">
        <w:rPr>
          <w:lang w:val="en-GB"/>
        </w:rPr>
        <w:br/>
      </w:r>
      <w:r w:rsidR="00702442">
        <w:rPr>
          <w:lang w:val="en-GB"/>
        </w:rPr>
        <w:br/>
      </w:r>
      <w:r w:rsidR="006728E1">
        <w:rPr>
          <w:lang w:val="en-GB"/>
        </w:rPr>
        <w:t>This transition encompassed grappling with the</w:t>
      </w:r>
      <w:r w:rsidRPr="00E575F3">
        <w:rPr>
          <w:lang w:val="en-GB"/>
        </w:rPr>
        <w:t xml:space="preserve"> challenges and barriers </w:t>
      </w:r>
      <w:r w:rsidR="00BE08C9">
        <w:rPr>
          <w:lang w:val="en-GB"/>
        </w:rPr>
        <w:t xml:space="preserve">faced by </w:t>
      </w:r>
      <w:r w:rsidRPr="00E575F3">
        <w:rPr>
          <w:lang w:val="en-GB"/>
        </w:rPr>
        <w:t xml:space="preserve">many of these </w:t>
      </w:r>
      <w:r w:rsidR="00D507C3" w:rsidRPr="00D507C3">
        <w:rPr>
          <w:lang w:val="en-GB"/>
        </w:rPr>
        <w:t xml:space="preserve">CCCFR </w:t>
      </w:r>
      <w:r w:rsidRPr="00E575F3">
        <w:rPr>
          <w:lang w:val="en-GB"/>
        </w:rPr>
        <w:t xml:space="preserve">services, </w:t>
      </w:r>
      <w:r w:rsidR="00BE08C9">
        <w:rPr>
          <w:lang w:val="en-GB"/>
        </w:rPr>
        <w:t>a task</w:t>
      </w:r>
      <w:r w:rsidRPr="00E575F3">
        <w:rPr>
          <w:lang w:val="en-GB"/>
        </w:rPr>
        <w:t xml:space="preserve"> made more </w:t>
      </w:r>
      <w:r w:rsidR="00BE08C9">
        <w:rPr>
          <w:lang w:val="en-GB"/>
        </w:rPr>
        <w:t>complex by</w:t>
      </w:r>
      <w:r w:rsidRPr="00E575F3">
        <w:rPr>
          <w:lang w:val="en-GB"/>
        </w:rPr>
        <w:t xml:space="preserve"> the significant numbers situated in remote and regional areas</w:t>
      </w:r>
      <w:r w:rsidR="001C2E70">
        <w:rPr>
          <w:lang w:val="en-GB"/>
        </w:rPr>
        <w:t>;</w:t>
      </w:r>
      <w:r w:rsidRPr="00E575F3">
        <w:rPr>
          <w:lang w:val="en-GB"/>
        </w:rPr>
        <w:t xml:space="preserve"> a national shortage of qualified early childhood educations; </w:t>
      </w:r>
      <w:r w:rsidR="00FF2BA5">
        <w:rPr>
          <w:lang w:val="en-GB"/>
        </w:rPr>
        <w:t>a scarcity</w:t>
      </w:r>
      <w:r w:rsidRPr="00E575F3">
        <w:rPr>
          <w:lang w:val="en-GB"/>
        </w:rPr>
        <w:t xml:space="preserve"> of tradespeople and </w:t>
      </w:r>
      <w:r w:rsidR="00CE4118">
        <w:rPr>
          <w:lang w:val="en-GB"/>
        </w:rPr>
        <w:t xml:space="preserve">the </w:t>
      </w:r>
      <w:r w:rsidRPr="00E575F3">
        <w:rPr>
          <w:lang w:val="en-GB"/>
        </w:rPr>
        <w:t xml:space="preserve">high cost </w:t>
      </w:r>
      <w:r w:rsidR="003A5E59">
        <w:rPr>
          <w:lang w:val="en-GB"/>
        </w:rPr>
        <w:t>associated with</w:t>
      </w:r>
      <w:r w:rsidRPr="00E575F3">
        <w:rPr>
          <w:lang w:val="en-GB"/>
        </w:rPr>
        <w:t xml:space="preserve"> infrastructure and equipment updates and repairs; limitations in the accessibility and usability of other intersecting government services (including health and wellbeing, family and income supports).</w:t>
      </w:r>
      <w:r w:rsidR="002E497C">
        <w:rPr>
          <w:lang w:val="en-GB"/>
        </w:rPr>
        <w:t xml:space="preserve"> </w:t>
      </w:r>
    </w:p>
    <w:p w14:paraId="243B3A30" w14:textId="170E4DC8" w:rsidR="00E575F3" w:rsidRPr="001C655F" w:rsidRDefault="00E575F3" w:rsidP="00E575F3">
      <w:pPr>
        <w:rPr>
          <w:lang w:val="en-GB"/>
        </w:rPr>
      </w:pPr>
      <w:r w:rsidRPr="001C655F">
        <w:t xml:space="preserve">The Department naturally sought to align the CCCFR grant with </w:t>
      </w:r>
      <w:r w:rsidR="00C223E8">
        <w:t>its</w:t>
      </w:r>
      <w:r w:rsidR="00C223E8" w:rsidRPr="001C655F">
        <w:t xml:space="preserve"> </w:t>
      </w:r>
      <w:r w:rsidRPr="001C655F">
        <w:t xml:space="preserve">overarching policy responsibility for early years programming. In this way, the intention to support </w:t>
      </w:r>
      <w:r w:rsidR="00851D6B" w:rsidRPr="001C655F">
        <w:t xml:space="preserve">CCCFR </w:t>
      </w:r>
      <w:r w:rsidRPr="001C655F">
        <w:t xml:space="preserve">services to deliver early education and care was relatively straightforward. However, the Department also understood that community level barriers to child care participation would exist for families experiencing vulnerability and disadvantage and thus built in a provision within the grant agreements for funds to be used for this purpose. In identifying and seeking to address these community level barriers to child care participation, the direct alignment to early years programming is less </w:t>
      </w:r>
      <w:r w:rsidR="00715EF4" w:rsidRPr="001C655F">
        <w:t>clear cut</w:t>
      </w:r>
      <w:r w:rsidRPr="001C655F">
        <w:t>.</w:t>
      </w:r>
      <w:r w:rsidR="002E497C" w:rsidRPr="001C655F">
        <w:t xml:space="preserve">  </w:t>
      </w:r>
      <w:r w:rsidRPr="001C655F">
        <w:t xml:space="preserve"> </w:t>
      </w:r>
    </w:p>
    <w:p w14:paraId="0F34018F" w14:textId="1ACA9DB7" w:rsidR="00E575F3" w:rsidRPr="00E575F3" w:rsidRDefault="00E575F3" w:rsidP="00E575F3">
      <w:pPr>
        <w:rPr>
          <w:lang w:val="en-GB"/>
        </w:rPr>
      </w:pPr>
      <w:r w:rsidRPr="00E575F3">
        <w:rPr>
          <w:lang w:val="en-GB"/>
        </w:rPr>
        <w:t xml:space="preserve">In hearing from </w:t>
      </w:r>
      <w:r w:rsidR="00851D6B" w:rsidRPr="00851D6B">
        <w:rPr>
          <w:lang w:val="en-GB"/>
        </w:rPr>
        <w:t xml:space="preserve">CCCFR </w:t>
      </w:r>
      <w:r w:rsidRPr="00E575F3">
        <w:rPr>
          <w:lang w:val="en-GB"/>
        </w:rPr>
        <w:t xml:space="preserve">services, this review has learned that service providers and communities often have broader, </w:t>
      </w:r>
      <w:r w:rsidR="00BC1638">
        <w:rPr>
          <w:lang w:val="en-GB"/>
        </w:rPr>
        <w:t>although</w:t>
      </w:r>
      <w:r w:rsidR="00BC1638" w:rsidRPr="00E575F3">
        <w:rPr>
          <w:lang w:val="en-GB"/>
        </w:rPr>
        <w:t xml:space="preserve"> </w:t>
      </w:r>
      <w:r w:rsidRPr="00E575F3">
        <w:rPr>
          <w:lang w:val="en-GB"/>
        </w:rPr>
        <w:t xml:space="preserve">in some cases narrower and more urgent, needs and aspirations for </w:t>
      </w:r>
      <w:r w:rsidRPr="00E575F3">
        <w:rPr>
          <w:lang w:val="en-GB"/>
        </w:rPr>
        <w:lastRenderedPageBreak/>
        <w:t>early years programming than is reflected in the policy responsibilities of the Department</w:t>
      </w:r>
      <w:r w:rsidRPr="6E48A908">
        <w:rPr>
          <w:lang w:val="en-GB"/>
        </w:rPr>
        <w:t>.</w:t>
      </w:r>
      <w:r w:rsidR="009B111A">
        <w:rPr>
          <w:rStyle w:val="FootnoteReference"/>
        </w:rPr>
        <w:footnoteReference w:id="8"/>
      </w:r>
      <w:r w:rsidRPr="00E575F3">
        <w:rPr>
          <w:lang w:val="en-GB"/>
        </w:rPr>
        <w:t xml:space="preserve"> The question of whether </w:t>
      </w:r>
      <w:r w:rsidR="00851D6B" w:rsidRPr="00851D6B">
        <w:rPr>
          <w:lang w:val="en-GB"/>
        </w:rPr>
        <w:t xml:space="preserve">CCCFR </w:t>
      </w:r>
      <w:r w:rsidRPr="00E575F3">
        <w:rPr>
          <w:lang w:val="en-GB"/>
        </w:rPr>
        <w:t>services and communities should modify their aspirations for early years programming to meet funding criteria, whether the Department should revise their policy responsibilities to match community</w:t>
      </w:r>
      <w:r w:rsidR="00264AA9">
        <w:rPr>
          <w:lang w:val="en-GB"/>
        </w:rPr>
        <w:t xml:space="preserve"> needs and aspirations</w:t>
      </w:r>
      <w:r w:rsidRPr="00E575F3">
        <w:rPr>
          <w:lang w:val="en-GB"/>
        </w:rPr>
        <w:t xml:space="preserve">, </w:t>
      </w:r>
      <w:r w:rsidR="00C223E8">
        <w:rPr>
          <w:lang w:val="en-GB"/>
        </w:rPr>
        <w:t xml:space="preserve">or whether a broader, coordinated response is required </w:t>
      </w:r>
      <w:r w:rsidRPr="00E575F3">
        <w:rPr>
          <w:lang w:val="en-GB"/>
        </w:rPr>
        <w:t>is, appropriately, a decision for Government.</w:t>
      </w:r>
    </w:p>
    <w:p w14:paraId="159C9753" w14:textId="7F11B34E" w:rsidR="0021393D" w:rsidRPr="00E575F3" w:rsidRDefault="0021393D" w:rsidP="0021393D">
      <w:pPr>
        <w:rPr>
          <w:lang w:val="en-GB"/>
        </w:rPr>
      </w:pPr>
      <w:r w:rsidRPr="00E575F3">
        <w:rPr>
          <w:lang w:val="en-GB"/>
        </w:rPr>
        <w:t xml:space="preserve">Through the course of this review, service providers, educators, families, communities, and departmental staff have all identified opportunities for improvement </w:t>
      </w:r>
      <w:r w:rsidR="00157D9C" w:rsidRPr="00E575F3">
        <w:rPr>
          <w:lang w:val="en-GB"/>
        </w:rPr>
        <w:t>regarding</w:t>
      </w:r>
      <w:r w:rsidRPr="00E575F3">
        <w:rPr>
          <w:lang w:val="en-GB"/>
        </w:rPr>
        <w:t xml:space="preserve"> what functions and activities the grant funds, how much it funds, how the funds are administered and the supports that accompany them. The consistency of these views across stakeholder groups has varied. </w:t>
      </w:r>
    </w:p>
    <w:p w14:paraId="1C036160" w14:textId="5D4283EC" w:rsidR="00E575F3" w:rsidRPr="00E575F3" w:rsidRDefault="00E575F3" w:rsidP="00E575F3">
      <w:pPr>
        <w:rPr>
          <w:lang w:val="en-GB"/>
        </w:rPr>
      </w:pPr>
      <w:r w:rsidRPr="00E575F3">
        <w:rPr>
          <w:lang w:val="en-GB"/>
        </w:rPr>
        <w:t xml:space="preserve">This review </w:t>
      </w:r>
      <w:r w:rsidR="00C170BE">
        <w:rPr>
          <w:lang w:val="en-GB"/>
        </w:rPr>
        <w:t>aimed</w:t>
      </w:r>
      <w:r w:rsidRPr="00E575F3">
        <w:rPr>
          <w:lang w:val="en-GB"/>
        </w:rPr>
        <w:t xml:space="preserve"> to </w:t>
      </w:r>
      <w:r w:rsidR="00C170BE">
        <w:rPr>
          <w:lang w:val="en-GB"/>
        </w:rPr>
        <w:t>comprehensively assess</w:t>
      </w:r>
      <w:r w:rsidRPr="00E575F3">
        <w:rPr>
          <w:lang w:val="en-GB"/>
        </w:rPr>
        <w:t xml:space="preserve"> opportunities for improvement, </w:t>
      </w:r>
      <w:r w:rsidR="00DB7CAA">
        <w:rPr>
          <w:lang w:val="en-GB"/>
        </w:rPr>
        <w:t xml:space="preserve">and </w:t>
      </w:r>
      <w:r w:rsidR="00C223E8">
        <w:rPr>
          <w:lang w:val="en-GB"/>
        </w:rPr>
        <w:t xml:space="preserve">identify </w:t>
      </w:r>
      <w:r w:rsidR="00DB7CAA">
        <w:rPr>
          <w:lang w:val="en-GB"/>
        </w:rPr>
        <w:t>areas</w:t>
      </w:r>
      <w:r w:rsidRPr="00E575F3">
        <w:rPr>
          <w:lang w:val="en-GB"/>
        </w:rPr>
        <w:t xml:space="preserve"> where gaps have </w:t>
      </w:r>
      <w:r w:rsidR="00DB7CAA">
        <w:rPr>
          <w:lang w:val="en-GB"/>
        </w:rPr>
        <w:t>arisen.</w:t>
      </w:r>
      <w:r w:rsidR="002E497C">
        <w:rPr>
          <w:lang w:val="en-GB"/>
        </w:rPr>
        <w:t xml:space="preserve"> </w:t>
      </w:r>
      <w:r w:rsidR="00C3399F">
        <w:rPr>
          <w:lang w:val="en-GB"/>
        </w:rPr>
        <w:t xml:space="preserve">It </w:t>
      </w:r>
      <w:r w:rsidR="00C223E8">
        <w:rPr>
          <w:lang w:val="en-GB"/>
        </w:rPr>
        <w:t>unearthed</w:t>
      </w:r>
      <w:r w:rsidR="00C223E8" w:rsidRPr="00E575F3">
        <w:rPr>
          <w:lang w:val="en-GB"/>
        </w:rPr>
        <w:t xml:space="preserve"> </w:t>
      </w:r>
      <w:r w:rsidRPr="00E575F3">
        <w:rPr>
          <w:lang w:val="en-GB"/>
        </w:rPr>
        <w:t>instances where gaps resulted from simple errors of information being miscommunicated or misunderstood, to a lack of cohesion and planning between the grant design and objectives and the grant architecture</w:t>
      </w:r>
      <w:r w:rsidR="009423EC">
        <w:rPr>
          <w:lang w:val="en-GB"/>
        </w:rPr>
        <w:t xml:space="preserve">. The identified issues </w:t>
      </w:r>
      <w:r w:rsidR="007321E7">
        <w:rPr>
          <w:lang w:val="en-GB"/>
        </w:rPr>
        <w:t>ranged</w:t>
      </w:r>
      <w:r w:rsidRPr="00E575F3">
        <w:rPr>
          <w:lang w:val="en-GB"/>
        </w:rPr>
        <w:t xml:space="preserve"> from systematic barriers within the market</w:t>
      </w:r>
      <w:r w:rsidR="006A53E4">
        <w:rPr>
          <w:lang w:val="en-GB"/>
        </w:rPr>
        <w:t>,</w:t>
      </w:r>
      <w:r w:rsidRPr="00E575F3">
        <w:rPr>
          <w:lang w:val="en-GB"/>
        </w:rPr>
        <w:t xml:space="preserve"> to systematic barriers embedded through intersecting government services</w:t>
      </w:r>
      <w:r w:rsidR="006A53E4">
        <w:rPr>
          <w:lang w:val="en-GB"/>
        </w:rPr>
        <w:t xml:space="preserve"> and the loss of key personnel</w:t>
      </w:r>
      <w:r w:rsidR="00A20EB8">
        <w:rPr>
          <w:lang w:val="en-GB"/>
        </w:rPr>
        <w:t>. A</w:t>
      </w:r>
      <w:r w:rsidRPr="00E575F3">
        <w:rPr>
          <w:lang w:val="en-GB"/>
        </w:rPr>
        <w:t xml:space="preserve">s explored </w:t>
      </w:r>
      <w:r w:rsidR="00545D1D">
        <w:rPr>
          <w:lang w:val="en-GB"/>
        </w:rPr>
        <w:t>earlier</w:t>
      </w:r>
      <w:r w:rsidRPr="00E575F3">
        <w:rPr>
          <w:lang w:val="en-GB"/>
        </w:rPr>
        <w:t xml:space="preserve">, a more fundamental misalignment </w:t>
      </w:r>
      <w:r w:rsidR="00711283">
        <w:rPr>
          <w:lang w:val="en-GB"/>
        </w:rPr>
        <w:t xml:space="preserve">also </w:t>
      </w:r>
      <w:r w:rsidR="00F61C86">
        <w:rPr>
          <w:lang w:val="en-GB"/>
        </w:rPr>
        <w:t>surfaced concerning</w:t>
      </w:r>
      <w:r w:rsidRPr="00E575F3">
        <w:rPr>
          <w:lang w:val="en-GB"/>
        </w:rPr>
        <w:t xml:space="preserve"> how some service providers and communities </w:t>
      </w:r>
      <w:r w:rsidR="00460845">
        <w:rPr>
          <w:lang w:val="en-GB"/>
        </w:rPr>
        <w:t>perceive</w:t>
      </w:r>
      <w:r w:rsidRPr="00E575F3">
        <w:rPr>
          <w:lang w:val="en-GB"/>
        </w:rPr>
        <w:t xml:space="preserve"> the purpose and delivery of early years programs, </w:t>
      </w:r>
      <w:r w:rsidR="006B0BEB">
        <w:rPr>
          <w:lang w:val="en-GB"/>
        </w:rPr>
        <w:t>compared to</w:t>
      </w:r>
      <w:r w:rsidRPr="00E575F3">
        <w:rPr>
          <w:lang w:val="en-GB"/>
        </w:rPr>
        <w:t xml:space="preserve"> what is reflected in the policy responsibilities of the Department</w:t>
      </w:r>
      <w:r w:rsidR="00C223E8">
        <w:rPr>
          <w:lang w:val="en-GB"/>
        </w:rPr>
        <w:t xml:space="preserve"> (and, in this case, the CCCFR grant)</w:t>
      </w:r>
      <w:r w:rsidRPr="6E48A908">
        <w:rPr>
          <w:lang w:val="en-GB"/>
        </w:rPr>
        <w:t>.</w:t>
      </w:r>
    </w:p>
    <w:p w14:paraId="48BB5766" w14:textId="65D4E02C" w:rsidR="00E575F3" w:rsidRPr="00E575F3" w:rsidRDefault="00E575F3" w:rsidP="00E575F3">
      <w:pPr>
        <w:rPr>
          <w:lang w:val="en-GB"/>
        </w:rPr>
      </w:pPr>
      <w:r w:rsidRPr="00E575F3">
        <w:rPr>
          <w:lang w:val="en-GB"/>
        </w:rPr>
        <w:t xml:space="preserve">This review </w:t>
      </w:r>
      <w:r w:rsidR="001B19BC">
        <w:rPr>
          <w:lang w:val="en-GB"/>
        </w:rPr>
        <w:t>found</w:t>
      </w:r>
      <w:r w:rsidRPr="00E575F3">
        <w:rPr>
          <w:lang w:val="en-GB"/>
        </w:rPr>
        <w:t xml:space="preserve"> evidence that the CCCFR grant is, at least in part, meeting its two stated goals</w:t>
      </w:r>
      <w:r w:rsidR="004035E1">
        <w:rPr>
          <w:lang w:val="en-GB"/>
        </w:rPr>
        <w:t>.</w:t>
      </w:r>
      <w:r w:rsidRPr="00E575F3">
        <w:rPr>
          <w:lang w:val="en-GB"/>
        </w:rPr>
        <w:t xml:space="preserve"> While it was found that most </w:t>
      </w:r>
      <w:r w:rsidR="003F3C46" w:rsidRPr="003F3C46">
        <w:rPr>
          <w:lang w:val="en-GB"/>
        </w:rPr>
        <w:t xml:space="preserve">CCCFR </w:t>
      </w:r>
      <w:r w:rsidRPr="00E575F3">
        <w:rPr>
          <w:lang w:val="en-GB"/>
        </w:rPr>
        <w:t>services are supporting children and families facing vulnerability and disadvantage, the design of the grant itself d</w:t>
      </w:r>
      <w:r w:rsidR="00C223E8">
        <w:rPr>
          <w:lang w:val="en-GB"/>
        </w:rPr>
        <w:t>oes</w:t>
      </w:r>
      <w:r w:rsidRPr="00E575F3">
        <w:rPr>
          <w:lang w:val="en-GB"/>
        </w:rPr>
        <w:t xml:space="preserve"> not make specific provisions for addressing vulnerability and disadvantage.</w:t>
      </w:r>
    </w:p>
    <w:p w14:paraId="5614AE62" w14:textId="63D02D05" w:rsidR="00E575F3" w:rsidRPr="00E575F3" w:rsidRDefault="00E575F3" w:rsidP="00E575F3">
      <w:pPr>
        <w:rPr>
          <w:lang w:val="en-GB"/>
        </w:rPr>
      </w:pPr>
      <w:r w:rsidRPr="00E575F3">
        <w:rPr>
          <w:lang w:val="en-GB"/>
        </w:rPr>
        <w:t xml:space="preserve">There are many instances where the grant is helping to facilitate workforce participation, but this review </w:t>
      </w:r>
      <w:r w:rsidR="00E3315C">
        <w:rPr>
          <w:lang w:val="en-GB"/>
        </w:rPr>
        <w:t>determine</w:t>
      </w:r>
      <w:r w:rsidR="00D15438">
        <w:rPr>
          <w:lang w:val="en-GB"/>
        </w:rPr>
        <w:t>d</w:t>
      </w:r>
      <w:r w:rsidRPr="00E575F3">
        <w:rPr>
          <w:lang w:val="en-GB"/>
        </w:rPr>
        <w:t xml:space="preserve"> that the focus on this purpose </w:t>
      </w:r>
      <w:r w:rsidR="00D15438">
        <w:rPr>
          <w:lang w:val="en-GB"/>
        </w:rPr>
        <w:t>wa</w:t>
      </w:r>
      <w:r w:rsidRPr="00E575F3">
        <w:rPr>
          <w:lang w:val="en-GB"/>
        </w:rPr>
        <w:t>s, at best, distracting, and at worst, counteractive to driving engagement and developmental outcomes for children experiencing vulnerability and disadvantage.</w:t>
      </w:r>
      <w:r w:rsidR="002E497C">
        <w:rPr>
          <w:lang w:val="en-GB"/>
        </w:rPr>
        <w:t xml:space="preserve"> </w:t>
      </w:r>
    </w:p>
    <w:p w14:paraId="7272C6A2" w14:textId="32A8E4DB" w:rsidR="00E575F3" w:rsidRPr="00E575F3" w:rsidRDefault="00E575F3" w:rsidP="00E575F3">
      <w:pPr>
        <w:rPr>
          <w:lang w:val="en-GB"/>
        </w:rPr>
      </w:pPr>
      <w:r w:rsidRPr="00E575F3">
        <w:rPr>
          <w:lang w:val="en-GB"/>
        </w:rPr>
        <w:t xml:space="preserve">The CCCFR grant was designed with an aspiration that </w:t>
      </w:r>
      <w:r w:rsidR="003F3C46" w:rsidRPr="003F3C46">
        <w:rPr>
          <w:lang w:val="en-GB"/>
        </w:rPr>
        <w:t xml:space="preserve">CCCFR </w:t>
      </w:r>
      <w:r w:rsidRPr="00E575F3">
        <w:rPr>
          <w:lang w:val="en-GB"/>
        </w:rPr>
        <w:t xml:space="preserve">services could transition to a mainstream funding environment. This review </w:t>
      </w:r>
      <w:r w:rsidR="001E69E4">
        <w:rPr>
          <w:lang w:val="en-GB"/>
        </w:rPr>
        <w:t>conclude</w:t>
      </w:r>
      <w:r w:rsidR="00D15438">
        <w:rPr>
          <w:lang w:val="en-GB"/>
        </w:rPr>
        <w:t>d</w:t>
      </w:r>
      <w:r w:rsidRPr="00E575F3">
        <w:rPr>
          <w:lang w:val="en-GB"/>
        </w:rPr>
        <w:t xml:space="preserve"> that, for a range of reasons, only a small number of</w:t>
      </w:r>
      <w:r w:rsidR="00427CE2" w:rsidRPr="00427CE2">
        <w:t xml:space="preserve"> </w:t>
      </w:r>
      <w:r w:rsidR="00427CE2">
        <w:t>CCCFR</w:t>
      </w:r>
      <w:r w:rsidRPr="00E575F3">
        <w:rPr>
          <w:lang w:val="en-GB"/>
        </w:rPr>
        <w:t xml:space="preserve"> services would be financially sustainable under the present mainstream options of CCS plus ACCS and parental fees alone.</w:t>
      </w:r>
    </w:p>
    <w:p w14:paraId="383B174F" w14:textId="1FA195CC" w:rsidR="00E575F3" w:rsidRPr="00E575F3" w:rsidRDefault="00E575F3" w:rsidP="00E575F3">
      <w:pPr>
        <w:rPr>
          <w:lang w:val="en-GB"/>
        </w:rPr>
      </w:pPr>
      <w:r w:rsidRPr="00E575F3">
        <w:rPr>
          <w:lang w:val="en-GB"/>
        </w:rPr>
        <w:t xml:space="preserve">While the current funding model is materially contributing to the delivery of ECEC for cohorts of children experiencing vulnerability and disadvantage, it is not doing so in a systemic way. This review </w:t>
      </w:r>
      <w:r w:rsidR="00863E6B">
        <w:rPr>
          <w:lang w:val="en-GB"/>
        </w:rPr>
        <w:t>identifie</w:t>
      </w:r>
      <w:r w:rsidR="00D15438">
        <w:rPr>
          <w:lang w:val="en-GB"/>
        </w:rPr>
        <w:t>d</w:t>
      </w:r>
      <w:r w:rsidRPr="00E575F3">
        <w:rPr>
          <w:lang w:val="en-GB"/>
        </w:rPr>
        <w:t xml:space="preserve"> areas for improvement in service operations and grants administration that have the potential to increase the efficiency of governance and administration, enhance access to </w:t>
      </w:r>
      <w:r w:rsidR="00395FB6">
        <w:t>CCCFR</w:t>
      </w:r>
      <w:r w:rsidR="00395FB6" w:rsidRPr="00E575F3">
        <w:rPr>
          <w:lang w:val="en-GB"/>
        </w:rPr>
        <w:t xml:space="preserve"> </w:t>
      </w:r>
      <w:r w:rsidRPr="00E575F3">
        <w:rPr>
          <w:lang w:val="en-GB"/>
        </w:rPr>
        <w:t>services, and strengthen quality of assets and community connectivity.</w:t>
      </w:r>
    </w:p>
    <w:p w14:paraId="4DF9FF40" w14:textId="680930AF" w:rsidR="00E575F3" w:rsidRPr="00E575F3" w:rsidRDefault="00E575F3" w:rsidP="00E575F3">
      <w:pPr>
        <w:rPr>
          <w:lang w:val="en-GB"/>
        </w:rPr>
      </w:pPr>
      <w:r w:rsidRPr="00E575F3">
        <w:rPr>
          <w:lang w:val="en-GB"/>
        </w:rPr>
        <w:t>For many services</w:t>
      </w:r>
      <w:r w:rsidR="00AD4155">
        <w:rPr>
          <w:lang w:val="en-GB"/>
        </w:rPr>
        <w:t>,</w:t>
      </w:r>
      <w:r w:rsidRPr="00E575F3">
        <w:rPr>
          <w:lang w:val="en-GB"/>
        </w:rPr>
        <w:t xml:space="preserve"> the CCCFR grant is the difference between staying open or having to close their doors. But a universal ECEC system that satisfies the broader policy ambitions of inclusivity, accessibility, affordability and availability, requires </w:t>
      </w:r>
      <w:r w:rsidR="00C223E8">
        <w:rPr>
          <w:lang w:val="en-GB"/>
        </w:rPr>
        <w:t>services to be supported and enabled to do much more than that</w:t>
      </w:r>
      <w:r w:rsidRPr="00E575F3">
        <w:rPr>
          <w:lang w:val="en-GB"/>
        </w:rPr>
        <w:t xml:space="preserve">. </w:t>
      </w:r>
    </w:p>
    <w:p w14:paraId="0AC21405" w14:textId="439D8B95" w:rsidR="00E575F3" w:rsidRPr="00E575F3" w:rsidRDefault="00513A01" w:rsidP="00E575F3">
      <w:pPr>
        <w:rPr>
          <w:lang w:val="en-GB"/>
        </w:rPr>
      </w:pPr>
      <w:r w:rsidRPr="00513A01">
        <w:rPr>
          <w:lang w:val="en-GB"/>
        </w:rPr>
        <w:t>A significant portion</w:t>
      </w:r>
      <w:r w:rsidR="00E575F3" w:rsidRPr="00E575F3">
        <w:rPr>
          <w:lang w:val="en-GB"/>
        </w:rPr>
        <w:t xml:space="preserve"> of the </w:t>
      </w:r>
      <w:r w:rsidRPr="00513A01">
        <w:rPr>
          <w:lang w:val="en-GB"/>
        </w:rPr>
        <w:t xml:space="preserve">current </w:t>
      </w:r>
      <w:r w:rsidR="007B7C6F">
        <w:rPr>
          <w:lang w:val="en-GB"/>
        </w:rPr>
        <w:t>gap</w:t>
      </w:r>
      <w:r w:rsidR="00E575F3" w:rsidRPr="00E575F3">
        <w:rPr>
          <w:lang w:val="en-GB"/>
        </w:rPr>
        <w:t xml:space="preserve"> between what the grant </w:t>
      </w:r>
      <w:r w:rsidRPr="00513A01">
        <w:rPr>
          <w:lang w:val="en-GB"/>
        </w:rPr>
        <w:t>supports</w:t>
      </w:r>
      <w:r w:rsidR="00E575F3" w:rsidRPr="00E575F3">
        <w:rPr>
          <w:lang w:val="en-GB"/>
        </w:rPr>
        <w:t xml:space="preserve"> and the </w:t>
      </w:r>
      <w:r w:rsidRPr="00513A01">
        <w:rPr>
          <w:lang w:val="en-GB"/>
        </w:rPr>
        <w:t xml:space="preserve">roles </w:t>
      </w:r>
      <w:r w:rsidR="00503870" w:rsidRPr="00503870">
        <w:rPr>
          <w:lang w:val="en-GB"/>
        </w:rPr>
        <w:t xml:space="preserve">CCCFR </w:t>
      </w:r>
      <w:r w:rsidR="00E575F3" w:rsidRPr="00E575F3">
        <w:rPr>
          <w:lang w:val="en-GB"/>
        </w:rPr>
        <w:t xml:space="preserve">services are </w:t>
      </w:r>
      <w:r w:rsidRPr="00513A01">
        <w:rPr>
          <w:lang w:val="en-GB"/>
        </w:rPr>
        <w:t>mandated</w:t>
      </w:r>
      <w:r w:rsidR="00E575F3" w:rsidRPr="00E575F3">
        <w:rPr>
          <w:lang w:val="en-GB"/>
        </w:rPr>
        <w:t xml:space="preserve"> to </w:t>
      </w:r>
      <w:r w:rsidRPr="00513A01">
        <w:rPr>
          <w:lang w:val="en-GB"/>
        </w:rPr>
        <w:t>fulfil</w:t>
      </w:r>
      <w:r w:rsidR="00E575F3" w:rsidRPr="00E575F3">
        <w:rPr>
          <w:lang w:val="en-GB"/>
        </w:rPr>
        <w:t xml:space="preserve"> in their communities</w:t>
      </w:r>
      <w:r w:rsidRPr="00513A01">
        <w:rPr>
          <w:lang w:val="en-GB"/>
        </w:rPr>
        <w:t xml:space="preserve"> is being filled by alternative</w:t>
      </w:r>
      <w:r w:rsidR="00E575F3" w:rsidRPr="00E575F3">
        <w:rPr>
          <w:lang w:val="en-GB"/>
        </w:rPr>
        <w:t xml:space="preserve"> funding sources or the </w:t>
      </w:r>
      <w:r w:rsidRPr="00513A01">
        <w:rPr>
          <w:lang w:val="en-GB"/>
        </w:rPr>
        <w:t>de</w:t>
      </w:r>
      <w:r w:rsidR="00604090">
        <w:rPr>
          <w:lang w:val="en-GB"/>
        </w:rPr>
        <w:t>cision</w:t>
      </w:r>
      <w:r w:rsidR="00E575F3" w:rsidRPr="00E575F3">
        <w:rPr>
          <w:lang w:val="en-GB"/>
        </w:rPr>
        <w:t xml:space="preserve"> of staff and educators</w:t>
      </w:r>
      <w:r w:rsidR="005643A5">
        <w:rPr>
          <w:lang w:val="en-GB"/>
        </w:rPr>
        <w:t xml:space="preserve"> to volunteer their </w:t>
      </w:r>
      <w:r w:rsidR="0026105D">
        <w:rPr>
          <w:lang w:val="en-GB"/>
        </w:rPr>
        <w:t>personal time</w:t>
      </w:r>
      <w:r w:rsidR="00E575F3" w:rsidRPr="00E575F3">
        <w:rPr>
          <w:lang w:val="en-GB"/>
        </w:rPr>
        <w:t xml:space="preserve">. </w:t>
      </w:r>
      <w:r w:rsidRPr="00513A01">
        <w:rPr>
          <w:lang w:val="en-GB"/>
        </w:rPr>
        <w:t>However, relying on these factors is unsustainable, and the existing gaps are anticipated to expand.</w:t>
      </w:r>
    </w:p>
    <w:p w14:paraId="5286A828" w14:textId="0E009D16" w:rsidR="00E575F3" w:rsidRPr="00E575F3" w:rsidRDefault="00E575F3" w:rsidP="00E575F3">
      <w:pPr>
        <w:rPr>
          <w:lang w:val="en-GB"/>
        </w:rPr>
      </w:pPr>
      <w:r w:rsidRPr="00E575F3">
        <w:rPr>
          <w:lang w:val="en-GB"/>
        </w:rPr>
        <w:t xml:space="preserve">In some instances, gaps persist </w:t>
      </w:r>
      <w:r w:rsidR="00E70AA3">
        <w:rPr>
          <w:lang w:val="en-GB"/>
        </w:rPr>
        <w:t>despite the inclusion</w:t>
      </w:r>
      <w:r w:rsidRPr="00E575F3">
        <w:rPr>
          <w:lang w:val="en-GB"/>
        </w:rPr>
        <w:t xml:space="preserve"> of specific provisions within the grant design </w:t>
      </w:r>
      <w:r w:rsidR="00877C06">
        <w:rPr>
          <w:lang w:val="en-GB"/>
        </w:rPr>
        <w:t>intended to address</w:t>
      </w:r>
      <w:r w:rsidRPr="00E575F3">
        <w:rPr>
          <w:lang w:val="en-GB"/>
        </w:rPr>
        <w:t xml:space="preserve"> them. The</w:t>
      </w:r>
      <w:r w:rsidR="00B41C45">
        <w:rPr>
          <w:lang w:val="en-GB"/>
        </w:rPr>
        <w:t>y</w:t>
      </w:r>
      <w:r w:rsidRPr="00E575F3">
        <w:rPr>
          <w:lang w:val="en-GB"/>
        </w:rPr>
        <w:t xml:space="preserve"> persist </w:t>
      </w:r>
      <w:r w:rsidR="00877C06">
        <w:rPr>
          <w:lang w:val="en-GB"/>
        </w:rPr>
        <w:t>partly due</w:t>
      </w:r>
      <w:r w:rsidRPr="00E575F3">
        <w:rPr>
          <w:lang w:val="en-GB"/>
        </w:rPr>
        <w:t xml:space="preserve"> </w:t>
      </w:r>
      <w:r w:rsidR="00877C06">
        <w:rPr>
          <w:lang w:val="en-GB"/>
        </w:rPr>
        <w:t>to constraints</w:t>
      </w:r>
      <w:r w:rsidR="002147AA">
        <w:rPr>
          <w:lang w:val="en-GB"/>
        </w:rPr>
        <w:t xml:space="preserve"> beyond</w:t>
      </w:r>
      <w:r w:rsidRPr="00E575F3">
        <w:rPr>
          <w:lang w:val="en-GB"/>
        </w:rPr>
        <w:t xml:space="preserve"> the control of the administrators; </w:t>
      </w:r>
      <w:r w:rsidR="002147AA">
        <w:rPr>
          <w:lang w:val="en-GB"/>
        </w:rPr>
        <w:t xml:space="preserve">and </w:t>
      </w:r>
      <w:r w:rsidRPr="00E575F3">
        <w:rPr>
          <w:lang w:val="en-GB"/>
        </w:rPr>
        <w:t xml:space="preserve">also </w:t>
      </w:r>
      <w:r w:rsidR="002147AA">
        <w:rPr>
          <w:lang w:val="en-GB"/>
        </w:rPr>
        <w:t>due to</w:t>
      </w:r>
      <w:r w:rsidRPr="00E575F3">
        <w:rPr>
          <w:lang w:val="en-GB"/>
        </w:rPr>
        <w:t xml:space="preserve"> inconsistencies </w:t>
      </w:r>
      <w:r w:rsidR="00623E51">
        <w:rPr>
          <w:lang w:val="en-GB"/>
        </w:rPr>
        <w:t xml:space="preserve">that </w:t>
      </w:r>
      <w:r w:rsidRPr="00E575F3">
        <w:rPr>
          <w:lang w:val="en-GB"/>
        </w:rPr>
        <w:t>aris</w:t>
      </w:r>
      <w:r w:rsidR="00623E51">
        <w:rPr>
          <w:lang w:val="en-GB"/>
        </w:rPr>
        <w:t>e</w:t>
      </w:r>
      <w:r w:rsidRPr="00E575F3">
        <w:rPr>
          <w:lang w:val="en-GB"/>
        </w:rPr>
        <w:t xml:space="preserve"> between the grant’s design and </w:t>
      </w:r>
      <w:r w:rsidR="00623E51">
        <w:rPr>
          <w:lang w:val="en-GB"/>
        </w:rPr>
        <w:t xml:space="preserve">its </w:t>
      </w:r>
      <w:r w:rsidRPr="00E575F3">
        <w:rPr>
          <w:lang w:val="en-GB"/>
        </w:rPr>
        <w:t xml:space="preserve">execution. </w:t>
      </w:r>
    </w:p>
    <w:p w14:paraId="31F9DC1C" w14:textId="43D3EF41" w:rsidR="006C15AF" w:rsidRDefault="00E575F3" w:rsidP="00E575F3">
      <w:pPr>
        <w:rPr>
          <w:lang w:val="en-GB"/>
        </w:rPr>
      </w:pPr>
      <w:r w:rsidRPr="00E575F3">
        <w:rPr>
          <w:lang w:val="en-GB"/>
        </w:rPr>
        <w:lastRenderedPageBreak/>
        <w:t xml:space="preserve">In other instances, gaps emerge from a fundamental </w:t>
      </w:r>
      <w:r w:rsidR="0039751F">
        <w:rPr>
          <w:lang w:val="en-GB"/>
        </w:rPr>
        <w:t>misalignment</w:t>
      </w:r>
      <w:r w:rsidRPr="00E575F3">
        <w:rPr>
          <w:lang w:val="en-GB"/>
        </w:rPr>
        <w:t xml:space="preserve"> between </w:t>
      </w:r>
      <w:r w:rsidR="00835C42">
        <w:rPr>
          <w:lang w:val="en-GB"/>
        </w:rPr>
        <w:t xml:space="preserve">what </w:t>
      </w:r>
      <w:r w:rsidR="008E25EC">
        <w:rPr>
          <w:lang w:val="en-GB"/>
        </w:rPr>
        <w:t xml:space="preserve">the CCCFR grant was </w:t>
      </w:r>
      <w:r w:rsidR="00373093">
        <w:rPr>
          <w:lang w:val="en-GB"/>
        </w:rPr>
        <w:t xml:space="preserve">initially </w:t>
      </w:r>
      <w:r w:rsidR="006C15AF">
        <w:rPr>
          <w:lang w:val="en-GB"/>
        </w:rPr>
        <w:t>envisioned to support</w:t>
      </w:r>
      <w:r w:rsidR="00B41C45">
        <w:rPr>
          <w:lang w:val="en-GB"/>
        </w:rPr>
        <w:t xml:space="preserve"> </w:t>
      </w:r>
      <w:r w:rsidRPr="00E575F3">
        <w:rPr>
          <w:lang w:val="en-GB"/>
        </w:rPr>
        <w:t xml:space="preserve">and </w:t>
      </w:r>
      <w:r w:rsidR="001B41C4">
        <w:rPr>
          <w:lang w:val="en-GB"/>
        </w:rPr>
        <w:t>the present perception of</w:t>
      </w:r>
      <w:r w:rsidRPr="00E575F3">
        <w:rPr>
          <w:lang w:val="en-GB"/>
        </w:rPr>
        <w:t xml:space="preserve"> </w:t>
      </w:r>
      <w:r w:rsidR="002F15EE">
        <w:rPr>
          <w:lang w:val="en-GB"/>
        </w:rPr>
        <w:t>the</w:t>
      </w:r>
      <w:r w:rsidRPr="00E575F3">
        <w:rPr>
          <w:lang w:val="en-GB"/>
        </w:rPr>
        <w:t xml:space="preserve"> system by service providers, educators, families and communities. </w:t>
      </w:r>
    </w:p>
    <w:p w14:paraId="12EDE40B" w14:textId="1C18715F" w:rsidR="00E575F3" w:rsidRPr="00E575F3" w:rsidRDefault="00B41C45" w:rsidP="00E575F3">
      <w:pPr>
        <w:rPr>
          <w:lang w:val="en-GB"/>
        </w:rPr>
      </w:pPr>
      <w:r>
        <w:rPr>
          <w:lang w:val="en-GB"/>
        </w:rPr>
        <w:t xml:space="preserve">A </w:t>
      </w:r>
      <w:r w:rsidR="00E575F3" w:rsidRPr="00E575F3">
        <w:rPr>
          <w:lang w:val="en-GB"/>
        </w:rPr>
        <w:t xml:space="preserve">widening </w:t>
      </w:r>
      <w:r>
        <w:rPr>
          <w:lang w:val="en-GB"/>
        </w:rPr>
        <w:t xml:space="preserve">of the </w:t>
      </w:r>
      <w:r w:rsidR="00BB7BF8">
        <w:rPr>
          <w:lang w:val="en-GB"/>
        </w:rPr>
        <w:t>disparity in</w:t>
      </w:r>
      <w:r w:rsidR="00E575F3" w:rsidRPr="00E575F3">
        <w:rPr>
          <w:lang w:val="en-GB"/>
        </w:rPr>
        <w:t xml:space="preserve"> expectation</w:t>
      </w:r>
      <w:r w:rsidR="00BB7BF8">
        <w:rPr>
          <w:lang w:val="en-GB"/>
        </w:rPr>
        <w:t>s</w:t>
      </w:r>
      <w:r w:rsidR="00E575F3" w:rsidRPr="00E575F3">
        <w:rPr>
          <w:lang w:val="en-GB"/>
        </w:rPr>
        <w:t xml:space="preserve"> between policy, funding and </w:t>
      </w:r>
      <w:r w:rsidR="00BB7BF8">
        <w:rPr>
          <w:lang w:val="en-GB"/>
        </w:rPr>
        <w:t xml:space="preserve">the evolving needs of </w:t>
      </w:r>
      <w:r w:rsidR="00503870" w:rsidRPr="00503870">
        <w:rPr>
          <w:lang w:val="en-GB"/>
        </w:rPr>
        <w:t xml:space="preserve">CCCFR </w:t>
      </w:r>
      <w:r w:rsidR="009E33A0">
        <w:rPr>
          <w:lang w:val="en-GB"/>
        </w:rPr>
        <w:t>services and communities</w:t>
      </w:r>
      <w:r w:rsidR="00E575F3" w:rsidRPr="00E575F3">
        <w:rPr>
          <w:lang w:val="en-GB"/>
        </w:rPr>
        <w:t xml:space="preserve"> will </w:t>
      </w:r>
      <w:r w:rsidR="00BB7BF8">
        <w:rPr>
          <w:lang w:val="en-GB"/>
        </w:rPr>
        <w:t xml:space="preserve">likely </w:t>
      </w:r>
      <w:r w:rsidR="00E575F3" w:rsidRPr="00E575F3">
        <w:rPr>
          <w:lang w:val="en-GB"/>
        </w:rPr>
        <w:t xml:space="preserve">have profound </w:t>
      </w:r>
      <w:r w:rsidR="00BB7BF8">
        <w:rPr>
          <w:lang w:val="en-GB"/>
        </w:rPr>
        <w:t xml:space="preserve">and enduring </w:t>
      </w:r>
      <w:r w:rsidR="00E575F3" w:rsidRPr="00E575F3">
        <w:rPr>
          <w:lang w:val="en-GB"/>
        </w:rPr>
        <w:t>effect</w:t>
      </w:r>
      <w:r w:rsidR="00BB7BF8">
        <w:rPr>
          <w:lang w:val="en-GB"/>
        </w:rPr>
        <w:t>s</w:t>
      </w:r>
      <w:r w:rsidR="00E575F3" w:rsidRPr="00E575F3">
        <w:rPr>
          <w:lang w:val="en-GB"/>
        </w:rPr>
        <w:t>.</w:t>
      </w:r>
      <w:r w:rsidR="002E497C">
        <w:rPr>
          <w:lang w:val="en-GB"/>
        </w:rPr>
        <w:t xml:space="preserve"> </w:t>
      </w:r>
    </w:p>
    <w:p w14:paraId="4B5247D9" w14:textId="727DBCFB" w:rsidR="00E575F3" w:rsidRPr="001959C0" w:rsidRDefault="0061717D" w:rsidP="001959C0">
      <w:pPr>
        <w:rPr>
          <w:b/>
          <w:bCs/>
          <w:color w:val="007CB0"/>
          <w:sz w:val="22"/>
          <w:szCs w:val="22"/>
          <w:lang w:val="en-GB"/>
        </w:rPr>
      </w:pPr>
      <w:bookmarkStart w:id="20" w:name="_Toc158993739"/>
      <w:r w:rsidRPr="001959C0">
        <w:rPr>
          <w:b/>
          <w:bCs/>
          <w:color w:val="007CB0"/>
          <w:sz w:val="22"/>
          <w:szCs w:val="22"/>
          <w:lang w:val="en-GB"/>
        </w:rPr>
        <w:t>The o</w:t>
      </w:r>
      <w:r w:rsidR="00E575F3" w:rsidRPr="001959C0">
        <w:rPr>
          <w:b/>
          <w:bCs/>
          <w:color w:val="007CB0"/>
          <w:sz w:val="22"/>
          <w:szCs w:val="22"/>
          <w:lang w:val="en-GB"/>
        </w:rPr>
        <w:t>pportunity</w:t>
      </w:r>
      <w:r w:rsidRPr="001959C0">
        <w:rPr>
          <w:b/>
          <w:bCs/>
          <w:color w:val="007CB0"/>
          <w:sz w:val="22"/>
          <w:szCs w:val="22"/>
          <w:lang w:val="en-GB"/>
        </w:rPr>
        <w:t>: recommendations overview</w:t>
      </w:r>
      <w:bookmarkEnd w:id="20"/>
      <w:r w:rsidRPr="001959C0">
        <w:rPr>
          <w:b/>
          <w:bCs/>
          <w:color w:val="007CB0"/>
          <w:sz w:val="22"/>
          <w:szCs w:val="22"/>
          <w:lang w:val="en-GB"/>
        </w:rPr>
        <w:t xml:space="preserve"> </w:t>
      </w:r>
    </w:p>
    <w:p w14:paraId="2E9B1F1C" w14:textId="1B08F368" w:rsidR="00E575F3" w:rsidRPr="00E575F3" w:rsidRDefault="00E575F3" w:rsidP="00E575F3">
      <w:pPr>
        <w:rPr>
          <w:lang w:val="en-GB"/>
        </w:rPr>
      </w:pPr>
      <w:r w:rsidRPr="00E575F3">
        <w:rPr>
          <w:lang w:val="en-GB"/>
        </w:rPr>
        <w:t xml:space="preserve">With the current grant </w:t>
      </w:r>
      <w:r w:rsidR="00267BFF" w:rsidRPr="00E575F3">
        <w:rPr>
          <w:lang w:val="en-GB"/>
        </w:rPr>
        <w:t>arrangements</w:t>
      </w:r>
      <w:r w:rsidRPr="00E575F3">
        <w:rPr>
          <w:lang w:val="en-GB"/>
        </w:rPr>
        <w:t xml:space="preserve"> due to expire in June 2025, there is an opportunity to take the findings and recommendations of this review, together with the conclusions from the aforementioned ECEC and Closing the Gap</w:t>
      </w:r>
      <w:r w:rsidR="00FE4AE3">
        <w:rPr>
          <w:lang w:val="en-GB"/>
        </w:rPr>
        <w:t xml:space="preserve"> </w:t>
      </w:r>
      <w:r w:rsidRPr="00E575F3">
        <w:rPr>
          <w:lang w:val="en-GB"/>
        </w:rPr>
        <w:t xml:space="preserve">policy reviews, </w:t>
      </w:r>
      <w:r w:rsidR="00A7722B">
        <w:rPr>
          <w:lang w:val="en-GB"/>
        </w:rPr>
        <w:t>to</w:t>
      </w:r>
      <w:r w:rsidRPr="00E575F3">
        <w:rPr>
          <w:lang w:val="en-GB"/>
        </w:rPr>
        <w:t xml:space="preserve"> chart a new course for </w:t>
      </w:r>
      <w:r w:rsidR="00A7722B">
        <w:rPr>
          <w:lang w:val="en-GB"/>
        </w:rPr>
        <w:t xml:space="preserve">the </w:t>
      </w:r>
      <w:r w:rsidR="00503870" w:rsidRPr="00503870">
        <w:rPr>
          <w:lang w:val="en-GB"/>
        </w:rPr>
        <w:t xml:space="preserve">CCCFR </w:t>
      </w:r>
      <w:r w:rsidRPr="00E575F3">
        <w:rPr>
          <w:lang w:val="en-GB"/>
        </w:rPr>
        <w:t xml:space="preserve">services. </w:t>
      </w:r>
    </w:p>
    <w:p w14:paraId="10052F65" w14:textId="70C21689" w:rsidR="00E575F3" w:rsidRPr="00E575F3" w:rsidRDefault="00E575F3" w:rsidP="00E575F3">
      <w:pPr>
        <w:rPr>
          <w:lang w:val="en-GB"/>
        </w:rPr>
      </w:pPr>
      <w:r w:rsidRPr="00E575F3">
        <w:rPr>
          <w:lang w:val="en-GB"/>
        </w:rPr>
        <w:t xml:space="preserve">The opportunity for improvement in the grant structure and funding </w:t>
      </w:r>
      <w:r w:rsidR="00957181">
        <w:rPr>
          <w:lang w:val="en-GB"/>
        </w:rPr>
        <w:t>extends beyond adjusting</w:t>
      </w:r>
      <w:r w:rsidRPr="00E575F3">
        <w:rPr>
          <w:lang w:val="en-GB"/>
        </w:rPr>
        <w:t xml:space="preserve"> to current </w:t>
      </w:r>
      <w:r w:rsidR="00C704BB">
        <w:rPr>
          <w:lang w:val="en-GB"/>
        </w:rPr>
        <w:t>policy and operating</w:t>
      </w:r>
      <w:r w:rsidRPr="00E575F3">
        <w:rPr>
          <w:lang w:val="en-GB"/>
        </w:rPr>
        <w:t xml:space="preserve"> circumstance, it </w:t>
      </w:r>
      <w:r w:rsidR="00957181">
        <w:rPr>
          <w:lang w:val="en-GB"/>
        </w:rPr>
        <w:t>represents</w:t>
      </w:r>
      <w:r w:rsidRPr="00E575F3">
        <w:rPr>
          <w:lang w:val="en-GB"/>
        </w:rPr>
        <w:t xml:space="preserve"> an opportunity to </w:t>
      </w:r>
      <w:r w:rsidR="00B63C0E">
        <w:rPr>
          <w:lang w:val="en-GB"/>
        </w:rPr>
        <w:t>rectify</w:t>
      </w:r>
      <w:r w:rsidR="00B63C0E" w:rsidRPr="00E575F3">
        <w:rPr>
          <w:lang w:val="en-GB"/>
        </w:rPr>
        <w:t xml:space="preserve"> </w:t>
      </w:r>
      <w:r w:rsidRPr="00E575F3">
        <w:rPr>
          <w:lang w:val="en-GB"/>
        </w:rPr>
        <w:t>historic</w:t>
      </w:r>
      <w:r w:rsidR="00B63C0E">
        <w:rPr>
          <w:lang w:val="en-GB"/>
        </w:rPr>
        <w:t>al</w:t>
      </w:r>
      <w:r w:rsidRPr="00E575F3">
        <w:rPr>
          <w:lang w:val="en-GB"/>
        </w:rPr>
        <w:t xml:space="preserve"> gaps in its execution and to </w:t>
      </w:r>
      <w:r w:rsidR="00932AED">
        <w:rPr>
          <w:lang w:val="en-GB"/>
        </w:rPr>
        <w:t xml:space="preserve">envision </w:t>
      </w:r>
      <w:r w:rsidR="00C46A4F">
        <w:rPr>
          <w:lang w:val="en-GB"/>
        </w:rPr>
        <w:t>a more significant</w:t>
      </w:r>
      <w:r w:rsidRPr="00E575F3">
        <w:rPr>
          <w:lang w:val="en-GB"/>
        </w:rPr>
        <w:t xml:space="preserve"> role </w:t>
      </w:r>
      <w:r w:rsidR="006A2CCC">
        <w:rPr>
          <w:lang w:val="en-GB"/>
        </w:rPr>
        <w:t>for</w:t>
      </w:r>
      <w:r w:rsidR="006A2CCC" w:rsidRPr="00E575F3">
        <w:rPr>
          <w:lang w:val="en-GB"/>
        </w:rPr>
        <w:t xml:space="preserve"> </w:t>
      </w:r>
      <w:r w:rsidRPr="00E575F3">
        <w:rPr>
          <w:lang w:val="en-GB"/>
        </w:rPr>
        <w:t xml:space="preserve">these services in the future provision of </w:t>
      </w:r>
      <w:r w:rsidR="00C63242">
        <w:rPr>
          <w:lang w:val="en-GB"/>
        </w:rPr>
        <w:t xml:space="preserve">a </w:t>
      </w:r>
      <w:r w:rsidRPr="00E575F3">
        <w:rPr>
          <w:lang w:val="en-GB"/>
        </w:rPr>
        <w:t xml:space="preserve">universal ECEC </w:t>
      </w:r>
      <w:r w:rsidR="00A521EB">
        <w:rPr>
          <w:lang w:val="en-GB"/>
        </w:rPr>
        <w:t>for</w:t>
      </w:r>
      <w:r w:rsidRPr="00E575F3">
        <w:rPr>
          <w:lang w:val="en-GB"/>
        </w:rPr>
        <w:t xml:space="preserve"> children and families most at risk of being left behind. Furthermore, the </w:t>
      </w:r>
      <w:r w:rsidR="005731EA">
        <w:rPr>
          <w:lang w:val="en-GB"/>
        </w:rPr>
        <w:t>proposals</w:t>
      </w:r>
      <w:r w:rsidR="00D40C80">
        <w:rPr>
          <w:lang w:val="en-GB"/>
        </w:rPr>
        <w:t xml:space="preserve"> </w:t>
      </w:r>
      <w:r w:rsidRPr="00E575F3">
        <w:rPr>
          <w:lang w:val="en-GB"/>
        </w:rPr>
        <w:t xml:space="preserve">earmarked by the Productivity Commission </w:t>
      </w:r>
      <w:r w:rsidR="00D40C80">
        <w:rPr>
          <w:lang w:val="en-GB"/>
        </w:rPr>
        <w:t>introduce</w:t>
      </w:r>
      <w:r w:rsidRPr="00E575F3">
        <w:rPr>
          <w:lang w:val="en-GB"/>
        </w:rPr>
        <w:t xml:space="preserve"> the possibility for greater transformative change.</w:t>
      </w:r>
      <w:r w:rsidR="002E497C">
        <w:rPr>
          <w:lang w:val="en-GB"/>
        </w:rPr>
        <w:t xml:space="preserve"> </w:t>
      </w:r>
    </w:p>
    <w:p w14:paraId="31F7EE57" w14:textId="51C27693" w:rsidR="00E575F3" w:rsidRPr="00E575F3" w:rsidRDefault="00E575F3" w:rsidP="00E575F3">
      <w:pPr>
        <w:rPr>
          <w:lang w:val="en-GB"/>
        </w:rPr>
      </w:pPr>
      <w:r w:rsidRPr="00E575F3">
        <w:rPr>
          <w:lang w:val="en-GB"/>
        </w:rPr>
        <w:t xml:space="preserve">The areas for improvement </w:t>
      </w:r>
      <w:r w:rsidR="00B41C45">
        <w:rPr>
          <w:lang w:val="en-GB"/>
        </w:rPr>
        <w:t xml:space="preserve">proposed by this review </w:t>
      </w:r>
      <w:r w:rsidRPr="00E575F3">
        <w:rPr>
          <w:lang w:val="en-GB"/>
        </w:rPr>
        <w:t xml:space="preserve">include options for strengthening alignment to contemporary government policies and ECEC best practice, reconfiguring the objectives and measures of success, adjustments to the funding model, systematically reviewing funding amounts, addressing barriers to family access, refining the remit of </w:t>
      </w:r>
      <w:r w:rsidR="008265A3" w:rsidRPr="008265A3">
        <w:rPr>
          <w:lang w:val="en-GB"/>
        </w:rPr>
        <w:t>grant</w:t>
      </w:r>
      <w:r w:rsidRPr="00E575F3">
        <w:rPr>
          <w:lang w:val="en-GB"/>
        </w:rPr>
        <w:t xml:space="preserve"> support team and internal capacity building, increasing connectivity to </w:t>
      </w:r>
      <w:r w:rsidR="005731EA">
        <w:rPr>
          <w:lang w:val="en-GB"/>
        </w:rPr>
        <w:t>professional development</w:t>
      </w:r>
      <w:r w:rsidRPr="00E575F3">
        <w:rPr>
          <w:lang w:val="en-GB"/>
        </w:rPr>
        <w:t xml:space="preserve"> and training, addressing barriers to infrastructure upgrades, and enabling greater self-determination within communities aligned to Closing the Gap.</w:t>
      </w:r>
    </w:p>
    <w:p w14:paraId="0F7F3F5F" w14:textId="60E77B7B" w:rsidR="00E575F3" w:rsidRPr="00E575F3" w:rsidRDefault="00E575F3" w:rsidP="00E575F3">
      <w:pPr>
        <w:rPr>
          <w:lang w:val="en-GB"/>
        </w:rPr>
      </w:pPr>
      <w:r w:rsidRPr="00E575F3">
        <w:rPr>
          <w:lang w:val="en-GB"/>
        </w:rPr>
        <w:t xml:space="preserve">Successfully transitioning the current CCCFR funded services to a new or different funding arrangement and under a future policy environment needs to be done in a </w:t>
      </w:r>
      <w:r w:rsidR="00B41C45">
        <w:rPr>
          <w:lang w:val="en-GB"/>
        </w:rPr>
        <w:t>thoughtful</w:t>
      </w:r>
      <w:r w:rsidRPr="00E575F3">
        <w:rPr>
          <w:lang w:val="en-GB"/>
        </w:rPr>
        <w:t>, nuanced and community</w:t>
      </w:r>
      <w:r w:rsidR="002E29CE">
        <w:rPr>
          <w:lang w:val="en-GB"/>
        </w:rPr>
        <w:t>-</w:t>
      </w:r>
      <w:r w:rsidRPr="00E575F3">
        <w:rPr>
          <w:lang w:val="en-GB"/>
        </w:rPr>
        <w:t>led way, including co-ordination with other areas of government and extensive support and communications</w:t>
      </w:r>
      <w:r w:rsidR="00CB167B">
        <w:rPr>
          <w:lang w:val="en-GB"/>
        </w:rPr>
        <w:t xml:space="preserve"> at the service, family and community level</w:t>
      </w:r>
      <w:r w:rsidRPr="00E575F3">
        <w:rPr>
          <w:lang w:val="en-GB"/>
        </w:rPr>
        <w:t xml:space="preserve">. </w:t>
      </w:r>
    </w:p>
    <w:p w14:paraId="1FAEE918" w14:textId="2B790550" w:rsidR="00E575F3" w:rsidRPr="00E575F3" w:rsidRDefault="00E575F3" w:rsidP="00E575F3">
      <w:pPr>
        <w:rPr>
          <w:lang w:val="en-GB"/>
        </w:rPr>
      </w:pPr>
      <w:r w:rsidRPr="00E575F3">
        <w:rPr>
          <w:lang w:val="en-GB"/>
        </w:rPr>
        <w:t xml:space="preserve">This review makes two sets of recommendations. The first set </w:t>
      </w:r>
      <w:r w:rsidR="00465EC7" w:rsidRPr="00372A36">
        <w:rPr>
          <w:lang w:val="en-GB"/>
        </w:rPr>
        <w:t>(1-4)</w:t>
      </w:r>
      <w:r w:rsidR="00465EC7">
        <w:rPr>
          <w:lang w:val="en-GB"/>
        </w:rPr>
        <w:t xml:space="preserve"> seek</w:t>
      </w:r>
      <w:r w:rsidR="00B41C45">
        <w:rPr>
          <w:lang w:val="en-GB"/>
        </w:rPr>
        <w:t>s</w:t>
      </w:r>
      <w:r w:rsidR="00465EC7">
        <w:rPr>
          <w:lang w:val="en-GB"/>
        </w:rPr>
        <w:t xml:space="preserve"> to </w:t>
      </w:r>
      <w:r w:rsidR="00465EC7" w:rsidRPr="00E575F3">
        <w:rPr>
          <w:lang w:val="en-GB"/>
        </w:rPr>
        <w:t xml:space="preserve">respond to the </w:t>
      </w:r>
      <w:r w:rsidRPr="00E575F3">
        <w:rPr>
          <w:lang w:val="en-GB"/>
        </w:rPr>
        <w:t xml:space="preserve">potential for change in the </w:t>
      </w:r>
      <w:r w:rsidR="00465EC7">
        <w:rPr>
          <w:lang w:val="en-GB"/>
        </w:rPr>
        <w:t xml:space="preserve">wider ECEC </w:t>
      </w:r>
      <w:r w:rsidRPr="00E575F3">
        <w:rPr>
          <w:lang w:val="en-GB"/>
        </w:rPr>
        <w:t xml:space="preserve">policy environment, drawing on the proposals being </w:t>
      </w:r>
      <w:r w:rsidR="00465EC7">
        <w:rPr>
          <w:lang w:val="en-GB"/>
        </w:rPr>
        <w:t>considered</w:t>
      </w:r>
      <w:r w:rsidRPr="00E575F3">
        <w:rPr>
          <w:lang w:val="en-GB"/>
        </w:rPr>
        <w:t xml:space="preserve"> in </w:t>
      </w:r>
      <w:r w:rsidR="00465EC7">
        <w:rPr>
          <w:lang w:val="en-GB"/>
        </w:rPr>
        <w:t xml:space="preserve">other </w:t>
      </w:r>
      <w:r w:rsidRPr="00E575F3">
        <w:rPr>
          <w:lang w:val="en-GB"/>
        </w:rPr>
        <w:t>reviews</w:t>
      </w:r>
      <w:r w:rsidR="00465EC7">
        <w:rPr>
          <w:lang w:val="en-GB"/>
        </w:rPr>
        <w:t xml:space="preserve"> and </w:t>
      </w:r>
      <w:r w:rsidR="00B41C45">
        <w:rPr>
          <w:lang w:val="en-GB"/>
        </w:rPr>
        <w:t>i</w:t>
      </w:r>
      <w:r w:rsidR="00465EC7">
        <w:rPr>
          <w:lang w:val="en-GB"/>
        </w:rPr>
        <w:t xml:space="preserve">nquiries to explore </w:t>
      </w:r>
      <w:r w:rsidR="00EA70FD">
        <w:rPr>
          <w:lang w:val="en-GB"/>
        </w:rPr>
        <w:t>alternative possible futures for CCCFR services</w:t>
      </w:r>
      <w:r w:rsidR="00B41C45">
        <w:rPr>
          <w:lang w:val="en-GB"/>
        </w:rPr>
        <w:t xml:space="preserve"> (that is, futures outside of a grant environment)</w:t>
      </w:r>
      <w:r w:rsidR="00EA70FD">
        <w:rPr>
          <w:lang w:val="en-GB"/>
        </w:rPr>
        <w:t xml:space="preserve">. The second set </w:t>
      </w:r>
      <w:r w:rsidR="00EA70FD" w:rsidRPr="00372A36">
        <w:rPr>
          <w:lang w:val="en-GB"/>
        </w:rPr>
        <w:t>(5-</w:t>
      </w:r>
      <w:r w:rsidR="00372A36" w:rsidRPr="00372A36">
        <w:rPr>
          <w:lang w:val="en-GB"/>
        </w:rPr>
        <w:t>19</w:t>
      </w:r>
      <w:r w:rsidR="00EA70FD" w:rsidRPr="00372A36">
        <w:rPr>
          <w:lang w:val="en-GB"/>
        </w:rPr>
        <w:t>)</w:t>
      </w:r>
      <w:r w:rsidRPr="00E575F3">
        <w:rPr>
          <w:lang w:val="en-GB"/>
        </w:rPr>
        <w:t xml:space="preserve"> respond</w:t>
      </w:r>
      <w:r w:rsidR="00B41C45">
        <w:rPr>
          <w:lang w:val="en-GB"/>
        </w:rPr>
        <w:t>s</w:t>
      </w:r>
      <w:r w:rsidRPr="00E575F3">
        <w:rPr>
          <w:lang w:val="en-GB"/>
        </w:rPr>
        <w:t xml:space="preserve"> to the more immediate opportunity to strengthen the operations and impact of the CCCFR grant</w:t>
      </w:r>
      <w:r w:rsidR="000E2D53">
        <w:rPr>
          <w:lang w:val="en-GB"/>
        </w:rPr>
        <w:t xml:space="preserve"> in the event that its continued operation is deemed necessary</w:t>
      </w:r>
      <w:r w:rsidRPr="00E575F3">
        <w:rPr>
          <w:lang w:val="en-GB"/>
        </w:rPr>
        <w:t>.</w:t>
      </w:r>
      <w:r w:rsidR="002E497C">
        <w:rPr>
          <w:lang w:val="en-GB"/>
        </w:rPr>
        <w:t xml:space="preserve"> </w:t>
      </w:r>
    </w:p>
    <w:p w14:paraId="0A6D6AB7" w14:textId="77AC1265" w:rsidR="0069AED6" w:rsidRDefault="0069AED6" w:rsidP="288861D3">
      <w:pPr>
        <w:rPr>
          <w:lang w:val="en-GB"/>
        </w:rPr>
      </w:pPr>
      <w:r w:rsidRPr="18F70B80">
        <w:rPr>
          <w:lang w:val="en-GB"/>
        </w:rPr>
        <w:t xml:space="preserve">These two sets of </w:t>
      </w:r>
      <w:r w:rsidRPr="24693FF5">
        <w:rPr>
          <w:lang w:val="en-GB"/>
        </w:rPr>
        <w:t>recommendation</w:t>
      </w:r>
      <w:r w:rsidR="4BB3D34C" w:rsidRPr="24693FF5">
        <w:rPr>
          <w:lang w:val="en-GB"/>
        </w:rPr>
        <w:t>s</w:t>
      </w:r>
      <w:r w:rsidRPr="18F70B80">
        <w:rPr>
          <w:lang w:val="en-GB"/>
        </w:rPr>
        <w:t xml:space="preserve"> </w:t>
      </w:r>
      <w:r w:rsidR="33574376" w:rsidRPr="3E6D2B6C">
        <w:rPr>
          <w:lang w:val="en-GB"/>
        </w:rPr>
        <w:t>align to a</w:t>
      </w:r>
      <w:r w:rsidR="4BB0DEEF" w:rsidRPr="4713B99A">
        <w:rPr>
          <w:lang w:val="en-GB"/>
        </w:rPr>
        <w:t xml:space="preserve"> set of g</w:t>
      </w:r>
      <w:r w:rsidRPr="4713B99A">
        <w:rPr>
          <w:lang w:val="en-GB"/>
        </w:rPr>
        <w:t>uiding</w:t>
      </w:r>
      <w:r w:rsidRPr="18F70B80">
        <w:rPr>
          <w:lang w:val="en-GB"/>
        </w:rPr>
        <w:t xml:space="preserve"> principles</w:t>
      </w:r>
      <w:r w:rsidR="6E93903B" w:rsidRPr="12E0BEB7">
        <w:rPr>
          <w:lang w:val="en-GB"/>
        </w:rPr>
        <w:t xml:space="preserve"> </w:t>
      </w:r>
      <w:r w:rsidR="6E93903B" w:rsidRPr="03197732">
        <w:rPr>
          <w:lang w:val="en-GB"/>
        </w:rPr>
        <w:t>that have been identified through the course of the review</w:t>
      </w:r>
      <w:r w:rsidR="37E69E1E" w:rsidRPr="24693FF5">
        <w:rPr>
          <w:lang w:val="en-GB"/>
        </w:rPr>
        <w:t xml:space="preserve">. </w:t>
      </w:r>
      <w:r w:rsidR="37E69E1E" w:rsidRPr="70235014">
        <w:rPr>
          <w:lang w:val="en-GB"/>
        </w:rPr>
        <w:t xml:space="preserve">These guiding principles </w:t>
      </w:r>
      <w:r w:rsidR="6410A706" w:rsidRPr="70235014">
        <w:rPr>
          <w:lang w:val="en-GB"/>
        </w:rPr>
        <w:t xml:space="preserve">lay the </w:t>
      </w:r>
      <w:r w:rsidR="10566707" w:rsidRPr="024F9BA6">
        <w:rPr>
          <w:lang w:val="en-GB"/>
        </w:rPr>
        <w:t>groundwork</w:t>
      </w:r>
      <w:r w:rsidR="6410A706" w:rsidRPr="70235014">
        <w:rPr>
          <w:lang w:val="en-GB"/>
        </w:rPr>
        <w:t xml:space="preserve"> </w:t>
      </w:r>
      <w:r w:rsidR="2427CB15" w:rsidRPr="3E6D2B6C">
        <w:rPr>
          <w:lang w:val="en-GB"/>
        </w:rPr>
        <w:t xml:space="preserve">for </w:t>
      </w:r>
      <w:r w:rsidR="108803A3" w:rsidRPr="538FE3DE">
        <w:rPr>
          <w:lang w:val="en-GB"/>
        </w:rPr>
        <w:t>the current</w:t>
      </w:r>
      <w:r w:rsidR="108803A3" w:rsidRPr="70235014">
        <w:rPr>
          <w:lang w:val="en-GB"/>
        </w:rPr>
        <w:t xml:space="preserve"> </w:t>
      </w:r>
      <w:r w:rsidR="108803A3" w:rsidRPr="395B8C88">
        <w:rPr>
          <w:lang w:val="en-GB"/>
        </w:rPr>
        <w:t>CCCFR grant funded services to satisfy the</w:t>
      </w:r>
      <w:r w:rsidR="108803A3" w:rsidRPr="70235014">
        <w:rPr>
          <w:lang w:val="en-GB"/>
        </w:rPr>
        <w:t xml:space="preserve"> conditions of inclusivity, accessibility, affordability and </w:t>
      </w:r>
      <w:r w:rsidR="108803A3" w:rsidRPr="538FE3DE">
        <w:rPr>
          <w:lang w:val="en-GB"/>
        </w:rPr>
        <w:t>availability</w:t>
      </w:r>
      <w:r w:rsidR="108803A3" w:rsidRPr="395B8C88">
        <w:rPr>
          <w:lang w:val="en-GB"/>
        </w:rPr>
        <w:t xml:space="preserve"> under a universal ECEC </w:t>
      </w:r>
      <w:r w:rsidR="108803A3" w:rsidRPr="50694C1D">
        <w:rPr>
          <w:lang w:val="en-GB"/>
        </w:rPr>
        <w:t xml:space="preserve">system. </w:t>
      </w:r>
    </w:p>
    <w:p w14:paraId="585E6A2E" w14:textId="1851D584" w:rsidR="1F12464D" w:rsidRDefault="38034912" w:rsidP="1F12464D">
      <w:pPr>
        <w:rPr>
          <w:lang w:val="en-GB"/>
        </w:rPr>
      </w:pPr>
      <w:r w:rsidRPr="360F0EEF">
        <w:rPr>
          <w:lang w:val="en-GB"/>
        </w:rPr>
        <w:t xml:space="preserve">While the recommendations </w:t>
      </w:r>
      <w:r w:rsidR="76A93DB0" w:rsidRPr="360F0EEF">
        <w:rPr>
          <w:lang w:val="en-GB"/>
        </w:rPr>
        <w:t xml:space="preserve">have been carefully constructed in response to </w:t>
      </w:r>
      <w:r w:rsidR="36DB630B" w:rsidRPr="360F0EEF">
        <w:rPr>
          <w:lang w:val="en-GB"/>
        </w:rPr>
        <w:t xml:space="preserve">both </w:t>
      </w:r>
      <w:r w:rsidR="76A93DB0" w:rsidRPr="360F0EEF">
        <w:rPr>
          <w:lang w:val="en-GB"/>
        </w:rPr>
        <w:t xml:space="preserve">the current </w:t>
      </w:r>
      <w:r w:rsidR="005731EA">
        <w:rPr>
          <w:lang w:val="en-GB"/>
        </w:rPr>
        <w:t>operating</w:t>
      </w:r>
      <w:r w:rsidR="76A93DB0" w:rsidRPr="360F0EEF">
        <w:rPr>
          <w:lang w:val="en-GB"/>
        </w:rPr>
        <w:t xml:space="preserve"> conditions </w:t>
      </w:r>
      <w:r w:rsidR="3B7E2F55" w:rsidRPr="331DC5E2">
        <w:rPr>
          <w:lang w:val="en-GB"/>
        </w:rPr>
        <w:t xml:space="preserve">as well as the </w:t>
      </w:r>
      <w:r w:rsidR="01317277" w:rsidRPr="360F0EEF">
        <w:rPr>
          <w:lang w:val="en-GB"/>
        </w:rPr>
        <w:t xml:space="preserve">contemporary policy landscape, </w:t>
      </w:r>
      <w:r w:rsidR="56157C3E" w:rsidRPr="331DC5E2">
        <w:rPr>
          <w:lang w:val="en-GB"/>
        </w:rPr>
        <w:t xml:space="preserve">and </w:t>
      </w:r>
      <w:r w:rsidR="01317277" w:rsidRPr="360F0EEF">
        <w:rPr>
          <w:lang w:val="en-GB"/>
        </w:rPr>
        <w:t xml:space="preserve">with a view to what a future policy </w:t>
      </w:r>
      <w:r w:rsidR="01317277" w:rsidRPr="3DE3D506">
        <w:rPr>
          <w:lang w:val="en-GB"/>
        </w:rPr>
        <w:t xml:space="preserve">landscape may entail, </w:t>
      </w:r>
      <w:r w:rsidR="06DE16D5" w:rsidRPr="331DC5E2">
        <w:rPr>
          <w:lang w:val="en-GB"/>
        </w:rPr>
        <w:t xml:space="preserve">it is recognised that this report has been prepared at a point in time and that </w:t>
      </w:r>
      <w:r w:rsidR="62235411" w:rsidRPr="331DC5E2">
        <w:rPr>
          <w:lang w:val="en-GB"/>
        </w:rPr>
        <w:t>situational factors will continue to evolve both subject to decisions made</w:t>
      </w:r>
      <w:r w:rsidR="4B87089B" w:rsidRPr="360F0EEF">
        <w:rPr>
          <w:lang w:val="en-GB"/>
        </w:rPr>
        <w:t xml:space="preserve"> </w:t>
      </w:r>
      <w:r w:rsidR="62235411" w:rsidRPr="635619A6">
        <w:rPr>
          <w:lang w:val="en-GB"/>
        </w:rPr>
        <w:t xml:space="preserve">by the Department and beyond them. With that in mind, </w:t>
      </w:r>
      <w:r w:rsidR="00B41C45">
        <w:rPr>
          <w:lang w:val="en-GB"/>
        </w:rPr>
        <w:t>the guiding principles that follow may also</w:t>
      </w:r>
      <w:r w:rsidR="62235411" w:rsidRPr="635619A6">
        <w:rPr>
          <w:lang w:val="en-GB"/>
        </w:rPr>
        <w:t xml:space="preserve"> provide </w:t>
      </w:r>
      <w:r w:rsidR="00943CC7">
        <w:rPr>
          <w:lang w:val="en-GB"/>
        </w:rPr>
        <w:t>the</w:t>
      </w:r>
      <w:r w:rsidR="62235411" w:rsidRPr="635619A6">
        <w:rPr>
          <w:lang w:val="en-GB"/>
        </w:rPr>
        <w:t xml:space="preserve"> </w:t>
      </w:r>
      <w:r w:rsidR="02B3AF3F" w:rsidRPr="0DA8B423">
        <w:rPr>
          <w:lang w:val="en-GB"/>
        </w:rPr>
        <w:t xml:space="preserve">foundations </w:t>
      </w:r>
      <w:r w:rsidR="00943CC7">
        <w:rPr>
          <w:lang w:val="en-GB"/>
        </w:rPr>
        <w:t>for</w:t>
      </w:r>
      <w:r w:rsidR="02B3AF3F" w:rsidRPr="0DA8B423">
        <w:rPr>
          <w:lang w:val="en-GB"/>
        </w:rPr>
        <w:t xml:space="preserve"> </w:t>
      </w:r>
      <w:r w:rsidR="001C195D">
        <w:rPr>
          <w:lang w:val="en-GB"/>
        </w:rPr>
        <w:t xml:space="preserve">consideration </w:t>
      </w:r>
      <w:r w:rsidR="00BD0064">
        <w:rPr>
          <w:lang w:val="en-GB"/>
        </w:rPr>
        <w:t xml:space="preserve">of </w:t>
      </w:r>
      <w:r w:rsidR="02B3AF3F" w:rsidRPr="0DA8B423">
        <w:rPr>
          <w:lang w:val="en-GB"/>
        </w:rPr>
        <w:t xml:space="preserve">additional </w:t>
      </w:r>
      <w:r w:rsidR="00035342">
        <w:rPr>
          <w:lang w:val="en-GB"/>
        </w:rPr>
        <w:t>funding</w:t>
      </w:r>
      <w:r w:rsidR="00B41C45">
        <w:rPr>
          <w:lang w:val="en-GB"/>
        </w:rPr>
        <w:t>, policy and regulatory</w:t>
      </w:r>
      <w:r w:rsidR="00035342">
        <w:rPr>
          <w:lang w:val="en-GB"/>
        </w:rPr>
        <w:t xml:space="preserve"> options</w:t>
      </w:r>
      <w:r w:rsidR="00617E09">
        <w:rPr>
          <w:lang w:val="en-GB"/>
        </w:rPr>
        <w:t>,</w:t>
      </w:r>
      <w:r w:rsidR="08F07646" w:rsidRPr="024F9BA6">
        <w:rPr>
          <w:lang w:val="en-GB"/>
        </w:rPr>
        <w:t xml:space="preserve"> beyond the </w:t>
      </w:r>
      <w:r w:rsidR="0000190D">
        <w:rPr>
          <w:lang w:val="en-GB"/>
        </w:rPr>
        <w:t>boundaries of</w:t>
      </w:r>
      <w:r w:rsidR="08F07646" w:rsidRPr="024F9BA6">
        <w:rPr>
          <w:lang w:val="en-GB"/>
        </w:rPr>
        <w:t xml:space="preserve"> </w:t>
      </w:r>
      <w:r w:rsidR="00B41C45">
        <w:rPr>
          <w:lang w:val="en-GB"/>
        </w:rPr>
        <w:t xml:space="preserve">the recommendations of </w:t>
      </w:r>
      <w:r w:rsidR="08F07646" w:rsidRPr="024F9BA6">
        <w:rPr>
          <w:lang w:val="en-GB"/>
        </w:rPr>
        <w:t xml:space="preserve">this </w:t>
      </w:r>
      <w:r w:rsidR="00B41C45">
        <w:rPr>
          <w:lang w:val="en-GB"/>
        </w:rPr>
        <w:t>review</w:t>
      </w:r>
      <w:r w:rsidR="08F07646" w:rsidRPr="024F9BA6">
        <w:rPr>
          <w:lang w:val="en-GB"/>
        </w:rPr>
        <w:t>.</w:t>
      </w:r>
    </w:p>
    <w:p w14:paraId="0A8D6385" w14:textId="781D9F0D" w:rsidR="473FFE5C" w:rsidRDefault="311FB73F" w:rsidP="00416EA8">
      <w:pPr>
        <w:pStyle w:val="ListNumber"/>
        <w:numPr>
          <w:ilvl w:val="0"/>
          <w:numId w:val="48"/>
        </w:numPr>
        <w:rPr>
          <w:lang w:val="en-GB"/>
        </w:rPr>
      </w:pPr>
      <w:r w:rsidRPr="6A9CF5D0">
        <w:rPr>
          <w:lang w:val="en-GB"/>
        </w:rPr>
        <w:t>Purposeful</w:t>
      </w:r>
      <w:r w:rsidR="001C195D">
        <w:rPr>
          <w:lang w:val="en-GB"/>
        </w:rPr>
        <w:t>:</w:t>
      </w:r>
      <w:r w:rsidR="76E4A3DD" w:rsidRPr="6A9CF5D0">
        <w:rPr>
          <w:lang w:val="en-GB"/>
        </w:rPr>
        <w:t xml:space="preserve"> </w:t>
      </w:r>
      <w:r w:rsidR="0026356C">
        <w:rPr>
          <w:lang w:val="en-GB"/>
        </w:rPr>
        <w:t>Having clear intention</w:t>
      </w:r>
      <w:r w:rsidR="008B25E2">
        <w:rPr>
          <w:lang w:val="en-GB"/>
        </w:rPr>
        <w:t>s</w:t>
      </w:r>
      <w:r w:rsidR="0026356C">
        <w:rPr>
          <w:lang w:val="en-GB"/>
        </w:rPr>
        <w:t xml:space="preserve"> and objective</w:t>
      </w:r>
      <w:r w:rsidR="008B25E2">
        <w:rPr>
          <w:lang w:val="en-GB"/>
        </w:rPr>
        <w:t>s</w:t>
      </w:r>
      <w:r w:rsidR="0026356C">
        <w:rPr>
          <w:lang w:val="en-GB"/>
        </w:rPr>
        <w:t xml:space="preserve"> </w:t>
      </w:r>
      <w:r w:rsidR="00FA185F">
        <w:rPr>
          <w:lang w:val="en-GB"/>
        </w:rPr>
        <w:t xml:space="preserve">and a </w:t>
      </w:r>
      <w:r w:rsidR="00B3673A">
        <w:rPr>
          <w:lang w:val="en-GB"/>
        </w:rPr>
        <w:t xml:space="preserve">pre-determined, transparent </w:t>
      </w:r>
      <w:r w:rsidR="00FA185F">
        <w:rPr>
          <w:lang w:val="en-GB"/>
        </w:rPr>
        <w:t>process to achieve them.</w:t>
      </w:r>
    </w:p>
    <w:p w14:paraId="532BE61B" w14:textId="7FD08980" w:rsidR="473FFE5C" w:rsidRDefault="473FFE5C" w:rsidP="00416EA8">
      <w:pPr>
        <w:pStyle w:val="ListNumber"/>
        <w:numPr>
          <w:ilvl w:val="0"/>
          <w:numId w:val="48"/>
        </w:numPr>
        <w:rPr>
          <w:lang w:val="en-GB"/>
        </w:rPr>
      </w:pPr>
      <w:r w:rsidRPr="57B3A984">
        <w:rPr>
          <w:lang w:val="en-GB"/>
        </w:rPr>
        <w:t>Grounded in evidence</w:t>
      </w:r>
      <w:r w:rsidR="001C195D">
        <w:rPr>
          <w:lang w:val="en-GB"/>
        </w:rPr>
        <w:t>:</w:t>
      </w:r>
      <w:r w:rsidR="00257000">
        <w:rPr>
          <w:lang w:val="en-GB"/>
        </w:rPr>
        <w:t xml:space="preserve"> </w:t>
      </w:r>
      <w:r w:rsidR="00627AE8">
        <w:rPr>
          <w:lang w:val="en-GB"/>
        </w:rPr>
        <w:t xml:space="preserve">Leveraging what </w:t>
      </w:r>
      <w:r w:rsidR="00F345F2">
        <w:rPr>
          <w:lang w:val="en-GB"/>
        </w:rPr>
        <w:t xml:space="preserve">has been demonstrated </w:t>
      </w:r>
      <w:r w:rsidR="00BF3DF7">
        <w:rPr>
          <w:lang w:val="en-GB"/>
        </w:rPr>
        <w:t>through research and best practice</w:t>
      </w:r>
      <w:r w:rsidR="00DA5484">
        <w:rPr>
          <w:lang w:val="en-GB"/>
        </w:rPr>
        <w:t xml:space="preserve"> guidance</w:t>
      </w:r>
      <w:r w:rsidR="00117EA5">
        <w:rPr>
          <w:lang w:val="en-GB"/>
        </w:rPr>
        <w:t xml:space="preserve">, while being </w:t>
      </w:r>
      <w:r w:rsidR="00670CF8">
        <w:rPr>
          <w:lang w:val="en-GB"/>
        </w:rPr>
        <w:t>cognisant</w:t>
      </w:r>
      <w:r w:rsidR="00117EA5">
        <w:rPr>
          <w:lang w:val="en-GB"/>
        </w:rPr>
        <w:t xml:space="preserve"> that </w:t>
      </w:r>
      <w:r w:rsidR="00006AFA">
        <w:rPr>
          <w:lang w:val="en-GB"/>
        </w:rPr>
        <w:t xml:space="preserve">evidence </w:t>
      </w:r>
      <w:r w:rsidR="006B00EC">
        <w:rPr>
          <w:lang w:val="en-GB"/>
        </w:rPr>
        <w:t>most instructive of</w:t>
      </w:r>
      <w:r w:rsidR="000C622B">
        <w:rPr>
          <w:lang w:val="en-GB"/>
        </w:rPr>
        <w:t xml:space="preserve"> </w:t>
      </w:r>
      <w:r w:rsidR="00F63D3C">
        <w:rPr>
          <w:lang w:val="en-GB"/>
        </w:rPr>
        <w:t>Indigenous</w:t>
      </w:r>
      <w:r w:rsidR="002E5E50">
        <w:rPr>
          <w:lang w:val="en-GB"/>
        </w:rPr>
        <w:t xml:space="preserve"> </w:t>
      </w:r>
      <w:r w:rsidR="00F63D3C">
        <w:rPr>
          <w:lang w:val="en-GB"/>
        </w:rPr>
        <w:t>knowledge systems</w:t>
      </w:r>
      <w:r w:rsidR="00C421B7">
        <w:rPr>
          <w:lang w:val="en-GB"/>
        </w:rPr>
        <w:t xml:space="preserve"> and</w:t>
      </w:r>
      <w:r w:rsidR="006A30C3">
        <w:rPr>
          <w:lang w:val="en-GB"/>
        </w:rPr>
        <w:t xml:space="preserve"> ways of being and doing </w:t>
      </w:r>
      <w:r w:rsidR="00C75BBD">
        <w:rPr>
          <w:lang w:val="en-GB"/>
        </w:rPr>
        <w:t>ha</w:t>
      </w:r>
      <w:r w:rsidR="00320A1F">
        <w:rPr>
          <w:lang w:val="en-GB"/>
        </w:rPr>
        <w:t>s</w:t>
      </w:r>
      <w:r w:rsidR="00C75BBD">
        <w:rPr>
          <w:lang w:val="en-GB"/>
        </w:rPr>
        <w:t xml:space="preserve"> hist</w:t>
      </w:r>
      <w:r w:rsidR="007C260A">
        <w:rPr>
          <w:lang w:val="en-GB"/>
        </w:rPr>
        <w:t>orically been</w:t>
      </w:r>
      <w:r w:rsidR="006A30C3">
        <w:rPr>
          <w:lang w:val="en-GB"/>
        </w:rPr>
        <w:t xml:space="preserve"> </w:t>
      </w:r>
      <w:r w:rsidR="00C421B7">
        <w:rPr>
          <w:lang w:val="en-GB"/>
        </w:rPr>
        <w:t>excluded</w:t>
      </w:r>
      <w:r w:rsidR="006A30C3">
        <w:rPr>
          <w:lang w:val="en-GB"/>
        </w:rPr>
        <w:t xml:space="preserve"> from research practices.</w:t>
      </w:r>
      <w:r w:rsidR="002E497C">
        <w:rPr>
          <w:lang w:val="en-GB"/>
        </w:rPr>
        <w:t xml:space="preserve"> </w:t>
      </w:r>
    </w:p>
    <w:p w14:paraId="560BBA7D" w14:textId="5E2F433F" w:rsidR="473FFE5C" w:rsidRDefault="473FFE5C" w:rsidP="00416EA8">
      <w:pPr>
        <w:pStyle w:val="ListNumber"/>
        <w:numPr>
          <w:ilvl w:val="0"/>
          <w:numId w:val="48"/>
        </w:numPr>
        <w:rPr>
          <w:lang w:val="en-GB"/>
        </w:rPr>
      </w:pPr>
      <w:r w:rsidRPr="57B3A984">
        <w:rPr>
          <w:lang w:val="en-GB"/>
        </w:rPr>
        <w:lastRenderedPageBreak/>
        <w:t>Strength-based</w:t>
      </w:r>
      <w:r w:rsidR="001C195D">
        <w:rPr>
          <w:lang w:val="en-GB"/>
        </w:rPr>
        <w:t>:</w:t>
      </w:r>
      <w:r w:rsidR="00930F33">
        <w:rPr>
          <w:lang w:val="en-GB"/>
        </w:rPr>
        <w:t xml:space="preserve"> </w:t>
      </w:r>
      <w:r w:rsidR="00ED7400">
        <w:t>F</w:t>
      </w:r>
      <w:r w:rsidR="00ED7400" w:rsidRPr="00ED7400">
        <w:t>ocus</w:t>
      </w:r>
      <w:r w:rsidR="00ED7400">
        <w:t>ing</w:t>
      </w:r>
      <w:r w:rsidR="00ED7400" w:rsidRPr="00ED7400">
        <w:t xml:space="preserve"> on identifying the knowledge, skills and attributes that individuals and communities hold </w:t>
      </w:r>
      <w:r w:rsidR="00EA7702">
        <w:t xml:space="preserve">in order </w:t>
      </w:r>
      <w:r w:rsidR="00ED7400" w:rsidRPr="00ED7400">
        <w:t>to support achieving their goals and aspirations.</w:t>
      </w:r>
    </w:p>
    <w:p w14:paraId="4D0BB7C8" w14:textId="4E33D18B" w:rsidR="00F15600" w:rsidRPr="00F15600" w:rsidRDefault="00F15600" w:rsidP="00416EA8">
      <w:pPr>
        <w:pStyle w:val="ListNumber"/>
        <w:numPr>
          <w:ilvl w:val="0"/>
          <w:numId w:val="48"/>
        </w:numPr>
        <w:rPr>
          <w:lang w:val="en-GB"/>
        </w:rPr>
      </w:pPr>
      <w:r w:rsidRPr="6A9CF5D0">
        <w:rPr>
          <w:lang w:val="en-GB"/>
        </w:rPr>
        <w:t>Culturally-informed</w:t>
      </w:r>
      <w:r w:rsidR="001C195D">
        <w:rPr>
          <w:lang w:val="en-GB"/>
        </w:rPr>
        <w:t>:</w:t>
      </w:r>
      <w:r w:rsidR="00970114">
        <w:rPr>
          <w:lang w:val="en-GB"/>
        </w:rPr>
        <w:t xml:space="preserve"> </w:t>
      </w:r>
      <w:r w:rsidR="00617027">
        <w:rPr>
          <w:lang w:val="en-GB"/>
        </w:rPr>
        <w:t>Recognising that</w:t>
      </w:r>
      <w:r w:rsidR="0040422B">
        <w:rPr>
          <w:lang w:val="en-GB"/>
        </w:rPr>
        <w:t xml:space="preserve"> </w:t>
      </w:r>
      <w:r w:rsidR="00DE0C2A">
        <w:rPr>
          <w:lang w:val="en-GB"/>
        </w:rPr>
        <w:t xml:space="preserve">children thrive </w:t>
      </w:r>
      <w:r w:rsidR="00DB27B3">
        <w:rPr>
          <w:lang w:val="en-GB"/>
        </w:rPr>
        <w:t xml:space="preserve">in </w:t>
      </w:r>
      <w:r w:rsidR="00F8271C">
        <w:rPr>
          <w:lang w:val="en-GB"/>
        </w:rPr>
        <w:t xml:space="preserve">culturally </w:t>
      </w:r>
      <w:r w:rsidR="000E566A">
        <w:rPr>
          <w:lang w:val="en-GB"/>
        </w:rPr>
        <w:t xml:space="preserve">safe </w:t>
      </w:r>
      <w:r w:rsidR="00311557">
        <w:rPr>
          <w:lang w:val="en-GB"/>
        </w:rPr>
        <w:t xml:space="preserve">and enriched </w:t>
      </w:r>
      <w:r w:rsidR="000E566A">
        <w:rPr>
          <w:lang w:val="en-GB"/>
        </w:rPr>
        <w:t>spaces</w:t>
      </w:r>
      <w:r w:rsidR="00617027">
        <w:rPr>
          <w:lang w:val="en-GB"/>
        </w:rPr>
        <w:t>,</w:t>
      </w:r>
      <w:r w:rsidR="008F6578">
        <w:rPr>
          <w:lang w:val="en-GB"/>
        </w:rPr>
        <w:t xml:space="preserve"> </w:t>
      </w:r>
      <w:r w:rsidR="00FE072A">
        <w:rPr>
          <w:lang w:val="en-GB"/>
        </w:rPr>
        <w:t xml:space="preserve">there is a need to work closely with Aboriginal and Torres Strait Islander </w:t>
      </w:r>
      <w:r w:rsidR="009A6E16">
        <w:rPr>
          <w:lang w:val="en-GB"/>
        </w:rPr>
        <w:t xml:space="preserve">peoples where </w:t>
      </w:r>
      <w:r w:rsidR="00F21463" w:rsidRPr="00F21463">
        <w:rPr>
          <w:lang w:val="en-GB"/>
        </w:rPr>
        <w:t xml:space="preserve">CCCFR </w:t>
      </w:r>
      <w:r w:rsidR="009A6E16">
        <w:rPr>
          <w:lang w:val="en-GB"/>
        </w:rPr>
        <w:t xml:space="preserve">services operate in their </w:t>
      </w:r>
      <w:r w:rsidR="00DF1C43">
        <w:rPr>
          <w:lang w:val="en-GB"/>
        </w:rPr>
        <w:t>communitie</w:t>
      </w:r>
      <w:r w:rsidR="002231F1">
        <w:rPr>
          <w:lang w:val="en-GB"/>
        </w:rPr>
        <w:t>s</w:t>
      </w:r>
      <w:r w:rsidR="00C20E4F">
        <w:rPr>
          <w:lang w:val="en-GB"/>
        </w:rPr>
        <w:t xml:space="preserve">. </w:t>
      </w:r>
      <w:r w:rsidR="009A6E16">
        <w:rPr>
          <w:lang w:val="en-GB"/>
        </w:rPr>
        <w:t xml:space="preserve">This is not to the exclusion of other cultural needs that may emerge </w:t>
      </w:r>
      <w:r w:rsidR="00790570">
        <w:rPr>
          <w:lang w:val="en-GB"/>
        </w:rPr>
        <w:t>within</w:t>
      </w:r>
      <w:r w:rsidR="009A6E16">
        <w:rPr>
          <w:lang w:val="en-GB"/>
        </w:rPr>
        <w:t xml:space="preserve"> non-Indigenous </w:t>
      </w:r>
      <w:r w:rsidR="00E110CD">
        <w:rPr>
          <w:lang w:val="en-GB"/>
        </w:rPr>
        <w:t>communities</w:t>
      </w:r>
      <w:r w:rsidR="009A6E16">
        <w:rPr>
          <w:lang w:val="en-GB"/>
        </w:rPr>
        <w:t xml:space="preserve">. </w:t>
      </w:r>
    </w:p>
    <w:p w14:paraId="467809DD" w14:textId="43145792" w:rsidR="005D453E" w:rsidRDefault="473FFE5C" w:rsidP="00416EA8">
      <w:pPr>
        <w:pStyle w:val="ListNumber"/>
        <w:numPr>
          <w:ilvl w:val="0"/>
          <w:numId w:val="48"/>
        </w:numPr>
        <w:rPr>
          <w:lang w:val="en-GB"/>
        </w:rPr>
      </w:pPr>
      <w:r w:rsidRPr="57B3A984">
        <w:rPr>
          <w:lang w:val="en-GB"/>
        </w:rPr>
        <w:t>Responsive</w:t>
      </w:r>
      <w:r w:rsidR="001C195D">
        <w:rPr>
          <w:lang w:val="en-GB"/>
        </w:rPr>
        <w:t>:</w:t>
      </w:r>
      <w:r w:rsidR="00AC57EC">
        <w:rPr>
          <w:lang w:val="en-GB"/>
        </w:rPr>
        <w:t xml:space="preserve"> </w:t>
      </w:r>
      <w:r w:rsidR="006D3C11">
        <w:rPr>
          <w:lang w:val="en-GB"/>
        </w:rPr>
        <w:t xml:space="preserve">The capacity </w:t>
      </w:r>
      <w:r w:rsidR="005D453E">
        <w:rPr>
          <w:lang w:val="en-GB"/>
        </w:rPr>
        <w:t xml:space="preserve">for funding to evolve and adapt – and allow </w:t>
      </w:r>
      <w:r w:rsidR="00F21463" w:rsidRPr="00F21463">
        <w:rPr>
          <w:lang w:val="en-GB"/>
        </w:rPr>
        <w:t xml:space="preserve">CCCFR </w:t>
      </w:r>
      <w:r w:rsidR="005D453E">
        <w:rPr>
          <w:lang w:val="en-GB"/>
        </w:rPr>
        <w:t xml:space="preserve">services to evolve and adapt – in response to </w:t>
      </w:r>
      <w:r w:rsidR="00F703B9">
        <w:rPr>
          <w:lang w:val="en-GB"/>
        </w:rPr>
        <w:t xml:space="preserve">different and </w:t>
      </w:r>
      <w:r w:rsidR="005D453E">
        <w:rPr>
          <w:lang w:val="en-GB"/>
        </w:rPr>
        <w:t>changing local circumstances.</w:t>
      </w:r>
      <w:r w:rsidR="002E497C">
        <w:rPr>
          <w:lang w:val="en-GB"/>
        </w:rPr>
        <w:t xml:space="preserve"> </w:t>
      </w:r>
    </w:p>
    <w:p w14:paraId="790C774D" w14:textId="12F22417" w:rsidR="00F6270C" w:rsidRDefault="7BA8E8EB" w:rsidP="00416EA8">
      <w:pPr>
        <w:pStyle w:val="ListNumber"/>
        <w:numPr>
          <w:ilvl w:val="0"/>
          <w:numId w:val="48"/>
        </w:numPr>
        <w:rPr>
          <w:lang w:val="en-GB"/>
        </w:rPr>
      </w:pPr>
      <w:r w:rsidRPr="14EF5E77">
        <w:rPr>
          <w:lang w:val="en-GB"/>
        </w:rPr>
        <w:t>Flexible</w:t>
      </w:r>
      <w:r w:rsidR="001C195D">
        <w:rPr>
          <w:lang w:val="en-GB"/>
        </w:rPr>
        <w:t>:</w:t>
      </w:r>
      <w:r w:rsidR="00531171">
        <w:rPr>
          <w:lang w:val="en-GB"/>
        </w:rPr>
        <w:t xml:space="preserve"> </w:t>
      </w:r>
      <w:r w:rsidR="00F6270C">
        <w:rPr>
          <w:lang w:val="en-GB"/>
        </w:rPr>
        <w:t xml:space="preserve">The ability for </w:t>
      </w:r>
      <w:r w:rsidR="00F21463" w:rsidRPr="00F21463">
        <w:rPr>
          <w:lang w:val="en-GB"/>
        </w:rPr>
        <w:t xml:space="preserve">CCCFR </w:t>
      </w:r>
      <w:r w:rsidR="00F6270C">
        <w:rPr>
          <w:lang w:val="en-GB"/>
        </w:rPr>
        <w:t>services to have an appropriate level of control and discretion over how resources are used to meet the needs of communities.</w:t>
      </w:r>
    </w:p>
    <w:p w14:paraId="18170A00" w14:textId="34C9BF5D" w:rsidR="3EE37DAB" w:rsidRDefault="3EE37DAB" w:rsidP="00416EA8">
      <w:pPr>
        <w:pStyle w:val="ListNumber"/>
        <w:numPr>
          <w:ilvl w:val="0"/>
          <w:numId w:val="48"/>
        </w:numPr>
        <w:rPr>
          <w:lang w:val="en-GB"/>
        </w:rPr>
      </w:pPr>
      <w:r w:rsidRPr="6A9CF5D0">
        <w:rPr>
          <w:lang w:val="en-GB"/>
        </w:rPr>
        <w:t>Sustainable</w:t>
      </w:r>
      <w:r w:rsidR="001C195D">
        <w:rPr>
          <w:lang w:val="en-GB"/>
        </w:rPr>
        <w:t>:</w:t>
      </w:r>
      <w:r w:rsidR="002E497C">
        <w:rPr>
          <w:lang w:val="en-GB"/>
        </w:rPr>
        <w:t xml:space="preserve"> </w:t>
      </w:r>
      <w:r w:rsidR="003329B5">
        <w:rPr>
          <w:lang w:val="en-GB"/>
        </w:rPr>
        <w:t>Ensuring the adequacy and certainty of funding</w:t>
      </w:r>
      <w:r w:rsidR="001642FC">
        <w:rPr>
          <w:lang w:val="en-GB"/>
        </w:rPr>
        <w:t>, in the face of changing operating context and circumstances such that financial and operating sustainability is supported.</w:t>
      </w:r>
    </w:p>
    <w:p w14:paraId="2431A945" w14:textId="4F9EF025" w:rsidR="00F703B9" w:rsidRDefault="00C67AF7" w:rsidP="00416EA8">
      <w:pPr>
        <w:pStyle w:val="ListNumber"/>
        <w:numPr>
          <w:ilvl w:val="0"/>
          <w:numId w:val="48"/>
        </w:numPr>
        <w:rPr>
          <w:lang w:val="en-GB"/>
        </w:rPr>
      </w:pPr>
      <w:r w:rsidRPr="73CAF339">
        <w:rPr>
          <w:lang w:val="en-GB"/>
        </w:rPr>
        <w:t>Measurable</w:t>
      </w:r>
      <w:r w:rsidR="001C195D">
        <w:rPr>
          <w:lang w:val="en-GB"/>
        </w:rPr>
        <w:t>:</w:t>
      </w:r>
      <w:r w:rsidR="002F7785">
        <w:rPr>
          <w:lang w:val="en-GB"/>
        </w:rPr>
        <w:t xml:space="preserve"> </w:t>
      </w:r>
      <w:r w:rsidR="005172B6">
        <w:rPr>
          <w:lang w:val="en-GB"/>
        </w:rPr>
        <w:t xml:space="preserve">The </w:t>
      </w:r>
      <w:r w:rsidR="0051356D">
        <w:rPr>
          <w:lang w:val="en-GB"/>
        </w:rPr>
        <w:t xml:space="preserve">judicious </w:t>
      </w:r>
      <w:r w:rsidR="005172B6">
        <w:rPr>
          <w:lang w:val="en-GB"/>
        </w:rPr>
        <w:t xml:space="preserve">collection and appropriate utilisation of </w:t>
      </w:r>
      <w:r w:rsidR="002C3D1C">
        <w:rPr>
          <w:lang w:val="en-GB"/>
        </w:rPr>
        <w:t xml:space="preserve">data and evidence in ways that </w:t>
      </w:r>
      <w:r w:rsidR="0051356D">
        <w:rPr>
          <w:lang w:val="en-GB"/>
        </w:rPr>
        <w:t>support the realisation of policy goals.</w:t>
      </w:r>
      <w:r w:rsidR="002E497C">
        <w:rPr>
          <w:lang w:val="en-GB"/>
        </w:rPr>
        <w:t xml:space="preserve"> </w:t>
      </w:r>
    </w:p>
    <w:p w14:paraId="323F1683" w14:textId="19A45B77" w:rsidR="2822FE87" w:rsidRDefault="0FE0CE09" w:rsidP="00416EA8">
      <w:pPr>
        <w:pStyle w:val="ListNumber"/>
        <w:numPr>
          <w:ilvl w:val="0"/>
          <w:numId w:val="48"/>
        </w:numPr>
        <w:rPr>
          <w:lang w:val="en-GB"/>
        </w:rPr>
      </w:pPr>
      <w:r w:rsidRPr="698C423D">
        <w:rPr>
          <w:lang w:val="en-GB"/>
        </w:rPr>
        <w:t>Responsible</w:t>
      </w:r>
      <w:r w:rsidR="001C195D">
        <w:rPr>
          <w:lang w:val="en-GB"/>
        </w:rPr>
        <w:t>:</w:t>
      </w:r>
      <w:r w:rsidR="007B0D95">
        <w:rPr>
          <w:lang w:val="en-GB"/>
        </w:rPr>
        <w:t xml:space="preserve"> The </w:t>
      </w:r>
      <w:r w:rsidR="004773C8">
        <w:rPr>
          <w:lang w:val="en-GB"/>
        </w:rPr>
        <w:t xml:space="preserve">Australian Government </w:t>
      </w:r>
      <w:r w:rsidR="00905E3E">
        <w:rPr>
          <w:lang w:val="en-GB"/>
        </w:rPr>
        <w:t>must be able to account for its investment</w:t>
      </w:r>
      <w:r w:rsidR="009B124E">
        <w:rPr>
          <w:lang w:val="en-GB"/>
        </w:rPr>
        <w:t xml:space="preserve"> and the impact it is having, while maintaining its commitment to </w:t>
      </w:r>
      <w:r w:rsidR="006C45FC">
        <w:rPr>
          <w:lang w:val="en-GB"/>
        </w:rPr>
        <w:t xml:space="preserve">inclusive, accessible, affordable </w:t>
      </w:r>
      <w:r w:rsidR="004E0C5E">
        <w:rPr>
          <w:lang w:val="en-GB"/>
        </w:rPr>
        <w:t>and available education and child</w:t>
      </w:r>
      <w:r w:rsidR="00C03FB1">
        <w:rPr>
          <w:lang w:val="en-GB"/>
        </w:rPr>
        <w:t xml:space="preserve"> </w:t>
      </w:r>
      <w:r w:rsidR="004E0C5E">
        <w:rPr>
          <w:lang w:val="en-GB"/>
        </w:rPr>
        <w:t>care for all Australians.</w:t>
      </w:r>
      <w:r w:rsidR="002E497C">
        <w:rPr>
          <w:lang w:val="en-GB"/>
        </w:rPr>
        <w:t xml:space="preserve"> </w:t>
      </w:r>
      <w:r w:rsidRPr="698C423D">
        <w:rPr>
          <w:lang w:val="en-GB"/>
        </w:rPr>
        <w:t xml:space="preserve"> </w:t>
      </w:r>
    </w:p>
    <w:p w14:paraId="6DBD47C8" w14:textId="77777777" w:rsidR="00B53682" w:rsidRDefault="00B53682" w:rsidP="00B53682">
      <w:pPr>
        <w:spacing w:after="0"/>
        <w:rPr>
          <w:lang w:val="en-GB"/>
        </w:rPr>
      </w:pPr>
    </w:p>
    <w:p w14:paraId="24151644" w14:textId="65E1E5B7" w:rsidR="1C01CDEF" w:rsidRDefault="5A676BAB" w:rsidP="029031DF">
      <w:pPr>
        <w:rPr>
          <w:lang w:val="en-GB"/>
        </w:rPr>
      </w:pPr>
      <w:r w:rsidRPr="029031DF">
        <w:rPr>
          <w:lang w:val="en-GB"/>
        </w:rPr>
        <w:t xml:space="preserve">These principles in action would see a new funding </w:t>
      </w:r>
      <w:r w:rsidR="009D119B">
        <w:rPr>
          <w:lang w:val="en-GB"/>
        </w:rPr>
        <w:t xml:space="preserve">and policy </w:t>
      </w:r>
      <w:r w:rsidR="1C01CDEF" w:rsidRPr="029031DF">
        <w:rPr>
          <w:lang w:val="en-GB"/>
        </w:rPr>
        <w:t xml:space="preserve">environment </w:t>
      </w:r>
      <w:r w:rsidR="00FE6ACA">
        <w:rPr>
          <w:lang w:val="en-GB"/>
        </w:rPr>
        <w:t>characterised by</w:t>
      </w:r>
      <w:r w:rsidR="1C01CDEF" w:rsidRPr="029031DF">
        <w:rPr>
          <w:lang w:val="en-GB"/>
        </w:rPr>
        <w:t xml:space="preserve"> greater clarity around purpose and objectives</w:t>
      </w:r>
      <w:r w:rsidR="00041795">
        <w:rPr>
          <w:lang w:val="en-GB"/>
        </w:rPr>
        <w:t xml:space="preserve"> and a</w:t>
      </w:r>
      <w:r w:rsidR="1C01CDEF" w:rsidRPr="029031DF">
        <w:rPr>
          <w:lang w:val="en-GB"/>
        </w:rPr>
        <w:t xml:space="preserve"> strengthening of connections between funded inputs/activities and best-practices in delivering child development outcomes as evidenced by contemporary research</w:t>
      </w:r>
      <w:r w:rsidR="00FE6ACA">
        <w:rPr>
          <w:lang w:val="en-GB"/>
        </w:rPr>
        <w:t>;</w:t>
      </w:r>
      <w:r w:rsidR="1C01CDEF" w:rsidRPr="029031DF">
        <w:rPr>
          <w:lang w:val="en-GB"/>
        </w:rPr>
        <w:t xml:space="preserve"> </w:t>
      </w:r>
      <w:r w:rsidR="00FE6ACA">
        <w:rPr>
          <w:lang w:val="en-GB"/>
        </w:rPr>
        <w:t>a</w:t>
      </w:r>
      <w:r w:rsidR="1C01CDEF" w:rsidRPr="029031DF">
        <w:rPr>
          <w:lang w:val="en-GB"/>
        </w:rPr>
        <w:t xml:space="preserve"> </w:t>
      </w:r>
      <w:r w:rsidR="1C01CDEF" w:rsidRPr="73CAF339">
        <w:rPr>
          <w:lang w:val="en-GB"/>
        </w:rPr>
        <w:t>shift towards a</w:t>
      </w:r>
      <w:r w:rsidR="1C01CDEF" w:rsidRPr="029031DF">
        <w:rPr>
          <w:lang w:val="en-GB"/>
        </w:rPr>
        <w:t xml:space="preserve"> strength-based </w:t>
      </w:r>
      <w:r w:rsidR="6ED65D11" w:rsidRPr="73CAF339">
        <w:rPr>
          <w:lang w:val="en-GB"/>
        </w:rPr>
        <w:t>approach</w:t>
      </w:r>
      <w:r w:rsidR="00283776">
        <w:rPr>
          <w:rStyle w:val="FootnoteReference"/>
        </w:rPr>
        <w:footnoteReference w:id="9"/>
      </w:r>
      <w:r w:rsidR="00FE6ACA">
        <w:rPr>
          <w:lang w:val="en-GB"/>
        </w:rPr>
        <w:t>;</w:t>
      </w:r>
      <w:r w:rsidR="1C01CDEF" w:rsidRPr="73CAF339">
        <w:rPr>
          <w:lang w:val="en-GB"/>
        </w:rPr>
        <w:t xml:space="preserve"> </w:t>
      </w:r>
      <w:r w:rsidR="00B41C45">
        <w:rPr>
          <w:lang w:val="en-GB"/>
        </w:rPr>
        <w:t>greater</w:t>
      </w:r>
      <w:r w:rsidR="1C01CDEF" w:rsidRPr="73CAF339">
        <w:rPr>
          <w:lang w:val="en-GB"/>
        </w:rPr>
        <w:t xml:space="preserve"> alignment</w:t>
      </w:r>
      <w:r w:rsidR="1C01CDEF" w:rsidRPr="029031DF">
        <w:rPr>
          <w:lang w:val="en-GB"/>
        </w:rPr>
        <w:t xml:space="preserve"> to the National Agreement on Closing the Gap, while acknowledging and addressing the depths of intergenerational trauma and ongoing experiences of vulnerability and disadvantage amongst Aboriginal and Torres Strait Islander communities</w:t>
      </w:r>
      <w:r w:rsidR="00FE6ACA">
        <w:rPr>
          <w:lang w:val="en-GB"/>
        </w:rPr>
        <w:t>;</w:t>
      </w:r>
      <w:r w:rsidR="1C01CDEF" w:rsidRPr="73CAF339">
        <w:rPr>
          <w:lang w:val="en-GB"/>
        </w:rPr>
        <w:t xml:space="preserve"> </w:t>
      </w:r>
      <w:r w:rsidR="00FE6ACA">
        <w:rPr>
          <w:lang w:val="en-GB"/>
        </w:rPr>
        <w:t>and a</w:t>
      </w:r>
      <w:r w:rsidR="3FC6D356" w:rsidRPr="73CAF339">
        <w:rPr>
          <w:lang w:val="en-GB"/>
        </w:rPr>
        <w:t xml:space="preserve"> r</w:t>
      </w:r>
      <w:r w:rsidR="1C01CDEF" w:rsidRPr="73CAF339">
        <w:rPr>
          <w:lang w:val="en-GB"/>
        </w:rPr>
        <w:t>ecognition</w:t>
      </w:r>
      <w:r w:rsidR="1C01CDEF" w:rsidRPr="029031DF">
        <w:rPr>
          <w:lang w:val="en-GB"/>
        </w:rPr>
        <w:t xml:space="preserve"> of and responsiveness to the unique operating conditions, needs and cultural frameworks of Aboriginal and Torres Strait Islander communities. </w:t>
      </w:r>
    </w:p>
    <w:p w14:paraId="6F246D03" w14:textId="2EF4EA79" w:rsidR="1C01CDEF" w:rsidRDefault="009C68A4" w:rsidP="029031DF">
      <w:r>
        <w:rPr>
          <w:lang w:val="en-GB"/>
        </w:rPr>
        <w:t>These principles in action would provide for f</w:t>
      </w:r>
      <w:r w:rsidR="1C01CDEF" w:rsidRPr="73CAF339">
        <w:rPr>
          <w:lang w:val="en-GB"/>
        </w:rPr>
        <w:t>unding</w:t>
      </w:r>
      <w:r w:rsidR="1C01CDEF" w:rsidRPr="029031DF">
        <w:rPr>
          <w:lang w:val="en-GB"/>
        </w:rPr>
        <w:t xml:space="preserve"> that gives certainty and assurance while being responsive, culturally-informed, place-based and flexible. </w:t>
      </w:r>
      <w:r>
        <w:rPr>
          <w:lang w:val="en-GB"/>
        </w:rPr>
        <w:t>They would enable a</w:t>
      </w:r>
      <w:r w:rsidR="1C01CDEF" w:rsidRPr="029031DF">
        <w:rPr>
          <w:lang w:val="en-GB"/>
        </w:rPr>
        <w:t xml:space="preserve"> support structure that ensures </w:t>
      </w:r>
      <w:r w:rsidR="00F21463" w:rsidRPr="00F21463">
        <w:rPr>
          <w:lang w:val="en-GB"/>
        </w:rPr>
        <w:t xml:space="preserve">CCCFR </w:t>
      </w:r>
      <w:r w:rsidR="1C01CDEF" w:rsidRPr="029031DF">
        <w:rPr>
          <w:lang w:val="en-GB"/>
        </w:rPr>
        <w:t>services can operate sustainably and deliver high quality care, and that recognises that a deliberative deepening of the relationships across the ecosystem of ECEC supports is critical to their collective success.</w:t>
      </w:r>
      <w:r w:rsidR="002E497C">
        <w:rPr>
          <w:lang w:val="en-GB"/>
        </w:rPr>
        <w:t xml:space="preserve">   </w:t>
      </w:r>
      <w:r w:rsidR="1C01CDEF" w:rsidRPr="029031DF">
        <w:rPr>
          <w:lang w:val="en-GB"/>
        </w:rPr>
        <w:t xml:space="preserve"> </w:t>
      </w:r>
    </w:p>
    <w:p w14:paraId="2B3F2890" w14:textId="17495FE3" w:rsidR="00FA5249" w:rsidRDefault="006E79D7" w:rsidP="00FA5249">
      <w:pPr>
        <w:rPr>
          <w:lang w:val="en-GB"/>
        </w:rPr>
      </w:pPr>
      <w:r>
        <w:rPr>
          <w:lang w:val="en-GB"/>
        </w:rPr>
        <w:t>The principles would embed a</w:t>
      </w:r>
      <w:r w:rsidR="1C01CDEF" w:rsidRPr="73CAF339">
        <w:rPr>
          <w:lang w:val="en-GB"/>
        </w:rPr>
        <w:t>n</w:t>
      </w:r>
      <w:r w:rsidR="1C01CDEF" w:rsidRPr="029031DF">
        <w:rPr>
          <w:lang w:val="en-GB"/>
        </w:rPr>
        <w:t xml:space="preserve"> approach to ongoing monitoring and evaluation that can identify opportunities for quality improvements and that is </w:t>
      </w:r>
      <w:r w:rsidR="00450306">
        <w:rPr>
          <w:lang w:val="en-GB"/>
        </w:rPr>
        <w:t xml:space="preserve">underpinned </w:t>
      </w:r>
      <w:r w:rsidR="1C01CDEF" w:rsidRPr="029031DF">
        <w:rPr>
          <w:lang w:val="en-GB"/>
        </w:rPr>
        <w:t xml:space="preserve">by a robust process through which </w:t>
      </w:r>
      <w:r w:rsidR="00F21463" w:rsidRPr="00F21463">
        <w:rPr>
          <w:lang w:val="en-GB"/>
        </w:rPr>
        <w:t xml:space="preserve">CCCFR </w:t>
      </w:r>
      <w:r w:rsidR="1C01CDEF" w:rsidRPr="029031DF">
        <w:rPr>
          <w:lang w:val="en-GB"/>
        </w:rPr>
        <w:t xml:space="preserve">services can be supported to embed these improvements. </w:t>
      </w:r>
      <w:r w:rsidR="00FA5249" w:rsidRPr="73CAF339">
        <w:rPr>
          <w:lang w:val="en-GB"/>
        </w:rPr>
        <w:t>A performance architecture that supports the maximisation of the social</w:t>
      </w:r>
      <w:r w:rsidR="000D1211">
        <w:rPr>
          <w:lang w:val="en-GB"/>
        </w:rPr>
        <w:t>, cultural</w:t>
      </w:r>
      <w:r w:rsidR="00FA5249" w:rsidRPr="73CAF339">
        <w:rPr>
          <w:lang w:val="en-GB"/>
        </w:rPr>
        <w:t xml:space="preserve"> and economic return to public investment</w:t>
      </w:r>
      <w:r w:rsidR="000D1211">
        <w:rPr>
          <w:lang w:val="en-GB"/>
        </w:rPr>
        <w:t>.</w:t>
      </w:r>
      <w:r w:rsidR="002E497C">
        <w:rPr>
          <w:lang w:val="en-GB"/>
        </w:rPr>
        <w:t xml:space="preserve"> </w:t>
      </w:r>
    </w:p>
    <w:p w14:paraId="315EE367" w14:textId="74F0541D" w:rsidR="006C5D84" w:rsidRPr="001959C0" w:rsidRDefault="00DD7D51" w:rsidP="00FA5249">
      <w:pPr>
        <w:rPr>
          <w:b/>
          <w:bCs/>
          <w:color w:val="007CB0"/>
          <w:sz w:val="22"/>
          <w:szCs w:val="22"/>
          <w:lang w:val="en-GB"/>
        </w:rPr>
      </w:pPr>
      <w:r w:rsidRPr="001959C0">
        <w:rPr>
          <w:b/>
          <w:bCs/>
          <w:color w:val="007CB0"/>
          <w:sz w:val="22"/>
          <w:szCs w:val="22"/>
          <w:lang w:val="en-GB"/>
        </w:rPr>
        <w:t>The path forward</w:t>
      </w:r>
    </w:p>
    <w:p w14:paraId="43B5862B" w14:textId="0FC8A06B" w:rsidR="00563E6E" w:rsidRDefault="00FE63F2" w:rsidP="00FA5249">
      <w:r>
        <w:t xml:space="preserve">Throughout the course of this review, </w:t>
      </w:r>
      <w:r w:rsidR="00F21463" w:rsidRPr="00F21463">
        <w:t xml:space="preserve">CCCFR </w:t>
      </w:r>
      <w:r>
        <w:t>services</w:t>
      </w:r>
      <w:r w:rsidR="001B5B2C">
        <w:t>,</w:t>
      </w:r>
      <w:r>
        <w:t xml:space="preserve"> Department</w:t>
      </w:r>
      <w:r w:rsidR="00313CD5">
        <w:t xml:space="preserve">al </w:t>
      </w:r>
      <w:r w:rsidR="00E031E1">
        <w:t xml:space="preserve">representatives </w:t>
      </w:r>
      <w:r w:rsidR="001B5B2C">
        <w:t xml:space="preserve">and other stakeholders </w:t>
      </w:r>
      <w:r w:rsidR="00313CD5">
        <w:t xml:space="preserve">shared their experiences </w:t>
      </w:r>
      <w:r w:rsidR="001B5B2C">
        <w:t>of</w:t>
      </w:r>
      <w:r w:rsidR="00367021">
        <w:t xml:space="preserve"> the process of change</w:t>
      </w:r>
      <w:r w:rsidR="00DD7D51" w:rsidRPr="00FE63F2">
        <w:t xml:space="preserve"> </w:t>
      </w:r>
      <w:r w:rsidR="00A433F9">
        <w:t xml:space="preserve">that </w:t>
      </w:r>
      <w:r w:rsidR="00E91A8A">
        <w:t xml:space="preserve">was undertaken when the CCCFR grant was introduced in 2017. </w:t>
      </w:r>
      <w:r w:rsidR="00910274">
        <w:t xml:space="preserve">From these insights, many themes emerged </w:t>
      </w:r>
      <w:r w:rsidR="00C96802">
        <w:t xml:space="preserve">as to what </w:t>
      </w:r>
      <w:r w:rsidR="005F31EF">
        <w:t>an effective</w:t>
      </w:r>
      <w:r w:rsidR="007E5CC9">
        <w:t xml:space="preserve"> transition process look</w:t>
      </w:r>
      <w:r w:rsidR="005F31EF">
        <w:t>s</w:t>
      </w:r>
      <w:r w:rsidR="007E5CC9">
        <w:t xml:space="preserve"> like and the risks </w:t>
      </w:r>
      <w:r w:rsidR="004E1EEF">
        <w:t xml:space="preserve">associated with </w:t>
      </w:r>
      <w:r w:rsidR="00A61D0A">
        <w:t>a poor one</w:t>
      </w:r>
      <w:r w:rsidR="00435D41">
        <w:t xml:space="preserve"> –</w:t>
      </w:r>
      <w:r w:rsidR="00FE7AE4">
        <w:t xml:space="preserve"> </w:t>
      </w:r>
      <w:r w:rsidR="00293FAA">
        <w:t xml:space="preserve">the most critical of which is the risk </w:t>
      </w:r>
      <w:r w:rsidR="005F31EF">
        <w:t>to outcomes for children</w:t>
      </w:r>
      <w:r w:rsidR="00A61D0A">
        <w:t>.</w:t>
      </w:r>
      <w:r w:rsidR="002E497C">
        <w:t xml:space="preserve"> </w:t>
      </w:r>
      <w:r w:rsidR="004225E2">
        <w:t xml:space="preserve">These themes are explored more fully in Chapter </w:t>
      </w:r>
      <w:r w:rsidR="004225E2" w:rsidRPr="00C11B8F">
        <w:t>10</w:t>
      </w:r>
      <w:r w:rsidR="00E241C7">
        <w:t xml:space="preserve">. </w:t>
      </w:r>
      <w:r w:rsidR="00C96802">
        <w:t xml:space="preserve"> </w:t>
      </w:r>
    </w:p>
    <w:p w14:paraId="00335F12" w14:textId="24A65801" w:rsidR="003C10D7" w:rsidRPr="00425853" w:rsidRDefault="00435D41" w:rsidP="00FA5249">
      <w:r w:rsidRPr="00425853">
        <w:t>C</w:t>
      </w:r>
      <w:r w:rsidR="003C10D7" w:rsidRPr="00425853">
        <w:t xml:space="preserve">hange </w:t>
      </w:r>
      <w:r w:rsidRPr="00425853">
        <w:t>must be paced</w:t>
      </w:r>
      <w:r w:rsidR="003C10D7" w:rsidRPr="00425853">
        <w:t xml:space="preserve"> </w:t>
      </w:r>
      <w:r w:rsidR="00AC7233" w:rsidRPr="00425853">
        <w:t xml:space="preserve">and </w:t>
      </w:r>
      <w:r w:rsidRPr="00425853">
        <w:t xml:space="preserve">sequenced appropriately, on a </w:t>
      </w:r>
      <w:r w:rsidR="005A100F" w:rsidRPr="00425853">
        <w:t>community</w:t>
      </w:r>
      <w:r w:rsidR="46FB06CA" w:rsidRPr="00425853">
        <w:t>-</w:t>
      </w:r>
      <w:r w:rsidR="005A100F" w:rsidRPr="00425853">
        <w:t>by</w:t>
      </w:r>
      <w:r w:rsidR="6E81375A" w:rsidRPr="00425853">
        <w:t>-</w:t>
      </w:r>
      <w:r w:rsidR="005A100F" w:rsidRPr="00425853">
        <w:t xml:space="preserve">community </w:t>
      </w:r>
      <w:r w:rsidRPr="00425853">
        <w:t xml:space="preserve">basis, </w:t>
      </w:r>
      <w:r w:rsidR="00AC7233" w:rsidRPr="00425853">
        <w:t xml:space="preserve">and </w:t>
      </w:r>
      <w:r w:rsidR="005A100F" w:rsidRPr="00425853">
        <w:t>adequate</w:t>
      </w:r>
      <w:r w:rsidR="0059474B" w:rsidRPr="00425853">
        <w:t xml:space="preserve"> investment </w:t>
      </w:r>
      <w:r w:rsidRPr="00425853">
        <w:t>of</w:t>
      </w:r>
      <w:r w:rsidR="0059474B" w:rsidRPr="00425853">
        <w:t xml:space="preserve"> </w:t>
      </w:r>
      <w:r w:rsidR="008B49D5" w:rsidRPr="00425853">
        <w:t xml:space="preserve">resources and </w:t>
      </w:r>
      <w:r w:rsidR="00823C07" w:rsidRPr="00425853">
        <w:t>people to</w:t>
      </w:r>
      <w:r w:rsidR="0059474B" w:rsidRPr="00425853">
        <w:t xml:space="preserve"> support </w:t>
      </w:r>
      <w:r w:rsidR="00F21463" w:rsidRPr="00425853">
        <w:t xml:space="preserve">CCCFR </w:t>
      </w:r>
      <w:r w:rsidR="006F15D6" w:rsidRPr="00425853">
        <w:t xml:space="preserve">services and families through </w:t>
      </w:r>
      <w:r w:rsidR="00823C07" w:rsidRPr="00425853">
        <w:t xml:space="preserve">the change process </w:t>
      </w:r>
      <w:r w:rsidRPr="00425853">
        <w:t>is</w:t>
      </w:r>
      <w:r w:rsidR="00823C07" w:rsidRPr="00425853">
        <w:t xml:space="preserve"> paramount to its success.</w:t>
      </w:r>
      <w:r w:rsidR="002E497C" w:rsidRPr="00425853">
        <w:t xml:space="preserve"> </w:t>
      </w:r>
    </w:p>
    <w:p w14:paraId="16C24786" w14:textId="77777777" w:rsidR="00EE6679" w:rsidRDefault="00C65D64" w:rsidP="00EE6679">
      <w:pPr>
        <w:spacing w:after="240"/>
      </w:pPr>
      <w:r>
        <w:t xml:space="preserve">As </w:t>
      </w:r>
      <w:r w:rsidR="005A100F">
        <w:t>any</w:t>
      </w:r>
      <w:r w:rsidR="00D9288F">
        <w:t xml:space="preserve"> process of change</w:t>
      </w:r>
      <w:r w:rsidR="005A100F">
        <w:t xml:space="preserve"> is commenced</w:t>
      </w:r>
      <w:r w:rsidR="00D9288F">
        <w:t>,</w:t>
      </w:r>
      <w:r w:rsidR="001D1CD1">
        <w:t xml:space="preserve"> </w:t>
      </w:r>
      <w:r w:rsidR="00606228">
        <w:t xml:space="preserve">communities must </w:t>
      </w:r>
      <w:r w:rsidR="005B720A">
        <w:t xml:space="preserve">remain </w:t>
      </w:r>
      <w:r w:rsidR="00BB1FC3">
        <w:t>central to</w:t>
      </w:r>
      <w:r w:rsidR="003422B1">
        <w:t xml:space="preserve"> decision</w:t>
      </w:r>
      <w:r w:rsidR="005B720A">
        <w:t>-</w:t>
      </w:r>
      <w:r w:rsidR="003422B1">
        <w:t>making</w:t>
      </w:r>
      <w:r w:rsidR="008E0DEB">
        <w:t>,</w:t>
      </w:r>
      <w:r w:rsidR="003422B1">
        <w:t xml:space="preserve"> </w:t>
      </w:r>
      <w:r w:rsidR="00606228">
        <w:t xml:space="preserve">and </w:t>
      </w:r>
      <w:r w:rsidR="00C141D4">
        <w:t xml:space="preserve">their agency must </w:t>
      </w:r>
      <w:r w:rsidR="00413F8D">
        <w:t xml:space="preserve">be respected. </w:t>
      </w:r>
      <w:r w:rsidR="00C141D4">
        <w:t>The c</w:t>
      </w:r>
      <w:r w:rsidR="001D1CD1">
        <w:t xml:space="preserve">onsultation </w:t>
      </w:r>
      <w:r w:rsidR="00C141D4">
        <w:t xml:space="preserve">and </w:t>
      </w:r>
      <w:r w:rsidR="001B5B2C">
        <w:t>engagement</w:t>
      </w:r>
      <w:r w:rsidR="00C141D4">
        <w:t xml:space="preserve"> process should not</w:t>
      </w:r>
      <w:r w:rsidR="001D1CD1">
        <w:t xml:space="preserve"> end with th</w:t>
      </w:r>
      <w:r w:rsidR="00712B26">
        <w:t>e</w:t>
      </w:r>
      <w:r w:rsidR="001D1CD1">
        <w:t xml:space="preserve"> </w:t>
      </w:r>
      <w:r w:rsidR="00413F8D">
        <w:t xml:space="preserve">voices in this </w:t>
      </w:r>
      <w:r w:rsidR="001D1CD1">
        <w:t>review.</w:t>
      </w:r>
      <w:r w:rsidR="002E497C">
        <w:t xml:space="preserve"> </w:t>
      </w:r>
    </w:p>
    <w:p w14:paraId="68820EA7" w14:textId="7015FE1B" w:rsidR="00A43AF9" w:rsidRPr="00EE6679" w:rsidRDefault="009363E9" w:rsidP="00EE6679">
      <w:pPr>
        <w:spacing w:after="0"/>
      </w:pPr>
      <w:r>
        <w:rPr>
          <w:b/>
          <w:bCs/>
        </w:rPr>
        <w:t xml:space="preserve">Deloitte Access Economics </w:t>
      </w:r>
    </w:p>
    <w:p w14:paraId="58FF4B08" w14:textId="6647926F" w:rsidR="00F9113D" w:rsidRPr="003549F9" w:rsidRDefault="00F9113D" w:rsidP="005D53F7">
      <w:pPr>
        <w:pStyle w:val="Heading1un-numbered"/>
        <w:spacing w:after="360"/>
      </w:pPr>
      <w:bookmarkStart w:id="21" w:name="_Toc215906318"/>
      <w:bookmarkStart w:id="22" w:name="_Toc227746675"/>
      <w:bookmarkStart w:id="23" w:name="_Toc227746679"/>
      <w:bookmarkStart w:id="24" w:name="_Toc227746683"/>
      <w:bookmarkStart w:id="25" w:name="_Toc227746687"/>
      <w:bookmarkStart w:id="26" w:name="_Toc227748309"/>
      <w:bookmarkStart w:id="27" w:name="_Toc227748327"/>
      <w:bookmarkStart w:id="28" w:name="_Toc227748331"/>
      <w:bookmarkStart w:id="29" w:name="_Toc227748335"/>
      <w:bookmarkStart w:id="30" w:name="_Toc227748374"/>
      <w:bookmarkStart w:id="31" w:name="_Toc227748378"/>
      <w:bookmarkStart w:id="32" w:name="_Toc227748382"/>
      <w:bookmarkStart w:id="33" w:name="_Toc227748494"/>
      <w:bookmarkStart w:id="34" w:name="_Toc227748498"/>
      <w:bookmarkStart w:id="35" w:name="_Toc228005205"/>
      <w:bookmarkStart w:id="36" w:name="_Toc228092496"/>
      <w:bookmarkStart w:id="37" w:name="_Toc228264951"/>
      <w:bookmarkStart w:id="38" w:name="_Toc228264973"/>
      <w:bookmarkStart w:id="39" w:name="_Toc228264977"/>
      <w:bookmarkStart w:id="40" w:name="_Toc228264981"/>
      <w:bookmarkStart w:id="41" w:name="_Toc228264985"/>
      <w:bookmarkStart w:id="42" w:name="_Toc228265215"/>
      <w:bookmarkStart w:id="43" w:name="_Toc288198024"/>
      <w:bookmarkStart w:id="44" w:name="_Toc448829185"/>
      <w:bookmarkStart w:id="45" w:name="_Toc456353381"/>
      <w:bookmarkStart w:id="46" w:name="_Toc462313128"/>
      <w:bookmarkStart w:id="47" w:name="_Toc462317837"/>
      <w:bookmarkStart w:id="48" w:name="_Toc462397802"/>
      <w:bookmarkStart w:id="49" w:name="_Toc463002429"/>
      <w:bookmarkStart w:id="50" w:name="_Toc472586341"/>
      <w:bookmarkStart w:id="51" w:name="_Toc482168119"/>
      <w:bookmarkStart w:id="52" w:name="_Toc482174906"/>
      <w:bookmarkStart w:id="53" w:name="_Toc158993742"/>
      <w:bookmarkStart w:id="54" w:name="_Toc170227388"/>
      <w:r>
        <w:lastRenderedPageBreak/>
        <w:t>Executive summary</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8445B00" w14:textId="77777777" w:rsidR="005E3057" w:rsidRPr="005E3057" w:rsidRDefault="005E3057" w:rsidP="005E3057">
      <w:pPr>
        <w:spacing w:after="160" w:line="259" w:lineRule="auto"/>
        <w:ind w:left="720"/>
        <w:rPr>
          <w:rFonts w:eastAsia="Calibri" w:cs="Times New Roman"/>
        </w:rPr>
      </w:pPr>
      <w:r w:rsidRPr="005E3057">
        <w:rPr>
          <w:rFonts w:eastAsia="Calibri" w:cs="Times New Roman"/>
          <w:i/>
          <w:iCs/>
        </w:rPr>
        <w:t>“In my culture we bring our children close to the campfire, they learn with us, they listen with us, they are cared for collectively in our community. They are not kept apart; they are not forced to the edges or the back. They are at the centre of a circle that widens to accommodate them.” </w:t>
      </w:r>
    </w:p>
    <w:p w14:paraId="3163E099" w14:textId="77777777" w:rsidR="005E3057" w:rsidRPr="005E3057" w:rsidRDefault="005E3057" w:rsidP="00AD6FEC">
      <w:pPr>
        <w:spacing w:line="259" w:lineRule="auto"/>
        <w:ind w:left="720"/>
        <w:rPr>
          <w:rFonts w:eastAsia="Calibri" w:cs="Times New Roman"/>
        </w:rPr>
      </w:pPr>
      <w:r w:rsidRPr="005E3057">
        <w:rPr>
          <w:rFonts w:eastAsia="Calibri" w:cs="Times New Roman"/>
        </w:rPr>
        <w:t>Professor Deen Sanders, Worimi Man and co-lead reviewer</w:t>
      </w:r>
    </w:p>
    <w:p w14:paraId="695498B5" w14:textId="05EE6244" w:rsidR="005E3057" w:rsidRPr="005E3057" w:rsidRDefault="005E3057" w:rsidP="00AD6FEC">
      <w:pPr>
        <w:spacing w:after="120"/>
        <w:rPr>
          <w:rFonts w:eastAsia="Calibri" w:cs="Times New Roman"/>
          <w:b/>
        </w:rPr>
      </w:pPr>
      <w:r w:rsidRPr="00003425">
        <w:rPr>
          <w:b/>
          <w:color w:val="007CB0"/>
          <w:sz w:val="22"/>
          <w:szCs w:val="22"/>
        </w:rPr>
        <w:t>Introduction</w:t>
      </w:r>
      <w:r w:rsidR="00212111" w:rsidRPr="00003425">
        <w:rPr>
          <w:b/>
          <w:color w:val="007CB0"/>
          <w:sz w:val="22"/>
          <w:szCs w:val="22"/>
        </w:rPr>
        <w:t xml:space="preserve"> and overview </w:t>
      </w:r>
    </w:p>
    <w:p w14:paraId="29727E99" w14:textId="3F413657" w:rsidR="00DA3068" w:rsidRDefault="005E3057" w:rsidP="00E56378">
      <w:pPr>
        <w:spacing w:before="120"/>
      </w:pPr>
      <w:r w:rsidRPr="005E3057">
        <w:t xml:space="preserve">The Australian Government </w:t>
      </w:r>
      <w:r w:rsidR="002335EE">
        <w:t>is</w:t>
      </w:r>
      <w:r w:rsidR="002335EE" w:rsidRPr="005E3057">
        <w:t xml:space="preserve"> </w:t>
      </w:r>
      <w:r w:rsidRPr="005E3057">
        <w:t xml:space="preserve">committed to </w:t>
      </w:r>
      <w:r w:rsidR="004E1DED" w:rsidRPr="004E1DED">
        <w:t xml:space="preserve">identifying solutions that will chart the course for universal, affordable early childhood education and </w:t>
      </w:r>
      <w:r w:rsidR="002A1A42" w:rsidDel="004E1DED">
        <w:t>c</w:t>
      </w:r>
      <w:r w:rsidRPr="005E3057" w:rsidDel="004E1DED">
        <w:t>are</w:t>
      </w:r>
      <w:r w:rsidRPr="005E3057">
        <w:t xml:space="preserve">. </w:t>
      </w:r>
    </w:p>
    <w:p w14:paraId="4C1E1493" w14:textId="6E7BC574" w:rsidR="00B4393F" w:rsidRDefault="00A01A6B" w:rsidP="00C623FD">
      <w:pPr>
        <w:spacing w:before="120"/>
      </w:pPr>
      <w:r>
        <w:t xml:space="preserve">In this context, services funded </w:t>
      </w:r>
      <w:r w:rsidR="00DA3068">
        <w:t>under</w:t>
      </w:r>
      <w:r>
        <w:t xml:space="preserve"> the CCCFR grant </w:t>
      </w:r>
      <w:r w:rsidR="00A20D84">
        <w:t>play a vital role</w:t>
      </w:r>
      <w:r>
        <w:t xml:space="preserve">. </w:t>
      </w:r>
      <w:r w:rsidR="1EC35116">
        <w:t xml:space="preserve">While </w:t>
      </w:r>
      <w:r w:rsidR="098764A1">
        <w:t>currently</w:t>
      </w:r>
      <w:r w:rsidR="005072B4">
        <w:t xml:space="preserve"> representing just 149 of the more than </w:t>
      </w:r>
      <w:r w:rsidR="1EC35116">
        <w:t>1</w:t>
      </w:r>
      <w:r w:rsidR="6B89B62F">
        <w:t>4</w:t>
      </w:r>
      <w:r w:rsidR="005072B4">
        <w:t>,000 approved child care services in Australia</w:t>
      </w:r>
      <w:r w:rsidR="00E27205">
        <w:t>,</w:t>
      </w:r>
      <w:r w:rsidR="005072B4">
        <w:t xml:space="preserve"> they are an incredibly important part of the service provision landscape and of endeavours to achieve universal access to high quality ECEC.</w:t>
      </w:r>
      <w:r w:rsidR="002E497C">
        <w:t xml:space="preserve"> </w:t>
      </w:r>
      <w:r w:rsidR="00ED779E">
        <w:t>M</w:t>
      </w:r>
      <w:r>
        <w:t xml:space="preserve">ost </w:t>
      </w:r>
      <w:r w:rsidR="00E56378">
        <w:t>operate in communities where barriers to provision are among the nation’s highest and the benefits to overcoming these barriers among the nation’s greatest.</w:t>
      </w:r>
      <w:r w:rsidR="002E497C">
        <w:t xml:space="preserve"> </w:t>
      </w:r>
      <w:r w:rsidR="00D80DED">
        <w:t xml:space="preserve">They are communities experiencing vulnerability and disadvantage of the highest order. </w:t>
      </w:r>
    </w:p>
    <w:p w14:paraId="28D68FF3" w14:textId="4ECE5A63" w:rsidR="0012367B" w:rsidRDefault="0012367B" w:rsidP="00C623FD">
      <w:pPr>
        <w:spacing w:before="120"/>
      </w:pPr>
      <w:r>
        <w:t xml:space="preserve">The amalgamation </w:t>
      </w:r>
      <w:r w:rsidR="00EF49DC">
        <w:t xml:space="preserve">of these 149 services </w:t>
      </w:r>
      <w:r>
        <w:t xml:space="preserve">under </w:t>
      </w:r>
      <w:r w:rsidR="00EF49DC">
        <w:t>the</w:t>
      </w:r>
      <w:r>
        <w:t xml:space="preserve"> CCCFR grant represents an attempt </w:t>
      </w:r>
      <w:r w:rsidR="00D96152">
        <w:t xml:space="preserve">to </w:t>
      </w:r>
      <w:r>
        <w:t>facilitate their transition to the mainstream policy environment – the environment of the National Law and regulations, the National Quality Framework and the Child Care Subsidy</w:t>
      </w:r>
      <w:r w:rsidR="00966054">
        <w:t>. This f</w:t>
      </w:r>
      <w:r w:rsidR="00737F60">
        <w:t>ollow</w:t>
      </w:r>
      <w:r w:rsidR="00966054">
        <w:t>s</w:t>
      </w:r>
      <w:r w:rsidR="00737F60">
        <w:t xml:space="preserve"> earlier recognition that </w:t>
      </w:r>
      <w:r w:rsidR="002B46E1">
        <w:t xml:space="preserve">transition could not </w:t>
      </w:r>
      <w:r w:rsidR="00F663AD">
        <w:t xml:space="preserve">reasonably </w:t>
      </w:r>
      <w:r w:rsidR="002B46E1">
        <w:t xml:space="preserve">be achieved when </w:t>
      </w:r>
      <w:r w:rsidR="00424556">
        <w:t>the National Quality Framework was first introduced (in 20</w:t>
      </w:r>
      <w:r w:rsidR="00FF1B88">
        <w:t>12</w:t>
      </w:r>
      <w:r w:rsidR="00424556">
        <w:t xml:space="preserve">). </w:t>
      </w:r>
    </w:p>
    <w:p w14:paraId="77C86403" w14:textId="1073FE22" w:rsidR="00776D97" w:rsidRDefault="00B4393F" w:rsidP="00B4393F">
      <w:pPr>
        <w:spacing w:before="120"/>
      </w:pPr>
      <w:r>
        <w:t xml:space="preserve">This review has unearthed stories of </w:t>
      </w:r>
      <w:r w:rsidR="005C1A28" w:rsidRPr="005C1A28">
        <w:t xml:space="preserve">CCCFR </w:t>
      </w:r>
      <w:r>
        <w:t xml:space="preserve">services that are connected to their communities, striving to do </w:t>
      </w:r>
      <w:r w:rsidR="001555E4">
        <w:t>all</w:t>
      </w:r>
      <w:r>
        <w:t xml:space="preserve"> they can to meet the needs of children and families and who are delivering outcomes for the communities they serve.</w:t>
      </w:r>
      <w:r w:rsidR="002E497C">
        <w:t xml:space="preserve"> </w:t>
      </w:r>
      <w:r w:rsidR="00776D97">
        <w:t xml:space="preserve">These services see the CCCFR grant </w:t>
      </w:r>
      <w:r w:rsidR="002007C6">
        <w:t xml:space="preserve">as an instrument that supports development outcomes for children, via its contribution to financial viability, quality improvement and affordability. </w:t>
      </w:r>
    </w:p>
    <w:p w14:paraId="63DB9E99" w14:textId="0F046CA7" w:rsidR="00085C61" w:rsidRPr="005E3057" w:rsidRDefault="005072B4" w:rsidP="00C623FD">
      <w:pPr>
        <w:spacing w:before="120"/>
      </w:pPr>
      <w:r>
        <w:t>When objective</w:t>
      </w:r>
      <w:r w:rsidR="00ED779E">
        <w:t>s</w:t>
      </w:r>
      <w:r>
        <w:t xml:space="preserve"> beyond ECEC are considered, the </w:t>
      </w:r>
      <w:r w:rsidR="007D1370">
        <w:t xml:space="preserve">impact and </w:t>
      </w:r>
      <w:r>
        <w:t xml:space="preserve">potential </w:t>
      </w:r>
      <w:r w:rsidR="001555E4">
        <w:t xml:space="preserve">of CCCFR services </w:t>
      </w:r>
      <w:r>
        <w:t>is even greater.</w:t>
      </w:r>
      <w:r w:rsidR="002E497C">
        <w:t xml:space="preserve"> </w:t>
      </w:r>
      <w:r w:rsidR="00085C61" w:rsidRPr="005E3057">
        <w:t xml:space="preserve">Not only are </w:t>
      </w:r>
      <w:r w:rsidR="001555E4">
        <w:t>they</w:t>
      </w:r>
      <w:r w:rsidR="00085C61" w:rsidRPr="005E3057">
        <w:t xml:space="preserve"> often </w:t>
      </w:r>
      <w:r w:rsidR="00332315">
        <w:t xml:space="preserve">considered </w:t>
      </w:r>
      <w:r w:rsidR="00085C61" w:rsidRPr="005E3057">
        <w:t xml:space="preserve">the only </w:t>
      </w:r>
      <w:r w:rsidR="00DC0B8F" w:rsidRPr="005E3057">
        <w:t xml:space="preserve">ECEC </w:t>
      </w:r>
      <w:r w:rsidR="00085C61" w:rsidRPr="005E3057">
        <w:t xml:space="preserve">option for </w:t>
      </w:r>
      <w:r w:rsidR="00332315">
        <w:t xml:space="preserve">many </w:t>
      </w:r>
      <w:r w:rsidR="00C623FD">
        <w:t>in the communities they serve</w:t>
      </w:r>
      <w:r w:rsidR="00085C61" w:rsidRPr="005E3057">
        <w:t xml:space="preserve">, the centres </w:t>
      </w:r>
      <w:r w:rsidR="00AE5E76">
        <w:t>from</w:t>
      </w:r>
      <w:r w:rsidR="00085C61" w:rsidRPr="005E3057">
        <w:t xml:space="preserve"> which these </w:t>
      </w:r>
      <w:r w:rsidR="005C1A28" w:rsidRPr="005C1A28">
        <w:t xml:space="preserve">CCCFR </w:t>
      </w:r>
      <w:r w:rsidR="00085C61" w:rsidRPr="005E3057">
        <w:t>services are delivered may be one of the only spaces through which the most critical wellbeing needs of families experiencing disadvantage and vulnerability are able to be met.</w:t>
      </w:r>
      <w:r w:rsidR="002E497C">
        <w:t xml:space="preserve"> </w:t>
      </w:r>
    </w:p>
    <w:p w14:paraId="5333E71A" w14:textId="33E5579F" w:rsidR="005072B4" w:rsidRPr="005E3057" w:rsidRDefault="005072B4" w:rsidP="005072B4">
      <w:r w:rsidRPr="005E3057">
        <w:t xml:space="preserve">To recognise that these </w:t>
      </w:r>
      <w:r w:rsidR="005C1A28" w:rsidRPr="005C1A28">
        <w:t xml:space="preserve">CCCFR </w:t>
      </w:r>
      <w:r w:rsidRPr="005E3057">
        <w:t xml:space="preserve">services are </w:t>
      </w:r>
      <w:r w:rsidR="007D1370">
        <w:t>endeavouring to provide</w:t>
      </w:r>
      <w:r w:rsidRPr="005E3057">
        <w:t xml:space="preserve"> holistic support for families and communities is not to detract from the CCCFR grant’s purpose and focus on improving child outcomes through ECEC</w:t>
      </w:r>
      <w:r w:rsidR="008A2DE4">
        <w:t>.</w:t>
      </w:r>
      <w:r w:rsidR="002E497C">
        <w:t xml:space="preserve"> </w:t>
      </w:r>
      <w:r w:rsidR="008A2DE4">
        <w:t xml:space="preserve">Rather, it is to </w:t>
      </w:r>
      <w:r w:rsidRPr="005E3057">
        <w:t xml:space="preserve">acknowledge and respect the diverse and complex roles that </w:t>
      </w:r>
      <w:r w:rsidR="005C1A28" w:rsidRPr="005C1A28">
        <w:t xml:space="preserve">CCCFR </w:t>
      </w:r>
      <w:r w:rsidR="008A2DE4">
        <w:t>services</w:t>
      </w:r>
      <w:r w:rsidRPr="005E3057">
        <w:t xml:space="preserve"> assume when taking these cohorts and communities into their care. </w:t>
      </w:r>
      <w:r w:rsidR="00BE5AD1">
        <w:t xml:space="preserve">It is also to acknowledge the need for a sufficiently broad </w:t>
      </w:r>
      <w:r w:rsidR="00F772A7">
        <w:t>lens</w:t>
      </w:r>
      <w:r w:rsidR="00BE5AD1">
        <w:t xml:space="preserve"> when contemplating the future policy and funding settings that best support the endeavours of these</w:t>
      </w:r>
      <w:r w:rsidR="005C1A28" w:rsidRPr="005C1A28">
        <w:t xml:space="preserve"> CCCFR</w:t>
      </w:r>
      <w:r w:rsidR="00BE5AD1">
        <w:t xml:space="preserve"> services and the communities they serve. </w:t>
      </w:r>
    </w:p>
    <w:p w14:paraId="070BFA0E" w14:textId="62F267CC" w:rsidR="00F21A4C" w:rsidRDefault="00A16D0C" w:rsidP="00D416CD">
      <w:r>
        <w:t>T</w:t>
      </w:r>
      <w:r w:rsidR="00D416CD">
        <w:t>he review has revealed the many wa</w:t>
      </w:r>
      <w:r w:rsidR="00C33514">
        <w:t>y</w:t>
      </w:r>
      <w:r w:rsidR="00D416CD">
        <w:t xml:space="preserve">s in which the policy environment in which CCCFR services </w:t>
      </w:r>
      <w:r w:rsidR="006846FD">
        <w:t xml:space="preserve">currently </w:t>
      </w:r>
      <w:r w:rsidR="00D416CD">
        <w:t xml:space="preserve">operate </w:t>
      </w:r>
      <w:r w:rsidR="00435FE3">
        <w:t>can</w:t>
      </w:r>
      <w:r w:rsidR="00D416CD">
        <w:t xml:space="preserve"> be improved if it is to give them the greatest chance of servicing their communities in the way they strive to – and in generating the outcomes that they strive to</w:t>
      </w:r>
      <w:r w:rsidR="00AA2537">
        <w:t xml:space="preserve"> and that the grant strives to</w:t>
      </w:r>
      <w:r w:rsidR="00D416CD">
        <w:t>.</w:t>
      </w:r>
      <w:r w:rsidR="002E497C">
        <w:t xml:space="preserve"> </w:t>
      </w:r>
      <w:r w:rsidR="00C923C6">
        <w:t xml:space="preserve">The scope for improvement derives as much from the grant’s </w:t>
      </w:r>
      <w:r w:rsidR="004B541E">
        <w:t xml:space="preserve">origins, </w:t>
      </w:r>
      <w:r w:rsidR="00404FBF">
        <w:t xml:space="preserve">as an amalgamation of three somewhat disparate legacy programs, as it does from the current day administration of the </w:t>
      </w:r>
      <w:r w:rsidR="00AA2537">
        <w:t xml:space="preserve">grant. </w:t>
      </w:r>
    </w:p>
    <w:p w14:paraId="3C93FFEA" w14:textId="50931F90" w:rsidR="00D416CD" w:rsidRDefault="00D416CD" w:rsidP="00D416CD">
      <w:r>
        <w:t>Precisely what form this improvement takes depends very much on the degree to which current policy review processes see the mainstream environment in ECEC modified in ways amenable to the success of CCCFR services.</w:t>
      </w:r>
      <w:r w:rsidR="002E497C">
        <w:t xml:space="preserve"> </w:t>
      </w:r>
      <w:r>
        <w:t xml:space="preserve">It remains the case that many CCCFR services operate in delivery contexts where the mainstream policy settings as they stand today are not conducive to either the </w:t>
      </w:r>
      <w:r>
        <w:lastRenderedPageBreak/>
        <w:t xml:space="preserve">ongoing financial viability of </w:t>
      </w:r>
      <w:r w:rsidR="003D7957" w:rsidRPr="003D7957">
        <w:t xml:space="preserve">CCCFR </w:t>
      </w:r>
      <w:r>
        <w:t>services or the provision of a child care offering that fully responds to community need.</w:t>
      </w:r>
      <w:r w:rsidR="002E497C">
        <w:t xml:space="preserve"> </w:t>
      </w:r>
      <w:r>
        <w:t xml:space="preserve">Major revisions to the national ECEC policy landscape – such as </w:t>
      </w:r>
      <w:r w:rsidRPr="00A160FC">
        <w:t>some of those proposed in the Productivity Commission draft report</w:t>
      </w:r>
      <w:r w:rsidR="00FF71D5" w:rsidRPr="00A160FC">
        <w:t>, as outlined in Box 1.2</w:t>
      </w:r>
      <w:r w:rsidRPr="00A160FC">
        <w:t xml:space="preserve"> </w:t>
      </w:r>
      <w:r w:rsidR="00885431" w:rsidRPr="00A160FC">
        <w:t xml:space="preserve">on page </w:t>
      </w:r>
      <w:r w:rsidR="00A160FC" w:rsidRPr="00A160FC">
        <w:t>6</w:t>
      </w:r>
      <w:r w:rsidR="00885431" w:rsidRPr="00A160FC">
        <w:t xml:space="preserve"> </w:t>
      </w:r>
      <w:r w:rsidRPr="00A160FC">
        <w:t xml:space="preserve">– would see many if not all CCCFR services appropriately housed outside a standalone </w:t>
      </w:r>
      <w:r w:rsidR="0080794D" w:rsidRPr="00A160FC">
        <w:t>grant</w:t>
      </w:r>
      <w:r w:rsidRPr="00A160FC">
        <w:t>.</w:t>
      </w:r>
      <w:r w:rsidR="002E497C" w:rsidRPr="00A160FC">
        <w:t xml:space="preserve"> </w:t>
      </w:r>
      <w:r w:rsidRPr="00A160FC">
        <w:t>However</w:t>
      </w:r>
      <w:r>
        <w:t xml:space="preserve">, more modest change would see the continued need for a dedicated programmatic support structure. </w:t>
      </w:r>
    </w:p>
    <w:p w14:paraId="498D0D19" w14:textId="691146EB" w:rsidR="00587F73" w:rsidRDefault="00D416CD" w:rsidP="0043431A">
      <w:r>
        <w:t>Recognising these possible paths for the future, the review find</w:t>
      </w:r>
      <w:r w:rsidR="009F0BDB">
        <w:t xml:space="preserve">s that there is a set of features which must characterise any future policy environment in which CCCFR services operate if it is to </w:t>
      </w:r>
      <w:r w:rsidR="00212111">
        <w:t>enable them to realise their potential for the communities they serve.</w:t>
      </w:r>
      <w:r w:rsidR="002E497C">
        <w:t xml:space="preserve"> </w:t>
      </w:r>
      <w:r w:rsidR="00662D56">
        <w:t xml:space="preserve">These features should guide the path forward under any and all future scenarios. </w:t>
      </w:r>
    </w:p>
    <w:p w14:paraId="411EF8EF" w14:textId="77777777" w:rsidR="005E3057" w:rsidRPr="005E3057" w:rsidRDefault="005E3057" w:rsidP="00AD6FEC">
      <w:pPr>
        <w:spacing w:after="120"/>
        <w:rPr>
          <w:rFonts w:eastAsia="Calibri" w:cs="Times New Roman"/>
          <w:b/>
        </w:rPr>
      </w:pPr>
      <w:r w:rsidRPr="00003425">
        <w:rPr>
          <w:b/>
          <w:color w:val="007CB0"/>
          <w:sz w:val="22"/>
          <w:szCs w:val="22"/>
        </w:rPr>
        <w:t>About the grant</w:t>
      </w:r>
    </w:p>
    <w:p w14:paraId="5C40BB9E" w14:textId="3F5490A9" w:rsidR="005E3057" w:rsidRPr="005E3057" w:rsidRDefault="005E3057" w:rsidP="0051281B">
      <w:pPr>
        <w:spacing w:before="120"/>
      </w:pPr>
      <w:r w:rsidRPr="005E3057">
        <w:t xml:space="preserve">The CCCFR grant is a closed funding grant, introduced in 2018, with the stated intention of supporting a subset of child care services to transition to the ‘new’ child care system, as part of the Commonwealth’s </w:t>
      </w:r>
      <w:r w:rsidRPr="005E3057">
        <w:rPr>
          <w:i/>
        </w:rPr>
        <w:t xml:space="preserve">Child Care Safety Net. </w:t>
      </w:r>
      <w:r w:rsidRPr="005E3057">
        <w:t xml:space="preserve">The transition involves </w:t>
      </w:r>
      <w:r w:rsidR="004668DE" w:rsidRPr="004668DE">
        <w:t xml:space="preserve">CCCFR </w:t>
      </w:r>
      <w:r w:rsidRPr="005E3057">
        <w:t>services achieving (1)</w:t>
      </w:r>
      <w:r w:rsidRPr="005E3057">
        <w:rPr>
          <w:i/>
        </w:rPr>
        <w:t xml:space="preserve"> </w:t>
      </w:r>
      <w:r w:rsidRPr="005E3057">
        <w:t>compliance with the National Law and Regulations under the National Quality Framework and (2) financial sustainability through the Child Care Subsidy (CCS) and Additional Child Care Subsidy (ACCS).</w:t>
      </w:r>
    </w:p>
    <w:p w14:paraId="3A6A9196" w14:textId="04DAB5EC" w:rsidR="005E3057" w:rsidRPr="005E3057" w:rsidRDefault="005E3057" w:rsidP="0043431A">
      <w:r w:rsidRPr="005E3057">
        <w:t xml:space="preserve">In addition to supporting </w:t>
      </w:r>
      <w:r w:rsidR="00065BAE" w:rsidRPr="00065BAE">
        <w:t xml:space="preserve">CCCFR </w:t>
      </w:r>
      <w:r w:rsidRPr="005E3057">
        <w:t>services with this transition, the stated intended outcomes of the CCCFR grant are to:</w:t>
      </w:r>
    </w:p>
    <w:p w14:paraId="256004A1" w14:textId="77777777" w:rsidR="005E3057" w:rsidRPr="005E3057" w:rsidRDefault="005E3057" w:rsidP="0043431A">
      <w:pPr>
        <w:pStyle w:val="ListBullet"/>
        <w:rPr>
          <w:b/>
        </w:rPr>
      </w:pPr>
      <w:r>
        <w:t>improve early childhood development outcomes for vulnerable and disadvantaged families</w:t>
      </w:r>
    </w:p>
    <w:p w14:paraId="6F9E65DC" w14:textId="77777777" w:rsidR="005E3057" w:rsidRPr="005E3057" w:rsidRDefault="005E3057" w:rsidP="0043431A">
      <w:pPr>
        <w:pStyle w:val="ListBullet"/>
        <w:rPr>
          <w:rFonts w:eastAsia="Calibri" w:cs="Times New Roman"/>
          <w:b/>
          <w:bCs/>
        </w:rPr>
      </w:pPr>
      <w:r w:rsidRPr="2B91AEFB">
        <w:rPr>
          <w:rFonts w:eastAsia="Calibri" w:cs="Times New Roman"/>
        </w:rPr>
        <w:t>increase workforce participation by vulnerable and disadvantaged families.</w:t>
      </w:r>
    </w:p>
    <w:p w14:paraId="54D78678" w14:textId="7C7A2585" w:rsidR="005E3057" w:rsidRPr="005E3057" w:rsidRDefault="006D66B2" w:rsidP="0051281B">
      <w:pPr>
        <w:spacing w:before="120"/>
      </w:pPr>
      <w:r>
        <w:t>The ECEC</w:t>
      </w:r>
      <w:r w:rsidR="005E3057">
        <w:t xml:space="preserve"> services </w:t>
      </w:r>
      <w:r>
        <w:t xml:space="preserve">provided by the </w:t>
      </w:r>
      <w:r w:rsidR="005E3057">
        <w:t xml:space="preserve">149 CCCFR grant </w:t>
      </w:r>
      <w:r>
        <w:t>recipients</w:t>
      </w:r>
      <w:r w:rsidR="005E3057">
        <w:t xml:space="preserve"> are predominately delivered through centre-based care; </w:t>
      </w:r>
      <w:r>
        <w:t xml:space="preserve">however </w:t>
      </w:r>
      <w:r w:rsidR="005E3057">
        <w:t xml:space="preserve">they include some mobile delivery services. Most of the </w:t>
      </w:r>
      <w:r w:rsidR="00AD3D94" w:rsidRPr="00AD3D94">
        <w:t xml:space="preserve">CCCFR </w:t>
      </w:r>
      <w:r w:rsidR="005E3057">
        <w:t>services are targeted a</w:t>
      </w:r>
      <w:r w:rsidR="00A13D62">
        <w:t>t</w:t>
      </w:r>
      <w:r w:rsidR="005E3057">
        <w:t xml:space="preserve"> 0-5 years and some provide before and after school care and occasional care. The breadth of geography in which these </w:t>
      </w:r>
      <w:r w:rsidR="00AD3D94" w:rsidRPr="00AD3D94">
        <w:t xml:space="preserve">CCCFR </w:t>
      </w:r>
      <w:r w:rsidR="005E3057">
        <w:t>services are delivered crosses remote, regional and metropolitan areas.</w:t>
      </w:r>
      <w:r w:rsidR="002E497C">
        <w:t xml:space="preserve"> </w:t>
      </w:r>
      <w:r w:rsidR="005E3057">
        <w:t>31</w:t>
      </w:r>
      <w:r w:rsidR="00251362">
        <w:t xml:space="preserve"> per cent</w:t>
      </w:r>
      <w:r w:rsidR="005E3057">
        <w:t xml:space="preserve"> of </w:t>
      </w:r>
      <w:r w:rsidR="00AD3D94" w:rsidRPr="00AD3D94">
        <w:t xml:space="preserve">CCCFR </w:t>
      </w:r>
      <w:r w:rsidR="005E3057">
        <w:t>services supported through the CCCFR grant are located in the Northern Territory and almost 60</w:t>
      </w:r>
      <w:r w:rsidR="00251362">
        <w:t xml:space="preserve"> per cent</w:t>
      </w:r>
      <w:r w:rsidR="005E3057">
        <w:t xml:space="preserve"> of </w:t>
      </w:r>
      <w:r w:rsidR="00AD3D94" w:rsidRPr="00AD3D94">
        <w:t xml:space="preserve">CCCFR </w:t>
      </w:r>
      <w:r w:rsidR="005E3057">
        <w:t>services are located in remote areas across Australia.</w:t>
      </w:r>
    </w:p>
    <w:p w14:paraId="6B4E908B" w14:textId="0C63E59C" w:rsidR="005E3057" w:rsidRPr="005E3057" w:rsidRDefault="008D16D8" w:rsidP="0043431A">
      <w:r>
        <w:t>Nearly half</w:t>
      </w:r>
      <w:r w:rsidR="005E3057" w:rsidRPr="005E3057">
        <w:t xml:space="preserve"> (4</w:t>
      </w:r>
      <w:r w:rsidR="00A21107">
        <w:t>8</w:t>
      </w:r>
      <w:r w:rsidR="00251362">
        <w:t xml:space="preserve"> per cent</w:t>
      </w:r>
      <w:r w:rsidR="005E3057" w:rsidRPr="005E3057">
        <w:t xml:space="preserve">) of CCCFR grant-funded services </w:t>
      </w:r>
      <w:r w:rsidR="00F17BB7">
        <w:t>identify as</w:t>
      </w:r>
      <w:r w:rsidR="00F17BB7" w:rsidRPr="005E3057">
        <w:t xml:space="preserve"> </w:t>
      </w:r>
      <w:r w:rsidR="005E3057" w:rsidRPr="005E3057">
        <w:t>Aboriginal and Torres Strait Islander managed and/or directed services</w:t>
      </w:r>
      <w:r w:rsidR="00733FEA" w:rsidRPr="005E3057">
        <w:rPr>
          <w:vertAlign w:val="superscript"/>
        </w:rPr>
        <w:footnoteReference w:id="10"/>
      </w:r>
      <w:r w:rsidR="005E3057" w:rsidRPr="005E3057">
        <w:t xml:space="preserve"> </w:t>
      </w:r>
      <w:r w:rsidR="00F17BB7">
        <w:t>and</w:t>
      </w:r>
      <w:r w:rsidR="00F17BB7" w:rsidRPr="005E3057">
        <w:t xml:space="preserve"> </w:t>
      </w:r>
      <w:r w:rsidR="00135B03">
        <w:t>33</w:t>
      </w:r>
      <w:r w:rsidR="00CD2294" w:rsidRPr="0007152E">
        <w:rPr>
          <w:color w:val="ED8B00"/>
        </w:rPr>
        <w:t xml:space="preserve"> </w:t>
      </w:r>
      <w:r w:rsidR="00F17BB7">
        <w:t xml:space="preserve">CCCFR services </w:t>
      </w:r>
      <w:r w:rsidR="00B9365B">
        <w:t xml:space="preserve">report that they </w:t>
      </w:r>
      <w:r w:rsidR="00F17BB7">
        <w:t>operat</w:t>
      </w:r>
      <w:r w:rsidR="00115060">
        <w:t>e</w:t>
      </w:r>
      <w:r w:rsidR="00F17BB7">
        <w:t xml:space="preserve"> as</w:t>
      </w:r>
      <w:r w:rsidR="00CD2294">
        <w:t xml:space="preserve"> </w:t>
      </w:r>
      <w:r w:rsidR="005E3057" w:rsidRPr="005E3057">
        <w:t>Aboriginal Community Controlled Organisations (ACCOs).</w:t>
      </w:r>
      <w:r w:rsidR="00733FEA" w:rsidRPr="005E3057">
        <w:t xml:space="preserve"> </w:t>
      </w:r>
      <w:r w:rsidR="005E3057" w:rsidRPr="005E3057">
        <w:t xml:space="preserve">Further, some </w:t>
      </w:r>
      <w:r w:rsidR="00AD3D94" w:rsidRPr="00AD3D94">
        <w:t xml:space="preserve">CCCFR </w:t>
      </w:r>
      <w:r w:rsidR="005E3057" w:rsidRPr="005E3057">
        <w:t>services who do not identify as Aboriginal or Torres Strait Islander support enrolments from children who predominantly identify as Aboriginal or Torres Strait Islander, whether in remote or urban settings.</w:t>
      </w:r>
      <w:r w:rsidR="0046456E">
        <w:t xml:space="preserve"> </w:t>
      </w:r>
      <w:r w:rsidR="0046456E" w:rsidRPr="0046456E">
        <w:t>Of the services that do not identify as Aboriginal and</w:t>
      </w:r>
      <w:r w:rsidR="0046456E">
        <w:t>/or</w:t>
      </w:r>
      <w:r w:rsidR="0046456E" w:rsidRPr="0046456E">
        <w:t xml:space="preserve"> Torres Strait Islander, there are at least further 19 and possibly as many as 2</w:t>
      </w:r>
      <w:r w:rsidR="00450306">
        <w:t>5</w:t>
      </w:r>
      <w:r w:rsidR="0046456E" w:rsidRPr="0046456E">
        <w:t xml:space="preserve"> for which Aboriginal or Torres Strait Islander Children represent more than 50</w:t>
      </w:r>
      <w:r w:rsidR="0046456E">
        <w:t xml:space="preserve"> per cent</w:t>
      </w:r>
      <w:r w:rsidR="0046456E" w:rsidRPr="0046456E">
        <w:t xml:space="preserve"> of enrolments. Put another way, Aboriginal and</w:t>
      </w:r>
      <w:r w:rsidR="0046456E">
        <w:t>/or</w:t>
      </w:r>
      <w:r w:rsidR="0046456E" w:rsidRPr="0046456E">
        <w:t xml:space="preserve"> Torres Strait Islander enrolments comprise the majority of enrolments for between a quarter and a third of the services that </w:t>
      </w:r>
      <w:r w:rsidR="0046456E">
        <w:t>d</w:t>
      </w:r>
      <w:r w:rsidR="0046456E" w:rsidRPr="0046456E">
        <w:t>o not identify as Aboriginal and</w:t>
      </w:r>
      <w:r w:rsidR="0046456E">
        <w:t>/or</w:t>
      </w:r>
      <w:r w:rsidR="0046456E" w:rsidRPr="0046456E">
        <w:t xml:space="preserve"> Torres Strait Islander</w:t>
      </w:r>
      <w:r w:rsidR="0046456E">
        <w:t xml:space="preserve">. </w:t>
      </w:r>
    </w:p>
    <w:p w14:paraId="225D348D" w14:textId="6A747ABE" w:rsidR="00614858" w:rsidRPr="00E575F3" w:rsidRDefault="007D36B0" w:rsidP="00614858">
      <w:pPr>
        <w:rPr>
          <w:lang w:val="en-GB"/>
        </w:rPr>
      </w:pPr>
      <w:r w:rsidRPr="007D36B0">
        <w:rPr>
          <w:lang w:val="en-GB"/>
        </w:rPr>
        <w:t xml:space="preserve">There is significant diversity among </w:t>
      </w:r>
      <w:r>
        <w:rPr>
          <w:lang w:val="en-GB"/>
        </w:rPr>
        <w:t>CCCFR</w:t>
      </w:r>
      <w:r w:rsidRPr="007D36B0">
        <w:rPr>
          <w:lang w:val="en-GB"/>
        </w:rPr>
        <w:t xml:space="preserve"> services</w:t>
      </w:r>
      <w:r>
        <w:rPr>
          <w:lang w:val="en-GB"/>
        </w:rPr>
        <w:t>,</w:t>
      </w:r>
      <w:r w:rsidRPr="007D36B0">
        <w:rPr>
          <w:lang w:val="en-GB"/>
        </w:rPr>
        <w:t xml:space="preserve"> in part due to the broad funding arrangements that supported them prior to the CCCFR </w:t>
      </w:r>
      <w:r w:rsidR="00614858" w:rsidRPr="00E575F3" w:rsidDel="007D36B0">
        <w:rPr>
          <w:lang w:val="en-GB"/>
        </w:rPr>
        <w:t>grant</w:t>
      </w:r>
      <w:r w:rsidR="00614858" w:rsidRPr="00E575F3">
        <w:rPr>
          <w:lang w:val="en-GB"/>
        </w:rPr>
        <w:t xml:space="preserve">. In addition to the large number of centre-based child care </w:t>
      </w:r>
      <w:r w:rsidR="007541E3" w:rsidRPr="007541E3">
        <w:rPr>
          <w:lang w:val="en-GB"/>
        </w:rPr>
        <w:t xml:space="preserve">CCCFR </w:t>
      </w:r>
      <w:r w:rsidR="00614858" w:rsidRPr="00E575F3">
        <w:rPr>
          <w:lang w:val="en-GB"/>
        </w:rPr>
        <w:t xml:space="preserve">services operating in remote Aboriginal and Torres Strait Islander communities, there are also smaller numbers of </w:t>
      </w:r>
      <w:r w:rsidR="007541E3" w:rsidRPr="007541E3">
        <w:rPr>
          <w:lang w:val="en-GB"/>
        </w:rPr>
        <w:t xml:space="preserve">CCCFR </w:t>
      </w:r>
      <w:r w:rsidR="00614858" w:rsidRPr="00E575F3">
        <w:rPr>
          <w:lang w:val="en-GB"/>
        </w:rPr>
        <w:t>services responding to additional community needs including: mobile</w:t>
      </w:r>
      <w:r w:rsidR="00614858" w:rsidRPr="00E93F68">
        <w:t xml:space="preserve"> </w:t>
      </w:r>
      <w:r w:rsidR="00E93F68" w:rsidRPr="00E93F68">
        <w:rPr>
          <w:lang w:val="en-GB"/>
        </w:rPr>
        <w:t>CCCFR</w:t>
      </w:r>
      <w:r w:rsidR="00614858" w:rsidRPr="00E575F3">
        <w:rPr>
          <w:lang w:val="en-GB"/>
        </w:rPr>
        <w:t xml:space="preserve"> services targeting families in rural communities, </w:t>
      </w:r>
      <w:r w:rsidR="00E93F68" w:rsidRPr="00E93F68">
        <w:rPr>
          <w:lang w:val="en-GB"/>
        </w:rPr>
        <w:t xml:space="preserve">CCCFR </w:t>
      </w:r>
      <w:r w:rsidR="00614858" w:rsidRPr="00E575F3">
        <w:rPr>
          <w:lang w:val="en-GB"/>
        </w:rPr>
        <w:t>services providing child</w:t>
      </w:r>
      <w:r w:rsidR="00C03FB1">
        <w:rPr>
          <w:lang w:val="en-GB"/>
        </w:rPr>
        <w:t xml:space="preserve"> </w:t>
      </w:r>
      <w:r w:rsidR="00614858" w:rsidRPr="00E575F3">
        <w:rPr>
          <w:lang w:val="en-GB"/>
        </w:rPr>
        <w:t xml:space="preserve">care to support refugee and migrant families in urban settings, </w:t>
      </w:r>
      <w:r w:rsidR="00E93F68" w:rsidRPr="00E93F68">
        <w:rPr>
          <w:lang w:val="en-GB"/>
        </w:rPr>
        <w:t xml:space="preserve">CCCFR </w:t>
      </w:r>
      <w:r w:rsidR="00614858" w:rsidRPr="00E575F3">
        <w:rPr>
          <w:lang w:val="en-GB"/>
        </w:rPr>
        <w:t>services providing child</w:t>
      </w:r>
      <w:r w:rsidR="00C03FB1">
        <w:rPr>
          <w:lang w:val="en-GB"/>
        </w:rPr>
        <w:t xml:space="preserve"> </w:t>
      </w:r>
      <w:r w:rsidR="00614858" w:rsidRPr="00E575F3">
        <w:rPr>
          <w:lang w:val="en-GB"/>
        </w:rPr>
        <w:t xml:space="preserve">care to enable young mothers to complete school, </w:t>
      </w:r>
      <w:r w:rsidR="00E93F68" w:rsidRPr="00E93F68">
        <w:rPr>
          <w:lang w:val="en-GB"/>
        </w:rPr>
        <w:t xml:space="preserve">CCCFR </w:t>
      </w:r>
      <w:r w:rsidR="00614858" w:rsidRPr="00E575F3">
        <w:rPr>
          <w:lang w:val="en-GB"/>
        </w:rPr>
        <w:t xml:space="preserve">services </w:t>
      </w:r>
      <w:r w:rsidR="00614858" w:rsidRPr="00E575F3">
        <w:rPr>
          <w:lang w:val="en-GB"/>
        </w:rPr>
        <w:lastRenderedPageBreak/>
        <w:t>providing child</w:t>
      </w:r>
      <w:r w:rsidR="00C03FB1">
        <w:rPr>
          <w:lang w:val="en-GB"/>
        </w:rPr>
        <w:t xml:space="preserve"> </w:t>
      </w:r>
      <w:r w:rsidR="00614858" w:rsidRPr="00E575F3">
        <w:rPr>
          <w:lang w:val="en-GB"/>
        </w:rPr>
        <w:t xml:space="preserve">care to enable families to receive treatment for their health and wellbeing, and outside school hours care services. </w:t>
      </w:r>
    </w:p>
    <w:p w14:paraId="6CB5C4FC" w14:textId="15FE9524" w:rsidR="00614858" w:rsidRPr="00E575F3" w:rsidRDefault="00614858" w:rsidP="00614858">
      <w:pPr>
        <w:rPr>
          <w:lang w:val="en-GB"/>
        </w:rPr>
      </w:pPr>
      <w:r>
        <w:rPr>
          <w:lang w:val="en-GB"/>
        </w:rPr>
        <w:t>In addition</w:t>
      </w:r>
      <w:r w:rsidRPr="00E575F3">
        <w:rPr>
          <w:lang w:val="en-GB"/>
        </w:rPr>
        <w:t xml:space="preserve"> to the breadth of service delivery models and community circumstances, there are differences in the organising structures of the providers. Providers include councils, </w:t>
      </w:r>
      <w:r w:rsidR="00B178CF">
        <w:rPr>
          <w:lang w:val="en-GB"/>
        </w:rPr>
        <w:t>ACCOs</w:t>
      </w:r>
      <w:r w:rsidRPr="00E575F3">
        <w:rPr>
          <w:lang w:val="en-GB"/>
        </w:rPr>
        <w:t>, large and small non-profits, some of which are ECEC-specific, some of which have broader community remits.</w:t>
      </w:r>
      <w:r w:rsidR="002E497C">
        <w:rPr>
          <w:lang w:val="en-GB"/>
        </w:rPr>
        <w:t xml:space="preserve"> </w:t>
      </w:r>
      <w:r w:rsidRPr="00E575F3">
        <w:rPr>
          <w:lang w:val="en-GB"/>
        </w:rPr>
        <w:t xml:space="preserve"> </w:t>
      </w:r>
    </w:p>
    <w:p w14:paraId="7044EC73" w14:textId="49357235" w:rsidR="00CD4C9C" w:rsidRDefault="00614858" w:rsidP="00FC4EB0">
      <w:r w:rsidRPr="00E575F3">
        <w:rPr>
          <w:lang w:val="en-GB"/>
        </w:rPr>
        <w:t xml:space="preserve">While these </w:t>
      </w:r>
      <w:r w:rsidR="00CA255E" w:rsidRPr="00CA255E">
        <w:rPr>
          <w:lang w:val="en-GB"/>
        </w:rPr>
        <w:t>CCCFR</w:t>
      </w:r>
      <w:r w:rsidRPr="00E575F3">
        <w:rPr>
          <w:lang w:val="en-GB"/>
        </w:rPr>
        <w:t xml:space="preserve"> services by and large share a common thread in that they are used by families experiencing vulnerability and disadvantage, the economic, social and financial barriers to delivering education and child care within these settings are, in many cases, vastly different. </w:t>
      </w:r>
      <w:r w:rsidR="002E07E2">
        <w:rPr>
          <w:lang w:val="en-GB"/>
        </w:rPr>
        <w:br/>
      </w:r>
    </w:p>
    <w:tbl>
      <w:tblPr>
        <w:tblStyle w:val="TableGrid"/>
        <w:tblW w:w="0" w:type="auto"/>
        <w:shd w:val="clear" w:color="auto" w:fill="E7E6E6" w:themeFill="background2"/>
        <w:tblCellMar>
          <w:top w:w="85" w:type="dxa"/>
          <w:left w:w="113" w:type="dxa"/>
          <w:bottom w:w="85" w:type="dxa"/>
          <w:right w:w="113" w:type="dxa"/>
        </w:tblCellMar>
        <w:tblLook w:val="04A0" w:firstRow="1" w:lastRow="0" w:firstColumn="1" w:lastColumn="0" w:noHBand="0" w:noVBand="1"/>
      </w:tblPr>
      <w:tblGrid>
        <w:gridCol w:w="9026"/>
      </w:tblGrid>
      <w:tr w:rsidR="005D53F7" w14:paraId="71ABE1D3" w14:textId="77777777" w:rsidTr="00B956E4">
        <w:trPr>
          <w:cnfStyle w:val="100000000000" w:firstRow="1" w:lastRow="0" w:firstColumn="0" w:lastColumn="0" w:oddVBand="0" w:evenVBand="0" w:oddHBand="0" w:evenHBand="0" w:firstRowFirstColumn="0" w:firstRowLastColumn="0" w:lastRowFirstColumn="0" w:lastRowLastColumn="0"/>
          <w:trHeight w:val="2183"/>
        </w:trPr>
        <w:tc>
          <w:tcPr>
            <w:tcW w:w="9026" w:type="dxa"/>
            <w:shd w:val="clear" w:color="auto" w:fill="E7E6E6" w:themeFill="background2"/>
          </w:tcPr>
          <w:p w14:paraId="0A92A512" w14:textId="77777777" w:rsidR="005D53F7" w:rsidRDefault="005D53F7">
            <w:pPr>
              <w:spacing w:before="120" w:after="120"/>
              <w:rPr>
                <w:b/>
                <w:bCs/>
              </w:rPr>
            </w:pPr>
            <w:r w:rsidRPr="30E0DE01">
              <w:rPr>
                <w:b/>
                <w:bCs/>
              </w:rPr>
              <w:t xml:space="preserve">Box </w:t>
            </w:r>
            <w:r>
              <w:rPr>
                <w:b/>
                <w:bCs/>
              </w:rPr>
              <w:t>i:</w:t>
            </w:r>
            <w:r w:rsidRPr="30E0DE01">
              <w:rPr>
                <w:b/>
                <w:bCs/>
              </w:rPr>
              <w:t xml:space="preserve"> What is an Aboriginal Community Controlled Organisation (ACCO) and what is</w:t>
            </w:r>
            <w:r>
              <w:br/>
            </w:r>
            <w:r w:rsidRPr="30E0DE01">
              <w:rPr>
                <w:b/>
                <w:bCs/>
              </w:rPr>
              <w:t>their significance to this review?</w:t>
            </w:r>
          </w:p>
          <w:p w14:paraId="36D34CE6" w14:textId="77777777" w:rsidR="005D53F7" w:rsidRDefault="005D53F7">
            <w:pPr>
              <w:spacing w:before="120"/>
            </w:pPr>
            <w:r>
              <w:t>Clause 44 of the National Agreement on Closing the Gap sets the definition of an ACCO.</w:t>
            </w:r>
          </w:p>
          <w:p w14:paraId="6339F795" w14:textId="77777777" w:rsidR="005D53F7" w:rsidRDefault="005D53F7">
            <w:r>
              <w:t>Clause 44 states that:</w:t>
            </w:r>
          </w:p>
          <w:p w14:paraId="41DBFBC6" w14:textId="77777777" w:rsidR="005D53F7" w:rsidRDefault="005D53F7">
            <w:r>
              <w:t>Aboriginal and Torres Strait Islander community control is an act of self-determination. Under this Agreement, an Aboriginal and/or Torres Strait Islander Community-Controlled Organisation delivers services, including land and resource management that builds the strength and empowerment of Aboriginal and Torres Strait Islander communities and people and is:</w:t>
            </w:r>
          </w:p>
          <w:p w14:paraId="2F56C34E" w14:textId="77777777" w:rsidR="005D53F7" w:rsidRDefault="005D53F7">
            <w:pPr>
              <w:pStyle w:val="ListBullet"/>
            </w:pPr>
            <w:r>
              <w:t>incorporated under relevant legislation and not-for-profit</w:t>
            </w:r>
          </w:p>
          <w:p w14:paraId="2E8F6227" w14:textId="77777777" w:rsidR="005D53F7" w:rsidRDefault="005D53F7">
            <w:pPr>
              <w:pStyle w:val="ListBullet"/>
            </w:pPr>
            <w:r>
              <w:t>controlled and operated by Aboriginal and/or Torres Strait Islander people</w:t>
            </w:r>
          </w:p>
          <w:p w14:paraId="4DB52B56" w14:textId="77777777" w:rsidR="005D53F7" w:rsidRDefault="005D53F7">
            <w:pPr>
              <w:pStyle w:val="ListBullet"/>
            </w:pPr>
            <w:r>
              <w:t>connected to the community, or communities, in which they deliver the services</w:t>
            </w:r>
          </w:p>
          <w:p w14:paraId="3A4C72C9" w14:textId="77777777" w:rsidR="005D53F7" w:rsidRDefault="005D53F7">
            <w:pPr>
              <w:pStyle w:val="ListBullet"/>
              <w:spacing w:after="120"/>
            </w:pPr>
            <w:r>
              <w:t>governed by a majority Aboriginal and/or Torres Strait Islander governing body.</w:t>
            </w:r>
          </w:p>
          <w:p w14:paraId="21DC5C1E" w14:textId="77777777" w:rsidR="005D53F7" w:rsidRDefault="005D53F7">
            <w:r>
              <w:t xml:space="preserve">The National Agreement on Closing the Gap Priority Reform 2 commits governments to strengthening the ACCO sector. The February 2024 Productivity Commission review found that some government organisations are starting to provide flexibility by introducing longer term contracts; reduce reporting requirements; prioritise funding to ACCOs in procurement, grant or program guidelines; and change how services are designed, contracted, funded delivered and evaluated. However, the review also acknowledged that progress had been slow, and many processes still followed a business-as-usual approach. It found governments still need to: recognise that ACCOs can achieve better results for Aboriginal and Torres Strait Islander people; take steps to strengthen the capability of ACCOs in key sectors; increase the number of services designed and delivered by ACCOs; and provide dedicated, reliable and consistent funding.   </w:t>
            </w:r>
          </w:p>
          <w:p w14:paraId="1DC6AF3C" w14:textId="14BDACBC" w:rsidR="005D53F7" w:rsidRDefault="005D53F7">
            <w:r w:rsidRPr="0033047C">
              <w:t xml:space="preserve">In addition to the ACCO-run CCCFR services, there are a number of services operating under the CCCFR grant within Aboriginal and Torres Strait Islander communities that are not ACCOs. Some of these identify as Aboriginal and/or Torres Strait Islander services, without meeting the definition of an ACCO, </w:t>
            </w:r>
            <w:r w:rsidRPr="00BB2DB0">
              <w:t xml:space="preserve">see </w:t>
            </w:r>
            <w:r w:rsidRPr="00BB2DB0">
              <w:fldChar w:fldCharType="begin"/>
            </w:r>
            <w:r w:rsidRPr="00BB2DB0">
              <w:instrText xml:space="preserve"> REF _Ref166769290 \r \h </w:instrText>
            </w:r>
            <w:r>
              <w:instrText xml:space="preserve"> \* MERGEFORMAT </w:instrText>
            </w:r>
            <w:r w:rsidRPr="00BB2DB0">
              <w:fldChar w:fldCharType="separate"/>
            </w:r>
            <w:r w:rsidR="00D300D0">
              <w:t>Chart 2.7</w:t>
            </w:r>
            <w:r w:rsidRPr="00BB2DB0">
              <w:fldChar w:fldCharType="end"/>
            </w:r>
            <w:r w:rsidRPr="00BB2DB0">
              <w:t xml:space="preserve"> in</w:t>
            </w:r>
            <w:r>
              <w:t xml:space="preserve"> section </w:t>
            </w:r>
            <w:r>
              <w:fldChar w:fldCharType="begin"/>
            </w:r>
            <w:r>
              <w:instrText xml:space="preserve"> REF _Ref166854081 \r \h </w:instrText>
            </w:r>
            <w:r>
              <w:fldChar w:fldCharType="separate"/>
            </w:r>
            <w:r w:rsidR="00D300D0">
              <w:t>2.4</w:t>
            </w:r>
            <w:r>
              <w:fldChar w:fldCharType="end"/>
            </w:r>
            <w:r w:rsidRPr="0033047C">
              <w:t>. These include council-run services and private provider-run services. As part of the wider-consultation with communities that was undertaken as part of this review, some ACCOs who were delivering services other than early education and care (e.g. health or employment services) expressed a desire to work with local councils to explore a potential transition of ownership of the existing CCCFR ECEC services to those ACCOs.</w:t>
            </w:r>
          </w:p>
          <w:p w14:paraId="6A3D5D72" w14:textId="77777777" w:rsidR="005D53F7" w:rsidRDefault="005D53F7">
            <w:r>
              <w:t xml:space="preserve">The </w:t>
            </w:r>
            <w:r w:rsidRPr="00C06873">
              <w:rPr>
                <w:i/>
                <w:iCs/>
              </w:rPr>
              <w:t>Funding Models</w:t>
            </w:r>
            <w:r>
              <w:rPr>
                <w:i/>
                <w:iCs/>
              </w:rPr>
              <w:t xml:space="preserve"> for ACCO Integrated Early Years Services Final Report (2024) </w:t>
            </w:r>
            <w:r>
              <w:t>prepared by SNAICC speaks to the many strengths of ACCOs:</w:t>
            </w:r>
          </w:p>
          <w:p w14:paraId="4F36D7A6" w14:textId="77777777" w:rsidR="005D53F7" w:rsidRPr="00562372" w:rsidRDefault="005D53F7">
            <w:pPr>
              <w:rPr>
                <w:i/>
              </w:rPr>
            </w:pPr>
            <w:r w:rsidRPr="00562372">
              <w:rPr>
                <w:i/>
              </w:rPr>
              <w:t xml:space="preserve">The connection and accountability that ACCOs have to community makes them uniquely placed to identify the services and supports that are most needed and will have the greatest impact on a local level. ACCO services go well beyond the mainstream scope of childcare and early education to provide holistic wrap around support for children and extended families. </w:t>
            </w:r>
          </w:p>
          <w:p w14:paraId="05FBD11A" w14:textId="77777777" w:rsidR="005D53F7" w:rsidRPr="00562372" w:rsidRDefault="005D53F7">
            <w:pPr>
              <w:rPr>
                <w:i/>
              </w:rPr>
            </w:pPr>
            <w:r w:rsidRPr="00562372">
              <w:rPr>
                <w:i/>
              </w:rPr>
              <w:lastRenderedPageBreak/>
              <w:t xml:space="preserve">This approach is a response to the gaps in culturally safe services and the need to support community to navigate government and non-Indigenous service systems […] This research confirms that ACCO early childhood services provide community-centred programs that foster connection with families, culture, Country, and the local Aboriginal and Torres Strait Islander community, including Elders and local community-controlled organisations. </w:t>
            </w:r>
          </w:p>
          <w:p w14:paraId="28918519" w14:textId="77777777" w:rsidR="005D53F7" w:rsidRPr="00192882" w:rsidRDefault="005D53F7">
            <w:r w:rsidRPr="00562372">
              <w:rPr>
                <w:i/>
              </w:rPr>
              <w:t>The ACCO workforce is reflective of the local Aboriginal and Torres Strait Islander communities in which ACCOs operate, and this plays a critical role in building trust and relationships across the community</w:t>
            </w:r>
            <w:r>
              <w:rPr>
                <w:i/>
              </w:rPr>
              <w:t>.</w:t>
            </w:r>
          </w:p>
        </w:tc>
      </w:tr>
    </w:tbl>
    <w:p w14:paraId="400C145D" w14:textId="423303D8" w:rsidR="005E3057" w:rsidRPr="005E3057" w:rsidRDefault="005E3057" w:rsidP="005D53F7">
      <w:pPr>
        <w:spacing w:before="170"/>
        <w:rPr>
          <w:rFonts w:eastAsia="Calibri" w:cs="Times New Roman"/>
          <w:b/>
        </w:rPr>
      </w:pPr>
      <w:r w:rsidRPr="00003425">
        <w:rPr>
          <w:b/>
          <w:color w:val="007CB0"/>
          <w:sz w:val="22"/>
          <w:szCs w:val="22"/>
        </w:rPr>
        <w:lastRenderedPageBreak/>
        <w:t>About this review</w:t>
      </w:r>
    </w:p>
    <w:p w14:paraId="4281AA84" w14:textId="60384D2E" w:rsidR="0063401F" w:rsidRPr="00DD3ABA" w:rsidRDefault="00906795" w:rsidP="00DD3ABA">
      <w:pPr>
        <w:rPr>
          <w:lang w:val="en-GB"/>
        </w:rPr>
      </w:pPr>
      <w:r>
        <w:rPr>
          <w:lang w:val="en-GB"/>
        </w:rPr>
        <w:t>T</w:t>
      </w:r>
      <w:r w:rsidRPr="00906795">
        <w:rPr>
          <w:lang w:val="en-GB"/>
        </w:rPr>
        <w:t xml:space="preserve">he Department of Education (the </w:t>
      </w:r>
      <w:r>
        <w:rPr>
          <w:lang w:val="en-GB"/>
        </w:rPr>
        <w:t>D</w:t>
      </w:r>
      <w:r w:rsidRPr="00906795">
        <w:rPr>
          <w:lang w:val="en-GB"/>
        </w:rPr>
        <w:t>epartment) commissioned Deloitte Access Economics, in partnership with SNAICC and Murawin, in early 2023 to undertake a review of the Community Child Care Fund Restricted (CCCFR) grant</w:t>
      </w:r>
      <w:r w:rsidR="0063401F" w:rsidRPr="00E575F3">
        <w:rPr>
          <w:lang w:val="en-GB"/>
        </w:rPr>
        <w:t>. While SNAICC and Murawin significantly contributed to the process of this review, it is important to note that this report was prepared by Deloitte Access Economics.</w:t>
      </w:r>
    </w:p>
    <w:p w14:paraId="2A7614F8" w14:textId="6274EBB8" w:rsidR="005E3057" w:rsidRPr="005E3057" w:rsidRDefault="005E3057" w:rsidP="0051281B">
      <w:pPr>
        <w:spacing w:before="120"/>
      </w:pPr>
      <w:r w:rsidRPr="005E3057">
        <w:t xml:space="preserve">The review </w:t>
      </w:r>
      <w:r w:rsidR="00BB2A0E">
        <w:t>consider</w:t>
      </w:r>
      <w:r w:rsidR="00A47B59">
        <w:t>ed</w:t>
      </w:r>
      <w:r w:rsidRPr="005E3057">
        <w:t xml:space="preserve"> the extent to which the CCCFR grant has delivered on its intended </w:t>
      </w:r>
      <w:r w:rsidR="00455791">
        <w:t>objectives</w:t>
      </w:r>
      <w:r w:rsidR="00455791" w:rsidRPr="005E3057">
        <w:t xml:space="preserve"> </w:t>
      </w:r>
      <w:r w:rsidRPr="005E3057">
        <w:t>and how the CCCFR grant can be refined to maximise its potential.</w:t>
      </w:r>
    </w:p>
    <w:p w14:paraId="0F0F3820" w14:textId="1851CEC8" w:rsidR="005E3057" w:rsidRPr="005E3057" w:rsidRDefault="00EE6EDF" w:rsidP="0043431A">
      <w:r>
        <w:t xml:space="preserve">The </w:t>
      </w:r>
      <w:r w:rsidR="00314D02">
        <w:t xml:space="preserve">issues that the review has been tasked with considering </w:t>
      </w:r>
      <w:r w:rsidR="00C000FE">
        <w:t xml:space="preserve">and, therefore the findings it reaches, </w:t>
      </w:r>
      <w:r w:rsidR="00314D02">
        <w:t xml:space="preserve">are organised under four </w:t>
      </w:r>
      <w:r w:rsidR="005E3057" w:rsidRPr="005E3057">
        <w:t>domains:</w:t>
      </w:r>
    </w:p>
    <w:p w14:paraId="55E8E8C8" w14:textId="73AEACDE" w:rsidR="005E3057" w:rsidRPr="005E3057" w:rsidRDefault="005E3057" w:rsidP="0043431A">
      <w:pPr>
        <w:pStyle w:val="ListBullet"/>
        <w:rPr>
          <w:b/>
        </w:rPr>
      </w:pPr>
      <w:r w:rsidRPr="2B91AEFB">
        <w:rPr>
          <w:b/>
          <w:bCs/>
        </w:rPr>
        <w:t xml:space="preserve">Domain 1: Objective and intent. </w:t>
      </w:r>
      <w:r>
        <w:t xml:space="preserve">This domain </w:t>
      </w:r>
      <w:r w:rsidR="00161105">
        <w:t>considers</w:t>
      </w:r>
      <w:r>
        <w:t xml:space="preserve"> the extent to which the objectives of the CCCFR grant are appropriate in the current policy landscape, and whether </w:t>
      </w:r>
      <w:r w:rsidR="00161105">
        <w:t>they</w:t>
      </w:r>
      <w:r>
        <w:t xml:space="preserve"> align with the needs and expectations of stakeholders</w:t>
      </w:r>
      <w:r w:rsidR="00314D02">
        <w:t>.</w:t>
      </w:r>
    </w:p>
    <w:p w14:paraId="63373398" w14:textId="0FF27275" w:rsidR="005E3057" w:rsidRPr="005E3057" w:rsidRDefault="005E3057" w:rsidP="0043431A">
      <w:pPr>
        <w:pStyle w:val="ListBullet"/>
        <w:rPr>
          <w:b/>
        </w:rPr>
      </w:pPr>
      <w:r w:rsidRPr="2B91AEFB">
        <w:rPr>
          <w:b/>
          <w:bCs/>
        </w:rPr>
        <w:t xml:space="preserve">Domain 2: Policy and funding </w:t>
      </w:r>
      <w:r w:rsidR="00E43DDF" w:rsidRPr="2B91AEFB">
        <w:rPr>
          <w:b/>
          <w:bCs/>
        </w:rPr>
        <w:t>design</w:t>
      </w:r>
      <w:r w:rsidRPr="2B91AEFB">
        <w:rPr>
          <w:b/>
          <w:bCs/>
        </w:rPr>
        <w:t xml:space="preserve">. </w:t>
      </w:r>
      <w:r>
        <w:t xml:space="preserve">This domain </w:t>
      </w:r>
      <w:r w:rsidR="00161105">
        <w:t>examines</w:t>
      </w:r>
      <w:r>
        <w:t xml:space="preserve"> the extent to which the grant design support</w:t>
      </w:r>
      <w:r w:rsidR="00B23925">
        <w:t>s</w:t>
      </w:r>
      <w:r>
        <w:t xml:space="preserve"> the achievement of CCCFR grant objectives and outcomes.</w:t>
      </w:r>
    </w:p>
    <w:p w14:paraId="57C3407C" w14:textId="33623B29" w:rsidR="005E3057" w:rsidRPr="005E3057" w:rsidRDefault="005E3057" w:rsidP="0043431A">
      <w:pPr>
        <w:pStyle w:val="ListBullet"/>
      </w:pPr>
      <w:r w:rsidRPr="2B91AEFB">
        <w:rPr>
          <w:b/>
          <w:bCs/>
        </w:rPr>
        <w:t xml:space="preserve">Domain 3: Administration, governance and compliance. </w:t>
      </w:r>
      <w:r>
        <w:t>This domain analyses how the grant is governed and administered to support the achievement of CCCFR grant objectives and outcomes.</w:t>
      </w:r>
    </w:p>
    <w:p w14:paraId="788DAEF5" w14:textId="685C4589" w:rsidR="005E3057" w:rsidRPr="005E3057" w:rsidRDefault="005E3057" w:rsidP="0043431A">
      <w:pPr>
        <w:pStyle w:val="ListBullet"/>
      </w:pPr>
      <w:r w:rsidRPr="2B91AEFB">
        <w:rPr>
          <w:b/>
          <w:bCs/>
        </w:rPr>
        <w:t xml:space="preserve">Domain 4: Resourcing and financial sustainability. </w:t>
      </w:r>
      <w:r>
        <w:t xml:space="preserve">This domain </w:t>
      </w:r>
      <w:r w:rsidR="00161105">
        <w:t>examines funding adequacy and its responsiveness to current and future need. It also considers the financial sustainability of CCCFR services, leasing arrangements and infrastructure funding.</w:t>
      </w:r>
    </w:p>
    <w:p w14:paraId="522C1DFA" w14:textId="77777777" w:rsidR="00470520" w:rsidRDefault="00470520" w:rsidP="00145A2F">
      <w:pPr>
        <w:pStyle w:val="ListBullet"/>
        <w:numPr>
          <w:ilvl w:val="0"/>
          <w:numId w:val="0"/>
        </w:numPr>
        <w:ind w:left="340" w:hanging="340"/>
      </w:pPr>
    </w:p>
    <w:p w14:paraId="2DDFD46B" w14:textId="72E1617B" w:rsidR="00324211" w:rsidRDefault="00470520" w:rsidP="00470520">
      <w:r>
        <w:t>T</w:t>
      </w:r>
      <w:r w:rsidRPr="005E3057">
        <w:t xml:space="preserve">he </w:t>
      </w:r>
      <w:r w:rsidR="00C000FE">
        <w:t>review has been informed by an extensive array of both primary and secondary evidence</w:t>
      </w:r>
      <w:r w:rsidR="00970EE0">
        <w:t>.</w:t>
      </w:r>
    </w:p>
    <w:p w14:paraId="6EAB71FD" w14:textId="47F755D7" w:rsidR="00470520" w:rsidRPr="005E3057" w:rsidRDefault="00633863" w:rsidP="00470520">
      <w:r>
        <w:t>Primary evidence was gathered through an expansive stakeholder engagement process</w:t>
      </w:r>
      <w:r w:rsidR="00707DC0">
        <w:t xml:space="preserve"> from June to October 2023</w:t>
      </w:r>
      <w:r>
        <w:t xml:space="preserve">, </w:t>
      </w:r>
      <w:r w:rsidR="00E73C52">
        <w:t xml:space="preserve">with all CCCFR services provided with the opportunity to contribute directly to the review. </w:t>
      </w:r>
      <w:r w:rsidR="00C000FE">
        <w:t>This process</w:t>
      </w:r>
      <w:r w:rsidR="008E4085">
        <w:t xml:space="preserve"> </w:t>
      </w:r>
      <w:r>
        <w:t>includ</w:t>
      </w:r>
      <w:r w:rsidR="00064258">
        <w:t>ed</w:t>
      </w:r>
      <w:r>
        <w:t xml:space="preserve"> face-to-face and virtual consultations with </w:t>
      </w:r>
      <w:r w:rsidR="00AC5FD5">
        <w:t>43</w:t>
      </w:r>
      <w:r w:rsidR="00E97098">
        <w:t xml:space="preserve"> CCCFR services </w:t>
      </w:r>
      <w:r w:rsidR="00D604A1">
        <w:t>across Australia</w:t>
      </w:r>
      <w:r w:rsidR="008D67A2">
        <w:t xml:space="preserve">, including </w:t>
      </w:r>
      <w:r w:rsidR="00CA23CD">
        <w:t>20</w:t>
      </w:r>
      <w:r w:rsidR="00F62FFB">
        <w:t xml:space="preserve"> </w:t>
      </w:r>
      <w:r w:rsidR="003E7362">
        <w:t>services</w:t>
      </w:r>
      <w:r w:rsidR="00CA23CD">
        <w:t xml:space="preserve"> in</w:t>
      </w:r>
      <w:r w:rsidR="00F62FFB">
        <w:t xml:space="preserve"> remote</w:t>
      </w:r>
      <w:r w:rsidR="003E7362">
        <w:t xml:space="preserve"> </w:t>
      </w:r>
      <w:r w:rsidR="00CA23CD">
        <w:t xml:space="preserve">or very remote locations and 26 services that identify as an Aboriginal </w:t>
      </w:r>
      <w:r w:rsidR="004C7F23">
        <w:t>and</w:t>
      </w:r>
      <w:r w:rsidR="00CA23CD">
        <w:t xml:space="preserve"> Torres Str</w:t>
      </w:r>
      <w:r w:rsidR="004C7F23">
        <w:t>ait Islander service</w:t>
      </w:r>
      <w:r w:rsidR="00D604A1">
        <w:t xml:space="preserve">; </w:t>
      </w:r>
      <w:r w:rsidR="008D67A2">
        <w:t xml:space="preserve">face-to-face consultations with </w:t>
      </w:r>
      <w:r w:rsidR="00CA4A86">
        <w:t xml:space="preserve">60 </w:t>
      </w:r>
      <w:r w:rsidR="008D67A2">
        <w:t>families and communities</w:t>
      </w:r>
      <w:r w:rsidR="003E7362">
        <w:t xml:space="preserve"> connected to </w:t>
      </w:r>
      <w:r w:rsidR="00CA4A86">
        <w:t>22</w:t>
      </w:r>
      <w:r w:rsidR="003E7362">
        <w:t xml:space="preserve"> services</w:t>
      </w:r>
      <w:r w:rsidR="006B0525">
        <w:t xml:space="preserve"> across Australia; </w:t>
      </w:r>
      <w:r w:rsidR="00FD1F7C">
        <w:t>an online survey of</w:t>
      </w:r>
      <w:r w:rsidR="00305104">
        <w:t xml:space="preserve"> </w:t>
      </w:r>
      <w:r w:rsidR="00EE55CA">
        <w:t xml:space="preserve">the remaining </w:t>
      </w:r>
      <w:r w:rsidR="00305104">
        <w:t>CCCFR services</w:t>
      </w:r>
      <w:r w:rsidR="00EE55CA">
        <w:t xml:space="preserve">, with </w:t>
      </w:r>
      <w:r w:rsidR="000C5D3B">
        <w:t>57 individual</w:t>
      </w:r>
      <w:r w:rsidR="00EE55CA">
        <w:t xml:space="preserve"> responses</w:t>
      </w:r>
      <w:r w:rsidR="00CC1B42">
        <w:t xml:space="preserve"> received; and consultations with </w:t>
      </w:r>
      <w:r w:rsidR="00CE27DA">
        <w:t>42</w:t>
      </w:r>
      <w:r w:rsidR="00CF230E">
        <w:t xml:space="preserve"> </w:t>
      </w:r>
      <w:r w:rsidR="0065265E" w:rsidRPr="00416522">
        <w:t>stakeholders across government</w:t>
      </w:r>
      <w:r w:rsidR="0065265E">
        <w:t xml:space="preserve"> (including the Department)</w:t>
      </w:r>
      <w:r w:rsidR="0065265E" w:rsidRPr="00416522">
        <w:t xml:space="preserve">, sector, peak and community organisations to understand the </w:t>
      </w:r>
      <w:r w:rsidR="00451540">
        <w:t xml:space="preserve">grant’s </w:t>
      </w:r>
      <w:r w:rsidR="0065265E" w:rsidRPr="00416522">
        <w:t xml:space="preserve">history, </w:t>
      </w:r>
      <w:r w:rsidR="00451540">
        <w:t>and its current and potential impact</w:t>
      </w:r>
      <w:r w:rsidR="003871F8">
        <w:t>.</w:t>
      </w:r>
    </w:p>
    <w:p w14:paraId="4CB0AB59" w14:textId="0320AE27" w:rsidR="00470520" w:rsidRPr="005E3057" w:rsidRDefault="00C979AB" w:rsidP="00AC5FD5">
      <w:r>
        <w:t>Secondary evidence was</w:t>
      </w:r>
      <w:r w:rsidR="00061480">
        <w:t xml:space="preserve"> assembled from a </w:t>
      </w:r>
      <w:r w:rsidR="00AB084B">
        <w:t>wide range of sources, including</w:t>
      </w:r>
      <w:r w:rsidR="00485E13">
        <w:t xml:space="preserve"> </w:t>
      </w:r>
      <w:r w:rsidR="00203DF0">
        <w:t xml:space="preserve">from the Department itself. </w:t>
      </w:r>
      <w:r w:rsidR="00C84687">
        <w:t>Key sources include</w:t>
      </w:r>
      <w:r w:rsidR="00163E8D">
        <w:t>:</w:t>
      </w:r>
      <w:r w:rsidR="006F7587">
        <w:t xml:space="preserve"> </w:t>
      </w:r>
      <w:r w:rsidR="000514D4">
        <w:t>policy and academic literature</w:t>
      </w:r>
      <w:r w:rsidR="00425AC2">
        <w:t xml:space="preserve"> obtained through desktop research</w:t>
      </w:r>
      <w:r w:rsidR="00163E8D">
        <w:t>;</w:t>
      </w:r>
      <w:r w:rsidR="000514D4">
        <w:t xml:space="preserve"> </w:t>
      </w:r>
      <w:r w:rsidR="0099612F">
        <w:t xml:space="preserve">CCCFR </w:t>
      </w:r>
      <w:r w:rsidR="00163E8D">
        <w:t>grant-related documents provided by the Department</w:t>
      </w:r>
      <w:r w:rsidR="00425AC2">
        <w:t xml:space="preserve">; </w:t>
      </w:r>
      <w:r w:rsidR="0099612F">
        <w:t>CCCFR grant data, including</w:t>
      </w:r>
      <w:r w:rsidR="0099612F" w:rsidRPr="0099612F">
        <w:t xml:space="preserve"> </w:t>
      </w:r>
      <w:r w:rsidR="0099612F" w:rsidRPr="005E3057">
        <w:t xml:space="preserve">financial acquittals and </w:t>
      </w:r>
      <w:r w:rsidR="009079D7">
        <w:t>Compliance</w:t>
      </w:r>
      <w:r w:rsidR="0099612F" w:rsidRPr="005E3057">
        <w:t xml:space="preserve"> and </w:t>
      </w:r>
      <w:r w:rsidR="009079D7">
        <w:t>Operations Report</w:t>
      </w:r>
      <w:r w:rsidR="0099612F" w:rsidRPr="005E3057">
        <w:t>s</w:t>
      </w:r>
      <w:r w:rsidR="0099612F">
        <w:t xml:space="preserve"> over the life of the grant; </w:t>
      </w:r>
      <w:r w:rsidR="006E6903">
        <w:t xml:space="preserve">Child Care Subsidy and </w:t>
      </w:r>
      <w:r w:rsidR="006E6903" w:rsidRPr="005E3057">
        <w:t xml:space="preserve">ECEC </w:t>
      </w:r>
      <w:r w:rsidR="006E6903">
        <w:t>National Workforce Census (</w:t>
      </w:r>
      <w:r w:rsidR="006E6903" w:rsidRPr="005E3057">
        <w:t>NWC</w:t>
      </w:r>
      <w:r w:rsidR="006E6903">
        <w:t>) data provided by the Department;</w:t>
      </w:r>
      <w:r w:rsidR="003C6667">
        <w:t xml:space="preserve"> Australian Early Development Census (</w:t>
      </w:r>
      <w:r w:rsidR="003C6667" w:rsidRPr="005E3057">
        <w:t>AEDC</w:t>
      </w:r>
      <w:r w:rsidR="003C6667">
        <w:t>)</w:t>
      </w:r>
      <w:r w:rsidR="003C6667" w:rsidRPr="005E3057">
        <w:t xml:space="preserve"> data</w:t>
      </w:r>
      <w:r w:rsidR="003C6667">
        <w:t xml:space="preserve">; and data from other relevant </w:t>
      </w:r>
      <w:r w:rsidR="003C6667" w:rsidRPr="005E3057">
        <w:t>public datasets</w:t>
      </w:r>
      <w:r w:rsidR="003C6667">
        <w:t xml:space="preserve">, such as </w:t>
      </w:r>
      <w:r w:rsidR="003C6667" w:rsidRPr="005E3057">
        <w:t xml:space="preserve">the </w:t>
      </w:r>
      <w:r w:rsidR="003C6667">
        <w:t>Australian Bureau of Statistics (</w:t>
      </w:r>
      <w:r w:rsidR="003C6667" w:rsidRPr="005E3057">
        <w:t>ABS</w:t>
      </w:r>
      <w:r w:rsidR="003C6667">
        <w:t>).</w:t>
      </w:r>
    </w:p>
    <w:p w14:paraId="7BAF63BF" w14:textId="269C980B" w:rsidR="00876379" w:rsidRPr="005E3057" w:rsidRDefault="00876379" w:rsidP="00AC5FD5">
      <w:r>
        <w:t xml:space="preserve">Deloitte Access Economics, together with SNAICC and Murawin, received ethics approval from the </w:t>
      </w:r>
      <w:r w:rsidRPr="00C84A26">
        <w:t xml:space="preserve">Australian Institute of Aboriginal and Torres Strait Islander Studies </w:t>
      </w:r>
      <w:r>
        <w:t xml:space="preserve">(AIATSIS) </w:t>
      </w:r>
      <w:r w:rsidRPr="00D3055B">
        <w:t xml:space="preserve">Research Ethics </w:t>
      </w:r>
      <w:r>
        <w:t xml:space="preserve">Committee to undertake this research (ref: REC-0179). This means the CCCFR review meets the </w:t>
      </w:r>
      <w:r>
        <w:lastRenderedPageBreak/>
        <w:t xml:space="preserve">requirements of the </w:t>
      </w:r>
      <w:r w:rsidRPr="00867F74">
        <w:rPr>
          <w:i/>
          <w:iCs/>
        </w:rPr>
        <w:t>National Statement on Ethical Conduct in Human Research</w:t>
      </w:r>
      <w:r>
        <w:t xml:space="preserve"> (2007) and the </w:t>
      </w:r>
      <w:r w:rsidRPr="00867F74">
        <w:rPr>
          <w:i/>
          <w:iCs/>
        </w:rPr>
        <w:t>AIATSIS Code of Ethics for Aboriginal and Torres Strait Islander Research</w:t>
      </w:r>
      <w:r>
        <w:t xml:space="preserve"> (2020).</w:t>
      </w:r>
    </w:p>
    <w:tbl>
      <w:tblPr>
        <w:tblStyle w:val="TableGrid"/>
        <w:tblW w:w="0" w:type="auto"/>
        <w:shd w:val="clear" w:color="auto" w:fill="E7E6E6" w:themeFill="background2"/>
        <w:tblCellMar>
          <w:top w:w="85" w:type="dxa"/>
          <w:left w:w="113" w:type="dxa"/>
          <w:bottom w:w="85" w:type="dxa"/>
          <w:right w:w="113" w:type="dxa"/>
        </w:tblCellMar>
        <w:tblLook w:val="04A0" w:firstRow="1" w:lastRow="0" w:firstColumn="1" w:lastColumn="0" w:noHBand="0" w:noVBand="1"/>
      </w:tblPr>
      <w:tblGrid>
        <w:gridCol w:w="9026"/>
      </w:tblGrid>
      <w:tr w:rsidR="00192882" w14:paraId="381A258A" w14:textId="77777777" w:rsidTr="2B91AEFB">
        <w:trPr>
          <w:cnfStyle w:val="100000000000" w:firstRow="1" w:lastRow="0" w:firstColumn="0" w:lastColumn="0" w:oddVBand="0" w:evenVBand="0" w:oddHBand="0" w:evenHBand="0" w:firstRowFirstColumn="0" w:firstRowLastColumn="0" w:lastRowFirstColumn="0" w:lastRowLastColumn="0"/>
          <w:trHeight w:val="3844"/>
          <w:tblHeader/>
        </w:trPr>
        <w:tc>
          <w:tcPr>
            <w:tcW w:w="9026" w:type="dxa"/>
            <w:shd w:val="clear" w:color="auto" w:fill="E7E6E6" w:themeFill="background2"/>
          </w:tcPr>
          <w:p w14:paraId="50177FD3" w14:textId="4AF4CB5C" w:rsidR="00192882" w:rsidRPr="001C655F" w:rsidRDefault="00C7394A" w:rsidP="00C00677">
            <w:pPr>
              <w:rPr>
                <w:b/>
              </w:rPr>
            </w:pPr>
            <w:r w:rsidRPr="001C655F">
              <w:rPr>
                <w:b/>
              </w:rPr>
              <w:t xml:space="preserve">Box ii: </w:t>
            </w:r>
            <w:r w:rsidR="00192882" w:rsidRPr="001C655F">
              <w:rPr>
                <w:b/>
              </w:rPr>
              <w:t>The current policy landscape</w:t>
            </w:r>
            <w:r w:rsidR="004B2C37" w:rsidRPr="001C655F">
              <w:rPr>
                <w:b/>
              </w:rPr>
              <w:t xml:space="preserve"> </w:t>
            </w:r>
          </w:p>
          <w:p w14:paraId="1253FAA0" w14:textId="390A4F53" w:rsidR="005468F9" w:rsidRDefault="00192882" w:rsidP="00192882">
            <w:pPr>
              <w:spacing w:before="120"/>
            </w:pPr>
            <w:r w:rsidRPr="005E3057">
              <w:t xml:space="preserve">It is important to recognise that a number of reviews and strategic initiatives </w:t>
            </w:r>
            <w:r>
              <w:t xml:space="preserve">are </w:t>
            </w:r>
            <w:r w:rsidRPr="005E3057">
              <w:t xml:space="preserve">being undertaken at the time of the CCCFR </w:t>
            </w:r>
            <w:r w:rsidR="005468F9">
              <w:t>g</w:t>
            </w:r>
            <w:r w:rsidRPr="005E3057">
              <w:t xml:space="preserve">rant </w:t>
            </w:r>
            <w:r w:rsidR="005468F9">
              <w:t>r</w:t>
            </w:r>
            <w:r w:rsidRPr="005E3057">
              <w:t>eview</w:t>
            </w:r>
            <w:r w:rsidR="005468F9">
              <w:t>:</w:t>
            </w:r>
          </w:p>
          <w:p w14:paraId="5F1B1973" w14:textId="3B7BAACB" w:rsidR="00192882" w:rsidRPr="005E3057" w:rsidRDefault="335270D8" w:rsidP="005468F9">
            <w:pPr>
              <w:pStyle w:val="ListBullet"/>
            </w:pPr>
            <w:r>
              <w:t xml:space="preserve">Most notably, the Productivity Commission Inquiry into ECEC, which delivered a draft report in November 2023 and is expected to deliver its final report </w:t>
            </w:r>
            <w:r w:rsidR="4C9AF6D6">
              <w:t xml:space="preserve">to Government </w:t>
            </w:r>
            <w:r>
              <w:t xml:space="preserve">by 30 June 2024. </w:t>
            </w:r>
          </w:p>
          <w:p w14:paraId="2DAC28E5" w14:textId="79DC85D7" w:rsidR="00192882" w:rsidRPr="005E3057" w:rsidRDefault="335270D8" w:rsidP="005468F9">
            <w:pPr>
              <w:pStyle w:val="ListBullet"/>
            </w:pPr>
            <w:r>
              <w:t>The Australian Competition and Consumer Commission (ACCC) inquiry into the market for the supply of child</w:t>
            </w:r>
            <w:r w:rsidR="6776410C">
              <w:t xml:space="preserve"> </w:t>
            </w:r>
            <w:r>
              <w:t xml:space="preserve">care services, which </w:t>
            </w:r>
            <w:r w:rsidR="4C9AF6D6">
              <w:t xml:space="preserve">published </w:t>
            </w:r>
            <w:r>
              <w:t xml:space="preserve">its second interim report </w:t>
            </w:r>
            <w:r w:rsidR="2B7D6858">
              <w:t xml:space="preserve">on 1 October </w:t>
            </w:r>
            <w:r>
              <w:t xml:space="preserve">2023 </w:t>
            </w:r>
            <w:r w:rsidR="2B7D6858">
              <w:t xml:space="preserve">and delivered its </w:t>
            </w:r>
            <w:r>
              <w:t xml:space="preserve">final report </w:t>
            </w:r>
            <w:r w:rsidR="2B7D6858">
              <w:t xml:space="preserve">on </w:t>
            </w:r>
            <w:r>
              <w:t xml:space="preserve">31 December 2023. </w:t>
            </w:r>
          </w:p>
          <w:p w14:paraId="40A9A40C" w14:textId="59C38736" w:rsidR="00192882" w:rsidRPr="005E3057" w:rsidRDefault="335270D8" w:rsidP="005468F9">
            <w:pPr>
              <w:pStyle w:val="ListBullet"/>
            </w:pPr>
            <w:r>
              <w:t>The Department of Social Services</w:t>
            </w:r>
            <w:r w:rsidR="5FF7BEEF">
              <w:t xml:space="preserve"> and Department of Education</w:t>
            </w:r>
            <w:r w:rsidR="402DC479">
              <w:t xml:space="preserve">, in collaboration with </w:t>
            </w:r>
            <w:r w:rsidR="7069F173">
              <w:t>other Commonwealth agencies,</w:t>
            </w:r>
            <w:r>
              <w:t xml:space="preserve"> </w:t>
            </w:r>
            <w:r w:rsidR="5FF7BEEF">
              <w:t>are</w:t>
            </w:r>
            <w:r>
              <w:t xml:space="preserve"> developing an Early Years Strategy (the Strategy) to shape </w:t>
            </w:r>
            <w:r w:rsidR="4A243167">
              <w:t>the Australian Government’s long-term</w:t>
            </w:r>
            <w:r>
              <w:t xml:space="preserve"> vision for the future of Australia’s children and their families</w:t>
            </w:r>
            <w:r w:rsidR="3E067E08">
              <w:t>.</w:t>
            </w:r>
            <w:r>
              <w:t xml:space="preserve"> </w:t>
            </w:r>
            <w:r w:rsidR="3E067E08">
              <w:t>T</w:t>
            </w:r>
            <w:r>
              <w:t xml:space="preserve">he draft </w:t>
            </w:r>
            <w:r w:rsidR="3E067E08">
              <w:t>Strategy</w:t>
            </w:r>
            <w:r>
              <w:t xml:space="preserve"> was released </w:t>
            </w:r>
            <w:r w:rsidR="3E067E08">
              <w:t xml:space="preserve">for consultation </w:t>
            </w:r>
            <w:r>
              <w:t>on 7 December 2023.</w:t>
            </w:r>
          </w:p>
          <w:p w14:paraId="47072571" w14:textId="482DE9E5" w:rsidR="00192882" w:rsidRDefault="335270D8" w:rsidP="005468F9">
            <w:pPr>
              <w:pStyle w:val="ListBullet"/>
            </w:pPr>
            <w:r>
              <w:t>Lastly, a number of the CCCFR funded services subject to this review also formed part of the scope of work commission</w:t>
            </w:r>
            <w:r w:rsidR="6776410C">
              <w:t>ed</w:t>
            </w:r>
            <w:r>
              <w:t xml:space="preserve"> by the Early </w:t>
            </w:r>
            <w:r w:rsidR="37304B0D">
              <w:t xml:space="preserve">Childhood Care and Development </w:t>
            </w:r>
            <w:r>
              <w:t xml:space="preserve">Policy Partnership </w:t>
            </w:r>
            <w:r w:rsidR="63E5B08D">
              <w:t>(ECPP)</w:t>
            </w:r>
            <w:r w:rsidR="41246860">
              <w:t xml:space="preserve"> </w:t>
            </w:r>
            <w:r>
              <w:t>and being led by SNAICC to develop funding model</w:t>
            </w:r>
            <w:r w:rsidR="5EE09483">
              <w:t>s</w:t>
            </w:r>
            <w:r>
              <w:t xml:space="preserve"> </w:t>
            </w:r>
            <w:r w:rsidR="16EE30AB">
              <w:t>options</w:t>
            </w:r>
            <w:r>
              <w:t xml:space="preserve"> for ACCO ECEC services.</w:t>
            </w:r>
            <w:r w:rsidR="002E497C">
              <w:t xml:space="preserve"> </w:t>
            </w:r>
            <w:r>
              <w:t xml:space="preserve">A draft of this work was presented in early December 2023 and is expected to be finalised in February 2024. </w:t>
            </w:r>
          </w:p>
          <w:p w14:paraId="0833EF27" w14:textId="5C66ABD5" w:rsidR="007807AC" w:rsidRDefault="67FA3BB8" w:rsidP="005468F9">
            <w:pPr>
              <w:spacing w:before="170"/>
            </w:pPr>
            <w:r>
              <w:t xml:space="preserve">In addition to the initiatives being undertaken in relation to ECEC, </w:t>
            </w:r>
            <w:r w:rsidR="06153C10">
              <w:t xml:space="preserve">the </w:t>
            </w:r>
            <w:r w:rsidR="2F2146B4">
              <w:t>Productivity Commission</w:t>
            </w:r>
            <w:r w:rsidR="7B92F4AE">
              <w:t xml:space="preserve"> released its</w:t>
            </w:r>
            <w:r w:rsidR="2F2146B4">
              <w:t xml:space="preserve"> first review of progress on the National Agreement on Closing the Gap </w:t>
            </w:r>
            <w:r w:rsidR="148505B2">
              <w:t>in February 2024</w:t>
            </w:r>
            <w:r w:rsidR="005F1707">
              <w:t xml:space="preserve">. </w:t>
            </w:r>
            <w:r w:rsidR="006F4045">
              <w:t>The review found</w:t>
            </w:r>
            <w:r w:rsidR="29E28D06">
              <w:t xml:space="preserve"> that governments have largely not fulfilled their commitments under the Agreement</w:t>
            </w:r>
            <w:r w:rsidR="006F4045">
              <w:t xml:space="preserve">, </w:t>
            </w:r>
            <w:r w:rsidR="002C21EE">
              <w:t xml:space="preserve">to which </w:t>
            </w:r>
            <w:r w:rsidR="7A3453B8">
              <w:t xml:space="preserve">a set of recommendations </w:t>
            </w:r>
            <w:r w:rsidR="002C21EE">
              <w:t xml:space="preserve">were made </w:t>
            </w:r>
            <w:r w:rsidR="7A3453B8">
              <w:t>to drive progress.</w:t>
            </w:r>
          </w:p>
          <w:p w14:paraId="78344C05" w14:textId="78CB987F" w:rsidR="00192882" w:rsidRPr="005E3057" w:rsidRDefault="00192882" w:rsidP="00192882">
            <w:r w:rsidRPr="005E3057">
              <w:t>While it would be premature for this review to build any assumptions into its recommendations based on the</w:t>
            </w:r>
            <w:r w:rsidR="00436C95">
              <w:t xml:space="preserve"> as </w:t>
            </w:r>
            <w:r w:rsidRPr="005E3057">
              <w:t>yet unknowable outcomes of these ECEC inquires</w:t>
            </w:r>
            <w:r w:rsidR="63A2DFE4">
              <w:t xml:space="preserve"> or changes to broader government approaches in response to the recommendations outlined by the Closing the Gap review</w:t>
            </w:r>
            <w:r w:rsidRPr="005E3057">
              <w:t>, it is also critical to acknowledge that significant changes to access and affordability have been earmarked through these reports and that the potential impacts of these, where knowable, should nonetheless be considered at this early point in time.</w:t>
            </w:r>
          </w:p>
          <w:p w14:paraId="0356E84B" w14:textId="754F087E" w:rsidR="00192882" w:rsidRPr="00192882" w:rsidRDefault="00192882" w:rsidP="00192882">
            <w:r w:rsidRPr="005E3057">
              <w:t xml:space="preserve">Thus, this review makes a set of recommendations regarding the CCCFR </w:t>
            </w:r>
            <w:r w:rsidR="009E73D6">
              <w:t>g</w:t>
            </w:r>
            <w:r w:rsidRPr="005E3057">
              <w:t xml:space="preserve">rant as it stands today. </w:t>
            </w:r>
            <w:r>
              <w:t>It also puts forward</w:t>
            </w:r>
            <w:r w:rsidRPr="005E3057">
              <w:t xml:space="preserve"> a further set of recommendations that will become appropriate to consider should changes to the wider ECEC policy and program environment be endorsed by the Australian Government.</w:t>
            </w:r>
          </w:p>
        </w:tc>
      </w:tr>
    </w:tbl>
    <w:p w14:paraId="606AAA6D" w14:textId="1FA4591D" w:rsidR="005E3057" w:rsidRPr="00003425" w:rsidRDefault="009949A8" w:rsidP="00C00677">
      <w:pPr>
        <w:spacing w:before="240"/>
        <w:rPr>
          <w:b/>
          <w:color w:val="007CB0"/>
          <w:sz w:val="22"/>
          <w:szCs w:val="22"/>
        </w:rPr>
      </w:pPr>
      <w:r w:rsidRPr="00003425">
        <w:rPr>
          <w:b/>
          <w:color w:val="007CB0"/>
          <w:sz w:val="22"/>
          <w:szCs w:val="22"/>
        </w:rPr>
        <w:t>Review findings</w:t>
      </w:r>
    </w:p>
    <w:p w14:paraId="4AEE0089" w14:textId="4269AB57" w:rsidR="00A9625E" w:rsidRDefault="00C8269E" w:rsidP="001D41ED">
      <w:r>
        <w:t xml:space="preserve">While the evidence base informing this review is a comprehensive one, it is nevertheless variable in the degree to </w:t>
      </w:r>
      <w:r w:rsidR="00FB07D1">
        <w:t>which it allows definitive conclusions to be reached across the review’s lines of inquiry</w:t>
      </w:r>
      <w:r>
        <w:t xml:space="preserve">. </w:t>
      </w:r>
    </w:p>
    <w:p w14:paraId="01C7CFD5" w14:textId="07259C06" w:rsidR="006D724F" w:rsidRDefault="00CE7DBA" w:rsidP="00FB07D1">
      <w:pPr>
        <w:spacing w:before="170"/>
      </w:pPr>
      <w:r>
        <w:t xml:space="preserve">The review findings </w:t>
      </w:r>
      <w:r w:rsidR="00ED524D">
        <w:t xml:space="preserve">are </w:t>
      </w:r>
      <w:r w:rsidR="00FB07D1">
        <w:t>organised under the four review domains</w:t>
      </w:r>
      <w:r w:rsidR="000D6283">
        <w:t xml:space="preserve">. </w:t>
      </w:r>
    </w:p>
    <w:p w14:paraId="1EAC0B59" w14:textId="129C4975" w:rsidR="00F15F75" w:rsidRDefault="00F15F75" w:rsidP="00F15F75">
      <w:pPr>
        <w:pStyle w:val="Heading3un-numbered"/>
      </w:pPr>
      <w:r>
        <w:t xml:space="preserve">Domain 1: </w:t>
      </w:r>
      <w:r w:rsidR="004C3B87">
        <w:t>Objectives</w:t>
      </w:r>
      <w:r w:rsidR="001D3DCD">
        <w:t xml:space="preserve"> and </w:t>
      </w:r>
      <w:r w:rsidR="004C3B87">
        <w:t>intent</w:t>
      </w:r>
    </w:p>
    <w:p w14:paraId="44A373DC" w14:textId="3091A40C" w:rsidR="0007031A" w:rsidRPr="00587D88" w:rsidRDefault="00587D88" w:rsidP="00255A76">
      <w:pPr>
        <w:spacing w:before="120"/>
        <w:rPr>
          <w:i/>
        </w:rPr>
      </w:pPr>
      <w:r w:rsidRPr="00587D88">
        <w:rPr>
          <w:i/>
          <w:iCs/>
        </w:rPr>
        <w:t>This domain considers the extent to which the objectives of the CCCFR grant are appropriate in the current policy landscape, whether they align with the needs and expectations of stakeholders</w:t>
      </w:r>
      <w:r w:rsidR="00C874B4">
        <w:rPr>
          <w:i/>
          <w:iCs/>
        </w:rPr>
        <w:t xml:space="preserve">, </w:t>
      </w:r>
      <w:r w:rsidR="00C874B4" w:rsidRPr="008C1468">
        <w:rPr>
          <w:i/>
        </w:rPr>
        <w:t>and the extent to which these objectives have been met.</w:t>
      </w:r>
      <w:r w:rsidR="00C874B4">
        <w:rPr>
          <w:i/>
          <w:iCs/>
        </w:rPr>
        <w:t xml:space="preserve"> </w:t>
      </w:r>
    </w:p>
    <w:p w14:paraId="729FFB73" w14:textId="261311ED" w:rsidR="00BC213D" w:rsidRPr="005E3057" w:rsidRDefault="00860425" w:rsidP="00255A76">
      <w:pPr>
        <w:spacing w:before="120"/>
      </w:pPr>
      <w:r>
        <w:t xml:space="preserve">The stated objectives </w:t>
      </w:r>
      <w:r w:rsidR="004C3B87">
        <w:t xml:space="preserve">of the CCCFR grant </w:t>
      </w:r>
      <w:r w:rsidR="00BC213D">
        <w:t>are to</w:t>
      </w:r>
      <w:r w:rsidR="00BC213D" w:rsidRPr="005E3057">
        <w:t>:</w:t>
      </w:r>
    </w:p>
    <w:p w14:paraId="7E7E7132" w14:textId="77777777" w:rsidR="00BC213D" w:rsidRPr="005E3057" w:rsidRDefault="00BC213D" w:rsidP="00BC213D">
      <w:pPr>
        <w:pStyle w:val="ListBullet"/>
        <w:rPr>
          <w:b/>
        </w:rPr>
      </w:pPr>
      <w:r>
        <w:t>improve early childhood development outcomes for vulnerable and disadvantaged families</w:t>
      </w:r>
    </w:p>
    <w:p w14:paraId="53C98645" w14:textId="77777777" w:rsidR="00BC213D" w:rsidRPr="00BC213D" w:rsidRDefault="00BC213D" w:rsidP="00BC213D">
      <w:pPr>
        <w:pStyle w:val="ListBullet"/>
        <w:rPr>
          <w:rFonts w:eastAsia="Calibri" w:cs="Times New Roman"/>
          <w:b/>
          <w:bCs/>
        </w:rPr>
      </w:pPr>
      <w:r w:rsidRPr="2B91AEFB">
        <w:rPr>
          <w:rFonts w:eastAsia="Calibri" w:cs="Times New Roman"/>
        </w:rPr>
        <w:t>increase workforce participation by vulnerable and disadvantaged families.</w:t>
      </w:r>
    </w:p>
    <w:p w14:paraId="3A0A0749" w14:textId="77777777" w:rsidR="00BC213D" w:rsidRDefault="00BC213D" w:rsidP="00420FF2">
      <w:pPr>
        <w:pStyle w:val="ListBullet"/>
        <w:numPr>
          <w:ilvl w:val="0"/>
          <w:numId w:val="0"/>
        </w:numPr>
        <w:ind w:left="340" w:hanging="340"/>
        <w:rPr>
          <w:rFonts w:eastAsia="Calibri" w:cs="Times New Roman"/>
        </w:rPr>
      </w:pPr>
    </w:p>
    <w:p w14:paraId="308C3359" w14:textId="77777777" w:rsidR="00450306" w:rsidRDefault="00860425" w:rsidP="00A27676">
      <w:r>
        <w:lastRenderedPageBreak/>
        <w:t xml:space="preserve">The stated objectives form a </w:t>
      </w:r>
      <w:r w:rsidR="008403DB">
        <w:t xml:space="preserve">critical point of reference </w:t>
      </w:r>
      <w:r>
        <w:t xml:space="preserve">for this review </w:t>
      </w:r>
      <w:r w:rsidR="002A7B61">
        <w:t xml:space="preserve">as both a basis for </w:t>
      </w:r>
      <w:r w:rsidR="00CC756D">
        <w:t xml:space="preserve">determining the extent to </w:t>
      </w:r>
      <w:r>
        <w:t xml:space="preserve">which </w:t>
      </w:r>
      <w:r w:rsidR="00CC756D">
        <w:t>the grant has achieve</w:t>
      </w:r>
      <w:r w:rsidR="004F1F92">
        <w:t>d</w:t>
      </w:r>
      <w:r w:rsidR="00CC756D">
        <w:t xml:space="preserve"> its </w:t>
      </w:r>
      <w:r w:rsidR="002A7B61">
        <w:t xml:space="preserve">stated </w:t>
      </w:r>
      <w:r w:rsidR="00CC756D">
        <w:t>outcomes</w:t>
      </w:r>
      <w:r>
        <w:t xml:space="preserve"> </w:t>
      </w:r>
      <w:r w:rsidR="002A7B61">
        <w:t>and</w:t>
      </w:r>
      <w:r>
        <w:t xml:space="preserve"> a lens through which to consider </w:t>
      </w:r>
      <w:r w:rsidR="008403DB">
        <w:t xml:space="preserve">the findings of </w:t>
      </w:r>
      <w:r>
        <w:t xml:space="preserve">other review domains. </w:t>
      </w:r>
      <w:r w:rsidR="009818C2">
        <w:t>However,</w:t>
      </w:r>
      <w:r w:rsidR="00307CA3">
        <w:t xml:space="preserve"> </w:t>
      </w:r>
      <w:r w:rsidR="0041584C">
        <w:t xml:space="preserve">this review finds inconsistencies between the stated objectives of the CCCFR grant and key stakeholders’ interpretations of the grant’s intent. </w:t>
      </w:r>
      <w:r w:rsidR="00074A9B">
        <w:t xml:space="preserve">This </w:t>
      </w:r>
      <w:r w:rsidR="006905B3">
        <w:t xml:space="preserve">is driven at least in part by the varied historical origins of the </w:t>
      </w:r>
      <w:r w:rsidR="00A12689" w:rsidRPr="00A12689">
        <w:t xml:space="preserve">CCCFR </w:t>
      </w:r>
      <w:r w:rsidR="006905B3">
        <w:t xml:space="preserve">services currently in receipt of grant funding and </w:t>
      </w:r>
      <w:r w:rsidR="00074A9B">
        <w:t>reflects a lack of clarity in the intention of the CCCFR grant</w:t>
      </w:r>
      <w:r w:rsidR="00C609BE">
        <w:t xml:space="preserve">. </w:t>
      </w:r>
    </w:p>
    <w:p w14:paraId="7AC2241E" w14:textId="62B0B7E8" w:rsidR="00C62158" w:rsidRDefault="00C609BE" w:rsidP="00A27676">
      <w:r>
        <w:t xml:space="preserve">It also reflects </w:t>
      </w:r>
      <w:r w:rsidR="00E0145E">
        <w:t xml:space="preserve">a process of </w:t>
      </w:r>
      <w:r w:rsidR="00EC69B8">
        <w:t xml:space="preserve">reconciling communication </w:t>
      </w:r>
      <w:r w:rsidR="00E0145E">
        <w:t>about</w:t>
      </w:r>
      <w:r w:rsidR="00EC69B8">
        <w:t xml:space="preserve"> </w:t>
      </w:r>
      <w:r w:rsidR="001A6F78">
        <w:t xml:space="preserve">targeted and specific </w:t>
      </w:r>
      <w:r w:rsidR="00EC69B8">
        <w:t xml:space="preserve">objectives </w:t>
      </w:r>
      <w:r w:rsidR="00CB14E6">
        <w:t>at the inception of the gran</w:t>
      </w:r>
      <w:r w:rsidR="009307B2">
        <w:t>t</w:t>
      </w:r>
      <w:r w:rsidR="00260A69">
        <w:t xml:space="preserve"> (the initial objectives)</w:t>
      </w:r>
      <w:r w:rsidR="009307B2">
        <w:t xml:space="preserve">, </w:t>
      </w:r>
      <w:r w:rsidR="009D55F2">
        <w:t>with</w:t>
      </w:r>
      <w:r w:rsidR="00E0145E">
        <w:t xml:space="preserve"> </w:t>
      </w:r>
      <w:r w:rsidR="00260A69">
        <w:t xml:space="preserve">the </w:t>
      </w:r>
      <w:r w:rsidR="00E0145E">
        <w:t>less specific</w:t>
      </w:r>
      <w:r w:rsidR="00A52346">
        <w:t xml:space="preserve"> </w:t>
      </w:r>
      <w:r w:rsidR="004F3523">
        <w:t xml:space="preserve">CCCF </w:t>
      </w:r>
      <w:r w:rsidR="00260A69">
        <w:t>outcomes</w:t>
      </w:r>
      <w:r w:rsidR="001A6F78">
        <w:t xml:space="preserve"> </w:t>
      </w:r>
      <w:r w:rsidR="00260A69">
        <w:t xml:space="preserve">(the stated objectives). This means that </w:t>
      </w:r>
      <w:r w:rsidR="00E27650">
        <w:t xml:space="preserve">the stated objectives </w:t>
      </w:r>
      <w:r w:rsidR="00307CA3">
        <w:t xml:space="preserve">have </w:t>
      </w:r>
      <w:r w:rsidR="00E27650">
        <w:t>generally</w:t>
      </w:r>
      <w:r w:rsidR="00307CA3">
        <w:t xml:space="preserve"> not been communicated consistently or effectively to </w:t>
      </w:r>
      <w:r w:rsidR="00E432C2" w:rsidRPr="00E432C2">
        <w:t xml:space="preserve">CCCFR </w:t>
      </w:r>
      <w:r w:rsidR="00307CA3">
        <w:t xml:space="preserve">services, providers, the </w:t>
      </w:r>
      <w:r w:rsidR="00E27650">
        <w:t>sector,</w:t>
      </w:r>
      <w:r w:rsidR="00307CA3">
        <w:t xml:space="preserve"> </w:t>
      </w:r>
      <w:r w:rsidR="00C350CE">
        <w:t>and communities</w:t>
      </w:r>
      <w:r w:rsidR="00A204DE">
        <w:t xml:space="preserve">. </w:t>
      </w:r>
      <w:r w:rsidR="00D94227">
        <w:t xml:space="preserve">Communication has also been hampered by a </w:t>
      </w:r>
      <w:r w:rsidR="00C74185">
        <w:t>deficit-based</w:t>
      </w:r>
      <w:r w:rsidR="00D94227">
        <w:t xml:space="preserve"> framing</w:t>
      </w:r>
      <w:r w:rsidR="00E15F58">
        <w:t xml:space="preserve">, </w:t>
      </w:r>
      <w:r w:rsidR="003B404E">
        <w:t xml:space="preserve">as outlined in </w:t>
      </w:r>
      <w:r w:rsidR="00044F29">
        <w:t>section</w:t>
      </w:r>
      <w:r w:rsidR="003B404E">
        <w:t xml:space="preserve"> 5.2,</w:t>
      </w:r>
      <w:r w:rsidR="00E15F58">
        <w:t xml:space="preserve"> which impacts</w:t>
      </w:r>
      <w:r w:rsidR="004620B3">
        <w:t xml:space="preserve"> stakeholders’ willingness and ability to </w:t>
      </w:r>
      <w:r w:rsidR="00DB540B">
        <w:t xml:space="preserve">talk </w:t>
      </w:r>
      <w:r w:rsidR="00C74185">
        <w:t>about</w:t>
      </w:r>
      <w:r w:rsidR="00DB540B">
        <w:t xml:space="preserve"> the objectives directly. </w:t>
      </w:r>
      <w:r w:rsidR="00374B19">
        <w:t xml:space="preserve">In particular, </w:t>
      </w:r>
      <w:r w:rsidR="00385370">
        <w:t>labelling fa</w:t>
      </w:r>
      <w:r w:rsidR="00A12C95">
        <w:t xml:space="preserve">milies as “vulnerable and disadvantaged” </w:t>
      </w:r>
      <w:r w:rsidR="00E30803">
        <w:t xml:space="preserve">sat </w:t>
      </w:r>
      <w:r w:rsidR="00AE1CF5">
        <w:t>un</w:t>
      </w:r>
      <w:r w:rsidR="00E30803">
        <w:t xml:space="preserve">comfortably with </w:t>
      </w:r>
      <w:r w:rsidR="00EB1063" w:rsidRPr="00EB1063">
        <w:t xml:space="preserve">CCCFR </w:t>
      </w:r>
      <w:r w:rsidR="00E30803">
        <w:t xml:space="preserve">services and families who did not wish to be identified in such a way. </w:t>
      </w:r>
      <w:r w:rsidR="00AE1CF5">
        <w:t xml:space="preserve">While </w:t>
      </w:r>
      <w:r w:rsidR="00811D4E">
        <w:t xml:space="preserve">many families may be </w:t>
      </w:r>
      <w:r w:rsidR="00216E55">
        <w:t>facing circumstances</w:t>
      </w:r>
      <w:r w:rsidR="004A0365">
        <w:t xml:space="preserve"> </w:t>
      </w:r>
      <w:r w:rsidR="00F67F79">
        <w:t xml:space="preserve">that give rise to </w:t>
      </w:r>
      <w:r w:rsidR="00E00F3E">
        <w:t xml:space="preserve">experiences of </w:t>
      </w:r>
      <w:r w:rsidR="00F67F79">
        <w:t>vulnerability and disadvantage</w:t>
      </w:r>
      <w:r w:rsidR="0048386A">
        <w:t xml:space="preserve">, </w:t>
      </w:r>
      <w:r w:rsidR="0016543B">
        <w:t>being labelled “vulnerable and disadvantage</w:t>
      </w:r>
      <w:r w:rsidR="4B87F361">
        <w:t>d</w:t>
      </w:r>
      <w:r w:rsidR="0016543B">
        <w:t xml:space="preserve">” </w:t>
      </w:r>
      <w:r w:rsidR="00E3694B">
        <w:t xml:space="preserve">may </w:t>
      </w:r>
      <w:r w:rsidR="0016543B">
        <w:t xml:space="preserve">can be </w:t>
      </w:r>
      <w:r w:rsidR="00940F33">
        <w:t xml:space="preserve">stigmatising and </w:t>
      </w:r>
      <w:r w:rsidR="0016543B">
        <w:t>harmful</w:t>
      </w:r>
      <w:r w:rsidR="00F67F79">
        <w:t>.</w:t>
      </w:r>
      <w:r w:rsidR="00E930C1">
        <w:rPr>
          <w:rStyle w:val="FootnoteReference"/>
        </w:rPr>
        <w:footnoteReference w:id="11"/>
      </w:r>
      <w:r w:rsidR="002E497C">
        <w:t xml:space="preserve"> </w:t>
      </w:r>
    </w:p>
    <w:p w14:paraId="4D21F941" w14:textId="1D28E066" w:rsidR="00F923D8" w:rsidRDefault="00307CA3" w:rsidP="00A27676">
      <w:r>
        <w:t>In this context</w:t>
      </w:r>
      <w:r w:rsidR="00AC58EB">
        <w:t>,</w:t>
      </w:r>
      <w:r w:rsidR="009818C2">
        <w:t xml:space="preserve"> </w:t>
      </w:r>
      <w:r w:rsidR="002318C3">
        <w:t xml:space="preserve">stakeholders identify various other </w:t>
      </w:r>
      <w:r w:rsidR="00AC58EB">
        <w:t>(</w:t>
      </w:r>
      <w:r w:rsidR="002318C3">
        <w:t>perceived</w:t>
      </w:r>
      <w:r w:rsidR="00AC58EB">
        <w:t>)</w:t>
      </w:r>
      <w:r w:rsidR="002318C3">
        <w:t xml:space="preserve"> intentions, which </w:t>
      </w:r>
      <w:r w:rsidR="007E5F8A">
        <w:t xml:space="preserve">correspond with historical </w:t>
      </w:r>
      <w:r>
        <w:t>backgrounds</w:t>
      </w:r>
      <w:r w:rsidR="00C57C82">
        <w:t xml:space="preserve"> of the </w:t>
      </w:r>
      <w:r w:rsidR="00EB1063" w:rsidRPr="00EB1063">
        <w:t xml:space="preserve">CCCFR </w:t>
      </w:r>
      <w:r w:rsidR="00C57C82">
        <w:t xml:space="preserve">services, or </w:t>
      </w:r>
      <w:r w:rsidR="000B0568">
        <w:t>incorporate assumptions based on broader policy directions</w:t>
      </w:r>
      <w:r w:rsidR="00914B79">
        <w:t>. These include</w:t>
      </w:r>
      <w:r w:rsidR="000B0568">
        <w:t xml:space="preserve"> enabling</w:t>
      </w:r>
      <w:r w:rsidR="00914B79">
        <w:t xml:space="preserve"> the continued delivery of services </w:t>
      </w:r>
      <w:r w:rsidR="00F9610E">
        <w:t>transitioning from other programs and funding models</w:t>
      </w:r>
      <w:r w:rsidR="00A94C99">
        <w:t xml:space="preserve"> by providing supply side support, supporting Aboriginal and Torres Strait Islander </w:t>
      </w:r>
      <w:r w:rsidR="00D20772">
        <w:t xml:space="preserve">communities and children, and </w:t>
      </w:r>
      <w:r w:rsidR="00C05A43">
        <w:t>supporting services in remote and very remote areas.</w:t>
      </w:r>
      <w:r w:rsidR="00292848">
        <w:t xml:space="preserve"> </w:t>
      </w:r>
      <w:r w:rsidR="00DB4BE4">
        <w:t xml:space="preserve">These perceived intentions are likely </w:t>
      </w:r>
      <w:r w:rsidR="008C1B21">
        <w:t xml:space="preserve">be </w:t>
      </w:r>
      <w:r w:rsidR="00DB4BE4">
        <w:t>closer to the needs and expectations of families and services</w:t>
      </w:r>
      <w:r w:rsidR="00D91EC1">
        <w:t>.</w:t>
      </w:r>
    </w:p>
    <w:p w14:paraId="38165320" w14:textId="514D7935" w:rsidR="00A27676" w:rsidRDefault="00815318" w:rsidP="00A27676">
      <w:r>
        <w:t xml:space="preserve">These needs and expectations are primarily </w:t>
      </w:r>
      <w:r w:rsidR="00172D8B">
        <w:t>centred around child needs</w:t>
      </w:r>
      <w:r w:rsidR="00C35FC8">
        <w:t xml:space="preserve">. </w:t>
      </w:r>
      <w:r w:rsidR="008D5977">
        <w:t>They</w:t>
      </w:r>
      <w:r w:rsidR="003917B4">
        <w:t xml:space="preserve"> </w:t>
      </w:r>
      <w:r w:rsidR="00C35FC8">
        <w:t>vary not just between communities, or groups of families, but within communities, and even within families</w:t>
      </w:r>
      <w:r w:rsidR="00ED47F8">
        <w:t xml:space="preserve"> – as with all </w:t>
      </w:r>
      <w:r w:rsidR="0013601D">
        <w:t xml:space="preserve">ECEC services. However, CCCFR services </w:t>
      </w:r>
      <w:r w:rsidR="00CB4705">
        <w:t>are mostly s</w:t>
      </w:r>
      <w:r w:rsidR="00596AE8">
        <w:t xml:space="preserve">upporting children with </w:t>
      </w:r>
      <w:r w:rsidR="009A397C">
        <w:t xml:space="preserve">more complex needs than mainstream ECEC </w:t>
      </w:r>
      <w:r w:rsidR="004D3467">
        <w:t>services and</w:t>
      </w:r>
      <w:r w:rsidR="006E4561">
        <w:t xml:space="preserve"> delivering </w:t>
      </w:r>
      <w:r w:rsidR="0067192F">
        <w:t xml:space="preserve">these supports </w:t>
      </w:r>
      <w:r w:rsidR="006E4561">
        <w:t xml:space="preserve">in more </w:t>
      </w:r>
      <w:r w:rsidR="00DE79A3">
        <w:t>complex circumstances. This can mean that enabling workforce participation is either less relevant, or more critical</w:t>
      </w:r>
      <w:r w:rsidR="000365B0">
        <w:t xml:space="preserve">, depending on the CCCFR service and its community context. </w:t>
      </w:r>
      <w:r w:rsidR="0038312A">
        <w:t xml:space="preserve">Stakeholders considering the grant </w:t>
      </w:r>
      <w:r w:rsidR="00DC066A">
        <w:t>in its broades</w:t>
      </w:r>
      <w:r w:rsidR="00555191">
        <w:t>t sense</w:t>
      </w:r>
      <w:r w:rsidR="0038312A">
        <w:t xml:space="preserve"> </w:t>
      </w:r>
      <w:r w:rsidR="002D467F">
        <w:t xml:space="preserve">generally noted that while </w:t>
      </w:r>
      <w:r w:rsidR="00A81C39">
        <w:t>it</w:t>
      </w:r>
      <w:r w:rsidR="002D467F">
        <w:t xml:space="preserve"> can enable </w:t>
      </w:r>
      <w:r w:rsidR="00DD1098">
        <w:t xml:space="preserve">workforce participation, it can be inappropriate to </w:t>
      </w:r>
      <w:r w:rsidR="000443E0">
        <w:t>consider this objective as of equal importance to child development outcomes</w:t>
      </w:r>
      <w:r w:rsidR="007F2F46">
        <w:t xml:space="preserve">. </w:t>
      </w:r>
      <w:r w:rsidR="0047479E">
        <w:t xml:space="preserve">This is especially the case where children </w:t>
      </w:r>
      <w:r w:rsidR="00300BE3">
        <w:t xml:space="preserve">in families not </w:t>
      </w:r>
      <w:r w:rsidR="0060019F">
        <w:t xml:space="preserve">working may face additional challenges to strong developmental outcomes. </w:t>
      </w:r>
    </w:p>
    <w:p w14:paraId="52929EF1" w14:textId="6E9A9E97" w:rsidR="009F3E13" w:rsidRPr="00FF4C75" w:rsidRDefault="0060019F" w:rsidP="008947CB">
      <w:pPr>
        <w:rPr>
          <w:rFonts w:eastAsia="Calibri" w:cs="Times New Roman"/>
        </w:rPr>
      </w:pPr>
      <w:r w:rsidRPr="00FF4C75">
        <w:rPr>
          <w:rFonts w:eastAsia="Calibri" w:cs="Times New Roman"/>
        </w:rPr>
        <w:t xml:space="preserve">The broader ECEC policy landscape is increasingly cognisant of these </w:t>
      </w:r>
      <w:r w:rsidR="00C028F0">
        <w:rPr>
          <w:rFonts w:eastAsia="Calibri" w:cs="Times New Roman"/>
        </w:rPr>
        <w:t>issues</w:t>
      </w:r>
      <w:r w:rsidR="00A40916" w:rsidRPr="00FF4C75">
        <w:rPr>
          <w:rFonts w:eastAsia="Calibri" w:cs="Times New Roman"/>
        </w:rPr>
        <w:t xml:space="preserve">, and changes in the policy direction were often explicitly the reference point for broader stakeholders. </w:t>
      </w:r>
      <w:r w:rsidR="00871E95" w:rsidRPr="00FF4C75">
        <w:rPr>
          <w:rFonts w:eastAsia="Calibri" w:cs="Times New Roman"/>
        </w:rPr>
        <w:t xml:space="preserve">These broader stakeholders also referred to </w:t>
      </w:r>
      <w:r w:rsidR="00282F46" w:rsidRPr="00FF4C75">
        <w:rPr>
          <w:rFonts w:eastAsia="Calibri" w:cs="Times New Roman"/>
        </w:rPr>
        <w:t xml:space="preserve">a central policy question of </w:t>
      </w:r>
      <w:r w:rsidR="00282F46" w:rsidRPr="00FF4C75">
        <w:rPr>
          <w:rFonts w:eastAsia="Calibri" w:cs="Times New Roman"/>
          <w:i/>
        </w:rPr>
        <w:t xml:space="preserve">how </w:t>
      </w:r>
      <w:r w:rsidR="00282F46" w:rsidRPr="00FF4C75">
        <w:rPr>
          <w:rFonts w:eastAsia="Calibri" w:cs="Times New Roman"/>
        </w:rPr>
        <w:t>these objectives would be achieved</w:t>
      </w:r>
      <w:r w:rsidR="000E38B1" w:rsidRPr="00FF4C75">
        <w:rPr>
          <w:rFonts w:eastAsia="Calibri" w:cs="Times New Roman"/>
        </w:rPr>
        <w:t xml:space="preserve"> as </w:t>
      </w:r>
      <w:r w:rsidR="009F3E13" w:rsidRPr="00FF4C75">
        <w:rPr>
          <w:rFonts w:eastAsia="Calibri" w:cs="Times New Roman"/>
        </w:rPr>
        <w:t xml:space="preserve">needing to be explicit in the intentions of various programs. </w:t>
      </w:r>
    </w:p>
    <w:p w14:paraId="0FB09DBD" w14:textId="63CD7F14" w:rsidR="0042658D" w:rsidRDefault="009F3E13" w:rsidP="008947CB">
      <w:pPr>
        <w:rPr>
          <w:rFonts w:eastAsia="Calibri" w:cs="Times New Roman"/>
        </w:rPr>
      </w:pPr>
      <w:r w:rsidRPr="00FF4C75">
        <w:rPr>
          <w:rFonts w:eastAsia="Calibri" w:cs="Times New Roman"/>
        </w:rPr>
        <w:t xml:space="preserve">This is particularly the case when considering Aboriginal and Torres Strait Islander children’s participation in ECEC. </w:t>
      </w:r>
      <w:r w:rsidR="007317E6" w:rsidRPr="00FF4C75">
        <w:rPr>
          <w:rFonts w:eastAsia="Calibri" w:cs="Times New Roman"/>
        </w:rPr>
        <w:t xml:space="preserve">The objective </w:t>
      </w:r>
      <w:r w:rsidR="00BD4D84">
        <w:rPr>
          <w:rFonts w:eastAsia="Calibri" w:cs="Times New Roman"/>
        </w:rPr>
        <w:t>itself</w:t>
      </w:r>
      <w:r w:rsidR="007317E6" w:rsidRPr="00FF4C75">
        <w:rPr>
          <w:rFonts w:eastAsia="Calibri" w:cs="Times New Roman"/>
        </w:rPr>
        <w:t xml:space="preserve"> was seen as important, but that </w:t>
      </w:r>
      <w:r w:rsidR="00366526" w:rsidRPr="00FF4C75">
        <w:rPr>
          <w:rFonts w:eastAsia="Calibri" w:cs="Times New Roman"/>
        </w:rPr>
        <w:t xml:space="preserve">it should be achieved in a culturally responsive and </w:t>
      </w:r>
      <w:r w:rsidR="00863CC0" w:rsidRPr="00FF4C75">
        <w:rPr>
          <w:rFonts w:eastAsia="Calibri" w:cs="Times New Roman"/>
        </w:rPr>
        <w:t>appropriate way was seen as just as important</w:t>
      </w:r>
      <w:r w:rsidR="001620FE" w:rsidRPr="00FF4C75">
        <w:rPr>
          <w:rFonts w:eastAsia="Calibri" w:cs="Times New Roman"/>
        </w:rPr>
        <w:t>, if outcomes were to be feasible, successful, or even desirable.</w:t>
      </w:r>
      <w:r w:rsidR="00FF4C75" w:rsidRPr="00FF4C75">
        <w:rPr>
          <w:rFonts w:eastAsia="Calibri" w:cs="Times New Roman"/>
        </w:rPr>
        <w:t xml:space="preserve"> </w:t>
      </w:r>
    </w:p>
    <w:p w14:paraId="0C094CDA" w14:textId="72669FDB" w:rsidR="0058774F" w:rsidRPr="008A6066" w:rsidRDefault="0091641C" w:rsidP="008947CB">
      <w:r w:rsidRPr="008A6066">
        <w:rPr>
          <w:rFonts w:eastAsia="Calibri" w:cs="Times New Roman"/>
        </w:rPr>
        <w:lastRenderedPageBreak/>
        <w:t>Against the stated objectives, th</w:t>
      </w:r>
      <w:r w:rsidR="00E03710" w:rsidRPr="008A6066">
        <w:t>ree categories of outcomes are considered: child care participation</w:t>
      </w:r>
      <w:r w:rsidR="00764F5D" w:rsidRPr="008A6066">
        <w:t>;</w:t>
      </w:r>
      <w:r w:rsidR="00E03710" w:rsidRPr="008A6066">
        <w:t xml:space="preserve"> early childhood development</w:t>
      </w:r>
      <w:r w:rsidR="00764F5D" w:rsidRPr="008A6066">
        <w:t>;</w:t>
      </w:r>
      <w:r w:rsidR="00E03710" w:rsidRPr="008A6066">
        <w:t xml:space="preserve"> and workforce participation.</w:t>
      </w:r>
      <w:r w:rsidRPr="008A6066">
        <w:rPr>
          <w:rStyle w:val="FootnoteReference"/>
        </w:rPr>
        <w:footnoteReference w:id="12"/>
      </w:r>
      <w:r w:rsidR="00E03710" w:rsidRPr="008A6066">
        <w:t xml:space="preserve"> </w:t>
      </w:r>
      <w:r w:rsidR="00132284" w:rsidRPr="008A6066">
        <w:t xml:space="preserve">While there is variability across categories, service types and regions, there are, overall, </w:t>
      </w:r>
      <w:r w:rsidR="006D0F41" w:rsidRPr="008A6066">
        <w:t>small positive</w:t>
      </w:r>
      <w:r w:rsidR="00E03710" w:rsidRPr="008A6066">
        <w:t xml:space="preserve"> outcome</w:t>
      </w:r>
      <w:r w:rsidR="00132284" w:rsidRPr="008A6066">
        <w:t xml:space="preserve"> differentials</w:t>
      </w:r>
      <w:r w:rsidR="00E03710" w:rsidRPr="008A6066">
        <w:t xml:space="preserve"> </w:t>
      </w:r>
      <w:r w:rsidR="000F51D2" w:rsidRPr="008A6066">
        <w:t xml:space="preserve">in regions </w:t>
      </w:r>
      <w:r w:rsidR="00E03710" w:rsidRPr="008A6066">
        <w:t xml:space="preserve">where CCCFR services </w:t>
      </w:r>
      <w:r w:rsidR="000F51D2" w:rsidRPr="008A6066">
        <w:t>are present</w:t>
      </w:r>
      <w:r w:rsidR="008A18F9" w:rsidRPr="008A6066">
        <w:t>. H</w:t>
      </w:r>
      <w:r w:rsidR="00E03710" w:rsidRPr="008A6066">
        <w:t>owever</w:t>
      </w:r>
      <w:r w:rsidR="008A18F9" w:rsidRPr="008A6066">
        <w:t>,</w:t>
      </w:r>
      <w:r w:rsidR="00B649E2" w:rsidRPr="008A6066">
        <w:t xml:space="preserve"> it is not possible to establish</w:t>
      </w:r>
      <w:r w:rsidR="00E03710" w:rsidRPr="008A6066">
        <w:t xml:space="preserve"> </w:t>
      </w:r>
      <w:r w:rsidR="000C5FD3" w:rsidRPr="008A6066">
        <w:t xml:space="preserve">whether these outcomes are caused by the </w:t>
      </w:r>
      <w:r w:rsidR="00132284" w:rsidRPr="008A6066">
        <w:t xml:space="preserve">presence of </w:t>
      </w:r>
      <w:r w:rsidR="000C5FD3" w:rsidRPr="008A6066">
        <w:t>CCCFR services nor the extent to which the</w:t>
      </w:r>
      <w:r w:rsidR="0058774F" w:rsidRPr="008A6066">
        <w:t>y can be attributed to the CCCFR grant (</w:t>
      </w:r>
      <w:r w:rsidR="00764F5D" w:rsidRPr="008A6066">
        <w:t xml:space="preserve">this is </w:t>
      </w:r>
      <w:r w:rsidR="0058774F" w:rsidRPr="008A6066">
        <w:t xml:space="preserve">further explored in other domains). </w:t>
      </w:r>
    </w:p>
    <w:p w14:paraId="686C66D3" w14:textId="42D7D5C5" w:rsidR="00A06C57" w:rsidRDefault="008A60F2" w:rsidP="008947CB">
      <w:r w:rsidRPr="008A6066">
        <w:t>D</w:t>
      </w:r>
      <w:r w:rsidR="00BD62AF" w:rsidRPr="008A6066">
        <w:t xml:space="preserve">espite the CCCFR grant </w:t>
      </w:r>
      <w:r w:rsidR="0037692D" w:rsidRPr="008A6066">
        <w:t xml:space="preserve">being associated with building capacity </w:t>
      </w:r>
      <w:r w:rsidR="00BB092C" w:rsidRPr="008A6066">
        <w:t xml:space="preserve">and increasing participation, </w:t>
      </w:r>
      <w:r w:rsidRPr="008A6066">
        <w:t>enrolment growth has been modest, and average utilisation is generally low</w:t>
      </w:r>
      <w:r w:rsidR="00CE5AEA" w:rsidRPr="008A6066">
        <w:t>. This is the case even though CCCFR services are more affordable than non CCCFR services</w:t>
      </w:r>
      <w:r w:rsidR="001F175F" w:rsidRPr="008A6066">
        <w:t>.</w:t>
      </w:r>
      <w:r w:rsidR="00CF17E7" w:rsidRPr="008A6066">
        <w:t xml:space="preserve"> </w:t>
      </w:r>
      <w:r w:rsidR="00626B32" w:rsidRPr="008A6066">
        <w:t xml:space="preserve">While </w:t>
      </w:r>
      <w:r w:rsidR="00442209" w:rsidRPr="008A6066">
        <w:t>children are attending child care for more hours each year under the CCCFR grant, the average attendance of 320 hours</w:t>
      </w:r>
      <w:r w:rsidR="00467FA0" w:rsidRPr="008A6066">
        <w:t xml:space="preserve"> a year falls below</w:t>
      </w:r>
      <w:r w:rsidR="00442209" w:rsidRPr="008A6066">
        <w:t xml:space="preserve"> </w:t>
      </w:r>
      <w:r w:rsidR="00EB5B31" w:rsidRPr="008A6066">
        <w:t xml:space="preserve">benchmarks in other ECEC </w:t>
      </w:r>
      <w:r w:rsidR="00E358E4" w:rsidRPr="008A6066">
        <w:t>policies of 600 hours per year.</w:t>
      </w:r>
      <w:r w:rsidR="00710240">
        <w:rPr>
          <w:rStyle w:val="FootnoteReference"/>
        </w:rPr>
        <w:footnoteReference w:id="13"/>
      </w:r>
      <w:r w:rsidR="00E358E4" w:rsidRPr="008A6066">
        <w:t xml:space="preserve"> </w:t>
      </w:r>
      <w:r w:rsidR="00362853" w:rsidRPr="008A6066">
        <w:t>This may contribute to</w:t>
      </w:r>
      <w:r w:rsidR="00E358E4" w:rsidRPr="008A6066">
        <w:t xml:space="preserve"> the</w:t>
      </w:r>
      <w:r w:rsidR="00362853" w:rsidRPr="008A6066">
        <w:t xml:space="preserve"> limited effects</w:t>
      </w:r>
      <w:r w:rsidR="00E358E4" w:rsidRPr="008A6066">
        <w:t xml:space="preserve"> of CCCFR services</w:t>
      </w:r>
      <w:r w:rsidR="00362853" w:rsidRPr="008A6066">
        <w:t xml:space="preserve"> on child development outcomes, given what is known about optimal dosage of child care.</w:t>
      </w:r>
      <w:r w:rsidRPr="00BE3AE3">
        <w:rPr>
          <w:vertAlign w:val="superscript"/>
        </w:rPr>
        <w:footnoteReference w:id="14"/>
      </w:r>
      <w:r w:rsidR="0039578A" w:rsidRPr="00CD38C6">
        <w:rPr>
          <w:vertAlign w:val="superscript"/>
        </w:rPr>
        <w:t xml:space="preserve"> </w:t>
      </w:r>
      <w:r w:rsidR="0039578A">
        <w:t xml:space="preserve">It also does not take into consideration the effects of the transition period from former funding models and programs, which </w:t>
      </w:r>
      <w:r w:rsidR="00C846E8" w:rsidRPr="00C846E8">
        <w:t>CCCFR</w:t>
      </w:r>
      <w:r w:rsidR="0039578A">
        <w:t xml:space="preserve"> </w:t>
      </w:r>
      <w:r w:rsidR="00DA77C9">
        <w:t>services reported caused an initial and steep decline in enrolments and usage</w:t>
      </w:r>
      <w:r w:rsidR="00B55303">
        <w:t xml:space="preserve"> (as outlined in Box 5.1 in Chapter 5)</w:t>
      </w:r>
      <w:r w:rsidR="00DA77C9">
        <w:t>.</w:t>
      </w:r>
      <w:r w:rsidR="002E497C">
        <w:t xml:space="preserve"> </w:t>
      </w:r>
    </w:p>
    <w:p w14:paraId="771CD1FE" w14:textId="5BC851D8" w:rsidR="007662C1" w:rsidRDefault="00CC1D28" w:rsidP="00FE71B6">
      <w:r>
        <w:t>T</w:t>
      </w:r>
      <w:r w:rsidRPr="006D4D9F">
        <w:t xml:space="preserve">here are similarly modest overall impacts on </w:t>
      </w:r>
      <w:r w:rsidR="006D4D9F" w:rsidRPr="006D4D9F">
        <w:t>primary carers’</w:t>
      </w:r>
      <w:r w:rsidR="004663B1" w:rsidRPr="006D4D9F">
        <w:t xml:space="preserve"> employment </w:t>
      </w:r>
      <w:r w:rsidR="006D4D9F" w:rsidRPr="006D4D9F">
        <w:t xml:space="preserve">rates and number </w:t>
      </w:r>
      <w:r w:rsidR="004663B1" w:rsidRPr="006D4D9F">
        <w:t xml:space="preserve">of </w:t>
      </w:r>
      <w:r w:rsidR="006D4D9F" w:rsidRPr="006D4D9F">
        <w:t>hours worked</w:t>
      </w:r>
      <w:r w:rsidR="007E74E0" w:rsidRPr="006D4D9F">
        <w:t xml:space="preserve">, which </w:t>
      </w:r>
      <w:r w:rsidR="00D608BA" w:rsidRPr="006D4D9F">
        <w:t xml:space="preserve">may </w:t>
      </w:r>
      <w:r w:rsidR="007E74E0" w:rsidRPr="006D4D9F">
        <w:t xml:space="preserve">reflect </w:t>
      </w:r>
      <w:r w:rsidR="005504F7" w:rsidRPr="006D4D9F">
        <w:t>some of the concerns</w:t>
      </w:r>
      <w:r w:rsidR="00007F28" w:rsidRPr="006D4D9F">
        <w:t xml:space="preserve"> about the</w:t>
      </w:r>
      <w:r w:rsidR="007E74E0" w:rsidRPr="006D4D9F">
        <w:t xml:space="preserve"> </w:t>
      </w:r>
      <w:r w:rsidR="00E14E8A" w:rsidRPr="006D4D9F">
        <w:t>appropriateness</w:t>
      </w:r>
      <w:r w:rsidR="004F6897" w:rsidRPr="006D4D9F">
        <w:t xml:space="preserve"> </w:t>
      </w:r>
      <w:r w:rsidR="00D608BA" w:rsidRPr="006D4D9F">
        <w:t xml:space="preserve">of this </w:t>
      </w:r>
      <w:r w:rsidR="00E14E8A" w:rsidRPr="006D4D9F">
        <w:t>objective and its alignment to families’ needs.</w:t>
      </w:r>
      <w:r w:rsidR="002E497C">
        <w:t xml:space="preserve"> </w:t>
      </w:r>
    </w:p>
    <w:tbl>
      <w:tblPr>
        <w:tblStyle w:val="TableGrid"/>
        <w:tblW w:w="0" w:type="auto"/>
        <w:shd w:val="clear" w:color="auto" w:fill="E7F5CF" w:themeFill="accent1" w:themeFillTint="33"/>
        <w:tblCellMar>
          <w:top w:w="85" w:type="dxa"/>
          <w:left w:w="113" w:type="dxa"/>
          <w:bottom w:w="85" w:type="dxa"/>
          <w:right w:w="113" w:type="dxa"/>
        </w:tblCellMar>
        <w:tblLook w:val="04A0" w:firstRow="1" w:lastRow="0" w:firstColumn="1" w:lastColumn="0" w:noHBand="0" w:noVBand="1"/>
      </w:tblPr>
      <w:tblGrid>
        <w:gridCol w:w="9026"/>
      </w:tblGrid>
      <w:tr w:rsidR="0038326E" w14:paraId="560CFE3E" w14:textId="77777777" w:rsidTr="30E0DE01">
        <w:trPr>
          <w:cnfStyle w:val="100000000000" w:firstRow="1" w:lastRow="0" w:firstColumn="0" w:lastColumn="0" w:oddVBand="0" w:evenVBand="0" w:oddHBand="0" w:evenHBand="0" w:firstRowFirstColumn="0" w:firstRowLastColumn="0" w:lastRowFirstColumn="0" w:lastRowLastColumn="0"/>
          <w:trHeight w:val="1263"/>
        </w:trPr>
        <w:tc>
          <w:tcPr>
            <w:tcW w:w="9026" w:type="dxa"/>
            <w:shd w:val="clear" w:color="auto" w:fill="E7F5CF" w:themeFill="accent1" w:themeFillTint="33"/>
          </w:tcPr>
          <w:p w14:paraId="118201DB" w14:textId="7DD68AED" w:rsidR="0038326E" w:rsidRPr="00FE71B6" w:rsidRDefault="0038326E" w:rsidP="00B725FF">
            <w:pPr>
              <w:spacing w:after="120"/>
              <w:rPr>
                <w:b/>
                <w:bCs/>
              </w:rPr>
            </w:pPr>
            <w:r w:rsidRPr="00FE71B6">
              <w:rPr>
                <w:b/>
                <w:bCs/>
              </w:rPr>
              <w:t>Review findings on objectives and intent</w:t>
            </w:r>
          </w:p>
          <w:p w14:paraId="51C6FC95" w14:textId="31B76D91" w:rsidR="001D0B39" w:rsidRPr="00B725FF" w:rsidRDefault="002C35C2">
            <w:pPr>
              <w:rPr>
                <w:i/>
                <w:iCs/>
              </w:rPr>
            </w:pPr>
            <w:r w:rsidRPr="00B725FF">
              <w:rPr>
                <w:i/>
                <w:iCs/>
              </w:rPr>
              <w:t>(</w:t>
            </w:r>
            <w:r w:rsidR="00D77885" w:rsidRPr="00B725FF">
              <w:rPr>
                <w:i/>
                <w:iCs/>
              </w:rPr>
              <w:t xml:space="preserve">Presented </w:t>
            </w:r>
            <w:r w:rsidR="003B6FEA" w:rsidRPr="00B725FF">
              <w:rPr>
                <w:i/>
                <w:iCs/>
              </w:rPr>
              <w:t xml:space="preserve">in </w:t>
            </w:r>
            <w:r w:rsidR="003B6FEA" w:rsidRPr="00A160FC">
              <w:rPr>
                <w:i/>
                <w:iCs/>
              </w:rPr>
              <w:t xml:space="preserve">Chapter </w:t>
            </w:r>
            <w:r w:rsidR="008F0804" w:rsidRPr="00A160FC">
              <w:rPr>
                <w:i/>
                <w:iCs/>
              </w:rPr>
              <w:fldChar w:fldCharType="begin"/>
            </w:r>
            <w:r w:rsidR="008F0804" w:rsidRPr="00A160FC">
              <w:rPr>
                <w:i/>
                <w:iCs/>
              </w:rPr>
              <w:instrText xml:space="preserve"> REF _Ref152862080 \r \h </w:instrText>
            </w:r>
            <w:r w:rsidR="00B725FF" w:rsidRPr="00A160FC">
              <w:rPr>
                <w:i/>
                <w:iCs/>
              </w:rPr>
              <w:instrText xml:space="preserve"> \* MERGEFORMAT </w:instrText>
            </w:r>
            <w:r w:rsidR="008F0804" w:rsidRPr="00A160FC">
              <w:rPr>
                <w:i/>
                <w:iCs/>
              </w:rPr>
            </w:r>
            <w:r w:rsidR="008F0804" w:rsidRPr="00A160FC">
              <w:rPr>
                <w:i/>
                <w:iCs/>
              </w:rPr>
              <w:fldChar w:fldCharType="separate"/>
            </w:r>
            <w:r w:rsidR="00D300D0">
              <w:rPr>
                <w:i/>
                <w:iCs/>
              </w:rPr>
              <w:t>5</w:t>
            </w:r>
            <w:r w:rsidR="008F0804" w:rsidRPr="00A160FC">
              <w:rPr>
                <w:i/>
                <w:iCs/>
              </w:rPr>
              <w:fldChar w:fldCharType="end"/>
            </w:r>
            <w:r w:rsidR="00B725FF" w:rsidRPr="00A160FC">
              <w:rPr>
                <w:i/>
                <w:iCs/>
              </w:rPr>
              <w:t xml:space="preserve">, pages </w:t>
            </w:r>
            <w:r w:rsidR="005F14F3" w:rsidRPr="00A160FC">
              <w:rPr>
                <w:i/>
                <w:iCs/>
              </w:rPr>
              <w:t>6</w:t>
            </w:r>
            <w:r w:rsidR="00A160FC" w:rsidRPr="00A160FC">
              <w:rPr>
                <w:i/>
                <w:iCs/>
              </w:rPr>
              <w:t>4</w:t>
            </w:r>
            <w:r w:rsidR="00B725FF" w:rsidRPr="00A160FC">
              <w:rPr>
                <w:i/>
              </w:rPr>
              <w:t xml:space="preserve"> to </w:t>
            </w:r>
            <w:r w:rsidR="00A160FC" w:rsidRPr="00A160FC">
              <w:rPr>
                <w:i/>
              </w:rPr>
              <w:t>93</w:t>
            </w:r>
            <w:r w:rsidR="00B725FF" w:rsidRPr="00A160FC">
              <w:rPr>
                <w:i/>
                <w:iCs/>
              </w:rPr>
              <w:t>)</w:t>
            </w:r>
          </w:p>
          <w:p w14:paraId="438DE88E" w14:textId="65DA14BE" w:rsidR="0038326E" w:rsidRDefault="0038326E" w:rsidP="00BB7705">
            <w:pPr>
              <w:spacing w:after="0"/>
            </w:pPr>
            <w:r w:rsidRPr="30E0DE01">
              <w:rPr>
                <w:b/>
                <w:bCs/>
              </w:rPr>
              <w:t xml:space="preserve">Finding 1: </w:t>
            </w:r>
            <w:r w:rsidR="00F30E72">
              <w:t xml:space="preserve">While intensity of use by existing families increased, enrolments by Aboriginal and Torres Strait Islander children at CCCFR services grew slower than at </w:t>
            </w:r>
            <w:r w:rsidR="5A0896F0">
              <w:t xml:space="preserve">other </w:t>
            </w:r>
            <w:r w:rsidR="56360432">
              <w:t xml:space="preserve">non-CCCFR funded </w:t>
            </w:r>
            <w:r w:rsidR="05CFAE78">
              <w:t>education and child</w:t>
            </w:r>
            <w:r w:rsidR="00C03FB1">
              <w:t xml:space="preserve"> </w:t>
            </w:r>
            <w:r w:rsidR="05CFAE78">
              <w:t xml:space="preserve">care </w:t>
            </w:r>
            <w:r w:rsidR="5A0896F0">
              <w:t xml:space="preserve">services </w:t>
            </w:r>
            <w:r w:rsidR="72B48C0C">
              <w:t>receiving CCS</w:t>
            </w:r>
            <w:r w:rsidR="5A0896F0">
              <w:t xml:space="preserve"> </w:t>
            </w:r>
            <w:r w:rsidR="00F30E72">
              <w:t>in the same region and national benchmarks.</w:t>
            </w:r>
          </w:p>
          <w:p w14:paraId="2286FDD9" w14:textId="77777777" w:rsidR="001D41ED" w:rsidRDefault="001D41ED" w:rsidP="00BB7705">
            <w:pPr>
              <w:spacing w:after="0"/>
            </w:pPr>
          </w:p>
          <w:p w14:paraId="6BC0A76D" w14:textId="156EA7EA" w:rsidR="0038326E" w:rsidRDefault="0038326E" w:rsidP="00BB7705">
            <w:pPr>
              <w:spacing w:after="0"/>
            </w:pPr>
            <w:r>
              <w:rPr>
                <w:b/>
              </w:rPr>
              <w:t>F</w:t>
            </w:r>
            <w:r w:rsidRPr="00141886">
              <w:rPr>
                <w:b/>
              </w:rPr>
              <w:t xml:space="preserve">inding </w:t>
            </w:r>
            <w:r>
              <w:rPr>
                <w:b/>
              </w:rPr>
              <w:t xml:space="preserve">2: </w:t>
            </w:r>
            <w:r w:rsidR="00F30E72" w:rsidRPr="00F30E72">
              <w:t>There is evidence to suggest that access to the CCCFR grant has been associated with slower growth in out-of-pocket fees and, for Aboriginal and Torres Strait Islander families, greater affordability.</w:t>
            </w:r>
            <w:r w:rsidR="002E497C">
              <w:t xml:space="preserve"> </w:t>
            </w:r>
          </w:p>
          <w:p w14:paraId="07CE421F" w14:textId="77777777" w:rsidR="001D41ED" w:rsidRDefault="001D41ED" w:rsidP="00BB7705">
            <w:pPr>
              <w:spacing w:after="0"/>
            </w:pPr>
          </w:p>
          <w:p w14:paraId="3B64A839" w14:textId="29E528F9" w:rsidR="0038326E" w:rsidRPr="00141886" w:rsidRDefault="0038326E" w:rsidP="00BB7705">
            <w:pPr>
              <w:spacing w:after="0"/>
              <w:rPr>
                <w:b/>
              </w:rPr>
            </w:pPr>
            <w:r>
              <w:rPr>
                <w:b/>
              </w:rPr>
              <w:t>Finding</w:t>
            </w:r>
            <w:r w:rsidRPr="00141886">
              <w:rPr>
                <w:b/>
              </w:rPr>
              <w:t xml:space="preserve"> </w:t>
            </w:r>
            <w:r>
              <w:rPr>
                <w:b/>
              </w:rPr>
              <w:t xml:space="preserve">3: </w:t>
            </w:r>
            <w:r w:rsidR="00624B8C" w:rsidRPr="00624B8C">
              <w:t xml:space="preserve">The evidence on the impact of the CCCFR grant on preschool participation is mixed. While there is evidence that preschool participation </w:t>
            </w:r>
            <w:r w:rsidRPr="00141886">
              <w:t xml:space="preserve">in the year before full-time schooling </w:t>
            </w:r>
            <w:r w:rsidR="00624B8C" w:rsidRPr="00624B8C">
              <w:t>increased</w:t>
            </w:r>
            <w:r w:rsidRPr="00141886">
              <w:t xml:space="preserve"> faster in </w:t>
            </w:r>
            <w:r w:rsidR="00624B8C" w:rsidRPr="00624B8C">
              <w:t xml:space="preserve">some </w:t>
            </w:r>
            <w:r w:rsidRPr="00141886">
              <w:t>CCCFR regions compared to similar non-CCCFR regions</w:t>
            </w:r>
            <w:r w:rsidR="00624B8C" w:rsidRPr="00624B8C">
              <w:t>, the trends cannot be attributed to the CCCFR grant.</w:t>
            </w:r>
          </w:p>
          <w:p w14:paraId="1F967012" w14:textId="26D7A6D9" w:rsidR="0038326E" w:rsidRPr="00141886" w:rsidRDefault="0038326E" w:rsidP="00375F4C">
            <w:pPr>
              <w:pStyle w:val="Subject"/>
            </w:pPr>
          </w:p>
          <w:p w14:paraId="69562273" w14:textId="342BC4F4" w:rsidR="0038326E" w:rsidRPr="00141886" w:rsidRDefault="437EA088" w:rsidP="00BB7705">
            <w:pPr>
              <w:spacing w:after="0"/>
            </w:pPr>
            <w:r w:rsidRPr="30E0DE01">
              <w:rPr>
                <w:b/>
                <w:bCs/>
              </w:rPr>
              <w:t xml:space="preserve">Finding 4: </w:t>
            </w:r>
            <w:r>
              <w:t xml:space="preserve">The evidence on the impact of the CCCFR grant on child developmental outcomes results is mixed. </w:t>
            </w:r>
            <w:r w:rsidR="49F8DEC8">
              <w:t>Remote areas, and areas with high Aboriginal and Torres Strait Islander populations saw the most consistent improvements in child developmental outcomes compared to other areas.</w:t>
            </w:r>
            <w:r w:rsidR="717140A5">
              <w:t xml:space="preserve"> </w:t>
            </w:r>
            <w:r w:rsidR="4CC6A5B3">
              <w:t>In contrast, the trends were less consistent in regional and metropolitan areas, and areas with relatively lower concentrations of Aboriginal and Torres Strait Islander children.</w:t>
            </w:r>
          </w:p>
          <w:p w14:paraId="287493A9" w14:textId="3A28A58E" w:rsidR="0038326E" w:rsidRDefault="0038326E" w:rsidP="00BB7705">
            <w:pPr>
              <w:spacing w:after="0"/>
              <w:rPr>
                <w:b/>
              </w:rPr>
            </w:pPr>
          </w:p>
          <w:p w14:paraId="1B5173DE" w14:textId="5C5FD326" w:rsidR="0038326E" w:rsidRDefault="0038326E" w:rsidP="00BB7705">
            <w:pPr>
              <w:spacing w:after="0"/>
            </w:pPr>
            <w:r>
              <w:rPr>
                <w:b/>
                <w:bCs/>
              </w:rPr>
              <w:t>F</w:t>
            </w:r>
            <w:r w:rsidRPr="009E424E">
              <w:rPr>
                <w:b/>
                <w:bCs/>
              </w:rPr>
              <w:t xml:space="preserve">inding </w:t>
            </w:r>
            <w:r>
              <w:rPr>
                <w:b/>
                <w:bCs/>
              </w:rPr>
              <w:t xml:space="preserve">5: </w:t>
            </w:r>
            <w:r>
              <w:t xml:space="preserve">Primary carer employment rates and hours worked have increased at a faster rate in CCCFR regions compared to like regions. These improvements are driven by regions in metropolitan and remote Australia. </w:t>
            </w:r>
          </w:p>
          <w:p w14:paraId="31438B38" w14:textId="33897985" w:rsidR="0038326E" w:rsidRDefault="0038326E">
            <w:pPr>
              <w:spacing w:before="120" w:after="0"/>
            </w:pPr>
            <w:r w:rsidRPr="00650E6C">
              <w:rPr>
                <w:b/>
              </w:rPr>
              <w:lastRenderedPageBreak/>
              <w:t xml:space="preserve">Finding </w:t>
            </w:r>
            <w:r>
              <w:rPr>
                <w:b/>
              </w:rPr>
              <w:t>6</w:t>
            </w:r>
            <w:r w:rsidRPr="00650E6C">
              <w:rPr>
                <w:b/>
              </w:rPr>
              <w:t>:</w:t>
            </w:r>
            <w:r>
              <w:t xml:space="preserve"> Relevant stakeholders have limited understanding of the stated objectives of the CCCFR grant, due to lack of clarity around the grant’s intention. This has affected the ability to communicate the grant’s objectives effectively.</w:t>
            </w:r>
            <w:r w:rsidR="002E497C">
              <w:t xml:space="preserve"> </w:t>
            </w:r>
          </w:p>
          <w:p w14:paraId="56A70846" w14:textId="0D2701B8" w:rsidR="0038326E" w:rsidRDefault="0038326E">
            <w:pPr>
              <w:spacing w:before="120" w:after="0"/>
            </w:pPr>
            <w:r w:rsidRPr="00650E6C">
              <w:rPr>
                <w:b/>
                <w:bCs/>
              </w:rPr>
              <w:t xml:space="preserve">Finding </w:t>
            </w:r>
            <w:r>
              <w:rPr>
                <w:b/>
                <w:bCs/>
              </w:rPr>
              <w:t>7</w:t>
            </w:r>
            <w:r w:rsidRPr="00650E6C">
              <w:rPr>
                <w:b/>
                <w:bCs/>
              </w:rPr>
              <w:t>:</w:t>
            </w:r>
            <w:r>
              <w:t xml:space="preserve"> The terms ‘vulnerability and disadvantage’ are not well understood</w:t>
            </w:r>
            <w:r w:rsidR="00FD46D7">
              <w:t xml:space="preserve"> across a range of stakeholders</w:t>
            </w:r>
            <w:r>
              <w:t xml:space="preserve">, and there is no consistent definition. The terms are often </w:t>
            </w:r>
            <w:r w:rsidRPr="004F46CF">
              <w:t>not</w:t>
            </w:r>
            <w:r>
              <w:t xml:space="preserve"> used by </w:t>
            </w:r>
            <w:r w:rsidR="007A19C0" w:rsidRPr="007A19C0">
              <w:t xml:space="preserve">CCCFR </w:t>
            </w:r>
            <w:r>
              <w:t xml:space="preserve">services as they can have a deficit framing that stigmatises individuals, family and whole community. </w:t>
            </w:r>
          </w:p>
          <w:p w14:paraId="7409E5A5" w14:textId="77777777" w:rsidR="001D41ED" w:rsidRDefault="001D41ED" w:rsidP="00BB7705">
            <w:pPr>
              <w:spacing w:after="0"/>
              <w:rPr>
                <w:b/>
                <w:bCs/>
              </w:rPr>
            </w:pPr>
          </w:p>
          <w:p w14:paraId="3F62FF61" w14:textId="77777777" w:rsidR="0038326E" w:rsidRDefault="0038326E" w:rsidP="00BB7705">
            <w:pPr>
              <w:spacing w:after="0"/>
            </w:pPr>
            <w:r w:rsidRPr="00650E6C">
              <w:rPr>
                <w:b/>
                <w:bCs/>
              </w:rPr>
              <w:t xml:space="preserve">Finding </w:t>
            </w:r>
            <w:r>
              <w:rPr>
                <w:b/>
                <w:bCs/>
              </w:rPr>
              <w:t>8</w:t>
            </w:r>
            <w:r w:rsidRPr="00650E6C">
              <w:rPr>
                <w:b/>
                <w:bCs/>
              </w:rPr>
              <w:t>:</w:t>
            </w:r>
            <w:r>
              <w:t xml:space="preserve"> </w:t>
            </w:r>
            <w:r w:rsidRPr="00CC3978">
              <w:t xml:space="preserve">A shifting policy landscape is creating </w:t>
            </w:r>
            <w:r>
              <w:t xml:space="preserve">uncertainty and potential </w:t>
            </w:r>
            <w:r w:rsidRPr="00CC3978">
              <w:t>divergences between the objectives and intent of the CCCFR grant and contemporary policy directions</w:t>
            </w:r>
            <w:r>
              <w:t>.</w:t>
            </w:r>
          </w:p>
          <w:p w14:paraId="53EC0B8C" w14:textId="44640071" w:rsidR="0038326E" w:rsidRDefault="0038326E" w:rsidP="00BB7705">
            <w:pPr>
              <w:spacing w:after="0"/>
              <w:rPr>
                <w:b/>
              </w:rPr>
            </w:pPr>
          </w:p>
          <w:p w14:paraId="2183D580" w14:textId="0FFEFD27" w:rsidR="0038326E" w:rsidRPr="008733BF" w:rsidRDefault="0038326E" w:rsidP="00BB7705">
            <w:pPr>
              <w:spacing w:after="0"/>
            </w:pPr>
            <w:r w:rsidRPr="30E0DE01">
              <w:rPr>
                <w:b/>
                <w:bCs/>
              </w:rPr>
              <w:t>Finding 9:</w:t>
            </w:r>
            <w:r>
              <w:t xml:space="preserve"> </w:t>
            </w:r>
            <w:r w:rsidRPr="008733BF">
              <w:t xml:space="preserve">There is no explicit alignment to Closing the Gap </w:t>
            </w:r>
            <w:r>
              <w:t xml:space="preserve">outcomes, targets and priority reforms. </w:t>
            </w:r>
            <w:r w:rsidRPr="003F317E">
              <w:t>The degree of implicit alignment varies.</w:t>
            </w:r>
            <w:r w:rsidR="00C0096A">
              <w:rPr>
                <w:rStyle w:val="FootnoteReference"/>
              </w:rPr>
              <w:footnoteReference w:id="15"/>
            </w:r>
            <w:r>
              <w:t xml:space="preserve"> </w:t>
            </w:r>
          </w:p>
          <w:p w14:paraId="6401AA40" w14:textId="77777777" w:rsidR="001D41ED" w:rsidRDefault="001D41ED" w:rsidP="001D41ED">
            <w:pPr>
              <w:pStyle w:val="HTMLAddress"/>
              <w:spacing w:after="0"/>
              <w:rPr>
                <w:b/>
                <w:i w:val="0"/>
              </w:rPr>
            </w:pPr>
          </w:p>
          <w:p w14:paraId="088D211E" w14:textId="6147F82E" w:rsidR="00D50F60" w:rsidRPr="00D50F60" w:rsidRDefault="0038326E" w:rsidP="30E0DE01">
            <w:pPr>
              <w:pStyle w:val="HTMLAddress"/>
              <w:rPr>
                <w:i w:val="0"/>
                <w:iCs w:val="0"/>
              </w:rPr>
            </w:pPr>
            <w:r w:rsidRPr="30E0DE01">
              <w:rPr>
                <w:b/>
                <w:bCs/>
                <w:i w:val="0"/>
                <w:iCs w:val="0"/>
              </w:rPr>
              <w:t>Finding 10</w:t>
            </w:r>
            <w:r w:rsidR="00D50F60" w:rsidRPr="30E0DE01">
              <w:rPr>
                <w:b/>
                <w:bCs/>
                <w:i w:val="0"/>
                <w:iCs w:val="0"/>
              </w:rPr>
              <w:t xml:space="preserve"> </w:t>
            </w:r>
            <w:r w:rsidR="00D50F60" w:rsidRPr="30E0DE01">
              <w:rPr>
                <w:i w:val="0"/>
                <w:iCs w:val="0"/>
              </w:rPr>
              <w:t xml:space="preserve">Aboriginal and Torres Strait Islander families and communities feel strongly that their CCCFR service is delivering culturally appropriate care for their children, however services do not feel that the CCCFR grant is </w:t>
            </w:r>
            <w:r w:rsidR="00024079" w:rsidRPr="30E0DE01">
              <w:rPr>
                <w:i w:val="0"/>
                <w:iCs w:val="0"/>
              </w:rPr>
              <w:t xml:space="preserve">sufficient to maintain </w:t>
            </w:r>
            <w:r w:rsidR="00117F3F" w:rsidRPr="30E0DE01">
              <w:rPr>
                <w:i w:val="0"/>
                <w:iCs w:val="0"/>
              </w:rPr>
              <w:t>the</w:t>
            </w:r>
            <w:r w:rsidR="00E31D50" w:rsidRPr="30E0DE01">
              <w:rPr>
                <w:i w:val="0"/>
                <w:iCs w:val="0"/>
              </w:rPr>
              <w:t xml:space="preserve"> level</w:t>
            </w:r>
            <w:r w:rsidR="00117F3F" w:rsidRPr="30E0DE01">
              <w:rPr>
                <w:i w:val="0"/>
                <w:iCs w:val="0"/>
              </w:rPr>
              <w:t>s</w:t>
            </w:r>
            <w:r w:rsidR="00992274" w:rsidRPr="30E0DE01">
              <w:rPr>
                <w:i w:val="0"/>
                <w:iCs w:val="0"/>
              </w:rPr>
              <w:t xml:space="preserve"> of care </w:t>
            </w:r>
            <w:r w:rsidR="00E31D50" w:rsidRPr="30E0DE01">
              <w:rPr>
                <w:i w:val="0"/>
                <w:iCs w:val="0"/>
              </w:rPr>
              <w:t xml:space="preserve">that </w:t>
            </w:r>
            <w:r w:rsidR="00117F3F" w:rsidRPr="30E0DE01">
              <w:rPr>
                <w:i w:val="0"/>
                <w:iCs w:val="0"/>
              </w:rPr>
              <w:t>are required</w:t>
            </w:r>
            <w:r w:rsidR="00E31D50" w:rsidRPr="30E0DE01">
              <w:rPr>
                <w:i w:val="0"/>
                <w:iCs w:val="0"/>
              </w:rPr>
              <w:t xml:space="preserve"> by their communities</w:t>
            </w:r>
            <w:r w:rsidR="00821978" w:rsidRPr="30E0DE01">
              <w:rPr>
                <w:i w:val="0"/>
                <w:iCs w:val="0"/>
              </w:rPr>
              <w:t xml:space="preserve"> to achieve strong development outcomes for children, or to sufficiently address barriers to participating in ECEC.</w:t>
            </w:r>
            <w:r w:rsidR="002E497C">
              <w:rPr>
                <w:i w:val="0"/>
                <w:iCs w:val="0"/>
              </w:rPr>
              <w:t xml:space="preserve">        </w:t>
            </w:r>
          </w:p>
          <w:p w14:paraId="2AD4BAF7" w14:textId="77777777" w:rsidR="0038326E" w:rsidRDefault="0038326E" w:rsidP="00BB7705">
            <w:pPr>
              <w:spacing w:after="0"/>
            </w:pPr>
            <w:r w:rsidRPr="00650E6C">
              <w:rPr>
                <w:b/>
              </w:rPr>
              <w:t xml:space="preserve">Finding </w:t>
            </w:r>
            <w:r>
              <w:rPr>
                <w:b/>
              </w:rPr>
              <w:t>11</w:t>
            </w:r>
            <w:r w:rsidRPr="00650E6C">
              <w:rPr>
                <w:b/>
              </w:rPr>
              <w:t>:</w:t>
            </w:r>
            <w:r>
              <w:t xml:space="preserve"> Service, family and community v</w:t>
            </w:r>
            <w:r w:rsidRPr="007A5E3E">
              <w:t xml:space="preserve">iews towards the stated </w:t>
            </w:r>
            <w:r>
              <w:t xml:space="preserve">CCCFR </w:t>
            </w:r>
            <w:r w:rsidRPr="007A5E3E">
              <w:t>objectives vary, with strong support for the objectives of improving early childhood development outcomes, but more mixed views toward the objective of increasing workforce participation</w:t>
            </w:r>
            <w:r>
              <w:t>.</w:t>
            </w:r>
          </w:p>
          <w:p w14:paraId="3E1559B1" w14:textId="4B71D04F" w:rsidR="0038326E" w:rsidRDefault="0038326E" w:rsidP="00BB7705">
            <w:pPr>
              <w:spacing w:after="0"/>
              <w:rPr>
                <w:b/>
              </w:rPr>
            </w:pPr>
          </w:p>
          <w:p w14:paraId="37A5286F" w14:textId="0B46813C" w:rsidR="0038326E" w:rsidRPr="001D41ED" w:rsidRDefault="0038326E" w:rsidP="001D41ED">
            <w:pPr>
              <w:spacing w:after="120"/>
            </w:pPr>
            <w:r w:rsidRPr="00650E6C">
              <w:rPr>
                <w:b/>
              </w:rPr>
              <w:t xml:space="preserve">Finding </w:t>
            </w:r>
            <w:r>
              <w:rPr>
                <w:b/>
              </w:rPr>
              <w:t>12</w:t>
            </w:r>
            <w:r w:rsidRPr="00650E6C">
              <w:rPr>
                <w:b/>
              </w:rPr>
              <w:t>:</w:t>
            </w:r>
            <w:r>
              <w:t xml:space="preserve"> There are community, family, and child needs and expectations for many CCCFR services which go beyond mainstream needs of child care. CCCFR services often try to fulfil these needs.</w:t>
            </w:r>
          </w:p>
        </w:tc>
      </w:tr>
    </w:tbl>
    <w:p w14:paraId="3AE7C14C" w14:textId="77777777" w:rsidR="006C5910" w:rsidRDefault="006C5910" w:rsidP="00E9538D">
      <w:pPr>
        <w:pStyle w:val="NoSpacing"/>
      </w:pPr>
    </w:p>
    <w:p w14:paraId="4CAF94E9" w14:textId="5BE8B70C" w:rsidR="00F41402" w:rsidRDefault="00F41402" w:rsidP="001A4B29">
      <w:pPr>
        <w:pStyle w:val="Heading3un-numbered"/>
        <w:spacing w:after="170"/>
      </w:pPr>
      <w:r>
        <w:t xml:space="preserve">Domain 2: </w:t>
      </w:r>
      <w:r w:rsidR="00C048FD">
        <w:t>Policy</w:t>
      </w:r>
      <w:r>
        <w:t xml:space="preserve"> and </w:t>
      </w:r>
      <w:r w:rsidR="00C048FD">
        <w:t>funding design</w:t>
      </w:r>
    </w:p>
    <w:p w14:paraId="1050123A" w14:textId="41ED8D47" w:rsidR="001A4B29" w:rsidRPr="00375F64" w:rsidRDefault="001A4B29" w:rsidP="001A4B29">
      <w:pPr>
        <w:rPr>
          <w:i/>
          <w:iCs/>
        </w:rPr>
      </w:pPr>
      <w:r w:rsidRPr="00375F64">
        <w:rPr>
          <w:i/>
          <w:iCs/>
        </w:rPr>
        <w:t xml:space="preserve">This domain examines the extent to which the grant design </w:t>
      </w:r>
      <w:r w:rsidR="00375F64" w:rsidRPr="00375F64">
        <w:rPr>
          <w:i/>
          <w:iCs/>
        </w:rPr>
        <w:t>supports</w:t>
      </w:r>
      <w:r w:rsidRPr="00375F64">
        <w:rPr>
          <w:i/>
          <w:iCs/>
        </w:rPr>
        <w:t xml:space="preserve"> the achievement of CCCFR grant objectives and outcomes.</w:t>
      </w:r>
    </w:p>
    <w:p w14:paraId="7248BE78" w14:textId="4B05EE25" w:rsidR="0000049F" w:rsidRDefault="00E34C91" w:rsidP="00A26E0E">
      <w:pPr>
        <w:spacing w:after="120"/>
      </w:pPr>
      <w:r>
        <w:t>Th</w:t>
      </w:r>
      <w:r w:rsidR="00071138">
        <w:t xml:space="preserve">e CCCFR grant </w:t>
      </w:r>
      <w:r w:rsidR="005A6404">
        <w:t xml:space="preserve">is a restricted, non-competitive grant, </w:t>
      </w:r>
      <w:r w:rsidR="00102552">
        <w:t>introduced on 2</w:t>
      </w:r>
      <w:r w:rsidR="00102552" w:rsidRPr="30E0DE01">
        <w:rPr>
          <w:vertAlign w:val="superscript"/>
        </w:rPr>
        <w:t>nd</w:t>
      </w:r>
      <w:r w:rsidR="00102552">
        <w:t xml:space="preserve"> July 2018, at the inception of the new </w:t>
      </w:r>
      <w:r w:rsidR="00184D75">
        <w:t>CCS</w:t>
      </w:r>
      <w:r w:rsidR="004158B7">
        <w:t xml:space="preserve">. </w:t>
      </w:r>
      <w:r w:rsidR="27DB319D">
        <w:t>Eligibility</w:t>
      </w:r>
      <w:r w:rsidR="004158B7">
        <w:t xml:space="preserve"> to apply was determined by the Department</w:t>
      </w:r>
      <w:r w:rsidR="00342776">
        <w:t xml:space="preserve">, and included all former </w:t>
      </w:r>
      <w:r w:rsidR="002D1992">
        <w:t>B</w:t>
      </w:r>
      <w:r w:rsidR="00404E51">
        <w:t xml:space="preserve">udget </w:t>
      </w:r>
      <w:r w:rsidR="002D1992">
        <w:t>B</w:t>
      </w:r>
      <w:r w:rsidR="00404E51">
        <w:t xml:space="preserve">ased </w:t>
      </w:r>
      <w:r w:rsidR="002D1992">
        <w:t xml:space="preserve">Funded </w:t>
      </w:r>
      <w:r w:rsidR="00404E51">
        <w:t>(</w:t>
      </w:r>
      <w:r w:rsidR="00342776">
        <w:t>BBF</w:t>
      </w:r>
      <w:r w:rsidR="00404E51">
        <w:t>)</w:t>
      </w:r>
      <w:r w:rsidR="00342776">
        <w:t xml:space="preserve"> </w:t>
      </w:r>
      <w:r w:rsidR="008D6CAF">
        <w:t xml:space="preserve">services as well as additional services under </w:t>
      </w:r>
      <w:r w:rsidR="00BC0731">
        <w:t>Non-Formula Funded Occasional Care (</w:t>
      </w:r>
      <w:r w:rsidR="008D6CAF">
        <w:t>N</w:t>
      </w:r>
      <w:r w:rsidR="00BC0731">
        <w:t>F</w:t>
      </w:r>
      <w:r w:rsidR="008D6CAF">
        <w:t>FOCC</w:t>
      </w:r>
      <w:r w:rsidR="00BC0731">
        <w:t>)</w:t>
      </w:r>
      <w:r w:rsidR="008D6CAF">
        <w:t xml:space="preserve"> and </w:t>
      </w:r>
      <w:r w:rsidR="00BC0731">
        <w:t>Indigenous Advancement Strategy (</w:t>
      </w:r>
      <w:r w:rsidR="008D6CAF">
        <w:t>IAS</w:t>
      </w:r>
      <w:r w:rsidR="00BC0731">
        <w:t>)</w:t>
      </w:r>
      <w:r w:rsidR="008D6CAF">
        <w:t xml:space="preserve">. </w:t>
      </w:r>
      <w:r w:rsidR="004B7799">
        <w:t>Services were assesse</w:t>
      </w:r>
      <w:r w:rsidR="002E7BA2">
        <w:t>d</w:t>
      </w:r>
      <w:r w:rsidR="004B7799">
        <w:t xml:space="preserve"> </w:t>
      </w:r>
      <w:r w:rsidR="00312CA2">
        <w:t xml:space="preserve">for eligibility </w:t>
      </w:r>
      <w:r w:rsidR="00486358">
        <w:t xml:space="preserve">in relation to their ability to </w:t>
      </w:r>
      <w:r w:rsidR="001337D6">
        <w:t>achieve greater viability under the new child care system, and their plans to measure</w:t>
      </w:r>
      <w:r w:rsidR="003A3B90">
        <w:t xml:space="preserve"> long term value for money.</w:t>
      </w:r>
      <w:r w:rsidR="00486358">
        <w:t xml:space="preserve"> Funding amounts </w:t>
      </w:r>
      <w:r w:rsidR="00187F38">
        <w:t xml:space="preserve">were </w:t>
      </w:r>
      <w:r w:rsidR="00C82B9D">
        <w:t xml:space="preserve">negotiated based on the restricted grant applications submitted by the providers to the Department. These applications were supported by the Department with </w:t>
      </w:r>
      <w:r w:rsidR="00A50489">
        <w:t>two</w:t>
      </w:r>
      <w:r w:rsidR="00C82B9D">
        <w:t xml:space="preserve"> transition forums that allowed services to review their service delivery models, formulate their budgets and forecast their grant needs</w:t>
      </w:r>
      <w:r w:rsidR="00944C3E">
        <w:t>.</w:t>
      </w:r>
    </w:p>
    <w:p w14:paraId="4B07C7B2" w14:textId="51326B47" w:rsidR="001E36CF" w:rsidRPr="001E36CF" w:rsidRDefault="00045CBC" w:rsidP="001E36CF">
      <w:pPr>
        <w:spacing w:after="120"/>
      </w:pPr>
      <w:r>
        <w:t xml:space="preserve">This review </w:t>
      </w:r>
      <w:r w:rsidR="00600869">
        <w:t xml:space="preserve">finds that </w:t>
      </w:r>
      <w:r w:rsidR="00CD3C91" w:rsidRPr="00CD3C91">
        <w:t xml:space="preserve">there is no formal articulation within the grant documentation as to how </w:t>
      </w:r>
      <w:r w:rsidR="00765C5A" w:rsidRPr="00765C5A">
        <w:t xml:space="preserve">CCCFR </w:t>
      </w:r>
      <w:r w:rsidR="00CD3C91" w:rsidRPr="00CD3C91">
        <w:t xml:space="preserve">services would achieve </w:t>
      </w:r>
      <w:r w:rsidR="00DF15F9">
        <w:t>the grant’s</w:t>
      </w:r>
      <w:r w:rsidR="0016212C" w:rsidRPr="00CD3C91">
        <w:t xml:space="preserve"> </w:t>
      </w:r>
      <w:r w:rsidR="00CD3C91" w:rsidRPr="00CD3C91">
        <w:t xml:space="preserve">two </w:t>
      </w:r>
      <w:r w:rsidR="0016212C">
        <w:t xml:space="preserve">stated </w:t>
      </w:r>
      <w:r w:rsidR="00CD3C91" w:rsidRPr="00CD3C91">
        <w:t>objectives.</w:t>
      </w:r>
      <w:r w:rsidR="00CD3C91">
        <w:t xml:space="preserve"> </w:t>
      </w:r>
      <w:r w:rsidR="00561866">
        <w:t xml:space="preserve">Even so, </w:t>
      </w:r>
      <w:r w:rsidR="00765C5A" w:rsidRPr="00765C5A">
        <w:t>CCCFR</w:t>
      </w:r>
      <w:r w:rsidR="00561866">
        <w:t xml:space="preserve"> </w:t>
      </w:r>
      <w:r w:rsidR="00C75C71">
        <w:t>services</w:t>
      </w:r>
      <w:r w:rsidR="00561866">
        <w:t xml:space="preserve"> report</w:t>
      </w:r>
      <w:r w:rsidR="00C75C71">
        <w:t xml:space="preserve"> </w:t>
      </w:r>
      <w:r w:rsidR="00146811">
        <w:t>that the CCCFR grant has provided the means to</w:t>
      </w:r>
      <w:r w:rsidR="00C75C71">
        <w:t xml:space="preserve"> </w:t>
      </w:r>
      <w:r w:rsidR="001E36CF" w:rsidRPr="001E36CF">
        <w:t>improve early childhood development outcomes for vulnerable and disadvantaged children</w:t>
      </w:r>
      <w:r w:rsidR="005E66AD">
        <w:t xml:space="preserve">, </w:t>
      </w:r>
      <w:r w:rsidR="005E66AD" w:rsidRPr="00C64948">
        <w:t xml:space="preserve">primarily by </w:t>
      </w:r>
      <w:r w:rsidR="00C242D0" w:rsidRPr="00C64948">
        <w:t xml:space="preserve">supporting existing </w:t>
      </w:r>
      <w:r w:rsidR="004C7EE2" w:rsidRPr="004C7EE2">
        <w:t xml:space="preserve">CCCFR </w:t>
      </w:r>
      <w:r w:rsidR="00C242D0" w:rsidRPr="00C64948">
        <w:t>services’ viability and enabling continuity of care</w:t>
      </w:r>
      <w:r w:rsidR="00146811">
        <w:t>. As for</w:t>
      </w:r>
      <w:r w:rsidR="001E36CF" w:rsidRPr="001E36CF">
        <w:t xml:space="preserve"> increas</w:t>
      </w:r>
      <w:r w:rsidR="00146811">
        <w:t>ing the</w:t>
      </w:r>
      <w:r w:rsidR="001E36CF" w:rsidRPr="001E36CF">
        <w:t xml:space="preserve"> workforce participation by vulnerable and disadvantaged families</w:t>
      </w:r>
      <w:r w:rsidR="00A23F69">
        <w:t>,</w:t>
      </w:r>
      <w:r w:rsidR="00533515">
        <w:t xml:space="preserve"> </w:t>
      </w:r>
      <w:r w:rsidR="00D679E6">
        <w:t xml:space="preserve">the assessment </w:t>
      </w:r>
      <w:r w:rsidR="00533515">
        <w:t>w</w:t>
      </w:r>
      <w:r w:rsidR="00146811">
        <w:t>as</w:t>
      </w:r>
      <w:r w:rsidR="00533515">
        <w:t xml:space="preserve"> applied </w:t>
      </w:r>
      <w:r w:rsidR="00A968B5">
        <w:t xml:space="preserve">in </w:t>
      </w:r>
      <w:r w:rsidR="0051429F">
        <w:t xml:space="preserve">retrospect in </w:t>
      </w:r>
      <w:r w:rsidR="00A968B5">
        <w:t xml:space="preserve">response to the </w:t>
      </w:r>
      <w:r w:rsidR="00723983">
        <w:t xml:space="preserve">common </w:t>
      </w:r>
      <w:r w:rsidR="00B44515">
        <w:t xml:space="preserve">characteristics of </w:t>
      </w:r>
      <w:r w:rsidR="004C7EE2" w:rsidRPr="004C7EE2">
        <w:t xml:space="preserve">CCCFR </w:t>
      </w:r>
      <w:r w:rsidR="00574A8F">
        <w:t xml:space="preserve">services deemed </w:t>
      </w:r>
      <w:r w:rsidR="00B44515">
        <w:t xml:space="preserve">under the CCCFR, </w:t>
      </w:r>
      <w:r w:rsidR="00032B23">
        <w:t xml:space="preserve">rather than being a </w:t>
      </w:r>
      <w:r w:rsidR="000C4D9B">
        <w:t>pre-defined criteria</w:t>
      </w:r>
      <w:r w:rsidR="00032B23">
        <w:t xml:space="preserve"> </w:t>
      </w:r>
      <w:r w:rsidR="000C4D9B">
        <w:t>to assess</w:t>
      </w:r>
      <w:r w:rsidR="00032B23">
        <w:t xml:space="preserve"> eligibility</w:t>
      </w:r>
      <w:r w:rsidR="00C75C71">
        <w:t xml:space="preserve"> from the outset</w:t>
      </w:r>
      <w:r w:rsidR="00032B23">
        <w:t xml:space="preserve">. </w:t>
      </w:r>
    </w:p>
    <w:p w14:paraId="59D00B23" w14:textId="4024A18C" w:rsidR="006D6BB8" w:rsidRDefault="000464CC" w:rsidP="00A26E0E">
      <w:pPr>
        <w:spacing w:after="120"/>
      </w:pPr>
      <w:r>
        <w:lastRenderedPageBreak/>
        <w:t xml:space="preserve">While the </w:t>
      </w:r>
      <w:r w:rsidR="004C2F04">
        <w:t>2017 Guidelines</w:t>
      </w:r>
      <w:r>
        <w:t xml:space="preserve"> </w:t>
      </w:r>
      <w:r w:rsidR="00EE5027">
        <w:t xml:space="preserve">establish a </w:t>
      </w:r>
      <w:r w:rsidR="00BD04D8">
        <w:t xml:space="preserve">broad </w:t>
      </w:r>
      <w:r w:rsidR="004D17C4">
        <w:t xml:space="preserve">set of activities </w:t>
      </w:r>
      <w:r w:rsidR="00CB5B70">
        <w:t xml:space="preserve">that may be funded under the grant, </w:t>
      </w:r>
      <w:r w:rsidR="004C7EE2" w:rsidRPr="004C7EE2">
        <w:t xml:space="preserve">CCCFR </w:t>
      </w:r>
      <w:r w:rsidR="007D63A8">
        <w:t>ser</w:t>
      </w:r>
      <w:r w:rsidR="00D06B1A">
        <w:t xml:space="preserve">vices </w:t>
      </w:r>
      <w:r w:rsidR="0019414A">
        <w:t xml:space="preserve">expressed uncertainty </w:t>
      </w:r>
      <w:r w:rsidR="002D5800">
        <w:t xml:space="preserve">as to the interpretation and application of these </w:t>
      </w:r>
      <w:r w:rsidR="007E0E9F">
        <w:t>Guidelines</w:t>
      </w:r>
      <w:r w:rsidR="000D13AF">
        <w:t xml:space="preserve"> and levels of familiarity and understanding among </w:t>
      </w:r>
      <w:r w:rsidR="004C7EE2" w:rsidRPr="004C7EE2">
        <w:t xml:space="preserve">CCCFR </w:t>
      </w:r>
      <w:r w:rsidR="000D13AF">
        <w:t xml:space="preserve">services were </w:t>
      </w:r>
      <w:r w:rsidR="00695538">
        <w:t>inconsistent</w:t>
      </w:r>
      <w:r w:rsidR="006D6BB8">
        <w:t xml:space="preserve">. </w:t>
      </w:r>
    </w:p>
    <w:p w14:paraId="7BC433BB" w14:textId="6C1B8562" w:rsidR="002F7ACF" w:rsidRDefault="004C7EE2" w:rsidP="00A26E0E">
      <w:pPr>
        <w:spacing w:after="120"/>
      </w:pPr>
      <w:r>
        <w:t>CCCFR s</w:t>
      </w:r>
      <w:r w:rsidR="006D6BB8">
        <w:t xml:space="preserve">ervices </w:t>
      </w:r>
      <w:r w:rsidR="00985500">
        <w:t xml:space="preserve">reported examples of </w:t>
      </w:r>
      <w:r w:rsidR="00F43B87">
        <w:t xml:space="preserve">costs that they needed to </w:t>
      </w:r>
      <w:r w:rsidR="0048005D">
        <w:t>pay f</w:t>
      </w:r>
      <w:r w:rsidR="008D495B">
        <w:t xml:space="preserve">or in order to sustain their </w:t>
      </w:r>
      <w:r w:rsidR="00755D5A">
        <w:t>operations</w:t>
      </w:r>
      <w:r w:rsidR="00C766EE">
        <w:t>,</w:t>
      </w:r>
      <w:r w:rsidR="00755D5A">
        <w:t xml:space="preserve"> </w:t>
      </w:r>
      <w:r w:rsidR="007E10EF">
        <w:t xml:space="preserve">that they did not believe </w:t>
      </w:r>
      <w:r w:rsidR="000F30A2">
        <w:t xml:space="preserve">were addressable through the </w:t>
      </w:r>
      <w:r w:rsidR="007B4680">
        <w:t xml:space="preserve">current funding </w:t>
      </w:r>
      <w:r w:rsidR="00C766EE">
        <w:t xml:space="preserve">Guidelines. </w:t>
      </w:r>
      <w:r w:rsidR="0021708E">
        <w:t>CCCFR s</w:t>
      </w:r>
      <w:r w:rsidR="003E5267">
        <w:t>ervices</w:t>
      </w:r>
      <w:r w:rsidR="00084951">
        <w:t xml:space="preserve"> </w:t>
      </w:r>
      <w:r w:rsidR="00D13866">
        <w:t xml:space="preserve">report </w:t>
      </w:r>
      <w:r w:rsidR="009A6BB1">
        <w:t xml:space="preserve">specific </w:t>
      </w:r>
      <w:r w:rsidR="007A71C7">
        <w:t>challenges</w:t>
      </w:r>
      <w:r w:rsidR="00E10E6E">
        <w:t xml:space="preserve"> with </w:t>
      </w:r>
      <w:r w:rsidR="008D2E96">
        <w:t>the budgeting process</w:t>
      </w:r>
      <w:r w:rsidR="00037F06">
        <w:t>es</w:t>
      </w:r>
      <w:r w:rsidR="009A6BB1">
        <w:t xml:space="preserve"> that had been </w:t>
      </w:r>
      <w:r w:rsidR="00141148">
        <w:t xml:space="preserve">in place but </w:t>
      </w:r>
      <w:r w:rsidR="000873C0">
        <w:t xml:space="preserve">were </w:t>
      </w:r>
      <w:r w:rsidR="00141148">
        <w:t>subsequently removed by the Department.</w:t>
      </w:r>
      <w:r w:rsidR="009A6BB1">
        <w:t xml:space="preserve"> </w:t>
      </w:r>
      <w:r w:rsidR="00141148">
        <w:t xml:space="preserve">This </w:t>
      </w:r>
      <w:r w:rsidR="00505C90">
        <w:t>suggest</w:t>
      </w:r>
      <w:r w:rsidR="00141148">
        <w:t>s</w:t>
      </w:r>
      <w:r w:rsidR="00505C90">
        <w:t xml:space="preserve"> </w:t>
      </w:r>
      <w:r w:rsidR="00B97037">
        <w:t xml:space="preserve">that </w:t>
      </w:r>
      <w:r w:rsidR="00D95AF3">
        <w:t xml:space="preserve">some discrepancies </w:t>
      </w:r>
      <w:r w:rsidR="00DD7DF5">
        <w:t xml:space="preserve">between service needs and </w:t>
      </w:r>
      <w:r w:rsidR="00BB6046">
        <w:t>funding</w:t>
      </w:r>
      <w:r w:rsidR="008C52EE">
        <w:t xml:space="preserve"> </w:t>
      </w:r>
      <w:r w:rsidR="00084951">
        <w:t>opportunities</w:t>
      </w:r>
      <w:r w:rsidR="00E25DBD">
        <w:t xml:space="preserve"> </w:t>
      </w:r>
      <w:r w:rsidR="00D95AF3">
        <w:t xml:space="preserve">may be arising from </w:t>
      </w:r>
      <w:r w:rsidR="001528F9">
        <w:t>gaps in communications</w:t>
      </w:r>
      <w:r w:rsidR="00BB6046">
        <w:t>,</w:t>
      </w:r>
      <w:r w:rsidR="0044723A">
        <w:t xml:space="preserve"> rather than</w:t>
      </w:r>
      <w:r w:rsidR="00BB6046">
        <w:t xml:space="preserve"> being a function of the grant design per se</w:t>
      </w:r>
      <w:r w:rsidR="00D95AF3">
        <w:t>.</w:t>
      </w:r>
      <w:r w:rsidR="002E497C">
        <w:t xml:space="preserve"> </w:t>
      </w:r>
      <w:r w:rsidR="00695538">
        <w:t xml:space="preserve"> </w:t>
      </w:r>
    </w:p>
    <w:p w14:paraId="3EF07A8D" w14:textId="1A4604E2" w:rsidR="003D52EE" w:rsidRDefault="002F7ACF" w:rsidP="00A26E0E">
      <w:pPr>
        <w:spacing w:after="120"/>
      </w:pPr>
      <w:r w:rsidRPr="002F7ACF">
        <w:t xml:space="preserve">In addition to the perceived limitations in how the CCCFR grant can be used, some </w:t>
      </w:r>
      <w:r w:rsidR="00DB55DC" w:rsidRPr="00DB55DC">
        <w:t xml:space="preserve">CCCFR </w:t>
      </w:r>
      <w:r w:rsidRPr="002F7ACF">
        <w:t xml:space="preserve">services reflect that the CCCFR grant, which was based on legacy funding and </w:t>
      </w:r>
      <w:r w:rsidRPr="00885007">
        <w:t xml:space="preserve">designed as a transition mechanism to the CCS, has not evolved in line with changing family and community needs. </w:t>
      </w:r>
    </w:p>
    <w:p w14:paraId="72B80C2E" w14:textId="1C2FF60F" w:rsidR="008C43DB" w:rsidRPr="00AE4592" w:rsidRDefault="002F7ACF" w:rsidP="00A26E0E">
      <w:pPr>
        <w:spacing w:after="120"/>
      </w:pPr>
      <w:r>
        <w:t>Furthermore</w:t>
      </w:r>
      <w:r w:rsidR="00D41495">
        <w:t xml:space="preserve">, the </w:t>
      </w:r>
      <w:r w:rsidR="001333D6">
        <w:t xml:space="preserve">CCCFR grant </w:t>
      </w:r>
      <w:r w:rsidR="00C6435F">
        <w:t>was</w:t>
      </w:r>
      <w:r w:rsidR="004B29EE">
        <w:t xml:space="preserve"> </w:t>
      </w:r>
      <w:r w:rsidR="00432A71">
        <w:t xml:space="preserve">initially </w:t>
      </w:r>
      <w:r w:rsidR="004B29EE">
        <w:t>intended to</w:t>
      </w:r>
      <w:r w:rsidR="002213CB">
        <w:t xml:space="preserve"> </w:t>
      </w:r>
      <w:r w:rsidR="004753DB">
        <w:t xml:space="preserve">cease </w:t>
      </w:r>
      <w:r w:rsidR="00B10504">
        <w:t>over time,</w:t>
      </w:r>
      <w:r w:rsidR="004753DB">
        <w:t xml:space="preserve"> as services </w:t>
      </w:r>
      <w:r w:rsidR="00330A42">
        <w:t xml:space="preserve">transitioned to </w:t>
      </w:r>
      <w:r w:rsidR="0061209E">
        <w:t xml:space="preserve">being </w:t>
      </w:r>
      <w:r w:rsidR="00885007">
        <w:t xml:space="preserve">predominantly </w:t>
      </w:r>
      <w:r w:rsidR="0061209E">
        <w:t>funded through</w:t>
      </w:r>
      <w:r w:rsidR="00330A42">
        <w:t xml:space="preserve"> </w:t>
      </w:r>
      <w:r w:rsidR="0061209E">
        <w:t>CCS income</w:t>
      </w:r>
      <w:r w:rsidR="006D1EF2">
        <w:t>. As a result</w:t>
      </w:r>
      <w:r w:rsidR="0061209E">
        <w:t xml:space="preserve">, </w:t>
      </w:r>
      <w:r w:rsidR="003A0BED">
        <w:t xml:space="preserve">in the absence of </w:t>
      </w:r>
      <w:r w:rsidR="00D32D95">
        <w:t xml:space="preserve">being able to secure a pathway to the </w:t>
      </w:r>
      <w:r w:rsidR="00D24C5A">
        <w:t>CCS</w:t>
      </w:r>
      <w:r w:rsidR="00B60F48">
        <w:t xml:space="preserve"> </w:t>
      </w:r>
      <w:r w:rsidR="00211A4E">
        <w:t xml:space="preserve">since the introduction of the </w:t>
      </w:r>
      <w:r w:rsidR="001D7A02">
        <w:t>CCCFR grant</w:t>
      </w:r>
      <w:r w:rsidR="00D32D95">
        <w:t xml:space="preserve">, </w:t>
      </w:r>
      <w:r w:rsidR="00DB55DC" w:rsidRPr="00DB55DC">
        <w:t xml:space="preserve">CCCFR </w:t>
      </w:r>
      <w:r w:rsidR="00FC7773">
        <w:t xml:space="preserve">services </w:t>
      </w:r>
      <w:r w:rsidR="004A1BA7">
        <w:t xml:space="preserve">report finding it difficult to plan </w:t>
      </w:r>
      <w:r w:rsidR="006A104F">
        <w:t>for their future sustainability</w:t>
      </w:r>
      <w:r w:rsidR="00EC088D">
        <w:t>.</w:t>
      </w:r>
      <w:r w:rsidR="00A11517">
        <w:t xml:space="preserve"> </w:t>
      </w:r>
    </w:p>
    <w:p w14:paraId="67602044" w14:textId="2D1D4F6C" w:rsidR="00167306" w:rsidRDefault="00CF7417" w:rsidP="00617550">
      <w:pPr>
        <w:spacing w:after="240"/>
      </w:pPr>
      <w:r>
        <w:t>This review identified adjacent programs and grants that seek to achieve the same objectives and/or focus on the same target cohort (broadly)</w:t>
      </w:r>
      <w:r w:rsidR="004A5C2A">
        <w:t xml:space="preserve">, including </w:t>
      </w:r>
      <w:r w:rsidR="00CF7407">
        <w:t>those funded through the states and territories as</w:t>
      </w:r>
      <w:r>
        <w:t xml:space="preserve"> well</w:t>
      </w:r>
      <w:r w:rsidR="00CF7407">
        <w:t xml:space="preserve"> as non-profits</w:t>
      </w:r>
      <w:r w:rsidR="006B3CF9">
        <w:t xml:space="preserve"> such as </w:t>
      </w:r>
      <w:r w:rsidR="00AE4592">
        <w:t>the Strengthening Early Years program and access to Early Learning</w:t>
      </w:r>
      <w:r w:rsidR="00CF7407">
        <w:t xml:space="preserve">. </w:t>
      </w:r>
      <w:r w:rsidR="00420022">
        <w:t>This is reflective of the high degree of overlap that currently exists within the ECEC system nationally</w:t>
      </w:r>
      <w:r w:rsidR="00A045BD">
        <w:t>.</w:t>
      </w:r>
    </w:p>
    <w:tbl>
      <w:tblPr>
        <w:tblStyle w:val="TableGrid"/>
        <w:tblW w:w="0" w:type="auto"/>
        <w:shd w:val="clear" w:color="auto" w:fill="E7F5CF" w:themeFill="accent1" w:themeFillTint="33"/>
        <w:tblCellMar>
          <w:top w:w="85" w:type="dxa"/>
          <w:left w:w="113" w:type="dxa"/>
          <w:bottom w:w="85" w:type="dxa"/>
          <w:right w:w="113" w:type="dxa"/>
        </w:tblCellMar>
        <w:tblLook w:val="04A0" w:firstRow="1" w:lastRow="0" w:firstColumn="1" w:lastColumn="0" w:noHBand="0" w:noVBand="1"/>
      </w:tblPr>
      <w:tblGrid>
        <w:gridCol w:w="9026"/>
      </w:tblGrid>
      <w:tr w:rsidR="00990B0C" w14:paraId="53131E3A" w14:textId="77777777" w:rsidTr="30E0DE01">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1888309C" w14:textId="15F99F03" w:rsidR="0038326E" w:rsidRDefault="0038326E" w:rsidP="00330FF0">
            <w:pPr>
              <w:spacing w:after="120"/>
              <w:rPr>
                <w:b/>
                <w:bCs/>
              </w:rPr>
            </w:pPr>
            <w:r w:rsidRPr="009E424E">
              <w:rPr>
                <w:b/>
                <w:bCs/>
              </w:rPr>
              <w:t>Review finding</w:t>
            </w:r>
            <w:r>
              <w:rPr>
                <w:b/>
                <w:bCs/>
              </w:rPr>
              <w:t>s on policy and funding design</w:t>
            </w:r>
          </w:p>
          <w:p w14:paraId="27A17DD0" w14:textId="5B96E721" w:rsidR="00330FF0" w:rsidRPr="00B725FF" w:rsidRDefault="00330FF0" w:rsidP="00330FF0">
            <w:pPr>
              <w:rPr>
                <w:i/>
                <w:iCs/>
              </w:rPr>
            </w:pPr>
            <w:r w:rsidRPr="00B725FF">
              <w:rPr>
                <w:i/>
                <w:iCs/>
              </w:rPr>
              <w:t xml:space="preserve">(Presented in Chapter </w:t>
            </w:r>
            <w:r>
              <w:rPr>
                <w:i/>
                <w:iCs/>
              </w:rPr>
              <w:fldChar w:fldCharType="begin"/>
            </w:r>
            <w:r>
              <w:rPr>
                <w:i/>
                <w:iCs/>
              </w:rPr>
              <w:instrText xml:space="preserve"> REF _Ref152873153 \r \h </w:instrText>
            </w:r>
            <w:r>
              <w:rPr>
                <w:i/>
                <w:iCs/>
              </w:rPr>
            </w:r>
            <w:r>
              <w:rPr>
                <w:i/>
                <w:iCs/>
              </w:rPr>
              <w:fldChar w:fldCharType="separate"/>
            </w:r>
            <w:r w:rsidR="00D300D0">
              <w:rPr>
                <w:i/>
                <w:iCs/>
              </w:rPr>
              <w:t>6</w:t>
            </w:r>
            <w:r>
              <w:rPr>
                <w:i/>
                <w:iCs/>
              </w:rPr>
              <w:fldChar w:fldCharType="end"/>
            </w:r>
            <w:r w:rsidRPr="00A160FC">
              <w:rPr>
                <w:i/>
                <w:iCs/>
              </w:rPr>
              <w:t xml:space="preserve">, pages </w:t>
            </w:r>
            <w:r w:rsidR="00A160FC" w:rsidRPr="00A160FC">
              <w:rPr>
                <w:i/>
                <w:iCs/>
              </w:rPr>
              <w:t>94</w:t>
            </w:r>
            <w:r w:rsidRPr="00A160FC">
              <w:rPr>
                <w:i/>
              </w:rPr>
              <w:t xml:space="preserve"> to </w:t>
            </w:r>
            <w:r w:rsidR="00672409" w:rsidRPr="00A160FC">
              <w:rPr>
                <w:i/>
                <w:iCs/>
              </w:rPr>
              <w:t>10</w:t>
            </w:r>
            <w:r w:rsidR="00A160FC" w:rsidRPr="00A160FC">
              <w:rPr>
                <w:i/>
                <w:iCs/>
              </w:rPr>
              <w:t>8</w:t>
            </w:r>
            <w:r w:rsidRPr="00A160FC">
              <w:rPr>
                <w:i/>
                <w:iCs/>
              </w:rPr>
              <w:t>)</w:t>
            </w:r>
          </w:p>
          <w:p w14:paraId="5347601F" w14:textId="0A988738" w:rsidR="00990B0C" w:rsidRPr="00CF1CA4" w:rsidRDefault="00990B0C" w:rsidP="003524B2">
            <w:pPr>
              <w:spacing w:after="0"/>
            </w:pPr>
            <w:r w:rsidRPr="00650E6C">
              <w:rPr>
                <w:b/>
                <w:bCs/>
              </w:rPr>
              <w:t xml:space="preserve">Finding </w:t>
            </w:r>
            <w:r w:rsidR="009824A9">
              <w:rPr>
                <w:b/>
                <w:bCs/>
              </w:rPr>
              <w:t>13</w:t>
            </w:r>
            <w:r w:rsidRPr="00650E6C">
              <w:rPr>
                <w:b/>
                <w:bCs/>
              </w:rPr>
              <w:t>:</w:t>
            </w:r>
            <w:r>
              <w:t xml:space="preserve"> </w:t>
            </w:r>
            <w:r w:rsidRPr="000F1DEF">
              <w:t xml:space="preserve">The review has not identified a formal articulation of the grant design with respect to (1) recipient eligibility criteria and its rationale and (2) the funding allocation – or grant size determination – methodology. These features appear </w:t>
            </w:r>
            <w:r>
              <w:t>to be</w:t>
            </w:r>
            <w:r w:rsidRPr="000F1DEF">
              <w:t xml:space="preserve"> historical artifacts</w:t>
            </w:r>
            <w:r>
              <w:t xml:space="preserve">. </w:t>
            </w:r>
          </w:p>
          <w:p w14:paraId="2145D288" w14:textId="77777777" w:rsidR="001D41ED" w:rsidRDefault="001D41ED" w:rsidP="003524B2">
            <w:pPr>
              <w:spacing w:after="0"/>
              <w:rPr>
                <w:i/>
                <w:iCs/>
              </w:rPr>
            </w:pPr>
          </w:p>
          <w:p w14:paraId="743F62FF" w14:textId="5678C2BF" w:rsidR="00990B0C" w:rsidRDefault="00990B0C" w:rsidP="003524B2">
            <w:pPr>
              <w:spacing w:after="0"/>
            </w:pPr>
            <w:r w:rsidRPr="00650E6C">
              <w:rPr>
                <w:b/>
                <w:bCs/>
              </w:rPr>
              <w:t xml:space="preserve">Finding </w:t>
            </w:r>
            <w:r w:rsidR="009824A9">
              <w:rPr>
                <w:b/>
                <w:bCs/>
              </w:rPr>
              <w:t>14</w:t>
            </w:r>
            <w:r w:rsidRPr="00650E6C">
              <w:rPr>
                <w:b/>
                <w:bCs/>
              </w:rPr>
              <w:t>:</w:t>
            </w:r>
            <w:r>
              <w:t xml:space="preserve"> </w:t>
            </w:r>
            <w:r w:rsidRPr="0006753B">
              <w:t xml:space="preserve">Mechanisms through which the CCCFR grant strives to support workforce participation, beyond supporting the financial viability of </w:t>
            </w:r>
            <w:r w:rsidR="471891B2">
              <w:t>child</w:t>
            </w:r>
            <w:r w:rsidR="015786DA">
              <w:t xml:space="preserve"> </w:t>
            </w:r>
            <w:r w:rsidR="471891B2">
              <w:t>care</w:t>
            </w:r>
            <w:r w:rsidRPr="0006753B">
              <w:t xml:space="preserve"> provision and beyond the mechanisms of the CCS, are not </w:t>
            </w:r>
            <w:r w:rsidR="00636F5E">
              <w:t>identifiable</w:t>
            </w:r>
            <w:r w:rsidRPr="0006753B">
              <w:t>.</w:t>
            </w:r>
          </w:p>
          <w:p w14:paraId="06C49A76" w14:textId="77777777" w:rsidR="001D41ED" w:rsidRDefault="001D41ED" w:rsidP="003524B2">
            <w:pPr>
              <w:spacing w:after="0"/>
              <w:rPr>
                <w:b/>
                <w:bCs/>
              </w:rPr>
            </w:pPr>
          </w:p>
          <w:p w14:paraId="0A30FCE8" w14:textId="11DD4DFC" w:rsidR="001D41ED" w:rsidRDefault="7666EC40" w:rsidP="003524B2">
            <w:pPr>
              <w:spacing w:after="0"/>
            </w:pPr>
            <w:r w:rsidRPr="30E0DE01">
              <w:rPr>
                <w:b/>
                <w:bCs/>
              </w:rPr>
              <w:t xml:space="preserve">Finding </w:t>
            </w:r>
            <w:r w:rsidR="6ABE1B7D" w:rsidRPr="30E0DE01">
              <w:rPr>
                <w:b/>
                <w:bCs/>
              </w:rPr>
              <w:t>15</w:t>
            </w:r>
            <w:r w:rsidRPr="30E0DE01">
              <w:rPr>
                <w:b/>
                <w:bCs/>
              </w:rPr>
              <w:t>:</w:t>
            </w:r>
            <w:r>
              <w:t xml:space="preserve"> There was no program logic or other documented grant design </w:t>
            </w:r>
            <w:r w:rsidR="2C9E96DF">
              <w:t>identified during the review</w:t>
            </w:r>
            <w:r w:rsidR="77DF9ADC">
              <w:t xml:space="preserve"> which set</w:t>
            </w:r>
            <w:r w:rsidR="7EF25A90">
              <w:t xml:space="preserve"> out</w:t>
            </w:r>
            <w:r>
              <w:t xml:space="preserve"> the intended relationships between the grant</w:t>
            </w:r>
            <w:r w:rsidR="2B0F6462">
              <w:t>, the activities it is intended to support</w:t>
            </w:r>
            <w:r>
              <w:t xml:space="preserve"> and the stated objectives.</w:t>
            </w:r>
          </w:p>
          <w:p w14:paraId="3EC5B365" w14:textId="356F4EDB" w:rsidR="00990B0C" w:rsidRDefault="00990B0C" w:rsidP="003524B2">
            <w:pPr>
              <w:spacing w:after="0"/>
            </w:pPr>
            <w:r>
              <w:t xml:space="preserve"> </w:t>
            </w:r>
          </w:p>
          <w:p w14:paraId="417FECC1" w14:textId="7B92570A" w:rsidR="00990B0C" w:rsidRPr="001F3727" w:rsidRDefault="7666EC40" w:rsidP="001D41ED">
            <w:pPr>
              <w:spacing w:after="0"/>
            </w:pPr>
            <w:r w:rsidRPr="30E0DE01">
              <w:rPr>
                <w:b/>
                <w:bCs/>
              </w:rPr>
              <w:t xml:space="preserve">Finding </w:t>
            </w:r>
            <w:r w:rsidR="6ABE1B7D" w:rsidRPr="30E0DE01">
              <w:rPr>
                <w:b/>
                <w:bCs/>
              </w:rPr>
              <w:t>16</w:t>
            </w:r>
            <w:r w:rsidRPr="30E0DE01">
              <w:rPr>
                <w:b/>
                <w:bCs/>
              </w:rPr>
              <w:t>:</w:t>
            </w:r>
            <w:r>
              <w:t xml:space="preserve"> There are gaps in understanding among </w:t>
            </w:r>
            <w:r w:rsidR="00AF69E6" w:rsidRPr="00AF69E6">
              <w:t xml:space="preserve">CCCFR </w:t>
            </w:r>
            <w:r>
              <w:t>services</w:t>
            </w:r>
            <w:r w:rsidR="41327490">
              <w:t xml:space="preserve"> (</w:t>
            </w:r>
            <w:r w:rsidR="182D7DD5">
              <w:t xml:space="preserve">e.g., </w:t>
            </w:r>
            <w:r w:rsidR="25B59DAB">
              <w:t xml:space="preserve">among </w:t>
            </w:r>
            <w:r w:rsidR="182D7DD5">
              <w:t>Directors</w:t>
            </w:r>
            <w:r w:rsidR="41327490">
              <w:t xml:space="preserve"> of </w:t>
            </w:r>
            <w:r w:rsidR="00AF69E6" w:rsidRPr="00AF69E6">
              <w:t xml:space="preserve">CCCFR </w:t>
            </w:r>
            <w:r w:rsidR="41327490">
              <w:t>services)</w:t>
            </w:r>
            <w:r>
              <w:t xml:space="preserve"> regarding how and for what purpose the CCCFR grant funding can be spent. </w:t>
            </w:r>
          </w:p>
          <w:p w14:paraId="7E646D72" w14:textId="77777777" w:rsidR="001D41ED" w:rsidRPr="001F3727" w:rsidRDefault="001D41ED" w:rsidP="001D41ED">
            <w:pPr>
              <w:spacing w:after="0"/>
            </w:pPr>
          </w:p>
          <w:p w14:paraId="63AA7164" w14:textId="28D07A25" w:rsidR="00990B0C" w:rsidRPr="0044592B" w:rsidRDefault="00990B0C" w:rsidP="001D41ED">
            <w:pPr>
              <w:spacing w:after="0"/>
            </w:pPr>
            <w:r w:rsidRPr="00650E6C">
              <w:rPr>
                <w:b/>
                <w:bCs/>
              </w:rPr>
              <w:t xml:space="preserve">Finding </w:t>
            </w:r>
            <w:r w:rsidR="009824A9">
              <w:rPr>
                <w:b/>
                <w:bCs/>
              </w:rPr>
              <w:t>17</w:t>
            </w:r>
            <w:r w:rsidRPr="00650E6C">
              <w:rPr>
                <w:b/>
                <w:bCs/>
              </w:rPr>
              <w:t>:</w:t>
            </w:r>
            <w:r>
              <w:t xml:space="preserve"> </w:t>
            </w:r>
            <w:r w:rsidRPr="0044592B">
              <w:t xml:space="preserve">There are multiple instances of intersection and overlap between the purpose and intended objectives of the CCCFR grant and other programs and funding provided by state governments and philanthropic organisations. </w:t>
            </w:r>
          </w:p>
          <w:p w14:paraId="4AE81597" w14:textId="0187EC2A" w:rsidR="00E27B23" w:rsidRDefault="00E27B23" w:rsidP="00E27B23">
            <w:pPr>
              <w:spacing w:before="120" w:after="0"/>
            </w:pPr>
            <w:r w:rsidRPr="00650E6C">
              <w:rPr>
                <w:b/>
                <w:bCs/>
              </w:rPr>
              <w:t xml:space="preserve">Finding </w:t>
            </w:r>
            <w:r>
              <w:rPr>
                <w:b/>
                <w:bCs/>
              </w:rPr>
              <w:t>18</w:t>
            </w:r>
            <w:r w:rsidRPr="00650E6C">
              <w:rPr>
                <w:b/>
                <w:bCs/>
              </w:rPr>
              <w:t>:</w:t>
            </w:r>
            <w:r>
              <w:t xml:space="preserve"> There are elements of the current CCCFR grant design that can be improved, by learning from adjacent programs/grants, both locally and internationally. </w:t>
            </w:r>
          </w:p>
          <w:p w14:paraId="6F17CA76" w14:textId="77777777" w:rsidR="001D41ED" w:rsidRDefault="001D41ED" w:rsidP="001D41ED">
            <w:pPr>
              <w:spacing w:after="0"/>
            </w:pPr>
          </w:p>
          <w:p w14:paraId="7EE84F9D" w14:textId="61D1C5D3" w:rsidR="00990B0C" w:rsidRDefault="00990B0C" w:rsidP="001D41ED">
            <w:pPr>
              <w:spacing w:after="0"/>
            </w:pPr>
            <w:r w:rsidRPr="00650E6C">
              <w:rPr>
                <w:b/>
                <w:bCs/>
              </w:rPr>
              <w:t xml:space="preserve">Finding </w:t>
            </w:r>
            <w:r w:rsidR="009824A9">
              <w:rPr>
                <w:b/>
                <w:bCs/>
              </w:rPr>
              <w:t>1</w:t>
            </w:r>
            <w:r w:rsidR="00E27B23">
              <w:rPr>
                <w:b/>
                <w:bCs/>
              </w:rPr>
              <w:t>9</w:t>
            </w:r>
            <w:r w:rsidRPr="00650E6C">
              <w:rPr>
                <w:b/>
                <w:bCs/>
              </w:rPr>
              <w:t>:</w:t>
            </w:r>
            <w:r>
              <w:t xml:space="preserve"> </w:t>
            </w:r>
            <w:r w:rsidRPr="001804F8">
              <w:t>CCCFR grant funding is not intentionally responsive or adaptive to the current or evolving needs of community; it is largely a function of historical factors.</w:t>
            </w:r>
          </w:p>
          <w:p w14:paraId="139F3B70" w14:textId="77777777" w:rsidR="001D41ED" w:rsidRDefault="001D41ED" w:rsidP="001D41ED">
            <w:pPr>
              <w:spacing w:after="0"/>
            </w:pPr>
          </w:p>
          <w:p w14:paraId="32A3DAF1" w14:textId="52872944" w:rsidR="00990B0C" w:rsidRPr="00B6050A" w:rsidRDefault="7666EC40" w:rsidP="001D41ED">
            <w:pPr>
              <w:spacing w:after="120"/>
            </w:pPr>
            <w:r w:rsidRPr="30E0DE01">
              <w:rPr>
                <w:b/>
                <w:bCs/>
              </w:rPr>
              <w:t xml:space="preserve">Finding </w:t>
            </w:r>
            <w:r w:rsidR="156B2383" w:rsidRPr="30E0DE01">
              <w:rPr>
                <w:b/>
                <w:bCs/>
              </w:rPr>
              <w:t>20</w:t>
            </w:r>
            <w:r w:rsidRPr="30E0DE01">
              <w:rPr>
                <w:b/>
                <w:bCs/>
              </w:rPr>
              <w:t>:</w:t>
            </w:r>
            <w:r>
              <w:t xml:space="preserve"> </w:t>
            </w:r>
            <w:r w:rsidR="00AF69E6">
              <w:t>CCCFR s</w:t>
            </w:r>
            <w:r>
              <w:t xml:space="preserve">ervices are seeking greater assurance in continuity of funding and greater flexibility in determining how funding meets the </w:t>
            </w:r>
            <w:r w:rsidR="4DBE093B">
              <w:t xml:space="preserve">ECEC </w:t>
            </w:r>
            <w:r>
              <w:t>needs of their community.</w:t>
            </w:r>
          </w:p>
        </w:tc>
      </w:tr>
    </w:tbl>
    <w:p w14:paraId="6F095796" w14:textId="77777777" w:rsidR="00DD699B" w:rsidRDefault="00DD699B" w:rsidP="00E9538D">
      <w:pPr>
        <w:pStyle w:val="NoSpacing"/>
      </w:pPr>
    </w:p>
    <w:p w14:paraId="1704E3CC" w14:textId="7AB6768C" w:rsidR="001F6213" w:rsidRDefault="0090562B" w:rsidP="001F6213">
      <w:pPr>
        <w:pStyle w:val="Heading3un-numbered"/>
        <w:spacing w:after="170"/>
      </w:pPr>
      <w:r>
        <w:lastRenderedPageBreak/>
        <w:t xml:space="preserve">Domain </w:t>
      </w:r>
      <w:r w:rsidR="00C77C2D">
        <w:t>3</w:t>
      </w:r>
      <w:r>
        <w:t>:</w:t>
      </w:r>
      <w:r w:rsidR="00C77C2D">
        <w:t xml:space="preserve"> Administration, governance and compliance</w:t>
      </w:r>
      <w:r w:rsidR="002E497C">
        <w:t xml:space="preserve"> </w:t>
      </w:r>
    </w:p>
    <w:p w14:paraId="60990AB1" w14:textId="1DC086E4" w:rsidR="004957A1" w:rsidRPr="001A7264" w:rsidRDefault="001F6213" w:rsidP="001A7264">
      <w:pPr>
        <w:rPr>
          <w:i/>
        </w:rPr>
      </w:pPr>
      <w:r w:rsidRPr="001F6213">
        <w:rPr>
          <w:i/>
          <w:iCs/>
        </w:rPr>
        <w:t>This domain analyses how the grant is governed and administered to support the achievement of CCCFR grant objectives and outcomes</w:t>
      </w:r>
      <w:r w:rsidRPr="004957A1">
        <w:t>.</w:t>
      </w:r>
    </w:p>
    <w:p w14:paraId="05638183" w14:textId="523C7A77" w:rsidR="00B95D87" w:rsidRDefault="00B95D87" w:rsidP="00AB7D8F">
      <w:r>
        <w:t xml:space="preserve">While the CCCFR grant </w:t>
      </w:r>
      <w:r w:rsidR="005F48AF">
        <w:t>as a</w:t>
      </w:r>
      <w:r w:rsidR="00F64019">
        <w:t xml:space="preserve"> grant i</w:t>
      </w:r>
      <w:r w:rsidR="005F48AF">
        <w:t xml:space="preserve">nstrument provides </w:t>
      </w:r>
      <w:r w:rsidR="004B791B">
        <w:t>financial</w:t>
      </w:r>
      <w:r w:rsidR="005F48AF">
        <w:t xml:space="preserve"> support to </w:t>
      </w:r>
      <w:r w:rsidR="005F593E">
        <w:t xml:space="preserve">eligible </w:t>
      </w:r>
      <w:r w:rsidR="00C86B57" w:rsidRPr="00C86B57">
        <w:t xml:space="preserve">CCCFR </w:t>
      </w:r>
      <w:r w:rsidR="005F593E">
        <w:t xml:space="preserve">services, </w:t>
      </w:r>
      <w:r w:rsidR="00D65E12">
        <w:t xml:space="preserve">the </w:t>
      </w:r>
      <w:r w:rsidR="00090CFD">
        <w:t>Department</w:t>
      </w:r>
      <w:r w:rsidR="00F64019">
        <w:t xml:space="preserve"> </w:t>
      </w:r>
      <w:r w:rsidR="00090CFD">
        <w:t>undertake</w:t>
      </w:r>
      <w:r w:rsidR="00F64019">
        <w:t>s</w:t>
      </w:r>
      <w:r w:rsidR="00090CFD">
        <w:t xml:space="preserve"> a range of day-to-day administration and </w:t>
      </w:r>
      <w:r w:rsidR="00F64019">
        <w:t>governance activities</w:t>
      </w:r>
      <w:r w:rsidR="00090CFD">
        <w:t xml:space="preserve"> to support </w:t>
      </w:r>
      <w:r w:rsidR="00C86B57" w:rsidRPr="00C86B57">
        <w:t xml:space="preserve">CCCFR </w:t>
      </w:r>
      <w:r w:rsidR="00090CFD">
        <w:t xml:space="preserve">services in meeting their grant obligations, as well as </w:t>
      </w:r>
      <w:r w:rsidR="00867696">
        <w:t>providing</w:t>
      </w:r>
      <w:r w:rsidR="00F64019">
        <w:t xml:space="preserve"> resources and supports to ensure </w:t>
      </w:r>
      <w:r w:rsidR="00C86B57" w:rsidRPr="00C86B57">
        <w:t xml:space="preserve">CCCFR </w:t>
      </w:r>
      <w:r w:rsidR="00F64019">
        <w:t xml:space="preserve">services are meeting the objectives and intent of the </w:t>
      </w:r>
      <w:r w:rsidR="00867696">
        <w:t>grant</w:t>
      </w:r>
      <w:r w:rsidR="00F64019">
        <w:t>.</w:t>
      </w:r>
    </w:p>
    <w:p w14:paraId="163D7C25" w14:textId="027D1754" w:rsidR="00AB7D8F" w:rsidRPr="00AB7D8F" w:rsidRDefault="00AB7D8F" w:rsidP="00AB7D8F">
      <w:r>
        <w:t>Within the Department, day-to-day responsibility for administration and governance of the CCCFR grant is undertaken by the CCCFR project team, of which most staff are CCCFR Pro</w:t>
      </w:r>
      <w:r w:rsidR="00BF2268">
        <w:t>gram</w:t>
      </w:r>
      <w:r>
        <w:t xml:space="preserve"> Officers.</w:t>
      </w:r>
      <w:r w:rsidR="000B4B86">
        <w:t xml:space="preserve"> </w:t>
      </w:r>
      <w:r w:rsidR="00551DFA" w:rsidRPr="00551DFA">
        <w:t xml:space="preserve">CCCFR Program Officers are responsible for a broad scope of roles and responsibilities in regard to both administration of the CCCFR grant itself, as well as providing ongoing support </w:t>
      </w:r>
      <w:r w:rsidR="00787349">
        <w:t xml:space="preserve">to </w:t>
      </w:r>
      <w:r w:rsidR="00551DFA" w:rsidRPr="00551DFA">
        <w:t>and engagement with CCCFR services</w:t>
      </w:r>
      <w:r w:rsidR="00787349">
        <w:t>.</w:t>
      </w:r>
      <w:r w:rsidR="00551DFA" w:rsidRPr="00551DFA">
        <w:t xml:space="preserve"> </w:t>
      </w:r>
    </w:p>
    <w:p w14:paraId="21F1D7CE" w14:textId="3CA6D0F6" w:rsidR="00F91BD3" w:rsidRDefault="005C7D00" w:rsidP="00250244">
      <w:r>
        <w:t xml:space="preserve">In considering the supports available to CCCFR services, this review finds that there is a gap between the </w:t>
      </w:r>
      <w:r w:rsidR="00FA2A02">
        <w:t xml:space="preserve">support </w:t>
      </w:r>
      <w:r w:rsidR="00C86B57" w:rsidRPr="00C86B57">
        <w:t xml:space="preserve">CCCFR </w:t>
      </w:r>
      <w:r w:rsidR="00FA2A02">
        <w:t>services need and the support they receive.</w:t>
      </w:r>
      <w:r w:rsidR="002E497C">
        <w:t xml:space="preserve"> </w:t>
      </w:r>
      <w:r w:rsidR="00F91BD3">
        <w:t xml:space="preserve">Recognising that </w:t>
      </w:r>
      <w:r w:rsidR="00C86B57" w:rsidRPr="00C86B57">
        <w:t>CCCFR</w:t>
      </w:r>
      <w:r w:rsidR="00F91BD3">
        <w:t xml:space="preserve"> services can draw on a wide array of support mechanisms – such as the Safety and Quality Training Package offered by ACECQA, business support provided by BDO, as well as other guidance and supports offered by peak bodies such as SNAICC, state and territory governments and regulatory authorities</w:t>
      </w:r>
      <w:r w:rsidR="006F5CF0">
        <w:t xml:space="preserve"> –</w:t>
      </w:r>
      <w:r w:rsidR="00F91BD3">
        <w:t xml:space="preserve"> this review focuses on the mechanism most directly linked to the CCCFR grant, being the Program Officers.</w:t>
      </w:r>
      <w:r w:rsidR="002E497C">
        <w:t xml:space="preserve"> </w:t>
      </w:r>
    </w:p>
    <w:p w14:paraId="03E8A942" w14:textId="7C353AA3" w:rsidR="00250244" w:rsidRPr="00AB7D8F" w:rsidRDefault="005C7D00" w:rsidP="00250244">
      <w:r>
        <w:t>Feedback from</w:t>
      </w:r>
      <w:r w:rsidR="00C86B57" w:rsidRPr="00C86B57">
        <w:t xml:space="preserve"> CCCFR</w:t>
      </w:r>
      <w:r>
        <w:t xml:space="preserve"> services highlights the strong knowledge of grant guidelines and financial obligations held by Program Officers.</w:t>
      </w:r>
      <w:r w:rsidR="002E497C">
        <w:t xml:space="preserve"> </w:t>
      </w:r>
      <w:r w:rsidR="00250244">
        <w:t xml:space="preserve">However, Program Officers report having to provide advice </w:t>
      </w:r>
      <w:r w:rsidR="00F91BD3">
        <w:t>and/</w:t>
      </w:r>
      <w:r w:rsidR="00250244">
        <w:t xml:space="preserve">or referrals for areas of support where their knowledge </w:t>
      </w:r>
      <w:r w:rsidR="00F91BD3">
        <w:t>is</w:t>
      </w:r>
      <w:r w:rsidR="00250244">
        <w:t xml:space="preserve"> limited, such as guidance around infrastructure and asset management which requires specialised expertise. In addition, many </w:t>
      </w:r>
      <w:r w:rsidR="00C86B57" w:rsidRPr="00C86B57">
        <w:t>CCCFR</w:t>
      </w:r>
      <w:r w:rsidR="00250244">
        <w:t xml:space="preserve"> services felt that this gap in support </w:t>
      </w:r>
      <w:r w:rsidR="002B0EF4">
        <w:t>they experience has been</w:t>
      </w:r>
      <w:r w:rsidR="00250244">
        <w:t xml:space="preserve"> accentuated by the remote working arrangements of Program Officers – namely, the lack of ‘in person’ visits created challenges when it came to building productive relationships and identifying additional avenues for support, particularly as </w:t>
      </w:r>
      <w:r w:rsidR="00BB0D25">
        <w:t>they</w:t>
      </w:r>
      <w:r w:rsidR="00250244">
        <w:t xml:space="preserve"> relate to asset and infrastructure needs.</w:t>
      </w:r>
      <w:r w:rsidR="002E497C">
        <w:t xml:space="preserve"> </w:t>
      </w:r>
      <w:r w:rsidR="00250244">
        <w:t xml:space="preserve"> </w:t>
      </w:r>
    </w:p>
    <w:p w14:paraId="2B784922" w14:textId="083B5DE4" w:rsidR="008A37FF" w:rsidRDefault="00276A75" w:rsidP="000634B4">
      <w:r>
        <w:t xml:space="preserve">While </w:t>
      </w:r>
      <w:r w:rsidR="00C86B57" w:rsidRPr="00C86B57">
        <w:t>CCCFR</w:t>
      </w:r>
      <w:r>
        <w:t xml:space="preserve"> services must submit </w:t>
      </w:r>
      <w:r w:rsidR="00FF3EEA">
        <w:t>annual</w:t>
      </w:r>
      <w:r w:rsidR="00DA7B33">
        <w:t xml:space="preserve"> </w:t>
      </w:r>
      <w:r w:rsidR="00D80C23">
        <w:t>financial</w:t>
      </w:r>
      <w:r w:rsidR="00FF3EEA">
        <w:t xml:space="preserve">, </w:t>
      </w:r>
      <w:r w:rsidR="009079D7">
        <w:t>Compliance</w:t>
      </w:r>
      <w:r w:rsidR="00FF3EEA">
        <w:t xml:space="preserve"> </w:t>
      </w:r>
      <w:r w:rsidR="00DA7B33">
        <w:t xml:space="preserve">and </w:t>
      </w:r>
      <w:r w:rsidR="009079D7">
        <w:t>Operations Report</w:t>
      </w:r>
      <w:r w:rsidR="00D80C23">
        <w:t>s</w:t>
      </w:r>
      <w:r w:rsidR="00E714C6">
        <w:t xml:space="preserve">, </w:t>
      </w:r>
      <w:r w:rsidR="006A1369">
        <w:t xml:space="preserve">this review </w:t>
      </w:r>
      <w:r w:rsidR="008C51B0">
        <w:t xml:space="preserve">suggests that </w:t>
      </w:r>
      <w:r w:rsidR="00964209">
        <w:t xml:space="preserve">reporting and evaluation </w:t>
      </w:r>
      <w:r w:rsidR="00E02EDB">
        <w:t xml:space="preserve">elements in relation to </w:t>
      </w:r>
      <w:r w:rsidR="009079D7">
        <w:t>Compliance</w:t>
      </w:r>
      <w:r w:rsidR="00E02EDB">
        <w:t xml:space="preserve"> and </w:t>
      </w:r>
      <w:r w:rsidR="009079D7">
        <w:t>Operations Report</w:t>
      </w:r>
      <w:r w:rsidR="00E02EDB">
        <w:t xml:space="preserve">s can be improved to </w:t>
      </w:r>
      <w:r w:rsidR="006759E0">
        <w:t xml:space="preserve">enable more targeted interventions to support quality uplift. This </w:t>
      </w:r>
      <w:r w:rsidR="008A37FF">
        <w:t xml:space="preserve">is indicated by the </w:t>
      </w:r>
      <w:r w:rsidR="00FF3EEA">
        <w:t xml:space="preserve">variable </w:t>
      </w:r>
      <w:r w:rsidR="006B27B7">
        <w:t xml:space="preserve">quality of </w:t>
      </w:r>
      <w:r w:rsidR="00FF3EEA">
        <w:t>documentation received, and the</w:t>
      </w:r>
      <w:r w:rsidR="00797802">
        <w:t xml:space="preserve"> lack of clear </w:t>
      </w:r>
      <w:r w:rsidR="008A37FF">
        <w:t>outcomes attributable to unsatisfactory documentation.</w:t>
      </w:r>
    </w:p>
    <w:p w14:paraId="2ECB7367" w14:textId="1C214D66" w:rsidR="000634B4" w:rsidRDefault="008A37FF" w:rsidP="000634B4">
      <w:r>
        <w:t>However,</w:t>
      </w:r>
      <w:r w:rsidR="00DA2D94" w:rsidDel="000C5C84">
        <w:t xml:space="preserve"> </w:t>
      </w:r>
      <w:r w:rsidR="000C5C84">
        <w:t>the</w:t>
      </w:r>
      <w:r w:rsidR="00DA2D94">
        <w:t xml:space="preserve"> review </w:t>
      </w:r>
      <w:r w:rsidR="00CF6319">
        <w:t>acknowledges</w:t>
      </w:r>
      <w:r w:rsidR="00DA2D94">
        <w:t xml:space="preserve"> that </w:t>
      </w:r>
      <w:r w:rsidR="00874A23">
        <w:t xml:space="preserve">the Department has </w:t>
      </w:r>
      <w:r>
        <w:t xml:space="preserve">adopted a </w:t>
      </w:r>
      <w:r w:rsidR="00515434">
        <w:t>responsive</w:t>
      </w:r>
      <w:r>
        <w:t xml:space="preserve">, risk-based approach to ensuring service compliance, </w:t>
      </w:r>
      <w:r w:rsidR="00B46AA2">
        <w:t>ensuring</w:t>
      </w:r>
      <w:r w:rsidR="00AF4529">
        <w:t xml:space="preserve"> that </w:t>
      </w:r>
      <w:r w:rsidR="00B46AA2">
        <w:t>risks</w:t>
      </w:r>
      <w:r w:rsidR="00AF4529">
        <w:t xml:space="preserve"> to children’s health and safety are addressed, while also supporting </w:t>
      </w:r>
      <w:r w:rsidR="00C86B57" w:rsidRPr="00C86B57">
        <w:t xml:space="preserve">CCCFR </w:t>
      </w:r>
      <w:r w:rsidR="00B46AA2">
        <w:t>services through adopting a non-punitive approach to ongoing report</w:t>
      </w:r>
      <w:r w:rsidR="00AE3BA4">
        <w:t xml:space="preserve">ing and limiting unnecessary administrative burdens which may place </w:t>
      </w:r>
      <w:r w:rsidR="00C86B57" w:rsidRPr="00C86B57">
        <w:t xml:space="preserve">CCCFR </w:t>
      </w:r>
      <w:r w:rsidR="00AE3BA4">
        <w:t>services at risk of closure.</w:t>
      </w:r>
      <w:r w:rsidR="002E497C">
        <w:t xml:space="preserve"> </w:t>
      </w:r>
      <w:r w:rsidR="00D80C23">
        <w:t xml:space="preserve"> </w:t>
      </w:r>
    </w:p>
    <w:p w14:paraId="35EE3F5D" w14:textId="108E4632" w:rsidR="00AE3BA4" w:rsidRDefault="00AE3BA4" w:rsidP="000634B4">
      <w:r>
        <w:t xml:space="preserve">In considering </w:t>
      </w:r>
      <w:r w:rsidR="0022762C">
        <w:t xml:space="preserve">expected barriers to meeting the Family Assistance Law (FAL) and the National Law and Regulations (NQF), consultations indicated clear challenges </w:t>
      </w:r>
      <w:r w:rsidR="000C5C84">
        <w:t xml:space="preserve">in relation to </w:t>
      </w:r>
      <w:r w:rsidR="0022762C">
        <w:t xml:space="preserve">current infrastructure and assets, ongoing workforce shortages and service-specific </w:t>
      </w:r>
      <w:r w:rsidR="001C2266">
        <w:t xml:space="preserve">issues in relation to </w:t>
      </w:r>
      <w:r w:rsidR="00D87551">
        <w:t xml:space="preserve">the fitness and propriety of Persons with Management and Control (PMC) or Approved Providers. </w:t>
      </w:r>
      <w:r w:rsidR="00DB036B">
        <w:t xml:space="preserve">This review also indicated that current professional development and training </w:t>
      </w:r>
      <w:r w:rsidR="000943EC">
        <w:t>is not adequately targeted towards PMCs and/or those at the Approved Provider level</w:t>
      </w:r>
      <w:r w:rsidR="00052A1D">
        <w:t>. Analysis</w:t>
      </w:r>
      <w:r w:rsidR="00D23D69">
        <w:t xml:space="preserve"> also </w:t>
      </w:r>
      <w:r w:rsidR="00052A1D">
        <w:t>indicated</w:t>
      </w:r>
      <w:r w:rsidR="00D23D69">
        <w:t xml:space="preserve"> two structural barriers which may impact CCCFR services, noting that many grant recipients are in geographically isolated areas</w:t>
      </w:r>
      <w:r w:rsidR="00203674">
        <w:t xml:space="preserve"> and provide education and care to Aboriginal and Torres Strait Islander communities.</w:t>
      </w:r>
      <w:r w:rsidR="00052A1D">
        <w:t xml:space="preserve"> </w:t>
      </w:r>
      <w:r w:rsidR="00D87551">
        <w:t xml:space="preserve">In addition, </w:t>
      </w:r>
      <w:r w:rsidR="00BE03EB">
        <w:t>there are 5</w:t>
      </w:r>
      <w:r w:rsidR="00116D21">
        <w:t>4 CCCFR services across five states that are currently deemed “out of scope” of the NQF due to legislative definitions, in particular</w:t>
      </w:r>
      <w:r w:rsidR="004661CF">
        <w:t xml:space="preserve"> several</w:t>
      </w:r>
      <w:r w:rsidR="00116D21">
        <w:t xml:space="preserve"> </w:t>
      </w:r>
      <w:r w:rsidR="00D87551">
        <w:t>ACCOs and mobile preschools</w:t>
      </w:r>
      <w:r w:rsidR="00D23D69">
        <w:t>.</w:t>
      </w:r>
    </w:p>
    <w:p w14:paraId="303C6984" w14:textId="1ACD1605" w:rsidR="0090562B" w:rsidRDefault="00203674" w:rsidP="00052A1D">
      <w:r>
        <w:t xml:space="preserve">Assessment of </w:t>
      </w:r>
      <w:r w:rsidR="00C86B57" w:rsidRPr="00C86B57">
        <w:t>CCCFR</w:t>
      </w:r>
      <w:r>
        <w:t xml:space="preserve"> services’ compliance with obligations under the Minister’s Rules, in particular evidence around delivering an educational program, has </w:t>
      </w:r>
      <w:r w:rsidR="009076BE">
        <w:t>identified</w:t>
      </w:r>
      <w:r>
        <w:t xml:space="preserve"> a lack of detail around the </w:t>
      </w:r>
      <w:r w:rsidR="009076BE">
        <w:t>prescribed documentation</w:t>
      </w:r>
      <w:r>
        <w:t xml:space="preserve"> that </w:t>
      </w:r>
      <w:r w:rsidR="00C86B57" w:rsidRPr="00C86B57">
        <w:t xml:space="preserve">CCCFR </w:t>
      </w:r>
      <w:r>
        <w:t>services are required to provide to the Department, thus</w:t>
      </w:r>
      <w:r w:rsidR="009076BE">
        <w:t xml:space="preserve"> impacting meaningful analysis and reporting due to variable documentation</w:t>
      </w:r>
      <w:r>
        <w:t>.</w:t>
      </w:r>
    </w:p>
    <w:tbl>
      <w:tblPr>
        <w:tblStyle w:val="TableGrid"/>
        <w:tblW w:w="0" w:type="auto"/>
        <w:shd w:val="clear" w:color="auto" w:fill="E7F5CF" w:themeFill="accent1" w:themeFillTint="33"/>
        <w:tblCellMar>
          <w:top w:w="85" w:type="dxa"/>
          <w:left w:w="113" w:type="dxa"/>
          <w:bottom w:w="85" w:type="dxa"/>
          <w:right w:w="113" w:type="dxa"/>
        </w:tblCellMar>
        <w:tblLook w:val="04A0" w:firstRow="1" w:lastRow="0" w:firstColumn="1" w:lastColumn="0" w:noHBand="0" w:noVBand="1"/>
      </w:tblPr>
      <w:tblGrid>
        <w:gridCol w:w="9026"/>
      </w:tblGrid>
      <w:tr w:rsidR="00990B0C" w14:paraId="6E1F2248" w14:textId="77777777" w:rsidTr="30E0DE01">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41EBFA8D" w14:textId="729C711D" w:rsidR="0038326E" w:rsidRDefault="0038326E" w:rsidP="00330FF0">
            <w:pPr>
              <w:spacing w:before="120" w:after="120"/>
              <w:rPr>
                <w:b/>
                <w:bCs/>
              </w:rPr>
            </w:pPr>
            <w:r w:rsidRPr="009E424E">
              <w:rPr>
                <w:b/>
                <w:bCs/>
              </w:rPr>
              <w:lastRenderedPageBreak/>
              <w:t>Review finding</w:t>
            </w:r>
            <w:r>
              <w:rPr>
                <w:b/>
                <w:bCs/>
              </w:rPr>
              <w:t>s on administration, governance and compliance</w:t>
            </w:r>
          </w:p>
          <w:p w14:paraId="6C512945" w14:textId="43410CDB" w:rsidR="00330FF0" w:rsidRPr="00B725FF" w:rsidRDefault="00330FF0" w:rsidP="00330FF0">
            <w:pPr>
              <w:rPr>
                <w:i/>
                <w:iCs/>
              </w:rPr>
            </w:pPr>
            <w:r w:rsidRPr="00B725FF">
              <w:rPr>
                <w:i/>
                <w:iCs/>
              </w:rPr>
              <w:t xml:space="preserve">(Presented in Chapter </w:t>
            </w:r>
            <w:r>
              <w:rPr>
                <w:i/>
                <w:iCs/>
              </w:rPr>
              <w:fldChar w:fldCharType="begin"/>
            </w:r>
            <w:r>
              <w:rPr>
                <w:i/>
                <w:iCs/>
              </w:rPr>
              <w:instrText xml:space="preserve"> REF _Ref152873464 \r \h </w:instrText>
            </w:r>
            <w:r>
              <w:rPr>
                <w:i/>
                <w:iCs/>
              </w:rPr>
            </w:r>
            <w:r>
              <w:rPr>
                <w:i/>
                <w:iCs/>
              </w:rPr>
              <w:fldChar w:fldCharType="separate"/>
            </w:r>
            <w:r w:rsidR="00D300D0">
              <w:rPr>
                <w:i/>
                <w:iCs/>
              </w:rPr>
              <w:t>7</w:t>
            </w:r>
            <w:r>
              <w:rPr>
                <w:i/>
                <w:iCs/>
              </w:rPr>
              <w:fldChar w:fldCharType="end"/>
            </w:r>
            <w:r w:rsidRPr="00B725FF">
              <w:rPr>
                <w:i/>
                <w:iCs/>
              </w:rPr>
              <w:t xml:space="preserve">, pages </w:t>
            </w:r>
            <w:r w:rsidR="00672409" w:rsidRPr="00A160FC">
              <w:rPr>
                <w:i/>
                <w:iCs/>
              </w:rPr>
              <w:t>10</w:t>
            </w:r>
            <w:r w:rsidR="00A160FC" w:rsidRPr="00A160FC">
              <w:rPr>
                <w:i/>
                <w:iCs/>
              </w:rPr>
              <w:t>9</w:t>
            </w:r>
            <w:r w:rsidRPr="00A160FC">
              <w:rPr>
                <w:i/>
              </w:rPr>
              <w:t xml:space="preserve"> to </w:t>
            </w:r>
            <w:r w:rsidR="00AE5127" w:rsidRPr="00A160FC">
              <w:rPr>
                <w:i/>
                <w:iCs/>
              </w:rPr>
              <w:t>1</w:t>
            </w:r>
            <w:r w:rsidR="00A160FC" w:rsidRPr="00A160FC">
              <w:rPr>
                <w:i/>
                <w:iCs/>
              </w:rPr>
              <w:t>36</w:t>
            </w:r>
            <w:r w:rsidRPr="00A160FC">
              <w:rPr>
                <w:i/>
                <w:iCs/>
              </w:rPr>
              <w:t>)</w:t>
            </w:r>
          </w:p>
          <w:p w14:paraId="181CB279" w14:textId="40254D71" w:rsidR="00990B0C" w:rsidRDefault="00990B0C" w:rsidP="00CB06F4">
            <w:pPr>
              <w:spacing w:before="120" w:after="0"/>
            </w:pPr>
            <w:r w:rsidRPr="00650E6C">
              <w:rPr>
                <w:b/>
                <w:bCs/>
              </w:rPr>
              <w:t xml:space="preserve">Finding </w:t>
            </w:r>
            <w:r w:rsidR="009824A9">
              <w:rPr>
                <w:b/>
                <w:bCs/>
              </w:rPr>
              <w:t>21</w:t>
            </w:r>
            <w:r w:rsidRPr="00650E6C">
              <w:rPr>
                <w:b/>
                <w:bCs/>
              </w:rPr>
              <w:t>:</w:t>
            </w:r>
            <w:r>
              <w:t xml:space="preserve"> </w:t>
            </w:r>
            <w:r w:rsidR="00D81EBD" w:rsidRPr="00D81EBD">
              <w:t>CCCFR Program Officers are the primary point of contact and support for most CCCFR services, both for the grant and broader areas of service governance, quality, and business support outside the scope of the grant.</w:t>
            </w:r>
          </w:p>
          <w:p w14:paraId="6C169766" w14:textId="77777777" w:rsidR="009F25E3" w:rsidRDefault="009F25E3" w:rsidP="009F25E3">
            <w:pPr>
              <w:spacing w:after="0"/>
            </w:pPr>
          </w:p>
          <w:p w14:paraId="0940761C" w14:textId="0E261278" w:rsidR="000C53AE" w:rsidRDefault="52A910B4" w:rsidP="009F25E3">
            <w:pPr>
              <w:spacing w:after="0"/>
            </w:pPr>
            <w:r w:rsidRPr="30E0DE01">
              <w:rPr>
                <w:b/>
                <w:bCs/>
              </w:rPr>
              <w:t xml:space="preserve">Finding </w:t>
            </w:r>
            <w:r w:rsidR="6ABE1B7D" w:rsidRPr="30E0DE01">
              <w:rPr>
                <w:b/>
                <w:bCs/>
              </w:rPr>
              <w:t>22</w:t>
            </w:r>
            <w:r w:rsidRPr="30E0DE01">
              <w:rPr>
                <w:b/>
                <w:bCs/>
              </w:rPr>
              <w:t xml:space="preserve">: </w:t>
            </w:r>
            <w:r w:rsidR="291D56E4">
              <w:t xml:space="preserve">A lack of clarity around roles and responsibilities </w:t>
            </w:r>
            <w:r w:rsidR="195A30FA">
              <w:t>has meant</w:t>
            </w:r>
            <w:r w:rsidR="291D56E4">
              <w:t xml:space="preserve"> that</w:t>
            </w:r>
            <w:r w:rsidR="5CCD4FA0">
              <w:t xml:space="preserve"> Program Officers </w:t>
            </w:r>
            <w:r w:rsidR="3D800D02">
              <w:t xml:space="preserve">are undertaking tasks beyond traditional grants administration roles, with limited or no additional training to support </w:t>
            </w:r>
            <w:r w:rsidR="002074B5" w:rsidRPr="002074B5">
              <w:t xml:space="preserve">CCCFR </w:t>
            </w:r>
            <w:r w:rsidR="3D800D02">
              <w:t xml:space="preserve">services </w:t>
            </w:r>
            <w:r w:rsidR="27ECDF15">
              <w:t xml:space="preserve">with </w:t>
            </w:r>
            <w:r w:rsidR="3C6807EB">
              <w:t xml:space="preserve">broader queries in relation </w:t>
            </w:r>
            <w:r w:rsidR="7EE32EC1">
              <w:t xml:space="preserve">to </w:t>
            </w:r>
            <w:r w:rsidR="4D4E6D5A">
              <w:t xml:space="preserve">operations, such as infrastructure and asset </w:t>
            </w:r>
            <w:r w:rsidR="50EA3C8A">
              <w:t xml:space="preserve">maintenance. </w:t>
            </w:r>
          </w:p>
          <w:p w14:paraId="2F6889A2" w14:textId="77777777" w:rsidR="00DB2295" w:rsidRDefault="00DB2295" w:rsidP="009F25E3">
            <w:pPr>
              <w:spacing w:after="0"/>
            </w:pPr>
          </w:p>
          <w:p w14:paraId="72D9E823" w14:textId="474280DC" w:rsidR="004149A9" w:rsidRPr="00731F5A" w:rsidRDefault="146964EC" w:rsidP="004149A9">
            <w:pPr>
              <w:spacing w:after="0"/>
            </w:pPr>
            <w:r w:rsidRPr="30E0DE01">
              <w:rPr>
                <w:b/>
                <w:bCs/>
              </w:rPr>
              <w:t xml:space="preserve">Finding 23: </w:t>
            </w:r>
            <w:r>
              <w:t xml:space="preserve">To remain sustainable, CCCFR services require specialist support that is outside of the scope of roles and responsibilities of the Program Officers and is not systematically provided to </w:t>
            </w:r>
            <w:r w:rsidR="002074B5" w:rsidRPr="002074B5">
              <w:t xml:space="preserve">CCCFR </w:t>
            </w:r>
            <w:r>
              <w:t>services through other government or non-government bodies.</w:t>
            </w:r>
          </w:p>
          <w:p w14:paraId="3FAC1BA5" w14:textId="09C4237C" w:rsidR="009F25E3" w:rsidRDefault="009F25E3" w:rsidP="009F25E3">
            <w:pPr>
              <w:spacing w:after="0"/>
            </w:pPr>
          </w:p>
          <w:p w14:paraId="71CCD7B8" w14:textId="7C331A85" w:rsidR="000C53AE" w:rsidRPr="00731F5A" w:rsidRDefault="000C53AE" w:rsidP="009F25E3">
            <w:pPr>
              <w:spacing w:after="0"/>
            </w:pPr>
            <w:r w:rsidRPr="00731F5A">
              <w:rPr>
                <w:b/>
              </w:rPr>
              <w:t xml:space="preserve">Finding </w:t>
            </w:r>
            <w:r w:rsidR="009824A9">
              <w:rPr>
                <w:b/>
              </w:rPr>
              <w:t>2</w:t>
            </w:r>
            <w:r w:rsidR="00DB2295">
              <w:rPr>
                <w:b/>
              </w:rPr>
              <w:t>4</w:t>
            </w:r>
            <w:r w:rsidRPr="00731F5A">
              <w:rPr>
                <w:b/>
              </w:rPr>
              <w:t>:</w:t>
            </w:r>
            <w:r w:rsidRPr="00731F5A">
              <w:t xml:space="preserve"> Changes to the </w:t>
            </w:r>
            <w:r w:rsidR="36A63B86">
              <w:t>Department</w:t>
            </w:r>
            <w:r w:rsidR="00440E8C">
              <w:t>’</w:t>
            </w:r>
            <w:r w:rsidR="36A63B86">
              <w:t xml:space="preserve">s </w:t>
            </w:r>
            <w:r w:rsidRPr="00731F5A">
              <w:t>governance model over time has impacted the ability of P</w:t>
            </w:r>
            <w:r w:rsidR="009F14F1">
              <w:t xml:space="preserve">rogram </w:t>
            </w:r>
            <w:r w:rsidRPr="00731F5A">
              <w:t>O</w:t>
            </w:r>
            <w:r w:rsidR="009F14F1">
              <w:t>fficer</w:t>
            </w:r>
            <w:r w:rsidRPr="00731F5A">
              <w:t xml:space="preserve">s to visit CCCFR services in person, which both </w:t>
            </w:r>
            <w:r w:rsidR="002074B5" w:rsidRPr="002074B5">
              <w:t xml:space="preserve">CCCFR </w:t>
            </w:r>
            <w:r w:rsidRPr="00731F5A">
              <w:t>services and P</w:t>
            </w:r>
            <w:r w:rsidR="009F14F1">
              <w:t xml:space="preserve">rogram </w:t>
            </w:r>
            <w:r w:rsidRPr="00731F5A">
              <w:t>O</w:t>
            </w:r>
            <w:r w:rsidR="009F14F1">
              <w:t>fficer</w:t>
            </w:r>
            <w:r w:rsidRPr="00731F5A">
              <w:t>s cite as a limitation to providing effective support.</w:t>
            </w:r>
          </w:p>
          <w:p w14:paraId="50FBF316" w14:textId="77777777" w:rsidR="006C777B" w:rsidRDefault="006C777B" w:rsidP="009F25E3">
            <w:pPr>
              <w:spacing w:after="0"/>
            </w:pPr>
          </w:p>
          <w:p w14:paraId="25FAFEE4" w14:textId="517B7962" w:rsidR="00990B0C" w:rsidRDefault="00990B0C" w:rsidP="006C777B">
            <w:pPr>
              <w:spacing w:after="0"/>
            </w:pPr>
            <w:r w:rsidRPr="00650E6C">
              <w:rPr>
                <w:b/>
                <w:bCs/>
              </w:rPr>
              <w:t xml:space="preserve">Finding </w:t>
            </w:r>
            <w:r w:rsidR="009824A9">
              <w:rPr>
                <w:b/>
                <w:bCs/>
              </w:rPr>
              <w:t>25</w:t>
            </w:r>
            <w:r w:rsidRPr="00650E6C">
              <w:rPr>
                <w:b/>
                <w:bCs/>
              </w:rPr>
              <w:t>:</w:t>
            </w:r>
            <w:r>
              <w:t xml:space="preserve"> Despite annual reporting obligations for </w:t>
            </w:r>
            <w:r w:rsidR="002074B5" w:rsidRPr="002074B5">
              <w:t xml:space="preserve">CCCFR </w:t>
            </w:r>
            <w:r>
              <w:t xml:space="preserve">services under the grant, </w:t>
            </w:r>
            <w:r w:rsidRPr="00E01997">
              <w:t>there is limited evidence to indicate that these materials are being used to inform ongoing access to grant funding and broader quality uplift</w:t>
            </w:r>
            <w:r>
              <w:t>.</w:t>
            </w:r>
          </w:p>
          <w:p w14:paraId="5FD94641" w14:textId="77777777" w:rsidR="006C777B" w:rsidRDefault="006C777B" w:rsidP="006C777B">
            <w:pPr>
              <w:spacing w:after="0"/>
            </w:pPr>
          </w:p>
          <w:p w14:paraId="29112A4D" w14:textId="357836D9" w:rsidR="00990B0C" w:rsidRDefault="00990B0C" w:rsidP="006C777B">
            <w:pPr>
              <w:spacing w:after="0"/>
            </w:pPr>
            <w:r w:rsidRPr="00BB4652">
              <w:rPr>
                <w:b/>
              </w:rPr>
              <w:t xml:space="preserve">Finding </w:t>
            </w:r>
            <w:r w:rsidR="009824A9">
              <w:rPr>
                <w:b/>
              </w:rPr>
              <w:t>26</w:t>
            </w:r>
            <w:r w:rsidRPr="00BB4652">
              <w:rPr>
                <w:b/>
              </w:rPr>
              <w:t>:</w:t>
            </w:r>
            <w:r w:rsidRPr="00BB4652">
              <w:rPr>
                <w:i/>
                <w:sz w:val="16"/>
                <w:szCs w:val="16"/>
              </w:rPr>
              <w:t xml:space="preserve"> </w:t>
            </w:r>
            <w:r>
              <w:t xml:space="preserve">The Department adopts a </w:t>
            </w:r>
            <w:r w:rsidR="00515434">
              <w:t>responsive</w:t>
            </w:r>
            <w:r>
              <w:t xml:space="preserve">, risk-based approach to monitoring and reporting with CCCFR services, supporting </w:t>
            </w:r>
            <w:r w:rsidR="00D77FB2" w:rsidRPr="00D77FB2">
              <w:t xml:space="preserve">CCCFR </w:t>
            </w:r>
            <w:r>
              <w:t>services to meet their compliance obligations in a non-punitive manner, while still undertaking enforcement actions where significant risks to children’s health and safety have been identified.</w:t>
            </w:r>
          </w:p>
          <w:p w14:paraId="0E5517B7" w14:textId="77777777" w:rsidR="00AE2D39" w:rsidRDefault="00AE2D39" w:rsidP="006C777B">
            <w:pPr>
              <w:spacing w:after="0"/>
            </w:pPr>
          </w:p>
          <w:p w14:paraId="645B31E7" w14:textId="77777777" w:rsidR="00AE2D39" w:rsidRPr="00CF1CA4" w:rsidRDefault="00AE2D39" w:rsidP="00AE2D39">
            <w:pPr>
              <w:spacing w:after="0"/>
            </w:pPr>
            <w:r w:rsidRPr="00650E6C">
              <w:rPr>
                <w:b/>
                <w:bCs/>
              </w:rPr>
              <w:t xml:space="preserve">Finding </w:t>
            </w:r>
            <w:r>
              <w:rPr>
                <w:b/>
                <w:bCs/>
              </w:rPr>
              <w:t>27</w:t>
            </w:r>
            <w:r w:rsidRPr="00650E6C">
              <w:rPr>
                <w:b/>
                <w:bCs/>
              </w:rPr>
              <w:t>:</w:t>
            </w:r>
            <w:r>
              <w:t xml:space="preserve"> CCCFR services have highlighted challenges in meeting provider obligations under the Family Assistance Law (FAL), in particular around approved provider and person with management or control (PMC) obligations, collecting gap fees, exceeding allowable absences and broader challenges around collecting CCS information from families.</w:t>
            </w:r>
          </w:p>
          <w:p w14:paraId="165B4E9A" w14:textId="77777777" w:rsidR="00AE2D39" w:rsidRDefault="00AE2D39" w:rsidP="006C777B">
            <w:pPr>
              <w:spacing w:after="0"/>
            </w:pPr>
          </w:p>
          <w:p w14:paraId="00916D70" w14:textId="3C4781D8" w:rsidR="00AE2D39" w:rsidRDefault="00AE2D39" w:rsidP="00AE2D39">
            <w:pPr>
              <w:spacing w:after="0"/>
            </w:pPr>
            <w:r w:rsidRPr="00650E6C">
              <w:rPr>
                <w:b/>
                <w:bCs/>
              </w:rPr>
              <w:t xml:space="preserve">Finding </w:t>
            </w:r>
            <w:r>
              <w:rPr>
                <w:b/>
                <w:bCs/>
              </w:rPr>
              <w:t>28</w:t>
            </w:r>
            <w:r w:rsidRPr="00650E6C">
              <w:rPr>
                <w:b/>
                <w:bCs/>
              </w:rPr>
              <w:t>:</w:t>
            </w:r>
            <w:r w:rsidR="002E497C">
              <w:t xml:space="preserve"> </w:t>
            </w:r>
            <w:r>
              <w:t>Some CCCFR services are expected to face significant barriers to meeting the National Law and Regulations, in particular around meeting workforce and infrastructure requirements.</w:t>
            </w:r>
          </w:p>
          <w:p w14:paraId="2ED08D55" w14:textId="77777777" w:rsidR="00AE2D39" w:rsidRPr="00CF1CA4" w:rsidRDefault="00AE2D39" w:rsidP="00AE2D39">
            <w:pPr>
              <w:spacing w:after="0"/>
            </w:pPr>
          </w:p>
          <w:p w14:paraId="14C4E7C8" w14:textId="0828F9F2" w:rsidR="00AE2D39" w:rsidRPr="00CF1CA4" w:rsidRDefault="00AE2D39" w:rsidP="00AE2D39">
            <w:pPr>
              <w:spacing w:after="0"/>
            </w:pPr>
            <w:r w:rsidRPr="00650E6C">
              <w:rPr>
                <w:b/>
                <w:bCs/>
              </w:rPr>
              <w:t xml:space="preserve">Finding </w:t>
            </w:r>
            <w:r>
              <w:rPr>
                <w:b/>
                <w:bCs/>
              </w:rPr>
              <w:t>29</w:t>
            </w:r>
            <w:r w:rsidRPr="00650E6C">
              <w:rPr>
                <w:b/>
                <w:bCs/>
              </w:rPr>
              <w:t>:</w:t>
            </w:r>
            <w:r>
              <w:t xml:space="preserve"> While there is mixed evidence within current research, CCCFR services may face broader, systemic barriers to achieving the National Quality Standard (NQS) and broader requirements under the National Law and Regulations (NQF).</w:t>
            </w:r>
          </w:p>
          <w:p w14:paraId="14E8145B" w14:textId="77777777" w:rsidR="00515319" w:rsidRDefault="00515319" w:rsidP="00AE2D39">
            <w:pPr>
              <w:spacing w:after="0"/>
            </w:pPr>
          </w:p>
          <w:p w14:paraId="0A0B1204" w14:textId="7C68A2AE" w:rsidR="00515319" w:rsidRPr="00CF1CA4" w:rsidRDefault="00515319" w:rsidP="00515319">
            <w:pPr>
              <w:spacing w:after="0"/>
            </w:pPr>
            <w:r w:rsidRPr="00BB4652">
              <w:rPr>
                <w:b/>
              </w:rPr>
              <w:t xml:space="preserve">Finding </w:t>
            </w:r>
            <w:r>
              <w:rPr>
                <w:b/>
              </w:rPr>
              <w:t>30</w:t>
            </w:r>
            <w:r w:rsidRPr="00BB4652">
              <w:rPr>
                <w:b/>
              </w:rPr>
              <w:t>:</w:t>
            </w:r>
            <w:r w:rsidRPr="00BB4652">
              <w:t xml:space="preserve"> </w:t>
            </w:r>
            <w:r>
              <w:t xml:space="preserve">Analysis of Compliance and Operations Reports indicates </w:t>
            </w:r>
            <w:r w:rsidRPr="000A0D47">
              <w:t xml:space="preserve">varying capability and </w:t>
            </w:r>
            <w:r>
              <w:t>capacity across CCCFR services</w:t>
            </w:r>
            <w:r w:rsidRPr="000A0D47">
              <w:t xml:space="preserve"> to prepare planning and governance documentation</w:t>
            </w:r>
            <w:r>
              <w:t xml:space="preserve"> in line with the Minister’s Rules. </w:t>
            </w:r>
          </w:p>
          <w:p w14:paraId="08F6B102" w14:textId="77777777" w:rsidR="00515319" w:rsidRDefault="00515319" w:rsidP="00AE2D39">
            <w:pPr>
              <w:spacing w:after="0"/>
            </w:pPr>
          </w:p>
          <w:p w14:paraId="3AB36DB6" w14:textId="51987795" w:rsidR="00515319" w:rsidRPr="00CF1CA4" w:rsidRDefault="00515319" w:rsidP="00515319">
            <w:pPr>
              <w:spacing w:after="0"/>
            </w:pPr>
            <w:r w:rsidRPr="00BB4652">
              <w:rPr>
                <w:b/>
              </w:rPr>
              <w:t xml:space="preserve">Finding </w:t>
            </w:r>
            <w:r>
              <w:rPr>
                <w:b/>
              </w:rPr>
              <w:t>31</w:t>
            </w:r>
            <w:r w:rsidRPr="00BB4652">
              <w:rPr>
                <w:b/>
              </w:rPr>
              <w:t>:</w:t>
            </w:r>
            <w:r w:rsidRPr="00BB4652">
              <w:t xml:space="preserve"> </w:t>
            </w:r>
            <w:r>
              <w:t xml:space="preserve">Broader workforce challenges have impacted several rural and remote </w:t>
            </w:r>
            <w:r w:rsidR="00D77FB2" w:rsidRPr="00D77FB2">
              <w:t>CCCFR</w:t>
            </w:r>
            <w:r>
              <w:t xml:space="preserve"> services’ ability to meet obligations under the Minister’s Rules, specifically around ensuring effective supervision and meeting First Aid obligations.</w:t>
            </w:r>
          </w:p>
          <w:p w14:paraId="13E9CF8F" w14:textId="77777777" w:rsidR="00515319" w:rsidRPr="00CF1CA4" w:rsidRDefault="00515319" w:rsidP="00AE2D39">
            <w:pPr>
              <w:spacing w:after="0"/>
            </w:pPr>
          </w:p>
          <w:p w14:paraId="5B663849" w14:textId="77777777" w:rsidR="00515319" w:rsidRPr="00BB4652" w:rsidRDefault="00515319" w:rsidP="00515319">
            <w:pPr>
              <w:spacing w:after="0"/>
            </w:pPr>
            <w:r w:rsidRPr="00BB4652">
              <w:rPr>
                <w:b/>
                <w:bCs/>
              </w:rPr>
              <w:t xml:space="preserve">Finding </w:t>
            </w:r>
            <w:r>
              <w:rPr>
                <w:b/>
                <w:bCs/>
              </w:rPr>
              <w:t>32</w:t>
            </w:r>
            <w:r w:rsidRPr="00BB4652">
              <w:rPr>
                <w:b/>
                <w:bCs/>
              </w:rPr>
              <w:t>:</w:t>
            </w:r>
            <w:r w:rsidRPr="00BB4652">
              <w:t xml:space="preserve"> While the Minister’s Rules (section 49(9) of the FAL) prescribes obligations for CCCFR services not regulated under the NQF, certain obligations are subjective and open to interpretation, in particular criteria for the delivery of “high quality child care”.</w:t>
            </w:r>
          </w:p>
          <w:p w14:paraId="3A52A63B" w14:textId="77777777" w:rsidR="006C777B" w:rsidRDefault="006C777B" w:rsidP="006C777B">
            <w:pPr>
              <w:spacing w:after="0"/>
            </w:pPr>
          </w:p>
          <w:p w14:paraId="12908BAA" w14:textId="19957BDB" w:rsidR="00990B0C" w:rsidRPr="00CF1CA4" w:rsidRDefault="00990B0C" w:rsidP="00CB06F4">
            <w:pPr>
              <w:spacing w:after="0"/>
            </w:pPr>
            <w:r w:rsidRPr="00BB4652">
              <w:rPr>
                <w:b/>
              </w:rPr>
              <w:lastRenderedPageBreak/>
              <w:t xml:space="preserve">Finding </w:t>
            </w:r>
            <w:r w:rsidR="001C1D64">
              <w:rPr>
                <w:b/>
              </w:rPr>
              <w:t>33</w:t>
            </w:r>
            <w:r w:rsidRPr="00BB4652">
              <w:rPr>
                <w:b/>
              </w:rPr>
              <w:t>:</w:t>
            </w:r>
            <w:r w:rsidRPr="00BB4652">
              <w:rPr>
                <w:i/>
                <w:sz w:val="16"/>
                <w:szCs w:val="16"/>
              </w:rPr>
              <w:t xml:space="preserve"> </w:t>
            </w:r>
            <w:r>
              <w:t xml:space="preserve">A lack of prescribed criteria for service documentation for the Compliance and Operations </w:t>
            </w:r>
            <w:r w:rsidR="009079D7">
              <w:t>Report</w:t>
            </w:r>
            <w:r>
              <w:t xml:space="preserve">s has resulted in significantly varying documents submitted by </w:t>
            </w:r>
            <w:r w:rsidR="00D77FB2" w:rsidRPr="00D77FB2">
              <w:t xml:space="preserve">CCCFR </w:t>
            </w:r>
            <w:r>
              <w:t xml:space="preserve">services, especially in relation to evidence of </w:t>
            </w:r>
            <w:r w:rsidR="5EE9385B">
              <w:t xml:space="preserve">an </w:t>
            </w:r>
            <w:r>
              <w:t>educational program.</w:t>
            </w:r>
          </w:p>
          <w:p w14:paraId="6BF12DEA" w14:textId="77777777" w:rsidR="006C777B" w:rsidRPr="00BB4652" w:rsidRDefault="006C777B" w:rsidP="00CB06F4">
            <w:pPr>
              <w:spacing w:after="0"/>
            </w:pPr>
          </w:p>
          <w:p w14:paraId="46E584A9" w14:textId="454CD483" w:rsidR="00990B0C" w:rsidRPr="00CB06F4" w:rsidRDefault="00990B0C" w:rsidP="006C777B">
            <w:pPr>
              <w:spacing w:after="120"/>
            </w:pPr>
            <w:r w:rsidRPr="00BB4652">
              <w:rPr>
                <w:b/>
                <w:bCs/>
              </w:rPr>
              <w:t xml:space="preserve">Finding </w:t>
            </w:r>
            <w:r w:rsidR="009824A9">
              <w:rPr>
                <w:b/>
                <w:bCs/>
              </w:rPr>
              <w:t>34</w:t>
            </w:r>
            <w:r w:rsidRPr="00BB4652">
              <w:rPr>
                <w:b/>
                <w:bCs/>
              </w:rPr>
              <w:t>:</w:t>
            </w:r>
            <w:r w:rsidRPr="00BB4652">
              <w:t xml:space="preserve"> While the grant enables a range of professional development and training, and ongoing business supports for </w:t>
            </w:r>
            <w:r w:rsidR="00D77FB2" w:rsidRPr="00D77FB2">
              <w:t xml:space="preserve">CCCFR </w:t>
            </w:r>
            <w:r w:rsidRPr="00BB4652">
              <w:t>services, it is unclear whether these efforts are targeted towards those within leadership and/or management positions, such as PMCs or Approved Providers.</w:t>
            </w:r>
          </w:p>
        </w:tc>
      </w:tr>
    </w:tbl>
    <w:p w14:paraId="4EBD223A" w14:textId="77777777" w:rsidR="006C5910" w:rsidRDefault="006C5910" w:rsidP="00E9538D">
      <w:pPr>
        <w:pStyle w:val="NoSpacing"/>
      </w:pPr>
    </w:p>
    <w:p w14:paraId="75A5F22F" w14:textId="0030A20F" w:rsidR="00CE37D2" w:rsidRPr="0010453C" w:rsidRDefault="0010453C" w:rsidP="000905D7">
      <w:pPr>
        <w:pStyle w:val="Heading3un-numbered"/>
        <w:spacing w:after="170"/>
      </w:pPr>
      <w:r w:rsidRPr="0010453C">
        <w:t xml:space="preserve">Domain 4: Resourcing and financial sustainability </w:t>
      </w:r>
    </w:p>
    <w:p w14:paraId="6C974B2A" w14:textId="77777777" w:rsidR="00E75A6E" w:rsidRPr="00B3747E" w:rsidRDefault="00E75A6E" w:rsidP="00E75A6E">
      <w:pPr>
        <w:rPr>
          <w:i/>
          <w:iCs/>
        </w:rPr>
      </w:pPr>
      <w:r w:rsidRPr="00B3747E">
        <w:rPr>
          <w:i/>
          <w:iCs/>
        </w:rPr>
        <w:t>This domain examines funding adequacy and its responsiveness to current and future need. It also considers the financial sustainability of CCCFR services, leasing arrangements and infrastructure funding.</w:t>
      </w:r>
    </w:p>
    <w:p w14:paraId="3F428753" w14:textId="0D4E73DA" w:rsidR="00F72EA0" w:rsidRDefault="00811C33" w:rsidP="00F53140">
      <w:pPr>
        <w:spacing w:after="120"/>
      </w:pPr>
      <w:r>
        <w:t xml:space="preserve">The revenue that CCCFR services receive from the </w:t>
      </w:r>
      <w:r w:rsidR="007C0A9B">
        <w:t>Australian</w:t>
      </w:r>
      <w:r>
        <w:t xml:space="preserve"> Government</w:t>
      </w:r>
      <w:r w:rsidR="004E7CBA">
        <w:t xml:space="preserve"> </w:t>
      </w:r>
      <w:r w:rsidR="000D5364">
        <w:t xml:space="preserve">is a function of their reliance on the CCCFR grant itself and </w:t>
      </w:r>
      <w:r w:rsidR="00FE1C06">
        <w:t xml:space="preserve">subsidy revenue provided under </w:t>
      </w:r>
      <w:r w:rsidR="007C0A9B">
        <w:t xml:space="preserve">the </w:t>
      </w:r>
      <w:r w:rsidR="00FE1C06">
        <w:t xml:space="preserve">CCS. </w:t>
      </w:r>
      <w:r w:rsidR="004E7CBA">
        <w:t xml:space="preserve">The adequacy of this funding in turn rests on the interaction between funding and </w:t>
      </w:r>
      <w:r w:rsidR="00FB6780">
        <w:t xml:space="preserve">service delivery </w:t>
      </w:r>
      <w:r w:rsidR="004E7CBA">
        <w:t xml:space="preserve">costs. </w:t>
      </w:r>
      <w:r w:rsidR="00BE193D">
        <w:t xml:space="preserve">Owing to the characteristics of their operating context, </w:t>
      </w:r>
      <w:r w:rsidR="00D36B47">
        <w:t>the costs that CCCFR services face are considerably high</w:t>
      </w:r>
      <w:r w:rsidR="008A1F09">
        <w:t>er</w:t>
      </w:r>
      <w:r w:rsidR="00D36B47">
        <w:t xml:space="preserve"> than average (on a </w:t>
      </w:r>
      <w:r w:rsidR="00FB6780">
        <w:t>per-</w:t>
      </w:r>
      <w:r w:rsidR="00D36B47">
        <w:t>unit basis).</w:t>
      </w:r>
      <w:r w:rsidR="002E497C">
        <w:t xml:space="preserve"> </w:t>
      </w:r>
    </w:p>
    <w:p w14:paraId="1C6F5157" w14:textId="5F4BFDB8" w:rsidR="00F53140" w:rsidRPr="003D6AC2" w:rsidRDefault="00BB7826" w:rsidP="00F53140">
      <w:pPr>
        <w:spacing w:after="120"/>
      </w:pPr>
      <w:r>
        <w:t xml:space="preserve">Not only that, but they </w:t>
      </w:r>
      <w:r w:rsidR="008A1F09">
        <w:t xml:space="preserve">vary considerably </w:t>
      </w:r>
      <w:r w:rsidR="000F7A1C">
        <w:t xml:space="preserve">between </w:t>
      </w:r>
      <w:r w:rsidR="00C974CD" w:rsidRPr="00C974CD">
        <w:t xml:space="preserve">CCCFR </w:t>
      </w:r>
      <w:r w:rsidR="000F7A1C">
        <w:t xml:space="preserve">services. With funding not varying in accordance with cost drivers, </w:t>
      </w:r>
      <w:r w:rsidR="005B3515">
        <w:t>there is wide variation in its adequacy</w:t>
      </w:r>
      <w:r w:rsidR="00FB6780">
        <w:t xml:space="preserve"> across </w:t>
      </w:r>
      <w:r w:rsidR="00C974CD" w:rsidRPr="00C974CD">
        <w:t xml:space="preserve">CCCFR </w:t>
      </w:r>
      <w:r w:rsidR="00FB6780">
        <w:t>services</w:t>
      </w:r>
      <w:r w:rsidR="005B3515">
        <w:t xml:space="preserve">. </w:t>
      </w:r>
      <w:r w:rsidR="005B3515" w:rsidRPr="003D6AC2">
        <w:t xml:space="preserve">Most </w:t>
      </w:r>
      <w:r w:rsidR="00C974CD" w:rsidRPr="00C974CD">
        <w:t>CCCFR</w:t>
      </w:r>
      <w:r w:rsidR="005B3515" w:rsidRPr="003D6AC2">
        <w:t xml:space="preserve"> </w:t>
      </w:r>
      <w:r w:rsidR="005B3515">
        <w:t xml:space="preserve">services </w:t>
      </w:r>
      <w:r w:rsidR="005B3515" w:rsidRPr="003D6AC2">
        <w:t>report that the funding they receive is inadequate and that their financial viability is at risk</w:t>
      </w:r>
      <w:r w:rsidR="005B3515">
        <w:t>.</w:t>
      </w:r>
      <w:r w:rsidR="00F53140" w:rsidRPr="00F53140">
        <w:t xml:space="preserve"> </w:t>
      </w:r>
      <w:r w:rsidR="00F53140" w:rsidRPr="003D6AC2">
        <w:t xml:space="preserve">Transition to </w:t>
      </w:r>
      <w:r w:rsidR="007C0A9B">
        <w:t>the</w:t>
      </w:r>
      <w:r w:rsidR="00F53140" w:rsidRPr="003D6AC2">
        <w:t xml:space="preserve"> CCS has in many cases been associated with greater financial viability challenges.</w:t>
      </w:r>
      <w:r w:rsidR="002E497C">
        <w:t xml:space="preserve"> </w:t>
      </w:r>
      <w:r w:rsidR="00F72EA0">
        <w:t xml:space="preserve">This in many cases </w:t>
      </w:r>
      <w:r w:rsidR="005572AB">
        <w:t>derives from</w:t>
      </w:r>
      <w:r w:rsidR="00F72EA0">
        <w:t xml:space="preserve"> the barriers </w:t>
      </w:r>
      <w:r w:rsidR="00C974CD" w:rsidRPr="00C974CD">
        <w:t xml:space="preserve">CCCFR </w:t>
      </w:r>
      <w:r w:rsidR="00F72EA0">
        <w:t xml:space="preserve">services and families face in seeking to engage with the systems and processes that govern access to </w:t>
      </w:r>
      <w:r w:rsidR="0011268B">
        <w:t xml:space="preserve">the </w:t>
      </w:r>
      <w:r w:rsidR="00F72EA0">
        <w:t xml:space="preserve">CCS. </w:t>
      </w:r>
    </w:p>
    <w:p w14:paraId="1291EA26" w14:textId="5477C2D5" w:rsidR="00BB111A" w:rsidRDefault="005B3515" w:rsidP="00CE37D2">
      <w:pPr>
        <w:spacing w:after="120"/>
      </w:pPr>
      <w:r>
        <w:t>In all cases</w:t>
      </w:r>
      <w:r w:rsidR="00F53140">
        <w:t>,</w:t>
      </w:r>
      <w:r>
        <w:t xml:space="preserve"> the supplementary revenue that the grant provides works to </w:t>
      </w:r>
      <w:r w:rsidRPr="003D6AC2">
        <w:t>improve financial sustainability</w:t>
      </w:r>
      <w:r w:rsidR="00BB111A">
        <w:t>. However, with the design of the grant not geared toward responding to variations in cost or need</w:t>
      </w:r>
      <w:r w:rsidR="0011268B">
        <w:t>,</w:t>
      </w:r>
      <w:r w:rsidR="00FE2B39">
        <w:t xml:space="preserve"> its capacity to systematically support financial sustainability is limited</w:t>
      </w:r>
      <w:r w:rsidR="00F53140">
        <w:t>. It is</w:t>
      </w:r>
      <w:r w:rsidR="00C04BB0" w:rsidRPr="00C04BB0">
        <w:t xml:space="preserve"> not intentionally responsive or adaptive to the current or evolving needs of community. Many view funding as limited in its direct support for vulnerability and disadvantage (however defined). </w:t>
      </w:r>
      <w:r w:rsidR="00F53140">
        <w:t>In this sense</w:t>
      </w:r>
      <w:r w:rsidR="00BB111A">
        <w:t xml:space="preserve">, it is </w:t>
      </w:r>
      <w:r w:rsidR="00FE2B39">
        <w:t>also</w:t>
      </w:r>
      <w:r w:rsidR="00BB111A">
        <w:t xml:space="preserve"> limited in its ability to </w:t>
      </w:r>
      <w:r w:rsidR="00C7732E">
        <w:t xml:space="preserve">systematically and consistently </w:t>
      </w:r>
      <w:r w:rsidR="00BB111A">
        <w:t xml:space="preserve">provide </w:t>
      </w:r>
      <w:r w:rsidR="00C974CD" w:rsidRPr="00C974CD">
        <w:t>CCCFR</w:t>
      </w:r>
      <w:r w:rsidR="00BB111A">
        <w:t xml:space="preserve"> services with the </w:t>
      </w:r>
      <w:r w:rsidR="00C7732E">
        <w:t xml:space="preserve">resources they need to deliver on the stated policy objectives (noting, as this review previously has, that the ambiguity regarding the grant’s </w:t>
      </w:r>
      <w:r w:rsidR="00F53140">
        <w:t>objectives</w:t>
      </w:r>
      <w:r w:rsidR="00C7732E">
        <w:t xml:space="preserve"> has </w:t>
      </w:r>
      <w:r w:rsidR="00F53140">
        <w:t>implications</w:t>
      </w:r>
      <w:r w:rsidR="00C7732E">
        <w:t xml:space="preserve"> for a </w:t>
      </w:r>
      <w:r w:rsidR="00F53140">
        <w:t xml:space="preserve">number of its other features, including funding). </w:t>
      </w:r>
    </w:p>
    <w:p w14:paraId="5D56B985" w14:textId="28B587B9" w:rsidR="00F72EA0" w:rsidRDefault="006C43F3" w:rsidP="00CE37D2">
      <w:pPr>
        <w:spacing w:after="120"/>
      </w:pPr>
      <w:r>
        <w:t xml:space="preserve">The quality and adequacy of infrastructure is an </w:t>
      </w:r>
      <w:r w:rsidR="000204D5">
        <w:t>area</w:t>
      </w:r>
      <w:r>
        <w:t xml:space="preserve"> of </w:t>
      </w:r>
      <w:r w:rsidR="000204D5">
        <w:t xml:space="preserve">widespread concern. It is apparent that there is an extensive need for </w:t>
      </w:r>
      <w:r>
        <w:t xml:space="preserve">infrastructure </w:t>
      </w:r>
      <w:r w:rsidR="000204D5">
        <w:t>improvements,</w:t>
      </w:r>
      <w:r>
        <w:t xml:space="preserve"> especially if </w:t>
      </w:r>
      <w:r w:rsidRPr="001C66DD">
        <w:t>minimum</w:t>
      </w:r>
      <w:r>
        <w:t xml:space="preserve"> requirements </w:t>
      </w:r>
      <w:r w:rsidRPr="001C66DD">
        <w:t>under the National Law and Regulations</w:t>
      </w:r>
      <w:r>
        <w:t xml:space="preserve"> are to be met.</w:t>
      </w:r>
      <w:r w:rsidR="000204D5">
        <w:t xml:space="preserve"> </w:t>
      </w:r>
      <w:r w:rsidR="0060483A">
        <w:t xml:space="preserve">The current challenges in this regard stem partly from the grant’s legacy, with some buildings having been in use for an extended period and many of these re-purposed from other uses. They also stem from </w:t>
      </w:r>
      <w:r w:rsidR="003D4A0F">
        <w:t xml:space="preserve">barriers to participating in the infrastructure </w:t>
      </w:r>
      <w:r w:rsidR="000B1610">
        <w:t xml:space="preserve">grant </w:t>
      </w:r>
      <w:r w:rsidR="003D4A0F">
        <w:t>process, including those emanating from the process itself, those that reflect a need for greater support and th</w:t>
      </w:r>
      <w:r w:rsidR="00F10587">
        <w:t>e</w:t>
      </w:r>
      <w:r w:rsidR="003D4A0F">
        <w:t xml:space="preserve"> </w:t>
      </w:r>
      <w:r w:rsidR="00183A42">
        <w:t>challenging procurement conditions in which CCCFR services often operate</w:t>
      </w:r>
      <w:r w:rsidR="00F10587">
        <w:t xml:space="preserve"> (</w:t>
      </w:r>
      <w:r w:rsidR="5599F55B">
        <w:t>w</w:t>
      </w:r>
      <w:r w:rsidR="35B47AAF">
        <w:t>hich</w:t>
      </w:r>
      <w:r w:rsidR="00F10587">
        <w:t xml:space="preserve"> can see long delays and limited access to key trades)</w:t>
      </w:r>
      <w:r w:rsidR="00183A42">
        <w:t>.</w:t>
      </w:r>
      <w:r w:rsidR="002E497C">
        <w:t xml:space="preserve"> </w:t>
      </w:r>
    </w:p>
    <w:p w14:paraId="25604C1C" w14:textId="677E4D6E" w:rsidR="00183A42" w:rsidRDefault="00183A42" w:rsidP="007F491D">
      <w:pPr>
        <w:spacing w:after="120"/>
      </w:pPr>
      <w:r>
        <w:t xml:space="preserve">The issues </w:t>
      </w:r>
      <w:r w:rsidR="000A5B0F">
        <w:t xml:space="preserve">relating to current infrastructure also arise because of a number of limitations with the current </w:t>
      </w:r>
      <w:r w:rsidR="0FA71205">
        <w:t xml:space="preserve">Department held </w:t>
      </w:r>
      <w:r w:rsidR="000A5B0F">
        <w:t xml:space="preserve">leasing </w:t>
      </w:r>
      <w:r w:rsidR="007F491D">
        <w:t>arrangements</w:t>
      </w:r>
      <w:r w:rsidR="000A5B0F">
        <w:t xml:space="preserve">. </w:t>
      </w:r>
      <w:r w:rsidR="007F491D">
        <w:t xml:space="preserve">The assessment of </w:t>
      </w:r>
      <w:r w:rsidR="4C4DF39B">
        <w:t xml:space="preserve">Department held </w:t>
      </w:r>
      <w:r w:rsidR="007F491D">
        <w:t xml:space="preserve">leasing arrangements concludes that of the various current arrangements in place, the Management Agreement </w:t>
      </w:r>
      <w:r w:rsidR="5A3B570D">
        <w:t>with the Northern Territory Government co located sites</w:t>
      </w:r>
      <w:r w:rsidR="70E917F3">
        <w:t xml:space="preserve"> </w:t>
      </w:r>
      <w:r w:rsidR="007F491D">
        <w:t xml:space="preserve">appears to better accommodate the delivery of </w:t>
      </w:r>
      <w:r w:rsidR="70E917F3">
        <w:t>child</w:t>
      </w:r>
      <w:r w:rsidR="0962663F">
        <w:t xml:space="preserve"> </w:t>
      </w:r>
      <w:r w:rsidR="70E917F3">
        <w:t>care</w:t>
      </w:r>
      <w:r w:rsidR="007F491D">
        <w:t xml:space="preserve"> services, clearly outlining obligations of the parties to the agreement and imposing obligations on the </w:t>
      </w:r>
      <w:r w:rsidR="00A8653E">
        <w:t>Australian Government</w:t>
      </w:r>
      <w:r w:rsidR="007F491D">
        <w:t xml:space="preserve"> and/or the operator to maintain building compliance.</w:t>
      </w:r>
      <w:r w:rsidR="008D35DD">
        <w:rPr>
          <w:rStyle w:val="FootnoteReference"/>
        </w:rPr>
        <w:footnoteReference w:id="16"/>
      </w:r>
      <w:r w:rsidR="007F491D">
        <w:t xml:space="preserve"> However, improvements are needed. </w:t>
      </w:r>
      <w:r w:rsidR="007F491D">
        <w:tab/>
        <w:t xml:space="preserve">The Management Agreement </w:t>
      </w:r>
      <w:r w:rsidR="007F491D">
        <w:lastRenderedPageBreak/>
        <w:t>could be enhanced for future arrangements</w:t>
      </w:r>
      <w:r w:rsidR="00D65756">
        <w:t>,</w:t>
      </w:r>
      <w:r w:rsidR="007F491D">
        <w:t xml:space="preserve"> with individual property schedules detailing matters such as the ownership of improvements, ensuring infrastructure provision to the child</w:t>
      </w:r>
      <w:r w:rsidR="008C0DCB">
        <w:t xml:space="preserve"> </w:t>
      </w:r>
      <w:r w:rsidR="007F491D">
        <w:t>care part of the site is adequate, and detailing the explicit obligations of the parties, including annual reporting procedures, timeframes to meet compliance obligations and penalties for non-compliance.</w:t>
      </w:r>
    </w:p>
    <w:p w14:paraId="7962D632" w14:textId="77777777" w:rsidR="00F021EA" w:rsidRDefault="00F021EA" w:rsidP="00E9538D">
      <w:pPr>
        <w:pStyle w:val="NoSpacing"/>
      </w:pPr>
    </w:p>
    <w:tbl>
      <w:tblPr>
        <w:tblStyle w:val="TableGrid"/>
        <w:tblW w:w="0" w:type="auto"/>
        <w:shd w:val="clear" w:color="auto" w:fill="E7F5CF" w:themeFill="accent1" w:themeFillTint="33"/>
        <w:tblCellMar>
          <w:top w:w="85" w:type="dxa"/>
          <w:left w:w="113" w:type="dxa"/>
          <w:bottom w:w="85" w:type="dxa"/>
          <w:right w:w="113" w:type="dxa"/>
        </w:tblCellMar>
        <w:tblLook w:val="04A0" w:firstRow="1" w:lastRow="0" w:firstColumn="1" w:lastColumn="0" w:noHBand="0" w:noVBand="1"/>
      </w:tblPr>
      <w:tblGrid>
        <w:gridCol w:w="9026"/>
      </w:tblGrid>
      <w:tr w:rsidR="000D5ADB" w14:paraId="0ACCED93" w14:textId="77777777" w:rsidTr="30E0DE01">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224FB12A" w14:textId="712F14B4" w:rsidR="000D5ADB" w:rsidRPr="009E424E" w:rsidRDefault="000D5ADB">
            <w:pPr>
              <w:spacing w:after="120"/>
              <w:rPr>
                <w:b/>
                <w:bCs/>
              </w:rPr>
            </w:pPr>
            <w:r w:rsidRPr="009E424E">
              <w:rPr>
                <w:b/>
                <w:bCs/>
              </w:rPr>
              <w:t>Review finding</w:t>
            </w:r>
            <w:r>
              <w:rPr>
                <w:b/>
                <w:bCs/>
              </w:rPr>
              <w:t>s on resourcing and financial sustainability</w:t>
            </w:r>
          </w:p>
          <w:p w14:paraId="4072D409" w14:textId="0973EC32" w:rsidR="00AE584A" w:rsidRPr="00B725FF" w:rsidRDefault="00AE584A" w:rsidP="00AE584A">
            <w:pPr>
              <w:rPr>
                <w:i/>
                <w:iCs/>
              </w:rPr>
            </w:pPr>
            <w:r w:rsidRPr="00B725FF">
              <w:rPr>
                <w:i/>
                <w:iCs/>
              </w:rPr>
              <w:t xml:space="preserve">(Presented in Chapter </w:t>
            </w:r>
            <w:r w:rsidR="00C64E8B">
              <w:rPr>
                <w:i/>
                <w:iCs/>
              </w:rPr>
              <w:fldChar w:fldCharType="begin"/>
            </w:r>
            <w:r w:rsidR="00C64E8B">
              <w:rPr>
                <w:i/>
                <w:iCs/>
              </w:rPr>
              <w:instrText xml:space="preserve"> REF _Ref152874184 \r \h </w:instrText>
            </w:r>
            <w:r w:rsidR="00C64E8B">
              <w:rPr>
                <w:i/>
                <w:iCs/>
              </w:rPr>
            </w:r>
            <w:r w:rsidR="00C64E8B">
              <w:rPr>
                <w:i/>
                <w:iCs/>
              </w:rPr>
              <w:fldChar w:fldCharType="separate"/>
            </w:r>
            <w:r w:rsidR="00D300D0">
              <w:rPr>
                <w:i/>
                <w:iCs/>
              </w:rPr>
              <w:t>8</w:t>
            </w:r>
            <w:r w:rsidR="00C64E8B">
              <w:rPr>
                <w:i/>
                <w:iCs/>
              </w:rPr>
              <w:fldChar w:fldCharType="end"/>
            </w:r>
            <w:r w:rsidRPr="00B725FF">
              <w:rPr>
                <w:i/>
                <w:iCs/>
              </w:rPr>
              <w:t xml:space="preserve">, </w:t>
            </w:r>
            <w:r w:rsidRPr="00A160FC">
              <w:rPr>
                <w:i/>
                <w:iCs/>
              </w:rPr>
              <w:t xml:space="preserve">pages </w:t>
            </w:r>
            <w:r w:rsidR="00AE5127" w:rsidRPr="00A160FC">
              <w:rPr>
                <w:i/>
                <w:iCs/>
              </w:rPr>
              <w:t>1</w:t>
            </w:r>
            <w:r w:rsidR="00A160FC" w:rsidRPr="00A160FC">
              <w:rPr>
                <w:i/>
                <w:iCs/>
              </w:rPr>
              <w:t>37</w:t>
            </w:r>
            <w:r w:rsidRPr="00A160FC">
              <w:rPr>
                <w:i/>
              </w:rPr>
              <w:t xml:space="preserve"> to </w:t>
            </w:r>
            <w:r w:rsidR="00005E66" w:rsidRPr="00A160FC">
              <w:rPr>
                <w:i/>
                <w:iCs/>
              </w:rPr>
              <w:t>14</w:t>
            </w:r>
            <w:r w:rsidR="00A160FC" w:rsidRPr="00A160FC">
              <w:rPr>
                <w:i/>
                <w:iCs/>
              </w:rPr>
              <w:t>9</w:t>
            </w:r>
            <w:r w:rsidRPr="00A160FC">
              <w:rPr>
                <w:i/>
                <w:iCs/>
              </w:rPr>
              <w:t>)</w:t>
            </w:r>
          </w:p>
          <w:p w14:paraId="7D7D07AC" w14:textId="58E8AD73" w:rsidR="00D921E8" w:rsidRDefault="000D5ADB" w:rsidP="00567063">
            <w:pPr>
              <w:spacing w:after="0"/>
            </w:pPr>
            <w:r w:rsidRPr="00650E6C">
              <w:rPr>
                <w:b/>
                <w:bCs/>
              </w:rPr>
              <w:t xml:space="preserve">Finding </w:t>
            </w:r>
            <w:r w:rsidR="009824A9">
              <w:rPr>
                <w:b/>
                <w:bCs/>
              </w:rPr>
              <w:t>35</w:t>
            </w:r>
            <w:r w:rsidRPr="00650E6C">
              <w:rPr>
                <w:b/>
                <w:bCs/>
              </w:rPr>
              <w:t>:</w:t>
            </w:r>
            <w:r>
              <w:t xml:space="preserve"> </w:t>
            </w:r>
            <w:r w:rsidR="00D921E8">
              <w:t xml:space="preserve">Analysis of the financial adequacy of the resources provided under the CCCFR grant is hampered by the uncertainty that exists in relation to the grant’s purpose and intent (see findings </w:t>
            </w:r>
            <w:r w:rsidR="005D046F">
              <w:t>6 and 7</w:t>
            </w:r>
            <w:r w:rsidR="00D921E8">
              <w:t>)</w:t>
            </w:r>
            <w:r w:rsidR="00FB2226">
              <w:t>.</w:t>
            </w:r>
          </w:p>
          <w:p w14:paraId="09B123B8" w14:textId="77777777" w:rsidR="006C777B" w:rsidRDefault="006C777B" w:rsidP="00567063">
            <w:pPr>
              <w:spacing w:after="0"/>
            </w:pPr>
          </w:p>
          <w:p w14:paraId="7CCF56E3" w14:textId="38FA2B7B" w:rsidR="00D921E8" w:rsidRPr="00CF1CA4" w:rsidRDefault="512B16A7" w:rsidP="00567063">
            <w:pPr>
              <w:spacing w:after="0"/>
            </w:pPr>
            <w:r w:rsidRPr="60FF879D">
              <w:rPr>
                <w:b/>
              </w:rPr>
              <w:t xml:space="preserve">Finding </w:t>
            </w:r>
            <w:r w:rsidR="6ABE1B7D" w:rsidRPr="60FF879D">
              <w:rPr>
                <w:b/>
              </w:rPr>
              <w:t>36</w:t>
            </w:r>
            <w:r w:rsidRPr="60FF879D">
              <w:rPr>
                <w:b/>
              </w:rPr>
              <w:t>:</w:t>
            </w:r>
            <w:r>
              <w:t xml:space="preserve"> Notwithstanding finding </w:t>
            </w:r>
            <w:r w:rsidR="2D4EF9A0">
              <w:t>35</w:t>
            </w:r>
            <w:r>
              <w:t xml:space="preserve">, there would appear only a limited relationship between the funding CCCFR services receive from the </w:t>
            </w:r>
            <w:r w:rsidR="23EBC280">
              <w:t xml:space="preserve">Australian </w:t>
            </w:r>
            <w:r>
              <w:t xml:space="preserve">Government and cost of meeting the need </w:t>
            </w:r>
            <w:r w:rsidR="00B653C4">
              <w:t xml:space="preserve">CCCFR </w:t>
            </w:r>
            <w:r>
              <w:t xml:space="preserve">services face, as it manifests from both service and community characteristics. </w:t>
            </w:r>
          </w:p>
          <w:p w14:paraId="35397700" w14:textId="77777777" w:rsidR="006C777B" w:rsidRPr="00CF1CA4" w:rsidRDefault="006C777B" w:rsidP="00567063">
            <w:pPr>
              <w:spacing w:after="0"/>
            </w:pPr>
          </w:p>
          <w:p w14:paraId="33F19A28" w14:textId="6D21BFF6" w:rsidR="00D921E8" w:rsidRPr="00CF1CA4" w:rsidRDefault="00D921E8" w:rsidP="00567063">
            <w:pPr>
              <w:spacing w:after="0"/>
            </w:pPr>
            <w:r w:rsidRPr="00FD5E26">
              <w:rPr>
                <w:b/>
              </w:rPr>
              <w:t xml:space="preserve">Finding </w:t>
            </w:r>
            <w:r w:rsidR="009824A9">
              <w:rPr>
                <w:b/>
              </w:rPr>
              <w:t>37</w:t>
            </w:r>
            <w:r w:rsidRPr="00FD5E26">
              <w:rPr>
                <w:b/>
              </w:rPr>
              <w:t>:</w:t>
            </w:r>
            <w:r>
              <w:t xml:space="preserve"> The financial sustainability of CCCFR services varies considerably. There are drivers on both the revenue and cost side, with the limited responsiveness of funding to costs a key driver of the financial challenges that many </w:t>
            </w:r>
            <w:r w:rsidR="00B653C4" w:rsidRPr="00B653C4">
              <w:t xml:space="preserve">CCCFR </w:t>
            </w:r>
            <w:r>
              <w:t xml:space="preserve">services confront. </w:t>
            </w:r>
          </w:p>
          <w:p w14:paraId="643E35C8" w14:textId="77777777" w:rsidR="006C777B" w:rsidRPr="00CF1CA4" w:rsidRDefault="006C777B" w:rsidP="00567063">
            <w:pPr>
              <w:spacing w:after="0"/>
            </w:pPr>
          </w:p>
          <w:p w14:paraId="00C27554" w14:textId="03BA8E64" w:rsidR="00D921E8" w:rsidRDefault="00D921E8" w:rsidP="00567063">
            <w:pPr>
              <w:spacing w:after="0"/>
            </w:pPr>
            <w:r w:rsidRPr="00FD5E26">
              <w:rPr>
                <w:b/>
              </w:rPr>
              <w:t xml:space="preserve">Finding </w:t>
            </w:r>
            <w:r w:rsidR="009824A9">
              <w:rPr>
                <w:b/>
              </w:rPr>
              <w:t>38</w:t>
            </w:r>
            <w:r w:rsidRPr="00FD5E26">
              <w:rPr>
                <w:b/>
              </w:rPr>
              <w:t>:</w:t>
            </w:r>
            <w:r>
              <w:t xml:space="preserve"> The administration of the CCS and ACCS and the requirements families face in engaging with these funding streams mean that they are both underutilised and, in the case of CCS, increased reliance is associated with greater financial viability</w:t>
            </w:r>
            <w:r w:rsidR="007872A8">
              <w:t xml:space="preserve"> challenges</w:t>
            </w:r>
            <w:r>
              <w:t xml:space="preserve">. </w:t>
            </w:r>
          </w:p>
          <w:p w14:paraId="2DAC4661" w14:textId="77777777" w:rsidR="006C777B" w:rsidRDefault="006C777B" w:rsidP="00567063">
            <w:pPr>
              <w:spacing w:after="0"/>
              <w:rPr>
                <w:i/>
                <w:iCs/>
              </w:rPr>
            </w:pPr>
          </w:p>
          <w:p w14:paraId="175475D6" w14:textId="42E56E9C" w:rsidR="00FD5E26" w:rsidRPr="00CF1CA4" w:rsidRDefault="00D921E8" w:rsidP="00567063">
            <w:pPr>
              <w:spacing w:after="0"/>
            </w:pPr>
            <w:r w:rsidRPr="00FD5E26">
              <w:rPr>
                <w:b/>
                <w:bCs/>
              </w:rPr>
              <w:t xml:space="preserve">Finding </w:t>
            </w:r>
            <w:r w:rsidR="009824A9">
              <w:rPr>
                <w:b/>
                <w:bCs/>
              </w:rPr>
              <w:t>39</w:t>
            </w:r>
            <w:r w:rsidRPr="00FD5E26">
              <w:rPr>
                <w:b/>
                <w:bCs/>
              </w:rPr>
              <w:t>:</w:t>
            </w:r>
            <w:r>
              <w:t xml:space="preserve"> </w:t>
            </w:r>
            <w:r w:rsidR="00FD5E26">
              <w:t xml:space="preserve">Few CCCFR services </w:t>
            </w:r>
            <w:r w:rsidR="00F55C9E">
              <w:t xml:space="preserve">could </w:t>
            </w:r>
            <w:r w:rsidR="00FD5E26">
              <w:t>operate in a financially viable manner if reliant purely on CCS revenue (in its current form).</w:t>
            </w:r>
          </w:p>
          <w:p w14:paraId="06490CCC" w14:textId="77777777" w:rsidR="006C777B" w:rsidRPr="00CF1CA4" w:rsidRDefault="006C777B" w:rsidP="00567063">
            <w:pPr>
              <w:spacing w:after="0"/>
            </w:pPr>
          </w:p>
          <w:p w14:paraId="379CD5F9" w14:textId="7A5AA76B" w:rsidR="00FD5E26" w:rsidRPr="00CF1CA4" w:rsidRDefault="7613C2BB" w:rsidP="00567063">
            <w:pPr>
              <w:spacing w:after="0"/>
            </w:pPr>
            <w:r w:rsidRPr="30E0DE01">
              <w:rPr>
                <w:b/>
                <w:bCs/>
              </w:rPr>
              <w:t xml:space="preserve">Finding </w:t>
            </w:r>
            <w:r w:rsidR="6ABE1B7D" w:rsidRPr="30E0DE01">
              <w:rPr>
                <w:b/>
                <w:bCs/>
              </w:rPr>
              <w:t>40</w:t>
            </w:r>
            <w:r w:rsidRPr="30E0DE01">
              <w:rPr>
                <w:b/>
                <w:bCs/>
              </w:rPr>
              <w:t>:</w:t>
            </w:r>
            <w:r>
              <w:t xml:space="preserve"> </w:t>
            </w:r>
            <w:r w:rsidR="037F87F4">
              <w:t>Of the various leasing arrangements currently in place, the Management Agreement appears to better accommodate the delivery of child</w:t>
            </w:r>
            <w:r w:rsidR="00C03FB1">
              <w:t xml:space="preserve"> </w:t>
            </w:r>
            <w:r w:rsidR="037F87F4">
              <w:t xml:space="preserve">care services, clearly outlining obligations of the parties to the agreement and imposing obligations on the Commonwealth and/or the operator to maintain building compliance. </w:t>
            </w:r>
            <w:r w:rsidR="5AF7E38E">
              <w:t>However, there are ways the Management Agreement could be strengthened for future arrangements.</w:t>
            </w:r>
          </w:p>
          <w:p w14:paraId="28414807" w14:textId="77777777" w:rsidR="006C777B" w:rsidRDefault="006C777B" w:rsidP="00C1554C">
            <w:pPr>
              <w:spacing w:after="0" w:line="240" w:lineRule="auto"/>
              <w:rPr>
                <w:i/>
                <w:iCs/>
              </w:rPr>
            </w:pPr>
          </w:p>
          <w:p w14:paraId="4EA93CC8" w14:textId="6D30BC82" w:rsidR="00567063" w:rsidRDefault="00FD5E26" w:rsidP="00567063">
            <w:pPr>
              <w:spacing w:after="0"/>
            </w:pPr>
            <w:r w:rsidRPr="00FD5E26">
              <w:rPr>
                <w:b/>
                <w:bCs/>
              </w:rPr>
              <w:t xml:space="preserve">Finding </w:t>
            </w:r>
            <w:r w:rsidR="009824A9">
              <w:rPr>
                <w:b/>
                <w:bCs/>
              </w:rPr>
              <w:t>4</w:t>
            </w:r>
            <w:r w:rsidR="007F5406">
              <w:rPr>
                <w:b/>
                <w:bCs/>
              </w:rPr>
              <w:t>1</w:t>
            </w:r>
            <w:r w:rsidRPr="00FD5E26">
              <w:rPr>
                <w:b/>
                <w:bCs/>
              </w:rPr>
              <w:t>:</w:t>
            </w:r>
            <w:r>
              <w:t xml:space="preserve"> Concerns in relation to the quality and adequacy of infrastructure are widespread</w:t>
            </w:r>
            <w:r w:rsidR="004328A9">
              <w:t>,</w:t>
            </w:r>
            <w:r>
              <w:t xml:space="preserve"> with significant improvement required </w:t>
            </w:r>
            <w:r w:rsidR="004328A9">
              <w:t xml:space="preserve">in many cases </w:t>
            </w:r>
            <w:r>
              <w:t xml:space="preserve">– especially if </w:t>
            </w:r>
            <w:r w:rsidRPr="001C66DD">
              <w:t>minimum</w:t>
            </w:r>
            <w:r>
              <w:t xml:space="preserve"> requirements </w:t>
            </w:r>
            <w:r w:rsidRPr="001C66DD">
              <w:t>under the National Law and Regulations</w:t>
            </w:r>
            <w:r>
              <w:t xml:space="preserve"> are to be met.</w:t>
            </w:r>
          </w:p>
          <w:p w14:paraId="0AA442BF" w14:textId="77777777" w:rsidR="00D13B38" w:rsidRDefault="00D13B38" w:rsidP="00567063">
            <w:pPr>
              <w:spacing w:after="0"/>
              <w:rPr>
                <w:i/>
                <w:iCs/>
              </w:rPr>
            </w:pPr>
          </w:p>
          <w:p w14:paraId="4F5A9527" w14:textId="4A3D54DE" w:rsidR="00FD5E26" w:rsidRPr="00226F9B" w:rsidRDefault="7613C2BB" w:rsidP="00567063">
            <w:pPr>
              <w:spacing w:after="0"/>
            </w:pPr>
            <w:r w:rsidRPr="30E0DE01">
              <w:rPr>
                <w:b/>
                <w:bCs/>
              </w:rPr>
              <w:t xml:space="preserve">Finding </w:t>
            </w:r>
            <w:r w:rsidR="6ABE1B7D" w:rsidRPr="30E0DE01">
              <w:rPr>
                <w:b/>
                <w:bCs/>
              </w:rPr>
              <w:t>4</w:t>
            </w:r>
            <w:r w:rsidR="5AF7E38E" w:rsidRPr="30E0DE01">
              <w:rPr>
                <w:b/>
                <w:bCs/>
              </w:rPr>
              <w:t>2</w:t>
            </w:r>
            <w:r w:rsidRPr="30E0DE01">
              <w:rPr>
                <w:b/>
                <w:bCs/>
              </w:rPr>
              <w:t>:</w:t>
            </w:r>
            <w:r>
              <w:t xml:space="preserve"> Limited utilisation of the contingency funding to support infrastructure upgrades reflects barriers to </w:t>
            </w:r>
            <w:r w:rsidR="00B3169E" w:rsidRPr="00B3169E">
              <w:t xml:space="preserve">CCCFR </w:t>
            </w:r>
            <w:r>
              <w:t xml:space="preserve">services’ participation in the application process. </w:t>
            </w:r>
          </w:p>
          <w:p w14:paraId="1E55D91E" w14:textId="77777777" w:rsidR="00D13B38" w:rsidRDefault="00D13B38" w:rsidP="00567063">
            <w:pPr>
              <w:spacing w:after="0"/>
              <w:rPr>
                <w:i/>
                <w:iCs/>
              </w:rPr>
            </w:pPr>
          </w:p>
          <w:p w14:paraId="7E046CC0" w14:textId="48D11732" w:rsidR="000D5ADB" w:rsidRPr="00110A03" w:rsidRDefault="00FD5E26" w:rsidP="00D13B38">
            <w:pPr>
              <w:spacing w:after="120"/>
            </w:pPr>
            <w:r w:rsidRPr="00FD5E26">
              <w:rPr>
                <w:b/>
                <w:bCs/>
              </w:rPr>
              <w:t xml:space="preserve">Finding </w:t>
            </w:r>
            <w:r w:rsidR="009824A9">
              <w:rPr>
                <w:b/>
                <w:bCs/>
              </w:rPr>
              <w:t>4</w:t>
            </w:r>
            <w:r w:rsidR="007F5406">
              <w:rPr>
                <w:b/>
                <w:bCs/>
              </w:rPr>
              <w:t>3</w:t>
            </w:r>
            <w:r w:rsidRPr="00FD5E26">
              <w:rPr>
                <w:b/>
                <w:bCs/>
              </w:rPr>
              <w:t>:</w:t>
            </w:r>
            <w:r>
              <w:t xml:space="preserve"> </w:t>
            </w:r>
            <w:r w:rsidRPr="009C2D07">
              <w:t>Evidence of environmental sustainability considerations being a strong feature of decision making in relation to capital works while present was not widespread.</w:t>
            </w:r>
          </w:p>
        </w:tc>
      </w:tr>
    </w:tbl>
    <w:p w14:paraId="12020B80" w14:textId="6876AD12" w:rsidR="005E3057" w:rsidRPr="00003425" w:rsidRDefault="005E3057" w:rsidP="00C64E8B">
      <w:pPr>
        <w:spacing w:before="240" w:after="120"/>
        <w:rPr>
          <w:b/>
          <w:color w:val="007CB0"/>
          <w:sz w:val="22"/>
          <w:szCs w:val="22"/>
        </w:rPr>
      </w:pPr>
      <w:r w:rsidRPr="00003425">
        <w:rPr>
          <w:b/>
          <w:color w:val="007CB0"/>
          <w:sz w:val="22"/>
          <w:szCs w:val="22"/>
        </w:rPr>
        <w:t>R</w:t>
      </w:r>
      <w:r w:rsidR="00B06B90" w:rsidRPr="00003425">
        <w:rPr>
          <w:b/>
          <w:color w:val="007CB0"/>
          <w:sz w:val="22"/>
          <w:szCs w:val="22"/>
        </w:rPr>
        <w:t>eview r</w:t>
      </w:r>
      <w:r w:rsidRPr="00003425">
        <w:rPr>
          <w:b/>
          <w:color w:val="007CB0"/>
          <w:sz w:val="22"/>
          <w:szCs w:val="22"/>
        </w:rPr>
        <w:t xml:space="preserve">ecommendations </w:t>
      </w:r>
    </w:p>
    <w:p w14:paraId="0348C074" w14:textId="0EA0CE0A" w:rsidR="00580364" w:rsidRPr="00747B61" w:rsidRDefault="00580364" w:rsidP="00925305">
      <w:pPr>
        <w:spacing w:before="120"/>
      </w:pPr>
      <w:r w:rsidRPr="00747B61">
        <w:t xml:space="preserve">The findings set out above give rise to a series of recommendations for the CCCFR grant and the </w:t>
      </w:r>
      <w:r w:rsidR="00B3169E" w:rsidRPr="00B3169E">
        <w:t xml:space="preserve">CCCFR </w:t>
      </w:r>
      <w:r w:rsidRPr="00747B61">
        <w:t>services currently in receipt of it.</w:t>
      </w:r>
      <w:r w:rsidR="002E497C">
        <w:t xml:space="preserve"> </w:t>
      </w:r>
      <w:r w:rsidRPr="00747B61">
        <w:t xml:space="preserve">These recommendations describe the changes required to bring the conditions under which CCCFR services operate into alignment </w:t>
      </w:r>
      <w:r w:rsidR="0041164C">
        <w:t xml:space="preserve">with </w:t>
      </w:r>
      <w:r w:rsidRPr="00747B61">
        <w:t xml:space="preserve">those that this review finds are necessary in order for </w:t>
      </w:r>
      <w:r w:rsidR="001559DC" w:rsidRPr="001559DC">
        <w:t xml:space="preserve">CCCFR </w:t>
      </w:r>
      <w:r w:rsidRPr="00747B61">
        <w:t xml:space="preserve">services to meet the needs of the communities they </w:t>
      </w:r>
      <w:r w:rsidRPr="00747B61">
        <w:lastRenderedPageBreak/>
        <w:t>seek to serve (in the context of the objectives of the grant). Ultimately, these changes would enhance opportunities and outcomes for children and families.</w:t>
      </w:r>
      <w:r w:rsidR="002E497C">
        <w:t xml:space="preserve"> </w:t>
      </w:r>
    </w:p>
    <w:p w14:paraId="190BDB77" w14:textId="77777777" w:rsidR="00580364" w:rsidRPr="00747B61" w:rsidRDefault="00580364" w:rsidP="00580364">
      <w:pPr>
        <w:spacing w:before="240"/>
      </w:pPr>
      <w:r w:rsidRPr="00747B61">
        <w:t xml:space="preserve">In seeking to install a set of operating conditions that reflect the guiding principles laid out in this review, the recommendations are organised under two broad headings: </w:t>
      </w:r>
    </w:p>
    <w:p w14:paraId="76EF15FB" w14:textId="77777777" w:rsidR="00580364" w:rsidRPr="00747B61" w:rsidRDefault="00580364" w:rsidP="00416EA8">
      <w:pPr>
        <w:pStyle w:val="ListParagraph"/>
        <w:numPr>
          <w:ilvl w:val="0"/>
          <w:numId w:val="41"/>
        </w:numPr>
        <w:ind w:left="360"/>
        <w:rPr>
          <w:szCs w:val="17"/>
        </w:rPr>
      </w:pPr>
      <w:r w:rsidRPr="00747B61">
        <w:rPr>
          <w:b/>
          <w:bCs/>
          <w:szCs w:val="17"/>
        </w:rPr>
        <w:t>Repositioning CCCFR services within a reformed policy landscape</w:t>
      </w:r>
      <w:r w:rsidRPr="00747B61">
        <w:rPr>
          <w:szCs w:val="17"/>
        </w:rPr>
        <w:t xml:space="preserve"> - recommendations regarding how potential changes to the wider ECEC policy environment could be driven and capitalised on to strengthen and reposition services currently in receipt of a CCCFR grant.</w:t>
      </w:r>
    </w:p>
    <w:p w14:paraId="4D2B4667" w14:textId="77777777" w:rsidR="00580364" w:rsidRPr="00747B61" w:rsidRDefault="00580364" w:rsidP="00416EA8">
      <w:pPr>
        <w:pStyle w:val="ListParagraph"/>
        <w:numPr>
          <w:ilvl w:val="0"/>
          <w:numId w:val="41"/>
        </w:numPr>
        <w:spacing w:after="0"/>
        <w:ind w:left="360"/>
        <w:rPr>
          <w:szCs w:val="17"/>
        </w:rPr>
      </w:pPr>
      <w:r w:rsidRPr="00747B61">
        <w:rPr>
          <w:b/>
          <w:bCs/>
          <w:szCs w:val="17"/>
        </w:rPr>
        <w:t xml:space="preserve">Refining the current CCCFR grant to maximise its potential </w:t>
      </w:r>
      <w:r w:rsidRPr="00747B61">
        <w:rPr>
          <w:szCs w:val="17"/>
        </w:rPr>
        <w:t>- recommendations regarding how the design and administration of the grant should be refined to maximise its potential.</w:t>
      </w:r>
    </w:p>
    <w:p w14:paraId="1038BFF4" w14:textId="77777777" w:rsidR="00580364" w:rsidRPr="00747B61" w:rsidRDefault="00580364" w:rsidP="00580364">
      <w:pPr>
        <w:spacing w:after="0"/>
        <w:ind w:left="360"/>
        <w:contextualSpacing/>
        <w:rPr>
          <w:szCs w:val="17"/>
        </w:rPr>
      </w:pPr>
    </w:p>
    <w:p w14:paraId="3450F766" w14:textId="678B6D6B" w:rsidR="003C7563" w:rsidRDefault="003C7563" w:rsidP="003C7563">
      <w:r>
        <w:t>The review recommendations are outlined below, with further detail</w:t>
      </w:r>
      <w:r w:rsidR="00483C5D">
        <w:t xml:space="preserve"> </w:t>
      </w:r>
      <w:r>
        <w:t xml:space="preserve">provided in the </w:t>
      </w:r>
      <w:r w:rsidR="00262177">
        <w:rPr>
          <w:i/>
          <w:iCs/>
        </w:rPr>
        <w:t>Review recommendations</w:t>
      </w:r>
      <w:r w:rsidR="00262177" w:rsidRPr="00262177">
        <w:t xml:space="preserve"> section</w:t>
      </w:r>
      <w:r w:rsidR="004D4AB8">
        <w:t xml:space="preserve"> at page </w:t>
      </w:r>
      <w:r w:rsidR="00A160FC">
        <w:t>xxxiv</w:t>
      </w:r>
      <w:r w:rsidR="00EE4A1B">
        <w:t>.</w:t>
      </w:r>
    </w:p>
    <w:p w14:paraId="6C28A1A5" w14:textId="3A143563" w:rsidR="00580364" w:rsidRPr="00747B61" w:rsidRDefault="00580364" w:rsidP="00580364">
      <w:pPr>
        <w:keepNext/>
        <w:keepLines/>
        <w:spacing w:after="120"/>
        <w:outlineLvl w:val="2"/>
        <w:rPr>
          <w:rFonts w:eastAsiaTheme="majorEastAsia" w:cstheme="majorBidi"/>
          <w:b/>
          <w:bCs/>
        </w:rPr>
      </w:pPr>
      <w:r w:rsidRPr="00747B61">
        <w:rPr>
          <w:rFonts w:eastAsiaTheme="majorEastAsia" w:cstheme="majorBidi"/>
          <w:b/>
          <w:bCs/>
        </w:rPr>
        <w:t xml:space="preserve">Repositioning CCCFR services within a reformed policy landscape </w:t>
      </w:r>
    </w:p>
    <w:p w14:paraId="6DCE2502" w14:textId="47FF5663" w:rsidR="00580364" w:rsidRPr="00747B61" w:rsidRDefault="00580364" w:rsidP="00580364">
      <w:pPr>
        <w:rPr>
          <w:rFonts w:eastAsiaTheme="minorEastAsia"/>
        </w:rPr>
      </w:pPr>
      <w:r w:rsidRPr="00747B61">
        <w:rPr>
          <w:rFonts w:eastAsiaTheme="minorEastAsia"/>
        </w:rPr>
        <w:t xml:space="preserve">Grant-based operating environments can serve several purposes in a broader policy, system and funding architecture. In this case, the CCCFR grant has served as a mechanism to compensate for the ways in which the wider ECEC policy environment is not currently equipped to accommodate </w:t>
      </w:r>
      <w:r w:rsidR="00903282" w:rsidRPr="00903282">
        <w:rPr>
          <w:rFonts w:eastAsiaTheme="minorEastAsia"/>
        </w:rPr>
        <w:t xml:space="preserve">CCCFR </w:t>
      </w:r>
      <w:r w:rsidRPr="00747B61">
        <w:rPr>
          <w:rFonts w:eastAsiaTheme="minorEastAsia"/>
        </w:rPr>
        <w:t xml:space="preserve">services of certain characteristics. </w:t>
      </w:r>
    </w:p>
    <w:p w14:paraId="186EB77D" w14:textId="6BC92550" w:rsidR="00580364" w:rsidRPr="00747B61" w:rsidRDefault="00580364" w:rsidP="00580364">
      <w:pPr>
        <w:rPr>
          <w:rFonts w:eastAsiaTheme="minorEastAsia"/>
        </w:rPr>
      </w:pPr>
      <w:r w:rsidRPr="00747B61">
        <w:rPr>
          <w:rFonts w:eastAsiaTheme="minorEastAsia"/>
        </w:rPr>
        <w:t>In doing so,</w:t>
      </w:r>
      <w:r w:rsidRPr="00747B61" w:rsidDel="00CA7084">
        <w:rPr>
          <w:rFonts w:eastAsiaTheme="minorEastAsia"/>
        </w:rPr>
        <w:t xml:space="preserve"> </w:t>
      </w:r>
      <w:r w:rsidRPr="00747B61">
        <w:rPr>
          <w:rFonts w:eastAsiaTheme="minorEastAsia"/>
        </w:rPr>
        <w:t xml:space="preserve">it has sought to support and where possible encourage the transition of these </w:t>
      </w:r>
      <w:r w:rsidR="00151A7E" w:rsidRPr="00151A7E">
        <w:rPr>
          <w:rFonts w:eastAsiaTheme="minorEastAsia"/>
        </w:rPr>
        <w:t xml:space="preserve">CCCFR </w:t>
      </w:r>
      <w:r w:rsidRPr="00747B61">
        <w:rPr>
          <w:rFonts w:eastAsiaTheme="minorEastAsia"/>
        </w:rPr>
        <w:t>services to the mainstream policy and funding environment – that is, to a situation where a dedicated grant is no longer required. For a limited number of CCCFR services, this transition would appear possible. But progress has been slow and external factors such as COVID-19 have adversely affected its pace. Moreover, challenges experienced by most CCCFR services in the pursuit of this transition highlight the limitations of current mainstream policy settings in accommodating the circumstances under which many CCCFR services operate. These limitations are demonstrated throughout the findings of this review.</w:t>
      </w:r>
      <w:r w:rsidR="002E497C">
        <w:rPr>
          <w:rFonts w:eastAsiaTheme="minorEastAsia"/>
        </w:rPr>
        <w:t xml:space="preserve"> </w:t>
      </w:r>
    </w:p>
    <w:p w14:paraId="6A81F054" w14:textId="77777777" w:rsidR="00580364" w:rsidRPr="00747B61" w:rsidRDefault="00580364" w:rsidP="00580364">
      <w:r w:rsidRPr="00747B61">
        <w:t xml:space="preserve">The limitations of current funding and policy settings affect services beyond the 149 receiving the CCCFR grant and are currently or recently have been the subject of a number of reviews and inquires (see Box 1.2: ACCC and PC ECEC Inquiries). </w:t>
      </w:r>
    </w:p>
    <w:p w14:paraId="15EDB004" w14:textId="2E6462AC" w:rsidR="00580364" w:rsidRPr="00747B61" w:rsidRDefault="00580364" w:rsidP="00580364">
      <w:r w:rsidRPr="00747B61">
        <w:t>The recommendations arising from these reviews and inquiries signal potential for the national ECEC policy environment of the future to look very different to what it does today.</w:t>
      </w:r>
      <w:r w:rsidR="002E497C">
        <w:t xml:space="preserve"> </w:t>
      </w:r>
      <w:r w:rsidRPr="00747B61">
        <w:t xml:space="preserve">As a result, there is potential for the sector operating environment to change in ways that mean CCCFR services can operate and thrive outside of a dedicated </w:t>
      </w:r>
      <w:r w:rsidR="00B4453F" w:rsidRPr="00B4453F">
        <w:t>grant</w:t>
      </w:r>
      <w:r w:rsidRPr="00747B61">
        <w:t xml:space="preserve"> environment in ways they cannot currently.</w:t>
      </w:r>
      <w:r w:rsidR="002E497C">
        <w:t xml:space="preserve"> </w:t>
      </w:r>
      <w:r w:rsidRPr="00747B61">
        <w:t>Recommendations regarding the future of the CCCFR grant and the services currently in receipt of it must have regard to this potential.</w:t>
      </w:r>
      <w:r w:rsidR="002E497C">
        <w:t xml:space="preserve"> </w:t>
      </w:r>
      <w:r w:rsidRPr="00747B61">
        <w:t>At the same time, they must recognise the uncertainty.</w:t>
      </w:r>
      <w:r w:rsidR="002E497C">
        <w:t xml:space="preserve"> </w:t>
      </w:r>
      <w:r w:rsidRPr="00747B61">
        <w:t xml:space="preserve">As such, recommendations 1-4 seek to provide a basis for navigating the uncertainty given the guiding principles that this review has established – and, </w:t>
      </w:r>
      <w:r w:rsidR="00E339EA">
        <w:t>w</w:t>
      </w:r>
      <w:r w:rsidRPr="00747B61">
        <w:t xml:space="preserve">here possible, influencing the wider policy discourse in ways that would support services currently in receipt of the CCCFR grant and the communities they serve. </w:t>
      </w:r>
    </w:p>
    <w:p w14:paraId="27F39221" w14:textId="21E09648" w:rsidR="00266C54" w:rsidRDefault="00A5221E" w:rsidP="00593457">
      <w:pPr>
        <w:pStyle w:val="ListBullet"/>
        <w:rPr>
          <w:b/>
          <w:bCs/>
        </w:rPr>
      </w:pPr>
      <w:r w:rsidRPr="00D00B12">
        <w:rPr>
          <w:b/>
          <w:bCs/>
          <w:color w:val="26890D"/>
          <w:lang w:val="en-US"/>
        </w:rPr>
        <w:t>Recommendation 1</w:t>
      </w:r>
      <w:r w:rsidR="00850373" w:rsidRPr="00D00B12">
        <w:rPr>
          <w:b/>
          <w:bCs/>
          <w:color w:val="26890D"/>
          <w:lang w:val="en-US"/>
        </w:rPr>
        <w:t>:</w:t>
      </w:r>
      <w:r w:rsidR="00850373" w:rsidRPr="00D00B12">
        <w:rPr>
          <w:color w:val="26890D"/>
          <w:lang w:val="en-US"/>
        </w:rPr>
        <w:t xml:space="preserve"> </w:t>
      </w:r>
      <w:r w:rsidR="002741DF" w:rsidRPr="2B91AEFB">
        <w:rPr>
          <w:lang w:val="en-US"/>
        </w:rPr>
        <w:t>CCCFR</w:t>
      </w:r>
      <w:r w:rsidR="00850373" w:rsidRPr="2B91AEFB">
        <w:rPr>
          <w:lang w:val="en-US"/>
        </w:rPr>
        <w:t xml:space="preserve"> </w:t>
      </w:r>
      <w:r w:rsidR="00266C54" w:rsidRPr="2B91AEFB">
        <w:rPr>
          <w:lang w:val="en-US"/>
        </w:rPr>
        <w:t xml:space="preserve">services </w:t>
      </w:r>
      <w:r w:rsidR="008231D0">
        <w:t>should be transitioned away from the CCCFR grant where it can be demonstrated that (i) the conditions required to support them in sustainably delivering high quality ECEC services that meet the needs of communities can be met; or (ii) the service offering falls outside the policy remit of the Department of Education.</w:t>
      </w:r>
    </w:p>
    <w:p w14:paraId="1CB8DB9F" w14:textId="62B1D8B7" w:rsidR="008231D0" w:rsidRPr="00A5221E" w:rsidRDefault="00A5221E" w:rsidP="00593457">
      <w:pPr>
        <w:pStyle w:val="ListBullet"/>
      </w:pPr>
      <w:r w:rsidRPr="00D00B12">
        <w:rPr>
          <w:b/>
          <w:bCs/>
          <w:color w:val="26890D"/>
        </w:rPr>
        <w:t>Recommendation 2</w:t>
      </w:r>
      <w:r w:rsidR="00850373" w:rsidRPr="00D00B12">
        <w:rPr>
          <w:b/>
          <w:bCs/>
          <w:color w:val="26890D"/>
        </w:rPr>
        <w:t>:</w:t>
      </w:r>
      <w:r w:rsidRPr="00D00B12">
        <w:rPr>
          <w:color w:val="26890D"/>
        </w:rPr>
        <w:t xml:space="preserve"> </w:t>
      </w:r>
      <w:r>
        <w:t xml:space="preserve">the </w:t>
      </w:r>
      <w:r w:rsidRPr="2B91AEFB">
        <w:rPr>
          <w:rFonts w:eastAsiaTheme="minorEastAsia"/>
        </w:rPr>
        <w:t>potential transition of CCCFR services not currently regulated under the National Quality Framework (NQF) to the NQF should be considered on a case-by-case basis, having regard to the service operating environment, its current capacity to meet requirements under the National Law and Regulations, and an analysis of service-level and systemic barriers to meeting the National Quality Standard (NQS).</w:t>
      </w:r>
    </w:p>
    <w:p w14:paraId="533465EC" w14:textId="1153E531" w:rsidR="008231D0" w:rsidRDefault="00D35393" w:rsidP="00593457">
      <w:pPr>
        <w:pStyle w:val="ListBullet"/>
        <w:rPr>
          <w:lang w:eastAsia="en-AU"/>
        </w:rPr>
      </w:pPr>
      <w:r w:rsidRPr="00D00B12">
        <w:rPr>
          <w:b/>
          <w:bCs/>
          <w:color w:val="26890D"/>
          <w:lang w:eastAsia="en-AU"/>
        </w:rPr>
        <w:t>Recommendation 3</w:t>
      </w:r>
      <w:r w:rsidR="00850373" w:rsidRPr="00D00B12">
        <w:rPr>
          <w:color w:val="26890D"/>
          <w:lang w:eastAsia="en-AU"/>
        </w:rPr>
        <w:t xml:space="preserve">: </w:t>
      </w:r>
      <w:r w:rsidRPr="2B91AEFB">
        <w:rPr>
          <w:lang w:eastAsia="en-AU"/>
        </w:rPr>
        <w:t xml:space="preserve">the </w:t>
      </w:r>
      <w:r>
        <w:t xml:space="preserve">transition of </w:t>
      </w:r>
      <w:r w:rsidR="00084276">
        <w:t xml:space="preserve">CCCFR </w:t>
      </w:r>
      <w:r>
        <w:t>services to new funding and/or regulatory environments should be pursued with input and participation from individual services and communities and governed by tailored transition plans that carefully determine an appropriate transition path for each service and the supports required to successfully pursue it.</w:t>
      </w:r>
    </w:p>
    <w:p w14:paraId="4AD702CE" w14:textId="75B5CE64" w:rsidR="006D304A" w:rsidRPr="006D304A" w:rsidRDefault="006D304A" w:rsidP="00593457">
      <w:pPr>
        <w:pStyle w:val="ListBullet"/>
        <w:rPr>
          <w:b/>
          <w:lang w:eastAsia="en-AU"/>
        </w:rPr>
      </w:pPr>
      <w:r w:rsidRPr="00D00B12">
        <w:rPr>
          <w:b/>
          <w:bCs/>
          <w:color w:val="26890D"/>
        </w:rPr>
        <w:lastRenderedPageBreak/>
        <w:t>Recommendation 4</w:t>
      </w:r>
      <w:r w:rsidR="00850373" w:rsidRPr="00D00B12">
        <w:rPr>
          <w:b/>
          <w:bCs/>
          <w:color w:val="26890D"/>
        </w:rPr>
        <w:t xml:space="preserve">: </w:t>
      </w:r>
      <w:r w:rsidRPr="2B91AEFB">
        <w:rPr>
          <w:rFonts w:eastAsiaTheme="minorEastAsia"/>
        </w:rPr>
        <w:t xml:space="preserve">there should be further exploration of </w:t>
      </w:r>
      <w:r w:rsidR="00F9241C" w:rsidRPr="2B91AEFB">
        <w:rPr>
          <w:rFonts w:eastAsiaTheme="minorEastAsia"/>
        </w:rPr>
        <w:t xml:space="preserve">the </w:t>
      </w:r>
      <w:r w:rsidRPr="2B91AEFB">
        <w:rPr>
          <w:rFonts w:eastAsiaTheme="minorEastAsia"/>
        </w:rPr>
        <w:t xml:space="preserve">opportunities within the Australian early childhood regulatory landscape to </w:t>
      </w:r>
      <w:r w:rsidR="00F9241C" w:rsidRPr="2B91AEFB">
        <w:rPr>
          <w:rFonts w:eastAsiaTheme="minorEastAsia"/>
        </w:rPr>
        <w:t>support</w:t>
      </w:r>
      <w:r w:rsidRPr="2B91AEFB">
        <w:rPr>
          <w:rFonts w:eastAsiaTheme="minorEastAsia"/>
        </w:rPr>
        <w:t xml:space="preserve"> Aboriginal and Torres Strait Islander</w:t>
      </w:r>
      <w:r w:rsidR="00F9241C" w:rsidRPr="2B91AEFB">
        <w:rPr>
          <w:rFonts w:eastAsiaTheme="minorEastAsia"/>
        </w:rPr>
        <w:t xml:space="preserve"> CCCFR</w:t>
      </w:r>
      <w:r w:rsidRPr="2B91AEFB">
        <w:rPr>
          <w:rFonts w:eastAsiaTheme="minorEastAsia"/>
        </w:rPr>
        <w:t xml:space="preserve"> services and families.</w:t>
      </w:r>
    </w:p>
    <w:p w14:paraId="6B0FFA05" w14:textId="77777777" w:rsidR="00593457" w:rsidRDefault="00593457" w:rsidP="000D7386">
      <w:pPr>
        <w:pStyle w:val="NoSpacing"/>
      </w:pPr>
    </w:p>
    <w:p w14:paraId="54DE64A2" w14:textId="77777777" w:rsidR="003B66FA" w:rsidRPr="00747B61" w:rsidRDefault="003B66FA" w:rsidP="003B66FA">
      <w:pPr>
        <w:keepNext/>
        <w:keepLines/>
        <w:outlineLvl w:val="2"/>
        <w:rPr>
          <w:rFonts w:eastAsiaTheme="majorEastAsia" w:cstheme="majorBidi"/>
          <w:b/>
          <w:bCs/>
        </w:rPr>
      </w:pPr>
      <w:r w:rsidRPr="00747B61">
        <w:rPr>
          <w:rFonts w:eastAsiaTheme="majorEastAsia" w:cstheme="majorBidi"/>
          <w:b/>
          <w:bCs/>
        </w:rPr>
        <w:t>Refining the current CCCFR grant to maximise its potential within the current policy environment</w:t>
      </w:r>
    </w:p>
    <w:p w14:paraId="72C771FE" w14:textId="343409CD" w:rsidR="003B66FA" w:rsidRPr="00747B61" w:rsidRDefault="003B66FA" w:rsidP="003B66FA">
      <w:pPr>
        <w:spacing w:after="120"/>
      </w:pPr>
      <w:r w:rsidRPr="00747B61">
        <w:t xml:space="preserve">In the event that changes arising from the current policy review processes do not see the mainstream policy environment modified in ways that meet the conditions required to transition all </w:t>
      </w:r>
      <w:r w:rsidR="00F8429D" w:rsidRPr="00F8429D">
        <w:t xml:space="preserve">CCCFR </w:t>
      </w:r>
      <w:r w:rsidRPr="00747B61">
        <w:t xml:space="preserve">services away from a grant environment, the CCCFR grant should be strengthened and improved in order to better meet the needs of </w:t>
      </w:r>
      <w:r w:rsidR="007E2DCC" w:rsidRPr="007E2DCC">
        <w:t xml:space="preserve">CCCFR </w:t>
      </w:r>
      <w:r w:rsidRPr="00747B61">
        <w:t>services, children and communities.</w:t>
      </w:r>
      <w:r w:rsidR="002E497C">
        <w:t xml:space="preserve"> </w:t>
      </w:r>
      <w:r w:rsidRPr="00747B61">
        <w:t>These changes are set out under recommendations 5-</w:t>
      </w:r>
      <w:r w:rsidR="00AA616F">
        <w:t>19</w:t>
      </w:r>
      <w:r w:rsidRPr="00747B61">
        <w:t>.</w:t>
      </w:r>
      <w:r w:rsidR="002E497C">
        <w:t xml:space="preserve"> </w:t>
      </w:r>
    </w:p>
    <w:p w14:paraId="4C23ED3F" w14:textId="77777777" w:rsidR="0082452C" w:rsidRPr="00747B61" w:rsidRDefault="0082452C" w:rsidP="0082452C">
      <w:pPr>
        <w:pStyle w:val="ListBullet"/>
      </w:pPr>
      <w:r w:rsidRPr="00D00B12">
        <w:rPr>
          <w:b/>
          <w:bCs/>
          <w:color w:val="26890D"/>
        </w:rPr>
        <w:t>Recommendation 5:</w:t>
      </w:r>
      <w:r w:rsidRPr="00D00B12">
        <w:rPr>
          <w:color w:val="26890D"/>
        </w:rPr>
        <w:t xml:space="preserve"> </w:t>
      </w:r>
      <w:r>
        <w:t>The objectives of the CCCFR grant should be revised to align with the priorities of contemporary government policy, including greater alignment to the Closing the Gap priority reforms and targets.</w:t>
      </w:r>
    </w:p>
    <w:p w14:paraId="6B91D67D" w14:textId="012B82E2" w:rsidR="003B66FA" w:rsidRDefault="0082452C" w:rsidP="0082452C">
      <w:pPr>
        <w:pStyle w:val="ListBullet"/>
      </w:pPr>
      <w:r w:rsidRPr="00D00B12">
        <w:rPr>
          <w:b/>
          <w:bCs/>
          <w:color w:val="26890D"/>
        </w:rPr>
        <w:t>Recommendation 6:</w:t>
      </w:r>
      <w:r w:rsidRPr="00D00B12">
        <w:rPr>
          <w:color w:val="26890D"/>
        </w:rPr>
        <w:t xml:space="preserve"> </w:t>
      </w:r>
      <w:r>
        <w:t>The revised objectives should be accessible, easily understood and widely disseminated, including to families and communities.</w:t>
      </w:r>
    </w:p>
    <w:p w14:paraId="126FF3D3" w14:textId="11385CCE" w:rsidR="0082452C" w:rsidRPr="00747B61" w:rsidRDefault="0082452C" w:rsidP="0082452C">
      <w:pPr>
        <w:pStyle w:val="ListBullet"/>
      </w:pPr>
      <w:r w:rsidRPr="00D00B12">
        <w:rPr>
          <w:b/>
          <w:bCs/>
          <w:color w:val="26890D"/>
        </w:rPr>
        <w:t>Recommendation 7:</w:t>
      </w:r>
      <w:r w:rsidR="002E497C" w:rsidRPr="00D00B12">
        <w:rPr>
          <w:color w:val="26890D"/>
        </w:rPr>
        <w:t xml:space="preserve"> </w:t>
      </w:r>
      <w:r>
        <w:t>The revised objectives should be utilised as the basis for a program logic that sets out the expected relationships between the inputs and resources of the grant and the intended outcomes leading to the objectives.</w:t>
      </w:r>
    </w:p>
    <w:p w14:paraId="215FC8B0" w14:textId="77777777" w:rsidR="0082452C" w:rsidRPr="00747B61" w:rsidRDefault="0082452C" w:rsidP="0082452C">
      <w:pPr>
        <w:pStyle w:val="ListBullet"/>
      </w:pPr>
      <w:r w:rsidRPr="00D00B12">
        <w:rPr>
          <w:b/>
          <w:bCs/>
          <w:color w:val="26890D"/>
        </w:rPr>
        <w:t>Recommendation 8:</w:t>
      </w:r>
      <w:r w:rsidRPr="00D00B12">
        <w:rPr>
          <w:color w:val="26890D"/>
        </w:rPr>
        <w:t xml:space="preserve"> </w:t>
      </w:r>
      <w:r>
        <w:t>Grant guidelines should be refined and adjusted based on the revised objectives and the program logic.</w:t>
      </w:r>
    </w:p>
    <w:p w14:paraId="58284796" w14:textId="10EBC11F" w:rsidR="0082452C" w:rsidRPr="00747B61" w:rsidRDefault="0082452C" w:rsidP="0082452C">
      <w:pPr>
        <w:pStyle w:val="ListBullet"/>
      </w:pPr>
      <w:r w:rsidRPr="00D00B12">
        <w:rPr>
          <w:b/>
          <w:bCs/>
          <w:color w:val="26890D"/>
        </w:rPr>
        <w:t xml:space="preserve">Recommendation 9: </w:t>
      </w:r>
      <w:r>
        <w:t>A data management system should be introduced, covering grant compliance and service performance</w:t>
      </w:r>
      <w:r w:rsidR="00163E9B">
        <w:t>.</w:t>
      </w:r>
    </w:p>
    <w:p w14:paraId="7DD9FEBB" w14:textId="77777777" w:rsidR="0082452C" w:rsidRPr="00747B61" w:rsidRDefault="0082452C" w:rsidP="0082452C">
      <w:pPr>
        <w:pStyle w:val="ListBullet"/>
      </w:pPr>
      <w:r w:rsidRPr="00D00B12">
        <w:rPr>
          <w:b/>
          <w:bCs/>
          <w:color w:val="26890D"/>
        </w:rPr>
        <w:t>Recommendation 10:</w:t>
      </w:r>
      <w:r w:rsidRPr="00D00B12">
        <w:rPr>
          <w:color w:val="26890D"/>
        </w:rPr>
        <w:t xml:space="preserve"> </w:t>
      </w:r>
      <w:r>
        <w:t>Clear and comprehensive reporting metrics and KPIs should be developed and implemented and collected via a suitable data collection platform.</w:t>
      </w:r>
    </w:p>
    <w:p w14:paraId="2F3F8001" w14:textId="77777777" w:rsidR="0082452C" w:rsidRPr="00747B61" w:rsidRDefault="0082452C" w:rsidP="0082452C">
      <w:pPr>
        <w:pStyle w:val="ListBullet"/>
      </w:pPr>
      <w:r w:rsidRPr="00D00B12">
        <w:rPr>
          <w:b/>
          <w:bCs/>
          <w:color w:val="26890D"/>
        </w:rPr>
        <w:t>Recommendation 11:</w:t>
      </w:r>
      <w:r>
        <w:t xml:space="preserve"> All aspects of the grant design should embed a strengths-based approach, including using strengths-based language. </w:t>
      </w:r>
    </w:p>
    <w:p w14:paraId="188DDE37" w14:textId="77777777" w:rsidR="0082452C" w:rsidRPr="00747B61" w:rsidRDefault="0082452C" w:rsidP="0082452C">
      <w:pPr>
        <w:pStyle w:val="ListBullet"/>
      </w:pPr>
      <w:r w:rsidRPr="00D00B12">
        <w:rPr>
          <w:b/>
          <w:bCs/>
          <w:color w:val="26890D"/>
        </w:rPr>
        <w:t>Recommendation 12:</w:t>
      </w:r>
      <w:r>
        <w:t xml:space="preserve"> Grant funding values should be reviewed and revised in light of the revised objectives and in accordance with the principles of need, responsiveness, flexibility and certainty. </w:t>
      </w:r>
    </w:p>
    <w:p w14:paraId="3372DA2A" w14:textId="53262128" w:rsidR="0082452C" w:rsidRDefault="0082452C" w:rsidP="0082452C">
      <w:pPr>
        <w:pStyle w:val="ListBullet"/>
      </w:pPr>
      <w:r w:rsidRPr="00D00B12">
        <w:rPr>
          <w:b/>
          <w:bCs/>
          <w:color w:val="26890D"/>
        </w:rPr>
        <w:t>Recommendation 13:</w:t>
      </w:r>
      <w:r>
        <w:t xml:space="preserve"> The grant design (including the grant value formula and grant guidelines) should ensure that fees are not a barrier to participation and that access to </w:t>
      </w:r>
      <w:r w:rsidR="007E2DCC">
        <w:t xml:space="preserve">CCCFR </w:t>
      </w:r>
      <w:r>
        <w:t>services is not contingent on families engaging with systems and processes where there are demonstrated barriers to doing so, including Services Australia.</w:t>
      </w:r>
    </w:p>
    <w:p w14:paraId="69BBD085" w14:textId="77777777" w:rsidR="0082452C" w:rsidRPr="00747B61" w:rsidRDefault="0082452C" w:rsidP="0082452C">
      <w:pPr>
        <w:pStyle w:val="ListBullet"/>
      </w:pPr>
      <w:r w:rsidRPr="00D00B12">
        <w:rPr>
          <w:b/>
          <w:bCs/>
          <w:color w:val="26890D"/>
        </w:rPr>
        <w:t>Recommendation 14:</w:t>
      </w:r>
      <w:r>
        <w:t xml:space="preserve"> The roles and responsibilities of Program Officers should be refined to prioritise supporting administration and financial obligations under the CCCFR grant.</w:t>
      </w:r>
    </w:p>
    <w:p w14:paraId="37E0617A" w14:textId="56C04AEF" w:rsidR="0082452C" w:rsidRPr="00747B61" w:rsidRDefault="0082452C" w:rsidP="0082452C">
      <w:pPr>
        <w:pStyle w:val="ListBullet"/>
      </w:pPr>
      <w:r w:rsidRPr="00D00B12">
        <w:rPr>
          <w:b/>
          <w:bCs/>
          <w:color w:val="26890D"/>
        </w:rPr>
        <w:t>Recommendation 15:</w:t>
      </w:r>
      <w:r>
        <w:t xml:space="preserve"> </w:t>
      </w:r>
      <w:r w:rsidR="00ED3EEA">
        <w:t xml:space="preserve">Responsibilities should be assigned and/or targeted </w:t>
      </w:r>
      <w:r w:rsidR="00747BB1">
        <w:t>roles established t</w:t>
      </w:r>
      <w:r>
        <w:t xml:space="preserve">o support CCCFR services in relation to specialist issues </w:t>
      </w:r>
      <w:r w:rsidR="00C24416">
        <w:t xml:space="preserve">beyond the remit of Program Officers – </w:t>
      </w:r>
      <w:r>
        <w:t xml:space="preserve">such as leasing and asset management and legislative and regulatory advice outside of CCCFR grant obligations. </w:t>
      </w:r>
    </w:p>
    <w:p w14:paraId="172B208D" w14:textId="294003CA" w:rsidR="00AA616F" w:rsidRPr="00747B61" w:rsidRDefault="0082452C" w:rsidP="0082452C">
      <w:pPr>
        <w:pStyle w:val="ListBullet"/>
      </w:pPr>
      <w:r w:rsidRPr="00D00B12">
        <w:rPr>
          <w:b/>
          <w:bCs/>
          <w:color w:val="26890D"/>
        </w:rPr>
        <w:t>Recommendation 16:</w:t>
      </w:r>
      <w:r w:rsidRPr="00D00B12">
        <w:rPr>
          <w:color w:val="26890D"/>
        </w:rPr>
        <w:t xml:space="preserve"> </w:t>
      </w:r>
      <w:r>
        <w:t>Recognising the unique context of each CCCFR service, additional professional development and training should be arranged to support quality uplift, including delivery across different stakeholders (e.g., sector organisations and peak bodies) and different mediums (e.g., online, in person training, written guidance and tailored intensive supports at service).</w:t>
      </w:r>
    </w:p>
    <w:p w14:paraId="11A5070A" w14:textId="00F96CEC" w:rsidR="0082452C" w:rsidRPr="00747B61" w:rsidRDefault="0082452C" w:rsidP="0082452C">
      <w:pPr>
        <w:pStyle w:val="ListBullet"/>
      </w:pPr>
      <w:r w:rsidRPr="00D00B12">
        <w:rPr>
          <w:b/>
          <w:bCs/>
          <w:color w:val="26890D"/>
        </w:rPr>
        <w:t>Recommendation 17:</w:t>
      </w:r>
      <w:r w:rsidRPr="00D00B12">
        <w:rPr>
          <w:color w:val="26890D"/>
        </w:rPr>
        <w:t xml:space="preserve"> </w:t>
      </w:r>
      <w:r>
        <w:t xml:space="preserve">To enable clearer oversight of asset and infrastructure challenges faced by </w:t>
      </w:r>
      <w:r w:rsidR="004B02CF">
        <w:t>CCCFR</w:t>
      </w:r>
      <w:r>
        <w:t xml:space="preserve"> services, in particular those posing a barrier to compliance with the Family Assistance Law (FAL) and/or the National Quality Framework (NQF), a quality audit of current assets and infrastructure </w:t>
      </w:r>
      <w:r w:rsidR="005A5202">
        <w:t xml:space="preserve">should be commissioned </w:t>
      </w:r>
      <w:r>
        <w:t>and, on the basis of this,</w:t>
      </w:r>
      <w:r w:rsidR="00CD59BC">
        <w:t xml:space="preserve"> </w:t>
      </w:r>
      <w:r>
        <w:t>an asset management plan</w:t>
      </w:r>
      <w:r w:rsidR="00CD59BC">
        <w:t xml:space="preserve"> developed</w:t>
      </w:r>
      <w:r>
        <w:t>.</w:t>
      </w:r>
    </w:p>
    <w:p w14:paraId="66305773" w14:textId="6E5B84E6" w:rsidR="0082452C" w:rsidRPr="00747B61" w:rsidRDefault="0082452C" w:rsidP="0082452C">
      <w:pPr>
        <w:pStyle w:val="ListBullet"/>
        <w:rPr>
          <w:rFonts w:eastAsia="Times New Roman"/>
        </w:rPr>
      </w:pPr>
      <w:r w:rsidRPr="00D00B12">
        <w:rPr>
          <w:b/>
          <w:bCs/>
          <w:color w:val="26890D"/>
        </w:rPr>
        <w:t>Recommendation 18:</w:t>
      </w:r>
      <w:r w:rsidRPr="00D00B12">
        <w:rPr>
          <w:color w:val="26890D"/>
        </w:rPr>
        <w:t xml:space="preserve"> </w:t>
      </w:r>
      <w:r w:rsidRPr="2B91AEFB">
        <w:rPr>
          <w:rFonts w:eastAsia="Times New Roman"/>
        </w:rPr>
        <w:t>Reporting requirements and procedures for annual compliance checks as parts of leasing arrangements should be implemented through the introduction of a robust framework to ensure building/improvement maintenance and compliance are being adhered to by all parties.</w:t>
      </w:r>
    </w:p>
    <w:p w14:paraId="531BDD47" w14:textId="1A72047E" w:rsidR="00047275" w:rsidRDefault="0082452C" w:rsidP="0082452C">
      <w:pPr>
        <w:pStyle w:val="ListBullet"/>
        <w:rPr>
          <w:rFonts w:eastAsia="Times New Roman"/>
        </w:rPr>
      </w:pPr>
      <w:r w:rsidRPr="00D00B12">
        <w:rPr>
          <w:b/>
          <w:bCs/>
          <w:color w:val="26890D"/>
        </w:rPr>
        <w:lastRenderedPageBreak/>
        <w:t>Recommendation 19:</w:t>
      </w:r>
      <w:r w:rsidRPr="00D00B12">
        <w:rPr>
          <w:rFonts w:eastAsia="Times New Roman"/>
          <w:color w:val="26890D"/>
        </w:rPr>
        <w:t xml:space="preserve"> </w:t>
      </w:r>
      <w:r w:rsidRPr="2B91AEFB">
        <w:rPr>
          <w:rFonts w:eastAsia="Times New Roman"/>
        </w:rPr>
        <w:t xml:space="preserve">Any future leasing arrangements should consider the requirements that are additional to securing property use rights and tenure, such as obligations for providing early childhood </w:t>
      </w:r>
      <w:r w:rsidR="00F554C4">
        <w:rPr>
          <w:rFonts w:eastAsia="Times New Roman"/>
        </w:rPr>
        <w:t>education and care</w:t>
      </w:r>
      <w:r w:rsidRPr="2B91AEFB">
        <w:rPr>
          <w:rFonts w:eastAsia="Times New Roman"/>
        </w:rPr>
        <w:t>, and ensure that these obligations are clearly articulated.</w:t>
      </w:r>
    </w:p>
    <w:p w14:paraId="55CD7919" w14:textId="00CA4C85" w:rsidR="0082452C" w:rsidRPr="00747B61" w:rsidRDefault="0082452C" w:rsidP="00FA04A4">
      <w:pPr>
        <w:pStyle w:val="ListBullet"/>
        <w:numPr>
          <w:ilvl w:val="0"/>
          <w:numId w:val="0"/>
        </w:numPr>
        <w:rPr>
          <w:rFonts w:eastAsia="Times New Roman"/>
        </w:rPr>
      </w:pPr>
    </w:p>
    <w:p w14:paraId="20160E12" w14:textId="01100EC0" w:rsidR="009E4BFC" w:rsidRPr="00747B61" w:rsidRDefault="009E4BFC" w:rsidP="00B56C89">
      <w:pPr>
        <w:pStyle w:val="Heading31"/>
      </w:pPr>
      <w:r w:rsidRPr="00747B61">
        <w:t xml:space="preserve">Decision framework for individual </w:t>
      </w:r>
      <w:r w:rsidR="004B02CF" w:rsidRPr="004B02CF">
        <w:t xml:space="preserve">CCCFR </w:t>
      </w:r>
      <w:r w:rsidRPr="00747B61">
        <w:t>services</w:t>
      </w:r>
    </w:p>
    <w:p w14:paraId="09268E9A" w14:textId="5F8DEF8B" w:rsidR="009E4BFC" w:rsidRDefault="009E4BFC" w:rsidP="009E4BFC">
      <w:r w:rsidRPr="00C42A41">
        <w:t xml:space="preserve">Regardless of whether CCCFR services as a collective are positioned within a reformed policy landscape, or continue to receive funding via </w:t>
      </w:r>
      <w:r w:rsidR="00D51351" w:rsidRPr="00C42A41">
        <w:t>a</w:t>
      </w:r>
      <w:r w:rsidRPr="00C42A41">
        <w:t xml:space="preserve"> grant, individual</w:t>
      </w:r>
      <w:r w:rsidRPr="00C42A41">
        <w:rPr>
          <w:b/>
          <w:bCs/>
        </w:rPr>
        <w:t xml:space="preserve"> </w:t>
      </w:r>
      <w:r w:rsidRPr="00C42A41">
        <w:t xml:space="preserve">CCCFR services should be evaluated on a case-by-case basis to determine </w:t>
      </w:r>
      <w:r w:rsidR="00D51351" w:rsidRPr="00C42A41">
        <w:t>the most</w:t>
      </w:r>
      <w:r w:rsidRPr="00C42A41">
        <w:t xml:space="preserve"> appropriate future funding </w:t>
      </w:r>
      <w:r w:rsidR="00D51351" w:rsidRPr="00C42A41">
        <w:t>and policy environment</w:t>
      </w:r>
      <w:r w:rsidRPr="00C42A41">
        <w:t xml:space="preserve">. </w:t>
      </w:r>
      <w:r w:rsidR="00945534" w:rsidRPr="00C42A41">
        <w:t xml:space="preserve">An interactive </w:t>
      </w:r>
      <w:r w:rsidR="00C85273" w:rsidRPr="00C42A41">
        <w:t xml:space="preserve">Excel </w:t>
      </w:r>
      <w:r w:rsidR="00FD4FB7" w:rsidRPr="00C42A41">
        <w:t xml:space="preserve">dashboard has been provided to the Department to enable the </w:t>
      </w:r>
      <w:r w:rsidR="002C136B" w:rsidRPr="00C42A41">
        <w:t>p</w:t>
      </w:r>
      <w:r w:rsidR="00FD4FB7" w:rsidRPr="00C42A41">
        <w:t>roduction of a baseline report for each service</w:t>
      </w:r>
      <w:r w:rsidR="002C136B" w:rsidRPr="00C42A41">
        <w:t xml:space="preserve"> within a dynamic environment</w:t>
      </w:r>
      <w:r w:rsidR="00FD4FB7" w:rsidRPr="00C42A41">
        <w:t>.</w:t>
      </w:r>
      <w:r w:rsidR="00945534" w:rsidRPr="00C42A41">
        <w:t xml:space="preserve"> </w:t>
      </w:r>
      <w:r w:rsidRPr="00C42A41">
        <w:t>Per</w:t>
      </w:r>
      <w:r w:rsidRPr="00747B61">
        <w:t xml:space="preserve"> recommendation 3, </w:t>
      </w:r>
      <w:r w:rsidR="008D78F5" w:rsidRPr="008D78F5">
        <w:t>CCCFR</w:t>
      </w:r>
      <w:r w:rsidRPr="00747B61">
        <w:t xml:space="preserve"> services and communities should be active participants in the process that determines their future. However, the following considerations may serve as a guiding framework for </w:t>
      </w:r>
      <w:r w:rsidR="00D51351">
        <w:t>determining the most</w:t>
      </w:r>
      <w:r w:rsidRPr="00747B61">
        <w:t xml:space="preserve"> suitable future for </w:t>
      </w:r>
      <w:r w:rsidR="008D78F5" w:rsidRPr="008D78F5">
        <w:t xml:space="preserve">CCCFR </w:t>
      </w:r>
      <w:r w:rsidRPr="00747B61">
        <w:t>services.</w:t>
      </w:r>
    </w:p>
    <w:p w14:paraId="27396E0F" w14:textId="72BE2E19" w:rsidR="009E4BFC" w:rsidRPr="00747B61" w:rsidRDefault="008155AE" w:rsidP="002E497C">
      <w:pPr>
        <w:pStyle w:val="ExecFigureCaption"/>
      </w:pPr>
      <w:bookmarkStart w:id="55" w:name="_Ref158971745"/>
      <w:bookmarkStart w:id="56" w:name="_Toc158997979"/>
      <w:bookmarkStart w:id="57" w:name="_Toc170228781"/>
      <w:r>
        <w:t>:</w:t>
      </w:r>
      <w:r w:rsidR="009E4BFC">
        <w:t xml:space="preserve"> </w:t>
      </w:r>
      <w:bookmarkStart w:id="58" w:name="_Ref158989665"/>
      <w:r w:rsidR="009E4BFC">
        <w:t xml:space="preserve">Decision framework for individual </w:t>
      </w:r>
      <w:r w:rsidR="008D78F5" w:rsidRPr="008D78F5">
        <w:t xml:space="preserve">CCCFR </w:t>
      </w:r>
      <w:r w:rsidR="009E4BFC">
        <w:t>services</w:t>
      </w:r>
      <w:bookmarkEnd w:id="55"/>
      <w:bookmarkEnd w:id="56"/>
      <w:bookmarkEnd w:id="57"/>
      <w:bookmarkEnd w:id="58"/>
    </w:p>
    <w:p w14:paraId="613FED32" w14:textId="78ECB28E" w:rsidR="009E4BFC" w:rsidRPr="00747B61" w:rsidRDefault="00B13464" w:rsidP="004D4AB8">
      <w:pPr>
        <w:spacing w:after="0"/>
      </w:pPr>
      <w:r w:rsidRPr="00891A65">
        <w:rPr>
          <w:noProof/>
        </w:rPr>
        <w:drawing>
          <wp:inline distT="0" distB="0" distL="0" distR="0" wp14:anchorId="2B8AE474" wp14:editId="392C5FA7">
            <wp:extent cx="5290457" cy="4069537"/>
            <wp:effectExtent l="0" t="0" r="5715" b="7620"/>
            <wp:docPr id="41" name="Picture 41" descr="This flowchart presents a decision framework for individual CCCFR services, outlining the decision points, the implications of a reformed policy landscape, and the suggested funding arrangement under the existing policy environment and subject to strengthening the CCCFR grant in recommendations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is flowchart presents a decision framework for individual CCCFR services, outlining the decision points, the implications of a reformed policy landscape, and the suggested funding arrangement under the existing policy environment and subject to strengthening the CCCFR grant in recommendations 5-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08997" cy="4083799"/>
                    </a:xfrm>
                    <a:prstGeom prst="rect">
                      <a:avLst/>
                    </a:prstGeom>
                    <a:noFill/>
                    <a:ln>
                      <a:noFill/>
                    </a:ln>
                  </pic:spPr>
                </pic:pic>
              </a:graphicData>
            </a:graphic>
          </wp:inline>
        </w:drawing>
      </w:r>
    </w:p>
    <w:p w14:paraId="6C7B7665" w14:textId="08126675" w:rsidR="009E4BFC" w:rsidRPr="001C655F" w:rsidRDefault="009E4BFC" w:rsidP="004D4AB8">
      <w:pPr>
        <w:pStyle w:val="Source"/>
        <w:spacing w:before="0"/>
      </w:pPr>
      <w:r w:rsidRPr="00747B61">
        <w:t>Source: Deloitte</w:t>
      </w:r>
      <w:r w:rsidRPr="00747B61">
        <w:rPr>
          <w:sz w:val="16"/>
          <w:szCs w:val="16"/>
        </w:rPr>
        <w:t xml:space="preserve"> </w:t>
      </w:r>
      <w:r w:rsidRPr="001C655F">
        <w:t>Access Economics (2024)</w:t>
      </w:r>
      <w:r w:rsidR="00564E41">
        <w:br/>
        <w:t xml:space="preserve">* </w:t>
      </w:r>
      <w:r w:rsidR="00564E41" w:rsidRPr="00564E41">
        <w:t xml:space="preserve">For the purposes of the decision framework outlined above, the ‘Department’s policy responsibility for early years programming’ refers to the Department’s implied policy remit for delivering and/or financially supporting early childhood education </w:t>
      </w:r>
      <w:r w:rsidR="00564E41" w:rsidRPr="00F554C4">
        <w:t>and care (ECEC)</w:t>
      </w:r>
      <w:r w:rsidR="001F33CA" w:rsidRPr="00F554C4">
        <w:t>. References</w:t>
      </w:r>
      <w:r w:rsidR="001F33CA" w:rsidRPr="001F33CA">
        <w:t xml:space="preserve"> outlined above to the Department’s policy responsibility for early years programming should be considered </w:t>
      </w:r>
      <w:r w:rsidR="00A264C3">
        <w:t xml:space="preserve">in light of </w:t>
      </w:r>
      <w:r w:rsidR="00F554C4">
        <w:t>a shifting policy landscape</w:t>
      </w:r>
      <w:r w:rsidR="00443EE2">
        <w:t>,</w:t>
      </w:r>
      <w:r w:rsidR="00F554C4">
        <w:t xml:space="preserve"> </w:t>
      </w:r>
      <w:r w:rsidR="00443EE2">
        <w:t>as</w:t>
      </w:r>
      <w:r w:rsidR="00F554C4">
        <w:t xml:space="preserve"> explored in Section </w:t>
      </w:r>
      <w:r w:rsidR="00F554C4">
        <w:fldChar w:fldCharType="begin"/>
      </w:r>
      <w:r w:rsidR="00F554C4">
        <w:instrText xml:space="preserve"> REF _Ref152745967 \r \h </w:instrText>
      </w:r>
      <w:r w:rsidR="00F554C4">
        <w:fldChar w:fldCharType="separate"/>
      </w:r>
      <w:r w:rsidR="00D300D0">
        <w:t>5.3</w:t>
      </w:r>
      <w:r w:rsidR="00F554C4">
        <w:fldChar w:fldCharType="end"/>
      </w:r>
      <w:r w:rsidR="00F554C4">
        <w:t xml:space="preserve">. </w:t>
      </w:r>
      <w:r w:rsidR="00AB385D">
        <w:t xml:space="preserve"> </w:t>
      </w:r>
    </w:p>
    <w:p w14:paraId="025C0AC6" w14:textId="1BDC2CB7" w:rsidR="009E4BFC" w:rsidRPr="009E4BFC" w:rsidRDefault="009E4BFC" w:rsidP="009E4BFC">
      <w:r w:rsidRPr="00747B61">
        <w:t xml:space="preserve">This decision framework has been accompanied by a dashboard to support the Department in evaluating </w:t>
      </w:r>
      <w:r w:rsidR="008D78F5" w:rsidRPr="008D78F5">
        <w:t xml:space="preserve">CCCFR </w:t>
      </w:r>
      <w:r w:rsidRPr="00747B61">
        <w:t xml:space="preserve">services against the decision points, subject to modification in light of the revision of the CCCFR objectives and policy changes that may impact the ability of </w:t>
      </w:r>
      <w:r w:rsidR="008D78F5" w:rsidRPr="008D78F5">
        <w:t>CCCFR</w:t>
      </w:r>
      <w:r w:rsidRPr="00747B61">
        <w:t xml:space="preserve"> services to operate in a financially sustainable manner.</w:t>
      </w:r>
      <w:r w:rsidR="002E497C">
        <w:t xml:space="preserve"> </w:t>
      </w:r>
    </w:p>
    <w:p w14:paraId="687981C1" w14:textId="4E72D647" w:rsidR="00390AF5" w:rsidRPr="009F010A" w:rsidRDefault="005E3057" w:rsidP="00925305">
      <w:pPr>
        <w:spacing w:before="240" w:after="120"/>
        <w:rPr>
          <w:b/>
          <w:color w:val="007CB0"/>
          <w:sz w:val="22"/>
          <w:szCs w:val="22"/>
        </w:rPr>
      </w:pPr>
      <w:r w:rsidRPr="009F010A">
        <w:rPr>
          <w:b/>
          <w:color w:val="007CB0"/>
          <w:sz w:val="22"/>
          <w:szCs w:val="22"/>
        </w:rPr>
        <w:t>Conclu</w:t>
      </w:r>
      <w:r w:rsidR="006034C3" w:rsidRPr="009F010A">
        <w:rPr>
          <w:b/>
          <w:color w:val="007CB0"/>
          <w:sz w:val="22"/>
          <w:szCs w:val="22"/>
        </w:rPr>
        <w:t>ding remarks</w:t>
      </w:r>
      <w:r w:rsidR="002E497C" w:rsidRPr="009F010A">
        <w:rPr>
          <w:b/>
          <w:color w:val="007CB0"/>
          <w:sz w:val="22"/>
          <w:szCs w:val="22"/>
        </w:rPr>
        <w:t xml:space="preserve">  </w:t>
      </w:r>
    </w:p>
    <w:p w14:paraId="02704E89" w14:textId="0A01AED5" w:rsidR="00274F4E" w:rsidRPr="00E575F3" w:rsidRDefault="00274F4E" w:rsidP="00274F4E">
      <w:pPr>
        <w:rPr>
          <w:lang w:val="en-GB"/>
        </w:rPr>
      </w:pPr>
      <w:r w:rsidRPr="00E575F3">
        <w:rPr>
          <w:lang w:val="en-GB"/>
        </w:rPr>
        <w:t xml:space="preserve">With the current grant arrangements due to expire in June 2025, there is an opportunity to take the findings and recommendations of this review, together with the conclusions from the </w:t>
      </w:r>
      <w:r w:rsidRPr="00E575F3">
        <w:rPr>
          <w:lang w:val="en-GB"/>
        </w:rPr>
        <w:lastRenderedPageBreak/>
        <w:t xml:space="preserve">aforementioned ECEC and </w:t>
      </w:r>
      <w:r>
        <w:rPr>
          <w:lang w:val="en-GB"/>
        </w:rPr>
        <w:t xml:space="preserve">Closing the Gap </w:t>
      </w:r>
      <w:r w:rsidRPr="00E575F3">
        <w:rPr>
          <w:lang w:val="en-GB"/>
        </w:rPr>
        <w:t xml:space="preserve">policy reviews, </w:t>
      </w:r>
      <w:r>
        <w:rPr>
          <w:lang w:val="en-GB"/>
        </w:rPr>
        <w:t xml:space="preserve">to </w:t>
      </w:r>
      <w:r w:rsidRPr="00E575F3">
        <w:rPr>
          <w:lang w:val="en-GB"/>
        </w:rPr>
        <w:t xml:space="preserve">chart a new course for </w:t>
      </w:r>
      <w:r>
        <w:rPr>
          <w:lang w:val="en-GB"/>
        </w:rPr>
        <w:t xml:space="preserve">the </w:t>
      </w:r>
      <w:r w:rsidR="008D78F5" w:rsidRPr="008D78F5">
        <w:rPr>
          <w:lang w:val="en-GB"/>
        </w:rPr>
        <w:t xml:space="preserve">CCCFR </w:t>
      </w:r>
      <w:r w:rsidRPr="00E575F3">
        <w:rPr>
          <w:lang w:val="en-GB"/>
        </w:rPr>
        <w:t xml:space="preserve">services under the current CCCFR funding arrangement. </w:t>
      </w:r>
    </w:p>
    <w:p w14:paraId="2981906C" w14:textId="7C54A5A3" w:rsidR="00274F4E" w:rsidRPr="00E575F3" w:rsidRDefault="00274F4E" w:rsidP="00274F4E">
      <w:pPr>
        <w:rPr>
          <w:lang w:val="en-GB"/>
        </w:rPr>
      </w:pPr>
      <w:r w:rsidRPr="00E575F3">
        <w:rPr>
          <w:lang w:val="en-GB"/>
        </w:rPr>
        <w:t xml:space="preserve">The opportunity for improvement in the grant structure and funding </w:t>
      </w:r>
      <w:r>
        <w:rPr>
          <w:lang w:val="en-GB"/>
        </w:rPr>
        <w:t>extends beyond adjusting</w:t>
      </w:r>
      <w:r w:rsidRPr="00E575F3">
        <w:rPr>
          <w:lang w:val="en-GB"/>
        </w:rPr>
        <w:t xml:space="preserve"> to current </w:t>
      </w:r>
      <w:r>
        <w:rPr>
          <w:lang w:val="en-GB"/>
        </w:rPr>
        <w:t>policy and operating</w:t>
      </w:r>
      <w:r w:rsidRPr="00E575F3">
        <w:rPr>
          <w:lang w:val="en-GB"/>
        </w:rPr>
        <w:t xml:space="preserve"> circumstance, it </w:t>
      </w:r>
      <w:r>
        <w:rPr>
          <w:lang w:val="en-GB"/>
        </w:rPr>
        <w:t>represents</w:t>
      </w:r>
      <w:r w:rsidRPr="00E575F3">
        <w:rPr>
          <w:lang w:val="en-GB"/>
        </w:rPr>
        <w:t xml:space="preserve"> an opportunity to </w:t>
      </w:r>
      <w:r>
        <w:rPr>
          <w:lang w:val="en-GB"/>
        </w:rPr>
        <w:t>rectify</w:t>
      </w:r>
      <w:r w:rsidRPr="00E575F3">
        <w:rPr>
          <w:lang w:val="en-GB"/>
        </w:rPr>
        <w:t xml:space="preserve"> historic</w:t>
      </w:r>
      <w:r>
        <w:rPr>
          <w:lang w:val="en-GB"/>
        </w:rPr>
        <w:t>al</w:t>
      </w:r>
      <w:r w:rsidRPr="00E575F3">
        <w:rPr>
          <w:lang w:val="en-GB"/>
        </w:rPr>
        <w:t xml:space="preserve"> gaps in its execution and to </w:t>
      </w:r>
      <w:r>
        <w:rPr>
          <w:lang w:val="en-GB"/>
        </w:rPr>
        <w:t>envision a more significant</w:t>
      </w:r>
      <w:r w:rsidRPr="00E575F3">
        <w:rPr>
          <w:lang w:val="en-GB"/>
        </w:rPr>
        <w:t xml:space="preserve"> role </w:t>
      </w:r>
      <w:r>
        <w:rPr>
          <w:lang w:val="en-GB"/>
        </w:rPr>
        <w:t>for</w:t>
      </w:r>
      <w:r w:rsidRPr="00E575F3">
        <w:rPr>
          <w:lang w:val="en-GB"/>
        </w:rPr>
        <w:t xml:space="preserve"> these </w:t>
      </w:r>
      <w:r w:rsidR="005D1615" w:rsidRPr="005D1615">
        <w:rPr>
          <w:lang w:val="en-GB"/>
        </w:rPr>
        <w:t xml:space="preserve">CCCFR </w:t>
      </w:r>
      <w:r w:rsidRPr="00E575F3">
        <w:rPr>
          <w:lang w:val="en-GB"/>
        </w:rPr>
        <w:t xml:space="preserve">services in the future provision of </w:t>
      </w:r>
      <w:r>
        <w:rPr>
          <w:lang w:val="en-GB"/>
        </w:rPr>
        <w:t xml:space="preserve">a </w:t>
      </w:r>
      <w:r w:rsidRPr="00E575F3">
        <w:rPr>
          <w:lang w:val="en-GB"/>
        </w:rPr>
        <w:t xml:space="preserve">universal ECEC </w:t>
      </w:r>
      <w:r>
        <w:rPr>
          <w:lang w:val="en-GB"/>
        </w:rPr>
        <w:t>for</w:t>
      </w:r>
      <w:r w:rsidRPr="00E575F3">
        <w:rPr>
          <w:lang w:val="en-GB"/>
        </w:rPr>
        <w:t xml:space="preserve"> children and families most at risk of being left behind. Furthermore, the </w:t>
      </w:r>
      <w:r>
        <w:rPr>
          <w:lang w:val="en-GB"/>
        </w:rPr>
        <w:t xml:space="preserve">proposals </w:t>
      </w:r>
      <w:r w:rsidRPr="00E575F3">
        <w:rPr>
          <w:lang w:val="en-GB"/>
        </w:rPr>
        <w:t xml:space="preserve">earmarked by the Productivity Commission </w:t>
      </w:r>
      <w:r>
        <w:rPr>
          <w:lang w:val="en-GB"/>
        </w:rPr>
        <w:t>introduce</w:t>
      </w:r>
      <w:r w:rsidRPr="00E575F3">
        <w:rPr>
          <w:lang w:val="en-GB"/>
        </w:rPr>
        <w:t xml:space="preserve"> the possibility for greater transformative change.</w:t>
      </w:r>
      <w:r w:rsidR="002E497C">
        <w:rPr>
          <w:lang w:val="en-GB"/>
        </w:rPr>
        <w:t xml:space="preserve"> </w:t>
      </w:r>
    </w:p>
    <w:p w14:paraId="6A8E50FB" w14:textId="2CA81F17" w:rsidR="00274F4E" w:rsidRPr="00E575F3" w:rsidRDefault="00274F4E" w:rsidP="00274F4E">
      <w:pPr>
        <w:rPr>
          <w:lang w:val="en-GB"/>
        </w:rPr>
      </w:pPr>
      <w:r w:rsidRPr="00E575F3">
        <w:rPr>
          <w:lang w:val="en-GB"/>
        </w:rPr>
        <w:t xml:space="preserve">The areas for improvement include options for strengthening alignment to contemporary government policies and ECEC best practice, reconfiguring the objectives and measures of success, adjustments to the funding model, systematically reviewing funding amounts, addressing barriers to family access, refining the remit of </w:t>
      </w:r>
      <w:r w:rsidR="006773A2" w:rsidRPr="006773A2">
        <w:rPr>
          <w:lang w:val="en-GB"/>
        </w:rPr>
        <w:t>grant</w:t>
      </w:r>
      <w:r w:rsidRPr="00E575F3">
        <w:rPr>
          <w:lang w:val="en-GB"/>
        </w:rPr>
        <w:t xml:space="preserve"> support team and internal capacity building, increasing connectivity to </w:t>
      </w:r>
      <w:r>
        <w:rPr>
          <w:lang w:val="en-GB"/>
        </w:rPr>
        <w:t>professional development</w:t>
      </w:r>
      <w:r w:rsidRPr="00E575F3">
        <w:rPr>
          <w:lang w:val="en-GB"/>
        </w:rPr>
        <w:t xml:space="preserve"> and training, addressing barriers to infrastructure upgrades, and enabling greater self-determination within communities aligned to Closing the Gap.</w:t>
      </w:r>
    </w:p>
    <w:p w14:paraId="70C5A48B" w14:textId="77777777" w:rsidR="00274F4E" w:rsidRPr="00E575F3" w:rsidRDefault="00274F4E" w:rsidP="00274F4E">
      <w:pPr>
        <w:rPr>
          <w:lang w:val="en-GB"/>
        </w:rPr>
      </w:pPr>
      <w:r w:rsidRPr="00E575F3">
        <w:rPr>
          <w:lang w:val="en-GB"/>
        </w:rPr>
        <w:t>Successfully transitioning the current CCCFR funded services to a new or different funding arrangement and under a future policy environment needs to be done in a sophisticated, nuanced and community</w:t>
      </w:r>
      <w:r>
        <w:rPr>
          <w:lang w:val="en-GB"/>
        </w:rPr>
        <w:t>-</w:t>
      </w:r>
      <w:r w:rsidRPr="00E575F3">
        <w:rPr>
          <w:lang w:val="en-GB"/>
        </w:rPr>
        <w:t>led way, including co-ordination with other areas of government and extensive support and communications</w:t>
      </w:r>
      <w:r>
        <w:rPr>
          <w:lang w:val="en-GB"/>
        </w:rPr>
        <w:t xml:space="preserve"> at the service, family and community level</w:t>
      </w:r>
      <w:r w:rsidRPr="00E575F3">
        <w:rPr>
          <w:lang w:val="en-GB"/>
        </w:rPr>
        <w:t xml:space="preserve">. </w:t>
      </w:r>
    </w:p>
    <w:p w14:paraId="69464FE5" w14:textId="3D27A88F" w:rsidR="00274F4E" w:rsidRPr="00E575F3" w:rsidRDefault="00274F4E" w:rsidP="00274F4E">
      <w:pPr>
        <w:rPr>
          <w:lang w:val="en-GB"/>
        </w:rPr>
      </w:pPr>
      <w:r w:rsidRPr="00E575F3">
        <w:rPr>
          <w:lang w:val="en-GB"/>
        </w:rPr>
        <w:t xml:space="preserve">This review makes two sets of </w:t>
      </w:r>
      <w:r w:rsidRPr="00503875">
        <w:rPr>
          <w:lang w:val="en-GB"/>
        </w:rPr>
        <w:t>recommendations. The first set (1-4) seek to respond to the potential for change in the wider ECEC policy environment, drawing on the proposals being considered in other reviews and enquiries to explore alternative possible futures for CCCFR services. The second set (5-</w:t>
      </w:r>
      <w:r w:rsidR="00503875" w:rsidRPr="00503875">
        <w:rPr>
          <w:lang w:val="en-GB"/>
        </w:rPr>
        <w:t>19</w:t>
      </w:r>
      <w:r w:rsidRPr="00503875">
        <w:rPr>
          <w:lang w:val="en-GB"/>
        </w:rPr>
        <w:t>) respond</w:t>
      </w:r>
      <w:r w:rsidRPr="00E575F3">
        <w:rPr>
          <w:lang w:val="en-GB"/>
        </w:rPr>
        <w:t xml:space="preserve"> to the more immediate opportunity to strengthen the operations and impact of the CCCFR grant</w:t>
      </w:r>
      <w:r>
        <w:rPr>
          <w:lang w:val="en-GB"/>
        </w:rPr>
        <w:t xml:space="preserve"> in the event that </w:t>
      </w:r>
      <w:r w:rsidR="00FE66B8">
        <w:rPr>
          <w:lang w:val="en-GB"/>
        </w:rPr>
        <w:t>the grant’s</w:t>
      </w:r>
      <w:r>
        <w:rPr>
          <w:lang w:val="en-GB"/>
        </w:rPr>
        <w:t xml:space="preserve"> continued operation is deemed necessary</w:t>
      </w:r>
      <w:r w:rsidRPr="00E575F3">
        <w:rPr>
          <w:lang w:val="en-GB"/>
        </w:rPr>
        <w:t>.</w:t>
      </w:r>
      <w:r w:rsidR="002E497C">
        <w:rPr>
          <w:lang w:val="en-GB"/>
        </w:rPr>
        <w:t xml:space="preserve"> </w:t>
      </w:r>
    </w:p>
    <w:p w14:paraId="4973F781" w14:textId="77777777" w:rsidR="00274F4E" w:rsidRDefault="00274F4E" w:rsidP="00274F4E">
      <w:pPr>
        <w:rPr>
          <w:lang w:val="en-GB"/>
        </w:rPr>
      </w:pPr>
      <w:r w:rsidRPr="18F70B80">
        <w:rPr>
          <w:lang w:val="en-GB"/>
        </w:rPr>
        <w:t xml:space="preserve">These two sets of </w:t>
      </w:r>
      <w:r w:rsidRPr="24693FF5">
        <w:rPr>
          <w:lang w:val="en-GB"/>
        </w:rPr>
        <w:t>recommendations</w:t>
      </w:r>
      <w:r w:rsidRPr="18F70B80">
        <w:rPr>
          <w:lang w:val="en-GB"/>
        </w:rPr>
        <w:t xml:space="preserve"> </w:t>
      </w:r>
      <w:r w:rsidRPr="3E6D2B6C">
        <w:rPr>
          <w:lang w:val="en-GB"/>
        </w:rPr>
        <w:t>align to a</w:t>
      </w:r>
      <w:r w:rsidRPr="4713B99A">
        <w:rPr>
          <w:lang w:val="en-GB"/>
        </w:rPr>
        <w:t xml:space="preserve"> set of guiding</w:t>
      </w:r>
      <w:r w:rsidRPr="18F70B80">
        <w:rPr>
          <w:lang w:val="en-GB"/>
        </w:rPr>
        <w:t xml:space="preserve"> principles</w:t>
      </w:r>
      <w:r w:rsidRPr="12E0BEB7">
        <w:rPr>
          <w:lang w:val="en-GB"/>
        </w:rPr>
        <w:t xml:space="preserve"> </w:t>
      </w:r>
      <w:r w:rsidRPr="03197732">
        <w:rPr>
          <w:lang w:val="en-GB"/>
        </w:rPr>
        <w:t>that have been identified through the course of the review</w:t>
      </w:r>
      <w:r w:rsidRPr="24693FF5">
        <w:rPr>
          <w:lang w:val="en-GB"/>
        </w:rPr>
        <w:t xml:space="preserve">. </w:t>
      </w:r>
      <w:r w:rsidRPr="70235014">
        <w:rPr>
          <w:lang w:val="en-GB"/>
        </w:rPr>
        <w:t xml:space="preserve">These guiding principles lay the </w:t>
      </w:r>
      <w:r w:rsidRPr="024F9BA6">
        <w:rPr>
          <w:lang w:val="en-GB"/>
        </w:rPr>
        <w:t>groundwork</w:t>
      </w:r>
      <w:r w:rsidRPr="70235014">
        <w:rPr>
          <w:lang w:val="en-GB"/>
        </w:rPr>
        <w:t xml:space="preserve"> </w:t>
      </w:r>
      <w:r w:rsidRPr="3E6D2B6C">
        <w:rPr>
          <w:lang w:val="en-GB"/>
        </w:rPr>
        <w:t xml:space="preserve">for </w:t>
      </w:r>
      <w:r w:rsidRPr="538FE3DE">
        <w:rPr>
          <w:lang w:val="en-GB"/>
        </w:rPr>
        <w:t>the current</w:t>
      </w:r>
      <w:r w:rsidRPr="70235014">
        <w:rPr>
          <w:lang w:val="en-GB"/>
        </w:rPr>
        <w:t xml:space="preserve"> </w:t>
      </w:r>
      <w:r w:rsidRPr="395B8C88">
        <w:rPr>
          <w:lang w:val="en-GB"/>
        </w:rPr>
        <w:t>CCCFR grant funded services to satisfy the</w:t>
      </w:r>
      <w:r w:rsidRPr="70235014">
        <w:rPr>
          <w:lang w:val="en-GB"/>
        </w:rPr>
        <w:t xml:space="preserve"> conditions of inclusivity, accessibility, affordability</w:t>
      </w:r>
      <w:r w:rsidR="001C6F5B">
        <w:rPr>
          <w:lang w:val="en-GB"/>
        </w:rPr>
        <w:t>,</w:t>
      </w:r>
      <w:r w:rsidRPr="70235014">
        <w:rPr>
          <w:lang w:val="en-GB"/>
        </w:rPr>
        <w:t xml:space="preserve"> and </w:t>
      </w:r>
      <w:r w:rsidRPr="538FE3DE">
        <w:rPr>
          <w:lang w:val="en-GB"/>
        </w:rPr>
        <w:t>availability</w:t>
      </w:r>
      <w:r w:rsidRPr="395B8C88">
        <w:rPr>
          <w:lang w:val="en-GB"/>
        </w:rPr>
        <w:t xml:space="preserve"> under a universal ECEC </w:t>
      </w:r>
      <w:r w:rsidRPr="50694C1D">
        <w:rPr>
          <w:lang w:val="en-GB"/>
        </w:rPr>
        <w:t xml:space="preserve">system. </w:t>
      </w:r>
    </w:p>
    <w:p w14:paraId="00EAFE9D" w14:textId="77777777" w:rsidR="00274F4E" w:rsidRDefault="00274F4E" w:rsidP="00274F4E">
      <w:pPr>
        <w:rPr>
          <w:lang w:val="en-GB"/>
        </w:rPr>
      </w:pPr>
      <w:r w:rsidRPr="360F0EEF">
        <w:rPr>
          <w:lang w:val="en-GB"/>
        </w:rPr>
        <w:t xml:space="preserve">While the recommendations have been carefully constructed in response to both the current </w:t>
      </w:r>
      <w:r>
        <w:rPr>
          <w:lang w:val="en-GB"/>
        </w:rPr>
        <w:t>operating</w:t>
      </w:r>
      <w:r w:rsidRPr="360F0EEF">
        <w:rPr>
          <w:lang w:val="en-GB"/>
        </w:rPr>
        <w:t xml:space="preserve"> conditions </w:t>
      </w:r>
      <w:r w:rsidRPr="331DC5E2">
        <w:rPr>
          <w:lang w:val="en-GB"/>
        </w:rPr>
        <w:t xml:space="preserve">as well as the </w:t>
      </w:r>
      <w:r w:rsidRPr="360F0EEF">
        <w:rPr>
          <w:lang w:val="en-GB"/>
        </w:rPr>
        <w:t xml:space="preserve">contemporary policy landscape, </w:t>
      </w:r>
      <w:r w:rsidRPr="331DC5E2">
        <w:rPr>
          <w:lang w:val="en-GB"/>
        </w:rPr>
        <w:t xml:space="preserve">and </w:t>
      </w:r>
      <w:r w:rsidRPr="360F0EEF">
        <w:rPr>
          <w:lang w:val="en-GB"/>
        </w:rPr>
        <w:t xml:space="preserve">with a view to what a future policy </w:t>
      </w:r>
      <w:r w:rsidRPr="3DE3D506">
        <w:rPr>
          <w:lang w:val="en-GB"/>
        </w:rPr>
        <w:t xml:space="preserve">landscape may entail, </w:t>
      </w:r>
      <w:r w:rsidRPr="331DC5E2">
        <w:rPr>
          <w:lang w:val="en-GB"/>
        </w:rPr>
        <w:t>it is also recognised that this report has been prepared at a point in time and that situational factors will continue to evolve both subject to decisions made</w:t>
      </w:r>
      <w:r w:rsidRPr="360F0EEF">
        <w:rPr>
          <w:lang w:val="en-GB"/>
        </w:rPr>
        <w:t xml:space="preserve"> </w:t>
      </w:r>
      <w:r w:rsidRPr="635619A6">
        <w:rPr>
          <w:lang w:val="en-GB"/>
        </w:rPr>
        <w:t xml:space="preserve">by the Department and beyond them. With that in mind, these guiding principles </w:t>
      </w:r>
      <w:r>
        <w:rPr>
          <w:lang w:val="en-GB"/>
        </w:rPr>
        <w:t xml:space="preserve">may </w:t>
      </w:r>
      <w:r w:rsidRPr="635619A6">
        <w:rPr>
          <w:lang w:val="en-GB"/>
        </w:rPr>
        <w:t xml:space="preserve">also provide </w:t>
      </w:r>
      <w:r>
        <w:rPr>
          <w:lang w:val="en-GB"/>
        </w:rPr>
        <w:t>the</w:t>
      </w:r>
      <w:r w:rsidRPr="635619A6">
        <w:rPr>
          <w:lang w:val="en-GB"/>
        </w:rPr>
        <w:t xml:space="preserve"> </w:t>
      </w:r>
      <w:r w:rsidRPr="0DA8B423">
        <w:rPr>
          <w:lang w:val="en-GB"/>
        </w:rPr>
        <w:t xml:space="preserve">foundations </w:t>
      </w:r>
      <w:r>
        <w:rPr>
          <w:lang w:val="en-GB"/>
        </w:rPr>
        <w:t>for</w:t>
      </w:r>
      <w:r w:rsidRPr="0DA8B423">
        <w:rPr>
          <w:lang w:val="en-GB"/>
        </w:rPr>
        <w:t xml:space="preserve"> </w:t>
      </w:r>
      <w:r>
        <w:rPr>
          <w:lang w:val="en-GB"/>
        </w:rPr>
        <w:t xml:space="preserve">consideration of </w:t>
      </w:r>
      <w:r w:rsidRPr="0DA8B423">
        <w:rPr>
          <w:lang w:val="en-GB"/>
        </w:rPr>
        <w:t xml:space="preserve">additional </w:t>
      </w:r>
      <w:r>
        <w:rPr>
          <w:lang w:val="en-GB"/>
        </w:rPr>
        <w:t>funding options,</w:t>
      </w:r>
      <w:r w:rsidRPr="024F9BA6">
        <w:rPr>
          <w:lang w:val="en-GB"/>
        </w:rPr>
        <w:t xml:space="preserve"> beyond the </w:t>
      </w:r>
      <w:r>
        <w:rPr>
          <w:lang w:val="en-GB"/>
        </w:rPr>
        <w:t>boundaries of</w:t>
      </w:r>
      <w:r w:rsidRPr="024F9BA6">
        <w:rPr>
          <w:lang w:val="en-GB"/>
        </w:rPr>
        <w:t xml:space="preserve"> this report.</w:t>
      </w:r>
    </w:p>
    <w:p w14:paraId="52366BFB" w14:textId="77777777" w:rsidR="00274F4E" w:rsidRDefault="00274F4E" w:rsidP="009A42B3">
      <w:pPr>
        <w:spacing w:after="0"/>
        <w:rPr>
          <w:lang w:val="en-GB"/>
        </w:rPr>
      </w:pPr>
      <w:r w:rsidRPr="14EF5E77">
        <w:rPr>
          <w:lang w:val="en-GB"/>
        </w:rPr>
        <w:t xml:space="preserve">Any future funding </w:t>
      </w:r>
      <w:r w:rsidRPr="75DD05EC">
        <w:rPr>
          <w:lang w:val="en-GB"/>
        </w:rPr>
        <w:t>approach</w:t>
      </w:r>
      <w:r w:rsidRPr="14EF5E77">
        <w:rPr>
          <w:lang w:val="en-GB"/>
        </w:rPr>
        <w:t xml:space="preserve"> should align to </w:t>
      </w:r>
      <w:r>
        <w:rPr>
          <w:lang w:val="en-GB"/>
        </w:rPr>
        <w:t>nine</w:t>
      </w:r>
      <w:r w:rsidRPr="14EF5E77">
        <w:rPr>
          <w:lang w:val="en-GB"/>
        </w:rPr>
        <w:t xml:space="preserve"> guiding principles. </w:t>
      </w:r>
    </w:p>
    <w:p w14:paraId="0CD956B4" w14:textId="77777777" w:rsidR="00274F4E" w:rsidRPr="003558C5" w:rsidRDefault="00274F4E" w:rsidP="009A42B3">
      <w:pPr>
        <w:pStyle w:val="ListNumber"/>
        <w:numPr>
          <w:ilvl w:val="0"/>
          <w:numId w:val="49"/>
        </w:numPr>
        <w:ind w:left="714" w:hanging="357"/>
      </w:pPr>
      <w:r w:rsidRPr="003558C5">
        <w:t>Purposeful: Having clear intentions and objectives and a pre-determined, transparent process to achieve them.</w:t>
      </w:r>
    </w:p>
    <w:p w14:paraId="08DFE028" w14:textId="6480055C" w:rsidR="00274F4E" w:rsidRPr="003558C5" w:rsidRDefault="00274F4E" w:rsidP="00416EA8">
      <w:pPr>
        <w:pStyle w:val="ListNumber"/>
        <w:numPr>
          <w:ilvl w:val="0"/>
          <w:numId w:val="49"/>
        </w:numPr>
      </w:pPr>
      <w:r w:rsidRPr="003558C5">
        <w:t>Grounded in evidence: Leveraging what has been demonstrated through research and best practice guidance, while being cognisant that evidence most instructive of Indigenous knowledge systems and ways of being and doing has historically been excluded from research practices.</w:t>
      </w:r>
      <w:r w:rsidR="002E497C">
        <w:t xml:space="preserve"> </w:t>
      </w:r>
    </w:p>
    <w:p w14:paraId="0FA70AD1" w14:textId="77777777" w:rsidR="00274F4E" w:rsidRPr="003558C5" w:rsidRDefault="00274F4E" w:rsidP="00416EA8">
      <w:pPr>
        <w:pStyle w:val="ListNumber"/>
        <w:numPr>
          <w:ilvl w:val="0"/>
          <w:numId w:val="49"/>
        </w:numPr>
      </w:pPr>
      <w:r w:rsidRPr="003558C5">
        <w:t xml:space="preserve">Strength-based: </w:t>
      </w:r>
      <w:r>
        <w:t>F</w:t>
      </w:r>
      <w:r w:rsidRPr="00ED7400">
        <w:t>ocus</w:t>
      </w:r>
      <w:r>
        <w:t>ing</w:t>
      </w:r>
      <w:r w:rsidRPr="00ED7400">
        <w:t xml:space="preserve"> on identifying the knowledge, skills and attributes that individuals and communities hold </w:t>
      </w:r>
      <w:r>
        <w:t xml:space="preserve">in order </w:t>
      </w:r>
      <w:r w:rsidRPr="00ED7400">
        <w:t>to support achieving their goals and aspirations.</w:t>
      </w:r>
    </w:p>
    <w:p w14:paraId="1656B4D1" w14:textId="34643A33" w:rsidR="00274F4E" w:rsidRPr="003558C5" w:rsidRDefault="00274F4E" w:rsidP="00416EA8">
      <w:pPr>
        <w:pStyle w:val="ListNumber"/>
        <w:numPr>
          <w:ilvl w:val="0"/>
          <w:numId w:val="49"/>
        </w:numPr>
      </w:pPr>
      <w:r w:rsidRPr="003558C5">
        <w:t xml:space="preserve">Culturally-informed: Recognising that children thrive in culturally safe and enriched spaces, there is a need to work closely with Aboriginal and Torres Strait Islander peoples where </w:t>
      </w:r>
      <w:r w:rsidR="005D1615" w:rsidRPr="005D1615">
        <w:t xml:space="preserve">CCCFR </w:t>
      </w:r>
      <w:r w:rsidRPr="003558C5">
        <w:t xml:space="preserve">services operate in their communities. This is not to the exclusion of other cultural needs that may emerge within non-Indigenous communities. </w:t>
      </w:r>
    </w:p>
    <w:p w14:paraId="176374F1" w14:textId="0F16E0EC" w:rsidR="00274F4E" w:rsidRPr="003558C5" w:rsidRDefault="00274F4E" w:rsidP="00416EA8">
      <w:pPr>
        <w:pStyle w:val="ListNumber"/>
        <w:numPr>
          <w:ilvl w:val="0"/>
          <w:numId w:val="49"/>
        </w:numPr>
      </w:pPr>
      <w:r w:rsidRPr="003558C5">
        <w:t xml:space="preserve">Responsive: The capacity for funding to evolve and adapt – and allow </w:t>
      </w:r>
      <w:r w:rsidR="005D1615" w:rsidRPr="005D1615">
        <w:t>CCCFR</w:t>
      </w:r>
      <w:r w:rsidRPr="003558C5">
        <w:t xml:space="preserve"> services to evolve and adapt – in response to different and changing local circumstances.</w:t>
      </w:r>
      <w:r w:rsidR="002E497C">
        <w:t xml:space="preserve"> </w:t>
      </w:r>
    </w:p>
    <w:p w14:paraId="5D8A122C" w14:textId="7F7ECF09" w:rsidR="00274F4E" w:rsidRPr="003558C5" w:rsidRDefault="00274F4E" w:rsidP="00416EA8">
      <w:pPr>
        <w:pStyle w:val="ListNumber"/>
        <w:numPr>
          <w:ilvl w:val="0"/>
          <w:numId w:val="49"/>
        </w:numPr>
      </w:pPr>
      <w:r w:rsidRPr="003558C5">
        <w:t xml:space="preserve">Flexible: The ability for </w:t>
      </w:r>
      <w:r w:rsidR="005D1615" w:rsidRPr="005D1615">
        <w:t xml:space="preserve">CCCFR </w:t>
      </w:r>
      <w:r w:rsidRPr="003558C5">
        <w:t>services to have an appropriate level of control and discretion over how resources are used to meet the needs of communities.</w:t>
      </w:r>
    </w:p>
    <w:p w14:paraId="14E80CE9" w14:textId="78E8A77C" w:rsidR="00274F4E" w:rsidRPr="003558C5" w:rsidRDefault="00274F4E" w:rsidP="00416EA8">
      <w:pPr>
        <w:pStyle w:val="ListNumber"/>
        <w:numPr>
          <w:ilvl w:val="0"/>
          <w:numId w:val="49"/>
        </w:numPr>
      </w:pPr>
      <w:r w:rsidRPr="003558C5">
        <w:lastRenderedPageBreak/>
        <w:t>Sustainable:</w:t>
      </w:r>
      <w:r w:rsidR="002E497C">
        <w:t xml:space="preserve"> </w:t>
      </w:r>
      <w:r w:rsidRPr="003558C5">
        <w:t>Ensuring the adequacy and certainty of funding, in the face of changing operating context and circumstances such that financial and operating sustainability is supported.</w:t>
      </w:r>
    </w:p>
    <w:p w14:paraId="254401D7" w14:textId="723BD6A1" w:rsidR="00274F4E" w:rsidRPr="003558C5" w:rsidRDefault="00274F4E" w:rsidP="00416EA8">
      <w:pPr>
        <w:pStyle w:val="ListNumber"/>
        <w:numPr>
          <w:ilvl w:val="0"/>
          <w:numId w:val="49"/>
        </w:numPr>
      </w:pPr>
      <w:r w:rsidRPr="003558C5">
        <w:t>Measurable: The judicious collection and appropriate utilisation of data and evidence in ways that support the realisation of policy goals.</w:t>
      </w:r>
      <w:r w:rsidR="002E497C">
        <w:t xml:space="preserve"> </w:t>
      </w:r>
    </w:p>
    <w:p w14:paraId="3D075B9D" w14:textId="01E1638A" w:rsidR="00274F4E" w:rsidRPr="003558C5" w:rsidRDefault="00274F4E" w:rsidP="00416EA8">
      <w:pPr>
        <w:pStyle w:val="ListNumber"/>
        <w:numPr>
          <w:ilvl w:val="0"/>
          <w:numId w:val="49"/>
        </w:numPr>
      </w:pPr>
      <w:r w:rsidRPr="003558C5">
        <w:t>Responsible: The Australian Government must be able to account for its investment and the impact it is having, while maintaining its commitment to inclusive, accessible, affordable and available education and child</w:t>
      </w:r>
      <w:r w:rsidR="00C03FB1">
        <w:t xml:space="preserve"> </w:t>
      </w:r>
      <w:r w:rsidRPr="003558C5">
        <w:t>care for all Australians.</w:t>
      </w:r>
      <w:r w:rsidR="002E497C">
        <w:t xml:space="preserve"> </w:t>
      </w:r>
      <w:r w:rsidRPr="003558C5">
        <w:t xml:space="preserve"> </w:t>
      </w:r>
    </w:p>
    <w:p w14:paraId="1B2A9B18" w14:textId="77777777" w:rsidR="00274F4E" w:rsidRDefault="00274F4E" w:rsidP="004D4AB8">
      <w:pPr>
        <w:spacing w:before="120"/>
        <w:rPr>
          <w:lang w:val="en-GB"/>
        </w:rPr>
      </w:pPr>
      <w:r w:rsidRPr="029031DF">
        <w:rPr>
          <w:lang w:val="en-GB"/>
        </w:rPr>
        <w:t xml:space="preserve">These principles in action would see a new funding </w:t>
      </w:r>
      <w:r>
        <w:rPr>
          <w:lang w:val="en-GB"/>
        </w:rPr>
        <w:t xml:space="preserve">and policy </w:t>
      </w:r>
      <w:r w:rsidRPr="029031DF">
        <w:rPr>
          <w:lang w:val="en-GB"/>
        </w:rPr>
        <w:t xml:space="preserve">environment </w:t>
      </w:r>
      <w:r>
        <w:rPr>
          <w:lang w:val="en-GB"/>
        </w:rPr>
        <w:t>characterised by</w:t>
      </w:r>
      <w:r w:rsidRPr="029031DF">
        <w:rPr>
          <w:lang w:val="en-GB"/>
        </w:rPr>
        <w:t xml:space="preserve"> greater clarity around purpose and objectives</w:t>
      </w:r>
      <w:r>
        <w:rPr>
          <w:lang w:val="en-GB"/>
        </w:rPr>
        <w:t xml:space="preserve"> and a</w:t>
      </w:r>
      <w:r w:rsidRPr="029031DF">
        <w:rPr>
          <w:lang w:val="en-GB"/>
        </w:rPr>
        <w:t xml:space="preserve"> strengthening of connections between funded inputs/activities and best-practices in delivering child development outcomes as evidenced by contemporary research</w:t>
      </w:r>
      <w:r>
        <w:rPr>
          <w:lang w:val="en-GB"/>
        </w:rPr>
        <w:t>;</w:t>
      </w:r>
      <w:r w:rsidRPr="029031DF">
        <w:rPr>
          <w:lang w:val="en-GB"/>
        </w:rPr>
        <w:t xml:space="preserve"> </w:t>
      </w:r>
      <w:r>
        <w:rPr>
          <w:lang w:val="en-GB"/>
        </w:rPr>
        <w:t>a</w:t>
      </w:r>
      <w:r w:rsidRPr="029031DF">
        <w:rPr>
          <w:lang w:val="en-GB"/>
        </w:rPr>
        <w:t xml:space="preserve"> </w:t>
      </w:r>
      <w:r w:rsidRPr="73CAF339">
        <w:rPr>
          <w:lang w:val="en-GB"/>
        </w:rPr>
        <w:t>shift away from the current deficit</w:t>
      </w:r>
      <w:r>
        <w:rPr>
          <w:lang w:val="en-GB"/>
        </w:rPr>
        <w:t>-</w:t>
      </w:r>
      <w:r w:rsidRPr="73CAF339">
        <w:rPr>
          <w:lang w:val="en-GB"/>
        </w:rPr>
        <w:t>framing towards a</w:t>
      </w:r>
      <w:r w:rsidRPr="029031DF">
        <w:rPr>
          <w:lang w:val="en-GB"/>
        </w:rPr>
        <w:t xml:space="preserve"> strength-based </w:t>
      </w:r>
      <w:r w:rsidRPr="73CAF339">
        <w:rPr>
          <w:lang w:val="en-GB"/>
        </w:rPr>
        <w:t>approach</w:t>
      </w:r>
      <w:r>
        <w:rPr>
          <w:lang w:val="en-GB"/>
        </w:rPr>
        <w:t>;</w:t>
      </w:r>
      <w:r w:rsidRPr="73CAF339">
        <w:rPr>
          <w:lang w:val="en-GB"/>
        </w:rPr>
        <w:t xml:space="preserve"> </w:t>
      </w:r>
      <w:r>
        <w:rPr>
          <w:lang w:val="en-GB"/>
        </w:rPr>
        <w:t>a</w:t>
      </w:r>
      <w:r w:rsidRPr="73CAF339">
        <w:rPr>
          <w:lang w:val="en-GB"/>
        </w:rPr>
        <w:t>n alignment</w:t>
      </w:r>
      <w:r w:rsidRPr="029031DF">
        <w:rPr>
          <w:lang w:val="en-GB"/>
        </w:rPr>
        <w:t xml:space="preserve"> to the National Agreement on Closing the Gap, while acknowledging and addressing the depths of intergenerational trauma and ongoing experiences of vulnerability and disadvantage amongst Aboriginal and Torres Strait Islander communities</w:t>
      </w:r>
      <w:r>
        <w:rPr>
          <w:lang w:val="en-GB"/>
        </w:rPr>
        <w:t>;</w:t>
      </w:r>
      <w:r w:rsidRPr="73CAF339">
        <w:rPr>
          <w:lang w:val="en-GB"/>
        </w:rPr>
        <w:t xml:space="preserve"> </w:t>
      </w:r>
      <w:r>
        <w:rPr>
          <w:lang w:val="en-GB"/>
        </w:rPr>
        <w:t>and a</w:t>
      </w:r>
      <w:r w:rsidRPr="73CAF339">
        <w:rPr>
          <w:lang w:val="en-GB"/>
        </w:rPr>
        <w:t xml:space="preserve"> recognition</w:t>
      </w:r>
      <w:r w:rsidRPr="029031DF">
        <w:rPr>
          <w:lang w:val="en-GB"/>
        </w:rPr>
        <w:t xml:space="preserve"> of and responsiveness to the unique operating conditions, needs and cultural frameworks of Aboriginal and Torres Strait Islander communities. </w:t>
      </w:r>
    </w:p>
    <w:p w14:paraId="4C8CA203" w14:textId="2CE431A1" w:rsidR="00274F4E" w:rsidRDefault="00274F4E" w:rsidP="00274F4E">
      <w:r>
        <w:rPr>
          <w:lang w:val="en-GB"/>
        </w:rPr>
        <w:t>These principles in action would provide for f</w:t>
      </w:r>
      <w:r w:rsidRPr="73CAF339">
        <w:rPr>
          <w:lang w:val="en-GB"/>
        </w:rPr>
        <w:t>unding</w:t>
      </w:r>
      <w:r w:rsidRPr="029031DF">
        <w:rPr>
          <w:lang w:val="en-GB"/>
        </w:rPr>
        <w:t xml:space="preserve"> that gives certainty and assurance while being responsive, culturally-informed, place-based and flexible. </w:t>
      </w:r>
      <w:r>
        <w:rPr>
          <w:lang w:val="en-GB"/>
        </w:rPr>
        <w:t>They would enable a</w:t>
      </w:r>
      <w:r w:rsidRPr="029031DF">
        <w:rPr>
          <w:lang w:val="en-GB"/>
        </w:rPr>
        <w:t xml:space="preserve"> support structure that ensures </w:t>
      </w:r>
      <w:r w:rsidR="005D1615" w:rsidRPr="005D1615">
        <w:rPr>
          <w:lang w:val="en-GB"/>
        </w:rPr>
        <w:t xml:space="preserve">CCCFR </w:t>
      </w:r>
      <w:r w:rsidRPr="029031DF">
        <w:rPr>
          <w:lang w:val="en-GB"/>
        </w:rPr>
        <w:t>services can operate sustainably and deliver high quality care, and that recognises that a deliberative deepening of the relationships across the ecosystem of ECEC supports is critical to their collective success.</w:t>
      </w:r>
    </w:p>
    <w:p w14:paraId="4A303311" w14:textId="1E7999BB" w:rsidR="00274F4E" w:rsidRDefault="00274F4E" w:rsidP="00274F4E">
      <w:pPr>
        <w:rPr>
          <w:lang w:val="en-GB"/>
        </w:rPr>
      </w:pPr>
      <w:r>
        <w:rPr>
          <w:lang w:val="en-GB"/>
        </w:rPr>
        <w:t>The principles would embed a</w:t>
      </w:r>
      <w:r w:rsidRPr="73CAF339">
        <w:rPr>
          <w:lang w:val="en-GB"/>
        </w:rPr>
        <w:t>n</w:t>
      </w:r>
      <w:r w:rsidRPr="029031DF">
        <w:rPr>
          <w:lang w:val="en-GB"/>
        </w:rPr>
        <w:t xml:space="preserve"> approach to ongoing monitoring and evaluation that can identify opportunities for quality improvements and that which is supported by a robust process through which </w:t>
      </w:r>
      <w:r w:rsidR="005D1615" w:rsidRPr="005D1615">
        <w:rPr>
          <w:lang w:val="en-GB"/>
        </w:rPr>
        <w:t xml:space="preserve">CCCFR </w:t>
      </w:r>
      <w:r w:rsidRPr="029031DF">
        <w:rPr>
          <w:lang w:val="en-GB"/>
        </w:rPr>
        <w:t xml:space="preserve">services can be supported to embed these improvements. </w:t>
      </w:r>
      <w:r w:rsidRPr="73CAF339">
        <w:rPr>
          <w:lang w:val="en-GB"/>
        </w:rPr>
        <w:t>A performance architecture that supports the maximisation of the social</w:t>
      </w:r>
      <w:r>
        <w:rPr>
          <w:lang w:val="en-GB"/>
        </w:rPr>
        <w:t>, cultural</w:t>
      </w:r>
      <w:r w:rsidRPr="73CAF339">
        <w:rPr>
          <w:lang w:val="en-GB"/>
        </w:rPr>
        <w:t xml:space="preserve"> and economic return to public investment</w:t>
      </w:r>
      <w:r>
        <w:rPr>
          <w:lang w:val="en-GB"/>
        </w:rPr>
        <w:t>.</w:t>
      </w:r>
      <w:r w:rsidR="002E497C">
        <w:rPr>
          <w:lang w:val="en-GB"/>
        </w:rPr>
        <w:t xml:space="preserve"> </w:t>
      </w:r>
    </w:p>
    <w:p w14:paraId="3623F52F" w14:textId="77777777" w:rsidR="00274F4E" w:rsidRPr="006C5D84" w:rsidRDefault="00274F4E" w:rsidP="004D4AB8">
      <w:pPr>
        <w:spacing w:after="120"/>
        <w:rPr>
          <w:b/>
          <w:bCs/>
        </w:rPr>
      </w:pPr>
      <w:r>
        <w:rPr>
          <w:b/>
          <w:bCs/>
        </w:rPr>
        <w:t>The pathway forward: change overview</w:t>
      </w:r>
    </w:p>
    <w:p w14:paraId="6478DDF2" w14:textId="63DF295C" w:rsidR="0750267C" w:rsidRDefault="0750267C">
      <w:r>
        <w:t xml:space="preserve">Throughout the course of this review, </w:t>
      </w:r>
      <w:r w:rsidR="00F83052" w:rsidRPr="00F83052">
        <w:t xml:space="preserve">CCCFR </w:t>
      </w:r>
      <w:r>
        <w:t>services, Departmental representatives and other stakeholders shared their experiences of the process of change that was undertaken when the CCCFR grant was introduced in 2017. From these insights, many themes emerged as to what an effective transition process looks like and the risks associated with a poor one – the most critical of which is the risk to outcomes for children.</w:t>
      </w:r>
      <w:r w:rsidR="002E497C">
        <w:t xml:space="preserve"> </w:t>
      </w:r>
      <w:r>
        <w:t xml:space="preserve"> </w:t>
      </w:r>
    </w:p>
    <w:p w14:paraId="68D945AE" w14:textId="2CF0674E" w:rsidR="0750267C" w:rsidRPr="00EB5759" w:rsidRDefault="0750267C">
      <w:r>
        <w:t xml:space="preserve">Change must be paced and sequenced appropriately, on a community-by-community basis, and adequate investment of resources and people to support </w:t>
      </w:r>
      <w:r w:rsidR="007158E3" w:rsidRPr="007158E3">
        <w:t xml:space="preserve">CCCFR </w:t>
      </w:r>
      <w:r>
        <w:t xml:space="preserve">services and families through the </w:t>
      </w:r>
      <w:r w:rsidRPr="00EB5759">
        <w:t>change process is paramount to its success.</w:t>
      </w:r>
      <w:r w:rsidR="002E497C" w:rsidRPr="00EB5759">
        <w:t xml:space="preserve"> </w:t>
      </w:r>
    </w:p>
    <w:p w14:paraId="6D3CA397" w14:textId="01BCAE2F" w:rsidR="00951EF0" w:rsidRDefault="00A53AB5">
      <w:r w:rsidRPr="00EB5759">
        <w:t xml:space="preserve">The </w:t>
      </w:r>
      <w:r w:rsidR="00023E71" w:rsidRPr="00EB5759">
        <w:t xml:space="preserve">preferred path forward for CCCFR services and the grant itself is very much contingent on government responses to recent policy reviews and, as such, the </w:t>
      </w:r>
      <w:r w:rsidRPr="00EB5759">
        <w:t xml:space="preserve">roadmap for </w:t>
      </w:r>
      <w:r w:rsidR="00A74D16" w:rsidRPr="00EB5759">
        <w:t>implementing</w:t>
      </w:r>
      <w:r w:rsidRPr="00EB5759">
        <w:t xml:space="preserve"> the recommendations </w:t>
      </w:r>
      <w:r w:rsidR="00023E71" w:rsidRPr="00EB5759">
        <w:t xml:space="preserve">of this review </w:t>
      </w:r>
      <w:r w:rsidR="00A74D16" w:rsidRPr="00EB5759">
        <w:t xml:space="preserve">hinges on </w:t>
      </w:r>
      <w:r w:rsidR="00B00711" w:rsidRPr="00EB5759">
        <w:t xml:space="preserve">decisions about the future of the national ECEC policy landscape. </w:t>
      </w:r>
      <w:r w:rsidR="006D3DD7" w:rsidRPr="00EB5759">
        <w:t xml:space="preserve">While </w:t>
      </w:r>
      <w:r w:rsidR="007E0F7E" w:rsidRPr="00EB5759">
        <w:t>waiting for this clarity to emerge, there</w:t>
      </w:r>
      <w:r w:rsidR="007D57DE" w:rsidRPr="00EB5759">
        <w:t xml:space="preserve"> are some immediate steps that can be taken </w:t>
      </w:r>
      <w:r w:rsidR="00023E71" w:rsidRPr="00EB5759">
        <w:t>to position CCCFR services and communities for the future</w:t>
      </w:r>
      <w:r w:rsidR="00800274" w:rsidRPr="00EB5759">
        <w:t xml:space="preserve">. These </w:t>
      </w:r>
      <w:r w:rsidR="00644839" w:rsidRPr="00EB5759">
        <w:t>are steps that should occur</w:t>
      </w:r>
      <w:r w:rsidR="00800274" w:rsidRPr="00EB5759">
        <w:t xml:space="preserve"> </w:t>
      </w:r>
      <w:r w:rsidR="00644839" w:rsidRPr="00EB5759">
        <w:t xml:space="preserve">irrespective of the prevailing long term policy landscape and </w:t>
      </w:r>
      <w:r w:rsidR="00DF52DA" w:rsidRPr="00EB5759">
        <w:t xml:space="preserve">will </w:t>
      </w:r>
      <w:r w:rsidR="00756EF7" w:rsidRPr="00EB5759">
        <w:t xml:space="preserve">ensure services and communities are appropriately supported in the interim. </w:t>
      </w:r>
      <w:r w:rsidR="004A03AD" w:rsidRPr="00EB5759">
        <w:t>Th</w:t>
      </w:r>
      <w:r w:rsidR="003022A9" w:rsidRPr="00EB5759">
        <w:t xml:space="preserve">ese steps </w:t>
      </w:r>
      <w:r w:rsidR="00497161" w:rsidRPr="00EB5759">
        <w:t>include</w:t>
      </w:r>
      <w:r w:rsidR="003022A9" w:rsidRPr="00EB5759">
        <w:t>: continuing to support services that need additional funding</w:t>
      </w:r>
      <w:r w:rsidR="00675721" w:rsidRPr="00EB5759">
        <w:t xml:space="preserve"> to remain financially operational, so they can continue to support their communities</w:t>
      </w:r>
      <w:r w:rsidR="00750486" w:rsidRPr="00EB5759">
        <w:t xml:space="preserve">; </w:t>
      </w:r>
      <w:r w:rsidR="007B7009" w:rsidRPr="00EB5759">
        <w:t xml:space="preserve">collecting additional </w:t>
      </w:r>
      <w:r w:rsidR="00571B3C" w:rsidRPr="00EB5759">
        <w:t>information through the compliance and operations report</w:t>
      </w:r>
      <w:r w:rsidR="00017D39" w:rsidRPr="00EB5759">
        <w:t>s, to support</w:t>
      </w:r>
      <w:r w:rsidR="004B334D" w:rsidRPr="00EB5759">
        <w:t xml:space="preserve"> decisions about the future</w:t>
      </w:r>
      <w:r w:rsidR="006C3FB1" w:rsidRPr="00EB5759">
        <w:t xml:space="preserve"> destination for individual services; </w:t>
      </w:r>
      <w:r w:rsidR="00750486" w:rsidRPr="00EB5759">
        <w:t xml:space="preserve">and progressing planning and implementation of recommendations that </w:t>
      </w:r>
      <w:r w:rsidR="002A3213" w:rsidRPr="00EB5759">
        <w:t>help</w:t>
      </w:r>
      <w:r w:rsidR="00750486" w:rsidRPr="00EB5759">
        <w:t xml:space="preserve"> services to improve child development outcomes.</w:t>
      </w:r>
      <w:r w:rsidR="004A03AD">
        <w:t xml:space="preserve"> </w:t>
      </w:r>
    </w:p>
    <w:p w14:paraId="02E6B92B" w14:textId="3054E0ED" w:rsidR="0750267C" w:rsidRDefault="0750267C" w:rsidP="004D4AB8">
      <w:pPr>
        <w:spacing w:after="160"/>
      </w:pPr>
      <w:r>
        <w:t>As any process of change is commenced, communities must remain central to decision-making, and their agency must be respected. The consultation and engagement process should not end with the voices in this review.</w:t>
      </w:r>
      <w:r w:rsidR="002E497C">
        <w:t xml:space="preserve"> </w:t>
      </w:r>
    </w:p>
    <w:p w14:paraId="27D8C81F" w14:textId="77777777" w:rsidR="00390AF5" w:rsidRDefault="00DA1374" w:rsidP="004D4AB8">
      <w:pPr>
        <w:spacing w:after="0"/>
        <w:rPr>
          <w:b/>
          <w:bCs/>
        </w:rPr>
      </w:pPr>
      <w:r>
        <w:rPr>
          <w:b/>
          <w:bCs/>
        </w:rPr>
        <w:t>Deloitte Access Economics</w:t>
      </w:r>
      <w:r w:rsidR="002E497C">
        <w:rPr>
          <w:b/>
          <w:bCs/>
        </w:rPr>
        <w:t xml:space="preserve"> </w:t>
      </w:r>
    </w:p>
    <w:p w14:paraId="66435B7C" w14:textId="5B0218D6" w:rsidR="006574C9" w:rsidRDefault="00A27877" w:rsidP="006574C9">
      <w:pPr>
        <w:pStyle w:val="Heading1un-numbered"/>
      </w:pPr>
      <w:bookmarkStart w:id="59" w:name="_Toc158993740"/>
      <w:bookmarkStart w:id="60" w:name="_Toc170227389"/>
      <w:r>
        <w:lastRenderedPageBreak/>
        <w:t>Review</w:t>
      </w:r>
      <w:r w:rsidR="006574C9">
        <w:t xml:space="preserve"> recommendations</w:t>
      </w:r>
      <w:bookmarkEnd w:id="59"/>
      <w:bookmarkEnd w:id="60"/>
    </w:p>
    <w:p w14:paraId="0ACE35D4" w14:textId="77777777" w:rsidR="006574C9" w:rsidRPr="00747B61" w:rsidRDefault="006574C9" w:rsidP="006574C9">
      <w:pPr>
        <w:spacing w:before="240"/>
      </w:pPr>
      <w:r w:rsidRPr="00747B61">
        <w:t xml:space="preserve">The </w:t>
      </w:r>
      <w:r>
        <w:t xml:space="preserve">review </w:t>
      </w:r>
      <w:r w:rsidRPr="00747B61">
        <w:t>findings give rise to a series of recommendations for the CCCFR grant and the services currently in receipt of it</w:t>
      </w:r>
      <w:r w:rsidRPr="007A6FE2">
        <w:t>. These recommendations describe the changes required to bring the conditions under which CCCFR services operate into alignment with those that this review finds are necessary in order for CCCFR services to meet the needs of the communities they seek to serve (in the context of the objectives of the grant). Ultimately, these changes would enhance opportunities and outcomes for children and families.</w:t>
      </w:r>
      <w:r>
        <w:t xml:space="preserve"> </w:t>
      </w:r>
    </w:p>
    <w:p w14:paraId="23F3C33C" w14:textId="77777777" w:rsidR="006574C9" w:rsidRPr="00747B61" w:rsidRDefault="006574C9" w:rsidP="006574C9">
      <w:pPr>
        <w:spacing w:before="240"/>
      </w:pPr>
      <w:r w:rsidRPr="00747B61">
        <w:t xml:space="preserve">In seeking to install a set of operating conditions that reflect the guiding principles laid out in this review, the recommendations are organised under two broad headings: </w:t>
      </w:r>
    </w:p>
    <w:p w14:paraId="599597A2" w14:textId="77777777" w:rsidR="006574C9" w:rsidRPr="00747B61" w:rsidRDefault="006574C9" w:rsidP="00416EA8">
      <w:pPr>
        <w:pStyle w:val="ListParagraph"/>
        <w:numPr>
          <w:ilvl w:val="0"/>
          <w:numId w:val="42"/>
        </w:numPr>
        <w:rPr>
          <w:szCs w:val="17"/>
        </w:rPr>
      </w:pPr>
      <w:r w:rsidRPr="00747B61">
        <w:rPr>
          <w:b/>
          <w:bCs/>
          <w:szCs w:val="17"/>
        </w:rPr>
        <w:t>Repositioning CCCFR services within a reformed policy landscape</w:t>
      </w:r>
      <w:r w:rsidRPr="00747B61">
        <w:rPr>
          <w:szCs w:val="17"/>
        </w:rPr>
        <w:t xml:space="preserve"> - recommendations regarding how potential changes to the wider ECEC policy environment could be driven and capitalised on to strengthen and reposition services currently in receipt of a CCCFR grant.</w:t>
      </w:r>
    </w:p>
    <w:p w14:paraId="5AE6FC97" w14:textId="77777777" w:rsidR="006574C9" w:rsidRPr="00747B61" w:rsidRDefault="006574C9" w:rsidP="00416EA8">
      <w:pPr>
        <w:pStyle w:val="ListParagraph"/>
        <w:numPr>
          <w:ilvl w:val="0"/>
          <w:numId w:val="42"/>
        </w:numPr>
        <w:spacing w:after="0"/>
        <w:rPr>
          <w:szCs w:val="17"/>
        </w:rPr>
      </w:pPr>
      <w:r w:rsidRPr="00747B61">
        <w:rPr>
          <w:b/>
          <w:bCs/>
          <w:szCs w:val="17"/>
        </w:rPr>
        <w:t xml:space="preserve">Refining the current CCCFR grant to maximise its potential </w:t>
      </w:r>
      <w:r w:rsidRPr="00747B61">
        <w:rPr>
          <w:szCs w:val="17"/>
        </w:rPr>
        <w:t>- recommendations regarding how the design and administration of the grant should be refined to maximise its potential.</w:t>
      </w:r>
    </w:p>
    <w:p w14:paraId="265DCE89" w14:textId="77777777" w:rsidR="006574C9" w:rsidRPr="001959C0" w:rsidRDefault="006574C9" w:rsidP="001959C0">
      <w:pPr>
        <w:spacing w:before="240"/>
        <w:rPr>
          <w:rFonts w:eastAsiaTheme="majorEastAsia" w:cstheme="majorBidi"/>
          <w:b/>
          <w:bCs/>
          <w:color w:val="007CB0"/>
          <w:sz w:val="22"/>
          <w:szCs w:val="22"/>
        </w:rPr>
      </w:pPr>
      <w:r w:rsidRPr="001959C0">
        <w:rPr>
          <w:b/>
          <w:bCs/>
          <w:color w:val="007CB0"/>
          <w:sz w:val="22"/>
          <w:szCs w:val="22"/>
        </w:rPr>
        <w:t xml:space="preserve">Repositioning CCCFR services within a reformed policy landscape </w:t>
      </w:r>
    </w:p>
    <w:p w14:paraId="77C9307D" w14:textId="2B86C43B" w:rsidR="006574C9" w:rsidRPr="00747B61" w:rsidRDefault="006574C9" w:rsidP="006574C9">
      <w:pPr>
        <w:rPr>
          <w:rFonts w:eastAsiaTheme="minorEastAsia"/>
        </w:rPr>
      </w:pPr>
      <w:r w:rsidRPr="00747B61">
        <w:rPr>
          <w:rFonts w:eastAsiaTheme="minorEastAsia"/>
        </w:rPr>
        <w:t xml:space="preserve">Grant-based operating environments can serve several purposes in a broader policy, system and funding architecture. In this case, the CCCFR grant has served as a mechanism to compensate for the ways in which the wider ECEC policy environment is not currently equipped to </w:t>
      </w:r>
      <w:r>
        <w:rPr>
          <w:rFonts w:eastAsiaTheme="minorEastAsia"/>
        </w:rPr>
        <w:t>sustain</w:t>
      </w:r>
      <w:r w:rsidRPr="00747B61">
        <w:rPr>
          <w:rFonts w:eastAsiaTheme="minorEastAsia"/>
        </w:rPr>
        <w:t xml:space="preserve"> </w:t>
      </w:r>
      <w:r w:rsidRPr="0001392A">
        <w:rPr>
          <w:rFonts w:eastAsiaTheme="minorEastAsia"/>
        </w:rPr>
        <w:t xml:space="preserve">CCCFR </w:t>
      </w:r>
      <w:r w:rsidRPr="00747B61">
        <w:rPr>
          <w:rFonts w:eastAsiaTheme="minorEastAsia"/>
        </w:rPr>
        <w:t xml:space="preserve">services of </w:t>
      </w:r>
      <w:r w:rsidR="00023E71">
        <w:rPr>
          <w:rFonts w:eastAsiaTheme="minorEastAsia"/>
        </w:rPr>
        <w:t>varying</w:t>
      </w:r>
      <w:r w:rsidR="00023E71" w:rsidRPr="00747B61">
        <w:rPr>
          <w:rFonts w:eastAsiaTheme="minorEastAsia"/>
        </w:rPr>
        <w:t xml:space="preserve"> </w:t>
      </w:r>
      <w:r w:rsidRPr="00747B61">
        <w:rPr>
          <w:rFonts w:eastAsiaTheme="minorEastAsia"/>
        </w:rPr>
        <w:t xml:space="preserve">characteristics. </w:t>
      </w:r>
    </w:p>
    <w:p w14:paraId="7C5619A0" w14:textId="77777777" w:rsidR="006574C9" w:rsidRPr="00747B61" w:rsidRDefault="006574C9" w:rsidP="006574C9">
      <w:pPr>
        <w:rPr>
          <w:rFonts w:eastAsiaTheme="minorEastAsia"/>
        </w:rPr>
      </w:pPr>
      <w:r w:rsidRPr="00747B61">
        <w:rPr>
          <w:rFonts w:eastAsiaTheme="minorEastAsia"/>
        </w:rPr>
        <w:t>In doing so,</w:t>
      </w:r>
      <w:r w:rsidRPr="00747B61" w:rsidDel="00CA7084">
        <w:rPr>
          <w:rFonts w:eastAsiaTheme="minorEastAsia"/>
        </w:rPr>
        <w:t xml:space="preserve"> </w:t>
      </w:r>
      <w:r w:rsidRPr="00747B61">
        <w:rPr>
          <w:rFonts w:eastAsiaTheme="minorEastAsia"/>
        </w:rPr>
        <w:t xml:space="preserve">it has sought to support and where possible encourage the transition of these </w:t>
      </w:r>
      <w:r w:rsidRPr="00D97A9C">
        <w:rPr>
          <w:rFonts w:eastAsiaTheme="minorEastAsia"/>
        </w:rPr>
        <w:t xml:space="preserve">CCCFR </w:t>
      </w:r>
      <w:r w:rsidRPr="00747B61">
        <w:rPr>
          <w:rFonts w:eastAsiaTheme="minorEastAsia"/>
        </w:rPr>
        <w:t>services to the mainstream policy and funding environment – that is, to a situation where a dedicated grant is no longer required. For a limited number of CCCFR services, this transition would appear possible. But progress has been slow and external factors such as COVID-19 have adversely affected its pace. Moreover, challenges experienced by most CCCFR services in the pursuit of this transition highlight the limitations of current mainstream policy settings in accommodating the circumstances under which many CCCFR services operate. These limitations are demonstrated throughout the findings of this review.</w:t>
      </w:r>
      <w:r>
        <w:rPr>
          <w:rFonts w:eastAsiaTheme="minorEastAsia"/>
        </w:rPr>
        <w:t xml:space="preserve"> </w:t>
      </w:r>
    </w:p>
    <w:p w14:paraId="0E2216D3" w14:textId="6C22C341" w:rsidR="006574C9" w:rsidRPr="00747B61" w:rsidRDefault="006574C9" w:rsidP="006574C9">
      <w:r w:rsidRPr="00747B61">
        <w:t>The limitations of current funding and policy settings affect services beyond the 149 receiving the CCCFR grant</w:t>
      </w:r>
      <w:r>
        <w:t>.</w:t>
      </w:r>
      <w:r w:rsidRPr="00747B61">
        <w:t xml:space="preserve"> </w:t>
      </w:r>
      <w:r>
        <w:t>These limitations</w:t>
      </w:r>
      <w:r w:rsidRPr="00747B61">
        <w:t xml:space="preserve"> are currently or recently have been the subject of a number of reviews and inquires (see Box 1.2: ACCC and PC ECEC </w:t>
      </w:r>
      <w:r w:rsidR="00023E71">
        <w:t>i</w:t>
      </w:r>
      <w:r w:rsidRPr="00747B61">
        <w:t xml:space="preserve">nquiries). </w:t>
      </w:r>
    </w:p>
    <w:p w14:paraId="4CD24E54" w14:textId="77777777" w:rsidR="006574C9" w:rsidRPr="00747B61" w:rsidRDefault="006574C9" w:rsidP="006574C9">
      <w:r w:rsidRPr="00747B61">
        <w:t>The recommendations arising from these reviews and inquiries signal potential for the national ECEC policy environment of the future to look very different to what it does today.</w:t>
      </w:r>
      <w:r>
        <w:t xml:space="preserve"> </w:t>
      </w:r>
      <w:r w:rsidRPr="00747B61">
        <w:t xml:space="preserve">As a result, there is potential for the sector operating environment to change in ways that mean CCCFR services can operate and thrive outside of a dedicated </w:t>
      </w:r>
      <w:r>
        <w:t>grant</w:t>
      </w:r>
      <w:r w:rsidRPr="00747B61">
        <w:t xml:space="preserve"> environment in ways they cannot currently.</w:t>
      </w:r>
      <w:r>
        <w:t xml:space="preserve"> </w:t>
      </w:r>
      <w:r w:rsidRPr="00747B61">
        <w:t>Recommendations regarding the future of the CCCFR grant and the services currently in receipt of it must have regard to this potential.</w:t>
      </w:r>
      <w:r>
        <w:t xml:space="preserve"> </w:t>
      </w:r>
      <w:r w:rsidRPr="00747B61">
        <w:t>At the same time, they must recognise the uncertainty.</w:t>
      </w:r>
      <w:r>
        <w:t xml:space="preserve"> </w:t>
      </w:r>
      <w:r w:rsidRPr="00747B61">
        <w:t xml:space="preserve">As such, recommendations 1-4 seek to provide a basis for navigating the uncertainty given the guiding principles that this review has established – and, </w:t>
      </w:r>
      <w:r>
        <w:t>w</w:t>
      </w:r>
      <w:r w:rsidRPr="00747B61">
        <w:t xml:space="preserve">here possible, influencing the wider policy discourse in ways that would support services currently in receipt of the CCCFR grant and the communities they serve. </w:t>
      </w:r>
    </w:p>
    <w:p w14:paraId="3B13D6C4" w14:textId="77777777" w:rsidR="006574C9" w:rsidRPr="00747B61" w:rsidRDefault="006574C9" w:rsidP="006574C9">
      <w:pPr>
        <w:pStyle w:val="Recommendations"/>
        <w:rPr>
          <w:b w:val="0"/>
          <w:bCs/>
        </w:rPr>
      </w:pPr>
      <w:r w:rsidRPr="00747B61">
        <w:t xml:space="preserve">Recommendation </w:t>
      </w:r>
      <w:r w:rsidRPr="00747B61">
        <w:rPr>
          <w:b w:val="0"/>
          <w:bCs/>
        </w:rPr>
        <w:t xml:space="preserve">1: Services should be transitioned away from the CCCFR grant where it can be demonstrated that (i) the conditions required to support them in sustainably delivering high quality ECEC services that meet the needs of communities can be met; or (ii) the service offering falls outside the policy remit of the Department of Education. </w:t>
      </w:r>
    </w:p>
    <w:p w14:paraId="0322E669" w14:textId="77777777" w:rsidR="006574C9" w:rsidRPr="00747B61" w:rsidRDefault="006574C9" w:rsidP="006574C9">
      <w:pPr>
        <w:pStyle w:val="ListBullet"/>
      </w:pPr>
      <w:r w:rsidRPr="00747B61">
        <w:lastRenderedPageBreak/>
        <w:t>The guiding principles put forward by this review should serve as a point of reference when considering the requisite conditions.</w:t>
      </w:r>
    </w:p>
    <w:p w14:paraId="6CEE0F60" w14:textId="77777777" w:rsidR="006574C9" w:rsidRPr="00747B61" w:rsidRDefault="006574C9" w:rsidP="006574C9">
      <w:pPr>
        <w:pStyle w:val="ListBullet"/>
      </w:pPr>
      <w:r w:rsidRPr="00747B61">
        <w:t>Recommendations arising from other processes should be examined with reference to these guiding principles and, to the extent appropriate, Government’s consideration of these recommendations – the Productivity Commission’s especially – should have regard to their potential to facilitate the recommendations put forward here.</w:t>
      </w:r>
      <w:r>
        <w:t xml:space="preserve"> </w:t>
      </w:r>
    </w:p>
    <w:p w14:paraId="03D0CFCA" w14:textId="77777777" w:rsidR="006574C9" w:rsidRDefault="006574C9" w:rsidP="006574C9">
      <w:pPr>
        <w:pStyle w:val="ListBullet"/>
      </w:pPr>
      <w:r w:rsidRPr="00747B61">
        <w:t xml:space="preserve">Once the future for the national ECEC policy landscape is clear, the decision framework set out at </w:t>
      </w:r>
      <w:r>
        <w:t>Figure i</w:t>
      </w:r>
      <w:r w:rsidRPr="00740DFD">
        <w:t xml:space="preserve"> </w:t>
      </w:r>
      <w:r w:rsidRPr="00747B61">
        <w:t xml:space="preserve">should be used as an instrument to guide decision making regarding individual </w:t>
      </w:r>
      <w:r w:rsidRPr="00FA7429">
        <w:t xml:space="preserve">CCCFR </w:t>
      </w:r>
      <w:r w:rsidRPr="00747B61">
        <w:t xml:space="preserve">services’ futures. </w:t>
      </w:r>
    </w:p>
    <w:p w14:paraId="7CC030CD" w14:textId="77777777" w:rsidR="006574C9" w:rsidRDefault="006574C9" w:rsidP="006574C9">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1C63B565"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41D200E" w14:textId="381F088B" w:rsidR="006574C9" w:rsidRPr="00964087" w:rsidRDefault="006574C9">
            <w:pPr>
              <w:pStyle w:val="ListBullet"/>
              <w:numPr>
                <w:ilvl w:val="0"/>
                <w:numId w:val="0"/>
              </w:numPr>
              <w:rPr>
                <w:b/>
                <w:bCs/>
                <w:color w:val="FFFFFF" w:themeColor="background1"/>
              </w:rPr>
            </w:pPr>
            <w:r w:rsidRPr="2B91AEFB">
              <w:rPr>
                <w:b/>
                <w:bCs/>
              </w:rPr>
              <w:t xml:space="preserve">Findings </w:t>
            </w:r>
            <w:r w:rsidR="00F74EB9">
              <w:rPr>
                <w:b/>
                <w:bCs/>
              </w:rPr>
              <w:t>relating to</w:t>
            </w:r>
            <w:r w:rsidRPr="2B91AEFB">
              <w:rPr>
                <w:b/>
                <w:bCs/>
              </w:rPr>
              <w:t xml:space="preserve"> Recommendation 1</w:t>
            </w:r>
          </w:p>
        </w:tc>
      </w:tr>
      <w:tr w:rsidR="006574C9" w14:paraId="64377296" w14:textId="77777777">
        <w:tc>
          <w:tcPr>
            <w:tcW w:w="9026" w:type="dxa"/>
          </w:tcPr>
          <w:p w14:paraId="09D80789" w14:textId="77777777" w:rsidR="006574C9" w:rsidRPr="005A72D0" w:rsidRDefault="006574C9">
            <w:pPr>
              <w:pStyle w:val="ListBullet"/>
              <w:rPr>
                <w:sz w:val="16"/>
                <w:szCs w:val="16"/>
              </w:rPr>
            </w:pPr>
            <w:r w:rsidRPr="005A72D0">
              <w:rPr>
                <w:b/>
                <w:sz w:val="16"/>
                <w:szCs w:val="16"/>
              </w:rPr>
              <w:t>Finding 8</w:t>
            </w:r>
            <w:r w:rsidRPr="00C015D4">
              <w:rPr>
                <w:sz w:val="16"/>
                <w:szCs w:val="16"/>
              </w:rPr>
              <w:t>:</w:t>
            </w:r>
            <w:r w:rsidRPr="005A72D0">
              <w:rPr>
                <w:sz w:val="16"/>
                <w:szCs w:val="16"/>
              </w:rPr>
              <w:t xml:space="preserve"> A shifting policy landscape is creating uncertainty and potential divergences between the objectives and intent of the CCCFR grant and contemporary policy directions.</w:t>
            </w:r>
          </w:p>
          <w:p w14:paraId="0F6F6B07" w14:textId="328358D7" w:rsidR="00F002B1" w:rsidRPr="00F002B1" w:rsidRDefault="00086E39" w:rsidP="00F002B1">
            <w:pPr>
              <w:pStyle w:val="ListBullet"/>
              <w:rPr>
                <w:sz w:val="16"/>
                <w:szCs w:val="16"/>
              </w:rPr>
            </w:pPr>
            <w:r>
              <w:rPr>
                <w:b/>
                <w:bCs/>
                <w:iCs/>
                <w:sz w:val="16"/>
                <w:szCs w:val="16"/>
              </w:rPr>
              <w:t>F</w:t>
            </w:r>
            <w:r w:rsidR="00F002B1" w:rsidRPr="00F002B1">
              <w:rPr>
                <w:b/>
                <w:bCs/>
                <w:iCs/>
                <w:sz w:val="16"/>
                <w:szCs w:val="16"/>
              </w:rPr>
              <w:t>inding 19:</w:t>
            </w:r>
            <w:r w:rsidR="00452988">
              <w:rPr>
                <w:b/>
                <w:bCs/>
                <w:iCs/>
                <w:sz w:val="16"/>
                <w:szCs w:val="16"/>
              </w:rPr>
              <w:t xml:space="preserve"> </w:t>
            </w:r>
            <w:r w:rsidR="00452988" w:rsidRPr="00452988">
              <w:rPr>
                <w:iCs/>
                <w:sz w:val="16"/>
                <w:szCs w:val="16"/>
              </w:rPr>
              <w:t>The</w:t>
            </w:r>
            <w:r w:rsidR="00F002B1" w:rsidRPr="00F002B1">
              <w:rPr>
                <w:sz w:val="16"/>
                <w:szCs w:val="16"/>
              </w:rPr>
              <w:t xml:space="preserve"> CCCFR grant funding is not intentionally responsive or adaptive to the current or evolving needs of community; it is largely a function of historical factors. </w:t>
            </w:r>
          </w:p>
          <w:p w14:paraId="562BEB20" w14:textId="18A54F64" w:rsidR="006574C9" w:rsidRPr="005A72D0" w:rsidRDefault="006574C9" w:rsidP="00C015D4">
            <w:pPr>
              <w:pStyle w:val="ListBullet"/>
              <w:rPr>
                <w:sz w:val="16"/>
                <w:szCs w:val="16"/>
              </w:rPr>
            </w:pPr>
            <w:r w:rsidRPr="00C015D4">
              <w:rPr>
                <w:b/>
                <w:sz w:val="16"/>
                <w:szCs w:val="16"/>
              </w:rPr>
              <w:t>Finding 35</w:t>
            </w:r>
            <w:r w:rsidRPr="00C015D4">
              <w:rPr>
                <w:sz w:val="16"/>
                <w:szCs w:val="16"/>
              </w:rPr>
              <w:t xml:space="preserve">: Analysis of the financial adequacy of the resources provided under the CCCFR grant is hampered by the uncertainty that exists in relation to the grant’s purpose and intent (see findings 6 and 7). </w:t>
            </w:r>
          </w:p>
          <w:p w14:paraId="7BBD7B58" w14:textId="061769DE" w:rsidR="006574C9" w:rsidRPr="005A72D0" w:rsidRDefault="006574C9" w:rsidP="00C015D4">
            <w:pPr>
              <w:pStyle w:val="ListBullet"/>
              <w:rPr>
                <w:sz w:val="16"/>
                <w:szCs w:val="16"/>
              </w:rPr>
            </w:pPr>
            <w:r w:rsidRPr="00C015D4">
              <w:rPr>
                <w:b/>
                <w:sz w:val="16"/>
                <w:szCs w:val="16"/>
              </w:rPr>
              <w:t>Finding 36</w:t>
            </w:r>
            <w:r w:rsidRPr="005A72D0">
              <w:rPr>
                <w:sz w:val="16"/>
                <w:szCs w:val="16"/>
              </w:rPr>
              <w:t xml:space="preserve">: Notwithstanding finding 35, there would appear only a limited relationship between the funding CCCFR services receive from the Australian Government and cost of meeting the need CCCFR services face, as it manifests from both service and community characteristics.  </w:t>
            </w:r>
          </w:p>
          <w:p w14:paraId="26097B38" w14:textId="2F6B30F2" w:rsidR="006574C9" w:rsidRPr="005A72D0" w:rsidRDefault="006574C9" w:rsidP="00C015D4">
            <w:pPr>
              <w:pStyle w:val="ListBullet"/>
              <w:rPr>
                <w:sz w:val="16"/>
                <w:szCs w:val="16"/>
              </w:rPr>
            </w:pPr>
            <w:r w:rsidRPr="00C015D4">
              <w:rPr>
                <w:b/>
                <w:sz w:val="16"/>
                <w:szCs w:val="16"/>
              </w:rPr>
              <w:t>Finding 37</w:t>
            </w:r>
            <w:r w:rsidRPr="005A72D0">
              <w:rPr>
                <w:sz w:val="16"/>
                <w:szCs w:val="16"/>
              </w:rPr>
              <w:t xml:space="preserve">: The financial sustainability of CCCFR services varies considerably. There are drivers on both the revenue and cost side, with the limited responsiveness of funding to costs a key driver of the financial challenges that many CCCFR services confront.  </w:t>
            </w:r>
          </w:p>
          <w:p w14:paraId="4F7B7772" w14:textId="5D593801" w:rsidR="00EB3A67" w:rsidRPr="00C015D4" w:rsidRDefault="00EB3A67" w:rsidP="00C015D4">
            <w:pPr>
              <w:pStyle w:val="ListBullet"/>
              <w:rPr>
                <w:sz w:val="16"/>
                <w:szCs w:val="16"/>
              </w:rPr>
            </w:pPr>
            <w:r w:rsidRPr="00EB3A67">
              <w:rPr>
                <w:b/>
                <w:bCs/>
                <w:sz w:val="16"/>
                <w:szCs w:val="16"/>
              </w:rPr>
              <w:t>Finding 38:</w:t>
            </w:r>
            <w:r w:rsidRPr="00EB3A67">
              <w:rPr>
                <w:sz w:val="16"/>
                <w:szCs w:val="16"/>
              </w:rPr>
              <w:t xml:space="preserve"> The administration of the CCS and ACCS and the requirements families face in engaging with these funding streams mean that they are both underutilised and, in the case of CCS, increased reliance is associated with greater financial viability</w:t>
            </w:r>
            <w:r w:rsidR="007872A8">
              <w:rPr>
                <w:sz w:val="16"/>
                <w:szCs w:val="16"/>
              </w:rPr>
              <w:t xml:space="preserve"> challenges</w:t>
            </w:r>
            <w:r w:rsidRPr="00EB3A67">
              <w:rPr>
                <w:sz w:val="16"/>
                <w:szCs w:val="16"/>
              </w:rPr>
              <w:t>.</w:t>
            </w:r>
          </w:p>
          <w:p w14:paraId="53EE4E29" w14:textId="33FA614F" w:rsidR="006574C9" w:rsidRPr="002E3801" w:rsidRDefault="006574C9" w:rsidP="003E2260">
            <w:pPr>
              <w:pStyle w:val="ListBullet"/>
            </w:pPr>
            <w:r w:rsidRPr="00C015D4">
              <w:rPr>
                <w:b/>
                <w:sz w:val="16"/>
                <w:szCs w:val="16"/>
              </w:rPr>
              <w:t>Finding 39</w:t>
            </w:r>
            <w:r w:rsidRPr="005A72D0">
              <w:rPr>
                <w:sz w:val="16"/>
                <w:szCs w:val="16"/>
              </w:rPr>
              <w:t>: Few CCCFR services could operate in a financially viable manner if reliant purely on CCS revenue (in its current form)</w:t>
            </w:r>
            <w:r w:rsidR="0033589A">
              <w:rPr>
                <w:sz w:val="16"/>
                <w:szCs w:val="16"/>
              </w:rPr>
              <w:t>.</w:t>
            </w:r>
          </w:p>
          <w:p w14:paraId="71724D78" w14:textId="77777777" w:rsidR="003E2260" w:rsidRDefault="003E2260" w:rsidP="003E2260">
            <w:pPr>
              <w:pStyle w:val="ListBullet"/>
              <w:numPr>
                <w:ilvl w:val="0"/>
                <w:numId w:val="0"/>
              </w:numPr>
              <w:rPr>
                <w:i/>
                <w:sz w:val="16"/>
                <w:szCs w:val="16"/>
              </w:rPr>
            </w:pPr>
          </w:p>
          <w:p w14:paraId="71444C7E" w14:textId="0B6D8205" w:rsidR="006574C9" w:rsidRDefault="002E3801" w:rsidP="003E2260">
            <w:pPr>
              <w:pStyle w:val="ListBullet"/>
              <w:numPr>
                <w:ilvl w:val="0"/>
                <w:numId w:val="0"/>
              </w:numPr>
            </w:pPr>
            <w:r w:rsidRPr="003A3E78">
              <w:rPr>
                <w:i/>
                <w:sz w:val="16"/>
                <w:szCs w:val="16"/>
              </w:rPr>
              <w:t xml:space="preserve">This recommendation is also underpinned by </w:t>
            </w:r>
            <w:r w:rsidR="00471C61" w:rsidRPr="003A3E78">
              <w:rPr>
                <w:i/>
                <w:sz w:val="16"/>
                <w:szCs w:val="16"/>
              </w:rPr>
              <w:t xml:space="preserve">considerations in Chapter </w:t>
            </w:r>
            <w:r w:rsidR="00211A28">
              <w:rPr>
                <w:i/>
                <w:iCs/>
                <w:sz w:val="16"/>
                <w:szCs w:val="16"/>
              </w:rPr>
              <w:t>10</w:t>
            </w:r>
            <w:r w:rsidR="00D0343E" w:rsidRPr="003A3E78">
              <w:rPr>
                <w:i/>
                <w:sz w:val="16"/>
                <w:szCs w:val="16"/>
              </w:rPr>
              <w:t xml:space="preserve">. </w:t>
            </w:r>
          </w:p>
        </w:tc>
      </w:tr>
    </w:tbl>
    <w:p w14:paraId="09144B0B" w14:textId="67CB1A10" w:rsidR="006574C9" w:rsidRPr="00747B61" w:rsidRDefault="006574C9" w:rsidP="00AF4F26">
      <w:pPr>
        <w:pStyle w:val="Recommendations"/>
        <w:spacing w:before="170"/>
        <w:rPr>
          <w:rFonts w:eastAsiaTheme="minorEastAsia"/>
          <w:b w:val="0"/>
        </w:rPr>
      </w:pPr>
      <w:r w:rsidRPr="00747B61">
        <w:t xml:space="preserve">Recommendation </w:t>
      </w:r>
      <w:r w:rsidRPr="00747B61">
        <w:rPr>
          <w:rFonts w:eastAsiaTheme="minorEastAsia"/>
          <w:b w:val="0"/>
        </w:rPr>
        <w:t>2:</w:t>
      </w:r>
      <w:r>
        <w:rPr>
          <w:rFonts w:eastAsiaTheme="minorEastAsia"/>
          <w:b w:val="0"/>
        </w:rPr>
        <w:t xml:space="preserve"> </w:t>
      </w:r>
      <w:r w:rsidRPr="00747B61">
        <w:rPr>
          <w:rFonts w:eastAsiaTheme="minorEastAsia"/>
          <w:b w:val="0"/>
        </w:rPr>
        <w:t>The potential transition of CCCFR services not currently regulated under the National Quality Framework (NQF) to the NQF should be considered on a case-by-case basis, having regard to the service operating environment, its current capacity to meet requirements under the National Law and Regulations, and an analysis of service-level and systemic barriers to meeting the National Quality Standard (NQS).</w:t>
      </w:r>
    </w:p>
    <w:p w14:paraId="5E37844F" w14:textId="0D8F2BC3" w:rsidR="00023E71" w:rsidRDefault="00023E71" w:rsidP="006574C9">
      <w:pPr>
        <w:pStyle w:val="ListBullet"/>
      </w:pPr>
      <w:r>
        <w:t xml:space="preserve">As part of this, the analysis should consider </w:t>
      </w:r>
      <w:r w:rsidR="00DF7D94">
        <w:t>the needs, wants and expectations of local families and community, and whether alternate approaches to regulatory oversight and support may better achieve similar outcomes of high quality ECEC (including those proposed as part of Recommendation 4 of this review).</w:t>
      </w:r>
    </w:p>
    <w:p w14:paraId="44319FE9" w14:textId="668C7CB1" w:rsidR="00023E71" w:rsidRDefault="00DF7D94" w:rsidP="006574C9">
      <w:pPr>
        <w:pStyle w:val="ListBullet"/>
      </w:pPr>
      <w:r>
        <w:t>The consideration of alternative regulatory approaches should occur in tandem with the consideration of alternative policy and funding environments as part of the wider consideration of the preferred future for each individual services (</w:t>
      </w:r>
      <w:r w:rsidR="00422893">
        <w:t xml:space="preserve">drawing on the decision framework for individual services, set out at </w:t>
      </w:r>
      <w:r w:rsidR="00AC7B9E">
        <w:fldChar w:fldCharType="begin"/>
      </w:r>
      <w:r w:rsidR="00AC7B9E">
        <w:instrText xml:space="preserve"> REF _Ref158985105 \r \h </w:instrText>
      </w:r>
      <w:r w:rsidR="00AC7B9E">
        <w:fldChar w:fldCharType="separate"/>
      </w:r>
      <w:r w:rsidR="00D300D0">
        <w:t>Figure 9.1</w:t>
      </w:r>
      <w:r w:rsidR="00AC7B9E">
        <w:fldChar w:fldCharType="end"/>
      </w:r>
      <w:r w:rsidR="00AC7B9E">
        <w:t xml:space="preserve"> in Chapter </w:t>
      </w:r>
      <w:r w:rsidR="00AC7B9E">
        <w:fldChar w:fldCharType="begin"/>
      </w:r>
      <w:r w:rsidR="00AC7B9E">
        <w:instrText xml:space="preserve"> REF _Ref167115111 \r \h </w:instrText>
      </w:r>
      <w:r w:rsidR="00AC7B9E">
        <w:fldChar w:fldCharType="separate"/>
      </w:r>
      <w:r w:rsidR="00D300D0">
        <w:t>9</w:t>
      </w:r>
      <w:r w:rsidR="00AC7B9E">
        <w:fldChar w:fldCharType="end"/>
      </w:r>
      <w:r>
        <w:t xml:space="preserve">). </w:t>
      </w:r>
    </w:p>
    <w:p w14:paraId="2323BCC2" w14:textId="616A7406" w:rsidR="006574C9" w:rsidRPr="00747B61" w:rsidRDefault="006574C9" w:rsidP="00A522AC">
      <w:pPr>
        <w:pStyle w:val="ListBullet"/>
        <w:numPr>
          <w:ilvl w:val="0"/>
          <w:numId w:val="0"/>
        </w:numPr>
      </w:pPr>
      <w:r>
        <w:t xml:space="preserve"> </w:t>
      </w: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03C937EC"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6D1CC547" w14:textId="4BF1F973" w:rsidR="006574C9" w:rsidRPr="00964087" w:rsidRDefault="006574C9">
            <w:pPr>
              <w:pStyle w:val="ListBullet"/>
              <w:numPr>
                <w:ilvl w:val="0"/>
                <w:numId w:val="0"/>
              </w:numPr>
              <w:rPr>
                <w:b/>
                <w:bCs/>
                <w:color w:val="FFFFFF" w:themeColor="background1"/>
              </w:rPr>
            </w:pPr>
            <w:r w:rsidRPr="00414DDD">
              <w:rPr>
                <w:b/>
                <w:bCs/>
              </w:rPr>
              <w:t xml:space="preserve">Findings </w:t>
            </w:r>
            <w:r w:rsidR="00F74EB9">
              <w:rPr>
                <w:b/>
                <w:bCs/>
              </w:rPr>
              <w:t>relating to</w:t>
            </w:r>
            <w:r w:rsidRPr="00414DDD">
              <w:rPr>
                <w:b/>
                <w:bCs/>
              </w:rPr>
              <w:t xml:space="preserve"> Recommendation 2</w:t>
            </w:r>
          </w:p>
        </w:tc>
      </w:tr>
      <w:tr w:rsidR="006574C9" w14:paraId="7AB5292A" w14:textId="77777777">
        <w:tc>
          <w:tcPr>
            <w:tcW w:w="9026" w:type="dxa"/>
          </w:tcPr>
          <w:p w14:paraId="0F682CA0" w14:textId="0ED944E8" w:rsidR="00CB7FFD" w:rsidRPr="0082534D" w:rsidRDefault="00CB7FFD" w:rsidP="00CB7FFD">
            <w:pPr>
              <w:pStyle w:val="ListBullet"/>
              <w:rPr>
                <w:sz w:val="16"/>
                <w:szCs w:val="16"/>
              </w:rPr>
            </w:pPr>
            <w:r w:rsidRPr="00CB7FFD">
              <w:rPr>
                <w:b/>
                <w:bCs/>
                <w:sz w:val="16"/>
                <w:szCs w:val="16"/>
              </w:rPr>
              <w:t>Finding 28:</w:t>
            </w:r>
            <w:r w:rsidRPr="00CB7FFD">
              <w:rPr>
                <w:sz w:val="16"/>
                <w:szCs w:val="16"/>
              </w:rPr>
              <w:t xml:space="preserve"> Some CCCFR services are expected to face significant barriers to meeting the National Law and </w:t>
            </w:r>
            <w:r w:rsidRPr="0082534D">
              <w:rPr>
                <w:sz w:val="16"/>
                <w:szCs w:val="16"/>
              </w:rPr>
              <w:t>Regulations, in particular around meeting workforce and infrastructure requirements.</w:t>
            </w:r>
          </w:p>
          <w:p w14:paraId="3D31F8B7" w14:textId="10A1E06D" w:rsidR="00CB7FFD" w:rsidRPr="0082534D" w:rsidRDefault="00CB7FFD" w:rsidP="00CB7FFD">
            <w:pPr>
              <w:pStyle w:val="ListBullet"/>
              <w:rPr>
                <w:sz w:val="16"/>
                <w:szCs w:val="16"/>
              </w:rPr>
            </w:pPr>
            <w:r w:rsidRPr="0082534D">
              <w:rPr>
                <w:b/>
                <w:bCs/>
                <w:sz w:val="16"/>
                <w:szCs w:val="16"/>
              </w:rPr>
              <w:t>Finding 29:</w:t>
            </w:r>
            <w:r w:rsidRPr="0082534D">
              <w:rPr>
                <w:sz w:val="16"/>
                <w:szCs w:val="16"/>
              </w:rPr>
              <w:t xml:space="preserve"> While there is mixed evidence within current research, CCCFR services may face broader, systemic barriers to achieving the National Quality Standard (NQS) and broader requirements under the National Law and Regulations (NQF).</w:t>
            </w:r>
          </w:p>
          <w:p w14:paraId="2CF04D91" w14:textId="3718BF38" w:rsidR="00CB7FFD" w:rsidRPr="0082534D" w:rsidRDefault="00CB7FFD" w:rsidP="00CB7FFD">
            <w:pPr>
              <w:pStyle w:val="ListBullet"/>
              <w:rPr>
                <w:sz w:val="16"/>
                <w:szCs w:val="16"/>
              </w:rPr>
            </w:pPr>
            <w:r w:rsidRPr="0082534D">
              <w:rPr>
                <w:b/>
                <w:bCs/>
                <w:sz w:val="16"/>
                <w:szCs w:val="16"/>
              </w:rPr>
              <w:lastRenderedPageBreak/>
              <w:t>Finding 30:</w:t>
            </w:r>
            <w:r w:rsidRPr="0082534D">
              <w:rPr>
                <w:sz w:val="16"/>
                <w:szCs w:val="16"/>
              </w:rPr>
              <w:t xml:space="preserve"> Analysis of Compliance and Operations Reports indicates varying capability and capacity across CCCFR services to prepare planning and governance documentation in line with the Minister’s Rules.</w:t>
            </w:r>
          </w:p>
          <w:p w14:paraId="3C649BAE" w14:textId="008917EF" w:rsidR="006574C9" w:rsidRPr="00234144" w:rsidRDefault="0082534D" w:rsidP="00234144">
            <w:pPr>
              <w:pStyle w:val="ListBullet"/>
              <w:rPr>
                <w:sz w:val="16"/>
                <w:szCs w:val="16"/>
              </w:rPr>
            </w:pPr>
            <w:r w:rsidRPr="0082534D">
              <w:rPr>
                <w:b/>
                <w:bCs/>
                <w:sz w:val="16"/>
                <w:szCs w:val="16"/>
              </w:rPr>
              <w:t>Finding 31:</w:t>
            </w:r>
            <w:r w:rsidRPr="0082534D">
              <w:rPr>
                <w:sz w:val="16"/>
                <w:szCs w:val="16"/>
              </w:rPr>
              <w:t xml:space="preserve"> Broader workforce challenges have impacted several rural and remote CCCFR services’ ability to meet obligations under the Minister’s Rules, specifically around ensuring effective supervision and meeting First Aid obligations.</w:t>
            </w:r>
          </w:p>
        </w:tc>
      </w:tr>
    </w:tbl>
    <w:p w14:paraId="4FCC6341" w14:textId="1906074F" w:rsidR="006574C9" w:rsidRPr="00747B61" w:rsidRDefault="006574C9" w:rsidP="00FF03FB">
      <w:pPr>
        <w:pStyle w:val="Recommendations"/>
        <w:spacing w:before="170"/>
        <w:rPr>
          <w:b w:val="0"/>
          <w:bCs/>
          <w:szCs w:val="17"/>
        </w:rPr>
      </w:pPr>
      <w:r w:rsidRPr="00747B61">
        <w:lastRenderedPageBreak/>
        <w:t xml:space="preserve">Recommendation </w:t>
      </w:r>
      <w:r w:rsidRPr="00747B61">
        <w:rPr>
          <w:b w:val="0"/>
          <w:bCs/>
          <w:szCs w:val="17"/>
        </w:rPr>
        <w:t xml:space="preserve">3: The transition of </w:t>
      </w:r>
      <w:r w:rsidRPr="00FA7429">
        <w:rPr>
          <w:b w:val="0"/>
          <w:bCs/>
          <w:szCs w:val="17"/>
        </w:rPr>
        <w:t xml:space="preserve">CCCFR </w:t>
      </w:r>
      <w:r w:rsidRPr="00747B61">
        <w:rPr>
          <w:b w:val="0"/>
          <w:bCs/>
          <w:szCs w:val="17"/>
        </w:rPr>
        <w:t xml:space="preserve">services to new funding and/or regulatory environments should be pursued with input and participation from individual services and communities and governed by tailored transition plans that carefully determine an appropriate transition path for each service and the supports required to successfully pursue it. </w:t>
      </w:r>
    </w:p>
    <w:p w14:paraId="6F089CC3" w14:textId="77777777" w:rsidR="006574C9" w:rsidRPr="00747B61" w:rsidRDefault="006574C9" w:rsidP="006574C9">
      <w:pPr>
        <w:pStyle w:val="ListBullet"/>
      </w:pPr>
      <w:r>
        <w:t xml:space="preserve">CCCFR services and communities should be active participants in the process that determines their future. </w:t>
      </w:r>
    </w:p>
    <w:p w14:paraId="3872D11D" w14:textId="77777777" w:rsidR="006574C9" w:rsidRPr="00747B61" w:rsidRDefault="006574C9" w:rsidP="006574C9">
      <w:pPr>
        <w:pStyle w:val="ListBullet"/>
      </w:pPr>
      <w:r>
        <w:t xml:space="preserve">Time should be taken to work with each service to appraise their readiness and transition support needs in order to develop a transition plan specific to their needs, including communicating changes to the families they work with and the communities they operate in. </w:t>
      </w:r>
    </w:p>
    <w:p w14:paraId="27CD0B25" w14:textId="77777777" w:rsidR="006574C9" w:rsidRPr="00747B61" w:rsidRDefault="006574C9" w:rsidP="006574C9">
      <w:pPr>
        <w:pStyle w:val="ListBullet"/>
        <w:rPr>
          <w:b/>
          <w:bCs/>
        </w:rPr>
      </w:pPr>
      <w:r>
        <w:t xml:space="preserve">This should include specific training and support on any changes to reporting systems and procedures, regulatory changes due to changes conditions of funding, and other training necessary to support CCCFR services to thrive in the new environment. </w:t>
      </w:r>
    </w:p>
    <w:p w14:paraId="00315A78" w14:textId="6B1E9747" w:rsidR="006574C9" w:rsidRPr="00747B61" w:rsidRDefault="00FB6EF9" w:rsidP="006574C9">
      <w:pPr>
        <w:pStyle w:val="ListBullet"/>
      </w:pPr>
      <w:r>
        <w:t>If</w:t>
      </w:r>
      <w:r w:rsidR="00087A38">
        <w:t xml:space="preserve"> Departmental responsibilities and </w:t>
      </w:r>
      <w:r w:rsidR="00F51A51">
        <w:t>oversight</w:t>
      </w:r>
      <w:r w:rsidR="00087A38">
        <w:t xml:space="preserve"> of a service</w:t>
      </w:r>
      <w:r>
        <w:t xml:space="preserve"> were to transfer</w:t>
      </w:r>
      <w:r w:rsidR="00F51A51">
        <w:t xml:space="preserve"> </w:t>
      </w:r>
      <w:r>
        <w:t>to another agency,</w:t>
      </w:r>
      <w:r w:rsidR="0068114F">
        <w:t xml:space="preserve"> </w:t>
      </w:r>
      <w:r w:rsidR="00A42B05">
        <w:t xml:space="preserve">any </w:t>
      </w:r>
      <w:r w:rsidR="00BD3AA9">
        <w:t>contextual knowledge</w:t>
      </w:r>
      <w:r w:rsidR="00087A38">
        <w:t xml:space="preserve"> and case information</w:t>
      </w:r>
      <w:r w:rsidR="00BD3AA9">
        <w:t xml:space="preserve"> </w:t>
      </w:r>
      <w:r w:rsidR="00F51A51">
        <w:t xml:space="preserve">held by the Department </w:t>
      </w:r>
      <w:r w:rsidR="00A42B05">
        <w:t xml:space="preserve">should be provided to </w:t>
      </w:r>
      <w:r w:rsidR="00F51A51">
        <w:t>the new responsible</w:t>
      </w:r>
      <w:r w:rsidR="00087A38">
        <w:t xml:space="preserve"> area to support effective, ongoing case management</w:t>
      </w:r>
      <w:r w:rsidR="006574C9">
        <w:t>.</w:t>
      </w:r>
    </w:p>
    <w:p w14:paraId="006860C6" w14:textId="13DAF05A" w:rsidR="006574C9" w:rsidRPr="00747B61" w:rsidRDefault="006574C9" w:rsidP="006574C9">
      <w:pPr>
        <w:spacing w:after="0"/>
        <w:rPr>
          <w:rFonts w:eastAsia="Calibri" w:cs="Times New Roman"/>
          <w:b/>
          <w:color w:val="86BC25" w:themeColor="accent1"/>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44C774D1"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3F5541BB" w14:textId="1E8B83A9" w:rsidR="006574C9" w:rsidRPr="00964087" w:rsidRDefault="006574C9">
            <w:pPr>
              <w:pStyle w:val="ListBullet"/>
              <w:numPr>
                <w:ilvl w:val="0"/>
                <w:numId w:val="0"/>
              </w:numPr>
              <w:rPr>
                <w:b/>
                <w:bCs/>
                <w:color w:val="FFFFFF" w:themeColor="background1"/>
              </w:rPr>
            </w:pPr>
            <w:r w:rsidRPr="00414DDD">
              <w:rPr>
                <w:b/>
                <w:bCs/>
              </w:rPr>
              <w:t xml:space="preserve">Findings </w:t>
            </w:r>
            <w:r w:rsidR="00F74EB9">
              <w:rPr>
                <w:b/>
                <w:bCs/>
              </w:rPr>
              <w:t>relating to</w:t>
            </w:r>
            <w:r w:rsidRPr="00414DDD">
              <w:rPr>
                <w:b/>
                <w:bCs/>
              </w:rPr>
              <w:t xml:space="preserve"> Recommendation 3</w:t>
            </w:r>
          </w:p>
        </w:tc>
      </w:tr>
      <w:tr w:rsidR="006574C9" w14:paraId="6DBCDCC6" w14:textId="77777777">
        <w:tc>
          <w:tcPr>
            <w:tcW w:w="9026" w:type="dxa"/>
          </w:tcPr>
          <w:p w14:paraId="464CDF4A" w14:textId="05A6C947" w:rsidR="00BC60C2" w:rsidRPr="00BC60C2" w:rsidRDefault="00BC60C2" w:rsidP="00A862FF">
            <w:pPr>
              <w:pStyle w:val="ListBullet"/>
              <w:rPr>
                <w:sz w:val="16"/>
                <w:szCs w:val="16"/>
              </w:rPr>
            </w:pPr>
            <w:r w:rsidRPr="00BC60C2">
              <w:rPr>
                <w:b/>
                <w:bCs/>
                <w:sz w:val="16"/>
                <w:szCs w:val="16"/>
              </w:rPr>
              <w:t>Finding 9:</w:t>
            </w:r>
            <w:r w:rsidRPr="00BC60C2">
              <w:rPr>
                <w:sz w:val="16"/>
                <w:szCs w:val="16"/>
              </w:rPr>
              <w:t xml:space="preserve"> There is no explicit alignment to Closing the Gap outcomes, targets and priority reforms. The degree of implicit alignment varies.  </w:t>
            </w:r>
          </w:p>
          <w:p w14:paraId="7C2D644E" w14:textId="6EAB8CFE" w:rsidR="00A862FF" w:rsidRPr="00A862FF" w:rsidRDefault="00A862FF" w:rsidP="00A862FF">
            <w:pPr>
              <w:pStyle w:val="ListBullet"/>
              <w:rPr>
                <w:sz w:val="16"/>
                <w:szCs w:val="16"/>
              </w:rPr>
            </w:pPr>
            <w:r w:rsidRPr="00A862FF">
              <w:rPr>
                <w:b/>
                <w:bCs/>
                <w:sz w:val="16"/>
                <w:szCs w:val="16"/>
              </w:rPr>
              <w:t xml:space="preserve">Finding 10 </w:t>
            </w:r>
            <w:r w:rsidRPr="00A862FF">
              <w:rPr>
                <w:sz w:val="16"/>
                <w:szCs w:val="16"/>
              </w:rPr>
              <w:t xml:space="preserve">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        </w:t>
            </w:r>
          </w:p>
          <w:p w14:paraId="39E7E85E" w14:textId="46E43684" w:rsidR="00A862FF" w:rsidRPr="00A862FF" w:rsidRDefault="00A862FF" w:rsidP="00A862FF">
            <w:pPr>
              <w:pStyle w:val="ListBullet"/>
              <w:rPr>
                <w:sz w:val="16"/>
                <w:szCs w:val="16"/>
              </w:rPr>
            </w:pPr>
            <w:r w:rsidRPr="00A862FF">
              <w:rPr>
                <w:b/>
                <w:sz w:val="16"/>
                <w:szCs w:val="16"/>
              </w:rPr>
              <w:t>Finding 11:</w:t>
            </w:r>
            <w:r w:rsidRPr="00A862FF">
              <w:rPr>
                <w:sz w:val="16"/>
                <w:szCs w:val="16"/>
              </w:rPr>
              <w:t xml:space="preserve"> Service, family and community views towards the stated CCCFR objectives vary, with strong support for the objectives of improving early childhood development outcomes, but more mixed views toward the objective of increasing workforce participation.</w:t>
            </w:r>
          </w:p>
          <w:p w14:paraId="27C2964B" w14:textId="10CA3AB0" w:rsidR="00A862FF" w:rsidRDefault="00A862FF" w:rsidP="00A862FF">
            <w:pPr>
              <w:pStyle w:val="ListBullet"/>
              <w:rPr>
                <w:sz w:val="16"/>
                <w:szCs w:val="16"/>
              </w:rPr>
            </w:pPr>
            <w:r w:rsidRPr="00A862FF">
              <w:rPr>
                <w:b/>
                <w:sz w:val="16"/>
                <w:szCs w:val="16"/>
              </w:rPr>
              <w:t>Finding 12:</w:t>
            </w:r>
            <w:r w:rsidRPr="00A862FF">
              <w:rPr>
                <w:sz w:val="16"/>
                <w:szCs w:val="16"/>
              </w:rPr>
              <w:t xml:space="preserve"> There are community, family, and child needs and expectations for many CCCFR services which go beyond mainstream needs of child care. CCCFR services often try to fulfil these needs.</w:t>
            </w:r>
          </w:p>
          <w:p w14:paraId="6CEBFE63" w14:textId="75016A5F" w:rsidR="00086E39" w:rsidRPr="00086E39" w:rsidRDefault="00086E39" w:rsidP="00086E39">
            <w:pPr>
              <w:pStyle w:val="ListBullet"/>
              <w:rPr>
                <w:sz w:val="16"/>
                <w:szCs w:val="16"/>
              </w:rPr>
            </w:pPr>
            <w:r>
              <w:rPr>
                <w:b/>
                <w:bCs/>
                <w:iCs/>
                <w:sz w:val="16"/>
                <w:szCs w:val="16"/>
              </w:rPr>
              <w:t>F</w:t>
            </w:r>
            <w:r w:rsidRPr="00086E39">
              <w:rPr>
                <w:b/>
                <w:bCs/>
                <w:iCs/>
                <w:sz w:val="16"/>
                <w:szCs w:val="16"/>
              </w:rPr>
              <w:t>inding 19:</w:t>
            </w:r>
            <w:r w:rsidRPr="00086E39">
              <w:rPr>
                <w:sz w:val="16"/>
                <w:szCs w:val="16"/>
              </w:rPr>
              <w:t xml:space="preserve"> CCCFR grant funding is not intentionally responsive or adaptive to the current or evolving needs of community; it is largely a function of historical factors. </w:t>
            </w:r>
          </w:p>
          <w:p w14:paraId="4E970C39" w14:textId="6D8F2670" w:rsidR="00A61F02" w:rsidRPr="00A61F02" w:rsidRDefault="00A61F02">
            <w:pPr>
              <w:pStyle w:val="ListBullet"/>
              <w:rPr>
                <w:sz w:val="16"/>
                <w:szCs w:val="16"/>
              </w:rPr>
            </w:pPr>
            <w:r w:rsidRPr="00A61F02">
              <w:rPr>
                <w:b/>
                <w:bCs/>
                <w:sz w:val="16"/>
                <w:szCs w:val="16"/>
              </w:rPr>
              <w:t>Finding 28:</w:t>
            </w:r>
            <w:r w:rsidRPr="00A61F02">
              <w:rPr>
                <w:sz w:val="16"/>
                <w:szCs w:val="16"/>
              </w:rPr>
              <w:t xml:space="preserve"> Some CCCFR services are expected to face significant barriers to meeting the National Law and Regulations, in particular around meeting workforce and infrastructure requirements.</w:t>
            </w:r>
            <w:r w:rsidRPr="00A61F02">
              <w:rPr>
                <w:sz w:val="16"/>
                <w:szCs w:val="16"/>
                <w:highlight w:val="yellow"/>
              </w:rPr>
              <w:t xml:space="preserve"> </w:t>
            </w:r>
          </w:p>
          <w:p w14:paraId="74CDE4C6" w14:textId="77777777" w:rsidR="0063347B" w:rsidRPr="0063347B" w:rsidRDefault="0063347B">
            <w:pPr>
              <w:pStyle w:val="ListBullet"/>
            </w:pPr>
            <w:r w:rsidRPr="0063347B">
              <w:rPr>
                <w:b/>
                <w:bCs/>
                <w:sz w:val="16"/>
                <w:szCs w:val="16"/>
              </w:rPr>
              <w:t>Finding 29:</w:t>
            </w:r>
            <w:r w:rsidRPr="0063347B">
              <w:rPr>
                <w:sz w:val="16"/>
                <w:szCs w:val="16"/>
              </w:rPr>
              <w:t xml:space="preserve"> While there is mixed evidence within current research, CCCFR services may face broader, systemic barriers to achieving the National Quality Standard (NQS) and broader requirements under the National Law and Regulations (NQF).</w:t>
            </w:r>
            <w:r w:rsidRPr="0063347B">
              <w:rPr>
                <w:sz w:val="16"/>
                <w:szCs w:val="16"/>
                <w:highlight w:val="yellow"/>
              </w:rPr>
              <w:t xml:space="preserve"> </w:t>
            </w:r>
          </w:p>
          <w:p w14:paraId="63F554E7" w14:textId="77777777" w:rsidR="006574C9" w:rsidRPr="00D0343E" w:rsidRDefault="009706A6">
            <w:pPr>
              <w:pStyle w:val="ListBullet"/>
            </w:pPr>
            <w:r w:rsidRPr="009706A6">
              <w:rPr>
                <w:b/>
                <w:bCs/>
                <w:sz w:val="16"/>
                <w:szCs w:val="16"/>
              </w:rPr>
              <w:t>Finding 37:</w:t>
            </w:r>
            <w:r w:rsidRPr="009706A6">
              <w:rPr>
                <w:sz w:val="16"/>
                <w:szCs w:val="16"/>
              </w:rPr>
              <w:t xml:space="preserve"> The financial sustainability of CCCFR services varies considerably. There are drivers on both the revenue and cost side, with the limited responsiveness of funding to costs a key driver of the financial challenges that many CCCFR services confront.</w:t>
            </w:r>
          </w:p>
          <w:p w14:paraId="164EF294" w14:textId="127BFB9B" w:rsidR="006574C9" w:rsidRDefault="00D0343E" w:rsidP="00D0343E">
            <w:pPr>
              <w:pStyle w:val="ListBullet"/>
              <w:numPr>
                <w:ilvl w:val="0"/>
                <w:numId w:val="0"/>
              </w:numPr>
              <w:ind w:left="340" w:hanging="340"/>
            </w:pPr>
            <w:r w:rsidRPr="003A3E78">
              <w:rPr>
                <w:i/>
                <w:sz w:val="16"/>
                <w:szCs w:val="16"/>
              </w:rPr>
              <w:t xml:space="preserve">This recommendation is also underpinned by considerations in Chapter </w:t>
            </w:r>
            <w:r w:rsidRPr="003A3E78">
              <w:rPr>
                <w:i/>
                <w:iCs/>
                <w:sz w:val="16"/>
                <w:szCs w:val="16"/>
              </w:rPr>
              <w:fldChar w:fldCharType="begin"/>
            </w:r>
            <w:r w:rsidRPr="003A3E78">
              <w:rPr>
                <w:i/>
                <w:iCs/>
                <w:sz w:val="16"/>
                <w:szCs w:val="16"/>
              </w:rPr>
              <w:instrText xml:space="preserve"> REF _Ref166822874 \r \h </w:instrText>
            </w:r>
            <w:r w:rsidR="003A3E78">
              <w:rPr>
                <w:i/>
                <w:iCs/>
                <w:sz w:val="16"/>
                <w:szCs w:val="16"/>
              </w:rPr>
              <w:instrText xml:space="preserve"> \* MERGEFORMAT </w:instrText>
            </w:r>
            <w:r w:rsidRPr="003A3E78">
              <w:rPr>
                <w:i/>
                <w:iCs/>
                <w:sz w:val="16"/>
                <w:szCs w:val="16"/>
              </w:rPr>
            </w:r>
            <w:r w:rsidRPr="003A3E78">
              <w:rPr>
                <w:i/>
                <w:iCs/>
                <w:sz w:val="16"/>
                <w:szCs w:val="16"/>
              </w:rPr>
              <w:fldChar w:fldCharType="separate"/>
            </w:r>
            <w:r w:rsidR="00D300D0">
              <w:rPr>
                <w:i/>
                <w:iCs/>
                <w:sz w:val="16"/>
                <w:szCs w:val="16"/>
              </w:rPr>
              <w:t>0</w:t>
            </w:r>
            <w:r w:rsidRPr="003A3E78">
              <w:rPr>
                <w:sz w:val="16"/>
                <w:szCs w:val="16"/>
              </w:rPr>
              <w:fldChar w:fldCharType="end"/>
            </w:r>
            <w:r w:rsidRPr="003A3E78">
              <w:rPr>
                <w:i/>
                <w:sz w:val="16"/>
                <w:szCs w:val="16"/>
              </w:rPr>
              <w:t>.</w:t>
            </w:r>
          </w:p>
        </w:tc>
      </w:tr>
    </w:tbl>
    <w:p w14:paraId="2BBC09B3" w14:textId="77777777" w:rsidR="006574C9" w:rsidRPr="00C07334" w:rsidRDefault="006574C9" w:rsidP="00A522AC">
      <w:pPr>
        <w:pStyle w:val="Recommendations"/>
        <w:spacing w:before="170"/>
        <w:rPr>
          <w:rFonts w:eastAsiaTheme="minorEastAsia" w:cstheme="minorBidi"/>
          <w:b w:val="0"/>
        </w:rPr>
      </w:pPr>
      <w:bookmarkStart w:id="61" w:name="_Hlk162342366"/>
      <w:r w:rsidRPr="404FBC72">
        <w:t>Recommendation</w:t>
      </w:r>
      <w:r w:rsidRPr="404FBC72">
        <w:rPr>
          <w:rFonts w:eastAsiaTheme="minorEastAsia" w:cstheme="minorBidi"/>
          <w:b w:val="0"/>
        </w:rPr>
        <w:t xml:space="preserve"> 4: </w:t>
      </w:r>
      <w:bookmarkStart w:id="62" w:name="_Hlk158990933"/>
      <w:r w:rsidRPr="404FBC72">
        <w:rPr>
          <w:rFonts w:eastAsiaTheme="minorEastAsia" w:cstheme="minorBidi"/>
          <w:b w:val="0"/>
        </w:rPr>
        <w:t xml:space="preserve">There should be further exploration of </w:t>
      </w:r>
      <w:r>
        <w:rPr>
          <w:rFonts w:eastAsiaTheme="minorEastAsia" w:cstheme="minorBidi"/>
          <w:b w:val="0"/>
        </w:rPr>
        <w:t xml:space="preserve">the </w:t>
      </w:r>
      <w:r w:rsidRPr="404FBC72">
        <w:rPr>
          <w:rFonts w:eastAsiaTheme="minorEastAsia" w:cstheme="minorBidi"/>
          <w:b w:val="0"/>
        </w:rPr>
        <w:t>opportunities</w:t>
      </w:r>
      <w:r w:rsidRPr="404FBC72">
        <w:rPr>
          <w:rFonts w:eastAsiaTheme="minorEastAsia" w:cstheme="minorBidi"/>
          <w:b w:val="0"/>
          <w:bCs/>
        </w:rPr>
        <w:t xml:space="preserve"> </w:t>
      </w:r>
      <w:r w:rsidRPr="404FBC72">
        <w:rPr>
          <w:rFonts w:eastAsiaTheme="minorEastAsia" w:cstheme="minorBidi"/>
          <w:b w:val="0"/>
        </w:rPr>
        <w:t xml:space="preserve">within the Australian early childhood regulatory landscape </w:t>
      </w:r>
      <w:r>
        <w:rPr>
          <w:rFonts w:eastAsiaTheme="minorEastAsia" w:cstheme="minorBidi"/>
          <w:b w:val="0"/>
        </w:rPr>
        <w:t>to support</w:t>
      </w:r>
      <w:r w:rsidRPr="404FBC72">
        <w:rPr>
          <w:rFonts w:eastAsiaTheme="minorEastAsia" w:cstheme="minorBidi"/>
          <w:b w:val="0"/>
        </w:rPr>
        <w:t xml:space="preserve"> Aboriginal and Torres Strait Islander </w:t>
      </w:r>
      <w:r w:rsidRPr="00196FD0">
        <w:rPr>
          <w:b w:val="0"/>
          <w:bCs/>
        </w:rPr>
        <w:t>CCCFR</w:t>
      </w:r>
      <w:r w:rsidRPr="404FBC72">
        <w:rPr>
          <w:rFonts w:eastAsiaTheme="minorEastAsia" w:cstheme="minorBidi"/>
          <w:b w:val="0"/>
        </w:rPr>
        <w:t xml:space="preserve"> services and families</w:t>
      </w:r>
      <w:bookmarkEnd w:id="62"/>
      <w:r w:rsidRPr="404FBC72">
        <w:rPr>
          <w:rFonts w:eastAsiaTheme="minorEastAsia" w:cstheme="minorBidi"/>
          <w:b w:val="0"/>
        </w:rPr>
        <w:t>.</w:t>
      </w:r>
    </w:p>
    <w:p w14:paraId="67CCD398" w14:textId="77777777" w:rsidR="006574C9" w:rsidRPr="00832B9C" w:rsidRDefault="006574C9" w:rsidP="006574C9">
      <w:pPr>
        <w:pStyle w:val="ListBullet"/>
        <w:rPr>
          <w:rFonts w:cs="Arial"/>
          <w:szCs w:val="18"/>
        </w:rPr>
      </w:pPr>
      <w:r w:rsidRPr="2B91AEFB">
        <w:rPr>
          <w:rStyle w:val="cf11"/>
          <w:rFonts w:ascii="Verdana" w:hAnsi="Verdana"/>
        </w:rPr>
        <w:t>In accordance with the views and preferences expressed by Aboriginal and Torres Strait Islander CCCFR services, peak bodies and community members consulted in this review, this exploration may include consideration of:</w:t>
      </w:r>
    </w:p>
    <w:p w14:paraId="37DE5792" w14:textId="77777777" w:rsidR="006574C9" w:rsidRPr="004E79E4" w:rsidRDefault="006574C9" w:rsidP="006574C9">
      <w:pPr>
        <w:pStyle w:val="ListBullet2"/>
        <w:rPr>
          <w:rFonts w:cs="Arial"/>
          <w:szCs w:val="18"/>
        </w:rPr>
      </w:pPr>
      <w:r w:rsidRPr="004E79E4">
        <w:rPr>
          <w:rStyle w:val="cf11"/>
          <w:rFonts w:ascii="Verdana" w:hAnsi="Verdana"/>
        </w:rPr>
        <w:lastRenderedPageBreak/>
        <w:t>an alternate dedicated funding grant for ACCO early years services that is designed in partnership with Aboriginal representatives in alignment with Priority Reforms 1 and 2 of the National Agreement on Closing the Gap, and particularly clause 45(d)</w:t>
      </w:r>
    </w:p>
    <w:p w14:paraId="67D23E59" w14:textId="77777777" w:rsidR="006574C9" w:rsidRPr="004E79E4" w:rsidRDefault="006574C9" w:rsidP="006574C9">
      <w:pPr>
        <w:pStyle w:val="ListBullet2"/>
        <w:rPr>
          <w:rFonts w:cs="Arial"/>
          <w:szCs w:val="18"/>
        </w:rPr>
      </w:pPr>
      <w:r w:rsidRPr="004E79E4">
        <w:rPr>
          <w:rStyle w:val="cf11"/>
          <w:rFonts w:ascii="Verdana" w:hAnsi="Verdana"/>
        </w:rPr>
        <w:t>the development of an Aboriginal and Torres Strait Islander designed and led Learning Framework, distinct from Early Years Learning Framework (EYLF)/My Time</w:t>
      </w:r>
      <w:r>
        <w:rPr>
          <w:rStyle w:val="cf11"/>
          <w:rFonts w:ascii="Verdana" w:hAnsi="Verdana"/>
        </w:rPr>
        <w:t>,</w:t>
      </w:r>
      <w:r w:rsidRPr="004E79E4">
        <w:rPr>
          <w:rStyle w:val="cf11"/>
          <w:rFonts w:ascii="Verdana" w:hAnsi="Verdana"/>
        </w:rPr>
        <w:t xml:space="preserve"> Our Place (MTOP)</w:t>
      </w:r>
    </w:p>
    <w:p w14:paraId="07AED306" w14:textId="77777777" w:rsidR="006574C9" w:rsidRPr="004E79E4" w:rsidRDefault="006574C9" w:rsidP="006574C9">
      <w:pPr>
        <w:pStyle w:val="ListBullet2"/>
        <w:rPr>
          <w:rStyle w:val="cf11"/>
          <w:rFonts w:ascii="Verdana" w:hAnsi="Verdana"/>
        </w:rPr>
      </w:pPr>
      <w:r w:rsidRPr="004E79E4">
        <w:rPr>
          <w:rStyle w:val="cf11"/>
          <w:rFonts w:ascii="Verdana" w:hAnsi="Verdana"/>
        </w:rPr>
        <w:t>opportunities to develop an ECEC Quality Framework for Aboriginal and Torres Strait Islander CCCFR services, informed by the aspirations, needs and expectations of Aboriginal and Torres Strait Islander peoples.</w:t>
      </w:r>
    </w:p>
    <w:bookmarkEnd w:id="61"/>
    <w:p w14:paraId="58E235DD" w14:textId="77777777" w:rsidR="006574C9" w:rsidRDefault="006574C9" w:rsidP="006574C9">
      <w:pPr>
        <w:pStyle w:val="ListBullet2"/>
        <w:numPr>
          <w:ilvl w:val="0"/>
          <w:numId w:val="0"/>
        </w:numPr>
        <w:ind w:left="700" w:hanging="360"/>
        <w:rPr>
          <w:rStyle w:val="cf11"/>
          <w:rFonts w:ascii="Verdana" w:hAnsi="Verdana"/>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26F1C887"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9395153" w14:textId="29ACD164" w:rsidR="006574C9" w:rsidRPr="00964087" w:rsidRDefault="006574C9">
            <w:pPr>
              <w:pStyle w:val="ListBullet"/>
              <w:numPr>
                <w:ilvl w:val="0"/>
                <w:numId w:val="0"/>
              </w:numPr>
              <w:rPr>
                <w:b/>
                <w:bCs/>
                <w:color w:val="FFFFFF" w:themeColor="background1"/>
              </w:rPr>
            </w:pPr>
            <w:r w:rsidRPr="00414DDD">
              <w:rPr>
                <w:b/>
                <w:bCs/>
              </w:rPr>
              <w:t xml:space="preserve">Findings </w:t>
            </w:r>
            <w:r w:rsidR="00F74EB9">
              <w:rPr>
                <w:b/>
                <w:bCs/>
              </w:rPr>
              <w:t>relating to</w:t>
            </w:r>
            <w:r w:rsidRPr="00414DDD">
              <w:rPr>
                <w:b/>
                <w:bCs/>
              </w:rPr>
              <w:t xml:space="preserve"> Recommendation 4</w:t>
            </w:r>
          </w:p>
        </w:tc>
      </w:tr>
      <w:tr w:rsidR="006574C9" w14:paraId="21702E2D" w14:textId="77777777">
        <w:tc>
          <w:tcPr>
            <w:tcW w:w="9026" w:type="dxa"/>
          </w:tcPr>
          <w:p w14:paraId="12A840F0" w14:textId="6EEB7520" w:rsidR="00A35EC2" w:rsidRPr="00A35EC2" w:rsidRDefault="00A35EC2" w:rsidP="00D339A9">
            <w:pPr>
              <w:pStyle w:val="ListBullet"/>
              <w:rPr>
                <w:sz w:val="16"/>
                <w:szCs w:val="16"/>
              </w:rPr>
            </w:pPr>
            <w:r w:rsidRPr="00D339A9">
              <w:rPr>
                <w:b/>
                <w:sz w:val="16"/>
                <w:szCs w:val="16"/>
              </w:rPr>
              <w:t>Finding 1</w:t>
            </w:r>
            <w:r w:rsidRPr="00A35EC2">
              <w:rPr>
                <w:sz w:val="16"/>
                <w:szCs w:val="16"/>
              </w:rPr>
              <w:t>: While intensity of use by existing families increased, enrolments by Aboriginal and Torres Strait Islander children at</w:t>
            </w:r>
            <w:r w:rsidR="006574C9" w:rsidRPr="00040168">
              <w:rPr>
                <w:sz w:val="16"/>
                <w:szCs w:val="16"/>
              </w:rPr>
              <w:t xml:space="preserve"> CCCFR </w:t>
            </w:r>
            <w:r w:rsidRPr="00A35EC2">
              <w:rPr>
                <w:sz w:val="16"/>
                <w:szCs w:val="16"/>
              </w:rPr>
              <w:t>services grew slower than at other non-CCCFR funded education and child care services receiving CCS in the same region and national benchmarks.</w:t>
            </w:r>
          </w:p>
          <w:p w14:paraId="6806B179" w14:textId="5BCFFE85" w:rsidR="00A35EC2" w:rsidRPr="00A35EC2" w:rsidRDefault="00A35EC2" w:rsidP="00A35EC2">
            <w:pPr>
              <w:pStyle w:val="ListBullet"/>
              <w:rPr>
                <w:sz w:val="16"/>
                <w:szCs w:val="16"/>
              </w:rPr>
            </w:pPr>
            <w:r w:rsidRPr="00D339A9">
              <w:rPr>
                <w:b/>
                <w:sz w:val="16"/>
                <w:szCs w:val="16"/>
              </w:rPr>
              <w:t>Finding 2</w:t>
            </w:r>
            <w:r w:rsidRPr="00A35EC2">
              <w:rPr>
                <w:sz w:val="16"/>
                <w:szCs w:val="16"/>
              </w:rPr>
              <w:t>: There</w:t>
            </w:r>
            <w:r w:rsidR="006574C9" w:rsidRPr="00040168">
              <w:rPr>
                <w:sz w:val="16"/>
                <w:szCs w:val="16"/>
              </w:rPr>
              <w:t xml:space="preserve"> is </w:t>
            </w:r>
            <w:r w:rsidRPr="00A35EC2">
              <w:rPr>
                <w:sz w:val="16"/>
                <w:szCs w:val="16"/>
              </w:rPr>
              <w:t>evidence</w:t>
            </w:r>
            <w:r w:rsidR="006574C9" w:rsidRPr="00040168">
              <w:rPr>
                <w:sz w:val="16"/>
                <w:szCs w:val="16"/>
              </w:rPr>
              <w:t xml:space="preserve"> to </w:t>
            </w:r>
            <w:r w:rsidRPr="00A35EC2">
              <w:rPr>
                <w:sz w:val="16"/>
                <w:szCs w:val="16"/>
              </w:rPr>
              <w:t>suggest that access to the CCCFR grant has been associated with slower growth in out-of-pocket fees and, for Aboriginal and Torres Strait Islander families, greater affordability.</w:t>
            </w:r>
          </w:p>
          <w:p w14:paraId="0295A4E4" w14:textId="5B029CD8" w:rsidR="001C462D" w:rsidRPr="00A35EC2" w:rsidRDefault="001C462D" w:rsidP="00A35EC2">
            <w:pPr>
              <w:pStyle w:val="ListBullet"/>
              <w:rPr>
                <w:sz w:val="16"/>
                <w:szCs w:val="16"/>
              </w:rPr>
            </w:pPr>
            <w:r w:rsidRPr="001C462D">
              <w:rPr>
                <w:b/>
                <w:bCs/>
                <w:sz w:val="16"/>
                <w:szCs w:val="16"/>
              </w:rPr>
              <w:t>Finding 4:</w:t>
            </w:r>
            <w:r w:rsidRPr="001C462D">
              <w:rPr>
                <w:sz w:val="16"/>
                <w:szCs w:val="16"/>
              </w:rPr>
              <w:t xml:space="preserve"> The evidence on the impact of the CCCFR grant on child developmental outcomes results</w:t>
            </w:r>
            <w:r w:rsidR="006574C9" w:rsidRPr="00040168">
              <w:rPr>
                <w:sz w:val="16"/>
                <w:szCs w:val="16"/>
              </w:rPr>
              <w:t xml:space="preserve"> is </w:t>
            </w:r>
            <w:r w:rsidRPr="001C462D">
              <w:rPr>
                <w:sz w:val="16"/>
                <w:szCs w:val="16"/>
              </w:rPr>
              <w:t>mixed. Remote areas, and areas with high Aboriginal and Torres Strait Islander populations saw the most consistent improvements in child developmental outcomes compared to other areas. In contrast, the trends were less consistent in regional and metropolitan areas, and areas with relatively lower concentrations of Aboriginal and Torres Strait Islander children.</w:t>
            </w:r>
          </w:p>
          <w:p w14:paraId="71708515" w14:textId="66D0818B" w:rsidR="006574C9" w:rsidRPr="00040168" w:rsidRDefault="00B836A3">
            <w:pPr>
              <w:pStyle w:val="ListBullet"/>
              <w:rPr>
                <w:sz w:val="16"/>
                <w:szCs w:val="16"/>
              </w:rPr>
            </w:pPr>
            <w:r w:rsidRPr="00B836A3">
              <w:rPr>
                <w:b/>
                <w:bCs/>
                <w:sz w:val="16"/>
                <w:szCs w:val="16"/>
              </w:rPr>
              <w:t>Finding 9:</w:t>
            </w:r>
            <w:r w:rsidRPr="00B836A3">
              <w:rPr>
                <w:sz w:val="16"/>
                <w:szCs w:val="16"/>
              </w:rPr>
              <w:t xml:space="preserve"> There is no explicit alignment to Closing the Gap outcomes, targets and priority reforms. The degree of implicit alignment varies. </w:t>
            </w:r>
            <w:r w:rsidR="006574C9" w:rsidRPr="00040168">
              <w:rPr>
                <w:sz w:val="16"/>
                <w:szCs w:val="16"/>
              </w:rPr>
              <w:t xml:space="preserve"> </w:t>
            </w:r>
          </w:p>
          <w:p w14:paraId="1D3DF7E7" w14:textId="08AD0A4B" w:rsidR="006574C9" w:rsidRPr="00040168" w:rsidRDefault="006574C9">
            <w:pPr>
              <w:pStyle w:val="ListBullet"/>
              <w:rPr>
                <w:sz w:val="16"/>
                <w:szCs w:val="16"/>
              </w:rPr>
            </w:pPr>
            <w:r w:rsidRPr="00040168">
              <w:rPr>
                <w:b/>
                <w:sz w:val="16"/>
                <w:szCs w:val="16"/>
              </w:rPr>
              <w:t xml:space="preserve">Finding 10 </w:t>
            </w:r>
            <w:r w:rsidRPr="00040168">
              <w:rPr>
                <w:sz w:val="16"/>
                <w:szCs w:val="16"/>
              </w:rPr>
              <w:t>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w:t>
            </w:r>
          </w:p>
          <w:p w14:paraId="1A046394" w14:textId="394A8609" w:rsidR="00F002B1" w:rsidRPr="00F002B1" w:rsidRDefault="00086E39" w:rsidP="00F002B1">
            <w:pPr>
              <w:pStyle w:val="ListBullet"/>
              <w:rPr>
                <w:sz w:val="16"/>
                <w:szCs w:val="16"/>
              </w:rPr>
            </w:pPr>
            <w:r>
              <w:rPr>
                <w:b/>
                <w:bCs/>
                <w:iCs/>
                <w:sz w:val="16"/>
                <w:szCs w:val="16"/>
              </w:rPr>
              <w:t>F</w:t>
            </w:r>
            <w:r w:rsidR="00F002B1" w:rsidRPr="00F002B1">
              <w:rPr>
                <w:b/>
                <w:bCs/>
                <w:iCs/>
                <w:sz w:val="16"/>
                <w:szCs w:val="16"/>
              </w:rPr>
              <w:t>inding 19:</w:t>
            </w:r>
            <w:r w:rsidR="00F002B1" w:rsidRPr="00F002B1">
              <w:rPr>
                <w:sz w:val="16"/>
                <w:szCs w:val="16"/>
              </w:rPr>
              <w:t xml:space="preserve"> CCCFR grant funding is not intentionally responsive or adaptive to the current or evolving needs of community; it is largely a function of historical factors. </w:t>
            </w:r>
          </w:p>
          <w:p w14:paraId="0042E5A2" w14:textId="2CFE082B" w:rsidR="006574C9" w:rsidRDefault="00EF70F0">
            <w:pPr>
              <w:pStyle w:val="ListBullet"/>
            </w:pPr>
            <w:r w:rsidRPr="00EF70F0">
              <w:rPr>
                <w:b/>
                <w:bCs/>
                <w:sz w:val="16"/>
                <w:szCs w:val="16"/>
              </w:rPr>
              <w:t>Finding 29:</w:t>
            </w:r>
            <w:r w:rsidRPr="00EF70F0">
              <w:rPr>
                <w:sz w:val="16"/>
                <w:szCs w:val="16"/>
              </w:rPr>
              <w:t xml:space="preserve"> While there is mixed evidence within current research, CCCFR services may face broader, systemic barriers to achieving the National Quality Standard (NQS) and broader requirements under the National Law and Regulations (NQF).</w:t>
            </w:r>
            <w:r w:rsidRPr="00EF70F0">
              <w:rPr>
                <w:sz w:val="16"/>
                <w:szCs w:val="16"/>
                <w:highlight w:val="yellow"/>
              </w:rPr>
              <w:t xml:space="preserve"> </w:t>
            </w:r>
          </w:p>
        </w:tc>
      </w:tr>
    </w:tbl>
    <w:p w14:paraId="3187D726" w14:textId="77777777" w:rsidR="006574C9" w:rsidRPr="001959C0" w:rsidRDefault="006574C9" w:rsidP="001959C0">
      <w:pPr>
        <w:spacing w:before="240" w:after="120"/>
        <w:rPr>
          <w:b/>
          <w:bCs/>
          <w:color w:val="007CB0"/>
          <w:sz w:val="22"/>
          <w:szCs w:val="22"/>
        </w:rPr>
      </w:pPr>
      <w:r w:rsidRPr="001959C0">
        <w:rPr>
          <w:b/>
          <w:bCs/>
          <w:color w:val="007CB0"/>
          <w:sz w:val="22"/>
          <w:szCs w:val="22"/>
        </w:rPr>
        <w:t>Refining the current CCCFR grant to maximise its potential within the current policy environment</w:t>
      </w:r>
    </w:p>
    <w:p w14:paraId="4355902A" w14:textId="5226A479" w:rsidR="006574C9" w:rsidRPr="00747B61" w:rsidRDefault="006574C9" w:rsidP="006574C9">
      <w:pPr>
        <w:spacing w:before="240" w:after="120"/>
      </w:pPr>
      <w:r w:rsidRPr="00747B61">
        <w:t xml:space="preserve">In the event that changes arising from the current policy review processes do not see the mainstream policy environment modified in ways that </w:t>
      </w:r>
      <w:r w:rsidR="00572294">
        <w:t xml:space="preserve">adequately </w:t>
      </w:r>
      <w:r w:rsidRPr="00747B61">
        <w:t xml:space="preserve">meet the conditions required to transition all </w:t>
      </w:r>
      <w:r w:rsidRPr="00196FD0">
        <w:t xml:space="preserve">CCCFR </w:t>
      </w:r>
      <w:r w:rsidRPr="00747B61">
        <w:t xml:space="preserve">services away from a grant environment, the CCCFR grant should be strengthened and improved in order to better meet the needs of </w:t>
      </w:r>
      <w:r w:rsidRPr="00196FD0">
        <w:t xml:space="preserve">CCCFR </w:t>
      </w:r>
      <w:r w:rsidRPr="00747B61">
        <w:t>services, children and communities</w:t>
      </w:r>
      <w:r w:rsidR="00CA4C26">
        <w:t xml:space="preserve"> within the objectives of the grant</w:t>
      </w:r>
      <w:r w:rsidRPr="00747B61">
        <w:t>.</w:t>
      </w:r>
      <w:r>
        <w:t xml:space="preserve"> </w:t>
      </w:r>
      <w:r w:rsidRPr="00747B61">
        <w:t>These changes are set out under recommendations 5-</w:t>
      </w:r>
      <w:r>
        <w:t>19</w:t>
      </w:r>
      <w:r w:rsidRPr="00747B61">
        <w:t>.</w:t>
      </w:r>
      <w:r>
        <w:t xml:space="preserve"> </w:t>
      </w:r>
    </w:p>
    <w:p w14:paraId="44888069" w14:textId="77777777" w:rsidR="006574C9" w:rsidRPr="00747B61" w:rsidRDefault="006574C9" w:rsidP="006574C9">
      <w:pPr>
        <w:pStyle w:val="Recommendations"/>
        <w:rPr>
          <w:b w:val="0"/>
        </w:rPr>
      </w:pPr>
      <w:r w:rsidRPr="00747B61">
        <w:t xml:space="preserve">Recommendation </w:t>
      </w:r>
      <w:r w:rsidRPr="00747B61">
        <w:rPr>
          <w:b w:val="0"/>
        </w:rPr>
        <w:t>5: The objectives of the CCCFR grant should be revised to align with the priorities of contemporary government policy, including greater alignment to the Closing the Gap priority reforms and targets.</w:t>
      </w:r>
    </w:p>
    <w:p w14:paraId="43B31E3A" w14:textId="77777777" w:rsidR="006574C9" w:rsidRPr="00747B61" w:rsidRDefault="006574C9" w:rsidP="006574C9">
      <w:pPr>
        <w:pStyle w:val="ListBullet"/>
      </w:pPr>
      <w:r>
        <w:t>The revised objectives should:</w:t>
      </w:r>
    </w:p>
    <w:p w14:paraId="499B67FE" w14:textId="77777777" w:rsidR="006574C9" w:rsidRPr="00747B61" w:rsidRDefault="006574C9" w:rsidP="006574C9">
      <w:pPr>
        <w:pStyle w:val="ListBullet2"/>
      </w:pPr>
      <w:r w:rsidRPr="00747B61">
        <w:t>consider prioritising child development outcomes, with workforce participation an additional benefit in appropriate contexts</w:t>
      </w:r>
    </w:p>
    <w:p w14:paraId="69F15BB4" w14:textId="77777777" w:rsidR="006574C9" w:rsidRPr="00747B61" w:rsidRDefault="006574C9" w:rsidP="006574C9">
      <w:pPr>
        <w:pStyle w:val="ListBullet2"/>
      </w:pPr>
      <w:r w:rsidRPr="00747B61">
        <w:t>position the grant as an additive and harmonious component of the national ECEC policy landscape</w:t>
      </w:r>
    </w:p>
    <w:p w14:paraId="6B57FFD3" w14:textId="77777777" w:rsidR="006574C9" w:rsidRPr="00747B61" w:rsidRDefault="006574C9" w:rsidP="006574C9">
      <w:pPr>
        <w:pStyle w:val="ListBullet2"/>
      </w:pPr>
      <w:r w:rsidRPr="00747B61">
        <w:lastRenderedPageBreak/>
        <w:t>explicitly consider and, where possible, define cohorts who should be a priority for the grant, including those who may face barriers to participating in mainstream ECEC</w:t>
      </w:r>
      <w:r w:rsidRPr="00747B61">
        <w:rPr>
          <w:vertAlign w:val="superscript"/>
        </w:rPr>
        <w:footnoteReference w:id="17"/>
      </w:r>
      <w:r w:rsidRPr="00747B61">
        <w:t xml:space="preserve"> </w:t>
      </w:r>
    </w:p>
    <w:p w14:paraId="29FE3006" w14:textId="77777777" w:rsidR="006574C9" w:rsidRPr="00747B61" w:rsidRDefault="006574C9" w:rsidP="006574C9">
      <w:pPr>
        <w:pStyle w:val="ListBullet2"/>
      </w:pPr>
      <w:r w:rsidRPr="00747B61">
        <w:t xml:space="preserve">support progress on Closing the Gap targets where </w:t>
      </w:r>
      <w:r w:rsidRPr="00C44A85">
        <w:t xml:space="preserve">CCCFR </w:t>
      </w:r>
      <w:r w:rsidRPr="00747B61">
        <w:t>services are being delivered to Aboriginal and Torres Strait Islander children</w:t>
      </w:r>
    </w:p>
    <w:p w14:paraId="17851F16" w14:textId="77777777" w:rsidR="006574C9" w:rsidRPr="00747B61" w:rsidRDefault="006574C9" w:rsidP="006574C9">
      <w:pPr>
        <w:pStyle w:val="ListBullet2"/>
      </w:pPr>
      <w:r w:rsidRPr="00747B61">
        <w:t>align to principles of Closing the Gap priority reforms, including principles of self-determination through shared decision making, building the community</w:t>
      </w:r>
      <w:r>
        <w:t>-</w:t>
      </w:r>
      <w:r w:rsidRPr="00747B61">
        <w:t>controlled sector and access to data and information</w:t>
      </w:r>
    </w:p>
    <w:p w14:paraId="69065EB7" w14:textId="77777777" w:rsidR="006574C9" w:rsidRPr="00747B61" w:rsidRDefault="006574C9" w:rsidP="006574C9">
      <w:pPr>
        <w:pStyle w:val="ListBullet2"/>
      </w:pPr>
      <w:r w:rsidRPr="00747B61">
        <w:t>be defined with sufficient clarity that they can form a point of reference for the other design features of the grant</w:t>
      </w:r>
    </w:p>
    <w:p w14:paraId="346C7683" w14:textId="77777777" w:rsidR="006574C9" w:rsidRPr="00747B61" w:rsidRDefault="006574C9" w:rsidP="006574C9">
      <w:pPr>
        <w:pStyle w:val="ListBullet2"/>
      </w:pPr>
      <w:r w:rsidRPr="00747B61">
        <w:t>be accompanied by written guidance – definitions and explanations – for terms used in the objectives, including the defined cohorts.</w:t>
      </w:r>
    </w:p>
    <w:p w14:paraId="400B45DF" w14:textId="77777777" w:rsidR="006574C9" w:rsidRPr="00747B61" w:rsidRDefault="006574C9" w:rsidP="006574C9">
      <w:pPr>
        <w:pStyle w:val="ListBullet2"/>
        <w:numPr>
          <w:ilvl w:val="0"/>
          <w:numId w:val="0"/>
        </w:numPr>
        <w:ind w:left="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710C04C6"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0B846464" w14:textId="20947D29" w:rsidR="006574C9" w:rsidRPr="00964087" w:rsidRDefault="006574C9">
            <w:pPr>
              <w:pStyle w:val="ListBullet"/>
              <w:numPr>
                <w:ilvl w:val="0"/>
                <w:numId w:val="0"/>
              </w:numPr>
              <w:rPr>
                <w:b/>
                <w:bCs/>
                <w:color w:val="FFFFFF" w:themeColor="background1"/>
              </w:rPr>
            </w:pPr>
            <w:r w:rsidRPr="00414DDD">
              <w:rPr>
                <w:b/>
                <w:bCs/>
              </w:rPr>
              <w:t xml:space="preserve">Findings </w:t>
            </w:r>
            <w:r w:rsidR="00F74EB9">
              <w:rPr>
                <w:b/>
                <w:bCs/>
              </w:rPr>
              <w:t>relating to</w:t>
            </w:r>
            <w:r w:rsidRPr="00414DDD">
              <w:rPr>
                <w:b/>
                <w:bCs/>
              </w:rPr>
              <w:t xml:space="preserve"> Recommendation 5</w:t>
            </w:r>
          </w:p>
        </w:tc>
      </w:tr>
      <w:tr w:rsidR="006574C9" w14:paraId="5C3841C8" w14:textId="77777777">
        <w:tc>
          <w:tcPr>
            <w:tcW w:w="9026" w:type="dxa"/>
          </w:tcPr>
          <w:p w14:paraId="07137E0B" w14:textId="3EA243CB" w:rsidR="00A65D47" w:rsidRPr="00A65D47" w:rsidRDefault="00A65D47" w:rsidP="008544FB">
            <w:pPr>
              <w:pStyle w:val="ListBullet"/>
              <w:rPr>
                <w:sz w:val="16"/>
                <w:szCs w:val="16"/>
              </w:rPr>
            </w:pPr>
            <w:r w:rsidRPr="00A65D47">
              <w:rPr>
                <w:b/>
                <w:bCs/>
                <w:sz w:val="16"/>
                <w:szCs w:val="16"/>
              </w:rPr>
              <w:t>Finding 6:</w:t>
            </w:r>
            <w:r w:rsidRPr="00A65D47">
              <w:rPr>
                <w:sz w:val="16"/>
                <w:szCs w:val="16"/>
              </w:rPr>
              <w:t xml:space="preserve"> Relevant stakeholders have limited understanding of the stated objectives of the CCCFR grant, due to lack of clarity around the grant’s intention. This has affected the ability to communicate the grant’s objectives effectively.</w:t>
            </w:r>
          </w:p>
          <w:p w14:paraId="60611A39" w14:textId="54ACDFD3" w:rsidR="008544FB" w:rsidRPr="008544FB" w:rsidRDefault="008544FB" w:rsidP="008544FB">
            <w:pPr>
              <w:pStyle w:val="ListBullet"/>
              <w:rPr>
                <w:sz w:val="16"/>
                <w:szCs w:val="16"/>
              </w:rPr>
            </w:pPr>
            <w:r w:rsidRPr="008544FB">
              <w:rPr>
                <w:b/>
                <w:bCs/>
                <w:sz w:val="16"/>
                <w:szCs w:val="16"/>
              </w:rPr>
              <w:t>Finding 7:</w:t>
            </w:r>
            <w:r w:rsidRPr="008544FB">
              <w:rPr>
                <w:sz w:val="16"/>
                <w:szCs w:val="16"/>
              </w:rPr>
              <w:t xml:space="preserve"> The terms ‘vulnerability and disadvantage’ are not well understood across a range of stakeholders, and there is no consistent definition. The terms are often not used by CCCFR services as they can have a deficit framing that stigmatises individuals, family and whole community. </w:t>
            </w:r>
          </w:p>
          <w:p w14:paraId="62569D35" w14:textId="144B6F9A" w:rsidR="008544FB" w:rsidRPr="008544FB" w:rsidRDefault="008544FB" w:rsidP="008544FB">
            <w:pPr>
              <w:pStyle w:val="ListBullet"/>
              <w:rPr>
                <w:sz w:val="16"/>
                <w:szCs w:val="16"/>
              </w:rPr>
            </w:pPr>
            <w:r w:rsidRPr="008544FB">
              <w:rPr>
                <w:b/>
                <w:bCs/>
                <w:sz w:val="16"/>
                <w:szCs w:val="16"/>
              </w:rPr>
              <w:t>Finding 8</w:t>
            </w:r>
            <w:r w:rsidRPr="008544FB">
              <w:rPr>
                <w:sz w:val="16"/>
                <w:szCs w:val="16"/>
              </w:rPr>
              <w:t>: A shifting policy landscape is creating uncertainty and potential divergences between the objectives and intent of the CCCFR grant and contemporary policy directions.</w:t>
            </w:r>
          </w:p>
          <w:p w14:paraId="17AEEFE2" w14:textId="2FD9F789" w:rsidR="008544FB" w:rsidRPr="008544FB" w:rsidRDefault="008544FB" w:rsidP="008544FB">
            <w:pPr>
              <w:pStyle w:val="ListBullet"/>
              <w:rPr>
                <w:sz w:val="16"/>
                <w:szCs w:val="16"/>
              </w:rPr>
            </w:pPr>
            <w:r w:rsidRPr="008544FB">
              <w:rPr>
                <w:b/>
                <w:bCs/>
                <w:sz w:val="16"/>
                <w:szCs w:val="16"/>
              </w:rPr>
              <w:t>Finding 9:</w:t>
            </w:r>
            <w:r w:rsidRPr="008544FB">
              <w:rPr>
                <w:sz w:val="16"/>
                <w:szCs w:val="16"/>
              </w:rPr>
              <w:t xml:space="preserve"> There is no explicit alignment to Closing the Gap outcomes, targets and priority reforms. The degree of implicit alignment varies.  </w:t>
            </w:r>
          </w:p>
          <w:p w14:paraId="6D580044" w14:textId="12BDD55C" w:rsidR="006574C9" w:rsidRPr="00040168" w:rsidRDefault="006574C9">
            <w:pPr>
              <w:pStyle w:val="ListBullet"/>
              <w:rPr>
                <w:sz w:val="16"/>
                <w:szCs w:val="16"/>
              </w:rPr>
            </w:pPr>
            <w:r w:rsidRPr="00040168">
              <w:rPr>
                <w:b/>
                <w:sz w:val="16"/>
                <w:szCs w:val="16"/>
              </w:rPr>
              <w:t>Finding 11:</w:t>
            </w:r>
            <w:r w:rsidRPr="00040168">
              <w:rPr>
                <w:sz w:val="16"/>
                <w:szCs w:val="16"/>
              </w:rPr>
              <w:t xml:space="preserve"> Service, family and community views towards the stated CCCFR objectives vary, with strong support for the objectives of improving early childhood development outcomes, but more mixed views toward the objective of increasing workforce participation.</w:t>
            </w:r>
          </w:p>
          <w:p w14:paraId="535E1AD5" w14:textId="7D836E24" w:rsidR="006574C9" w:rsidRPr="009D5146" w:rsidRDefault="006574C9">
            <w:pPr>
              <w:pStyle w:val="ListBullet"/>
              <w:rPr>
                <w:sz w:val="16"/>
                <w:szCs w:val="16"/>
              </w:rPr>
            </w:pPr>
            <w:r w:rsidRPr="00040168">
              <w:rPr>
                <w:b/>
                <w:sz w:val="16"/>
                <w:szCs w:val="16"/>
              </w:rPr>
              <w:t>Finding 12:</w:t>
            </w:r>
            <w:r w:rsidRPr="00040168">
              <w:rPr>
                <w:sz w:val="16"/>
                <w:szCs w:val="16"/>
              </w:rPr>
              <w:t xml:space="preserve"> There are community, family, and child needs and expectations for many CCCFR services which go beyond mainstream needs of child care. CCCFR services often try to fulfil these needs.</w:t>
            </w:r>
          </w:p>
        </w:tc>
      </w:tr>
    </w:tbl>
    <w:p w14:paraId="02E3E172" w14:textId="77777777" w:rsidR="006574C9" w:rsidRPr="00411FCC" w:rsidRDefault="006574C9" w:rsidP="00A522AC">
      <w:pPr>
        <w:spacing w:before="170"/>
        <w:rPr>
          <w:rFonts w:eastAsia="Calibri" w:cs="Times New Roman"/>
          <w:b/>
          <w:color w:val="26890D"/>
        </w:rPr>
      </w:pPr>
      <w:r w:rsidRPr="00411FCC">
        <w:rPr>
          <w:rFonts w:eastAsia="Calibri" w:cs="Times New Roman"/>
          <w:b/>
          <w:color w:val="26890D"/>
        </w:rPr>
        <w:t xml:space="preserve">Recommendation </w:t>
      </w:r>
      <w:r w:rsidRPr="00411FCC">
        <w:rPr>
          <w:rFonts w:eastAsia="Calibri" w:cs="Times New Roman"/>
          <w:color w:val="26890D"/>
        </w:rPr>
        <w:t>6: The revised objectives should be accessible, easily understood and widely disseminated, including to families and communities.</w:t>
      </w:r>
      <w:r w:rsidRPr="00411FCC">
        <w:rPr>
          <w:rFonts w:eastAsia="Calibri" w:cs="Times New Roman"/>
          <w:b/>
          <w:color w:val="26890D"/>
        </w:rPr>
        <w:t xml:space="preserve"> </w:t>
      </w:r>
    </w:p>
    <w:p w14:paraId="7B4C79E6" w14:textId="77777777" w:rsidR="006574C9" w:rsidRPr="00747B61" w:rsidRDefault="006574C9" w:rsidP="006574C9">
      <w:pPr>
        <w:pStyle w:val="ListBullet"/>
      </w:pPr>
      <w:r>
        <w:t xml:space="preserve">This should include a detailed communications plan, backed by dedicated funding and designed in partnership with relevant peak bodies, services and community leaders which considers the needs and communication preferences of defined cohorts. </w:t>
      </w:r>
    </w:p>
    <w:p w14:paraId="3FED6232" w14:textId="77777777" w:rsidR="006574C9" w:rsidRDefault="006574C9" w:rsidP="006574C9">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05F530C8"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10DCE977" w14:textId="1292E76F" w:rsidR="006574C9" w:rsidRPr="00964087" w:rsidRDefault="006574C9">
            <w:pPr>
              <w:pStyle w:val="ListBullet"/>
              <w:numPr>
                <w:ilvl w:val="0"/>
                <w:numId w:val="0"/>
              </w:numPr>
              <w:rPr>
                <w:b/>
                <w:bCs/>
                <w:color w:val="FFFFFF" w:themeColor="background1"/>
              </w:rPr>
            </w:pPr>
            <w:r w:rsidRPr="00414DDD">
              <w:rPr>
                <w:b/>
                <w:bCs/>
              </w:rPr>
              <w:t xml:space="preserve">Findings </w:t>
            </w:r>
            <w:r w:rsidR="00F74EB9">
              <w:rPr>
                <w:b/>
                <w:bCs/>
              </w:rPr>
              <w:t>relating to</w:t>
            </w:r>
            <w:r w:rsidRPr="00414DDD">
              <w:rPr>
                <w:b/>
                <w:bCs/>
              </w:rPr>
              <w:t xml:space="preserve"> Recommendation 6</w:t>
            </w:r>
          </w:p>
        </w:tc>
      </w:tr>
      <w:tr w:rsidR="006574C9" w14:paraId="0D4EE8BD" w14:textId="77777777">
        <w:tc>
          <w:tcPr>
            <w:tcW w:w="9026" w:type="dxa"/>
          </w:tcPr>
          <w:p w14:paraId="68EBA9F9" w14:textId="33E4A926" w:rsidR="00A65D47" w:rsidRDefault="00A65D47" w:rsidP="00AA6FF2">
            <w:pPr>
              <w:pStyle w:val="ListBullet"/>
              <w:rPr>
                <w:color w:val="000000" w:themeColor="text1"/>
                <w:sz w:val="16"/>
                <w:szCs w:val="16"/>
              </w:rPr>
            </w:pPr>
            <w:r w:rsidRPr="00A65D47">
              <w:rPr>
                <w:b/>
                <w:bCs/>
                <w:color w:val="000000" w:themeColor="text1"/>
                <w:sz w:val="16"/>
                <w:szCs w:val="16"/>
              </w:rPr>
              <w:t>Finding 6</w:t>
            </w:r>
            <w:r w:rsidRPr="00A65D47">
              <w:rPr>
                <w:color w:val="000000" w:themeColor="text1"/>
                <w:sz w:val="16"/>
                <w:szCs w:val="16"/>
              </w:rPr>
              <w:t>: Relevant stakeholders have limited understanding of the stated objectives of the CCCFR grant, due to lack of clarity around the grant’s intention. This has affected the ability to communicate the grant’s objectives effectively</w:t>
            </w:r>
            <w:r>
              <w:rPr>
                <w:color w:val="000000" w:themeColor="text1"/>
                <w:sz w:val="16"/>
                <w:szCs w:val="16"/>
              </w:rPr>
              <w:t>.</w:t>
            </w:r>
          </w:p>
          <w:p w14:paraId="7E41A588" w14:textId="302DD25B" w:rsidR="009546C7" w:rsidRPr="00AA6FF2" w:rsidRDefault="009546C7" w:rsidP="00AA6FF2">
            <w:pPr>
              <w:pStyle w:val="ListBullet"/>
              <w:rPr>
                <w:color w:val="000000" w:themeColor="text1"/>
                <w:sz w:val="16"/>
                <w:szCs w:val="16"/>
              </w:rPr>
            </w:pPr>
            <w:r w:rsidRPr="009546C7">
              <w:rPr>
                <w:b/>
                <w:bCs/>
                <w:color w:val="000000" w:themeColor="text1"/>
                <w:sz w:val="16"/>
                <w:szCs w:val="16"/>
              </w:rPr>
              <w:t>Finding 7:</w:t>
            </w:r>
            <w:r w:rsidRPr="009546C7">
              <w:rPr>
                <w:color w:val="000000" w:themeColor="text1"/>
                <w:sz w:val="16"/>
                <w:szCs w:val="16"/>
              </w:rPr>
              <w:t xml:space="preserve"> The terms ‘vulnerability and disadvantage’ are not well understood across a range of stakeholders, and there is no consistent definition. The terms are often not used by CCCFR services as they can have a deficit framing that stigmatises individuals, family and whole community. </w:t>
            </w:r>
          </w:p>
          <w:p w14:paraId="3730593A" w14:textId="77777777" w:rsidR="006574C9" w:rsidRDefault="006574C9">
            <w:pPr>
              <w:pStyle w:val="ListBullet"/>
              <w:rPr>
                <w:color w:val="000000" w:themeColor="text1"/>
                <w:sz w:val="16"/>
                <w:szCs w:val="16"/>
              </w:rPr>
            </w:pPr>
            <w:r w:rsidRPr="00AA6FF2">
              <w:rPr>
                <w:b/>
                <w:color w:val="000000" w:themeColor="text1"/>
                <w:sz w:val="16"/>
                <w:szCs w:val="16"/>
              </w:rPr>
              <w:t>Finding 11:</w:t>
            </w:r>
            <w:r w:rsidRPr="00AA6FF2">
              <w:rPr>
                <w:color w:val="000000" w:themeColor="text1"/>
                <w:sz w:val="16"/>
                <w:szCs w:val="16"/>
              </w:rPr>
              <w:t xml:space="preserve"> Service, family and community views towards the stated CCCFR objectives vary, with strong support for the objectives of improving early childhood development outcomes, but more mixed views toward the objective of increasing workforce participation.  </w:t>
            </w:r>
          </w:p>
          <w:p w14:paraId="3BC4F099" w14:textId="1BAB8C9A" w:rsidR="006574C9" w:rsidRPr="00AA6FF2" w:rsidRDefault="003A3E78" w:rsidP="003A3E78">
            <w:pPr>
              <w:pStyle w:val="ListBullet"/>
              <w:numPr>
                <w:ilvl w:val="0"/>
                <w:numId w:val="0"/>
              </w:numPr>
              <w:rPr>
                <w:color w:val="000000" w:themeColor="text1"/>
                <w:sz w:val="16"/>
                <w:szCs w:val="16"/>
              </w:rPr>
            </w:pPr>
            <w:r w:rsidRPr="003A3E78">
              <w:rPr>
                <w:i/>
                <w:iCs/>
                <w:color w:val="000000" w:themeColor="text1"/>
                <w:sz w:val="16"/>
                <w:szCs w:val="16"/>
              </w:rPr>
              <w:t xml:space="preserve">This recommendation is also underpinned by considerations in Chapter </w:t>
            </w:r>
            <w:r w:rsidRPr="003A3E78">
              <w:rPr>
                <w:i/>
                <w:iCs/>
                <w:color w:val="000000" w:themeColor="text1"/>
                <w:sz w:val="16"/>
                <w:szCs w:val="16"/>
              </w:rPr>
              <w:fldChar w:fldCharType="begin"/>
            </w:r>
            <w:r w:rsidRPr="003A3E78">
              <w:rPr>
                <w:i/>
                <w:iCs/>
                <w:color w:val="000000" w:themeColor="text1"/>
                <w:sz w:val="16"/>
                <w:szCs w:val="16"/>
              </w:rPr>
              <w:instrText xml:space="preserve"> REF _Ref166822874 \r \h  \* MERGEFORMAT </w:instrText>
            </w:r>
            <w:r w:rsidRPr="003A3E78">
              <w:rPr>
                <w:i/>
                <w:iCs/>
                <w:color w:val="000000" w:themeColor="text1"/>
                <w:sz w:val="16"/>
                <w:szCs w:val="16"/>
              </w:rPr>
            </w:r>
            <w:r w:rsidRPr="003A3E78">
              <w:rPr>
                <w:i/>
                <w:iCs/>
                <w:color w:val="000000" w:themeColor="text1"/>
                <w:sz w:val="16"/>
                <w:szCs w:val="16"/>
              </w:rPr>
              <w:fldChar w:fldCharType="separate"/>
            </w:r>
            <w:r w:rsidR="00D300D0">
              <w:rPr>
                <w:i/>
                <w:iCs/>
                <w:color w:val="000000" w:themeColor="text1"/>
                <w:sz w:val="16"/>
                <w:szCs w:val="16"/>
              </w:rPr>
              <w:t>0</w:t>
            </w:r>
            <w:r w:rsidRPr="003A3E78">
              <w:rPr>
                <w:color w:val="000000" w:themeColor="text1"/>
                <w:sz w:val="16"/>
                <w:szCs w:val="16"/>
              </w:rPr>
              <w:fldChar w:fldCharType="end"/>
            </w:r>
            <w:r w:rsidRPr="003A3E78">
              <w:rPr>
                <w:i/>
                <w:iCs/>
                <w:color w:val="000000" w:themeColor="text1"/>
                <w:sz w:val="16"/>
                <w:szCs w:val="16"/>
              </w:rPr>
              <w:t>.</w:t>
            </w:r>
          </w:p>
        </w:tc>
      </w:tr>
    </w:tbl>
    <w:p w14:paraId="73B3DD8B" w14:textId="77777777" w:rsidR="006574C9" w:rsidRPr="00411FCC" w:rsidRDefault="006574C9" w:rsidP="006574C9">
      <w:pPr>
        <w:spacing w:after="0"/>
        <w:rPr>
          <w:rFonts w:eastAsia="Calibri" w:cs="Times New Roman"/>
          <w:b/>
          <w:color w:val="26890D"/>
        </w:rPr>
      </w:pPr>
    </w:p>
    <w:p w14:paraId="56471A53" w14:textId="77777777" w:rsidR="006574C9" w:rsidRPr="00411FCC" w:rsidRDefault="006574C9" w:rsidP="006574C9">
      <w:pPr>
        <w:rPr>
          <w:rFonts w:eastAsia="Calibri" w:cs="Times New Roman"/>
          <w:b/>
          <w:color w:val="26890D"/>
        </w:rPr>
      </w:pPr>
      <w:r w:rsidRPr="00411FCC">
        <w:rPr>
          <w:rFonts w:eastAsia="Calibri" w:cs="Times New Roman"/>
          <w:b/>
          <w:color w:val="26890D"/>
        </w:rPr>
        <w:lastRenderedPageBreak/>
        <w:t xml:space="preserve">Recommendation </w:t>
      </w:r>
      <w:r w:rsidRPr="00411FCC">
        <w:rPr>
          <w:rFonts w:eastAsia="Calibri" w:cs="Times New Roman"/>
          <w:color w:val="26890D"/>
        </w:rPr>
        <w:t>7: The revised objectives should be utilised as the basis for a program logic that sets out the expected relationships between the inputs and resources of the grant and the intended outcomes leading to the objectives.</w:t>
      </w:r>
    </w:p>
    <w:p w14:paraId="00C9D3AC" w14:textId="77777777" w:rsidR="006574C9" w:rsidRPr="00747B61" w:rsidRDefault="006574C9" w:rsidP="006574C9">
      <w:pPr>
        <w:pStyle w:val="ListBullet"/>
      </w:pPr>
      <w:r>
        <w:t xml:space="preserve">The program logic should be developed through a co-design process involving Program Officers, relevant peak bodies, and representatives from services/providers. </w:t>
      </w:r>
    </w:p>
    <w:p w14:paraId="59CA2814" w14:textId="77777777" w:rsidR="006574C9" w:rsidRPr="00747B61" w:rsidRDefault="006574C9" w:rsidP="006574C9">
      <w:pPr>
        <w:pStyle w:val="ListBullet"/>
      </w:pPr>
      <w:r>
        <w:t>The grant needs to have more deliberate and explicit documentation and architecture to support the pursuit of the grant objectives.</w:t>
      </w:r>
    </w:p>
    <w:p w14:paraId="3B7062C1" w14:textId="77777777" w:rsidR="006574C9" w:rsidRPr="00747B61" w:rsidRDefault="006574C9" w:rsidP="006574C9">
      <w:pPr>
        <w:pStyle w:val="ListBullet"/>
      </w:pPr>
      <w:r>
        <w:t>Clear articulation of how the design of the grant is able to meet the objectives set to the defined cohort(s), is key to creating this distinction.</w:t>
      </w:r>
    </w:p>
    <w:p w14:paraId="61896319" w14:textId="77777777" w:rsidR="006574C9" w:rsidRPr="00747B61" w:rsidRDefault="006574C9" w:rsidP="006574C9">
      <w:pPr>
        <w:pStyle w:val="ListBullet"/>
      </w:pPr>
      <w:r>
        <w:t>The design of the CCCFR grant can draw on the logic and set up used in similar grants/programs nationally and abroad.</w:t>
      </w:r>
    </w:p>
    <w:p w14:paraId="6EAB9FE1" w14:textId="77777777" w:rsidR="006574C9" w:rsidRPr="00747B61" w:rsidRDefault="006574C9" w:rsidP="006574C9">
      <w:pPr>
        <w:spacing w:after="0"/>
        <w:rPr>
          <w:b/>
          <w:bCs/>
          <w:highlight w:val="yellow"/>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2173E3F6"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492166DC" w14:textId="1B62451B" w:rsidR="006574C9" w:rsidRPr="00964087" w:rsidRDefault="006574C9">
            <w:pPr>
              <w:pStyle w:val="ListBullet"/>
              <w:numPr>
                <w:ilvl w:val="0"/>
                <w:numId w:val="0"/>
              </w:numPr>
              <w:rPr>
                <w:b/>
                <w:bCs/>
                <w:color w:val="FFFFFF" w:themeColor="background1"/>
              </w:rPr>
            </w:pPr>
            <w:r w:rsidRPr="00414DDD">
              <w:rPr>
                <w:b/>
                <w:bCs/>
              </w:rPr>
              <w:t xml:space="preserve">Findings </w:t>
            </w:r>
            <w:r w:rsidR="00F74EB9">
              <w:rPr>
                <w:b/>
                <w:bCs/>
              </w:rPr>
              <w:t>relating to</w:t>
            </w:r>
            <w:r w:rsidRPr="00414DDD">
              <w:rPr>
                <w:b/>
                <w:bCs/>
              </w:rPr>
              <w:t xml:space="preserve"> Recommendation 7</w:t>
            </w:r>
          </w:p>
        </w:tc>
      </w:tr>
      <w:tr w:rsidR="006574C9" w14:paraId="2A17AB24" w14:textId="77777777">
        <w:tc>
          <w:tcPr>
            <w:tcW w:w="9026" w:type="dxa"/>
          </w:tcPr>
          <w:p w14:paraId="0D4C07B7" w14:textId="77777777" w:rsidR="00E025F2" w:rsidRDefault="00CA6ACB" w:rsidP="00CA6ACB">
            <w:pPr>
              <w:pStyle w:val="ListBullet"/>
              <w:rPr>
                <w:color w:val="000000" w:themeColor="text1"/>
                <w:sz w:val="16"/>
                <w:szCs w:val="16"/>
              </w:rPr>
            </w:pPr>
            <w:r w:rsidRPr="00CA6ACB">
              <w:rPr>
                <w:b/>
                <w:bCs/>
                <w:iCs/>
                <w:color w:val="000000" w:themeColor="text1"/>
                <w:sz w:val="16"/>
                <w:szCs w:val="16"/>
              </w:rPr>
              <w:t>Finding 10:</w:t>
            </w:r>
            <w:r w:rsidRPr="00040168">
              <w:rPr>
                <w:color w:val="000000" w:themeColor="text1"/>
                <w:sz w:val="16"/>
                <w:szCs w:val="16"/>
              </w:rPr>
              <w:t xml:space="preserve"> 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 </w:t>
            </w:r>
          </w:p>
          <w:p w14:paraId="16141D70" w14:textId="568B416E" w:rsidR="00CA6ACB" w:rsidRPr="00040168" w:rsidRDefault="00E025F2" w:rsidP="00CA6ACB">
            <w:pPr>
              <w:pStyle w:val="ListBullet"/>
              <w:rPr>
                <w:color w:val="000000" w:themeColor="text1"/>
                <w:sz w:val="16"/>
                <w:szCs w:val="16"/>
              </w:rPr>
            </w:pPr>
            <w:r w:rsidRPr="00E025F2">
              <w:rPr>
                <w:b/>
                <w:bCs/>
                <w:color w:val="000000" w:themeColor="text1"/>
                <w:sz w:val="16"/>
                <w:szCs w:val="16"/>
              </w:rPr>
              <w:t>Finding</w:t>
            </w:r>
            <w:r w:rsidRPr="00E025F2">
              <w:rPr>
                <w:color w:val="000000" w:themeColor="text1"/>
                <w:sz w:val="16"/>
                <w:szCs w:val="16"/>
              </w:rPr>
              <w:t xml:space="preserve"> </w:t>
            </w:r>
            <w:r w:rsidRPr="00624E34">
              <w:rPr>
                <w:b/>
                <w:bCs/>
                <w:color w:val="000000" w:themeColor="text1"/>
                <w:sz w:val="16"/>
                <w:szCs w:val="16"/>
              </w:rPr>
              <w:t>12</w:t>
            </w:r>
            <w:r w:rsidRPr="00E025F2">
              <w:rPr>
                <w:color w:val="000000" w:themeColor="text1"/>
                <w:sz w:val="16"/>
                <w:szCs w:val="16"/>
              </w:rPr>
              <w:t>: There are community, family, and child needs and expectations for many CCCFR services which go beyond mainstream needs of child care. CCCFR services often try to fulfil these needs.</w:t>
            </w:r>
          </w:p>
          <w:p w14:paraId="4C245D2F" w14:textId="3048AEAF" w:rsidR="006574C9" w:rsidRPr="00040168" w:rsidRDefault="00CA6ACB">
            <w:pPr>
              <w:pStyle w:val="ListBullet"/>
              <w:rPr>
                <w:sz w:val="16"/>
                <w:szCs w:val="16"/>
              </w:rPr>
            </w:pPr>
            <w:r w:rsidRPr="00CA6ACB">
              <w:rPr>
                <w:b/>
                <w:bCs/>
                <w:iCs/>
                <w:sz w:val="16"/>
                <w:szCs w:val="16"/>
              </w:rPr>
              <w:t>F</w:t>
            </w:r>
            <w:r w:rsidR="006574C9" w:rsidRPr="00CA6ACB">
              <w:rPr>
                <w:b/>
                <w:bCs/>
                <w:iCs/>
                <w:sz w:val="16"/>
                <w:szCs w:val="16"/>
              </w:rPr>
              <w:t>inding 15:</w:t>
            </w:r>
            <w:r w:rsidR="006574C9" w:rsidRPr="00040168">
              <w:rPr>
                <w:sz w:val="16"/>
                <w:szCs w:val="16"/>
              </w:rPr>
              <w:t xml:space="preserve"> There was no program logic or other documented grant design identified during the review, which set out the intended relationships between the grant, the activities it is intended to support and the stated objectives. </w:t>
            </w:r>
          </w:p>
        </w:tc>
      </w:tr>
    </w:tbl>
    <w:p w14:paraId="6144233F" w14:textId="77777777" w:rsidR="006574C9" w:rsidRPr="00411FCC" w:rsidRDefault="006574C9" w:rsidP="00A522AC">
      <w:pPr>
        <w:spacing w:before="170" w:after="0"/>
        <w:rPr>
          <w:rFonts w:eastAsia="Calibri" w:cs="Times New Roman"/>
          <w:b/>
          <w:color w:val="26890D"/>
        </w:rPr>
      </w:pPr>
      <w:r w:rsidRPr="00411FCC">
        <w:rPr>
          <w:rFonts w:eastAsia="Calibri" w:cs="Times New Roman"/>
          <w:b/>
          <w:color w:val="26890D"/>
        </w:rPr>
        <w:t xml:space="preserve">Recommendation </w:t>
      </w:r>
      <w:r w:rsidRPr="00411FCC">
        <w:rPr>
          <w:rFonts w:eastAsia="Calibri" w:cs="Times New Roman"/>
          <w:color w:val="26890D"/>
        </w:rPr>
        <w:t>8: Grant guidelines should be refined and adjusted based on the revised objectives and the program logic.</w:t>
      </w:r>
    </w:p>
    <w:p w14:paraId="0E091E20" w14:textId="77777777" w:rsidR="006574C9" w:rsidRPr="00747B61" w:rsidRDefault="006574C9" w:rsidP="006574C9">
      <w:pPr>
        <w:spacing w:after="0"/>
      </w:pPr>
    </w:p>
    <w:p w14:paraId="0ED57D3B" w14:textId="77777777" w:rsidR="006574C9" w:rsidRPr="00747B61" w:rsidRDefault="006574C9" w:rsidP="006574C9">
      <w:pPr>
        <w:pStyle w:val="ListBullet"/>
      </w:pPr>
      <w:r>
        <w:t xml:space="preserve">The grant guidelines should be more explicit about supports that CCCFR services can seek from the grant, including examples where appropriate. </w:t>
      </w:r>
    </w:p>
    <w:p w14:paraId="2F31FE7A" w14:textId="77777777" w:rsidR="006574C9" w:rsidRPr="00747B61" w:rsidRDefault="006574C9" w:rsidP="006574C9">
      <w:pPr>
        <w:pStyle w:val="ListBullet"/>
      </w:pPr>
      <w:r>
        <w:t>The grant guidelines should consider the contexts in which CCCFR services operate.</w:t>
      </w:r>
    </w:p>
    <w:p w14:paraId="2BFC5115" w14:textId="77777777" w:rsidR="006574C9" w:rsidRPr="00747B61" w:rsidRDefault="006574C9" w:rsidP="006574C9">
      <w:pPr>
        <w:spacing w:after="0"/>
        <w:contextualSpacing/>
        <w:rPr>
          <w:szCs w:val="17"/>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0EC833BF"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09BF6667" w14:textId="41B80CCB" w:rsidR="006574C9" w:rsidRPr="00964087" w:rsidRDefault="006574C9">
            <w:pPr>
              <w:pStyle w:val="ListBullet"/>
              <w:numPr>
                <w:ilvl w:val="0"/>
                <w:numId w:val="0"/>
              </w:numPr>
              <w:rPr>
                <w:b/>
                <w:bCs/>
                <w:color w:val="FFFFFF" w:themeColor="background1"/>
              </w:rPr>
            </w:pPr>
            <w:r w:rsidRPr="00414DDD">
              <w:rPr>
                <w:b/>
                <w:bCs/>
              </w:rPr>
              <w:t xml:space="preserve">Findings </w:t>
            </w:r>
            <w:r w:rsidR="00723057">
              <w:rPr>
                <w:b/>
                <w:bCs/>
              </w:rPr>
              <w:t>relating to</w:t>
            </w:r>
            <w:r w:rsidR="00723057" w:rsidRPr="00414DDD" w:rsidDel="00723057">
              <w:rPr>
                <w:b/>
                <w:bCs/>
              </w:rPr>
              <w:t xml:space="preserve"> </w:t>
            </w:r>
            <w:r w:rsidRPr="00414DDD">
              <w:rPr>
                <w:b/>
                <w:bCs/>
              </w:rPr>
              <w:t>Recommendation 8</w:t>
            </w:r>
          </w:p>
        </w:tc>
      </w:tr>
      <w:tr w:rsidR="006574C9" w14:paraId="6D27647A" w14:textId="77777777">
        <w:tc>
          <w:tcPr>
            <w:tcW w:w="9026" w:type="dxa"/>
          </w:tcPr>
          <w:p w14:paraId="4260845B" w14:textId="77777777" w:rsidR="00624E34" w:rsidRPr="00624E34" w:rsidRDefault="00624E34" w:rsidP="00624E34">
            <w:pPr>
              <w:pStyle w:val="ListBullet"/>
              <w:rPr>
                <w:sz w:val="16"/>
                <w:szCs w:val="16"/>
              </w:rPr>
            </w:pPr>
            <w:r w:rsidRPr="00624E34">
              <w:rPr>
                <w:b/>
                <w:bCs/>
                <w:iCs/>
                <w:sz w:val="16"/>
                <w:szCs w:val="16"/>
              </w:rPr>
              <w:t>Finding 10:</w:t>
            </w:r>
            <w:r w:rsidRPr="00624E34">
              <w:rPr>
                <w:sz w:val="16"/>
                <w:szCs w:val="16"/>
              </w:rPr>
              <w:t xml:space="preserve"> 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 </w:t>
            </w:r>
          </w:p>
          <w:p w14:paraId="02CF9451" w14:textId="0BC2759F" w:rsidR="00624E34" w:rsidRPr="00624E34" w:rsidRDefault="00624E34" w:rsidP="00624E34">
            <w:pPr>
              <w:pStyle w:val="ListBullet"/>
              <w:rPr>
                <w:sz w:val="16"/>
                <w:szCs w:val="16"/>
              </w:rPr>
            </w:pPr>
            <w:r w:rsidRPr="00624E34">
              <w:rPr>
                <w:b/>
                <w:bCs/>
                <w:sz w:val="16"/>
                <w:szCs w:val="16"/>
              </w:rPr>
              <w:t>Finding</w:t>
            </w:r>
            <w:r w:rsidRPr="00624E34">
              <w:rPr>
                <w:sz w:val="16"/>
                <w:szCs w:val="16"/>
              </w:rPr>
              <w:t xml:space="preserve"> </w:t>
            </w:r>
            <w:r w:rsidRPr="00624E34">
              <w:rPr>
                <w:b/>
                <w:bCs/>
                <w:sz w:val="16"/>
                <w:szCs w:val="16"/>
              </w:rPr>
              <w:t>12</w:t>
            </w:r>
            <w:r w:rsidRPr="00624E34">
              <w:rPr>
                <w:sz w:val="16"/>
                <w:szCs w:val="16"/>
              </w:rPr>
              <w:t>: There are community, family, and child needs and expectations for many CCCFR services which go beyond mainstream needs of child care. CCCFR services often try to fulfil these needs</w:t>
            </w:r>
          </w:p>
          <w:p w14:paraId="0F6AB986" w14:textId="4D578514" w:rsidR="006574C9" w:rsidRPr="00040168" w:rsidRDefault="00624E34">
            <w:pPr>
              <w:pStyle w:val="ListBullet"/>
              <w:rPr>
                <w:sz w:val="16"/>
                <w:szCs w:val="16"/>
              </w:rPr>
            </w:pPr>
            <w:r w:rsidRPr="00624E34">
              <w:rPr>
                <w:b/>
                <w:bCs/>
                <w:iCs/>
                <w:sz w:val="16"/>
                <w:szCs w:val="16"/>
              </w:rPr>
              <w:t>F</w:t>
            </w:r>
            <w:r w:rsidR="006574C9" w:rsidRPr="00624E34">
              <w:rPr>
                <w:b/>
                <w:bCs/>
                <w:iCs/>
                <w:sz w:val="16"/>
                <w:szCs w:val="16"/>
              </w:rPr>
              <w:t>inding</w:t>
            </w:r>
            <w:r w:rsidR="006574C9" w:rsidRPr="00624E34">
              <w:rPr>
                <w:b/>
                <w:sz w:val="16"/>
                <w:szCs w:val="16"/>
              </w:rPr>
              <w:t xml:space="preserve"> 14:</w:t>
            </w:r>
            <w:r w:rsidR="006574C9" w:rsidRPr="00040168">
              <w:rPr>
                <w:sz w:val="16"/>
                <w:szCs w:val="16"/>
              </w:rPr>
              <w:t xml:space="preserve"> Mechanisms through which the CCCFR grant strives to support workforce participation, beyond supporting the financial viability of child care provision and beyond the mechanisms of the CCS, are not identifiable.</w:t>
            </w:r>
          </w:p>
          <w:p w14:paraId="306D5374" w14:textId="6DCB56A7" w:rsidR="006574C9" w:rsidRDefault="0041393B">
            <w:pPr>
              <w:pStyle w:val="ListBullet"/>
            </w:pPr>
            <w:r w:rsidRPr="0041393B">
              <w:rPr>
                <w:b/>
                <w:bCs/>
                <w:sz w:val="16"/>
                <w:szCs w:val="16"/>
              </w:rPr>
              <w:t>Finding 16:</w:t>
            </w:r>
            <w:r w:rsidRPr="0041393B">
              <w:rPr>
                <w:sz w:val="16"/>
                <w:szCs w:val="16"/>
              </w:rPr>
              <w:t xml:space="preserve"> There are gaps in understanding among CCCFR services (e.g., among Directors of CCCFR services) regarding how and for what purpose the CCCFR grant funding can be spent.</w:t>
            </w:r>
          </w:p>
        </w:tc>
      </w:tr>
    </w:tbl>
    <w:p w14:paraId="5C4CC1ED" w14:textId="77777777" w:rsidR="006574C9" w:rsidRPr="00747B61" w:rsidRDefault="006574C9" w:rsidP="006574C9">
      <w:pPr>
        <w:spacing w:after="0"/>
        <w:contextualSpacing/>
        <w:rPr>
          <w:szCs w:val="17"/>
        </w:rPr>
      </w:pPr>
    </w:p>
    <w:p w14:paraId="07B885A8" w14:textId="77777777" w:rsidR="006574C9" w:rsidRPr="00411FCC" w:rsidRDefault="006574C9" w:rsidP="006574C9">
      <w:pPr>
        <w:spacing w:after="0"/>
        <w:rPr>
          <w:rFonts w:eastAsia="Calibri" w:cs="Times New Roman"/>
          <w:b/>
          <w:color w:val="26890D"/>
        </w:rPr>
      </w:pPr>
      <w:r w:rsidRPr="00411FCC">
        <w:rPr>
          <w:rFonts w:eastAsia="Calibri" w:cs="Times New Roman"/>
          <w:b/>
          <w:color w:val="26890D"/>
        </w:rPr>
        <w:t xml:space="preserve">Recommendation </w:t>
      </w:r>
      <w:r w:rsidRPr="00411FCC">
        <w:rPr>
          <w:rFonts w:eastAsia="Calibri" w:cs="Times New Roman"/>
          <w:color w:val="26890D"/>
        </w:rPr>
        <w:t>9: A data management system should be introduced, covering grant compliance and service performance.</w:t>
      </w:r>
    </w:p>
    <w:p w14:paraId="4CEC285E" w14:textId="77777777" w:rsidR="006574C9" w:rsidRPr="00747B61" w:rsidRDefault="006574C9" w:rsidP="006574C9">
      <w:pPr>
        <w:spacing w:after="0"/>
        <w:ind w:left="1080" w:hanging="360"/>
        <w:contextualSpacing/>
        <w:rPr>
          <w:szCs w:val="17"/>
        </w:rPr>
      </w:pPr>
    </w:p>
    <w:p w14:paraId="0906FAEA" w14:textId="77777777" w:rsidR="00572294" w:rsidRDefault="006574C9" w:rsidP="00171325">
      <w:pPr>
        <w:numPr>
          <w:ilvl w:val="0"/>
          <w:numId w:val="24"/>
        </w:numPr>
        <w:spacing w:after="0"/>
        <w:contextualSpacing/>
        <w:rPr>
          <w:szCs w:val="17"/>
        </w:rPr>
      </w:pPr>
      <w:r w:rsidRPr="00747B61">
        <w:rPr>
          <w:szCs w:val="17"/>
        </w:rPr>
        <w:t xml:space="preserve">Collection should occur via a proven, easy to use platform that can be accessed and used by </w:t>
      </w:r>
      <w:r w:rsidRPr="00B51A52">
        <w:rPr>
          <w:szCs w:val="17"/>
        </w:rPr>
        <w:t xml:space="preserve">CCCFR </w:t>
      </w:r>
      <w:r w:rsidRPr="00747B61">
        <w:rPr>
          <w:szCs w:val="17"/>
        </w:rPr>
        <w:t xml:space="preserve">services in a straightforward and low cost way and which ensure information required for multiple purposes is only required to be reported once. </w:t>
      </w:r>
    </w:p>
    <w:p w14:paraId="1AD569AE" w14:textId="27D35078" w:rsidR="006574C9" w:rsidRPr="00747B61" w:rsidRDefault="006574C9" w:rsidP="00171325">
      <w:pPr>
        <w:numPr>
          <w:ilvl w:val="0"/>
          <w:numId w:val="24"/>
        </w:numPr>
        <w:spacing w:after="0"/>
        <w:contextualSpacing/>
        <w:rPr>
          <w:szCs w:val="17"/>
        </w:rPr>
      </w:pPr>
      <w:r>
        <w:rPr>
          <w:szCs w:val="17"/>
        </w:rPr>
        <w:t>The development of this type of data collection architecture requires further consideration</w:t>
      </w:r>
      <w:r w:rsidR="00572294">
        <w:rPr>
          <w:szCs w:val="17"/>
        </w:rPr>
        <w:t xml:space="preserve"> as part of the Department’s wider data collection strategy</w:t>
      </w:r>
      <w:r>
        <w:rPr>
          <w:szCs w:val="17"/>
        </w:rPr>
        <w:t xml:space="preserve">. </w:t>
      </w:r>
    </w:p>
    <w:p w14:paraId="0843EF49" w14:textId="77777777" w:rsidR="006574C9" w:rsidRPr="00747B61" w:rsidRDefault="006574C9" w:rsidP="006574C9">
      <w:pPr>
        <w:spacing w:after="0"/>
        <w:rPr>
          <w:rFonts w:eastAsia="Calibri" w:cs="Times New Roman"/>
          <w:b/>
          <w:color w:val="86BC25" w:themeColor="accent1"/>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6DAD64D0"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313F8A67" w14:textId="7BB5955C" w:rsidR="006574C9" w:rsidRPr="00964087" w:rsidRDefault="006574C9">
            <w:pPr>
              <w:pStyle w:val="ListBullet"/>
              <w:numPr>
                <w:ilvl w:val="0"/>
                <w:numId w:val="0"/>
              </w:numPr>
              <w:rPr>
                <w:b/>
                <w:bCs/>
                <w:color w:val="FFFFFF" w:themeColor="background1"/>
              </w:rPr>
            </w:pPr>
            <w:r w:rsidRPr="00414DDD">
              <w:rPr>
                <w:b/>
                <w:bCs/>
              </w:rPr>
              <w:t xml:space="preserve">Findings </w:t>
            </w:r>
            <w:r w:rsidR="00C57392">
              <w:rPr>
                <w:b/>
                <w:bCs/>
              </w:rPr>
              <w:t>relating to</w:t>
            </w:r>
            <w:r w:rsidRPr="00414DDD">
              <w:rPr>
                <w:b/>
                <w:bCs/>
              </w:rPr>
              <w:t xml:space="preserve"> Recommendation 9</w:t>
            </w:r>
          </w:p>
        </w:tc>
      </w:tr>
      <w:tr w:rsidR="006574C9" w14:paraId="182E3F28" w14:textId="77777777">
        <w:tc>
          <w:tcPr>
            <w:tcW w:w="9026" w:type="dxa"/>
          </w:tcPr>
          <w:p w14:paraId="192CD283" w14:textId="2BE95F30" w:rsidR="0027087E" w:rsidRPr="0027087E" w:rsidRDefault="0027087E" w:rsidP="0027087E">
            <w:pPr>
              <w:pStyle w:val="ListBullet"/>
              <w:rPr>
                <w:sz w:val="16"/>
                <w:szCs w:val="14"/>
              </w:rPr>
            </w:pPr>
            <w:r w:rsidRPr="0027087E">
              <w:rPr>
                <w:b/>
                <w:bCs/>
                <w:sz w:val="16"/>
                <w:szCs w:val="14"/>
              </w:rPr>
              <w:t>Finding 18:</w:t>
            </w:r>
            <w:r w:rsidRPr="0027087E">
              <w:rPr>
                <w:sz w:val="16"/>
                <w:szCs w:val="14"/>
              </w:rPr>
              <w:t xml:space="preserve"> There are elements of the current CCCFR grant design that can be improved, by learning from adjacent programs/grants, both locally and internationally. </w:t>
            </w:r>
          </w:p>
          <w:p w14:paraId="52BF45B1" w14:textId="6794B5B1" w:rsidR="0027087E" w:rsidRPr="0027087E" w:rsidRDefault="0027087E" w:rsidP="0027087E">
            <w:pPr>
              <w:pStyle w:val="ListBullet"/>
              <w:rPr>
                <w:sz w:val="16"/>
                <w:szCs w:val="14"/>
              </w:rPr>
            </w:pPr>
            <w:r w:rsidRPr="0027087E">
              <w:rPr>
                <w:b/>
                <w:bCs/>
                <w:sz w:val="16"/>
                <w:szCs w:val="14"/>
              </w:rPr>
              <w:t>Finding 19:</w:t>
            </w:r>
            <w:r w:rsidRPr="0027087E">
              <w:rPr>
                <w:sz w:val="16"/>
                <w:szCs w:val="14"/>
              </w:rPr>
              <w:t xml:space="preserve"> CCCFR grant funding is not intentionally responsive or adaptive to the current or evolving needs of community; it is largely a function of historical factors.</w:t>
            </w:r>
          </w:p>
          <w:p w14:paraId="704813D8" w14:textId="7767589C" w:rsidR="006574C9" w:rsidRPr="00040168" w:rsidRDefault="0091058E" w:rsidP="00B63434">
            <w:pPr>
              <w:pStyle w:val="ListBullet"/>
              <w:rPr>
                <w:sz w:val="16"/>
                <w:szCs w:val="14"/>
              </w:rPr>
            </w:pPr>
            <w:r w:rsidRPr="0091058E">
              <w:rPr>
                <w:b/>
                <w:bCs/>
                <w:sz w:val="16"/>
                <w:szCs w:val="14"/>
              </w:rPr>
              <w:t>Finding 25:</w:t>
            </w:r>
            <w:r w:rsidRPr="0091058E">
              <w:rPr>
                <w:sz w:val="16"/>
                <w:szCs w:val="14"/>
              </w:rPr>
              <w:t xml:space="preserve"> Despite annual reporting obligations for CCCFR services under the grant, there is limited evidence to indicate that these materials are being used to inform ongoing access to grant funding and broader quality uplift.</w:t>
            </w:r>
            <w:r w:rsidRPr="0091058E">
              <w:rPr>
                <w:sz w:val="16"/>
                <w:szCs w:val="14"/>
                <w:highlight w:val="yellow"/>
              </w:rPr>
              <w:t xml:space="preserve"> </w:t>
            </w:r>
          </w:p>
        </w:tc>
      </w:tr>
    </w:tbl>
    <w:p w14:paraId="27840861" w14:textId="77777777" w:rsidR="006574C9" w:rsidRPr="00411FCC" w:rsidRDefault="006574C9" w:rsidP="00171799">
      <w:pPr>
        <w:spacing w:before="170"/>
        <w:rPr>
          <w:rFonts w:eastAsia="Calibri" w:cs="Times New Roman"/>
          <w:color w:val="26890D"/>
        </w:rPr>
      </w:pPr>
      <w:r w:rsidRPr="00411FCC">
        <w:rPr>
          <w:rFonts w:eastAsia="Calibri" w:cs="Times New Roman"/>
          <w:b/>
          <w:color w:val="26890D"/>
        </w:rPr>
        <w:t xml:space="preserve">Recommendation </w:t>
      </w:r>
      <w:r w:rsidRPr="00411FCC">
        <w:rPr>
          <w:rFonts w:eastAsia="Calibri" w:cs="Times New Roman"/>
          <w:color w:val="26890D"/>
        </w:rPr>
        <w:t>10: Clear and comprehensive reporting metrics and KPIs should be developed and implemented and collected via a suitable data collection platform.</w:t>
      </w:r>
    </w:p>
    <w:p w14:paraId="0F42489C" w14:textId="77777777" w:rsidR="006574C9" w:rsidRPr="00747B61" w:rsidRDefault="006574C9" w:rsidP="006574C9">
      <w:pPr>
        <w:pStyle w:val="ListBullet"/>
      </w:pPr>
      <w:r>
        <w:t>The metrics and KPIs should be derived from the revised objectives and program logic.</w:t>
      </w:r>
    </w:p>
    <w:p w14:paraId="7CE83434" w14:textId="77777777" w:rsidR="006574C9" w:rsidRPr="00747B61" w:rsidRDefault="006574C9" w:rsidP="006574C9">
      <w:pPr>
        <w:pStyle w:val="ListBullet"/>
      </w:pPr>
      <w:r>
        <w:t>The metrics and KPIs should be developed in consultation with representatives from CCCFR services/providers and communities, Program Officers and relevant peak bodies.</w:t>
      </w:r>
    </w:p>
    <w:p w14:paraId="73279D2F" w14:textId="77777777" w:rsidR="006574C9" w:rsidRPr="00747B61" w:rsidRDefault="006574C9" w:rsidP="006574C9">
      <w:pPr>
        <w:pStyle w:val="ListBullet"/>
      </w:pPr>
      <w:r>
        <w:t xml:space="preserve">These metrics and KPIs should in turn be used to support the ongoing administration of the grant, including to guide decision making in relation to funding and supports and to monitor and drive performance and outcomes. </w:t>
      </w:r>
    </w:p>
    <w:p w14:paraId="51C5FC4C" w14:textId="77777777" w:rsidR="006574C9" w:rsidRPr="00747B61" w:rsidRDefault="006574C9" w:rsidP="006574C9">
      <w:pPr>
        <w:spacing w:after="0"/>
        <w:ind w:left="360" w:hanging="360"/>
        <w:contextualSpacing/>
        <w:rPr>
          <w:szCs w:val="17"/>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734A667A"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336CE2ED" w14:textId="61475558" w:rsidR="006574C9" w:rsidRPr="00964087" w:rsidRDefault="006574C9">
            <w:pPr>
              <w:pStyle w:val="ListBullet"/>
              <w:numPr>
                <w:ilvl w:val="0"/>
                <w:numId w:val="0"/>
              </w:numPr>
              <w:rPr>
                <w:b/>
                <w:bCs/>
                <w:color w:val="FFFFFF" w:themeColor="background1"/>
              </w:rPr>
            </w:pPr>
            <w:r w:rsidRPr="00414DDD">
              <w:rPr>
                <w:b/>
                <w:bCs/>
              </w:rPr>
              <w:t xml:space="preserve">Findings </w:t>
            </w:r>
            <w:r w:rsidR="00C57392">
              <w:rPr>
                <w:b/>
                <w:bCs/>
              </w:rPr>
              <w:t>relating to</w:t>
            </w:r>
            <w:r w:rsidRPr="00414DDD">
              <w:rPr>
                <w:b/>
                <w:bCs/>
              </w:rPr>
              <w:t xml:space="preserve"> Recommendation 10</w:t>
            </w:r>
          </w:p>
        </w:tc>
      </w:tr>
      <w:tr w:rsidR="006574C9" w14:paraId="7FF9B20F" w14:textId="77777777">
        <w:tc>
          <w:tcPr>
            <w:tcW w:w="9026" w:type="dxa"/>
          </w:tcPr>
          <w:p w14:paraId="23D287DD" w14:textId="3F1328FA" w:rsidR="006574C9" w:rsidRPr="00040168" w:rsidRDefault="00C172C5">
            <w:pPr>
              <w:pStyle w:val="ListBullet"/>
              <w:rPr>
                <w:sz w:val="16"/>
                <w:szCs w:val="16"/>
              </w:rPr>
            </w:pPr>
            <w:r w:rsidRPr="00C172C5">
              <w:rPr>
                <w:b/>
                <w:bCs/>
                <w:iCs/>
                <w:sz w:val="16"/>
                <w:szCs w:val="16"/>
              </w:rPr>
              <w:t>F</w:t>
            </w:r>
            <w:r w:rsidR="006574C9" w:rsidRPr="00C172C5">
              <w:rPr>
                <w:b/>
                <w:bCs/>
                <w:iCs/>
                <w:sz w:val="16"/>
                <w:szCs w:val="16"/>
              </w:rPr>
              <w:t>inding</w:t>
            </w:r>
            <w:r w:rsidR="006574C9" w:rsidRPr="00C172C5">
              <w:rPr>
                <w:b/>
                <w:sz w:val="16"/>
                <w:szCs w:val="16"/>
              </w:rPr>
              <w:t xml:space="preserve"> 20</w:t>
            </w:r>
            <w:r w:rsidR="006574C9" w:rsidRPr="00040168">
              <w:rPr>
                <w:sz w:val="16"/>
                <w:szCs w:val="16"/>
              </w:rPr>
              <w:t>: CCCFR services are seeking greater assurance in continuity of funding and greater flexibility in determining how funding meets the ECEC needs of their community.</w:t>
            </w:r>
          </w:p>
          <w:p w14:paraId="490A1D59" w14:textId="77777777" w:rsidR="0044457D" w:rsidRDefault="0044457D">
            <w:pPr>
              <w:pStyle w:val="ListBullet"/>
              <w:rPr>
                <w:sz w:val="16"/>
                <w:szCs w:val="16"/>
              </w:rPr>
            </w:pPr>
            <w:r w:rsidRPr="00AE6694">
              <w:rPr>
                <w:b/>
                <w:bCs/>
                <w:sz w:val="16"/>
                <w:szCs w:val="16"/>
              </w:rPr>
              <w:t>Finding 25:</w:t>
            </w:r>
            <w:r w:rsidRPr="0044457D">
              <w:rPr>
                <w:sz w:val="16"/>
                <w:szCs w:val="16"/>
              </w:rPr>
              <w:t xml:space="preserve"> Despite annual reporting obligations for CCCFR services under the grant, there is limited evidence to indicate that these materials are being used to inform ongoing access to grant funding and broader quality uplift.</w:t>
            </w:r>
            <w:r w:rsidRPr="0044457D">
              <w:rPr>
                <w:sz w:val="16"/>
                <w:szCs w:val="16"/>
                <w:highlight w:val="yellow"/>
              </w:rPr>
              <w:t xml:space="preserve"> </w:t>
            </w:r>
          </w:p>
          <w:p w14:paraId="38D03FE5" w14:textId="14B66AE3" w:rsidR="0003427F" w:rsidRPr="0044457D" w:rsidRDefault="0003427F">
            <w:pPr>
              <w:pStyle w:val="ListBullet"/>
              <w:rPr>
                <w:sz w:val="16"/>
                <w:szCs w:val="16"/>
              </w:rPr>
            </w:pPr>
            <w:r w:rsidRPr="0003427F">
              <w:rPr>
                <w:b/>
                <w:bCs/>
                <w:sz w:val="16"/>
                <w:szCs w:val="16"/>
              </w:rPr>
              <w:t>Finding 30:</w:t>
            </w:r>
            <w:r w:rsidRPr="0003427F">
              <w:rPr>
                <w:sz w:val="16"/>
                <w:szCs w:val="16"/>
              </w:rPr>
              <w:t xml:space="preserve"> Analysis of Compliance and Operations Reports indicates varying capability and capacity across CCCFR services to prepare planning and governance documentation in line with the Minister’s Rules.</w:t>
            </w:r>
          </w:p>
          <w:p w14:paraId="5CBAA931" w14:textId="193FB9F5" w:rsidR="006574C9" w:rsidRPr="00040168" w:rsidRDefault="00AE6694">
            <w:pPr>
              <w:pStyle w:val="ListBullet"/>
              <w:rPr>
                <w:sz w:val="16"/>
                <w:szCs w:val="16"/>
              </w:rPr>
            </w:pPr>
            <w:r w:rsidRPr="00AE6694">
              <w:rPr>
                <w:b/>
                <w:bCs/>
                <w:sz w:val="16"/>
                <w:szCs w:val="16"/>
              </w:rPr>
              <w:t>Finding 33:</w:t>
            </w:r>
            <w:r w:rsidRPr="00AE6694">
              <w:rPr>
                <w:sz w:val="16"/>
                <w:szCs w:val="16"/>
              </w:rPr>
              <w:t xml:space="preserve"> A lack of prescribed criteria for service documentation for the Compliance and Operations Reports has resulted in significantly varying documents submitted by CCCFR services, especially in relation to evidence of an educational program.</w:t>
            </w:r>
          </w:p>
        </w:tc>
      </w:tr>
    </w:tbl>
    <w:p w14:paraId="2BB88297" w14:textId="77777777" w:rsidR="006574C9" w:rsidRPr="00411FCC" w:rsidRDefault="006574C9" w:rsidP="00171799">
      <w:pPr>
        <w:spacing w:before="170"/>
        <w:rPr>
          <w:rFonts w:eastAsia="Calibri" w:cs="Times New Roman"/>
          <w:b/>
          <w:color w:val="26890D"/>
        </w:rPr>
      </w:pPr>
      <w:r w:rsidRPr="00411FCC">
        <w:rPr>
          <w:rFonts w:eastAsia="Calibri" w:cs="Times New Roman"/>
          <w:b/>
          <w:color w:val="26890D"/>
        </w:rPr>
        <w:t xml:space="preserve">Recommendation </w:t>
      </w:r>
      <w:r w:rsidRPr="00411FCC">
        <w:rPr>
          <w:rFonts w:eastAsia="Calibri" w:cs="Times New Roman"/>
          <w:color w:val="26890D"/>
        </w:rPr>
        <w:t>11: All aspects of the grant design should embed a strengths-based approach, including using strengths-based language.</w:t>
      </w:r>
      <w:r w:rsidRPr="00411FCC">
        <w:rPr>
          <w:rFonts w:eastAsia="Calibri" w:cs="Times New Roman"/>
          <w:b/>
          <w:color w:val="26890D"/>
        </w:rPr>
        <w:t xml:space="preserve"> </w:t>
      </w:r>
    </w:p>
    <w:p w14:paraId="6076B6CA" w14:textId="77777777" w:rsidR="006574C9" w:rsidRPr="00747B61" w:rsidRDefault="006574C9" w:rsidP="006574C9">
      <w:pPr>
        <w:pStyle w:val="ListBullet"/>
      </w:pPr>
      <w:r>
        <w:t>This includes, but is not limited to, the revised objectives, the grant guidelines, communications about the grant, and KPIs.</w:t>
      </w:r>
    </w:p>
    <w:p w14:paraId="454F5EB7" w14:textId="77777777" w:rsidR="006574C9" w:rsidRPr="00747B61" w:rsidRDefault="006574C9" w:rsidP="006574C9">
      <w:pPr>
        <w:pStyle w:val="ListBullet"/>
      </w:pPr>
      <w:r>
        <w:t xml:space="preserve">This does not preclude explicitly prioritising communities which may be facing vulnerability and/or disadvantage as beneficiaries of the grant. </w:t>
      </w:r>
    </w:p>
    <w:p w14:paraId="10F16B93" w14:textId="77777777" w:rsidR="006574C9" w:rsidRPr="00747B61" w:rsidRDefault="006574C9" w:rsidP="006574C9">
      <w:pPr>
        <w:spacing w:after="0"/>
        <w:rPr>
          <w:rFonts w:eastAsia="Calibri" w:cs="Times New Roman"/>
          <w:b/>
          <w:color w:val="86BC25" w:themeColor="accent1"/>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7CC90059"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18B898C2" w14:textId="32465BD9" w:rsidR="006574C9" w:rsidRPr="00964087" w:rsidRDefault="006574C9">
            <w:pPr>
              <w:pStyle w:val="ListBullet"/>
              <w:numPr>
                <w:ilvl w:val="0"/>
                <w:numId w:val="0"/>
              </w:numPr>
              <w:rPr>
                <w:b/>
                <w:bCs/>
                <w:color w:val="FFFFFF" w:themeColor="background1"/>
              </w:rPr>
            </w:pPr>
            <w:r w:rsidRPr="00414DDD">
              <w:rPr>
                <w:b/>
                <w:bCs/>
              </w:rPr>
              <w:t xml:space="preserve">Findings </w:t>
            </w:r>
            <w:r w:rsidR="00C57392">
              <w:rPr>
                <w:b/>
                <w:bCs/>
              </w:rPr>
              <w:t>relating to</w:t>
            </w:r>
            <w:r w:rsidRPr="00414DDD">
              <w:rPr>
                <w:b/>
                <w:bCs/>
              </w:rPr>
              <w:t xml:space="preserve"> Recommendation 11</w:t>
            </w:r>
          </w:p>
        </w:tc>
      </w:tr>
      <w:tr w:rsidR="006574C9" w14:paraId="21273D62" w14:textId="77777777">
        <w:tc>
          <w:tcPr>
            <w:tcW w:w="9026" w:type="dxa"/>
          </w:tcPr>
          <w:p w14:paraId="27C08E7E" w14:textId="09C3628A" w:rsidR="006574C9" w:rsidRPr="00040168" w:rsidRDefault="00CA66D5">
            <w:pPr>
              <w:pStyle w:val="ListBullet"/>
              <w:rPr>
                <w:sz w:val="16"/>
                <w:szCs w:val="16"/>
              </w:rPr>
            </w:pPr>
            <w:r w:rsidRPr="00CA66D5">
              <w:rPr>
                <w:b/>
                <w:bCs/>
                <w:sz w:val="16"/>
                <w:szCs w:val="16"/>
              </w:rPr>
              <w:t>Finding 7:</w:t>
            </w:r>
            <w:r w:rsidRPr="00CA66D5">
              <w:rPr>
                <w:sz w:val="16"/>
                <w:szCs w:val="16"/>
              </w:rPr>
              <w:t xml:space="preserve"> The terms ‘vulnerability and disadvantage’ are not well understood across a range of stakeholders, and there is no consistent definition. The terms are often not used by CCCFR services as they can have a deficit framing that stigmatises individuals, family and whole community.</w:t>
            </w:r>
          </w:p>
        </w:tc>
      </w:tr>
    </w:tbl>
    <w:p w14:paraId="56D3A881" w14:textId="3215B85C" w:rsidR="006574C9" w:rsidRPr="00411FCC" w:rsidRDefault="006574C9" w:rsidP="00171799">
      <w:pPr>
        <w:spacing w:before="170"/>
        <w:rPr>
          <w:rFonts w:eastAsia="Calibri" w:cs="Times New Roman"/>
          <w:b/>
          <w:color w:val="26890D"/>
        </w:rPr>
      </w:pPr>
      <w:r w:rsidRPr="00411FCC">
        <w:rPr>
          <w:rFonts w:eastAsia="Calibri" w:cs="Times New Roman"/>
          <w:b/>
          <w:color w:val="26890D"/>
        </w:rPr>
        <w:t xml:space="preserve">Recommendation </w:t>
      </w:r>
      <w:r w:rsidRPr="00411FCC">
        <w:rPr>
          <w:rFonts w:eastAsia="Calibri" w:cs="Times New Roman"/>
          <w:color w:val="26890D"/>
        </w:rPr>
        <w:t>12: Grant funding values should be reviewed and revised in light of the revised objectives and in accordance with the principles of need, responsiveness, flexibility and certainty.</w:t>
      </w:r>
      <w:r w:rsidRPr="00411FCC">
        <w:rPr>
          <w:rFonts w:eastAsia="Calibri" w:cs="Times New Roman"/>
          <w:b/>
          <w:color w:val="26890D"/>
        </w:rPr>
        <w:t xml:space="preserve"> </w:t>
      </w:r>
    </w:p>
    <w:p w14:paraId="2EF49E01" w14:textId="77777777" w:rsidR="00572294" w:rsidRDefault="006574C9" w:rsidP="006574C9">
      <w:pPr>
        <w:pStyle w:val="ListBullet"/>
      </w:pPr>
      <w:r>
        <w:t>Grant values should be determined based on a formula that has regard to characteristics that drive variation in cost and characteristics that drive variation in need.</w:t>
      </w:r>
    </w:p>
    <w:p w14:paraId="10F43715" w14:textId="0C022BF3" w:rsidR="006574C9" w:rsidRDefault="00572294" w:rsidP="006574C9">
      <w:pPr>
        <w:pStyle w:val="ListBullet"/>
      </w:pPr>
      <w:r>
        <w:lastRenderedPageBreak/>
        <w:t xml:space="preserve">The </w:t>
      </w:r>
      <w:r w:rsidR="0061107A">
        <w:rPr>
          <w:rStyle w:val="ui-provider"/>
        </w:rPr>
        <w:t xml:space="preserve">ECEC delivery costing tool </w:t>
      </w:r>
      <w:r>
        <w:t xml:space="preserve">that accompanies this report provides a basis for determining how grant values should respond to the operating context of services (e.g. their size and location). </w:t>
      </w:r>
    </w:p>
    <w:p w14:paraId="2F0A5281" w14:textId="0742A230" w:rsidR="00572294" w:rsidRPr="00747B61" w:rsidRDefault="00561154" w:rsidP="006574C9">
      <w:pPr>
        <w:pStyle w:val="ListBullet"/>
      </w:pPr>
      <w:r>
        <w:t xml:space="preserve">Variations in community-level need should be recognised by layering needs-orientated supplements or loadings onto this operational base. </w:t>
      </w:r>
    </w:p>
    <w:p w14:paraId="03F1C86B" w14:textId="77777777" w:rsidR="006574C9" w:rsidRDefault="006574C9" w:rsidP="006574C9">
      <w:pPr>
        <w:spacing w:after="0"/>
        <w:rPr>
          <w:rFonts w:eastAsia="Calibri" w:cs="Times New Roman"/>
          <w:b/>
          <w:color w:val="86BC25" w:themeColor="accent1"/>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0C887E22"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6DA275A7" w14:textId="4A5CC30C" w:rsidR="006574C9" w:rsidRPr="00964087" w:rsidRDefault="006574C9">
            <w:pPr>
              <w:pStyle w:val="ListBullet"/>
              <w:numPr>
                <w:ilvl w:val="0"/>
                <w:numId w:val="0"/>
              </w:numPr>
              <w:rPr>
                <w:b/>
                <w:bCs/>
                <w:color w:val="FFFFFF" w:themeColor="background1"/>
              </w:rPr>
            </w:pPr>
            <w:r w:rsidRPr="00414DDD">
              <w:rPr>
                <w:b/>
                <w:bCs/>
              </w:rPr>
              <w:t xml:space="preserve">Findings </w:t>
            </w:r>
            <w:r w:rsidR="00C57392">
              <w:rPr>
                <w:b/>
                <w:bCs/>
              </w:rPr>
              <w:t>relating to</w:t>
            </w:r>
            <w:r w:rsidRPr="00414DDD">
              <w:rPr>
                <w:b/>
                <w:bCs/>
              </w:rPr>
              <w:t xml:space="preserve"> Recommendation 12</w:t>
            </w:r>
          </w:p>
        </w:tc>
      </w:tr>
      <w:tr w:rsidR="006574C9" w14:paraId="633CE7C7" w14:textId="77777777">
        <w:tc>
          <w:tcPr>
            <w:tcW w:w="9026" w:type="dxa"/>
          </w:tcPr>
          <w:p w14:paraId="7150CA7C" w14:textId="027607DD" w:rsidR="006574C9" w:rsidRPr="00040168" w:rsidRDefault="007436D8">
            <w:pPr>
              <w:pStyle w:val="ListBullet"/>
              <w:rPr>
                <w:sz w:val="16"/>
                <w:szCs w:val="16"/>
              </w:rPr>
            </w:pPr>
            <w:r w:rsidRPr="007436D8">
              <w:rPr>
                <w:b/>
                <w:bCs/>
                <w:iCs/>
                <w:sz w:val="16"/>
                <w:szCs w:val="16"/>
              </w:rPr>
              <w:t>F</w:t>
            </w:r>
            <w:r w:rsidR="006574C9" w:rsidRPr="007436D8">
              <w:rPr>
                <w:b/>
                <w:bCs/>
                <w:iCs/>
                <w:sz w:val="16"/>
                <w:szCs w:val="16"/>
              </w:rPr>
              <w:t>inding</w:t>
            </w:r>
            <w:r w:rsidR="006574C9" w:rsidRPr="007436D8">
              <w:rPr>
                <w:b/>
                <w:sz w:val="16"/>
                <w:szCs w:val="16"/>
              </w:rPr>
              <w:t xml:space="preserve"> 18:</w:t>
            </w:r>
            <w:r w:rsidR="006574C9" w:rsidRPr="00040168">
              <w:rPr>
                <w:sz w:val="16"/>
                <w:szCs w:val="16"/>
              </w:rPr>
              <w:t xml:space="preserve"> There are elements of the current CCCFR grant design that can be improved, by learning from adjacent programs/grants, both locally and internationally.</w:t>
            </w:r>
          </w:p>
          <w:p w14:paraId="0AC8387A" w14:textId="77777777" w:rsidR="00177DB2" w:rsidRPr="00177DB2" w:rsidRDefault="00177DB2" w:rsidP="00177DB2">
            <w:pPr>
              <w:pStyle w:val="ListBullet"/>
              <w:rPr>
                <w:color w:val="000000" w:themeColor="text1"/>
                <w:sz w:val="16"/>
                <w:szCs w:val="16"/>
              </w:rPr>
            </w:pPr>
            <w:r w:rsidRPr="00177DB2">
              <w:rPr>
                <w:b/>
                <w:bCs/>
                <w:color w:val="000000" w:themeColor="text1"/>
                <w:sz w:val="16"/>
                <w:szCs w:val="16"/>
              </w:rPr>
              <w:t>Finding 35:</w:t>
            </w:r>
            <w:r w:rsidRPr="00177DB2">
              <w:rPr>
                <w:color w:val="000000" w:themeColor="text1"/>
                <w:sz w:val="16"/>
                <w:szCs w:val="16"/>
              </w:rPr>
              <w:t xml:space="preserve"> Analysis of the financial adequacy of the resources provided under the CCCFR grant is hampered by the uncertainty that exists in relation to the grant’s purpose and intent (see findings 6 and 7).</w:t>
            </w:r>
          </w:p>
          <w:p w14:paraId="1D40A18C" w14:textId="77777777" w:rsidR="00177DB2" w:rsidRPr="00177DB2" w:rsidRDefault="00177DB2" w:rsidP="00177DB2">
            <w:pPr>
              <w:pStyle w:val="ListBullet"/>
              <w:rPr>
                <w:color w:val="000000" w:themeColor="text1"/>
                <w:sz w:val="16"/>
                <w:szCs w:val="16"/>
              </w:rPr>
            </w:pPr>
            <w:r w:rsidRPr="00177DB2">
              <w:rPr>
                <w:b/>
                <w:color w:val="000000" w:themeColor="text1"/>
                <w:sz w:val="16"/>
                <w:szCs w:val="16"/>
              </w:rPr>
              <w:t>Finding 36:</w:t>
            </w:r>
            <w:r w:rsidRPr="00177DB2">
              <w:rPr>
                <w:color w:val="000000" w:themeColor="text1"/>
                <w:sz w:val="16"/>
                <w:szCs w:val="16"/>
              </w:rPr>
              <w:t xml:space="preserve"> Notwithstanding finding 35, there would appear only a limited relationship between the funding CCCFR services receive from the Australian Government and cost of meeting the need CCCFR services face, as it manifests from both service and community characteristics. </w:t>
            </w:r>
          </w:p>
          <w:p w14:paraId="432A1AE6" w14:textId="77777777" w:rsidR="00177DB2" w:rsidRPr="00177DB2" w:rsidRDefault="00177DB2" w:rsidP="00177DB2">
            <w:pPr>
              <w:pStyle w:val="ListBullet"/>
              <w:rPr>
                <w:color w:val="000000" w:themeColor="text1"/>
                <w:sz w:val="16"/>
                <w:szCs w:val="16"/>
              </w:rPr>
            </w:pPr>
            <w:r w:rsidRPr="00177DB2">
              <w:rPr>
                <w:b/>
                <w:color w:val="000000" w:themeColor="text1"/>
                <w:sz w:val="16"/>
                <w:szCs w:val="16"/>
              </w:rPr>
              <w:t>Finding 37:</w:t>
            </w:r>
            <w:r w:rsidRPr="00177DB2">
              <w:rPr>
                <w:color w:val="000000" w:themeColor="text1"/>
                <w:sz w:val="16"/>
                <w:szCs w:val="16"/>
              </w:rPr>
              <w:t xml:space="preserve"> The financial sustainability of CCCFR services varies considerably. There are drivers on both the revenue and cost side, with the limited responsiveness of funding to costs a key driver of the financial challenges that many CCCFR services confront. </w:t>
            </w:r>
          </w:p>
          <w:p w14:paraId="664AEB97" w14:textId="09E4821C" w:rsidR="006574C9" w:rsidRPr="00171799" w:rsidRDefault="006574C9" w:rsidP="00171799">
            <w:pPr>
              <w:pStyle w:val="ListBullet"/>
              <w:rPr>
                <w:color w:val="000000" w:themeColor="text1"/>
                <w:sz w:val="16"/>
                <w:szCs w:val="16"/>
              </w:rPr>
            </w:pPr>
            <w:r w:rsidRPr="00177DB2">
              <w:rPr>
                <w:b/>
                <w:color w:val="000000" w:themeColor="text1"/>
                <w:sz w:val="16"/>
                <w:szCs w:val="16"/>
              </w:rPr>
              <w:t>Finding 38:</w:t>
            </w:r>
            <w:r w:rsidRPr="00177DB2">
              <w:rPr>
                <w:color w:val="000000" w:themeColor="text1"/>
                <w:sz w:val="16"/>
                <w:szCs w:val="16"/>
              </w:rPr>
              <w:t xml:space="preserve"> The administration of the CCS and ACCS and the requirements families face in engaging with these funding streams mean that they are both underutilised and, in the case of CCS, increased reliance is associated with greater financial viability</w:t>
            </w:r>
            <w:r w:rsidR="007872A8">
              <w:rPr>
                <w:color w:val="000000" w:themeColor="text1"/>
                <w:sz w:val="16"/>
                <w:szCs w:val="16"/>
              </w:rPr>
              <w:t xml:space="preserve"> challenges</w:t>
            </w:r>
            <w:r w:rsidRPr="00177DB2">
              <w:rPr>
                <w:color w:val="000000" w:themeColor="text1"/>
                <w:sz w:val="16"/>
                <w:szCs w:val="16"/>
              </w:rPr>
              <w:t xml:space="preserve">.    </w:t>
            </w:r>
          </w:p>
        </w:tc>
      </w:tr>
    </w:tbl>
    <w:p w14:paraId="40A55935" w14:textId="77777777" w:rsidR="006574C9" w:rsidRPr="00411FCC" w:rsidRDefault="006574C9" w:rsidP="00171799">
      <w:pPr>
        <w:spacing w:before="170"/>
        <w:rPr>
          <w:rFonts w:eastAsia="Calibri" w:cs="Times New Roman"/>
          <w:b/>
          <w:color w:val="26890D"/>
        </w:rPr>
      </w:pPr>
      <w:r w:rsidRPr="00411FCC">
        <w:rPr>
          <w:rFonts w:eastAsia="Calibri" w:cs="Times New Roman"/>
          <w:b/>
          <w:color w:val="26890D"/>
        </w:rPr>
        <w:t xml:space="preserve">Recommendation </w:t>
      </w:r>
      <w:r w:rsidRPr="00411FCC">
        <w:rPr>
          <w:rFonts w:eastAsia="Calibri" w:cs="Times New Roman"/>
          <w:color w:val="26890D"/>
        </w:rPr>
        <w:t>13: The grant design (including the grant value formula and grant guidelines) should ensure that fees are not a barrier to participation and that access to CCCFR services is not contingent on families engaging with systems and processes where there are demonstrated barriers to doing so, including Services Australia.</w:t>
      </w:r>
      <w:r w:rsidRPr="00411FCC">
        <w:rPr>
          <w:rFonts w:eastAsia="Calibri" w:cs="Times New Roman"/>
          <w:b/>
          <w:color w:val="26890D"/>
        </w:rPr>
        <w:t xml:space="preserve"> </w:t>
      </w:r>
    </w:p>
    <w:p w14:paraId="225C1EAC" w14:textId="6BE5FE17" w:rsidR="006574C9" w:rsidRPr="00747B61" w:rsidRDefault="006574C9" w:rsidP="006574C9">
      <w:pPr>
        <w:pStyle w:val="ListBullet"/>
      </w:pPr>
      <w:r>
        <w:t>For</w:t>
      </w:r>
      <w:r w:rsidR="00561154">
        <w:t xml:space="preserve"> many families, </w:t>
      </w:r>
      <w:r w:rsidR="006A25F1">
        <w:t>including</w:t>
      </w:r>
      <w:r>
        <w:t xml:space="preserve"> Aboriginal and Torres Strait Islander families, this may be best achieved via a universal fee-free setting. </w:t>
      </w:r>
    </w:p>
    <w:p w14:paraId="43116CD9" w14:textId="77777777" w:rsidR="006574C9" w:rsidRDefault="006574C9" w:rsidP="006574C9">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502AA837"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0E899BCC" w14:textId="7151AD17" w:rsidR="006574C9" w:rsidRPr="00964087" w:rsidRDefault="006574C9">
            <w:pPr>
              <w:pStyle w:val="ListBullet"/>
              <w:numPr>
                <w:ilvl w:val="0"/>
                <w:numId w:val="0"/>
              </w:numPr>
              <w:rPr>
                <w:b/>
                <w:bCs/>
                <w:color w:val="FFFFFF" w:themeColor="background1"/>
              </w:rPr>
            </w:pPr>
            <w:r w:rsidRPr="00414DDD">
              <w:rPr>
                <w:b/>
                <w:bCs/>
              </w:rPr>
              <w:t xml:space="preserve">Findings </w:t>
            </w:r>
            <w:r w:rsidR="00C57392">
              <w:rPr>
                <w:b/>
                <w:bCs/>
              </w:rPr>
              <w:t>relating to</w:t>
            </w:r>
            <w:r w:rsidRPr="00414DDD">
              <w:rPr>
                <w:b/>
                <w:bCs/>
              </w:rPr>
              <w:t xml:space="preserve"> Recommendation 13</w:t>
            </w:r>
          </w:p>
        </w:tc>
      </w:tr>
      <w:tr w:rsidR="006574C9" w14:paraId="3453A191" w14:textId="77777777">
        <w:tc>
          <w:tcPr>
            <w:tcW w:w="9026" w:type="dxa"/>
          </w:tcPr>
          <w:p w14:paraId="1B1581DB" w14:textId="77777777" w:rsidR="00273B2D" w:rsidRPr="00273B2D" w:rsidRDefault="00273B2D" w:rsidP="00273B2D">
            <w:pPr>
              <w:pStyle w:val="ListBullet"/>
              <w:rPr>
                <w:b/>
                <w:bCs/>
                <w:iCs/>
                <w:sz w:val="16"/>
                <w:szCs w:val="16"/>
              </w:rPr>
            </w:pPr>
            <w:r w:rsidRPr="00273B2D">
              <w:rPr>
                <w:b/>
                <w:bCs/>
                <w:iCs/>
                <w:sz w:val="16"/>
                <w:szCs w:val="16"/>
              </w:rPr>
              <w:t xml:space="preserve">Finding 1: </w:t>
            </w:r>
            <w:r w:rsidRPr="00E65500">
              <w:rPr>
                <w:sz w:val="16"/>
                <w:szCs w:val="16"/>
              </w:rPr>
              <w:t>While intensity of use by existing families increased, enrolments by Aboriginal and Torres Strait Islander children at CCCFR services grew slower than at other non-CCCFR funded education and child care services receiving CCS in the same region and national benchmarks.</w:t>
            </w:r>
          </w:p>
          <w:p w14:paraId="49A541CD" w14:textId="77777777" w:rsidR="00E65500" w:rsidRPr="00E65500" w:rsidRDefault="00273B2D" w:rsidP="00273B2D">
            <w:pPr>
              <w:pStyle w:val="ListBullet"/>
              <w:rPr>
                <w:sz w:val="16"/>
                <w:szCs w:val="16"/>
              </w:rPr>
            </w:pPr>
            <w:r w:rsidRPr="00273B2D">
              <w:rPr>
                <w:b/>
                <w:bCs/>
                <w:iCs/>
                <w:sz w:val="16"/>
                <w:szCs w:val="16"/>
              </w:rPr>
              <w:t xml:space="preserve">Finding 2: </w:t>
            </w:r>
            <w:r w:rsidRPr="00E65500">
              <w:rPr>
                <w:sz w:val="16"/>
                <w:szCs w:val="16"/>
              </w:rPr>
              <w:t>There is evidence to suggest that access to the CCCFR grant has been associated with slower growth in out-of-pocket fees and, for Aboriginal and Torres Strait Islander</w:t>
            </w:r>
            <w:r w:rsidRPr="00273B2D">
              <w:rPr>
                <w:b/>
                <w:bCs/>
                <w:iCs/>
                <w:sz w:val="16"/>
                <w:szCs w:val="16"/>
              </w:rPr>
              <w:t xml:space="preserve"> </w:t>
            </w:r>
            <w:r w:rsidRPr="00E65500">
              <w:rPr>
                <w:sz w:val="16"/>
                <w:szCs w:val="16"/>
              </w:rPr>
              <w:t>families, greater affordability.</w:t>
            </w:r>
          </w:p>
          <w:p w14:paraId="3C23F9A3" w14:textId="376F0EA4" w:rsidR="00A969EF" w:rsidRPr="00A969EF" w:rsidRDefault="00A969EF" w:rsidP="00273B2D">
            <w:pPr>
              <w:pStyle w:val="ListBullet"/>
              <w:rPr>
                <w:sz w:val="16"/>
                <w:szCs w:val="16"/>
              </w:rPr>
            </w:pPr>
            <w:r w:rsidRPr="00CF5634">
              <w:rPr>
                <w:b/>
                <w:sz w:val="16"/>
                <w:szCs w:val="16"/>
              </w:rPr>
              <w:t>Finding 10</w:t>
            </w:r>
            <w:r w:rsidR="00CF5634" w:rsidRPr="00CF5634">
              <w:rPr>
                <w:b/>
                <w:bCs/>
                <w:sz w:val="16"/>
                <w:szCs w:val="16"/>
              </w:rPr>
              <w:t>:</w:t>
            </w:r>
            <w:r w:rsidRPr="00A969EF">
              <w:rPr>
                <w:sz w:val="16"/>
                <w:szCs w:val="16"/>
              </w:rPr>
              <w:t xml:space="preserve"> 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        </w:t>
            </w:r>
          </w:p>
          <w:p w14:paraId="5CF05400" w14:textId="212FA6F0" w:rsidR="006574C9" w:rsidRPr="00040168" w:rsidRDefault="00141F25">
            <w:pPr>
              <w:pStyle w:val="ListBullet"/>
              <w:rPr>
                <w:sz w:val="16"/>
                <w:szCs w:val="16"/>
              </w:rPr>
            </w:pPr>
            <w:r w:rsidRPr="00141F25">
              <w:rPr>
                <w:b/>
                <w:bCs/>
                <w:iCs/>
                <w:sz w:val="16"/>
                <w:szCs w:val="16"/>
              </w:rPr>
              <w:t>F</w:t>
            </w:r>
            <w:r w:rsidR="006574C9" w:rsidRPr="00141F25">
              <w:rPr>
                <w:b/>
                <w:bCs/>
                <w:iCs/>
                <w:sz w:val="16"/>
                <w:szCs w:val="16"/>
              </w:rPr>
              <w:t>inding</w:t>
            </w:r>
            <w:r w:rsidR="006574C9" w:rsidRPr="00141F25">
              <w:rPr>
                <w:b/>
                <w:sz w:val="16"/>
                <w:szCs w:val="16"/>
              </w:rPr>
              <w:t xml:space="preserve"> 13:</w:t>
            </w:r>
            <w:r w:rsidR="006574C9" w:rsidRPr="00040168">
              <w:rPr>
                <w:sz w:val="16"/>
                <w:szCs w:val="16"/>
              </w:rPr>
              <w:t xml:space="preserve"> The review has not identified a formal articulation of the grant design with respect to (1) recipient eligibility criteria and its rationale and (2) the funding allocation – or grant size determination – methodology. These features appear to be very much historical artifacts. </w:t>
            </w:r>
          </w:p>
          <w:p w14:paraId="0AD367A8" w14:textId="36D073E1" w:rsidR="006574C9" w:rsidRPr="00040168" w:rsidRDefault="00141F25">
            <w:pPr>
              <w:pStyle w:val="ListBullet"/>
              <w:rPr>
                <w:sz w:val="16"/>
                <w:szCs w:val="16"/>
              </w:rPr>
            </w:pPr>
            <w:r w:rsidRPr="00141F25">
              <w:rPr>
                <w:b/>
                <w:bCs/>
                <w:iCs/>
                <w:sz w:val="16"/>
                <w:szCs w:val="16"/>
              </w:rPr>
              <w:t>F</w:t>
            </w:r>
            <w:r w:rsidR="006574C9" w:rsidRPr="00141F25">
              <w:rPr>
                <w:b/>
                <w:bCs/>
                <w:iCs/>
                <w:sz w:val="16"/>
                <w:szCs w:val="16"/>
              </w:rPr>
              <w:t>inding</w:t>
            </w:r>
            <w:r w:rsidR="006574C9" w:rsidRPr="00141F25">
              <w:rPr>
                <w:b/>
                <w:sz w:val="16"/>
                <w:szCs w:val="16"/>
              </w:rPr>
              <w:t xml:space="preserve"> 16:</w:t>
            </w:r>
            <w:r w:rsidR="006574C9" w:rsidRPr="00040168">
              <w:rPr>
                <w:sz w:val="16"/>
                <w:szCs w:val="16"/>
              </w:rPr>
              <w:t xml:space="preserve"> There are gaps in understanding among CCCFR services (e.g., among Directors of CCCFR services) regarding how and for what purpose the CCCFR grant funding can be spent.</w:t>
            </w:r>
          </w:p>
          <w:p w14:paraId="49E0135D" w14:textId="4134A5EE" w:rsidR="006574C9" w:rsidRPr="00CF5634" w:rsidRDefault="006574C9">
            <w:pPr>
              <w:pStyle w:val="ListBullet"/>
              <w:rPr>
                <w:color w:val="000000" w:themeColor="text1"/>
                <w:sz w:val="16"/>
                <w:szCs w:val="16"/>
              </w:rPr>
            </w:pPr>
            <w:r w:rsidRPr="00CF5634">
              <w:rPr>
                <w:b/>
                <w:color w:val="000000" w:themeColor="text1"/>
                <w:sz w:val="16"/>
                <w:szCs w:val="16"/>
              </w:rPr>
              <w:t>Finding 38:</w:t>
            </w:r>
            <w:r w:rsidRPr="00CF5634">
              <w:rPr>
                <w:color w:val="000000" w:themeColor="text1"/>
                <w:sz w:val="16"/>
                <w:szCs w:val="16"/>
              </w:rPr>
              <w:t xml:space="preserve"> The administration of the CCS and ACCS and the requirements families face in engaging with these funding streams mean that they are both underutilised and, in the case of CCS, increased reliance is associated with greater financial viability</w:t>
            </w:r>
            <w:r w:rsidR="007872A8">
              <w:rPr>
                <w:color w:val="000000" w:themeColor="text1"/>
                <w:sz w:val="16"/>
                <w:szCs w:val="16"/>
              </w:rPr>
              <w:t xml:space="preserve"> challenges</w:t>
            </w:r>
            <w:r w:rsidRPr="00CF5634">
              <w:rPr>
                <w:color w:val="000000" w:themeColor="text1"/>
                <w:sz w:val="16"/>
                <w:szCs w:val="16"/>
              </w:rPr>
              <w:t xml:space="preserve">.    </w:t>
            </w:r>
          </w:p>
        </w:tc>
      </w:tr>
    </w:tbl>
    <w:p w14:paraId="346EC828" w14:textId="77777777" w:rsidR="006574C9" w:rsidRDefault="006574C9" w:rsidP="006574C9">
      <w:pPr>
        <w:pStyle w:val="ListBullet"/>
        <w:numPr>
          <w:ilvl w:val="0"/>
          <w:numId w:val="0"/>
        </w:numPr>
        <w:ind w:left="340" w:hanging="340"/>
      </w:pPr>
    </w:p>
    <w:p w14:paraId="6B2BF822" w14:textId="77777777" w:rsidR="00171799" w:rsidRDefault="00171799" w:rsidP="006574C9">
      <w:pPr>
        <w:pStyle w:val="ListBullet"/>
        <w:numPr>
          <w:ilvl w:val="0"/>
          <w:numId w:val="0"/>
        </w:numPr>
        <w:ind w:left="340" w:hanging="340"/>
      </w:pPr>
    </w:p>
    <w:p w14:paraId="4413670F" w14:textId="77777777" w:rsidR="00171799" w:rsidRDefault="00171799" w:rsidP="006574C9">
      <w:pPr>
        <w:pStyle w:val="ListBullet"/>
        <w:numPr>
          <w:ilvl w:val="0"/>
          <w:numId w:val="0"/>
        </w:numPr>
        <w:ind w:left="340" w:hanging="340"/>
      </w:pPr>
    </w:p>
    <w:p w14:paraId="4D7F71D2" w14:textId="77777777" w:rsidR="00171799" w:rsidRPr="00747B61" w:rsidRDefault="00171799" w:rsidP="006574C9">
      <w:pPr>
        <w:pStyle w:val="ListBullet"/>
        <w:numPr>
          <w:ilvl w:val="0"/>
          <w:numId w:val="0"/>
        </w:numPr>
        <w:ind w:left="340" w:hanging="340"/>
      </w:pPr>
    </w:p>
    <w:p w14:paraId="190170F0" w14:textId="77777777" w:rsidR="006574C9" w:rsidRPr="00411FCC" w:rsidRDefault="006574C9" w:rsidP="006574C9">
      <w:pPr>
        <w:rPr>
          <w:rFonts w:eastAsia="Calibri" w:cs="Times New Roman"/>
          <w:b/>
          <w:color w:val="26890D"/>
        </w:rPr>
      </w:pPr>
      <w:r w:rsidRPr="00411FCC">
        <w:rPr>
          <w:rFonts w:eastAsia="Calibri" w:cs="Times New Roman"/>
          <w:b/>
          <w:color w:val="26890D"/>
        </w:rPr>
        <w:lastRenderedPageBreak/>
        <w:t xml:space="preserve">Recommendation </w:t>
      </w:r>
      <w:r w:rsidRPr="00411FCC">
        <w:rPr>
          <w:rFonts w:eastAsia="Calibri" w:cs="Times New Roman"/>
          <w:color w:val="26890D"/>
        </w:rPr>
        <w:t>14: The roles and responsibilities of Program Officers should be refined to prioritise supporting administration and financial obligations under the CCCFR grant.</w:t>
      </w:r>
    </w:p>
    <w:p w14:paraId="675668D3" w14:textId="77777777" w:rsidR="006574C9" w:rsidRPr="00747B61" w:rsidRDefault="006574C9" w:rsidP="006574C9">
      <w:pPr>
        <w:pStyle w:val="ListBullet"/>
      </w:pPr>
      <w:r>
        <w:t xml:space="preserve">In revising the roles and responsibilities of Program Officers, regard should be had to the broader system of supports that exists including providers, peaks and backbone organisations. </w:t>
      </w:r>
    </w:p>
    <w:p w14:paraId="790044FC" w14:textId="77777777" w:rsidR="006574C9" w:rsidRPr="00747B61" w:rsidRDefault="006574C9" w:rsidP="006574C9">
      <w:pPr>
        <w:pStyle w:val="ListBullet"/>
      </w:pPr>
      <w:r>
        <w:t xml:space="preserve">As part of this, the Department should consider increasing the amount of face-to-face engagement (e.g., visits to the service) that Program Officers have with CCCFR services to strengthen their capacity to meet the support needs of CCCFR services. </w:t>
      </w:r>
    </w:p>
    <w:p w14:paraId="1A636BB0" w14:textId="77777777" w:rsidR="006574C9" w:rsidRPr="00747B61" w:rsidRDefault="006574C9" w:rsidP="006574C9">
      <w:pPr>
        <w:spacing w:after="0"/>
        <w:contextualSpacing/>
        <w:rPr>
          <w:szCs w:val="17"/>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3B5379F8"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3270764" w14:textId="466BA9E5" w:rsidR="006574C9" w:rsidRPr="00964087" w:rsidRDefault="000C7F11">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w:t>
            </w:r>
            <w:r>
              <w:rPr>
                <w:b/>
                <w:bCs/>
              </w:rPr>
              <w:t>4</w:t>
            </w:r>
          </w:p>
        </w:tc>
      </w:tr>
      <w:tr w:rsidR="006574C9" w14:paraId="249CAE96" w14:textId="77777777">
        <w:tc>
          <w:tcPr>
            <w:tcW w:w="9026" w:type="dxa"/>
          </w:tcPr>
          <w:p w14:paraId="49D862D4" w14:textId="3B4C8950" w:rsidR="001B3392" w:rsidRPr="001B3392" w:rsidRDefault="001B3392">
            <w:pPr>
              <w:pStyle w:val="ListBullet"/>
              <w:rPr>
                <w:sz w:val="16"/>
                <w:szCs w:val="16"/>
              </w:rPr>
            </w:pPr>
            <w:r w:rsidRPr="003973B7">
              <w:rPr>
                <w:b/>
                <w:bCs/>
                <w:sz w:val="16"/>
                <w:szCs w:val="16"/>
              </w:rPr>
              <w:t>Finding 21:</w:t>
            </w:r>
            <w:r w:rsidRPr="001B3392">
              <w:rPr>
                <w:sz w:val="16"/>
                <w:szCs w:val="16"/>
              </w:rPr>
              <w:t xml:space="preserve"> CCCFR Program Officers are the primary point of contact and support for most CCCFR services, both for the grant and broader areas of service governance, quality, and business support outside the scope of the grant.</w:t>
            </w:r>
            <w:r w:rsidRPr="001B3392">
              <w:rPr>
                <w:sz w:val="16"/>
                <w:szCs w:val="16"/>
                <w:highlight w:val="yellow"/>
              </w:rPr>
              <w:t xml:space="preserve"> </w:t>
            </w:r>
          </w:p>
          <w:p w14:paraId="758B8746" w14:textId="77777777" w:rsidR="003973B7" w:rsidRDefault="003973B7">
            <w:pPr>
              <w:pStyle w:val="ListBullet"/>
              <w:rPr>
                <w:sz w:val="16"/>
                <w:szCs w:val="16"/>
              </w:rPr>
            </w:pPr>
            <w:r w:rsidRPr="003973B7">
              <w:rPr>
                <w:b/>
                <w:bCs/>
                <w:sz w:val="16"/>
                <w:szCs w:val="16"/>
              </w:rPr>
              <w:t>Finding 22:</w:t>
            </w:r>
            <w:r w:rsidRPr="003973B7">
              <w:rPr>
                <w:sz w:val="16"/>
                <w:szCs w:val="16"/>
              </w:rPr>
              <w:t xml:space="preserve"> A lack of clarity around roles and responsibilities has meant that Program Officers are undertaking tasks beyond traditional grants administration roles, with limited or no additional training to support CCCFR services with broader queries in relation to operations, such as infrastructure and asset maintenance. </w:t>
            </w:r>
          </w:p>
          <w:p w14:paraId="76EE0758" w14:textId="6902258E" w:rsidR="006574C9" w:rsidRPr="00EF37B6" w:rsidRDefault="00846995">
            <w:pPr>
              <w:pStyle w:val="ListBullet"/>
              <w:rPr>
                <w:sz w:val="16"/>
                <w:szCs w:val="16"/>
              </w:rPr>
            </w:pPr>
            <w:r w:rsidRPr="00846995">
              <w:rPr>
                <w:b/>
                <w:bCs/>
                <w:sz w:val="16"/>
                <w:szCs w:val="16"/>
              </w:rPr>
              <w:t>Finding 26:</w:t>
            </w:r>
            <w:r w:rsidRPr="00846995">
              <w:rPr>
                <w:sz w:val="16"/>
                <w:szCs w:val="16"/>
              </w:rPr>
              <w:t xml:space="preserve"> The Department adopts a responsive, risk-based approach to monitoring and reporting with CCCFR services, supporting CCCFR services to meet their compliance obligations in a non-punitive manner, while still undertaking enforcement actions where significant risks to children’s health and safety have been identified.</w:t>
            </w:r>
          </w:p>
        </w:tc>
      </w:tr>
    </w:tbl>
    <w:p w14:paraId="58D6CBE8" w14:textId="77777777" w:rsidR="006574C9" w:rsidRPr="00747B61" w:rsidRDefault="006574C9" w:rsidP="006574C9">
      <w:pPr>
        <w:spacing w:after="0"/>
        <w:contextualSpacing/>
        <w:rPr>
          <w:szCs w:val="17"/>
        </w:rPr>
      </w:pPr>
    </w:p>
    <w:p w14:paraId="43595BB2" w14:textId="0949043D" w:rsidR="006574C9" w:rsidRPr="00411FCC" w:rsidRDefault="006574C9" w:rsidP="006574C9">
      <w:pPr>
        <w:rPr>
          <w:rFonts w:eastAsia="Calibri" w:cs="Times New Roman"/>
          <w:color w:val="26890D"/>
        </w:rPr>
      </w:pPr>
      <w:r w:rsidRPr="00411FCC">
        <w:rPr>
          <w:rFonts w:eastAsia="Calibri" w:cs="Times New Roman"/>
          <w:b/>
          <w:color w:val="26890D"/>
        </w:rPr>
        <w:t xml:space="preserve">Recommendation </w:t>
      </w:r>
      <w:r w:rsidRPr="00411FCC">
        <w:rPr>
          <w:rFonts w:eastAsia="Calibri" w:cs="Times New Roman"/>
          <w:color w:val="26890D"/>
        </w:rPr>
        <w:t xml:space="preserve">15: </w:t>
      </w:r>
      <w:r w:rsidR="00780AB8" w:rsidRPr="00411FCC">
        <w:rPr>
          <w:rFonts w:eastAsia="Calibri" w:cs="Times New Roman"/>
          <w:color w:val="26890D"/>
        </w:rPr>
        <w:t>Responsibilities should be assigned and/or targeted roles established to support CCCFR services in relation to specialist issues beyond the remit of Program Officers – such as leasing and asset management and legislative and regulatory advice outside of CCCFR grant obligations.</w:t>
      </w:r>
    </w:p>
    <w:p w14:paraId="561FA264" w14:textId="77777777" w:rsidR="006574C9" w:rsidRPr="00747B61" w:rsidRDefault="006574C9" w:rsidP="006574C9">
      <w:pPr>
        <w:pStyle w:val="ListBullet"/>
      </w:pPr>
      <w:r>
        <w:t>To identify these specialist roles, the Department should undertake a stocktake around the frequency and complexity of service queries outside the scope of traditional grants administration.</w:t>
      </w:r>
    </w:p>
    <w:p w14:paraId="16A5B14B" w14:textId="513444BE" w:rsidR="006574C9" w:rsidRPr="00747B61" w:rsidRDefault="006574C9" w:rsidP="006574C9">
      <w:pPr>
        <w:pStyle w:val="ListBullet"/>
      </w:pPr>
      <w:r>
        <w:t xml:space="preserve">When </w:t>
      </w:r>
      <w:r w:rsidR="0041303D">
        <w:t>assigning responsibilities</w:t>
      </w:r>
      <w:r>
        <w:t>, the Department should consider the level of knowledge or prior qualifications required to support CCCFR services.</w:t>
      </w:r>
    </w:p>
    <w:p w14:paraId="6D8F515A" w14:textId="77777777" w:rsidR="006574C9" w:rsidRDefault="006574C9" w:rsidP="006574C9">
      <w:pPr>
        <w:spacing w:after="0"/>
        <w:rPr>
          <w:rFonts w:eastAsia="Calibri" w:cs="Times New Roman"/>
          <w:b/>
          <w:color w:val="86BC25" w:themeColor="accent1"/>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21F4F77C"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2E30D1FF" w14:textId="2A4FB2C4" w:rsidR="006574C9" w:rsidRPr="00964087" w:rsidRDefault="006574C9">
            <w:pPr>
              <w:pStyle w:val="ListBullet"/>
              <w:numPr>
                <w:ilvl w:val="0"/>
                <w:numId w:val="0"/>
              </w:numPr>
              <w:rPr>
                <w:b/>
                <w:bCs/>
                <w:color w:val="FFFFFF" w:themeColor="background1"/>
              </w:rPr>
            </w:pPr>
            <w:r w:rsidRPr="00414DDD">
              <w:rPr>
                <w:b/>
                <w:bCs/>
              </w:rPr>
              <w:t xml:space="preserve">Findings </w:t>
            </w:r>
            <w:r w:rsidR="00C57392">
              <w:rPr>
                <w:b/>
                <w:bCs/>
              </w:rPr>
              <w:t>relating to</w:t>
            </w:r>
            <w:r w:rsidRPr="00414DDD">
              <w:rPr>
                <w:b/>
                <w:bCs/>
              </w:rPr>
              <w:t xml:space="preserve"> Recommendation 15</w:t>
            </w:r>
          </w:p>
        </w:tc>
      </w:tr>
      <w:tr w:rsidR="006574C9" w14:paraId="5A474E70" w14:textId="77777777">
        <w:tc>
          <w:tcPr>
            <w:tcW w:w="9026" w:type="dxa"/>
          </w:tcPr>
          <w:p w14:paraId="5B02A802" w14:textId="77777777" w:rsidR="00CD7194" w:rsidRPr="00CD7194" w:rsidRDefault="00CD7194">
            <w:pPr>
              <w:pStyle w:val="ListBullet"/>
              <w:rPr>
                <w:sz w:val="16"/>
                <w:szCs w:val="16"/>
              </w:rPr>
            </w:pPr>
            <w:r w:rsidRPr="00D32776">
              <w:rPr>
                <w:b/>
                <w:bCs/>
                <w:sz w:val="16"/>
                <w:szCs w:val="16"/>
              </w:rPr>
              <w:t>Finding 23:</w:t>
            </w:r>
            <w:r w:rsidRPr="00CD7194">
              <w:rPr>
                <w:sz w:val="16"/>
                <w:szCs w:val="16"/>
              </w:rPr>
              <w:t xml:space="preserve"> To remain sustainable, CCCFR services require specialist support that is outside of the scope of roles and responsibilities of the Program Officers and is not systematically provided to CCCFR services through other government or non-government bodies.</w:t>
            </w:r>
            <w:r w:rsidRPr="00CD7194">
              <w:rPr>
                <w:sz w:val="16"/>
                <w:szCs w:val="16"/>
                <w:highlight w:val="yellow"/>
              </w:rPr>
              <w:t xml:space="preserve"> </w:t>
            </w:r>
          </w:p>
          <w:p w14:paraId="3D1BF1A3" w14:textId="052C0B89" w:rsidR="00E225AA" w:rsidRPr="00E225AA" w:rsidRDefault="00E225AA" w:rsidP="00E225AA">
            <w:pPr>
              <w:pStyle w:val="ListBullet"/>
              <w:rPr>
                <w:sz w:val="16"/>
                <w:szCs w:val="16"/>
              </w:rPr>
            </w:pPr>
            <w:r w:rsidRPr="00E225AA">
              <w:rPr>
                <w:b/>
                <w:bCs/>
                <w:sz w:val="16"/>
                <w:szCs w:val="16"/>
              </w:rPr>
              <w:t>Finding 40:</w:t>
            </w:r>
            <w:r w:rsidRPr="00E225AA">
              <w:rPr>
                <w:sz w:val="16"/>
                <w:szCs w:val="16"/>
              </w:rPr>
              <w:t xml:space="preserve"> Of the various leasing arrangements currently in place, the Management Agreement appears to better accommodate the delivery of child care services, clearly outlining obligations of the parties to the agreement and imposing obligations on the Commonwealth and/or the operator to maintain building compliance. However, there are ways the Management Agreement could be strengthened for future arrangements.</w:t>
            </w:r>
          </w:p>
          <w:p w14:paraId="6C6DFE55" w14:textId="25652328" w:rsidR="00E225AA" w:rsidRPr="00E225AA" w:rsidRDefault="00E225AA" w:rsidP="00E225AA">
            <w:pPr>
              <w:pStyle w:val="ListBullet"/>
              <w:rPr>
                <w:sz w:val="16"/>
                <w:szCs w:val="16"/>
              </w:rPr>
            </w:pPr>
            <w:r w:rsidRPr="00E225AA">
              <w:rPr>
                <w:b/>
                <w:bCs/>
                <w:sz w:val="16"/>
                <w:szCs w:val="16"/>
              </w:rPr>
              <w:t>Finding 41</w:t>
            </w:r>
            <w:r w:rsidRPr="00E225AA">
              <w:rPr>
                <w:sz w:val="16"/>
                <w:szCs w:val="16"/>
              </w:rPr>
              <w:t>: Concerns in relation to the quality and adequacy of infrastructure are widespread with in many cases significant improvement required – especially if minimum requirements under the National Law and Regulations are to be met.</w:t>
            </w:r>
          </w:p>
          <w:p w14:paraId="355007C8" w14:textId="52C2EA0E" w:rsidR="006574C9" w:rsidRDefault="00E225AA">
            <w:pPr>
              <w:pStyle w:val="ListBullet"/>
            </w:pPr>
            <w:r w:rsidRPr="00E225AA">
              <w:rPr>
                <w:b/>
                <w:bCs/>
                <w:sz w:val="16"/>
                <w:szCs w:val="16"/>
              </w:rPr>
              <w:t>Finding 42:</w:t>
            </w:r>
            <w:r w:rsidRPr="00E225AA">
              <w:rPr>
                <w:sz w:val="16"/>
                <w:szCs w:val="16"/>
              </w:rPr>
              <w:t xml:space="preserve"> Limited utilisation of the contingency funding to support infrastructure upgrades reflects barriers to CCCFR services’ participation in the application process.</w:t>
            </w:r>
          </w:p>
        </w:tc>
      </w:tr>
    </w:tbl>
    <w:p w14:paraId="22D3B156" w14:textId="77777777" w:rsidR="006574C9" w:rsidRPr="00411FCC" w:rsidRDefault="006574C9" w:rsidP="006574C9">
      <w:pPr>
        <w:rPr>
          <w:rFonts w:eastAsia="Calibri" w:cs="Times New Roman"/>
          <w:b/>
          <w:color w:val="26890D"/>
        </w:rPr>
      </w:pPr>
      <w:r w:rsidRPr="00411FCC">
        <w:rPr>
          <w:rFonts w:eastAsia="Calibri" w:cs="Times New Roman"/>
          <w:b/>
          <w:color w:val="26890D"/>
        </w:rPr>
        <w:br/>
        <w:t xml:space="preserve">Recommendation </w:t>
      </w:r>
      <w:r w:rsidRPr="00411FCC">
        <w:rPr>
          <w:rFonts w:eastAsia="Calibri" w:cs="Times New Roman"/>
          <w:color w:val="26890D"/>
        </w:rPr>
        <w:t>16: Recognising the unique context of each CCCFR service, additional professional development and training should be arranged to support quality uplift, including delivery across different stakeholders (e.g., sector organisations and peak bodies) and different mediums (e.g., online, in person training, written guidance and tailored intensive supports at service).</w:t>
      </w:r>
    </w:p>
    <w:p w14:paraId="2E46EF8F" w14:textId="77777777" w:rsidR="006574C9" w:rsidRPr="00747B61" w:rsidRDefault="006574C9" w:rsidP="00171325">
      <w:pPr>
        <w:numPr>
          <w:ilvl w:val="0"/>
          <w:numId w:val="36"/>
        </w:numPr>
        <w:contextualSpacing/>
      </w:pPr>
      <w:r w:rsidRPr="00747B61">
        <w:lastRenderedPageBreak/>
        <w:t>Future professional development and training for CCCFR services should include targeted resources and supports for Persons with Management and Control (PMC) and those at Approved Provider-level (such as board members, CEOs, individuals working in council).</w:t>
      </w:r>
      <w:r w:rsidRPr="00747B61">
        <w:br/>
        <w:t xml:space="preserve">It should be delivered through a combination of the </w:t>
      </w:r>
      <w:r>
        <w:t>Department’s</w:t>
      </w:r>
      <w:r w:rsidRPr="00747B61">
        <w:t xml:space="preserve"> in-house resources and external providers. </w:t>
      </w:r>
    </w:p>
    <w:p w14:paraId="72610714" w14:textId="77777777" w:rsidR="006574C9" w:rsidRDefault="006574C9" w:rsidP="00171325">
      <w:pPr>
        <w:numPr>
          <w:ilvl w:val="0"/>
          <w:numId w:val="36"/>
        </w:numPr>
        <w:contextualSpacing/>
      </w:pPr>
      <w:r w:rsidRPr="00747B61">
        <w:t xml:space="preserve">To ensure that the professional development and training is culturally informed, delivery to </w:t>
      </w:r>
      <w:r w:rsidRPr="007D352B">
        <w:t xml:space="preserve">CCCFR </w:t>
      </w:r>
      <w:r w:rsidRPr="00747B61">
        <w:t>services primarily supporting Aboriginal and Torres Strait Islander communities (including ACCOs) should be supported by an Aboriginal and Torres Strait Islander peak in accordance with clause 45(c) of the National Agreement on Closing the Gap. </w:t>
      </w:r>
    </w:p>
    <w:p w14:paraId="0F598B12" w14:textId="77777777" w:rsidR="006574C9" w:rsidRPr="00747B61" w:rsidRDefault="006574C9" w:rsidP="006574C9">
      <w:pPr>
        <w:spacing w:after="0"/>
        <w:contextualSpacing/>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9872A7" w14:paraId="3CB98167"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33DCE7E8" w14:textId="1CD1D9BC" w:rsidR="009872A7" w:rsidRPr="00964087" w:rsidRDefault="009872A7">
            <w:pPr>
              <w:pStyle w:val="ListBullet"/>
              <w:numPr>
                <w:ilvl w:val="0"/>
                <w:numId w:val="0"/>
              </w:numPr>
              <w:rPr>
                <w:b/>
                <w:bCs/>
                <w:color w:val="FFFFFF" w:themeColor="background1"/>
              </w:rPr>
            </w:pPr>
            <w:r w:rsidRPr="00414DDD">
              <w:rPr>
                <w:b/>
                <w:bCs/>
              </w:rPr>
              <w:t xml:space="preserve">Findings </w:t>
            </w:r>
            <w:r w:rsidR="00C57392">
              <w:rPr>
                <w:b/>
                <w:bCs/>
              </w:rPr>
              <w:t>relating to</w:t>
            </w:r>
            <w:r w:rsidRPr="00414DDD">
              <w:rPr>
                <w:b/>
                <w:bCs/>
              </w:rPr>
              <w:t xml:space="preserve"> Recommendation 1</w:t>
            </w:r>
            <w:r>
              <w:rPr>
                <w:b/>
                <w:bCs/>
              </w:rPr>
              <w:t>6</w:t>
            </w:r>
          </w:p>
        </w:tc>
      </w:tr>
      <w:tr w:rsidR="009872A7" w14:paraId="451C4C5D" w14:textId="77777777">
        <w:tc>
          <w:tcPr>
            <w:tcW w:w="9026" w:type="dxa"/>
          </w:tcPr>
          <w:p w14:paraId="1DC5DC53" w14:textId="69C13874" w:rsidR="009872A7" w:rsidRDefault="00F67C85">
            <w:pPr>
              <w:pStyle w:val="ListBullet"/>
              <w:rPr>
                <w:sz w:val="16"/>
                <w:szCs w:val="16"/>
              </w:rPr>
            </w:pPr>
            <w:r w:rsidRPr="00441074">
              <w:rPr>
                <w:b/>
                <w:bCs/>
                <w:sz w:val="16"/>
                <w:szCs w:val="16"/>
              </w:rPr>
              <w:t>Finding 30:</w:t>
            </w:r>
            <w:r w:rsidRPr="00F67C85">
              <w:rPr>
                <w:sz w:val="16"/>
                <w:szCs w:val="16"/>
              </w:rPr>
              <w:t xml:space="preserve"> Analysis of Compliance and Operations Reports indicates varying capability and capacity across CCCFR services to prepare planning and governance documentation in line with the Minister’s Rules.</w:t>
            </w:r>
          </w:p>
          <w:p w14:paraId="6BE282E0" w14:textId="602A4F82" w:rsidR="00F67C85" w:rsidRPr="009872A7" w:rsidRDefault="009F4143">
            <w:pPr>
              <w:pStyle w:val="ListBullet"/>
              <w:rPr>
                <w:sz w:val="16"/>
                <w:szCs w:val="16"/>
              </w:rPr>
            </w:pPr>
            <w:r w:rsidRPr="00441074">
              <w:rPr>
                <w:b/>
                <w:bCs/>
                <w:sz w:val="16"/>
                <w:szCs w:val="16"/>
              </w:rPr>
              <w:t>Finding 31:</w:t>
            </w:r>
            <w:r w:rsidRPr="009F4143">
              <w:rPr>
                <w:sz w:val="16"/>
                <w:szCs w:val="16"/>
              </w:rPr>
              <w:t xml:space="preserve"> Broader workforce challenges have impacted several rural and remote CCCFR services’ ability to meet obligations under the Minister’s Rules, specifically around ensuring effective supervision and meeting First Aid obligations.</w:t>
            </w:r>
          </w:p>
          <w:p w14:paraId="79884363" w14:textId="77777777" w:rsidR="00A454E5" w:rsidRPr="00A454E5" w:rsidRDefault="00A454E5">
            <w:pPr>
              <w:pStyle w:val="ListBullet"/>
              <w:rPr>
                <w:sz w:val="16"/>
                <w:szCs w:val="16"/>
              </w:rPr>
            </w:pPr>
            <w:r w:rsidRPr="00441074">
              <w:rPr>
                <w:b/>
                <w:bCs/>
                <w:sz w:val="16"/>
                <w:szCs w:val="16"/>
              </w:rPr>
              <w:t>Finding 32:</w:t>
            </w:r>
            <w:r w:rsidRPr="00A454E5">
              <w:rPr>
                <w:sz w:val="16"/>
                <w:szCs w:val="16"/>
              </w:rPr>
              <w:t xml:space="preserve"> While the Minister’s Rules (section 49(9) of the FAL) prescribes obligations for CCCFR services not regulated under the NQF, certain obligations are subjective and open to interpretation, in particular criteria for the delivery of “high quality child care”.</w:t>
            </w:r>
            <w:r w:rsidRPr="00A454E5">
              <w:rPr>
                <w:sz w:val="16"/>
                <w:szCs w:val="16"/>
                <w:highlight w:val="yellow"/>
              </w:rPr>
              <w:t xml:space="preserve"> </w:t>
            </w:r>
          </w:p>
          <w:p w14:paraId="116A890E" w14:textId="77777777" w:rsidR="0084138E" w:rsidRPr="0084138E" w:rsidRDefault="0084138E">
            <w:pPr>
              <w:pStyle w:val="ListBullet"/>
              <w:rPr>
                <w:sz w:val="16"/>
                <w:szCs w:val="16"/>
              </w:rPr>
            </w:pPr>
            <w:r w:rsidRPr="00441074">
              <w:rPr>
                <w:b/>
                <w:bCs/>
                <w:sz w:val="16"/>
                <w:szCs w:val="16"/>
              </w:rPr>
              <w:t>Finding 33:</w:t>
            </w:r>
            <w:r w:rsidRPr="0084138E">
              <w:rPr>
                <w:sz w:val="16"/>
                <w:szCs w:val="16"/>
              </w:rPr>
              <w:t xml:space="preserve"> A lack of prescribed criteria for service documentation for the Compliance and Operations Reports has resulted in significantly varying documents submitted by CCCFR services, especially in relation to evidence of an educational program.</w:t>
            </w:r>
            <w:r w:rsidRPr="0084138E">
              <w:rPr>
                <w:sz w:val="16"/>
                <w:szCs w:val="16"/>
                <w:highlight w:val="yellow"/>
              </w:rPr>
              <w:t xml:space="preserve"> </w:t>
            </w:r>
          </w:p>
          <w:p w14:paraId="46BFBF57" w14:textId="1AB09372" w:rsidR="009872A7" w:rsidRPr="00E529C2" w:rsidRDefault="00441074" w:rsidP="00E529C2">
            <w:pPr>
              <w:pStyle w:val="ListBullet"/>
            </w:pPr>
            <w:r w:rsidRPr="00441074">
              <w:rPr>
                <w:b/>
                <w:bCs/>
                <w:sz w:val="16"/>
                <w:szCs w:val="16"/>
              </w:rPr>
              <w:t>Finding 34</w:t>
            </w:r>
            <w:r w:rsidRPr="00441074">
              <w:rPr>
                <w:sz w:val="16"/>
                <w:szCs w:val="16"/>
              </w:rPr>
              <w:t>: While the grant enables a range of professional development and training, and ongoing business supports for CCCFR services, it is unclear whether these efforts are targeted towards those within leadership and/or management positions, such as PMCs or Approved Providers.</w:t>
            </w:r>
          </w:p>
        </w:tc>
      </w:tr>
    </w:tbl>
    <w:p w14:paraId="357B5F1D" w14:textId="5D3E09C9" w:rsidR="006574C9" w:rsidRPr="00411FCC" w:rsidRDefault="006574C9" w:rsidP="009872A7">
      <w:pPr>
        <w:spacing w:before="240"/>
        <w:rPr>
          <w:rFonts w:eastAsia="Calibri" w:cs="Times New Roman"/>
          <w:b/>
          <w:color w:val="26890D"/>
        </w:rPr>
      </w:pPr>
      <w:r w:rsidRPr="00411FCC">
        <w:rPr>
          <w:rFonts w:eastAsia="Calibri" w:cs="Times New Roman"/>
          <w:b/>
          <w:color w:val="26890D"/>
        </w:rPr>
        <w:t xml:space="preserve">Recommendation </w:t>
      </w:r>
      <w:r w:rsidRPr="00411FCC">
        <w:rPr>
          <w:rFonts w:eastAsia="Calibri" w:cs="Times New Roman"/>
          <w:color w:val="26890D"/>
        </w:rPr>
        <w:t xml:space="preserve">17: To enable clearer oversight of asset and infrastructure challenges faced by CCCFR services, in particular those posing a barrier to compliance with the Family Assistance Law (FAL) and/or the National Quality Framework (NQF), </w:t>
      </w:r>
      <w:r w:rsidR="00AE0723" w:rsidRPr="00411FCC">
        <w:rPr>
          <w:rFonts w:eastAsia="Calibri" w:cs="Times New Roman"/>
          <w:color w:val="26890D"/>
        </w:rPr>
        <w:t>a quality audit of current assets and infrastructure should be commissioned and, on the basis of this, an asset management plan developed.</w:t>
      </w:r>
    </w:p>
    <w:p w14:paraId="58FCA484" w14:textId="77777777" w:rsidR="006574C9" w:rsidRPr="00747B61" w:rsidRDefault="006574C9" w:rsidP="006574C9">
      <w:pPr>
        <w:pStyle w:val="ListBullet"/>
      </w:pPr>
      <w:r>
        <w:t>The audit of CCCFR service assets and infrastructure should adopt a risk-based approach, identifying and addressing CCCFR services with outstanding infrastructure or asset challenges, followed by the proactive identification and response to infrastructure concerns which may pose risk to the health and safety of children in care.</w:t>
      </w:r>
    </w:p>
    <w:p w14:paraId="6F4032A5" w14:textId="77777777" w:rsidR="006574C9" w:rsidRPr="00747B61" w:rsidRDefault="006574C9" w:rsidP="006574C9">
      <w:pPr>
        <w:pStyle w:val="ListBullet"/>
      </w:pPr>
      <w:r>
        <w:t>This quality audit of service assets and infrastructure could be undertaken in partnership with infrastructure specialists, regulatory and planning experts and/or state and territory regulatory authorities.</w:t>
      </w:r>
    </w:p>
    <w:p w14:paraId="0CE3C3DA" w14:textId="300A38EA" w:rsidR="006574C9" w:rsidRPr="002463ED" w:rsidRDefault="006574C9" w:rsidP="006574C9">
      <w:pPr>
        <w:pStyle w:val="ListBullet"/>
      </w:pPr>
      <w:r>
        <w:t>In adopting an ongoing asset management plan, consideration should be made to ways in which patterns of infrastructure or maintenance issues</w:t>
      </w:r>
      <w:r w:rsidR="001A2FF7">
        <w:t xml:space="preserve"> can be monitored</w:t>
      </w:r>
      <w:r>
        <w:t xml:space="preserve"> in a systematic manner, such as through the annual reporting conditions of the grant. This can support adequate resourcing and planning for infrastructure and maintenance costs. </w:t>
      </w:r>
    </w:p>
    <w:p w14:paraId="18DD48DB" w14:textId="77777777" w:rsidR="006574C9" w:rsidRDefault="006574C9" w:rsidP="006574C9">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59E190EE"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C40B80C" w14:textId="796B3E76" w:rsidR="006574C9" w:rsidRPr="00964087" w:rsidRDefault="006574C9">
            <w:pPr>
              <w:pStyle w:val="ListBullet"/>
              <w:numPr>
                <w:ilvl w:val="0"/>
                <w:numId w:val="0"/>
              </w:numPr>
              <w:rPr>
                <w:b/>
                <w:bCs/>
                <w:color w:val="FFFFFF" w:themeColor="background1"/>
              </w:rPr>
            </w:pPr>
            <w:r w:rsidRPr="00414DDD">
              <w:rPr>
                <w:b/>
                <w:bCs/>
              </w:rPr>
              <w:t xml:space="preserve">Findings </w:t>
            </w:r>
            <w:r w:rsidR="00C57392">
              <w:rPr>
                <w:b/>
                <w:bCs/>
              </w:rPr>
              <w:t>relat</w:t>
            </w:r>
            <w:r w:rsidR="001133A1">
              <w:rPr>
                <w:b/>
                <w:bCs/>
              </w:rPr>
              <w:t>ing</w:t>
            </w:r>
            <w:r w:rsidR="00C57392">
              <w:rPr>
                <w:b/>
                <w:bCs/>
              </w:rPr>
              <w:t xml:space="preserve"> </w:t>
            </w:r>
            <w:r w:rsidR="004B03F1">
              <w:rPr>
                <w:b/>
                <w:bCs/>
              </w:rPr>
              <w:t>to</w:t>
            </w:r>
            <w:r w:rsidRPr="00414DDD">
              <w:rPr>
                <w:b/>
                <w:bCs/>
              </w:rPr>
              <w:t xml:space="preserve"> Recommendation 17</w:t>
            </w:r>
          </w:p>
        </w:tc>
      </w:tr>
      <w:tr w:rsidR="006574C9" w14:paraId="1FF36C33" w14:textId="77777777">
        <w:tc>
          <w:tcPr>
            <w:tcW w:w="9026" w:type="dxa"/>
          </w:tcPr>
          <w:p w14:paraId="282C1F85" w14:textId="77777777" w:rsidR="00FE5FA4" w:rsidRPr="00FE5FA4" w:rsidRDefault="00FE5FA4">
            <w:pPr>
              <w:pStyle w:val="ListBullet"/>
              <w:rPr>
                <w:sz w:val="16"/>
                <w:szCs w:val="16"/>
              </w:rPr>
            </w:pPr>
            <w:r w:rsidRPr="00FE5FA4">
              <w:rPr>
                <w:b/>
                <w:bCs/>
                <w:sz w:val="16"/>
                <w:szCs w:val="16"/>
              </w:rPr>
              <w:t>Finding 28:</w:t>
            </w:r>
            <w:r w:rsidRPr="00FE5FA4">
              <w:rPr>
                <w:sz w:val="16"/>
                <w:szCs w:val="16"/>
              </w:rPr>
              <w:t xml:space="preserve"> Some CCCFR services are expected to face significant barriers to meeting the National Law and Regulations, in particular around meeting workforce and infrastructure requirements.</w:t>
            </w:r>
            <w:r w:rsidRPr="00FE5FA4">
              <w:rPr>
                <w:sz w:val="16"/>
                <w:szCs w:val="16"/>
                <w:highlight w:val="yellow"/>
              </w:rPr>
              <w:t xml:space="preserve"> </w:t>
            </w:r>
          </w:p>
          <w:p w14:paraId="4B21DA15" w14:textId="4CA7135A" w:rsidR="002E3CF9" w:rsidRPr="002E3CF9" w:rsidRDefault="002E3CF9" w:rsidP="002E3CF9">
            <w:pPr>
              <w:pStyle w:val="ListBullet"/>
              <w:rPr>
                <w:sz w:val="16"/>
                <w:szCs w:val="16"/>
              </w:rPr>
            </w:pPr>
            <w:r w:rsidRPr="002E3CF9">
              <w:rPr>
                <w:b/>
                <w:sz w:val="16"/>
                <w:szCs w:val="16"/>
              </w:rPr>
              <w:t>Finding 41:</w:t>
            </w:r>
            <w:r w:rsidRPr="002E3CF9">
              <w:rPr>
                <w:sz w:val="16"/>
                <w:szCs w:val="16"/>
              </w:rPr>
              <w:t xml:space="preserve"> Concerns in relation to the quality and adequacy of infrastructure are widespread with in many cases significant improvement required – especially if minimum requirements under the National Law and Regulations are to be met.</w:t>
            </w:r>
          </w:p>
          <w:p w14:paraId="5F717DC9" w14:textId="55BC2BB9" w:rsidR="006574C9" w:rsidRPr="001075CA" w:rsidRDefault="002E3CF9">
            <w:pPr>
              <w:pStyle w:val="ListBullet"/>
              <w:rPr>
                <w:sz w:val="16"/>
                <w:szCs w:val="16"/>
              </w:rPr>
            </w:pPr>
            <w:r w:rsidRPr="002E3CF9">
              <w:rPr>
                <w:b/>
                <w:sz w:val="16"/>
                <w:szCs w:val="16"/>
              </w:rPr>
              <w:t>Finding 42:</w:t>
            </w:r>
            <w:r w:rsidRPr="002E3CF9">
              <w:rPr>
                <w:sz w:val="16"/>
                <w:szCs w:val="16"/>
              </w:rPr>
              <w:t xml:space="preserve"> Limited utilisation of the contingency funding to support infrastructure upgrades reflects barriers to CCCFR services’ participation in the application process. </w:t>
            </w:r>
          </w:p>
        </w:tc>
      </w:tr>
    </w:tbl>
    <w:p w14:paraId="7E9AD03A" w14:textId="77777777" w:rsidR="006574C9" w:rsidRPr="00411FCC" w:rsidRDefault="006574C9" w:rsidP="006574C9">
      <w:pPr>
        <w:spacing w:before="240"/>
        <w:rPr>
          <w:rFonts w:eastAsia="Times New Roman" w:cs="Times New Roman"/>
          <w:color w:val="26890D"/>
        </w:rPr>
      </w:pPr>
      <w:r w:rsidRPr="00411FCC">
        <w:rPr>
          <w:rFonts w:eastAsia="Calibri" w:cs="Times New Roman"/>
          <w:b/>
          <w:color w:val="26890D"/>
        </w:rPr>
        <w:lastRenderedPageBreak/>
        <w:t xml:space="preserve">Recommendation </w:t>
      </w:r>
      <w:r w:rsidRPr="00411FCC">
        <w:rPr>
          <w:rFonts w:eastAsia="Calibri" w:cs="Times New Roman"/>
          <w:color w:val="26890D"/>
        </w:rPr>
        <w:t xml:space="preserve">18: </w:t>
      </w:r>
      <w:r w:rsidRPr="00411FCC">
        <w:rPr>
          <w:rFonts w:eastAsia="Times New Roman" w:cs="Times New Roman"/>
          <w:color w:val="26890D"/>
        </w:rPr>
        <w:t>Reporting requirements and procedures for annual compliance checks as parts of leasing arrangements should be implemented through the introduction of a robust framework to ensure building/improvement maintenance and compliance are being adhered to by all parties.</w:t>
      </w:r>
    </w:p>
    <w:p w14:paraId="14332EC5" w14:textId="77777777" w:rsidR="006574C9" w:rsidRPr="00747B61" w:rsidRDefault="006574C9" w:rsidP="006574C9">
      <w:pPr>
        <w:pStyle w:val="ListBullet"/>
      </w:pPr>
      <w:r>
        <w:t>It is recommended that reporting requirements and procedures for annual compliance checks be implemented through the introduction of a robust framework to ensure building/improvement maintenance and compliance are being adhered to by the parties.</w:t>
      </w:r>
    </w:p>
    <w:p w14:paraId="0A95EC0C" w14:textId="77777777" w:rsidR="006574C9" w:rsidRDefault="006574C9" w:rsidP="006574C9">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2C3CCFE3"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348D4FD8" w14:textId="1F96C218" w:rsidR="006574C9" w:rsidRPr="00964087" w:rsidRDefault="006574C9">
            <w:pPr>
              <w:pStyle w:val="ListBullet"/>
              <w:numPr>
                <w:ilvl w:val="0"/>
                <w:numId w:val="0"/>
              </w:numPr>
              <w:rPr>
                <w:b/>
                <w:bCs/>
                <w:color w:val="FFFFFF" w:themeColor="background1"/>
              </w:rPr>
            </w:pPr>
            <w:r w:rsidRPr="00414DDD">
              <w:rPr>
                <w:b/>
                <w:bCs/>
              </w:rPr>
              <w:t xml:space="preserve">Findings </w:t>
            </w:r>
            <w:r w:rsidR="001133A1">
              <w:rPr>
                <w:b/>
                <w:bCs/>
              </w:rPr>
              <w:t>relating to</w:t>
            </w:r>
            <w:r w:rsidRPr="00414DDD">
              <w:rPr>
                <w:b/>
                <w:bCs/>
              </w:rPr>
              <w:t xml:space="preserve"> Recommendation 18</w:t>
            </w:r>
          </w:p>
        </w:tc>
      </w:tr>
      <w:tr w:rsidR="006574C9" w14:paraId="0B13E921" w14:textId="77777777">
        <w:tc>
          <w:tcPr>
            <w:tcW w:w="9026" w:type="dxa"/>
          </w:tcPr>
          <w:p w14:paraId="73ED5A39" w14:textId="77777777" w:rsidR="00FE5FA4" w:rsidRPr="00FE5FA4" w:rsidRDefault="00FE5FA4">
            <w:pPr>
              <w:pStyle w:val="ListBullet"/>
              <w:rPr>
                <w:sz w:val="16"/>
                <w:szCs w:val="16"/>
              </w:rPr>
            </w:pPr>
            <w:r w:rsidRPr="00FE5FA4">
              <w:rPr>
                <w:b/>
                <w:bCs/>
                <w:sz w:val="16"/>
                <w:szCs w:val="16"/>
              </w:rPr>
              <w:t>Finding 28:</w:t>
            </w:r>
            <w:r w:rsidRPr="00FE5FA4">
              <w:rPr>
                <w:sz w:val="16"/>
                <w:szCs w:val="16"/>
              </w:rPr>
              <w:t xml:space="preserve"> Some CCCFR services are expected to face significant barriers to meeting the National Law and Regulations, in particular around meeting workforce and infrastructure requirements.</w:t>
            </w:r>
            <w:r w:rsidRPr="00FE5FA4">
              <w:rPr>
                <w:sz w:val="16"/>
                <w:szCs w:val="16"/>
                <w:highlight w:val="yellow"/>
              </w:rPr>
              <w:t xml:space="preserve"> </w:t>
            </w:r>
          </w:p>
          <w:p w14:paraId="770612C3" w14:textId="4E29A3AF" w:rsidR="006E6A8B" w:rsidRPr="006E6A8B" w:rsidRDefault="006E6A8B" w:rsidP="00406E92">
            <w:pPr>
              <w:pStyle w:val="ListBullet"/>
              <w:rPr>
                <w:sz w:val="16"/>
                <w:szCs w:val="16"/>
              </w:rPr>
            </w:pPr>
            <w:r w:rsidRPr="006E6A8B">
              <w:rPr>
                <w:b/>
                <w:bCs/>
                <w:sz w:val="16"/>
                <w:szCs w:val="16"/>
              </w:rPr>
              <w:t>Finding 40:</w:t>
            </w:r>
            <w:r w:rsidRPr="006E6A8B">
              <w:rPr>
                <w:sz w:val="16"/>
                <w:szCs w:val="16"/>
              </w:rPr>
              <w:t xml:space="preserve"> Of the various leasing arrangements currently in place, the Management Agreement appears to better accommodate the delivery of child care services, clearly outlining obligations of the parties to the agreement and imposing obligations on the Commonwealth and/or the operator to maintain building compliance. However, there are ways the Management Agreement could be strengthened for future arrangements.</w:t>
            </w:r>
          </w:p>
          <w:p w14:paraId="5C7D7381" w14:textId="0EAB5319" w:rsidR="00406E92" w:rsidRPr="00406E92" w:rsidRDefault="00406E92" w:rsidP="00406E92">
            <w:pPr>
              <w:pStyle w:val="ListBullet"/>
              <w:rPr>
                <w:sz w:val="16"/>
                <w:szCs w:val="16"/>
              </w:rPr>
            </w:pPr>
            <w:r w:rsidRPr="00406E92">
              <w:rPr>
                <w:b/>
                <w:bCs/>
                <w:sz w:val="16"/>
                <w:szCs w:val="16"/>
              </w:rPr>
              <w:t>Finding 41:</w:t>
            </w:r>
            <w:r w:rsidRPr="00406E92">
              <w:rPr>
                <w:sz w:val="16"/>
                <w:szCs w:val="16"/>
              </w:rPr>
              <w:t xml:space="preserve"> Concerns in relation to the quality and adequacy of infrastructure are widespread</w:t>
            </w:r>
            <w:r w:rsidR="000C7F11">
              <w:rPr>
                <w:sz w:val="16"/>
                <w:szCs w:val="16"/>
              </w:rPr>
              <w:t>,</w:t>
            </w:r>
            <w:r w:rsidRPr="00406E92">
              <w:rPr>
                <w:sz w:val="16"/>
                <w:szCs w:val="16"/>
              </w:rPr>
              <w:t xml:space="preserve"> with significant improvement required</w:t>
            </w:r>
            <w:r w:rsidR="000C7F11">
              <w:rPr>
                <w:sz w:val="16"/>
                <w:szCs w:val="16"/>
              </w:rPr>
              <w:t xml:space="preserve"> in many cases</w:t>
            </w:r>
            <w:r w:rsidRPr="00406E92">
              <w:rPr>
                <w:sz w:val="16"/>
                <w:szCs w:val="16"/>
              </w:rPr>
              <w:t xml:space="preserve"> – especially if minimum requirements under the National Law and Regulations are to be met.</w:t>
            </w:r>
          </w:p>
          <w:p w14:paraId="40294A4B" w14:textId="53C4FB9F" w:rsidR="006574C9" w:rsidRPr="00E2182F" w:rsidRDefault="00406E92">
            <w:pPr>
              <w:pStyle w:val="ListBullet"/>
              <w:rPr>
                <w:sz w:val="16"/>
                <w:szCs w:val="16"/>
              </w:rPr>
            </w:pPr>
            <w:r w:rsidRPr="002E3CF9">
              <w:rPr>
                <w:b/>
                <w:bCs/>
                <w:sz w:val="16"/>
                <w:szCs w:val="16"/>
              </w:rPr>
              <w:t>Finding 42:</w:t>
            </w:r>
            <w:r w:rsidRPr="002E3CF9">
              <w:rPr>
                <w:sz w:val="16"/>
                <w:szCs w:val="16"/>
              </w:rPr>
              <w:t xml:space="preserve"> Limited utilisation of the contingency funding to support infrastructure upgrades reflects barriers to CCCFR services’ participation in the application process.</w:t>
            </w:r>
          </w:p>
        </w:tc>
      </w:tr>
    </w:tbl>
    <w:p w14:paraId="6EC7520F" w14:textId="13363B22" w:rsidR="006574C9" w:rsidRPr="00411FCC" w:rsidRDefault="006574C9" w:rsidP="006574C9">
      <w:pPr>
        <w:spacing w:before="240"/>
        <w:rPr>
          <w:rFonts w:eastAsia="Times New Roman" w:cs="Times New Roman"/>
          <w:b/>
          <w:color w:val="26890D"/>
        </w:rPr>
      </w:pPr>
      <w:r w:rsidRPr="00411FCC">
        <w:rPr>
          <w:rFonts w:eastAsia="Times New Roman" w:cs="Times New Roman"/>
          <w:b/>
          <w:color w:val="26890D"/>
        </w:rPr>
        <w:t xml:space="preserve">Recommendation </w:t>
      </w:r>
      <w:r w:rsidRPr="00411FCC">
        <w:rPr>
          <w:rFonts w:eastAsia="Times New Roman" w:cs="Times New Roman"/>
          <w:color w:val="26890D"/>
        </w:rPr>
        <w:t>19: Any future leasing arrangements should consider the requirements that are additional to securing property use rights and tenure, such as obligations for providing early childhood education</w:t>
      </w:r>
      <w:r w:rsidR="00300A10" w:rsidRPr="00411FCC">
        <w:rPr>
          <w:rFonts w:eastAsia="Times New Roman" w:cs="Times New Roman"/>
          <w:color w:val="26890D"/>
        </w:rPr>
        <w:t xml:space="preserve"> and care</w:t>
      </w:r>
      <w:r w:rsidRPr="00411FCC">
        <w:rPr>
          <w:rFonts w:eastAsia="Times New Roman" w:cs="Times New Roman"/>
          <w:color w:val="26890D"/>
        </w:rPr>
        <w:t>, and ensure that these obligations are clearly articulated.</w:t>
      </w:r>
      <w:r w:rsidRPr="00411FCC">
        <w:rPr>
          <w:rFonts w:eastAsia="Times New Roman" w:cs="Times New Roman"/>
          <w:b/>
          <w:color w:val="26890D"/>
        </w:rPr>
        <w:t xml:space="preserve"> </w:t>
      </w:r>
    </w:p>
    <w:p w14:paraId="6FA40B4C" w14:textId="77777777" w:rsidR="006574C9" w:rsidRPr="00747B61" w:rsidRDefault="006574C9" w:rsidP="006574C9">
      <w:pPr>
        <w:pStyle w:val="ListBullet"/>
      </w:pPr>
      <w:r>
        <w:t xml:space="preserve">The Management Agreement arrangement </w:t>
      </w:r>
      <w:r w:rsidRPr="2B91AEFB">
        <w:rPr>
          <w:rFonts w:eastAsia="Times New Roman"/>
        </w:rPr>
        <w:t xml:space="preserve">between the Australian and NT Governments for certain properties located in the Northern Territory </w:t>
      </w:r>
      <w:r>
        <w:t xml:space="preserve">could be enhanced by individual property schedules which have greater clarity on parties’ roles and responsibilities. </w:t>
      </w:r>
    </w:p>
    <w:p w14:paraId="03525A93" w14:textId="77777777" w:rsidR="006574C9" w:rsidRDefault="006574C9" w:rsidP="006574C9">
      <w:pPr>
        <w:pStyle w:val="ListBullet"/>
      </w:pPr>
      <w:r>
        <w:t xml:space="preserve">The focus of the agreements should be on access/tenure, delivery of CCCFR services, and ensuring adequate infrastructure for quality child care </w:t>
      </w:r>
      <w:r w:rsidDel="00CA6B7E">
        <w:t>delivery</w:t>
      </w:r>
      <w:r>
        <w:t>.</w:t>
      </w:r>
    </w:p>
    <w:p w14:paraId="0969658A" w14:textId="77777777" w:rsidR="006574C9" w:rsidRDefault="006574C9" w:rsidP="006574C9">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6574C9" w14:paraId="78E7B43D"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2B691217" w14:textId="42DCA77D" w:rsidR="006574C9" w:rsidRPr="00964087" w:rsidRDefault="006574C9">
            <w:pPr>
              <w:pStyle w:val="ListBullet"/>
              <w:numPr>
                <w:ilvl w:val="0"/>
                <w:numId w:val="0"/>
              </w:numPr>
              <w:rPr>
                <w:b/>
                <w:bCs/>
                <w:color w:val="FFFFFF" w:themeColor="background1"/>
              </w:rPr>
            </w:pPr>
            <w:r w:rsidRPr="00414DDD">
              <w:rPr>
                <w:b/>
                <w:bCs/>
              </w:rPr>
              <w:t xml:space="preserve">Findings </w:t>
            </w:r>
            <w:r w:rsidR="001133A1">
              <w:rPr>
                <w:b/>
                <w:bCs/>
              </w:rPr>
              <w:t>relating to</w:t>
            </w:r>
            <w:r w:rsidRPr="00414DDD">
              <w:rPr>
                <w:b/>
                <w:bCs/>
              </w:rPr>
              <w:t xml:space="preserve"> Recommendation 19</w:t>
            </w:r>
          </w:p>
        </w:tc>
      </w:tr>
      <w:tr w:rsidR="006574C9" w14:paraId="2005793A" w14:textId="77777777">
        <w:tc>
          <w:tcPr>
            <w:tcW w:w="9026" w:type="dxa"/>
          </w:tcPr>
          <w:p w14:paraId="1826B549" w14:textId="36DD1854" w:rsidR="006574C9" w:rsidRPr="00E2182F" w:rsidRDefault="00AC1F4B">
            <w:pPr>
              <w:pStyle w:val="ListBullet"/>
              <w:rPr>
                <w:sz w:val="16"/>
                <w:szCs w:val="16"/>
              </w:rPr>
            </w:pPr>
            <w:r w:rsidRPr="00AC1F4B">
              <w:rPr>
                <w:sz w:val="16"/>
                <w:szCs w:val="16"/>
              </w:rPr>
              <w:t>Finding 40: Of the various leasing arrangements currently in place, the Management Agreement appears to better accommodate the delivery of child care services, clearly outlining obligations of the parties to the agreement and imposing obligations on the Commonwealth and/or the operator to maintain building compliance. However, there are ways the Management Agreement could be strengthened for future arrangements.</w:t>
            </w:r>
            <w:r w:rsidRPr="00AC1F4B">
              <w:rPr>
                <w:sz w:val="16"/>
                <w:szCs w:val="16"/>
                <w:highlight w:val="yellow"/>
              </w:rPr>
              <w:t xml:space="preserve"> </w:t>
            </w:r>
          </w:p>
        </w:tc>
      </w:tr>
    </w:tbl>
    <w:p w14:paraId="75618182" w14:textId="77777777" w:rsidR="006574C9" w:rsidRPr="00747B61" w:rsidRDefault="006574C9" w:rsidP="006574C9">
      <w:pPr>
        <w:pStyle w:val="ListBullet"/>
        <w:numPr>
          <w:ilvl w:val="0"/>
          <w:numId w:val="0"/>
        </w:numPr>
        <w:ind w:left="340" w:hanging="340"/>
      </w:pPr>
    </w:p>
    <w:p w14:paraId="43EA4E80" w14:textId="65AE50B2" w:rsidR="00390AF5" w:rsidRDefault="00390AF5" w:rsidP="00BF3260">
      <w:pPr>
        <w:sectPr w:rsidR="00390AF5" w:rsidSect="005F043A">
          <w:headerReference w:type="even" r:id="rId29"/>
          <w:headerReference w:type="default" r:id="rId30"/>
          <w:footerReference w:type="default" r:id="rId31"/>
          <w:headerReference w:type="first" r:id="rId32"/>
          <w:pgSz w:w="11906" w:h="16838" w:code="9"/>
          <w:pgMar w:top="1440" w:right="1440" w:bottom="1440" w:left="1440" w:header="680" w:footer="425" w:gutter="0"/>
          <w:pgNumType w:fmt="lowerRoman"/>
          <w:cols w:space="284"/>
          <w:noEndnote/>
          <w:docGrid w:linePitch="360"/>
        </w:sectPr>
      </w:pPr>
    </w:p>
    <w:p w14:paraId="046EC3FC" w14:textId="111CADFB" w:rsidR="00232866" w:rsidRPr="003549F9" w:rsidRDefault="005D0811" w:rsidP="005D0811">
      <w:pPr>
        <w:pStyle w:val="Heading1un-numbered"/>
      </w:pPr>
      <w:bookmarkStart w:id="63" w:name="_Toc158993743"/>
      <w:bookmarkStart w:id="64" w:name="_Toc170227390"/>
      <w:r w:rsidRPr="003549F9">
        <w:lastRenderedPageBreak/>
        <w:t>Part A: Background and context</w:t>
      </w:r>
      <w:bookmarkEnd w:id="63"/>
      <w:bookmarkEnd w:id="64"/>
    </w:p>
    <w:p w14:paraId="64382EEC" w14:textId="4FB284CE" w:rsidR="005D0811" w:rsidRPr="003549F9" w:rsidRDefault="005D0811" w:rsidP="005D0811">
      <w:pPr>
        <w:sectPr w:rsidR="005D0811" w:rsidRPr="003549F9" w:rsidSect="00390AF5">
          <w:headerReference w:type="even" r:id="rId33"/>
          <w:headerReference w:type="default" r:id="rId34"/>
          <w:footerReference w:type="default" r:id="rId35"/>
          <w:headerReference w:type="first" r:id="rId36"/>
          <w:pgSz w:w="11906" w:h="16838" w:code="9"/>
          <w:pgMar w:top="1440" w:right="1440" w:bottom="1440" w:left="1440" w:header="680" w:footer="425" w:gutter="0"/>
          <w:pgNumType w:start="1"/>
          <w:cols w:space="284"/>
          <w:noEndnote/>
          <w:docGrid w:linePitch="360"/>
        </w:sectPr>
      </w:pPr>
    </w:p>
    <w:p w14:paraId="5A6D1117" w14:textId="4E696699" w:rsidR="00BF3260" w:rsidRPr="003549F9" w:rsidRDefault="00411A90" w:rsidP="009A4289">
      <w:pPr>
        <w:pStyle w:val="Heading1"/>
      </w:pPr>
      <w:bookmarkStart w:id="65" w:name="_Toc158993744"/>
      <w:bookmarkStart w:id="66" w:name="_Toc170227391"/>
      <w:r w:rsidRPr="003549F9">
        <w:lastRenderedPageBreak/>
        <w:t>Introduction</w:t>
      </w:r>
      <w:bookmarkEnd w:id="65"/>
      <w:bookmarkEnd w:id="66"/>
    </w:p>
    <w:p w14:paraId="47DDD700" w14:textId="14563750" w:rsidR="00CA12A2" w:rsidRDefault="00CA12A2" w:rsidP="00CA12A2">
      <w:pPr>
        <w:pStyle w:val="Sectionintro"/>
      </w:pPr>
      <w:r>
        <w:t xml:space="preserve">This chapter provides </w:t>
      </w:r>
      <w:r w:rsidR="009B09FC">
        <w:t>an</w:t>
      </w:r>
      <w:r>
        <w:t xml:space="preserve"> overview of the CCCFR review and the scope </w:t>
      </w:r>
      <w:r w:rsidR="009B09FC">
        <w:t xml:space="preserve">and structure </w:t>
      </w:r>
      <w:r>
        <w:t>of this report.</w:t>
      </w:r>
    </w:p>
    <w:p w14:paraId="55A778DA" w14:textId="77777777" w:rsidR="00036B84" w:rsidRDefault="00036B84" w:rsidP="00036B84">
      <w:pPr>
        <w:pStyle w:val="Heading2"/>
      </w:pPr>
      <w:bookmarkStart w:id="67" w:name="_Toc151723843"/>
      <w:bookmarkStart w:id="68" w:name="_Toc158993745"/>
      <w:bookmarkStart w:id="69" w:name="_Toc170227392"/>
      <w:r>
        <w:t>Review of the Community Child Care Fund Restricted (CCCFR) grant</w:t>
      </w:r>
      <w:bookmarkEnd w:id="67"/>
      <w:bookmarkEnd w:id="68"/>
      <w:bookmarkEnd w:id="69"/>
    </w:p>
    <w:p w14:paraId="14D42847" w14:textId="614849B3" w:rsidR="00036B84" w:rsidRDefault="00211108" w:rsidP="00E830AD">
      <w:pPr>
        <w:spacing w:after="120"/>
      </w:pPr>
      <w:r>
        <w:br/>
      </w:r>
      <w:r w:rsidR="002E0704" w:rsidRPr="002E0704">
        <w:t xml:space="preserve">The Department of Education (the </w:t>
      </w:r>
      <w:r w:rsidR="002E0704">
        <w:t>D</w:t>
      </w:r>
      <w:r w:rsidR="002E0704" w:rsidRPr="002E0704">
        <w:t>epartment) commissioned Deloitte Access Economics, in partnership with SNAICC and Murawin, in early 2023 to undertake a review of the Community Child Care Fund Restricted (CCCFR) grant</w:t>
      </w:r>
      <w:r w:rsidR="002E0704">
        <w:t>.</w:t>
      </w:r>
    </w:p>
    <w:p w14:paraId="687AD95F" w14:textId="71244638" w:rsidR="00202D44" w:rsidRDefault="00202D44" w:rsidP="00036B84">
      <w:r w:rsidRPr="008A6066">
        <w:t xml:space="preserve">While Deloitte Access Economics maintains overall responsibility for the review, </w:t>
      </w:r>
      <w:r w:rsidR="00AA1953" w:rsidRPr="008A6066">
        <w:t xml:space="preserve">the partnership has </w:t>
      </w:r>
      <w:r w:rsidR="00705EBF" w:rsidRPr="008A6066">
        <w:t xml:space="preserve">been </w:t>
      </w:r>
      <w:r w:rsidR="00AA1953" w:rsidRPr="008A6066">
        <w:t xml:space="preserve">facilitated </w:t>
      </w:r>
      <w:r w:rsidR="00705EBF" w:rsidRPr="008A6066">
        <w:t xml:space="preserve">through Murawin’s support in </w:t>
      </w:r>
      <w:r w:rsidR="001B7471" w:rsidRPr="008A6066">
        <w:t>co-</w:t>
      </w:r>
      <w:r w:rsidR="00705EBF" w:rsidRPr="008A6066">
        <w:t xml:space="preserve">designing and executing the stakeholder </w:t>
      </w:r>
      <w:r w:rsidR="006E4A23" w:rsidRPr="006E4A23">
        <w:t>engagement</w:t>
      </w:r>
      <w:r w:rsidR="00705EBF" w:rsidRPr="008A6066">
        <w:t xml:space="preserve"> approach</w:t>
      </w:r>
      <w:r w:rsidR="009A401F" w:rsidRPr="008A6066">
        <w:t>;</w:t>
      </w:r>
      <w:r w:rsidR="00705EBF" w:rsidRPr="008A6066">
        <w:t xml:space="preserve"> </w:t>
      </w:r>
      <w:r w:rsidR="001B7471" w:rsidRPr="008A6066">
        <w:t xml:space="preserve">and SNAICC’s support in co-designing and executing the stakeholder </w:t>
      </w:r>
      <w:r w:rsidR="006E4A23" w:rsidRPr="006E4A23">
        <w:t>engagement</w:t>
      </w:r>
      <w:r w:rsidR="001B7471" w:rsidRPr="008A6066">
        <w:t xml:space="preserve"> approach</w:t>
      </w:r>
      <w:r w:rsidR="009A401F" w:rsidRPr="008A6066">
        <w:t>,</w:t>
      </w:r>
      <w:r w:rsidR="001B7471" w:rsidRPr="008A6066">
        <w:t xml:space="preserve"> and also providing </w:t>
      </w:r>
      <w:r w:rsidR="00745FFF" w:rsidRPr="008A6066">
        <w:t xml:space="preserve">advice </w:t>
      </w:r>
      <w:r w:rsidR="009A401F" w:rsidRPr="008A6066">
        <w:t xml:space="preserve">as it </w:t>
      </w:r>
      <w:r w:rsidR="00E917D4" w:rsidRPr="008A6066">
        <w:t>pertains</w:t>
      </w:r>
      <w:r w:rsidR="009A401F" w:rsidRPr="008A6066">
        <w:t xml:space="preserve"> to </w:t>
      </w:r>
      <w:r w:rsidR="006773A2" w:rsidRPr="006773A2">
        <w:t xml:space="preserve">grant </w:t>
      </w:r>
      <w:r w:rsidR="00E917D4" w:rsidRPr="008A6066">
        <w:t xml:space="preserve">and </w:t>
      </w:r>
      <w:r w:rsidR="009A401F" w:rsidRPr="008A6066">
        <w:t xml:space="preserve">policy design </w:t>
      </w:r>
      <w:r w:rsidR="00E917D4" w:rsidRPr="008A6066">
        <w:t>with Aboriginal and Torres Strait Islander communities.</w:t>
      </w:r>
      <w:r w:rsidR="002E497C">
        <w:t xml:space="preserve">  </w:t>
      </w:r>
    </w:p>
    <w:p w14:paraId="2A19E08B" w14:textId="77777777" w:rsidR="00036B84" w:rsidRDefault="00036B84" w:rsidP="00036B84">
      <w:pPr>
        <w:rPr>
          <w:b/>
          <w:bCs/>
        </w:rPr>
      </w:pPr>
      <w:r>
        <w:t>The primary purpose of this review is to understand the extent to which the CCCFR grant has delivered on its intended outcomes – in particular, whether and how the CCCFR grant:</w:t>
      </w:r>
    </w:p>
    <w:p w14:paraId="3DC8098A" w14:textId="452F5CC2" w:rsidR="00036B84" w:rsidRDefault="00036B84" w:rsidP="00036B84">
      <w:pPr>
        <w:pStyle w:val="ListBullet"/>
        <w:rPr>
          <w:b/>
          <w:bCs/>
        </w:rPr>
      </w:pPr>
      <w:r>
        <w:t>improves early childhood development outcomes for vulnerable and disadvantaged families</w:t>
      </w:r>
      <w:r w:rsidR="00D96F22">
        <w:t>.</w:t>
      </w:r>
    </w:p>
    <w:p w14:paraId="3E22D331" w14:textId="77777777" w:rsidR="00036B84" w:rsidRDefault="00036B84" w:rsidP="00036B84">
      <w:pPr>
        <w:pStyle w:val="ListBullet"/>
        <w:rPr>
          <w:b/>
          <w:bCs/>
        </w:rPr>
      </w:pPr>
      <w:r>
        <w:t>increases workforce participation by vulnerable and disadvantaged families.</w:t>
      </w:r>
      <w:r>
        <w:rPr>
          <w:rStyle w:val="FootnoteReference"/>
        </w:rPr>
        <w:footnoteReference w:id="18"/>
      </w:r>
    </w:p>
    <w:p w14:paraId="590CD365" w14:textId="77777777" w:rsidR="00036B84" w:rsidRDefault="00036B84" w:rsidP="00036B84">
      <w:pPr>
        <w:spacing w:before="170"/>
      </w:pPr>
      <w:r>
        <w:t>The review will also consider how the CCCFR grant can be refined to maximise its potential.</w:t>
      </w:r>
    </w:p>
    <w:p w14:paraId="4283B347" w14:textId="56B61FB6" w:rsidR="00740C88" w:rsidRDefault="00740C88" w:rsidP="00617550">
      <w:pPr>
        <w:pStyle w:val="Heading3"/>
      </w:pPr>
      <w:r>
        <w:t>What is the CCCFR grant?</w:t>
      </w:r>
    </w:p>
    <w:p w14:paraId="5C16A64D" w14:textId="45154177" w:rsidR="00036B84" w:rsidRDefault="00036B84" w:rsidP="00036B84">
      <w:r>
        <w:t xml:space="preserve">Part of the Commonwealth’s </w:t>
      </w:r>
      <w:r w:rsidRPr="00724928">
        <w:rPr>
          <w:i/>
          <w:iCs/>
        </w:rPr>
        <w:t>Child Care Safety Net</w:t>
      </w:r>
      <w:r>
        <w:t xml:space="preserve">, the CCCFR grant was established in </w:t>
      </w:r>
      <w:r w:rsidRPr="00B800E8">
        <w:t>201</w:t>
      </w:r>
      <w:r>
        <w:t>8 and is largely a continuation of previous child</w:t>
      </w:r>
      <w:r w:rsidR="00C03FB1">
        <w:t xml:space="preserve"> </w:t>
      </w:r>
      <w:r>
        <w:t>care funding arrangements to a subset of services.</w:t>
      </w:r>
      <w:r>
        <w:rPr>
          <w:rStyle w:val="FootnoteReference"/>
        </w:rPr>
        <w:footnoteReference w:id="19"/>
      </w:r>
      <w:r>
        <w:t xml:space="preserve"> It is currently administered to </w:t>
      </w:r>
      <w:r w:rsidRPr="00C05017">
        <w:t>149</w:t>
      </w:r>
      <w:r>
        <w:t xml:space="preserve"> services across Australia.</w:t>
      </w:r>
      <w:r>
        <w:rPr>
          <w:rStyle w:val="FootnoteReference"/>
        </w:rPr>
        <w:footnoteReference w:id="20"/>
      </w:r>
      <w:r>
        <w:t xml:space="preserve"> </w:t>
      </w:r>
    </w:p>
    <w:p w14:paraId="6BF6C54A" w14:textId="77777777" w:rsidR="00036B84" w:rsidRDefault="00036B84" w:rsidP="00036B84">
      <w:r>
        <w:t xml:space="preserve">The CCCFR grant is a closed funding grant, originally with a stated intent of supporting services to transition to the ‘new child care system’, including regulatory compliance with the National Law and Regulation under the National Quality </w:t>
      </w:r>
      <w:r w:rsidRPr="00531149">
        <w:t>Framework and achieving financial sustainability through payments under the Child Care Subsidy (CCS) and Additional Child Care Subsidy (ACCS).</w:t>
      </w:r>
    </w:p>
    <w:p w14:paraId="225C7B03" w14:textId="6A853342" w:rsidR="00D62DB9" w:rsidRDefault="0065471B" w:rsidP="00036B84">
      <w:r>
        <w:t>The CCCFR grant is part of the bro</w:t>
      </w:r>
      <w:r w:rsidR="001F4CD4">
        <w:t xml:space="preserve">ader </w:t>
      </w:r>
      <w:r w:rsidR="003346AA">
        <w:t xml:space="preserve">Community Child Care Fund (CCCF), </w:t>
      </w:r>
      <w:r w:rsidR="00CD01C9">
        <w:t>which</w:t>
      </w:r>
      <w:r w:rsidR="00FE5B78">
        <w:t xml:space="preserve"> </w:t>
      </w:r>
      <w:r w:rsidR="00542490">
        <w:t xml:space="preserve">provides a range of grants for </w:t>
      </w:r>
      <w:r w:rsidR="00AC26F2">
        <w:t>child care services</w:t>
      </w:r>
      <w:r w:rsidR="00075B73">
        <w:t xml:space="preserve"> to help address </w:t>
      </w:r>
      <w:r w:rsidR="0068595D">
        <w:t xml:space="preserve">barriers to </w:t>
      </w:r>
      <w:r w:rsidR="00602B48">
        <w:t>participation.</w:t>
      </w:r>
      <w:r w:rsidR="00FA11C7">
        <w:t xml:space="preserve"> Grants and support available through the CCCF include:</w:t>
      </w:r>
    </w:p>
    <w:p w14:paraId="5370AB1C" w14:textId="176C0C3B" w:rsidR="00FA11C7" w:rsidRDefault="00F52ADD" w:rsidP="005D3619">
      <w:pPr>
        <w:pStyle w:val="ListBullet"/>
      </w:pPr>
      <w:r>
        <w:t>s</w:t>
      </w:r>
      <w:r w:rsidR="005B0007">
        <w:t xml:space="preserve">pecial circumstances grant </w:t>
      </w:r>
      <w:r w:rsidR="00136C90">
        <w:t>–</w:t>
      </w:r>
      <w:r w:rsidR="005B0007">
        <w:t xml:space="preserve"> </w:t>
      </w:r>
      <w:r w:rsidR="00136C90">
        <w:t xml:space="preserve">designed to help services stay open </w:t>
      </w:r>
      <w:r w:rsidR="00D55EFC">
        <w:t>when something unexpected happens (such as a natural disaster)</w:t>
      </w:r>
    </w:p>
    <w:p w14:paraId="2C1202CB" w14:textId="614FFB0C" w:rsidR="00D55EFC" w:rsidRDefault="00F52ADD" w:rsidP="005D3619">
      <w:pPr>
        <w:pStyle w:val="ListBullet"/>
      </w:pPr>
      <w:r>
        <w:t xml:space="preserve">disadvantaged and vulnerable communities grant </w:t>
      </w:r>
      <w:r w:rsidR="00443A72">
        <w:t>–</w:t>
      </w:r>
      <w:r>
        <w:t xml:space="preserve"> </w:t>
      </w:r>
      <w:r w:rsidR="00443A72">
        <w:t xml:space="preserve">services in disadvantaged and vulnerable communities can apply for this funding when grant rounds are open, to </w:t>
      </w:r>
      <w:r w:rsidR="009F6783">
        <w:t xml:space="preserve">help them stay open and increase </w:t>
      </w:r>
      <w:r w:rsidR="00335BDC">
        <w:t>child participation</w:t>
      </w:r>
    </w:p>
    <w:p w14:paraId="69C1859A" w14:textId="175DAB0F" w:rsidR="00335BDC" w:rsidRDefault="002D12A8" w:rsidP="005D3619">
      <w:pPr>
        <w:pStyle w:val="ListBullet"/>
      </w:pPr>
      <w:r>
        <w:t xml:space="preserve">limited supply grant </w:t>
      </w:r>
      <w:r w:rsidR="00C547DF">
        <w:t>–</w:t>
      </w:r>
      <w:r>
        <w:t xml:space="preserve"> </w:t>
      </w:r>
      <w:r w:rsidR="00C547DF">
        <w:t>available to</w:t>
      </w:r>
      <w:r>
        <w:t xml:space="preserve"> </w:t>
      </w:r>
      <w:r w:rsidR="00870A6F">
        <w:t>CCS-approved providers</w:t>
      </w:r>
      <w:r w:rsidR="001E730A">
        <w:t xml:space="preserve"> that want to establish new</w:t>
      </w:r>
      <w:r w:rsidR="00592378">
        <w:t xml:space="preserve"> centre-based day care and family day care services</w:t>
      </w:r>
      <w:r w:rsidR="003D0FED">
        <w:t xml:space="preserve"> in areas </w:t>
      </w:r>
      <w:r w:rsidR="005D3619">
        <w:t>experiencing disadvantage in regional and remote Australia and where there are no or limited similar services</w:t>
      </w:r>
    </w:p>
    <w:p w14:paraId="5D3E3040" w14:textId="12BD43B6" w:rsidR="005D3619" w:rsidRPr="00B44CAF" w:rsidRDefault="00E96B08" w:rsidP="005D3619">
      <w:pPr>
        <w:pStyle w:val="ListBullet"/>
      </w:pPr>
      <w:r>
        <w:lastRenderedPageBreak/>
        <w:t>r</w:t>
      </w:r>
      <w:r w:rsidR="000B4E01">
        <w:t>estricted grant (Closing the Gap)</w:t>
      </w:r>
      <w:r w:rsidR="00D07533">
        <w:t xml:space="preserve"> </w:t>
      </w:r>
      <w:r w:rsidR="007D3807">
        <w:t>–</w:t>
      </w:r>
      <w:r w:rsidR="00D07533">
        <w:t xml:space="preserve"> </w:t>
      </w:r>
      <w:r w:rsidR="007D3807">
        <w:t>for new ECEC services in ma</w:t>
      </w:r>
      <w:r w:rsidR="00B44CAF">
        <w:t>i</w:t>
      </w:r>
      <w:r w:rsidR="007D3807">
        <w:t xml:space="preserve">nly remote locations, with a focus on increasing </w:t>
      </w:r>
      <w:r w:rsidR="00B44CAF">
        <w:t xml:space="preserve">participation rates of Aboriginal and Torres Strait Islander children in </w:t>
      </w:r>
      <w:r w:rsidR="0078036B">
        <w:t>ECEC</w:t>
      </w:r>
    </w:p>
    <w:p w14:paraId="6B149F2C" w14:textId="576580D6" w:rsidR="00554D95" w:rsidRPr="000B3F51" w:rsidRDefault="00991DEE" w:rsidP="002470D8">
      <w:pPr>
        <w:pStyle w:val="ListBullet2"/>
      </w:pPr>
      <w:r>
        <w:t xml:space="preserve">this expansion </w:t>
      </w:r>
      <w:r w:rsidR="006773A2" w:rsidRPr="006773A2">
        <w:t xml:space="preserve">grant </w:t>
      </w:r>
      <w:r w:rsidRPr="002470D8">
        <w:t>encompasses additional funding for over four years to set up 20 new CCCFR services</w:t>
      </w:r>
      <w:r w:rsidR="00554D95">
        <w:t xml:space="preserve"> and, where possible, </w:t>
      </w:r>
      <w:r w:rsidR="00554D95" w:rsidRPr="002470D8">
        <w:t xml:space="preserve">will be delivered by Aboriginal Community Controlled Organisations </w:t>
      </w:r>
      <w:r w:rsidR="002470D8" w:rsidRPr="002470D8">
        <w:t>(ACCOs),</w:t>
      </w:r>
      <w:r w:rsidR="00554D95" w:rsidRPr="002470D8">
        <w:t xml:space="preserve"> in line with the Closing the Gap National Agreement</w:t>
      </w:r>
      <w:r w:rsidR="00554D95" w:rsidRPr="002470D8">
        <w:rPr>
          <w:rStyle w:val="FootnoteReference"/>
        </w:rPr>
        <w:footnoteReference w:id="21"/>
      </w:r>
    </w:p>
    <w:p w14:paraId="795ABE84" w14:textId="3726C9D9" w:rsidR="000B4E01" w:rsidRPr="000B3F51" w:rsidRDefault="00BA2B7B" w:rsidP="005D3619">
      <w:pPr>
        <w:pStyle w:val="ListBullet"/>
      </w:pPr>
      <w:r>
        <w:t xml:space="preserve">Connected </w:t>
      </w:r>
      <w:r w:rsidR="00EC78BF">
        <w:t>B</w:t>
      </w:r>
      <w:r>
        <w:t>eginnings</w:t>
      </w:r>
      <w:r w:rsidR="00ED3964">
        <w:t xml:space="preserve"> </w:t>
      </w:r>
      <w:r w:rsidR="007F0891">
        <w:t>–</w:t>
      </w:r>
      <w:r w:rsidR="00ED3964">
        <w:t xml:space="preserve"> </w:t>
      </w:r>
      <w:r w:rsidR="007F0891">
        <w:t>grants are available across Australia</w:t>
      </w:r>
      <w:r w:rsidR="000248FF">
        <w:t xml:space="preserve"> to integrate </w:t>
      </w:r>
      <w:r w:rsidR="000B3F51">
        <w:t>local support services so Aboriginal and Torres Strait Islander children and families can access culturally appropriate support services</w:t>
      </w:r>
      <w:r w:rsidR="00BB718D">
        <w:t xml:space="preserve">, with the </w:t>
      </w:r>
      <w:r w:rsidR="006773A2">
        <w:t>grant</w:t>
      </w:r>
      <w:r w:rsidR="00F3579A">
        <w:t xml:space="preserve"> </w:t>
      </w:r>
      <w:r w:rsidR="002E43E6">
        <w:t>expanding to 50 sites nationally by 2025</w:t>
      </w:r>
    </w:p>
    <w:p w14:paraId="5B067436" w14:textId="156467EC" w:rsidR="00BA2B7B" w:rsidRDefault="00BA2B7B" w:rsidP="009F1608">
      <w:pPr>
        <w:pStyle w:val="ListBullet"/>
      </w:pPr>
      <w:r>
        <w:t>business support</w:t>
      </w:r>
      <w:r w:rsidR="009D2D98">
        <w:t xml:space="preserve"> – available to CCCFR grant recipients to </w:t>
      </w:r>
      <w:r w:rsidR="009F1608">
        <w:t>improve and maintain their financial viability and sustainability</w:t>
      </w:r>
      <w:r>
        <w:t>.</w:t>
      </w:r>
    </w:p>
    <w:p w14:paraId="1DDE4900" w14:textId="77777777" w:rsidR="009F1608" w:rsidRDefault="009F1608" w:rsidP="009F1608">
      <w:pPr>
        <w:spacing w:after="0"/>
        <w:rPr>
          <w:i/>
        </w:rPr>
      </w:pPr>
    </w:p>
    <w:p w14:paraId="480134DC" w14:textId="0A774553" w:rsidR="000E050E" w:rsidRPr="008B140F" w:rsidRDefault="000E050E" w:rsidP="000E050E">
      <w:pPr>
        <w:rPr>
          <w:i/>
        </w:rPr>
      </w:pPr>
      <w:r w:rsidRPr="008B140F">
        <w:rPr>
          <w:i/>
        </w:rPr>
        <w:t>The scope for this review is limited to the CCCFR grant and does not include earlier programs or other elements of the CCCF</w:t>
      </w:r>
      <w:r w:rsidR="005925F0">
        <w:rPr>
          <w:i/>
        </w:rPr>
        <w:t>,</w:t>
      </w:r>
      <w:r w:rsidR="00F061AA" w:rsidRPr="008B140F">
        <w:rPr>
          <w:i/>
        </w:rPr>
        <w:t xml:space="preserve"> or the </w:t>
      </w:r>
      <w:r w:rsidR="008B140F" w:rsidRPr="008B140F">
        <w:rPr>
          <w:i/>
          <w:iCs/>
        </w:rPr>
        <w:t xml:space="preserve">CCCFR expansion </w:t>
      </w:r>
      <w:r w:rsidR="00B832CD" w:rsidRPr="00B832CD">
        <w:rPr>
          <w:i/>
          <w:iCs/>
        </w:rPr>
        <w:t>grant</w:t>
      </w:r>
      <w:r w:rsidRPr="008B140F">
        <w:rPr>
          <w:i/>
        </w:rPr>
        <w:t>.</w:t>
      </w:r>
    </w:p>
    <w:p w14:paraId="06D62F90" w14:textId="17C4D395" w:rsidR="009500E7" w:rsidRDefault="00D46ED3" w:rsidP="00617550">
      <w:pPr>
        <w:pStyle w:val="Heading3"/>
      </w:pPr>
      <w:r w:rsidRPr="009500E7">
        <w:t xml:space="preserve">Review </w:t>
      </w:r>
      <w:r w:rsidR="00B71651">
        <w:t>scope</w:t>
      </w:r>
      <w:r w:rsidR="00511AF7">
        <w:t xml:space="preserve"> and approach</w:t>
      </w:r>
    </w:p>
    <w:p w14:paraId="1CE16ABD" w14:textId="1BDB4A97" w:rsidR="009500E7" w:rsidRDefault="00807CFB" w:rsidP="00036B84">
      <w:r>
        <w:t xml:space="preserve">The </w:t>
      </w:r>
      <w:r w:rsidR="003E0A77">
        <w:t xml:space="preserve">scope of the </w:t>
      </w:r>
      <w:r w:rsidR="002A1078">
        <w:t>re</w:t>
      </w:r>
      <w:r w:rsidR="00A00650">
        <w:t xml:space="preserve">view </w:t>
      </w:r>
      <w:r w:rsidR="003E0A77">
        <w:t>is</w:t>
      </w:r>
      <w:r w:rsidR="00A00650">
        <w:t xml:space="preserve"> outlined in the</w:t>
      </w:r>
      <w:r w:rsidR="00981819">
        <w:t xml:space="preserve"> Department’s </w:t>
      </w:r>
      <w:r w:rsidR="00981819" w:rsidRPr="00981819">
        <w:rPr>
          <w:i/>
          <w:iCs/>
        </w:rPr>
        <w:t>Detailed</w:t>
      </w:r>
      <w:r w:rsidR="00A00650" w:rsidRPr="00981819">
        <w:rPr>
          <w:i/>
          <w:iCs/>
        </w:rPr>
        <w:t xml:space="preserve"> Statement of Work</w:t>
      </w:r>
      <w:r w:rsidR="00981819">
        <w:t xml:space="preserve"> for the review</w:t>
      </w:r>
      <w:r w:rsidR="00B71651">
        <w:t xml:space="preserve"> </w:t>
      </w:r>
      <w:r w:rsidR="00752C58">
        <w:t xml:space="preserve">– </w:t>
      </w:r>
      <w:r w:rsidR="00B71651">
        <w:t>set out</w:t>
      </w:r>
      <w:r w:rsidR="00752C58">
        <w:t xml:space="preserve"> i</w:t>
      </w:r>
      <w:r w:rsidR="00975DAC">
        <w:t xml:space="preserve">n </w:t>
      </w:r>
      <w:r w:rsidR="002C1EE5">
        <w:fldChar w:fldCharType="begin"/>
      </w:r>
      <w:r w:rsidR="002C1EE5">
        <w:instrText xml:space="preserve"> REF _Ref163819718 \r \h </w:instrText>
      </w:r>
      <w:r w:rsidR="002C1EE5">
        <w:fldChar w:fldCharType="separate"/>
      </w:r>
      <w:r w:rsidR="00D300D0">
        <w:t>Appendix B</w:t>
      </w:r>
      <w:r w:rsidR="002C1EE5">
        <w:fldChar w:fldCharType="end"/>
      </w:r>
      <w:r w:rsidR="00716560">
        <w:t xml:space="preserve">. </w:t>
      </w:r>
    </w:p>
    <w:p w14:paraId="6FD34A13" w14:textId="2FC61199" w:rsidR="00975B28" w:rsidRDefault="0019146B" w:rsidP="00036B84">
      <w:r>
        <w:t xml:space="preserve">The </w:t>
      </w:r>
      <w:r w:rsidR="00B71651" w:rsidRPr="00981819">
        <w:rPr>
          <w:i/>
          <w:iCs/>
        </w:rPr>
        <w:t>Detailed Statement</w:t>
      </w:r>
      <w:r w:rsidRPr="00981819">
        <w:rPr>
          <w:i/>
        </w:rPr>
        <w:t xml:space="preserve"> of </w:t>
      </w:r>
      <w:r w:rsidR="00B71651" w:rsidRPr="00981819">
        <w:rPr>
          <w:i/>
          <w:iCs/>
        </w:rPr>
        <w:t>Work</w:t>
      </w:r>
      <w:r w:rsidR="00B71651">
        <w:t xml:space="preserve"> has</w:t>
      </w:r>
      <w:r>
        <w:t xml:space="preserve"> directly informed the review framework and research questions, which are set out in Chapter </w:t>
      </w:r>
      <w:r>
        <w:fldChar w:fldCharType="begin"/>
      </w:r>
      <w:r>
        <w:instrText xml:space="preserve"> REF _Ref152156626 \r \h </w:instrText>
      </w:r>
      <w:r>
        <w:fldChar w:fldCharType="separate"/>
      </w:r>
      <w:r w:rsidR="00D300D0">
        <w:t>3</w:t>
      </w:r>
      <w:r>
        <w:fldChar w:fldCharType="end"/>
      </w:r>
      <w:r w:rsidR="00975B28">
        <w:t>.</w:t>
      </w:r>
    </w:p>
    <w:p w14:paraId="14959243" w14:textId="70287612" w:rsidR="0017636B" w:rsidRDefault="0017636B" w:rsidP="00036B84">
      <w:r>
        <w:t>A CCCFR review Advisory Group was also established, to</w:t>
      </w:r>
      <w:r w:rsidR="00CD1CA5">
        <w:t xml:space="preserve"> </w:t>
      </w:r>
      <w:r w:rsidR="00D13DDD">
        <w:t>provide advice</w:t>
      </w:r>
      <w:r w:rsidR="00D13DDD" w:rsidRPr="005E652D">
        <w:t xml:space="preserve"> </w:t>
      </w:r>
      <w:r w:rsidR="00D13DDD">
        <w:t>on the review’s design and methodology, including the consultation process</w:t>
      </w:r>
      <w:r w:rsidR="00CD1CA5">
        <w:t>. The Advisory Group convened on a regular basis</w:t>
      </w:r>
      <w:r w:rsidR="00383C3A">
        <w:t xml:space="preserve"> </w:t>
      </w:r>
      <w:r w:rsidR="00914073">
        <w:t>from</w:t>
      </w:r>
      <w:r w:rsidR="00383C3A">
        <w:t xml:space="preserve"> </w:t>
      </w:r>
      <w:r w:rsidR="00C877B2">
        <w:t>July 2023</w:t>
      </w:r>
      <w:r w:rsidR="00914073">
        <w:t xml:space="preserve"> until January 2024</w:t>
      </w:r>
      <w:r w:rsidR="00383C3A">
        <w:t>.</w:t>
      </w:r>
    </w:p>
    <w:p w14:paraId="74FBA89B" w14:textId="3B49AD99" w:rsidR="00036B84" w:rsidRDefault="00036B84" w:rsidP="00036B84">
      <w:r>
        <w:t xml:space="preserve">Recognising the broad scope of this review, Deloitte Access Economics adopted a </w:t>
      </w:r>
      <w:r w:rsidRPr="00531149">
        <w:t>multi-faceted</w:t>
      </w:r>
      <w:r>
        <w:t xml:space="preserve"> approach to this research, encompassing:</w:t>
      </w:r>
    </w:p>
    <w:p w14:paraId="758044E8" w14:textId="77777777" w:rsidR="00036B84" w:rsidRDefault="00036B84" w:rsidP="00036B84">
      <w:pPr>
        <w:pStyle w:val="ListBullet"/>
      </w:pPr>
      <w:r>
        <w:t>literature and document analysis</w:t>
      </w:r>
    </w:p>
    <w:p w14:paraId="54E06932" w14:textId="190CC6B2" w:rsidR="00036B84" w:rsidRDefault="00B832CD" w:rsidP="00036B84">
      <w:pPr>
        <w:pStyle w:val="ListBullet"/>
      </w:pPr>
      <w:r>
        <w:t>grant</w:t>
      </w:r>
      <w:r w:rsidR="00036B84">
        <w:t xml:space="preserve"> and regulatory data analysis</w:t>
      </w:r>
    </w:p>
    <w:p w14:paraId="4030992D" w14:textId="77777777" w:rsidR="00036B84" w:rsidRDefault="00036B84" w:rsidP="00036B84">
      <w:pPr>
        <w:pStyle w:val="ListBullet"/>
      </w:pPr>
      <w:r>
        <w:t>consultation with a representative sample of CCCFR services, in partnership with SNAICC and Murawin – see Box 1.1</w:t>
      </w:r>
    </w:p>
    <w:p w14:paraId="23713069" w14:textId="2F853BF5" w:rsidR="00036B84" w:rsidRDefault="00112B60" w:rsidP="00036B84">
      <w:pPr>
        <w:pStyle w:val="ListBullet"/>
      </w:pPr>
      <w:r>
        <w:t xml:space="preserve">a </w:t>
      </w:r>
      <w:r w:rsidR="00036B84">
        <w:t>comprehensive online survey to remaining CCCFR services</w:t>
      </w:r>
    </w:p>
    <w:p w14:paraId="485AF68C" w14:textId="7A2BF6FD" w:rsidR="00036B84" w:rsidRDefault="00036B84" w:rsidP="00036B84">
      <w:pPr>
        <w:pStyle w:val="ListBullet"/>
      </w:pPr>
      <w:r>
        <w:t xml:space="preserve">ongoing consultation and iterative validation of findings with Australian Government stakeholders, including </w:t>
      </w:r>
      <w:r w:rsidR="124348F5">
        <w:t xml:space="preserve">CCCFR </w:t>
      </w:r>
      <w:r>
        <w:t xml:space="preserve">Program Officers and key </w:t>
      </w:r>
      <w:r w:rsidR="00B832CD">
        <w:t>grant</w:t>
      </w:r>
      <w:r>
        <w:t xml:space="preserve"> staff in the Department, Australian Children’s Education and Care Quality Authority (ACECQA) and broader Commonwealth agencies</w:t>
      </w:r>
    </w:p>
    <w:p w14:paraId="64B140DC" w14:textId="77777777" w:rsidR="00036B84" w:rsidRDefault="00036B84" w:rsidP="00036B84">
      <w:pPr>
        <w:pStyle w:val="ListBullet"/>
      </w:pPr>
      <w:r>
        <w:t>opportunities for consultation from broader stakeholders, such as ECEC and Aboriginal and Torres Strait Islander peak bodies, state and territory education departments and regulatory authorities, researchers and academics, and broader advocacy organisations supporting Aboriginal and Torres Strait Islander communities, occasional and regional and remote ECEC.</w:t>
      </w:r>
    </w:p>
    <w:p w14:paraId="7F121641" w14:textId="77777777" w:rsidR="00036B84" w:rsidRDefault="00036B84" w:rsidP="00036B84">
      <w:pPr>
        <w:pStyle w:val="NoSpacing"/>
        <w:spacing w:before="60" w:after="60"/>
      </w:pPr>
    </w:p>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036B84" w14:paraId="55F075E3" w14:textId="77777777" w:rsidTr="00BD1600">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5A1F4791" w14:textId="77777777" w:rsidR="00036B84" w:rsidRPr="00A009A5" w:rsidRDefault="00036B84">
            <w:pPr>
              <w:pStyle w:val="NoSpacing"/>
              <w:spacing w:before="60" w:after="60"/>
              <w:rPr>
                <w:b/>
                <w:bCs/>
              </w:rPr>
            </w:pPr>
            <w:r w:rsidRPr="00A009A5">
              <w:rPr>
                <w:b/>
                <w:bCs/>
              </w:rPr>
              <w:t>Box 1.1: Roles of the CCCFR review project partners</w:t>
            </w:r>
          </w:p>
          <w:p w14:paraId="7D097863" w14:textId="0BB7EE53" w:rsidR="00036B84" w:rsidRDefault="00036B84" w:rsidP="002663D9">
            <w:r w:rsidRPr="00E61DDD">
              <w:t>Deloitte Access Economics</w:t>
            </w:r>
            <w:r w:rsidRPr="00B702BB">
              <w:t xml:space="preserve"> </w:t>
            </w:r>
            <w:r>
              <w:t>ha</w:t>
            </w:r>
            <w:r w:rsidR="00782690">
              <w:t>s</w:t>
            </w:r>
            <w:r>
              <w:t xml:space="preserve"> undertaken more than 100 engagements across Australia in relation to early childhood, including seminal reviews of key policies and sector reforms. </w:t>
            </w:r>
            <w:r w:rsidR="00756C72">
              <w:t>Deloitte Access Economics’</w:t>
            </w:r>
            <w:r>
              <w:t xml:space="preserve"> track record includes managing and delivering large-scale, complex projects involving multiple stakeholder groups, successfully to completion. </w:t>
            </w:r>
            <w:r w:rsidR="00756C72">
              <w:t>Deloitte Access Economics is</w:t>
            </w:r>
            <w:r>
              <w:t xml:space="preserve"> familiar with various operational models, funding and governance arrangements, stakeholder environment and policy priorities within early childhood – having been at the forefront of supporting government decision making in early childhood policy and strategy across Australia.</w:t>
            </w:r>
          </w:p>
          <w:p w14:paraId="4882535D" w14:textId="5D8831A9" w:rsidR="00036B84" w:rsidRDefault="00036B84" w:rsidP="002663D9">
            <w:r>
              <w:t xml:space="preserve">SNAICC is the national non-governmental peak body for Aboriginal and Torres Strait Islander children. </w:t>
            </w:r>
            <w:r w:rsidR="00ED5DEE">
              <w:t>SNAICC</w:t>
            </w:r>
            <w:r>
              <w:t xml:space="preserve"> work</w:t>
            </w:r>
            <w:r w:rsidR="00ED5DEE">
              <w:t>s</w:t>
            </w:r>
            <w:r>
              <w:t xml:space="preserve"> for the fulfilment of the rights of their children, in particular to ensure their safety, development and well-being. </w:t>
            </w:r>
            <w:r w:rsidR="00D33991">
              <w:t>SNAICC</w:t>
            </w:r>
            <w:r>
              <w:t xml:space="preserve"> work</w:t>
            </w:r>
            <w:r w:rsidR="00D33991">
              <w:t>s</w:t>
            </w:r>
            <w:r>
              <w:t xml:space="preserve"> in collaboration with Aboriginal and </w:t>
            </w:r>
            <w:r>
              <w:lastRenderedPageBreak/>
              <w:t xml:space="preserve">Torres Strait Islander community-controlled organisations, mainstream services, and governments to develop legislation, policies, programs and practices that support safety, development and wellbeing for Aboriginal and Torres Strait Islander children. </w:t>
            </w:r>
            <w:r w:rsidR="00D33991">
              <w:t>SNAICC</w:t>
            </w:r>
            <w:r>
              <w:t xml:space="preserve"> also produce</w:t>
            </w:r>
            <w:r w:rsidR="00D33991">
              <w:t>s</w:t>
            </w:r>
            <w:r>
              <w:t xml:space="preserve"> policy and research papers, submissions, resources for services and media releases spanning early childhood development, child safety and wellbeing, and child rights.</w:t>
            </w:r>
          </w:p>
          <w:p w14:paraId="021067A0" w14:textId="048E0DA2" w:rsidR="00036B84" w:rsidRDefault="00036B84" w:rsidP="002663D9">
            <w:r>
              <w:t xml:space="preserve">Murawin </w:t>
            </w:r>
            <w:r w:rsidR="00D33991">
              <w:t>is</w:t>
            </w:r>
            <w:r>
              <w:t xml:space="preserve"> a certified Supply Nation business. Aboriginal and Torres Strait Islander empowerment is at the centre of </w:t>
            </w:r>
            <w:r w:rsidR="00D33991">
              <w:t>Murawin’s</w:t>
            </w:r>
            <w:r>
              <w:t xml:space="preserve"> purpose, driving their social enterprise business model. </w:t>
            </w:r>
            <w:r w:rsidR="007675D5">
              <w:t>Murawin</w:t>
            </w:r>
            <w:r>
              <w:t xml:space="preserve"> work</w:t>
            </w:r>
            <w:r w:rsidR="007675D5">
              <w:t>s</w:t>
            </w:r>
            <w:r>
              <w:t xml:space="preserve"> to innovate change, breaking cycles that perpetuate disadvantage, and create impact amplifying initiatives that contribute to building improved futures for Aboriginal and Torres Strait Islander peoples. Murawin </w:t>
            </w:r>
            <w:r w:rsidR="007675D5">
              <w:t>is</w:t>
            </w:r>
            <w:r>
              <w:t xml:space="preserve"> committed to building the culturally responsible capability of clients to navigate the current complexities of Aboriginal and Torres Strait Islander issues and communities, and effectively grow inclusivity.</w:t>
            </w:r>
          </w:p>
          <w:p w14:paraId="7E63CE5B" w14:textId="731F36AD" w:rsidR="00036B84" w:rsidRDefault="00036B84" w:rsidP="002663D9">
            <w:r>
              <w:t xml:space="preserve">The partnership between Deloitte Access Economics, SNAICC – National Voice for our Children and Murawin has been carefully curated to bring the depth and breadth of capability required for this important work to be undertaken. While Deloitte Access Economics has overall responsibility for the review, SNAICC and Murawin jointly supported the design of the data collection instruments and led the majority of consultations with services and families in communities. SNAICC additionally </w:t>
            </w:r>
            <w:r w:rsidR="001D18C7">
              <w:t>provided</w:t>
            </w:r>
            <w:r>
              <w:t xml:space="preserve"> advice and support to Deloitte Access Economics</w:t>
            </w:r>
            <w:r w:rsidR="001D18C7">
              <w:t>,</w:t>
            </w:r>
            <w:r>
              <w:t xml:space="preserve"> drawing on secondary data sources and insights to help inform the </w:t>
            </w:r>
            <w:r w:rsidR="001D18C7">
              <w:t>analysis</w:t>
            </w:r>
            <w:r>
              <w:t xml:space="preserve"> </w:t>
            </w:r>
            <w:r w:rsidR="001D18C7">
              <w:t>in this</w:t>
            </w:r>
            <w:r>
              <w:t xml:space="preserve"> </w:t>
            </w:r>
            <w:r w:rsidR="001D18C7">
              <w:t>r</w:t>
            </w:r>
            <w:r>
              <w:t>eport.</w:t>
            </w:r>
            <w:r w:rsidR="002E497C">
              <w:t xml:space="preserve"> </w:t>
            </w:r>
          </w:p>
        </w:tc>
      </w:tr>
    </w:tbl>
    <w:p w14:paraId="49364CAB" w14:textId="2DFC7B5B" w:rsidR="007B2B82" w:rsidRDefault="006B485A" w:rsidP="006B485A">
      <w:pPr>
        <w:spacing w:before="170"/>
      </w:pPr>
      <w:r>
        <w:lastRenderedPageBreak/>
        <w:t>The</w:t>
      </w:r>
      <w:r w:rsidR="007B2B82">
        <w:t xml:space="preserve"> CCCFR review </w:t>
      </w:r>
      <w:r w:rsidR="001D18C7">
        <w:t>was</w:t>
      </w:r>
      <w:r w:rsidR="007B2B82">
        <w:t xml:space="preserve"> conducted over a ten-month period, shown in </w:t>
      </w:r>
      <w:r w:rsidR="007B2B82" w:rsidRPr="00C2563E">
        <w:fldChar w:fldCharType="begin"/>
      </w:r>
      <w:r w:rsidR="007B2B82" w:rsidRPr="00C2563E">
        <w:instrText xml:space="preserve"> REF _Ref147157102 \r \h </w:instrText>
      </w:r>
      <w:r w:rsidR="00773555" w:rsidRPr="00C2563E">
        <w:instrText xml:space="preserve"> \* MERGEFORMAT </w:instrText>
      </w:r>
      <w:r w:rsidR="007B2B82" w:rsidRPr="00C2563E">
        <w:fldChar w:fldCharType="separate"/>
      </w:r>
      <w:r w:rsidR="00D300D0">
        <w:t>Figure 1.1</w:t>
      </w:r>
      <w:r w:rsidR="007B2B82" w:rsidRPr="00C2563E">
        <w:fldChar w:fldCharType="end"/>
      </w:r>
      <w:r w:rsidR="007B2B82">
        <w:t xml:space="preserve">. </w:t>
      </w:r>
    </w:p>
    <w:p w14:paraId="432819DB" w14:textId="1C11CE9D" w:rsidR="007B2B82" w:rsidRDefault="007B2B82" w:rsidP="007B2B82">
      <w:pPr>
        <w:pStyle w:val="NoSpacing"/>
        <w:spacing w:after="170"/>
      </w:pPr>
      <w:r>
        <w:t xml:space="preserve">The review approach has six phases: </w:t>
      </w:r>
    </w:p>
    <w:p w14:paraId="7474C950" w14:textId="77777777" w:rsidR="007B2B82" w:rsidRDefault="007B2B82" w:rsidP="001A7BE5">
      <w:pPr>
        <w:pStyle w:val="ListBullet"/>
      </w:pPr>
      <w:r w:rsidRPr="2B91AEFB">
        <w:rPr>
          <w:b/>
          <w:bCs/>
        </w:rPr>
        <w:t>Project planning and initiation</w:t>
      </w:r>
      <w:r>
        <w:t xml:space="preserve"> – laying the operational foundations for the success of the review </w:t>
      </w:r>
    </w:p>
    <w:p w14:paraId="3F5BEB56" w14:textId="77777777" w:rsidR="007B2B82" w:rsidRDefault="007B2B82" w:rsidP="001A7BE5">
      <w:pPr>
        <w:pStyle w:val="ListBullet"/>
      </w:pPr>
      <w:r w:rsidRPr="2B91AEFB">
        <w:rPr>
          <w:b/>
          <w:bCs/>
        </w:rPr>
        <w:t>Establishing the review framework</w:t>
      </w:r>
      <w:r>
        <w:t xml:space="preserve"> – laying the policy and analytical foundations for the success of the review </w:t>
      </w:r>
    </w:p>
    <w:p w14:paraId="44602406" w14:textId="77777777" w:rsidR="007B2B82" w:rsidRDefault="007B2B82" w:rsidP="001A7BE5">
      <w:pPr>
        <w:pStyle w:val="ListBullet"/>
      </w:pPr>
      <w:r w:rsidRPr="2B91AEFB">
        <w:rPr>
          <w:b/>
          <w:bCs/>
        </w:rPr>
        <w:t>Gathering the evidence</w:t>
      </w:r>
      <w:r>
        <w:t xml:space="preserve"> – assembling a robust, comprehensive, meaningful evidence base </w:t>
      </w:r>
    </w:p>
    <w:p w14:paraId="3752D598" w14:textId="77777777" w:rsidR="007B2B82" w:rsidRDefault="007B2B82" w:rsidP="001A7BE5">
      <w:pPr>
        <w:pStyle w:val="ListBullet"/>
      </w:pPr>
      <w:r w:rsidRPr="2B91AEFB">
        <w:rPr>
          <w:b/>
          <w:bCs/>
        </w:rPr>
        <w:t>Conducting the analysis</w:t>
      </w:r>
      <w:r>
        <w:t xml:space="preserve"> – rigorously analysing the assembled evidence in line with the review framework </w:t>
      </w:r>
    </w:p>
    <w:p w14:paraId="7FD8F2C5" w14:textId="77777777" w:rsidR="007B2B82" w:rsidRDefault="007B2B82" w:rsidP="001A7BE5">
      <w:pPr>
        <w:pStyle w:val="ListBullet"/>
      </w:pPr>
      <w:r w:rsidRPr="2B91AEFB">
        <w:rPr>
          <w:b/>
          <w:bCs/>
        </w:rPr>
        <w:t>Findings and recommendations</w:t>
      </w:r>
      <w:r>
        <w:t xml:space="preserve"> – building a powerful, authoritative case for change and a meaningful and decisive set of recommendations </w:t>
      </w:r>
    </w:p>
    <w:p w14:paraId="40E66581" w14:textId="77777777" w:rsidR="007B2B82" w:rsidRDefault="007B2B82" w:rsidP="001A7BE5">
      <w:pPr>
        <w:pStyle w:val="ListBullet"/>
      </w:pPr>
      <w:r w:rsidRPr="2B91AEFB">
        <w:rPr>
          <w:b/>
          <w:bCs/>
        </w:rPr>
        <w:t xml:space="preserve">Finalisation </w:t>
      </w:r>
      <w:r>
        <w:t xml:space="preserve">– ensuring the Department is fully equipped to take forward the review recommendations. </w:t>
      </w:r>
    </w:p>
    <w:p w14:paraId="61D0DC1B" w14:textId="77777777" w:rsidR="007B2B82" w:rsidRDefault="007B2B82" w:rsidP="007B2B82">
      <w:pPr>
        <w:pStyle w:val="NoSpacing"/>
      </w:pPr>
    </w:p>
    <w:p w14:paraId="2498D446" w14:textId="30F780FA" w:rsidR="007B2B82" w:rsidRDefault="007B2B82" w:rsidP="007B2B82">
      <w:pPr>
        <w:pStyle w:val="CaptionFigure"/>
      </w:pPr>
      <w:bookmarkStart w:id="70" w:name="_Ref147157102"/>
      <w:bookmarkStart w:id="71" w:name="_Toc151723918"/>
      <w:bookmarkStart w:id="72" w:name="_Toc158997980"/>
      <w:bookmarkStart w:id="73" w:name="_Toc170228782"/>
      <w:r>
        <w:t xml:space="preserve">: </w:t>
      </w:r>
      <w:r w:rsidRPr="001205A4">
        <w:t>Phases of the CCCFR review</w:t>
      </w:r>
      <w:bookmarkEnd w:id="70"/>
      <w:bookmarkEnd w:id="71"/>
      <w:bookmarkEnd w:id="72"/>
      <w:bookmarkEnd w:id="73"/>
    </w:p>
    <w:p w14:paraId="16143A74" w14:textId="77777777" w:rsidR="007B2B82" w:rsidRDefault="007B2B82" w:rsidP="007B2B82">
      <w:pPr>
        <w:pStyle w:val="NoSpacing"/>
      </w:pPr>
    </w:p>
    <w:p w14:paraId="21133063" w14:textId="0BA9E662" w:rsidR="007B2B82" w:rsidRDefault="00F16962" w:rsidP="007B2B82">
      <w:pPr>
        <w:pStyle w:val="NoSpacing"/>
      </w:pPr>
      <w:r w:rsidRPr="00F16962">
        <w:rPr>
          <w:noProof/>
        </w:rPr>
        <w:drawing>
          <wp:inline distT="0" distB="0" distL="0" distR="0" wp14:anchorId="0FF7E6BE" wp14:editId="39F5EEB2">
            <wp:extent cx="5731510" cy="1397635"/>
            <wp:effectExtent l="0" t="0" r="2540" b="0"/>
            <wp:docPr id="39" name="Picture 39" descr="Diagram showcasing the phases of the CCCFR review conducted between May 2023 and Februar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 showcasing the phases of the CCCFR review conducted between May 2023 and February 2024."/>
                    <pic:cNvPicPr/>
                  </pic:nvPicPr>
                  <pic:blipFill>
                    <a:blip r:embed="rId37"/>
                    <a:stretch>
                      <a:fillRect/>
                    </a:stretch>
                  </pic:blipFill>
                  <pic:spPr>
                    <a:xfrm>
                      <a:off x="0" y="0"/>
                      <a:ext cx="5731510" cy="1397635"/>
                    </a:xfrm>
                    <a:prstGeom prst="rect">
                      <a:avLst/>
                    </a:prstGeom>
                  </pic:spPr>
                </pic:pic>
              </a:graphicData>
            </a:graphic>
          </wp:inline>
        </w:drawing>
      </w:r>
    </w:p>
    <w:p w14:paraId="7833FAF0" w14:textId="77777777" w:rsidR="007B2B82" w:rsidRDefault="007B2B82" w:rsidP="007B2B82">
      <w:pPr>
        <w:pStyle w:val="NoSpacing"/>
      </w:pPr>
    </w:p>
    <w:p w14:paraId="7D2EB322" w14:textId="77777777" w:rsidR="007B2B82" w:rsidRDefault="007B2B82" w:rsidP="007B2B82">
      <w:r>
        <w:t>Work undertaken to date for the review includes:</w:t>
      </w:r>
    </w:p>
    <w:p w14:paraId="039B1990" w14:textId="24BB7C59" w:rsidR="007B2B82" w:rsidRDefault="007B2B82" w:rsidP="007B2B82">
      <w:pPr>
        <w:pStyle w:val="ListBullet"/>
      </w:pPr>
      <w:r>
        <w:t xml:space="preserve">development of a review framework (see </w:t>
      </w:r>
      <w:r w:rsidR="00D91EA6">
        <w:t xml:space="preserve">Chapter </w:t>
      </w:r>
      <w:r>
        <w:fldChar w:fldCharType="begin"/>
      </w:r>
      <w:r>
        <w:instrText xml:space="preserve"> REF _Ref152157365 \r \h  \* MERGEFORMAT </w:instrText>
      </w:r>
      <w:r>
        <w:fldChar w:fldCharType="separate"/>
      </w:r>
      <w:r w:rsidR="00D300D0">
        <w:t>3</w:t>
      </w:r>
      <w:r>
        <w:fldChar w:fldCharType="end"/>
      </w:r>
      <w:r>
        <w:t>)</w:t>
      </w:r>
    </w:p>
    <w:p w14:paraId="703066AD" w14:textId="77777777" w:rsidR="007B2B82" w:rsidRDefault="007B2B82" w:rsidP="007B2B82">
      <w:pPr>
        <w:pStyle w:val="ListBullet"/>
      </w:pPr>
      <w:r>
        <w:t>provision of detailed data requests to the Department</w:t>
      </w:r>
    </w:p>
    <w:p w14:paraId="0BDFF1FD" w14:textId="77777777" w:rsidR="007B2B82" w:rsidRDefault="007B2B82" w:rsidP="007B2B82">
      <w:pPr>
        <w:pStyle w:val="ListBullet"/>
      </w:pPr>
      <w:r>
        <w:t>initial desktop research, with analysis, findings and further areas for investigation outlined in a summary report to the Department</w:t>
      </w:r>
    </w:p>
    <w:p w14:paraId="29532332" w14:textId="64AEB8B6" w:rsidR="007B2B82" w:rsidRDefault="007B2B82" w:rsidP="007B2B82">
      <w:pPr>
        <w:pStyle w:val="ListBullet2"/>
      </w:pPr>
      <w:r>
        <w:lastRenderedPageBreak/>
        <w:t>the purpose of this desktop research was to provide a foundational understanding of the CCCFR grant across multiple facets, in turn shaping the approach to stakeholder engagement and data collection throughout the review</w:t>
      </w:r>
    </w:p>
    <w:p w14:paraId="7579F60D" w14:textId="77777777" w:rsidR="007B2B82" w:rsidRDefault="007B2B82" w:rsidP="007B2B82">
      <w:pPr>
        <w:pStyle w:val="ListBullet"/>
      </w:pPr>
      <w:r>
        <w:t>development of a costing methodology paper</w:t>
      </w:r>
    </w:p>
    <w:p w14:paraId="62E13619" w14:textId="77777777" w:rsidR="007B2B82" w:rsidRDefault="007B2B82" w:rsidP="007B2B82">
      <w:pPr>
        <w:pStyle w:val="ListBullet"/>
      </w:pPr>
      <w:r>
        <w:t>development of a stakeholder engagement plan and data collection tools</w:t>
      </w:r>
    </w:p>
    <w:p w14:paraId="3D5DEE8E" w14:textId="77777777" w:rsidR="002E5826" w:rsidRDefault="007B2B82" w:rsidP="007B2B82">
      <w:pPr>
        <w:pStyle w:val="ListBullet"/>
      </w:pPr>
      <w:r>
        <w:t>gathering primary evidence through stakeholder engagement</w:t>
      </w:r>
    </w:p>
    <w:p w14:paraId="55A74A24" w14:textId="46AF4A17" w:rsidR="00943AB6" w:rsidRDefault="000937F3" w:rsidP="007B2B82">
      <w:pPr>
        <w:pStyle w:val="ListBullet"/>
      </w:pPr>
      <w:r>
        <w:t>pr</w:t>
      </w:r>
      <w:r w:rsidR="004A1535">
        <w:t xml:space="preserve">ovision of a </w:t>
      </w:r>
      <w:r w:rsidR="00D33B81">
        <w:t xml:space="preserve">summary report to the Department </w:t>
      </w:r>
      <w:r w:rsidR="00530975">
        <w:t>on stakeholder insights</w:t>
      </w:r>
    </w:p>
    <w:p w14:paraId="4DBA2EDE" w14:textId="69FDAB47" w:rsidR="00031AF1" w:rsidRDefault="00031AF1" w:rsidP="007B2B82">
      <w:pPr>
        <w:pStyle w:val="ListBullet"/>
      </w:pPr>
      <w:r>
        <w:t>gathering secondary data, including CCS, ECEC National Workforce Census (NWC) and Australian Early Development Census (AEDC) data</w:t>
      </w:r>
    </w:p>
    <w:p w14:paraId="18FB3840" w14:textId="1B99274B" w:rsidR="00422C20" w:rsidRDefault="00943AB6" w:rsidP="007B2B82">
      <w:pPr>
        <w:pStyle w:val="ListBullet"/>
      </w:pPr>
      <w:r>
        <w:t xml:space="preserve">analysis of the </w:t>
      </w:r>
      <w:r w:rsidR="00C74215">
        <w:t>entire evidence base</w:t>
      </w:r>
      <w:r w:rsidR="00422C20">
        <w:t>, triangulating multiple data point</w:t>
      </w:r>
      <w:r w:rsidR="002307FD">
        <w:t>s to inform the findings and recommendations</w:t>
      </w:r>
    </w:p>
    <w:p w14:paraId="2EA54BF1" w14:textId="0B277EF7" w:rsidR="6B40F476" w:rsidRDefault="6B40F476" w:rsidP="626C394D">
      <w:pPr>
        <w:pStyle w:val="ListBullet"/>
      </w:pPr>
      <w:r>
        <w:t>development of a cost-modelling tool</w:t>
      </w:r>
    </w:p>
    <w:p w14:paraId="3DD05461" w14:textId="6510B58C" w:rsidR="6B40F476" w:rsidRDefault="6B40F476" w:rsidP="626C394D">
      <w:pPr>
        <w:pStyle w:val="ListBullet"/>
      </w:pPr>
      <w:r>
        <w:t xml:space="preserve">development of an environmental scan data dashboard </w:t>
      </w:r>
    </w:p>
    <w:p w14:paraId="74E55424" w14:textId="43A84F10" w:rsidR="007B2B82" w:rsidRDefault="002307FD" w:rsidP="007B2B82">
      <w:pPr>
        <w:pStyle w:val="ListBullet"/>
      </w:pPr>
      <w:r>
        <w:t xml:space="preserve">development of this </w:t>
      </w:r>
      <w:r w:rsidR="003D5B83">
        <w:t>r</w:t>
      </w:r>
      <w:r w:rsidR="34F81096">
        <w:t>eport</w:t>
      </w:r>
      <w:r w:rsidR="007B2B82">
        <w:t>.</w:t>
      </w:r>
    </w:p>
    <w:p w14:paraId="7BE7AC40" w14:textId="77777777" w:rsidR="001963B3" w:rsidRDefault="001963B3" w:rsidP="00CA3727">
      <w:pPr>
        <w:pStyle w:val="ListBullet"/>
        <w:numPr>
          <w:ilvl w:val="0"/>
          <w:numId w:val="0"/>
        </w:numPr>
        <w:ind w:left="340" w:hanging="340"/>
      </w:pPr>
    </w:p>
    <w:p w14:paraId="43277D4A" w14:textId="4E37079A" w:rsidR="001963B3" w:rsidRDefault="001963B3" w:rsidP="00435B5B">
      <w:pPr>
        <w:pStyle w:val="Heading3"/>
      </w:pPr>
      <w:bookmarkStart w:id="74" w:name="_Ref166852337"/>
      <w:r>
        <w:t xml:space="preserve">Other </w:t>
      </w:r>
      <w:r w:rsidR="0028409F">
        <w:t>policy developments</w:t>
      </w:r>
      <w:r w:rsidR="00F66F2D">
        <w:t xml:space="preserve"> and </w:t>
      </w:r>
      <w:r w:rsidR="00A42889">
        <w:t>i</w:t>
      </w:r>
      <w:r w:rsidR="00F66F2D">
        <w:t>nquiries</w:t>
      </w:r>
      <w:r w:rsidR="000F50E8">
        <w:t xml:space="preserve"> </w:t>
      </w:r>
      <w:r w:rsidR="00435B5B">
        <w:t>relevant to the CCCFR review</w:t>
      </w:r>
      <w:bookmarkEnd w:id="74"/>
    </w:p>
    <w:p w14:paraId="205924A4" w14:textId="6B55C69E" w:rsidR="001328D1" w:rsidRDefault="001328D1" w:rsidP="001328D1">
      <w:r>
        <w:t xml:space="preserve">There are multiple </w:t>
      </w:r>
      <w:r w:rsidR="00ED0BC4">
        <w:t xml:space="preserve">intersections between the CCCFR review and </w:t>
      </w:r>
      <w:r w:rsidR="00DA27CC">
        <w:t>policy movements in the broader ECEC landscape.</w:t>
      </w:r>
    </w:p>
    <w:p w14:paraId="2129D0AA" w14:textId="1727974B" w:rsidR="00D527EC" w:rsidRDefault="00522213" w:rsidP="001328D1">
      <w:r>
        <w:t xml:space="preserve">A raft of </w:t>
      </w:r>
      <w:r w:rsidR="007F3D68">
        <w:t>poli</w:t>
      </w:r>
      <w:r w:rsidR="003225A4">
        <w:t>cies and strategies</w:t>
      </w:r>
      <w:r w:rsidR="007E4A90">
        <w:t>, some of which</w:t>
      </w:r>
      <w:r w:rsidR="003225A4">
        <w:t xml:space="preserve"> are </w:t>
      </w:r>
      <w:r w:rsidR="0096631C">
        <w:t>in development</w:t>
      </w:r>
      <w:r w:rsidR="003225A4">
        <w:t xml:space="preserve">, will impact the ultimate </w:t>
      </w:r>
      <w:r w:rsidR="00826F32">
        <w:t>reform direction for the CCCFR grant. These include:</w:t>
      </w:r>
    </w:p>
    <w:p w14:paraId="40A35C28" w14:textId="0506CC49" w:rsidR="00826F32" w:rsidRDefault="003016A9" w:rsidP="00930FA2">
      <w:pPr>
        <w:pStyle w:val="ListBullet"/>
      </w:pPr>
      <w:r>
        <w:t>a national vision for early childhood education and care</w:t>
      </w:r>
      <w:r w:rsidR="006452F7">
        <w:t xml:space="preserve">, </w:t>
      </w:r>
      <w:r w:rsidR="00DC3B21">
        <w:t xml:space="preserve">to be considered by National Cabinet in </w:t>
      </w:r>
      <w:r w:rsidR="00721B89">
        <w:t>early 2024</w:t>
      </w:r>
    </w:p>
    <w:p w14:paraId="79133126" w14:textId="7AB0BF8E" w:rsidR="00DC3B21" w:rsidRDefault="00950BA6" w:rsidP="009A021B">
      <w:pPr>
        <w:pStyle w:val="ListBullet2"/>
      </w:pPr>
      <w:r>
        <w:t>the vision is intended to provide long-term direction to achieve a quality, accessible, affordable, and equitable ECEC sector</w:t>
      </w:r>
      <w:r>
        <w:rPr>
          <w:rStyle w:val="FootnoteReference"/>
        </w:rPr>
        <w:footnoteReference w:id="22"/>
      </w:r>
    </w:p>
    <w:p w14:paraId="63F5EA9A" w14:textId="2A1311BA" w:rsidR="00B01A2B" w:rsidRDefault="00464D1F" w:rsidP="00CF7B32">
      <w:pPr>
        <w:pStyle w:val="ListBullet"/>
      </w:pPr>
      <w:r>
        <w:t xml:space="preserve">the </w:t>
      </w:r>
      <w:r w:rsidR="00CF7B32">
        <w:t>Early Years Strategy</w:t>
      </w:r>
      <w:r>
        <w:t xml:space="preserve"> being </w:t>
      </w:r>
      <w:r w:rsidR="000827E7">
        <w:t xml:space="preserve">developed by the Australian Government </w:t>
      </w:r>
    </w:p>
    <w:p w14:paraId="4D9EDD90" w14:textId="3829D99B" w:rsidR="00CF7B32" w:rsidRPr="00093B57" w:rsidRDefault="00B01A2B" w:rsidP="004C5593">
      <w:pPr>
        <w:pStyle w:val="ListBullet2"/>
      </w:pPr>
      <w:r>
        <w:t>the Strategy is intended</w:t>
      </w:r>
      <w:r w:rsidR="000827E7" w:rsidRPr="00093B57">
        <w:t xml:space="preserve"> to </w:t>
      </w:r>
      <w:r w:rsidR="00093B57">
        <w:t>he</w:t>
      </w:r>
      <w:r w:rsidR="00B050BA" w:rsidRPr="00093B57">
        <w:t>lp the Commonwealth create a more integrated, holistic approach to the early years and better support the education, wellbeing and development of Australia’s children</w:t>
      </w:r>
    </w:p>
    <w:p w14:paraId="44F0BA1B" w14:textId="21BB6090" w:rsidR="003E3CAB" w:rsidRPr="00093B57" w:rsidRDefault="003E3CAB" w:rsidP="00417DFD">
      <w:pPr>
        <w:pStyle w:val="ListBullet2"/>
      </w:pPr>
      <w:r>
        <w:t xml:space="preserve">a </w:t>
      </w:r>
      <w:r w:rsidR="008D710D">
        <w:t>draft</w:t>
      </w:r>
      <w:r>
        <w:t xml:space="preserve"> Early Years Strategy w</w:t>
      </w:r>
      <w:r w:rsidR="0094382A">
        <w:t>as</w:t>
      </w:r>
      <w:r>
        <w:t xml:space="preserve"> published </w:t>
      </w:r>
      <w:r w:rsidR="009040D7">
        <w:t>on</w:t>
      </w:r>
      <w:r w:rsidR="008D710D">
        <w:t xml:space="preserve"> 7 December 2023</w:t>
      </w:r>
      <w:r w:rsidR="00056402">
        <w:rPr>
          <w:rStyle w:val="FootnoteReference"/>
        </w:rPr>
        <w:footnoteReference w:id="23"/>
      </w:r>
      <w:r w:rsidR="009040D7">
        <w:t xml:space="preserve"> </w:t>
      </w:r>
    </w:p>
    <w:p w14:paraId="7E1338B7" w14:textId="1265A5E7" w:rsidR="00826F32" w:rsidRDefault="009A021B" w:rsidP="00826F32">
      <w:pPr>
        <w:pStyle w:val="ListBullet"/>
      </w:pPr>
      <w:r>
        <w:t xml:space="preserve">the National Children’s Education and Care Workforce Strategy, </w:t>
      </w:r>
      <w:r w:rsidRPr="2B91AEFB">
        <w:rPr>
          <w:i/>
          <w:iCs/>
        </w:rPr>
        <w:t>Shaping our Future</w:t>
      </w:r>
      <w:r w:rsidR="00350540">
        <w:t>,</w:t>
      </w:r>
      <w:r w:rsidR="003845E6">
        <w:t xml:space="preserve"> published in </w:t>
      </w:r>
      <w:r w:rsidR="00350540">
        <w:t>2021</w:t>
      </w:r>
    </w:p>
    <w:p w14:paraId="616EC009" w14:textId="04C9DE59" w:rsidR="00A92F7C" w:rsidRDefault="00AE53A8" w:rsidP="00AE53A8">
      <w:pPr>
        <w:pStyle w:val="ListBullet2"/>
      </w:pPr>
      <w:r>
        <w:t xml:space="preserve">the Strategy established 21 actions over a time period of ten years </w:t>
      </w:r>
      <w:r w:rsidR="006614A5">
        <w:t>to</w:t>
      </w:r>
      <w:r>
        <w:t xml:space="preserve"> </w:t>
      </w:r>
      <w:r w:rsidR="00B61274">
        <w:t>support the development of a high quality and sustainable early childhood workforce</w:t>
      </w:r>
    </w:p>
    <w:p w14:paraId="65FC1D6D" w14:textId="1B7AD88F" w:rsidR="00AE53A8" w:rsidRDefault="00AE53A8" w:rsidP="00AE53A8">
      <w:pPr>
        <w:pStyle w:val="ListBullet2"/>
      </w:pPr>
      <w:r>
        <w:t xml:space="preserve">focus areas </w:t>
      </w:r>
      <w:r w:rsidR="00FA31AB">
        <w:t>include</w:t>
      </w:r>
      <w:r>
        <w:t>: professional recognition;</w:t>
      </w:r>
      <w:r w:rsidRPr="00AE53A8">
        <w:t xml:space="preserve"> </w:t>
      </w:r>
      <w:r>
        <w:t>attraction and retention; leadership and capability; wellbeing; qualifications and career pathways; and data and evidence</w:t>
      </w:r>
      <w:r w:rsidR="00060236">
        <w:t>.</w:t>
      </w:r>
      <w:r>
        <w:rPr>
          <w:rStyle w:val="FootnoteReference"/>
        </w:rPr>
        <w:footnoteReference w:id="24"/>
      </w:r>
    </w:p>
    <w:p w14:paraId="795AADAE" w14:textId="77777777" w:rsidR="00B61274" w:rsidRDefault="00B61274" w:rsidP="00B61274">
      <w:pPr>
        <w:spacing w:after="0"/>
      </w:pPr>
    </w:p>
    <w:p w14:paraId="7A0D325E" w14:textId="2AEDE29E" w:rsidR="00EF727A" w:rsidRDefault="007B67F0" w:rsidP="001328D1">
      <w:r>
        <w:t>T</w:t>
      </w:r>
      <w:r w:rsidR="003A5894">
        <w:t xml:space="preserve">here are two major ECEC inquiries that will </w:t>
      </w:r>
      <w:r w:rsidR="00B5568E">
        <w:t>significantly</w:t>
      </w:r>
      <w:r w:rsidR="003A5894">
        <w:t xml:space="preserve"> shape the </w:t>
      </w:r>
      <w:r w:rsidR="00CE22B9">
        <w:t>future of the CCCFR grant</w:t>
      </w:r>
      <w:r w:rsidR="00263152">
        <w:t xml:space="preserve"> – the </w:t>
      </w:r>
      <w:r w:rsidR="00A63CF4">
        <w:t xml:space="preserve">Australian Competition and Consumer Commission (ACCC) </w:t>
      </w:r>
      <w:r w:rsidR="00EF727A">
        <w:t>Child Care Price</w:t>
      </w:r>
      <w:r w:rsidR="00A63CF4">
        <w:t xml:space="preserve"> Inquiry</w:t>
      </w:r>
      <w:r w:rsidR="00EF727A">
        <w:t xml:space="preserve"> (the ACCC Inquiry)</w:t>
      </w:r>
      <w:r w:rsidR="00A63CF4">
        <w:t xml:space="preserve"> and the Productivity Commission</w:t>
      </w:r>
      <w:r w:rsidR="004D3C21">
        <w:t xml:space="preserve"> Inquiry</w:t>
      </w:r>
      <w:r w:rsidR="00176C2B">
        <w:t xml:space="preserve"> into the ECEC sector in Australia (the PC Inquiry)</w:t>
      </w:r>
      <w:r w:rsidR="00275E81">
        <w:t xml:space="preserve">. </w:t>
      </w:r>
      <w:r w:rsidR="00C912CC">
        <w:t>Findings</w:t>
      </w:r>
      <w:r w:rsidR="00474257">
        <w:t xml:space="preserve"> from the ACCC Inquiry will </w:t>
      </w:r>
      <w:r w:rsidR="00F478C7">
        <w:t>inform and support the PC Inquiry</w:t>
      </w:r>
      <w:r w:rsidR="009F0210">
        <w:t>, together with the CCCFR review findings.</w:t>
      </w:r>
    </w:p>
    <w:p w14:paraId="59FACAA4" w14:textId="12C95884" w:rsidR="008247C0" w:rsidRDefault="008247C0" w:rsidP="001328D1">
      <w:r>
        <w:t>An overview of the two inquiries is provided in the box below.</w:t>
      </w:r>
    </w:p>
    <w:p w14:paraId="5E87B340" w14:textId="77777777" w:rsidR="00E529C2" w:rsidRDefault="00E529C2" w:rsidP="001328D1"/>
    <w:p w14:paraId="3C484C2D" w14:textId="77777777" w:rsidR="00E529C2" w:rsidRDefault="00E529C2" w:rsidP="001328D1"/>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06651C" w14:paraId="634D37F0" w14:textId="77777777" w:rsidTr="2B91AEFB">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4A2CCB03" w14:textId="02A56698" w:rsidR="0006651C" w:rsidRPr="00A009A5" w:rsidRDefault="0006651C" w:rsidP="00B367B0">
            <w:pPr>
              <w:pStyle w:val="NoSpacing"/>
              <w:spacing w:before="60" w:after="240"/>
              <w:rPr>
                <w:b/>
                <w:bCs/>
              </w:rPr>
            </w:pPr>
            <w:r w:rsidRPr="00A009A5">
              <w:rPr>
                <w:b/>
                <w:bCs/>
              </w:rPr>
              <w:lastRenderedPageBreak/>
              <w:t>Box 1.</w:t>
            </w:r>
            <w:r>
              <w:rPr>
                <w:b/>
                <w:bCs/>
              </w:rPr>
              <w:t>2</w:t>
            </w:r>
            <w:r w:rsidRPr="00A009A5">
              <w:rPr>
                <w:b/>
                <w:bCs/>
              </w:rPr>
              <w:t xml:space="preserve">: </w:t>
            </w:r>
            <w:r>
              <w:rPr>
                <w:b/>
                <w:bCs/>
              </w:rPr>
              <w:t>ACCC and PC</w:t>
            </w:r>
            <w:r w:rsidR="008A216B">
              <w:rPr>
                <w:b/>
                <w:bCs/>
              </w:rPr>
              <w:t xml:space="preserve"> </w:t>
            </w:r>
            <w:r w:rsidR="00773555" w:rsidRPr="00370E2B">
              <w:rPr>
                <w:b/>
                <w:bCs/>
              </w:rPr>
              <w:t xml:space="preserve">ECEC </w:t>
            </w:r>
            <w:r w:rsidR="008A216B">
              <w:rPr>
                <w:b/>
                <w:bCs/>
              </w:rPr>
              <w:t>Inquiries</w:t>
            </w:r>
          </w:p>
          <w:p w14:paraId="222A9C09" w14:textId="380224EC" w:rsidR="0006651C" w:rsidRDefault="00B367B0" w:rsidP="00B367B0">
            <w:pPr>
              <w:spacing w:after="0"/>
              <w:rPr>
                <w:b/>
              </w:rPr>
            </w:pPr>
            <w:r w:rsidRPr="00B367B0">
              <w:rPr>
                <w:b/>
                <w:bCs/>
              </w:rPr>
              <w:t>ACCC Inquiry</w:t>
            </w:r>
            <w:r w:rsidR="0006651C" w:rsidRPr="00B367B0">
              <w:rPr>
                <w:b/>
                <w:bCs/>
              </w:rPr>
              <w:t xml:space="preserve"> </w:t>
            </w:r>
          </w:p>
          <w:p w14:paraId="0C97A926" w14:textId="031B9E05" w:rsidR="00B367B0" w:rsidRPr="00B367B0" w:rsidRDefault="00C6324B" w:rsidP="00D53320">
            <w:r>
              <w:t>The ACC</w:t>
            </w:r>
            <w:r w:rsidR="002E055A">
              <w:t>C</w:t>
            </w:r>
            <w:r>
              <w:t xml:space="preserve"> Inquiry</w:t>
            </w:r>
            <w:r w:rsidR="004A4DDA">
              <w:t xml:space="preserve"> </w:t>
            </w:r>
            <w:r w:rsidR="006C3368">
              <w:t>examine</w:t>
            </w:r>
            <w:r w:rsidR="00F33BE3">
              <w:t>d</w:t>
            </w:r>
            <w:r w:rsidR="006C3368">
              <w:t xml:space="preserve"> and consider</w:t>
            </w:r>
            <w:r w:rsidR="00F33BE3">
              <w:t>ed</w:t>
            </w:r>
            <w:r w:rsidR="006C3368">
              <w:t xml:space="preserve"> matters including:</w:t>
            </w:r>
          </w:p>
          <w:p w14:paraId="1FF50FBE" w14:textId="77777777" w:rsidR="00D53320" w:rsidRPr="00D53320" w:rsidRDefault="694D54D3" w:rsidP="00D53320">
            <w:pPr>
              <w:pStyle w:val="ListBullet"/>
              <w:rPr>
                <w:lang w:eastAsia="en-AU"/>
              </w:rPr>
            </w:pPr>
            <w:r w:rsidRPr="2B91AEFB">
              <w:rPr>
                <w:lang w:eastAsia="en-AU"/>
              </w:rPr>
              <w:t>costs and availability of labour</w:t>
            </w:r>
          </w:p>
          <w:p w14:paraId="17699EC1" w14:textId="77777777" w:rsidR="00D53320" w:rsidRPr="00D53320" w:rsidRDefault="694D54D3" w:rsidP="00D53320">
            <w:pPr>
              <w:pStyle w:val="ListBullet"/>
              <w:rPr>
                <w:lang w:eastAsia="en-AU"/>
              </w:rPr>
            </w:pPr>
            <w:r w:rsidRPr="2B91AEFB">
              <w:rPr>
                <w:lang w:eastAsia="en-AU"/>
              </w:rPr>
              <w:t>the use of land and related costs</w:t>
            </w:r>
          </w:p>
          <w:p w14:paraId="49FC0477" w14:textId="77777777" w:rsidR="00D53320" w:rsidRPr="00D53320" w:rsidRDefault="694D54D3" w:rsidP="00D53320">
            <w:pPr>
              <w:pStyle w:val="ListBullet"/>
              <w:rPr>
                <w:lang w:eastAsia="en-AU"/>
              </w:rPr>
            </w:pPr>
            <w:r w:rsidRPr="2B91AEFB">
              <w:rPr>
                <w:lang w:eastAsia="en-AU"/>
              </w:rPr>
              <w:t>finance and administrative costs</w:t>
            </w:r>
          </w:p>
          <w:p w14:paraId="64442577" w14:textId="77777777" w:rsidR="00D53320" w:rsidRPr="00D53320" w:rsidRDefault="694D54D3" w:rsidP="00D53320">
            <w:pPr>
              <w:pStyle w:val="ListBullet"/>
              <w:rPr>
                <w:lang w:eastAsia="en-AU"/>
              </w:rPr>
            </w:pPr>
            <w:r w:rsidRPr="2B91AEFB">
              <w:rPr>
                <w:lang w:eastAsia="en-AU"/>
              </w:rPr>
              <w:t>regulatory compliance costs</w:t>
            </w:r>
          </w:p>
          <w:p w14:paraId="255E3713" w14:textId="77777777" w:rsidR="00D53320" w:rsidRPr="00D53320" w:rsidRDefault="694D54D3" w:rsidP="00D53320">
            <w:pPr>
              <w:pStyle w:val="ListBullet"/>
              <w:rPr>
                <w:lang w:eastAsia="en-AU"/>
              </w:rPr>
            </w:pPr>
            <w:r w:rsidRPr="2B91AEFB">
              <w:rPr>
                <w:lang w:eastAsia="en-AU"/>
              </w:rPr>
              <w:t>the costs of consumables</w:t>
            </w:r>
          </w:p>
          <w:p w14:paraId="2A739C82" w14:textId="1C7E142A" w:rsidR="00D53320" w:rsidRPr="00D53320" w:rsidRDefault="694D54D3" w:rsidP="00D53320">
            <w:pPr>
              <w:pStyle w:val="ListBullet"/>
              <w:rPr>
                <w:lang w:eastAsia="en-AU"/>
              </w:rPr>
            </w:pPr>
            <w:r w:rsidRPr="2B91AEFB">
              <w:rPr>
                <w:lang w:eastAsia="en-AU"/>
              </w:rPr>
              <w:t>the prices charged since 2018 and how these have changed following changes in child</w:t>
            </w:r>
            <w:r w:rsidR="76BC22E3" w:rsidRPr="2B91AEFB">
              <w:rPr>
                <w:lang w:eastAsia="en-AU"/>
              </w:rPr>
              <w:t xml:space="preserve"> </w:t>
            </w:r>
            <w:r w:rsidRPr="2B91AEFB">
              <w:rPr>
                <w:lang w:eastAsia="en-AU"/>
              </w:rPr>
              <w:t>care policy settings.</w:t>
            </w:r>
          </w:p>
          <w:p w14:paraId="7CD1AD9F" w14:textId="77777777" w:rsidR="00933509" w:rsidRDefault="00933509" w:rsidP="00933509">
            <w:pPr>
              <w:spacing w:after="0"/>
            </w:pPr>
          </w:p>
          <w:p w14:paraId="5FBBF7C3" w14:textId="5589D864" w:rsidR="006C3368" w:rsidRPr="00B367B0" w:rsidRDefault="00872DF3" w:rsidP="00933509">
            <w:r>
              <w:t>It also examine</w:t>
            </w:r>
            <w:r w:rsidR="00F33BE3">
              <w:t>d</w:t>
            </w:r>
            <w:r>
              <w:t xml:space="preserve"> how</w:t>
            </w:r>
            <w:r w:rsidR="00D910B4">
              <w:t xml:space="preserve"> variation in costs and prices </w:t>
            </w:r>
            <w:r w:rsidR="00FB1751">
              <w:t>across</w:t>
            </w:r>
            <w:r w:rsidR="00337B1A">
              <w:t xml:space="preserve"> </w:t>
            </w:r>
            <w:r w:rsidR="009D07BD">
              <w:t xml:space="preserve">key characteristics </w:t>
            </w:r>
            <w:r w:rsidR="00D910B4">
              <w:t xml:space="preserve">impact child care provider </w:t>
            </w:r>
            <w:r w:rsidR="002E055A">
              <w:t>viability, quality and profits.</w:t>
            </w:r>
          </w:p>
          <w:p w14:paraId="068E4D18" w14:textId="1EAE5E70" w:rsidR="009C203E" w:rsidRPr="00B367B0" w:rsidRDefault="009C203E" w:rsidP="00933509">
            <w:r>
              <w:t xml:space="preserve">On </w:t>
            </w:r>
            <w:r w:rsidR="009141F1">
              <w:t>29 January 2024</w:t>
            </w:r>
            <w:r>
              <w:t>, the ACCC Inquiry published</w:t>
            </w:r>
            <w:r w:rsidR="007838AC">
              <w:t xml:space="preserve"> its </w:t>
            </w:r>
            <w:r w:rsidR="009141F1">
              <w:t>final</w:t>
            </w:r>
            <w:r w:rsidR="008E6F50">
              <w:t xml:space="preserve"> report</w:t>
            </w:r>
            <w:r w:rsidR="0025304C">
              <w:t xml:space="preserve">, making </w:t>
            </w:r>
            <w:r w:rsidR="00CE57D0" w:rsidRPr="00CE57D0">
              <w:t>findings and recommendations regarding the costs of providing child</w:t>
            </w:r>
            <w:r w:rsidR="0015688F">
              <w:t xml:space="preserve"> </w:t>
            </w:r>
            <w:r w:rsidR="00CE57D0" w:rsidRPr="00CE57D0">
              <w:t>care services, the nature of competition in child</w:t>
            </w:r>
            <w:r w:rsidR="000B0C9A">
              <w:t xml:space="preserve"> </w:t>
            </w:r>
            <w:r w:rsidR="00CE57D0" w:rsidRPr="00CE57D0">
              <w:t xml:space="preserve">care markets, the profitability and viability of the sector, and price regulation </w:t>
            </w:r>
            <w:r w:rsidR="002E6CCD">
              <w:t>models</w:t>
            </w:r>
            <w:r w:rsidR="00ED4034">
              <w:t>.</w:t>
            </w:r>
            <w:r w:rsidR="00EC3C9D">
              <w:rPr>
                <w:rStyle w:val="FootnoteReference"/>
              </w:rPr>
              <w:footnoteReference w:id="25"/>
            </w:r>
          </w:p>
          <w:p w14:paraId="1C8755E6" w14:textId="18DFEF56" w:rsidR="00654A35" w:rsidRDefault="00654A35" w:rsidP="0006651C">
            <w:r>
              <w:t xml:space="preserve">Key </w:t>
            </w:r>
            <w:r w:rsidR="003244C3">
              <w:t>recommendations</w:t>
            </w:r>
            <w:r w:rsidR="00625DDA">
              <w:t xml:space="preserve"> relevant to the CCCFR review include</w:t>
            </w:r>
            <w:r w:rsidR="00933509">
              <w:t>:</w:t>
            </w:r>
          </w:p>
          <w:p w14:paraId="543DCBF1" w14:textId="2269BFFD" w:rsidR="00933509" w:rsidRDefault="46E0EAB0" w:rsidP="00ED101E">
            <w:pPr>
              <w:pStyle w:val="ListBullet"/>
            </w:pPr>
            <w:r>
              <w:t xml:space="preserve">consideration and consultation on changes to the CCS and existing hourly rate cap mechanism, including </w:t>
            </w:r>
            <w:r w:rsidR="69E3EE78">
              <w:t>removing, relaxing or substantially reconfiguring the current activity test, as it may be acting as a barrier to more vulnerable children accessing care</w:t>
            </w:r>
            <w:r w:rsidR="3B32F0D3">
              <w:t xml:space="preserve"> </w:t>
            </w:r>
            <w:r w:rsidR="32DD9CC8">
              <w:t>and creating a barrier to workforce entry</w:t>
            </w:r>
            <w:r w:rsidR="0CB00FFD">
              <w:t xml:space="preserve"> or return for some families</w:t>
            </w:r>
            <w:r w:rsidR="3DB8F0EC">
              <w:t xml:space="preserve"> (recommendation 2)</w:t>
            </w:r>
          </w:p>
          <w:p w14:paraId="476C65CA" w14:textId="18BB8465" w:rsidR="009A55DD" w:rsidRDefault="39E7F0E6" w:rsidP="00ED101E">
            <w:pPr>
              <w:pStyle w:val="ListBullet"/>
            </w:pPr>
            <w:r>
              <w:t xml:space="preserve">consideration of </w:t>
            </w:r>
            <w:r w:rsidR="38EF2FEE">
              <w:t>maintaining and expanding supply-side support options for ACCOs that provide child</w:t>
            </w:r>
            <w:r w:rsidR="00C03FB1">
              <w:t xml:space="preserve"> </w:t>
            </w:r>
            <w:r w:rsidR="38EF2FEE">
              <w:t xml:space="preserve">care and additional support services for </w:t>
            </w:r>
            <w:r w:rsidR="00C80C4B">
              <w:t xml:space="preserve">Aboriginal and Torres Strait Islander </w:t>
            </w:r>
            <w:r w:rsidR="38EF2FEE">
              <w:t>children, parents and guardians</w:t>
            </w:r>
            <w:r w:rsidR="233E9B0E">
              <w:t xml:space="preserve"> (recommendation </w:t>
            </w:r>
            <w:r w:rsidR="098DA716">
              <w:t>6</w:t>
            </w:r>
            <w:r w:rsidR="6EAEADA7">
              <w:t>a</w:t>
            </w:r>
            <w:r w:rsidR="233E9B0E">
              <w:t>)</w:t>
            </w:r>
          </w:p>
          <w:p w14:paraId="73307630" w14:textId="407C5186" w:rsidR="001F734B" w:rsidRDefault="763268C0" w:rsidP="00ED101E">
            <w:pPr>
              <w:pStyle w:val="ListBullet"/>
            </w:pPr>
            <w:r>
              <w:t>consideration</w:t>
            </w:r>
            <w:r w:rsidR="7E3CD8E0">
              <w:t xml:space="preserve"> of alternative approaches</w:t>
            </w:r>
            <w:r w:rsidR="70580A07">
              <w:t xml:space="preserve"> for Aboriginal and Torres Strait Islander households to access</w:t>
            </w:r>
            <w:r w:rsidR="7F0B60DA">
              <w:t xml:space="preserve"> the CCS, </w:t>
            </w:r>
            <w:r w:rsidR="3DB507AF">
              <w:t xml:space="preserve">recognising: </w:t>
            </w:r>
            <w:r w:rsidR="6F607715">
              <w:t xml:space="preserve">(1) </w:t>
            </w:r>
            <w:r w:rsidR="0530DD73">
              <w:t>the current lack of flexibility in the system to take account of, for example, kinship care arrangements</w:t>
            </w:r>
            <w:r w:rsidR="6F607715">
              <w:t>;</w:t>
            </w:r>
            <w:r w:rsidR="0530DD73">
              <w:t xml:space="preserve"> </w:t>
            </w:r>
            <w:r w:rsidR="6F607715">
              <w:t xml:space="preserve">and </w:t>
            </w:r>
            <w:r w:rsidR="301D254F">
              <w:t xml:space="preserve">(2) </w:t>
            </w:r>
            <w:r w:rsidR="0530DD73">
              <w:t xml:space="preserve">the barriers that can exist to stop or inhibit </w:t>
            </w:r>
            <w:r w:rsidR="6F607715">
              <w:t xml:space="preserve">Aboriginal and Torres Strait Islander </w:t>
            </w:r>
            <w:r w:rsidR="0530DD73">
              <w:t>households engaging with Centrelink or Services Australia, such as practical documentation or evidence barriers and historical and cultural barriers associated with past trauma</w:t>
            </w:r>
            <w:r w:rsidR="6F607715">
              <w:t xml:space="preserve"> (recommendation 6b)</w:t>
            </w:r>
          </w:p>
          <w:p w14:paraId="2EE8FA56" w14:textId="0A547487" w:rsidR="0065302F" w:rsidRDefault="233E9B0E" w:rsidP="00ED101E">
            <w:pPr>
              <w:pStyle w:val="ListBullet"/>
            </w:pPr>
            <w:r>
              <w:t>consideration of a market</w:t>
            </w:r>
            <w:r w:rsidR="20107323">
              <w:t xml:space="preserve"> stewardship role</w:t>
            </w:r>
            <w:r w:rsidR="0FF20CAF">
              <w:t xml:space="preserve">, </w:t>
            </w:r>
            <w:r w:rsidR="165D9B52">
              <w:t>in</w:t>
            </w:r>
            <w:r w:rsidR="1B021FEB">
              <w:t>cluding</w:t>
            </w:r>
            <w:r w:rsidR="0FF20CAF">
              <w:t xml:space="preserve"> </w:t>
            </w:r>
            <w:r w:rsidR="0395A463">
              <w:t xml:space="preserve">identifying under-served areas and vulnerable cohorts, along with </w:t>
            </w:r>
            <w:r w:rsidR="52524062">
              <w:t xml:space="preserve">appropriate </w:t>
            </w:r>
            <w:r w:rsidR="0395A463">
              <w:t xml:space="preserve">intervention whether through </w:t>
            </w:r>
            <w:r w:rsidR="77A6F17D">
              <w:t>demand-side and/or supply-side subsidies</w:t>
            </w:r>
            <w:r w:rsidR="27C4D783">
              <w:t xml:space="preserve"> and any complementary</w:t>
            </w:r>
            <w:r w:rsidR="68102172">
              <w:t xml:space="preserve"> regulatory measures required</w:t>
            </w:r>
            <w:r>
              <w:t xml:space="preserve"> (recommendation </w:t>
            </w:r>
            <w:r w:rsidR="68102172">
              <w:t>7</w:t>
            </w:r>
            <w:r>
              <w:t>)</w:t>
            </w:r>
          </w:p>
          <w:p w14:paraId="116A678B" w14:textId="40173935" w:rsidR="00ED101E" w:rsidRDefault="5D4A5E75" w:rsidP="00140B3D">
            <w:pPr>
              <w:pStyle w:val="ListBullet"/>
            </w:pPr>
            <w:r>
              <w:t xml:space="preserve">further consideration of the benefits and challenges of supply-side subsidies (particularly as a longer term consideration) coupled with other more direct forms of market intervention, as appropriate </w:t>
            </w:r>
            <w:r w:rsidR="7B9B29EC">
              <w:t xml:space="preserve">(recommendation </w:t>
            </w:r>
            <w:r>
              <w:t>8</w:t>
            </w:r>
            <w:r w:rsidR="7B9B29EC">
              <w:t>)</w:t>
            </w:r>
            <w:r w:rsidR="3005F879">
              <w:t>.</w:t>
            </w:r>
          </w:p>
          <w:p w14:paraId="0653076C" w14:textId="77777777" w:rsidR="00D55A3C" w:rsidRDefault="00D55A3C" w:rsidP="00D55A3C">
            <w:pPr>
              <w:pStyle w:val="ListBullet"/>
              <w:numPr>
                <w:ilvl w:val="0"/>
                <w:numId w:val="0"/>
              </w:numPr>
              <w:ind w:left="340"/>
            </w:pPr>
          </w:p>
          <w:p w14:paraId="6CE012BB" w14:textId="2D26EC64" w:rsidR="00B367B0" w:rsidRPr="00B367B0" w:rsidRDefault="00B367B0" w:rsidP="00B367B0">
            <w:pPr>
              <w:spacing w:after="0"/>
              <w:rPr>
                <w:b/>
                <w:bCs/>
              </w:rPr>
            </w:pPr>
            <w:r w:rsidRPr="00B367B0">
              <w:rPr>
                <w:b/>
                <w:bCs/>
              </w:rPr>
              <w:t>PC Inquiry</w:t>
            </w:r>
          </w:p>
          <w:p w14:paraId="4A30D0A4" w14:textId="5B238A8A" w:rsidR="007B35DB" w:rsidRPr="003353EC" w:rsidRDefault="00420CEC" w:rsidP="00872A42">
            <w:r>
              <w:t xml:space="preserve">The PC Inquiry has been asked </w:t>
            </w:r>
            <w:r w:rsidR="003B11E1">
              <w:t>to make</w:t>
            </w:r>
            <w:r w:rsidR="00F6655B">
              <w:t xml:space="preserve"> recommendations that will support affordable, accessible, equitable and high-quality ECEC that reduces barriers to workforce participation and supports children’s learning and development, including considering a universal 90 per cent child care subsidy rate</w:t>
            </w:r>
            <w:r w:rsidR="009D5E6C">
              <w:t>.</w:t>
            </w:r>
            <w:r w:rsidR="00663A79">
              <w:t xml:space="preserve"> In doing so, it </w:t>
            </w:r>
            <w:r w:rsidR="00872A42">
              <w:t>will</w:t>
            </w:r>
            <w:r>
              <w:t xml:space="preserve"> </w:t>
            </w:r>
            <w:r w:rsidR="007B35DB">
              <w:t xml:space="preserve">consider options that improve or support: </w:t>
            </w:r>
          </w:p>
          <w:p w14:paraId="4DC11312" w14:textId="77777777" w:rsidR="007B35DB" w:rsidRPr="003353EC" w:rsidRDefault="4DA5483E" w:rsidP="007B35DB">
            <w:pPr>
              <w:pStyle w:val="ListBullet"/>
            </w:pPr>
            <w:r>
              <w:t>affordability of, and access to, quality ECEC services that meet the needs of families and children</w:t>
            </w:r>
          </w:p>
          <w:p w14:paraId="03057E2C" w14:textId="77777777" w:rsidR="007B35DB" w:rsidRPr="003353EC" w:rsidRDefault="4DA5483E" w:rsidP="007B35DB">
            <w:pPr>
              <w:pStyle w:val="ListBullet"/>
            </w:pPr>
            <w:r>
              <w:t>developmental and educational outcomes for Australian children, including preparation for school</w:t>
            </w:r>
          </w:p>
          <w:p w14:paraId="04C60F4B" w14:textId="77777777" w:rsidR="007B35DB" w:rsidRPr="003353EC" w:rsidRDefault="4DA5483E" w:rsidP="007B35DB">
            <w:pPr>
              <w:pStyle w:val="ListBullet"/>
            </w:pPr>
            <w:r>
              <w:t>economic growth, including through enabling workforce participation, particularly for women, and contributing to productivity</w:t>
            </w:r>
          </w:p>
          <w:p w14:paraId="3D45514B" w14:textId="3419F3F4" w:rsidR="007B35DB" w:rsidRPr="003353EC" w:rsidRDefault="4DA5483E" w:rsidP="007B35DB">
            <w:pPr>
              <w:pStyle w:val="ListBullet"/>
            </w:pPr>
            <w:r>
              <w:lastRenderedPageBreak/>
              <w:t xml:space="preserve">outcomes for children and families experiencing vulnerability and/or disadvantage, </w:t>
            </w:r>
            <w:r w:rsidR="00C80C4B">
              <w:t>Aboriginal and Torres Strait Islander</w:t>
            </w:r>
            <w:r>
              <w:t xml:space="preserve"> children and families, and children and families experiencing disability</w:t>
            </w:r>
          </w:p>
          <w:p w14:paraId="274C78B0" w14:textId="77777777" w:rsidR="007B35DB" w:rsidRDefault="4DA5483E" w:rsidP="007B35DB">
            <w:pPr>
              <w:pStyle w:val="ListBullet"/>
            </w:pPr>
            <w:r>
              <w:t>the efficiency and effectiveness of government investment in the sector.</w:t>
            </w:r>
          </w:p>
          <w:p w14:paraId="46946327" w14:textId="34F2EAD3" w:rsidR="007B35DB" w:rsidRDefault="00817A6B" w:rsidP="00BC2C4A">
            <w:pPr>
              <w:spacing w:before="170"/>
            </w:pPr>
            <w:r>
              <w:t>On 23 November 2023, the</w:t>
            </w:r>
            <w:r w:rsidR="00435EF7">
              <w:t xml:space="preserve"> PC Inquiry</w:t>
            </w:r>
            <w:r w:rsidR="00CB4C9E">
              <w:t xml:space="preserve"> published a report on its draft findings and</w:t>
            </w:r>
            <w:r w:rsidR="00EE4CA3" w:rsidRPr="00EE4CA3">
              <w:t xml:space="preserve"> recommendations to address the barriers that affect access to ECEC services and support better outcomes for children and families</w:t>
            </w:r>
            <w:r w:rsidR="00435EF7">
              <w:t xml:space="preserve"> </w:t>
            </w:r>
            <w:r w:rsidR="00DE386E">
              <w:t xml:space="preserve">– </w:t>
            </w:r>
            <w:r w:rsidR="00DE386E" w:rsidRPr="00DE386E">
              <w:rPr>
                <w:i/>
                <w:iCs/>
              </w:rPr>
              <w:t>A path to universal early childhood education and care</w:t>
            </w:r>
            <w:r w:rsidR="00DE386E">
              <w:t>.</w:t>
            </w:r>
            <w:r w:rsidR="00DE386E">
              <w:rPr>
                <w:rStyle w:val="FootnoteReference"/>
              </w:rPr>
              <w:footnoteReference w:id="26"/>
            </w:r>
          </w:p>
          <w:p w14:paraId="0DBF6DAD" w14:textId="419A1F34" w:rsidR="00D45E06" w:rsidRDefault="00413198" w:rsidP="00BC2C4A">
            <w:pPr>
              <w:spacing w:before="170"/>
            </w:pPr>
            <w:r>
              <w:t>Key recommendations relevant to the CCCFR review include:</w:t>
            </w:r>
          </w:p>
          <w:p w14:paraId="3D8FF3CB" w14:textId="5C2CEA0E" w:rsidR="00413198" w:rsidRDefault="0CF390AD" w:rsidP="00AB019E">
            <w:pPr>
              <w:pStyle w:val="ListBullet"/>
            </w:pPr>
            <w:r>
              <w:t>s</w:t>
            </w:r>
            <w:r w:rsidR="56135AB7">
              <w:t>upport</w:t>
            </w:r>
            <w:r>
              <w:t>ing</w:t>
            </w:r>
            <w:r w:rsidR="56135AB7">
              <w:t xml:space="preserve"> universal access in persistently thin markets</w:t>
            </w:r>
            <w:r w:rsidR="5169CCD5">
              <w:t xml:space="preserve"> via supply-side funding (</w:t>
            </w:r>
            <w:r>
              <w:t>draft recommendation 5.1)</w:t>
            </w:r>
          </w:p>
          <w:p w14:paraId="49E13C98" w14:textId="5CAC96C3" w:rsidR="004937D6" w:rsidRDefault="590C81BE" w:rsidP="00AB019E">
            <w:pPr>
              <w:pStyle w:val="ListBullet"/>
            </w:pPr>
            <w:r>
              <w:t xml:space="preserve">modifying the </w:t>
            </w:r>
            <w:r w:rsidR="5E4778E4">
              <w:t>CCS to improve affordability and access (draft recommendation 6.2)</w:t>
            </w:r>
          </w:p>
          <w:p w14:paraId="51A5C602" w14:textId="6460DF51" w:rsidR="004F3671" w:rsidRDefault="421C2690" w:rsidP="00AB019E">
            <w:pPr>
              <w:pStyle w:val="ListBullet"/>
            </w:pPr>
            <w:r>
              <w:t>mak</w:t>
            </w:r>
            <w:r w:rsidR="30ED2372">
              <w:t>ing</w:t>
            </w:r>
            <w:r>
              <w:t xml:space="preserve"> information about CCS eligibility</w:t>
            </w:r>
            <w:r w:rsidR="4169BEC1">
              <w:t xml:space="preserve"> easy to find and understand (</w:t>
            </w:r>
            <w:r w:rsidR="64781C79">
              <w:t>draft recommendation 6.3)</w:t>
            </w:r>
          </w:p>
          <w:p w14:paraId="1191E8C6" w14:textId="39B995A7" w:rsidR="00EE2C56" w:rsidRDefault="06342EF3" w:rsidP="00AB019E">
            <w:pPr>
              <w:pStyle w:val="ListBullet"/>
            </w:pPr>
            <w:r>
              <w:t>prompt</w:t>
            </w:r>
            <w:r w:rsidR="30ED2372">
              <w:t>ing</w:t>
            </w:r>
            <w:r>
              <w:t xml:space="preserve"> families to update their details with Services Australia (</w:t>
            </w:r>
            <w:r w:rsidR="075E3FE6">
              <w:t>draft recommendation 6.</w:t>
            </w:r>
            <w:r w:rsidR="0A854294">
              <w:t>5)</w:t>
            </w:r>
          </w:p>
          <w:p w14:paraId="19655987" w14:textId="565FA835" w:rsidR="00EA3B0C" w:rsidRDefault="0BCCEE1F" w:rsidP="00AB019E">
            <w:pPr>
              <w:pStyle w:val="ListBullet"/>
            </w:pPr>
            <w:r>
              <w:t>ensur</w:t>
            </w:r>
            <w:r w:rsidR="30ED2372">
              <w:t>ing</w:t>
            </w:r>
            <w:r>
              <w:t xml:space="preserve"> integrated services are available where needed (draft recommendation 7.1)</w:t>
            </w:r>
          </w:p>
          <w:p w14:paraId="42427521" w14:textId="57448161" w:rsidR="006333CC" w:rsidRDefault="4DBB3DBC" w:rsidP="00AB019E">
            <w:pPr>
              <w:pStyle w:val="ListBullet"/>
            </w:pPr>
            <w:r>
              <w:t xml:space="preserve">ensuring appropriate </w:t>
            </w:r>
            <w:r w:rsidR="0D02CCC8">
              <w:t>quality regulation for services outside the scope of the NQF (draft recommendation 2.1)</w:t>
            </w:r>
          </w:p>
          <w:p w14:paraId="2D436041" w14:textId="402500B2" w:rsidR="00B87528" w:rsidRDefault="4D9F04D3" w:rsidP="004D6295">
            <w:pPr>
              <w:pStyle w:val="ListBullet"/>
            </w:pPr>
            <w:r>
              <w:t>improving policy coordination and implementation</w:t>
            </w:r>
            <w:r w:rsidR="2473610C">
              <w:t xml:space="preserve"> through a new </w:t>
            </w:r>
            <w:r w:rsidR="0ADE78B4">
              <w:t>National Partnership Agreement for Early Childhood Education and Care</w:t>
            </w:r>
            <w:r w:rsidR="72DF57AA">
              <w:t xml:space="preserve"> (draft recommendation 9.1)</w:t>
            </w:r>
          </w:p>
          <w:p w14:paraId="059AA6F6" w14:textId="5C2E0A24" w:rsidR="003B6631" w:rsidRDefault="52583C8B" w:rsidP="004D6295">
            <w:pPr>
              <w:pStyle w:val="ListBullet"/>
            </w:pPr>
            <w:r>
              <w:t>establishing a</w:t>
            </w:r>
            <w:r w:rsidR="113CDE47">
              <w:t xml:space="preserve"> stewardship model, underpinned by </w:t>
            </w:r>
            <w:r>
              <w:t>an ECEC Commission</w:t>
            </w:r>
            <w:r w:rsidR="113CDE47">
              <w:t>,</w:t>
            </w:r>
            <w:r w:rsidR="696B89BA">
              <w:t xml:space="preserve"> to address some of the challenges observed in the market, coordinate a more cohesive policy response and steer the sector towards universal access</w:t>
            </w:r>
            <w:r w:rsidR="7B82D9B8">
              <w:t xml:space="preserve"> (draft recommendation 9.2)</w:t>
            </w:r>
            <w:r w:rsidR="1053510A">
              <w:t>.</w:t>
            </w:r>
          </w:p>
          <w:p w14:paraId="48B7B56E" w14:textId="620C31BC" w:rsidR="00B64258" w:rsidRDefault="00862B9C" w:rsidP="00BC2C4A">
            <w:pPr>
              <w:spacing w:before="170"/>
            </w:pPr>
            <w:r>
              <w:t xml:space="preserve">In addition, two key findings were made in relation to </w:t>
            </w:r>
            <w:r w:rsidR="000339AC">
              <w:t>supporting Aboriginal and Torres Strait Islander children and families:</w:t>
            </w:r>
          </w:p>
          <w:p w14:paraId="1AA55700" w14:textId="0185DE2B" w:rsidR="000339AC" w:rsidRDefault="4012CD8E" w:rsidP="00AB019E">
            <w:pPr>
              <w:pStyle w:val="ListBullet"/>
            </w:pPr>
            <w:r>
              <w:t>i</w:t>
            </w:r>
            <w:r w:rsidR="5E415113">
              <w:t xml:space="preserve">t is unclear if the </w:t>
            </w:r>
            <w:r w:rsidR="6B96A68D">
              <w:t>NQF</w:t>
            </w:r>
            <w:r w:rsidR="5E415113">
              <w:t xml:space="preserve"> adequately promotes cultural safety and capability (draft finding 2.4)</w:t>
            </w:r>
          </w:p>
          <w:p w14:paraId="30B85B8A" w14:textId="09DED71D" w:rsidR="009264CC" w:rsidRDefault="4DA81090" w:rsidP="00AB019E">
            <w:pPr>
              <w:pStyle w:val="ListBullet"/>
            </w:pPr>
            <w:r>
              <w:t xml:space="preserve">ACCOs </w:t>
            </w:r>
            <w:r w:rsidR="3E13CCE4">
              <w:t>are well placed to provide early years and family services – but face funding challenges</w:t>
            </w:r>
            <w:r w:rsidR="281039B2">
              <w:t xml:space="preserve"> (draft finding 7.3).</w:t>
            </w:r>
          </w:p>
          <w:p w14:paraId="36B5460D" w14:textId="5809132F" w:rsidR="0006651C" w:rsidRDefault="00D45E06" w:rsidP="00BC2C4A">
            <w:pPr>
              <w:spacing w:before="170"/>
            </w:pPr>
            <w:r>
              <w:t>The final report will be provided to the Australian Government by 30 June 2024.</w:t>
            </w:r>
          </w:p>
        </w:tc>
      </w:tr>
    </w:tbl>
    <w:p w14:paraId="72B2F189" w14:textId="675BE235" w:rsidR="005C2DB9" w:rsidRDefault="005C2DB9" w:rsidP="005C2DB9">
      <w:pPr>
        <w:spacing w:before="170"/>
      </w:pPr>
      <w:r>
        <w:lastRenderedPageBreak/>
        <w:t xml:space="preserve">The reform direction for the CCCFR grant will </w:t>
      </w:r>
      <w:r w:rsidR="00AB2FBC">
        <w:t>ultimately</w:t>
      </w:r>
      <w:r>
        <w:t xml:space="preserve"> depend on (1) findings and recommendations from both inquiries and (2) the extent to which recommendations from the inquiries are accepted and implemented by government.</w:t>
      </w:r>
    </w:p>
    <w:p w14:paraId="24A46DAE" w14:textId="18528561" w:rsidR="0034019F" w:rsidRPr="0034019F" w:rsidRDefault="0034019F" w:rsidP="0034019F">
      <w:r w:rsidRPr="0034019F">
        <w:t xml:space="preserve">The uncertainty regarding the broader policy outlook presents challenges to recommending a categorically preferred path </w:t>
      </w:r>
      <w:r>
        <w:t>for the CCCFR grant.</w:t>
      </w:r>
      <w:r w:rsidR="002D1591">
        <w:t xml:space="preserve"> In response, the review has </w:t>
      </w:r>
      <w:r w:rsidR="00780122">
        <w:t xml:space="preserve">put forward recommendations </w:t>
      </w:r>
      <w:r w:rsidR="00D71036">
        <w:t>for two scenarios</w:t>
      </w:r>
      <w:r w:rsidR="00156F2A">
        <w:t xml:space="preserve"> in Chapter </w:t>
      </w:r>
      <w:r w:rsidR="00156F2A" w:rsidRPr="001E758A">
        <w:fldChar w:fldCharType="begin"/>
      </w:r>
      <w:r w:rsidR="00156F2A" w:rsidRPr="001E758A">
        <w:instrText xml:space="preserve"> REF _Ref152783004 \r \h </w:instrText>
      </w:r>
      <w:r w:rsidR="00D96BE1" w:rsidRPr="001E758A">
        <w:instrText xml:space="preserve"> \* MERGEFORMAT </w:instrText>
      </w:r>
      <w:r w:rsidR="00156F2A" w:rsidRPr="001E758A">
        <w:fldChar w:fldCharType="separate"/>
      </w:r>
      <w:r w:rsidR="00D300D0">
        <w:t>9</w:t>
      </w:r>
      <w:r w:rsidR="00156F2A" w:rsidRPr="001E758A">
        <w:fldChar w:fldCharType="end"/>
      </w:r>
      <w:r w:rsidR="00D71036">
        <w:t>:</w:t>
      </w:r>
    </w:p>
    <w:p w14:paraId="3F239012" w14:textId="77777777" w:rsidR="004A7C55" w:rsidRPr="00747B61" w:rsidRDefault="004A7C55" w:rsidP="00416EA8">
      <w:pPr>
        <w:pStyle w:val="ListParagraph"/>
        <w:numPr>
          <w:ilvl w:val="0"/>
          <w:numId w:val="43"/>
        </w:numPr>
        <w:rPr>
          <w:szCs w:val="17"/>
        </w:rPr>
      </w:pPr>
      <w:bookmarkStart w:id="75" w:name="_Toc151723845"/>
      <w:bookmarkStart w:id="76" w:name="_Toc158993746"/>
      <w:r w:rsidRPr="00747B61">
        <w:rPr>
          <w:b/>
          <w:bCs/>
          <w:szCs w:val="17"/>
        </w:rPr>
        <w:t>Repositioning CCCFR services within a reformed policy landscape</w:t>
      </w:r>
      <w:r w:rsidRPr="00747B61">
        <w:rPr>
          <w:szCs w:val="17"/>
        </w:rPr>
        <w:t xml:space="preserve"> - recommendations regarding how potential changes to the wider ECEC policy environment could be driven and capitalised on to strengthen and reposition services currently in receipt of a CCCFR grant.</w:t>
      </w:r>
    </w:p>
    <w:p w14:paraId="525ACFCA" w14:textId="77777777" w:rsidR="004A7C55" w:rsidRPr="00747B61" w:rsidRDefault="004A7C55" w:rsidP="00416EA8">
      <w:pPr>
        <w:pStyle w:val="ListNumber"/>
        <w:numPr>
          <w:ilvl w:val="0"/>
          <w:numId w:val="43"/>
        </w:numPr>
      </w:pPr>
      <w:r w:rsidRPr="00747B61">
        <w:rPr>
          <w:b/>
          <w:bCs/>
        </w:rPr>
        <w:t xml:space="preserve">Refining the current CCCFR grant to maximise its potential </w:t>
      </w:r>
      <w:r w:rsidRPr="00747B61">
        <w:t>- recommendations regarding how the design and administration of the grant should be refined to maximise its potential.</w:t>
      </w:r>
    </w:p>
    <w:p w14:paraId="5F435355" w14:textId="76B869A4" w:rsidR="002133EA" w:rsidRDefault="002133EA" w:rsidP="001E758A">
      <w:pPr>
        <w:pStyle w:val="Heading2"/>
        <w:spacing w:after="120"/>
      </w:pPr>
      <w:bookmarkStart w:id="77" w:name="_Toc170227393"/>
      <w:r>
        <w:lastRenderedPageBreak/>
        <w:t>S</w:t>
      </w:r>
      <w:r w:rsidR="00A46464">
        <w:t>cope and s</w:t>
      </w:r>
      <w:r>
        <w:t>tructure of this report</w:t>
      </w:r>
      <w:bookmarkEnd w:id="75"/>
      <w:bookmarkEnd w:id="76"/>
      <w:bookmarkEnd w:id="77"/>
    </w:p>
    <w:p w14:paraId="1F2DD038" w14:textId="25824130" w:rsidR="00A46464" w:rsidRDefault="00A46464" w:rsidP="002133EA">
      <w:r>
        <w:t xml:space="preserve">This draft report </w:t>
      </w:r>
      <w:r w:rsidR="00900D67">
        <w:t>presents review findings and recommendations, in line with the review framework.</w:t>
      </w:r>
    </w:p>
    <w:p w14:paraId="34E0D027" w14:textId="735501AA" w:rsidR="002133EA" w:rsidRDefault="002133EA" w:rsidP="002133EA">
      <w:r>
        <w:t xml:space="preserve">This report is structured </w:t>
      </w:r>
      <w:r w:rsidR="00CD4C5F">
        <w:t>as follows:</w:t>
      </w:r>
    </w:p>
    <w:p w14:paraId="20ED04E5" w14:textId="41CF9171" w:rsidR="00A43EF3" w:rsidRPr="00060783" w:rsidRDefault="002133EA" w:rsidP="002133EA">
      <w:pPr>
        <w:pStyle w:val="ListBullet"/>
      </w:pPr>
      <w:r w:rsidRPr="2B91AEFB">
        <w:rPr>
          <w:b/>
          <w:bCs/>
        </w:rPr>
        <w:t xml:space="preserve">Chapter 2 </w:t>
      </w:r>
      <w:r w:rsidR="00A43EF3">
        <w:t xml:space="preserve">provides an overview of the CCCFR grant, </w:t>
      </w:r>
      <w:r w:rsidR="00BE788C">
        <w:t xml:space="preserve">including its history, objectives, </w:t>
      </w:r>
      <w:r w:rsidR="004B178A">
        <w:t>and current operation</w:t>
      </w:r>
      <w:r w:rsidR="00DD0DB4">
        <w:t xml:space="preserve">, together with a </w:t>
      </w:r>
      <w:r w:rsidR="00060783">
        <w:t>profile of CCCFR services</w:t>
      </w:r>
    </w:p>
    <w:p w14:paraId="2F9E2DB4" w14:textId="2139D77C" w:rsidR="002133EA" w:rsidRPr="00060783" w:rsidRDefault="00A43EF3" w:rsidP="002133EA">
      <w:pPr>
        <w:pStyle w:val="ListBullet"/>
      </w:pPr>
      <w:r w:rsidRPr="2B91AEFB">
        <w:rPr>
          <w:b/>
          <w:bCs/>
        </w:rPr>
        <w:t>Chapter 3</w:t>
      </w:r>
      <w:r w:rsidR="002133EA" w:rsidRPr="2B91AEFB">
        <w:rPr>
          <w:b/>
          <w:bCs/>
        </w:rPr>
        <w:t xml:space="preserve"> </w:t>
      </w:r>
      <w:r w:rsidR="002133EA">
        <w:t xml:space="preserve">outlines the review framework, </w:t>
      </w:r>
      <w:r w:rsidR="00FA36B2">
        <w:t>establishing</w:t>
      </w:r>
      <w:r w:rsidR="002133EA">
        <w:t xml:space="preserve"> the </w:t>
      </w:r>
      <w:r w:rsidR="00FA36B2">
        <w:t xml:space="preserve">intended </w:t>
      </w:r>
      <w:r w:rsidR="002133EA">
        <w:t xml:space="preserve">scope </w:t>
      </w:r>
      <w:r w:rsidR="00D951E2">
        <w:t>of research and analysis</w:t>
      </w:r>
    </w:p>
    <w:p w14:paraId="624C1B72" w14:textId="70688949" w:rsidR="002133EA" w:rsidRPr="00060783" w:rsidRDefault="002133EA" w:rsidP="002133EA">
      <w:pPr>
        <w:pStyle w:val="ListBullet"/>
      </w:pPr>
      <w:r w:rsidRPr="2B91AEFB">
        <w:rPr>
          <w:b/>
          <w:bCs/>
        </w:rPr>
        <w:t xml:space="preserve">Chapter </w:t>
      </w:r>
      <w:r w:rsidR="00D951E2" w:rsidRPr="2B91AEFB">
        <w:rPr>
          <w:b/>
          <w:bCs/>
        </w:rPr>
        <w:t>4</w:t>
      </w:r>
      <w:r w:rsidRPr="2B91AEFB">
        <w:rPr>
          <w:b/>
          <w:bCs/>
        </w:rPr>
        <w:t xml:space="preserve"> </w:t>
      </w:r>
      <w:r>
        <w:t>sets out the underpinning evidence base for this report</w:t>
      </w:r>
      <w:r w:rsidR="00D951E2">
        <w:t>, outlining</w:t>
      </w:r>
      <w:r>
        <w:t xml:space="preserve"> the </w:t>
      </w:r>
      <w:r w:rsidR="00D951E2">
        <w:t>primary and secondary</w:t>
      </w:r>
      <w:r>
        <w:t xml:space="preserve"> evidence </w:t>
      </w:r>
      <w:r w:rsidR="00D951E2">
        <w:t>that has informed</w:t>
      </w:r>
      <w:r>
        <w:t xml:space="preserve"> review</w:t>
      </w:r>
      <w:r w:rsidR="00D951E2">
        <w:t xml:space="preserve"> findings and recommendations</w:t>
      </w:r>
    </w:p>
    <w:p w14:paraId="69B32EB0" w14:textId="5B731339" w:rsidR="002133EA" w:rsidRPr="00060783" w:rsidRDefault="002133EA" w:rsidP="002133EA">
      <w:pPr>
        <w:pStyle w:val="ListBullet"/>
      </w:pPr>
      <w:r w:rsidRPr="2B91AEFB">
        <w:rPr>
          <w:b/>
          <w:bCs/>
        </w:rPr>
        <w:t xml:space="preserve">Chapter </w:t>
      </w:r>
      <w:r w:rsidR="00D951E2" w:rsidRPr="2B91AEFB">
        <w:rPr>
          <w:b/>
          <w:bCs/>
        </w:rPr>
        <w:t>5</w:t>
      </w:r>
      <w:r>
        <w:t xml:space="preserve"> presents </w:t>
      </w:r>
      <w:r w:rsidR="00597F84">
        <w:t xml:space="preserve">findings on the </w:t>
      </w:r>
      <w:r w:rsidR="00D96CEE">
        <w:t>objectives and intent of the CCCFR grant</w:t>
      </w:r>
    </w:p>
    <w:p w14:paraId="61B06679" w14:textId="52194F21" w:rsidR="00170B8C" w:rsidRPr="00060783" w:rsidRDefault="002133EA" w:rsidP="00170B8C">
      <w:pPr>
        <w:pStyle w:val="ListBullet"/>
      </w:pPr>
      <w:r w:rsidRPr="2B91AEFB">
        <w:rPr>
          <w:b/>
          <w:bCs/>
        </w:rPr>
        <w:t xml:space="preserve">Chapter </w:t>
      </w:r>
      <w:r w:rsidR="00325534" w:rsidRPr="2B91AEFB">
        <w:rPr>
          <w:b/>
          <w:bCs/>
        </w:rPr>
        <w:t>6</w:t>
      </w:r>
      <w:r w:rsidR="00D96CEE" w:rsidRPr="2B91AEFB">
        <w:rPr>
          <w:b/>
          <w:bCs/>
        </w:rPr>
        <w:t xml:space="preserve"> </w:t>
      </w:r>
      <w:r w:rsidR="00D96CEE">
        <w:t xml:space="preserve">presents </w:t>
      </w:r>
      <w:r w:rsidR="00170B8C">
        <w:t>findings on the policy and funding design of the CCCFR grant</w:t>
      </w:r>
    </w:p>
    <w:p w14:paraId="1A130356" w14:textId="3004D35D" w:rsidR="002133EA" w:rsidRPr="00060783" w:rsidRDefault="00396E67" w:rsidP="002133EA">
      <w:pPr>
        <w:pStyle w:val="ListBullet"/>
      </w:pPr>
      <w:r w:rsidRPr="2B91AEFB">
        <w:rPr>
          <w:b/>
          <w:bCs/>
        </w:rPr>
        <w:t xml:space="preserve">Chapter </w:t>
      </w:r>
      <w:r w:rsidR="00325534" w:rsidRPr="2B91AEFB">
        <w:rPr>
          <w:b/>
          <w:bCs/>
        </w:rPr>
        <w:t>7</w:t>
      </w:r>
      <w:r w:rsidRPr="2B91AEFB">
        <w:rPr>
          <w:b/>
          <w:bCs/>
        </w:rPr>
        <w:t xml:space="preserve"> </w:t>
      </w:r>
      <w:r>
        <w:t xml:space="preserve">presents findings on </w:t>
      </w:r>
      <w:r w:rsidR="00D97FA4">
        <w:t>administration</w:t>
      </w:r>
      <w:r>
        <w:t>,</w:t>
      </w:r>
      <w:r w:rsidR="00D97FA4">
        <w:t xml:space="preserve"> governance and compliance under the CCCFR grant</w:t>
      </w:r>
      <w:r>
        <w:t xml:space="preserve"> </w:t>
      </w:r>
    </w:p>
    <w:p w14:paraId="6673B535" w14:textId="5AA5FC7E" w:rsidR="002133EA" w:rsidRPr="00060783" w:rsidRDefault="002133EA" w:rsidP="002133EA">
      <w:pPr>
        <w:pStyle w:val="ListBullet"/>
      </w:pPr>
      <w:r w:rsidRPr="2B91AEFB">
        <w:rPr>
          <w:b/>
          <w:bCs/>
        </w:rPr>
        <w:t xml:space="preserve">Chapter </w:t>
      </w:r>
      <w:r w:rsidR="00325534" w:rsidRPr="2B91AEFB">
        <w:rPr>
          <w:b/>
          <w:bCs/>
        </w:rPr>
        <w:t>8</w:t>
      </w:r>
      <w:r w:rsidR="00D97FA4" w:rsidRPr="2B91AEFB">
        <w:rPr>
          <w:b/>
          <w:bCs/>
        </w:rPr>
        <w:t xml:space="preserve"> </w:t>
      </w:r>
      <w:r w:rsidR="00D97FA4">
        <w:t>presents findings on resourcing and financial sustainability under the CCCFR grant</w:t>
      </w:r>
    </w:p>
    <w:p w14:paraId="7AEAC6A2" w14:textId="7900C62B" w:rsidR="00D97FA4" w:rsidRDefault="00D97FA4" w:rsidP="002133EA">
      <w:pPr>
        <w:pStyle w:val="ListBullet"/>
      </w:pPr>
      <w:r w:rsidRPr="2B91AEFB">
        <w:rPr>
          <w:b/>
          <w:bCs/>
        </w:rPr>
        <w:t xml:space="preserve">Chapter </w:t>
      </w:r>
      <w:r w:rsidR="00325534" w:rsidRPr="2B91AEFB">
        <w:rPr>
          <w:b/>
          <w:bCs/>
        </w:rPr>
        <w:t>9</w:t>
      </w:r>
      <w:r w:rsidR="009D6EC9" w:rsidRPr="2B91AEFB">
        <w:rPr>
          <w:b/>
          <w:bCs/>
        </w:rPr>
        <w:t xml:space="preserve"> </w:t>
      </w:r>
      <w:r w:rsidR="009D6EC9">
        <w:t>sets out a vision for future grant design</w:t>
      </w:r>
      <w:r w:rsidR="00EC3558">
        <w:t xml:space="preserve">, </w:t>
      </w:r>
      <w:r w:rsidR="004054ED">
        <w:t xml:space="preserve">through a set of recommendations </w:t>
      </w:r>
      <w:r w:rsidR="000C687E">
        <w:t>drawn from the review findings</w:t>
      </w:r>
    </w:p>
    <w:p w14:paraId="70C935BF" w14:textId="495DC3CC" w:rsidR="0061107A" w:rsidRPr="00060783" w:rsidRDefault="0061107A" w:rsidP="002133EA">
      <w:pPr>
        <w:pStyle w:val="ListBullet"/>
      </w:pPr>
      <w:r>
        <w:rPr>
          <w:b/>
          <w:bCs/>
        </w:rPr>
        <w:t xml:space="preserve">Chapter 10 </w:t>
      </w:r>
      <w:r w:rsidRPr="0061107A">
        <w:t>outlines considerations for implementing the review recommendations</w:t>
      </w:r>
    </w:p>
    <w:p w14:paraId="2147B95A" w14:textId="27077E9F" w:rsidR="00325534" w:rsidRPr="00060783" w:rsidRDefault="00325534" w:rsidP="002133EA">
      <w:pPr>
        <w:pStyle w:val="ListBullet"/>
      </w:pPr>
      <w:r w:rsidRPr="2B91AEFB">
        <w:rPr>
          <w:b/>
          <w:bCs/>
        </w:rPr>
        <w:t xml:space="preserve">Appendix A </w:t>
      </w:r>
      <w:r>
        <w:t xml:space="preserve">includes the </w:t>
      </w:r>
      <w:r w:rsidR="00456C50">
        <w:t>voices of services, families and community as presented in the</w:t>
      </w:r>
      <w:r w:rsidR="00D56A90">
        <w:t xml:space="preserve"> review’s</w:t>
      </w:r>
      <w:r w:rsidR="00456C50">
        <w:t xml:space="preserve"> </w:t>
      </w:r>
      <w:r w:rsidR="00D56A90" w:rsidRPr="2B91AEFB">
        <w:rPr>
          <w:i/>
          <w:iCs/>
        </w:rPr>
        <w:t>Emerging stakeholder observations report</w:t>
      </w:r>
      <w:r w:rsidR="00D56A90">
        <w:t xml:space="preserve"> (November 2023)</w:t>
      </w:r>
    </w:p>
    <w:p w14:paraId="131625C8" w14:textId="74DB756D" w:rsidR="00D56A90" w:rsidRPr="00060783" w:rsidRDefault="00A1746E" w:rsidP="002133EA">
      <w:pPr>
        <w:pStyle w:val="ListBullet"/>
      </w:pPr>
      <w:r w:rsidRPr="2B91AEFB">
        <w:rPr>
          <w:b/>
          <w:bCs/>
        </w:rPr>
        <w:t>Appendix B</w:t>
      </w:r>
      <w:r>
        <w:t xml:space="preserve"> sets out the Detailed Statement of Work for the review</w:t>
      </w:r>
    </w:p>
    <w:p w14:paraId="5CBD3AD0" w14:textId="71A38EE0" w:rsidR="00A1746E" w:rsidRDefault="00A1746E" w:rsidP="002133EA">
      <w:pPr>
        <w:pStyle w:val="ListBullet"/>
      </w:pPr>
      <w:r w:rsidRPr="2B91AEFB">
        <w:rPr>
          <w:b/>
          <w:bCs/>
        </w:rPr>
        <w:t>Appendix C</w:t>
      </w:r>
      <w:r>
        <w:t xml:space="preserve"> includes the consultation guide for CCCFR services</w:t>
      </w:r>
    </w:p>
    <w:p w14:paraId="507AE303" w14:textId="41CB1DA2" w:rsidR="00A1746E" w:rsidRDefault="00A1746E" w:rsidP="002133EA">
      <w:pPr>
        <w:pStyle w:val="ListBullet"/>
      </w:pPr>
      <w:r w:rsidRPr="2B91AEFB">
        <w:rPr>
          <w:b/>
          <w:bCs/>
        </w:rPr>
        <w:t>Appendix D</w:t>
      </w:r>
      <w:r>
        <w:t xml:space="preserve"> includes the consultation guide for families and communities</w:t>
      </w:r>
    </w:p>
    <w:p w14:paraId="2FC200B7" w14:textId="4D7522CF" w:rsidR="00A1746E" w:rsidRDefault="00A1746E" w:rsidP="002133EA">
      <w:pPr>
        <w:pStyle w:val="ListBullet"/>
      </w:pPr>
      <w:r w:rsidRPr="2B91AEFB">
        <w:rPr>
          <w:b/>
          <w:bCs/>
        </w:rPr>
        <w:t>Appendix E</w:t>
      </w:r>
      <w:r>
        <w:t xml:space="preserve"> includes the consultation guide for Departmental and broader stakeholders</w:t>
      </w:r>
    </w:p>
    <w:p w14:paraId="39AB4200" w14:textId="37591B23" w:rsidR="00A1746E" w:rsidRPr="00060783" w:rsidRDefault="00A1746E" w:rsidP="002133EA">
      <w:pPr>
        <w:pStyle w:val="ListBullet"/>
      </w:pPr>
      <w:r w:rsidRPr="2B91AEFB">
        <w:rPr>
          <w:b/>
          <w:bCs/>
        </w:rPr>
        <w:t>Appendix F</w:t>
      </w:r>
      <w:r w:rsidR="007551B0">
        <w:t xml:space="preserve"> includes the online survey of CCCFR services</w:t>
      </w:r>
    </w:p>
    <w:p w14:paraId="03A87E92" w14:textId="110A9FFF" w:rsidR="007551B0" w:rsidRDefault="007551B0" w:rsidP="002133EA">
      <w:pPr>
        <w:pStyle w:val="ListBullet"/>
      </w:pPr>
      <w:r w:rsidRPr="2B91AEFB">
        <w:rPr>
          <w:b/>
          <w:bCs/>
        </w:rPr>
        <w:t>Appendix G</w:t>
      </w:r>
      <w:r>
        <w:t xml:space="preserve"> outlines the sampling process for service consultations</w:t>
      </w:r>
    </w:p>
    <w:p w14:paraId="64CF65AA" w14:textId="1F594D42" w:rsidR="007551B0" w:rsidRPr="00060783" w:rsidRDefault="007551B0" w:rsidP="002133EA">
      <w:pPr>
        <w:pStyle w:val="ListBullet"/>
      </w:pPr>
      <w:r w:rsidRPr="2B91AEFB">
        <w:rPr>
          <w:b/>
          <w:bCs/>
        </w:rPr>
        <w:t>Appendix H</w:t>
      </w:r>
      <w:r>
        <w:t xml:space="preserve"> provides a summary of the approach to multi-criteria </w:t>
      </w:r>
      <w:r w:rsidR="00760B95">
        <w:t>analysis used in the administration, governance and compliance review domain</w:t>
      </w:r>
    </w:p>
    <w:p w14:paraId="2679ECBF" w14:textId="77777777" w:rsidR="00990ABF" w:rsidRDefault="00760B95" w:rsidP="002133EA">
      <w:pPr>
        <w:pStyle w:val="ListBullet"/>
      </w:pPr>
      <w:r w:rsidRPr="2B91AEFB">
        <w:rPr>
          <w:b/>
          <w:bCs/>
        </w:rPr>
        <w:t xml:space="preserve">Appendix </w:t>
      </w:r>
      <w:r w:rsidR="00990ABF" w:rsidRPr="2B91AEFB">
        <w:rPr>
          <w:b/>
          <w:bCs/>
        </w:rPr>
        <w:t>I</w:t>
      </w:r>
      <w:r w:rsidR="00990ABF">
        <w:t xml:space="preserve"> includes environmental sustainability guidelines for CCCFR services</w:t>
      </w:r>
    </w:p>
    <w:p w14:paraId="4DD29FDC" w14:textId="1BD6E269" w:rsidR="00760B95" w:rsidRPr="00060783" w:rsidRDefault="00990ABF" w:rsidP="002133EA">
      <w:pPr>
        <w:pStyle w:val="ListBullet"/>
      </w:pPr>
      <w:r w:rsidRPr="2B91AEFB">
        <w:rPr>
          <w:b/>
          <w:bCs/>
        </w:rPr>
        <w:t>Appendix J</w:t>
      </w:r>
      <w:r w:rsidR="00972FFD">
        <w:t xml:space="preserve"> provides a summary of leasing arrangements under the CCCFR grant</w:t>
      </w:r>
    </w:p>
    <w:p w14:paraId="4FAC0615" w14:textId="65BCEE83" w:rsidR="0024459D" w:rsidRPr="00E830AD" w:rsidRDefault="0024459D" w:rsidP="002133EA">
      <w:pPr>
        <w:pStyle w:val="ListBullet"/>
      </w:pPr>
      <w:r w:rsidRPr="2B91AEFB">
        <w:rPr>
          <w:b/>
          <w:bCs/>
        </w:rPr>
        <w:t>Appendix K</w:t>
      </w:r>
      <w:r w:rsidR="00BC37C2" w:rsidRPr="2B91AEFB">
        <w:rPr>
          <w:b/>
          <w:bCs/>
        </w:rPr>
        <w:t xml:space="preserve"> </w:t>
      </w:r>
      <w:r w:rsidR="00BC37C2">
        <w:t>sets out the methodology used for the outcomes analysis presented in</w:t>
      </w:r>
      <w:r w:rsidR="003F1FF6">
        <w:t xml:space="preserve"> Chapter 5.</w:t>
      </w:r>
    </w:p>
    <w:p w14:paraId="68D55D8D" w14:textId="00B7FAEF" w:rsidR="00411A90" w:rsidRPr="003549F9" w:rsidRDefault="00411A90" w:rsidP="00C70A9A">
      <w:pPr>
        <w:pStyle w:val="Heading1"/>
      </w:pPr>
      <w:bookmarkStart w:id="78" w:name="_Toc158993747"/>
      <w:bookmarkStart w:id="79" w:name="_Toc170227394"/>
      <w:r w:rsidRPr="003549F9">
        <w:lastRenderedPageBreak/>
        <w:t>Overview of the Community Child Care Fund Restricted (CCCFR) grant</w:t>
      </w:r>
      <w:bookmarkEnd w:id="78"/>
      <w:bookmarkEnd w:id="79"/>
    </w:p>
    <w:p w14:paraId="2B413C51" w14:textId="734C8482" w:rsidR="00785359" w:rsidRPr="00785359" w:rsidRDefault="00E07839" w:rsidP="00785359">
      <w:pPr>
        <w:pStyle w:val="Sectionintro"/>
      </w:pPr>
      <w:r>
        <w:t xml:space="preserve">This </w:t>
      </w:r>
      <w:r w:rsidR="0089315F">
        <w:t>chapter</w:t>
      </w:r>
      <w:r>
        <w:t xml:space="preserve"> </w:t>
      </w:r>
      <w:r w:rsidR="001B0106">
        <w:t>overviews</w:t>
      </w:r>
      <w:r w:rsidR="00433CDE">
        <w:t xml:space="preserve"> the CCCFR grant, canvassing its historical development and current configuration. A profile of current CCCFR services is also </w:t>
      </w:r>
      <w:r w:rsidR="001B0106">
        <w:t>provided.</w:t>
      </w:r>
    </w:p>
    <w:p w14:paraId="5C72CC01" w14:textId="329444EC" w:rsidR="00411A90" w:rsidRPr="003549F9" w:rsidRDefault="00351BD3" w:rsidP="00B14B49">
      <w:pPr>
        <w:pStyle w:val="Heading2"/>
        <w:spacing w:after="120"/>
      </w:pPr>
      <w:bookmarkStart w:id="80" w:name="_Toc158993748"/>
      <w:bookmarkStart w:id="81" w:name="_Ref166864015"/>
      <w:bookmarkStart w:id="82" w:name="_Toc170227395"/>
      <w:r>
        <w:t xml:space="preserve">History of the </w:t>
      </w:r>
      <w:r w:rsidRPr="002D4959">
        <w:t>CCCFR</w:t>
      </w:r>
      <w:r>
        <w:t xml:space="preserve"> grant</w:t>
      </w:r>
      <w:bookmarkEnd w:id="80"/>
      <w:bookmarkEnd w:id="81"/>
      <w:bookmarkEnd w:id="82"/>
    </w:p>
    <w:p w14:paraId="0E259483" w14:textId="22267EC3" w:rsidR="0089428C" w:rsidRDefault="00E5295B" w:rsidP="00E5295B">
      <w:r>
        <w:t>The CCCFR grant was established in 2017</w:t>
      </w:r>
      <w:r w:rsidR="006A5298">
        <w:t>, with services receiving their first funding in July 201</w:t>
      </w:r>
      <w:r w:rsidR="0089428C">
        <w:t xml:space="preserve">8. </w:t>
      </w:r>
      <w:r w:rsidR="00F10B73">
        <w:t>T</w:t>
      </w:r>
      <w:r w:rsidR="00934C29">
        <w:t xml:space="preserve">he Australian Government </w:t>
      </w:r>
      <w:r w:rsidR="00F10B73">
        <w:t>allocated</w:t>
      </w:r>
      <w:r w:rsidR="00934C29">
        <w:t xml:space="preserve"> up to $62.5</w:t>
      </w:r>
      <w:r w:rsidR="00F10B73">
        <w:t> </w:t>
      </w:r>
      <w:r w:rsidR="00934C29">
        <w:t>million per annum in grant funding for services.</w:t>
      </w:r>
      <w:r w:rsidR="00934C29">
        <w:rPr>
          <w:rStyle w:val="FootnoteReference"/>
        </w:rPr>
        <w:footnoteReference w:id="27"/>
      </w:r>
      <w:r w:rsidR="000C364C">
        <w:t xml:space="preserve"> </w:t>
      </w:r>
      <w:r w:rsidR="00372132">
        <w:t xml:space="preserve">The CCCFR grant was part of a suite of grants under the CCCF, which formed part of the Child Care Safety Net in the Jobs for Families Child Care </w:t>
      </w:r>
      <w:r w:rsidR="00571B4F">
        <w:t>P</w:t>
      </w:r>
      <w:r w:rsidR="00372132">
        <w:t>ackage.</w:t>
      </w:r>
      <w:r w:rsidR="002E497C">
        <w:t xml:space="preserve"> </w:t>
      </w:r>
    </w:p>
    <w:p w14:paraId="31410EAF" w14:textId="77777777" w:rsidR="00A414FA" w:rsidRDefault="006C7B31" w:rsidP="0085166B">
      <w:r w:rsidRPr="006C7B31">
        <w:t>The CCCFR grant was designed at a point of transition for the national ECEC funding approach. It was announced as part of the Jobs for Families Child Care Package</w:t>
      </w:r>
      <w:r w:rsidR="00845D63">
        <w:t>, which was intended to form a simpler, more affordable, and more accessible child care system.</w:t>
      </w:r>
      <w:r w:rsidR="00845D63">
        <w:rPr>
          <w:rStyle w:val="FootnoteReference"/>
        </w:rPr>
        <w:footnoteReference w:id="28"/>
      </w:r>
      <w:r w:rsidR="00845D63">
        <w:t xml:space="preserve"> </w:t>
      </w:r>
    </w:p>
    <w:p w14:paraId="2805D9E8" w14:textId="7118EDE5" w:rsidR="00226DC3" w:rsidRDefault="00361042" w:rsidP="0085166B">
      <w:r>
        <w:t>An important component of the new system was the introduction of the CCS</w:t>
      </w:r>
      <w:r w:rsidR="00E920AB">
        <w:t xml:space="preserve"> (see Box </w:t>
      </w:r>
      <w:r w:rsidR="00A414FA">
        <w:t>2.1</w:t>
      </w:r>
      <w:r w:rsidR="00E920AB">
        <w:t xml:space="preserve">). </w:t>
      </w:r>
    </w:p>
    <w:p w14:paraId="592D9E56" w14:textId="0625AA4E" w:rsidR="001334D6" w:rsidRDefault="005B3ECF" w:rsidP="0085166B">
      <w:r>
        <w:t xml:space="preserve">The </w:t>
      </w:r>
      <w:r w:rsidR="00DF53B1">
        <w:t>Jobs for Families Child Care Package also included the ‘Child Care Safety Net’</w:t>
      </w:r>
      <w:r w:rsidR="004A0E99">
        <w:t xml:space="preserve">, </w:t>
      </w:r>
      <w:r w:rsidR="00516851">
        <w:t>which includes</w:t>
      </w:r>
      <w:r w:rsidR="00DF53B1">
        <w:t xml:space="preserve"> </w:t>
      </w:r>
      <w:r w:rsidR="00226DC3">
        <w:t xml:space="preserve">the </w:t>
      </w:r>
      <w:r w:rsidR="00516851" w:rsidRPr="00516851">
        <w:t xml:space="preserve">ACCS, </w:t>
      </w:r>
      <w:r w:rsidR="00516851">
        <w:t>the</w:t>
      </w:r>
      <w:r w:rsidR="00516851" w:rsidRPr="00516851">
        <w:t xml:space="preserve"> Inclusion Support </w:t>
      </w:r>
      <w:r w:rsidR="00516851" w:rsidRPr="00FE1019">
        <w:t>Program</w:t>
      </w:r>
      <w:r w:rsidR="00516851" w:rsidRPr="00516851">
        <w:t xml:space="preserve"> and the </w:t>
      </w:r>
      <w:r w:rsidR="00226DC3">
        <w:t>CCCF</w:t>
      </w:r>
      <w:r w:rsidR="00BF5D37">
        <w:t xml:space="preserve">. </w:t>
      </w:r>
      <w:r w:rsidR="0085166B">
        <w:t xml:space="preserve">The </w:t>
      </w:r>
      <w:r w:rsidR="00226DC3">
        <w:t>CCCF</w:t>
      </w:r>
      <w:r w:rsidR="0085166B">
        <w:t xml:space="preserve"> was designed to provide grants to child care services to improve access in disadvantaged areas, areas of high demand but low availability, and to improve affordability for low income families in areas where fees are greater than the CCS benchmark.</w:t>
      </w:r>
      <w:r w:rsidR="00260D66">
        <w:rPr>
          <w:rStyle w:val="FootnoteReference"/>
        </w:rPr>
        <w:footnoteReference w:id="29"/>
      </w:r>
    </w:p>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E920AB" w14:paraId="7D19B300" w14:textId="77777777" w:rsidTr="2B91AEFB">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4C277061" w14:textId="2CB08B1E" w:rsidR="00E920AB" w:rsidRPr="004B0CC8" w:rsidRDefault="00E920AB" w:rsidP="00E5295B">
            <w:pPr>
              <w:rPr>
                <w:b/>
              </w:rPr>
            </w:pPr>
            <w:r w:rsidRPr="004B0CC8">
              <w:rPr>
                <w:b/>
              </w:rPr>
              <w:t xml:space="preserve">Box </w:t>
            </w:r>
            <w:r w:rsidR="004B0CC8" w:rsidRPr="004B0CC8">
              <w:rPr>
                <w:b/>
                <w:bCs/>
              </w:rPr>
              <w:t>2.1</w:t>
            </w:r>
            <w:r w:rsidRPr="004B0CC8">
              <w:rPr>
                <w:b/>
              </w:rPr>
              <w:t>: Child Care Subsidy</w:t>
            </w:r>
            <w:r w:rsidR="002E497C">
              <w:rPr>
                <w:b/>
              </w:rPr>
              <w:t xml:space="preserve"> </w:t>
            </w:r>
          </w:p>
          <w:p w14:paraId="6859FC98" w14:textId="6AF94D57" w:rsidR="00B25ACD" w:rsidRPr="0035782A" w:rsidRDefault="00B25ACD" w:rsidP="0035782A">
            <w:pPr>
              <w:rPr>
                <w:b/>
                <w:bCs/>
                <w:iCs/>
              </w:rPr>
            </w:pPr>
            <w:r w:rsidRPr="0035782A">
              <w:rPr>
                <w:b/>
                <w:bCs/>
              </w:rPr>
              <w:t>The Child Care Subsidy</w:t>
            </w:r>
          </w:p>
          <w:p w14:paraId="0EFBEE16" w14:textId="08951C56" w:rsidR="009F1490" w:rsidRDefault="00A62ADA" w:rsidP="00B25ACD">
            <w:r w:rsidRPr="00B25ACD">
              <w:t>Th</w:t>
            </w:r>
            <w:r w:rsidR="009F1490" w:rsidRPr="00B25ACD">
              <w:t>e CCS</w:t>
            </w:r>
            <w:r w:rsidR="00B25ACD" w:rsidRPr="00B25ACD">
              <w:t xml:space="preserve"> was introduced in July 2018. </w:t>
            </w:r>
            <w:r w:rsidR="00B25ACD">
              <w:t xml:space="preserve">The </w:t>
            </w:r>
            <w:r w:rsidR="00B25ACD" w:rsidRPr="00B25ACD">
              <w:t>CCS</w:t>
            </w:r>
            <w:r w:rsidR="009F1490" w:rsidRPr="00B25ACD">
              <w:t xml:space="preserve"> </w:t>
            </w:r>
            <w:r w:rsidR="00B25ACD" w:rsidRPr="00B25ACD">
              <w:t>was intended to simplify the system, by replacing two payments, the Child Care Benefit (CCB) and Child Care Rebate (CCR</w:t>
            </w:r>
            <w:r w:rsidR="0064571D" w:rsidRPr="00B25ACD">
              <w:t>)</w:t>
            </w:r>
            <w:r w:rsidR="00B25ACD" w:rsidRPr="00B25ACD">
              <w:t xml:space="preserve"> and streamlining </w:t>
            </w:r>
            <w:r w:rsidR="003E323F">
              <w:t xml:space="preserve">them </w:t>
            </w:r>
            <w:r w:rsidR="00B25ACD" w:rsidRPr="00B25ACD">
              <w:t>into one. The CCS is a means-tested subsidy that takes into account family income and the level of work</w:t>
            </w:r>
            <w:r w:rsidR="00B25ACD">
              <w:t xml:space="preserve">, </w:t>
            </w:r>
            <w:r w:rsidR="00B25ACD" w:rsidRPr="00B25ACD">
              <w:t>study</w:t>
            </w:r>
            <w:r w:rsidR="00B25ACD">
              <w:t>, or other approved</w:t>
            </w:r>
            <w:r w:rsidR="00B25ACD" w:rsidRPr="00B25ACD">
              <w:t xml:space="preserve"> activity of parents</w:t>
            </w:r>
            <w:r w:rsidR="00B25ACD">
              <w:t xml:space="preserve"> and carers. </w:t>
            </w:r>
          </w:p>
          <w:p w14:paraId="107CD025" w14:textId="75264AB3" w:rsidR="00076EB8" w:rsidRDefault="00076EB8" w:rsidP="00B25ACD">
            <w:r w:rsidRPr="00076EB8">
              <w:lastRenderedPageBreak/>
              <w:t xml:space="preserve">The application process involves communication with </w:t>
            </w:r>
            <w:r>
              <w:t xml:space="preserve">Centrelink, which administers the CCS. </w:t>
            </w:r>
          </w:p>
          <w:p w14:paraId="1AEBD163" w14:textId="4BF055C6" w:rsidR="00B25ACD" w:rsidRPr="0035782A" w:rsidRDefault="00B25ACD" w:rsidP="30E0DE01">
            <w:pPr>
              <w:rPr>
                <w:b/>
                <w:bCs/>
              </w:rPr>
            </w:pPr>
            <w:r w:rsidRPr="30E0DE01">
              <w:rPr>
                <w:b/>
                <w:bCs/>
              </w:rPr>
              <w:t xml:space="preserve">The </w:t>
            </w:r>
            <w:r w:rsidR="192D535D" w:rsidRPr="30E0DE01">
              <w:rPr>
                <w:b/>
                <w:bCs/>
              </w:rPr>
              <w:t>A</w:t>
            </w:r>
            <w:r w:rsidRPr="30E0DE01">
              <w:rPr>
                <w:b/>
                <w:bCs/>
              </w:rPr>
              <w:t xml:space="preserve">ctivity </w:t>
            </w:r>
            <w:r w:rsidR="192D535D" w:rsidRPr="30E0DE01">
              <w:rPr>
                <w:b/>
                <w:bCs/>
              </w:rPr>
              <w:t>T</w:t>
            </w:r>
            <w:r w:rsidRPr="30E0DE01">
              <w:rPr>
                <w:b/>
                <w:bCs/>
              </w:rPr>
              <w:t>est</w:t>
            </w:r>
          </w:p>
          <w:p w14:paraId="3A90B9FB" w14:textId="74BC326E" w:rsidR="00B25ACD" w:rsidRDefault="00B25ACD" w:rsidP="00B25ACD">
            <w:r w:rsidRPr="00B25ACD">
              <w:t>With the introduction of the CCS, an Activity Test was implemented, which assesses the level of work, study, or other approved activities undertaken by parents to determine the level of subsidy they are eligible for.</w:t>
            </w:r>
            <w:r w:rsidR="07C67E60">
              <w:t xml:space="preserve"> </w:t>
            </w:r>
            <w:r w:rsidR="07C67E60" w:rsidRPr="0053503C">
              <w:t xml:space="preserve">From 10 July 2023, </w:t>
            </w:r>
            <w:r w:rsidR="20AFD92F">
              <w:t xml:space="preserve">Services Australia </w:t>
            </w:r>
            <w:r w:rsidR="2A3C18B7">
              <w:t xml:space="preserve">implemented </w:t>
            </w:r>
            <w:r w:rsidR="53FAB758">
              <w:t xml:space="preserve">recent changes to </w:t>
            </w:r>
            <w:r w:rsidR="47788D8F">
              <w:t xml:space="preserve">the Activity Test for </w:t>
            </w:r>
            <w:r w:rsidR="07C67E60" w:rsidRPr="0053503C">
              <w:t xml:space="preserve">Aboriginal and Torres Strait Islander </w:t>
            </w:r>
            <w:r w:rsidR="3087F113">
              <w:t xml:space="preserve">families. Children </w:t>
            </w:r>
            <w:r w:rsidR="07C67E60" w:rsidRPr="0053503C">
              <w:t xml:space="preserve">can </w:t>
            </w:r>
            <w:r w:rsidR="002E0027" w:rsidRPr="00FE1019">
              <w:t xml:space="preserve">now </w:t>
            </w:r>
            <w:r w:rsidR="07C67E60" w:rsidRPr="0053503C">
              <w:t>get 36 hours of CCS per fortnight</w:t>
            </w:r>
            <w:r w:rsidR="000C7B7D" w:rsidRPr="00FE1019">
              <w:t>,</w:t>
            </w:r>
            <w:r w:rsidR="1844C427">
              <w:t xml:space="preserve"> regardless of their family’s circumstances</w:t>
            </w:r>
            <w:r w:rsidR="290C7C0F">
              <w:t xml:space="preserve">. </w:t>
            </w:r>
            <w:r w:rsidR="0094451A" w:rsidRPr="00FE1019">
              <w:t>Subsidised h</w:t>
            </w:r>
            <w:r w:rsidR="000B114D" w:rsidRPr="00FE1019">
              <w:t xml:space="preserve">ours </w:t>
            </w:r>
            <w:r w:rsidR="0094162D" w:rsidRPr="00FE1019">
              <w:t>beyond the initial</w:t>
            </w:r>
            <w:r w:rsidR="000B114D" w:rsidRPr="00FE1019">
              <w:t xml:space="preserve"> 36 per fortnight still require the Activity Test to be met.</w:t>
            </w:r>
            <w:r w:rsidR="00EF4EBF" w:rsidRPr="00FE1019">
              <w:t xml:space="preserve"> </w:t>
            </w:r>
            <w:r w:rsidR="07C67E60" w:rsidRPr="0053503C">
              <w:t xml:space="preserve">Families </w:t>
            </w:r>
            <w:r w:rsidR="000B042A" w:rsidRPr="00FE1019">
              <w:t xml:space="preserve">are </w:t>
            </w:r>
            <w:r w:rsidR="00A2371F" w:rsidRPr="00FE1019">
              <w:t xml:space="preserve">still </w:t>
            </w:r>
            <w:r w:rsidR="000B042A" w:rsidRPr="00FE1019">
              <w:t>required</w:t>
            </w:r>
            <w:r w:rsidR="07C67E60" w:rsidRPr="0053503C">
              <w:t xml:space="preserve"> pay an out-of-pocket cost to their child care service depending on</w:t>
            </w:r>
            <w:r w:rsidR="3087F113">
              <w:t xml:space="preserve"> their CCS percentage.</w:t>
            </w:r>
            <w:r w:rsidR="002231F8">
              <w:rPr>
                <w:rStyle w:val="FootnoteReference"/>
              </w:rPr>
              <w:footnoteReference w:id="30"/>
            </w:r>
            <w:r w:rsidR="2F6785EC">
              <w:t xml:space="preserve"> </w:t>
            </w:r>
            <w:r w:rsidR="30593EA6">
              <w:t xml:space="preserve">At this </w:t>
            </w:r>
            <w:r w:rsidR="39071E91">
              <w:t>juncture</w:t>
            </w:r>
            <w:r w:rsidR="30593EA6">
              <w:t xml:space="preserve">, </w:t>
            </w:r>
            <w:r w:rsidR="39071E91">
              <w:t>the assessment</w:t>
            </w:r>
            <w:r w:rsidR="71BD6E76">
              <w:t xml:space="preserve"> of whether t</w:t>
            </w:r>
            <w:r w:rsidR="2531A6E1">
              <w:t>hese</w:t>
            </w:r>
            <w:r w:rsidR="71BD6E76">
              <w:t xml:space="preserve"> </w:t>
            </w:r>
            <w:r w:rsidR="19AF114D">
              <w:t>recent change</w:t>
            </w:r>
            <w:r w:rsidR="2531A6E1">
              <w:t>s</w:t>
            </w:r>
            <w:r w:rsidR="6865FA80">
              <w:t xml:space="preserve"> will y</w:t>
            </w:r>
            <w:r w:rsidR="16C67395">
              <w:t>ield</w:t>
            </w:r>
            <w:r w:rsidR="01998822">
              <w:t xml:space="preserve"> a positive outcome remains pending</w:t>
            </w:r>
            <w:r w:rsidR="188459E6">
              <w:t>.</w:t>
            </w:r>
          </w:p>
          <w:p w14:paraId="266F0D7A" w14:textId="77777777" w:rsidR="00B25ACD" w:rsidRPr="0035782A" w:rsidRDefault="00B25ACD" w:rsidP="0035782A">
            <w:pPr>
              <w:rPr>
                <w:b/>
                <w:bCs/>
                <w:iCs/>
              </w:rPr>
            </w:pPr>
            <w:r w:rsidRPr="0035782A">
              <w:rPr>
                <w:b/>
                <w:bCs/>
              </w:rPr>
              <w:t>Additional Child Care Subsidy</w:t>
            </w:r>
          </w:p>
          <w:p w14:paraId="5A0DD6E0" w14:textId="273B023D" w:rsidR="00B25ACD" w:rsidRDefault="00B25ACD" w:rsidP="00B25ACD">
            <w:pPr>
              <w:pStyle w:val="Contacttext"/>
              <w:spacing w:after="170"/>
            </w:pPr>
            <w:r w:rsidRPr="00B25ACD">
              <w:t xml:space="preserve">The Additional Child Care Subsidy is additional </w:t>
            </w:r>
            <w:r>
              <w:t>funding support</w:t>
            </w:r>
            <w:r w:rsidRPr="00B25ACD">
              <w:t xml:space="preserve"> on top of the </w:t>
            </w:r>
            <w:r>
              <w:t>CCS</w:t>
            </w:r>
            <w:r w:rsidRPr="00B25ACD">
              <w:t>. It is designed to assist families facing particular challenges or circumstances that may impact their ability to access and afford child care.</w:t>
            </w:r>
            <w:r>
              <w:t xml:space="preserve"> </w:t>
            </w:r>
            <w:r w:rsidR="00837B22">
              <w:t xml:space="preserve">It is paid to providers, who pass it on to families as a fee reduction. </w:t>
            </w:r>
            <w:r>
              <w:t xml:space="preserve">The ACCS includes </w:t>
            </w:r>
            <w:r w:rsidR="004D4178">
              <w:t>four</w:t>
            </w:r>
            <w:r>
              <w:t xml:space="preserve"> subsidy categories:</w:t>
            </w:r>
          </w:p>
          <w:p w14:paraId="682D73F4" w14:textId="66C439A2" w:rsidR="00B25ACD" w:rsidRPr="00B25ACD" w:rsidRDefault="2549DFA4" w:rsidP="00F32CFA">
            <w:pPr>
              <w:pStyle w:val="ListBullet"/>
            </w:pPr>
            <w:r w:rsidRPr="2B91AEFB">
              <w:rPr>
                <w:b/>
                <w:bCs/>
              </w:rPr>
              <w:t>Temporary Financial Hardship:</w:t>
            </w:r>
            <w:r>
              <w:t xml:space="preserve"> Provides short-term assistance to families experiencing significant financial difficulties, such as sudden unemployment or loss of income.</w:t>
            </w:r>
            <w:r w:rsidR="527BF2EE">
              <w:t xml:space="preserve"> This is paid for a maximum of 13 weeks per event.</w:t>
            </w:r>
          </w:p>
          <w:p w14:paraId="32C63946" w14:textId="36C73CA1" w:rsidR="00B25ACD" w:rsidRPr="00B25ACD" w:rsidRDefault="2549DFA4" w:rsidP="00F32CFA">
            <w:pPr>
              <w:pStyle w:val="ListBullet"/>
            </w:pPr>
            <w:r w:rsidRPr="2B91AEFB">
              <w:rPr>
                <w:b/>
                <w:bCs/>
              </w:rPr>
              <w:t>Transition to Work:</w:t>
            </w:r>
            <w:r>
              <w:t xml:space="preserve"> Supports families who are transitioning from income support to work by covering a higher percentage of their child care fees for a limited period.</w:t>
            </w:r>
            <w:r w:rsidR="527BF2EE">
              <w:t xml:space="preserve"> </w:t>
            </w:r>
            <w:r w:rsidR="4F3DA89F">
              <w:t xml:space="preserve">The length of time this is paid depends </w:t>
            </w:r>
            <w:r w:rsidR="33F7043A">
              <w:t>on whether the parent/c</w:t>
            </w:r>
            <w:r w:rsidR="5E220756">
              <w:t xml:space="preserve">arer is studying, looking for work, </w:t>
            </w:r>
            <w:r w:rsidR="3533975A">
              <w:t>working or training</w:t>
            </w:r>
            <w:r w:rsidR="40DE45C1">
              <w:t xml:space="preserve"> e.g. </w:t>
            </w:r>
            <w:r w:rsidR="615043AA">
              <w:t>it is</w:t>
            </w:r>
            <w:r w:rsidR="3D650F5A">
              <w:t xml:space="preserve"> available for a maximum of </w:t>
            </w:r>
            <w:r w:rsidR="38C3412B">
              <w:t>26 weeks for job search activity</w:t>
            </w:r>
            <w:r w:rsidR="071FC681">
              <w:t xml:space="preserve"> and 52 weeks for </w:t>
            </w:r>
            <w:r w:rsidR="33F9D60A">
              <w:t>a full time vocational training course</w:t>
            </w:r>
            <w:r w:rsidR="3533975A">
              <w:t>.</w:t>
            </w:r>
            <w:r w:rsidR="527BF2EE">
              <w:t xml:space="preserve"> </w:t>
            </w:r>
          </w:p>
          <w:p w14:paraId="798FFFE7" w14:textId="2DD95D9C" w:rsidR="00B25ACD" w:rsidRPr="00B25ACD" w:rsidRDefault="2549DFA4" w:rsidP="00F32CFA">
            <w:pPr>
              <w:pStyle w:val="ListBullet"/>
            </w:pPr>
            <w:r w:rsidRPr="2B91AEFB">
              <w:rPr>
                <w:b/>
                <w:bCs/>
              </w:rPr>
              <w:t>Grandparent:</w:t>
            </w:r>
            <w:r>
              <w:t xml:space="preserve"> Assists grandparents who are the primary carers of their grandchildren due to exceptional circumstances.</w:t>
            </w:r>
            <w:r w:rsidR="071CC2AD">
              <w:t xml:space="preserve"> </w:t>
            </w:r>
            <w:r w:rsidR="5D440463">
              <w:t>This</w:t>
            </w:r>
            <w:r w:rsidR="04B2E427">
              <w:t xml:space="preserve"> subsidy does not have a time limit.</w:t>
            </w:r>
            <w:r w:rsidR="071CC2AD">
              <w:t xml:space="preserve"> </w:t>
            </w:r>
          </w:p>
          <w:p w14:paraId="24593A14" w14:textId="7A09CDA4" w:rsidR="00B25ACD" w:rsidRDefault="2549DFA4" w:rsidP="00F32CFA">
            <w:pPr>
              <w:pStyle w:val="ListBullet"/>
            </w:pPr>
            <w:r w:rsidRPr="2B91AEFB">
              <w:rPr>
                <w:b/>
                <w:bCs/>
              </w:rPr>
              <w:t>Child Wellbeing:</w:t>
            </w:r>
            <w:r>
              <w:t xml:space="preserve"> </w:t>
            </w:r>
            <w:r w:rsidR="64B87B80">
              <w:t>Child care providers can determine a risk to safety and wellbeing that doesn’t necessarily meet state/territory authority thresholds.</w:t>
            </w:r>
            <w:r w:rsidR="002E497C">
              <w:t xml:space="preserve"> </w:t>
            </w:r>
            <w:r w:rsidR="3AB47618">
              <w:t xml:space="preserve">This subsidy </w:t>
            </w:r>
            <w:r w:rsidR="53E27674">
              <w:t>is available for 6 weeks initially</w:t>
            </w:r>
            <w:r w:rsidR="294D6694">
              <w:t>, with services then able to apply for</w:t>
            </w:r>
            <w:r w:rsidR="24832D42">
              <w:t xml:space="preserve"> longer periods of up to 13 weeks.</w:t>
            </w:r>
            <w:r w:rsidR="0324DB15">
              <w:t xml:space="preserve"> Services are able to apply for up to 52 weeks if </w:t>
            </w:r>
            <w:r w:rsidR="23A34026">
              <w:t>the child is on a long-term protection order; in formal foster care; or in a formal kinship care arrangement.</w:t>
            </w:r>
          </w:p>
          <w:p w14:paraId="1D5ED830" w14:textId="77777777" w:rsidR="00F32CFA" w:rsidRDefault="00F32CFA" w:rsidP="00F32CFA">
            <w:pPr>
              <w:pStyle w:val="Contacttext"/>
            </w:pPr>
          </w:p>
          <w:p w14:paraId="4AAD8024" w14:textId="77CE9D7E" w:rsidR="00B25ACD" w:rsidRPr="00B25ACD" w:rsidRDefault="00076EB8" w:rsidP="00B25ACD">
            <w:pPr>
              <w:pStyle w:val="Contacttext"/>
              <w:spacing w:after="170"/>
            </w:pPr>
            <w:r w:rsidRPr="00076EB8">
              <w:t>Families need to apply for</w:t>
            </w:r>
            <w:r>
              <w:t xml:space="preserve"> the first </w:t>
            </w:r>
            <w:r w:rsidR="00786533">
              <w:t>three</w:t>
            </w:r>
            <w:r>
              <w:t xml:space="preserve"> of</w:t>
            </w:r>
            <w:r w:rsidRPr="00076EB8">
              <w:t xml:space="preserve"> the Additional Child Care Subsidy</w:t>
            </w:r>
            <w:r>
              <w:t xml:space="preserve"> categories</w:t>
            </w:r>
            <w:r w:rsidRPr="00076EB8">
              <w:t xml:space="preserve"> by providing relevant documentation and information to support their eligibility for the specific category they are applying for.</w:t>
            </w:r>
            <w:r>
              <w:t xml:space="preserve"> Child care services are responsible for applying for the Child Wellbeing subsidy on behalf of families. </w:t>
            </w:r>
          </w:p>
        </w:tc>
      </w:tr>
    </w:tbl>
    <w:p w14:paraId="71EC5B00" w14:textId="62B0B8D2" w:rsidR="00B30CE1" w:rsidRDefault="00B30CE1" w:rsidP="00FF11AF">
      <w:pPr>
        <w:spacing w:before="170"/>
      </w:pPr>
      <w:r>
        <w:lastRenderedPageBreak/>
        <w:t xml:space="preserve">The CCCFR grant was restricted based on services’ former funding arrangements. Former funding arrangements initially included Budget Based Funded (BBF) services and Non-Formula Funded Occasional Child Care (NFFOCC). Some former BBF services were transitioned to CCCFR at a later date, having been initially transitioned </w:t>
      </w:r>
      <w:r w:rsidR="00AA656E">
        <w:t>to the then</w:t>
      </w:r>
      <w:r w:rsidR="00D849C6">
        <w:t xml:space="preserve"> </w:t>
      </w:r>
      <w:r w:rsidR="00AA656E">
        <w:t>Department of the</w:t>
      </w:r>
      <w:r>
        <w:t xml:space="preserve"> Prime Minister and Cabinet (PM&amp;C) through the Indigenous Advancement Strategy (IAS). </w:t>
      </w:r>
    </w:p>
    <w:p w14:paraId="136BFAC0" w14:textId="72E7942D" w:rsidR="00B30CE1" w:rsidRDefault="00B30CE1" w:rsidP="00B30CE1">
      <w:r>
        <w:t xml:space="preserve">The CCCFR grant was intended to provide </w:t>
      </w:r>
      <w:r w:rsidR="0005215B">
        <w:t>another</w:t>
      </w:r>
      <w:r>
        <w:t xml:space="preserve"> source of funding to these services, in addition to the CCS and ACCS under the (then) new child care funding system</w:t>
      </w:r>
      <w:r w:rsidR="0092426D">
        <w:t>, together with parent fees paid to the service</w:t>
      </w:r>
      <w:r>
        <w:t xml:space="preserve">. It was identified that these services would likely need further funding and other support to remain viable during and beyond the transition period. The funding was designed </w:t>
      </w:r>
      <w:r>
        <w:lastRenderedPageBreak/>
        <w:t>to taper gradually over a five-year period as more children eligible for CCS and ACCS would enrol</w:t>
      </w:r>
      <w:r w:rsidR="00B51F4B">
        <w:t xml:space="preserve"> and reliance on grant funding would decrease as a result</w:t>
      </w:r>
      <w:r>
        <w:t>.</w:t>
      </w:r>
    </w:p>
    <w:p w14:paraId="49C10ADD" w14:textId="477441FA" w:rsidR="00200DF2" w:rsidRDefault="00B30CE1" w:rsidP="00200DF2">
      <w:r w:rsidRPr="006C7B31">
        <w:t>The CCCFR grant’s ‘additional funding’ was intended to ensure that no service receiving the funding would be financially worse off, and indeed that the CCCFR grant combined with CCS and ACCS may be greater than services’ existing funding under the BBF model.</w:t>
      </w:r>
      <w:r>
        <w:t xml:space="preserve"> This </w:t>
      </w:r>
      <w:r w:rsidR="002F3453">
        <w:t xml:space="preserve">was intended to </w:t>
      </w:r>
      <w:r>
        <w:t xml:space="preserve">address </w:t>
      </w:r>
      <w:r w:rsidR="002F3453">
        <w:t>concerns</w:t>
      </w:r>
      <w:r>
        <w:t xml:space="preserve"> that the BBF model was not responsive to service’s needs, including that services were not receiving additional funding as more children attended, and that funding was inequitably distributed across services.</w:t>
      </w:r>
      <w:r w:rsidR="002F3453">
        <w:rPr>
          <w:rStyle w:val="FootnoteReference"/>
        </w:rPr>
        <w:footnoteReference w:id="31"/>
      </w:r>
      <w:r w:rsidR="002E497C">
        <w:t xml:space="preserve"> </w:t>
      </w:r>
    </w:p>
    <w:p w14:paraId="365B2A6B" w14:textId="7057F646" w:rsidR="009E4927" w:rsidRDefault="00752E72" w:rsidP="00200DF2">
      <w:pPr>
        <w:pStyle w:val="Heading3un-numbered"/>
      </w:pPr>
      <w:r>
        <w:t>Identification and deeming of services for the</w:t>
      </w:r>
      <w:r w:rsidR="003472FD">
        <w:t xml:space="preserve"> CCCFR grant</w:t>
      </w:r>
    </w:p>
    <w:p w14:paraId="6C23CDEF" w14:textId="475ACDB2" w:rsidR="005005F5" w:rsidRDefault="00546354" w:rsidP="003472FD">
      <w:r>
        <w:t>The CCCFR grant, as a closed, non</w:t>
      </w:r>
      <w:r w:rsidR="00345F35">
        <w:t>-</w:t>
      </w:r>
      <w:r>
        <w:t>competitive grant, was only open to certain services.</w:t>
      </w:r>
      <w:r w:rsidR="008A668A">
        <w:t xml:space="preserve"> Services were </w:t>
      </w:r>
      <w:r w:rsidR="0008408D">
        <w:t xml:space="preserve">initially </w:t>
      </w:r>
      <w:r w:rsidR="008A668A">
        <w:t xml:space="preserve">identified from former </w:t>
      </w:r>
      <w:r w:rsidR="005D2925">
        <w:rPr>
          <w:b/>
          <w:bCs/>
        </w:rPr>
        <w:t>BBF</w:t>
      </w:r>
      <w:r w:rsidR="008A668A">
        <w:t xml:space="preserve"> and</w:t>
      </w:r>
      <w:r w:rsidR="008A668A" w:rsidRPr="005D2925">
        <w:rPr>
          <w:b/>
          <w:bCs/>
        </w:rPr>
        <w:t xml:space="preserve"> </w:t>
      </w:r>
      <w:r w:rsidR="005D2925">
        <w:rPr>
          <w:b/>
          <w:bCs/>
        </w:rPr>
        <w:t>NFFOCC</w:t>
      </w:r>
      <w:r w:rsidR="0008408D">
        <w:t xml:space="preserve"> services. </w:t>
      </w:r>
      <w:r w:rsidR="002A4533">
        <w:t xml:space="preserve">The identification process </w:t>
      </w:r>
      <w:r w:rsidR="00E311BD">
        <w:t xml:space="preserve">involved </w:t>
      </w:r>
      <w:r w:rsidR="0018792C">
        <w:t>four</w:t>
      </w:r>
      <w:r w:rsidR="005005F5">
        <w:t xml:space="preserve"> stages:</w:t>
      </w:r>
    </w:p>
    <w:p w14:paraId="00EC2590" w14:textId="3B496F7A" w:rsidR="002A4533" w:rsidRDefault="005005F5" w:rsidP="00416EA8">
      <w:pPr>
        <w:pStyle w:val="ListNumber"/>
        <w:numPr>
          <w:ilvl w:val="0"/>
          <w:numId w:val="45"/>
        </w:numPr>
      </w:pPr>
      <w:r>
        <w:t xml:space="preserve">A </w:t>
      </w:r>
      <w:r w:rsidR="00E311BD">
        <w:t xml:space="preserve">review </w:t>
      </w:r>
      <w:r>
        <w:t>by</w:t>
      </w:r>
      <w:r w:rsidR="00E311BD">
        <w:t xml:space="preserve"> Pricewaterhouse Coopers (PwC) </w:t>
      </w:r>
      <w:r w:rsidR="008D2821">
        <w:t>as to whether a service was deemed to be primarily offering child care</w:t>
      </w:r>
      <w:r w:rsidR="000D5581">
        <w:t>.</w:t>
      </w:r>
      <w:r w:rsidR="008D2821">
        <w:t xml:space="preserve"> </w:t>
      </w:r>
    </w:p>
    <w:p w14:paraId="336F5787" w14:textId="49792B49" w:rsidR="00E9387F" w:rsidRDefault="00E9387F" w:rsidP="00416EA8">
      <w:pPr>
        <w:pStyle w:val="ListBullet2"/>
        <w:numPr>
          <w:ilvl w:val="0"/>
          <w:numId w:val="46"/>
        </w:numPr>
      </w:pPr>
      <w:r>
        <w:t xml:space="preserve">PwC transition reports included </w:t>
      </w:r>
      <w:r w:rsidR="0086624B">
        <w:t xml:space="preserve">findings on the service’s capacity to transition, including on the </w:t>
      </w:r>
      <w:r w:rsidR="00AC58B5">
        <w:t xml:space="preserve">operational </w:t>
      </w:r>
      <w:r w:rsidR="0086624B">
        <w:t>delivery</w:t>
      </w:r>
      <w:r w:rsidR="00AC58B5">
        <w:t xml:space="preserve"> and financial viability</w:t>
      </w:r>
      <w:r w:rsidR="000D5581">
        <w:t>.</w:t>
      </w:r>
      <w:r w:rsidR="0086624B">
        <w:t xml:space="preserve"> </w:t>
      </w:r>
    </w:p>
    <w:p w14:paraId="3FF95884" w14:textId="0BC42462" w:rsidR="008D7BF1" w:rsidRDefault="008D7BF1" w:rsidP="00416EA8">
      <w:pPr>
        <w:pStyle w:val="ListNumber"/>
        <w:numPr>
          <w:ilvl w:val="0"/>
          <w:numId w:val="45"/>
        </w:numPr>
      </w:pPr>
      <w:r>
        <w:t>Th</w:t>
      </w:r>
      <w:r w:rsidR="00A36B38">
        <w:t xml:space="preserve">e PwC </w:t>
      </w:r>
      <w:r w:rsidR="00194E65">
        <w:t>findings</w:t>
      </w:r>
      <w:r w:rsidR="00A36B38">
        <w:t xml:space="preserve"> were circulated for review by Program Officers in the </w:t>
      </w:r>
      <w:r w:rsidR="00703E24">
        <w:t>s</w:t>
      </w:r>
      <w:r w:rsidR="00A36B38">
        <w:t xml:space="preserve">tate </w:t>
      </w:r>
      <w:r w:rsidR="00703E24">
        <w:t>o</w:t>
      </w:r>
      <w:r w:rsidR="003F79D2">
        <w:t>ffices for moderation</w:t>
      </w:r>
      <w:r w:rsidR="000D5581">
        <w:t>.</w:t>
      </w:r>
      <w:r w:rsidR="003F79D2">
        <w:t xml:space="preserve"> </w:t>
      </w:r>
    </w:p>
    <w:p w14:paraId="54B3A04B" w14:textId="56DBE25D" w:rsidR="00B201D8" w:rsidRPr="00AA1209" w:rsidRDefault="00194E65" w:rsidP="00416EA8">
      <w:pPr>
        <w:pStyle w:val="ListBullet2"/>
        <w:numPr>
          <w:ilvl w:val="1"/>
          <w:numId w:val="45"/>
        </w:numPr>
      </w:pPr>
      <w:r>
        <w:t xml:space="preserve">The PwC findings included that some services who may have been eligible for CCCFR preferred alternative approaches, including </w:t>
      </w:r>
      <w:r w:rsidR="00B176CC">
        <w:t xml:space="preserve">some which preferred to remain under </w:t>
      </w:r>
      <w:r w:rsidR="007A03E7">
        <w:t>block</w:t>
      </w:r>
      <w:r w:rsidR="00B176CC">
        <w:t xml:space="preserve"> funding provided by the IAS, rather than transition</w:t>
      </w:r>
      <w:r w:rsidR="00D751D5">
        <w:t xml:space="preserve"> </w:t>
      </w:r>
      <w:r w:rsidR="00D751D5" w:rsidRPr="00AA1209">
        <w:t xml:space="preserve">(see </w:t>
      </w:r>
      <w:r w:rsidR="00AA1209" w:rsidRPr="00AA1209">
        <w:t>below</w:t>
      </w:r>
      <w:r w:rsidR="00B201D8" w:rsidRPr="00AA1209">
        <w:t>)</w:t>
      </w:r>
      <w:r w:rsidR="000D5581" w:rsidRPr="00AA1209">
        <w:t>.</w:t>
      </w:r>
    </w:p>
    <w:p w14:paraId="7D83F946" w14:textId="30AF40AF" w:rsidR="00194E65" w:rsidRDefault="00194E65" w:rsidP="00416EA8">
      <w:pPr>
        <w:pStyle w:val="ListNumber"/>
        <w:numPr>
          <w:ilvl w:val="0"/>
          <w:numId w:val="45"/>
        </w:numPr>
      </w:pPr>
      <w:r w:rsidRPr="00194E65">
        <w:t xml:space="preserve">Final decisions on </w:t>
      </w:r>
      <w:r w:rsidR="00F55154">
        <w:t xml:space="preserve">which services would </w:t>
      </w:r>
      <w:r w:rsidRPr="00194E65">
        <w:t>be invited to apply for a CCCFR</w:t>
      </w:r>
      <w:r w:rsidR="00230466">
        <w:t xml:space="preserve"> </w:t>
      </w:r>
      <w:r w:rsidRPr="00194E65">
        <w:t>grant were made in National Office Canberra.</w:t>
      </w:r>
    </w:p>
    <w:p w14:paraId="5A1AB0C3" w14:textId="082DD077" w:rsidR="007F6BFD" w:rsidRDefault="007F6BFD" w:rsidP="00416EA8">
      <w:pPr>
        <w:pStyle w:val="ListBullet2"/>
        <w:numPr>
          <w:ilvl w:val="1"/>
          <w:numId w:val="45"/>
        </w:numPr>
      </w:pPr>
      <w:r>
        <w:t>Services which were not determined to be primarily delivering child care were supported by the Department to transition to funding arrangements with other Commonwealth Departments</w:t>
      </w:r>
      <w:r w:rsidR="000D5581">
        <w:t>.</w:t>
      </w:r>
    </w:p>
    <w:p w14:paraId="28200CCA" w14:textId="5AF81A97" w:rsidR="00230466" w:rsidRDefault="00230466" w:rsidP="00416EA8">
      <w:pPr>
        <w:pStyle w:val="ListNumber"/>
        <w:numPr>
          <w:ilvl w:val="0"/>
          <w:numId w:val="45"/>
        </w:numPr>
      </w:pPr>
      <w:r>
        <w:t xml:space="preserve">Services </w:t>
      </w:r>
      <w:r w:rsidR="00BA2BDE">
        <w:t>chose whether to apply for a CCCFR grant.</w:t>
      </w:r>
    </w:p>
    <w:p w14:paraId="3D808828" w14:textId="2E6D4B7A" w:rsidR="00BA2BDE" w:rsidRDefault="00BA2BDE" w:rsidP="00416EA8">
      <w:pPr>
        <w:pStyle w:val="ListBullet2"/>
        <w:numPr>
          <w:ilvl w:val="1"/>
          <w:numId w:val="47"/>
        </w:numPr>
      </w:pPr>
      <w:r>
        <w:t>If ser</w:t>
      </w:r>
      <w:r w:rsidR="00DE7A74">
        <w:t xml:space="preserve">vices did not choose to apply for a CCCFR grant, and were not eligible for block funding under the IAS, </w:t>
      </w:r>
      <w:r w:rsidR="009E2B70">
        <w:t xml:space="preserve">there were no alternative funding approaches offered at this time. </w:t>
      </w:r>
    </w:p>
    <w:p w14:paraId="6A41846B" w14:textId="77777777" w:rsidR="00686C41" w:rsidRDefault="00686C41" w:rsidP="00200DF2">
      <w:pPr>
        <w:pStyle w:val="Heading4un-numbered"/>
      </w:pPr>
    </w:p>
    <w:p w14:paraId="7619A351" w14:textId="606A273C" w:rsidR="00C03141" w:rsidRDefault="00D751D5" w:rsidP="00200DF2">
      <w:pPr>
        <w:pStyle w:val="Heading4un-numbered"/>
      </w:pPr>
      <w:r>
        <w:t xml:space="preserve">Services which transitioned to CCCFR from </w:t>
      </w:r>
      <w:r w:rsidR="00200DF2">
        <w:t>PM&amp;C</w:t>
      </w:r>
    </w:p>
    <w:p w14:paraId="0B8B9457" w14:textId="1CA4D815" w:rsidR="00CE0556" w:rsidRDefault="00C03141" w:rsidP="00D05A2A">
      <w:r>
        <w:t xml:space="preserve">In the first year of the CCCFR grant’s operation, </w:t>
      </w:r>
      <w:r w:rsidR="007F29F3">
        <w:t xml:space="preserve">12 </w:t>
      </w:r>
      <w:r>
        <w:t xml:space="preserve">additional </w:t>
      </w:r>
      <w:r w:rsidR="007F29F3">
        <w:t xml:space="preserve">services </w:t>
      </w:r>
      <w:r w:rsidR="005E4701">
        <w:t>were transferred to the CCCFR from Prime Minister and Cabinet</w:t>
      </w:r>
      <w:r w:rsidR="007A03E7">
        <w:t>, funded through the</w:t>
      </w:r>
      <w:r w:rsidR="005E4701">
        <w:t xml:space="preserve"> </w:t>
      </w:r>
      <w:r w:rsidR="005D2925" w:rsidRPr="005D2925">
        <w:rPr>
          <w:b/>
          <w:bCs/>
        </w:rPr>
        <w:t>IAS</w:t>
      </w:r>
      <w:r>
        <w:t xml:space="preserve">. </w:t>
      </w:r>
      <w:r w:rsidR="00026F78">
        <w:t>This was via</w:t>
      </w:r>
      <w:r w:rsidR="00CE0556">
        <w:t xml:space="preserve"> a second CCCFR grant funding round</w:t>
      </w:r>
      <w:r w:rsidR="008477D4">
        <w:t xml:space="preserve">, and the services </w:t>
      </w:r>
      <w:r w:rsidR="009024E3">
        <w:t>were brought in during the last quarter of 2018</w:t>
      </w:r>
      <w:r w:rsidR="00CE0556">
        <w:t>.</w:t>
      </w:r>
      <w:r w:rsidR="007A03E7">
        <w:t xml:space="preserve"> These included former BBF services which had preferred to receive funding under the IAS</w:t>
      </w:r>
      <w:r w:rsidR="0082324C">
        <w:t>.</w:t>
      </w:r>
      <w:r w:rsidR="005908E2">
        <w:t xml:space="preserve"> </w:t>
      </w:r>
    </w:p>
    <w:p w14:paraId="66568E76" w14:textId="7F20F92B" w:rsidR="00D751D5" w:rsidRPr="00D751D5" w:rsidRDefault="007C2CAB" w:rsidP="00D751D5">
      <w:r>
        <w:t>Seven</w:t>
      </w:r>
      <w:r w:rsidR="005908E2" w:rsidRPr="005908E2">
        <w:t xml:space="preserve"> </w:t>
      </w:r>
      <w:r w:rsidR="00CE0556">
        <w:t xml:space="preserve">of these </w:t>
      </w:r>
      <w:r w:rsidR="005908E2" w:rsidRPr="005908E2">
        <w:t xml:space="preserve">services were listed under Minister’s Rules and </w:t>
      </w:r>
      <w:r>
        <w:t>five</w:t>
      </w:r>
      <w:r w:rsidR="005908E2" w:rsidRPr="005908E2">
        <w:t xml:space="preserve"> services </w:t>
      </w:r>
      <w:r w:rsidR="005908E2">
        <w:t xml:space="preserve">were regulated </w:t>
      </w:r>
      <w:r w:rsidR="005908E2" w:rsidRPr="005908E2">
        <w:t>under the NQF</w:t>
      </w:r>
      <w:r w:rsidR="005908E2">
        <w:t xml:space="preserve">. </w:t>
      </w:r>
    </w:p>
    <w:p w14:paraId="29206311" w14:textId="48702347" w:rsidR="009F1ED9" w:rsidRDefault="00D84594" w:rsidP="00061C96">
      <w:r>
        <w:t xml:space="preserve">The box below provides an overview of the </w:t>
      </w:r>
      <w:r w:rsidR="00B51F4B">
        <w:t xml:space="preserve">more recent </w:t>
      </w:r>
      <w:r>
        <w:t xml:space="preserve">funding programs from which the </w:t>
      </w:r>
      <w:r w:rsidR="00087831">
        <w:t>CCCFR services were drawn.</w:t>
      </w:r>
    </w:p>
    <w:p w14:paraId="14A94661" w14:textId="77777777" w:rsidR="00E529C2" w:rsidRDefault="00E529C2" w:rsidP="00061C96"/>
    <w:p w14:paraId="6B70F5CE" w14:textId="77777777" w:rsidR="00E529C2" w:rsidRDefault="00E529C2" w:rsidP="00061C96"/>
    <w:p w14:paraId="052E9979" w14:textId="77777777" w:rsidR="00E529C2" w:rsidRDefault="00E529C2" w:rsidP="00061C96"/>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2A4533" w14:paraId="6267972B" w14:textId="77777777" w:rsidTr="30E0DE01">
        <w:trPr>
          <w:cnfStyle w:val="100000000000" w:firstRow="1" w:lastRow="0" w:firstColumn="0" w:lastColumn="0" w:oddVBand="0" w:evenVBand="0" w:oddHBand="0" w:evenHBand="0" w:firstRowFirstColumn="0" w:firstRowLastColumn="0" w:lastRowFirstColumn="0" w:lastRowLastColumn="0"/>
          <w:trHeight w:val="80"/>
        </w:trPr>
        <w:tc>
          <w:tcPr>
            <w:tcW w:w="9026" w:type="dxa"/>
            <w:shd w:val="clear" w:color="auto" w:fill="E7E6E6" w:themeFill="background2"/>
          </w:tcPr>
          <w:p w14:paraId="1BBDFCE9" w14:textId="124754D4" w:rsidR="002A4533" w:rsidRPr="004B0CC8" w:rsidRDefault="002A4533" w:rsidP="003222B2">
            <w:pPr>
              <w:rPr>
                <w:b/>
              </w:rPr>
            </w:pPr>
            <w:r w:rsidRPr="004B0CC8">
              <w:rPr>
                <w:b/>
              </w:rPr>
              <w:lastRenderedPageBreak/>
              <w:t xml:space="preserve">Box </w:t>
            </w:r>
            <w:r w:rsidR="004B0CC8" w:rsidRPr="004B0CC8">
              <w:rPr>
                <w:b/>
                <w:bCs/>
              </w:rPr>
              <w:t>2.</w:t>
            </w:r>
            <w:r w:rsidR="00686C41">
              <w:rPr>
                <w:b/>
                <w:bCs/>
              </w:rPr>
              <w:t>2</w:t>
            </w:r>
            <w:r w:rsidRPr="004B0CC8">
              <w:rPr>
                <w:b/>
              </w:rPr>
              <w:t xml:space="preserve">: Former funding models of CCCFR services </w:t>
            </w:r>
          </w:p>
          <w:p w14:paraId="629C294B" w14:textId="2F03E10E" w:rsidR="002A4533" w:rsidRPr="000D4F42" w:rsidRDefault="002A4533" w:rsidP="000D4F42">
            <w:pPr>
              <w:rPr>
                <w:b/>
                <w:bCs/>
                <w:i/>
                <w:iCs/>
              </w:rPr>
            </w:pPr>
            <w:r w:rsidRPr="000D4F42">
              <w:rPr>
                <w:b/>
                <w:bCs/>
                <w:i/>
                <w:iCs/>
              </w:rPr>
              <w:t>B</w:t>
            </w:r>
            <w:r w:rsidR="005E44C0" w:rsidRPr="000D4F42">
              <w:rPr>
                <w:b/>
                <w:bCs/>
                <w:i/>
                <w:iCs/>
              </w:rPr>
              <w:t xml:space="preserve">udget </w:t>
            </w:r>
            <w:r w:rsidRPr="000D4F42">
              <w:rPr>
                <w:b/>
                <w:bCs/>
                <w:i/>
                <w:iCs/>
              </w:rPr>
              <w:t>B</w:t>
            </w:r>
            <w:r w:rsidR="00200DF2" w:rsidRPr="000D4F42">
              <w:rPr>
                <w:b/>
                <w:bCs/>
                <w:i/>
                <w:iCs/>
              </w:rPr>
              <w:t xml:space="preserve">ased </w:t>
            </w:r>
            <w:r w:rsidRPr="000D4F42">
              <w:rPr>
                <w:b/>
                <w:bCs/>
                <w:i/>
                <w:iCs/>
              </w:rPr>
              <w:t>F</w:t>
            </w:r>
            <w:r w:rsidR="00200DF2" w:rsidRPr="000D4F42">
              <w:rPr>
                <w:b/>
                <w:bCs/>
                <w:i/>
                <w:iCs/>
              </w:rPr>
              <w:t>unded</w:t>
            </w:r>
            <w:r w:rsidR="00556EDD">
              <w:rPr>
                <w:b/>
                <w:bCs/>
                <w:i/>
                <w:iCs/>
              </w:rPr>
              <w:t xml:space="preserve"> </w:t>
            </w:r>
            <w:r w:rsidR="005E44C0" w:rsidRPr="000D4F42">
              <w:rPr>
                <w:b/>
                <w:bCs/>
                <w:i/>
                <w:iCs/>
              </w:rPr>
              <w:t>program</w:t>
            </w:r>
          </w:p>
          <w:p w14:paraId="1BE91A5C" w14:textId="6D38DE92" w:rsidR="00224567" w:rsidRDefault="005E44C0" w:rsidP="003222B2">
            <w:r>
              <w:t xml:space="preserve">BBF services were funded by the </w:t>
            </w:r>
            <w:r w:rsidR="00EC26F3" w:rsidRPr="00EC26F3">
              <w:t>Australian</w:t>
            </w:r>
            <w:r>
              <w:t xml:space="preserve"> government through a grant-based funding model. It was established in 2003 as part of the Child Care Service’s Support program, consolidating a range of child</w:t>
            </w:r>
            <w:r w:rsidR="00C03FB1">
              <w:t xml:space="preserve"> </w:t>
            </w:r>
            <w:r>
              <w:t xml:space="preserve">care and early learning services set up in the 1970s. </w:t>
            </w:r>
          </w:p>
          <w:p w14:paraId="58A4F56A" w14:textId="42DDA86F" w:rsidR="00224567" w:rsidRDefault="655FB2AA" w:rsidP="003222B2">
            <w:r>
              <w:t>The program provided operational funding for ECEC services that were in areas not traditionally recognised as viable due to thin markets (i.e.</w:t>
            </w:r>
            <w:r w:rsidR="00A923E3">
              <w:t>,</w:t>
            </w:r>
            <w:r>
              <w:t xml:space="preserve"> regional, remote and </w:t>
            </w:r>
            <w:r w:rsidR="0EA5F755">
              <w:t>Aboriginal and/or Torres Strait Islander</w:t>
            </w:r>
            <w:r>
              <w:t xml:space="preserve"> communities). There were a number of BBF services present in urban areas that identified the need for culturally competent services for Aboriginal and Torres Strait Islander children and families. BBF services included </w:t>
            </w:r>
            <w:r w:rsidR="30F0E1BA">
              <w:t>M</w:t>
            </w:r>
            <w:r w:rsidR="21B513E1">
              <w:t>obile, Occasional Care, Multifunctional Aboriginal Children’s Services (</w:t>
            </w:r>
            <w:r>
              <w:t>MACS</w:t>
            </w:r>
            <w:r w:rsidR="21B513E1">
              <w:t>)</w:t>
            </w:r>
            <w:r>
              <w:t>, long day care services, mobile services, creches, playgroups,</w:t>
            </w:r>
            <w:r w:rsidR="2CBD3FA3">
              <w:t xml:space="preserve"> toy libraries,</w:t>
            </w:r>
            <w:r>
              <w:t xml:space="preserve"> out of school hours care services and vacation care services. </w:t>
            </w:r>
          </w:p>
          <w:p w14:paraId="4B67D3FA" w14:textId="013D22F9" w:rsidR="00224567" w:rsidRDefault="005E44C0" w:rsidP="003222B2">
            <w:r>
              <w:t xml:space="preserve">In 2016–17, $61.8 million in competitive grant funding was allocated to support the delivery of BBF services, two thirds of which were </w:t>
            </w:r>
            <w:r w:rsidR="00C80C4B" w:rsidRPr="00C80C4B">
              <w:t xml:space="preserve">Aboriginal and Torres Strait Islander </w:t>
            </w:r>
            <w:r>
              <w:t>services.</w:t>
            </w:r>
            <w:r w:rsidR="00224567">
              <w:rPr>
                <w:rStyle w:val="FootnoteReference"/>
              </w:rPr>
              <w:footnoteReference w:id="32"/>
            </w:r>
            <w:r>
              <w:t xml:space="preserve"> The funding allocated to each BBF service was based on historical determination and indexed annually. Funding levels did not automatically reflect changing circumstances and generally did not change with shifting community needs or increasing service delivery costs.</w:t>
            </w:r>
            <w:r w:rsidR="00224567">
              <w:rPr>
                <w:rStyle w:val="FootnoteReference"/>
              </w:rPr>
              <w:footnoteReference w:id="33"/>
            </w:r>
            <w:r>
              <w:t xml:space="preserve"> </w:t>
            </w:r>
          </w:p>
          <w:p w14:paraId="693BE9F2" w14:textId="7F33F7E3" w:rsidR="005E44C0" w:rsidRDefault="005E44C0" w:rsidP="003222B2">
            <w:r>
              <w:t xml:space="preserve">The BBF program ceased in 2018, as part of the introduction of the Child Care Package. </w:t>
            </w:r>
          </w:p>
          <w:p w14:paraId="65A6B72B" w14:textId="63DBA3AF" w:rsidR="00061C96" w:rsidRPr="00405642" w:rsidRDefault="00061C96" w:rsidP="003222B2">
            <w:pPr>
              <w:rPr>
                <w:i/>
                <w:iCs/>
              </w:rPr>
            </w:pPr>
            <w:r>
              <w:rPr>
                <w:i/>
                <w:iCs/>
              </w:rPr>
              <w:t xml:space="preserve">135 services transitioned from BBF to the CCCFR. </w:t>
            </w:r>
            <w:r>
              <w:rPr>
                <w:i/>
                <w:iCs/>
              </w:rPr>
              <w:br/>
              <w:t xml:space="preserve">Of the 109 services which did not transition: 65 were transferred to the </w:t>
            </w:r>
            <w:r w:rsidRPr="00061C96">
              <w:rPr>
                <w:i/>
                <w:iCs/>
              </w:rPr>
              <w:t xml:space="preserve">Department of </w:t>
            </w:r>
            <w:r w:rsidR="77536242" w:rsidRPr="1424395C">
              <w:rPr>
                <w:i/>
                <w:iCs/>
              </w:rPr>
              <w:t xml:space="preserve">the </w:t>
            </w:r>
            <w:r w:rsidRPr="00061C96">
              <w:rPr>
                <w:i/>
                <w:iCs/>
              </w:rPr>
              <w:t>Prime Minister and Cabinet</w:t>
            </w:r>
            <w:r>
              <w:rPr>
                <w:i/>
                <w:iCs/>
              </w:rPr>
              <w:t>;</w:t>
            </w:r>
            <w:r w:rsidR="00837C13">
              <w:rPr>
                <w:rStyle w:val="FootnoteReference"/>
                <w:i/>
                <w:iCs/>
              </w:rPr>
              <w:footnoteReference w:id="34"/>
            </w:r>
            <w:r>
              <w:rPr>
                <w:i/>
                <w:iCs/>
              </w:rPr>
              <w:t xml:space="preserve"> 25 were transferred to the Department of Social Services, 16 closed, and 3 sourced alternative funding.</w:t>
            </w:r>
            <w:r>
              <w:rPr>
                <w:rStyle w:val="FootnoteReference"/>
                <w:i/>
                <w:iCs/>
              </w:rPr>
              <w:footnoteReference w:id="35"/>
            </w:r>
            <w:r w:rsidR="002E497C">
              <w:rPr>
                <w:i/>
                <w:iCs/>
              </w:rPr>
              <w:t xml:space="preserve"> </w:t>
            </w:r>
          </w:p>
          <w:p w14:paraId="3A8AD7BC" w14:textId="30711B6B" w:rsidR="002A4533" w:rsidRPr="00BC09BB" w:rsidRDefault="002A5135" w:rsidP="003222B2">
            <w:pPr>
              <w:rPr>
                <w:b/>
                <w:bCs/>
                <w:i/>
                <w:iCs/>
              </w:rPr>
            </w:pPr>
            <w:r w:rsidRPr="00BC09BB">
              <w:rPr>
                <w:b/>
                <w:bCs/>
                <w:i/>
                <w:iCs/>
              </w:rPr>
              <w:t xml:space="preserve">Non-Formula Funded Occasional Child Care service </w:t>
            </w:r>
          </w:p>
          <w:p w14:paraId="4C6226B6" w14:textId="7E0AADC4" w:rsidR="00061C96" w:rsidRDefault="00CC2306" w:rsidP="003222B2">
            <w:r>
              <w:t xml:space="preserve">Limited </w:t>
            </w:r>
            <w:r w:rsidR="00354922">
              <w:t xml:space="preserve">information is publicly available for NFFOCC services. </w:t>
            </w:r>
            <w:r w:rsidR="00F147EF">
              <w:t>Based on</w:t>
            </w:r>
            <w:r w:rsidR="00354922">
              <w:t xml:space="preserve"> available</w:t>
            </w:r>
            <w:r w:rsidR="00F147EF">
              <w:t xml:space="preserve"> information</w:t>
            </w:r>
            <w:r w:rsidR="00354922">
              <w:t xml:space="preserve">, NFFOCC funding was designed to support a specific group of services with the day-to-day ongoing costs of delivering quality and affordable care. The NFFOCC ceased in 2018 along with BBF with the introduction of the Child Care Package. </w:t>
            </w:r>
          </w:p>
          <w:p w14:paraId="3402040D" w14:textId="7B0ECEF6" w:rsidR="00061C96" w:rsidRDefault="00061C96" w:rsidP="003222B2">
            <w:pPr>
              <w:rPr>
                <w:i/>
                <w:iCs/>
              </w:rPr>
            </w:pPr>
            <w:r>
              <w:rPr>
                <w:i/>
                <w:iCs/>
              </w:rPr>
              <w:t xml:space="preserve">12 NFFOCC services transitioned to the CCCFR. </w:t>
            </w:r>
            <w:r>
              <w:rPr>
                <w:i/>
                <w:iCs/>
              </w:rPr>
              <w:br/>
              <w:t>Of the 10 NFFOCC services which did not transition: 5 were transferred to the Department of Social Services; 4 closed, and 1 sourced alternative funding.</w:t>
            </w:r>
            <w:r>
              <w:rPr>
                <w:rStyle w:val="FootnoteReference"/>
                <w:i/>
                <w:iCs/>
              </w:rPr>
              <w:footnoteReference w:id="36"/>
            </w:r>
            <w:r>
              <w:rPr>
                <w:i/>
                <w:iCs/>
              </w:rPr>
              <w:t xml:space="preserve"> </w:t>
            </w:r>
          </w:p>
          <w:p w14:paraId="6E92C4CB" w14:textId="287A7EF4" w:rsidR="002A4533" w:rsidRPr="00BC09BB" w:rsidRDefault="00C35723" w:rsidP="003222B2">
            <w:pPr>
              <w:rPr>
                <w:b/>
                <w:bCs/>
                <w:i/>
                <w:iCs/>
              </w:rPr>
            </w:pPr>
            <w:r w:rsidRPr="00BC09BB">
              <w:rPr>
                <w:b/>
                <w:bCs/>
                <w:i/>
                <w:iCs/>
              </w:rPr>
              <w:t xml:space="preserve">Indigenous Advancement Strategy funded service </w:t>
            </w:r>
          </w:p>
          <w:p w14:paraId="5A1B38B2" w14:textId="77777777" w:rsidR="00CF6795" w:rsidRDefault="00CF6795" w:rsidP="00CF6795">
            <w:r w:rsidRPr="00405642">
              <w:t xml:space="preserve">The </w:t>
            </w:r>
            <w:r>
              <w:t xml:space="preserve">IAS </w:t>
            </w:r>
            <w:r w:rsidRPr="00405642">
              <w:t>is the way the Australian Government funds and delivers a range of programs for Indigenous Australians</w:t>
            </w:r>
            <w:r>
              <w:t xml:space="preserve">, including a stream of grant opportunities under the program ‘children and schooling’. </w:t>
            </w:r>
          </w:p>
          <w:p w14:paraId="0F948A39" w14:textId="2377A298" w:rsidR="00200DF2" w:rsidRDefault="00BF75E1" w:rsidP="00200DF2">
            <w:r w:rsidRPr="006B7E9A">
              <w:t>The IAS funded service is a previous model of funding that is no longer available to child</w:t>
            </w:r>
            <w:r w:rsidR="00C03FB1">
              <w:t xml:space="preserve"> </w:t>
            </w:r>
            <w:r w:rsidRPr="006B7E9A">
              <w:t>care services. Noting that the IAS funded service is separate to the Indigenous Advancement Strategy</w:t>
            </w:r>
            <w:r w:rsidR="0046486C" w:rsidRPr="006B7E9A">
              <w:t xml:space="preserve"> (the Strategy) and was a branch of funding available for child</w:t>
            </w:r>
            <w:r w:rsidR="00C03FB1">
              <w:t xml:space="preserve"> </w:t>
            </w:r>
            <w:r w:rsidR="0046486C" w:rsidRPr="006B7E9A">
              <w:t xml:space="preserve">care services under the </w:t>
            </w:r>
            <w:r w:rsidR="0046486C" w:rsidRPr="006B7E9A">
              <w:lastRenderedPageBreak/>
              <w:t>Strategy.</w:t>
            </w:r>
            <w:r w:rsidR="00691A49">
              <w:rPr>
                <w:rStyle w:val="FootnoteReference"/>
              </w:rPr>
              <w:footnoteReference w:id="37"/>
            </w:r>
            <w:r w:rsidR="0046486C" w:rsidRPr="006B7E9A">
              <w:t xml:space="preserve"> The Strategy continues to receive Commonwealth funding for grant funding processes and administered procurement activities that address the objectives of the IAS. The </w:t>
            </w:r>
            <w:r w:rsidR="009E697E">
              <w:t>eleven</w:t>
            </w:r>
            <w:r w:rsidR="009E697E" w:rsidRPr="006B7E9A">
              <w:t xml:space="preserve"> </w:t>
            </w:r>
            <w:r w:rsidR="0046486C" w:rsidRPr="006B7E9A">
              <w:t>IAS funded services no longer had access to this stream of funding with the introduction of the Child Care Package in 2018.</w:t>
            </w:r>
            <w:r w:rsidR="00691A49">
              <w:rPr>
                <w:rStyle w:val="FootnoteReference"/>
              </w:rPr>
              <w:footnoteReference w:id="38"/>
            </w:r>
            <w:r w:rsidR="0046486C" w:rsidRPr="006B7E9A">
              <w:t xml:space="preserve"> </w:t>
            </w:r>
          </w:p>
          <w:p w14:paraId="599C75FF" w14:textId="01408264" w:rsidR="00C35723" w:rsidRPr="006B7E9A" w:rsidRDefault="00405642" w:rsidP="003222B2">
            <w:r>
              <w:rPr>
                <w:i/>
                <w:iCs/>
              </w:rPr>
              <w:t xml:space="preserve">12 IAS services transitioned to the CCCFR in </w:t>
            </w:r>
            <w:r w:rsidR="000073E1">
              <w:rPr>
                <w:i/>
                <w:iCs/>
              </w:rPr>
              <w:t xml:space="preserve">the </w:t>
            </w:r>
            <w:r w:rsidR="009E65E8">
              <w:rPr>
                <w:i/>
                <w:iCs/>
              </w:rPr>
              <w:t>2018</w:t>
            </w:r>
            <w:r w:rsidR="000073E1">
              <w:rPr>
                <w:i/>
                <w:iCs/>
              </w:rPr>
              <w:t>-</w:t>
            </w:r>
            <w:r>
              <w:rPr>
                <w:i/>
                <w:iCs/>
              </w:rPr>
              <w:t>201</w:t>
            </w:r>
            <w:r w:rsidR="005E5BAF">
              <w:rPr>
                <w:i/>
                <w:iCs/>
              </w:rPr>
              <w:t>9</w:t>
            </w:r>
            <w:r w:rsidR="000073E1">
              <w:rPr>
                <w:i/>
                <w:iCs/>
              </w:rPr>
              <w:t xml:space="preserve"> financial year</w:t>
            </w:r>
            <w:r w:rsidR="004A7724">
              <w:rPr>
                <w:i/>
                <w:iCs/>
              </w:rPr>
              <w:t>.</w:t>
            </w:r>
            <w:r w:rsidR="004A7724">
              <w:rPr>
                <w:rStyle w:val="FootnoteReference"/>
                <w:i/>
                <w:iCs/>
              </w:rPr>
              <w:footnoteReference w:id="39"/>
            </w:r>
          </w:p>
        </w:tc>
      </w:tr>
    </w:tbl>
    <w:p w14:paraId="148FC0B0" w14:textId="65DF0B60" w:rsidR="006C5A0E" w:rsidRDefault="006C5A0E" w:rsidP="00FE1019">
      <w:pPr>
        <w:pStyle w:val="Heading2"/>
        <w:spacing w:after="120"/>
      </w:pPr>
      <w:bookmarkStart w:id="83" w:name="_Ref152656447"/>
      <w:bookmarkStart w:id="84" w:name="_Toc158993749"/>
      <w:bookmarkStart w:id="85" w:name="_Toc170227396"/>
      <w:r>
        <w:lastRenderedPageBreak/>
        <w:t>CCCFR grant o</w:t>
      </w:r>
      <w:r w:rsidR="005C117C">
        <w:t>bjectives and intent</w:t>
      </w:r>
      <w:bookmarkEnd w:id="83"/>
      <w:bookmarkEnd w:id="84"/>
      <w:bookmarkEnd w:id="85"/>
      <w:r w:rsidR="005C117C">
        <w:t xml:space="preserve"> </w:t>
      </w:r>
    </w:p>
    <w:p w14:paraId="684069C0" w14:textId="4FDC7BB5" w:rsidR="004A7724" w:rsidRDefault="004A7724" w:rsidP="004A7724">
      <w:r>
        <w:t xml:space="preserve">The CCCFR grant stated objectives are to: </w:t>
      </w:r>
    </w:p>
    <w:p w14:paraId="0A25C737" w14:textId="09494039" w:rsidR="004A7724" w:rsidRDefault="003222B2" w:rsidP="004A7724">
      <w:pPr>
        <w:pStyle w:val="ListBullet"/>
      </w:pPr>
      <w:r>
        <w:t>i</w:t>
      </w:r>
      <w:r w:rsidR="004A7724">
        <w:t>mprove early childhood development outcomes for vulnerable and disadvantaged children</w:t>
      </w:r>
    </w:p>
    <w:p w14:paraId="66584200" w14:textId="21B56CD7" w:rsidR="004A7724" w:rsidRDefault="003222B2" w:rsidP="004A7724">
      <w:pPr>
        <w:pStyle w:val="ListBullet"/>
      </w:pPr>
      <w:r>
        <w:t>i</w:t>
      </w:r>
      <w:r w:rsidR="004A7724">
        <w:t>ncrease workforce participation by vulnerable and disadvantaged families.</w:t>
      </w:r>
      <w:r w:rsidR="00294A9F" w:rsidRPr="00294A9F">
        <w:rPr>
          <w:rStyle w:val="FootnoteReference"/>
        </w:rPr>
        <w:t xml:space="preserve"> </w:t>
      </w:r>
      <w:r w:rsidR="00294A9F">
        <w:rPr>
          <w:rStyle w:val="FootnoteReference"/>
        </w:rPr>
        <w:footnoteReference w:id="40"/>
      </w:r>
    </w:p>
    <w:p w14:paraId="17C6C000" w14:textId="3EC07A72" w:rsidR="004A7724" w:rsidRDefault="004A7724" w:rsidP="00CA3727">
      <w:pPr>
        <w:pStyle w:val="ListBullet"/>
        <w:numPr>
          <w:ilvl w:val="0"/>
          <w:numId w:val="0"/>
        </w:numPr>
        <w:ind w:left="340" w:hanging="340"/>
      </w:pPr>
    </w:p>
    <w:p w14:paraId="50A2B86C" w14:textId="762BF850" w:rsidR="004A7724" w:rsidRDefault="004A7724" w:rsidP="004A7724">
      <w:r>
        <w:t>The CCCFR grant was also intended to support services to transition to the new mainstream child care system, and to address issues with former funding models, such as inequitable funding distribution</w:t>
      </w:r>
      <w:r w:rsidR="00372266">
        <w:t>, and funding inadequacy of a capped and closed system</w:t>
      </w:r>
      <w:r>
        <w:t>.</w:t>
      </w:r>
      <w:r w:rsidR="00372266">
        <w:rPr>
          <w:rStyle w:val="FootnoteReference"/>
        </w:rPr>
        <w:footnoteReference w:id="41"/>
      </w:r>
      <w:r>
        <w:t xml:space="preserve"> </w:t>
      </w:r>
    </w:p>
    <w:p w14:paraId="4FA1C0CA" w14:textId="028A5E66" w:rsidR="004A7724" w:rsidRDefault="004A7724" w:rsidP="004A7724">
      <w:r>
        <w:t xml:space="preserve">The initial CCCFR grant guidelines describe the CCCFR grant objectives as to: </w:t>
      </w:r>
    </w:p>
    <w:p w14:paraId="0B6DF3FB" w14:textId="3FA5597E" w:rsidR="004A7724" w:rsidRDefault="00130FF9" w:rsidP="004A7724">
      <w:pPr>
        <w:pStyle w:val="ListBullet"/>
      </w:pPr>
      <w:r>
        <w:t>e</w:t>
      </w:r>
      <w:r w:rsidR="004A7724">
        <w:t>nsure continuity of child</w:t>
      </w:r>
      <w:r w:rsidR="00C03FB1">
        <w:t xml:space="preserve"> </w:t>
      </w:r>
      <w:r w:rsidR="004A7724">
        <w:t>care services during and beyond any period of transition</w:t>
      </w:r>
    </w:p>
    <w:p w14:paraId="14359B8F" w14:textId="1A93EFA3" w:rsidR="004A7724" w:rsidRDefault="004A7724" w:rsidP="004A7724">
      <w:pPr>
        <w:pStyle w:val="ListBullet"/>
      </w:pPr>
      <w:r>
        <w:tab/>
      </w:r>
      <w:r w:rsidR="00130FF9">
        <w:t>s</w:t>
      </w:r>
      <w:r>
        <w:t>upport eligible child</w:t>
      </w:r>
      <w:r w:rsidR="00C03FB1">
        <w:t xml:space="preserve"> </w:t>
      </w:r>
      <w:r>
        <w:t>care services to build capacity and operate sustainably under the new child</w:t>
      </w:r>
      <w:r w:rsidR="00C03FB1">
        <w:t xml:space="preserve"> </w:t>
      </w:r>
      <w:r>
        <w:t>care system</w:t>
      </w:r>
    </w:p>
    <w:p w14:paraId="679D7957" w14:textId="186E8F70" w:rsidR="004A7724" w:rsidRDefault="00130FF9" w:rsidP="004A7724">
      <w:pPr>
        <w:pStyle w:val="ListBullet"/>
      </w:pPr>
      <w:r>
        <w:t>s</w:t>
      </w:r>
      <w:r w:rsidR="004A7724">
        <w:t>upport services to increase participation by Indigenous children.</w:t>
      </w:r>
      <w:r w:rsidR="00294A9F">
        <w:rPr>
          <w:rStyle w:val="FootnoteReference"/>
        </w:rPr>
        <w:footnoteReference w:id="42"/>
      </w:r>
    </w:p>
    <w:p w14:paraId="00159D39" w14:textId="77777777" w:rsidR="00372266" w:rsidRDefault="00372266" w:rsidP="00130FF9">
      <w:pPr>
        <w:spacing w:after="0"/>
      </w:pPr>
    </w:p>
    <w:p w14:paraId="31808472" w14:textId="0275E66D" w:rsidR="004A7724" w:rsidRDefault="004A7724" w:rsidP="004A7724">
      <w:r>
        <w:t xml:space="preserve">The initial CCCFR grant guidelines also outline the expected outcomes of the CCCFR grant: </w:t>
      </w:r>
    </w:p>
    <w:p w14:paraId="2A65DDDC" w14:textId="385D000E" w:rsidR="004A7724" w:rsidRDefault="00130FF9" w:rsidP="004A7724">
      <w:pPr>
        <w:pStyle w:val="ListBullet"/>
      </w:pPr>
      <w:r>
        <w:t>c</w:t>
      </w:r>
      <w:r w:rsidR="004A7724">
        <w:t>ontinuity of locally driven child</w:t>
      </w:r>
      <w:r w:rsidR="00C03FB1">
        <w:t xml:space="preserve"> </w:t>
      </w:r>
      <w:r w:rsidR="004A7724">
        <w:t>care service delivery, appropriate for the particular community</w:t>
      </w:r>
    </w:p>
    <w:p w14:paraId="20FD0F99" w14:textId="5572F783" w:rsidR="004A7724" w:rsidRDefault="00130FF9" w:rsidP="004A7724">
      <w:pPr>
        <w:pStyle w:val="ListBullet"/>
      </w:pPr>
      <w:r>
        <w:t>i</w:t>
      </w:r>
      <w:r w:rsidR="004A7724">
        <w:t>ncreased capacity of services to operate sustainably under the new child</w:t>
      </w:r>
      <w:r w:rsidR="00C03FB1">
        <w:t xml:space="preserve"> </w:t>
      </w:r>
      <w:r w:rsidR="004A7724">
        <w:t>care system</w:t>
      </w:r>
    </w:p>
    <w:p w14:paraId="5670E271" w14:textId="368E4916" w:rsidR="004A7724" w:rsidRDefault="00130FF9" w:rsidP="004A7724">
      <w:pPr>
        <w:pStyle w:val="ListBullet"/>
      </w:pPr>
      <w:r>
        <w:t>c</w:t>
      </w:r>
      <w:r w:rsidR="004A7724">
        <w:t>hild</w:t>
      </w:r>
      <w:r w:rsidR="00C03FB1">
        <w:t xml:space="preserve"> </w:t>
      </w:r>
      <w:r w:rsidR="004A7724">
        <w:t>care services are able to address (or have increased capacity to address) community level barriers to child</w:t>
      </w:r>
      <w:r w:rsidR="00C03FB1">
        <w:t xml:space="preserve"> </w:t>
      </w:r>
      <w:r w:rsidR="004A7724">
        <w:t>care participation</w:t>
      </w:r>
    </w:p>
    <w:p w14:paraId="7F556B31" w14:textId="102ACFCF" w:rsidR="004A7724" w:rsidRDefault="004A7724" w:rsidP="004A7724">
      <w:pPr>
        <w:pStyle w:val="ListBullet"/>
      </w:pPr>
      <w:r>
        <w:tab/>
      </w:r>
      <w:r w:rsidR="00130FF9">
        <w:t>i</w:t>
      </w:r>
      <w:r>
        <w:t>ncreased number of children from vulnerable or disadvantaged families and communities</w:t>
      </w:r>
      <w:r w:rsidR="00130FF9">
        <w:t xml:space="preserve"> </w:t>
      </w:r>
      <w:r>
        <w:t>accessing child</w:t>
      </w:r>
      <w:r w:rsidR="00C03FB1">
        <w:t xml:space="preserve"> </w:t>
      </w:r>
      <w:r>
        <w:t>care</w:t>
      </w:r>
    </w:p>
    <w:p w14:paraId="0AFE42EC" w14:textId="767E4C42" w:rsidR="004A7724" w:rsidRDefault="004A7724" w:rsidP="004A7724">
      <w:pPr>
        <w:pStyle w:val="ListBullet"/>
      </w:pPr>
      <w:r>
        <w:tab/>
      </w:r>
      <w:r w:rsidR="00130FF9">
        <w:t>i</w:t>
      </w:r>
      <w:r>
        <w:t>ncreased collaboration between relevant services, in particular to meet the needs of vulnerable or disadvantaged families or communities</w:t>
      </w:r>
    </w:p>
    <w:p w14:paraId="53063AEE" w14:textId="7E652948" w:rsidR="004A7724" w:rsidRDefault="004A7724" w:rsidP="004A7724">
      <w:pPr>
        <w:pStyle w:val="ListBullet"/>
      </w:pPr>
      <w:r>
        <w:tab/>
      </w:r>
      <w:r w:rsidR="00130FF9">
        <w:t>i</w:t>
      </w:r>
      <w:r>
        <w:t xml:space="preserve">ncreased participation in early childhood education and care by </w:t>
      </w:r>
      <w:r w:rsidR="00887644">
        <w:t>Aboriginal and Torres Strait Islander</w:t>
      </w:r>
      <w:r>
        <w:t xml:space="preserve"> children.</w:t>
      </w:r>
    </w:p>
    <w:p w14:paraId="3FC36599" w14:textId="77777777" w:rsidR="004A7724" w:rsidRDefault="004A7724" w:rsidP="00130FF9">
      <w:pPr>
        <w:spacing w:after="0"/>
      </w:pPr>
    </w:p>
    <w:p w14:paraId="2708BC4C" w14:textId="6169D351" w:rsidR="004A7724" w:rsidRDefault="004A7724" w:rsidP="004A7724">
      <w:r>
        <w:t xml:space="preserve">The CCCFR </w:t>
      </w:r>
      <w:r w:rsidR="00130FF9">
        <w:t xml:space="preserve">grant </w:t>
      </w:r>
      <w:r>
        <w:t xml:space="preserve">is part of a suite of grants known as the CCCF. The CCCF objective is: </w:t>
      </w:r>
    </w:p>
    <w:p w14:paraId="68C17106" w14:textId="0B96AB6F" w:rsidR="004A7724" w:rsidRDefault="004A7724" w:rsidP="004A7724">
      <w:pPr>
        <w:pStyle w:val="ListBullet"/>
      </w:pPr>
      <w:r>
        <w:tab/>
      </w:r>
      <w:r w:rsidR="00862716">
        <w:t>t</w:t>
      </w:r>
      <w:r>
        <w:t>o support child</w:t>
      </w:r>
      <w:r w:rsidR="00C03FB1">
        <w:t xml:space="preserve"> </w:t>
      </w:r>
      <w:r>
        <w:t>care services to address barriers to child care participation, particularly targeting disadvantaged and vulnerable families and communities.</w:t>
      </w:r>
    </w:p>
    <w:p w14:paraId="3EDCA03D" w14:textId="77777777" w:rsidR="00862716" w:rsidRDefault="00862716" w:rsidP="00CA3727">
      <w:pPr>
        <w:pStyle w:val="ListBullet"/>
        <w:numPr>
          <w:ilvl w:val="0"/>
          <w:numId w:val="0"/>
        </w:numPr>
        <w:ind w:left="340" w:hanging="340"/>
      </w:pPr>
    </w:p>
    <w:p w14:paraId="42F8233B" w14:textId="77777777" w:rsidR="00E529C2" w:rsidRDefault="00E529C2" w:rsidP="00CA3727">
      <w:pPr>
        <w:pStyle w:val="ListBullet"/>
        <w:numPr>
          <w:ilvl w:val="0"/>
          <w:numId w:val="0"/>
        </w:numPr>
        <w:ind w:left="340" w:hanging="340"/>
      </w:pPr>
    </w:p>
    <w:p w14:paraId="0C9026A0" w14:textId="77777777" w:rsidR="00E529C2" w:rsidRDefault="00E529C2" w:rsidP="00CA3727">
      <w:pPr>
        <w:pStyle w:val="ListBullet"/>
        <w:numPr>
          <w:ilvl w:val="0"/>
          <w:numId w:val="0"/>
        </w:numPr>
        <w:ind w:left="340" w:hanging="340"/>
      </w:pPr>
    </w:p>
    <w:p w14:paraId="0BAE5CA4" w14:textId="77777777" w:rsidR="00E529C2" w:rsidRDefault="00E529C2" w:rsidP="00CA3727">
      <w:pPr>
        <w:pStyle w:val="ListBullet"/>
        <w:numPr>
          <w:ilvl w:val="0"/>
          <w:numId w:val="0"/>
        </w:numPr>
        <w:ind w:left="340" w:hanging="340"/>
      </w:pPr>
    </w:p>
    <w:p w14:paraId="07F0890A" w14:textId="77777777" w:rsidR="00E529C2" w:rsidRDefault="00E529C2" w:rsidP="00CA3727">
      <w:pPr>
        <w:pStyle w:val="ListBullet"/>
        <w:numPr>
          <w:ilvl w:val="0"/>
          <w:numId w:val="0"/>
        </w:numPr>
        <w:ind w:left="340" w:hanging="340"/>
      </w:pPr>
    </w:p>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F31A9C" w14:paraId="218C2026" w14:textId="77777777">
        <w:trPr>
          <w:cnfStyle w:val="100000000000" w:firstRow="1" w:lastRow="0" w:firstColumn="0" w:lastColumn="0" w:oddVBand="0" w:evenVBand="0" w:oddHBand="0" w:evenHBand="0" w:firstRowFirstColumn="0" w:firstRowLastColumn="0" w:lastRowFirstColumn="0" w:lastRowLastColumn="0"/>
          <w:trHeight w:val="80"/>
        </w:trPr>
        <w:tc>
          <w:tcPr>
            <w:tcW w:w="9026" w:type="dxa"/>
            <w:shd w:val="clear" w:color="auto" w:fill="E7E6E6" w:themeFill="background2"/>
          </w:tcPr>
          <w:p w14:paraId="2FF1D0EE" w14:textId="76011CC3" w:rsidR="00F31A9C" w:rsidRPr="004B0CC8" w:rsidRDefault="00F31A9C">
            <w:pPr>
              <w:rPr>
                <w:b/>
              </w:rPr>
            </w:pPr>
            <w:r w:rsidRPr="00FE1019">
              <w:rPr>
                <w:b/>
              </w:rPr>
              <w:t>Box 2.</w:t>
            </w:r>
            <w:r>
              <w:rPr>
                <w:b/>
              </w:rPr>
              <w:t>3</w:t>
            </w:r>
            <w:r w:rsidRPr="00FE1019">
              <w:rPr>
                <w:b/>
              </w:rPr>
              <w:t xml:space="preserve">: </w:t>
            </w:r>
            <w:r w:rsidR="008E4181">
              <w:rPr>
                <w:b/>
              </w:rPr>
              <w:t>C</w:t>
            </w:r>
            <w:r w:rsidRPr="423F6D85">
              <w:rPr>
                <w:b/>
                <w:bCs/>
              </w:rPr>
              <w:t>omplexity in defining vulnerability, disadvantage and child care</w:t>
            </w:r>
          </w:p>
          <w:p w14:paraId="37771D91" w14:textId="77777777" w:rsidR="00F31A9C" w:rsidRDefault="00F31A9C" w:rsidP="00AB1CD4">
            <w:pPr>
              <w:spacing w:after="120"/>
              <w:rPr>
                <w:i/>
                <w:iCs/>
              </w:rPr>
            </w:pPr>
            <w:r w:rsidRPr="00CD38C6">
              <w:rPr>
                <w:i/>
                <w:iCs/>
              </w:rPr>
              <w:t>Vulnerability and disadvantage</w:t>
            </w:r>
          </w:p>
          <w:p w14:paraId="6FB627C7" w14:textId="77777777" w:rsidR="00F31A9C" w:rsidRDefault="00F31A9C" w:rsidP="00AB1CD4">
            <w:r>
              <w:t xml:space="preserve">Similar to other early childhood programs and grants in Australia, the CCCFR grant includes references to addressing vulnerability and disadvantage as central to the desired objectives of the government funding. </w:t>
            </w:r>
          </w:p>
          <w:p w14:paraId="1CC6D89D" w14:textId="77777777" w:rsidR="00F31A9C" w:rsidRDefault="00F31A9C" w:rsidP="00AB1CD4">
            <w:r>
              <w:t xml:space="preserve">However, there are notable challenges in adopting these terms in a broad sense, without set definitions or indicators to clearly articulate what exactly the vulnerability and disadvantage being experienced entails and the barriers to addressing the underlying causes of these states. </w:t>
            </w:r>
          </w:p>
          <w:p w14:paraId="66BC2EE8" w14:textId="77777777" w:rsidR="00F31A9C" w:rsidRDefault="00F31A9C" w:rsidP="00AB1CD4">
            <w:r>
              <w:t>This review has found that the CCCFR grant does not have a clear definition for vulnerability and disadvantage within its guidelines. Furthermore, when stakeholders were asked to describe their understanding, there was wide variability both within and between stakeholder groups as to what they understood the terms vulnerability and disadvantage to refer to within the context of the grant objectives.</w:t>
            </w:r>
          </w:p>
          <w:p w14:paraId="76E6D6AA" w14:textId="77777777" w:rsidR="00F31A9C" w:rsidRDefault="00F31A9C" w:rsidP="00AB1CD4">
            <w:r>
              <w:t>Outside of the CCCFR grant context, the datapoints through which vulnerability and disadvantage is understood and measured by governments is also variable.</w:t>
            </w:r>
          </w:p>
          <w:p w14:paraId="10C6229C" w14:textId="41F21ECA" w:rsidR="00F31A9C" w:rsidRDefault="00F31A9C" w:rsidP="00AB1CD4">
            <w:r>
              <w:t xml:space="preserve">An example of this is the </w:t>
            </w:r>
            <w:r w:rsidRPr="00BC6A93">
              <w:t>upcoming Preschool Outcomes Measure, which intends to measure disadvantage at a community level through adopting the Socio-Economic Index for Areas (SEIFA) measure of relative disadvantage.</w:t>
            </w:r>
            <w:r w:rsidRPr="00BC6A93">
              <w:rPr>
                <w:vertAlign w:val="superscript"/>
              </w:rPr>
              <w:footnoteReference w:id="43"/>
            </w:r>
            <w:r w:rsidRPr="00BC6A93">
              <w:t xml:space="preserve"> However, the Centre for Longitudinal Studies </w:t>
            </w:r>
            <w:r w:rsidR="007C64E4" w:rsidRPr="00BC6A93">
              <w:t xml:space="preserve">notes </w:t>
            </w:r>
            <w:r w:rsidRPr="00BC6A93">
              <w:t>that while disadvantage can be attributable to specific indicators such as employment or education, level of disadvantage can</w:t>
            </w:r>
            <w:r w:rsidR="007C64E4" w:rsidRPr="00BC6A93">
              <w:t xml:space="preserve"> be</w:t>
            </w:r>
            <w:r w:rsidRPr="00BC6A93">
              <w:t xml:space="preserve"> attributable to life events or other personal circumstances.</w:t>
            </w:r>
            <w:r w:rsidRPr="00BC6A93">
              <w:rPr>
                <w:vertAlign w:val="superscript"/>
              </w:rPr>
              <w:footnoteReference w:id="44"/>
            </w:r>
            <w:r w:rsidRPr="00BC6A93">
              <w:t xml:space="preserve"> Noting the individual context of disadvantage, the Australian Government Department ha</w:t>
            </w:r>
            <w:r w:rsidR="000A1A95" w:rsidRPr="00BC6A93">
              <w:t>s</w:t>
            </w:r>
            <w:r w:rsidRPr="00BC6A93">
              <w:t xml:space="preserve"> commissioned research to inform feasible child-level indicators in relation to early childhood funding.</w:t>
            </w:r>
            <w:r w:rsidRPr="00BC6A93">
              <w:rPr>
                <w:vertAlign w:val="superscript"/>
              </w:rPr>
              <w:footnoteReference w:id="45"/>
            </w:r>
          </w:p>
          <w:p w14:paraId="1C2A6F0D" w14:textId="77777777" w:rsidR="00F31A9C" w:rsidRDefault="00F31A9C" w:rsidP="00AB1CD4">
            <w:pPr>
              <w:rPr>
                <w:i/>
                <w:iCs/>
              </w:rPr>
            </w:pPr>
            <w:r w:rsidRPr="159DCBE1">
              <w:rPr>
                <w:i/>
                <w:iCs/>
              </w:rPr>
              <w:t>Child care</w:t>
            </w:r>
          </w:p>
          <w:p w14:paraId="5E1E0D65" w14:textId="09EDBCC6" w:rsidR="00F31A9C" w:rsidRDefault="00F31A9C" w:rsidP="00AB1CD4">
            <w:r>
              <w:t xml:space="preserve">While the term ‘child care’ is often assumed to be synonymous with </w:t>
            </w:r>
            <w:r w:rsidRPr="00986C66">
              <w:rPr>
                <w:i/>
                <w:iCs/>
              </w:rPr>
              <w:t>education and care</w:t>
            </w:r>
            <w:r>
              <w:t xml:space="preserve"> within the context of the </w:t>
            </w:r>
            <w:r w:rsidR="007A4E16">
              <w:t>NQF</w:t>
            </w:r>
            <w:r>
              <w:t xml:space="preserve">, there is not a uniform definition of child care in Australia. This is largely due to the legislative and policy frameworks guiding ECEC being fragmented across both </w:t>
            </w:r>
            <w:r w:rsidR="00AC6E83">
              <w:t>Australian</w:t>
            </w:r>
            <w:r>
              <w:t>, state and territory governments, each with their own intent and purpose.</w:t>
            </w:r>
          </w:p>
          <w:p w14:paraId="68939E26" w14:textId="0869E189" w:rsidR="00F31A9C" w:rsidRDefault="00F31A9C" w:rsidP="00AB1CD4">
            <w:r>
              <w:t>For example, as the legislative basis for administering the Child Care Subsidy, the Family Assistance Law (FAL) is silent in prescribing indicators around the quality or format of education and care provided by a service. The FAL does, however, define a ‘session of care’ as “the period of time that an approved provider charges a fee to an individual for providing child care”, noting that child care can be delivered in a centre-based day care (CBDC) service, family day care (FDC) service, outside school hours care (OSHC) service or in-home care (IHC) service.</w:t>
            </w:r>
            <w:r w:rsidRPr="007D51D9">
              <w:rPr>
                <w:vertAlign w:val="superscript"/>
              </w:rPr>
              <w:footnoteReference w:id="46"/>
            </w:r>
            <w:r>
              <w:t xml:space="preserve"> The Act also considers ’approved child care’ as care provided by the above service types, with some </w:t>
            </w:r>
            <w:r>
              <w:lastRenderedPageBreak/>
              <w:t>exemptions, such as sporting classes, disability or early intervention services, or where a parent is present and retains responsibility for the child.</w:t>
            </w:r>
          </w:p>
          <w:p w14:paraId="064A1361" w14:textId="58CFF247" w:rsidR="00A253A7" w:rsidRDefault="00F31A9C" w:rsidP="00AB1CD4">
            <w:r>
              <w:t>Similarly, Section 5 of the National Law provides a broad definition of education and care as “any service providing or intended to provide education and care on a regular basis to children under 13 years of age”, then notes several exceptions such as personal arrangements or “services principally conducted to provide instruction in a particular activity” (such as music).</w:t>
            </w:r>
            <w:r w:rsidRPr="007D51D9">
              <w:rPr>
                <w:vertAlign w:val="superscript"/>
              </w:rPr>
              <w:footnoteReference w:id="47"/>
            </w:r>
            <w:r>
              <w:t xml:space="preserve"> As such, the definition of ’child care’ within the scope of the NQF is open to the interpretation of state and territory regulatory authority staff, expected to assess the suitability of applicants (i.e.</w:t>
            </w:r>
            <w:r w:rsidR="00E00B2B">
              <w:t>,</w:t>
            </w:r>
            <w:r>
              <w:t xml:space="preserve"> services) under the National Law and Regulations when determining service or provider approval. </w:t>
            </w:r>
          </w:p>
          <w:p w14:paraId="2C2DABD0" w14:textId="476845C9" w:rsidR="00F31A9C" w:rsidRDefault="00F31A9C" w:rsidP="00AB1CD4">
            <w:r>
              <w:t xml:space="preserve">Notably, the NSW supplementary provisions, which were introduced to bring several out-of-scope services in line with the NQF in NSW, define an education and care service as </w:t>
            </w:r>
            <w:r w:rsidRPr="0C8A6C40">
              <w:rPr>
                <w:i/>
                <w:iCs/>
              </w:rPr>
              <w:t>“a service that provides education or care (other than residential care), or both education and care, whether directly or indirectly, for one or more children under the age of 6 years and who do not ordinarily attend school (disregarding any children who are related to the person providing the care</w:t>
            </w:r>
            <w:r w:rsidRPr="5429E325">
              <w:rPr>
                <w:i/>
                <w:iCs/>
              </w:rPr>
              <w:t>”.</w:t>
            </w:r>
            <w:r w:rsidR="00851D7C" w:rsidRPr="00A253A7">
              <w:rPr>
                <w:rStyle w:val="FootnoteReference"/>
              </w:rPr>
              <w:footnoteReference w:id="48"/>
            </w:r>
            <w:r w:rsidRPr="5429E325">
              <w:rPr>
                <w:i/>
                <w:iCs/>
              </w:rPr>
              <w:t xml:space="preserve"> </w:t>
            </w:r>
            <w:r w:rsidRPr="51558BB3">
              <w:t xml:space="preserve">This distinction </w:t>
            </w:r>
            <w:r>
              <w:t>of education and care being “</w:t>
            </w:r>
            <w:r w:rsidRPr="51558BB3">
              <w:t>education or care</w:t>
            </w:r>
            <w:r>
              <w:t>” or both "</w:t>
            </w:r>
            <w:r w:rsidRPr="51558BB3">
              <w:t xml:space="preserve">education and care” may suggest that the </w:t>
            </w:r>
            <w:r>
              <w:t>regulatory interpretation</w:t>
            </w:r>
            <w:r w:rsidRPr="51558BB3">
              <w:t xml:space="preserve"> of child care</w:t>
            </w:r>
            <w:r>
              <w:t xml:space="preserve"> in NSW is mindful of the broad range of programs delivered in the NSW ECEC sector.</w:t>
            </w:r>
          </w:p>
          <w:p w14:paraId="0805449D" w14:textId="026147AD" w:rsidR="002D7D36" w:rsidRDefault="00011942" w:rsidP="00AB1CD4">
            <w:r w:rsidRPr="00011942">
              <w:t>A</w:t>
            </w:r>
            <w:r w:rsidR="009D1C96" w:rsidRPr="00011942">
              <w:t xml:space="preserve">dditional complexity can exist when considering </w:t>
            </w:r>
            <w:r w:rsidR="002D7D36" w:rsidRPr="00011942">
              <w:t xml:space="preserve">circumstances where the child is not within the education and care services premises, </w:t>
            </w:r>
            <w:r w:rsidR="006A4AD7" w:rsidRPr="00011942">
              <w:t>albeit</w:t>
            </w:r>
            <w:r w:rsidR="002D7D36" w:rsidRPr="00011942">
              <w:t xml:space="preserve"> under the</w:t>
            </w:r>
            <w:r w:rsidR="006A4AD7" w:rsidRPr="00011942">
              <w:t xml:space="preserve"> supervision and</w:t>
            </w:r>
            <w:r w:rsidR="002D7D36" w:rsidRPr="00011942">
              <w:t xml:space="preserve"> care of staff employed by the education and care service. Under the National Quality Framework, services are assumed to be providing education and care for a child during periods of regular transportation (e.g. transportation to-and-from home to the service as stipulated under regulation 4(1) of the National Regulations</w:t>
            </w:r>
            <w:r w:rsidR="00C021E3" w:rsidRPr="00011942">
              <w:t>)</w:t>
            </w:r>
            <w:r w:rsidR="002D7D36" w:rsidRPr="00011942">
              <w:t xml:space="preserve"> or when undertaking excursions (as stipulated under regulation 99(4) and broader excursion-related regulations).</w:t>
            </w:r>
            <w:r w:rsidR="009D1C96" w:rsidRPr="00011942">
              <w:t xml:space="preserve"> However,</w:t>
            </w:r>
            <w:r w:rsidR="00247491" w:rsidRPr="00011942">
              <w:t xml:space="preserve"> in the case of regular transportation to-and-from the service,</w:t>
            </w:r>
            <w:r w:rsidR="009D1C96" w:rsidRPr="00011942">
              <w:t xml:space="preserve"> the Family Assistance Law stipulate</w:t>
            </w:r>
            <w:r w:rsidR="00831E00" w:rsidRPr="00011942">
              <w:t>s</w:t>
            </w:r>
            <w:r w:rsidR="009D1C96" w:rsidRPr="00011942">
              <w:t xml:space="preserve"> that a</w:t>
            </w:r>
            <w:r w:rsidR="00572DEF" w:rsidRPr="00011942">
              <w:t xml:space="preserve"> CCS-subsidised</w:t>
            </w:r>
            <w:r w:rsidR="009D1C96" w:rsidRPr="00011942">
              <w:t xml:space="preserve"> </w:t>
            </w:r>
            <w:r w:rsidR="00572DEF" w:rsidRPr="00011942">
              <w:t>“</w:t>
            </w:r>
            <w:r w:rsidR="009D1C96" w:rsidRPr="00011942">
              <w:t>session of care</w:t>
            </w:r>
            <w:r w:rsidR="00572DEF" w:rsidRPr="00011942">
              <w:t xml:space="preserve">” </w:t>
            </w:r>
            <w:r w:rsidR="00831E00" w:rsidRPr="00011942">
              <w:t xml:space="preserve">would not commence until the </w:t>
            </w:r>
            <w:r w:rsidR="00CA0E8B" w:rsidRPr="00011942">
              <w:t>t</w:t>
            </w:r>
            <w:r w:rsidR="00247491" w:rsidRPr="00011942">
              <w:t>he child has arrived at the service</w:t>
            </w:r>
            <w:r w:rsidR="00394EDB" w:rsidRPr="00011942">
              <w:t xml:space="preserve"> (</w:t>
            </w:r>
            <w:r w:rsidR="006C1EC3" w:rsidRPr="00011942">
              <w:t>section 8</w:t>
            </w:r>
            <w:r w:rsidR="00C021E3" w:rsidRPr="00011942">
              <w:t>(a)</w:t>
            </w:r>
            <w:r w:rsidR="006C1EC3" w:rsidRPr="00011942">
              <w:t xml:space="preserve"> of </w:t>
            </w:r>
            <w:r w:rsidR="00C021E3" w:rsidRPr="00011942">
              <w:rPr>
                <w:i/>
              </w:rPr>
              <w:t>Child Care Subsidy Minister’s Rules 2017</w:t>
            </w:r>
            <w:r w:rsidR="00C021E3" w:rsidRPr="00011942">
              <w:t>).</w:t>
            </w:r>
            <w:r w:rsidR="006A4AD7" w:rsidRPr="00011942">
              <w:t xml:space="preserve"> In this circumstance, the service is considered as providing ‘child care’ under the NQF when picking up the child from home, but is not considered or funded as delivering a “session of care” under the Family Assistance Law until the child arrives at the service.</w:t>
            </w:r>
          </w:p>
          <w:p w14:paraId="7B3AF6E5" w14:textId="6C131423" w:rsidR="00F31A9C" w:rsidRDefault="00F31A9C" w:rsidP="00AB1CD4">
            <w:r>
              <w:t>Finally, the Restacking the Odds project adopts an even broader definition, referring to ECEC as</w:t>
            </w:r>
            <w:r w:rsidRPr="4470D6F5">
              <w:rPr>
                <w:rFonts w:eastAsia="Verdana" w:cs="Verdana"/>
              </w:rPr>
              <w:t xml:space="preserve"> “any arrangement providing education and care for children aged 0 to the first year of formal schooling regardless of the setting, funding, opening hours, or program content”.</w:t>
            </w:r>
            <w:r w:rsidRPr="00B410B3">
              <w:rPr>
                <w:vertAlign w:val="superscript"/>
              </w:rPr>
              <w:footnoteReference w:id="49"/>
            </w:r>
          </w:p>
          <w:p w14:paraId="438D5F41" w14:textId="032D9E43" w:rsidR="00F31A9C" w:rsidRPr="006B7E9A" w:rsidRDefault="00F31A9C" w:rsidP="00AB1CD4">
            <w:r>
              <w:t xml:space="preserve">These similar, yet differing and broad interpretations of child care between the </w:t>
            </w:r>
            <w:r w:rsidR="00C220F6">
              <w:t>FAL</w:t>
            </w:r>
            <w:r>
              <w:t xml:space="preserve">, the National Law and Regulations and broader research can result in significant complexity for governments and policy makers when trying to consider what is and what is not child care for the purposes of </w:t>
            </w:r>
            <w:r w:rsidR="000009B5">
              <w:t xml:space="preserve">funding </w:t>
            </w:r>
            <w:r>
              <w:t xml:space="preserve">early childhood and </w:t>
            </w:r>
            <w:r w:rsidR="000009B5">
              <w:t>its desired outcomes</w:t>
            </w:r>
            <w:r>
              <w:t>.</w:t>
            </w:r>
          </w:p>
        </w:tc>
      </w:tr>
    </w:tbl>
    <w:p w14:paraId="68B7FBE5" w14:textId="4B0FA8AE" w:rsidR="001903E5" w:rsidRPr="00797C79" w:rsidRDefault="001903E5" w:rsidP="00AB1CD4">
      <w:pPr>
        <w:pStyle w:val="Heading2"/>
        <w:spacing w:after="120"/>
      </w:pPr>
      <w:bookmarkStart w:id="86" w:name="_Ref153374903"/>
      <w:bookmarkStart w:id="87" w:name="_Toc158993750"/>
      <w:bookmarkStart w:id="88" w:name="_Toc170227397"/>
      <w:r>
        <w:lastRenderedPageBreak/>
        <w:t>The CCCFR grant today</w:t>
      </w:r>
      <w:bookmarkEnd w:id="86"/>
      <w:bookmarkEnd w:id="87"/>
      <w:bookmarkEnd w:id="88"/>
    </w:p>
    <w:p w14:paraId="749D6273" w14:textId="253DAA5B" w:rsidR="00010B76" w:rsidRDefault="00010B76" w:rsidP="00797C79">
      <w:r>
        <w:t xml:space="preserve">Services in receipt of the CCCFR grant enter a legally binding agreement with the Commonwealth represented by the Department. </w:t>
      </w:r>
      <w:r w:rsidR="00CD3DA5">
        <w:t xml:space="preserve">As part of the grant agreement, </w:t>
      </w:r>
      <w:r w:rsidR="00146135">
        <w:t>services are required to</w:t>
      </w:r>
      <w:r w:rsidR="009E3D39">
        <w:t xml:space="preserve"> undertake the activity and acquit the grant </w:t>
      </w:r>
      <w:r w:rsidR="00146135">
        <w:t xml:space="preserve">within the time frame </w:t>
      </w:r>
      <w:r w:rsidR="00BE4DA0">
        <w:t>specified</w:t>
      </w:r>
      <w:r w:rsidR="00146135">
        <w:t xml:space="preserve"> under the grant agreement. For the CCCFR grant, the </w:t>
      </w:r>
      <w:r w:rsidR="00A86FDA">
        <w:t xml:space="preserve">maximum grant period </w:t>
      </w:r>
      <w:r w:rsidR="00F81817">
        <w:t>was</w:t>
      </w:r>
      <w:r w:rsidR="00A86FDA">
        <w:t xml:space="preserve"> five years</w:t>
      </w:r>
      <w:r w:rsidR="00F81817">
        <w:t xml:space="preserve">, but </w:t>
      </w:r>
      <w:r w:rsidR="00066CDD">
        <w:t>a</w:t>
      </w:r>
      <w:r w:rsidR="00343956">
        <w:t>ll services</w:t>
      </w:r>
      <w:r w:rsidR="008B441D">
        <w:t>’</w:t>
      </w:r>
      <w:r w:rsidR="00343956">
        <w:t xml:space="preserve"> </w:t>
      </w:r>
      <w:r w:rsidR="008B441D">
        <w:lastRenderedPageBreak/>
        <w:t xml:space="preserve">activity funding </w:t>
      </w:r>
      <w:r w:rsidR="00C73F87">
        <w:t>ha</w:t>
      </w:r>
      <w:r w:rsidR="00AA56FB">
        <w:t>s</w:t>
      </w:r>
      <w:r w:rsidR="00C73F87">
        <w:t xml:space="preserve"> been extended</w:t>
      </w:r>
      <w:r w:rsidR="00BE68AA">
        <w:t xml:space="preserve"> to seven years, ending 3 June 2025</w:t>
      </w:r>
      <w:r w:rsidR="00AF63BC">
        <w:t xml:space="preserve"> to permit the Review and a decision on the future of the grant to be made.</w:t>
      </w:r>
      <w:r w:rsidR="00F1495B">
        <w:rPr>
          <w:rStyle w:val="FootnoteReference"/>
        </w:rPr>
        <w:footnoteReference w:id="50"/>
      </w:r>
      <w:r w:rsidR="00A86FDA">
        <w:t xml:space="preserve"> </w:t>
      </w:r>
    </w:p>
    <w:p w14:paraId="748081B7" w14:textId="7157D143" w:rsidR="00A409D0" w:rsidRDefault="00F10680" w:rsidP="00797C79">
      <w:r>
        <w:t>Paym</w:t>
      </w:r>
      <w:r w:rsidR="00E90515">
        <w:t xml:space="preserve">ents are made according to schedules as agreed between grant recipients (CCCFR services) and the </w:t>
      </w:r>
      <w:r w:rsidR="00D151AA">
        <w:t>Department and outlined within</w:t>
      </w:r>
      <w:r w:rsidR="00E90515">
        <w:t xml:space="preserve"> the</w:t>
      </w:r>
      <w:r w:rsidR="00B93723">
        <w:t>ir</w:t>
      </w:r>
      <w:r w:rsidR="00E90515">
        <w:t xml:space="preserve"> agreement</w:t>
      </w:r>
      <w:r w:rsidR="00B93723">
        <w:t>s</w:t>
      </w:r>
      <w:r w:rsidR="00E90515">
        <w:t xml:space="preserve">. </w:t>
      </w:r>
      <w:r w:rsidR="00DB3CD8">
        <w:t xml:space="preserve">The release </w:t>
      </w:r>
      <w:r w:rsidR="009A299C">
        <w:t xml:space="preserve">of payment is dependent on the </w:t>
      </w:r>
      <w:r w:rsidR="000F7968">
        <w:t xml:space="preserve">services ability to meet </w:t>
      </w:r>
      <w:r w:rsidR="00274801">
        <w:t>the requirements as set out in the grant agreement.</w:t>
      </w:r>
      <w:r w:rsidR="002E497C">
        <w:t xml:space="preserve"> </w:t>
      </w:r>
      <w:r w:rsidR="00084835">
        <w:t>S</w:t>
      </w:r>
      <w:r w:rsidR="00A409D0">
        <w:t xml:space="preserve">ervices are </w:t>
      </w:r>
      <w:r w:rsidR="004D6E58">
        <w:t xml:space="preserve">also </w:t>
      </w:r>
      <w:r w:rsidR="00A409D0">
        <w:t>required to adhere to a set of reporting requirements</w:t>
      </w:r>
      <w:r w:rsidR="00AD432C">
        <w:t xml:space="preserve"> as detailed within their grant agreement</w:t>
      </w:r>
      <w:r w:rsidR="00A409D0">
        <w:t xml:space="preserve">, </w:t>
      </w:r>
      <w:r w:rsidR="00F23B00">
        <w:t>such as</w:t>
      </w:r>
      <w:r w:rsidR="00A409D0">
        <w:t xml:space="preserve"> </w:t>
      </w:r>
      <w:r w:rsidR="00C8313F">
        <w:t xml:space="preserve">an </w:t>
      </w:r>
      <w:r w:rsidR="00A409D0">
        <w:t>annual financial acquittal</w:t>
      </w:r>
      <w:r w:rsidR="004F3A99">
        <w:t xml:space="preserve">, </w:t>
      </w:r>
      <w:r w:rsidR="00C8313F">
        <w:t>and</w:t>
      </w:r>
      <w:r w:rsidR="004F3A99">
        <w:t xml:space="preserve"> payment</w:t>
      </w:r>
      <w:r w:rsidR="00AD432C">
        <w:t xml:space="preserve"> is dependent on </w:t>
      </w:r>
      <w:r w:rsidR="00D24805">
        <w:t>submission</w:t>
      </w:r>
      <w:r w:rsidR="00136C6E">
        <w:t xml:space="preserve"> of those</w:t>
      </w:r>
      <w:r w:rsidR="00136C6E" w:rsidRPr="00136C6E">
        <w:t xml:space="preserve"> </w:t>
      </w:r>
      <w:r w:rsidR="00136C6E">
        <w:t>report(s)</w:t>
      </w:r>
      <w:r w:rsidR="006701DF">
        <w:t>.</w:t>
      </w:r>
      <w:r w:rsidR="006701DF">
        <w:rPr>
          <w:rStyle w:val="FootnoteReference"/>
        </w:rPr>
        <w:footnoteReference w:id="51"/>
      </w:r>
    </w:p>
    <w:p w14:paraId="11AB893D" w14:textId="428B2DA4" w:rsidR="003646B9" w:rsidRDefault="00904A43" w:rsidP="00797C79">
      <w:r>
        <w:t xml:space="preserve">At the time of this review, the CCCFR grant is </w:t>
      </w:r>
      <w:r w:rsidR="00A144F7">
        <w:t xml:space="preserve">funding </w:t>
      </w:r>
      <w:r w:rsidR="00D66688">
        <w:t>149</w:t>
      </w:r>
      <w:r w:rsidR="00A144F7">
        <w:t xml:space="preserve"> services </w:t>
      </w:r>
      <w:r w:rsidR="00FA2407">
        <w:t xml:space="preserve">across </w:t>
      </w:r>
      <w:r w:rsidR="00D66688">
        <w:t>all</w:t>
      </w:r>
      <w:r w:rsidR="00FA2407">
        <w:t xml:space="preserve"> states and territories. </w:t>
      </w:r>
      <w:r w:rsidR="00D66688">
        <w:t xml:space="preserve">See </w:t>
      </w:r>
      <w:r w:rsidR="00884B51">
        <w:t>s</w:t>
      </w:r>
      <w:r w:rsidR="00D66688">
        <w:t xml:space="preserve">ection </w:t>
      </w:r>
      <w:r w:rsidR="00797755" w:rsidRPr="00797755">
        <w:fldChar w:fldCharType="begin"/>
      </w:r>
      <w:r w:rsidR="00797755" w:rsidRPr="00797755">
        <w:instrText xml:space="preserve"> REF _Ref158969643 \r \h </w:instrText>
      </w:r>
      <w:r w:rsidR="00797755">
        <w:instrText xml:space="preserve"> \* MERGEFORMAT </w:instrText>
      </w:r>
      <w:r w:rsidR="00797755" w:rsidRPr="00797755">
        <w:fldChar w:fldCharType="separate"/>
      </w:r>
      <w:r w:rsidR="00D300D0">
        <w:t>2.4</w:t>
      </w:r>
      <w:r w:rsidR="00797755" w:rsidRPr="00797755">
        <w:fldChar w:fldCharType="end"/>
      </w:r>
      <w:r w:rsidR="00D66688">
        <w:t xml:space="preserve"> </w:t>
      </w:r>
      <w:r w:rsidR="00797755" w:rsidRPr="00797755">
        <w:t>f</w:t>
      </w:r>
      <w:r w:rsidR="00D66688" w:rsidRPr="00797755">
        <w:t>or</w:t>
      </w:r>
      <w:r w:rsidR="00D66688">
        <w:t xml:space="preserve"> more detail on the profile of CCCFR services. </w:t>
      </w:r>
    </w:p>
    <w:p w14:paraId="6F0F3E45" w14:textId="1FB26774" w:rsidR="008D5090" w:rsidRDefault="00372266" w:rsidP="00372266">
      <w:r>
        <w:t xml:space="preserve">The CCCFR grant supplements income services receive from families (fees), the CCS, and the ACCS. </w:t>
      </w:r>
      <w:r w:rsidR="007D4F0A">
        <w:t>Services are expected to maximise the income they receive, including from fees, CCS, ACCS, fundraising, and applying for additional grants.</w:t>
      </w:r>
      <w:r w:rsidR="002E497C">
        <w:t xml:space="preserve"> </w:t>
      </w:r>
    </w:p>
    <w:p w14:paraId="5239033B" w14:textId="158B8944" w:rsidR="00A77DB9" w:rsidRPr="00000C90" w:rsidRDefault="00A77DB9" w:rsidP="00A77DB9">
      <w:pPr>
        <w:spacing w:before="60" w:after="60"/>
      </w:pPr>
      <w:r w:rsidRPr="00000C90">
        <w:t>For the purposes of analysis undertaken as part of this review, the CCCFR grant has been conceptualised as two elements</w:t>
      </w:r>
      <w:r w:rsidR="00BF3DD4">
        <w:t xml:space="preserve">, as shown in </w:t>
      </w:r>
      <w:r w:rsidR="00BF3DD4" w:rsidRPr="00C8756A">
        <w:fldChar w:fldCharType="begin"/>
      </w:r>
      <w:r w:rsidR="00BF3DD4" w:rsidRPr="00C8756A">
        <w:instrText xml:space="preserve"> REF _Ref153370291 \r \h </w:instrText>
      </w:r>
      <w:r w:rsidR="00D96BE1" w:rsidRPr="00C8756A">
        <w:instrText xml:space="preserve"> \* MERGEFORMAT </w:instrText>
      </w:r>
      <w:r w:rsidR="00BF3DD4" w:rsidRPr="00C8756A">
        <w:fldChar w:fldCharType="separate"/>
      </w:r>
      <w:r w:rsidR="00D300D0">
        <w:t>Figure 2.1</w:t>
      </w:r>
      <w:r w:rsidR="00BF3DD4" w:rsidRPr="00C8756A">
        <w:fldChar w:fldCharType="end"/>
      </w:r>
      <w:r w:rsidRPr="00000C90">
        <w:t>:</w:t>
      </w:r>
    </w:p>
    <w:p w14:paraId="703DDB4D" w14:textId="55E4A35A" w:rsidR="00A77DB9" w:rsidRPr="00000C90" w:rsidRDefault="00A77DB9" w:rsidP="00B37D89">
      <w:pPr>
        <w:pStyle w:val="ListBullet"/>
      </w:pPr>
      <w:r w:rsidRPr="2B91AEFB">
        <w:rPr>
          <w:b/>
          <w:bCs/>
        </w:rPr>
        <w:t>the funding instrument</w:t>
      </w:r>
      <w:r w:rsidR="00B37D89">
        <w:t xml:space="preserve">, </w:t>
      </w:r>
      <w:r>
        <w:t>referring to the financial grant itself</w:t>
      </w:r>
    </w:p>
    <w:p w14:paraId="005435D4" w14:textId="7EE75042" w:rsidR="00870487" w:rsidRPr="00870487" w:rsidRDefault="00870487" w:rsidP="00171325">
      <w:pPr>
        <w:pStyle w:val="ListBullet"/>
        <w:numPr>
          <w:ilvl w:val="1"/>
          <w:numId w:val="2"/>
        </w:numPr>
      </w:pPr>
      <w:r>
        <w:t>t</w:t>
      </w:r>
      <w:r w:rsidRPr="00870487">
        <w:t xml:space="preserve">his is overviewed in section </w:t>
      </w:r>
      <w:r w:rsidRPr="00870487">
        <w:fldChar w:fldCharType="begin"/>
      </w:r>
      <w:r w:rsidRPr="00870487">
        <w:instrText xml:space="preserve"> REF _Ref153370151 \r \h </w:instrText>
      </w:r>
      <w:r>
        <w:instrText xml:space="preserve"> \* MERGEFORMAT </w:instrText>
      </w:r>
      <w:r w:rsidRPr="00870487">
        <w:fldChar w:fldCharType="separate"/>
      </w:r>
      <w:r w:rsidR="00D300D0">
        <w:t>2.3.2</w:t>
      </w:r>
      <w:r w:rsidRPr="00870487">
        <w:fldChar w:fldCharType="end"/>
      </w:r>
    </w:p>
    <w:p w14:paraId="10131642" w14:textId="184C945C" w:rsidR="00A77DB9" w:rsidRPr="00000C90" w:rsidRDefault="00A77DB9" w:rsidP="00B37D89">
      <w:pPr>
        <w:pStyle w:val="ListBullet"/>
      </w:pPr>
      <w:r w:rsidRPr="2B91AEFB">
        <w:rPr>
          <w:b/>
          <w:bCs/>
        </w:rPr>
        <w:t>the broader administration and governance arrangements associated with receipt of CCCFR grant funding</w:t>
      </w:r>
      <w:r>
        <w:t>, as well as associated supports provided to services to meet the objectives and intent of the grant</w:t>
      </w:r>
    </w:p>
    <w:p w14:paraId="6B278E66" w14:textId="6DF44095" w:rsidR="00870487" w:rsidRPr="00000C90" w:rsidRDefault="00AB5314" w:rsidP="00171325">
      <w:pPr>
        <w:pStyle w:val="ListBullet"/>
        <w:numPr>
          <w:ilvl w:val="1"/>
          <w:numId w:val="2"/>
        </w:numPr>
      </w:pPr>
      <w:r w:rsidRPr="00AB5314">
        <w:t>t</w:t>
      </w:r>
      <w:r w:rsidR="00870487" w:rsidRPr="00AB5314">
        <w:t xml:space="preserve">his is overviewed in sections </w:t>
      </w:r>
      <w:r w:rsidR="00870487" w:rsidRPr="00AB5314">
        <w:fldChar w:fldCharType="begin"/>
      </w:r>
      <w:r w:rsidR="00870487" w:rsidRPr="00AB5314">
        <w:instrText xml:space="preserve"> REF _Ref153370189 \r \h </w:instrText>
      </w:r>
      <w:r>
        <w:instrText xml:space="preserve"> \* MERGEFORMAT </w:instrText>
      </w:r>
      <w:r w:rsidR="00870487" w:rsidRPr="00AB5314">
        <w:fldChar w:fldCharType="separate"/>
      </w:r>
      <w:r w:rsidR="00D300D0">
        <w:t>2.3.3</w:t>
      </w:r>
      <w:r w:rsidR="00870487" w:rsidRPr="00AB5314">
        <w:fldChar w:fldCharType="end"/>
      </w:r>
      <w:r w:rsidR="00870487" w:rsidRPr="00AB5314">
        <w:t xml:space="preserve"> </w:t>
      </w:r>
      <w:r w:rsidRPr="00AB5314">
        <w:t>and</w:t>
      </w:r>
      <w:r w:rsidR="00870487" w:rsidRPr="00AB5314">
        <w:t xml:space="preserve"> </w:t>
      </w:r>
      <w:r w:rsidR="00B94810" w:rsidRPr="00AB5314">
        <w:fldChar w:fldCharType="begin"/>
      </w:r>
      <w:r w:rsidR="00B94810" w:rsidRPr="00AB5314">
        <w:instrText xml:space="preserve"> REF _Ref153370208 \r \h </w:instrText>
      </w:r>
      <w:r>
        <w:instrText xml:space="preserve"> \* MERGEFORMAT </w:instrText>
      </w:r>
      <w:r w:rsidR="00B94810" w:rsidRPr="00AB5314">
        <w:fldChar w:fldCharType="separate"/>
      </w:r>
      <w:r w:rsidR="00D300D0">
        <w:t>2.3.4</w:t>
      </w:r>
      <w:r w:rsidR="00B94810" w:rsidRPr="00AB5314">
        <w:fldChar w:fldCharType="end"/>
      </w:r>
    </w:p>
    <w:p w14:paraId="2C34D863" w14:textId="1C0602DE" w:rsidR="00ED7F62" w:rsidRPr="00000C90" w:rsidRDefault="00ED7F62" w:rsidP="00ED7F62">
      <w:pPr>
        <w:spacing w:before="170"/>
      </w:pPr>
      <w:r>
        <w:t xml:space="preserve">Occupancy and leasing arrangements are outlined in section </w:t>
      </w:r>
      <w:r w:rsidRPr="00417496">
        <w:fldChar w:fldCharType="begin"/>
      </w:r>
      <w:r w:rsidRPr="00417496">
        <w:instrText xml:space="preserve"> REF _Ref153381372 \r \h </w:instrText>
      </w:r>
      <w:r w:rsidR="00D96BE1" w:rsidRPr="00417496">
        <w:instrText xml:space="preserve"> \* MERGEFORMAT </w:instrText>
      </w:r>
      <w:r w:rsidRPr="00417496">
        <w:fldChar w:fldCharType="separate"/>
      </w:r>
      <w:r w:rsidR="00D300D0">
        <w:t>2.3.5</w:t>
      </w:r>
      <w:r w:rsidRPr="00417496">
        <w:fldChar w:fldCharType="end"/>
      </w:r>
    </w:p>
    <w:p w14:paraId="6B426878" w14:textId="73B5CA40" w:rsidR="00A77DB9" w:rsidRDefault="00A77DB9" w:rsidP="00A77DB9">
      <w:pPr>
        <w:pStyle w:val="CaptionFigure"/>
      </w:pPr>
      <w:bookmarkStart w:id="89" w:name="_Ref153370291"/>
      <w:bookmarkStart w:id="90" w:name="_Toc158997981"/>
      <w:bookmarkStart w:id="91" w:name="_Toc170228783"/>
      <w:r>
        <w:t xml:space="preserve">: </w:t>
      </w:r>
      <w:r w:rsidR="008F6E22">
        <w:t>Two elements within the CCCFR grant</w:t>
      </w:r>
      <w:bookmarkEnd w:id="89"/>
      <w:bookmarkEnd w:id="90"/>
      <w:bookmarkEnd w:id="91"/>
    </w:p>
    <w:p w14:paraId="6DAEA992" w14:textId="77777777" w:rsidR="00A77DB9" w:rsidRDefault="00A77DB9" w:rsidP="00A77DB9">
      <w:pPr>
        <w:spacing w:before="60" w:after="60"/>
      </w:pPr>
      <w:r>
        <w:rPr>
          <w:noProof/>
        </w:rPr>
        <w:drawing>
          <wp:inline distT="0" distB="0" distL="0" distR="0" wp14:anchorId="478BFE42" wp14:editId="665F23DA">
            <wp:extent cx="3362325" cy="3079223"/>
            <wp:effectExtent l="0" t="0" r="0" b="6985"/>
            <wp:docPr id="1489793620" name="Picture 1489793620" descr="Diagram outlining the two elements of the CCCFR grant, that is, one, the broader administration, governance and compliance, and two, funding instr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0" name="Picture 1489793620" descr="Diagram outlining the two elements of the CCCFR grant, that is, one, the broader administration, governance and compliance, and two, funding instrument.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87065" cy="3101880"/>
                    </a:xfrm>
                    <a:prstGeom prst="rect">
                      <a:avLst/>
                    </a:prstGeom>
                    <a:noFill/>
                  </pic:spPr>
                </pic:pic>
              </a:graphicData>
            </a:graphic>
          </wp:inline>
        </w:drawing>
      </w:r>
    </w:p>
    <w:p w14:paraId="60AC281E" w14:textId="13F89590" w:rsidR="00A77DB9" w:rsidRDefault="00A77DB9" w:rsidP="00E628F4">
      <w:pPr>
        <w:pStyle w:val="Source"/>
      </w:pPr>
      <w:r w:rsidRPr="008A0A58">
        <w:t>Source: Deloitte Access Economics (2023)</w:t>
      </w:r>
      <w:r w:rsidR="00E628F4">
        <w:t>.</w:t>
      </w:r>
    </w:p>
    <w:p w14:paraId="02B3014F" w14:textId="77777777" w:rsidR="00667DA1" w:rsidRDefault="00667DA1" w:rsidP="004C7817">
      <w:pPr>
        <w:pStyle w:val="Heading3"/>
      </w:pPr>
      <w:bookmarkStart w:id="92" w:name="_Ref153370151"/>
      <w:r>
        <w:lastRenderedPageBreak/>
        <w:t>Funding</w:t>
      </w:r>
      <w:bookmarkEnd w:id="92"/>
      <w:r>
        <w:t xml:space="preserve"> </w:t>
      </w:r>
    </w:p>
    <w:p w14:paraId="6D52BB97" w14:textId="6E7A885D" w:rsidR="007221AB" w:rsidRDefault="00182C6F" w:rsidP="002F6C40">
      <w:r>
        <w:t>The</w:t>
      </w:r>
      <w:r w:rsidR="00456D00" w:rsidRPr="00CD38C6">
        <w:t xml:space="preserve"> annual sustainability grant figures were set at the agreed figures negotiated in early 2018; based on the provider determined figures stated in the application stage for funding in 2017</w:t>
      </w:r>
      <w:r w:rsidR="005F10F4" w:rsidRPr="00CD38C6">
        <w:t>.</w:t>
      </w:r>
      <w:r w:rsidR="005F10F4" w:rsidRPr="00E41AD3">
        <w:t xml:space="preserve"> </w:t>
      </w:r>
      <w:r w:rsidR="00E41AD3" w:rsidRPr="00E41AD3">
        <w:t xml:space="preserve">The allocated funding was </w:t>
      </w:r>
      <w:r w:rsidR="002F1EC3">
        <w:t>reviewed a</w:t>
      </w:r>
      <w:r w:rsidR="00134745">
        <w:t xml:space="preserve">nd </w:t>
      </w:r>
      <w:r w:rsidR="008A09B4">
        <w:t xml:space="preserve">indexed </w:t>
      </w:r>
      <w:r w:rsidR="00E41AD3" w:rsidRPr="00E41AD3">
        <w:t>year on year based on inflation</w:t>
      </w:r>
      <w:r w:rsidR="00134745">
        <w:t xml:space="preserve"> and other factors </w:t>
      </w:r>
      <w:r w:rsidR="00CA5671">
        <w:t>determined</w:t>
      </w:r>
      <w:r w:rsidR="00134745">
        <w:t xml:space="preserve"> to have impacted on services</w:t>
      </w:r>
      <w:r w:rsidR="007F4619">
        <w:t>.</w:t>
      </w:r>
    </w:p>
    <w:p w14:paraId="255054B1" w14:textId="2C48C8FC" w:rsidR="00E41AD3" w:rsidRDefault="007221AB" w:rsidP="002F6C40">
      <w:r>
        <w:t>The inten</w:t>
      </w:r>
      <w:r w:rsidR="00F708CC">
        <w:t xml:space="preserve">tion of the CCCFR grant funding was to </w:t>
      </w:r>
      <w:r w:rsidR="00A55BBB">
        <w:t xml:space="preserve">support services </w:t>
      </w:r>
      <w:r w:rsidR="00E12A31">
        <w:t xml:space="preserve">to remain financially viable during their transition to </w:t>
      </w:r>
      <w:r w:rsidR="00C206ED">
        <w:t xml:space="preserve">sustainability under the new CCS system. </w:t>
      </w:r>
      <w:r w:rsidR="00CD1661">
        <w:t xml:space="preserve">To support </w:t>
      </w:r>
      <w:r w:rsidR="00491B78">
        <w:t xml:space="preserve">services becoming </w:t>
      </w:r>
      <w:r w:rsidR="00177314">
        <w:t>fully sustainable under CCS</w:t>
      </w:r>
      <w:r w:rsidR="00CD1661">
        <w:t xml:space="preserve">, </w:t>
      </w:r>
      <w:r w:rsidR="006A0D33">
        <w:t>funding</w:t>
      </w:r>
      <w:r w:rsidR="00CD1661">
        <w:t xml:space="preserve"> was to t</w:t>
      </w:r>
      <w:r w:rsidR="00C04580" w:rsidRPr="00C04580">
        <w:t xml:space="preserve">aper </w:t>
      </w:r>
      <w:r w:rsidR="006A0D33">
        <w:t xml:space="preserve">as </w:t>
      </w:r>
      <w:r w:rsidR="0047333C">
        <w:t xml:space="preserve">CCS </w:t>
      </w:r>
      <w:r w:rsidR="00247FBA">
        <w:t>increased</w:t>
      </w:r>
      <w:r w:rsidR="00C04580" w:rsidRPr="00C04580">
        <w:t>.</w:t>
      </w:r>
      <w:r w:rsidR="00C04580">
        <w:rPr>
          <w:rStyle w:val="FootnoteReference"/>
        </w:rPr>
        <w:footnoteReference w:id="52"/>
      </w:r>
    </w:p>
    <w:p w14:paraId="2845E7DA" w14:textId="49BD2605" w:rsidR="00667DA1" w:rsidRDefault="005F10F4" w:rsidP="009B0092">
      <w:r w:rsidRPr="00CD38C6">
        <w:t xml:space="preserve">In addition to the baseline </w:t>
      </w:r>
      <w:r w:rsidR="00064429">
        <w:t>s</w:t>
      </w:r>
      <w:r w:rsidRPr="00CD38C6">
        <w:t xml:space="preserve">ustainability funding, </w:t>
      </w:r>
      <w:r w:rsidR="00064429">
        <w:t>p</w:t>
      </w:r>
      <w:r w:rsidRPr="00CD38C6">
        <w:t xml:space="preserve">roviders </w:t>
      </w:r>
      <w:r w:rsidR="00330A72">
        <w:t>can</w:t>
      </w:r>
      <w:r w:rsidRPr="00CD38C6">
        <w:t xml:space="preserve"> apply for </w:t>
      </w:r>
      <w:r w:rsidR="00064429">
        <w:t>a</w:t>
      </w:r>
      <w:r w:rsidRPr="00CD38C6">
        <w:t xml:space="preserve">dditional </w:t>
      </w:r>
      <w:r w:rsidR="00064429">
        <w:t>s</w:t>
      </w:r>
      <w:r w:rsidRPr="00CD38C6">
        <w:t>ustainability funding to address any shortfalls. Capital works funding is also available on application</w:t>
      </w:r>
      <w:r w:rsidR="00DD4421">
        <w:t>,</w:t>
      </w:r>
      <w:r w:rsidRPr="00CD38C6">
        <w:t xml:space="preserve"> and both are subject to the provision of detailed financial reporting and project descriptions.</w:t>
      </w:r>
    </w:p>
    <w:p w14:paraId="1CDC59DC" w14:textId="4AE4EDF1" w:rsidR="00667DA1" w:rsidRDefault="00667DA1" w:rsidP="00667DA1">
      <w:pPr>
        <w:spacing w:before="80"/>
      </w:pPr>
      <w:r>
        <w:t>Funding under the CCCFR grant</w:t>
      </w:r>
      <w:r w:rsidR="004C1D40">
        <w:rPr>
          <w:rStyle w:val="FootnoteReference"/>
        </w:rPr>
        <w:footnoteReference w:id="53"/>
      </w:r>
      <w:r>
        <w:t xml:space="preserve"> can be used to:</w:t>
      </w:r>
    </w:p>
    <w:p w14:paraId="4C701839" w14:textId="77777777" w:rsidR="00667DA1" w:rsidRDefault="00667DA1" w:rsidP="00667DA1">
      <w:pPr>
        <w:pStyle w:val="ListBullet"/>
      </w:pPr>
      <w:r>
        <w:t>improve service viability and sustainability</w:t>
      </w:r>
    </w:p>
    <w:p w14:paraId="035E319B" w14:textId="77777777" w:rsidR="00667DA1" w:rsidRDefault="00667DA1" w:rsidP="00667DA1">
      <w:pPr>
        <w:pStyle w:val="ListBullet2"/>
      </w:pPr>
      <w:r>
        <w:t>f</w:t>
      </w:r>
      <w:r w:rsidRPr="00C935E1">
        <w:t>or example, improving business practices and introducing innovative solutions</w:t>
      </w:r>
    </w:p>
    <w:p w14:paraId="4FA1B431" w14:textId="77777777" w:rsidR="00667DA1" w:rsidRDefault="00667DA1" w:rsidP="00667DA1">
      <w:pPr>
        <w:pStyle w:val="ListBullet"/>
      </w:pPr>
      <w:r>
        <w:t>address community level barriers to child care participation</w:t>
      </w:r>
    </w:p>
    <w:p w14:paraId="098A8E13" w14:textId="77777777" w:rsidR="00667DA1" w:rsidRDefault="00667DA1" w:rsidP="00667DA1">
      <w:pPr>
        <w:pStyle w:val="ListBullet2"/>
      </w:pPr>
      <w:r>
        <w:t>f</w:t>
      </w:r>
      <w:r w:rsidRPr="00C935E1">
        <w:t>or example, by helping vulnerable and disadvantaged families participate in child care</w:t>
      </w:r>
    </w:p>
    <w:p w14:paraId="23793350" w14:textId="59D6ADD6" w:rsidR="00667DA1" w:rsidRDefault="00667DA1" w:rsidP="00667DA1">
      <w:pPr>
        <w:pStyle w:val="ListBullet2"/>
      </w:pPr>
      <w:r w:rsidRPr="008D5090">
        <w:t>Guidelines for the CCCFR grant – from its inception in 2017</w:t>
      </w:r>
      <w:r w:rsidRPr="008D5090">
        <w:rPr>
          <w:rStyle w:val="FootnoteReference"/>
        </w:rPr>
        <w:footnoteReference w:id="54"/>
      </w:r>
      <w:r w:rsidRPr="008D5090">
        <w:t xml:space="preserve"> to its current iteration in August 2022</w:t>
      </w:r>
      <w:r w:rsidRPr="008D5090">
        <w:rPr>
          <w:rStyle w:val="FootnoteReference"/>
        </w:rPr>
        <w:footnoteReference w:id="55"/>
      </w:r>
      <w:r w:rsidRPr="008D5090">
        <w:t xml:space="preserve"> </w:t>
      </w:r>
      <w:r w:rsidR="00CD11C2" w:rsidRPr="008D5090">
        <w:t>–</w:t>
      </w:r>
      <w:r w:rsidRPr="008D5090">
        <w:t xml:space="preserve"> note that services may provide supports to address community level barriers to child care participation. However, the grant guidelines also note that grant funding cannot be used for “activities that are not directly related to the delivery of child care”.</w:t>
      </w:r>
      <w:r w:rsidRPr="008D5090">
        <w:rPr>
          <w:rStyle w:val="FootnoteReference"/>
        </w:rPr>
        <w:footnoteReference w:id="56"/>
      </w:r>
      <w:r w:rsidRPr="008D5090">
        <w:t xml:space="preserve"> </w:t>
      </w:r>
    </w:p>
    <w:p w14:paraId="7BB257AE" w14:textId="77777777" w:rsidR="00667DA1" w:rsidRDefault="00667DA1" w:rsidP="00667DA1">
      <w:pPr>
        <w:pStyle w:val="ListBullet"/>
      </w:pPr>
      <w:r>
        <w:t>undertake capital works which are necessary to operate sustainably under the Child Care Package</w:t>
      </w:r>
    </w:p>
    <w:p w14:paraId="03DAA354" w14:textId="77777777" w:rsidR="00667DA1" w:rsidRDefault="00667DA1" w:rsidP="00667DA1">
      <w:pPr>
        <w:pStyle w:val="ListBullet2"/>
      </w:pPr>
      <w:r>
        <w:t xml:space="preserve">for example, extending or modifying buildings, refurbishing or repairing buildings, landscape works, or works to fencing and outdoor play areas </w:t>
      </w:r>
    </w:p>
    <w:p w14:paraId="75B87D64" w14:textId="78687A29" w:rsidR="00667DA1" w:rsidRDefault="00667DA1" w:rsidP="00667DA1">
      <w:pPr>
        <w:pStyle w:val="ListBullet2"/>
      </w:pPr>
      <w:r>
        <w:t>in order to receive additional funding (i.e.</w:t>
      </w:r>
      <w:r w:rsidR="00B000EC">
        <w:t>,</w:t>
      </w:r>
      <w:r>
        <w:t xml:space="preserve"> above the annual grant amount) for capital works, services need to submit an additional </w:t>
      </w:r>
      <w:r w:rsidRPr="00C935E1">
        <w:t>minor capital works business case</w:t>
      </w:r>
    </w:p>
    <w:p w14:paraId="41AF6827" w14:textId="0D57E9C9" w:rsidR="00667DA1" w:rsidRDefault="00667DA1" w:rsidP="00667DA1">
      <w:pPr>
        <w:pStyle w:val="ListBullet"/>
      </w:pPr>
      <w:r>
        <w:t>other approved activities which increased Aboriginal and Torres Strait Islander children’s participation in early childhood education and care.</w:t>
      </w:r>
      <w:r w:rsidRPr="2B91AEFB">
        <w:rPr>
          <w:rStyle w:val="FootnoteReference"/>
        </w:rPr>
        <w:t xml:space="preserve"> </w:t>
      </w:r>
    </w:p>
    <w:p w14:paraId="05004224" w14:textId="477F09EA" w:rsidR="00667DA1" w:rsidRDefault="004C1D40" w:rsidP="00667DA1">
      <w:pPr>
        <w:spacing w:before="80"/>
      </w:pPr>
      <w:r>
        <w:br/>
      </w:r>
      <w:r w:rsidR="00667DA1">
        <w:t xml:space="preserve">Funding is usually paid in three instalments per year. </w:t>
      </w:r>
    </w:p>
    <w:p w14:paraId="1AA1C6C9" w14:textId="4080B513" w:rsidR="008D5090" w:rsidRDefault="002B1F86" w:rsidP="008D5090">
      <w:pPr>
        <w:pStyle w:val="Heading3"/>
      </w:pPr>
      <w:bookmarkStart w:id="93" w:name="_Ref153370189"/>
      <w:r>
        <w:t>CCCFR service obligations</w:t>
      </w:r>
      <w:bookmarkEnd w:id="93"/>
    </w:p>
    <w:p w14:paraId="6D590556" w14:textId="167EF533" w:rsidR="0095415F" w:rsidRDefault="002B1F86" w:rsidP="00372266">
      <w:r>
        <w:t>To</w:t>
      </w:r>
      <w:r w:rsidR="001571B7">
        <w:t xml:space="preserve"> receive funding under the CCCFR grant, services must continue to meet specific grant funding conditions as well as broader legislative and regulatory obligations as an education and care service.</w:t>
      </w:r>
    </w:p>
    <w:p w14:paraId="218FB764" w14:textId="11DAFB8D" w:rsidR="000F0C1F" w:rsidRPr="00F45CB4" w:rsidRDefault="000F0C1F" w:rsidP="009A45C3">
      <w:pPr>
        <w:pStyle w:val="CaptionFigure"/>
      </w:pPr>
      <w:bookmarkStart w:id="94" w:name="_Toc158997982"/>
      <w:bookmarkStart w:id="95" w:name="_Toc170228784"/>
      <w:r w:rsidRPr="00F45CB4">
        <w:lastRenderedPageBreak/>
        <w:t>: Overview of legislative and non-legislative obligations for CCCFR grant recipients</w:t>
      </w:r>
      <w:bookmarkEnd w:id="94"/>
      <w:bookmarkEnd w:id="95"/>
    </w:p>
    <w:p w14:paraId="0EBE2026" w14:textId="34ADC03B" w:rsidR="000F0C1F" w:rsidRDefault="000F0C1F" w:rsidP="000F0C1F">
      <w:pPr>
        <w:spacing w:after="0" w:line="240" w:lineRule="auto"/>
        <w:rPr>
          <w:highlight w:val="yellow"/>
        </w:rPr>
      </w:pPr>
      <w:r w:rsidRPr="0058329E">
        <w:rPr>
          <w:noProof/>
        </w:rPr>
        <w:drawing>
          <wp:inline distT="0" distB="0" distL="0" distR="0" wp14:anchorId="7B247E6A" wp14:editId="699DD0C6">
            <wp:extent cx="6005373" cy="2697380"/>
            <wp:effectExtent l="0" t="0" r="0" b="8255"/>
            <wp:docPr id="1489793622" name="Picture 1489793622" descr="Diagram showcasing the three different regulatory categories CCCFR services fall under. They are one, the NQF; two, state/territory ECEC residual legislation; or three, Minister's Ru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2" name="Picture 1489793622" descr="Diagram showcasing the three different regulatory categories CCCFR services fall under. They are one, the NQF; two, state/territory ECEC residual legislation; or three, Minister's Rules.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45035" cy="2715195"/>
                    </a:xfrm>
                    <a:prstGeom prst="rect">
                      <a:avLst/>
                    </a:prstGeom>
                    <a:noFill/>
                  </pic:spPr>
                </pic:pic>
              </a:graphicData>
            </a:graphic>
          </wp:inline>
        </w:drawing>
      </w:r>
    </w:p>
    <w:p w14:paraId="2EE3FB17" w14:textId="4EBCA79D" w:rsidR="000F0C1F" w:rsidRPr="00F10758" w:rsidRDefault="000F0C1F" w:rsidP="00324B87">
      <w:pPr>
        <w:pStyle w:val="Source"/>
      </w:pPr>
      <w:r w:rsidRPr="00F10758">
        <w:t>Source: Deloitte Access Economics (2023)</w:t>
      </w:r>
      <w:r w:rsidR="00BD1600">
        <w:t>.</w:t>
      </w:r>
    </w:p>
    <w:p w14:paraId="637F1527" w14:textId="15E24DB2" w:rsidR="002B1F86" w:rsidRDefault="00F24D49" w:rsidP="001C655F">
      <w:pPr>
        <w:pStyle w:val="Heading4"/>
      </w:pPr>
      <w:r>
        <w:t>Reporting requirements under the CCCFR grant</w:t>
      </w:r>
    </w:p>
    <w:p w14:paraId="4DF03467" w14:textId="269826DB" w:rsidR="002B1F86" w:rsidRDefault="000F523A" w:rsidP="002B1F86">
      <w:r>
        <w:t>Recipients of CCCFR grant funding are required to comply with grant funding conditions outlined in the ‘</w:t>
      </w:r>
      <w:r w:rsidRPr="000F523A">
        <w:t>Guide for Grant Recipients</w:t>
      </w:r>
      <w:r w:rsidR="00F24D49">
        <w:t>’, including annual reporting requirements</w:t>
      </w:r>
      <w:r w:rsidR="00053851">
        <w:t xml:space="preserve">. </w:t>
      </w:r>
      <w:r w:rsidR="001B6514">
        <w:t>Specifically, CCCFR services are required to submit</w:t>
      </w:r>
      <w:r w:rsidR="00D80BF9">
        <w:t xml:space="preserve"> the following </w:t>
      </w:r>
      <w:r w:rsidR="00053851">
        <w:t>documentation to their Program Officer as a condition for grant funding</w:t>
      </w:r>
      <w:r w:rsidR="001B6514">
        <w:t>:</w:t>
      </w:r>
    </w:p>
    <w:p w14:paraId="593817E5" w14:textId="77777777" w:rsidR="005F0C69" w:rsidRPr="00F71C9B" w:rsidRDefault="005F0C69" w:rsidP="00AA0D90">
      <w:pPr>
        <w:pStyle w:val="ListBullet"/>
        <w:rPr>
          <w:b/>
          <w:bCs/>
        </w:rPr>
      </w:pPr>
      <w:r w:rsidRPr="2B91AEFB">
        <w:rPr>
          <w:b/>
          <w:bCs/>
        </w:rPr>
        <w:t>Activity Budget (due 31 July)</w:t>
      </w:r>
    </w:p>
    <w:p w14:paraId="57F99D08" w14:textId="2DC38A99" w:rsidR="005F0C69" w:rsidRDefault="005F0C69" w:rsidP="00AA0D90">
      <w:pPr>
        <w:pStyle w:val="ListBullet2"/>
      </w:pPr>
      <w:r>
        <w:t xml:space="preserve">This report outlines the estimated budgetary expenses that the service intends </w:t>
      </w:r>
      <w:r w:rsidR="008A55F8">
        <w:t>to</w:t>
      </w:r>
      <w:r>
        <w:t xml:space="preserve"> utilise over the financial year (1 July to 30 June). If required, this report includes an opportunity to request additional funding from the Department, however this require</w:t>
      </w:r>
      <w:r w:rsidR="008A55F8">
        <w:t>s</w:t>
      </w:r>
      <w:r>
        <w:t xml:space="preserve"> the submission of a business case including a detailed description of how the additional funding will be used.</w:t>
      </w:r>
      <w:r>
        <w:br/>
      </w:r>
    </w:p>
    <w:p w14:paraId="1E0A2AE1" w14:textId="01EFFF4C" w:rsidR="005F0C69" w:rsidRPr="00F71C9B" w:rsidRDefault="005F0C69" w:rsidP="008A55F8">
      <w:pPr>
        <w:pStyle w:val="ListBullet"/>
        <w:rPr>
          <w:b/>
          <w:bCs/>
        </w:rPr>
      </w:pPr>
      <w:r w:rsidRPr="2B91AEFB">
        <w:rPr>
          <w:b/>
          <w:bCs/>
        </w:rPr>
        <w:t xml:space="preserve">Compliance and Operations Report (due by </w:t>
      </w:r>
      <w:r w:rsidR="008A55F8" w:rsidRPr="2B91AEFB">
        <w:rPr>
          <w:b/>
          <w:bCs/>
        </w:rPr>
        <w:t xml:space="preserve">31 </w:t>
      </w:r>
      <w:r w:rsidRPr="2B91AEFB">
        <w:rPr>
          <w:b/>
          <w:bCs/>
        </w:rPr>
        <w:t>March)</w:t>
      </w:r>
    </w:p>
    <w:p w14:paraId="071BAD98" w14:textId="60C71471" w:rsidR="005F0C69" w:rsidRDefault="005F0C69" w:rsidP="008A55F8">
      <w:pPr>
        <w:pStyle w:val="ListBullet2"/>
      </w:pPr>
      <w:r>
        <w:t xml:space="preserve">The Compliance and Operations Report (COR) is the primary instrument used by the </w:t>
      </w:r>
      <w:r w:rsidR="008A55F8">
        <w:t>D</w:t>
      </w:r>
      <w:r>
        <w:t>epartment to assess services’ ongoing compliance and collect further data on services’ operations. The report collects:</w:t>
      </w:r>
    </w:p>
    <w:p w14:paraId="4BDF4801" w14:textId="05756EC2" w:rsidR="005F0C69" w:rsidRDefault="008A55F8" w:rsidP="008A55F8">
      <w:pPr>
        <w:pStyle w:val="ListBullet3"/>
      </w:pPr>
      <w:r>
        <w:rPr>
          <w:b/>
          <w:bCs/>
        </w:rPr>
        <w:t>s</w:t>
      </w:r>
      <w:r w:rsidR="005F0C69" w:rsidRPr="008D6A5E">
        <w:rPr>
          <w:b/>
          <w:bCs/>
        </w:rPr>
        <w:t>ervice certificates</w:t>
      </w:r>
      <w:r w:rsidR="005F0C69">
        <w:rPr>
          <w:b/>
          <w:bCs/>
        </w:rPr>
        <w:t xml:space="preserve">, procedures </w:t>
      </w:r>
      <w:r w:rsidR="005F0C69" w:rsidRPr="008D6A5E">
        <w:rPr>
          <w:b/>
          <w:bCs/>
        </w:rPr>
        <w:t>and policies</w:t>
      </w:r>
      <w:r w:rsidR="005F0C69">
        <w:t xml:space="preserve"> to determine compliance, including transport policies, serious incident procedures, w</w:t>
      </w:r>
      <w:r w:rsidR="005F0C69" w:rsidRPr="008D6A5E">
        <w:t xml:space="preserve">orkers </w:t>
      </w:r>
      <w:r w:rsidR="005F0C69">
        <w:t>c</w:t>
      </w:r>
      <w:r w:rsidR="005F0C69" w:rsidRPr="008D6A5E">
        <w:t>ompensation Certificates</w:t>
      </w:r>
      <w:r w:rsidR="005F0C69">
        <w:t>, insurance information,</w:t>
      </w:r>
      <w:r w:rsidR="005F0C69" w:rsidRPr="008D6A5E">
        <w:t xml:space="preserve"> </w:t>
      </w:r>
      <w:r w:rsidR="005F0C69">
        <w:t>working with children check information, excursion policies, complaints policies and first aid certificates</w:t>
      </w:r>
    </w:p>
    <w:p w14:paraId="4FDA3983" w14:textId="5C8D2647" w:rsidR="005F0C69" w:rsidRPr="008F6E20" w:rsidRDefault="008A55F8" w:rsidP="008A55F8">
      <w:pPr>
        <w:pStyle w:val="ListBullet3"/>
        <w:rPr>
          <w:b/>
          <w:bCs/>
        </w:rPr>
      </w:pPr>
      <w:r>
        <w:t>s</w:t>
      </w:r>
      <w:r w:rsidR="005F0C69">
        <w:t xml:space="preserve">ervices’ </w:t>
      </w:r>
      <w:r w:rsidR="005F0C69" w:rsidRPr="008F6E20">
        <w:rPr>
          <w:b/>
          <w:bCs/>
        </w:rPr>
        <w:t>Quality Improvement Plans</w:t>
      </w:r>
      <w:r w:rsidR="005F0C69">
        <w:rPr>
          <w:b/>
          <w:bCs/>
        </w:rPr>
        <w:t xml:space="preserve"> </w:t>
      </w:r>
      <w:r w:rsidR="005F0C69">
        <w:t xml:space="preserve">and </w:t>
      </w:r>
      <w:r w:rsidR="430CA5BE">
        <w:t xml:space="preserve">information on </w:t>
      </w:r>
      <w:r w:rsidR="005F0C69">
        <w:t>serious incidents</w:t>
      </w:r>
    </w:p>
    <w:p w14:paraId="01DD26B1" w14:textId="6303A12C" w:rsidR="005F0C69" w:rsidRDefault="008A55F8" w:rsidP="008A55F8">
      <w:pPr>
        <w:pStyle w:val="ListBullet3"/>
      </w:pPr>
      <w:r>
        <w:t>a</w:t>
      </w:r>
      <w:r w:rsidR="005F0C69">
        <w:t xml:space="preserve"> </w:t>
      </w:r>
      <w:r w:rsidR="005F0C69" w:rsidRPr="008F6E20">
        <w:rPr>
          <w:b/>
          <w:bCs/>
        </w:rPr>
        <w:t>self</w:t>
      </w:r>
      <w:r w:rsidR="005F0C69" w:rsidRPr="008F6E20">
        <w:rPr>
          <w:b/>
        </w:rPr>
        <w:t>-</w:t>
      </w:r>
      <w:r w:rsidR="005F0C69" w:rsidRPr="008F6E20">
        <w:rPr>
          <w:b/>
          <w:bCs/>
        </w:rPr>
        <w:t>assessment</w:t>
      </w:r>
      <w:r w:rsidR="005F0C69">
        <w:t xml:space="preserve"> of s</w:t>
      </w:r>
      <w:r w:rsidR="005F0C69" w:rsidRPr="00657156">
        <w:t xml:space="preserve">ervice’s strengths and weaknesses against each of the </w:t>
      </w:r>
      <w:r>
        <w:t>seven</w:t>
      </w:r>
      <w:r w:rsidR="005F0C69" w:rsidRPr="00657156">
        <w:t xml:space="preserve"> key quality areas referred to in the </w:t>
      </w:r>
      <w:r w:rsidR="005C194D">
        <w:rPr>
          <w:b/>
          <w:bCs/>
        </w:rPr>
        <w:t>NQF</w:t>
      </w:r>
      <w:r w:rsidR="005F0C69" w:rsidRPr="00657156">
        <w:t>, indicating progress and areas for improvement</w:t>
      </w:r>
    </w:p>
    <w:p w14:paraId="1C220E73" w14:textId="550117E5" w:rsidR="005F0C69" w:rsidRDefault="008A55F8" w:rsidP="008A55F8">
      <w:pPr>
        <w:pStyle w:val="ListBullet3"/>
      </w:pPr>
      <w:r>
        <w:rPr>
          <w:b/>
          <w:bCs/>
        </w:rPr>
        <w:t>p</w:t>
      </w:r>
      <w:r w:rsidR="005F0C69" w:rsidRPr="008F6E20">
        <w:rPr>
          <w:b/>
          <w:bCs/>
        </w:rPr>
        <w:t>rogram delivery</w:t>
      </w:r>
      <w:r w:rsidR="005F0C69">
        <w:rPr>
          <w:b/>
          <w:bCs/>
        </w:rPr>
        <w:t xml:space="preserve"> </w:t>
      </w:r>
      <w:r w:rsidR="005F0C69">
        <w:t xml:space="preserve">information, including hours of operation of mobile services, services’ education program </w:t>
      </w:r>
    </w:p>
    <w:p w14:paraId="61910375" w14:textId="344B45D5" w:rsidR="005F0C69" w:rsidRDefault="008A55F8" w:rsidP="008A55F8">
      <w:pPr>
        <w:pStyle w:val="ListBullet3"/>
      </w:pPr>
      <w:r>
        <w:rPr>
          <w:b/>
          <w:bCs/>
        </w:rPr>
        <w:t>w</w:t>
      </w:r>
      <w:r w:rsidR="005F0C69" w:rsidRPr="00B40152">
        <w:rPr>
          <w:b/>
          <w:bCs/>
        </w:rPr>
        <w:t>orkforce and staffing</w:t>
      </w:r>
      <w:r w:rsidR="005F0C69">
        <w:t xml:space="preserve"> information, including employment details and qualifications</w:t>
      </w:r>
    </w:p>
    <w:p w14:paraId="133E7A65" w14:textId="3396B1D9" w:rsidR="005F0C69" w:rsidRDefault="001D197D" w:rsidP="008A55F8">
      <w:pPr>
        <w:pStyle w:val="ListBullet3"/>
      </w:pPr>
      <w:r>
        <w:t>s</w:t>
      </w:r>
      <w:r w:rsidR="005F0C69">
        <w:t xml:space="preserve">ome early indications of </w:t>
      </w:r>
      <w:r w:rsidR="005F0C69" w:rsidRPr="003658DA">
        <w:rPr>
          <w:b/>
          <w:bCs/>
        </w:rPr>
        <w:t>outputs</w:t>
      </w:r>
      <w:r w:rsidR="005F0C69">
        <w:t xml:space="preserve">, outcomes, and the </w:t>
      </w:r>
      <w:r w:rsidR="005F0C69" w:rsidRPr="003658DA">
        <w:rPr>
          <w:b/>
          <w:bCs/>
        </w:rPr>
        <w:t>barriers</w:t>
      </w:r>
      <w:r w:rsidR="005F0C69">
        <w:t xml:space="preserve"> to achieving these, for instance in maximising children attending, and increasing participation of Indigenous children. </w:t>
      </w:r>
      <w:r w:rsidR="005F0C69">
        <w:br/>
      </w:r>
    </w:p>
    <w:p w14:paraId="5EEA34D4" w14:textId="13DDE381" w:rsidR="005F0C69" w:rsidRPr="00487AB2" w:rsidRDefault="005F0C69" w:rsidP="001D197D">
      <w:pPr>
        <w:pStyle w:val="ListBullet"/>
        <w:rPr>
          <w:b/>
          <w:bCs/>
        </w:rPr>
      </w:pPr>
      <w:r w:rsidRPr="2B91AEFB">
        <w:rPr>
          <w:b/>
          <w:bCs/>
        </w:rPr>
        <w:t xml:space="preserve">Financial report (due by </w:t>
      </w:r>
      <w:r w:rsidR="001D197D" w:rsidRPr="2B91AEFB">
        <w:rPr>
          <w:b/>
          <w:bCs/>
        </w:rPr>
        <w:t xml:space="preserve">31 </w:t>
      </w:r>
      <w:r w:rsidRPr="2B91AEFB">
        <w:rPr>
          <w:b/>
          <w:bCs/>
        </w:rPr>
        <w:t>October to acquit previous Financial Year)</w:t>
      </w:r>
    </w:p>
    <w:p w14:paraId="59F99570" w14:textId="77777777" w:rsidR="005F0C69" w:rsidRDefault="005F0C69" w:rsidP="001D197D">
      <w:pPr>
        <w:pStyle w:val="ListBullet2"/>
        <w:spacing w:after="170"/>
      </w:pPr>
      <w:r>
        <w:t>The Financial Report is the primary mechanism used by the Department to assess overall expenditure of the grant. Within this report, services are expected to acquit all expenses against the Activity Budget submitted at the start of the associated Financial Year.</w:t>
      </w:r>
    </w:p>
    <w:p w14:paraId="0204C105" w14:textId="1D7FBD88" w:rsidR="006A7961" w:rsidRDefault="006A7961" w:rsidP="006A7961">
      <w:r>
        <w:lastRenderedPageBreak/>
        <w:t xml:space="preserve">The grant guidelines state that services should submit these documents in a timely manner (through their CCCFR Program Officer) </w:t>
      </w:r>
      <w:r w:rsidR="001B5C43">
        <w:t>as a condition of CCCFR grant funding.</w:t>
      </w:r>
    </w:p>
    <w:p w14:paraId="6B23A0FF" w14:textId="6A63C1C9" w:rsidR="00835D4A" w:rsidRDefault="00835D4A" w:rsidP="00835D4A">
      <w:pPr>
        <w:pStyle w:val="Heading4"/>
      </w:pPr>
      <w:bookmarkStart w:id="96" w:name="_Ref158978894"/>
      <w:bookmarkStart w:id="97" w:name="_Ref166771701"/>
      <w:r>
        <w:t>Legislative and regulatory obligations for CCCFR services</w:t>
      </w:r>
      <w:bookmarkEnd w:id="96"/>
      <w:bookmarkEnd w:id="97"/>
    </w:p>
    <w:p w14:paraId="6AB18217" w14:textId="7D4E85EE" w:rsidR="00F972BF" w:rsidRDefault="00FC23F4" w:rsidP="00835D4A">
      <w:r>
        <w:t xml:space="preserve">Noting the CCCFR grant’s history as an amalgamation of previous funding arrangements, </w:t>
      </w:r>
      <w:r w:rsidR="00EE57F4">
        <w:t>CCCFR services have differing legislative and regulatory compliance obligations.</w:t>
      </w:r>
      <w:r w:rsidR="000F0C1F">
        <w:t xml:space="preserve"> Further detail of these requirements are outlined below.</w:t>
      </w:r>
    </w:p>
    <w:p w14:paraId="3FC10273" w14:textId="77777777" w:rsidR="00A55ECE" w:rsidRPr="00A55ECE" w:rsidRDefault="001E2E9D" w:rsidP="00F97BD8">
      <w:pPr>
        <w:pStyle w:val="Heading4un-numbered"/>
      </w:pPr>
      <w:r w:rsidRPr="00A55ECE">
        <w:t>Compliance with the Family Assistance Law (FAL)</w:t>
      </w:r>
    </w:p>
    <w:p w14:paraId="34A172DD" w14:textId="634511F2" w:rsidR="001E2E9D" w:rsidRDefault="001E2E9D" w:rsidP="001E2E9D">
      <w:r>
        <w:t>All CCCFR services are expected to administer the CCS</w:t>
      </w:r>
      <w:r w:rsidR="00302034">
        <w:t xml:space="preserve"> </w:t>
      </w:r>
      <w:r w:rsidR="00001EE3">
        <w:t>on behalf of families as a condition of the CCCFR grant.</w:t>
      </w:r>
      <w:r>
        <w:t xml:space="preserve"> The </w:t>
      </w:r>
      <w:r w:rsidR="00001EE3">
        <w:t>FAL</w:t>
      </w:r>
      <w:r>
        <w:t xml:space="preserve"> is the legislative basis for the administration of Commonwealth child care fee assistance in Australia.</w:t>
      </w:r>
      <w:r>
        <w:rPr>
          <w:rStyle w:val="FootnoteReference"/>
        </w:rPr>
        <w:footnoteReference w:id="57"/>
      </w:r>
      <w:r>
        <w:t xml:space="preserve"> To administer the C</w:t>
      </w:r>
      <w:r w:rsidR="00001EE3">
        <w:t>CS</w:t>
      </w:r>
      <w:r>
        <w:t>, child care providers are required to apply for ‘provider approval’ under the FAL.</w:t>
      </w:r>
      <w:r>
        <w:rPr>
          <w:rStyle w:val="FootnoteReference"/>
        </w:rPr>
        <w:footnoteReference w:id="58"/>
      </w:r>
      <w:r>
        <w:t xml:space="preserve"> This provider approval to administer the CCS includes an explicit obligation to comply with the FAL on an ongoing basis as a condition of provider approval.</w:t>
      </w:r>
    </w:p>
    <w:p w14:paraId="5F8CB6C7" w14:textId="18148597" w:rsidR="001E2E9D" w:rsidRDefault="001E2E9D" w:rsidP="001E2E9D">
      <w:r>
        <w:t>Provider approval under the FAL is contingent on a range of factors, including a service’s capacity to appropriately manage Commonwealth financial contributions and enable access to education and care.</w:t>
      </w:r>
      <w:r>
        <w:rPr>
          <w:rStyle w:val="FootnoteReference"/>
        </w:rPr>
        <w:footnoteReference w:id="59"/>
      </w:r>
      <w:r w:rsidR="00001EE3">
        <w:t xml:space="preserve"> </w:t>
      </w:r>
      <w:r>
        <w:t>Eligibility for the CCCFR grant includes a requirement that a service is approved to administer the CCS in line with requirements under the FAL.</w:t>
      </w:r>
    </w:p>
    <w:p w14:paraId="7327BAC4" w14:textId="53320274" w:rsidR="00F059A9" w:rsidRPr="00AE65EB" w:rsidRDefault="00F059A9" w:rsidP="0034531C">
      <w:pPr>
        <w:pStyle w:val="Heading4un-numbered"/>
      </w:pPr>
      <w:r w:rsidRPr="00AE65EB">
        <w:t>The National Quality Framework (NQF)</w:t>
      </w:r>
    </w:p>
    <w:p w14:paraId="50D9E7E3" w14:textId="0FF61BAC" w:rsidR="00CA1BE4" w:rsidRDefault="002734BC" w:rsidP="00372266">
      <w:r>
        <w:t xml:space="preserve">The National Quality Framework was formally implemented across all Australian states and territories in 2012. The </w:t>
      </w:r>
      <w:r w:rsidR="00A321F3">
        <w:t xml:space="preserve">NQF </w:t>
      </w:r>
      <w:r>
        <w:t xml:space="preserve">includes </w:t>
      </w:r>
      <w:r w:rsidR="00A321F3">
        <w:t>a set of legislative and regulatory obligations for education and care services across Australia, including assessment and rating against the N</w:t>
      </w:r>
      <w:r w:rsidR="00AE65EB">
        <w:t xml:space="preserve">ational </w:t>
      </w:r>
      <w:r w:rsidR="00A321F3">
        <w:t>Q</w:t>
      </w:r>
      <w:r w:rsidR="00AE65EB">
        <w:t xml:space="preserve">uality </w:t>
      </w:r>
      <w:r w:rsidR="00A321F3">
        <w:t>S</w:t>
      </w:r>
      <w:r w:rsidR="00AE65EB">
        <w:t>tandards (</w:t>
      </w:r>
      <w:r w:rsidR="00A321F3">
        <w:t>NQS</w:t>
      </w:r>
      <w:r w:rsidR="00AE65EB">
        <w:t>)</w:t>
      </w:r>
      <w:r w:rsidR="00A321F3">
        <w:t xml:space="preserve"> through visits by state and territory regulatory authorities</w:t>
      </w:r>
      <w:r>
        <w:t>.</w:t>
      </w:r>
      <w:r w:rsidR="00CA1BE4" w:rsidRPr="00CA1BE4">
        <w:t xml:space="preserve"> </w:t>
      </w:r>
    </w:p>
    <w:p w14:paraId="6FFB06E1" w14:textId="6E8DCC0C" w:rsidR="001571B7" w:rsidRDefault="00CA1BE4" w:rsidP="00372266">
      <w:r>
        <w:t>The NQF sets a national, prescribed minimum requirements for services to operate, including space requirements, appropriateness of infrastructure and assets, minimum educator-to-child ratios, and minimum staffing requirements for early childhood educators and teachers (ECTs).</w:t>
      </w:r>
      <w:r>
        <w:rPr>
          <w:rStyle w:val="FootnoteReference"/>
        </w:rPr>
        <w:footnoteReference w:id="60"/>
      </w:r>
    </w:p>
    <w:p w14:paraId="6B2B33DB" w14:textId="567D473D" w:rsidR="009F3688" w:rsidRPr="009E1BE5" w:rsidRDefault="00CF03B4" w:rsidP="00372266">
      <w:r w:rsidRPr="009E1BE5">
        <w:t xml:space="preserve">During the </w:t>
      </w:r>
      <w:r w:rsidR="009E2C17" w:rsidRPr="009E1BE5">
        <w:t>establishment</w:t>
      </w:r>
      <w:r w:rsidRPr="009E1BE5">
        <w:t xml:space="preserve"> of the NQF in 2012, many CCCFR services</w:t>
      </w:r>
      <w:r w:rsidR="009E2C17" w:rsidRPr="009E1BE5">
        <w:t xml:space="preserve"> (</w:t>
      </w:r>
      <w:r w:rsidRPr="009E1BE5">
        <w:t>then BBF servic</w:t>
      </w:r>
      <w:r w:rsidR="009E2C17" w:rsidRPr="009E1BE5">
        <w:t>es) w</w:t>
      </w:r>
      <w:r w:rsidRPr="009E1BE5">
        <w:t xml:space="preserve">ere </w:t>
      </w:r>
      <w:r w:rsidR="007429C4" w:rsidRPr="009E1BE5">
        <w:t>determined to not be within scope of the NQF</w:t>
      </w:r>
      <w:r w:rsidR="007529F3" w:rsidRPr="009E1BE5">
        <w:t xml:space="preserve">. This </w:t>
      </w:r>
      <w:r w:rsidR="00973C5E" w:rsidRPr="009E1BE5">
        <w:t xml:space="preserve">is reflected in the National Law and Regulations, which prescribes </w:t>
      </w:r>
      <w:r w:rsidR="009F3688" w:rsidRPr="009E1BE5">
        <w:t xml:space="preserve">the definition of </w:t>
      </w:r>
      <w:r w:rsidR="009F3688" w:rsidRPr="009E1BE5">
        <w:rPr>
          <w:b/>
        </w:rPr>
        <w:t>education and care service</w:t>
      </w:r>
      <w:r w:rsidR="009F3688" w:rsidRPr="009E1BE5">
        <w:t xml:space="preserve"> for the purposes of compliance with the National Quality Framework.</w:t>
      </w:r>
    </w:p>
    <w:p w14:paraId="5B588908" w14:textId="0CFE2890" w:rsidR="00CA1BE4" w:rsidRPr="009E1BE5" w:rsidRDefault="00555377" w:rsidP="00372266">
      <w:r w:rsidRPr="009E1BE5">
        <w:t xml:space="preserve">The </w:t>
      </w:r>
      <w:r w:rsidR="00206FF9" w:rsidRPr="009E1BE5">
        <w:t>National Law</w:t>
      </w:r>
      <w:r w:rsidRPr="009E1BE5">
        <w:t xml:space="preserve"> (section 5) </w:t>
      </w:r>
      <w:r w:rsidR="00206FF9" w:rsidRPr="009E1BE5">
        <w:t>define</w:t>
      </w:r>
      <w:r w:rsidR="00102F58" w:rsidRPr="009E1BE5">
        <w:t>s</w:t>
      </w:r>
      <w:r w:rsidR="00206FF9" w:rsidRPr="009E1BE5">
        <w:t xml:space="preserve"> education and care service as </w:t>
      </w:r>
      <w:r w:rsidRPr="009E1BE5">
        <w:t>any service providing or intended to provide education and care on a regular basis to children under 13 years of age.</w:t>
      </w:r>
    </w:p>
    <w:p w14:paraId="31B6C96C" w14:textId="47E2DC72" w:rsidR="00555377" w:rsidRPr="009E1BE5" w:rsidRDefault="00555377" w:rsidP="00372266">
      <w:r w:rsidRPr="009E1BE5">
        <w:t xml:space="preserve">However, </w:t>
      </w:r>
      <w:r w:rsidR="00102F58" w:rsidRPr="009E1BE5">
        <w:t xml:space="preserve">sub-regulation 5(2) of the National Regulations </w:t>
      </w:r>
      <w:r w:rsidRPr="009E1BE5">
        <w:t>excludes several service</w:t>
      </w:r>
      <w:r w:rsidR="00102F58" w:rsidRPr="009E1BE5">
        <w:t xml:space="preserve"> types</w:t>
      </w:r>
      <w:r w:rsidRPr="009E1BE5">
        <w:t xml:space="preserve"> from being </w:t>
      </w:r>
      <w:r w:rsidR="00E26853" w:rsidRPr="009E1BE5">
        <w:t>classified</w:t>
      </w:r>
      <w:r w:rsidRPr="009E1BE5">
        <w:t xml:space="preserve"> as an education and care service</w:t>
      </w:r>
      <w:r w:rsidR="00102F58" w:rsidRPr="009E1BE5">
        <w:t>. This includes many CCCFR-funded services</w:t>
      </w:r>
      <w:r w:rsidR="00AC59F1" w:rsidRPr="009E1BE5">
        <w:t>, such</w:t>
      </w:r>
      <w:r w:rsidR="006640B6" w:rsidRPr="009E1BE5">
        <w:t xml:space="preserve"> as mobile services or former BBF and IAS-funded services:</w:t>
      </w:r>
    </w:p>
    <w:p w14:paraId="60EC9ECB" w14:textId="29A35931" w:rsidR="006640B6" w:rsidRPr="009E1BE5" w:rsidRDefault="009E560E" w:rsidP="009E560E">
      <w:r w:rsidRPr="009E1BE5">
        <w:rPr>
          <w:b/>
        </w:rPr>
        <w:t>Regulation 5(</w:t>
      </w:r>
      <w:r w:rsidR="00E26853" w:rsidRPr="009E1BE5">
        <w:rPr>
          <w:b/>
        </w:rPr>
        <w:t>2):</w:t>
      </w:r>
      <w:r w:rsidR="00E26853" w:rsidRPr="009E1BE5">
        <w:t xml:space="preserve"> </w:t>
      </w:r>
      <w:r w:rsidRPr="009E1BE5">
        <w:t>“For the purposes of paragraph (h) of the definition of "education and care service" in section 5(1) of the Law, the following classes of service are excluded from the definition of education and care service—"</w:t>
      </w:r>
    </w:p>
    <w:p w14:paraId="43C1CA77" w14:textId="53231FEE" w:rsidR="004865A1" w:rsidRPr="009E1BE5" w:rsidRDefault="00E26853" w:rsidP="00416EA8">
      <w:pPr>
        <w:pStyle w:val="ListParagraph"/>
        <w:numPr>
          <w:ilvl w:val="0"/>
          <w:numId w:val="87"/>
        </w:numPr>
      </w:pPr>
      <w:r w:rsidRPr="009E1BE5">
        <w:t xml:space="preserve">(regulation 5(2)(h)) </w:t>
      </w:r>
      <w:r w:rsidR="004865A1" w:rsidRPr="009E1BE5">
        <w:t xml:space="preserve">“a service providing education and care primarily to children preschool age or under that transports its equipment and materials or staff to one or more locations on each occasion that the service is provided” </w:t>
      </w:r>
    </w:p>
    <w:p w14:paraId="08D8D3BD" w14:textId="124C051E" w:rsidR="008B3AE7" w:rsidRPr="009E1BE5" w:rsidRDefault="00E26853" w:rsidP="00416EA8">
      <w:pPr>
        <w:pStyle w:val="ListParagraph"/>
        <w:numPr>
          <w:ilvl w:val="0"/>
          <w:numId w:val="87"/>
        </w:numPr>
      </w:pPr>
      <w:r w:rsidRPr="009E1BE5">
        <w:t xml:space="preserve">(regulation 5(k)(2)(i)) </w:t>
      </w:r>
      <w:r w:rsidR="008B3AE7" w:rsidRPr="009E1BE5">
        <w:t>“</w:t>
      </w:r>
      <w:r w:rsidR="00784EE1" w:rsidRPr="009E1BE5">
        <w:t xml:space="preserve">the service provider was, in respect of the service, in receipt of funding under the Budget Based Funded program administered by the Department of Education and Training of the Commonwealth” </w:t>
      </w:r>
    </w:p>
    <w:p w14:paraId="07CBC0AB" w14:textId="6100A11A" w:rsidR="00F40ED9" w:rsidRPr="009E1BE5" w:rsidRDefault="00E26853" w:rsidP="00416EA8">
      <w:pPr>
        <w:pStyle w:val="ListParagraph"/>
        <w:numPr>
          <w:ilvl w:val="0"/>
          <w:numId w:val="87"/>
        </w:numPr>
      </w:pPr>
      <w:r w:rsidRPr="009E1BE5">
        <w:lastRenderedPageBreak/>
        <w:t xml:space="preserve">(regulation 5(2(ka)(i)). </w:t>
      </w:r>
      <w:r w:rsidR="00F40ED9" w:rsidRPr="009E1BE5">
        <w:t>“the service provider was, in respect of the service, in receipt of funding under the Indigenous Advancement Strategy administered by the Department of Prime Minister and Cabinet of the Commonwealth”</w:t>
      </w:r>
      <w:r w:rsidRPr="009E1BE5">
        <w:t>.</w:t>
      </w:r>
    </w:p>
    <w:p w14:paraId="602D4446" w14:textId="6E0C97D0" w:rsidR="007429C4" w:rsidRPr="009E1BE5" w:rsidRDefault="007429C4" w:rsidP="007429C4">
      <w:r w:rsidRPr="009E1BE5">
        <w:t>These exclusions from the definition of education and care service, and therefore requirements of the National Law and Regulations, is often referred to as services being “out of scope” of the NQF.</w:t>
      </w:r>
    </w:p>
    <w:p w14:paraId="49C8B352" w14:textId="4D8554C5" w:rsidR="00A20079" w:rsidRDefault="00A20079" w:rsidP="009E2C17">
      <w:r w:rsidRPr="009E1BE5">
        <w:t>While this exemption from the National Quality Framework means that many CCCFR-funded services are not required to meet ongoing regulatory requirements associated with provider and service approval,</w:t>
      </w:r>
      <w:r w:rsidR="000166A7" w:rsidRPr="009E1BE5">
        <w:t xml:space="preserve"> it also </w:t>
      </w:r>
      <w:r w:rsidR="00AC59F1" w:rsidRPr="009E1BE5">
        <w:t>prevents</w:t>
      </w:r>
      <w:r w:rsidR="000166A7" w:rsidRPr="009E1BE5">
        <w:t xml:space="preserve"> these services from transitioning to the Nat</w:t>
      </w:r>
      <w:r w:rsidR="00AC59F1" w:rsidRPr="009E1BE5">
        <w:t>ional</w:t>
      </w:r>
      <w:r w:rsidR="000166A7" w:rsidRPr="009E1BE5">
        <w:t xml:space="preserve"> Quality Framework without further legislative amendments to </w:t>
      </w:r>
      <w:r w:rsidR="00660C89" w:rsidRPr="009E1BE5">
        <w:t>incorporate mobile services, former BBF and IAS services within the definition of education and care service under Section 5(1) of the National Law.</w:t>
      </w:r>
    </w:p>
    <w:p w14:paraId="51DA7941" w14:textId="4605061F" w:rsidR="009E2C17" w:rsidRDefault="009E2C17" w:rsidP="009E2C17">
      <w:r w:rsidRPr="001651AB">
        <w:t xml:space="preserve">As of </w:t>
      </w:r>
      <w:r w:rsidR="001651AB" w:rsidRPr="001651AB">
        <w:t>February</w:t>
      </w:r>
      <w:r w:rsidRPr="001651AB">
        <w:t xml:space="preserve"> 2023, </w:t>
      </w:r>
      <w:r w:rsidR="00E5545C" w:rsidRPr="001651AB">
        <w:t>23</w:t>
      </w:r>
      <w:r w:rsidRPr="001651AB">
        <w:t xml:space="preserve"> CCCFR services </w:t>
      </w:r>
      <w:r w:rsidR="001651AB">
        <w:t>were</w:t>
      </w:r>
      <w:r w:rsidRPr="001651AB">
        <w:t xml:space="preserve"> regulated under the NQF.</w:t>
      </w:r>
    </w:p>
    <w:p w14:paraId="5682A98A" w14:textId="54E04D03" w:rsidR="00D70FEB" w:rsidRPr="00AE65EB" w:rsidRDefault="00D70FEB" w:rsidP="0034531C">
      <w:pPr>
        <w:pStyle w:val="Heading4un-numbered"/>
      </w:pPr>
      <w:r w:rsidRPr="00AE65EB">
        <w:t>State and territory residual legislation</w:t>
      </w:r>
    </w:p>
    <w:p w14:paraId="2223FFF8" w14:textId="1A83890E" w:rsidR="002856A6" w:rsidRDefault="00D70FEB" w:rsidP="00372266">
      <w:r>
        <w:t>While not regulated under the NQF, many CCCFR services are regulated through their relevant state or territory residual legislation</w:t>
      </w:r>
      <w:r w:rsidR="006E14B5">
        <w:t>.</w:t>
      </w:r>
      <w:r w:rsidR="00C07947">
        <w:t xml:space="preserve"> </w:t>
      </w:r>
      <w:r w:rsidR="00F776FF">
        <w:t xml:space="preserve">This means that they must comply with </w:t>
      </w:r>
      <w:r w:rsidR="002856A6">
        <w:t>“</w:t>
      </w:r>
      <w:r w:rsidR="002856A6" w:rsidRPr="002856A6">
        <w:t>a modified use of the National Law</w:t>
      </w:r>
      <w:r w:rsidR="002856A6">
        <w:t>”</w:t>
      </w:r>
      <w:r w:rsidR="002856A6">
        <w:rPr>
          <w:rStyle w:val="FootnoteReference"/>
        </w:rPr>
        <w:footnoteReference w:id="61"/>
      </w:r>
      <w:r w:rsidR="002856A6" w:rsidRPr="002856A6">
        <w:t xml:space="preserve"> </w:t>
      </w:r>
      <w:r w:rsidR="002856A6">
        <w:t xml:space="preserve">and specific regulatory expectations as determined by their jurisdiction. </w:t>
      </w:r>
      <w:r w:rsidR="00847343">
        <w:t xml:space="preserve">As such, these services are technically “out of scope” of the NQF, even if the state or territory requires </w:t>
      </w:r>
      <w:r w:rsidR="00353A6F">
        <w:t>similar expectations to the national framework.</w:t>
      </w:r>
    </w:p>
    <w:p w14:paraId="0E972AA3" w14:textId="66DC9FD7" w:rsidR="006C6799" w:rsidRDefault="00353A6F" w:rsidP="00372266">
      <w:r>
        <w:t>As</w:t>
      </w:r>
      <w:r w:rsidR="00C07947">
        <w:t xml:space="preserve"> </w:t>
      </w:r>
      <w:r w:rsidR="002951FA">
        <w:t xml:space="preserve">an </w:t>
      </w:r>
      <w:r w:rsidR="00C07947">
        <w:t xml:space="preserve">example, </w:t>
      </w:r>
      <w:r w:rsidR="009519F5">
        <w:t>NSW introduced residual legislation</w:t>
      </w:r>
      <w:r>
        <w:t xml:space="preserve"> in </w:t>
      </w:r>
      <w:r w:rsidR="002951FA">
        <w:t>2019</w:t>
      </w:r>
      <w:r w:rsidR="009519F5">
        <w:t xml:space="preserve"> to </w:t>
      </w:r>
      <w:r w:rsidR="002951FA">
        <w:t>ensure</w:t>
      </w:r>
      <w:r w:rsidR="009519F5">
        <w:t xml:space="preserve"> </w:t>
      </w:r>
      <w:r w:rsidR="00365F43">
        <w:t>occasional care services,</w:t>
      </w:r>
      <w:r w:rsidR="000804C3">
        <w:t xml:space="preserve"> mobile preschools and MACS </w:t>
      </w:r>
      <w:r w:rsidR="002951FA">
        <w:t xml:space="preserve">comply with </w:t>
      </w:r>
      <w:r w:rsidR="003742D9">
        <w:t>expectations of regulated services under the National Law and Regulations.</w:t>
      </w:r>
      <w:r w:rsidR="003742D9">
        <w:rPr>
          <w:rStyle w:val="FootnoteReference"/>
        </w:rPr>
        <w:footnoteReference w:id="62"/>
      </w:r>
      <w:r w:rsidR="003742D9">
        <w:t xml:space="preserve"> </w:t>
      </w:r>
      <w:r w:rsidR="00A46805">
        <w:t xml:space="preserve">Through this change, these services </w:t>
      </w:r>
      <w:r w:rsidR="001A0D20">
        <w:t xml:space="preserve">are expected to comply with </w:t>
      </w:r>
      <w:r w:rsidR="006C6799">
        <w:t>legislative and regulatory obligations under the NQF, despite being technically “out of scope” of the NQF at a national level.</w:t>
      </w:r>
    </w:p>
    <w:p w14:paraId="043C1DD9" w14:textId="0CCE73E5" w:rsidR="00E42D45" w:rsidRDefault="00E5545C" w:rsidP="00372266">
      <w:r w:rsidRPr="001651AB">
        <w:t xml:space="preserve">As of </w:t>
      </w:r>
      <w:r w:rsidR="001651AB" w:rsidRPr="001651AB">
        <w:t>February</w:t>
      </w:r>
      <w:r w:rsidRPr="001651AB">
        <w:t xml:space="preserve"> 2023, 72 CCCFR services </w:t>
      </w:r>
      <w:r w:rsidR="001651AB" w:rsidRPr="001651AB">
        <w:t>were</w:t>
      </w:r>
      <w:r w:rsidRPr="001651AB">
        <w:t xml:space="preserve"> regulated under the state or territory residual legislation.</w:t>
      </w:r>
    </w:p>
    <w:p w14:paraId="219C913C" w14:textId="60F72378" w:rsidR="00E42D45" w:rsidRPr="00F85EBE" w:rsidRDefault="00061BBB" w:rsidP="0034531C">
      <w:pPr>
        <w:pStyle w:val="Heading4un-numbered"/>
      </w:pPr>
      <w:r w:rsidRPr="00F85EBE">
        <w:t>Obligations</w:t>
      </w:r>
      <w:r w:rsidR="00F972BF" w:rsidRPr="00F85EBE">
        <w:t xml:space="preserve"> under the Minister’s Rules</w:t>
      </w:r>
    </w:p>
    <w:p w14:paraId="76DB2FEA" w14:textId="62BFC3B3" w:rsidR="00F45CB4" w:rsidRDefault="00E5545C" w:rsidP="003515B9">
      <w:r>
        <w:t xml:space="preserve">All CCCFR services who are not regulated under the NQF, including those who are regulated under state or territory residual legislation, are required to comply with section 49(9) of the </w:t>
      </w:r>
      <w:r w:rsidR="00737A2E">
        <w:t xml:space="preserve">Minister’s Rules, which sets out obligations in relation to </w:t>
      </w:r>
      <w:r w:rsidR="001C26DB">
        <w:t>child safety and wellbeing, service delivery and broader governance expectations.</w:t>
      </w:r>
    </w:p>
    <w:p w14:paraId="0E4E461E" w14:textId="77777777" w:rsidR="006032C9" w:rsidRDefault="006032C9" w:rsidP="006032C9">
      <w:pPr>
        <w:spacing w:before="170"/>
      </w:pPr>
      <w:r>
        <w:t>The five key legislative obligations included under section 49 for CCCFR services are:</w:t>
      </w:r>
    </w:p>
    <w:p w14:paraId="6BE4ADC9" w14:textId="77777777" w:rsidR="006032C9" w:rsidRPr="00083C2A" w:rsidRDefault="006032C9" w:rsidP="00171325">
      <w:pPr>
        <w:pStyle w:val="ListParagraph"/>
        <w:numPr>
          <w:ilvl w:val="0"/>
          <w:numId w:val="18"/>
        </w:numPr>
        <w:ind w:left="417"/>
        <w:rPr>
          <w:b/>
        </w:rPr>
      </w:pPr>
      <w:r w:rsidRPr="00083C2A">
        <w:rPr>
          <w:b/>
        </w:rPr>
        <w:t>Commitment to high quality child care</w:t>
      </w:r>
    </w:p>
    <w:p w14:paraId="3EEBDD66" w14:textId="265BB576" w:rsidR="006032C9" w:rsidRDefault="006032C9" w:rsidP="00614FF6">
      <w:pPr>
        <w:ind w:left="57"/>
      </w:pPr>
      <w:r>
        <w:t xml:space="preserve">Section 49(2) of the legislation notes that the Secretary of the Department must be satisfied that the service is </w:t>
      </w:r>
      <w:r w:rsidRPr="00276F99">
        <w:rPr>
          <w:i/>
          <w:iCs/>
        </w:rPr>
        <w:t>“equipped to provide high quality child care at the service appropriate to the needs of families and the community”</w:t>
      </w:r>
      <w:r>
        <w:rPr>
          <w:i/>
          <w:iCs/>
        </w:rPr>
        <w:t xml:space="preserve">, </w:t>
      </w:r>
      <w:r w:rsidRPr="00B1062F">
        <w:t>including explicit requirements outlining the educational program, supervision, precautions against harm and hazard, first aid qualification, and fitness and priority considerations.</w:t>
      </w:r>
      <w:r>
        <w:rPr>
          <w:rStyle w:val="FootnoteReference"/>
        </w:rPr>
        <w:footnoteReference w:id="63"/>
      </w:r>
    </w:p>
    <w:p w14:paraId="799962C0" w14:textId="77777777" w:rsidR="006032C9" w:rsidRDefault="006032C9" w:rsidP="00171325">
      <w:pPr>
        <w:pStyle w:val="ListParagraph"/>
        <w:numPr>
          <w:ilvl w:val="0"/>
          <w:numId w:val="18"/>
        </w:numPr>
        <w:ind w:left="417"/>
        <w:rPr>
          <w:b/>
        </w:rPr>
      </w:pPr>
      <w:r w:rsidRPr="00083C2A">
        <w:rPr>
          <w:b/>
        </w:rPr>
        <w:t>Serious incidents</w:t>
      </w:r>
    </w:p>
    <w:p w14:paraId="0C6E51A5" w14:textId="4E965B63" w:rsidR="006032C9" w:rsidRPr="00083C2A" w:rsidRDefault="006032C9" w:rsidP="00614FF6">
      <w:pPr>
        <w:ind w:left="57"/>
      </w:pPr>
      <w:r w:rsidRPr="00083C2A">
        <w:t xml:space="preserve">Section 49(3) outlines a provider’s responsibility to appropriately manage serious incidents </w:t>
      </w:r>
      <w:r>
        <w:rPr>
          <w:i/>
          <w:iCs/>
        </w:rPr>
        <w:t>[</w:t>
      </w:r>
      <w:r w:rsidRPr="00083C2A">
        <w:rPr>
          <w:i/>
          <w:iCs/>
        </w:rPr>
        <w:t>as defined in section 49(4)</w:t>
      </w:r>
      <w:r>
        <w:rPr>
          <w:i/>
          <w:iCs/>
        </w:rPr>
        <w:t>]</w:t>
      </w:r>
      <w:r w:rsidRPr="00083C2A">
        <w:rPr>
          <w:i/>
          <w:iCs/>
        </w:rPr>
        <w:t>,</w:t>
      </w:r>
      <w:r w:rsidRPr="00083C2A">
        <w:t xml:space="preserve"> including notifying the Secretary of the Department within 24 hours</w:t>
      </w:r>
      <w:r>
        <w:t>.</w:t>
      </w:r>
      <w:r>
        <w:rPr>
          <w:rStyle w:val="FootnoteReference"/>
        </w:rPr>
        <w:footnoteReference w:id="64"/>
      </w:r>
    </w:p>
    <w:p w14:paraId="7F3EDE03" w14:textId="77777777" w:rsidR="006032C9" w:rsidRDefault="006032C9" w:rsidP="00171325">
      <w:pPr>
        <w:pStyle w:val="ListParagraph"/>
        <w:numPr>
          <w:ilvl w:val="0"/>
          <w:numId w:val="18"/>
        </w:numPr>
        <w:ind w:left="417"/>
        <w:rPr>
          <w:b/>
        </w:rPr>
      </w:pPr>
      <w:r w:rsidRPr="00083C2A">
        <w:rPr>
          <w:b/>
        </w:rPr>
        <w:lastRenderedPageBreak/>
        <w:t>Work health and safety</w:t>
      </w:r>
    </w:p>
    <w:p w14:paraId="29D80656" w14:textId="38ECE67A" w:rsidR="006032C9" w:rsidRPr="000E043A" w:rsidRDefault="006032C9" w:rsidP="00614FF6">
      <w:pPr>
        <w:ind w:left="57"/>
      </w:pPr>
      <w:r w:rsidRPr="000E043A">
        <w:t>Section 49(5) of the Minister</w:t>
      </w:r>
      <w:r w:rsidR="00F85EBE">
        <w:t>’</w:t>
      </w:r>
      <w:r w:rsidRPr="000E043A">
        <w:t>s Rules requires providers to manage workplace health and safety risks associated with the service and includes an explicit obligation for providers to notify the Secretary of the Department through written feedback of the incident, and within 14 days of the incident occurring, a report detailing the circumstance of the incident.</w:t>
      </w:r>
      <w:r>
        <w:rPr>
          <w:rStyle w:val="FootnoteReference"/>
        </w:rPr>
        <w:footnoteReference w:id="65"/>
      </w:r>
    </w:p>
    <w:p w14:paraId="5F77E4C9" w14:textId="77777777" w:rsidR="006032C9" w:rsidRDefault="006032C9" w:rsidP="00171325">
      <w:pPr>
        <w:pStyle w:val="ListParagraph"/>
        <w:numPr>
          <w:ilvl w:val="0"/>
          <w:numId w:val="18"/>
        </w:numPr>
        <w:ind w:left="417"/>
        <w:rPr>
          <w:b/>
        </w:rPr>
      </w:pPr>
      <w:r w:rsidRPr="00083C2A">
        <w:rPr>
          <w:b/>
        </w:rPr>
        <w:t>Insurance</w:t>
      </w:r>
    </w:p>
    <w:p w14:paraId="1590E12B" w14:textId="77777777" w:rsidR="006032C9" w:rsidRPr="00026776" w:rsidRDefault="006032C9" w:rsidP="00614FF6">
      <w:pPr>
        <w:ind w:left="57"/>
      </w:pPr>
      <w:r w:rsidRPr="00026776">
        <w:t>Section 49(8) outlines the requirement for a provider to have an adequate insurance policy in place at all times, including appropriate workers compensation insurance (section 49(8)(a)), as well as public liability insurance with minimum cover of $10,000,000 (section 49(8)(b)).</w:t>
      </w:r>
      <w:r>
        <w:rPr>
          <w:rStyle w:val="FootnoteReference"/>
        </w:rPr>
        <w:footnoteReference w:id="66"/>
      </w:r>
    </w:p>
    <w:p w14:paraId="721AE28B" w14:textId="77777777" w:rsidR="006032C9" w:rsidRDefault="006032C9" w:rsidP="00171325">
      <w:pPr>
        <w:pStyle w:val="ListParagraph"/>
        <w:numPr>
          <w:ilvl w:val="0"/>
          <w:numId w:val="18"/>
        </w:numPr>
        <w:ind w:left="417"/>
        <w:rPr>
          <w:b/>
        </w:rPr>
      </w:pPr>
      <w:r w:rsidRPr="00083C2A">
        <w:rPr>
          <w:b/>
        </w:rPr>
        <w:t>Quality Improvement Plan</w:t>
      </w:r>
    </w:p>
    <w:p w14:paraId="218BA1B3" w14:textId="594D5705" w:rsidR="003E2CA9" w:rsidRPr="00797C79" w:rsidRDefault="006032C9" w:rsidP="00614FF6">
      <w:pPr>
        <w:ind w:left="57"/>
      </w:pPr>
      <w:r w:rsidRPr="002B30A5">
        <w:t>Section 49(9) outlines the requirement for the provider to have a written Quality Improvement Plan (QIP) within 6 months of approval to operate, which can be made available to view by the Secretary on request (s49(9)(b), and includes an explicit assessment of the service’s strengths and weaknesses against the 7 National Quality Standards outlined in the NQF (s49(9)(c).</w:t>
      </w:r>
      <w:r>
        <w:rPr>
          <w:rStyle w:val="FootnoteReference"/>
        </w:rPr>
        <w:footnoteReference w:id="67"/>
      </w:r>
      <w:r>
        <w:br/>
      </w:r>
    </w:p>
    <w:p w14:paraId="7780EDA3" w14:textId="07087867" w:rsidR="00C935E1" w:rsidRDefault="005D7899" w:rsidP="00C935E1">
      <w:pPr>
        <w:pStyle w:val="Heading3"/>
      </w:pPr>
      <w:bookmarkStart w:id="98" w:name="_Ref153370208"/>
      <w:r>
        <w:t>Current roles and responsibilities in relation to the CCCFR grant</w:t>
      </w:r>
      <w:bookmarkEnd w:id="98"/>
    </w:p>
    <w:p w14:paraId="18192AE4" w14:textId="21ECAF1C" w:rsidR="00117C37" w:rsidRDefault="00D67D5D" w:rsidP="00F85EBE">
      <w:r>
        <w:t>Within the context of the CCCFR grant administration,</w:t>
      </w:r>
      <w:r w:rsidR="00117C37">
        <w:t xml:space="preserve"> </w:t>
      </w:r>
      <w:r w:rsidR="0081507A">
        <w:t xml:space="preserve">a </w:t>
      </w:r>
      <w:r w:rsidR="00117C37">
        <w:t xml:space="preserve">high-level overview of the roles and </w:t>
      </w:r>
      <w:r>
        <w:t>responsibilities</w:t>
      </w:r>
      <w:r w:rsidR="00117C37">
        <w:t xml:space="preserve"> associated with the Department, the </w:t>
      </w:r>
      <w:r w:rsidR="2AA9817F">
        <w:t xml:space="preserve">CCCFR </w:t>
      </w:r>
      <w:r w:rsidR="00117C37">
        <w:t xml:space="preserve">Program Officers and services has been included </w:t>
      </w:r>
      <w:r>
        <w:t>below.</w:t>
      </w:r>
    </w:p>
    <w:p w14:paraId="188F2327" w14:textId="2091A5DB" w:rsidR="00117C37" w:rsidRDefault="00117C37" w:rsidP="00DE39AC">
      <w:pPr>
        <w:pStyle w:val="CaptionTable"/>
      </w:pPr>
      <w:bookmarkStart w:id="99" w:name="_Ref153370810"/>
      <w:bookmarkStart w:id="100" w:name="_Toc158997955"/>
      <w:bookmarkStart w:id="101" w:name="_Toc167130701"/>
      <w:r>
        <w:t>: Roles and responsibilities of key stakeholders for CCCFR grant</w:t>
      </w:r>
      <w:bookmarkEnd w:id="99"/>
      <w:bookmarkEnd w:id="100"/>
      <w:bookmarkEnd w:id="101"/>
    </w:p>
    <w:tbl>
      <w:tblPr>
        <w:tblStyle w:val="Deloittetable"/>
        <w:tblW w:w="0" w:type="auto"/>
        <w:tblLook w:val="04A0" w:firstRow="1" w:lastRow="0" w:firstColumn="1" w:lastColumn="0" w:noHBand="0" w:noVBand="1"/>
      </w:tblPr>
      <w:tblGrid>
        <w:gridCol w:w="3261"/>
        <w:gridCol w:w="5755"/>
      </w:tblGrid>
      <w:tr w:rsidR="00117C37" w14:paraId="67D3B4D4" w14:textId="77777777" w:rsidTr="2B91AEFB">
        <w:trPr>
          <w:cnfStyle w:val="100000000000" w:firstRow="1" w:lastRow="0" w:firstColumn="0" w:lastColumn="0" w:oddVBand="0" w:evenVBand="0" w:oddHBand="0" w:evenHBand="0" w:firstRowFirstColumn="0" w:firstRowLastColumn="0" w:lastRowFirstColumn="0" w:lastRowLastColumn="0"/>
        </w:trPr>
        <w:tc>
          <w:tcPr>
            <w:tcW w:w="3261" w:type="dxa"/>
          </w:tcPr>
          <w:p w14:paraId="46445D18" w14:textId="77777777" w:rsidR="00117C37" w:rsidRPr="00636E9D" w:rsidRDefault="00117C37">
            <w:pPr>
              <w:rPr>
                <w:b/>
                <w:bCs/>
              </w:rPr>
            </w:pPr>
            <w:r w:rsidRPr="00636E9D">
              <w:rPr>
                <w:b/>
                <w:bCs/>
              </w:rPr>
              <w:t>Stakeholder</w:t>
            </w:r>
          </w:p>
        </w:tc>
        <w:tc>
          <w:tcPr>
            <w:tcW w:w="5755" w:type="dxa"/>
          </w:tcPr>
          <w:p w14:paraId="47B437F6" w14:textId="77777777" w:rsidR="00117C37" w:rsidRPr="00636E9D" w:rsidRDefault="00117C37">
            <w:pPr>
              <w:rPr>
                <w:b/>
                <w:bCs/>
              </w:rPr>
            </w:pPr>
            <w:r w:rsidRPr="00636E9D">
              <w:rPr>
                <w:b/>
                <w:bCs/>
              </w:rPr>
              <w:t xml:space="preserve">Role/responsibility </w:t>
            </w:r>
          </w:p>
        </w:tc>
      </w:tr>
      <w:tr w:rsidR="00117C37" w14:paraId="1662A511" w14:textId="77777777" w:rsidTr="2B91AEFB">
        <w:tc>
          <w:tcPr>
            <w:tcW w:w="3261" w:type="dxa"/>
          </w:tcPr>
          <w:p w14:paraId="3FCD0866" w14:textId="77777777" w:rsidR="00117C37" w:rsidRPr="00F94399" w:rsidRDefault="00117C37">
            <w:pPr>
              <w:rPr>
                <w:b/>
                <w:bCs/>
              </w:rPr>
            </w:pPr>
            <w:r w:rsidRPr="00F94399">
              <w:rPr>
                <w:b/>
                <w:bCs/>
              </w:rPr>
              <w:t>Australian Government Department of Education</w:t>
            </w:r>
          </w:p>
        </w:tc>
        <w:tc>
          <w:tcPr>
            <w:tcW w:w="5755" w:type="dxa"/>
          </w:tcPr>
          <w:p w14:paraId="37C813A9" w14:textId="2296EDCD" w:rsidR="00117C37" w:rsidRDefault="00117C37">
            <w:r>
              <w:t>As the funding administrator of the CCCFR grant, the Department is responsible for the overarching governance arrangements for the grant.</w:t>
            </w:r>
          </w:p>
          <w:p w14:paraId="11A715BC" w14:textId="77777777" w:rsidR="00117C37" w:rsidRDefault="00117C37">
            <w:r>
              <w:t>This role includes, but is not limited to:</w:t>
            </w:r>
          </w:p>
          <w:p w14:paraId="51F990E2" w14:textId="77777777" w:rsidR="00117C37" w:rsidRDefault="00117C37" w:rsidP="00557ABC">
            <w:pPr>
              <w:pStyle w:val="ListBullet"/>
            </w:pPr>
            <w:r>
              <w:t>establishing the policy rationale, objectives, and intent behind the CCCFR grant funding</w:t>
            </w:r>
          </w:p>
          <w:p w14:paraId="6E3801CB" w14:textId="7ED80727" w:rsidR="00117C37" w:rsidRDefault="00117C37" w:rsidP="00557ABC">
            <w:pPr>
              <w:pStyle w:val="ListBullet"/>
            </w:pPr>
            <w:r>
              <w:t xml:space="preserve">oversight </w:t>
            </w:r>
            <w:r w:rsidR="18924A71">
              <w:t xml:space="preserve">of </w:t>
            </w:r>
            <w:r>
              <w:t xml:space="preserve">the legislative compliance of services and the broader </w:t>
            </w:r>
            <w:r w:rsidR="0096060A">
              <w:t>grant</w:t>
            </w:r>
            <w:r>
              <w:t xml:space="preserve">, in relation to s49 of the Ministers Rules and the broader legislative obligations outlined under the FAL </w:t>
            </w:r>
          </w:p>
          <w:p w14:paraId="75A9C4D3" w14:textId="466CC556" w:rsidR="00117C37" w:rsidRDefault="1741EC81" w:rsidP="00557ABC">
            <w:pPr>
              <w:pStyle w:val="ListBullet"/>
            </w:pPr>
            <w:r>
              <w:t xml:space="preserve">being the </w:t>
            </w:r>
            <w:r w:rsidR="00117C37">
              <w:t>entity responsible for legislative drafting and amendments to:</w:t>
            </w:r>
          </w:p>
          <w:p w14:paraId="0CF0CB11" w14:textId="7352BB52" w:rsidR="00117C37" w:rsidRDefault="00117C37" w:rsidP="00557ABC">
            <w:pPr>
              <w:pStyle w:val="ListBullet2"/>
            </w:pPr>
            <w:r>
              <w:t>FAL</w:t>
            </w:r>
          </w:p>
          <w:p w14:paraId="0CAAFAC2" w14:textId="7AB93DA6" w:rsidR="00117C37" w:rsidRDefault="00117C37" w:rsidP="00557ABC">
            <w:pPr>
              <w:pStyle w:val="ListBullet2"/>
            </w:pPr>
            <w:r w:rsidRPr="0093169D">
              <w:t>Child Care Subsidy Minister</w:t>
            </w:r>
            <w:r w:rsidR="00F627A3">
              <w:t>’</w:t>
            </w:r>
            <w:r w:rsidRPr="0093169D">
              <w:t>s Rules 2017</w:t>
            </w:r>
            <w:r>
              <w:t xml:space="preserve"> (in particular subsection 85GB(1) and 194(5))</w:t>
            </w:r>
          </w:p>
        </w:tc>
      </w:tr>
      <w:tr w:rsidR="00117C37" w14:paraId="7BDD7A2D" w14:textId="77777777" w:rsidTr="2B91AEFB">
        <w:tc>
          <w:tcPr>
            <w:tcW w:w="3261" w:type="dxa"/>
          </w:tcPr>
          <w:p w14:paraId="616346AE" w14:textId="77777777" w:rsidR="00117C37" w:rsidRPr="00F94399" w:rsidRDefault="00117C37">
            <w:pPr>
              <w:rPr>
                <w:b/>
                <w:bCs/>
              </w:rPr>
            </w:pPr>
            <w:r w:rsidRPr="00F94399">
              <w:rPr>
                <w:b/>
                <w:bCs/>
              </w:rPr>
              <w:t>CCCFR Program Officer</w:t>
            </w:r>
          </w:p>
        </w:tc>
        <w:tc>
          <w:tcPr>
            <w:tcW w:w="5755" w:type="dxa"/>
          </w:tcPr>
          <w:p w14:paraId="389B6252" w14:textId="47E9334C" w:rsidR="00117C37" w:rsidRDefault="00117C37">
            <w:r>
              <w:t>CCCFR Program Officers are employees of the Department and provide ongoing support and guidance to services accessing the CCCFR grant.</w:t>
            </w:r>
          </w:p>
          <w:p w14:paraId="3C17A6DA" w14:textId="77777777" w:rsidR="00117C37" w:rsidRDefault="00117C37">
            <w:r>
              <w:t>These Officers are responsible for a range of activities, including:</w:t>
            </w:r>
          </w:p>
          <w:p w14:paraId="23DF060A" w14:textId="77777777" w:rsidR="00117C37" w:rsidRDefault="00117C37" w:rsidP="00977D95">
            <w:pPr>
              <w:pStyle w:val="ListBullet"/>
            </w:pPr>
            <w:r>
              <w:lastRenderedPageBreak/>
              <w:t>providing advice and further information to CCCFR services around the intent and appropriate use of funding under the CCCFR grant</w:t>
            </w:r>
          </w:p>
          <w:p w14:paraId="5DE39001" w14:textId="77777777" w:rsidR="00D67D5D" w:rsidRDefault="00D67D5D" w:rsidP="00977D95">
            <w:pPr>
              <w:pStyle w:val="ListBullet"/>
            </w:pPr>
            <w:r>
              <w:t xml:space="preserve">reviewing grant documentation and </w:t>
            </w:r>
            <w:r w:rsidR="0254D3D8">
              <w:t>undertaking compliance assessments of submitted materials</w:t>
            </w:r>
            <w:r w:rsidR="65D656A9">
              <w:t>.</w:t>
            </w:r>
          </w:p>
          <w:p w14:paraId="37F98E86" w14:textId="404133B2" w:rsidR="008D7FB5" w:rsidRPr="00061BBB" w:rsidRDefault="008D7FB5" w:rsidP="008D7FB5">
            <w:pPr>
              <w:spacing w:before="60"/>
              <w:ind w:left="0"/>
              <w:rPr>
                <w:i/>
                <w:iCs/>
              </w:rPr>
            </w:pPr>
            <w:r w:rsidRPr="00061BBB">
              <w:rPr>
                <w:i/>
                <w:iCs/>
              </w:rPr>
              <w:t>Further detail in relation to the Program Officers’ roles has been included within</w:t>
            </w:r>
            <w:r w:rsidR="00061BBB" w:rsidRPr="00061BBB">
              <w:rPr>
                <w:i/>
                <w:iCs/>
              </w:rPr>
              <w:t xml:space="preserve"> </w:t>
            </w:r>
            <w:r w:rsidR="00583BB8">
              <w:rPr>
                <w:i/>
                <w:iCs/>
              </w:rPr>
              <w:t>the a</w:t>
            </w:r>
            <w:r w:rsidR="00061BBB" w:rsidRPr="4470D6F5">
              <w:rPr>
                <w:i/>
                <w:iCs/>
              </w:rPr>
              <w:t xml:space="preserve">dministration, </w:t>
            </w:r>
            <w:r w:rsidR="00583BB8">
              <w:rPr>
                <w:i/>
                <w:iCs/>
              </w:rPr>
              <w:t>g</w:t>
            </w:r>
            <w:r w:rsidR="00061BBB" w:rsidRPr="4470D6F5">
              <w:rPr>
                <w:i/>
                <w:iCs/>
              </w:rPr>
              <w:t>overnance</w:t>
            </w:r>
            <w:r w:rsidR="00061BBB" w:rsidRPr="00061BBB">
              <w:rPr>
                <w:i/>
                <w:iCs/>
              </w:rPr>
              <w:t xml:space="preserve"> and </w:t>
            </w:r>
            <w:r w:rsidR="00583BB8">
              <w:rPr>
                <w:i/>
                <w:iCs/>
              </w:rPr>
              <w:t>c</w:t>
            </w:r>
            <w:r w:rsidR="00061BBB" w:rsidRPr="4470D6F5">
              <w:rPr>
                <w:i/>
                <w:iCs/>
              </w:rPr>
              <w:t xml:space="preserve">ompliance </w:t>
            </w:r>
            <w:r w:rsidR="00583BB8">
              <w:rPr>
                <w:i/>
                <w:iCs/>
              </w:rPr>
              <w:t>chapter</w:t>
            </w:r>
            <w:r w:rsidR="00061BBB" w:rsidRPr="4470D6F5">
              <w:rPr>
                <w:i/>
                <w:iCs/>
              </w:rPr>
              <w:t xml:space="preserve"> </w:t>
            </w:r>
            <w:r w:rsidR="00061BBB" w:rsidRPr="00061BBB">
              <w:rPr>
                <w:i/>
                <w:iCs/>
              </w:rPr>
              <w:t>of this report</w:t>
            </w:r>
            <w:r w:rsidR="00B06530">
              <w:rPr>
                <w:i/>
                <w:iCs/>
              </w:rPr>
              <w:t xml:space="preserve"> (see </w:t>
            </w:r>
            <w:r w:rsidR="006502CD">
              <w:rPr>
                <w:i/>
                <w:iCs/>
              </w:rPr>
              <w:t xml:space="preserve">section </w:t>
            </w:r>
            <w:r w:rsidR="006502CD">
              <w:rPr>
                <w:i/>
                <w:iCs/>
              </w:rPr>
              <w:fldChar w:fldCharType="begin"/>
            </w:r>
            <w:r w:rsidR="006502CD">
              <w:rPr>
                <w:i/>
                <w:iCs/>
              </w:rPr>
              <w:instrText xml:space="preserve"> REF _Ref158969796 \r \h </w:instrText>
            </w:r>
            <w:r w:rsidR="006502CD">
              <w:rPr>
                <w:i/>
                <w:iCs/>
              </w:rPr>
            </w:r>
            <w:r w:rsidR="006502CD">
              <w:rPr>
                <w:i/>
                <w:iCs/>
              </w:rPr>
              <w:fldChar w:fldCharType="separate"/>
            </w:r>
            <w:r w:rsidR="00D300D0">
              <w:rPr>
                <w:i/>
                <w:iCs/>
              </w:rPr>
              <w:t>7.1</w:t>
            </w:r>
            <w:r w:rsidR="006502CD">
              <w:rPr>
                <w:i/>
                <w:iCs/>
              </w:rPr>
              <w:fldChar w:fldCharType="end"/>
            </w:r>
            <w:r w:rsidR="06CE5CF1" w:rsidRPr="4470D6F5">
              <w:rPr>
                <w:i/>
                <w:iCs/>
              </w:rPr>
              <w:t>)</w:t>
            </w:r>
            <w:r w:rsidR="00061BBB" w:rsidRPr="4470D6F5">
              <w:rPr>
                <w:i/>
                <w:iCs/>
              </w:rPr>
              <w:t>.</w:t>
            </w:r>
          </w:p>
        </w:tc>
      </w:tr>
      <w:tr w:rsidR="006842E5" w14:paraId="21CC755F" w14:textId="77777777" w:rsidTr="2B91AEFB">
        <w:tc>
          <w:tcPr>
            <w:tcW w:w="3261" w:type="dxa"/>
          </w:tcPr>
          <w:p w14:paraId="062091D5" w14:textId="5861C3D9" w:rsidR="006842E5" w:rsidRPr="00F94399" w:rsidRDefault="007B692D">
            <w:pPr>
              <w:rPr>
                <w:b/>
                <w:bCs/>
              </w:rPr>
            </w:pPr>
            <w:r w:rsidRPr="007B692D">
              <w:rPr>
                <w:b/>
                <w:bCs/>
              </w:rPr>
              <w:lastRenderedPageBreak/>
              <w:t>Early childhood education and care</w:t>
            </w:r>
            <w:r>
              <w:rPr>
                <w:b/>
                <w:bCs/>
              </w:rPr>
              <w:t xml:space="preserve"> </w:t>
            </w:r>
            <w:r w:rsidR="006842E5">
              <w:rPr>
                <w:b/>
                <w:bCs/>
              </w:rPr>
              <w:t>provider</w:t>
            </w:r>
            <w:r w:rsidR="00F9698E">
              <w:rPr>
                <w:b/>
                <w:bCs/>
                <w:i/>
                <w:iCs/>
              </w:rPr>
              <w:t xml:space="preserve"> (under the </w:t>
            </w:r>
            <w:r w:rsidR="00564830">
              <w:rPr>
                <w:b/>
                <w:bCs/>
                <w:i/>
                <w:iCs/>
              </w:rPr>
              <w:t>FAL</w:t>
            </w:r>
            <w:r w:rsidR="006842E5" w:rsidRPr="00CD38C6">
              <w:rPr>
                <w:b/>
                <w:bCs/>
                <w:i/>
                <w:iCs/>
              </w:rPr>
              <w:t>)</w:t>
            </w:r>
          </w:p>
        </w:tc>
        <w:tc>
          <w:tcPr>
            <w:tcW w:w="5755" w:type="dxa"/>
          </w:tcPr>
          <w:p w14:paraId="70F155AF" w14:textId="721B3037" w:rsidR="001C548E" w:rsidRDefault="00BE786F" w:rsidP="007740A5">
            <w:r>
              <w:t xml:space="preserve">Under the FAL an </w:t>
            </w:r>
            <w:r w:rsidR="007B692D">
              <w:t xml:space="preserve">ECEC provider </w:t>
            </w:r>
            <w:r>
              <w:t>is</w:t>
            </w:r>
            <w:r w:rsidR="009D0FFF">
              <w:t xml:space="preserve"> the entity responsible for administering the CCS</w:t>
            </w:r>
            <w:r w:rsidR="00F9698E">
              <w:t>.</w:t>
            </w:r>
            <w:r w:rsidR="007740A5">
              <w:t xml:space="preserve"> </w:t>
            </w:r>
            <w:r w:rsidR="0017040A">
              <w:t xml:space="preserve">As the overarching </w:t>
            </w:r>
            <w:r w:rsidR="00493D31">
              <w:t xml:space="preserve">legal </w:t>
            </w:r>
            <w:r w:rsidR="0017040A">
              <w:t>entity, the</w:t>
            </w:r>
            <w:r w:rsidR="007740A5">
              <w:t xml:space="preserve"> ECEC provider is responsible for </w:t>
            </w:r>
            <w:r w:rsidR="00493D31">
              <w:t>the ongoing management</w:t>
            </w:r>
            <w:r w:rsidR="0017040A">
              <w:t xml:space="preserve"> of a child care service.</w:t>
            </w:r>
          </w:p>
          <w:p w14:paraId="2A8740C4" w14:textId="13DA1152" w:rsidR="0014705A" w:rsidRDefault="00393421" w:rsidP="007740A5">
            <w:r>
              <w:t xml:space="preserve">Unless explicitly </w:t>
            </w:r>
            <w:r w:rsidR="00A847DC">
              <w:t>noted, findings in this report in relation to administering the CCS or</w:t>
            </w:r>
            <w:r w:rsidR="00332B87">
              <w:t xml:space="preserve"> managing fun</w:t>
            </w:r>
            <w:r w:rsidR="007F0873">
              <w:t>ding through the CCCFR grant will be referred to as the ‘CCCFR service’.</w:t>
            </w:r>
            <w:r w:rsidR="0014705A">
              <w:t xml:space="preserve"> </w:t>
            </w:r>
          </w:p>
        </w:tc>
      </w:tr>
      <w:tr w:rsidR="00117C37" w14:paraId="5B3B8B3A" w14:textId="77777777" w:rsidTr="2B91AEFB">
        <w:tc>
          <w:tcPr>
            <w:tcW w:w="3261" w:type="dxa"/>
          </w:tcPr>
          <w:p w14:paraId="7AA505D5" w14:textId="77777777" w:rsidR="00117C37" w:rsidRDefault="00117C37">
            <w:r w:rsidRPr="00F94399">
              <w:rPr>
                <w:b/>
                <w:bCs/>
              </w:rPr>
              <w:t>Child care service</w:t>
            </w:r>
            <w:r>
              <w:t xml:space="preserve"> </w:t>
            </w:r>
            <w:r w:rsidRPr="00F94399">
              <w:rPr>
                <w:b/>
                <w:bCs/>
                <w:i/>
                <w:iCs/>
              </w:rPr>
              <w:t>(receiving CCCFR grant)</w:t>
            </w:r>
          </w:p>
        </w:tc>
        <w:tc>
          <w:tcPr>
            <w:tcW w:w="5755" w:type="dxa"/>
          </w:tcPr>
          <w:p w14:paraId="27DDB564" w14:textId="295C309A" w:rsidR="00117C37" w:rsidRDefault="00117C37">
            <w:r>
              <w:t>As services receiving funding under the CCCFR</w:t>
            </w:r>
            <w:r w:rsidR="00E92B49">
              <w:t xml:space="preserve"> grant</w:t>
            </w:r>
            <w:r>
              <w:t>, services are responsible for:</w:t>
            </w:r>
            <w:r>
              <w:rPr>
                <w:rStyle w:val="FootnoteReference"/>
              </w:rPr>
              <w:footnoteReference w:id="68"/>
            </w:r>
          </w:p>
          <w:p w14:paraId="7F847E4A" w14:textId="07A8FE7E" w:rsidR="00117C37" w:rsidRDefault="00117C37" w:rsidP="00E92B49">
            <w:pPr>
              <w:pStyle w:val="ListBullet"/>
            </w:pPr>
            <w:r>
              <w:t xml:space="preserve">delivering a child care service, including </w:t>
            </w:r>
            <w:r w:rsidR="7A77E96B">
              <w:t xml:space="preserve">meeting ongoing obligations to </w:t>
            </w:r>
            <w:r w:rsidR="7DC0E6F1">
              <w:t xml:space="preserve">maintain provider </w:t>
            </w:r>
            <w:r>
              <w:t>approval to administer the CCS in line with the FAL</w:t>
            </w:r>
          </w:p>
          <w:p w14:paraId="71A4A513" w14:textId="119D2046" w:rsidR="0063635B" w:rsidRDefault="34E7EB67" w:rsidP="00E92B49">
            <w:pPr>
              <w:pStyle w:val="ListBullet"/>
            </w:pPr>
            <w:r>
              <w:t>meeting the NQF or relevant state or territory residual legislation</w:t>
            </w:r>
          </w:p>
          <w:p w14:paraId="18EDC93B" w14:textId="2F7EF67A" w:rsidR="00117C37" w:rsidRDefault="34E7EB67" w:rsidP="00E92B49">
            <w:pPr>
              <w:pStyle w:val="ListBullet"/>
            </w:pPr>
            <w:r>
              <w:t xml:space="preserve">if relevant, </w:t>
            </w:r>
            <w:r w:rsidR="00117C37">
              <w:t>ensuring compliance with Section 49 of the Minister</w:t>
            </w:r>
            <w:r w:rsidR="69C103BA">
              <w:t>’</w:t>
            </w:r>
            <w:r w:rsidR="00117C37">
              <w:t xml:space="preserve">s Rules </w:t>
            </w:r>
            <w:r w:rsidR="00117C37" w:rsidRPr="00537E62">
              <w:t>(Child Care Subsidy Minister</w:t>
            </w:r>
            <w:r w:rsidR="00F627A3">
              <w:t>’</w:t>
            </w:r>
            <w:r w:rsidR="00117C37" w:rsidRPr="00537E62">
              <w:t>s Rules 2017)</w:t>
            </w:r>
            <w:r w:rsidR="00117C37">
              <w:rPr>
                <w:rStyle w:val="FootnoteReference"/>
              </w:rPr>
              <w:footnoteReference w:id="69"/>
            </w:r>
          </w:p>
          <w:p w14:paraId="3F5C83DD" w14:textId="697B73B1" w:rsidR="00117C37" w:rsidRPr="00D67D5D" w:rsidRDefault="00117C37" w:rsidP="00E92B49">
            <w:pPr>
              <w:pStyle w:val="ListBullet"/>
            </w:pPr>
            <w:r>
              <w:t>meeting all conditions outlined in their grant agreement, including financial reporting and additional documentation relating to compliance and overall operations</w:t>
            </w:r>
            <w:r w:rsidR="69C103BA">
              <w:t>.</w:t>
            </w:r>
          </w:p>
        </w:tc>
      </w:tr>
    </w:tbl>
    <w:p w14:paraId="2D88265E" w14:textId="49647679" w:rsidR="00DE39AC" w:rsidRPr="00697AA3" w:rsidRDefault="00DE0BB2" w:rsidP="00ED7F62">
      <w:pPr>
        <w:pStyle w:val="Heading3"/>
        <w:spacing w:before="170"/>
      </w:pPr>
      <w:bookmarkStart w:id="102" w:name="_Ref153381372"/>
      <w:bookmarkStart w:id="103" w:name="_Ref152858019"/>
      <w:r>
        <w:t>Occupancy</w:t>
      </w:r>
      <w:r w:rsidR="00ED7F62">
        <w:t xml:space="preserve"> and l</w:t>
      </w:r>
      <w:r>
        <w:t xml:space="preserve">easing </w:t>
      </w:r>
      <w:r w:rsidR="00ED7F62">
        <w:t>a</w:t>
      </w:r>
      <w:r>
        <w:t>rrangements</w:t>
      </w:r>
      <w:bookmarkEnd w:id="102"/>
    </w:p>
    <w:p w14:paraId="5D1CAFE4" w14:textId="5F6A5DE6" w:rsidR="00014B47" w:rsidRDefault="008F19FE" w:rsidP="00014B47">
      <w:r w:rsidRPr="0083582A">
        <w:t xml:space="preserve">A subsection of CCCFR services in the Northern Territory </w:t>
      </w:r>
      <w:r w:rsidR="000E6ADF" w:rsidRPr="0083582A">
        <w:t xml:space="preserve">have leasing </w:t>
      </w:r>
      <w:r w:rsidR="000D5976" w:rsidRPr="0083582A">
        <w:t>or management</w:t>
      </w:r>
      <w:r w:rsidR="000E6ADF" w:rsidRPr="0083582A">
        <w:t xml:space="preserve"> arrangements </w:t>
      </w:r>
      <w:r w:rsidR="00DA5258" w:rsidRPr="0083582A">
        <w:t xml:space="preserve">with the </w:t>
      </w:r>
      <w:r w:rsidR="0083582A" w:rsidRPr="0083582A">
        <w:t>Australian Government</w:t>
      </w:r>
      <w:r w:rsidR="00DA5258" w:rsidRPr="0083582A">
        <w:t xml:space="preserve"> </w:t>
      </w:r>
      <w:r w:rsidR="000D5976" w:rsidRPr="0083582A">
        <w:t xml:space="preserve">or Northern Territory </w:t>
      </w:r>
      <w:r w:rsidR="0083582A" w:rsidRPr="0083582A">
        <w:t>G</w:t>
      </w:r>
      <w:r w:rsidR="000D5976" w:rsidRPr="0083582A">
        <w:t>overnment.</w:t>
      </w:r>
      <w:r w:rsidR="00451AAF" w:rsidRPr="0083582A">
        <w:t xml:space="preserve"> </w:t>
      </w:r>
      <w:r w:rsidR="00014B47">
        <w:t xml:space="preserve">Two arrangements </w:t>
      </w:r>
      <w:r w:rsidR="00000E45">
        <w:t>are</w:t>
      </w:r>
      <w:r w:rsidR="00014B47">
        <w:t xml:space="preserve"> in place: </w:t>
      </w:r>
    </w:p>
    <w:p w14:paraId="5093C0E5" w14:textId="4D983F85" w:rsidR="00014B47" w:rsidRDefault="00014B47" w:rsidP="0083582A">
      <w:pPr>
        <w:pStyle w:val="ListBullet"/>
      </w:pPr>
      <w:r>
        <w:t xml:space="preserve">Land Lease – of which a </w:t>
      </w:r>
      <w:r w:rsidR="00000E45">
        <w:t>Memorandum of Understanding (</w:t>
      </w:r>
      <w:r>
        <w:t>MOU</w:t>
      </w:r>
      <w:r w:rsidR="00000E45">
        <w:t>)</w:t>
      </w:r>
      <w:r>
        <w:t xml:space="preserve"> is an agreement that facilitates the administration and management of these lease arrangements</w:t>
      </w:r>
    </w:p>
    <w:p w14:paraId="39B486BF" w14:textId="511644C8" w:rsidR="00281942" w:rsidRDefault="00014B47" w:rsidP="00CD38C6">
      <w:pPr>
        <w:pStyle w:val="ListBullet"/>
      </w:pPr>
      <w:r>
        <w:t>Management Agreement.</w:t>
      </w:r>
    </w:p>
    <w:p w14:paraId="30E74C52" w14:textId="79F2B720" w:rsidR="00281942" w:rsidRPr="00281942" w:rsidRDefault="00281942" w:rsidP="00A3159C">
      <w:pPr>
        <w:spacing w:before="120"/>
        <w:rPr>
          <w:i/>
          <w:iCs/>
        </w:rPr>
      </w:pPr>
      <w:r>
        <w:rPr>
          <w:i/>
          <w:iCs/>
        </w:rPr>
        <w:t xml:space="preserve">See </w:t>
      </w:r>
      <w:r>
        <w:rPr>
          <w:i/>
          <w:iCs/>
        </w:rPr>
        <w:fldChar w:fldCharType="begin"/>
      </w:r>
      <w:r>
        <w:rPr>
          <w:i/>
          <w:iCs/>
        </w:rPr>
        <w:instrText xml:space="preserve"> REF _Ref153381109 \r \h </w:instrText>
      </w:r>
      <w:r w:rsidR="000C1D58">
        <w:rPr>
          <w:i/>
          <w:iCs/>
        </w:rPr>
        <w:instrText xml:space="preserve"> \* MERGEFORMAT </w:instrText>
      </w:r>
      <w:r>
        <w:rPr>
          <w:i/>
          <w:iCs/>
        </w:rPr>
      </w:r>
      <w:r>
        <w:rPr>
          <w:i/>
          <w:iCs/>
        </w:rPr>
        <w:fldChar w:fldCharType="separate"/>
      </w:r>
      <w:r w:rsidR="00D300D0">
        <w:rPr>
          <w:i/>
          <w:iCs/>
        </w:rPr>
        <w:t>Appendix J</w:t>
      </w:r>
      <w:r>
        <w:rPr>
          <w:i/>
          <w:iCs/>
        </w:rPr>
        <w:fldChar w:fldCharType="end"/>
      </w:r>
      <w:r>
        <w:rPr>
          <w:i/>
          <w:iCs/>
        </w:rPr>
        <w:t xml:space="preserve"> for summaries of the leasing arrangement details. </w:t>
      </w:r>
    </w:p>
    <w:p w14:paraId="0A142061" w14:textId="77777777" w:rsidR="00B4208B" w:rsidRDefault="00B4208B" w:rsidP="00B4208B">
      <w:pPr>
        <w:pStyle w:val="ListNumber2"/>
        <w:ind w:left="720" w:hanging="360"/>
      </w:pPr>
    </w:p>
    <w:p w14:paraId="117A5358" w14:textId="5F21AF0B" w:rsidR="00B4208B" w:rsidRDefault="006F3866" w:rsidP="006F3866">
      <w:pPr>
        <w:pStyle w:val="Heading4"/>
      </w:pPr>
      <w:r>
        <w:t xml:space="preserve">Land </w:t>
      </w:r>
      <w:r w:rsidR="00003735">
        <w:t>l</w:t>
      </w:r>
      <w:r>
        <w:t>ease</w:t>
      </w:r>
    </w:p>
    <w:p w14:paraId="575F53D6" w14:textId="0E7AA474" w:rsidR="006F3866" w:rsidRDefault="006F3866" w:rsidP="006F3866">
      <w:r w:rsidRPr="006F3866">
        <w:t xml:space="preserve">There are currently 26 individual land leases that were established under Section 19 of the Aboriginal Land Rights (ALR) Act between </w:t>
      </w:r>
      <w:r w:rsidR="001F6973">
        <w:t>T</w:t>
      </w:r>
      <w:r w:rsidRPr="006F3866">
        <w:t xml:space="preserve">he </w:t>
      </w:r>
      <w:r w:rsidR="00464E32">
        <w:t>Land Trust</w:t>
      </w:r>
      <w:r w:rsidR="001F6973">
        <w:t xml:space="preserve"> (Lessor), represented by </w:t>
      </w:r>
      <w:r w:rsidRPr="006F3866">
        <w:t>the Land Councils</w:t>
      </w:r>
      <w:r w:rsidR="00B90479">
        <w:t>,</w:t>
      </w:r>
      <w:r w:rsidRPr="006F3866">
        <w:t xml:space="preserve"> and the </w:t>
      </w:r>
      <w:r w:rsidR="00B90479">
        <w:t xml:space="preserve">Department (Lessee), represented by the </w:t>
      </w:r>
      <w:r w:rsidRPr="006F3866">
        <w:t>Office of Township Leasing (OTL)</w:t>
      </w:r>
      <w:r w:rsidR="00B90479">
        <w:t>.</w:t>
      </w:r>
      <w:r>
        <w:t xml:space="preserve"> The structure of the arrangement is summarised in </w:t>
      </w:r>
      <w:r w:rsidR="008118ED" w:rsidRPr="00FD2C4F">
        <w:fldChar w:fldCharType="begin"/>
      </w:r>
      <w:r w:rsidR="008118ED" w:rsidRPr="00FD2C4F">
        <w:instrText xml:space="preserve"> REF _Ref153378803 \w \h </w:instrText>
      </w:r>
      <w:r w:rsidR="00F242F4" w:rsidRPr="00FD2C4F">
        <w:instrText xml:space="preserve"> \* MERGEFORMAT </w:instrText>
      </w:r>
      <w:r w:rsidR="008118ED" w:rsidRPr="00FD2C4F">
        <w:fldChar w:fldCharType="separate"/>
      </w:r>
      <w:r w:rsidR="00D300D0">
        <w:t>Figure 2.3</w:t>
      </w:r>
      <w:r w:rsidR="008118ED" w:rsidRPr="00FD2C4F">
        <w:fldChar w:fldCharType="end"/>
      </w:r>
      <w:r w:rsidR="008118ED" w:rsidRPr="00FD2C4F">
        <w:t>.</w:t>
      </w:r>
      <w:r w:rsidR="008118ED">
        <w:t xml:space="preserve"> </w:t>
      </w:r>
      <w:r w:rsidR="00935C5D">
        <w:t xml:space="preserve">The </w:t>
      </w:r>
      <w:r w:rsidR="00851806">
        <w:t xml:space="preserve">arrangement between </w:t>
      </w:r>
      <w:r w:rsidR="0AED4296">
        <w:t>the</w:t>
      </w:r>
      <w:r w:rsidR="00851806">
        <w:t xml:space="preserve"> </w:t>
      </w:r>
      <w:r w:rsidR="000825E1">
        <w:t xml:space="preserve">Department </w:t>
      </w:r>
      <w:r w:rsidR="00A40ADB">
        <w:t xml:space="preserve">and the Service Provider (third-party occupant) is not included within the MOU arrangement. This arrangement </w:t>
      </w:r>
      <w:r w:rsidR="00196E80">
        <w:t>is negotiated under an Occupancy Right arrangement, separate to the MOU.</w:t>
      </w:r>
      <w:r w:rsidR="00405FAE">
        <w:t xml:space="preserve"> The Occupancy Right agreement</w:t>
      </w:r>
      <w:r w:rsidR="00264FA9">
        <w:t>s were not provided as part of the review</w:t>
      </w:r>
      <w:r w:rsidR="00B2626F">
        <w:t>, noting that</w:t>
      </w:r>
      <w:r w:rsidR="008A7B3B">
        <w:t xml:space="preserve"> </w:t>
      </w:r>
      <w:r w:rsidR="008A7B3B">
        <w:lastRenderedPageBreak/>
        <w:t xml:space="preserve">there are no </w:t>
      </w:r>
      <w:r w:rsidR="008A7B3B" w:rsidRPr="008A7B3B">
        <w:t>commercial or occupancy arrangements between the Commonwealth and the service provider</w:t>
      </w:r>
      <w:r w:rsidR="00264FA9">
        <w:t>.</w:t>
      </w:r>
    </w:p>
    <w:p w14:paraId="47D3A0C6" w14:textId="1AB12F53" w:rsidR="00500950" w:rsidRDefault="00DD1D32" w:rsidP="00500950">
      <w:r>
        <w:t xml:space="preserve">The land leases </w:t>
      </w:r>
      <w:r w:rsidR="000A216F">
        <w:t xml:space="preserve">are for properties </w:t>
      </w:r>
      <w:r w:rsidR="00AB6FF1">
        <w:t xml:space="preserve">from which </w:t>
      </w:r>
      <w:r w:rsidR="00F94BDA">
        <w:t xml:space="preserve">either services or staff housing </w:t>
      </w:r>
      <w:r w:rsidR="007B02D9">
        <w:t xml:space="preserve">are to be provided. </w:t>
      </w:r>
      <w:r w:rsidR="004E02C7">
        <w:t>Of the 26</w:t>
      </w:r>
      <w:r w:rsidR="00797CEB">
        <w:t xml:space="preserve"> individual land leases</w:t>
      </w:r>
      <w:r w:rsidR="00500950">
        <w:t xml:space="preserve">, 24 are for services and </w:t>
      </w:r>
      <w:r w:rsidR="00A959AC">
        <w:t>two</w:t>
      </w:r>
      <w:r w:rsidR="00500950">
        <w:t xml:space="preserve"> are for staff housing. These leases were created to support child</w:t>
      </w:r>
      <w:r w:rsidR="00C03FB1">
        <w:t xml:space="preserve"> </w:t>
      </w:r>
      <w:r w:rsidR="00500950">
        <w:t xml:space="preserve">care and early education services and housing needs in Aboriginal communities identified from various Government initiatives, including the 2005/06 National Partnership Arrangements, the 2007/08 NT Early Intervention (NTER) Measure, and the subsequent 2009/12 Budget Based Funding Quality Measure. These initiatives aimed to provide essential services and support to Aboriginal communities. </w:t>
      </w:r>
      <w:r w:rsidR="00944CF0">
        <w:t xml:space="preserve">The sample of leases provided for review included the lease arrangements in place to for the properties from which the services are to be provided. </w:t>
      </w:r>
      <w:r w:rsidR="00500950">
        <w:t>Site selection for these leases was held in conjunction with traditional owners in accordance with Local Implementation Plans. The leases were negotiated with relevant Land Councils and ACCOs, and the Department. There are five lease types</w:t>
      </w:r>
      <w:r w:rsidR="006D3282">
        <w:t xml:space="preserve"> in total</w:t>
      </w:r>
      <w:r w:rsidR="00500950">
        <w:t xml:space="preserve">: </w:t>
      </w:r>
    </w:p>
    <w:p w14:paraId="3C1352E3" w14:textId="34C272D3" w:rsidR="006B7181" w:rsidRDefault="00500950" w:rsidP="006D3282">
      <w:pPr>
        <w:pStyle w:val="ListBullet"/>
      </w:pPr>
      <w:r>
        <w:t xml:space="preserve">Township leasing </w:t>
      </w:r>
      <w:r w:rsidR="00F627A3">
        <w:t>–</w:t>
      </w:r>
      <w:r>
        <w:t xml:space="preserve"> </w:t>
      </w:r>
      <w:r w:rsidR="006D3282">
        <w:t>t</w:t>
      </w:r>
      <w:r>
        <w:t xml:space="preserve">his type of lease is associated with townships or urban areas within Aboriginal land, allowing for the provision of services and housing </w:t>
      </w:r>
    </w:p>
    <w:p w14:paraId="0A27E846" w14:textId="22BBCD97" w:rsidR="006B7181" w:rsidRDefault="00500950" w:rsidP="006D3282">
      <w:pPr>
        <w:pStyle w:val="ListBullet"/>
      </w:pPr>
      <w:r>
        <w:t xml:space="preserve">Northern Land Council leases </w:t>
      </w:r>
      <w:r w:rsidR="00F627A3">
        <w:t>–</w:t>
      </w:r>
      <w:r>
        <w:t xml:space="preserve"> The Northern Land Council is one of the two major Land Councils in the Northern Territory of Australia. Leases established in collaboration with this Council are specific to its jurisdiction</w:t>
      </w:r>
      <w:r w:rsidR="006D3282">
        <w:t>.</w:t>
      </w:r>
    </w:p>
    <w:p w14:paraId="6C1125AD" w14:textId="19CAD188" w:rsidR="006B7181" w:rsidRDefault="00500950" w:rsidP="006D3282">
      <w:pPr>
        <w:pStyle w:val="ListBullet"/>
      </w:pPr>
      <w:r>
        <w:t xml:space="preserve">Central Land Council leases </w:t>
      </w:r>
      <w:r w:rsidR="00F627A3">
        <w:t>–</w:t>
      </w:r>
      <w:r>
        <w:t xml:space="preserve"> </w:t>
      </w:r>
      <w:r w:rsidR="006D3282">
        <w:t>s</w:t>
      </w:r>
      <w:r>
        <w:t xml:space="preserve">imilar to the Northern Land Council, the Central Land Council is responsible for leases within its territory </w:t>
      </w:r>
    </w:p>
    <w:p w14:paraId="68DF3C08" w14:textId="0560639F" w:rsidR="00500950" w:rsidRPr="00007B71" w:rsidRDefault="00500950" w:rsidP="006D3282">
      <w:pPr>
        <w:pStyle w:val="ListBullet"/>
      </w:pPr>
      <w:r>
        <w:t xml:space="preserve">Two ACCO specific lease types </w:t>
      </w:r>
      <w:r w:rsidR="00F627A3">
        <w:t>–</w:t>
      </w:r>
      <w:r>
        <w:t xml:space="preserve"> </w:t>
      </w:r>
      <w:r w:rsidR="006D3282">
        <w:t>t</w:t>
      </w:r>
      <w:r>
        <w:t xml:space="preserve">hese two lease types are specific to ACCOs. </w:t>
      </w:r>
    </w:p>
    <w:p w14:paraId="2399C596" w14:textId="77777777" w:rsidR="006B7181" w:rsidRDefault="006B7181" w:rsidP="003438B3">
      <w:pPr>
        <w:pStyle w:val="ListBullet"/>
        <w:numPr>
          <w:ilvl w:val="0"/>
          <w:numId w:val="0"/>
        </w:numPr>
        <w:ind w:left="340"/>
      </w:pPr>
    </w:p>
    <w:p w14:paraId="717B1396" w14:textId="1FAE786A" w:rsidR="00500950" w:rsidRPr="00500950" w:rsidRDefault="00500950" w:rsidP="006B7181">
      <w:r>
        <w:t xml:space="preserve">The lease documents are in accordance with the requirement of Section 19 of the ALR Act and each Land Council/contracting entity. Initial agreements were held for a period of five (5) years under the Native Title Act 1993 and at the insistence of Traditional Owners longer terms were agreed when leases were established under the ALR Act. From the sample </w:t>
      </w:r>
      <w:r w:rsidR="00A05595">
        <w:t>documentation</w:t>
      </w:r>
      <w:r>
        <w:t xml:space="preserve"> provided</w:t>
      </w:r>
      <w:r w:rsidR="00A05595">
        <w:t xml:space="preserve"> as part of this review</w:t>
      </w:r>
      <w:r>
        <w:t>, the lease terms of the leases vary from 20 to 40 years.</w:t>
      </w:r>
    </w:p>
    <w:p w14:paraId="4AB7E361" w14:textId="09B11756" w:rsidR="00CC51CB" w:rsidRDefault="00CC51CB" w:rsidP="00CC51CB">
      <w:pPr>
        <w:pStyle w:val="CaptionFigure"/>
      </w:pPr>
      <w:bookmarkStart w:id="104" w:name="_Ref153378803"/>
      <w:bookmarkStart w:id="105" w:name="_Toc158997983"/>
      <w:bookmarkStart w:id="106" w:name="_Toc170228785"/>
      <w:r>
        <w:t>: Land Lease structure</w:t>
      </w:r>
      <w:bookmarkEnd w:id="104"/>
      <w:bookmarkEnd w:id="105"/>
      <w:bookmarkEnd w:id="106"/>
    </w:p>
    <w:p w14:paraId="2381A24E" w14:textId="31562A63" w:rsidR="006F3866" w:rsidRDefault="001A1AC4" w:rsidP="006F3866">
      <w:r>
        <w:rPr>
          <w:noProof/>
        </w:rPr>
        <w:drawing>
          <wp:inline distT="0" distB="0" distL="0" distR="0" wp14:anchorId="13F35B21" wp14:editId="7B543C64">
            <wp:extent cx="5709518" cy="2259554"/>
            <wp:effectExtent l="19050" t="19050" r="24765" b="26670"/>
            <wp:docPr id="25" name="Picture 25" descr="Diagram showcasing the land lease structure of 26 CCCFR services in the Northern 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showcasing the land lease structure of 26 CCCFR services in the Northern Territory.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09518" cy="2259554"/>
                    </a:xfrm>
                    <a:prstGeom prst="rect">
                      <a:avLst/>
                    </a:prstGeom>
                    <a:ln>
                      <a:solidFill>
                        <a:schemeClr val="tx1"/>
                      </a:solidFill>
                    </a:ln>
                  </pic:spPr>
                </pic:pic>
              </a:graphicData>
            </a:graphic>
          </wp:inline>
        </w:drawing>
      </w:r>
    </w:p>
    <w:p w14:paraId="09FE8DFB" w14:textId="5E597DC2" w:rsidR="006F3866" w:rsidRDefault="008118ED" w:rsidP="008118ED">
      <w:pPr>
        <w:pStyle w:val="Source"/>
      </w:pPr>
      <w:r>
        <w:t xml:space="preserve">Source: </w:t>
      </w:r>
      <w:r w:rsidRPr="008118ED">
        <w:t>Deloitte Real Estate</w:t>
      </w:r>
      <w:r w:rsidR="001D5B79">
        <w:t xml:space="preserve"> (2023)</w:t>
      </w:r>
      <w:r w:rsidR="00BD1600">
        <w:t>.</w:t>
      </w:r>
    </w:p>
    <w:p w14:paraId="29FC44D2" w14:textId="2C99AC2D" w:rsidR="00257BF8" w:rsidRDefault="00257BF8" w:rsidP="007B70A0">
      <w:pPr>
        <w:pStyle w:val="Heading5un-numbered"/>
      </w:pPr>
      <w:r>
        <w:t>Memorand</w:t>
      </w:r>
      <w:r w:rsidR="007B70A0">
        <w:t>a of understanding</w:t>
      </w:r>
    </w:p>
    <w:p w14:paraId="48420A4C" w14:textId="602E0979" w:rsidR="007B70A0" w:rsidRDefault="007B70A0" w:rsidP="007B70A0">
      <w:r>
        <w:t>The MOUs are an agreement in place between the</w:t>
      </w:r>
      <w:r w:rsidR="00806CBE">
        <w:t xml:space="preserve"> Executive Director of T</w:t>
      </w:r>
      <w:r w:rsidR="00181F73">
        <w:t>own</w:t>
      </w:r>
      <w:r w:rsidR="00806CBE">
        <w:t>ship Leasing (</w:t>
      </w:r>
      <w:r>
        <w:t>EDTL</w:t>
      </w:r>
      <w:r w:rsidR="007F68FF">
        <w:t>)</w:t>
      </w:r>
      <w:r>
        <w:t xml:space="preserve"> and the Department, which define how the </w:t>
      </w:r>
      <w:r w:rsidR="5D035EAE">
        <w:t>OTL</w:t>
      </w:r>
      <w:r>
        <w:t xml:space="preserve"> will administer and manage the land leases on the Departments behalf. The agreement details how the OTL will deal directly with the Land Trusts and Land Council on all matters concerning the Leases.</w:t>
      </w:r>
      <w:r w:rsidR="002E497C">
        <w:t xml:space="preserve"> </w:t>
      </w:r>
    </w:p>
    <w:p w14:paraId="26D941F0" w14:textId="7D394756" w:rsidR="007B70A0" w:rsidRPr="007B70A0" w:rsidRDefault="007B70A0" w:rsidP="007B70A0">
      <w:r>
        <w:t xml:space="preserve">The MOUs include a total of 19 parcels of land across the Township, NLC and CLC areas including one property for the purpose of residential accommodation for the employees and contractors of the lessee. While MOUs are not legally binding contracts, they are considered important </w:t>
      </w:r>
      <w:r>
        <w:lastRenderedPageBreak/>
        <w:t>instruments for formalising agreements and ensuring that parties understand their roles and obligations in the collaborative efforts between government entities.</w:t>
      </w:r>
    </w:p>
    <w:p w14:paraId="105775D4" w14:textId="48EA71EC" w:rsidR="006F3866" w:rsidRPr="006F3866" w:rsidRDefault="006F3866" w:rsidP="006F3866">
      <w:pPr>
        <w:pStyle w:val="Heading4"/>
      </w:pPr>
      <w:r>
        <w:t>Management Agreement</w:t>
      </w:r>
    </w:p>
    <w:p w14:paraId="41CD20B9" w14:textId="46C0808C" w:rsidR="00546E43" w:rsidRDefault="00546E43" w:rsidP="00EA6B64">
      <w:r>
        <w:t>The Commonwealth of Australia, through various Capital Works Funding Agreements with Northern Territory, provided the funding to the Territory for the construction of 10 child</w:t>
      </w:r>
      <w:r w:rsidR="00C03FB1">
        <w:t xml:space="preserve"> </w:t>
      </w:r>
      <w:r>
        <w:t>care facilities on Northern Territory school land.</w:t>
      </w:r>
      <w:r w:rsidR="002E497C">
        <w:t xml:space="preserve"> </w:t>
      </w:r>
    </w:p>
    <w:p w14:paraId="4DA57A8A" w14:textId="28913E4C" w:rsidR="008B2C1C" w:rsidRPr="007A051A" w:rsidRDefault="00546E43" w:rsidP="008B2C1C">
      <w:r>
        <w:t xml:space="preserve">Following this, the Commonwealth entered into </w:t>
      </w:r>
      <w:r w:rsidR="00EA6B64">
        <w:t>a</w:t>
      </w:r>
      <w:r>
        <w:t xml:space="preserve"> Management Agreement with </w:t>
      </w:r>
      <w:r w:rsidR="00B33EC5">
        <w:t xml:space="preserve">the </w:t>
      </w:r>
      <w:r>
        <w:t>Northern Territory for the operation and maintenance of the child</w:t>
      </w:r>
      <w:r w:rsidR="00C03FB1">
        <w:t xml:space="preserve"> </w:t>
      </w:r>
      <w:r>
        <w:t>care facilities constructed on the Northern Territory school land subject to the terms set out in the agreement. The Commonwealth is obligated under the terms of the Management Agreement to engage a person or organisation to operate and manage the child</w:t>
      </w:r>
      <w:r w:rsidR="00C03FB1">
        <w:t xml:space="preserve"> </w:t>
      </w:r>
      <w:r>
        <w:t>care service out of the facilities. A Management Agreement that included six Northern Territory school sites was provided as part of this review. The review was not provided with details of the commercial or occupancy arrangement between the Commonwealth and the service provider</w:t>
      </w:r>
      <w:r w:rsidR="00EA2C67">
        <w:t>,</w:t>
      </w:r>
      <w:r>
        <w:t xml:space="preserve"> </w:t>
      </w:r>
      <w:r w:rsidR="00EA2C67" w:rsidRPr="00EA2C67">
        <w:t>preventing a comprehensive assessment of these arrangements.</w:t>
      </w:r>
      <w:r w:rsidR="00626D78">
        <w:rPr>
          <w:rStyle w:val="FootnoteReference"/>
        </w:rPr>
        <w:footnoteReference w:id="70"/>
      </w:r>
      <w:r w:rsidR="00EA2C67" w:rsidRPr="00EA2C67">
        <w:t xml:space="preserve"> Consequently, it is recommended that the Department </w:t>
      </w:r>
      <w:r w:rsidR="00E15084">
        <w:t>provide</w:t>
      </w:r>
      <w:r w:rsidR="00EA2C67" w:rsidRPr="00EA2C67">
        <w:t xml:space="preserve"> these agreements for review in the subsequent grant round</w:t>
      </w:r>
      <w:r w:rsidR="00EA2C67" w:rsidRPr="007A051A">
        <w:t>.</w:t>
      </w:r>
    </w:p>
    <w:p w14:paraId="18448BBC" w14:textId="0B35EE73" w:rsidR="005706B0" w:rsidRDefault="006F22B5" w:rsidP="006F22B5">
      <w:pPr>
        <w:pStyle w:val="CaptionFigure"/>
      </w:pPr>
      <w:bookmarkStart w:id="107" w:name="_Toc158997984"/>
      <w:bookmarkStart w:id="108" w:name="_Toc170228786"/>
      <w:r w:rsidRPr="007A051A">
        <w:t>:</w:t>
      </w:r>
      <w:r>
        <w:t xml:space="preserve"> Management Agreement </w:t>
      </w:r>
      <w:r w:rsidR="004C310F" w:rsidRPr="007A051A">
        <w:t>s</w:t>
      </w:r>
      <w:r w:rsidRPr="007A051A">
        <w:t>tructure</w:t>
      </w:r>
      <w:bookmarkEnd w:id="107"/>
      <w:bookmarkEnd w:id="108"/>
    </w:p>
    <w:p w14:paraId="0EF206E1" w14:textId="0EA6E8C3" w:rsidR="00281942" w:rsidRPr="00DE0BB2" w:rsidRDefault="00E0627E" w:rsidP="001D5B79">
      <w:pPr>
        <w:pStyle w:val="Contacttext"/>
        <w:spacing w:before="240" w:after="170"/>
      </w:pPr>
      <w:r>
        <w:rPr>
          <w:noProof/>
          <w:color w:val="75787B" w:themeColor="accent6"/>
          <w:sz w:val="14"/>
          <w:szCs w:val="14"/>
        </w:rPr>
        <w:drawing>
          <wp:inline distT="0" distB="0" distL="0" distR="0" wp14:anchorId="56B51017" wp14:editId="02150457">
            <wp:extent cx="5731510" cy="1848783"/>
            <wp:effectExtent l="19050" t="19050" r="21590" b="18415"/>
            <wp:docPr id="838388592" name="Picture 838388592" descr="Diagram showcasing the management agreement structure of 10 CCCFR services in the Northern 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92" name="Picture 838388592" descr="Diagram showcasing the management agreement structure of 10 CCCFR services in the Northern Territory.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19045" cy="1877019"/>
                    </a:xfrm>
                    <a:prstGeom prst="rect">
                      <a:avLst/>
                    </a:prstGeom>
                    <a:noFill/>
                    <a:ln>
                      <a:solidFill>
                        <a:schemeClr val="tx1"/>
                      </a:solidFill>
                    </a:ln>
                  </pic:spPr>
                </pic:pic>
              </a:graphicData>
            </a:graphic>
          </wp:inline>
        </w:drawing>
      </w:r>
      <w:r w:rsidR="005706B0">
        <w:rPr>
          <w:rFonts w:ascii="Calibri Light" w:hAnsi="Calibri Light" w:cs="Calibri Light"/>
          <w:color w:val="000000"/>
          <w:sz w:val="20"/>
          <w:szCs w:val="20"/>
          <w:shd w:val="clear" w:color="auto" w:fill="FFFFFF"/>
        </w:rPr>
        <w:br/>
      </w:r>
      <w:r w:rsidR="00D15A09" w:rsidRPr="00CF6971">
        <w:rPr>
          <w:color w:val="57595C" w:themeColor="accent6" w:themeShade="BF"/>
          <w:sz w:val="14"/>
          <w:szCs w:val="14"/>
        </w:rPr>
        <w:t>Source: Deloitte Real Estate</w:t>
      </w:r>
      <w:r w:rsidR="001D5B79" w:rsidRPr="00CF6971">
        <w:rPr>
          <w:color w:val="57595C" w:themeColor="accent6" w:themeShade="BF"/>
          <w:sz w:val="14"/>
          <w:szCs w:val="14"/>
        </w:rPr>
        <w:t xml:space="preserve"> (2023)</w:t>
      </w:r>
      <w:r w:rsidR="00BD1600" w:rsidRPr="00CF6971">
        <w:rPr>
          <w:color w:val="57595C" w:themeColor="accent6" w:themeShade="BF"/>
          <w:sz w:val="14"/>
          <w:szCs w:val="14"/>
        </w:rPr>
        <w:t>.</w:t>
      </w:r>
    </w:p>
    <w:p w14:paraId="7127E2EF" w14:textId="46184E7F" w:rsidR="00351BD3" w:rsidRDefault="007C5EC7" w:rsidP="002B2345">
      <w:pPr>
        <w:pStyle w:val="Heading2"/>
        <w:spacing w:after="120"/>
      </w:pPr>
      <w:bookmarkStart w:id="109" w:name="_Ref158969643"/>
      <w:bookmarkStart w:id="110" w:name="_Toc158993751"/>
      <w:bookmarkStart w:id="111" w:name="_Ref166854081"/>
      <w:bookmarkStart w:id="112" w:name="_Toc170227398"/>
      <w:r>
        <w:t>Profile of CCCFR services</w:t>
      </w:r>
      <w:bookmarkEnd w:id="103"/>
      <w:bookmarkEnd w:id="109"/>
      <w:bookmarkEnd w:id="110"/>
      <w:bookmarkEnd w:id="111"/>
      <w:bookmarkEnd w:id="112"/>
    </w:p>
    <w:p w14:paraId="530E27E9" w14:textId="77777777" w:rsidR="00C06F4C" w:rsidRDefault="00C06F4C" w:rsidP="00C06F4C">
      <w:r>
        <w:t>As of August 2023, there were 149 services operating through the CCCFR grant.</w:t>
      </w:r>
    </w:p>
    <w:p w14:paraId="71F7D2DA" w14:textId="60DF5EBD" w:rsidR="00C06F4C" w:rsidRDefault="00366452" w:rsidP="00C06F4C">
      <w:r>
        <w:t xml:space="preserve">CCCFR services </w:t>
      </w:r>
      <w:r w:rsidR="00437C8F">
        <w:t>vary across a range of chara</w:t>
      </w:r>
      <w:r w:rsidR="00CE06F9">
        <w:t xml:space="preserve">cteristics, as outlined below. </w:t>
      </w:r>
      <w:r w:rsidR="00C06F4C">
        <w:t>Attributes used to develop this profile</w:t>
      </w:r>
      <w:r w:rsidR="00CE06F9">
        <w:t xml:space="preserve"> of </w:t>
      </w:r>
      <w:r w:rsidR="00C06F4C">
        <w:t>service</w:t>
      </w:r>
      <w:r w:rsidR="00CE06F9">
        <w:t>s</w:t>
      </w:r>
      <w:r w:rsidR="00C06F4C">
        <w:t xml:space="preserve"> were derived from a range of data sources including data provided by the Department (including from the Compliance and Operations </w:t>
      </w:r>
      <w:r w:rsidR="009079D7">
        <w:t>Report</w:t>
      </w:r>
      <w:r w:rsidR="00C06F4C">
        <w:t xml:space="preserve">s filled out by services), CCS data and other </w:t>
      </w:r>
      <w:r w:rsidR="0096060A" w:rsidRPr="0096060A">
        <w:t>grant</w:t>
      </w:r>
      <w:r w:rsidR="00C06F4C">
        <w:t xml:space="preserve"> data held by the Department. It also uses Australian Bureau of Statistics (ABS) data and data downloaded from the National Registers </w:t>
      </w:r>
      <w:r w:rsidR="00C06F4C" w:rsidRPr="0069570B">
        <w:t>from data held in the National Quality Agenda IT System</w:t>
      </w:r>
      <w:r w:rsidR="00C06F4C">
        <w:t xml:space="preserve"> and hosted on the ACECQA website.</w:t>
      </w:r>
    </w:p>
    <w:tbl>
      <w:tblPr>
        <w:tblStyle w:val="TableGrid"/>
        <w:tblpPr w:leftFromText="180" w:rightFromText="180" w:vertAnchor="text" w:horzAnchor="margin" w:tblpY="7"/>
        <w:tblW w:w="0" w:type="auto"/>
        <w:shd w:val="clear" w:color="auto" w:fill="F1E6D3"/>
        <w:tblCellMar>
          <w:top w:w="113" w:type="dxa"/>
          <w:left w:w="113" w:type="dxa"/>
          <w:bottom w:w="113" w:type="dxa"/>
          <w:right w:w="113" w:type="dxa"/>
        </w:tblCellMar>
        <w:tblLook w:val="04A0" w:firstRow="1" w:lastRow="0" w:firstColumn="1" w:lastColumn="0" w:noHBand="0" w:noVBand="1"/>
      </w:tblPr>
      <w:tblGrid>
        <w:gridCol w:w="9026"/>
      </w:tblGrid>
      <w:tr w:rsidR="00C451DF" w14:paraId="0577ACFB" w14:textId="77777777" w:rsidTr="00887474">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F1E6D3"/>
          </w:tcPr>
          <w:p w14:paraId="678F7490" w14:textId="3F9F4CBA" w:rsidR="00C451DF" w:rsidRDefault="00C451DF">
            <w:r w:rsidRPr="001B30D3">
              <w:rPr>
                <w:b/>
                <w:bCs/>
              </w:rPr>
              <w:t>Note:</w:t>
            </w:r>
            <w:r>
              <w:t xml:space="preserve"> </w:t>
            </w:r>
            <w:r w:rsidR="00502B06">
              <w:t xml:space="preserve">as documented in section </w:t>
            </w:r>
            <w:r w:rsidR="005C25ED" w:rsidRPr="0045289D">
              <w:fldChar w:fldCharType="begin"/>
            </w:r>
            <w:r w:rsidR="005C25ED" w:rsidRPr="0045289D">
              <w:instrText xml:space="preserve"> REF _Ref153387164 \r \h </w:instrText>
            </w:r>
            <w:r w:rsidR="00981909" w:rsidRPr="0045289D">
              <w:instrText xml:space="preserve"> \* MERGEFORMAT </w:instrText>
            </w:r>
            <w:r w:rsidR="005C25ED" w:rsidRPr="0045289D">
              <w:fldChar w:fldCharType="separate"/>
            </w:r>
            <w:r w:rsidR="00D300D0">
              <w:t>4.2</w:t>
            </w:r>
            <w:r w:rsidR="005C25ED" w:rsidRPr="0045289D">
              <w:fldChar w:fldCharType="end"/>
            </w:r>
            <w:r w:rsidR="005C25ED">
              <w:t xml:space="preserve">, there are a range of limitations with the secondary data </w:t>
            </w:r>
            <w:r w:rsidR="00837C98">
              <w:t xml:space="preserve">available to the review. </w:t>
            </w:r>
            <w:r w:rsidR="005011FB">
              <w:t>This means that</w:t>
            </w:r>
            <w:r w:rsidR="00567074">
              <w:t xml:space="preserve"> the</w:t>
            </w:r>
            <w:r w:rsidR="00C23F34">
              <w:t xml:space="preserve"> p</w:t>
            </w:r>
            <w:r w:rsidR="00246CE9">
              <w:t xml:space="preserve">rofile of CCCFR services and attending children and families may not be a </w:t>
            </w:r>
            <w:r w:rsidR="00261EA9">
              <w:t>fully accurate reflection</w:t>
            </w:r>
            <w:r w:rsidR="0052266A">
              <w:t xml:space="preserve">. For example, </w:t>
            </w:r>
            <w:r w:rsidR="002D0186">
              <w:t xml:space="preserve">the CCSS data does not include all children that attend </w:t>
            </w:r>
            <w:r w:rsidR="001E58CA">
              <w:t>CCCFR services</w:t>
            </w:r>
            <w:r w:rsidR="005F26E7">
              <w:t xml:space="preserve"> </w:t>
            </w:r>
            <w:r w:rsidR="001F630A">
              <w:t xml:space="preserve">– with consultation evidence showing that some children </w:t>
            </w:r>
            <w:r w:rsidR="000D5D97">
              <w:t>who</w:t>
            </w:r>
            <w:r w:rsidR="005A7ADA">
              <w:t xml:space="preserve"> do not have access to the </w:t>
            </w:r>
            <w:r w:rsidR="00DF6D32">
              <w:t>CCS</w:t>
            </w:r>
            <w:r w:rsidR="005A7ADA">
              <w:t xml:space="preserve"> nevertheless </w:t>
            </w:r>
            <w:r w:rsidR="00727872">
              <w:t xml:space="preserve">are enrolled and </w:t>
            </w:r>
            <w:r w:rsidR="001F630A">
              <w:t xml:space="preserve">attend </w:t>
            </w:r>
            <w:r w:rsidR="00FF78AE">
              <w:t>CCCFR</w:t>
            </w:r>
            <w:r w:rsidR="005A7ADA">
              <w:t xml:space="preserve"> </w:t>
            </w:r>
            <w:r w:rsidR="001F630A">
              <w:t>service</w:t>
            </w:r>
            <w:r w:rsidR="00FF78AE">
              <w:t>s</w:t>
            </w:r>
            <w:r w:rsidR="00D23BF9">
              <w:t>.</w:t>
            </w:r>
            <w:r w:rsidR="005C25ED">
              <w:t xml:space="preserve"> </w:t>
            </w:r>
          </w:p>
        </w:tc>
      </w:tr>
    </w:tbl>
    <w:p w14:paraId="07610993" w14:textId="4530C9FA" w:rsidR="00C06F4C" w:rsidRPr="00B61E7F" w:rsidRDefault="00C06F4C" w:rsidP="00C451DF">
      <w:pPr>
        <w:spacing w:before="170"/>
      </w:pPr>
      <w:r>
        <w:t xml:space="preserve">The distribution of CCCFR services by </w:t>
      </w:r>
      <w:r w:rsidRPr="7C3ADD49">
        <w:rPr>
          <w:b/>
          <w:bCs/>
        </w:rPr>
        <w:t>state/territory</w:t>
      </w:r>
      <w:r>
        <w:t xml:space="preserve"> is shown in </w:t>
      </w:r>
      <w:r w:rsidR="00C5640D" w:rsidRPr="00B467BB">
        <w:fldChar w:fldCharType="begin"/>
      </w:r>
      <w:r w:rsidR="00C5640D" w:rsidRPr="00B467BB">
        <w:instrText xml:space="preserve"> REF _Ref152859029 \r \h </w:instrText>
      </w:r>
      <w:r w:rsidR="00981909" w:rsidRPr="00B467BB">
        <w:instrText xml:space="preserve"> \* MERGEFORMAT </w:instrText>
      </w:r>
      <w:r w:rsidR="00C5640D" w:rsidRPr="00B467BB">
        <w:fldChar w:fldCharType="separate"/>
      </w:r>
      <w:r w:rsidR="00D300D0">
        <w:t>Chart 2.1</w:t>
      </w:r>
      <w:r w:rsidR="00C5640D" w:rsidRPr="00B467BB">
        <w:fldChar w:fldCharType="end"/>
      </w:r>
      <w:r>
        <w:t>.</w:t>
      </w:r>
    </w:p>
    <w:p w14:paraId="30B8F098" w14:textId="2E5774FB" w:rsidR="00C06F4C" w:rsidRPr="008E43EB" w:rsidRDefault="00C06F4C" w:rsidP="001E37D4">
      <w:pPr>
        <w:pStyle w:val="CaptionChart"/>
      </w:pPr>
      <w:bookmarkStart w:id="113" w:name="_Ref152859029"/>
      <w:bookmarkStart w:id="114" w:name="_Toc158997913"/>
      <w:bookmarkStart w:id="115" w:name="_Toc167130528"/>
      <w:r>
        <w:lastRenderedPageBreak/>
        <w:t xml:space="preserve">: </w:t>
      </w:r>
      <w:r w:rsidRPr="00383687">
        <w:t xml:space="preserve">CCCFR services by </w:t>
      </w:r>
      <w:bookmarkEnd w:id="113"/>
      <w:r w:rsidR="00E7122C" w:rsidRPr="00383687">
        <w:t>s</w:t>
      </w:r>
      <w:r w:rsidRPr="00383687">
        <w:t>tate</w:t>
      </w:r>
      <w:r>
        <w:t>/</w:t>
      </w:r>
      <w:r w:rsidR="00E7122C">
        <w:t>t</w:t>
      </w:r>
      <w:r>
        <w:t>erritory</w:t>
      </w:r>
      <w:bookmarkEnd w:id="114"/>
      <w:bookmarkEnd w:id="115"/>
    </w:p>
    <w:p w14:paraId="1D783805" w14:textId="00E0571D" w:rsidR="410EFFE9" w:rsidRDefault="00647A89">
      <w:r w:rsidRPr="00647A89">
        <w:rPr>
          <w:noProof/>
        </w:rPr>
        <w:drawing>
          <wp:inline distT="0" distB="0" distL="0" distR="0" wp14:anchorId="0C074D4E" wp14:editId="42C7CB3C">
            <wp:extent cx="4940300" cy="2946400"/>
            <wp:effectExtent l="0" t="0" r="0" b="0"/>
            <wp:docPr id="838388559" name="Picture 838388559" descr="Bar chart showcasing the number of CCCFR services by state or 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59" name="Picture 838388559" descr="Bar chart showcasing the number of CCCFR services by state or territory.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40300" cy="2946400"/>
                    </a:xfrm>
                    <a:prstGeom prst="rect">
                      <a:avLst/>
                    </a:prstGeom>
                    <a:noFill/>
                    <a:ln>
                      <a:noFill/>
                    </a:ln>
                  </pic:spPr>
                </pic:pic>
              </a:graphicData>
            </a:graphic>
          </wp:inline>
        </w:drawing>
      </w:r>
    </w:p>
    <w:p w14:paraId="12EEA68C" w14:textId="49CC2B33" w:rsidR="410EFFE9" w:rsidRDefault="005A208E" w:rsidP="00386EEB">
      <w:pPr>
        <w:pStyle w:val="Source"/>
      </w:pPr>
      <w:r>
        <w:t>Source: Data provided by the Department of Education</w:t>
      </w:r>
      <w:r w:rsidR="001548B2">
        <w:t>, n=149.</w:t>
      </w:r>
      <w:r w:rsidR="00184ECA">
        <w:t xml:space="preserve"> </w:t>
      </w:r>
    </w:p>
    <w:p w14:paraId="21E8C87F" w14:textId="40652412" w:rsidR="00227A04" w:rsidRDefault="00C95472" w:rsidP="00C06F4C">
      <w:r>
        <w:t>The majority of these services are in remote or very remote locations (57 per cent)</w:t>
      </w:r>
      <w:r w:rsidR="00361647">
        <w:t xml:space="preserve">, see </w:t>
      </w:r>
      <w:r w:rsidR="00361647">
        <w:fldChar w:fldCharType="begin"/>
      </w:r>
      <w:r w:rsidR="00361647">
        <w:instrText xml:space="preserve"> REF _Ref166752456 \r \h </w:instrText>
      </w:r>
      <w:r w:rsidR="00361647">
        <w:fldChar w:fldCharType="separate"/>
      </w:r>
      <w:r w:rsidR="00D300D0">
        <w:t>Chart 2.2</w:t>
      </w:r>
      <w:r w:rsidR="00361647">
        <w:fldChar w:fldCharType="end"/>
      </w:r>
      <w:r w:rsidR="00361647">
        <w:t>.</w:t>
      </w:r>
      <w:r>
        <w:t xml:space="preserve"> </w:t>
      </w:r>
    </w:p>
    <w:p w14:paraId="3879DB37" w14:textId="5E106203" w:rsidR="00C95472" w:rsidRDefault="00C95472" w:rsidP="00C95472">
      <w:pPr>
        <w:pStyle w:val="CaptionChart"/>
      </w:pPr>
      <w:bookmarkStart w:id="116" w:name="_Ref166752456"/>
      <w:bookmarkStart w:id="117" w:name="_Toc167130529"/>
      <w:r>
        <w:t>: CCCFR services by state/territory and remoteness</w:t>
      </w:r>
      <w:bookmarkEnd w:id="116"/>
      <w:bookmarkEnd w:id="117"/>
    </w:p>
    <w:p w14:paraId="7D7ABC7A" w14:textId="080E894B" w:rsidR="00C95472" w:rsidRDefault="00F30579" w:rsidP="00C95472">
      <w:r w:rsidRPr="00F30579">
        <w:rPr>
          <w:noProof/>
        </w:rPr>
        <w:drawing>
          <wp:inline distT="0" distB="0" distL="0" distR="0" wp14:anchorId="31812F28" wp14:editId="25C4E7C8">
            <wp:extent cx="5041900" cy="3771900"/>
            <wp:effectExtent l="0" t="0" r="6350" b="0"/>
            <wp:docPr id="838388601" name="Picture 838388601" descr="Bar chat showcasing the CCCFR services my state or territory, and within each bar chart, a further breakdown by remote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601" name="Picture 838388601" descr="Bar chat showcasing the CCCFR services my state or territory, and within each bar chart, a further breakdown by remoteness.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1900" cy="3771900"/>
                    </a:xfrm>
                    <a:prstGeom prst="rect">
                      <a:avLst/>
                    </a:prstGeom>
                    <a:noFill/>
                    <a:ln>
                      <a:noFill/>
                    </a:ln>
                  </pic:spPr>
                </pic:pic>
              </a:graphicData>
            </a:graphic>
          </wp:inline>
        </w:drawing>
      </w:r>
    </w:p>
    <w:p w14:paraId="1BE9B3AE" w14:textId="77777777" w:rsidR="00C95472" w:rsidRPr="00C95472" w:rsidRDefault="00C95472" w:rsidP="00C95472">
      <w:pPr>
        <w:pStyle w:val="Source"/>
      </w:pPr>
      <w:r w:rsidRPr="00C95472">
        <w:t xml:space="preserve">Source: Data provided by the Department of Education, n=149. </w:t>
      </w:r>
    </w:p>
    <w:p w14:paraId="153D5EB6" w14:textId="77777777" w:rsidR="00361647" w:rsidRPr="00C95472" w:rsidRDefault="00361647" w:rsidP="00361647"/>
    <w:p w14:paraId="008157D0" w14:textId="55080099" w:rsidR="00361647" w:rsidRDefault="00662D2D" w:rsidP="00C06F4C">
      <w:r>
        <w:lastRenderedPageBreak/>
        <w:t>Services self-identify as Aboriginal and</w:t>
      </w:r>
      <w:r w:rsidR="003951C2">
        <w:t>/or</w:t>
      </w:r>
      <w:r>
        <w:t xml:space="preserve"> Torres Strait Islander across various remoteness categories, including major cities, see </w:t>
      </w:r>
      <w:r w:rsidR="003951C2">
        <w:fldChar w:fldCharType="begin"/>
      </w:r>
      <w:r w:rsidR="003951C2">
        <w:instrText xml:space="preserve"> REF _Ref166752661 \r \h </w:instrText>
      </w:r>
      <w:r w:rsidR="003951C2">
        <w:fldChar w:fldCharType="separate"/>
      </w:r>
      <w:r w:rsidR="00D300D0">
        <w:t>Chart 2.3</w:t>
      </w:r>
      <w:r w:rsidR="003951C2">
        <w:fldChar w:fldCharType="end"/>
      </w:r>
      <w:r w:rsidR="003951C2">
        <w:t>.</w:t>
      </w:r>
    </w:p>
    <w:p w14:paraId="129C28A4" w14:textId="0C823005" w:rsidR="003951C2" w:rsidRPr="003951C2" w:rsidRDefault="003951C2" w:rsidP="003951C2">
      <w:pPr>
        <w:pStyle w:val="CaptionChart"/>
      </w:pPr>
      <w:bookmarkStart w:id="118" w:name="_Ref166752661"/>
      <w:bookmarkStart w:id="119" w:name="_Toc167130530"/>
      <w:r>
        <w:t>: CCCFR services by remoteness and Aboriginal and/or Torres Strait Islander identity</w:t>
      </w:r>
      <w:bookmarkEnd w:id="118"/>
      <w:r>
        <w:t xml:space="preserve"> </w:t>
      </w:r>
      <w:r w:rsidRPr="003951C2">
        <w:rPr>
          <w:noProof/>
        </w:rPr>
        <w:drawing>
          <wp:inline distT="0" distB="0" distL="0" distR="0" wp14:anchorId="31AE6311" wp14:editId="052A57EE">
            <wp:extent cx="5054600" cy="3695700"/>
            <wp:effectExtent l="0" t="0" r="0" b="0"/>
            <wp:docPr id="838388604" name="Picture 838388604" descr="Bar chart showcasing CCCFR services by remoteness, and further breakdown within the bar chart on the CCCFR services that identify as Aboriginal and/or Torres Strait Islan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604" name="Picture 838388604" descr="Bar chart showcasing CCCFR services by remoteness, and further breakdown within the bar chart on the CCCFR services that identify as Aboriginal and/or Torres Strait Islande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54600" cy="3695700"/>
                    </a:xfrm>
                    <a:prstGeom prst="rect">
                      <a:avLst/>
                    </a:prstGeom>
                    <a:noFill/>
                    <a:ln>
                      <a:noFill/>
                    </a:ln>
                  </pic:spPr>
                </pic:pic>
              </a:graphicData>
            </a:graphic>
          </wp:inline>
        </w:drawing>
      </w:r>
      <w:bookmarkEnd w:id="119"/>
    </w:p>
    <w:p w14:paraId="6129B5AF" w14:textId="0FE99466" w:rsidR="003951C2" w:rsidRPr="003951C2" w:rsidRDefault="003951C2" w:rsidP="003951C2">
      <w:pPr>
        <w:pStyle w:val="Source"/>
      </w:pPr>
      <w:r>
        <w:t>Source: Compliance and operations data (2023), and data provided by the Department, n=149</w:t>
      </w:r>
    </w:p>
    <w:p w14:paraId="12C51D1E" w14:textId="760A7393" w:rsidR="00C06F4C" w:rsidRPr="008E43EB" w:rsidRDefault="00E7122C" w:rsidP="00C06F4C">
      <w:r>
        <w:t xml:space="preserve">With regard to </w:t>
      </w:r>
      <w:r w:rsidRPr="00E7122C">
        <w:rPr>
          <w:b/>
          <w:bCs/>
        </w:rPr>
        <w:t>service</w:t>
      </w:r>
      <w:r w:rsidR="00C06F4C" w:rsidRPr="00E7122C">
        <w:rPr>
          <w:b/>
        </w:rPr>
        <w:t xml:space="preserve"> type</w:t>
      </w:r>
      <w:r>
        <w:t xml:space="preserve">, </w:t>
      </w:r>
      <w:r w:rsidR="00C06F4C">
        <w:t>93</w:t>
      </w:r>
      <w:r w:rsidR="00251362">
        <w:t xml:space="preserve"> per cent</w:t>
      </w:r>
      <w:r w:rsidR="00C06F4C">
        <w:t xml:space="preserve"> of services receiving CCCFR grant funding are funded as CBDC, with the remaining 7</w:t>
      </w:r>
      <w:r w:rsidR="00251362">
        <w:t xml:space="preserve"> per cent</w:t>
      </w:r>
      <w:r w:rsidR="00C06F4C">
        <w:t xml:space="preserve"> funded as OSHC</w:t>
      </w:r>
      <w:r w:rsidR="00E74887">
        <w:t xml:space="preserve"> – shown in </w:t>
      </w:r>
      <w:r w:rsidR="00E74887">
        <w:fldChar w:fldCharType="begin"/>
      </w:r>
      <w:r w:rsidR="00E74887">
        <w:instrText xml:space="preserve"> REF _Ref166751489 \r \h </w:instrText>
      </w:r>
      <w:r w:rsidR="00E74887">
        <w:fldChar w:fldCharType="separate"/>
      </w:r>
      <w:r w:rsidR="00D300D0">
        <w:t>Chart 2.4</w:t>
      </w:r>
      <w:r w:rsidR="00E74887">
        <w:fldChar w:fldCharType="end"/>
      </w:r>
      <w:r w:rsidR="00C06F4C">
        <w:t>.</w:t>
      </w:r>
      <w:r w:rsidR="00C06F4C">
        <w:rPr>
          <w:rStyle w:val="FootnoteReference"/>
        </w:rPr>
        <w:footnoteReference w:id="71"/>
      </w:r>
      <w:r w:rsidR="00C06F4C">
        <w:t xml:space="preserve"> </w:t>
      </w:r>
    </w:p>
    <w:p w14:paraId="33D3EE90" w14:textId="1E12A54D" w:rsidR="00FA7641" w:rsidRDefault="00FA7641" w:rsidP="00C06F4C">
      <w:r>
        <w:t>These service types have divers</w:t>
      </w:r>
      <w:r w:rsidR="00917279">
        <w:t>e offering</w:t>
      </w:r>
      <w:r w:rsidR="0061227A">
        <w:t>s within these broad categories, which reflect</w:t>
      </w:r>
      <w:r w:rsidR="00784C94">
        <w:t>s</w:t>
      </w:r>
      <w:r w:rsidR="0061227A">
        <w:t xml:space="preserve"> </w:t>
      </w:r>
      <w:r w:rsidR="00784C94">
        <w:t>the diversity of former service types</w:t>
      </w:r>
      <w:r w:rsidR="00917279">
        <w:t xml:space="preserve"> </w:t>
      </w:r>
      <w:r w:rsidR="00E80B93">
        <w:t xml:space="preserve">brought into the grant. The compliance and operations data </w:t>
      </w:r>
      <w:r w:rsidR="001D5F1B">
        <w:t>show th</w:t>
      </w:r>
      <w:r w:rsidR="00DE5585">
        <w:t xml:space="preserve">at </w:t>
      </w:r>
      <w:r w:rsidR="00DD1A1A">
        <w:t xml:space="preserve">some </w:t>
      </w:r>
      <w:r w:rsidR="00E74887">
        <w:t xml:space="preserve">CBDC and OSHC </w:t>
      </w:r>
      <w:r w:rsidR="00DD1A1A">
        <w:t xml:space="preserve">services also offer </w:t>
      </w:r>
      <w:r w:rsidR="00DD1A1A" w:rsidRPr="007C5797">
        <w:rPr>
          <w:b/>
        </w:rPr>
        <w:t>vacation care</w:t>
      </w:r>
      <w:r w:rsidR="00DD1A1A">
        <w:t xml:space="preserve">. </w:t>
      </w:r>
      <w:r w:rsidR="00024D42">
        <w:t xml:space="preserve">Fifteen CBDC services </w:t>
      </w:r>
      <w:r w:rsidR="00F64272">
        <w:t xml:space="preserve">provide </w:t>
      </w:r>
      <w:r w:rsidR="00F64272" w:rsidRPr="00250F53">
        <w:rPr>
          <w:b/>
          <w:bCs/>
        </w:rPr>
        <w:t>mobile services</w:t>
      </w:r>
      <w:r w:rsidR="00F64272">
        <w:t xml:space="preserve"> (</w:t>
      </w:r>
      <w:r w:rsidR="00250F53">
        <w:t>comprising 10 per cent of all CCCFR services).</w:t>
      </w:r>
    </w:p>
    <w:p w14:paraId="6B1AA64F" w14:textId="6880BD89" w:rsidR="003E7668" w:rsidRDefault="00873F17" w:rsidP="003E7668">
      <w:pPr>
        <w:pStyle w:val="CaptionChart"/>
      </w:pPr>
      <w:bookmarkStart w:id="120" w:name="_Ref166751489"/>
      <w:bookmarkStart w:id="121" w:name="_Toc167130531"/>
      <w:r>
        <w:lastRenderedPageBreak/>
        <w:t xml:space="preserve">: </w:t>
      </w:r>
      <w:r w:rsidR="00A56371">
        <w:t>CCCFR services by service type and additional services offered</w:t>
      </w:r>
      <w:bookmarkEnd w:id="120"/>
      <w:bookmarkEnd w:id="121"/>
      <w:r w:rsidR="00A56371">
        <w:t xml:space="preserve"> </w:t>
      </w:r>
    </w:p>
    <w:p w14:paraId="61B6D8DC" w14:textId="7A3CBE43" w:rsidR="005C2F66" w:rsidRPr="005C2F66" w:rsidRDefault="00703D9D" w:rsidP="00A75683">
      <w:pPr>
        <w:pStyle w:val="Source"/>
        <w:keepNext/>
        <w:keepLines/>
      </w:pPr>
      <w:r w:rsidRPr="00703D9D">
        <w:rPr>
          <w:noProof/>
        </w:rPr>
        <w:drawing>
          <wp:inline distT="0" distB="0" distL="0" distR="0" wp14:anchorId="06A897C3" wp14:editId="4188F002">
            <wp:extent cx="5041900" cy="3594100"/>
            <wp:effectExtent l="0" t="0" r="6350" b="6350"/>
            <wp:docPr id="838388607" name="Picture 838388607" descr="Bar chart showcasing CCCFR services by service type (centre based day care, and outside school hours care), and additional services offered (mobile services, vacation care and OSH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607" name="Picture 838388607" descr="Bar chart showcasing CCCFR services by service type (centre based day care, and outside school hours care), and additional services offered (mobile services, vacation care and OSHC).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1900" cy="3594100"/>
                    </a:xfrm>
                    <a:prstGeom prst="rect">
                      <a:avLst/>
                    </a:prstGeom>
                    <a:noFill/>
                    <a:ln>
                      <a:noFill/>
                    </a:ln>
                  </pic:spPr>
                </pic:pic>
              </a:graphicData>
            </a:graphic>
          </wp:inline>
        </w:drawing>
      </w:r>
    </w:p>
    <w:p w14:paraId="0DE5C2B7" w14:textId="5AA5C45D" w:rsidR="00A56371" w:rsidRPr="00A56371" w:rsidRDefault="00A56371" w:rsidP="00A75683">
      <w:pPr>
        <w:pStyle w:val="Source"/>
        <w:keepNext/>
        <w:keepLines/>
      </w:pPr>
      <w:r>
        <w:t>Source: Compliance and Operations Data (2023)</w:t>
      </w:r>
      <w:r w:rsidR="00E37BA6">
        <w:t xml:space="preserve"> and </w:t>
      </w:r>
      <w:r w:rsidR="00634C7B">
        <w:t xml:space="preserve">data provided </w:t>
      </w:r>
      <w:r w:rsidR="005C2F66">
        <w:t>by Department of Education</w:t>
      </w:r>
      <w:r w:rsidR="004D2C52">
        <w:t>, n=149</w:t>
      </w:r>
    </w:p>
    <w:p w14:paraId="6526B5B5" w14:textId="58C42781" w:rsidR="00C06F4C" w:rsidRDefault="00D06DB6" w:rsidP="00C06F4C">
      <w:pPr>
        <w:rPr>
          <w:iCs/>
        </w:rPr>
      </w:pPr>
      <w:r>
        <w:rPr>
          <w:iCs/>
        </w:rPr>
        <w:t xml:space="preserve">In terms of </w:t>
      </w:r>
      <w:r w:rsidRPr="00D06DB6">
        <w:rPr>
          <w:b/>
          <w:bCs/>
          <w:iCs/>
        </w:rPr>
        <w:t>number of services managed by provider</w:t>
      </w:r>
      <w:r w:rsidR="00744679">
        <w:rPr>
          <w:b/>
          <w:bCs/>
          <w:iCs/>
        </w:rPr>
        <w:t>s</w:t>
      </w:r>
      <w:r>
        <w:rPr>
          <w:iCs/>
        </w:rPr>
        <w:t>, m</w:t>
      </w:r>
      <w:r w:rsidR="00C06F4C">
        <w:rPr>
          <w:iCs/>
        </w:rPr>
        <w:t>ost providers operate one service which receives CCCFR funding (85</w:t>
      </w:r>
      <w:r w:rsidR="00251362">
        <w:rPr>
          <w:iCs/>
        </w:rPr>
        <w:t xml:space="preserve"> </w:t>
      </w:r>
      <w:r w:rsidR="00251362">
        <w:t>per cent</w:t>
      </w:r>
      <w:r w:rsidR="00C06F4C">
        <w:rPr>
          <w:iCs/>
        </w:rPr>
        <w:t xml:space="preserve">), as shown in </w:t>
      </w:r>
      <w:r w:rsidR="00187A84" w:rsidRPr="0075552D">
        <w:rPr>
          <w:iCs/>
        </w:rPr>
        <w:fldChar w:fldCharType="begin"/>
      </w:r>
      <w:r w:rsidR="00187A84" w:rsidRPr="002B406E">
        <w:rPr>
          <w:highlight w:val="yellow"/>
        </w:rPr>
        <w:instrText xml:space="preserve"> REF _Ref152859186 \r \h </w:instrText>
      </w:r>
      <w:r w:rsidR="002B406E">
        <w:rPr>
          <w:highlight w:val="yellow"/>
        </w:rPr>
        <w:instrText xml:space="preserve"> \* MERGEFORMAT </w:instrText>
      </w:r>
      <w:r w:rsidR="00187A84" w:rsidRPr="0075552D">
        <w:rPr>
          <w:iCs/>
        </w:rPr>
      </w:r>
      <w:r w:rsidR="00187A84" w:rsidRPr="0075552D">
        <w:rPr>
          <w:iCs/>
        </w:rPr>
        <w:fldChar w:fldCharType="separate"/>
      </w:r>
      <w:r w:rsidR="00D300D0" w:rsidRPr="00D300D0">
        <w:rPr>
          <w:iCs/>
        </w:rPr>
        <w:t>Table 2.2</w:t>
      </w:r>
      <w:r w:rsidR="00187A84" w:rsidRPr="0075552D">
        <w:rPr>
          <w:iCs/>
        </w:rPr>
        <w:fldChar w:fldCharType="end"/>
      </w:r>
      <w:r w:rsidR="00AF74B3">
        <w:rPr>
          <w:iCs/>
        </w:rPr>
        <w:t>.</w:t>
      </w:r>
      <w:r w:rsidR="00C06F4C">
        <w:rPr>
          <w:rStyle w:val="FootnoteReference"/>
          <w:iCs/>
        </w:rPr>
        <w:footnoteReference w:id="72"/>
      </w:r>
      <w:r w:rsidR="00187A84">
        <w:rPr>
          <w:iCs/>
        </w:rPr>
        <w:t xml:space="preserve"> </w:t>
      </w:r>
    </w:p>
    <w:p w14:paraId="1915CD8D" w14:textId="4948E84E" w:rsidR="00C06F4C" w:rsidRPr="00F534B4" w:rsidRDefault="00C06F4C" w:rsidP="00187A84">
      <w:pPr>
        <w:pStyle w:val="CaptionTable"/>
      </w:pPr>
      <w:bookmarkStart w:id="122" w:name="_Ref152859186"/>
      <w:bookmarkStart w:id="123" w:name="_Toc158997956"/>
      <w:bookmarkStart w:id="124" w:name="_Toc167130702"/>
      <w:r>
        <w:t xml:space="preserve">: Number of </w:t>
      </w:r>
      <w:r w:rsidR="0075552D">
        <w:t xml:space="preserve">CCCFR </w:t>
      </w:r>
      <w:r>
        <w:t>services operated by providers</w:t>
      </w:r>
      <w:bookmarkEnd w:id="122"/>
      <w:bookmarkEnd w:id="123"/>
      <w:bookmarkEnd w:id="124"/>
    </w:p>
    <w:tbl>
      <w:tblPr>
        <w:tblStyle w:val="Deloittetable"/>
        <w:tblW w:w="5986" w:type="dxa"/>
        <w:tblLayout w:type="fixed"/>
        <w:tblLook w:val="04A0" w:firstRow="1" w:lastRow="0" w:firstColumn="1" w:lastColumn="0" w:noHBand="0" w:noVBand="1"/>
      </w:tblPr>
      <w:tblGrid>
        <w:gridCol w:w="2993"/>
        <w:gridCol w:w="2993"/>
      </w:tblGrid>
      <w:tr w:rsidR="00C06F4C" w14:paraId="7B13E404" w14:textId="77777777">
        <w:trPr>
          <w:cnfStyle w:val="100000000000" w:firstRow="1" w:lastRow="0" w:firstColumn="0" w:lastColumn="0" w:oddVBand="0" w:evenVBand="0" w:oddHBand="0" w:evenHBand="0" w:firstRowFirstColumn="0" w:firstRowLastColumn="0" w:lastRowFirstColumn="0" w:lastRowLastColumn="0"/>
          <w:trHeight w:val="225"/>
        </w:trPr>
        <w:tc>
          <w:tcPr>
            <w:tcW w:w="2993" w:type="dxa"/>
            <w:noWrap/>
            <w:hideMark/>
          </w:tcPr>
          <w:p w14:paraId="747B6A2B" w14:textId="77777777" w:rsidR="00C06F4C" w:rsidRPr="001326DC" w:rsidRDefault="00C06F4C">
            <w:pPr>
              <w:spacing w:after="0"/>
              <w:rPr>
                <w:b/>
                <w:bCs/>
                <w:sz w:val="16"/>
                <w:szCs w:val="16"/>
              </w:rPr>
            </w:pPr>
            <w:r w:rsidRPr="001326DC">
              <w:rPr>
                <w:b/>
                <w:bCs/>
                <w:sz w:val="16"/>
                <w:szCs w:val="16"/>
              </w:rPr>
              <w:t>Number of services managed by provider</w:t>
            </w:r>
          </w:p>
        </w:tc>
        <w:tc>
          <w:tcPr>
            <w:tcW w:w="2993" w:type="dxa"/>
            <w:noWrap/>
            <w:hideMark/>
          </w:tcPr>
          <w:p w14:paraId="3DA4EC8E" w14:textId="77777777" w:rsidR="00C06F4C" w:rsidRPr="001326DC" w:rsidRDefault="00C06F4C">
            <w:pPr>
              <w:spacing w:after="0"/>
              <w:rPr>
                <w:b/>
                <w:bCs/>
                <w:color w:val="000000"/>
                <w:sz w:val="16"/>
                <w:szCs w:val="16"/>
              </w:rPr>
            </w:pPr>
            <w:r w:rsidRPr="001326DC">
              <w:rPr>
                <w:b/>
                <w:bCs/>
                <w:sz w:val="16"/>
                <w:szCs w:val="16"/>
              </w:rPr>
              <w:t>Number of provid</w:t>
            </w:r>
            <w:r w:rsidRPr="001326DC">
              <w:rPr>
                <w:b/>
                <w:bCs/>
                <w:color w:val="000000"/>
                <w:sz w:val="16"/>
                <w:szCs w:val="16"/>
              </w:rPr>
              <w:t>ers</w:t>
            </w:r>
          </w:p>
        </w:tc>
      </w:tr>
      <w:tr w:rsidR="00C06F4C" w14:paraId="01A60851" w14:textId="77777777">
        <w:trPr>
          <w:trHeight w:val="225"/>
        </w:trPr>
        <w:tc>
          <w:tcPr>
            <w:tcW w:w="2993" w:type="dxa"/>
            <w:noWrap/>
            <w:hideMark/>
          </w:tcPr>
          <w:p w14:paraId="451F64E4" w14:textId="77777777" w:rsidR="00C06F4C" w:rsidRPr="001326DC" w:rsidRDefault="00C06F4C">
            <w:pPr>
              <w:spacing w:after="0"/>
              <w:rPr>
                <w:color w:val="000000"/>
                <w:sz w:val="16"/>
                <w:szCs w:val="16"/>
              </w:rPr>
            </w:pPr>
            <w:r w:rsidRPr="001326DC">
              <w:rPr>
                <w:color w:val="000000"/>
                <w:sz w:val="16"/>
                <w:szCs w:val="16"/>
              </w:rPr>
              <w:t>1</w:t>
            </w:r>
          </w:p>
        </w:tc>
        <w:tc>
          <w:tcPr>
            <w:tcW w:w="2993" w:type="dxa"/>
            <w:noWrap/>
            <w:hideMark/>
          </w:tcPr>
          <w:p w14:paraId="606E46FB" w14:textId="77777777" w:rsidR="00C06F4C" w:rsidRPr="001326DC" w:rsidRDefault="00C06F4C">
            <w:pPr>
              <w:spacing w:after="0"/>
              <w:rPr>
                <w:color w:val="000000"/>
                <w:sz w:val="16"/>
                <w:szCs w:val="16"/>
              </w:rPr>
            </w:pPr>
            <w:r w:rsidRPr="001326DC">
              <w:rPr>
                <w:color w:val="000000"/>
                <w:sz w:val="16"/>
                <w:szCs w:val="16"/>
              </w:rPr>
              <w:t>9</w:t>
            </w:r>
            <w:r>
              <w:rPr>
                <w:color w:val="000000"/>
                <w:sz w:val="16"/>
                <w:szCs w:val="16"/>
              </w:rPr>
              <w:t>5</w:t>
            </w:r>
          </w:p>
        </w:tc>
      </w:tr>
      <w:tr w:rsidR="00C06F4C" w14:paraId="16B0FFB0" w14:textId="77777777">
        <w:trPr>
          <w:trHeight w:val="225"/>
        </w:trPr>
        <w:tc>
          <w:tcPr>
            <w:tcW w:w="2993" w:type="dxa"/>
            <w:noWrap/>
            <w:hideMark/>
          </w:tcPr>
          <w:p w14:paraId="5999CBF0" w14:textId="77777777" w:rsidR="00C06F4C" w:rsidRPr="001326DC" w:rsidRDefault="00C06F4C">
            <w:pPr>
              <w:spacing w:after="0"/>
              <w:rPr>
                <w:color w:val="000000"/>
                <w:sz w:val="16"/>
                <w:szCs w:val="16"/>
              </w:rPr>
            </w:pPr>
            <w:r w:rsidRPr="001326DC">
              <w:rPr>
                <w:color w:val="000000"/>
                <w:sz w:val="16"/>
                <w:szCs w:val="16"/>
              </w:rPr>
              <w:t>2-3</w:t>
            </w:r>
          </w:p>
        </w:tc>
        <w:tc>
          <w:tcPr>
            <w:tcW w:w="2993" w:type="dxa"/>
            <w:noWrap/>
            <w:hideMark/>
          </w:tcPr>
          <w:p w14:paraId="7C319F16" w14:textId="67F6B6B2" w:rsidR="00C06F4C" w:rsidRPr="001326DC" w:rsidRDefault="00C06F4C">
            <w:pPr>
              <w:spacing w:after="0"/>
              <w:rPr>
                <w:color w:val="000000"/>
                <w:sz w:val="16"/>
                <w:szCs w:val="16"/>
              </w:rPr>
            </w:pPr>
            <w:r w:rsidRPr="6D1FEA0E">
              <w:rPr>
                <w:color w:val="000000" w:themeColor="text1"/>
                <w:sz w:val="16"/>
                <w:szCs w:val="16"/>
              </w:rPr>
              <w:t>1</w:t>
            </w:r>
            <w:r w:rsidR="5892A573" w:rsidRPr="6D1FEA0E">
              <w:rPr>
                <w:color w:val="000000" w:themeColor="text1"/>
                <w:sz w:val="16"/>
                <w:szCs w:val="16"/>
              </w:rPr>
              <w:t>1</w:t>
            </w:r>
          </w:p>
        </w:tc>
      </w:tr>
      <w:tr w:rsidR="00C06F4C" w14:paraId="4F02BD9A" w14:textId="77777777">
        <w:trPr>
          <w:trHeight w:val="225"/>
        </w:trPr>
        <w:tc>
          <w:tcPr>
            <w:tcW w:w="2993" w:type="dxa"/>
            <w:noWrap/>
            <w:hideMark/>
          </w:tcPr>
          <w:p w14:paraId="1F4DBD9C" w14:textId="77777777" w:rsidR="00C06F4C" w:rsidRPr="001326DC" w:rsidRDefault="00C06F4C">
            <w:pPr>
              <w:spacing w:after="0"/>
              <w:rPr>
                <w:color w:val="000000"/>
                <w:sz w:val="16"/>
                <w:szCs w:val="16"/>
              </w:rPr>
            </w:pPr>
            <w:r w:rsidRPr="001326DC">
              <w:rPr>
                <w:color w:val="000000"/>
                <w:sz w:val="16"/>
                <w:szCs w:val="16"/>
              </w:rPr>
              <w:t>4-5</w:t>
            </w:r>
          </w:p>
        </w:tc>
        <w:tc>
          <w:tcPr>
            <w:tcW w:w="2993" w:type="dxa"/>
            <w:noWrap/>
            <w:hideMark/>
          </w:tcPr>
          <w:p w14:paraId="046FC5C5" w14:textId="7ECBC611" w:rsidR="00C06F4C" w:rsidRPr="001326DC" w:rsidRDefault="105387C2">
            <w:pPr>
              <w:spacing w:after="0"/>
              <w:rPr>
                <w:color w:val="000000"/>
                <w:sz w:val="16"/>
                <w:szCs w:val="16"/>
              </w:rPr>
            </w:pPr>
            <w:r w:rsidRPr="6D1FEA0E">
              <w:rPr>
                <w:color w:val="000000" w:themeColor="text1"/>
                <w:sz w:val="16"/>
                <w:szCs w:val="16"/>
              </w:rPr>
              <w:t>4</w:t>
            </w:r>
          </w:p>
        </w:tc>
      </w:tr>
      <w:tr w:rsidR="00C06F4C" w14:paraId="76A8C427" w14:textId="77777777">
        <w:trPr>
          <w:trHeight w:val="225"/>
        </w:trPr>
        <w:tc>
          <w:tcPr>
            <w:tcW w:w="2993" w:type="dxa"/>
            <w:noWrap/>
            <w:hideMark/>
          </w:tcPr>
          <w:p w14:paraId="3730AF23" w14:textId="77777777" w:rsidR="00C06F4C" w:rsidRPr="001326DC" w:rsidRDefault="00C06F4C">
            <w:pPr>
              <w:spacing w:after="0"/>
              <w:rPr>
                <w:color w:val="000000"/>
                <w:sz w:val="16"/>
                <w:szCs w:val="16"/>
              </w:rPr>
            </w:pPr>
            <w:r w:rsidRPr="001326DC">
              <w:rPr>
                <w:color w:val="000000"/>
                <w:sz w:val="16"/>
                <w:szCs w:val="16"/>
              </w:rPr>
              <w:t>Over 5</w:t>
            </w:r>
          </w:p>
        </w:tc>
        <w:tc>
          <w:tcPr>
            <w:tcW w:w="2993" w:type="dxa"/>
            <w:noWrap/>
            <w:hideMark/>
          </w:tcPr>
          <w:p w14:paraId="61BBA4A9" w14:textId="143A2698" w:rsidR="00C06F4C" w:rsidRPr="001326DC" w:rsidRDefault="00C06F4C">
            <w:pPr>
              <w:spacing w:after="0"/>
              <w:rPr>
                <w:color w:val="000000"/>
                <w:sz w:val="16"/>
                <w:szCs w:val="16"/>
              </w:rPr>
            </w:pPr>
            <w:r w:rsidRPr="4470D6F5">
              <w:rPr>
                <w:color w:val="000000" w:themeColor="text1"/>
                <w:sz w:val="16"/>
                <w:szCs w:val="16"/>
              </w:rPr>
              <w:t>2</w:t>
            </w:r>
          </w:p>
        </w:tc>
      </w:tr>
    </w:tbl>
    <w:p w14:paraId="32CD2E3B" w14:textId="73BB3519" w:rsidR="00AF74B3" w:rsidRDefault="00AF74B3" w:rsidP="00AF74B3">
      <w:pPr>
        <w:pStyle w:val="Source"/>
      </w:pPr>
      <w:r>
        <w:t>Source: Data provided by the Department of Education</w:t>
      </w:r>
      <w:r w:rsidR="004D2C52">
        <w:t xml:space="preserve">, n=149 services, </w:t>
      </w:r>
      <w:r w:rsidR="00FD55E7">
        <w:t>112 providers</w:t>
      </w:r>
    </w:p>
    <w:p w14:paraId="1386F98E" w14:textId="5AC1A5CF" w:rsidR="00C06F4C" w:rsidRPr="001326DC" w:rsidRDefault="00C06F4C" w:rsidP="00C06F4C">
      <w:r>
        <w:t xml:space="preserve">The distribution of services based on the </w:t>
      </w:r>
      <w:r w:rsidRPr="000C0BB2">
        <w:rPr>
          <w:b/>
        </w:rPr>
        <w:t>amount of CCCFR grant funding</w:t>
      </w:r>
      <w:r>
        <w:t xml:space="preserve"> received is shown in </w:t>
      </w:r>
      <w:r w:rsidR="007F5B3C" w:rsidRPr="00AF74B3">
        <w:fldChar w:fldCharType="begin"/>
      </w:r>
      <w:r w:rsidR="007F5B3C" w:rsidRPr="002B406E">
        <w:rPr>
          <w:highlight w:val="yellow"/>
        </w:rPr>
        <w:instrText xml:space="preserve"> REF _Ref152859445 \r \h </w:instrText>
      </w:r>
      <w:r w:rsidR="002B406E">
        <w:rPr>
          <w:highlight w:val="yellow"/>
        </w:rPr>
        <w:instrText xml:space="preserve"> \* MERGEFORMAT </w:instrText>
      </w:r>
      <w:r w:rsidR="007F5B3C" w:rsidRPr="00AF74B3">
        <w:fldChar w:fldCharType="separate"/>
      </w:r>
      <w:r w:rsidR="00D300D0" w:rsidRPr="00D300D0">
        <w:t>Chart 2.5</w:t>
      </w:r>
      <w:r w:rsidR="007F5B3C" w:rsidRPr="00AF74B3">
        <w:fldChar w:fldCharType="end"/>
      </w:r>
      <w:r w:rsidR="00AF74B3" w:rsidRPr="00AF74B3">
        <w:t>.</w:t>
      </w:r>
    </w:p>
    <w:p w14:paraId="559180E5" w14:textId="77777777" w:rsidR="00645827" w:rsidRPr="001326DC" w:rsidRDefault="00645827" w:rsidP="00C06F4C"/>
    <w:p w14:paraId="087B1A47" w14:textId="04D0ED84" w:rsidR="00744679" w:rsidRDefault="00744679" w:rsidP="00B7142B">
      <w:pPr>
        <w:pStyle w:val="CaptionChart"/>
      </w:pPr>
      <w:bookmarkStart w:id="125" w:name="_Ref152859445"/>
      <w:bookmarkStart w:id="126" w:name="_Toc158997914"/>
      <w:bookmarkStart w:id="127" w:name="_Toc167130532"/>
      <w:r>
        <w:lastRenderedPageBreak/>
        <w:t xml:space="preserve">: Number of services </w:t>
      </w:r>
      <w:r w:rsidRPr="00AB5DA9">
        <w:t>receiving the CCCFR grant</w:t>
      </w:r>
      <w:r>
        <w:t xml:space="preserve"> by grant size, 2022-2023</w:t>
      </w:r>
      <w:bookmarkEnd w:id="125"/>
      <w:r w:rsidR="00816426">
        <w:rPr>
          <w:rStyle w:val="FootnoteReference"/>
        </w:rPr>
        <w:footnoteReference w:id="73"/>
      </w:r>
      <w:bookmarkEnd w:id="126"/>
      <w:bookmarkEnd w:id="127"/>
    </w:p>
    <w:p w14:paraId="4C7F71A1" w14:textId="1FC74FAE" w:rsidR="00B139B3" w:rsidRDefault="00645827" w:rsidP="0026419E">
      <w:r w:rsidRPr="00645827">
        <w:rPr>
          <w:noProof/>
        </w:rPr>
        <w:drawing>
          <wp:inline distT="0" distB="0" distL="0" distR="0" wp14:anchorId="3C48859A" wp14:editId="5520C5C8">
            <wp:extent cx="5054600" cy="2882900"/>
            <wp:effectExtent l="0" t="0" r="0" b="0"/>
            <wp:docPr id="49" name="Picture 49" descr="Horizontal bar chart showing the number of CCCFR services by the amount of CCCFR grant received in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Horizontal bar chart showing the number of CCCFR services by the amount of CCCFR grant received in 2022-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54600" cy="2882900"/>
                    </a:xfrm>
                    <a:prstGeom prst="rect">
                      <a:avLst/>
                    </a:prstGeom>
                    <a:noFill/>
                    <a:ln>
                      <a:noFill/>
                    </a:ln>
                  </pic:spPr>
                </pic:pic>
              </a:graphicData>
            </a:graphic>
          </wp:inline>
        </w:drawing>
      </w:r>
    </w:p>
    <w:p w14:paraId="1B33263D" w14:textId="30EEBE78" w:rsidR="00C06F4C" w:rsidRPr="00732E0B" w:rsidRDefault="00C06F4C" w:rsidP="00C06F4C">
      <w:pPr>
        <w:pStyle w:val="Source"/>
      </w:pPr>
      <w:r>
        <w:t>Source: Data provided by the Department of Education</w:t>
      </w:r>
      <w:r w:rsidR="00743BB0">
        <w:t>, n=149</w:t>
      </w:r>
      <w:r w:rsidR="00334CB4">
        <w:t>.</w:t>
      </w:r>
      <w:r w:rsidR="00A618F5">
        <w:rPr>
          <w:rStyle w:val="FootnoteReference"/>
        </w:rPr>
        <w:footnoteReference w:id="74"/>
      </w:r>
    </w:p>
    <w:p w14:paraId="29602270" w14:textId="66E6A9DC" w:rsidR="00C06F4C" w:rsidRPr="004128F3" w:rsidRDefault="00D9793D" w:rsidP="00C06F4C">
      <w:r>
        <w:t xml:space="preserve">With regard to </w:t>
      </w:r>
      <w:r w:rsidRPr="00D9793D">
        <w:rPr>
          <w:b/>
          <w:bCs/>
        </w:rPr>
        <w:t>former funding status</w:t>
      </w:r>
      <w:r w:rsidR="006261CF">
        <w:rPr>
          <w:b/>
          <w:bCs/>
        </w:rPr>
        <w:t xml:space="preserve"> (</w:t>
      </w:r>
      <w:r w:rsidR="003B0B85">
        <w:rPr>
          <w:b/>
          <w:bCs/>
        </w:rPr>
        <w:t>prior to the CCCFR grant</w:t>
      </w:r>
      <w:r w:rsidR="006261CF">
        <w:rPr>
          <w:b/>
          <w:bCs/>
        </w:rPr>
        <w:t>)</w:t>
      </w:r>
      <w:r>
        <w:t xml:space="preserve">, </w:t>
      </w:r>
      <w:r w:rsidR="00C06F4C">
        <w:t>8</w:t>
      </w:r>
      <w:r w:rsidR="004D3894">
        <w:t>4</w:t>
      </w:r>
      <w:r w:rsidR="00251362">
        <w:t xml:space="preserve"> per cent</w:t>
      </w:r>
      <w:r w:rsidR="00C06F4C">
        <w:t xml:space="preserve"> (n=12</w:t>
      </w:r>
      <w:r w:rsidR="004D3894">
        <w:t>5</w:t>
      </w:r>
      <w:r w:rsidR="00C06F4C">
        <w:t xml:space="preserve">) of services receiving CCCFR grant funding had previously been funded under BBF funding, </w:t>
      </w:r>
      <w:r w:rsidR="003058CD">
        <w:t>7</w:t>
      </w:r>
      <w:r w:rsidR="00251362">
        <w:t xml:space="preserve"> per cent</w:t>
      </w:r>
      <w:r w:rsidR="003058CD">
        <w:t xml:space="preserve"> </w:t>
      </w:r>
      <w:r w:rsidR="001D550B">
        <w:t>under IAS (n=10) and 7</w:t>
      </w:r>
      <w:r w:rsidR="00251362">
        <w:t xml:space="preserve"> per cent</w:t>
      </w:r>
      <w:r w:rsidR="001D550B">
        <w:t xml:space="preserve"> </w:t>
      </w:r>
      <w:r w:rsidR="001705DE">
        <w:t>under NFFOCC</w:t>
      </w:r>
      <w:r w:rsidR="007E258C">
        <w:t xml:space="preserve"> (n=10). </w:t>
      </w:r>
      <w:r w:rsidR="00075FF2">
        <w:t>Four</w:t>
      </w:r>
      <w:r w:rsidR="00C06F4C">
        <w:t xml:space="preserve"> identified services </w:t>
      </w:r>
      <w:r w:rsidR="009A7B9F">
        <w:t>(2</w:t>
      </w:r>
      <w:r w:rsidR="00251362">
        <w:t xml:space="preserve"> per cent</w:t>
      </w:r>
      <w:r w:rsidR="009A7B9F">
        <w:t xml:space="preserve">) </w:t>
      </w:r>
      <w:r w:rsidR="00075FF2">
        <w:t>could</w:t>
      </w:r>
      <w:r w:rsidR="00C06F4C">
        <w:t xml:space="preserve"> not </w:t>
      </w:r>
      <w:r w:rsidR="00075FF2">
        <w:t xml:space="preserve">be </w:t>
      </w:r>
      <w:r w:rsidR="00C06F4C">
        <w:t>linked to a previous funding model</w:t>
      </w:r>
      <w:r w:rsidR="00075FF2">
        <w:t xml:space="preserve"> using existing data</w:t>
      </w:r>
      <w:r w:rsidR="00C06F4C">
        <w:t xml:space="preserve">. </w:t>
      </w:r>
    </w:p>
    <w:p w14:paraId="2D7764DF" w14:textId="3A0F4DB1" w:rsidR="00C06F4C" w:rsidRPr="005C03F4" w:rsidRDefault="00E0654B" w:rsidP="00C06F4C">
      <w:r>
        <w:t xml:space="preserve">In terms of </w:t>
      </w:r>
      <w:r w:rsidRPr="00E0654B">
        <w:rPr>
          <w:b/>
          <w:bCs/>
        </w:rPr>
        <w:t>regulatory</w:t>
      </w:r>
      <w:r w:rsidR="00C06F4C" w:rsidRPr="00E0654B">
        <w:rPr>
          <w:b/>
        </w:rPr>
        <w:t xml:space="preserve"> status</w:t>
      </w:r>
      <w:r>
        <w:t xml:space="preserve">, </w:t>
      </w:r>
      <w:r w:rsidR="00C06F4C">
        <w:t>15</w:t>
      </w:r>
      <w:r w:rsidR="00251362">
        <w:t xml:space="preserve"> per cent</w:t>
      </w:r>
      <w:r w:rsidR="00C06F4C">
        <w:t xml:space="preserve"> (n=23) of services were identified as operating under the NQF.</w:t>
      </w:r>
    </w:p>
    <w:p w14:paraId="4D242F2D" w14:textId="52021526" w:rsidR="00C06F4C" w:rsidRPr="00703E9A" w:rsidRDefault="00C06F4C" w:rsidP="00C06F4C">
      <w:r>
        <w:t xml:space="preserve">The distribution of services by </w:t>
      </w:r>
      <w:r w:rsidR="00743BB0">
        <w:rPr>
          <w:b/>
        </w:rPr>
        <w:t>self-reported</w:t>
      </w:r>
      <w:r w:rsidRPr="00E0654B">
        <w:rPr>
          <w:b/>
        </w:rPr>
        <w:t xml:space="preserve"> capacity</w:t>
      </w:r>
      <w:r>
        <w:t xml:space="preserve"> is shown in </w:t>
      </w:r>
      <w:r w:rsidR="00A90590" w:rsidRPr="009C20D0">
        <w:fldChar w:fldCharType="begin"/>
      </w:r>
      <w:r w:rsidR="00A90590" w:rsidRPr="009C20D0">
        <w:instrText xml:space="preserve"> REF _Ref152859734 \r \h </w:instrText>
      </w:r>
      <w:r w:rsidR="002B406E" w:rsidRPr="009C20D0">
        <w:instrText xml:space="preserve"> \* MERGEFORMAT </w:instrText>
      </w:r>
      <w:r w:rsidR="00A90590" w:rsidRPr="009C20D0">
        <w:fldChar w:fldCharType="separate"/>
      </w:r>
      <w:r w:rsidR="00D300D0">
        <w:t>Chart 2.6</w:t>
      </w:r>
      <w:r w:rsidR="00A90590" w:rsidRPr="009C20D0">
        <w:fldChar w:fldCharType="end"/>
      </w:r>
      <w:r>
        <w:t>.</w:t>
      </w:r>
    </w:p>
    <w:p w14:paraId="2870B2F8" w14:textId="3709FA6C" w:rsidR="00E17EC8" w:rsidRDefault="00C06F4C" w:rsidP="001D6D51">
      <w:pPr>
        <w:pStyle w:val="CaptionChart"/>
      </w:pPr>
      <w:bookmarkStart w:id="128" w:name="_Ref152859734"/>
      <w:bookmarkStart w:id="129" w:name="_Toc158997915"/>
      <w:bookmarkStart w:id="130" w:name="_Toc167130533"/>
      <w:r>
        <w:lastRenderedPageBreak/>
        <w:t xml:space="preserve">: Number </w:t>
      </w:r>
      <w:r w:rsidRPr="001F7B03">
        <w:t>of services by</w:t>
      </w:r>
      <w:r>
        <w:t xml:space="preserve"> </w:t>
      </w:r>
      <w:r w:rsidR="00743BB0">
        <w:t>self-reported</w:t>
      </w:r>
      <w:r>
        <w:t xml:space="preserve"> capacity</w:t>
      </w:r>
      <w:bookmarkEnd w:id="128"/>
      <w:bookmarkEnd w:id="129"/>
      <w:bookmarkEnd w:id="130"/>
    </w:p>
    <w:p w14:paraId="5DF387E7" w14:textId="6F15AF94" w:rsidR="00261916" w:rsidRDefault="00F270E7" w:rsidP="00F270E7">
      <w:r w:rsidRPr="00F270E7">
        <w:rPr>
          <w:noProof/>
        </w:rPr>
        <w:drawing>
          <wp:inline distT="0" distB="0" distL="0" distR="0" wp14:anchorId="5804300E" wp14:editId="586424E2">
            <wp:extent cx="5039995" cy="2881630"/>
            <wp:effectExtent l="0" t="0" r="0" b="0"/>
            <wp:docPr id="26" name="Picture 26" descr="Bar chart showcasing the split of CCCFR services by the following capacity categories: 10 or less, 11 to 20, 21 - 30, 31 to 40, 41 to 50, 51 to 100, more than 100, and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Bar chart showcasing the split of CCCFR services by the following capacity categories: 10 or less, 11 to 20, 21 - 30, 31 to 40, 41 to 50, 51 to 100, more than 100, and unknow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9995" cy="2881630"/>
                    </a:xfrm>
                    <a:prstGeom prst="rect">
                      <a:avLst/>
                    </a:prstGeom>
                    <a:noFill/>
                    <a:ln>
                      <a:noFill/>
                    </a:ln>
                  </pic:spPr>
                </pic:pic>
              </a:graphicData>
            </a:graphic>
          </wp:inline>
        </w:drawing>
      </w:r>
    </w:p>
    <w:p w14:paraId="47AAD2E9" w14:textId="2AD9A137" w:rsidR="00C06F4C" w:rsidRPr="00A32EBF" w:rsidRDefault="00C06F4C" w:rsidP="001D6D51">
      <w:pPr>
        <w:pStyle w:val="Source"/>
        <w:keepNext/>
      </w:pPr>
      <w:r>
        <w:t>Source: Compliance and operations data 2022-2023</w:t>
      </w:r>
      <w:r w:rsidR="00E2216D">
        <w:t>, n=149</w:t>
      </w:r>
      <w:r w:rsidR="00334CB4">
        <w:t>.</w:t>
      </w:r>
    </w:p>
    <w:p w14:paraId="3E4EC247" w14:textId="77777777" w:rsidR="009E7143" w:rsidRDefault="00D6558E" w:rsidP="00C06F4C">
      <w:r>
        <w:t>In</w:t>
      </w:r>
      <w:r w:rsidR="00C06F4C">
        <w:t xml:space="preserve"> the 2022-2023 Compliance and Operations data, </w:t>
      </w:r>
      <w:r w:rsidR="009E73AB">
        <w:t>48</w:t>
      </w:r>
      <w:r w:rsidR="00251362">
        <w:t xml:space="preserve"> per cent</w:t>
      </w:r>
      <w:r w:rsidR="00C06F4C">
        <w:t xml:space="preserve"> of services (n=</w:t>
      </w:r>
      <w:r>
        <w:t>69</w:t>
      </w:r>
      <w:r w:rsidR="00C06F4C">
        <w:t xml:space="preserve">) </w:t>
      </w:r>
      <w:r w:rsidR="002B406E">
        <w:rPr>
          <w:b/>
        </w:rPr>
        <w:t xml:space="preserve">identified </w:t>
      </w:r>
      <w:r w:rsidR="00C06F4C" w:rsidRPr="00A90590">
        <w:rPr>
          <w:b/>
        </w:rPr>
        <w:t>as a</w:t>
      </w:r>
      <w:r w:rsidR="00DD4CDF">
        <w:rPr>
          <w:b/>
        </w:rPr>
        <w:t xml:space="preserve">n Aboriginal </w:t>
      </w:r>
      <w:r w:rsidR="00F9088F">
        <w:rPr>
          <w:b/>
        </w:rPr>
        <w:t>and/</w:t>
      </w:r>
      <w:r w:rsidR="00473E30">
        <w:rPr>
          <w:b/>
        </w:rPr>
        <w:t>or</w:t>
      </w:r>
      <w:r w:rsidR="00DD4CDF">
        <w:rPr>
          <w:b/>
        </w:rPr>
        <w:t xml:space="preserve"> Torres Strait Islander </w:t>
      </w:r>
      <w:r w:rsidR="00C06F4C" w:rsidRPr="00A90590">
        <w:rPr>
          <w:b/>
        </w:rPr>
        <w:t>service</w:t>
      </w:r>
      <w:r w:rsidR="00C06F4C">
        <w:rPr>
          <w:b/>
        </w:rPr>
        <w:t xml:space="preserve">, </w:t>
      </w:r>
      <w:r w:rsidR="00C06F4C">
        <w:t>5</w:t>
      </w:r>
      <w:r w:rsidR="009E73AB">
        <w:t>2</w:t>
      </w:r>
      <w:r w:rsidR="00251362">
        <w:t xml:space="preserve"> per cent</w:t>
      </w:r>
      <w:r w:rsidR="00C06F4C">
        <w:t xml:space="preserve"> (n=7</w:t>
      </w:r>
      <w:r w:rsidR="008305FC">
        <w:t>8</w:t>
      </w:r>
      <w:r w:rsidR="00C06F4C">
        <w:t xml:space="preserve">) </w:t>
      </w:r>
      <w:r w:rsidR="008305FC">
        <w:t>did</w:t>
      </w:r>
      <w:r w:rsidR="00C06F4C">
        <w:t xml:space="preserve"> not identify as a</w:t>
      </w:r>
      <w:r w:rsidR="004A72BD">
        <w:t>n</w:t>
      </w:r>
      <w:r w:rsidR="00C06F4C">
        <w:t xml:space="preserve"> </w:t>
      </w:r>
      <w:r w:rsidR="00C80C4B" w:rsidRPr="00C80C4B">
        <w:t xml:space="preserve">Aboriginal </w:t>
      </w:r>
      <w:r w:rsidR="00F9088F">
        <w:t>and/</w:t>
      </w:r>
      <w:r w:rsidR="00BD4451">
        <w:t>or</w:t>
      </w:r>
      <w:r w:rsidR="00C80C4B" w:rsidRPr="00C80C4B">
        <w:t xml:space="preserve"> Torres Strait Islander </w:t>
      </w:r>
      <w:r w:rsidR="00C06F4C">
        <w:t xml:space="preserve">service, with data not available for </w:t>
      </w:r>
      <w:r w:rsidR="00F9088F">
        <w:t>two</w:t>
      </w:r>
      <w:r w:rsidR="00CE22EA">
        <w:t xml:space="preserve"> service</w:t>
      </w:r>
      <w:r w:rsidR="00F9088F">
        <w:t>s</w:t>
      </w:r>
      <w:r w:rsidR="00973526">
        <w:t xml:space="preserve"> that did not complete the compliance and operations</w:t>
      </w:r>
      <w:r w:rsidR="004764EE">
        <w:t xml:space="preserve"> report</w:t>
      </w:r>
      <w:r w:rsidR="00C06F4C">
        <w:t>.</w:t>
      </w:r>
      <w:r w:rsidR="002E497C">
        <w:t xml:space="preserve"> </w:t>
      </w:r>
    </w:p>
    <w:p w14:paraId="3CEA436E" w14:textId="54872AB1" w:rsidR="009E7143" w:rsidRDefault="00533302" w:rsidP="00C06F4C">
      <w:r>
        <w:t xml:space="preserve">There are multiple ways that services can be </w:t>
      </w:r>
      <w:r w:rsidR="00BA5395">
        <w:t>embedded</w:t>
      </w:r>
      <w:r>
        <w:t xml:space="preserve"> with</w:t>
      </w:r>
      <w:r w:rsidR="00BA5395">
        <w:t>in</w:t>
      </w:r>
      <w:r>
        <w:t xml:space="preserve"> Aboriginal and/or Torres Strait Islander communities and families</w:t>
      </w:r>
      <w:r w:rsidR="001C363C">
        <w:t xml:space="preserve">, some of which are not reflected in services’ identities </w:t>
      </w:r>
      <w:r w:rsidR="00466611">
        <w:t xml:space="preserve">and </w:t>
      </w:r>
      <w:r w:rsidR="00603575">
        <w:t>memberships</w:t>
      </w:r>
      <w:r>
        <w:t>.</w:t>
      </w:r>
      <w:r w:rsidR="002E497C">
        <w:t xml:space="preserve"> </w:t>
      </w:r>
      <w:r w:rsidR="00100502">
        <w:t>This includes m</w:t>
      </w:r>
      <w:r w:rsidR="00C92EBE">
        <w:t xml:space="preserve">any </w:t>
      </w:r>
      <w:r w:rsidR="001A5E25">
        <w:t xml:space="preserve">services </w:t>
      </w:r>
      <w:r w:rsidR="00CB208E">
        <w:t>in Aboriginal and Torres Strait Islander communities</w:t>
      </w:r>
      <w:r w:rsidR="00100502">
        <w:t xml:space="preserve"> with majority Aboriginal and Torres Strait Islander staff and children</w:t>
      </w:r>
      <w:r w:rsidR="00CB208E">
        <w:t xml:space="preserve"> </w:t>
      </w:r>
      <w:r w:rsidR="00100502">
        <w:t xml:space="preserve">that </w:t>
      </w:r>
      <w:r w:rsidR="00CB208E">
        <w:t>do not identify a</w:t>
      </w:r>
      <w:r w:rsidR="008F1F20">
        <w:t>s</w:t>
      </w:r>
      <w:r w:rsidR="00CB208E">
        <w:t xml:space="preserve"> </w:t>
      </w:r>
      <w:r w:rsidR="006D3B3B">
        <w:t xml:space="preserve">Aboriginal or Torres Strait </w:t>
      </w:r>
      <w:r w:rsidR="008F1F20">
        <w:t>Islander</w:t>
      </w:r>
      <w:r w:rsidR="00CB208E">
        <w:t xml:space="preserve"> services</w:t>
      </w:r>
      <w:r w:rsidR="00A30AC1">
        <w:t xml:space="preserve">, which may be run by councils </w:t>
      </w:r>
      <w:r w:rsidR="00BD0286">
        <w:t xml:space="preserve">or non-ACCO organisations. </w:t>
      </w:r>
    </w:p>
    <w:p w14:paraId="24EB0381" w14:textId="49068EDB" w:rsidR="00C06F4C" w:rsidRPr="002B0FCC" w:rsidRDefault="005E6E7B" w:rsidP="00C06F4C">
      <w:r>
        <w:t xml:space="preserve">For instance, </w:t>
      </w:r>
      <w:r w:rsidR="009E7143">
        <w:fldChar w:fldCharType="begin"/>
      </w:r>
      <w:r w:rsidR="009E7143">
        <w:instrText xml:space="preserve"> REF _Ref166769290 \r \h </w:instrText>
      </w:r>
      <w:r w:rsidR="009E7143">
        <w:fldChar w:fldCharType="separate"/>
      </w:r>
      <w:r w:rsidR="00D300D0">
        <w:t>Chart 2.7</w:t>
      </w:r>
      <w:r w:rsidR="009E7143">
        <w:fldChar w:fldCharType="end"/>
      </w:r>
      <w:r w:rsidR="0059187B">
        <w:t xml:space="preserve"> </w:t>
      </w:r>
      <w:r w:rsidR="008018F0">
        <w:t xml:space="preserve">shows </w:t>
      </w:r>
      <w:r w:rsidR="00BE53D3">
        <w:t xml:space="preserve">that </w:t>
      </w:r>
      <w:r w:rsidR="000F3AA5">
        <w:t xml:space="preserve">some services </w:t>
      </w:r>
      <w:r w:rsidR="00AA3644">
        <w:t>that</w:t>
      </w:r>
      <w:r w:rsidR="000F3AA5">
        <w:t xml:space="preserve"> do not themselves identify as Aboriginal and/or Torres Strait Islander</w:t>
      </w:r>
      <w:r w:rsidR="00FA0911">
        <w:t>,</w:t>
      </w:r>
      <w:r w:rsidR="000F3AA5">
        <w:t xml:space="preserve"> are </w:t>
      </w:r>
      <w:r w:rsidR="00FA0911">
        <w:t>nonetheless</w:t>
      </w:r>
      <w:r w:rsidR="000F3AA5">
        <w:t xml:space="preserve"> </w:t>
      </w:r>
      <w:r w:rsidR="009E7143">
        <w:t>m</w:t>
      </w:r>
      <w:r w:rsidR="000F3AA5">
        <w:t xml:space="preserve">embers of SNAICC, the national peak body for Aboriginal and/or Torres Strait Islander children. </w:t>
      </w:r>
      <w:r w:rsidR="00AA3644">
        <w:t xml:space="preserve">Further, some services </w:t>
      </w:r>
      <w:r w:rsidR="00AA3644" w:rsidRPr="00AA3644">
        <w:t>that do not identify as Aboriginal and/or Torres Strait Islander</w:t>
      </w:r>
      <w:r w:rsidR="00790F3A">
        <w:t xml:space="preserve"> are former MACS services</w:t>
      </w:r>
      <w:r w:rsidR="005A1BA4">
        <w:t xml:space="preserve">, </w:t>
      </w:r>
      <w:r w:rsidR="00A11B64">
        <w:t xml:space="preserve">and 24 </w:t>
      </w:r>
      <w:r w:rsidR="005B1D10">
        <w:t xml:space="preserve">(of 78) </w:t>
      </w:r>
      <w:r w:rsidR="009E7143">
        <w:t xml:space="preserve">services </w:t>
      </w:r>
      <w:r w:rsidR="005B1D10">
        <w:t>have a significant number of Aboriginal and/or Torres Strait Is</w:t>
      </w:r>
      <w:r w:rsidR="009E7143">
        <w:t>lander</w:t>
      </w:r>
      <w:r w:rsidR="005B1D10">
        <w:t xml:space="preserve"> children enrolled</w:t>
      </w:r>
      <w:r w:rsidR="00570AB3">
        <w:t xml:space="preserve"> as a proportion of </w:t>
      </w:r>
      <w:r w:rsidR="00797306">
        <w:t>places</w:t>
      </w:r>
      <w:r w:rsidR="00505F81">
        <w:t xml:space="preserve"> (over 25 per cent)</w:t>
      </w:r>
      <w:r w:rsidR="005B1D10">
        <w:t>.</w:t>
      </w:r>
      <w:r w:rsidR="005B1D10">
        <w:rPr>
          <w:rStyle w:val="FootnoteReference"/>
        </w:rPr>
        <w:footnoteReference w:id="75"/>
      </w:r>
      <w:r w:rsidR="005B1D10">
        <w:t xml:space="preserve"> </w:t>
      </w:r>
      <w:r w:rsidR="006D0D47">
        <w:br/>
      </w:r>
      <w:r w:rsidR="006D0D47">
        <w:br/>
      </w:r>
      <w:r w:rsidR="0001783D">
        <w:t xml:space="preserve">In short, </w:t>
      </w:r>
      <w:r w:rsidR="00EF3696">
        <w:t>it is clear</w:t>
      </w:r>
      <w:r w:rsidR="009B1B16">
        <w:t xml:space="preserve"> that the Compliance and Operations </w:t>
      </w:r>
      <w:r w:rsidR="0006678F">
        <w:t>report</w:t>
      </w:r>
      <w:r w:rsidR="009B1B16">
        <w:t xml:space="preserve"> does not provide a robust assessment of a service</w:t>
      </w:r>
      <w:r w:rsidR="008E6F03">
        <w:t>’</w:t>
      </w:r>
      <w:r w:rsidR="009B1B16">
        <w:t xml:space="preserve">s linkages with Aboriginal and/or Torres Strait Islander communities and </w:t>
      </w:r>
      <w:r w:rsidR="00F9266A">
        <w:t>therefore</w:t>
      </w:r>
      <w:r w:rsidR="0058327A">
        <w:t xml:space="preserve"> it is critical </w:t>
      </w:r>
      <w:r w:rsidR="00FD07F5">
        <w:t>for the Department to both consider additional data sources and</w:t>
      </w:r>
      <w:r w:rsidR="00BA0F73">
        <w:t>/or</w:t>
      </w:r>
      <w:r w:rsidR="00FD07F5">
        <w:t xml:space="preserve"> engage directly with the services</w:t>
      </w:r>
      <w:r w:rsidR="00AB4101">
        <w:t xml:space="preserve"> when making any decisions about the services that may be influenced by their relationships to Aboriginal and/or Torres Strait Islander communities. </w:t>
      </w:r>
      <w:r w:rsidR="00FD07F5">
        <w:t xml:space="preserve"> </w:t>
      </w:r>
      <w:r w:rsidR="00F9266A">
        <w:t xml:space="preserve"> </w:t>
      </w:r>
    </w:p>
    <w:p w14:paraId="1BEF673C" w14:textId="621FF98C" w:rsidR="00F9088F" w:rsidRDefault="009E7143" w:rsidP="005E6E7B">
      <w:pPr>
        <w:pStyle w:val="CaptionChart"/>
      </w:pPr>
      <w:bookmarkStart w:id="131" w:name="_Ref166769290"/>
      <w:bookmarkStart w:id="132" w:name="_Toc167130534"/>
      <w:r>
        <w:lastRenderedPageBreak/>
        <w:t xml:space="preserve">: </w:t>
      </w:r>
      <w:r w:rsidR="0057622E">
        <w:t>CCCFR services by identification as Aboriginal and/or Torres Strait Islander ser</w:t>
      </w:r>
      <w:r w:rsidR="008018F0">
        <w:t>vice</w:t>
      </w:r>
      <w:bookmarkEnd w:id="131"/>
      <w:bookmarkEnd w:id="132"/>
    </w:p>
    <w:p w14:paraId="1B8DB863" w14:textId="1678A923" w:rsidR="005D5510" w:rsidRPr="005D5510" w:rsidRDefault="005D5510" w:rsidP="005D5510">
      <w:r w:rsidRPr="005D5510">
        <w:rPr>
          <w:noProof/>
        </w:rPr>
        <w:drawing>
          <wp:inline distT="0" distB="0" distL="0" distR="0" wp14:anchorId="154893F7" wp14:editId="5010C233">
            <wp:extent cx="5038725" cy="3600450"/>
            <wp:effectExtent l="0" t="0" r="9525" b="0"/>
            <wp:docPr id="59" name="Picture 59" descr="Bar chart that shows the number of CCCFR services by identification as an Aboriginal and/or Torres Strait Islander service, showing the total number, number who are ACCO, number who are a member of SNAICC and number who are registered with ORIC - by whether they do or do not identify as an Aboriginal and/or Torres Strait Islander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Bar chart that shows the number of CCCFR services by identification as an Aboriginal and/or Torres Strait Islander service, showing the total number, number who are ACCO, number who are a member of SNAICC and number who are registered with ORIC - by whether they do or do not identify as an Aboriginal and/or Torres Strait Islander servi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38725" cy="3600450"/>
                    </a:xfrm>
                    <a:prstGeom prst="rect">
                      <a:avLst/>
                    </a:prstGeom>
                    <a:noFill/>
                    <a:ln>
                      <a:noFill/>
                    </a:ln>
                  </pic:spPr>
                </pic:pic>
              </a:graphicData>
            </a:graphic>
          </wp:inline>
        </w:drawing>
      </w:r>
    </w:p>
    <w:p w14:paraId="08AE82DB" w14:textId="18D5D101" w:rsidR="008700B0" w:rsidRDefault="008700B0" w:rsidP="008700B0">
      <w:pPr>
        <w:pStyle w:val="Source"/>
      </w:pPr>
      <w:r>
        <w:t>Source: Compliance and Operations Data (2022-2023), n=149</w:t>
      </w:r>
    </w:p>
    <w:p w14:paraId="71E85B6E" w14:textId="61167777" w:rsidR="00C06F4C" w:rsidRPr="009B6206" w:rsidRDefault="00101977" w:rsidP="00C06F4C">
      <w:r>
        <w:t xml:space="preserve">With regard to the </w:t>
      </w:r>
      <w:r w:rsidRPr="00101977">
        <w:rPr>
          <w:b/>
          <w:bCs/>
        </w:rPr>
        <w:t>overall level</w:t>
      </w:r>
      <w:r w:rsidR="00C06F4C" w:rsidRPr="00101977">
        <w:rPr>
          <w:b/>
        </w:rPr>
        <w:t xml:space="preserve"> of </w:t>
      </w:r>
      <w:r w:rsidRPr="00101977">
        <w:rPr>
          <w:b/>
          <w:bCs/>
        </w:rPr>
        <w:t>disadvantage in services’ local area</w:t>
      </w:r>
      <w:r>
        <w:t>, h</w:t>
      </w:r>
      <w:r w:rsidR="00C06F4C">
        <w:t xml:space="preserve">alf of services are in the lowest, or most disadvantaged, </w:t>
      </w:r>
      <w:r w:rsidR="00F11137">
        <w:t>Statistical Area</w:t>
      </w:r>
      <w:r w:rsidR="000C3093">
        <w:t xml:space="preserve"> Level 2 (</w:t>
      </w:r>
      <w:r w:rsidR="00C06F4C">
        <w:t>SA2</w:t>
      </w:r>
      <w:r w:rsidR="000C3093">
        <w:t>)</w:t>
      </w:r>
      <w:r w:rsidR="00C06F4C">
        <w:t xml:space="preserve"> grouping (</w:t>
      </w:r>
      <w:r w:rsidR="0019010C">
        <w:t>Socio</w:t>
      </w:r>
      <w:r w:rsidR="007B576F">
        <w:t>-Economic Indexes for Areas</w:t>
      </w:r>
      <w:r w:rsidR="005C5FC7">
        <w:t xml:space="preserve"> (</w:t>
      </w:r>
      <w:r w:rsidR="00C06F4C">
        <w:t>SEIFA</w:t>
      </w:r>
      <w:r w:rsidR="005C5FC7">
        <w:t>)</w:t>
      </w:r>
      <w:r w:rsidR="00C06F4C">
        <w:t xml:space="preserve"> Decile 1</w:t>
      </w:r>
      <w:r w:rsidR="003B0403">
        <w:t xml:space="preserve"> (refers to the lowest</w:t>
      </w:r>
      <w:r w:rsidR="00B92A02">
        <w:t xml:space="preserve"> 10</w:t>
      </w:r>
      <w:r w:rsidR="00251362">
        <w:t xml:space="preserve"> per cent</w:t>
      </w:r>
      <w:r w:rsidR="002C7407">
        <w:t xml:space="preserve"> of areas on the SEIFA</w:t>
      </w:r>
      <w:r w:rsidR="00C06F4C">
        <w:t xml:space="preserve">) – as shown in </w:t>
      </w:r>
      <w:r w:rsidR="00BB0984" w:rsidRPr="00515C34">
        <w:fldChar w:fldCharType="begin"/>
      </w:r>
      <w:r w:rsidR="00BB0984" w:rsidRPr="00515C34">
        <w:instrText xml:space="preserve"> REF _Ref152859826 \r \h </w:instrText>
      </w:r>
      <w:r w:rsidR="001277B7" w:rsidRPr="00515C34">
        <w:instrText xml:space="preserve"> \* MERGEFORMAT </w:instrText>
      </w:r>
      <w:r w:rsidR="00BB0984" w:rsidRPr="00515C34">
        <w:fldChar w:fldCharType="separate"/>
      </w:r>
      <w:r w:rsidR="00D300D0">
        <w:t>Chart 2.8</w:t>
      </w:r>
      <w:r w:rsidR="00BB0984" w:rsidRPr="00515C34">
        <w:fldChar w:fldCharType="end"/>
      </w:r>
      <w:r w:rsidR="00C06F4C">
        <w:t>.</w:t>
      </w:r>
    </w:p>
    <w:p w14:paraId="7A087CC6" w14:textId="7E81B924" w:rsidR="00C06F4C" w:rsidRPr="003D3489" w:rsidRDefault="00C06F4C" w:rsidP="00BB0984">
      <w:pPr>
        <w:pStyle w:val="CaptionChart"/>
      </w:pPr>
      <w:bookmarkStart w:id="133" w:name="_Ref152859826"/>
      <w:bookmarkStart w:id="134" w:name="_Toc158997916"/>
      <w:bookmarkStart w:id="135" w:name="_Toc167130535"/>
      <w:r>
        <w:lastRenderedPageBreak/>
        <w:t xml:space="preserve">: </w:t>
      </w:r>
      <w:r w:rsidRPr="00EF7B0B">
        <w:t>Number of services</w:t>
      </w:r>
      <w:r>
        <w:t xml:space="preserve"> by SA2 SEIFA Decile</w:t>
      </w:r>
      <w:bookmarkEnd w:id="133"/>
      <w:bookmarkEnd w:id="134"/>
      <w:bookmarkEnd w:id="135"/>
    </w:p>
    <w:p w14:paraId="22B7728E" w14:textId="0E1ECA1C" w:rsidR="00C06F4C" w:rsidRDefault="00515C34" w:rsidP="00515C34">
      <w:pPr>
        <w:keepNext/>
      </w:pPr>
      <w:r w:rsidRPr="00515C34">
        <w:rPr>
          <w:noProof/>
        </w:rPr>
        <w:drawing>
          <wp:inline distT="0" distB="0" distL="0" distR="0" wp14:anchorId="4E3C51B0" wp14:editId="079B4489">
            <wp:extent cx="4344006" cy="2619741"/>
            <wp:effectExtent l="0" t="0" r="0" b="9525"/>
            <wp:docPr id="52" name="Picture 52" descr="Bar chart showing number of CCCFR services split by SEIFA dec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Bar chart showing number of CCCFR services split by SEIFA decile. "/>
                    <pic:cNvPicPr/>
                  </pic:nvPicPr>
                  <pic:blipFill>
                    <a:blip r:embed="rId49"/>
                    <a:stretch>
                      <a:fillRect/>
                    </a:stretch>
                  </pic:blipFill>
                  <pic:spPr>
                    <a:xfrm>
                      <a:off x="0" y="0"/>
                      <a:ext cx="4344006" cy="2619741"/>
                    </a:xfrm>
                    <a:prstGeom prst="rect">
                      <a:avLst/>
                    </a:prstGeom>
                  </pic:spPr>
                </pic:pic>
              </a:graphicData>
            </a:graphic>
          </wp:inline>
        </w:drawing>
      </w:r>
    </w:p>
    <w:p w14:paraId="66D147C9" w14:textId="63F167C7" w:rsidR="00C06F4C" w:rsidRPr="00366AFF" w:rsidRDefault="006A1251" w:rsidP="00515C34">
      <w:pPr>
        <w:pStyle w:val="Source"/>
        <w:keepNext/>
      </w:pPr>
      <w:r w:rsidRPr="006A1251">
        <w:t xml:space="preserve"> </w:t>
      </w:r>
      <w:r w:rsidR="00C06F4C">
        <w:t>Source: ABS Data and Department of Education data</w:t>
      </w:r>
      <w:r w:rsidR="000168B2">
        <w:t>, n=149</w:t>
      </w:r>
      <w:r w:rsidR="00C06F4C" w:rsidRPr="00515C34">
        <w:rPr>
          <w:vertAlign w:val="superscript"/>
        </w:rPr>
        <w:footnoteReference w:id="76"/>
      </w:r>
    </w:p>
    <w:p w14:paraId="6D183F38" w14:textId="211FD300" w:rsidR="008F1680" w:rsidRPr="008F1680" w:rsidRDefault="008F1680" w:rsidP="008F1680">
      <w:r>
        <w:t xml:space="preserve">This means that CCCFR services </w:t>
      </w:r>
      <w:r w:rsidR="001E791E">
        <w:t xml:space="preserve">are </w:t>
      </w:r>
      <w:r>
        <w:t xml:space="preserve">disproportionately </w:t>
      </w:r>
      <w:r w:rsidR="001E791E">
        <w:t>located in disadvantaged areas</w:t>
      </w:r>
      <w:r w:rsidR="00A1186D">
        <w:t xml:space="preserve">. Some SA2 areas have multiple CCCFR services; often a </w:t>
      </w:r>
      <w:r w:rsidR="00496E52">
        <w:t>centre</w:t>
      </w:r>
      <w:r w:rsidR="0091598E">
        <w:t>-</w:t>
      </w:r>
      <w:r w:rsidR="00496E52">
        <w:t xml:space="preserve">based day care centre and an out of school hours care service. </w:t>
      </w:r>
      <w:r w:rsidR="00496E52" w:rsidRPr="00343DD6">
        <w:fldChar w:fldCharType="begin"/>
      </w:r>
      <w:r w:rsidR="00496E52" w:rsidRPr="00343DD6">
        <w:instrText xml:space="preserve"> REF _Ref153350533 \r \h </w:instrText>
      </w:r>
      <w:r w:rsidR="001277B7" w:rsidRPr="00343DD6">
        <w:instrText xml:space="preserve"> \* MERGEFORMAT </w:instrText>
      </w:r>
      <w:r w:rsidR="00496E52" w:rsidRPr="00343DD6">
        <w:fldChar w:fldCharType="separate"/>
      </w:r>
      <w:r w:rsidR="00D300D0">
        <w:t>Chart 2.9</w:t>
      </w:r>
      <w:r w:rsidR="00496E52" w:rsidRPr="00343DD6">
        <w:fldChar w:fldCharType="end"/>
      </w:r>
      <w:r w:rsidR="00496E52">
        <w:t xml:space="preserve"> shows the </w:t>
      </w:r>
      <w:r w:rsidR="00F106BC">
        <w:t xml:space="preserve">number of SA2 areas with at least one CCCFR service by SEIFA decile, compared to the even proportion of SA2s by SEIFA decile nationally. </w:t>
      </w:r>
      <w:r w:rsidR="004D07A1">
        <w:t xml:space="preserve">SA2s in the most disadvantaged deciles are more likely to have a CCCFR service. </w:t>
      </w:r>
    </w:p>
    <w:p w14:paraId="3C9529F6" w14:textId="532A3D8C" w:rsidR="00940DE9" w:rsidRDefault="00940DE9" w:rsidP="00940DE9">
      <w:pPr>
        <w:pStyle w:val="CaptionChart"/>
      </w:pPr>
      <w:bookmarkStart w:id="136" w:name="_Ref153350533"/>
      <w:bookmarkStart w:id="137" w:name="_Toc158997917"/>
      <w:bookmarkStart w:id="138" w:name="_Toc167130536"/>
      <w:r>
        <w:t>:</w:t>
      </w:r>
      <w:r w:rsidR="00B836EA">
        <w:t xml:space="preserve"> SA2s with at least one CCCFR service</w:t>
      </w:r>
      <w:r w:rsidR="006B0F58">
        <w:t xml:space="preserve">, by SEIFA </w:t>
      </w:r>
      <w:bookmarkEnd w:id="136"/>
      <w:r w:rsidR="00343DD6">
        <w:t>d</w:t>
      </w:r>
      <w:r w:rsidR="006B0F58">
        <w:t>ecile</w:t>
      </w:r>
      <w:bookmarkEnd w:id="137"/>
      <w:bookmarkEnd w:id="138"/>
    </w:p>
    <w:p w14:paraId="491949D9" w14:textId="27428FF1" w:rsidR="002E5083" w:rsidRPr="002E5083" w:rsidRDefault="00471F13" w:rsidP="00222C95">
      <w:pPr>
        <w:pStyle w:val="Date"/>
      </w:pPr>
      <w:r>
        <w:rPr>
          <w:noProof/>
        </w:rPr>
        <w:drawing>
          <wp:inline distT="0" distB="0" distL="0" distR="0" wp14:anchorId="55122B47" wp14:editId="416F79F3">
            <wp:extent cx="5401310" cy="1797050"/>
            <wp:effectExtent l="0" t="0" r="0" b="0"/>
            <wp:docPr id="34" name="Picture 34" descr="Singular bar chart showing the proportion of SA2s with CCCFR service(s) by SEIFA dec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ingular bar chart showing the proportion of SA2s with CCCFR service(s) by SEIFA decile. "/>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1310" cy="1797050"/>
                    </a:xfrm>
                    <a:prstGeom prst="rect">
                      <a:avLst/>
                    </a:prstGeom>
                  </pic:spPr>
                </pic:pic>
              </a:graphicData>
            </a:graphic>
          </wp:inline>
        </w:drawing>
      </w:r>
    </w:p>
    <w:p w14:paraId="0B713D8B" w14:textId="49110108" w:rsidR="00A50994" w:rsidRDefault="00A50994" w:rsidP="00A50994">
      <w:pPr>
        <w:pStyle w:val="Source"/>
        <w:keepNext/>
        <w:keepLines/>
      </w:pPr>
      <w:r>
        <w:t>Source: ABS Data and Department of Education data</w:t>
      </w:r>
      <w:r>
        <w:rPr>
          <w:rStyle w:val="FootnoteReference"/>
        </w:rPr>
        <w:footnoteReference w:id="77"/>
      </w:r>
    </w:p>
    <w:p w14:paraId="147D053C" w14:textId="41A6EE3F" w:rsidR="00C06F4C" w:rsidRPr="005A3C5E" w:rsidRDefault="00C06F4C" w:rsidP="00C06F4C">
      <w:r>
        <w:t xml:space="preserve">The distribution of services by </w:t>
      </w:r>
      <w:r w:rsidRPr="00101977">
        <w:rPr>
          <w:b/>
        </w:rPr>
        <w:t xml:space="preserve">local </w:t>
      </w:r>
      <w:r w:rsidR="009964BE">
        <w:rPr>
          <w:b/>
        </w:rPr>
        <w:t>un</w:t>
      </w:r>
      <w:r w:rsidRPr="00101977">
        <w:rPr>
          <w:b/>
        </w:rPr>
        <w:t xml:space="preserve">employment rate in their </w:t>
      </w:r>
      <w:r w:rsidR="009964BE">
        <w:rPr>
          <w:b/>
          <w:bCs/>
        </w:rPr>
        <w:t>SA2</w:t>
      </w:r>
      <w:r>
        <w:t xml:space="preserve"> </w:t>
      </w:r>
      <w:r w:rsidR="002840A1">
        <w:t>I o</w:t>
      </w:r>
      <w:r>
        <w:t xml:space="preserve">is shown in </w:t>
      </w:r>
      <w:r w:rsidR="00A45CF8" w:rsidRPr="00343DD6">
        <w:fldChar w:fldCharType="begin"/>
      </w:r>
      <w:r w:rsidR="00A45CF8" w:rsidRPr="00343DD6">
        <w:instrText xml:space="preserve"> REF _Ref152860023 \r \h </w:instrText>
      </w:r>
      <w:r w:rsidR="00C91F41" w:rsidRPr="00343DD6">
        <w:instrText xml:space="preserve"> \* MERGEFORMAT </w:instrText>
      </w:r>
      <w:r w:rsidR="00A45CF8" w:rsidRPr="00343DD6">
        <w:fldChar w:fldCharType="separate"/>
      </w:r>
      <w:r w:rsidR="00D300D0">
        <w:t>Chart 2.10</w:t>
      </w:r>
      <w:r w:rsidR="00A45CF8" w:rsidRPr="00343DD6">
        <w:fldChar w:fldCharType="end"/>
      </w:r>
      <w:r>
        <w:t>.</w:t>
      </w:r>
      <w:r w:rsidR="009964BE">
        <w:t xml:space="preserve"> </w:t>
      </w:r>
    </w:p>
    <w:p w14:paraId="1B3E9C6D" w14:textId="5CB2C439" w:rsidR="00C06F4C" w:rsidRDefault="00C06F4C" w:rsidP="00A45CF8">
      <w:pPr>
        <w:pStyle w:val="CaptionChart"/>
      </w:pPr>
      <w:bookmarkStart w:id="139" w:name="_Ref152860023"/>
      <w:bookmarkStart w:id="140" w:name="_Toc158997918"/>
      <w:bookmarkStart w:id="141" w:name="_Toc167130537"/>
      <w:bookmarkStart w:id="142" w:name="_Hlk162361278"/>
      <w:r>
        <w:lastRenderedPageBreak/>
        <w:t xml:space="preserve">: Number of services by </w:t>
      </w:r>
      <w:r w:rsidR="00315F2F">
        <w:t>SA2</w:t>
      </w:r>
      <w:r>
        <w:t xml:space="preserve"> </w:t>
      </w:r>
      <w:r w:rsidR="00315F2F">
        <w:t>un</w:t>
      </w:r>
      <w:r>
        <w:t>employment rate</w:t>
      </w:r>
      <w:bookmarkEnd w:id="139"/>
      <w:bookmarkEnd w:id="140"/>
      <w:bookmarkEnd w:id="141"/>
    </w:p>
    <w:p w14:paraId="33683789" w14:textId="3E121B68" w:rsidR="00381225" w:rsidRPr="00A32182" w:rsidRDefault="00DF6407" w:rsidP="00A32182">
      <w:r>
        <w:rPr>
          <w:noProof/>
        </w:rPr>
        <w:drawing>
          <wp:inline distT="0" distB="0" distL="0" distR="0" wp14:anchorId="3D04068C" wp14:editId="4EA1D38D">
            <wp:extent cx="4572635" cy="2743200"/>
            <wp:effectExtent l="0" t="0" r="0" b="0"/>
            <wp:docPr id="47" name="Picture 47" descr="Bar chart showcasing the number of CCCFR services by SA2 unemployment rate. The unemployment rate is categorised as 0-4.99%, 5-9.99%, 10-14.99%, 20-24.99%, 25-29.99%, 30-34.99%, 40-44.99% and data not avail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ar chart showcasing the number of CCCFR services by SA2 unemployment rate. The unemployment rate is categorised as 0-4.99%, 5-9.99%, 10-14.99%, 20-24.99%, 25-29.99%, 30-34.99%, 40-44.99% and data not available.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64EDFAD" w14:textId="42577236" w:rsidR="00C06F4C" w:rsidRDefault="00C06F4C" w:rsidP="00373CD4">
      <w:pPr>
        <w:pStyle w:val="Source"/>
        <w:keepNext/>
      </w:pPr>
      <w:r>
        <w:t>Source: ABS Data and Department of Education data</w:t>
      </w:r>
      <w:r w:rsidR="00EF07DC">
        <w:t>, n=149</w:t>
      </w:r>
    </w:p>
    <w:bookmarkEnd w:id="142"/>
    <w:p w14:paraId="04F94240" w14:textId="1EA25E9F" w:rsidR="008F51CE" w:rsidRPr="00373CD4" w:rsidRDefault="008F51CE" w:rsidP="00797C79">
      <w:r w:rsidRPr="00373CD4">
        <w:t xml:space="preserve">In </w:t>
      </w:r>
      <w:r w:rsidR="008D264B" w:rsidRPr="00373CD4">
        <w:t>respect to the CCCFR grant objectives, services are mostly in areas with more children at developmental risk and areas of lower employment</w:t>
      </w:r>
      <w:r w:rsidR="007E4119">
        <w:t xml:space="preserve">. </w:t>
      </w:r>
      <w:r w:rsidR="008C763E" w:rsidRPr="00EE5653">
        <w:fldChar w:fldCharType="begin"/>
      </w:r>
      <w:r w:rsidR="008C763E" w:rsidRPr="00EE5653">
        <w:instrText xml:space="preserve"> REF _Ref153295585 \r \h </w:instrText>
      </w:r>
      <w:r w:rsidR="00C563B1" w:rsidRPr="00EE5653">
        <w:instrText xml:space="preserve"> \* MERGEFORMAT </w:instrText>
      </w:r>
      <w:r w:rsidR="008C763E" w:rsidRPr="00EE5653">
        <w:fldChar w:fldCharType="separate"/>
      </w:r>
      <w:r w:rsidR="00D300D0">
        <w:t>Chart 2.11</w:t>
      </w:r>
      <w:r w:rsidR="008C763E" w:rsidRPr="00EE5653">
        <w:fldChar w:fldCharType="end"/>
      </w:r>
      <w:r w:rsidR="007E4119">
        <w:t xml:space="preserve"> shows </w:t>
      </w:r>
      <w:r w:rsidR="002D2984">
        <w:t xml:space="preserve">most CCCFR services are located in areas of above average </w:t>
      </w:r>
      <w:r w:rsidR="002253C2">
        <w:t xml:space="preserve">unemployment and proportion of children vulnerable on </w:t>
      </w:r>
      <w:r w:rsidR="00DE4794">
        <w:t>two</w:t>
      </w:r>
      <w:r w:rsidR="002253C2">
        <w:t xml:space="preserve"> or more AEDC domains</w:t>
      </w:r>
      <w:r w:rsidR="00C57746">
        <w:t xml:space="preserve">. </w:t>
      </w:r>
    </w:p>
    <w:p w14:paraId="20B23F18" w14:textId="254EAFE1" w:rsidR="003A69FB" w:rsidRDefault="003A69FB" w:rsidP="003A69FB">
      <w:pPr>
        <w:pStyle w:val="CaptionChart"/>
      </w:pPr>
      <w:bookmarkStart w:id="143" w:name="_Ref153295585"/>
      <w:bookmarkStart w:id="144" w:name="_Toc158997919"/>
      <w:bookmarkStart w:id="145" w:name="_Toc167130538"/>
      <w:r w:rsidRPr="00373CD4">
        <w:t xml:space="preserve">: </w:t>
      </w:r>
      <w:r w:rsidR="00F706DD" w:rsidRPr="00373CD4">
        <w:t>CCCFR locations (SA2)</w:t>
      </w:r>
      <w:r w:rsidR="00E179FC" w:rsidRPr="00373CD4">
        <w:t xml:space="preserve"> by unemployment and proportion of children vulnerable on 2 or more AEDC domains</w:t>
      </w:r>
      <w:bookmarkEnd w:id="143"/>
      <w:bookmarkEnd w:id="144"/>
      <w:bookmarkEnd w:id="145"/>
    </w:p>
    <w:p w14:paraId="5B506DF1" w14:textId="77777777" w:rsidR="00E34C03" w:rsidRDefault="007215B5" w:rsidP="005E5F37">
      <w:pPr>
        <w:rPr>
          <w:noProof/>
        </w:rPr>
      </w:pPr>
      <w:r w:rsidRPr="007215B5">
        <w:rPr>
          <w:noProof/>
        </w:rPr>
        <w:t xml:space="preserve"> </w:t>
      </w:r>
      <w:r w:rsidR="000B600B" w:rsidRPr="000B600B">
        <w:rPr>
          <w:noProof/>
        </w:rPr>
        <w:drawing>
          <wp:inline distT="0" distB="0" distL="0" distR="0" wp14:anchorId="47693EE3" wp14:editId="07E3C499">
            <wp:extent cx="5143500" cy="3510868"/>
            <wp:effectExtent l="0" t="0" r="0" b="0"/>
            <wp:docPr id="838388597" name="Picture 838388597" descr="Scatterplot showing the unemployment rate in SA2 on the Y axis, against average % of children developmentally vulnerable on two or more domain on the x ax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97" name="Picture 838388597" descr="Scatterplot showing the unemployment rate in SA2 on the Y axis, against average % of children developmentally vulnerable on two or more domain on the x axis. "/>
                    <pic:cNvPicPr/>
                  </pic:nvPicPr>
                  <pic:blipFill>
                    <a:blip r:embed="rId52"/>
                    <a:stretch>
                      <a:fillRect/>
                    </a:stretch>
                  </pic:blipFill>
                  <pic:spPr>
                    <a:xfrm>
                      <a:off x="0" y="0"/>
                      <a:ext cx="5160323" cy="3522351"/>
                    </a:xfrm>
                    <a:prstGeom prst="rect">
                      <a:avLst/>
                    </a:prstGeom>
                  </pic:spPr>
                </pic:pic>
              </a:graphicData>
            </a:graphic>
          </wp:inline>
        </w:drawing>
      </w:r>
    </w:p>
    <w:p w14:paraId="06FD7AC4" w14:textId="1951FD4B" w:rsidR="00A234CF" w:rsidRPr="005E5F37" w:rsidRDefault="00956F20" w:rsidP="005E5F37">
      <w:r w:rsidRPr="00956F20">
        <w:rPr>
          <w:noProof/>
        </w:rPr>
        <w:drawing>
          <wp:inline distT="0" distB="0" distL="0" distR="0" wp14:anchorId="52AC8F3F" wp14:editId="74FCA229">
            <wp:extent cx="133350" cy="142875"/>
            <wp:effectExtent l="0" t="0" r="0" b="9525"/>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rotWithShape="1">
                    <a:blip r:embed="rId53"/>
                    <a:srcRect t="1" r="88865" b="16484"/>
                    <a:stretch/>
                  </pic:blipFill>
                  <pic:spPr bwMode="auto">
                    <a:xfrm>
                      <a:off x="0" y="0"/>
                      <a:ext cx="133657" cy="143204"/>
                    </a:xfrm>
                    <a:prstGeom prst="rect">
                      <a:avLst/>
                    </a:prstGeom>
                    <a:ln>
                      <a:noFill/>
                    </a:ln>
                    <a:extLst>
                      <a:ext uri="{53640926-AAD7-44D8-BBD7-CCE9431645EC}">
                        <a14:shadowObscured xmlns:a14="http://schemas.microsoft.com/office/drawing/2010/main"/>
                      </a:ext>
                    </a:extLst>
                  </pic:spPr>
                </pic:pic>
              </a:graphicData>
            </a:graphic>
          </wp:inline>
        </w:drawing>
      </w:r>
      <w:r w:rsidR="00E34C03">
        <w:t>Average of all SA2s with at least one CCCFR service.</w:t>
      </w:r>
    </w:p>
    <w:p w14:paraId="3ACFBE71" w14:textId="4BC6719E" w:rsidR="00F706DD" w:rsidRDefault="00F706DD" w:rsidP="00F706DD">
      <w:pPr>
        <w:pStyle w:val="Source"/>
      </w:pPr>
      <w:r>
        <w:t>Source: Deloitte Access Economics (2023) using ABS Data</w:t>
      </w:r>
      <w:r w:rsidR="00020BB4">
        <w:t xml:space="preserve"> (2021)</w:t>
      </w:r>
      <w:r>
        <w:t>, AEDC Data</w:t>
      </w:r>
      <w:r w:rsidR="002E5873">
        <w:t xml:space="preserve"> (2021)</w:t>
      </w:r>
      <w:r w:rsidR="00C57107">
        <w:t>.</w:t>
      </w:r>
      <w:r w:rsidR="00AC1BF0">
        <w:t xml:space="preserve"> </w:t>
      </w:r>
    </w:p>
    <w:p w14:paraId="2C578983" w14:textId="2AF3623E" w:rsidR="007F4493" w:rsidRDefault="0099339F" w:rsidP="00797C79">
      <w:r>
        <w:lastRenderedPageBreak/>
        <w:t>T</w:t>
      </w:r>
      <w:r w:rsidR="00F45FD4" w:rsidRPr="00F45FD4">
        <w:t xml:space="preserve">he National </w:t>
      </w:r>
      <w:r w:rsidRPr="00F45FD4">
        <w:t>Workforce</w:t>
      </w:r>
      <w:r w:rsidR="00F45FD4" w:rsidRPr="00F45FD4">
        <w:t xml:space="preserve"> </w:t>
      </w:r>
      <w:r>
        <w:t xml:space="preserve">Census </w:t>
      </w:r>
      <w:r w:rsidR="00101560">
        <w:t xml:space="preserve">(NWC) </w:t>
      </w:r>
      <w:r>
        <w:t xml:space="preserve">data indicates that </w:t>
      </w:r>
      <w:r w:rsidR="00101560">
        <w:t>25</w:t>
      </w:r>
      <w:r w:rsidR="00251362">
        <w:t xml:space="preserve"> per cent</w:t>
      </w:r>
      <w:r>
        <w:t xml:space="preserve"> of children </w:t>
      </w:r>
      <w:r w:rsidR="00795837">
        <w:t>within</w:t>
      </w:r>
      <w:r w:rsidR="00377CF0">
        <w:t xml:space="preserve"> CCCFR service</w:t>
      </w:r>
      <w:r w:rsidR="00795837">
        <w:t>s</w:t>
      </w:r>
      <w:r>
        <w:t xml:space="preserve"> </w:t>
      </w:r>
      <w:r w:rsidR="00D6715F">
        <w:t xml:space="preserve">had parents or guardians </w:t>
      </w:r>
      <w:r w:rsidR="00101560">
        <w:t xml:space="preserve">who spoke a language other than English </w:t>
      </w:r>
      <w:r w:rsidR="00450019">
        <w:t xml:space="preserve">(LOTE) </w:t>
      </w:r>
      <w:r w:rsidR="00101560">
        <w:t>at home.</w:t>
      </w:r>
      <w:r w:rsidR="00101560">
        <w:rPr>
          <w:rStyle w:val="FootnoteReference"/>
        </w:rPr>
        <w:footnoteReference w:id="78"/>
      </w:r>
      <w:r w:rsidR="00101560">
        <w:t xml:space="preserve"> This compare</w:t>
      </w:r>
      <w:r w:rsidR="00C57107">
        <w:t>s</w:t>
      </w:r>
      <w:r w:rsidR="00101560">
        <w:t xml:space="preserve"> to 19</w:t>
      </w:r>
      <w:r w:rsidR="00251362">
        <w:t xml:space="preserve"> per cent</w:t>
      </w:r>
      <w:r w:rsidR="00101560">
        <w:t xml:space="preserve"> of children </w:t>
      </w:r>
      <w:r w:rsidR="00C57107">
        <w:t>in ECEC services</w:t>
      </w:r>
      <w:r w:rsidR="00101560">
        <w:t xml:space="preserve"> nationally.</w:t>
      </w:r>
      <w:r w:rsidR="00377CF0">
        <w:rPr>
          <w:rStyle w:val="FootnoteReference"/>
        </w:rPr>
        <w:footnoteReference w:id="79"/>
      </w:r>
      <w:r w:rsidR="00101560">
        <w:t xml:space="preserve"> </w:t>
      </w:r>
    </w:p>
    <w:p w14:paraId="5F324F53" w14:textId="75436C6E" w:rsidR="00050CB5" w:rsidRPr="00F45FD4" w:rsidRDefault="00247373" w:rsidP="00797C79">
      <w:r>
        <w:t xml:space="preserve">There </w:t>
      </w:r>
      <w:r w:rsidR="007F4493">
        <w:t>is</w:t>
      </w:r>
      <w:r>
        <w:t xml:space="preserve"> variation in the </w:t>
      </w:r>
      <w:r w:rsidR="00C954B7">
        <w:t>proportion</w:t>
      </w:r>
      <w:r>
        <w:t xml:space="preserve"> of children </w:t>
      </w:r>
      <w:r w:rsidR="007F4493">
        <w:t>from LOTE backgrounds across</w:t>
      </w:r>
      <w:r w:rsidR="00C954B7">
        <w:t xml:space="preserve"> CCCFR service</w:t>
      </w:r>
      <w:r w:rsidR="00053959">
        <w:t>s</w:t>
      </w:r>
      <w:r w:rsidR="00C954B7">
        <w:t>,</w:t>
      </w:r>
      <w:r w:rsidR="00E2092E">
        <w:t xml:space="preserve"> w</w:t>
      </w:r>
      <w:r w:rsidR="007833F4">
        <w:t>ith</w:t>
      </w:r>
      <w:r w:rsidR="00E2092E">
        <w:t xml:space="preserve"> close to a third </w:t>
      </w:r>
      <w:r w:rsidR="00D7326D">
        <w:t>having</w:t>
      </w:r>
      <w:r w:rsidR="00E2092E">
        <w:t xml:space="preserve"> 1-20</w:t>
      </w:r>
      <w:r w:rsidR="00251362">
        <w:t xml:space="preserve"> per cent</w:t>
      </w:r>
      <w:r w:rsidR="00E2092E">
        <w:t xml:space="preserve"> </w:t>
      </w:r>
      <w:r w:rsidR="007A1662">
        <w:t>a</w:t>
      </w:r>
      <w:r w:rsidR="00D86E43">
        <w:t xml:space="preserve">nd </w:t>
      </w:r>
      <w:r w:rsidR="00D7326D">
        <w:t>another</w:t>
      </w:r>
      <w:r w:rsidR="00D86E43">
        <w:t xml:space="preserve"> third </w:t>
      </w:r>
      <w:r w:rsidR="00D7326D">
        <w:t>having</w:t>
      </w:r>
      <w:r w:rsidR="00164EE0">
        <w:t xml:space="preserve"> 81-100</w:t>
      </w:r>
      <w:r w:rsidR="00251362">
        <w:t xml:space="preserve"> per cent</w:t>
      </w:r>
      <w:r w:rsidR="00164EE0">
        <w:t xml:space="preserve"> o</w:t>
      </w:r>
      <w:r w:rsidR="007B310F">
        <w:t>f</w:t>
      </w:r>
      <w:r w:rsidR="00164EE0">
        <w:t xml:space="preserve"> children </w:t>
      </w:r>
      <w:r w:rsidR="007B310F">
        <w:t>from LOTE backgrounds</w:t>
      </w:r>
      <w:r w:rsidR="00B121B6">
        <w:t xml:space="preserve"> (refer </w:t>
      </w:r>
      <w:r w:rsidR="007F4493">
        <w:t xml:space="preserve">to </w:t>
      </w:r>
      <w:r w:rsidR="007F4493">
        <w:fldChar w:fldCharType="begin"/>
      </w:r>
      <w:r w:rsidR="007F4493">
        <w:instrText xml:space="preserve"> REF _Ref153207236 \r \h </w:instrText>
      </w:r>
      <w:r w:rsidR="007F4493">
        <w:fldChar w:fldCharType="separate"/>
      </w:r>
      <w:r w:rsidR="00D300D0">
        <w:t>Chart 2.12</w:t>
      </w:r>
      <w:r w:rsidR="007F4493">
        <w:fldChar w:fldCharType="end"/>
      </w:r>
      <w:r w:rsidR="00B121B6">
        <w:t>)</w:t>
      </w:r>
      <w:r w:rsidR="00D7326D">
        <w:t xml:space="preserve">. </w:t>
      </w:r>
      <w:r w:rsidR="00B121B6">
        <w:t xml:space="preserve">By jurisdiction, Queensland and the Northern Territory had the greatest proportion of </w:t>
      </w:r>
      <w:r w:rsidR="00DA67F7">
        <w:t xml:space="preserve">CCCFR </w:t>
      </w:r>
      <w:r w:rsidR="00B121B6">
        <w:t>services with greater than 80</w:t>
      </w:r>
      <w:r w:rsidR="00251362">
        <w:t xml:space="preserve"> per cent</w:t>
      </w:r>
      <w:r w:rsidR="00B121B6">
        <w:t xml:space="preserve"> of children from a LOTE background. </w:t>
      </w:r>
    </w:p>
    <w:p w14:paraId="42B5B96A" w14:textId="151C948E" w:rsidR="005E3EF2" w:rsidRPr="00F45FD4" w:rsidRDefault="005E3EF2" w:rsidP="00797C79">
      <w:r>
        <w:t>A small number of children (&lt;1</w:t>
      </w:r>
      <w:r w:rsidR="00077D83">
        <w:t xml:space="preserve"> per cent</w:t>
      </w:r>
      <w:r>
        <w:t>) in CCCFR services are from or had parents from a refugee or special humanitarian background.</w:t>
      </w:r>
      <w:r>
        <w:rPr>
          <w:rStyle w:val="FootnoteReference"/>
        </w:rPr>
        <w:footnoteReference w:id="80"/>
      </w:r>
      <w:r>
        <w:t xml:space="preserve"> This is consistent with the proportion of children with similar backgrounds nationally. The NWC data indicates that only two CCCFR services had more than 20</w:t>
      </w:r>
      <w:r w:rsidR="00251362">
        <w:t xml:space="preserve"> per cent</w:t>
      </w:r>
      <w:r>
        <w:t xml:space="preserve"> of children from refugee or special humanitarian background. This is consistent with the large proportion of CCCFR services located in remote and regional settings and the small proportion of families with refugee or humanitarian backgrounds settling outside of urban areas in Australia.</w:t>
      </w:r>
    </w:p>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684ACA" w14:paraId="4C39F1CA" w14:textId="77777777">
        <w:trPr>
          <w:cnfStyle w:val="100000000000" w:firstRow="1" w:lastRow="0" w:firstColumn="0" w:lastColumn="0" w:oddVBand="0" w:evenVBand="0" w:oddHBand="0" w:evenHBand="0" w:firstRowFirstColumn="0" w:firstRowLastColumn="0" w:lastRowFirstColumn="0" w:lastRowLastColumn="0"/>
          <w:trHeight w:val="80"/>
        </w:trPr>
        <w:tc>
          <w:tcPr>
            <w:tcW w:w="9026" w:type="dxa"/>
            <w:shd w:val="clear" w:color="auto" w:fill="E7E6E6" w:themeFill="background2"/>
          </w:tcPr>
          <w:p w14:paraId="2A4D36F2" w14:textId="765F01A1" w:rsidR="00684ACA" w:rsidRPr="004B0CC8" w:rsidRDefault="00684ACA">
            <w:pPr>
              <w:rPr>
                <w:b/>
              </w:rPr>
            </w:pPr>
            <w:r w:rsidRPr="00FE1019">
              <w:rPr>
                <w:b/>
              </w:rPr>
              <w:t>Box 2.</w:t>
            </w:r>
            <w:r w:rsidR="00497659">
              <w:rPr>
                <w:b/>
              </w:rPr>
              <w:t>4</w:t>
            </w:r>
            <w:r w:rsidRPr="00FE1019">
              <w:rPr>
                <w:b/>
              </w:rPr>
              <w:t xml:space="preserve">: </w:t>
            </w:r>
            <w:r w:rsidR="00810B05">
              <w:rPr>
                <w:b/>
              </w:rPr>
              <w:t>Recent review</w:t>
            </w:r>
            <w:r w:rsidR="00332AFD">
              <w:rPr>
                <w:b/>
              </w:rPr>
              <w:t>s of inclusion in early years settings</w:t>
            </w:r>
          </w:p>
          <w:p w14:paraId="39449AA7" w14:textId="77777777" w:rsidR="00633EC8" w:rsidRDefault="00633EC8" w:rsidP="00633EC8">
            <w:r>
              <w:t xml:space="preserve">Data from the NWC and consultation as part of this review has indicated that CCCFR services are providing education and care to children with additional needs and/or barriers to inclusion. </w:t>
            </w:r>
          </w:p>
          <w:p w14:paraId="17EDD3EF" w14:textId="77777777" w:rsidR="00633EC8" w:rsidRPr="00C31C0D" w:rsidRDefault="00633EC8" w:rsidP="00633EC8">
            <w:r>
              <w:t xml:space="preserve">To support the inclusion of these children in ECEC, services can seek additional resources through the Australian </w:t>
            </w:r>
            <w:r w:rsidRPr="00C31C0D">
              <w:t>Government’s Inclusion Support Program (ISP).</w:t>
            </w:r>
            <w:r w:rsidRPr="00C31C0D">
              <w:rPr>
                <w:vertAlign w:val="superscript"/>
              </w:rPr>
              <w:footnoteReference w:id="81"/>
            </w:r>
          </w:p>
          <w:p w14:paraId="19E83472" w14:textId="77777777" w:rsidR="00633EC8" w:rsidRDefault="00633EC8" w:rsidP="00633EC8">
            <w:r w:rsidRPr="00C31C0D">
              <w:t>Recent reviews of the Inclusion Support Program</w:t>
            </w:r>
            <w:r w:rsidRPr="00C31C0D">
              <w:rPr>
                <w:vertAlign w:val="superscript"/>
              </w:rPr>
              <w:footnoteReference w:id="82"/>
            </w:r>
            <w:r w:rsidRPr="00C31C0D">
              <w:t xml:space="preserve"> and the National Disability Insurance Scheme (NDIS)</w:t>
            </w:r>
            <w:r w:rsidRPr="00C31C0D">
              <w:rPr>
                <w:vertAlign w:val="superscript"/>
              </w:rPr>
              <w:footnoteReference w:id="83"/>
            </w:r>
            <w:r w:rsidRPr="00C31C0D">
              <w:t xml:space="preserve"> have recommended</w:t>
            </w:r>
            <w:r>
              <w:t xml:space="preserve"> changes to the way in which inclusive supports are offered in ECEC services, including the delivery of foundational supports to all children attending early years and preschool services.</w:t>
            </w:r>
          </w:p>
          <w:p w14:paraId="3CB6CF42" w14:textId="3584A68F" w:rsidR="00684ACA" w:rsidRPr="006B7E9A" w:rsidRDefault="00633EC8">
            <w:r>
              <w:t>The Australian Government is currently considering findings and recommendations from both reviews, in addition to other inquiries, to support inclusion in early years settings.</w:t>
            </w:r>
          </w:p>
        </w:tc>
      </w:tr>
    </w:tbl>
    <w:p w14:paraId="594FDCB6" w14:textId="0F53400C" w:rsidR="00B121B6" w:rsidRPr="00F45FD4" w:rsidRDefault="00027E16" w:rsidP="00797C79">
      <w:r>
        <w:t xml:space="preserve"> </w:t>
      </w:r>
    </w:p>
    <w:p w14:paraId="0A6712CA" w14:textId="0DFB6C34" w:rsidR="00050CB5" w:rsidRPr="00DD1FAF" w:rsidRDefault="00DD1FAF" w:rsidP="00797C79">
      <w:pPr>
        <w:pStyle w:val="CaptionChart"/>
      </w:pPr>
      <w:bookmarkStart w:id="146" w:name="_Ref153207236"/>
      <w:bookmarkStart w:id="147" w:name="_Toc158997920"/>
      <w:bookmarkStart w:id="148" w:name="_Toc167130539"/>
      <w:r w:rsidRPr="00373CD4">
        <w:lastRenderedPageBreak/>
        <w:t xml:space="preserve">: </w:t>
      </w:r>
      <w:r w:rsidRPr="003917D1">
        <w:t>Distribution of children</w:t>
      </w:r>
      <w:r w:rsidR="00DC1339" w:rsidRPr="003917D1">
        <w:t xml:space="preserve"> enrolled</w:t>
      </w:r>
      <w:r w:rsidRPr="003917D1">
        <w:t xml:space="preserve"> from select </w:t>
      </w:r>
      <w:r w:rsidR="002A4ECD" w:rsidRPr="003917D1">
        <w:t xml:space="preserve">backgrounds as a share of total CCCFR </w:t>
      </w:r>
      <w:r w:rsidR="00DC1339" w:rsidRPr="003917D1">
        <w:t>attendance in reference week</w:t>
      </w:r>
      <w:bookmarkEnd w:id="146"/>
      <w:r w:rsidR="008620B9" w:rsidRPr="003917D1">
        <w:t>,</w:t>
      </w:r>
      <w:r w:rsidR="008620B9">
        <w:t xml:space="preserve"> 2021</w:t>
      </w:r>
      <w:bookmarkEnd w:id="147"/>
      <w:bookmarkEnd w:id="148"/>
    </w:p>
    <w:p w14:paraId="76EAE55B" w14:textId="47ABE4D3" w:rsidR="00B56586" w:rsidRPr="00B56586" w:rsidRDefault="00B56586" w:rsidP="003917D1">
      <w:r>
        <w:rPr>
          <w:noProof/>
        </w:rPr>
        <w:drawing>
          <wp:inline distT="0" distB="0" distL="0" distR="0" wp14:anchorId="31C90B42" wp14:editId="3232ED88">
            <wp:extent cx="5720080" cy="2296795"/>
            <wp:effectExtent l="0" t="0" r="0" b="0"/>
            <wp:docPr id="22" name="Picture 22" descr="Bar chart showing the split of children attending a CCCFR service from either a special assistance, refugee or LOTE background against the proportion of CCCF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ar chart showing the split of children attending a CCCFR service from either a special assistance, refugee or LOTE background against the proportion of CCCFR service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20080" cy="2296795"/>
                    </a:xfrm>
                    <a:prstGeom prst="rect">
                      <a:avLst/>
                    </a:prstGeom>
                  </pic:spPr>
                </pic:pic>
              </a:graphicData>
            </a:graphic>
          </wp:inline>
        </w:drawing>
      </w:r>
    </w:p>
    <w:p w14:paraId="3BF1281A" w14:textId="400F10F6" w:rsidR="00050CB5" w:rsidRPr="009E29D1" w:rsidRDefault="00050CB5" w:rsidP="003917D1">
      <w:pPr>
        <w:rPr>
          <w:color w:val="57595C" w:themeColor="accent6" w:themeShade="BF"/>
          <w:sz w:val="14"/>
          <w:szCs w:val="14"/>
        </w:rPr>
      </w:pPr>
      <w:r w:rsidRPr="009E29D1">
        <w:rPr>
          <w:color w:val="57595C" w:themeColor="accent6" w:themeShade="BF"/>
          <w:sz w:val="14"/>
          <w:szCs w:val="14"/>
        </w:rPr>
        <w:t xml:space="preserve">Source: Deloitte Access Economics (2023) using </w:t>
      </w:r>
      <w:r w:rsidR="00DD1FAF" w:rsidRPr="009E29D1">
        <w:rPr>
          <w:color w:val="57595C" w:themeColor="accent6" w:themeShade="BF"/>
          <w:sz w:val="14"/>
          <w:szCs w:val="14"/>
        </w:rPr>
        <w:t>NWC d</w:t>
      </w:r>
      <w:r w:rsidRPr="009E29D1">
        <w:rPr>
          <w:color w:val="57595C" w:themeColor="accent6" w:themeShade="BF"/>
          <w:sz w:val="14"/>
          <w:szCs w:val="14"/>
        </w:rPr>
        <w:t>ata</w:t>
      </w:r>
      <w:r w:rsidR="00DD1FAF" w:rsidRPr="009E29D1">
        <w:rPr>
          <w:color w:val="57595C" w:themeColor="accent6" w:themeShade="BF"/>
          <w:sz w:val="14"/>
          <w:szCs w:val="14"/>
        </w:rPr>
        <w:t>.</w:t>
      </w:r>
    </w:p>
    <w:p w14:paraId="2C43D06C" w14:textId="3E7E9BCE" w:rsidR="006029D6" w:rsidRDefault="00F20D98" w:rsidP="00797C79">
      <w:r>
        <w:t xml:space="preserve">Based on </w:t>
      </w:r>
      <w:r w:rsidR="006540DC" w:rsidRPr="006540DC">
        <w:t xml:space="preserve">Child Care Subsidy System </w:t>
      </w:r>
      <w:r w:rsidR="006540DC">
        <w:t>(</w:t>
      </w:r>
      <w:r>
        <w:t>CCSS</w:t>
      </w:r>
      <w:r w:rsidR="006540DC">
        <w:t>)</w:t>
      </w:r>
      <w:r>
        <w:t xml:space="preserve"> data, </w:t>
      </w:r>
      <w:r w:rsidR="00A8633C">
        <w:t>53</w:t>
      </w:r>
      <w:r w:rsidR="00251362">
        <w:t xml:space="preserve"> per cent</w:t>
      </w:r>
      <w:r w:rsidR="00A8633C">
        <w:t xml:space="preserve"> of children</w:t>
      </w:r>
      <w:r>
        <w:t xml:space="preserve"> </w:t>
      </w:r>
      <w:r w:rsidR="00A8633C">
        <w:t xml:space="preserve">enrolled </w:t>
      </w:r>
      <w:r w:rsidR="006540DC">
        <w:t xml:space="preserve">in a CCCFR service </w:t>
      </w:r>
      <w:r w:rsidR="00872AAE">
        <w:t>in 2023</w:t>
      </w:r>
      <w:r w:rsidR="006540DC">
        <w:t xml:space="preserve"> </w:t>
      </w:r>
      <w:r w:rsidR="004A6EEA">
        <w:t>are</w:t>
      </w:r>
      <w:r w:rsidR="006540DC">
        <w:t xml:space="preserve"> from a household </w:t>
      </w:r>
      <w:r w:rsidR="00B57987">
        <w:t xml:space="preserve">with </w:t>
      </w:r>
      <w:r w:rsidR="006540DC">
        <w:t>a</w:t>
      </w:r>
      <w:r w:rsidR="00B57987">
        <w:t xml:space="preserve"> family income of less than $</w:t>
      </w:r>
      <w:r w:rsidR="00FF2CAA">
        <w:t xml:space="preserve">104,000 per year. There </w:t>
      </w:r>
      <w:r w:rsidR="00F4515C">
        <w:t>are also significant proportions of</w:t>
      </w:r>
      <w:r w:rsidR="002A1253">
        <w:t xml:space="preserve"> children </w:t>
      </w:r>
      <w:r w:rsidR="00B31DB8">
        <w:t>from households with</w:t>
      </w:r>
      <w:r w:rsidR="002A1253">
        <w:t xml:space="preserve"> annual family incomes </w:t>
      </w:r>
      <w:r w:rsidR="00682175">
        <w:t xml:space="preserve">between $104,000 to </w:t>
      </w:r>
      <w:r w:rsidR="00D21404">
        <w:t>$156,000 (19</w:t>
      </w:r>
      <w:r w:rsidR="00251362">
        <w:t xml:space="preserve"> per cent</w:t>
      </w:r>
      <w:r w:rsidR="00D21404">
        <w:t xml:space="preserve">) and </w:t>
      </w:r>
      <w:r w:rsidR="004F7197">
        <w:t>$182,000 and greater (17</w:t>
      </w:r>
      <w:r w:rsidR="00251362">
        <w:t xml:space="preserve"> per cent</w:t>
      </w:r>
      <w:r w:rsidR="004F7197">
        <w:t>)</w:t>
      </w:r>
      <w:r w:rsidR="00DB7810">
        <w:t xml:space="preserve"> (</w:t>
      </w:r>
      <w:r w:rsidR="00DB7810">
        <w:fldChar w:fldCharType="begin"/>
      </w:r>
      <w:r w:rsidR="00DB7810">
        <w:instrText xml:space="preserve"> REF _Ref153187807 \r \h </w:instrText>
      </w:r>
      <w:r w:rsidR="00DB7810">
        <w:fldChar w:fldCharType="separate"/>
      </w:r>
      <w:r w:rsidR="00D300D0">
        <w:t>Chart 2.13</w:t>
      </w:r>
      <w:r w:rsidR="00DB7810">
        <w:fldChar w:fldCharType="end"/>
      </w:r>
      <w:r w:rsidR="00DB7810">
        <w:t xml:space="preserve">). </w:t>
      </w:r>
    </w:p>
    <w:p w14:paraId="7CF64805" w14:textId="140EDBAA" w:rsidR="00023728" w:rsidRPr="00091A78" w:rsidRDefault="006029D6" w:rsidP="00797C79">
      <w:r>
        <w:t xml:space="preserve">Children from Aboriginal and Torres Strait Islander backgrounds </w:t>
      </w:r>
      <w:r w:rsidR="00B01EA4">
        <w:t xml:space="preserve">are more likely to </w:t>
      </w:r>
      <w:r w:rsidR="002B1C88">
        <w:t>live in</w:t>
      </w:r>
      <w:r w:rsidR="00B01EA4">
        <w:t xml:space="preserve"> households with </w:t>
      </w:r>
      <w:r>
        <w:t>lower family incomes</w:t>
      </w:r>
      <w:r w:rsidR="00B01EA4">
        <w:t xml:space="preserve">. Approximately </w:t>
      </w:r>
      <w:r w:rsidR="00EE313F">
        <w:t>74</w:t>
      </w:r>
      <w:r w:rsidR="00251362" w:rsidRPr="00251362">
        <w:t xml:space="preserve"> </w:t>
      </w:r>
      <w:r w:rsidR="00251362">
        <w:t>per cent</w:t>
      </w:r>
      <w:r w:rsidR="00EE313F">
        <w:t xml:space="preserve"> </w:t>
      </w:r>
      <w:r w:rsidR="00B01EA4">
        <w:t xml:space="preserve">of </w:t>
      </w:r>
      <w:r w:rsidR="00023728">
        <w:t>Aboriginal and Torres Strai</w:t>
      </w:r>
      <w:r w:rsidR="00AE450D">
        <w:t xml:space="preserve">t Islander </w:t>
      </w:r>
      <w:r w:rsidR="00B01EA4">
        <w:t xml:space="preserve">children </w:t>
      </w:r>
      <w:r w:rsidR="00EE313F">
        <w:t xml:space="preserve">are from families with incomes of less than $104,000 per year, </w:t>
      </w:r>
      <w:r w:rsidR="00B01EA4">
        <w:t>compared</w:t>
      </w:r>
      <w:r w:rsidR="00EE313F">
        <w:t xml:space="preserve"> to 40</w:t>
      </w:r>
      <w:r w:rsidR="00251362">
        <w:t xml:space="preserve"> per cent</w:t>
      </w:r>
      <w:r w:rsidR="00EE313F">
        <w:t xml:space="preserve"> among children with no Aboriginal and Torres Strait Islander background.</w:t>
      </w:r>
    </w:p>
    <w:p w14:paraId="53E2A76D" w14:textId="6F988958" w:rsidR="00790E59" w:rsidRDefault="00790E59" w:rsidP="00790E59">
      <w:pPr>
        <w:pStyle w:val="CaptionChart"/>
      </w:pPr>
      <w:bookmarkStart w:id="149" w:name="_Ref153187807"/>
      <w:bookmarkStart w:id="150" w:name="_Toc158997921"/>
      <w:bookmarkStart w:id="151" w:name="_Toc167130540"/>
      <w:r w:rsidRPr="00373CD4">
        <w:lastRenderedPageBreak/>
        <w:t xml:space="preserve">: </w:t>
      </w:r>
      <w:r>
        <w:t xml:space="preserve">Distribution of children </w:t>
      </w:r>
      <w:r w:rsidR="00D31D06">
        <w:t xml:space="preserve">enrolled </w:t>
      </w:r>
      <w:r w:rsidR="00043139">
        <w:t>by expected family income and Aboriginal and</w:t>
      </w:r>
      <w:r w:rsidR="00580D5F">
        <w:t>/or</w:t>
      </w:r>
      <w:r w:rsidR="00043139">
        <w:t xml:space="preserve"> Torres Strait Islander background, </w:t>
      </w:r>
      <w:r w:rsidR="00AC51CC">
        <w:t xml:space="preserve">financial year </w:t>
      </w:r>
      <w:r w:rsidR="00043139">
        <w:t>2023</w:t>
      </w:r>
      <w:bookmarkEnd w:id="149"/>
      <w:bookmarkEnd w:id="150"/>
      <w:bookmarkEnd w:id="151"/>
    </w:p>
    <w:p w14:paraId="171F36CF" w14:textId="53E44EA5" w:rsidR="00107ED5" w:rsidRDefault="00A176FE" w:rsidP="000A26DF">
      <w:pPr>
        <w:keepNext/>
      </w:pPr>
      <w:r w:rsidRPr="00A176FE">
        <w:rPr>
          <w:noProof/>
        </w:rPr>
        <w:drawing>
          <wp:inline distT="0" distB="0" distL="0" distR="0" wp14:anchorId="0AD02C7D" wp14:editId="35CC767E">
            <wp:extent cx="5403850" cy="4591050"/>
            <wp:effectExtent l="0" t="0" r="6350" b="0"/>
            <wp:docPr id="42" name="Picture 42" descr="Stacked bar chart showing the number of children enrolled in CCCFR services in financial year 2023 who are from an Aboriginal and/or Torres Strait Islander background and number of children who do not have an Aboriginal and/or Torres Strait Islander background, by expected annual family incom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tacked bar chart showing the number of children enrolled in CCCFR services in financial year 2023 who are from an Aboriginal and/or Torres Strait Islander background and number of children who do not have an Aboriginal and/or Torres Strait Islander background, by expected annual family income ban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3850" cy="4591050"/>
                    </a:xfrm>
                    <a:prstGeom prst="rect">
                      <a:avLst/>
                    </a:prstGeom>
                    <a:noFill/>
                    <a:ln>
                      <a:noFill/>
                    </a:ln>
                  </pic:spPr>
                </pic:pic>
              </a:graphicData>
            </a:graphic>
          </wp:inline>
        </w:drawing>
      </w:r>
    </w:p>
    <w:p w14:paraId="5A7AB549" w14:textId="35684A87" w:rsidR="003A39F9" w:rsidRPr="000A26DF" w:rsidRDefault="003A39F9" w:rsidP="000A26DF">
      <w:pPr>
        <w:pStyle w:val="Source"/>
        <w:keepNext/>
        <w:rPr>
          <w:color w:val="auto"/>
          <w:sz w:val="18"/>
        </w:rPr>
      </w:pPr>
      <w:r>
        <w:t xml:space="preserve">Source: Deloitte Access Economics (2023) using </w:t>
      </w:r>
      <w:r w:rsidR="00AB0F6D">
        <w:t>CCSS</w:t>
      </w:r>
      <w:r>
        <w:t xml:space="preserve"> data.</w:t>
      </w:r>
      <w:r w:rsidR="00AB0F6D">
        <w:t xml:space="preserve"> </w:t>
      </w:r>
      <w:r w:rsidR="009D4139">
        <w:t xml:space="preserve">Note: there are 274 children with no </w:t>
      </w:r>
      <w:r w:rsidR="00691D6A">
        <w:t xml:space="preserve">expected family income data, </w:t>
      </w:r>
      <w:r w:rsidR="00691D6A" w:rsidRPr="4470D6F5">
        <w:rPr>
          <w:lang w:eastAsia="en-AU"/>
        </w:rPr>
        <w:t>these have been reported as ‘</w:t>
      </w:r>
      <w:r w:rsidR="00644393" w:rsidRPr="4470D6F5">
        <w:rPr>
          <w:lang w:eastAsia="en-AU"/>
        </w:rPr>
        <w:t xml:space="preserve">Data not available’ in the data and chart above. Certain </w:t>
      </w:r>
      <w:r w:rsidR="00644393" w:rsidRPr="004F4139">
        <w:rPr>
          <w:lang w:eastAsia="en-AU"/>
        </w:rPr>
        <w:t xml:space="preserve">enrolments can opt in for a Relevant </w:t>
      </w:r>
      <w:r w:rsidR="00644393" w:rsidRPr="000A26DF">
        <w:rPr>
          <w:lang w:eastAsia="en-AU"/>
        </w:rPr>
        <w:t>Arrangement and there will be no data available.</w:t>
      </w:r>
      <w:r w:rsidR="002E497C">
        <w:rPr>
          <w:lang w:eastAsia="en-AU"/>
        </w:rPr>
        <w:t xml:space="preserve"> </w:t>
      </w:r>
    </w:p>
    <w:p w14:paraId="0CE8EF98" w14:textId="22B7117C" w:rsidR="008A09DE" w:rsidRDefault="006038F2" w:rsidP="009C1D80">
      <w:r>
        <w:t>The</w:t>
      </w:r>
      <w:r w:rsidR="009C52D0">
        <w:t xml:space="preserve"> distribution of children enrolled </w:t>
      </w:r>
      <w:r w:rsidR="00451218">
        <w:t xml:space="preserve">in CCCFR services </w:t>
      </w:r>
      <w:r w:rsidR="009C52D0">
        <w:t xml:space="preserve">by distance from service is presented in </w:t>
      </w:r>
      <w:r w:rsidR="009C52D0" w:rsidRPr="000A26DF">
        <w:fldChar w:fldCharType="begin"/>
      </w:r>
      <w:r w:rsidR="009C52D0" w:rsidRPr="00903668">
        <w:rPr>
          <w:highlight w:val="yellow"/>
        </w:rPr>
        <w:instrText xml:space="preserve"> REF _Ref153189002 \r \h </w:instrText>
      </w:r>
      <w:r w:rsidR="00903668">
        <w:rPr>
          <w:highlight w:val="yellow"/>
        </w:rPr>
        <w:instrText xml:space="preserve"> \* MERGEFORMAT </w:instrText>
      </w:r>
      <w:r w:rsidR="009C52D0" w:rsidRPr="000A26DF">
        <w:fldChar w:fldCharType="separate"/>
      </w:r>
      <w:r w:rsidR="00D300D0" w:rsidRPr="00D300D0">
        <w:t>Chart 2.14</w:t>
      </w:r>
      <w:r w:rsidR="009C52D0" w:rsidRPr="000A26DF">
        <w:fldChar w:fldCharType="end"/>
      </w:r>
      <w:r w:rsidR="009C52D0" w:rsidRPr="000A26DF">
        <w:t>.</w:t>
      </w:r>
      <w:r w:rsidR="009C52D0">
        <w:t xml:space="preserve"> </w:t>
      </w:r>
      <w:r w:rsidR="00327120">
        <w:t>A large majority (83</w:t>
      </w:r>
      <w:r w:rsidR="00251362">
        <w:t xml:space="preserve"> per cent</w:t>
      </w:r>
      <w:r w:rsidR="00327120">
        <w:t xml:space="preserve">) of </w:t>
      </w:r>
      <w:r w:rsidR="00F757F3">
        <w:t>children residing in a Major City travel less than 10km</w:t>
      </w:r>
      <w:r w:rsidR="003A304E">
        <w:t>s</w:t>
      </w:r>
      <w:r w:rsidR="00F757F3">
        <w:t xml:space="preserve"> to their enrolled service</w:t>
      </w:r>
      <w:r w:rsidR="00451218">
        <w:t xml:space="preserve">. </w:t>
      </w:r>
      <w:r w:rsidR="00A91EF2">
        <w:t xml:space="preserve">In comparison, </w:t>
      </w:r>
      <w:r w:rsidR="00261997">
        <w:t>only 54</w:t>
      </w:r>
      <w:r w:rsidR="00251362">
        <w:t xml:space="preserve"> per cent</w:t>
      </w:r>
      <w:r w:rsidR="00BC4801">
        <w:t xml:space="preserve"> of children in</w:t>
      </w:r>
      <w:r w:rsidR="00991872">
        <w:t xml:space="preserve"> a Regional area and </w:t>
      </w:r>
      <w:r w:rsidR="004F2DA5">
        <w:t>58</w:t>
      </w:r>
      <w:r w:rsidR="00251362">
        <w:t xml:space="preserve"> per cent</w:t>
      </w:r>
      <w:r w:rsidR="004F2DA5">
        <w:t xml:space="preserve"> </w:t>
      </w:r>
      <w:r w:rsidR="00EF61AD">
        <w:t>of children in a Remote area travel less than 10km</w:t>
      </w:r>
      <w:r w:rsidR="003A304E">
        <w:t>s</w:t>
      </w:r>
      <w:r w:rsidR="00EF61AD">
        <w:t xml:space="preserve"> to their enrolled service.</w:t>
      </w:r>
      <w:r w:rsidR="00CE433D">
        <w:t xml:space="preserve"> </w:t>
      </w:r>
      <w:r w:rsidR="009319DB">
        <w:t xml:space="preserve">This generally aligns </w:t>
      </w:r>
      <w:r w:rsidR="000067FF">
        <w:t xml:space="preserve">with the ACCC Childcare Inquiry report </w:t>
      </w:r>
      <w:r w:rsidR="00254A91">
        <w:t>which</w:t>
      </w:r>
      <w:r w:rsidR="000067FF">
        <w:t xml:space="preserve"> reveals that parents and guardians in Major Cities typically travel a median distance of 2</w:t>
      </w:r>
      <w:r w:rsidR="003A304E">
        <w:t>km</w:t>
      </w:r>
      <w:r w:rsidR="000067FF">
        <w:t>s to access centre-based day care services</w:t>
      </w:r>
      <w:r w:rsidR="00254A91">
        <w:t>, with</w:t>
      </w:r>
      <w:r w:rsidR="002644A5">
        <w:t xml:space="preserve"> families in </w:t>
      </w:r>
      <w:r w:rsidR="0013052E">
        <w:t>Regional areas travelling slightly further</w:t>
      </w:r>
      <w:r w:rsidR="000067FF">
        <w:t>.</w:t>
      </w:r>
      <w:r w:rsidR="00FD011E">
        <w:t xml:space="preserve"> However, the </w:t>
      </w:r>
      <w:r w:rsidR="003D7AB9">
        <w:t xml:space="preserve">ACCC Childcare Inquiry </w:t>
      </w:r>
      <w:r w:rsidR="00FD011E">
        <w:t>r</w:t>
      </w:r>
      <w:r w:rsidR="00FF604A">
        <w:t>eport found that</w:t>
      </w:r>
      <w:r w:rsidR="009225EC">
        <w:t xml:space="preserve"> families in</w:t>
      </w:r>
      <w:r w:rsidR="007F1E65">
        <w:t xml:space="preserve"> Remote areas</w:t>
      </w:r>
      <w:r w:rsidR="00F72B72">
        <w:t xml:space="preserve"> </w:t>
      </w:r>
      <w:r w:rsidR="007E720B">
        <w:t>travel</w:t>
      </w:r>
      <w:r w:rsidR="00F72B72">
        <w:t xml:space="preserve"> a shorter median distance</w:t>
      </w:r>
      <w:r w:rsidR="00D9173D">
        <w:t xml:space="preserve">, </w:t>
      </w:r>
      <w:r w:rsidR="00813A2A">
        <w:t>which differs to</w:t>
      </w:r>
      <w:r w:rsidR="00DF0A8C">
        <w:t xml:space="preserve"> </w:t>
      </w:r>
      <w:r w:rsidR="00BD1DCC">
        <w:t>children</w:t>
      </w:r>
      <w:r w:rsidR="00DF0A8C">
        <w:t xml:space="preserve"> who attend CCCFR services.</w:t>
      </w:r>
      <w:r w:rsidR="001F5BDA">
        <w:t xml:space="preserve"> </w:t>
      </w:r>
    </w:p>
    <w:p w14:paraId="743BD460" w14:textId="1DEC601C" w:rsidR="009C1D80" w:rsidRDefault="00025041" w:rsidP="009C1D80">
      <w:r>
        <w:t xml:space="preserve">A number of children can be seen travelling more than 100kms to their enrolled service. 35 per cent of this can be explained by a ‘mobile’ service type. </w:t>
      </w:r>
      <w:r w:rsidR="00A30724">
        <w:t xml:space="preserve">A further 37 per cent </w:t>
      </w:r>
      <w:r w:rsidR="00271BE4">
        <w:t>of these children are identified as Aboriginal and/or Torres Strait Islander</w:t>
      </w:r>
      <w:r w:rsidR="001B52BE">
        <w:t xml:space="preserve">, and an additional </w:t>
      </w:r>
      <w:r w:rsidR="00673875">
        <w:t>20</w:t>
      </w:r>
      <w:r w:rsidR="001B52BE">
        <w:t xml:space="preserve"> per cent of these children </w:t>
      </w:r>
      <w:r w:rsidR="009E6DBC">
        <w:t>live in r</w:t>
      </w:r>
      <w:r w:rsidR="00673875">
        <w:t xml:space="preserve">emote or very remote areas. </w:t>
      </w:r>
    </w:p>
    <w:p w14:paraId="378788AA" w14:textId="77777777" w:rsidR="00973864" w:rsidRDefault="00973864" w:rsidP="009C1D80"/>
    <w:p w14:paraId="0F103C04" w14:textId="43187117" w:rsidR="00686252" w:rsidRDefault="00686252" w:rsidP="009C1D80">
      <w:pPr>
        <w:pStyle w:val="CaptionChart"/>
      </w:pPr>
      <w:bookmarkStart w:id="152" w:name="_Ref153189002"/>
      <w:bookmarkStart w:id="153" w:name="_Toc158997922"/>
      <w:bookmarkStart w:id="154" w:name="_Toc167130541"/>
      <w:r w:rsidRPr="00373CD4">
        <w:lastRenderedPageBreak/>
        <w:t xml:space="preserve">: </w:t>
      </w:r>
      <w:r>
        <w:t>Distribution of children enrolled by distance from service, 2023</w:t>
      </w:r>
      <w:bookmarkEnd w:id="152"/>
      <w:bookmarkEnd w:id="153"/>
      <w:bookmarkEnd w:id="154"/>
    </w:p>
    <w:p w14:paraId="0E11BF27" w14:textId="16DBB741" w:rsidR="004A7101" w:rsidRDefault="00973864" w:rsidP="0002465E">
      <w:pPr>
        <w:spacing w:after="0"/>
      </w:pPr>
      <w:r w:rsidRPr="00C139C5">
        <w:rPr>
          <w:noProof/>
        </w:rPr>
        <w:drawing>
          <wp:inline distT="0" distB="0" distL="0" distR="0" wp14:anchorId="12E952AC" wp14:editId="062F27A5">
            <wp:extent cx="5429250" cy="4292600"/>
            <wp:effectExtent l="0" t="0" r="0" b="0"/>
            <wp:docPr id="43" name="Picture 43" descr="Stacked bar chart showing the number of children enrolled in CCCFR services located in a major city, regional or remote area - by their distance from the service in k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tacked bar chart showing the number of children enrolled in CCCFR services located in a major city, regional or remote area - by their distance from the service in km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29250" cy="4292600"/>
                    </a:xfrm>
                    <a:prstGeom prst="rect">
                      <a:avLst/>
                    </a:prstGeom>
                    <a:noFill/>
                    <a:ln>
                      <a:noFill/>
                    </a:ln>
                  </pic:spPr>
                </pic:pic>
              </a:graphicData>
            </a:graphic>
          </wp:inline>
        </w:drawing>
      </w:r>
    </w:p>
    <w:p w14:paraId="1D9AE61D" w14:textId="17AFD10E" w:rsidR="003A39F9" w:rsidRPr="00181313" w:rsidRDefault="00686252" w:rsidP="00686252">
      <w:pPr>
        <w:pStyle w:val="Source"/>
      </w:pPr>
      <w:r>
        <w:t xml:space="preserve">Source: Deloitte Access Economics (2023) using CCSS data. </w:t>
      </w:r>
      <w:r w:rsidR="00691D6A">
        <w:t xml:space="preserve">Note: there are 134 children with no </w:t>
      </w:r>
      <w:r w:rsidR="00C0551E">
        <w:t>distance from service data, these have been reported as ‘</w:t>
      </w:r>
      <w:r w:rsidR="00961375">
        <w:t xml:space="preserve">Data not available’ </w:t>
      </w:r>
      <w:r w:rsidR="00C0551E">
        <w:t xml:space="preserve">in the data and chart above. </w:t>
      </w:r>
    </w:p>
    <w:p w14:paraId="40CCE92C" w14:textId="3382BB53" w:rsidR="00441678" w:rsidRPr="00441678" w:rsidRDefault="00E278C8" w:rsidP="00441678">
      <w:r>
        <w:t xml:space="preserve">The distribution of children enrolled </w:t>
      </w:r>
      <w:r w:rsidR="00451218">
        <w:t>in CCCFR services</w:t>
      </w:r>
      <w:r>
        <w:t xml:space="preserve"> by age </w:t>
      </w:r>
      <w:r w:rsidR="00776B4C">
        <w:t xml:space="preserve">is presented in </w:t>
      </w:r>
      <w:r w:rsidR="00776B4C">
        <w:fldChar w:fldCharType="begin"/>
      </w:r>
      <w:r w:rsidR="00776B4C">
        <w:instrText xml:space="preserve"> REF _Ref153193212 \r \h </w:instrText>
      </w:r>
      <w:r w:rsidR="00776B4C">
        <w:fldChar w:fldCharType="separate"/>
      </w:r>
      <w:r w:rsidR="00D300D0">
        <w:t>Chart 2.15</w:t>
      </w:r>
      <w:r w:rsidR="00776B4C">
        <w:fldChar w:fldCharType="end"/>
      </w:r>
      <w:r w:rsidR="00776B4C">
        <w:t xml:space="preserve">. </w:t>
      </w:r>
      <w:r w:rsidR="00827E73">
        <w:t>The m</w:t>
      </w:r>
      <w:r w:rsidR="00776B4C">
        <w:t>ajority (9</w:t>
      </w:r>
      <w:r w:rsidR="00217B5B">
        <w:t>2</w:t>
      </w:r>
      <w:r w:rsidR="00251362">
        <w:t xml:space="preserve"> per cent</w:t>
      </w:r>
      <w:r w:rsidR="00776B4C">
        <w:t xml:space="preserve">) of </w:t>
      </w:r>
      <w:r w:rsidR="00217B5B">
        <w:t>children enrolled in 2023 are between the ages of 0 and 6</w:t>
      </w:r>
      <w:r w:rsidR="001F5C33">
        <w:t>-years-old</w:t>
      </w:r>
      <w:r w:rsidR="007D716C">
        <w:t xml:space="preserve">, with </w:t>
      </w:r>
      <w:r w:rsidR="001F5C33">
        <w:t>59</w:t>
      </w:r>
      <w:r w:rsidR="00251362">
        <w:t xml:space="preserve"> per cent</w:t>
      </w:r>
      <w:r w:rsidR="001F5C33">
        <w:t xml:space="preserve"> of children aged between 2- and 4-years-old.</w:t>
      </w:r>
      <w:r w:rsidR="007D716C">
        <w:t xml:space="preserve"> </w:t>
      </w:r>
    </w:p>
    <w:p w14:paraId="4C928E18" w14:textId="79065FA2" w:rsidR="00AC547A" w:rsidRDefault="00EC0462" w:rsidP="00797C79">
      <w:pPr>
        <w:pStyle w:val="CaptionChart"/>
      </w:pPr>
      <w:bookmarkStart w:id="155" w:name="_Ref153193212"/>
      <w:bookmarkStart w:id="156" w:name="_Toc158997923"/>
      <w:bookmarkStart w:id="157" w:name="_Toc167130542"/>
      <w:r w:rsidRPr="00373CD4">
        <w:t xml:space="preserve">: </w:t>
      </w:r>
      <w:r>
        <w:t xml:space="preserve">Distribution of children enrolled by </w:t>
      </w:r>
      <w:r w:rsidR="00A13760">
        <w:t>age</w:t>
      </w:r>
      <w:r>
        <w:t>, 2023</w:t>
      </w:r>
      <w:bookmarkEnd w:id="155"/>
      <w:bookmarkEnd w:id="156"/>
      <w:bookmarkEnd w:id="157"/>
    </w:p>
    <w:p w14:paraId="2A3242B7" w14:textId="7CE8641B" w:rsidR="00AE10D6" w:rsidRPr="00AE10D6" w:rsidRDefault="00AE10D6" w:rsidP="00AE10D6">
      <w:pPr>
        <w:spacing w:after="0"/>
      </w:pPr>
      <w:r w:rsidRPr="00AE10D6">
        <w:rPr>
          <w:noProof/>
        </w:rPr>
        <w:drawing>
          <wp:inline distT="0" distB="0" distL="0" distR="0" wp14:anchorId="3ACEDF50" wp14:editId="1C34DD2B">
            <wp:extent cx="4795284" cy="2563598"/>
            <wp:effectExtent l="0" t="0" r="0" b="0"/>
            <wp:docPr id="1489793618" name="Picture 1489793618" descr="Bar chart showing the distribution of children by age with the number of children on the Y axis by age on the x ax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8" name="Picture 1489793618" descr="Bar chart showing the distribution of children by age with the number of children on the Y axis by age on the x axis. "/>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174"/>
                    <a:stretch/>
                  </pic:blipFill>
                  <pic:spPr bwMode="auto">
                    <a:xfrm>
                      <a:off x="0" y="0"/>
                      <a:ext cx="4802250" cy="2567322"/>
                    </a:xfrm>
                    <a:prstGeom prst="rect">
                      <a:avLst/>
                    </a:prstGeom>
                    <a:noFill/>
                    <a:ln>
                      <a:noFill/>
                    </a:ln>
                    <a:extLst>
                      <a:ext uri="{53640926-AAD7-44D8-BBD7-CCE9431645EC}">
                        <a14:shadowObscured xmlns:a14="http://schemas.microsoft.com/office/drawing/2010/main"/>
                      </a:ext>
                    </a:extLst>
                  </pic:spPr>
                </pic:pic>
              </a:graphicData>
            </a:graphic>
          </wp:inline>
        </w:drawing>
      </w:r>
    </w:p>
    <w:p w14:paraId="3B5243C8" w14:textId="28587C6B" w:rsidR="00FC2439" w:rsidRPr="00AE10D6" w:rsidRDefault="00FC2439" w:rsidP="00AE10D6">
      <w:pPr>
        <w:spacing w:after="0"/>
      </w:pPr>
    </w:p>
    <w:p w14:paraId="53F11ABF" w14:textId="1D5ED273" w:rsidR="009D32AD" w:rsidRPr="00AE10D6" w:rsidRDefault="0082679A" w:rsidP="00AE10D6">
      <w:pPr>
        <w:spacing w:after="0"/>
      </w:pPr>
      <w:r>
        <w:rPr>
          <w:noProof/>
        </w:rPr>
        <w:lastRenderedPageBreak/>
        <w:drawing>
          <wp:inline distT="0" distB="0" distL="0" distR="0" wp14:anchorId="6F19CEBE" wp14:editId="59480390">
            <wp:extent cx="5041900" cy="3328670"/>
            <wp:effectExtent l="0" t="0" r="6350" b="5080"/>
            <wp:docPr id="54" name="Picture 54" descr="Bar chart showing the distribution of children by age with the number of children on the Y axis by age on the x axis. Each bar char also shows the proportion of CCCFR services that are either CBDC or OSH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Bar chart showing the distribution of children by age with the number of children on the Y axis by age on the x axis. Each bar char also shows the proportion of CCCFR services that are either CBDC or OSHC.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41900" cy="3328670"/>
                    </a:xfrm>
                    <a:prstGeom prst="rect">
                      <a:avLst/>
                    </a:prstGeom>
                    <a:noFill/>
                  </pic:spPr>
                </pic:pic>
              </a:graphicData>
            </a:graphic>
          </wp:inline>
        </w:drawing>
      </w:r>
    </w:p>
    <w:p w14:paraId="1B88BA3C" w14:textId="55D5FCBF" w:rsidR="00A13760" w:rsidRPr="00EC0462" w:rsidRDefault="00A13760" w:rsidP="00654EB9">
      <w:pPr>
        <w:pStyle w:val="Source"/>
      </w:pPr>
      <w:r>
        <w:t xml:space="preserve">Source: Deloitte Access Economics (2023) using CCSS data. </w:t>
      </w:r>
    </w:p>
    <w:p w14:paraId="0986269D" w14:textId="7F425537" w:rsidR="00156895" w:rsidRDefault="00AB0EEA" w:rsidP="004E7961">
      <w:r>
        <w:t xml:space="preserve">The following case studies – based on </w:t>
      </w:r>
      <w:r w:rsidR="00B009F3">
        <w:t xml:space="preserve">current CCCFR services – </w:t>
      </w:r>
      <w:r w:rsidR="001B2CB3">
        <w:t xml:space="preserve">are included here to </w:t>
      </w:r>
      <w:r w:rsidR="0039577C">
        <w:t xml:space="preserve">illustrate </w:t>
      </w:r>
      <w:r w:rsidR="00A1743D">
        <w:t>so</w:t>
      </w:r>
      <w:r w:rsidR="00167165">
        <w:t xml:space="preserve">me of the experiences of services and families who are in receipt of the </w:t>
      </w:r>
      <w:r w:rsidR="004E7961">
        <w:t>g</w:t>
      </w:r>
      <w:r w:rsidR="00167165">
        <w:t>rant</w:t>
      </w:r>
      <w:r w:rsidR="00DE68C6">
        <w:t>.</w:t>
      </w:r>
      <w:r w:rsidR="00B009F3">
        <w:t xml:space="preserve"> </w:t>
      </w:r>
      <w:r w:rsidR="00DE47E2">
        <w:t>To</w:t>
      </w:r>
      <w:r w:rsidR="5B05547A">
        <w:t xml:space="preserve"> preserve the </w:t>
      </w:r>
      <w:r w:rsidR="003917D1">
        <w:t>anonymity</w:t>
      </w:r>
      <w:r w:rsidR="5B05547A">
        <w:t xml:space="preserve"> of the services they have been given pseudonyms (Alpha, Beta, Gamma).</w:t>
      </w:r>
      <w:r w:rsidR="00B009F3">
        <w:t xml:space="preserve"> </w:t>
      </w:r>
      <w:r w:rsidR="001B2CB3">
        <w:t xml:space="preserve">While these three case studies taken together </w:t>
      </w:r>
      <w:r w:rsidR="007F0430">
        <w:t xml:space="preserve">do not </w:t>
      </w:r>
      <w:r w:rsidR="006A7CF1">
        <w:t xml:space="preserve">provide a full </w:t>
      </w:r>
      <w:r w:rsidR="00167165">
        <w:t xml:space="preserve">picture of the breadth of </w:t>
      </w:r>
      <w:r w:rsidR="00553EE5">
        <w:t xml:space="preserve">responsibilities </w:t>
      </w:r>
      <w:r w:rsidR="00674EE4">
        <w:t xml:space="preserve">that CCCFR services </w:t>
      </w:r>
      <w:r w:rsidR="00121E22">
        <w:t>hold</w:t>
      </w:r>
      <w:r w:rsidR="00FE6FAE">
        <w:t xml:space="preserve">, </w:t>
      </w:r>
      <w:r w:rsidR="3CD03778">
        <w:t>nor are they necessarily reflective of a “typical” CCCFR service</w:t>
      </w:r>
      <w:r w:rsidR="00541883">
        <w:t>,</w:t>
      </w:r>
      <w:r w:rsidR="3CD03778">
        <w:t xml:space="preserve"> </w:t>
      </w:r>
      <w:r w:rsidR="00FE6FAE">
        <w:t xml:space="preserve">they have been selected to demonstrate </w:t>
      </w:r>
      <w:r w:rsidR="00C23026">
        <w:t xml:space="preserve">some of the additional complexities that </w:t>
      </w:r>
      <w:r w:rsidR="00136841">
        <w:t xml:space="preserve">exist outside of </w:t>
      </w:r>
      <w:r w:rsidR="00462994">
        <w:t>traditionally</w:t>
      </w:r>
      <w:r w:rsidR="005D3565">
        <w:t xml:space="preserve"> mainstream </w:t>
      </w:r>
      <w:r w:rsidR="006472F2">
        <w:t>ECEC services</w:t>
      </w:r>
      <w:r w:rsidR="368D0809">
        <w:t xml:space="preserve"> and the diversity of these complexities between services</w:t>
      </w:r>
      <w:r w:rsidR="00462994">
        <w:t>.</w:t>
      </w:r>
      <w:r w:rsidR="002E497C">
        <w:t xml:space="preserve"> </w:t>
      </w:r>
      <w:r w:rsidR="00156895">
        <w:br/>
      </w:r>
    </w:p>
    <w:tbl>
      <w:tblPr>
        <w:tblStyle w:val="TableGrid"/>
        <w:tblW w:w="0" w:type="auto"/>
        <w:shd w:val="clear" w:color="auto" w:fill="FFF4D1"/>
        <w:tblCellMar>
          <w:top w:w="113" w:type="dxa"/>
          <w:left w:w="113" w:type="dxa"/>
          <w:bottom w:w="113" w:type="dxa"/>
          <w:right w:w="113" w:type="dxa"/>
        </w:tblCellMar>
        <w:tblLook w:val="04A0" w:firstRow="1" w:lastRow="0" w:firstColumn="1" w:lastColumn="0" w:noHBand="0" w:noVBand="1"/>
      </w:tblPr>
      <w:tblGrid>
        <w:gridCol w:w="9026"/>
      </w:tblGrid>
      <w:tr w:rsidR="007E5FEC" w14:paraId="392E2D74" w14:textId="77777777" w:rsidTr="00DC2A96">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FFF4D1"/>
          </w:tcPr>
          <w:p w14:paraId="789F80C0" w14:textId="43FD81E8" w:rsidR="007E5FEC" w:rsidRDefault="007E5FEC">
            <w:pPr>
              <w:rPr>
                <w:b/>
                <w:bCs/>
              </w:rPr>
            </w:pPr>
            <w:r>
              <w:rPr>
                <w:b/>
              </w:rPr>
              <w:t>Case study</w:t>
            </w:r>
            <w:r w:rsidRPr="004B0CC8">
              <w:rPr>
                <w:b/>
              </w:rPr>
              <w:t xml:space="preserve"> </w:t>
            </w:r>
            <w:r w:rsidRPr="004B0CC8">
              <w:rPr>
                <w:b/>
                <w:bCs/>
              </w:rPr>
              <w:t>2.1</w:t>
            </w:r>
            <w:r w:rsidRPr="004B0CC8">
              <w:rPr>
                <w:b/>
              </w:rPr>
              <w:t xml:space="preserve">: </w:t>
            </w:r>
            <w:r>
              <w:rPr>
                <w:b/>
                <w:bCs/>
              </w:rPr>
              <w:t>Service provider Alpha</w:t>
            </w:r>
          </w:p>
          <w:p w14:paraId="313DE986" w14:textId="3752501E" w:rsidR="00E70638" w:rsidRPr="00AF09CF" w:rsidRDefault="00AF09CF">
            <w:pPr>
              <w:rPr>
                <w:b/>
                <w:i/>
                <w:iCs/>
              </w:rPr>
            </w:pPr>
            <w:r>
              <w:rPr>
                <w:b/>
                <w:i/>
                <w:iCs/>
              </w:rPr>
              <w:t xml:space="preserve">Council-run </w:t>
            </w:r>
            <w:r w:rsidR="00DC2A96">
              <w:rPr>
                <w:b/>
                <w:i/>
                <w:iCs/>
              </w:rPr>
              <w:t>centre-based day care in a r</w:t>
            </w:r>
            <w:r w:rsidR="00E70638" w:rsidRPr="00AF09CF">
              <w:rPr>
                <w:b/>
                <w:i/>
                <w:iCs/>
              </w:rPr>
              <w:t xml:space="preserve">emote </w:t>
            </w:r>
            <w:r w:rsidR="00115B79">
              <w:rPr>
                <w:b/>
                <w:i/>
                <w:iCs/>
              </w:rPr>
              <w:t>Aboriginal</w:t>
            </w:r>
            <w:r w:rsidRPr="00AF09CF">
              <w:rPr>
                <w:b/>
                <w:i/>
                <w:iCs/>
              </w:rPr>
              <w:t xml:space="preserve"> community</w:t>
            </w:r>
          </w:p>
          <w:p w14:paraId="3D0C266D" w14:textId="137A2066" w:rsidR="00AA096F" w:rsidRDefault="00AA096F" w:rsidP="00AA096F">
            <w:r>
              <w:t xml:space="preserve">Service provider Alpha is a council-run, centre-based day-care based in a remote community. The population is near 500. The community is in SA2 SEIFA 1 and the local employment rate is </w:t>
            </w:r>
            <w:r w:rsidR="1EB3CB42">
              <w:t>73.9</w:t>
            </w:r>
            <w:r w:rsidR="00077D83">
              <w:t xml:space="preserve"> per cent.</w:t>
            </w:r>
            <w:r w:rsidR="1EB3CB42">
              <w:t xml:space="preserve"> </w:t>
            </w:r>
          </w:p>
          <w:p w14:paraId="162AFF17" w14:textId="5111379B" w:rsidR="00AA096F" w:rsidRDefault="00AA096F" w:rsidP="00AA096F">
            <w:r>
              <w:t>The service receives approximately $260</w:t>
            </w:r>
            <w:r w:rsidR="008D2C5B">
              <w:t>,000</w:t>
            </w:r>
            <w:r>
              <w:t xml:space="preserve"> in CCCFR funding</w:t>
            </w:r>
            <w:r w:rsidR="00416962">
              <w:t xml:space="preserve"> per annum</w:t>
            </w:r>
            <w:r>
              <w:t>. Their CCCFR funding accounts for 79</w:t>
            </w:r>
            <w:r w:rsidR="00077D83">
              <w:t xml:space="preserve"> per cent</w:t>
            </w:r>
            <w:r>
              <w:t xml:space="preserve"> of their operating costs while CCS income provides 11</w:t>
            </w:r>
            <w:r w:rsidR="00077D83">
              <w:t xml:space="preserve"> per cent</w:t>
            </w:r>
            <w:r>
              <w:t xml:space="preserve"> and other costs are absorbed by the council. They were previously funded through BBF</w:t>
            </w:r>
            <w:r w:rsidR="350F55D0">
              <w:t>.</w:t>
            </w:r>
            <w:r>
              <w:t xml:space="preserve"> They are regulated under the NQF. They are licenced for 50 children. </w:t>
            </w:r>
          </w:p>
          <w:p w14:paraId="0A88C085" w14:textId="77777777" w:rsidR="00AA096F" w:rsidRDefault="00AA096F" w:rsidP="00AA096F">
            <w:r>
              <w:t xml:space="preserve">While they are the only provider of long day care in the community, within the community exists a Families and First Teachers program as well as a preschool service. </w:t>
            </w:r>
          </w:p>
          <w:p w14:paraId="3B4E5368" w14:textId="77777777" w:rsidR="00AA096F" w:rsidRPr="00DE21F4" w:rsidRDefault="00AA096F" w:rsidP="00AA096F">
            <w:r>
              <w:t>While records note that only 10 children at the service identify as Aboriginal, it was reported by the families (both Aboriginal and non-Aboriginal) that m</w:t>
            </w:r>
            <w:r w:rsidRPr="00DE21F4">
              <w:t xml:space="preserve">ost of the children enrolled are Aboriginal and speak a language other than English as their first language. </w:t>
            </w:r>
          </w:p>
          <w:p w14:paraId="0FCE5E93" w14:textId="77777777" w:rsidR="74EF56AF" w:rsidRDefault="74EF56AF">
            <w:r>
              <w:t xml:space="preserve">The educators are proud to work in the centre. The community is proud to send their children to the centre. </w:t>
            </w:r>
          </w:p>
          <w:p w14:paraId="0F3A21E1" w14:textId="666AF01D" w:rsidR="00AA096F" w:rsidRDefault="74EF56AF" w:rsidP="00AA096F">
            <w:r>
              <w:t xml:space="preserve">Most of the educators employed are local women from the community. It is hard to maintain the staffing ratios at the centre as the staffing pool is very small. This means that when there is big Sorry Business in the community or when staff must attend training, the service has to close. </w:t>
            </w:r>
            <w:r>
              <w:lastRenderedPageBreak/>
              <w:t>This is difficult also for the families who are in full time work, as there is no alternative care provider in the community.</w:t>
            </w:r>
            <w:r w:rsidR="002E497C">
              <w:t xml:space="preserve"> </w:t>
            </w:r>
            <w:r w:rsidR="00AA096F">
              <w:t xml:space="preserve">The educators spoke of the complexities of supporting families in a community where many needs would otherwise go unmet. The educators believe the centre belongs to the community and note the community feels a strong sense of connection within the centre. The educators seek to make spaces available within the centre for families to come when they need support. Sometimes these supports can be in the form of company with other families or gaining guidance from the centre educators around navigating complex government systems such as Centrelink. Sometimes these supports come in the form of access to internet or electricity; heating in the depths of winter and air-conditioning at the height of summer. The centre provides an area where families can shower and do laundry. It is also a place where families can access food, if food is not available in their homes. It is a place where families can be safe if home isn’t safe. </w:t>
            </w:r>
            <w:r w:rsidR="77C1A8E7">
              <w:t xml:space="preserve">If the service was unable to provide these </w:t>
            </w:r>
            <w:r w:rsidR="73C59054">
              <w:t xml:space="preserve">additional </w:t>
            </w:r>
            <w:r w:rsidR="77C1A8E7">
              <w:t xml:space="preserve">supports for the families in the community, the educators </w:t>
            </w:r>
            <w:r w:rsidR="66E19412">
              <w:t>expect</w:t>
            </w:r>
            <w:r w:rsidR="77C1A8E7">
              <w:t xml:space="preserve"> that it would impact the attendance from the children. </w:t>
            </w:r>
          </w:p>
          <w:p w14:paraId="46E29340" w14:textId="733EDB69" w:rsidR="00AA096F" w:rsidRDefault="669522F0" w:rsidP="00AA096F">
            <w:r>
              <w:t>The CCCFR Grant conditions specify that funds can be used to address barriers to child care participation</w:t>
            </w:r>
            <w:r w:rsidR="38EE15D3">
              <w:t xml:space="preserve"> including by helping vulnerable and </w:t>
            </w:r>
            <w:r w:rsidR="00525ACC">
              <w:t>disadvantaged</w:t>
            </w:r>
            <w:r w:rsidR="38EE15D3">
              <w:t xml:space="preserve"> families participate in child care</w:t>
            </w:r>
            <w:r w:rsidR="004279A2">
              <w:t>. T</w:t>
            </w:r>
            <w:r w:rsidR="38EE15D3">
              <w:t xml:space="preserve">he example above </w:t>
            </w:r>
            <w:r w:rsidR="6C6D8BCC">
              <w:t xml:space="preserve">is one illustration of how </w:t>
            </w:r>
            <w:r w:rsidR="00A31822">
              <w:t xml:space="preserve">services </w:t>
            </w:r>
            <w:r w:rsidR="004279A2" w:rsidRPr="007A6CF0">
              <w:t>may</w:t>
            </w:r>
            <w:r w:rsidR="004279A2">
              <w:t xml:space="preserve"> ide</w:t>
            </w:r>
            <w:r w:rsidR="003655D3">
              <w:t xml:space="preserve">ntify, </w:t>
            </w:r>
            <w:r w:rsidR="00A31822">
              <w:t>interpret</w:t>
            </w:r>
            <w:r w:rsidR="003655D3">
              <w:t xml:space="preserve"> and address</w:t>
            </w:r>
            <w:r w:rsidR="00A31822">
              <w:t xml:space="preserve"> </w:t>
            </w:r>
            <w:r w:rsidR="6C6D8BCC">
              <w:t xml:space="preserve">barriers </w:t>
            </w:r>
            <w:r w:rsidR="003655D3">
              <w:t>to participatio</w:t>
            </w:r>
            <w:r w:rsidR="0034395E">
              <w:t xml:space="preserve">n which are not directly related to educational programming, but to </w:t>
            </w:r>
            <w:r w:rsidR="003657D9">
              <w:t xml:space="preserve">the grant’s </w:t>
            </w:r>
            <w:r w:rsidR="00346620">
              <w:t>stated relationship</w:t>
            </w:r>
            <w:r w:rsidR="00F00B97">
              <w:t xml:space="preserve"> to</w:t>
            </w:r>
            <w:r w:rsidR="00346620">
              <w:t xml:space="preserve"> access </w:t>
            </w:r>
            <w:r w:rsidR="008769F2">
              <w:t xml:space="preserve">and/or </w:t>
            </w:r>
            <w:r w:rsidR="00346620">
              <w:t xml:space="preserve">child </w:t>
            </w:r>
            <w:r w:rsidR="008769F2">
              <w:t xml:space="preserve">development outcomes. </w:t>
            </w:r>
          </w:p>
          <w:p w14:paraId="42E94B95" w14:textId="6EFA7FDC" w:rsidR="00AA096F" w:rsidRDefault="00AA096F" w:rsidP="00AA096F">
            <w:r>
              <w:t>Families who send their children to the centre could see significant improvements in their child’s developmental outcomes, both through engaging with the educators and other children. Some cited improvements to oral language, others in social and emotional gains. Families also saw the benefit of their children using the play equipment as well as toys and books, noting that some had no access to such materials at home.</w:t>
            </w:r>
            <w:r w:rsidR="002E497C">
              <w:t xml:space="preserve"> </w:t>
            </w:r>
          </w:p>
          <w:p w14:paraId="0B0563E8" w14:textId="1C7940D3" w:rsidR="00AA096F" w:rsidRDefault="00AA096F" w:rsidP="00AA096F">
            <w:r>
              <w:t>Community members acknowledged that there were some families who could be accessing the centre and weren’t. They suspected this could be due to the fees but also it might be due to a lack of familiarity with the service. They felt that the centre could increase enrolments with greater outreach. One parent who was in part time employment said she took her infant to the centre and sat with her every day for a period of months before she felt confident to enrol her child in the centre.</w:t>
            </w:r>
            <w:r w:rsidR="002E497C">
              <w:t xml:space="preserve"> </w:t>
            </w:r>
          </w:p>
          <w:p w14:paraId="3732F6AD" w14:textId="32B8B4E3" w:rsidR="007E5FEC" w:rsidRPr="00B25ACD" w:rsidRDefault="00AA096F" w:rsidP="00AA096F">
            <w:r>
              <w:t>While most enrolled parents said that the fees were affordable once CCS was taken into account, the service director noted that many families were electing not to pay their fees and others were declining to engage with Centrelink due to past experiences with the system.</w:t>
            </w:r>
            <w:r w:rsidR="002E497C">
              <w:t xml:space="preserve"> </w:t>
            </w:r>
          </w:p>
        </w:tc>
      </w:tr>
      <w:tr w:rsidR="00DC2A96" w14:paraId="4A469B12" w14:textId="77777777">
        <w:tc>
          <w:tcPr>
            <w:tcW w:w="9026" w:type="dxa"/>
            <w:shd w:val="clear" w:color="auto" w:fill="FFF4D1"/>
          </w:tcPr>
          <w:p w14:paraId="5778F1D9" w14:textId="0D087E45" w:rsidR="00DC2A96" w:rsidRDefault="00156895">
            <w:pPr>
              <w:rPr>
                <w:b/>
                <w:bCs/>
              </w:rPr>
            </w:pPr>
            <w:r>
              <w:lastRenderedPageBreak/>
              <w:br w:type="page"/>
            </w:r>
            <w:r w:rsidR="00DC2A96">
              <w:rPr>
                <w:b/>
              </w:rPr>
              <w:t>Case study</w:t>
            </w:r>
            <w:r w:rsidR="00DC2A96" w:rsidRPr="004B0CC8">
              <w:rPr>
                <w:b/>
              </w:rPr>
              <w:t xml:space="preserve"> </w:t>
            </w:r>
            <w:r w:rsidR="00DC2A96" w:rsidRPr="004B0CC8">
              <w:rPr>
                <w:b/>
                <w:bCs/>
              </w:rPr>
              <w:t>2.</w:t>
            </w:r>
            <w:r w:rsidR="00DC2A96">
              <w:rPr>
                <w:b/>
                <w:bCs/>
              </w:rPr>
              <w:t>2</w:t>
            </w:r>
            <w:r w:rsidR="00DC2A96" w:rsidRPr="004B0CC8">
              <w:rPr>
                <w:b/>
              </w:rPr>
              <w:t xml:space="preserve">: </w:t>
            </w:r>
            <w:r w:rsidR="00DC2A96">
              <w:rPr>
                <w:b/>
                <w:bCs/>
              </w:rPr>
              <w:t>Service provider Beta</w:t>
            </w:r>
          </w:p>
          <w:p w14:paraId="55E2FAF5" w14:textId="7DF01688" w:rsidR="00DC2A96" w:rsidRPr="00AF09CF" w:rsidRDefault="009E2539">
            <w:pPr>
              <w:rPr>
                <w:b/>
                <w:i/>
                <w:iCs/>
              </w:rPr>
            </w:pPr>
            <w:r>
              <w:rPr>
                <w:b/>
                <w:i/>
                <w:iCs/>
              </w:rPr>
              <w:t>ACCO delivering outside school hours</w:t>
            </w:r>
            <w:r w:rsidR="00DC2A96">
              <w:rPr>
                <w:b/>
                <w:i/>
                <w:iCs/>
              </w:rPr>
              <w:t xml:space="preserve"> care in a r</w:t>
            </w:r>
            <w:r w:rsidR="00DC2A96" w:rsidRPr="00AF09CF">
              <w:rPr>
                <w:b/>
                <w:i/>
                <w:iCs/>
              </w:rPr>
              <w:t>emote community</w:t>
            </w:r>
            <w:r w:rsidR="00CC5BE8" w:rsidRPr="00AF09CF">
              <w:rPr>
                <w:b/>
                <w:i/>
                <w:iCs/>
              </w:rPr>
              <w:t>.</w:t>
            </w:r>
          </w:p>
          <w:p w14:paraId="77171A0C" w14:textId="1C8F07F5" w:rsidR="00DC2A96" w:rsidRPr="00DC3228" w:rsidRDefault="00DC2A96" w:rsidP="00DC2A96">
            <w:r>
              <w:t xml:space="preserve">Service provider Beta is an Aboriginal Community Controlled Organisation that delivers before and after school care and vacation care based in a remote community. The population is under 3000. </w:t>
            </w:r>
            <w:r w:rsidRPr="00DC3228">
              <w:t xml:space="preserve">The community is in SA2 SEIFA </w:t>
            </w:r>
            <w:r>
              <w:t>2</w:t>
            </w:r>
            <w:r w:rsidRPr="00DC3228">
              <w:t xml:space="preserve"> and the local employment rate </w:t>
            </w:r>
            <w:r w:rsidR="658721C9">
              <w:t>is 95.3</w:t>
            </w:r>
            <w:r w:rsidR="00077D83">
              <w:t xml:space="preserve"> per cent.</w:t>
            </w:r>
            <w:r w:rsidR="002E497C">
              <w:t xml:space="preserve">  </w:t>
            </w:r>
            <w:r w:rsidRPr="00DC3228">
              <w:t xml:space="preserve"> </w:t>
            </w:r>
          </w:p>
          <w:p w14:paraId="4C4F3160" w14:textId="1148CA36" w:rsidR="00DC2A96" w:rsidRDefault="00DC2A96" w:rsidP="00DC2A96">
            <w:r w:rsidRPr="00DC3228">
              <w:t>The service receives approximately $</w:t>
            </w:r>
            <w:r>
              <w:t>5</w:t>
            </w:r>
            <w:r w:rsidRPr="00DC3228">
              <w:t>0</w:t>
            </w:r>
            <w:r w:rsidR="009C5488">
              <w:t>,000</w:t>
            </w:r>
            <w:r w:rsidRPr="00DC3228">
              <w:t xml:space="preserve"> in CCCFR funding</w:t>
            </w:r>
            <w:r w:rsidR="00416962">
              <w:t xml:space="preserve"> per annum</w:t>
            </w:r>
            <w:r w:rsidRPr="00DC3228">
              <w:t xml:space="preserve">. They were previously funded through BBF. They are regulated under the </w:t>
            </w:r>
            <w:r>
              <w:t>Minister’s Rules</w:t>
            </w:r>
            <w:r w:rsidRPr="00DC3228">
              <w:t xml:space="preserve">. They are licenced for </w:t>
            </w:r>
            <w:r>
              <w:t>45</w:t>
            </w:r>
            <w:r w:rsidRPr="00DC3228">
              <w:t xml:space="preserve"> children</w:t>
            </w:r>
            <w:r>
              <w:t xml:space="preserve">. 15 Aboriginal and Torres Strait Islander children are reported enrolled in the service. </w:t>
            </w:r>
          </w:p>
          <w:p w14:paraId="152602D3" w14:textId="1DA0BC9A" w:rsidR="00DC2A96" w:rsidRDefault="00DC2A96" w:rsidP="00DC2A96">
            <w:r>
              <w:t>The service operates out of the local community hall that is owned and managed by the service. In addition to the out of school hours care and vacation care they manage a playgroup which is funded through the NIAA. The community hall is also used for various meetings and events organised by the ACCO. The OSH</w:t>
            </w:r>
            <w:r w:rsidR="00513647">
              <w:t>C</w:t>
            </w:r>
            <w:r>
              <w:t xml:space="preserve"> service runs out of the community hall because there is no other space available in the community, nor is there land accessible on which to build. </w:t>
            </w:r>
          </w:p>
          <w:p w14:paraId="6E470F0C" w14:textId="003A8F4E" w:rsidR="00DC2A96" w:rsidRDefault="00DC2A96" w:rsidP="00DC2A96">
            <w:r>
              <w:t xml:space="preserve">Due to being located within a multi-purpose community hall, the service must regularly set up and put away all of the play equipment to accommodate the other uses of the hall. The service leader expressed a desire to have a permanent, dedicated space and noted the disruption that is </w:t>
            </w:r>
            <w:r>
              <w:lastRenderedPageBreak/>
              <w:t>experienced by the children when their arrival coincides with the handover (when the hall is not yet set up to receive them). The service leader cited a number of children with complex and special needs enrolled in the program who would become agitated at seeing their drawings taken down at the end of each day or not being able to locate their preferred play equipment at the beginning of the session. The service leader had identified an area on the land title where extensions to the hall could be built and had blue prints developed but was finding it challenging to dedicate the necessary time to draft the business case amongst her many duties delivering education, maintaining the hall and being responsible for all the finances, administration, governance and compliance requirements.</w:t>
            </w:r>
            <w:r w:rsidR="002E497C">
              <w:t xml:space="preserve"> </w:t>
            </w:r>
            <w:r>
              <w:t xml:space="preserve"> </w:t>
            </w:r>
          </w:p>
          <w:p w14:paraId="37193A9E" w14:textId="1BC7BD1A" w:rsidR="00DC2A96" w:rsidRDefault="00DC2A96" w:rsidP="00DC2A96">
            <w:r>
              <w:t>In receipt of limited fund</w:t>
            </w:r>
            <w:r w:rsidR="00513647">
              <w:t>s</w:t>
            </w:r>
            <w:r>
              <w:t xml:space="preserve"> from the CCCFR available, the service director has had to be very resourceful in obtaining education and play equipment for the space. When she first came into the service, there was a single mat and two boxes of toys. Many items now are constructed from recycled materials and/or have been donated by family members of the educators. The funding wasn’t sufficient to cover the food costs and they had to find other means. They have no funding within CCCFR to pay for a bus driver and this cost is falling to the ACCO’s funds. When the director took over the service the financial management was in arrears, and she is still working to get everything up to date. As a result of the financial backlog, they nearly had to close 10 months prior. </w:t>
            </w:r>
          </w:p>
          <w:p w14:paraId="5DEA9198" w14:textId="2E554392" w:rsidR="00DC2A96" w:rsidRDefault="00DC2A96" w:rsidP="00DC2A96">
            <w:r>
              <w:t>The service director spoke of the challenges of accessing support for both staff training and support for the children. She was not able to procure training in trauma-informed practices for the staff. She felt she needed extra funding to support children in out of home care and she wasn’t able to access this. She also spoke of the long administrative process to apply for extra support.</w:t>
            </w:r>
            <w:r w:rsidR="002E497C">
              <w:t xml:space="preserve"> </w:t>
            </w:r>
          </w:p>
          <w:p w14:paraId="06A6DBB0" w14:textId="22DB0E87" w:rsidR="00DC2A96" w:rsidRPr="00B25ACD" w:rsidRDefault="00DC2A96">
            <w:r>
              <w:t>A second CCCFR funded early years’ service exists in the community that provides long day care. This service is currently at capacity and not able to take any new enrolments. This secondary service was up until Term 3, 2023, providing a bus service and after school care, however due to the shortage of staff available, could no longer support the bus service. As a result, Service provider Beta received several new enrolments into their after-school service.</w:t>
            </w:r>
            <w:r w:rsidR="002E497C">
              <w:t xml:space="preserve"> </w:t>
            </w:r>
            <w:r>
              <w:t>With a large number of public sector employers maintaining offices in the community and a relatively high level of employment, coupled with nil out of hours care provision within the school grounds, there is high demand for before and after school care.</w:t>
            </w:r>
            <w:r w:rsidR="002E497C">
              <w:t xml:space="preserve"> </w:t>
            </w:r>
          </w:p>
        </w:tc>
      </w:tr>
      <w:tr w:rsidR="00156895" w14:paraId="40469E33" w14:textId="77777777">
        <w:tc>
          <w:tcPr>
            <w:tcW w:w="9026" w:type="dxa"/>
            <w:shd w:val="clear" w:color="auto" w:fill="FFF4D1"/>
          </w:tcPr>
          <w:p w14:paraId="68F3AD3F" w14:textId="2124A900" w:rsidR="00156895" w:rsidRDefault="00156895" w:rsidP="00156895">
            <w:pPr>
              <w:rPr>
                <w:b/>
                <w:bCs/>
              </w:rPr>
            </w:pPr>
            <w:r>
              <w:lastRenderedPageBreak/>
              <w:br w:type="page"/>
            </w:r>
            <w:r>
              <w:rPr>
                <w:b/>
              </w:rPr>
              <w:t>Case study</w:t>
            </w:r>
            <w:r w:rsidRPr="004B0CC8">
              <w:rPr>
                <w:b/>
              </w:rPr>
              <w:t xml:space="preserve"> </w:t>
            </w:r>
            <w:r w:rsidRPr="004B0CC8">
              <w:rPr>
                <w:b/>
                <w:bCs/>
              </w:rPr>
              <w:t>2.</w:t>
            </w:r>
            <w:r>
              <w:rPr>
                <w:b/>
                <w:bCs/>
              </w:rPr>
              <w:t>3</w:t>
            </w:r>
            <w:r w:rsidRPr="004B0CC8">
              <w:rPr>
                <w:b/>
              </w:rPr>
              <w:t xml:space="preserve">: </w:t>
            </w:r>
            <w:r>
              <w:rPr>
                <w:b/>
                <w:bCs/>
              </w:rPr>
              <w:t>Service provider Gamma</w:t>
            </w:r>
          </w:p>
          <w:p w14:paraId="2D2B59DC" w14:textId="465D053E" w:rsidR="00156895" w:rsidRPr="00AF09CF" w:rsidRDefault="001016D8">
            <w:pPr>
              <w:rPr>
                <w:b/>
                <w:i/>
                <w:iCs/>
              </w:rPr>
            </w:pPr>
            <w:r>
              <w:rPr>
                <w:b/>
                <w:i/>
                <w:iCs/>
              </w:rPr>
              <w:t>Non-profit organisation</w:t>
            </w:r>
            <w:r w:rsidR="00156895">
              <w:rPr>
                <w:b/>
                <w:i/>
                <w:iCs/>
              </w:rPr>
              <w:t xml:space="preserve"> delivering </w:t>
            </w:r>
            <w:r w:rsidR="00526B1E">
              <w:rPr>
                <w:b/>
                <w:i/>
                <w:iCs/>
              </w:rPr>
              <w:t>centre-based child</w:t>
            </w:r>
            <w:r w:rsidR="00156895">
              <w:rPr>
                <w:b/>
                <w:i/>
                <w:iCs/>
              </w:rPr>
              <w:t xml:space="preserve"> care in </w:t>
            </w:r>
            <w:r w:rsidR="00FF654B">
              <w:rPr>
                <w:b/>
                <w:i/>
                <w:iCs/>
              </w:rPr>
              <w:t>an outer-metropolitan</w:t>
            </w:r>
            <w:r w:rsidR="00156895" w:rsidRPr="00AF09CF">
              <w:rPr>
                <w:b/>
                <w:i/>
                <w:iCs/>
              </w:rPr>
              <w:t xml:space="preserve"> community</w:t>
            </w:r>
          </w:p>
          <w:p w14:paraId="050D9C90" w14:textId="308223E1" w:rsidR="00156895" w:rsidRDefault="00156895" w:rsidP="00156895">
            <w:pPr>
              <w:rPr>
                <w:color w:val="000000" w:themeColor="text1"/>
              </w:rPr>
            </w:pPr>
            <w:r>
              <w:rPr>
                <w:color w:val="000000" w:themeColor="text1"/>
              </w:rPr>
              <w:t xml:space="preserve">Service provider Gamma is a non-profit organisation based in an outer suburb of a metropolitan city and delivers education and child care for parents and carers who are participating in the centre’s alcohol and drug treatment programs as well as other children who live locally. </w:t>
            </w:r>
            <w:r w:rsidRPr="001157CE">
              <w:rPr>
                <w:color w:val="000000" w:themeColor="text1"/>
              </w:rPr>
              <w:t xml:space="preserve">The community is in SA2 SEIFA 3 and the local employment rate </w:t>
            </w:r>
            <w:r w:rsidR="6EA54C7B" w:rsidRPr="35847628">
              <w:rPr>
                <w:color w:val="000000" w:themeColor="text1"/>
              </w:rPr>
              <w:t>is 94.9</w:t>
            </w:r>
            <w:r w:rsidR="00077D83">
              <w:rPr>
                <w:color w:val="000000" w:themeColor="text1"/>
              </w:rPr>
              <w:t xml:space="preserve"> </w:t>
            </w:r>
            <w:r w:rsidR="00077D83">
              <w:t>per cent.</w:t>
            </w:r>
            <w:r w:rsidR="002E497C">
              <w:rPr>
                <w:color w:val="000000" w:themeColor="text1"/>
              </w:rPr>
              <w:t xml:space="preserve"> </w:t>
            </w:r>
          </w:p>
          <w:p w14:paraId="763BFE6D" w14:textId="2867CC2B" w:rsidR="00156895" w:rsidRDefault="00156895" w:rsidP="00156895">
            <w:pPr>
              <w:rPr>
                <w:color w:val="000000" w:themeColor="text1"/>
              </w:rPr>
            </w:pPr>
            <w:r>
              <w:rPr>
                <w:color w:val="000000" w:themeColor="text1"/>
              </w:rPr>
              <w:t>The service receives around $60</w:t>
            </w:r>
            <w:r w:rsidR="00D17EB9">
              <w:rPr>
                <w:color w:val="000000" w:themeColor="text1"/>
              </w:rPr>
              <w:t>,000</w:t>
            </w:r>
            <w:r w:rsidR="00714C53">
              <w:rPr>
                <w:color w:val="000000" w:themeColor="text1"/>
              </w:rPr>
              <w:t xml:space="preserve"> per annum</w:t>
            </w:r>
            <w:r>
              <w:rPr>
                <w:color w:val="000000" w:themeColor="text1"/>
              </w:rPr>
              <w:t xml:space="preserve"> in CCCFR funding. They were previously funded through BBF. They are regulated under the </w:t>
            </w:r>
            <w:r w:rsidR="00A46BDA">
              <w:rPr>
                <w:color w:val="000000" w:themeColor="text1"/>
              </w:rPr>
              <w:t>NQF</w:t>
            </w:r>
            <w:r>
              <w:rPr>
                <w:color w:val="000000" w:themeColor="text1"/>
              </w:rPr>
              <w:t xml:space="preserve">. They are licenced for 77 children. </w:t>
            </w:r>
          </w:p>
          <w:p w14:paraId="769C8BB0" w14:textId="32449F73" w:rsidR="00156895" w:rsidRDefault="00156895" w:rsidP="00156895">
            <w:pPr>
              <w:rPr>
                <w:color w:val="000000" w:themeColor="text1"/>
              </w:rPr>
            </w:pPr>
            <w:r>
              <w:rPr>
                <w:color w:val="000000" w:themeColor="text1"/>
              </w:rPr>
              <w:t>The non-profit decided to open the ECEC service in response to the challenges that were being faced by the women in their treatment programs to access child</w:t>
            </w:r>
            <w:r w:rsidR="00C03FB1">
              <w:rPr>
                <w:color w:val="000000" w:themeColor="text1"/>
              </w:rPr>
              <w:t xml:space="preserve"> </w:t>
            </w:r>
            <w:r>
              <w:rPr>
                <w:color w:val="000000" w:themeColor="text1"/>
              </w:rPr>
              <w:t xml:space="preserve">care – both the costs and travel were prohibitive. The funding for the centre building itself was </w:t>
            </w:r>
            <w:r w:rsidR="00513647">
              <w:rPr>
                <w:color w:val="000000" w:themeColor="text1"/>
              </w:rPr>
              <w:t xml:space="preserve">provided </w:t>
            </w:r>
            <w:r>
              <w:rPr>
                <w:color w:val="000000" w:themeColor="text1"/>
              </w:rPr>
              <w:t>by a philanthropic donor. A full AOD program delivered by the centre runs for 9 months but with a high attrition rate that is typical of such programs, there is significant turnover which makes it difficult to forecast the utilisation of the ECEC service. As such, they are licenced for 77 in order to meet the necessary ratios should demand for one age group / room suddenly spike, but rarely would they see enrolments at such high levels overall.</w:t>
            </w:r>
          </w:p>
          <w:p w14:paraId="6EA7D4F2" w14:textId="6B1EC336" w:rsidR="00156895" w:rsidRDefault="00156895" w:rsidP="00156895">
            <w:pPr>
              <w:rPr>
                <w:color w:val="000000" w:themeColor="text1"/>
              </w:rPr>
            </w:pPr>
            <w:r>
              <w:rPr>
                <w:color w:val="000000" w:themeColor="text1"/>
              </w:rPr>
              <w:lastRenderedPageBreak/>
              <w:t>When children first arrive at the centre, the educators often find they are in need of extra support to address underlying health, wellness</w:t>
            </w:r>
            <w:r w:rsidR="00221B42">
              <w:rPr>
                <w:color w:val="000000" w:themeColor="text1"/>
              </w:rPr>
              <w:t>, complex trauma and/</w:t>
            </w:r>
            <w:r>
              <w:rPr>
                <w:color w:val="000000" w:themeColor="text1"/>
              </w:rPr>
              <w:t>or behavioural conditions. Their focus is working closely with the children to ensure they are supported in having their needs addressed and can benefit from receiving a high</w:t>
            </w:r>
            <w:r w:rsidR="002B79CB">
              <w:rPr>
                <w:color w:val="000000" w:themeColor="text1"/>
              </w:rPr>
              <w:t>-</w:t>
            </w:r>
            <w:r>
              <w:rPr>
                <w:color w:val="000000" w:themeColor="text1"/>
              </w:rPr>
              <w:t xml:space="preserve">quality early education program. The educators also support the mothers who are often young and in need of extra support. They have a play therapist who comes in weekly to run sessions with mums and their children. The play therapy is donated </w:t>
            </w:r>
            <w:r w:rsidR="001C33C2">
              <w:rPr>
                <w:color w:val="000000" w:themeColor="text1"/>
              </w:rPr>
              <w:t>pro bono</w:t>
            </w:r>
            <w:r>
              <w:rPr>
                <w:color w:val="000000" w:themeColor="text1"/>
              </w:rPr>
              <w:t xml:space="preserve"> by another non-profit charity. Because the ECEC service is open to both users of the AOD programs as well as other local families in the community, there is a mixed demographic of children. The centre sees many benefits in bringing these children from different backgrounds to socialise together. </w:t>
            </w:r>
            <w:r w:rsidR="004B4DAF" w:rsidRPr="00771646">
              <w:rPr>
                <w:color w:val="000000" w:themeColor="text1"/>
              </w:rPr>
              <w:t xml:space="preserve">This is the key determinant in running a mixed program (children of AOD clients, and children from the local community), however, it also </w:t>
            </w:r>
            <w:r w:rsidR="002542A7" w:rsidRPr="00771646">
              <w:rPr>
                <w:color w:val="000000" w:themeColor="text1"/>
              </w:rPr>
              <w:t>supports the financial viability of the service.</w:t>
            </w:r>
            <w:r w:rsidR="002E497C">
              <w:rPr>
                <w:color w:val="000000" w:themeColor="text1"/>
              </w:rPr>
              <w:t xml:space="preserve"> </w:t>
            </w:r>
          </w:p>
          <w:p w14:paraId="37A14B6A" w14:textId="31105421" w:rsidR="00156895" w:rsidRDefault="00156895" w:rsidP="00156895">
            <w:pPr>
              <w:rPr>
                <w:color w:val="000000" w:themeColor="text1"/>
              </w:rPr>
            </w:pPr>
            <w:r>
              <w:rPr>
                <w:color w:val="000000" w:themeColor="text1"/>
              </w:rPr>
              <w:t>Under BBF they were operating a creche that was close to breaking even but now they are going backwards financially. The service notes that the centre is running at a $200</w:t>
            </w:r>
            <w:r w:rsidR="000526F5">
              <w:rPr>
                <w:color w:val="000000" w:themeColor="text1"/>
              </w:rPr>
              <w:t>,000</w:t>
            </w:r>
            <w:r>
              <w:rPr>
                <w:color w:val="000000" w:themeColor="text1"/>
              </w:rPr>
              <w:t xml:space="preserve"> loss</w:t>
            </w:r>
            <w:r w:rsidR="000A5DB8" w:rsidRPr="00771646">
              <w:rPr>
                <w:color w:val="000000" w:themeColor="text1"/>
              </w:rPr>
              <w:t>, subsidised at the provider level</w:t>
            </w:r>
            <w:r w:rsidR="00517C0B" w:rsidRPr="00771646">
              <w:rPr>
                <w:color w:val="000000" w:themeColor="text1"/>
              </w:rPr>
              <w:t>,</w:t>
            </w:r>
            <w:r>
              <w:rPr>
                <w:color w:val="000000" w:themeColor="text1"/>
              </w:rPr>
              <w:t xml:space="preserve"> and while in a mainstream child</w:t>
            </w:r>
            <w:r w:rsidR="00C03FB1">
              <w:rPr>
                <w:color w:val="000000" w:themeColor="text1"/>
              </w:rPr>
              <w:t xml:space="preserve"> </w:t>
            </w:r>
            <w:r>
              <w:rPr>
                <w:color w:val="000000" w:themeColor="text1"/>
              </w:rPr>
              <w:t xml:space="preserve">care setting this would be considered unsustainable, they see the success of their AOD program as dependent on the ECEC service. They </w:t>
            </w:r>
            <w:r w:rsidR="00936A21">
              <w:rPr>
                <w:color w:val="000000" w:themeColor="text1"/>
              </w:rPr>
              <w:t>also note</w:t>
            </w:r>
            <w:r>
              <w:rPr>
                <w:color w:val="000000" w:themeColor="text1"/>
              </w:rPr>
              <w:t xml:space="preserve"> the additional risks of intervention from child protection if they were to cease co-delivering the ECEC service on the site of the rehabilitation facilities because mothers would be separated from their children and may not have other family members who can provide this care. The service, while grateful to be in receipt of the CCCFR funding, notes that it is insufficient to cover their costs, nor do they feel it represents the value that is going back to community.</w:t>
            </w:r>
            <w:r w:rsidR="002E497C">
              <w:rPr>
                <w:color w:val="000000" w:themeColor="text1"/>
              </w:rPr>
              <w:t xml:space="preserve"> </w:t>
            </w:r>
          </w:p>
          <w:p w14:paraId="41D6F2F5" w14:textId="13C6DAA8" w:rsidR="00156895" w:rsidRDefault="00156895" w:rsidP="00156895">
            <w:pPr>
              <w:rPr>
                <w:color w:val="000000" w:themeColor="text1"/>
              </w:rPr>
            </w:pPr>
            <w:r>
              <w:rPr>
                <w:color w:val="000000" w:themeColor="text1"/>
              </w:rPr>
              <w:t>The service struggles to get income from CCS and ACCS</w:t>
            </w:r>
            <w:r w:rsidR="003473C2">
              <w:rPr>
                <w:color w:val="000000" w:themeColor="text1"/>
              </w:rPr>
              <w:t xml:space="preserve"> </w:t>
            </w:r>
            <w:r w:rsidR="003473C2" w:rsidRPr="00771646">
              <w:rPr>
                <w:color w:val="000000" w:themeColor="text1"/>
              </w:rPr>
              <w:t xml:space="preserve">from clients of the AOD </w:t>
            </w:r>
            <w:r w:rsidR="0077523A" w:rsidRPr="00771646">
              <w:rPr>
                <w:color w:val="000000" w:themeColor="text1"/>
              </w:rPr>
              <w:t>program</w:t>
            </w:r>
            <w:r>
              <w:rPr>
                <w:color w:val="000000" w:themeColor="text1"/>
              </w:rPr>
              <w:t>. Sometimes mothers will not have registered with Centrelink before and there are delays getting them registered on MyGov and there is no avenue to claim back payment. They also find that they are waiting a long time to receive letters from Child Protection services that they need to claim ACCS.</w:t>
            </w:r>
            <w:r w:rsidR="002E497C">
              <w:rPr>
                <w:color w:val="000000" w:themeColor="text1"/>
              </w:rPr>
              <w:t xml:space="preserve"> </w:t>
            </w:r>
          </w:p>
          <w:p w14:paraId="0C2D4898" w14:textId="12612079" w:rsidR="00156895" w:rsidRPr="00156895" w:rsidRDefault="00156895">
            <w:pPr>
              <w:rPr>
                <w:color w:val="000000" w:themeColor="text1"/>
              </w:rPr>
            </w:pPr>
            <w:r>
              <w:rPr>
                <w:color w:val="000000" w:themeColor="text1"/>
              </w:rPr>
              <w:t>At the end of their AOD treatment, some mothers will choose to keep their children enrolled at the centre while others who move back far from the centre may want to find alternative options closer to home. Women come from all over the state to attend the programs so it is not always feasible to stay nearby after the program’s conclusion.</w:t>
            </w:r>
            <w:r w:rsidR="002E497C">
              <w:rPr>
                <w:color w:val="000000" w:themeColor="text1"/>
              </w:rPr>
              <w:t xml:space="preserve"> </w:t>
            </w:r>
            <w:r>
              <w:rPr>
                <w:color w:val="000000" w:themeColor="text1"/>
              </w:rPr>
              <w:t xml:space="preserve"> </w:t>
            </w:r>
          </w:p>
        </w:tc>
      </w:tr>
    </w:tbl>
    <w:p w14:paraId="1CDD1EB5" w14:textId="24696F41" w:rsidR="00411A90" w:rsidRPr="003549F9" w:rsidRDefault="00411A90" w:rsidP="00344848">
      <w:pPr>
        <w:pStyle w:val="Heading1"/>
      </w:pPr>
      <w:bookmarkStart w:id="158" w:name="_Ref152156626"/>
      <w:bookmarkStart w:id="159" w:name="_Ref152157365"/>
      <w:bookmarkStart w:id="160" w:name="_Toc158993752"/>
      <w:bookmarkStart w:id="161" w:name="_Toc170227399"/>
      <w:r w:rsidRPr="003549F9">
        <w:lastRenderedPageBreak/>
        <w:t>Review framework</w:t>
      </w:r>
      <w:bookmarkEnd w:id="158"/>
      <w:bookmarkEnd w:id="159"/>
      <w:bookmarkEnd w:id="160"/>
      <w:bookmarkEnd w:id="161"/>
    </w:p>
    <w:p w14:paraId="016E96EB" w14:textId="2CF797E8" w:rsidR="00562237" w:rsidRPr="00A10034" w:rsidRDefault="00562237" w:rsidP="00562237">
      <w:pPr>
        <w:pStyle w:val="Sectionintro"/>
      </w:pPr>
      <w:r>
        <w:t xml:space="preserve">This chapter provides further detail </w:t>
      </w:r>
      <w:r w:rsidR="000676EB">
        <w:t>on</w:t>
      </w:r>
      <w:r>
        <w:t xml:space="preserve"> the review framework guiding research</w:t>
      </w:r>
      <w:r w:rsidR="004A35C3">
        <w:t xml:space="preserve"> and</w:t>
      </w:r>
      <w:r w:rsidR="000676EB">
        <w:t xml:space="preserve"> </w:t>
      </w:r>
      <w:r>
        <w:t xml:space="preserve">analysis, </w:t>
      </w:r>
      <w:r w:rsidR="000676EB">
        <w:t>and – ultimately – development of review findings and recommendations</w:t>
      </w:r>
      <w:r w:rsidRPr="00A10034">
        <w:t>.</w:t>
      </w:r>
      <w:r>
        <w:t xml:space="preserve"> </w:t>
      </w:r>
    </w:p>
    <w:p w14:paraId="1915F75C" w14:textId="77777777" w:rsidR="00562237" w:rsidRPr="003838AC" w:rsidRDefault="00562237" w:rsidP="00562237">
      <w:r w:rsidRPr="003838AC">
        <w:t xml:space="preserve">As one of the first priorities for the CCCFR review, Deloitte Access Economics established a review framework. </w:t>
      </w:r>
    </w:p>
    <w:p w14:paraId="7ABF4F46" w14:textId="0B74F923" w:rsidR="00562237" w:rsidRPr="00345ADF" w:rsidRDefault="00562237" w:rsidP="00562237">
      <w:r w:rsidRPr="00345ADF">
        <w:t>The review framework defines the scope and objectives of the review and establishes a structured approach to analyse the CCCFR grant’s strengths, weaknesses, and potential areas for improvement.</w:t>
      </w:r>
      <w:r w:rsidR="002E497C">
        <w:t xml:space="preserve"> </w:t>
      </w:r>
      <w:r>
        <w:t>It sets out the lines of enquiry underpinning each domain and how evidence will be assembled and analysed.</w:t>
      </w:r>
    </w:p>
    <w:p w14:paraId="7F2E8218" w14:textId="2EE95A13" w:rsidR="00562237" w:rsidRPr="00DD3CB6" w:rsidRDefault="00562237" w:rsidP="00562237">
      <w:r w:rsidRPr="00DD3CB6">
        <w:t xml:space="preserve">The key components of the review framework are outlined in </w:t>
      </w:r>
      <w:r w:rsidRPr="00F30CC1">
        <w:rPr>
          <w:lang w:val="da-DK"/>
        </w:rPr>
        <w:fldChar w:fldCharType="begin"/>
      </w:r>
      <w:r w:rsidRPr="00DD3CB6">
        <w:instrText xml:space="preserve"> REF _Ref141113601 \r \h  \* MERGEFORMAT </w:instrText>
      </w:r>
      <w:r w:rsidRPr="00F30CC1">
        <w:rPr>
          <w:lang w:val="da-DK"/>
        </w:rPr>
      </w:r>
      <w:r w:rsidRPr="00F30CC1">
        <w:rPr>
          <w:lang w:val="da-DK"/>
        </w:rPr>
        <w:fldChar w:fldCharType="separate"/>
      </w:r>
      <w:r w:rsidR="00D300D0">
        <w:t>Figure 3.1</w:t>
      </w:r>
      <w:r w:rsidRPr="00F30CC1">
        <w:rPr>
          <w:lang w:val="da-DK"/>
        </w:rPr>
        <w:fldChar w:fldCharType="end"/>
      </w:r>
      <w:r w:rsidRPr="00DD3CB6">
        <w:t>.</w:t>
      </w:r>
    </w:p>
    <w:p w14:paraId="3641CA88" w14:textId="77777777" w:rsidR="00562237" w:rsidRPr="00562237" w:rsidRDefault="00562237" w:rsidP="00562237">
      <w:pPr>
        <w:pStyle w:val="CaptionFigure"/>
        <w:rPr>
          <w:lang w:val="da-DK"/>
        </w:rPr>
      </w:pPr>
      <w:bookmarkStart w:id="162" w:name="_Ref141113601"/>
      <w:bookmarkStart w:id="163" w:name="_Toc151723919"/>
      <w:bookmarkStart w:id="164" w:name="_Toc158997985"/>
      <w:bookmarkStart w:id="165" w:name="_Toc170228787"/>
      <w:r w:rsidRPr="00562237">
        <w:rPr>
          <w:lang w:val="da-DK"/>
        </w:rPr>
        <w:t>: Components of the review framework</w:t>
      </w:r>
      <w:bookmarkEnd w:id="162"/>
      <w:bookmarkEnd w:id="163"/>
      <w:bookmarkEnd w:id="164"/>
      <w:bookmarkEnd w:id="165"/>
    </w:p>
    <w:p w14:paraId="150387F8" w14:textId="77777777" w:rsidR="00562237" w:rsidRPr="00CD40E4" w:rsidRDefault="00562237" w:rsidP="00562237">
      <w:pPr>
        <w:rPr>
          <w:lang w:val="da-DK"/>
        </w:rPr>
      </w:pPr>
      <w:r w:rsidRPr="00CD40E4">
        <w:rPr>
          <w:noProof/>
          <w:lang w:val="da-DK"/>
        </w:rPr>
        <w:drawing>
          <wp:inline distT="0" distB="0" distL="0" distR="0" wp14:anchorId="13975AC8" wp14:editId="081DCFFB">
            <wp:extent cx="6207330" cy="1901952"/>
            <wp:effectExtent l="0" t="0" r="3175" b="3175"/>
            <wp:docPr id="8" name="Picture 8" descr="Figure outlining the components of the review framework and the underpinning guiding princip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outlining the components of the review framework and the underpinning guiding principles.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67689" cy="1920446"/>
                    </a:xfrm>
                    <a:prstGeom prst="rect">
                      <a:avLst/>
                    </a:prstGeom>
                    <a:noFill/>
                  </pic:spPr>
                </pic:pic>
              </a:graphicData>
            </a:graphic>
          </wp:inline>
        </w:drawing>
      </w:r>
    </w:p>
    <w:p w14:paraId="4383F04A" w14:textId="77777777" w:rsidR="00562237" w:rsidRPr="00DD3CB6" w:rsidRDefault="00562237" w:rsidP="00562237">
      <w:pPr>
        <w:pStyle w:val="Source"/>
      </w:pPr>
      <w:r w:rsidRPr="00DD3CB6">
        <w:t xml:space="preserve">Source: </w:t>
      </w:r>
      <w:r>
        <w:t>Deloitte Access Economics (2023)</w:t>
      </w:r>
    </w:p>
    <w:p w14:paraId="37A60D64" w14:textId="077F785D" w:rsidR="00562237" w:rsidRPr="00DD3CB6" w:rsidRDefault="00562237" w:rsidP="00562237">
      <w:r w:rsidRPr="00DD3CB6">
        <w:t xml:space="preserve">The review framework itself is captured in </w:t>
      </w:r>
      <w:r w:rsidRPr="00185763">
        <w:rPr>
          <w:lang w:val="da-DK"/>
        </w:rPr>
        <w:fldChar w:fldCharType="begin"/>
      </w:r>
      <w:r w:rsidRPr="00185763">
        <w:instrText xml:space="preserve"> REF _Ref141113825 \r \h </w:instrText>
      </w:r>
      <w:r w:rsidR="004D4506" w:rsidRPr="00185763">
        <w:rPr>
          <w:lang w:val="da-DK"/>
        </w:rPr>
        <w:instrText xml:space="preserve"> \* MERGEFORMAT </w:instrText>
      </w:r>
      <w:r w:rsidRPr="00185763">
        <w:rPr>
          <w:lang w:val="da-DK"/>
        </w:rPr>
      </w:r>
      <w:r w:rsidRPr="00185763">
        <w:rPr>
          <w:lang w:val="da-DK"/>
        </w:rPr>
        <w:fldChar w:fldCharType="separate"/>
      </w:r>
      <w:r w:rsidR="00D300D0">
        <w:t>Figure 3.2</w:t>
      </w:r>
      <w:r w:rsidRPr="00185763">
        <w:rPr>
          <w:lang w:val="da-DK"/>
        </w:rPr>
        <w:fldChar w:fldCharType="end"/>
      </w:r>
      <w:r w:rsidRPr="00DD3CB6">
        <w:t xml:space="preserve"> below.</w:t>
      </w:r>
    </w:p>
    <w:p w14:paraId="785C8C3E" w14:textId="77777777" w:rsidR="00562237" w:rsidRDefault="00562237" w:rsidP="00562237">
      <w:pPr>
        <w:pStyle w:val="CaptionFigure"/>
        <w:sectPr w:rsidR="00562237" w:rsidSect="00390AF5">
          <w:pgSz w:w="11906" w:h="16838" w:code="9"/>
          <w:pgMar w:top="1440" w:right="1440" w:bottom="1440" w:left="1440" w:header="680" w:footer="425" w:gutter="0"/>
          <w:cols w:space="284"/>
          <w:docGrid w:linePitch="360"/>
        </w:sectPr>
      </w:pPr>
    </w:p>
    <w:p w14:paraId="117D1B57" w14:textId="77777777" w:rsidR="00562237" w:rsidRPr="00A043BF" w:rsidRDefault="00562237" w:rsidP="00562237">
      <w:pPr>
        <w:pStyle w:val="CaptionFigure"/>
      </w:pPr>
      <w:bookmarkStart w:id="166" w:name="_Ref141113825"/>
      <w:bookmarkStart w:id="167" w:name="_Toc151723920"/>
      <w:bookmarkStart w:id="168" w:name="_Toc158997986"/>
      <w:bookmarkStart w:id="169" w:name="_Toc170228788"/>
      <w:r>
        <w:lastRenderedPageBreak/>
        <w:t xml:space="preserve">: </w:t>
      </w:r>
      <w:r w:rsidRPr="00562237">
        <w:t>Review</w:t>
      </w:r>
      <w:r>
        <w:t xml:space="preserve"> framework</w:t>
      </w:r>
      <w:bookmarkEnd w:id="166"/>
      <w:bookmarkEnd w:id="167"/>
      <w:bookmarkEnd w:id="168"/>
      <w:bookmarkEnd w:id="169"/>
    </w:p>
    <w:p w14:paraId="078E92FA" w14:textId="77777777" w:rsidR="00562237" w:rsidRDefault="00562237" w:rsidP="00562237">
      <w:r>
        <w:rPr>
          <w:noProof/>
        </w:rPr>
        <w:drawing>
          <wp:inline distT="0" distB="0" distL="0" distR="0" wp14:anchorId="151FC77E" wp14:editId="58E17B4B">
            <wp:extent cx="9276528" cy="4593946"/>
            <wp:effectExtent l="0" t="0" r="1270" b="0"/>
            <wp:docPr id="9" name="Picture 9" descr="Figure detailing the review framework across the following elements: review anchor, guiding principles, review domains, key lines of enquiry, evidence sources, and outpu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detailing the review framework across the following elements: review anchor, guiding principles, review domains, key lines of enquiry, evidence sources, and outputs.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292304" cy="4601759"/>
                    </a:xfrm>
                    <a:prstGeom prst="rect">
                      <a:avLst/>
                    </a:prstGeom>
                    <a:noFill/>
                  </pic:spPr>
                </pic:pic>
              </a:graphicData>
            </a:graphic>
          </wp:inline>
        </w:drawing>
      </w:r>
    </w:p>
    <w:p w14:paraId="03A94768" w14:textId="77777777" w:rsidR="00562237" w:rsidRDefault="00562237" w:rsidP="00562237">
      <w:pPr>
        <w:pStyle w:val="Source"/>
        <w:sectPr w:rsidR="00562237">
          <w:pgSz w:w="16838" w:h="11906" w:orient="landscape" w:code="9"/>
          <w:pgMar w:top="1440" w:right="1440" w:bottom="1440" w:left="1440" w:header="680" w:footer="425" w:gutter="0"/>
          <w:cols w:space="284"/>
          <w:docGrid w:linePitch="360"/>
        </w:sectPr>
      </w:pPr>
      <w:r>
        <w:t>Source: Deloitte Access Economics (2023)</w:t>
      </w:r>
    </w:p>
    <w:p w14:paraId="1025184E" w14:textId="77777777" w:rsidR="00562237" w:rsidRPr="00B55EBB" w:rsidRDefault="00562237" w:rsidP="00400EFE">
      <w:pPr>
        <w:pStyle w:val="Heading2"/>
        <w:spacing w:after="120"/>
      </w:pPr>
      <w:bookmarkStart w:id="170" w:name="_Toc151723850"/>
      <w:bookmarkStart w:id="171" w:name="_Toc158993753"/>
      <w:bookmarkStart w:id="172" w:name="_Toc170227400"/>
      <w:r w:rsidRPr="00B55EBB">
        <w:lastRenderedPageBreak/>
        <w:t>Review domains and underlying research questions</w:t>
      </w:r>
      <w:bookmarkEnd w:id="170"/>
      <w:bookmarkEnd w:id="171"/>
      <w:bookmarkEnd w:id="172"/>
    </w:p>
    <w:p w14:paraId="7A2232A9" w14:textId="49D4ECDC" w:rsidR="00562237" w:rsidRPr="00B55EBB" w:rsidRDefault="00562237" w:rsidP="00562237">
      <w:r>
        <w:t>The four review domains are outlined in further detail below</w:t>
      </w:r>
      <w:r w:rsidR="00241C1C">
        <w:t>.</w:t>
      </w:r>
    </w:p>
    <w:p w14:paraId="0CFE84CB" w14:textId="6641394E" w:rsidR="00562237" w:rsidRPr="0083477E" w:rsidRDefault="00562237" w:rsidP="00ED2EF9">
      <w:pPr>
        <w:pStyle w:val="Heading3"/>
        <w:spacing w:before="170"/>
      </w:pPr>
      <w:r w:rsidRPr="0083477E">
        <w:t>Domain 1: Objective</w:t>
      </w:r>
      <w:r w:rsidR="00D1570B" w:rsidRPr="0083477E">
        <w:t>s</w:t>
      </w:r>
      <w:r w:rsidR="0083477E" w:rsidRPr="0083477E">
        <w:t xml:space="preserve"> and</w:t>
      </w:r>
      <w:r w:rsidR="00E03710" w:rsidRPr="0083477E">
        <w:t xml:space="preserve"> </w:t>
      </w:r>
      <w:r w:rsidRPr="0083477E">
        <w:t>intent</w:t>
      </w:r>
    </w:p>
    <w:p w14:paraId="1B391BEB" w14:textId="58ADBD0B" w:rsidR="00562237" w:rsidRDefault="00562237" w:rsidP="00562237">
      <w:r>
        <w:t>This domain</w:t>
      </w:r>
      <w:r w:rsidRPr="00C40497">
        <w:t xml:space="preserve"> consider</w:t>
      </w:r>
      <w:r w:rsidR="00F71713">
        <w:t>s</w:t>
      </w:r>
      <w:r w:rsidRPr="00C40497">
        <w:t xml:space="preserve"> the extent to which the objectives of the CCCFR grant are appropriate in the current policy landscape, whether </w:t>
      </w:r>
      <w:r w:rsidR="00ED2EF9">
        <w:t>they</w:t>
      </w:r>
      <w:r w:rsidRPr="00C40497">
        <w:t xml:space="preserve"> align with the needs and expectations of stakeholders</w:t>
      </w:r>
      <w:r w:rsidR="003158FB" w:rsidRPr="003158FB">
        <w:t>, and the extent to which these objectives have been met</w:t>
      </w:r>
      <w:r w:rsidRPr="00C40497">
        <w:t xml:space="preserve">. </w:t>
      </w:r>
    </w:p>
    <w:p w14:paraId="78F0B460" w14:textId="6D0DFD3F" w:rsidR="00562237" w:rsidRDefault="00562237" w:rsidP="00562237">
      <w:r>
        <w:t xml:space="preserve">The lines of enquiry and key research questions within review domain 1 are outlined in </w:t>
      </w:r>
      <w:r w:rsidRPr="00185763">
        <w:fldChar w:fldCharType="begin"/>
      </w:r>
      <w:r w:rsidRPr="004D4506">
        <w:rPr>
          <w:highlight w:val="yellow"/>
        </w:rPr>
        <w:instrText xml:space="preserve"> REF _Ref141118360 \r \h </w:instrText>
      </w:r>
      <w:r w:rsidR="004D4506">
        <w:rPr>
          <w:highlight w:val="yellow"/>
        </w:rPr>
        <w:instrText xml:space="preserve"> \* MERGEFORMAT </w:instrText>
      </w:r>
      <w:r w:rsidRPr="00185763">
        <w:fldChar w:fldCharType="separate"/>
      </w:r>
      <w:r w:rsidR="00D300D0" w:rsidRPr="00D300D0">
        <w:t>Table 3.2</w:t>
      </w:r>
      <w:r w:rsidRPr="00185763">
        <w:fldChar w:fldCharType="end"/>
      </w:r>
      <w:r>
        <w:t>.</w:t>
      </w:r>
    </w:p>
    <w:p w14:paraId="4544B4F2" w14:textId="0AE38A0C" w:rsidR="00562237" w:rsidRPr="00A67BE2" w:rsidRDefault="00C50374" w:rsidP="00C50374">
      <w:pPr>
        <w:pStyle w:val="CaptionTable"/>
      </w:pPr>
      <w:bookmarkStart w:id="173" w:name="_Ref141118360"/>
      <w:bookmarkStart w:id="174" w:name="_Toc151723907"/>
      <w:bookmarkStart w:id="175" w:name="_Toc158997957"/>
      <w:bookmarkStart w:id="176" w:name="_Toc167130703"/>
      <w:r>
        <w:t xml:space="preserve">: </w:t>
      </w:r>
      <w:r w:rsidR="00562237" w:rsidRPr="00A67BE2">
        <w:t xml:space="preserve">Objectives and intent – Lines of enquiry and </w:t>
      </w:r>
      <w:r w:rsidR="00562237" w:rsidRPr="008F33F7">
        <w:t>key</w:t>
      </w:r>
      <w:r w:rsidR="00562237" w:rsidRPr="00A67BE2">
        <w:t xml:space="preserve"> research questions</w:t>
      </w:r>
      <w:bookmarkEnd w:id="173"/>
      <w:bookmarkEnd w:id="174"/>
      <w:bookmarkEnd w:id="175"/>
      <w:bookmarkEnd w:id="176"/>
    </w:p>
    <w:tbl>
      <w:tblPr>
        <w:tblW w:w="9592" w:type="dxa"/>
        <w:tblBorders>
          <w:top w:val="single" w:sz="8" w:space="0" w:color="046A38"/>
          <w:left w:val="single" w:sz="8" w:space="0" w:color="046A38"/>
          <w:bottom w:val="single" w:sz="4" w:space="0" w:color="auto"/>
          <w:right w:val="single" w:sz="8" w:space="0" w:color="046A38"/>
          <w:insideH w:val="single" w:sz="8" w:space="0" w:color="046A38"/>
          <w:insideV w:val="single" w:sz="8" w:space="0" w:color="046A38"/>
        </w:tblBorders>
        <w:tblCellMar>
          <w:top w:w="113" w:type="dxa"/>
          <w:left w:w="113" w:type="dxa"/>
          <w:bottom w:w="113" w:type="dxa"/>
          <w:right w:w="113" w:type="dxa"/>
        </w:tblCellMar>
        <w:tblLook w:val="0420" w:firstRow="1" w:lastRow="0" w:firstColumn="0" w:lastColumn="0" w:noHBand="0" w:noVBand="1"/>
      </w:tblPr>
      <w:tblGrid>
        <w:gridCol w:w="1975"/>
        <w:gridCol w:w="7617"/>
      </w:tblGrid>
      <w:tr w:rsidR="00ED2EF9" w:rsidRPr="00A67BE2" w14:paraId="70A6FA13" w14:textId="77777777" w:rsidTr="2B91AEFB">
        <w:trPr>
          <w:trHeight w:val="303"/>
        </w:trPr>
        <w:tc>
          <w:tcPr>
            <w:tcW w:w="1975" w:type="dxa"/>
            <w:shd w:val="clear" w:color="auto" w:fill="046A38" w:themeFill="accent2"/>
          </w:tcPr>
          <w:p w14:paraId="5D066D9B" w14:textId="77777777" w:rsidR="00ED2EF9" w:rsidRPr="00A67BE2" w:rsidRDefault="00ED2EF9">
            <w:pPr>
              <w:jc w:val="center"/>
              <w:rPr>
                <w:b/>
                <w:color w:val="FFFFFF" w:themeColor="background1"/>
              </w:rPr>
            </w:pPr>
            <w:r w:rsidRPr="00A67BE2">
              <w:rPr>
                <w:b/>
                <w:color w:val="FFFFFF" w:themeColor="background1"/>
              </w:rPr>
              <w:t>Lines of enquiry</w:t>
            </w:r>
          </w:p>
        </w:tc>
        <w:tc>
          <w:tcPr>
            <w:tcW w:w="7617" w:type="dxa"/>
            <w:shd w:val="clear" w:color="auto" w:fill="046A38" w:themeFill="accent2"/>
            <w:tcMar>
              <w:top w:w="72" w:type="dxa"/>
              <w:left w:w="144" w:type="dxa"/>
              <w:bottom w:w="72" w:type="dxa"/>
              <w:right w:w="144" w:type="dxa"/>
            </w:tcMar>
            <w:hideMark/>
          </w:tcPr>
          <w:p w14:paraId="5AA7C114" w14:textId="77777777" w:rsidR="00ED2EF9" w:rsidRPr="00A67BE2" w:rsidRDefault="00ED2EF9">
            <w:pPr>
              <w:jc w:val="center"/>
              <w:rPr>
                <w:b/>
                <w:color w:val="FFFFFF" w:themeColor="background1"/>
              </w:rPr>
            </w:pPr>
            <w:r w:rsidRPr="00A67BE2">
              <w:rPr>
                <w:b/>
                <w:color w:val="FFFFFF" w:themeColor="background1"/>
              </w:rPr>
              <w:t>Key research questions</w:t>
            </w:r>
          </w:p>
        </w:tc>
      </w:tr>
      <w:tr w:rsidR="00ED2EF9" w:rsidRPr="00A67BE2" w14:paraId="360AA070" w14:textId="77777777" w:rsidTr="2B91AEFB">
        <w:trPr>
          <w:trHeight w:val="990"/>
        </w:trPr>
        <w:tc>
          <w:tcPr>
            <w:tcW w:w="1975" w:type="dxa"/>
          </w:tcPr>
          <w:p w14:paraId="50D494A0" w14:textId="5FCB7FD3" w:rsidR="00ED2EF9" w:rsidRPr="00A67BE2" w:rsidRDefault="000908F7" w:rsidP="002F0C37">
            <w:pPr>
              <w:spacing w:after="120"/>
            </w:pPr>
            <w:r>
              <w:t>Awareness and understanding</w:t>
            </w:r>
          </w:p>
          <w:p w14:paraId="0656A35B" w14:textId="77777777" w:rsidR="00ED2EF9" w:rsidRPr="00A67BE2" w:rsidRDefault="00ED2EF9" w:rsidP="002F0C37">
            <w:pPr>
              <w:spacing w:after="120"/>
            </w:pPr>
          </w:p>
        </w:tc>
        <w:tc>
          <w:tcPr>
            <w:tcW w:w="7617" w:type="dxa"/>
            <w:shd w:val="clear" w:color="auto" w:fill="auto"/>
            <w:tcMar>
              <w:top w:w="72" w:type="dxa"/>
              <w:left w:w="144" w:type="dxa"/>
              <w:bottom w:w="72" w:type="dxa"/>
              <w:right w:w="144" w:type="dxa"/>
            </w:tcMar>
            <w:hideMark/>
          </w:tcPr>
          <w:p w14:paraId="7E3B953F" w14:textId="77777777" w:rsidR="00540E54" w:rsidRDefault="00ED2EF9" w:rsidP="002F0C37">
            <w:pPr>
              <w:pStyle w:val="ListBullet"/>
              <w:spacing w:after="120"/>
            </w:pPr>
            <w:r>
              <w:t>To what extent are the CCCFR grant’s objectives and intent understood by relevant stakeholders, including governments, services, families and the broader community?</w:t>
            </w:r>
          </w:p>
          <w:p w14:paraId="667BCA3E" w14:textId="78C88F51" w:rsidR="00ED2EF9" w:rsidRPr="00A67BE2" w:rsidRDefault="1A2B388A" w:rsidP="00185763">
            <w:pPr>
              <w:pStyle w:val="ListBullet"/>
              <w:spacing w:after="120"/>
              <w:ind w:left="357"/>
            </w:pPr>
            <w:r w:rsidRPr="008E3F39">
              <w:rPr>
                <w:b/>
                <w:bCs/>
              </w:rPr>
              <w:t xml:space="preserve">Addressed in Chapter </w:t>
            </w:r>
            <w:r w:rsidR="005B3DDD">
              <w:rPr>
                <w:b/>
                <w:bCs/>
              </w:rPr>
              <w:fldChar w:fldCharType="begin"/>
            </w:r>
            <w:r w:rsidR="005B3DDD">
              <w:rPr>
                <w:b/>
                <w:bCs/>
              </w:rPr>
              <w:instrText xml:space="preserve"> REF _Ref152862080 \r \h </w:instrText>
            </w:r>
            <w:r w:rsidR="005B3DDD">
              <w:rPr>
                <w:b/>
                <w:bCs/>
              </w:rPr>
            </w:r>
            <w:r w:rsidR="005B3DDD">
              <w:rPr>
                <w:b/>
                <w:bCs/>
              </w:rPr>
              <w:fldChar w:fldCharType="separate"/>
            </w:r>
            <w:r w:rsidR="00D300D0">
              <w:rPr>
                <w:b/>
                <w:bCs/>
              </w:rPr>
              <w:t>5</w:t>
            </w:r>
            <w:r w:rsidR="005B3DDD">
              <w:rPr>
                <w:b/>
                <w:bCs/>
              </w:rPr>
              <w:fldChar w:fldCharType="end"/>
            </w:r>
          </w:p>
        </w:tc>
      </w:tr>
      <w:tr w:rsidR="000908F7" w:rsidRPr="00A67BE2" w14:paraId="151CBCC7" w14:textId="77777777" w:rsidTr="2B91AEFB">
        <w:trPr>
          <w:trHeight w:val="1556"/>
        </w:trPr>
        <w:tc>
          <w:tcPr>
            <w:tcW w:w="1975" w:type="dxa"/>
          </w:tcPr>
          <w:p w14:paraId="3E93268B" w14:textId="11F19EDF" w:rsidR="000908F7" w:rsidRDefault="00BD7D8B" w:rsidP="002F0C37">
            <w:pPr>
              <w:spacing w:after="120"/>
            </w:pPr>
            <w:r>
              <w:t>Alignment with Australian Government strategic objectives</w:t>
            </w:r>
          </w:p>
        </w:tc>
        <w:tc>
          <w:tcPr>
            <w:tcW w:w="7617" w:type="dxa"/>
            <w:shd w:val="clear" w:color="auto" w:fill="auto"/>
            <w:tcMar>
              <w:top w:w="72" w:type="dxa"/>
              <w:left w:w="144" w:type="dxa"/>
              <w:bottom w:w="72" w:type="dxa"/>
              <w:right w:w="144" w:type="dxa"/>
            </w:tcMar>
          </w:tcPr>
          <w:p w14:paraId="7FBB201D" w14:textId="77777777" w:rsidR="00BD7D8B" w:rsidRPr="00BD7D8B" w:rsidRDefault="6618B3F5" w:rsidP="002F0C37">
            <w:pPr>
              <w:pStyle w:val="ListBullet"/>
              <w:spacing w:after="120"/>
            </w:pPr>
            <w:r>
              <w:t>How well do the objectives and intent of the CCCFR grant align with the strategic objectives of the Australian Government?</w:t>
            </w:r>
          </w:p>
          <w:p w14:paraId="4C711AB6" w14:textId="44142C60" w:rsidR="005B3DDD" w:rsidRDefault="1A2B388A" w:rsidP="00185763">
            <w:pPr>
              <w:pStyle w:val="ListBullet"/>
              <w:spacing w:after="120"/>
              <w:ind w:left="357"/>
            </w:pPr>
            <w:r w:rsidRPr="008E3F39">
              <w:rPr>
                <w:b/>
                <w:bCs/>
              </w:rPr>
              <w:t xml:space="preserve">Addressed in Chapter </w:t>
            </w:r>
            <w:r w:rsidR="005B3DDD">
              <w:rPr>
                <w:b/>
                <w:bCs/>
              </w:rPr>
              <w:fldChar w:fldCharType="begin"/>
            </w:r>
            <w:r w:rsidR="005B3DDD">
              <w:rPr>
                <w:b/>
                <w:bCs/>
              </w:rPr>
              <w:instrText xml:space="preserve"> REF _Ref152862080 \r \h </w:instrText>
            </w:r>
            <w:r w:rsidR="005B3DDD">
              <w:rPr>
                <w:b/>
                <w:bCs/>
              </w:rPr>
            </w:r>
            <w:r w:rsidR="005B3DDD">
              <w:rPr>
                <w:b/>
                <w:bCs/>
              </w:rPr>
              <w:fldChar w:fldCharType="separate"/>
            </w:r>
            <w:r w:rsidR="00D300D0">
              <w:rPr>
                <w:b/>
                <w:bCs/>
              </w:rPr>
              <w:t>5</w:t>
            </w:r>
            <w:r w:rsidR="005B3DDD">
              <w:rPr>
                <w:b/>
                <w:bCs/>
              </w:rPr>
              <w:fldChar w:fldCharType="end"/>
            </w:r>
            <w:r w:rsidR="00BB2CB1">
              <w:rPr>
                <w:b/>
                <w:bCs/>
              </w:rPr>
              <w:br/>
            </w:r>
          </w:p>
          <w:p w14:paraId="4D6E0F53" w14:textId="366086A2" w:rsidR="000908F7" w:rsidRDefault="6618B3F5" w:rsidP="002F0C37">
            <w:pPr>
              <w:pStyle w:val="ListBullet"/>
              <w:spacing w:after="120"/>
            </w:pPr>
            <w:r>
              <w:t xml:space="preserve">To what extent does the CCCFR grant in its current form address Closing the Gap targets, including ensuring early childhood education and care is culturally appropriate for </w:t>
            </w:r>
            <w:r w:rsidR="749471BD">
              <w:t>Aboriginal and Torres Strait Islander</w:t>
            </w:r>
            <w:r>
              <w:t xml:space="preserve"> communities?</w:t>
            </w:r>
          </w:p>
          <w:p w14:paraId="2E3A7EBC" w14:textId="29564C87" w:rsidR="000908F7" w:rsidRPr="00A67BE2" w:rsidRDefault="1A2B388A" w:rsidP="00185763">
            <w:pPr>
              <w:pStyle w:val="ListBullet"/>
              <w:spacing w:after="120"/>
              <w:ind w:left="357"/>
            </w:pPr>
            <w:r w:rsidRPr="008E3F39">
              <w:rPr>
                <w:b/>
                <w:bCs/>
              </w:rPr>
              <w:t xml:space="preserve">Addressed in Chapter </w:t>
            </w:r>
            <w:r w:rsidR="005B3DDD">
              <w:rPr>
                <w:b/>
                <w:bCs/>
              </w:rPr>
              <w:fldChar w:fldCharType="begin"/>
            </w:r>
            <w:r w:rsidR="005B3DDD">
              <w:rPr>
                <w:b/>
                <w:bCs/>
              </w:rPr>
              <w:instrText xml:space="preserve"> REF _Ref152862080 \r \h </w:instrText>
            </w:r>
            <w:r w:rsidR="005B3DDD">
              <w:rPr>
                <w:b/>
                <w:bCs/>
              </w:rPr>
            </w:r>
            <w:r w:rsidR="005B3DDD">
              <w:rPr>
                <w:b/>
                <w:bCs/>
              </w:rPr>
              <w:fldChar w:fldCharType="separate"/>
            </w:r>
            <w:r w:rsidR="00D300D0">
              <w:rPr>
                <w:b/>
                <w:bCs/>
              </w:rPr>
              <w:t>5</w:t>
            </w:r>
            <w:r w:rsidR="005B3DDD">
              <w:rPr>
                <w:b/>
                <w:bCs/>
              </w:rPr>
              <w:fldChar w:fldCharType="end"/>
            </w:r>
          </w:p>
        </w:tc>
      </w:tr>
      <w:tr w:rsidR="00ED2EF9" w:rsidRPr="00A67BE2" w14:paraId="7AFFA40B" w14:textId="77777777" w:rsidTr="2B91AEFB">
        <w:trPr>
          <w:trHeight w:val="718"/>
        </w:trPr>
        <w:tc>
          <w:tcPr>
            <w:tcW w:w="1975" w:type="dxa"/>
          </w:tcPr>
          <w:p w14:paraId="0165A6D9" w14:textId="6E7A3F74" w:rsidR="00ED2EF9" w:rsidRPr="00A67BE2" w:rsidRDefault="007F332C" w:rsidP="002F0C37">
            <w:pPr>
              <w:spacing w:after="120"/>
            </w:pPr>
            <w:r>
              <w:t xml:space="preserve">Alignment with service, </w:t>
            </w:r>
            <w:r w:rsidR="00ED2EF9" w:rsidRPr="00A67BE2">
              <w:t xml:space="preserve">family </w:t>
            </w:r>
            <w:r>
              <w:t>and c</w:t>
            </w:r>
            <w:r w:rsidR="00ED2EF9" w:rsidRPr="00A67BE2">
              <w:t>ommunity needs and expectations</w:t>
            </w:r>
          </w:p>
        </w:tc>
        <w:tc>
          <w:tcPr>
            <w:tcW w:w="7617" w:type="dxa"/>
            <w:shd w:val="clear" w:color="auto" w:fill="auto"/>
            <w:tcMar>
              <w:top w:w="72" w:type="dxa"/>
              <w:left w:w="144" w:type="dxa"/>
              <w:bottom w:w="72" w:type="dxa"/>
              <w:right w:w="144" w:type="dxa"/>
            </w:tcMar>
          </w:tcPr>
          <w:p w14:paraId="54424534" w14:textId="2612133D" w:rsidR="00ED2EF9" w:rsidRDefault="00ED2EF9" w:rsidP="002F0C37">
            <w:pPr>
              <w:pStyle w:val="ListBullet"/>
              <w:spacing w:after="120"/>
            </w:pPr>
            <w:r>
              <w:t>How well do the objectives and intent of the CCCFR non-competitive grant align with the current needs and expectations of CCCFR services, families and communities?</w:t>
            </w:r>
          </w:p>
          <w:p w14:paraId="2FC03009" w14:textId="3B931C19" w:rsidR="00ED2EF9" w:rsidRPr="00A67BE2" w:rsidRDefault="6B86916F" w:rsidP="00185763">
            <w:pPr>
              <w:pStyle w:val="ListBullet"/>
              <w:spacing w:after="120"/>
              <w:ind w:left="357"/>
            </w:pPr>
            <w:r w:rsidRPr="008E3F39">
              <w:rPr>
                <w:b/>
                <w:bCs/>
              </w:rPr>
              <w:t xml:space="preserve">Addressed in Chapter </w:t>
            </w:r>
            <w:r w:rsidR="0022215B">
              <w:rPr>
                <w:b/>
                <w:bCs/>
              </w:rPr>
              <w:fldChar w:fldCharType="begin"/>
            </w:r>
            <w:r w:rsidR="0022215B">
              <w:rPr>
                <w:b/>
                <w:bCs/>
              </w:rPr>
              <w:instrText xml:space="preserve"> REF _Ref152862080 \r \h </w:instrText>
            </w:r>
            <w:r w:rsidR="0022215B">
              <w:rPr>
                <w:b/>
                <w:bCs/>
              </w:rPr>
            </w:r>
            <w:r w:rsidR="0022215B">
              <w:rPr>
                <w:b/>
                <w:bCs/>
              </w:rPr>
              <w:fldChar w:fldCharType="separate"/>
            </w:r>
            <w:r w:rsidR="00D300D0">
              <w:rPr>
                <w:b/>
                <w:bCs/>
              </w:rPr>
              <w:t>5</w:t>
            </w:r>
            <w:r w:rsidR="0022215B">
              <w:rPr>
                <w:b/>
                <w:bCs/>
              </w:rPr>
              <w:fldChar w:fldCharType="end"/>
            </w:r>
          </w:p>
        </w:tc>
      </w:tr>
      <w:tr w:rsidR="001C689D" w:rsidRPr="00A67BE2" w14:paraId="553971BA" w14:textId="77777777" w:rsidTr="2B91AEFB">
        <w:trPr>
          <w:trHeight w:val="718"/>
        </w:trPr>
        <w:tc>
          <w:tcPr>
            <w:tcW w:w="1975" w:type="dxa"/>
          </w:tcPr>
          <w:p w14:paraId="2B85BCD7" w14:textId="4B85BE05" w:rsidR="001C689D" w:rsidRPr="00952680" w:rsidRDefault="001C689D" w:rsidP="001C689D">
            <w:pPr>
              <w:spacing w:after="120"/>
            </w:pPr>
            <w:r w:rsidRPr="00952680">
              <w:t>CCCFR grant outcomes</w:t>
            </w:r>
          </w:p>
        </w:tc>
        <w:tc>
          <w:tcPr>
            <w:tcW w:w="7617" w:type="dxa"/>
            <w:shd w:val="clear" w:color="auto" w:fill="auto"/>
            <w:tcMar>
              <w:top w:w="72" w:type="dxa"/>
              <w:left w:w="144" w:type="dxa"/>
              <w:bottom w:w="72" w:type="dxa"/>
              <w:right w:w="144" w:type="dxa"/>
            </w:tcMar>
          </w:tcPr>
          <w:p w14:paraId="64D797B6" w14:textId="77777777" w:rsidR="001C689D" w:rsidRPr="00952680" w:rsidRDefault="689ACC78" w:rsidP="001C689D">
            <w:pPr>
              <w:pStyle w:val="ListBullet"/>
            </w:pPr>
            <w:r>
              <w:t>To what extent does the grant ensure equitable access to affordable child care services for families, in particular for Aboriginal and Torres Strait Islander children and children who may be experiencing vulnerability and disadvantage?</w:t>
            </w:r>
          </w:p>
          <w:p w14:paraId="3DE40F69" w14:textId="2A2B837B" w:rsidR="001C689D" w:rsidRPr="00952680" w:rsidRDefault="689ACC78" w:rsidP="00185763">
            <w:pPr>
              <w:pStyle w:val="ListBullet"/>
              <w:ind w:left="357"/>
              <w:rPr>
                <w:b/>
              </w:rPr>
            </w:pPr>
            <w:r w:rsidRPr="2B91AEFB">
              <w:rPr>
                <w:b/>
                <w:bCs/>
              </w:rPr>
              <w:t xml:space="preserve">Addressed in Chapter </w:t>
            </w:r>
            <w:r w:rsidR="00E569F9" w:rsidRPr="2B91AEFB">
              <w:rPr>
                <w:b/>
                <w:bCs/>
              </w:rPr>
              <w:fldChar w:fldCharType="begin"/>
            </w:r>
            <w:r w:rsidR="00E569F9" w:rsidRPr="2B91AEFB">
              <w:rPr>
                <w:b/>
                <w:bCs/>
              </w:rPr>
              <w:instrText xml:space="preserve"> REF _Ref152862080 \r \h </w:instrText>
            </w:r>
            <w:r w:rsidR="00EA3085" w:rsidRPr="2B91AEFB">
              <w:rPr>
                <w:b/>
                <w:bCs/>
              </w:rPr>
              <w:instrText xml:space="preserve"> \* MERGEFORMAT </w:instrText>
            </w:r>
            <w:r w:rsidR="00E569F9" w:rsidRPr="2B91AEFB">
              <w:rPr>
                <w:b/>
                <w:bCs/>
              </w:rPr>
            </w:r>
            <w:r w:rsidR="00E569F9" w:rsidRPr="2B91AEFB">
              <w:rPr>
                <w:b/>
                <w:bCs/>
              </w:rPr>
              <w:fldChar w:fldCharType="separate"/>
            </w:r>
            <w:r w:rsidR="00D300D0">
              <w:rPr>
                <w:b/>
                <w:bCs/>
              </w:rPr>
              <w:t>5</w:t>
            </w:r>
            <w:r w:rsidR="00E569F9" w:rsidRPr="2B91AEFB">
              <w:rPr>
                <w:b/>
                <w:bCs/>
              </w:rPr>
              <w:fldChar w:fldCharType="end"/>
            </w:r>
          </w:p>
          <w:p w14:paraId="7130175E" w14:textId="77777777" w:rsidR="001C689D" w:rsidRPr="00952680" w:rsidRDefault="001C689D" w:rsidP="003438B3">
            <w:pPr>
              <w:pStyle w:val="ListBullet"/>
              <w:numPr>
                <w:ilvl w:val="0"/>
                <w:numId w:val="0"/>
              </w:numPr>
              <w:ind w:left="357"/>
            </w:pPr>
          </w:p>
          <w:p w14:paraId="5CFD6463" w14:textId="77777777" w:rsidR="001C689D" w:rsidRPr="00952680" w:rsidRDefault="689ACC78" w:rsidP="001C689D">
            <w:pPr>
              <w:pStyle w:val="ListBullet"/>
            </w:pPr>
            <w:r>
              <w:t>To what extent does the grant improve early childhood development outcomes for children who may be experiencing vulnerability and disadvantage, including through enabling factors of consistent attendance at ECEC services?</w:t>
            </w:r>
          </w:p>
          <w:p w14:paraId="000111E5" w14:textId="10ECC1ED" w:rsidR="001C689D" w:rsidRPr="00952680" w:rsidRDefault="689ACC78" w:rsidP="00185763">
            <w:pPr>
              <w:pStyle w:val="ListBullet"/>
              <w:ind w:left="357"/>
              <w:rPr>
                <w:b/>
              </w:rPr>
            </w:pPr>
            <w:r w:rsidRPr="2B91AEFB">
              <w:rPr>
                <w:b/>
                <w:bCs/>
              </w:rPr>
              <w:t xml:space="preserve">Addressed in Chapter </w:t>
            </w:r>
            <w:r w:rsidR="00EA3085" w:rsidRPr="2B91AEFB">
              <w:rPr>
                <w:b/>
                <w:bCs/>
              </w:rPr>
              <w:fldChar w:fldCharType="begin"/>
            </w:r>
            <w:r w:rsidR="00EA3085" w:rsidRPr="2B91AEFB">
              <w:rPr>
                <w:b/>
                <w:bCs/>
              </w:rPr>
              <w:instrText xml:space="preserve"> REF _Ref152862080 \r \h  \* MERGEFORMAT </w:instrText>
            </w:r>
            <w:r w:rsidR="00EA3085" w:rsidRPr="2B91AEFB">
              <w:rPr>
                <w:b/>
                <w:bCs/>
              </w:rPr>
            </w:r>
            <w:r w:rsidR="00EA3085" w:rsidRPr="2B91AEFB">
              <w:rPr>
                <w:b/>
                <w:bCs/>
              </w:rPr>
              <w:fldChar w:fldCharType="separate"/>
            </w:r>
            <w:r w:rsidR="00D300D0">
              <w:rPr>
                <w:b/>
                <w:bCs/>
              </w:rPr>
              <w:t>5</w:t>
            </w:r>
            <w:r w:rsidR="00EA3085" w:rsidRPr="2B91AEFB">
              <w:rPr>
                <w:b/>
                <w:bCs/>
              </w:rPr>
              <w:fldChar w:fldCharType="end"/>
            </w:r>
          </w:p>
          <w:p w14:paraId="44182F32" w14:textId="77777777" w:rsidR="001C689D" w:rsidRPr="00952680" w:rsidRDefault="001C689D" w:rsidP="003438B3">
            <w:pPr>
              <w:pStyle w:val="ListBullet"/>
              <w:numPr>
                <w:ilvl w:val="0"/>
                <w:numId w:val="0"/>
              </w:numPr>
              <w:ind w:left="357"/>
            </w:pPr>
          </w:p>
          <w:p w14:paraId="6ED7630F" w14:textId="45F65946" w:rsidR="001C689D" w:rsidRPr="00952680" w:rsidRDefault="689ACC78" w:rsidP="001C689D">
            <w:pPr>
              <w:pStyle w:val="ListBullet"/>
            </w:pPr>
            <w:r>
              <w:t xml:space="preserve">To what extent is workforce participation by families who may be experiencing vulnerability and disadvantage impacted by 1) ECEC provision and 2) CCCFR services? </w:t>
            </w:r>
          </w:p>
          <w:p w14:paraId="44AA52DB" w14:textId="397BC2B1" w:rsidR="001C689D" w:rsidRPr="00952680" w:rsidRDefault="689ACC78" w:rsidP="00185763">
            <w:pPr>
              <w:pStyle w:val="ListBullet"/>
              <w:spacing w:after="120"/>
              <w:ind w:left="357"/>
            </w:pPr>
            <w:r w:rsidRPr="2B91AEFB">
              <w:rPr>
                <w:b/>
                <w:bCs/>
              </w:rPr>
              <w:t xml:space="preserve">Addressed in Chapter </w:t>
            </w:r>
            <w:r w:rsidR="00EA3085" w:rsidRPr="2B91AEFB">
              <w:rPr>
                <w:b/>
                <w:bCs/>
              </w:rPr>
              <w:fldChar w:fldCharType="begin"/>
            </w:r>
            <w:r w:rsidR="00EA3085" w:rsidRPr="2B91AEFB">
              <w:rPr>
                <w:b/>
                <w:bCs/>
              </w:rPr>
              <w:instrText xml:space="preserve"> REF _Ref152862080 \r \h  \* MERGEFORMAT </w:instrText>
            </w:r>
            <w:r w:rsidR="00EA3085" w:rsidRPr="2B91AEFB">
              <w:rPr>
                <w:b/>
                <w:bCs/>
              </w:rPr>
            </w:r>
            <w:r w:rsidR="00EA3085" w:rsidRPr="2B91AEFB">
              <w:rPr>
                <w:b/>
                <w:bCs/>
              </w:rPr>
              <w:fldChar w:fldCharType="separate"/>
            </w:r>
            <w:r w:rsidR="00D300D0">
              <w:rPr>
                <w:b/>
                <w:bCs/>
              </w:rPr>
              <w:t>5</w:t>
            </w:r>
            <w:r w:rsidR="00EA3085" w:rsidRPr="2B91AEFB">
              <w:rPr>
                <w:b/>
                <w:bCs/>
              </w:rPr>
              <w:fldChar w:fldCharType="end"/>
            </w:r>
          </w:p>
        </w:tc>
      </w:tr>
    </w:tbl>
    <w:p w14:paraId="58897F87" w14:textId="0A323B6D" w:rsidR="00562237" w:rsidRPr="00B657B3" w:rsidRDefault="00562237" w:rsidP="00540E54">
      <w:pPr>
        <w:pStyle w:val="Heading3"/>
        <w:spacing w:before="170"/>
      </w:pPr>
      <w:r w:rsidRPr="00B657B3">
        <w:t xml:space="preserve">Domain 2: Policy and funding </w:t>
      </w:r>
      <w:r w:rsidR="00626526" w:rsidRPr="00B657B3">
        <w:t xml:space="preserve">design </w:t>
      </w:r>
    </w:p>
    <w:p w14:paraId="2DEE3496" w14:textId="5BDCD76E" w:rsidR="00562237" w:rsidRDefault="00562237" w:rsidP="00562237">
      <w:r>
        <w:t xml:space="preserve">This domain </w:t>
      </w:r>
      <w:r w:rsidR="00F71713">
        <w:t>examines</w:t>
      </w:r>
      <w:r w:rsidRPr="00741F0B">
        <w:t xml:space="preserve"> the extent to which the grant design support</w:t>
      </w:r>
      <w:r w:rsidR="00375F64">
        <w:t>s</w:t>
      </w:r>
      <w:r w:rsidRPr="00741F0B">
        <w:t xml:space="preserve"> the achievement of </w:t>
      </w:r>
      <w:r>
        <w:t>CCCFR grant objectives and outcomes</w:t>
      </w:r>
      <w:r w:rsidRPr="00741F0B">
        <w:t>.</w:t>
      </w:r>
    </w:p>
    <w:p w14:paraId="26643077" w14:textId="0F72A3D7" w:rsidR="00562237" w:rsidRPr="007923A9" w:rsidRDefault="00562237" w:rsidP="00562237">
      <w:r>
        <w:lastRenderedPageBreak/>
        <w:t xml:space="preserve">The lines of enquiry and key research questions within review domain 2 are outlined in </w:t>
      </w:r>
      <w:r w:rsidRPr="00400EFE">
        <w:fldChar w:fldCharType="begin"/>
      </w:r>
      <w:r w:rsidRPr="00400EFE">
        <w:instrText xml:space="preserve"> REF _Ref141118912 \r \h </w:instrText>
      </w:r>
      <w:r w:rsidR="004D4506" w:rsidRPr="00400EFE">
        <w:instrText xml:space="preserve"> \* MERGEFORMAT </w:instrText>
      </w:r>
      <w:r w:rsidRPr="00400EFE">
        <w:fldChar w:fldCharType="separate"/>
      </w:r>
      <w:r w:rsidR="00D300D0">
        <w:t>Table 3.2</w:t>
      </w:r>
      <w:r w:rsidRPr="00400EFE">
        <w:fldChar w:fldCharType="end"/>
      </w:r>
      <w:r>
        <w:t>.</w:t>
      </w:r>
    </w:p>
    <w:p w14:paraId="6CA41421" w14:textId="13DD570D" w:rsidR="00562237" w:rsidRPr="00A67BE2" w:rsidRDefault="00562237" w:rsidP="00071A9E">
      <w:pPr>
        <w:pStyle w:val="CaptionTable"/>
        <w:rPr>
          <w:sz w:val="18"/>
          <w:szCs w:val="18"/>
        </w:rPr>
      </w:pPr>
      <w:bookmarkStart w:id="177" w:name="_Ref141118912"/>
      <w:bookmarkStart w:id="178" w:name="_Toc151723908"/>
      <w:bookmarkStart w:id="179" w:name="_Toc158997958"/>
      <w:bookmarkStart w:id="180" w:name="_Toc167130704"/>
      <w:r w:rsidRPr="00A67BE2">
        <w:rPr>
          <w:sz w:val="18"/>
          <w:szCs w:val="18"/>
        </w:rPr>
        <w:t xml:space="preserve">: Policy </w:t>
      </w:r>
      <w:r w:rsidR="00C50374">
        <w:rPr>
          <w:sz w:val="18"/>
          <w:szCs w:val="18"/>
        </w:rPr>
        <w:t>d</w:t>
      </w:r>
      <w:r w:rsidRPr="00A67BE2">
        <w:rPr>
          <w:sz w:val="18"/>
          <w:szCs w:val="18"/>
        </w:rPr>
        <w:t>esign and funding instruments – Lines of enquiry and key research questions</w:t>
      </w:r>
      <w:bookmarkEnd w:id="177"/>
      <w:bookmarkEnd w:id="178"/>
      <w:bookmarkEnd w:id="179"/>
      <w:bookmarkEnd w:id="180"/>
    </w:p>
    <w:tbl>
      <w:tblPr>
        <w:tblW w:w="9592" w:type="dxa"/>
        <w:tblBorders>
          <w:top w:val="single" w:sz="8" w:space="0" w:color="046A38"/>
          <w:left w:val="single" w:sz="8" w:space="0" w:color="046A38"/>
          <w:bottom w:val="single" w:sz="4" w:space="0" w:color="auto"/>
          <w:right w:val="single" w:sz="8" w:space="0" w:color="046A38"/>
          <w:insideH w:val="single" w:sz="8" w:space="0" w:color="046A38"/>
          <w:insideV w:val="single" w:sz="8" w:space="0" w:color="046A38"/>
        </w:tblBorders>
        <w:tblCellMar>
          <w:top w:w="113" w:type="dxa"/>
          <w:left w:w="113" w:type="dxa"/>
          <w:bottom w:w="113" w:type="dxa"/>
          <w:right w:w="113" w:type="dxa"/>
        </w:tblCellMar>
        <w:tblLook w:val="0420" w:firstRow="1" w:lastRow="0" w:firstColumn="0" w:lastColumn="0" w:noHBand="0" w:noVBand="1"/>
      </w:tblPr>
      <w:tblGrid>
        <w:gridCol w:w="1975"/>
        <w:gridCol w:w="7617"/>
      </w:tblGrid>
      <w:tr w:rsidR="00562237" w:rsidRPr="00A67BE2" w14:paraId="3FF8296C" w14:textId="77777777" w:rsidTr="2B91AEFB">
        <w:trPr>
          <w:trHeight w:val="303"/>
        </w:trPr>
        <w:tc>
          <w:tcPr>
            <w:tcW w:w="1975" w:type="dxa"/>
            <w:shd w:val="clear" w:color="auto" w:fill="046A38" w:themeFill="accent2"/>
          </w:tcPr>
          <w:p w14:paraId="6DA51A17" w14:textId="77777777" w:rsidR="00562237" w:rsidRPr="00A67BE2" w:rsidRDefault="00562237">
            <w:pPr>
              <w:jc w:val="center"/>
              <w:rPr>
                <w:b/>
                <w:bCs/>
                <w:color w:val="FFFFFF" w:themeColor="background1"/>
              </w:rPr>
            </w:pPr>
            <w:r w:rsidRPr="00A67BE2">
              <w:rPr>
                <w:b/>
                <w:bCs/>
                <w:color w:val="FFFFFF" w:themeColor="background1"/>
              </w:rPr>
              <w:t>Lines of enquiry</w:t>
            </w:r>
          </w:p>
        </w:tc>
        <w:tc>
          <w:tcPr>
            <w:tcW w:w="7617" w:type="dxa"/>
            <w:shd w:val="clear" w:color="auto" w:fill="046A38" w:themeFill="accent2"/>
            <w:tcMar>
              <w:top w:w="72" w:type="dxa"/>
              <w:left w:w="144" w:type="dxa"/>
              <w:bottom w:w="72" w:type="dxa"/>
              <w:right w:w="144" w:type="dxa"/>
            </w:tcMar>
            <w:hideMark/>
          </w:tcPr>
          <w:p w14:paraId="71E6D7F8" w14:textId="77777777" w:rsidR="00562237" w:rsidRPr="00A67BE2" w:rsidRDefault="00562237">
            <w:pPr>
              <w:jc w:val="center"/>
              <w:rPr>
                <w:b/>
                <w:bCs/>
                <w:color w:val="FFFFFF" w:themeColor="background1"/>
              </w:rPr>
            </w:pPr>
            <w:r w:rsidRPr="00A67BE2">
              <w:rPr>
                <w:b/>
                <w:bCs/>
                <w:color w:val="FFFFFF" w:themeColor="background1"/>
              </w:rPr>
              <w:t>Key research questions</w:t>
            </w:r>
          </w:p>
        </w:tc>
      </w:tr>
      <w:tr w:rsidR="00562237" w:rsidRPr="00A67BE2" w14:paraId="5D2FD48B" w14:textId="77777777" w:rsidTr="2B91AEFB">
        <w:trPr>
          <w:trHeight w:val="945"/>
        </w:trPr>
        <w:tc>
          <w:tcPr>
            <w:tcW w:w="1975" w:type="dxa"/>
          </w:tcPr>
          <w:p w14:paraId="2E59F677" w14:textId="5B4A018D" w:rsidR="00562237" w:rsidRPr="00A67BE2" w:rsidRDefault="005C505D">
            <w:r>
              <w:rPr>
                <w:rFonts w:asciiTheme="minorHAnsi" w:eastAsiaTheme="minorEastAsia"/>
                <w:color w:val="000000" w:themeColor="text1"/>
                <w:kern w:val="24"/>
              </w:rPr>
              <w:t xml:space="preserve">Efficacy </w:t>
            </w:r>
            <w:r w:rsidR="00F856AA">
              <w:rPr>
                <w:rFonts w:asciiTheme="minorHAnsi" w:eastAsiaTheme="minorEastAsia"/>
                <w:color w:val="000000" w:themeColor="text1"/>
                <w:kern w:val="24"/>
              </w:rPr>
              <w:t>of current funding design in supporting outcomes</w:t>
            </w:r>
          </w:p>
        </w:tc>
        <w:tc>
          <w:tcPr>
            <w:tcW w:w="7617" w:type="dxa"/>
            <w:shd w:val="clear" w:color="auto" w:fill="auto"/>
            <w:tcMar>
              <w:top w:w="72" w:type="dxa"/>
              <w:left w:w="144" w:type="dxa"/>
              <w:bottom w:w="72" w:type="dxa"/>
              <w:right w:w="144" w:type="dxa"/>
            </w:tcMar>
          </w:tcPr>
          <w:p w14:paraId="2D13DDEE" w14:textId="77777777" w:rsidR="0030223E" w:rsidRDefault="00562237" w:rsidP="002F0C37">
            <w:pPr>
              <w:pStyle w:val="ListBullet"/>
              <w:spacing w:after="120"/>
            </w:pPr>
            <w:r>
              <w:t>How effectively does the current grant design align with the intended outcomes of the CCCFR grant?</w:t>
            </w:r>
          </w:p>
          <w:p w14:paraId="34F7219A" w14:textId="05258603" w:rsidR="0030223E" w:rsidRPr="0030223E" w:rsidRDefault="60695F2B" w:rsidP="00400EFE">
            <w:pPr>
              <w:pStyle w:val="ListBullet"/>
              <w:spacing w:after="120"/>
              <w:ind w:left="357"/>
            </w:pPr>
            <w:r w:rsidRPr="008E3F39">
              <w:rPr>
                <w:b/>
                <w:bCs/>
              </w:rPr>
              <w:t xml:space="preserve">Addressed in Chapter </w:t>
            </w:r>
            <w:r w:rsidR="000937A8">
              <w:rPr>
                <w:b/>
                <w:bCs/>
              </w:rPr>
              <w:fldChar w:fldCharType="begin"/>
            </w:r>
            <w:r w:rsidR="000937A8">
              <w:rPr>
                <w:b/>
                <w:bCs/>
              </w:rPr>
              <w:instrText xml:space="preserve"> REF _Ref152873153 \r \h </w:instrText>
            </w:r>
            <w:r w:rsidR="000937A8">
              <w:rPr>
                <w:b/>
                <w:bCs/>
              </w:rPr>
            </w:r>
            <w:r w:rsidR="000937A8">
              <w:rPr>
                <w:b/>
                <w:bCs/>
              </w:rPr>
              <w:fldChar w:fldCharType="separate"/>
            </w:r>
            <w:r w:rsidR="00D300D0">
              <w:rPr>
                <w:b/>
                <w:bCs/>
              </w:rPr>
              <w:t>6</w:t>
            </w:r>
            <w:r w:rsidR="000937A8">
              <w:rPr>
                <w:b/>
                <w:bCs/>
              </w:rPr>
              <w:fldChar w:fldCharType="end"/>
            </w:r>
            <w:r w:rsidR="00BB2CB1">
              <w:rPr>
                <w:b/>
                <w:bCs/>
              </w:rPr>
              <w:br/>
            </w:r>
          </w:p>
          <w:p w14:paraId="38917670" w14:textId="77777777" w:rsidR="00562237" w:rsidRDefault="6588693A" w:rsidP="002F0C37">
            <w:pPr>
              <w:pStyle w:val="ListBullet"/>
              <w:spacing w:after="120"/>
            </w:pPr>
            <w:r>
              <w:t>Are there any gaps or inconsistencies in the current funding design mechanisms that result in barriers to achieving the intended grant outcomes?</w:t>
            </w:r>
          </w:p>
          <w:p w14:paraId="4C511217" w14:textId="1BC646C8" w:rsidR="00562237" w:rsidRPr="00A67BE2" w:rsidRDefault="60695F2B" w:rsidP="00400EFE">
            <w:pPr>
              <w:pStyle w:val="ListBullet"/>
              <w:spacing w:after="120"/>
              <w:ind w:left="357"/>
            </w:pPr>
            <w:r w:rsidRPr="008E3F39">
              <w:rPr>
                <w:b/>
                <w:bCs/>
              </w:rPr>
              <w:t xml:space="preserve">Addressed in Chapter </w:t>
            </w:r>
            <w:r w:rsidR="000937A8">
              <w:rPr>
                <w:b/>
                <w:bCs/>
              </w:rPr>
              <w:fldChar w:fldCharType="begin"/>
            </w:r>
            <w:r w:rsidR="000937A8">
              <w:rPr>
                <w:b/>
                <w:bCs/>
              </w:rPr>
              <w:instrText xml:space="preserve"> REF _Ref152873153 \r \h </w:instrText>
            </w:r>
            <w:r w:rsidR="000937A8">
              <w:rPr>
                <w:b/>
                <w:bCs/>
              </w:rPr>
            </w:r>
            <w:r w:rsidR="000937A8">
              <w:rPr>
                <w:b/>
                <w:bCs/>
              </w:rPr>
              <w:fldChar w:fldCharType="separate"/>
            </w:r>
            <w:r w:rsidR="00D300D0">
              <w:rPr>
                <w:b/>
                <w:bCs/>
              </w:rPr>
              <w:t>6</w:t>
            </w:r>
            <w:r w:rsidR="000937A8">
              <w:rPr>
                <w:b/>
                <w:bCs/>
              </w:rPr>
              <w:fldChar w:fldCharType="end"/>
            </w:r>
          </w:p>
        </w:tc>
      </w:tr>
      <w:tr w:rsidR="00562237" w:rsidRPr="00A67BE2" w14:paraId="221A961E" w14:textId="77777777" w:rsidTr="2B91AEFB">
        <w:trPr>
          <w:trHeight w:val="322"/>
        </w:trPr>
        <w:tc>
          <w:tcPr>
            <w:tcW w:w="1975" w:type="dxa"/>
          </w:tcPr>
          <w:p w14:paraId="0EF9D0AF" w14:textId="75986C59" w:rsidR="00562237" w:rsidRPr="00A67BE2" w:rsidRDefault="00754ADE">
            <w:r>
              <w:rPr>
                <w:rFonts w:asciiTheme="minorHAnsi" w:eastAsiaTheme="minorEastAsia"/>
                <w:color w:val="000000" w:themeColor="text1"/>
                <w:kern w:val="24"/>
              </w:rPr>
              <w:t xml:space="preserve">Alignment to other relevant policy and </w:t>
            </w:r>
            <w:r w:rsidR="00EE4CAF">
              <w:rPr>
                <w:rFonts w:asciiTheme="minorHAnsi" w:eastAsiaTheme="minorEastAsia"/>
                <w:color w:val="000000" w:themeColor="text1"/>
                <w:kern w:val="24"/>
              </w:rPr>
              <w:t>grant settings</w:t>
            </w:r>
          </w:p>
        </w:tc>
        <w:tc>
          <w:tcPr>
            <w:tcW w:w="7617" w:type="dxa"/>
            <w:shd w:val="clear" w:color="auto" w:fill="auto"/>
            <w:tcMar>
              <w:top w:w="72" w:type="dxa"/>
              <w:left w:w="144" w:type="dxa"/>
              <w:bottom w:w="72" w:type="dxa"/>
              <w:right w:w="144" w:type="dxa"/>
            </w:tcMar>
          </w:tcPr>
          <w:p w14:paraId="080B65A8" w14:textId="77777777" w:rsidR="00562237" w:rsidRDefault="00562237" w:rsidP="002F0C37">
            <w:pPr>
              <w:pStyle w:val="ListBullet"/>
              <w:spacing w:after="120"/>
            </w:pPr>
            <w:r>
              <w:t>To what extent does this funding approach align to experiences in other relevant policy and grant settings, including evidence captured from research and comparative grants abroad?</w:t>
            </w:r>
          </w:p>
          <w:p w14:paraId="20C78A8A" w14:textId="39AED970" w:rsidR="00562237" w:rsidRPr="00A67BE2" w:rsidRDefault="60695F2B" w:rsidP="00400EFE">
            <w:pPr>
              <w:pStyle w:val="ListBullet"/>
              <w:spacing w:after="120"/>
              <w:ind w:left="357"/>
            </w:pPr>
            <w:r w:rsidRPr="008E3F39">
              <w:rPr>
                <w:b/>
                <w:bCs/>
              </w:rPr>
              <w:t xml:space="preserve">Addressed in Chapter </w:t>
            </w:r>
            <w:r w:rsidR="000937A8">
              <w:rPr>
                <w:b/>
                <w:bCs/>
              </w:rPr>
              <w:fldChar w:fldCharType="begin"/>
            </w:r>
            <w:r w:rsidR="000937A8">
              <w:rPr>
                <w:b/>
                <w:bCs/>
              </w:rPr>
              <w:instrText xml:space="preserve"> REF _Ref152873153 \r \h </w:instrText>
            </w:r>
            <w:r w:rsidR="000937A8">
              <w:rPr>
                <w:b/>
                <w:bCs/>
              </w:rPr>
            </w:r>
            <w:r w:rsidR="000937A8">
              <w:rPr>
                <w:b/>
                <w:bCs/>
              </w:rPr>
              <w:fldChar w:fldCharType="separate"/>
            </w:r>
            <w:r w:rsidR="00D300D0">
              <w:rPr>
                <w:b/>
                <w:bCs/>
              </w:rPr>
              <w:t>6</w:t>
            </w:r>
            <w:r w:rsidR="000937A8">
              <w:rPr>
                <w:b/>
                <w:bCs/>
              </w:rPr>
              <w:fldChar w:fldCharType="end"/>
            </w:r>
          </w:p>
        </w:tc>
      </w:tr>
      <w:tr w:rsidR="00F93F1A" w:rsidRPr="00A67BE2" w14:paraId="31D8378B" w14:textId="77777777" w:rsidTr="2B91AEFB">
        <w:trPr>
          <w:trHeight w:val="128"/>
        </w:trPr>
        <w:tc>
          <w:tcPr>
            <w:tcW w:w="1975" w:type="dxa"/>
          </w:tcPr>
          <w:p w14:paraId="523669BF" w14:textId="3B5F335A" w:rsidR="00F93F1A" w:rsidRPr="00A67BE2" w:rsidRDefault="00EE4CAF" w:rsidP="00F93F1A">
            <w:pPr>
              <w:rPr>
                <w:rFonts w:asciiTheme="minorHAnsi" w:eastAsiaTheme="minorEastAsia"/>
                <w:color w:val="000000" w:themeColor="text1"/>
                <w:kern w:val="24"/>
              </w:rPr>
            </w:pPr>
            <w:r>
              <w:t>Alternative approaches to funding</w:t>
            </w:r>
          </w:p>
        </w:tc>
        <w:tc>
          <w:tcPr>
            <w:tcW w:w="7617" w:type="dxa"/>
            <w:shd w:val="clear" w:color="auto" w:fill="auto"/>
            <w:tcMar>
              <w:top w:w="72" w:type="dxa"/>
              <w:left w:w="144" w:type="dxa"/>
              <w:bottom w:w="72" w:type="dxa"/>
              <w:right w:w="144" w:type="dxa"/>
            </w:tcMar>
          </w:tcPr>
          <w:p w14:paraId="528DDA1B" w14:textId="77777777" w:rsidR="00F93F1A" w:rsidRDefault="635859A3" w:rsidP="002F0C37">
            <w:pPr>
              <w:pStyle w:val="ListBullet"/>
              <w:spacing w:after="120"/>
            </w:pPr>
            <w:r>
              <w:t>Would alternative funding approaches be better suited to achieve the intended outcomes of the CCCFR grant?</w:t>
            </w:r>
          </w:p>
          <w:p w14:paraId="545DD104" w14:textId="21829252" w:rsidR="00B00C9A" w:rsidRDefault="60695F2B" w:rsidP="00400EFE">
            <w:pPr>
              <w:pStyle w:val="ListBullet"/>
              <w:spacing w:after="120"/>
              <w:ind w:left="357"/>
            </w:pPr>
            <w:r w:rsidRPr="008E3F39">
              <w:rPr>
                <w:b/>
                <w:bCs/>
              </w:rPr>
              <w:t xml:space="preserve">Addressed in Chapter </w:t>
            </w:r>
            <w:r w:rsidR="000937A8">
              <w:rPr>
                <w:b/>
                <w:bCs/>
              </w:rPr>
              <w:fldChar w:fldCharType="begin"/>
            </w:r>
            <w:r w:rsidR="000937A8">
              <w:rPr>
                <w:b/>
                <w:bCs/>
              </w:rPr>
              <w:instrText xml:space="preserve"> REF _Ref152873153 \r \h </w:instrText>
            </w:r>
            <w:r w:rsidR="000937A8">
              <w:rPr>
                <w:b/>
                <w:bCs/>
              </w:rPr>
            </w:r>
            <w:r w:rsidR="000937A8">
              <w:rPr>
                <w:b/>
                <w:bCs/>
              </w:rPr>
              <w:fldChar w:fldCharType="separate"/>
            </w:r>
            <w:r w:rsidR="00D300D0">
              <w:rPr>
                <w:b/>
                <w:bCs/>
              </w:rPr>
              <w:t>6</w:t>
            </w:r>
            <w:r w:rsidR="000937A8">
              <w:rPr>
                <w:b/>
                <w:bCs/>
              </w:rPr>
              <w:fldChar w:fldCharType="end"/>
            </w:r>
            <w:r w:rsidR="00467364">
              <w:rPr>
                <w:b/>
                <w:bCs/>
              </w:rPr>
              <w:t xml:space="preserve"> and the analysis contained in the </w:t>
            </w:r>
            <w:r w:rsidR="00EB0248">
              <w:rPr>
                <w:rStyle w:val="ui-provider"/>
              </w:rPr>
              <w:t>ECEC delivery costing tool</w:t>
            </w:r>
            <w:r w:rsidR="00BB2CB1">
              <w:rPr>
                <w:b/>
                <w:bCs/>
              </w:rPr>
              <w:br/>
            </w:r>
          </w:p>
          <w:p w14:paraId="06889D0B" w14:textId="77777777" w:rsidR="00E07B95" w:rsidRDefault="476679A2" w:rsidP="002F0C37">
            <w:pPr>
              <w:pStyle w:val="ListBullet"/>
              <w:spacing w:after="120"/>
            </w:pPr>
            <w:r>
              <w:t>To what extent could funding be revised to improve effectiveness and efficiency?</w:t>
            </w:r>
          </w:p>
          <w:p w14:paraId="0C83A832" w14:textId="509C589C" w:rsidR="00E07B95" w:rsidRPr="00A67BE2" w:rsidRDefault="60695F2B" w:rsidP="00400EFE">
            <w:pPr>
              <w:pStyle w:val="ListBullet"/>
              <w:spacing w:after="120"/>
              <w:ind w:left="357"/>
            </w:pPr>
            <w:r w:rsidRPr="008E3F39">
              <w:rPr>
                <w:b/>
                <w:bCs/>
              </w:rPr>
              <w:t xml:space="preserve">Addressed in Chapter </w:t>
            </w:r>
            <w:r w:rsidR="000937A8">
              <w:rPr>
                <w:b/>
                <w:bCs/>
              </w:rPr>
              <w:fldChar w:fldCharType="begin"/>
            </w:r>
            <w:r w:rsidR="000937A8">
              <w:rPr>
                <w:b/>
                <w:bCs/>
              </w:rPr>
              <w:instrText xml:space="preserve"> REF _Ref152873153 \r \h </w:instrText>
            </w:r>
            <w:r w:rsidR="000937A8">
              <w:rPr>
                <w:b/>
                <w:bCs/>
              </w:rPr>
            </w:r>
            <w:r w:rsidR="000937A8">
              <w:rPr>
                <w:b/>
                <w:bCs/>
              </w:rPr>
              <w:fldChar w:fldCharType="separate"/>
            </w:r>
            <w:r w:rsidR="00D300D0">
              <w:rPr>
                <w:b/>
                <w:bCs/>
              </w:rPr>
              <w:t>6</w:t>
            </w:r>
            <w:r w:rsidR="000937A8">
              <w:rPr>
                <w:b/>
                <w:bCs/>
              </w:rPr>
              <w:fldChar w:fldCharType="end"/>
            </w:r>
            <w:r w:rsidR="00467364">
              <w:rPr>
                <w:b/>
                <w:bCs/>
              </w:rPr>
              <w:t xml:space="preserve"> and the analysis contained in the </w:t>
            </w:r>
            <w:r w:rsidR="00EB0248">
              <w:rPr>
                <w:rStyle w:val="ui-provider"/>
              </w:rPr>
              <w:t>ECEC delivery costing tool</w:t>
            </w:r>
          </w:p>
        </w:tc>
      </w:tr>
    </w:tbl>
    <w:p w14:paraId="5324395A" w14:textId="77777777" w:rsidR="00562237" w:rsidRPr="00B56216" w:rsidRDefault="00562237" w:rsidP="004C7AF1">
      <w:pPr>
        <w:pStyle w:val="Heading3"/>
        <w:spacing w:before="170"/>
      </w:pPr>
      <w:r w:rsidRPr="00B56216">
        <w:t>Domain 3: Administration, governance and compliance</w:t>
      </w:r>
    </w:p>
    <w:p w14:paraId="2FB90FBB" w14:textId="77777777" w:rsidR="00562237" w:rsidRPr="00B56216" w:rsidRDefault="00562237" w:rsidP="00562237">
      <w:r w:rsidRPr="00B56216">
        <w:t>This domain analyses how the grant is governed and administered to support the achievement of CCCFR grant objectives and outcomes.</w:t>
      </w:r>
    </w:p>
    <w:p w14:paraId="699D5132" w14:textId="388A52A8" w:rsidR="00562237" w:rsidRPr="007923A9" w:rsidRDefault="00562237" w:rsidP="00562237">
      <w:pPr>
        <w:spacing w:before="170"/>
      </w:pPr>
      <w:r>
        <w:t xml:space="preserve">The lines of enquiry and key research questions within review domain 3 are outlined in </w:t>
      </w:r>
      <w:r w:rsidRPr="00400EFE" w:rsidDel="00F21D96">
        <w:fldChar w:fldCharType="begin"/>
      </w:r>
      <w:r w:rsidRPr="00400EFE" w:rsidDel="00F21D96">
        <w:instrText xml:space="preserve"> REF _Ref</w:instrText>
      </w:r>
      <w:r w:rsidRPr="00400EFE">
        <w:instrText>141118994</w:instrText>
      </w:r>
      <w:r w:rsidRPr="00400EFE" w:rsidDel="00F21D96">
        <w:instrText xml:space="preserve"> \r \h </w:instrText>
      </w:r>
      <w:r w:rsidR="004D4506" w:rsidRPr="00400EFE">
        <w:instrText xml:space="preserve"> \* MERGEFORMAT </w:instrText>
      </w:r>
      <w:r w:rsidRPr="00400EFE" w:rsidDel="00F21D96">
        <w:fldChar w:fldCharType="separate"/>
      </w:r>
      <w:r w:rsidR="00D300D0">
        <w:t>Table 3.3</w:t>
      </w:r>
      <w:r w:rsidRPr="00400EFE" w:rsidDel="00F21D96">
        <w:fldChar w:fldCharType="end"/>
      </w:r>
      <w:r>
        <w:t>.</w:t>
      </w:r>
    </w:p>
    <w:p w14:paraId="5340EA51" w14:textId="77777777" w:rsidR="00562237" w:rsidRPr="00A67BE2" w:rsidRDefault="00562237" w:rsidP="00071A9E">
      <w:pPr>
        <w:pStyle w:val="CaptionTable"/>
        <w:rPr>
          <w:sz w:val="18"/>
          <w:szCs w:val="18"/>
        </w:rPr>
      </w:pPr>
      <w:bookmarkStart w:id="181" w:name="_Ref141118994"/>
      <w:bookmarkStart w:id="182" w:name="_Toc151723909"/>
      <w:bookmarkStart w:id="183" w:name="_Toc158997959"/>
      <w:bookmarkStart w:id="184" w:name="_Toc167130705"/>
      <w:r w:rsidRPr="00A67BE2">
        <w:rPr>
          <w:sz w:val="18"/>
          <w:szCs w:val="18"/>
        </w:rPr>
        <w:t>: Administration, governance and compliance – Lines of enquiry and key research questions</w:t>
      </w:r>
      <w:bookmarkEnd w:id="181"/>
      <w:bookmarkEnd w:id="182"/>
      <w:bookmarkEnd w:id="183"/>
      <w:bookmarkEnd w:id="184"/>
    </w:p>
    <w:tbl>
      <w:tblPr>
        <w:tblW w:w="9592" w:type="dxa"/>
        <w:tblBorders>
          <w:top w:val="single" w:sz="8" w:space="0" w:color="046A38"/>
          <w:left w:val="single" w:sz="8" w:space="0" w:color="046A38"/>
          <w:bottom w:val="single" w:sz="4" w:space="0" w:color="auto"/>
          <w:right w:val="single" w:sz="8" w:space="0" w:color="046A38"/>
          <w:insideH w:val="single" w:sz="8" w:space="0" w:color="046A38"/>
          <w:insideV w:val="single" w:sz="8" w:space="0" w:color="046A38"/>
        </w:tblBorders>
        <w:tblCellMar>
          <w:top w:w="113" w:type="dxa"/>
          <w:left w:w="113" w:type="dxa"/>
          <w:bottom w:w="113" w:type="dxa"/>
          <w:right w:w="113" w:type="dxa"/>
        </w:tblCellMar>
        <w:tblLook w:val="0420" w:firstRow="1" w:lastRow="0" w:firstColumn="0" w:lastColumn="0" w:noHBand="0" w:noVBand="1"/>
      </w:tblPr>
      <w:tblGrid>
        <w:gridCol w:w="1975"/>
        <w:gridCol w:w="7617"/>
      </w:tblGrid>
      <w:tr w:rsidR="00562237" w:rsidRPr="00A67BE2" w14:paraId="66A0E1AC" w14:textId="77777777" w:rsidTr="2B91AEFB">
        <w:trPr>
          <w:trHeight w:val="303"/>
          <w:tblHeader/>
        </w:trPr>
        <w:tc>
          <w:tcPr>
            <w:tcW w:w="1975" w:type="dxa"/>
            <w:shd w:val="clear" w:color="auto" w:fill="046A38" w:themeFill="accent2"/>
          </w:tcPr>
          <w:p w14:paraId="7C6A08A1" w14:textId="77777777" w:rsidR="00562237" w:rsidRPr="00A67BE2" w:rsidRDefault="00562237">
            <w:pPr>
              <w:jc w:val="center"/>
              <w:rPr>
                <w:b/>
                <w:bCs/>
                <w:color w:val="FFFFFF" w:themeColor="background1"/>
              </w:rPr>
            </w:pPr>
            <w:r w:rsidRPr="00A67BE2">
              <w:rPr>
                <w:b/>
                <w:bCs/>
                <w:color w:val="FFFFFF" w:themeColor="background1"/>
              </w:rPr>
              <w:t>Lines of enquiry</w:t>
            </w:r>
          </w:p>
        </w:tc>
        <w:tc>
          <w:tcPr>
            <w:tcW w:w="7617" w:type="dxa"/>
            <w:shd w:val="clear" w:color="auto" w:fill="046A38" w:themeFill="accent2"/>
            <w:tcMar>
              <w:top w:w="72" w:type="dxa"/>
              <w:left w:w="144" w:type="dxa"/>
              <w:bottom w:w="72" w:type="dxa"/>
              <w:right w:w="144" w:type="dxa"/>
            </w:tcMar>
            <w:hideMark/>
          </w:tcPr>
          <w:p w14:paraId="0AD9F536" w14:textId="77777777" w:rsidR="00562237" w:rsidRPr="00A67BE2" w:rsidRDefault="00562237">
            <w:pPr>
              <w:jc w:val="center"/>
              <w:rPr>
                <w:b/>
                <w:bCs/>
                <w:color w:val="FFFFFF" w:themeColor="background1"/>
              </w:rPr>
            </w:pPr>
            <w:r w:rsidRPr="00A67BE2">
              <w:rPr>
                <w:b/>
                <w:bCs/>
                <w:color w:val="FFFFFF" w:themeColor="background1"/>
              </w:rPr>
              <w:t>Key research questions</w:t>
            </w:r>
          </w:p>
        </w:tc>
      </w:tr>
      <w:tr w:rsidR="00562237" w:rsidRPr="00A67BE2" w14:paraId="5FAAE090" w14:textId="77777777" w:rsidTr="2B91AEFB">
        <w:trPr>
          <w:trHeight w:val="724"/>
        </w:trPr>
        <w:tc>
          <w:tcPr>
            <w:tcW w:w="1975" w:type="dxa"/>
          </w:tcPr>
          <w:p w14:paraId="44FE6125" w14:textId="2B520711" w:rsidR="00562237" w:rsidRPr="00A67BE2" w:rsidRDefault="004C7AF1">
            <w:r>
              <w:rPr>
                <w:rFonts w:cs="Arial"/>
                <w:color w:val="000000" w:themeColor="text1"/>
                <w:kern w:val="24"/>
              </w:rPr>
              <w:t>CCCFR g</w:t>
            </w:r>
            <w:r w:rsidR="00562237" w:rsidRPr="00A67BE2">
              <w:rPr>
                <w:rFonts w:cs="Arial"/>
                <w:color w:val="000000" w:themeColor="text1"/>
                <w:kern w:val="24"/>
              </w:rPr>
              <w:t>rant administration </w:t>
            </w:r>
            <w:r>
              <w:rPr>
                <w:rFonts w:cs="Arial"/>
                <w:color w:val="000000" w:themeColor="text1"/>
                <w:kern w:val="24"/>
              </w:rPr>
              <w:t>and governance</w:t>
            </w:r>
          </w:p>
        </w:tc>
        <w:tc>
          <w:tcPr>
            <w:tcW w:w="7617" w:type="dxa"/>
            <w:shd w:val="clear" w:color="auto" w:fill="auto"/>
            <w:tcMar>
              <w:top w:w="72" w:type="dxa"/>
              <w:left w:w="144" w:type="dxa"/>
              <w:bottom w:w="72" w:type="dxa"/>
              <w:right w:w="144" w:type="dxa"/>
            </w:tcMar>
          </w:tcPr>
          <w:p w14:paraId="6DE1A43A" w14:textId="77777777" w:rsidR="00562237" w:rsidRPr="00A67BE2" w:rsidRDefault="00562237" w:rsidP="004C7AF1">
            <w:pPr>
              <w:pStyle w:val="ListBullet"/>
            </w:pPr>
            <w:r>
              <w:t>How is the CCCFR grant governed and administered in its current format?</w:t>
            </w:r>
          </w:p>
          <w:p w14:paraId="3F4B2B3E" w14:textId="4F0F40C9" w:rsidR="002720B3" w:rsidRDefault="4F143693" w:rsidP="00400EFE">
            <w:pPr>
              <w:pStyle w:val="ListBullet"/>
              <w:ind w:left="357"/>
            </w:pPr>
            <w:r w:rsidRPr="008E3F39">
              <w:rPr>
                <w:b/>
                <w:bCs/>
              </w:rPr>
              <w:t xml:space="preserve">Addressed in Chapter </w:t>
            </w:r>
            <w:r w:rsidR="002720B3">
              <w:rPr>
                <w:b/>
                <w:bCs/>
              </w:rPr>
              <w:fldChar w:fldCharType="begin"/>
            </w:r>
            <w:r w:rsidR="002720B3">
              <w:rPr>
                <w:b/>
                <w:bCs/>
              </w:rPr>
              <w:instrText xml:space="preserve"> REF _Ref152873464 \r \h </w:instrText>
            </w:r>
            <w:r w:rsidR="002720B3">
              <w:rPr>
                <w:b/>
                <w:bCs/>
              </w:rPr>
            </w:r>
            <w:r w:rsidR="002720B3">
              <w:rPr>
                <w:b/>
                <w:bCs/>
              </w:rPr>
              <w:fldChar w:fldCharType="separate"/>
            </w:r>
            <w:r w:rsidR="00D300D0">
              <w:rPr>
                <w:b/>
                <w:bCs/>
              </w:rPr>
              <w:t>7</w:t>
            </w:r>
            <w:r w:rsidR="002720B3">
              <w:rPr>
                <w:b/>
                <w:bCs/>
              </w:rPr>
              <w:fldChar w:fldCharType="end"/>
            </w:r>
          </w:p>
          <w:p w14:paraId="4BE585CF" w14:textId="77777777" w:rsidR="002720B3" w:rsidRPr="00A67BE2" w:rsidRDefault="002720B3" w:rsidP="003438B3">
            <w:pPr>
              <w:pStyle w:val="ListBullet"/>
              <w:numPr>
                <w:ilvl w:val="0"/>
                <w:numId w:val="0"/>
              </w:numPr>
              <w:ind w:left="357"/>
            </w:pPr>
          </w:p>
          <w:p w14:paraId="6FC5EA69" w14:textId="77777777" w:rsidR="00562237" w:rsidRDefault="00562237" w:rsidP="004C7AF1">
            <w:pPr>
              <w:pStyle w:val="ListBullet"/>
            </w:pPr>
            <w:r>
              <w:t>Are clear roles and responsibilities assigned to various stakeholders involved in CCCFR grant administration and governance?</w:t>
            </w:r>
          </w:p>
          <w:p w14:paraId="04663278" w14:textId="706E5A9C" w:rsidR="00562237" w:rsidRPr="00A67BE2" w:rsidRDefault="4F143693" w:rsidP="00400EFE">
            <w:pPr>
              <w:pStyle w:val="ListBullet"/>
              <w:ind w:left="357"/>
            </w:pPr>
            <w:r w:rsidRPr="008E3F39">
              <w:rPr>
                <w:b/>
                <w:bCs/>
              </w:rPr>
              <w:t xml:space="preserve">Addressed in Chapter </w:t>
            </w:r>
            <w:r w:rsidR="002720B3">
              <w:rPr>
                <w:b/>
                <w:bCs/>
              </w:rPr>
              <w:fldChar w:fldCharType="begin"/>
            </w:r>
            <w:r w:rsidR="002720B3">
              <w:rPr>
                <w:b/>
                <w:bCs/>
              </w:rPr>
              <w:instrText xml:space="preserve"> REF _Ref152873464 \r \h </w:instrText>
            </w:r>
            <w:r w:rsidR="002720B3">
              <w:rPr>
                <w:b/>
                <w:bCs/>
              </w:rPr>
            </w:r>
            <w:r w:rsidR="002720B3">
              <w:rPr>
                <w:b/>
                <w:bCs/>
              </w:rPr>
              <w:fldChar w:fldCharType="separate"/>
            </w:r>
            <w:r w:rsidR="00D300D0">
              <w:rPr>
                <w:b/>
                <w:bCs/>
              </w:rPr>
              <w:t>7</w:t>
            </w:r>
            <w:r w:rsidR="002720B3">
              <w:rPr>
                <w:b/>
                <w:bCs/>
              </w:rPr>
              <w:fldChar w:fldCharType="end"/>
            </w:r>
          </w:p>
        </w:tc>
      </w:tr>
      <w:tr w:rsidR="00562237" w:rsidRPr="00A67BE2" w14:paraId="39BEDD3B" w14:textId="77777777" w:rsidTr="2B91AEFB">
        <w:trPr>
          <w:trHeight w:val="344"/>
        </w:trPr>
        <w:tc>
          <w:tcPr>
            <w:tcW w:w="1975" w:type="dxa"/>
          </w:tcPr>
          <w:p w14:paraId="3975CC47" w14:textId="75B95601" w:rsidR="00562237" w:rsidRPr="00A67BE2" w:rsidRDefault="00E60284">
            <w:r>
              <w:rPr>
                <w:rFonts w:cs="Arial"/>
                <w:color w:val="000000" w:themeColor="text1"/>
                <w:kern w:val="24"/>
              </w:rPr>
              <w:t>CCCFR grant m</w:t>
            </w:r>
            <w:r w:rsidR="00562237" w:rsidRPr="00A67BE2">
              <w:rPr>
                <w:rFonts w:cs="Arial"/>
                <w:color w:val="000000" w:themeColor="text1"/>
                <w:kern w:val="24"/>
              </w:rPr>
              <w:t>onitoring and reporting</w:t>
            </w:r>
          </w:p>
        </w:tc>
        <w:tc>
          <w:tcPr>
            <w:tcW w:w="7617" w:type="dxa"/>
            <w:shd w:val="clear" w:color="auto" w:fill="auto"/>
            <w:tcMar>
              <w:top w:w="72" w:type="dxa"/>
              <w:left w:w="144" w:type="dxa"/>
              <w:bottom w:w="72" w:type="dxa"/>
              <w:right w:w="144" w:type="dxa"/>
            </w:tcMar>
          </w:tcPr>
          <w:p w14:paraId="4D0466A1" w14:textId="77777777" w:rsidR="00562237" w:rsidRDefault="00562237" w:rsidP="00E60284">
            <w:pPr>
              <w:pStyle w:val="ListBullet"/>
            </w:pPr>
            <w:r>
              <w:t>What are current monitoring and reporting processes to ensure compliance with CCCFR grant expectations?</w:t>
            </w:r>
          </w:p>
          <w:p w14:paraId="772AA312" w14:textId="3E1022EC" w:rsidR="00562237" w:rsidRPr="00A67BE2" w:rsidRDefault="3160D6FC" w:rsidP="00400EFE">
            <w:pPr>
              <w:pStyle w:val="ListBullet"/>
              <w:ind w:left="357"/>
            </w:pPr>
            <w:r w:rsidRPr="008E3F39">
              <w:rPr>
                <w:b/>
                <w:bCs/>
              </w:rPr>
              <w:t xml:space="preserve">Addressed in Chapter </w:t>
            </w:r>
            <w:r w:rsidR="003A28F5">
              <w:rPr>
                <w:b/>
                <w:bCs/>
              </w:rPr>
              <w:fldChar w:fldCharType="begin"/>
            </w:r>
            <w:r w:rsidR="003A28F5">
              <w:rPr>
                <w:b/>
                <w:bCs/>
              </w:rPr>
              <w:instrText xml:space="preserve"> REF _Ref152873464 \r \h </w:instrText>
            </w:r>
            <w:r w:rsidR="003A28F5">
              <w:rPr>
                <w:b/>
                <w:bCs/>
              </w:rPr>
            </w:r>
            <w:r w:rsidR="003A28F5">
              <w:rPr>
                <w:b/>
                <w:bCs/>
              </w:rPr>
              <w:fldChar w:fldCharType="separate"/>
            </w:r>
            <w:r w:rsidR="00D300D0">
              <w:rPr>
                <w:b/>
                <w:bCs/>
              </w:rPr>
              <w:t>7</w:t>
            </w:r>
            <w:r w:rsidR="003A28F5">
              <w:rPr>
                <w:b/>
                <w:bCs/>
              </w:rPr>
              <w:fldChar w:fldCharType="end"/>
            </w:r>
          </w:p>
        </w:tc>
      </w:tr>
      <w:tr w:rsidR="00562237" w:rsidRPr="00A67BE2" w14:paraId="29101632" w14:textId="77777777" w:rsidTr="2B91AEFB">
        <w:trPr>
          <w:trHeight w:val="344"/>
        </w:trPr>
        <w:tc>
          <w:tcPr>
            <w:tcW w:w="1975" w:type="dxa"/>
          </w:tcPr>
          <w:p w14:paraId="6A39E54A" w14:textId="6775D4BB" w:rsidR="00562237" w:rsidRPr="00A67BE2" w:rsidRDefault="00E60284">
            <w:r>
              <w:rPr>
                <w:rFonts w:cs="Arial"/>
                <w:color w:val="000000" w:themeColor="text1"/>
                <w:kern w:val="24"/>
              </w:rPr>
              <w:lastRenderedPageBreak/>
              <w:t>Service compliance with the NQF and FAL</w:t>
            </w:r>
          </w:p>
        </w:tc>
        <w:tc>
          <w:tcPr>
            <w:tcW w:w="7617" w:type="dxa"/>
            <w:shd w:val="clear" w:color="auto" w:fill="auto"/>
            <w:tcMar>
              <w:top w:w="72" w:type="dxa"/>
              <w:left w:w="144" w:type="dxa"/>
              <w:bottom w:w="72" w:type="dxa"/>
              <w:right w:w="144" w:type="dxa"/>
            </w:tcMar>
          </w:tcPr>
          <w:p w14:paraId="60B270A1" w14:textId="0F30E54B" w:rsidR="00562237" w:rsidRDefault="00562237" w:rsidP="002720B3">
            <w:pPr>
              <w:pStyle w:val="ListBullet"/>
            </w:pPr>
            <w:r>
              <w:t>What are the expected barriers, if any, for CCCFR services to enable regulatory compliance with the National Quality Framework (NQF) and to administer the CCS under the Family Assistance Law (FAL)?</w:t>
            </w:r>
          </w:p>
          <w:p w14:paraId="0655EA74" w14:textId="24C3AF84" w:rsidR="00562237" w:rsidRPr="00A67BE2" w:rsidRDefault="215752B7" w:rsidP="00400EFE">
            <w:pPr>
              <w:pStyle w:val="ListBullet"/>
              <w:ind w:left="357"/>
            </w:pPr>
            <w:r w:rsidRPr="008E3F39">
              <w:rPr>
                <w:b/>
                <w:bCs/>
              </w:rPr>
              <w:t xml:space="preserve">Addressed in Chapter </w:t>
            </w:r>
            <w:r w:rsidR="00A23341">
              <w:rPr>
                <w:b/>
                <w:bCs/>
              </w:rPr>
              <w:fldChar w:fldCharType="begin"/>
            </w:r>
            <w:r w:rsidR="00A23341">
              <w:rPr>
                <w:b/>
                <w:bCs/>
              </w:rPr>
              <w:instrText xml:space="preserve"> REF _Ref152873464 \r \h </w:instrText>
            </w:r>
            <w:r w:rsidR="00A23341">
              <w:rPr>
                <w:b/>
                <w:bCs/>
              </w:rPr>
            </w:r>
            <w:r w:rsidR="00A23341">
              <w:rPr>
                <w:b/>
                <w:bCs/>
              </w:rPr>
              <w:fldChar w:fldCharType="separate"/>
            </w:r>
            <w:r w:rsidR="00D300D0">
              <w:rPr>
                <w:b/>
                <w:bCs/>
              </w:rPr>
              <w:t>7</w:t>
            </w:r>
            <w:r w:rsidR="00A23341">
              <w:rPr>
                <w:b/>
                <w:bCs/>
              </w:rPr>
              <w:fldChar w:fldCharType="end"/>
            </w:r>
          </w:p>
        </w:tc>
      </w:tr>
      <w:tr w:rsidR="00595024" w:rsidRPr="00A67BE2" w14:paraId="694280CE" w14:textId="77777777" w:rsidTr="2B91AEFB">
        <w:trPr>
          <w:trHeight w:val="870"/>
        </w:trPr>
        <w:tc>
          <w:tcPr>
            <w:tcW w:w="1975" w:type="dxa"/>
          </w:tcPr>
          <w:p w14:paraId="2CC985F1" w14:textId="6101A2F6" w:rsidR="00595024" w:rsidRDefault="00595024">
            <w:pPr>
              <w:rPr>
                <w:rFonts w:cs="Arial"/>
                <w:color w:val="000000" w:themeColor="text1"/>
                <w:kern w:val="24"/>
              </w:rPr>
            </w:pPr>
            <w:r>
              <w:rPr>
                <w:rFonts w:cs="Arial"/>
                <w:color w:val="000000" w:themeColor="text1"/>
                <w:kern w:val="24"/>
              </w:rPr>
              <w:t>Service compliance with the Minister’s Rules</w:t>
            </w:r>
          </w:p>
        </w:tc>
        <w:tc>
          <w:tcPr>
            <w:tcW w:w="7617" w:type="dxa"/>
            <w:shd w:val="clear" w:color="auto" w:fill="auto"/>
            <w:tcMar>
              <w:top w:w="72" w:type="dxa"/>
              <w:left w:w="144" w:type="dxa"/>
              <w:bottom w:w="72" w:type="dxa"/>
              <w:right w:w="144" w:type="dxa"/>
            </w:tcMar>
          </w:tcPr>
          <w:p w14:paraId="1EE814A1" w14:textId="77777777" w:rsidR="00595024" w:rsidRDefault="00595024" w:rsidP="002720B3">
            <w:pPr>
              <w:pStyle w:val="ListBullet"/>
            </w:pPr>
            <w:r>
              <w:t>To what extent are services receiving the CCCFR grant compliant with the Minister’s Rules?</w:t>
            </w:r>
          </w:p>
          <w:p w14:paraId="4A242F97" w14:textId="33C90CAC" w:rsidR="00595024" w:rsidRPr="00A67BE2" w:rsidRDefault="215752B7" w:rsidP="00400EFE">
            <w:pPr>
              <w:pStyle w:val="ListBullet"/>
              <w:ind w:left="357"/>
            </w:pPr>
            <w:r w:rsidRPr="008E3F39">
              <w:rPr>
                <w:b/>
                <w:bCs/>
              </w:rPr>
              <w:t xml:space="preserve">Addressed in Chapter </w:t>
            </w:r>
            <w:r w:rsidR="00A23341">
              <w:rPr>
                <w:b/>
                <w:bCs/>
              </w:rPr>
              <w:fldChar w:fldCharType="begin"/>
            </w:r>
            <w:r w:rsidR="00A23341">
              <w:rPr>
                <w:b/>
                <w:bCs/>
              </w:rPr>
              <w:instrText xml:space="preserve"> REF _Ref152873464 \r \h </w:instrText>
            </w:r>
            <w:r w:rsidR="00A23341">
              <w:rPr>
                <w:b/>
                <w:bCs/>
              </w:rPr>
            </w:r>
            <w:r w:rsidR="00A23341">
              <w:rPr>
                <w:b/>
                <w:bCs/>
              </w:rPr>
              <w:fldChar w:fldCharType="separate"/>
            </w:r>
            <w:r w:rsidR="00D300D0">
              <w:rPr>
                <w:b/>
                <w:bCs/>
              </w:rPr>
              <w:t>7</w:t>
            </w:r>
            <w:r w:rsidR="00A23341">
              <w:rPr>
                <w:b/>
                <w:bCs/>
              </w:rPr>
              <w:fldChar w:fldCharType="end"/>
            </w:r>
          </w:p>
        </w:tc>
      </w:tr>
      <w:tr w:rsidR="00562237" w:rsidRPr="00A67BE2" w14:paraId="56812DD5" w14:textId="77777777" w:rsidTr="2B91AEFB">
        <w:trPr>
          <w:trHeight w:val="98"/>
        </w:trPr>
        <w:tc>
          <w:tcPr>
            <w:tcW w:w="1975" w:type="dxa"/>
          </w:tcPr>
          <w:p w14:paraId="69303C86" w14:textId="006F881C" w:rsidR="00562237" w:rsidRPr="00A67BE2" w:rsidRDefault="002720B3">
            <w:r>
              <w:rPr>
                <w:rFonts w:cs="Arial"/>
                <w:color w:val="000000" w:themeColor="text1"/>
                <w:kern w:val="24"/>
              </w:rPr>
              <w:t>Impact on s</w:t>
            </w:r>
            <w:r w:rsidR="00562237" w:rsidRPr="00A67BE2">
              <w:rPr>
                <w:rFonts w:cs="Arial"/>
                <w:color w:val="000000" w:themeColor="text1"/>
                <w:kern w:val="24"/>
              </w:rPr>
              <w:t xml:space="preserve">ervice governance and </w:t>
            </w:r>
            <w:r>
              <w:rPr>
                <w:rFonts w:cs="Arial"/>
                <w:color w:val="000000" w:themeColor="text1"/>
                <w:kern w:val="24"/>
              </w:rPr>
              <w:t>leadership</w:t>
            </w:r>
          </w:p>
        </w:tc>
        <w:tc>
          <w:tcPr>
            <w:tcW w:w="7617" w:type="dxa"/>
            <w:shd w:val="clear" w:color="auto" w:fill="auto"/>
            <w:tcMar>
              <w:top w:w="72" w:type="dxa"/>
              <w:left w:w="144" w:type="dxa"/>
              <w:bottom w:w="72" w:type="dxa"/>
              <w:right w:w="144" w:type="dxa"/>
            </w:tcMar>
          </w:tcPr>
          <w:p w14:paraId="3D08E84B" w14:textId="5A784CE7" w:rsidR="00562237" w:rsidRDefault="00562237" w:rsidP="002720B3">
            <w:pPr>
              <w:pStyle w:val="ListBullet"/>
            </w:pPr>
            <w:r>
              <w:t>To what extent does the current CCCFR grant arrangements affect governance and leadership of services, in particular in relation to expectations of the broader Australian ECEC sector (i.e.</w:t>
            </w:r>
            <w:r w:rsidR="772671AC">
              <w:t>,</w:t>
            </w:r>
            <w:r>
              <w:t xml:space="preserve"> expectations under the FAL and NQF)?</w:t>
            </w:r>
          </w:p>
          <w:p w14:paraId="7A8EE201" w14:textId="3AC3B0EE" w:rsidR="00562237" w:rsidRPr="00A67BE2" w:rsidRDefault="215752B7" w:rsidP="00400EFE">
            <w:pPr>
              <w:pStyle w:val="ListBullet"/>
              <w:ind w:left="357"/>
            </w:pPr>
            <w:r w:rsidRPr="008E3F39">
              <w:rPr>
                <w:b/>
                <w:bCs/>
              </w:rPr>
              <w:t xml:space="preserve">Addressed in Chapter </w:t>
            </w:r>
            <w:r w:rsidR="00A23341">
              <w:rPr>
                <w:b/>
                <w:bCs/>
              </w:rPr>
              <w:fldChar w:fldCharType="begin"/>
            </w:r>
            <w:r w:rsidR="00A23341">
              <w:rPr>
                <w:b/>
                <w:bCs/>
              </w:rPr>
              <w:instrText xml:space="preserve"> REF _Ref152873464 \r \h </w:instrText>
            </w:r>
            <w:r w:rsidR="00A23341">
              <w:rPr>
                <w:b/>
                <w:bCs/>
              </w:rPr>
            </w:r>
            <w:r w:rsidR="00A23341">
              <w:rPr>
                <w:b/>
                <w:bCs/>
              </w:rPr>
              <w:fldChar w:fldCharType="separate"/>
            </w:r>
            <w:r w:rsidR="00D300D0">
              <w:rPr>
                <w:b/>
                <w:bCs/>
              </w:rPr>
              <w:t>7</w:t>
            </w:r>
            <w:r w:rsidR="00A23341">
              <w:rPr>
                <w:b/>
                <w:bCs/>
              </w:rPr>
              <w:fldChar w:fldCharType="end"/>
            </w:r>
          </w:p>
        </w:tc>
      </w:tr>
    </w:tbl>
    <w:p w14:paraId="7E69C2EC" w14:textId="77777777" w:rsidR="00562237" w:rsidRPr="002F605F" w:rsidRDefault="00562237" w:rsidP="0056582B">
      <w:pPr>
        <w:pStyle w:val="Heading3"/>
        <w:spacing w:before="170"/>
      </w:pPr>
      <w:r w:rsidRPr="002F605F">
        <w:t>Domain 4: Resourcing and financial sustainability</w:t>
      </w:r>
    </w:p>
    <w:p w14:paraId="3A67DDA2" w14:textId="28C1CD98" w:rsidR="00562237" w:rsidRPr="00460E67" w:rsidRDefault="00562237" w:rsidP="00562237">
      <w:r>
        <w:t xml:space="preserve">This domain </w:t>
      </w:r>
      <w:r w:rsidRPr="00460E67">
        <w:t>examine</w:t>
      </w:r>
      <w:r w:rsidR="00F71713">
        <w:t>s</w:t>
      </w:r>
      <w:r w:rsidRPr="00460E67">
        <w:t xml:space="preserve"> funding </w:t>
      </w:r>
      <w:r w:rsidR="00E569DE">
        <w:t>adequacy</w:t>
      </w:r>
      <w:r w:rsidR="00603CDB">
        <w:t xml:space="preserve"> and</w:t>
      </w:r>
      <w:r w:rsidR="007C2A44">
        <w:t xml:space="preserve"> its responsiveness to current and future need</w:t>
      </w:r>
      <w:r w:rsidRPr="00460E67">
        <w:t xml:space="preserve">. </w:t>
      </w:r>
      <w:r w:rsidR="00B44CA9">
        <w:t>It also considers the financial sustainability of CCCFR services</w:t>
      </w:r>
      <w:r w:rsidR="00446776">
        <w:t>, leasing arrangements</w:t>
      </w:r>
      <w:r w:rsidR="00B44CA9">
        <w:t xml:space="preserve"> and </w:t>
      </w:r>
      <w:r w:rsidR="00B723C3">
        <w:t>infrastructure funding.</w:t>
      </w:r>
    </w:p>
    <w:p w14:paraId="3DAE5A1B" w14:textId="18592884" w:rsidR="00562237" w:rsidRPr="00525B0E" w:rsidRDefault="00562237" w:rsidP="00562237">
      <w:r w:rsidRPr="00527F98">
        <w:t>The lines of enquiry and key research questions within review domain 4 are outlined in</w:t>
      </w:r>
      <w:r>
        <w:t xml:space="preserve"> </w:t>
      </w:r>
      <w:r w:rsidRPr="00400EFE">
        <w:fldChar w:fldCharType="begin"/>
      </w:r>
      <w:r w:rsidRPr="00400EFE">
        <w:instrText xml:space="preserve"> REF _Ref141087010 \r \h </w:instrText>
      </w:r>
      <w:r w:rsidR="004D4506" w:rsidRPr="00400EFE">
        <w:instrText xml:space="preserve"> \* MERGEFORMAT </w:instrText>
      </w:r>
      <w:r w:rsidRPr="00400EFE">
        <w:fldChar w:fldCharType="separate"/>
      </w:r>
      <w:r w:rsidR="00D300D0">
        <w:t>Table 3.4</w:t>
      </w:r>
      <w:r w:rsidRPr="00400EFE">
        <w:fldChar w:fldCharType="end"/>
      </w:r>
      <w:r>
        <w:t>.</w:t>
      </w:r>
    </w:p>
    <w:p w14:paraId="64C397DF" w14:textId="2D613908" w:rsidR="00562237" w:rsidRPr="00A67BE2" w:rsidRDefault="00562237" w:rsidP="00071A9E">
      <w:pPr>
        <w:pStyle w:val="CaptionTable"/>
        <w:rPr>
          <w:sz w:val="18"/>
          <w:szCs w:val="18"/>
        </w:rPr>
      </w:pPr>
      <w:bookmarkStart w:id="185" w:name="_Ref141087010"/>
      <w:bookmarkStart w:id="186" w:name="_Toc151723910"/>
      <w:bookmarkStart w:id="187" w:name="_Toc158997960"/>
      <w:bookmarkStart w:id="188" w:name="_Toc167130706"/>
      <w:r w:rsidRPr="00A67BE2">
        <w:rPr>
          <w:sz w:val="18"/>
          <w:szCs w:val="18"/>
        </w:rPr>
        <w:t>: Resoucing and financial sustainability – Lines of enquiry and key research questions</w:t>
      </w:r>
      <w:bookmarkEnd w:id="185"/>
      <w:bookmarkEnd w:id="186"/>
      <w:bookmarkEnd w:id="187"/>
      <w:bookmarkEnd w:id="188"/>
    </w:p>
    <w:tbl>
      <w:tblPr>
        <w:tblW w:w="9592" w:type="dxa"/>
        <w:tblBorders>
          <w:top w:val="single" w:sz="8" w:space="0" w:color="046A38"/>
          <w:left w:val="single" w:sz="8" w:space="0" w:color="046A38"/>
          <w:bottom w:val="single" w:sz="4" w:space="0" w:color="auto"/>
          <w:right w:val="single" w:sz="8" w:space="0" w:color="046A38"/>
          <w:insideH w:val="single" w:sz="8" w:space="0" w:color="046A38"/>
          <w:insideV w:val="single" w:sz="8" w:space="0" w:color="046A38"/>
        </w:tblBorders>
        <w:tblCellMar>
          <w:top w:w="113" w:type="dxa"/>
          <w:left w:w="113" w:type="dxa"/>
          <w:bottom w:w="113" w:type="dxa"/>
          <w:right w:w="113" w:type="dxa"/>
        </w:tblCellMar>
        <w:tblLook w:val="0420" w:firstRow="1" w:lastRow="0" w:firstColumn="0" w:lastColumn="0" w:noHBand="0" w:noVBand="1"/>
      </w:tblPr>
      <w:tblGrid>
        <w:gridCol w:w="1975"/>
        <w:gridCol w:w="7617"/>
      </w:tblGrid>
      <w:tr w:rsidR="00562237" w:rsidRPr="00A67BE2" w14:paraId="6C2FD273" w14:textId="77777777" w:rsidTr="2B91AEFB">
        <w:trPr>
          <w:trHeight w:val="303"/>
          <w:tblHeader/>
        </w:trPr>
        <w:tc>
          <w:tcPr>
            <w:tcW w:w="1975" w:type="dxa"/>
            <w:shd w:val="clear" w:color="auto" w:fill="046A38" w:themeFill="accent2"/>
          </w:tcPr>
          <w:p w14:paraId="3EA62C97" w14:textId="77777777" w:rsidR="00562237" w:rsidRPr="00A67BE2" w:rsidRDefault="00562237">
            <w:pPr>
              <w:jc w:val="center"/>
              <w:rPr>
                <w:b/>
                <w:bCs/>
                <w:color w:val="FFFFFF" w:themeColor="background1"/>
              </w:rPr>
            </w:pPr>
            <w:r w:rsidRPr="00A67BE2">
              <w:rPr>
                <w:b/>
                <w:bCs/>
                <w:color w:val="FFFFFF" w:themeColor="background1"/>
              </w:rPr>
              <w:t>Lines of enquiry</w:t>
            </w:r>
          </w:p>
        </w:tc>
        <w:tc>
          <w:tcPr>
            <w:tcW w:w="7617" w:type="dxa"/>
            <w:shd w:val="clear" w:color="auto" w:fill="046A38" w:themeFill="accent2"/>
            <w:tcMar>
              <w:top w:w="72" w:type="dxa"/>
              <w:left w:w="144" w:type="dxa"/>
              <w:bottom w:w="72" w:type="dxa"/>
              <w:right w:w="144" w:type="dxa"/>
            </w:tcMar>
            <w:hideMark/>
          </w:tcPr>
          <w:p w14:paraId="080969E3" w14:textId="002508F9" w:rsidR="00562237" w:rsidRPr="00A67BE2" w:rsidRDefault="00562237">
            <w:pPr>
              <w:jc w:val="center"/>
              <w:rPr>
                <w:b/>
                <w:bCs/>
                <w:color w:val="FFFFFF" w:themeColor="background1"/>
              </w:rPr>
            </w:pPr>
            <w:r w:rsidRPr="00A67BE2">
              <w:rPr>
                <w:b/>
                <w:bCs/>
                <w:color w:val="FFFFFF" w:themeColor="background1"/>
              </w:rPr>
              <w:t>Key research questions</w:t>
            </w:r>
          </w:p>
        </w:tc>
      </w:tr>
      <w:tr w:rsidR="00562237" w:rsidRPr="00A67BE2" w14:paraId="35E71DF2" w14:textId="77777777" w:rsidTr="2B91AEFB">
        <w:trPr>
          <w:trHeight w:val="724"/>
        </w:trPr>
        <w:tc>
          <w:tcPr>
            <w:tcW w:w="1975" w:type="dxa"/>
          </w:tcPr>
          <w:p w14:paraId="01A96D55" w14:textId="4517D952" w:rsidR="00562237" w:rsidRPr="00A67BE2" w:rsidRDefault="00B723C3">
            <w:r>
              <w:rPr>
                <w:rFonts w:asciiTheme="minorHAnsi" w:eastAsiaTheme="minorEastAsia"/>
                <w:color w:val="000000" w:themeColor="text1"/>
                <w:kern w:val="24"/>
              </w:rPr>
              <w:t>Relationship between funding, cost and need</w:t>
            </w:r>
          </w:p>
        </w:tc>
        <w:tc>
          <w:tcPr>
            <w:tcW w:w="7617" w:type="dxa"/>
            <w:shd w:val="clear" w:color="auto" w:fill="auto"/>
            <w:tcMar>
              <w:top w:w="72" w:type="dxa"/>
              <w:left w:w="144" w:type="dxa"/>
              <w:bottom w:w="72" w:type="dxa"/>
              <w:right w:w="144" w:type="dxa"/>
            </w:tcMar>
          </w:tcPr>
          <w:p w14:paraId="3E268F0E" w14:textId="77777777" w:rsidR="00562237" w:rsidRPr="00A67BE2" w:rsidRDefault="00562237" w:rsidP="00753F02">
            <w:pPr>
              <w:pStyle w:val="ListBullet"/>
            </w:pPr>
            <w:r>
              <w:t>Is current funding adequate to meet CCCFR grant objectives and support the provision of high quality ECEC?</w:t>
            </w:r>
          </w:p>
          <w:p w14:paraId="12933B4B" w14:textId="1052B767" w:rsidR="009B4D91" w:rsidRDefault="4F6C469F" w:rsidP="00400EFE">
            <w:pPr>
              <w:pStyle w:val="ListBullet"/>
              <w:ind w:left="357"/>
              <w:rPr>
                <w:b/>
                <w:bCs/>
              </w:rPr>
            </w:pPr>
            <w:r w:rsidRPr="008E3F39">
              <w:rPr>
                <w:b/>
                <w:bCs/>
              </w:rPr>
              <w:t xml:space="preserve">Addressed in Chapter </w:t>
            </w:r>
            <w:r w:rsidR="009B4D91">
              <w:rPr>
                <w:b/>
                <w:bCs/>
              </w:rPr>
              <w:fldChar w:fldCharType="begin"/>
            </w:r>
            <w:r w:rsidR="009B4D91">
              <w:rPr>
                <w:b/>
                <w:bCs/>
              </w:rPr>
              <w:instrText xml:space="preserve"> REF _Ref152874184 \r \h </w:instrText>
            </w:r>
            <w:r w:rsidR="009B4D91">
              <w:rPr>
                <w:b/>
                <w:bCs/>
              </w:rPr>
            </w:r>
            <w:r w:rsidR="009B4D91">
              <w:rPr>
                <w:b/>
                <w:bCs/>
              </w:rPr>
              <w:fldChar w:fldCharType="separate"/>
            </w:r>
            <w:r w:rsidR="00D300D0">
              <w:rPr>
                <w:b/>
                <w:bCs/>
              </w:rPr>
              <w:t>8</w:t>
            </w:r>
            <w:r w:rsidR="009B4D91">
              <w:rPr>
                <w:b/>
                <w:bCs/>
              </w:rPr>
              <w:fldChar w:fldCharType="end"/>
            </w:r>
          </w:p>
          <w:p w14:paraId="6FD6ED0F" w14:textId="77777777" w:rsidR="009B4D91" w:rsidRPr="00753F02" w:rsidRDefault="009B4D91" w:rsidP="003438B3">
            <w:pPr>
              <w:pStyle w:val="ListBullet"/>
              <w:numPr>
                <w:ilvl w:val="0"/>
                <w:numId w:val="0"/>
              </w:numPr>
              <w:ind w:left="357"/>
            </w:pPr>
          </w:p>
          <w:p w14:paraId="684AECE4" w14:textId="77777777" w:rsidR="00562237" w:rsidRPr="00A67BE2" w:rsidRDefault="00562237" w:rsidP="00753F02">
            <w:pPr>
              <w:pStyle w:val="ListBullet"/>
            </w:pPr>
            <w:r>
              <w:t>Is current funding adequate to cover the current activity delivered through CCCFR services?</w:t>
            </w:r>
          </w:p>
          <w:p w14:paraId="548218AD" w14:textId="0AE51E5C" w:rsidR="009B4D91" w:rsidRDefault="4F6C469F" w:rsidP="00400EFE">
            <w:pPr>
              <w:pStyle w:val="ListBullet"/>
              <w:ind w:left="357"/>
              <w:rPr>
                <w:b/>
                <w:bCs/>
              </w:rPr>
            </w:pPr>
            <w:r w:rsidRPr="008E3F39">
              <w:rPr>
                <w:b/>
                <w:bCs/>
              </w:rPr>
              <w:t xml:space="preserve">Addressed in Chapter </w:t>
            </w:r>
            <w:r w:rsidR="009B4D91">
              <w:rPr>
                <w:b/>
                <w:bCs/>
              </w:rPr>
              <w:fldChar w:fldCharType="begin"/>
            </w:r>
            <w:r w:rsidR="009B4D91">
              <w:rPr>
                <w:b/>
                <w:bCs/>
              </w:rPr>
              <w:instrText xml:space="preserve"> REF _Ref152874184 \r \h </w:instrText>
            </w:r>
            <w:r w:rsidR="009B4D91">
              <w:rPr>
                <w:b/>
                <w:bCs/>
              </w:rPr>
            </w:r>
            <w:r w:rsidR="009B4D91">
              <w:rPr>
                <w:b/>
                <w:bCs/>
              </w:rPr>
              <w:fldChar w:fldCharType="separate"/>
            </w:r>
            <w:r w:rsidR="00D300D0">
              <w:rPr>
                <w:b/>
                <w:bCs/>
              </w:rPr>
              <w:t>8</w:t>
            </w:r>
            <w:r w:rsidR="009B4D91">
              <w:rPr>
                <w:b/>
                <w:bCs/>
              </w:rPr>
              <w:fldChar w:fldCharType="end"/>
            </w:r>
          </w:p>
          <w:p w14:paraId="594E40E7" w14:textId="77777777" w:rsidR="009B4D91" w:rsidRPr="00753F02" w:rsidRDefault="009B4D91" w:rsidP="003438B3">
            <w:pPr>
              <w:pStyle w:val="ListBullet"/>
              <w:numPr>
                <w:ilvl w:val="0"/>
                <w:numId w:val="0"/>
              </w:numPr>
              <w:ind w:left="17"/>
            </w:pPr>
          </w:p>
          <w:p w14:paraId="0932E3F5" w14:textId="77777777" w:rsidR="00562237" w:rsidRDefault="00562237" w:rsidP="00753F02">
            <w:pPr>
              <w:pStyle w:val="ListBullet"/>
            </w:pPr>
            <w:r>
              <w:t>To what extent does the CCCFR grant allocate and distribute funding across different child care services to address varying needs and demands?</w:t>
            </w:r>
          </w:p>
          <w:p w14:paraId="0886C959" w14:textId="7B436C13" w:rsidR="00562237" w:rsidRPr="009B4D91" w:rsidRDefault="4F6C469F" w:rsidP="00400EFE">
            <w:pPr>
              <w:pStyle w:val="ListBullet"/>
              <w:ind w:left="357"/>
              <w:rPr>
                <w:b/>
                <w:bCs/>
              </w:rPr>
            </w:pPr>
            <w:r w:rsidRPr="008E3F39">
              <w:rPr>
                <w:b/>
                <w:bCs/>
              </w:rPr>
              <w:t xml:space="preserve">Addressed in Chapter </w:t>
            </w:r>
            <w:r w:rsidR="009B4D91">
              <w:rPr>
                <w:b/>
                <w:bCs/>
              </w:rPr>
              <w:fldChar w:fldCharType="begin"/>
            </w:r>
            <w:r w:rsidR="009B4D91">
              <w:rPr>
                <w:b/>
                <w:bCs/>
              </w:rPr>
              <w:instrText xml:space="preserve"> REF _Ref152874184 \r \h </w:instrText>
            </w:r>
            <w:r w:rsidR="009B4D91">
              <w:rPr>
                <w:b/>
                <w:bCs/>
              </w:rPr>
            </w:r>
            <w:r w:rsidR="009B4D91">
              <w:rPr>
                <w:b/>
                <w:bCs/>
              </w:rPr>
              <w:fldChar w:fldCharType="separate"/>
            </w:r>
            <w:r w:rsidR="00D300D0">
              <w:rPr>
                <w:b/>
                <w:bCs/>
              </w:rPr>
              <w:t>8</w:t>
            </w:r>
            <w:r w:rsidR="009B4D91">
              <w:rPr>
                <w:b/>
                <w:bCs/>
              </w:rPr>
              <w:fldChar w:fldCharType="end"/>
            </w:r>
          </w:p>
        </w:tc>
      </w:tr>
      <w:tr w:rsidR="00562237" w:rsidRPr="00A67BE2" w14:paraId="72A299F0" w14:textId="77777777" w:rsidTr="2B91AEFB">
        <w:trPr>
          <w:trHeight w:val="344"/>
        </w:trPr>
        <w:tc>
          <w:tcPr>
            <w:tcW w:w="1975" w:type="dxa"/>
          </w:tcPr>
          <w:p w14:paraId="7E7492BE" w14:textId="4DBDFBB8" w:rsidR="00562237" w:rsidRPr="00A67BE2" w:rsidRDefault="00753F02">
            <w:r>
              <w:t>Financial sustainability of services</w:t>
            </w:r>
          </w:p>
        </w:tc>
        <w:tc>
          <w:tcPr>
            <w:tcW w:w="7617" w:type="dxa"/>
            <w:shd w:val="clear" w:color="auto" w:fill="auto"/>
            <w:tcMar>
              <w:top w:w="72" w:type="dxa"/>
              <w:left w:w="144" w:type="dxa"/>
              <w:bottom w:w="72" w:type="dxa"/>
              <w:right w:w="144" w:type="dxa"/>
            </w:tcMar>
          </w:tcPr>
          <w:p w14:paraId="6773DF5B" w14:textId="77777777" w:rsidR="00753F02" w:rsidRPr="009B4D91" w:rsidRDefault="2474CE0C" w:rsidP="009B4D91">
            <w:pPr>
              <w:pStyle w:val="ListBullet"/>
            </w:pPr>
            <w:r>
              <w:t>What are the key factors influencing the financial sustainability of services, and are there any identified barriers or challenges that hinder their ability to operate sustainably?</w:t>
            </w:r>
          </w:p>
          <w:p w14:paraId="4DC1F721" w14:textId="1E082E69" w:rsidR="00270D04" w:rsidRDefault="00270D04" w:rsidP="00400EFE">
            <w:pPr>
              <w:pStyle w:val="ListBullet"/>
              <w:ind w:left="357"/>
              <w:rPr>
                <w:b/>
                <w:bCs/>
              </w:rPr>
            </w:pPr>
            <w:r>
              <w:rPr>
                <w:b/>
                <w:bCs/>
              </w:rPr>
              <w:t>Addreessed in Chapter 5</w:t>
            </w:r>
          </w:p>
          <w:p w14:paraId="732EDCD3" w14:textId="6B52EE63"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6E92074C" w14:textId="77777777" w:rsidR="00D1570B" w:rsidRPr="009B4D91" w:rsidRDefault="00D1570B" w:rsidP="003438B3">
            <w:pPr>
              <w:pStyle w:val="ListBullet"/>
              <w:numPr>
                <w:ilvl w:val="0"/>
                <w:numId w:val="0"/>
              </w:numPr>
              <w:ind w:left="357"/>
            </w:pPr>
          </w:p>
          <w:p w14:paraId="634CA5A9" w14:textId="77777777" w:rsidR="00753F02" w:rsidRPr="009B4D91" w:rsidRDefault="2474CE0C" w:rsidP="009B4D91">
            <w:pPr>
              <w:pStyle w:val="ListBullet"/>
            </w:pPr>
            <w:r>
              <w:t>To what extent are services receiving other forms of payment to which they are entitled (including ACCS)?</w:t>
            </w:r>
          </w:p>
          <w:p w14:paraId="2CD87EC3" w14:textId="212F3457"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472D385F" w14:textId="77777777" w:rsidR="00D1570B" w:rsidRPr="009B4D91" w:rsidRDefault="00D1570B" w:rsidP="003438B3">
            <w:pPr>
              <w:pStyle w:val="ListBullet"/>
              <w:numPr>
                <w:ilvl w:val="0"/>
                <w:numId w:val="0"/>
              </w:numPr>
              <w:ind w:left="357"/>
            </w:pPr>
          </w:p>
          <w:p w14:paraId="0E7C2B0D" w14:textId="77777777" w:rsidR="00753F02" w:rsidRPr="009B4D91" w:rsidRDefault="2474CE0C" w:rsidP="009B4D91">
            <w:pPr>
              <w:pStyle w:val="ListBullet"/>
            </w:pPr>
            <w:r>
              <w:t>To what extent could services under the CCCFR grant remain financially viable if primarily receiving funding administered under the Child Care Subsidy (CCS)?</w:t>
            </w:r>
          </w:p>
          <w:p w14:paraId="4B144FC3" w14:textId="7A920149"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429E3998" w14:textId="77777777" w:rsidR="00D1570B" w:rsidRPr="009B4D91" w:rsidRDefault="00D1570B" w:rsidP="003438B3">
            <w:pPr>
              <w:pStyle w:val="ListBullet"/>
              <w:numPr>
                <w:ilvl w:val="0"/>
                <w:numId w:val="0"/>
              </w:numPr>
              <w:ind w:left="357"/>
            </w:pPr>
          </w:p>
          <w:p w14:paraId="1D6B72D7" w14:textId="77777777" w:rsidR="00562237" w:rsidRDefault="2474CE0C" w:rsidP="009B4D91">
            <w:pPr>
              <w:pStyle w:val="ListBullet"/>
            </w:pPr>
            <w:r>
              <w:t>What measures or support mechanisms can be implemented to address the identified barriers and improve the financial viability of child care services?</w:t>
            </w:r>
          </w:p>
          <w:p w14:paraId="21CDE3A3" w14:textId="47FCD6D1" w:rsidR="00562237" w:rsidRP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tc>
      </w:tr>
      <w:tr w:rsidR="00562237" w:rsidRPr="00A67BE2" w14:paraId="6C97F6CD" w14:textId="77777777" w:rsidTr="2B91AEFB">
        <w:trPr>
          <w:trHeight w:val="894"/>
        </w:trPr>
        <w:tc>
          <w:tcPr>
            <w:tcW w:w="1975" w:type="dxa"/>
          </w:tcPr>
          <w:p w14:paraId="62F86F17" w14:textId="2CB87C41" w:rsidR="00562237" w:rsidRPr="00A67BE2" w:rsidRDefault="00753F02">
            <w:r>
              <w:lastRenderedPageBreak/>
              <w:t xml:space="preserve">Leasing arrangements and </w:t>
            </w:r>
            <w:r w:rsidR="009B4D91">
              <w:t>their relationship with the grant objectives</w:t>
            </w:r>
          </w:p>
        </w:tc>
        <w:tc>
          <w:tcPr>
            <w:tcW w:w="7617" w:type="dxa"/>
            <w:shd w:val="clear" w:color="auto" w:fill="auto"/>
            <w:tcMar>
              <w:top w:w="72" w:type="dxa"/>
              <w:left w:w="144" w:type="dxa"/>
              <w:bottom w:w="72" w:type="dxa"/>
              <w:right w:w="144" w:type="dxa"/>
            </w:tcMar>
          </w:tcPr>
          <w:p w14:paraId="40471012" w14:textId="0C2D24D8" w:rsidR="009B4D91" w:rsidRPr="009B4D91" w:rsidRDefault="4F6C469F" w:rsidP="009B4D91">
            <w:pPr>
              <w:pStyle w:val="ListBullet"/>
            </w:pPr>
            <w:r>
              <w:t>How are leasing arrangements structured and managed under the CCCFR grant?</w:t>
            </w:r>
          </w:p>
          <w:p w14:paraId="6E27C1DE" w14:textId="62E5ECB1"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6AB99F78" w14:textId="77777777" w:rsidR="00D1570B" w:rsidRPr="009B4D91" w:rsidRDefault="00D1570B" w:rsidP="003438B3">
            <w:pPr>
              <w:pStyle w:val="ListBullet"/>
              <w:numPr>
                <w:ilvl w:val="0"/>
                <w:numId w:val="0"/>
              </w:numPr>
              <w:ind w:left="357"/>
            </w:pPr>
          </w:p>
          <w:p w14:paraId="01405C3B" w14:textId="780563C9" w:rsidR="009B4D91" w:rsidRPr="009B4D91" w:rsidRDefault="4F6C469F" w:rsidP="009B4D91">
            <w:pPr>
              <w:pStyle w:val="ListBullet"/>
            </w:pPr>
            <w:r>
              <w:t xml:space="preserve">Are there any challenges or issues identified in current leasing arrangements that </w:t>
            </w:r>
            <w:r w:rsidR="2E64A53A">
              <w:t xml:space="preserve">depend </w:t>
            </w:r>
            <w:r>
              <w:t>on the delivery of high-quality ECEC, including issues relating to financial viability?</w:t>
            </w:r>
          </w:p>
          <w:p w14:paraId="63630DC4" w14:textId="4C762AD3"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2A60ECA4" w14:textId="77777777" w:rsidR="00D1570B" w:rsidRPr="009B4D91" w:rsidRDefault="00D1570B" w:rsidP="003438B3">
            <w:pPr>
              <w:pStyle w:val="ListBullet"/>
              <w:numPr>
                <w:ilvl w:val="0"/>
                <w:numId w:val="0"/>
              </w:numPr>
              <w:ind w:left="357"/>
            </w:pPr>
          </w:p>
          <w:p w14:paraId="1E9A6F3C" w14:textId="77777777" w:rsidR="00562237" w:rsidRDefault="4F6C469F" w:rsidP="009B4D91">
            <w:pPr>
              <w:pStyle w:val="ListBullet"/>
            </w:pPr>
            <w:r>
              <w:t>Do current leasing arrangements enable long-term sustainable child care services?</w:t>
            </w:r>
          </w:p>
          <w:p w14:paraId="4F939A6C" w14:textId="3089DDD1" w:rsidR="00562237" w:rsidRP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tc>
      </w:tr>
      <w:tr w:rsidR="00562237" w:rsidRPr="00A67BE2" w14:paraId="16C36412" w14:textId="77777777" w:rsidTr="2B91AEFB">
        <w:trPr>
          <w:trHeight w:val="1246"/>
        </w:trPr>
        <w:tc>
          <w:tcPr>
            <w:tcW w:w="1975" w:type="dxa"/>
          </w:tcPr>
          <w:p w14:paraId="1CE400F3" w14:textId="3CFAAD9D" w:rsidR="00562237" w:rsidRPr="00A67BE2" w:rsidRDefault="009B4D91">
            <w:r>
              <w:t>Infrastructure funding, suitability and environmental sustainability</w:t>
            </w:r>
          </w:p>
        </w:tc>
        <w:tc>
          <w:tcPr>
            <w:tcW w:w="7617" w:type="dxa"/>
            <w:shd w:val="clear" w:color="auto" w:fill="auto"/>
            <w:tcMar>
              <w:top w:w="72" w:type="dxa"/>
              <w:left w:w="144" w:type="dxa"/>
              <w:bottom w:w="72" w:type="dxa"/>
              <w:right w:w="144" w:type="dxa"/>
            </w:tcMar>
          </w:tcPr>
          <w:p w14:paraId="1165CA80" w14:textId="77777777" w:rsidR="009B4D91" w:rsidRPr="009B4D91" w:rsidRDefault="4F6C469F" w:rsidP="009B4D91">
            <w:pPr>
              <w:pStyle w:val="ListBullet"/>
            </w:pPr>
            <w:r>
              <w:t>To what extent does the management of capital investment and infrastructure under the CCCFR grant meet the needs of children, families and communities?</w:t>
            </w:r>
          </w:p>
          <w:p w14:paraId="11285A80" w14:textId="4DFFABE5"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57A5DD51" w14:textId="77777777" w:rsidR="00D1570B" w:rsidRPr="009B4D91" w:rsidRDefault="00D1570B" w:rsidP="003438B3">
            <w:pPr>
              <w:pStyle w:val="ListBullet"/>
              <w:numPr>
                <w:ilvl w:val="0"/>
                <w:numId w:val="0"/>
              </w:numPr>
              <w:ind w:left="357"/>
            </w:pPr>
          </w:p>
          <w:p w14:paraId="0916451A" w14:textId="77777777" w:rsidR="009B4D91" w:rsidRPr="009B4D91" w:rsidRDefault="4F6C469F" w:rsidP="009B4D91">
            <w:pPr>
              <w:pStyle w:val="ListBullet"/>
            </w:pPr>
            <w:r>
              <w:t>To what extent do grant arrangements support capital investment to enable the environmental sustainability of assets, both now and in the future?</w:t>
            </w:r>
          </w:p>
          <w:p w14:paraId="376451AD" w14:textId="102FDF57"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19539ABF" w14:textId="77777777" w:rsidR="00D1570B" w:rsidRPr="009B4D91" w:rsidRDefault="00D1570B" w:rsidP="003438B3">
            <w:pPr>
              <w:pStyle w:val="ListBullet"/>
              <w:numPr>
                <w:ilvl w:val="0"/>
                <w:numId w:val="0"/>
              </w:numPr>
              <w:ind w:left="357"/>
            </w:pPr>
          </w:p>
          <w:p w14:paraId="3665BD8E" w14:textId="77777777" w:rsidR="009B4D91" w:rsidRPr="009B4D91" w:rsidRDefault="4F6C469F" w:rsidP="009B4D91">
            <w:pPr>
              <w:pStyle w:val="ListBullet"/>
            </w:pPr>
            <w:r>
              <w:t>To what extent could the grant support staff accommodation in remote and very remote locations, both now and in the future?</w:t>
            </w:r>
          </w:p>
          <w:p w14:paraId="130FCE98" w14:textId="3388791D"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355182B3" w14:textId="77777777" w:rsidR="00D1570B" w:rsidRPr="009B4D91" w:rsidRDefault="00D1570B" w:rsidP="003438B3">
            <w:pPr>
              <w:pStyle w:val="ListBullet"/>
              <w:numPr>
                <w:ilvl w:val="0"/>
                <w:numId w:val="0"/>
              </w:numPr>
              <w:ind w:left="357"/>
            </w:pPr>
          </w:p>
          <w:p w14:paraId="7825B285" w14:textId="77777777" w:rsidR="009B4D91" w:rsidRPr="009B4D91" w:rsidRDefault="4F6C469F" w:rsidP="009B4D91">
            <w:pPr>
              <w:pStyle w:val="ListBullet"/>
            </w:pPr>
            <w:r>
              <w:t>What is the condition and suitability of the existing child care infrastructure and assets managed under the CCCFR grant?</w:t>
            </w:r>
          </w:p>
          <w:p w14:paraId="263EAC3E" w14:textId="7957012B" w:rsid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p w14:paraId="0F46B29B" w14:textId="77777777" w:rsidR="00D1570B" w:rsidRPr="009B4D91" w:rsidRDefault="00D1570B" w:rsidP="003438B3">
            <w:pPr>
              <w:pStyle w:val="ListBullet"/>
              <w:numPr>
                <w:ilvl w:val="0"/>
                <w:numId w:val="0"/>
              </w:numPr>
              <w:ind w:left="357"/>
            </w:pPr>
          </w:p>
          <w:p w14:paraId="58170AD7" w14:textId="77777777" w:rsidR="00562237" w:rsidRDefault="4F6C469F" w:rsidP="009B4D91">
            <w:pPr>
              <w:pStyle w:val="ListBullet"/>
            </w:pPr>
            <w:r>
              <w:t>To what extent do existing assets require refurbishment to ensure safe and high-quality environments for children?</w:t>
            </w:r>
          </w:p>
          <w:p w14:paraId="49F9FF49" w14:textId="13968BD5" w:rsidR="00562237" w:rsidRPr="00D1570B" w:rsidRDefault="00D1570B" w:rsidP="00400EFE">
            <w:pPr>
              <w:pStyle w:val="ListBullet"/>
              <w:ind w:left="357"/>
              <w:rPr>
                <w:b/>
                <w:bCs/>
              </w:rPr>
            </w:pPr>
            <w:r w:rsidRPr="008E3F39">
              <w:rPr>
                <w:b/>
                <w:bCs/>
              </w:rPr>
              <w:t xml:space="preserve">Addressed in Chapter </w:t>
            </w:r>
            <w:r>
              <w:rPr>
                <w:b/>
                <w:bCs/>
              </w:rPr>
              <w:fldChar w:fldCharType="begin"/>
            </w:r>
            <w:r>
              <w:rPr>
                <w:b/>
                <w:bCs/>
              </w:rPr>
              <w:instrText xml:space="preserve"> REF _Ref152874184 \r \h </w:instrText>
            </w:r>
            <w:r>
              <w:rPr>
                <w:b/>
                <w:bCs/>
              </w:rPr>
            </w:r>
            <w:r>
              <w:rPr>
                <w:b/>
                <w:bCs/>
              </w:rPr>
              <w:fldChar w:fldCharType="separate"/>
            </w:r>
            <w:r w:rsidR="00D300D0">
              <w:rPr>
                <w:b/>
                <w:bCs/>
              </w:rPr>
              <w:t>8</w:t>
            </w:r>
            <w:r>
              <w:rPr>
                <w:b/>
                <w:bCs/>
              </w:rPr>
              <w:fldChar w:fldCharType="end"/>
            </w:r>
          </w:p>
        </w:tc>
      </w:tr>
    </w:tbl>
    <w:p w14:paraId="12BDF7EE" w14:textId="77777777" w:rsidR="00411A90" w:rsidRPr="003549F9" w:rsidRDefault="00411A90" w:rsidP="00411A90"/>
    <w:p w14:paraId="4BE42168" w14:textId="09B6572F" w:rsidR="00411A90" w:rsidRPr="003549F9" w:rsidRDefault="00411A90" w:rsidP="00344848">
      <w:pPr>
        <w:pStyle w:val="Heading1"/>
      </w:pPr>
      <w:bookmarkStart w:id="189" w:name="_Toc158993754"/>
      <w:bookmarkStart w:id="190" w:name="_Toc170227401"/>
      <w:r w:rsidRPr="003549F9">
        <w:lastRenderedPageBreak/>
        <w:t>Underpinning evidence base</w:t>
      </w:r>
      <w:bookmarkEnd w:id="189"/>
      <w:bookmarkEnd w:id="190"/>
    </w:p>
    <w:p w14:paraId="7397190C" w14:textId="304D2246" w:rsidR="00C428CD" w:rsidRPr="00C428CD" w:rsidRDefault="00EC5583" w:rsidP="00C428CD">
      <w:pPr>
        <w:pStyle w:val="Sectionintro"/>
      </w:pPr>
      <w:r>
        <w:t xml:space="preserve">The </w:t>
      </w:r>
      <w:r w:rsidR="00A82B88">
        <w:t>review’s</w:t>
      </w:r>
      <w:r>
        <w:t xml:space="preserve"> evidence base </w:t>
      </w:r>
      <w:r w:rsidR="00A82B88">
        <w:t>comprises</w:t>
      </w:r>
      <w:r>
        <w:t xml:space="preserve"> an extensive range of primary and secondary evidence</w:t>
      </w:r>
      <w:r w:rsidR="00A82B88">
        <w:t xml:space="preserve"> gathered over the course of the review</w:t>
      </w:r>
      <w:r w:rsidR="00C63B98">
        <w:t>.</w:t>
      </w:r>
    </w:p>
    <w:p w14:paraId="561DC718" w14:textId="36D3E6B7" w:rsidR="00474235" w:rsidRDefault="00474235" w:rsidP="00400EFE">
      <w:pPr>
        <w:pStyle w:val="Heading2"/>
        <w:spacing w:after="120"/>
      </w:pPr>
      <w:bookmarkStart w:id="191" w:name="_Toc158993755"/>
      <w:bookmarkStart w:id="192" w:name="_Toc170227402"/>
      <w:r>
        <w:t>Primary evidence</w:t>
      </w:r>
      <w:bookmarkEnd w:id="191"/>
      <w:bookmarkEnd w:id="192"/>
    </w:p>
    <w:p w14:paraId="7338F912" w14:textId="77777777" w:rsidR="00F77B72" w:rsidRDefault="00824897" w:rsidP="00824897">
      <w:r>
        <w:t>Stakeholder perspectives are</w:t>
      </w:r>
      <w:r w:rsidRPr="001C196A">
        <w:t xml:space="preserve"> a key source of evidence </w:t>
      </w:r>
      <w:r>
        <w:t>for the</w:t>
      </w:r>
      <w:r w:rsidRPr="001C196A">
        <w:t xml:space="preserve"> </w:t>
      </w:r>
      <w:r>
        <w:t xml:space="preserve">CCCFR </w:t>
      </w:r>
      <w:r w:rsidRPr="001C196A">
        <w:t xml:space="preserve">review. </w:t>
      </w:r>
    </w:p>
    <w:p w14:paraId="1FDA2AF8" w14:textId="1F07AB6E" w:rsidR="00824897" w:rsidRDefault="00824897" w:rsidP="00824897">
      <w:r>
        <w:t xml:space="preserve">The stakeholder engagement approach </w:t>
      </w:r>
      <w:r w:rsidR="00F77B72">
        <w:t>was</w:t>
      </w:r>
      <w:r>
        <w:t xml:space="preserve"> informed by Murawin and SNAICC’s extensive experience in community stakeholder engagement and expertise in supporting the wellbeing of Aboriginal and Torres Strait Islander children, and Deloitte Access Economics’ experience in early childhood education data collection. </w:t>
      </w:r>
    </w:p>
    <w:p w14:paraId="0FAF306E" w14:textId="7B729538" w:rsidR="00824897" w:rsidRDefault="00824897" w:rsidP="00824897">
      <w:r>
        <w:t xml:space="preserve">Stakeholder engagement </w:t>
      </w:r>
      <w:r w:rsidR="00E676CA">
        <w:t>was</w:t>
      </w:r>
      <w:r>
        <w:t xml:space="preserve"> underpinned by six design principles:</w:t>
      </w:r>
    </w:p>
    <w:p w14:paraId="4EE1B89D" w14:textId="24069360" w:rsidR="00824897" w:rsidRDefault="00F8138E" w:rsidP="00587BFC">
      <w:r>
        <w:rPr>
          <w:b/>
          <w:bCs/>
        </w:rPr>
        <w:t xml:space="preserve">1) </w:t>
      </w:r>
      <w:r w:rsidR="00824897" w:rsidRPr="00742BF0">
        <w:rPr>
          <w:b/>
          <w:bCs/>
        </w:rPr>
        <w:t>Clear and Consistent</w:t>
      </w:r>
      <w:r w:rsidR="00824897">
        <w:t xml:space="preserve"> – Messages </w:t>
      </w:r>
      <w:r w:rsidR="00824897" w:rsidRPr="00776574">
        <w:t>will be communicated with clarity, accuracy, and consistency.</w:t>
      </w:r>
    </w:p>
    <w:p w14:paraId="447431E8" w14:textId="0174671F" w:rsidR="00824897" w:rsidRPr="004F11A6" w:rsidRDefault="00F8138E" w:rsidP="00587BFC">
      <w:r>
        <w:rPr>
          <w:b/>
          <w:bCs/>
        </w:rPr>
        <w:t xml:space="preserve">2) </w:t>
      </w:r>
      <w:r w:rsidR="00824897" w:rsidRPr="00742BF0">
        <w:rPr>
          <w:b/>
          <w:bCs/>
        </w:rPr>
        <w:t>User-specific and Person-centred</w:t>
      </w:r>
      <w:r w:rsidR="00824897" w:rsidRPr="004F11A6">
        <w:t xml:space="preserve"> – Community approaches will be tailored to the unique needs of each stakeholder group. </w:t>
      </w:r>
    </w:p>
    <w:p w14:paraId="38AB6713" w14:textId="747F388C" w:rsidR="00824897" w:rsidRPr="004F11A6" w:rsidRDefault="00D33A68" w:rsidP="00587BFC">
      <w:r>
        <w:rPr>
          <w:b/>
          <w:bCs/>
        </w:rPr>
        <w:t xml:space="preserve">3) </w:t>
      </w:r>
      <w:r w:rsidR="00824897" w:rsidRPr="00742BF0">
        <w:rPr>
          <w:b/>
          <w:bCs/>
        </w:rPr>
        <w:t>Diverse Forms</w:t>
      </w:r>
      <w:r w:rsidR="00824897" w:rsidRPr="004F11A6">
        <w:t xml:space="preserve"> – </w:t>
      </w:r>
      <w:r w:rsidR="00824897">
        <w:t>R</w:t>
      </w:r>
      <w:r w:rsidR="00824897" w:rsidRPr="004F11A6">
        <w:t xml:space="preserve">esources will be developed through a range of formats to meet different needs (including online, virtual and in person). </w:t>
      </w:r>
    </w:p>
    <w:p w14:paraId="229E1CEB" w14:textId="0E55FA32" w:rsidR="00824897" w:rsidRPr="004F11A6" w:rsidRDefault="00D33A68" w:rsidP="00587BFC">
      <w:r>
        <w:rPr>
          <w:b/>
          <w:bCs/>
        </w:rPr>
        <w:t xml:space="preserve">4) </w:t>
      </w:r>
      <w:r w:rsidR="00824897" w:rsidRPr="00742BF0">
        <w:rPr>
          <w:b/>
          <w:bCs/>
        </w:rPr>
        <w:t>Engaging and Inclusive</w:t>
      </w:r>
      <w:r w:rsidR="00824897" w:rsidRPr="004F11A6">
        <w:t xml:space="preserve"> – </w:t>
      </w:r>
      <w:r w:rsidR="00824897">
        <w:t>F</w:t>
      </w:r>
      <w:r w:rsidR="00824897" w:rsidRPr="004F11A6">
        <w:t xml:space="preserve">orms of communication will be accessible and interactive. </w:t>
      </w:r>
    </w:p>
    <w:p w14:paraId="26C8351F" w14:textId="69746FA3" w:rsidR="00824897" w:rsidRPr="004F11A6" w:rsidRDefault="00D33A68" w:rsidP="00587BFC">
      <w:r>
        <w:rPr>
          <w:b/>
          <w:bCs/>
        </w:rPr>
        <w:t xml:space="preserve">5) </w:t>
      </w:r>
      <w:r w:rsidR="00824897" w:rsidRPr="00742BF0">
        <w:rPr>
          <w:b/>
          <w:bCs/>
        </w:rPr>
        <w:t>Responsive and Reviewable</w:t>
      </w:r>
      <w:r w:rsidR="00824897" w:rsidRPr="004F11A6">
        <w:t xml:space="preserve"> – Murawin, SNAICC and Deloitte</w:t>
      </w:r>
      <w:r w:rsidR="00824897">
        <w:t xml:space="preserve"> Access Economics</w:t>
      </w:r>
      <w:r w:rsidR="00824897" w:rsidRPr="004F11A6">
        <w:t xml:space="preserve"> will collaborate throughout the consultation process to ensure that feedback from stakeholders is able to be incorporated as needed, iterating approaches where appropriate to maximise engagement</w:t>
      </w:r>
      <w:r w:rsidR="00824897">
        <w:t>.</w:t>
      </w:r>
      <w:r w:rsidR="00824897" w:rsidRPr="004F11A6">
        <w:t xml:space="preserve"> </w:t>
      </w:r>
    </w:p>
    <w:p w14:paraId="69AAA041" w14:textId="6FD2F150" w:rsidR="00824897" w:rsidRDefault="00D33A68" w:rsidP="00587BFC">
      <w:r>
        <w:rPr>
          <w:b/>
          <w:bCs/>
        </w:rPr>
        <w:t xml:space="preserve">6) </w:t>
      </w:r>
      <w:r w:rsidR="00824897" w:rsidRPr="00742BF0">
        <w:rPr>
          <w:b/>
          <w:bCs/>
        </w:rPr>
        <w:t>Collaborative</w:t>
      </w:r>
      <w:r w:rsidR="00824897" w:rsidRPr="004F11A6">
        <w:t xml:space="preserve"> – </w:t>
      </w:r>
      <w:r w:rsidR="00824897">
        <w:t>A</w:t>
      </w:r>
      <w:r w:rsidR="00824897" w:rsidRPr="004F11A6">
        <w:t>pproaches to communication and engagement will be developed jointly with key stakeholders.</w:t>
      </w:r>
    </w:p>
    <w:p w14:paraId="51D2CE14" w14:textId="77777777" w:rsidR="00824897" w:rsidRDefault="00824897" w:rsidP="00824897">
      <w:pPr>
        <w:pStyle w:val="NoSpacing"/>
      </w:pPr>
    </w:p>
    <w:p w14:paraId="605425EE" w14:textId="5FE6F2F7" w:rsidR="00824897" w:rsidRDefault="00824897" w:rsidP="000C30E4">
      <w:r>
        <w:t>The stakeholder engagement approach for the review comprises three main pillars</w:t>
      </w:r>
      <w:r w:rsidR="00FC3E8B">
        <w:t>, overviewed below</w:t>
      </w:r>
      <w:r>
        <w:t>:</w:t>
      </w:r>
    </w:p>
    <w:p w14:paraId="17400E1B" w14:textId="580370CC" w:rsidR="00824897" w:rsidRDefault="00FC3E8B" w:rsidP="00824897">
      <w:pPr>
        <w:pStyle w:val="ListBullet"/>
      </w:pPr>
      <w:r>
        <w:t>c</w:t>
      </w:r>
      <w:r w:rsidR="00824897">
        <w:t>onsultations with CCCFR services, families and communities</w:t>
      </w:r>
    </w:p>
    <w:p w14:paraId="0F69D1D7" w14:textId="208107D9" w:rsidR="00824897" w:rsidRDefault="00FC3E8B" w:rsidP="00824897">
      <w:pPr>
        <w:pStyle w:val="ListBullet"/>
      </w:pPr>
      <w:r>
        <w:t>o</w:t>
      </w:r>
      <w:r w:rsidR="00824897">
        <w:t>nline survey of CCCFR services</w:t>
      </w:r>
    </w:p>
    <w:p w14:paraId="69A3E923" w14:textId="38CCEB66" w:rsidR="00824897" w:rsidRDefault="00FC3E8B" w:rsidP="00824897">
      <w:pPr>
        <w:pStyle w:val="ListBullet"/>
      </w:pPr>
      <w:r>
        <w:t>c</w:t>
      </w:r>
      <w:r w:rsidR="00824897">
        <w:t>onsultations with Departmental and broader stakeholders</w:t>
      </w:r>
      <w:r>
        <w:t>.</w:t>
      </w:r>
    </w:p>
    <w:p w14:paraId="715404B2" w14:textId="5177A6C2" w:rsidR="00824897" w:rsidRDefault="00824897" w:rsidP="00FC3E8B">
      <w:pPr>
        <w:pStyle w:val="NoSpacing"/>
      </w:pPr>
    </w:p>
    <w:tbl>
      <w:tblPr>
        <w:tblStyle w:val="TableGrid"/>
        <w:tblW w:w="0" w:type="auto"/>
        <w:shd w:val="clear" w:color="auto" w:fill="FFF4D1"/>
        <w:tblCellMar>
          <w:top w:w="113" w:type="dxa"/>
          <w:left w:w="113" w:type="dxa"/>
          <w:bottom w:w="113" w:type="dxa"/>
          <w:right w:w="113" w:type="dxa"/>
        </w:tblCellMar>
        <w:tblLook w:val="04A0" w:firstRow="1" w:lastRow="0" w:firstColumn="1" w:lastColumn="0" w:noHBand="0" w:noVBand="1"/>
      </w:tblPr>
      <w:tblGrid>
        <w:gridCol w:w="9026"/>
      </w:tblGrid>
      <w:tr w:rsidR="002E34F7" w14:paraId="1FFFFF94"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FFF4D1"/>
          </w:tcPr>
          <w:p w14:paraId="1336B29B" w14:textId="2680BAD5" w:rsidR="00357E2F" w:rsidRDefault="002E34F7" w:rsidP="002E34F7">
            <w:pPr>
              <w:rPr>
                <w:i/>
                <w:iCs/>
                <w:color w:val="000000" w:themeColor="text1"/>
              </w:rPr>
            </w:pPr>
            <w:r w:rsidRPr="007C2460">
              <w:rPr>
                <w:b/>
                <w:bCs/>
                <w:color w:val="000000" w:themeColor="text1"/>
              </w:rPr>
              <w:t xml:space="preserve">In </w:t>
            </w:r>
            <w:r w:rsidR="0008348D" w:rsidRPr="007C2460">
              <w:rPr>
                <w:b/>
                <w:bCs/>
                <w:color w:val="000000" w:themeColor="text1"/>
              </w:rPr>
              <w:t xml:space="preserve">November 2023, Deloitte Access Economics </w:t>
            </w:r>
            <w:r w:rsidR="00E065E7" w:rsidRPr="007C2460">
              <w:rPr>
                <w:b/>
                <w:bCs/>
                <w:color w:val="000000" w:themeColor="text1"/>
              </w:rPr>
              <w:t>– with support from SNAICC and Murawin –</w:t>
            </w:r>
            <w:r w:rsidR="0008348D" w:rsidRPr="007C2460">
              <w:rPr>
                <w:b/>
                <w:bCs/>
                <w:color w:val="000000" w:themeColor="text1"/>
              </w:rPr>
              <w:t xml:space="preserve"> provided the Department with a </w:t>
            </w:r>
            <w:r w:rsidR="00357E2F" w:rsidRPr="007C2460">
              <w:rPr>
                <w:b/>
                <w:bCs/>
                <w:color w:val="000000" w:themeColor="text1"/>
              </w:rPr>
              <w:t xml:space="preserve">report entitled </w:t>
            </w:r>
            <w:r w:rsidR="00357E2F" w:rsidRPr="007C2460">
              <w:rPr>
                <w:b/>
                <w:bCs/>
                <w:i/>
                <w:iCs/>
                <w:color w:val="000000" w:themeColor="text1"/>
              </w:rPr>
              <w:t>Emerging stakeholder observations</w:t>
            </w:r>
            <w:r w:rsidR="00357E2F">
              <w:rPr>
                <w:i/>
                <w:iCs/>
                <w:color w:val="000000" w:themeColor="text1"/>
              </w:rPr>
              <w:t>.</w:t>
            </w:r>
          </w:p>
          <w:p w14:paraId="1191CBDE" w14:textId="3B8A3BE0" w:rsidR="000D0591" w:rsidRDefault="00357E2F" w:rsidP="00A422AB">
            <w:pPr>
              <w:rPr>
                <w:color w:val="000000" w:themeColor="text1"/>
              </w:rPr>
            </w:pPr>
            <w:r>
              <w:rPr>
                <w:color w:val="000000" w:themeColor="text1"/>
              </w:rPr>
              <w:t xml:space="preserve">This report </w:t>
            </w:r>
            <w:r w:rsidR="000D0591">
              <w:rPr>
                <w:color w:val="000000" w:themeColor="text1"/>
              </w:rPr>
              <w:t>is a summary of the review’s primary evidence.</w:t>
            </w:r>
            <w:r w:rsidR="2782345B" w:rsidRPr="4992C798">
              <w:rPr>
                <w:color w:val="000000" w:themeColor="text1"/>
              </w:rPr>
              <w:t xml:space="preserve"> </w:t>
            </w:r>
          </w:p>
          <w:p w14:paraId="7D64C120" w14:textId="1F2DD580" w:rsidR="002E34F7" w:rsidRDefault="000D0591" w:rsidP="00A422AB">
            <w:pPr>
              <w:rPr>
                <w:color w:val="000000" w:themeColor="text1"/>
              </w:rPr>
            </w:pPr>
            <w:r>
              <w:rPr>
                <w:color w:val="000000" w:themeColor="text1"/>
              </w:rPr>
              <w:t xml:space="preserve">It </w:t>
            </w:r>
            <w:r w:rsidR="00E065E7">
              <w:rPr>
                <w:color w:val="000000" w:themeColor="text1"/>
              </w:rPr>
              <w:t>provide</w:t>
            </w:r>
            <w:r>
              <w:rPr>
                <w:color w:val="000000" w:themeColor="text1"/>
              </w:rPr>
              <w:t>s</w:t>
            </w:r>
            <w:r w:rsidR="00E065E7">
              <w:rPr>
                <w:color w:val="000000" w:themeColor="text1"/>
              </w:rPr>
              <w:t xml:space="preserve"> </w:t>
            </w:r>
            <w:r w:rsidR="00A422AB">
              <w:rPr>
                <w:color w:val="000000" w:themeColor="text1"/>
              </w:rPr>
              <w:t xml:space="preserve">observations and </w:t>
            </w:r>
            <w:r w:rsidR="00E065E7">
              <w:rPr>
                <w:color w:val="000000" w:themeColor="text1"/>
              </w:rPr>
              <w:t xml:space="preserve">insights </w:t>
            </w:r>
            <w:r w:rsidR="00A422AB" w:rsidRPr="00A422AB">
              <w:rPr>
                <w:color w:val="000000" w:themeColor="text1"/>
              </w:rPr>
              <w:t xml:space="preserve">from services, families and communities, and Departmental and other stakeholders in relation to the delivery and effectiveness of the </w:t>
            </w:r>
            <w:r w:rsidR="00A422AB">
              <w:rPr>
                <w:color w:val="000000" w:themeColor="text1"/>
              </w:rPr>
              <w:t>CCCFR grant</w:t>
            </w:r>
            <w:r w:rsidR="00E81629">
              <w:rPr>
                <w:color w:val="000000" w:themeColor="text1"/>
              </w:rPr>
              <w:t xml:space="preserve"> – as obtained through stakeholder engagement </w:t>
            </w:r>
            <w:r w:rsidR="0082250D">
              <w:rPr>
                <w:color w:val="000000" w:themeColor="text1"/>
              </w:rPr>
              <w:t>within</w:t>
            </w:r>
            <w:r w:rsidR="00E81629">
              <w:rPr>
                <w:color w:val="000000" w:themeColor="text1"/>
              </w:rPr>
              <w:t xml:space="preserve"> the review.</w:t>
            </w:r>
          </w:p>
          <w:p w14:paraId="577FA412" w14:textId="77777777" w:rsidR="00E81629" w:rsidRDefault="004A3859" w:rsidP="004A3859">
            <w:pPr>
              <w:rPr>
                <w:color w:val="000000" w:themeColor="text1"/>
              </w:rPr>
            </w:pPr>
            <w:r>
              <w:rPr>
                <w:color w:val="000000" w:themeColor="text1"/>
              </w:rPr>
              <w:lastRenderedPageBreak/>
              <w:t xml:space="preserve">The </w:t>
            </w:r>
            <w:r>
              <w:rPr>
                <w:i/>
                <w:iCs/>
                <w:color w:val="000000" w:themeColor="text1"/>
              </w:rPr>
              <w:t>Emerging stakeholder observations</w:t>
            </w:r>
            <w:r>
              <w:rPr>
                <w:color w:val="000000" w:themeColor="text1"/>
              </w:rPr>
              <w:t xml:space="preserve"> report p</w:t>
            </w:r>
            <w:r w:rsidRPr="004A3859">
              <w:rPr>
                <w:color w:val="000000" w:themeColor="text1"/>
              </w:rPr>
              <w:t>resents stakeholder perspectives, rather than the findings of the review or the perspectives of the review team</w:t>
            </w:r>
            <w:r w:rsidR="00437178">
              <w:rPr>
                <w:color w:val="000000" w:themeColor="text1"/>
              </w:rPr>
              <w:t xml:space="preserve">. </w:t>
            </w:r>
          </w:p>
          <w:p w14:paraId="4509B20A" w14:textId="58945F18" w:rsidR="002E34F7" w:rsidRPr="00244843" w:rsidRDefault="007A36B9" w:rsidP="002E34F7">
            <w:pPr>
              <w:rPr>
                <w:b/>
                <w:bCs/>
                <w:color w:val="000000" w:themeColor="text1"/>
              </w:rPr>
            </w:pPr>
            <w:r>
              <w:rPr>
                <w:b/>
                <w:bCs/>
                <w:color w:val="000000" w:themeColor="text1"/>
              </w:rPr>
              <w:t>Key quotations and observations from this</w:t>
            </w:r>
            <w:r w:rsidR="000C30E4" w:rsidRPr="00244843">
              <w:rPr>
                <w:b/>
                <w:bCs/>
                <w:color w:val="000000" w:themeColor="text1"/>
              </w:rPr>
              <w:t xml:space="preserve"> report </w:t>
            </w:r>
            <w:r>
              <w:rPr>
                <w:b/>
                <w:bCs/>
                <w:color w:val="000000" w:themeColor="text1"/>
              </w:rPr>
              <w:t>are included</w:t>
            </w:r>
            <w:r w:rsidR="000C30E4" w:rsidRPr="00244843">
              <w:rPr>
                <w:b/>
                <w:bCs/>
                <w:color w:val="000000" w:themeColor="text1"/>
              </w:rPr>
              <w:t xml:space="preserve"> at </w:t>
            </w:r>
            <w:r w:rsidR="00884743">
              <w:rPr>
                <w:b/>
                <w:bCs/>
                <w:color w:val="000000" w:themeColor="text1"/>
                <w:highlight w:val="yellow"/>
              </w:rPr>
              <w:fldChar w:fldCharType="begin"/>
            </w:r>
            <w:r w:rsidR="00884743">
              <w:rPr>
                <w:b/>
                <w:bCs/>
                <w:color w:val="000000" w:themeColor="text1"/>
              </w:rPr>
              <w:instrText xml:space="preserve"> REF _Ref153461670 \r \h </w:instrText>
            </w:r>
            <w:r w:rsidR="00884743">
              <w:rPr>
                <w:b/>
                <w:bCs/>
                <w:color w:val="000000" w:themeColor="text1"/>
                <w:highlight w:val="yellow"/>
              </w:rPr>
            </w:r>
            <w:r w:rsidR="00884743">
              <w:rPr>
                <w:b/>
                <w:bCs/>
                <w:color w:val="000000" w:themeColor="text1"/>
                <w:highlight w:val="yellow"/>
              </w:rPr>
              <w:fldChar w:fldCharType="separate"/>
            </w:r>
            <w:r w:rsidR="00D300D0">
              <w:rPr>
                <w:b/>
                <w:bCs/>
                <w:color w:val="000000" w:themeColor="text1"/>
              </w:rPr>
              <w:t>Appendix A</w:t>
            </w:r>
            <w:r w:rsidR="00884743">
              <w:rPr>
                <w:b/>
                <w:bCs/>
                <w:color w:val="000000" w:themeColor="text1"/>
                <w:highlight w:val="yellow"/>
              </w:rPr>
              <w:fldChar w:fldCharType="end"/>
            </w:r>
            <w:r w:rsidR="009C6C75" w:rsidRPr="009C6C75">
              <w:rPr>
                <w:b/>
                <w:bCs/>
                <w:color w:val="000000" w:themeColor="text1"/>
              </w:rPr>
              <w:t>: Voices of services, families and community</w:t>
            </w:r>
            <w:r w:rsidR="000C30E4" w:rsidRPr="009C6C75">
              <w:rPr>
                <w:b/>
                <w:bCs/>
                <w:color w:val="000000" w:themeColor="text1"/>
              </w:rPr>
              <w:t>.</w:t>
            </w:r>
            <w:r w:rsidR="00C41827" w:rsidRPr="00244843">
              <w:rPr>
                <w:b/>
                <w:bCs/>
                <w:color w:val="000000" w:themeColor="text1"/>
              </w:rPr>
              <w:t xml:space="preserve"> It includes </w:t>
            </w:r>
            <w:r w:rsidR="00244843" w:rsidRPr="00244843">
              <w:rPr>
                <w:b/>
                <w:bCs/>
                <w:color w:val="000000" w:themeColor="text1"/>
              </w:rPr>
              <w:t>substantial direct evidence from stakeholder engagement, including quotes from consultations and survey responses.</w:t>
            </w:r>
          </w:p>
        </w:tc>
      </w:tr>
    </w:tbl>
    <w:p w14:paraId="3F451B52" w14:textId="77777777" w:rsidR="00824897" w:rsidRPr="00F9276E" w:rsidRDefault="00824897" w:rsidP="000C30E4">
      <w:pPr>
        <w:pStyle w:val="Heading3"/>
        <w:spacing w:before="170"/>
      </w:pPr>
      <w:bookmarkStart w:id="193" w:name="_Ref147773978"/>
      <w:bookmarkStart w:id="194" w:name="_Toc151723852"/>
      <w:r>
        <w:lastRenderedPageBreak/>
        <w:t>Consultations with CCCFR services, families and communities</w:t>
      </w:r>
      <w:bookmarkEnd w:id="193"/>
      <w:bookmarkEnd w:id="194"/>
    </w:p>
    <w:p w14:paraId="5935FFF7" w14:textId="0D60C45D" w:rsidR="00824897" w:rsidRDefault="00824897" w:rsidP="00824897">
      <w:r>
        <w:t xml:space="preserve">The purpose of these consultations </w:t>
      </w:r>
      <w:r w:rsidR="008B76E7">
        <w:t>was</w:t>
      </w:r>
      <w:r>
        <w:t xml:space="preserve"> t</w:t>
      </w:r>
      <w:r w:rsidRPr="00B15902">
        <w:t xml:space="preserve">o elicit deep, qualitative insights from a representative sample of </w:t>
      </w:r>
      <w:r>
        <w:t xml:space="preserve">CCCFR </w:t>
      </w:r>
      <w:r w:rsidRPr="00B15902">
        <w:t>services</w:t>
      </w:r>
      <w:r>
        <w:t xml:space="preserve"> and connected families and communities.</w:t>
      </w:r>
    </w:p>
    <w:p w14:paraId="07A98525" w14:textId="26AAF763" w:rsidR="00824897" w:rsidRDefault="00824897" w:rsidP="00824897">
      <w:r>
        <w:t xml:space="preserve">The representative sample selection focused on 11 key attributes for which the Department could provide data: provider type, location, service type, former funding status, regulation status, number of children enrolled or attending, lease agreement status in regard to CCCFR, SEIFA, size of CCCFR grant, proportion of CCS funding, and proportion of Aboriginal and Torres Strait Islander children. Four of these attributes were used to categorise the services into different strata </w:t>
      </w:r>
      <w:r w:rsidR="00F627A3">
        <w:t>–</w:t>
      </w:r>
      <w:r>
        <w:t xml:space="preserve"> service size, remoteness, proportion of Aboriginal and Torres Strait Islander children, and regulation status. </w:t>
      </w:r>
    </w:p>
    <w:p w14:paraId="0A887274" w14:textId="44E5576D" w:rsidR="001746DC" w:rsidRDefault="00824897" w:rsidP="001746DC">
      <w:r>
        <w:t>Through this selection process, the representative sample was reviewed by the Department, SNAICC and Murawin at several junctures, to ensure the appropriateness and logistical feasibility of visiting the services in person.</w:t>
      </w:r>
      <w:r w:rsidR="4C396D86">
        <w:t xml:space="preserve"> </w:t>
      </w:r>
    </w:p>
    <w:p w14:paraId="0B8B84D7" w14:textId="5B863FA4" w:rsidR="00824897" w:rsidRDefault="00824897" w:rsidP="00824897">
      <w:r>
        <w:t xml:space="preserve">This culminated in the selection of </w:t>
      </w:r>
      <w:r w:rsidRPr="00A03EA1">
        <w:t>37</w:t>
      </w:r>
      <w:r>
        <w:t xml:space="preserve"> CCCFR services to be consulted in person by the SNAICC, Murawin and Deloitte Access Economics teams. This included </w:t>
      </w:r>
      <w:r w:rsidRPr="00A03EA1">
        <w:t>19</w:t>
      </w:r>
      <w:r>
        <w:t xml:space="preserve"> services (of the 37) where family and community consultations were to be hosted. A further </w:t>
      </w:r>
      <w:r w:rsidRPr="00A03EA1">
        <w:t>12</w:t>
      </w:r>
      <w:r>
        <w:t xml:space="preserve"> services were selected, to be consulted virtually by the Deloitte Access Economics team. The initial representative sample, as of August 2023, is shown in </w:t>
      </w:r>
      <w:r w:rsidR="00F960EE">
        <w:fldChar w:fldCharType="begin"/>
      </w:r>
      <w:r w:rsidR="00F960EE">
        <w:instrText xml:space="preserve"> REF _Ref170228968 \r \h </w:instrText>
      </w:r>
      <w:r w:rsidR="00F960EE">
        <w:fldChar w:fldCharType="separate"/>
      </w:r>
      <w:r w:rsidR="00D300D0">
        <w:t>Figure 4.1</w:t>
      </w:r>
      <w:r w:rsidR="00F960EE">
        <w:fldChar w:fldCharType="end"/>
      </w:r>
      <w:r w:rsidRPr="00197324">
        <w:t>.</w:t>
      </w:r>
    </w:p>
    <w:p w14:paraId="5AB373FD" w14:textId="7B3FA5FC" w:rsidR="00824897" w:rsidRPr="0066703E" w:rsidRDefault="00530770" w:rsidP="00637B60">
      <w:pPr>
        <w:pStyle w:val="CaptionFigure"/>
      </w:pPr>
      <w:bookmarkStart w:id="195" w:name="_Toc170228789"/>
      <w:bookmarkStart w:id="196" w:name="_Ref170228968"/>
      <w:r>
        <w:lastRenderedPageBreak/>
        <w:t>: : CCCFR service consultation map, as of August 2023</w:t>
      </w:r>
      <w:bookmarkEnd w:id="195"/>
      <w:bookmarkEnd w:id="196"/>
    </w:p>
    <w:p w14:paraId="31758E59" w14:textId="7F8D1C3C" w:rsidR="00824897" w:rsidRPr="0066703E" w:rsidRDefault="00AB78DC" w:rsidP="00637B60">
      <w:r w:rsidRPr="00AB78DC">
        <w:rPr>
          <w:noProof/>
        </w:rPr>
        <w:drawing>
          <wp:inline distT="0" distB="0" distL="0" distR="0" wp14:anchorId="38E0AD33" wp14:editId="40CEC210">
            <wp:extent cx="5343525" cy="5715000"/>
            <wp:effectExtent l="0" t="0" r="9525" b="0"/>
            <wp:docPr id="63" name="Picture 63" descr="Figure showing the map of Australia and the locations of CCCFR services that were consulted (as of August 2023) as part of this review. The locations are colour coordinate by the following categories: SNAICC visits, Deloitte visits, Murawin visits and Deloitte virtual consult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Figure showing the map of Australia and the locations of CCCFR services that were consulted (as of August 2023) as part of this review. The locations are colour coordinate by the following categories: SNAICC visits, Deloitte visits, Murawin visits and Deloitte virtual consultations.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43525" cy="5715000"/>
                    </a:xfrm>
                    <a:prstGeom prst="rect">
                      <a:avLst/>
                    </a:prstGeom>
                    <a:noFill/>
                    <a:ln>
                      <a:noFill/>
                    </a:ln>
                  </pic:spPr>
                </pic:pic>
              </a:graphicData>
            </a:graphic>
          </wp:inline>
        </w:drawing>
      </w:r>
    </w:p>
    <w:p w14:paraId="342E23E2" w14:textId="77777777" w:rsidR="00824897" w:rsidRPr="00D15A09" w:rsidRDefault="00824897" w:rsidP="00824897">
      <w:pPr>
        <w:pStyle w:val="Source"/>
      </w:pPr>
      <w:r w:rsidRPr="00D15A09">
        <w:t xml:space="preserve">Source: </w:t>
      </w:r>
      <w:r>
        <w:t>Deloitte Access Economics (2023)</w:t>
      </w:r>
    </w:p>
    <w:p w14:paraId="69236054" w14:textId="07E15AEC" w:rsidR="00824897" w:rsidRDefault="00824897" w:rsidP="00824897">
      <w:r>
        <w:t xml:space="preserve">The service sample for consultations </w:t>
      </w:r>
      <w:r w:rsidR="12BFFB36">
        <w:t>changed</w:t>
      </w:r>
      <w:r>
        <w:t xml:space="preserve"> over time, </w:t>
      </w:r>
      <w:r w:rsidR="208E7FDC">
        <w:t xml:space="preserve">responding to the services’ availability </w:t>
      </w:r>
      <w:r>
        <w:t>due to events such as weather issues, staff shortages, Sorry business, and child sickness. When a planned service visit was unable to proceed in person, options were considered regarding the most appropriate substitution, be it pivoting that same service to a virtual consultation or replacing with a different service that shared similar characteristics – ensuring the service sample remained representative. In some cases, the consultation was held at a site away from the service (e.g.</w:t>
      </w:r>
      <w:r w:rsidR="00303023">
        <w:t>,</w:t>
      </w:r>
      <w:r>
        <w:t xml:space="preserve"> at the council head office which may have been located outside of the community). Additional service insights were gleaned through these consultations, with providers responsible for multiple centres across their regions, provided information that was complementary to the online surveys for individual centres not participating directly in consultation.</w:t>
      </w:r>
      <w:r w:rsidR="002E497C">
        <w:t xml:space="preserve"> </w:t>
      </w:r>
    </w:p>
    <w:p w14:paraId="0D335E72" w14:textId="033AA31A" w:rsidR="00824897" w:rsidRDefault="00824897" w:rsidP="00824897">
      <w:r>
        <w:t xml:space="preserve">The final representative sample is shown in </w:t>
      </w:r>
      <w:r w:rsidRPr="006A1521">
        <w:fldChar w:fldCharType="begin"/>
      </w:r>
      <w:r w:rsidRPr="006A1521">
        <w:instrText xml:space="preserve"> REF _Ref150438800 \r \h </w:instrText>
      </w:r>
      <w:r w:rsidR="00F00E7A" w:rsidRPr="006A1521">
        <w:instrText xml:space="preserve"> \* MERGEFORMAT </w:instrText>
      </w:r>
      <w:r w:rsidRPr="006A1521">
        <w:fldChar w:fldCharType="separate"/>
      </w:r>
      <w:r w:rsidR="00D300D0">
        <w:t>Figure 4.2</w:t>
      </w:r>
      <w:r w:rsidRPr="006A1521">
        <w:fldChar w:fldCharType="end"/>
      </w:r>
      <w:r w:rsidRPr="006A1521">
        <w:t>.</w:t>
      </w:r>
    </w:p>
    <w:p w14:paraId="06BAEC6C" w14:textId="77777777" w:rsidR="00824897" w:rsidRPr="006A1521" w:rsidRDefault="00824897" w:rsidP="00824897">
      <w:pPr>
        <w:pStyle w:val="CaptionFigure"/>
      </w:pPr>
      <w:bookmarkStart w:id="197" w:name="_Ref150438800"/>
      <w:bookmarkStart w:id="198" w:name="_Toc151723922"/>
      <w:bookmarkStart w:id="199" w:name="_Toc158997988"/>
      <w:bookmarkStart w:id="200" w:name="_Toc170228790"/>
      <w:r w:rsidRPr="006A1521">
        <w:lastRenderedPageBreak/>
        <w:t>: CCCFR service consultation map, as of November 2023</w:t>
      </w:r>
      <w:bookmarkEnd w:id="197"/>
      <w:bookmarkEnd w:id="198"/>
      <w:bookmarkEnd w:id="199"/>
      <w:bookmarkEnd w:id="200"/>
    </w:p>
    <w:p w14:paraId="4C0C96C4" w14:textId="51C0D59F" w:rsidR="00824897" w:rsidRDefault="0872E5B0" w:rsidP="00824897">
      <w:r>
        <w:rPr>
          <w:noProof/>
        </w:rPr>
        <w:drawing>
          <wp:inline distT="0" distB="0" distL="0" distR="0" wp14:anchorId="74B4F434" wp14:editId="7EBED642">
            <wp:extent cx="6302054" cy="5878120"/>
            <wp:effectExtent l="0" t="0" r="3810" b="8890"/>
            <wp:docPr id="60" name="Picture 60" descr="Figure showing the map of Australia and the locations of CCCFR services that were consulted (as of November 2023) as part of this review. The locations are colour coordinate by the following categories: SNAICC visits, Deloitte visits, Murawin visits and Deloitte virtual consult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Figure showing the map of Australia and the locations of CCCFR services that were consulted (as of November 2023) as part of this review. The locations are colour coordinate by the following categories: SNAICC visits, Deloitte visits, Murawin visits and Deloitte virtual consultations.  "/>
                    <pic:cNvPicPr/>
                  </pic:nvPicPr>
                  <pic:blipFill>
                    <a:blip r:embed="rId62">
                      <a:extLst>
                        <a:ext uri="{28A0092B-C50C-407E-A947-70E740481C1C}">
                          <a14:useLocalDpi xmlns:a14="http://schemas.microsoft.com/office/drawing/2010/main" val="0"/>
                        </a:ext>
                      </a:extLst>
                    </a:blip>
                    <a:stretch>
                      <a:fillRect/>
                    </a:stretch>
                  </pic:blipFill>
                  <pic:spPr>
                    <a:xfrm>
                      <a:off x="0" y="0"/>
                      <a:ext cx="6302054" cy="5878120"/>
                    </a:xfrm>
                    <a:prstGeom prst="rect">
                      <a:avLst/>
                    </a:prstGeom>
                  </pic:spPr>
                </pic:pic>
              </a:graphicData>
            </a:graphic>
          </wp:inline>
        </w:drawing>
      </w:r>
    </w:p>
    <w:p w14:paraId="1A00CB80" w14:textId="77777777" w:rsidR="00824897" w:rsidRPr="00244398" w:rsidRDefault="00824897" w:rsidP="00824897">
      <w:r w:rsidRPr="00AD497B">
        <w:rPr>
          <w:noProof/>
        </w:rPr>
        <mc:AlternateContent>
          <mc:Choice Requires="wpg">
            <w:drawing>
              <wp:anchor distT="0" distB="0" distL="114300" distR="114300" simplePos="0" relativeHeight="251667968" behindDoc="0" locked="0" layoutInCell="1" allowOverlap="1" wp14:anchorId="4A20A9B2" wp14:editId="09B4EFB5">
                <wp:simplePos x="0" y="0"/>
                <wp:positionH relativeFrom="column">
                  <wp:posOffset>0</wp:posOffset>
                </wp:positionH>
                <wp:positionV relativeFrom="paragraph">
                  <wp:posOffset>-635</wp:posOffset>
                </wp:positionV>
                <wp:extent cx="193964" cy="203200"/>
                <wp:effectExtent l="19050" t="0" r="15875" b="44450"/>
                <wp:wrapNone/>
                <wp:docPr id="838388554" name="Group 8383885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3964" cy="203200"/>
                          <a:chOff x="1" y="0"/>
                          <a:chExt cx="193964" cy="203200"/>
                        </a:xfrm>
                        <a:solidFill>
                          <a:srgbClr val="C2185B"/>
                        </a:solidFill>
                      </wpg:grpSpPr>
                      <wps:wsp>
                        <wps:cNvPr id="838388555" name="Teardrop 838388555"/>
                        <wps:cNvSpPr/>
                        <wps:spPr bwMode="gray">
                          <a:xfrm rot="8303303">
                            <a:off x="1" y="0"/>
                            <a:ext cx="193964" cy="203200"/>
                          </a:xfrm>
                          <a:prstGeom prst="teardrop">
                            <a:avLst/>
                          </a:prstGeom>
                          <a:grpFill/>
                          <a:ln w="19050" algn="ctr">
                            <a:noFill/>
                            <a:miter lim="800000"/>
                            <a:headEnd/>
                            <a:tailEnd/>
                          </a:ln>
                        </wps:spPr>
                        <wps:bodyPr wrap="square" lIns="88900" tIns="88900" rIns="88900" bIns="88900" rtlCol="0" anchor="ctr"/>
                      </wps:wsp>
                      <wps:wsp>
                        <wps:cNvPr id="838388560" name="Flowchart: Connector 838388560"/>
                        <wps:cNvSpPr/>
                        <wps:spPr bwMode="gray">
                          <a:xfrm>
                            <a:off x="63596" y="68822"/>
                            <a:ext cx="70330" cy="70330"/>
                          </a:xfrm>
                          <a:prstGeom prst="flowChartConnector">
                            <a:avLst/>
                          </a:prstGeom>
                          <a:grpFill/>
                          <a:ln w="19050" algn="ctr">
                            <a:noFill/>
                            <a:miter lim="800000"/>
                            <a:headEnd/>
                            <a:tailEnd/>
                          </a:ln>
                        </wps:spPr>
                        <wps:bodyPr wrap="square" lIns="88900" tIns="88900" rIns="88900" bIns="88900" rtlCol="0" anchor="ctr"/>
                      </wps:wsp>
                    </wpg:wgp>
                  </a:graphicData>
                </a:graphic>
              </wp:anchor>
            </w:drawing>
          </mc:Choice>
          <mc:Fallback>
            <w:pict>
              <v:group w14:anchorId="03B8D7DF" id="Group 838388554" o:spid="_x0000_s1026" alt="&quot;&quot;" style="position:absolute;margin-left:0;margin-top:-.05pt;width:15.25pt;height:16pt;z-index:251667968" coordorigin="1" coordsize="193964,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">
                <v:shape id="Teardrop 838388555" o:spid="_x0000_s1027" style="position:absolute;left:1;width:193964;height:203200;rotation:9069421fd;visibility:visible;mso-wrap-style:square;v-text-anchor:middle" coordsize="193964,203200"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" path="m,101600c,45488,43420,,96982,r96982,l193964,101600v,56112,-43420,101600,-96982,101600c43420,203200,,157712,,101600xe" filled="f" stroked="f" strokeweight="1.5pt">
                  <v:stroke joinstyle="miter"/>
                  <v:path arrowok="t" o:connecttype="custom" o:connectlocs="0,101600;96982,0;193964,0;193964,101600;96982,203200;0,101600" o:connectangles="0,0,0,0,0,0"/>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38388560" o:spid="_x0000_s1028" type="#_x0000_t120" style="position:absolute;left:63596;top:68822;width:70330;height:7033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" filled="f" stroked="f" strokeweight="1.5pt">
                  <v:stroke joinstyle="miter"/>
                  <v:textbox inset="7pt,7pt,7pt,7pt"/>
                </v:shape>
              </v:group>
            </w:pict>
          </mc:Fallback>
        </mc:AlternateContent>
      </w:r>
      <w:r w:rsidRPr="00AD497B">
        <w:rPr>
          <w:noProof/>
        </w:rPr>
        <mc:AlternateContent>
          <mc:Choice Requires="wpg">
            <w:drawing>
              <wp:anchor distT="0" distB="0" distL="114300" distR="114300" simplePos="0" relativeHeight="251671040" behindDoc="0" locked="0" layoutInCell="1" allowOverlap="1" wp14:anchorId="3D426B9D" wp14:editId="02BDB412">
                <wp:simplePos x="0" y="0"/>
                <wp:positionH relativeFrom="column">
                  <wp:posOffset>0</wp:posOffset>
                </wp:positionH>
                <wp:positionV relativeFrom="paragraph">
                  <wp:posOffset>433705</wp:posOffset>
                </wp:positionV>
                <wp:extent cx="193964" cy="203200"/>
                <wp:effectExtent l="19050" t="0" r="15875" b="44450"/>
                <wp:wrapNone/>
                <wp:docPr id="838388561" name="Group 8383885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3964" cy="203200"/>
                          <a:chOff x="0" y="434593"/>
                          <a:chExt cx="193964" cy="203200"/>
                        </a:xfrm>
                      </wpg:grpSpPr>
                      <wps:wsp>
                        <wps:cNvPr id="838388562" name="Teardrop 838388562"/>
                        <wps:cNvSpPr/>
                        <wps:spPr bwMode="gray">
                          <a:xfrm rot="8303303">
                            <a:off x="0" y="434593"/>
                            <a:ext cx="193964" cy="203200"/>
                          </a:xfrm>
                          <a:prstGeom prst="teardrop">
                            <a:avLst/>
                          </a:prstGeom>
                          <a:solidFill>
                            <a:srgbClr val="F9A622"/>
                          </a:solidFill>
                          <a:ln w="19050" algn="ctr">
                            <a:noFill/>
                            <a:miter lim="800000"/>
                            <a:headEnd/>
                            <a:tailEnd/>
                          </a:ln>
                        </wps:spPr>
                        <wps:bodyPr wrap="square" lIns="88900" tIns="88900" rIns="88900" bIns="88900" rtlCol="0" anchor="ctr"/>
                      </wps:wsp>
                      <wps:wsp>
                        <wps:cNvPr id="838388563" name="Flowchart: Connector 838388563"/>
                        <wps:cNvSpPr/>
                        <wps:spPr bwMode="gray">
                          <a:xfrm>
                            <a:off x="63596" y="501028"/>
                            <a:ext cx="70330" cy="70330"/>
                          </a:xfrm>
                          <a:prstGeom prst="flowChartConnector">
                            <a:avLst/>
                          </a:prstGeom>
                          <a:solidFill>
                            <a:srgbClr val="FFFFFF"/>
                          </a:solidFill>
                          <a:ln w="19050" algn="ctr">
                            <a:noFill/>
                            <a:miter lim="800000"/>
                            <a:headEnd/>
                            <a:tailEnd/>
                          </a:ln>
                        </wps:spPr>
                        <wps:bodyPr wrap="square" lIns="88900" tIns="88900" rIns="88900" bIns="88900" rtlCol="0" anchor="ctr"/>
                      </wps:wsp>
                    </wpg:wgp>
                  </a:graphicData>
                </a:graphic>
              </wp:anchor>
            </w:drawing>
          </mc:Choice>
          <mc:Fallback>
            <w:pict>
              <v:group w14:anchorId="71FD532B" id="Group 838388561" o:spid="_x0000_s1026" alt="&quot;&quot;" style="position:absolute;margin-left:0;margin-top:34.15pt;width:15.25pt;height:16pt;z-index:251671040" coordorigin=",4345" coordsize="1939,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">
                <v:shape id="Teardrop 838388562" o:spid="_x0000_s1027" style="position:absolute;top:4345;width:1939;height:2032;rotation:9069421fd;visibility:visible;mso-wrap-style:square;v-text-anchor:middle" coordsize="193964,203200"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" path="m,101600c,45488,43420,,96982,r96982,l193964,101600v,56112,-43420,101600,-96982,101600c43420,203200,,157712,,101600xe" fillcolor="#f9a622" stroked="f" strokeweight="1.5pt">
                  <v:stroke joinstyle="miter"/>
                  <v:path arrowok="t" o:connecttype="custom" o:connectlocs="0,101600;96982,0;193964,0;193964,101600;96982,203200;0,101600" o:connectangles="0,0,0,0,0,0"/>
                </v:shape>
                <v:shape id="Flowchart: Connector 838388563" o:spid="_x0000_s1028" type="#_x0000_t120" style="position:absolute;left:635;top:5010;width:704;height:70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" stroked="f" strokeweight="1.5pt">
                  <v:stroke joinstyle="miter"/>
                  <v:textbox inset="7pt,7pt,7pt,7pt"/>
                </v:shape>
              </v:group>
            </w:pict>
          </mc:Fallback>
        </mc:AlternateContent>
      </w:r>
      <w:r w:rsidRPr="00AD497B">
        <w:rPr>
          <w:noProof/>
        </w:rPr>
        <mc:AlternateContent>
          <mc:Choice Requires="wpg">
            <w:drawing>
              <wp:anchor distT="0" distB="0" distL="114300" distR="114300" simplePos="0" relativeHeight="251674112" behindDoc="0" locked="0" layoutInCell="1" allowOverlap="1" wp14:anchorId="5500E397" wp14:editId="7BAB2034">
                <wp:simplePos x="0" y="0"/>
                <wp:positionH relativeFrom="column">
                  <wp:posOffset>0</wp:posOffset>
                </wp:positionH>
                <wp:positionV relativeFrom="paragraph">
                  <wp:posOffset>858520</wp:posOffset>
                </wp:positionV>
                <wp:extent cx="193964" cy="203200"/>
                <wp:effectExtent l="19050" t="0" r="15875" b="44450"/>
                <wp:wrapNone/>
                <wp:docPr id="838388564" name="Group 8383885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3964" cy="203200"/>
                          <a:chOff x="0" y="859697"/>
                          <a:chExt cx="193964" cy="203200"/>
                        </a:xfrm>
                      </wpg:grpSpPr>
                      <wps:wsp>
                        <wps:cNvPr id="838388565" name="Teardrop 838388565"/>
                        <wps:cNvSpPr/>
                        <wps:spPr bwMode="gray">
                          <a:xfrm rot="8303303">
                            <a:off x="0" y="859697"/>
                            <a:ext cx="193964" cy="203200"/>
                          </a:xfrm>
                          <a:prstGeom prst="teardrop">
                            <a:avLst/>
                          </a:prstGeom>
                          <a:solidFill>
                            <a:srgbClr val="000000"/>
                          </a:solidFill>
                          <a:ln w="19050" algn="ctr">
                            <a:noFill/>
                            <a:miter lim="800000"/>
                            <a:headEnd/>
                            <a:tailEnd/>
                          </a:ln>
                        </wps:spPr>
                        <wps:bodyPr wrap="square" lIns="88900" tIns="88900" rIns="88900" bIns="88900" rtlCol="0" anchor="ctr"/>
                      </wps:wsp>
                      <wps:wsp>
                        <wps:cNvPr id="838388566" name="Flowchart: Connector 838388566"/>
                        <wps:cNvSpPr/>
                        <wps:spPr bwMode="gray">
                          <a:xfrm>
                            <a:off x="63596" y="926132"/>
                            <a:ext cx="70330" cy="70330"/>
                          </a:xfrm>
                          <a:prstGeom prst="flowChartConnector">
                            <a:avLst/>
                          </a:prstGeom>
                          <a:solidFill>
                            <a:srgbClr val="FFFFFF"/>
                          </a:solidFill>
                          <a:ln w="19050" algn="ctr">
                            <a:noFill/>
                            <a:miter lim="800000"/>
                            <a:headEnd/>
                            <a:tailEnd/>
                          </a:ln>
                        </wps:spPr>
                        <wps:bodyPr wrap="square" lIns="88900" tIns="88900" rIns="88900" bIns="88900" rtlCol="0" anchor="ctr"/>
                      </wps:wsp>
                    </wpg:wgp>
                  </a:graphicData>
                </a:graphic>
              </wp:anchor>
            </w:drawing>
          </mc:Choice>
          <mc:Fallback>
            <w:pict>
              <v:group w14:anchorId="66B944BE" id="Group 838388564" o:spid="_x0000_s1026" alt="&quot;&quot;" style="position:absolute;margin-left:0;margin-top:67.6pt;width:15.25pt;height:16pt;z-index:251674112" coordorigin=",8596" coordsize="1939,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">
                <v:shape id="Teardrop 838388565" o:spid="_x0000_s1027" style="position:absolute;top:8596;width:1939;height:2032;rotation:9069421fd;visibility:visible;mso-wrap-style:square;v-text-anchor:middle" coordsize="193964,203200"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" path="m,101600c,45488,43420,,96982,r96982,l193964,101600v,56112,-43420,101600,-96982,101600c43420,203200,,157712,,101600xe" fillcolor="black" stroked="f" strokeweight="1.5pt">
                  <v:stroke joinstyle="miter"/>
                  <v:path arrowok="t" o:connecttype="custom" o:connectlocs="0,101600;96982,0;193964,0;193964,101600;96982,203200;0,101600" o:connectangles="0,0,0,0,0,0"/>
                </v:shape>
                <v:shape id="Flowchart: Connector 838388566" o:spid="_x0000_s1028" type="#_x0000_t120" style="position:absolute;left:635;top:9261;width:704;height:70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" stroked="f" strokeweight="1.5pt">
                  <v:stroke joinstyle="miter"/>
                  <v:textbox inset="7pt,7pt,7pt,7pt"/>
                </v:shape>
              </v:group>
            </w:pict>
          </mc:Fallback>
        </mc:AlternateContent>
      </w:r>
      <w:r w:rsidRPr="00AD497B">
        <w:rPr>
          <w:noProof/>
        </w:rPr>
        <mc:AlternateContent>
          <mc:Choice Requires="wpg">
            <w:drawing>
              <wp:anchor distT="0" distB="0" distL="114300" distR="114300" simplePos="0" relativeHeight="251677184" behindDoc="0" locked="0" layoutInCell="1" allowOverlap="1" wp14:anchorId="7D226ED3" wp14:editId="6EFF5C8E">
                <wp:simplePos x="0" y="0"/>
                <wp:positionH relativeFrom="column">
                  <wp:posOffset>1750060</wp:posOffset>
                </wp:positionH>
                <wp:positionV relativeFrom="paragraph">
                  <wp:posOffset>867410</wp:posOffset>
                </wp:positionV>
                <wp:extent cx="193964" cy="203200"/>
                <wp:effectExtent l="19050" t="0" r="15875" b="44450"/>
                <wp:wrapNone/>
                <wp:docPr id="838388567" name="Group 8383885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3964" cy="203200"/>
                          <a:chOff x="1750355" y="868120"/>
                          <a:chExt cx="193964" cy="203200"/>
                        </a:xfrm>
                      </wpg:grpSpPr>
                      <wps:wsp>
                        <wps:cNvPr id="838388569" name="Teardrop 838388569"/>
                        <wps:cNvSpPr/>
                        <wps:spPr bwMode="gray">
                          <a:xfrm rot="8303303">
                            <a:off x="1750355" y="868120"/>
                            <a:ext cx="193964" cy="203200"/>
                          </a:xfrm>
                          <a:prstGeom prst="teardrop">
                            <a:avLst/>
                          </a:prstGeom>
                          <a:solidFill>
                            <a:srgbClr val="087138"/>
                          </a:solidFill>
                          <a:ln w="19050" algn="ctr">
                            <a:noFill/>
                            <a:miter lim="800000"/>
                            <a:headEnd/>
                            <a:tailEnd/>
                          </a:ln>
                        </wps:spPr>
                        <wps:bodyPr wrap="square" lIns="88900" tIns="88900" rIns="88900" bIns="88900" rtlCol="0" anchor="ctr"/>
                      </wps:wsp>
                      <wps:wsp>
                        <wps:cNvPr id="838388570" name="Flowchart: Connector 838388570"/>
                        <wps:cNvSpPr/>
                        <wps:spPr bwMode="gray">
                          <a:xfrm>
                            <a:off x="1813951" y="932359"/>
                            <a:ext cx="70330" cy="70330"/>
                          </a:xfrm>
                          <a:prstGeom prst="flowChartConnector">
                            <a:avLst/>
                          </a:prstGeom>
                          <a:solidFill>
                            <a:srgbClr val="FFFFFF"/>
                          </a:solidFill>
                          <a:ln w="19050" algn="ctr">
                            <a:noFill/>
                            <a:miter lim="800000"/>
                            <a:headEnd/>
                            <a:tailEnd/>
                          </a:ln>
                        </wps:spPr>
                        <wps:bodyPr wrap="square" lIns="88900" tIns="88900" rIns="88900" bIns="88900" rtlCol="0" anchor="ctr"/>
                      </wps:wsp>
                    </wpg:wgp>
                  </a:graphicData>
                </a:graphic>
              </wp:anchor>
            </w:drawing>
          </mc:Choice>
          <mc:Fallback>
            <w:pict>
              <v:group w14:anchorId="674F0975" id="Group 838388567" o:spid="_x0000_s1026" alt="&quot;&quot;" style="position:absolute;margin-left:137.8pt;margin-top:68.3pt;width:15.25pt;height:16pt;z-index:251677184" coordorigin="17503,8681" coordsize="1939,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">
                <v:shape id="Teardrop 838388569" o:spid="_x0000_s1027" style="position:absolute;left:17503;top:8681;width:1940;height:2032;rotation:9069421fd;visibility:visible;mso-wrap-style:square;v-text-anchor:middle" coordsize="193964,203200"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" path="m,101600c,45488,43420,,96982,r96982,l193964,101600v,56112,-43420,101600,-96982,101600c43420,203200,,157712,,101600xe" fillcolor="#087138" stroked="f" strokeweight="1.5pt">
                  <v:stroke joinstyle="miter"/>
                  <v:path arrowok="t" o:connecttype="custom" o:connectlocs="0,101600;96982,0;193964,0;193964,101600;96982,203200;0,101600" o:connectangles="0,0,0,0,0,0"/>
                </v:shape>
                <v:shape id="Flowchart: Connector 838388570" o:spid="_x0000_s1028" type="#_x0000_t120" style="position:absolute;left:18139;top:9323;width:703;height:70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" stroked="f" strokeweight="1.5pt">
                  <v:stroke joinstyle="miter"/>
                  <v:textbox inset="7pt,7pt,7pt,7pt"/>
                </v:shape>
              </v:group>
            </w:pict>
          </mc:Fallback>
        </mc:AlternateContent>
      </w:r>
      <w:r w:rsidRPr="00AD497B">
        <w:rPr>
          <w:noProof/>
        </w:rPr>
        <mc:AlternateContent>
          <mc:Choice Requires="wps">
            <w:drawing>
              <wp:anchor distT="0" distB="0" distL="114300" distR="114300" simplePos="0" relativeHeight="251628032" behindDoc="0" locked="0" layoutInCell="1" allowOverlap="1" wp14:anchorId="56718EC0" wp14:editId="13333283">
                <wp:simplePos x="0" y="0"/>
                <wp:positionH relativeFrom="column">
                  <wp:posOffset>299720</wp:posOffset>
                </wp:positionH>
                <wp:positionV relativeFrom="paragraph">
                  <wp:posOffset>43815</wp:posOffset>
                </wp:positionV>
                <wp:extent cx="1671782" cy="184666"/>
                <wp:effectExtent l="0" t="0" r="0" b="0"/>
                <wp:wrapNone/>
                <wp:docPr id="838388571" name="Text Box 838388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71782" cy="184666"/>
                        </a:xfrm>
                        <a:prstGeom prst="rect">
                          <a:avLst/>
                        </a:prstGeom>
                        <a:noFill/>
                      </wps:spPr>
                      <wps:txbx>
                        <w:txbxContent>
                          <w:p w14:paraId="0B12CB01"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SNAICC visits</w:t>
                            </w:r>
                          </w:p>
                        </w:txbxContent>
                      </wps:txbx>
                      <wps:bodyPr wrap="square" lIns="0" tIns="0" rIns="0" bIns="0" rtlCol="0">
                        <a:spAutoFit/>
                      </wps:bodyPr>
                    </wps:wsp>
                  </a:graphicData>
                </a:graphic>
              </wp:anchor>
            </w:drawing>
          </mc:Choice>
          <mc:Fallback>
            <w:pict>
              <v:shape w14:anchorId="56718EC0" id="Text Box 838388571" o:spid="_x0000_s1029" type="#_x0000_t202" alt="&quot;&quot;" style="position:absolute;margin-left:23.6pt;margin-top:3.45pt;width:131.65pt;height:14.55pt;z-index:25162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" filled="f" stroked="f">
                <v:textbox style="mso-fit-shape-to-text:t" inset="0,0,0,0">
                  <w:txbxContent>
                    <w:p w14:paraId="0B12CB01"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SNAICC visits</w:t>
                      </w:r>
                    </w:p>
                  </w:txbxContent>
                </v:textbox>
              </v:shape>
            </w:pict>
          </mc:Fallback>
        </mc:AlternateContent>
      </w:r>
      <w:r w:rsidRPr="00AD497B">
        <w:rPr>
          <w:noProof/>
        </w:rPr>
        <mc:AlternateContent>
          <mc:Choice Requires="wps">
            <w:drawing>
              <wp:anchor distT="0" distB="0" distL="114300" distR="114300" simplePos="0" relativeHeight="251631104" behindDoc="0" locked="0" layoutInCell="1" allowOverlap="1" wp14:anchorId="5095341A" wp14:editId="2E257FF7">
                <wp:simplePos x="0" y="0"/>
                <wp:positionH relativeFrom="column">
                  <wp:posOffset>299720</wp:posOffset>
                </wp:positionH>
                <wp:positionV relativeFrom="paragraph">
                  <wp:posOffset>442595</wp:posOffset>
                </wp:positionV>
                <wp:extent cx="1671782" cy="184666"/>
                <wp:effectExtent l="0" t="0" r="0" b="0"/>
                <wp:wrapNone/>
                <wp:docPr id="838388573" name="Text Box 8383885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71782" cy="184666"/>
                        </a:xfrm>
                        <a:prstGeom prst="rect">
                          <a:avLst/>
                        </a:prstGeom>
                        <a:noFill/>
                      </wps:spPr>
                      <wps:txbx>
                        <w:txbxContent>
                          <w:p w14:paraId="6B0296AA"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Murawin visits</w:t>
                            </w:r>
                          </w:p>
                        </w:txbxContent>
                      </wps:txbx>
                      <wps:bodyPr wrap="square" lIns="0" tIns="0" rIns="0" bIns="0" rtlCol="0">
                        <a:spAutoFit/>
                      </wps:bodyPr>
                    </wps:wsp>
                  </a:graphicData>
                </a:graphic>
              </wp:anchor>
            </w:drawing>
          </mc:Choice>
          <mc:Fallback>
            <w:pict>
              <v:shape w14:anchorId="5095341A" id="Text Box 838388573" o:spid="_x0000_s1030" type="#_x0000_t202" alt="&quot;&quot;" style="position:absolute;margin-left:23.6pt;margin-top:34.85pt;width:131.65pt;height:14.5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" filled="f" stroked="f">
                <v:textbox style="mso-fit-shape-to-text:t" inset="0,0,0,0">
                  <w:txbxContent>
                    <w:p w14:paraId="6B0296AA"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Murawin visits</w:t>
                      </w:r>
                    </w:p>
                  </w:txbxContent>
                </v:textbox>
              </v:shape>
            </w:pict>
          </mc:Fallback>
        </mc:AlternateContent>
      </w:r>
      <w:r w:rsidRPr="00AD497B">
        <w:rPr>
          <w:noProof/>
        </w:rPr>
        <mc:AlternateContent>
          <mc:Choice Requires="wps">
            <w:drawing>
              <wp:anchor distT="0" distB="0" distL="114300" distR="114300" simplePos="0" relativeHeight="251634176" behindDoc="0" locked="0" layoutInCell="1" allowOverlap="1" wp14:anchorId="246760D3" wp14:editId="6FAAFF4B">
                <wp:simplePos x="0" y="0"/>
                <wp:positionH relativeFrom="column">
                  <wp:posOffset>299720</wp:posOffset>
                </wp:positionH>
                <wp:positionV relativeFrom="paragraph">
                  <wp:posOffset>860425</wp:posOffset>
                </wp:positionV>
                <wp:extent cx="1344267" cy="184666"/>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44267" cy="184666"/>
                        </a:xfrm>
                        <a:prstGeom prst="rect">
                          <a:avLst/>
                        </a:prstGeom>
                        <a:noFill/>
                      </wps:spPr>
                      <wps:txbx>
                        <w:txbxContent>
                          <w:p w14:paraId="5D5AE587"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DAE visits</w:t>
                            </w:r>
                          </w:p>
                        </w:txbxContent>
                      </wps:txbx>
                      <wps:bodyPr wrap="square" lIns="0" tIns="0" rIns="0" bIns="0" rtlCol="0">
                        <a:spAutoFit/>
                      </wps:bodyPr>
                    </wps:wsp>
                  </a:graphicData>
                </a:graphic>
              </wp:anchor>
            </w:drawing>
          </mc:Choice>
          <mc:Fallback>
            <w:pict>
              <v:shape w14:anchorId="246760D3" id="Text Box 12" o:spid="_x0000_s1031" type="#_x0000_t202" alt="&quot;&quot;" style="position:absolute;margin-left:23.6pt;margin-top:67.75pt;width:105.85pt;height:14.55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" filled="f" stroked="f">
                <v:textbox style="mso-fit-shape-to-text:t" inset="0,0,0,0">
                  <w:txbxContent>
                    <w:p w14:paraId="5D5AE587"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DAE visits</w:t>
                      </w:r>
                    </w:p>
                  </w:txbxContent>
                </v:textbox>
              </v:shape>
            </w:pict>
          </mc:Fallback>
        </mc:AlternateContent>
      </w:r>
      <w:r w:rsidRPr="00AD497B">
        <w:rPr>
          <w:noProof/>
        </w:rPr>
        <mc:AlternateContent>
          <mc:Choice Requires="wps">
            <w:drawing>
              <wp:anchor distT="0" distB="0" distL="114300" distR="114300" simplePos="0" relativeHeight="251637248" behindDoc="0" locked="0" layoutInCell="1" allowOverlap="1" wp14:anchorId="1741F811" wp14:editId="0E10D4EA">
                <wp:simplePos x="0" y="0"/>
                <wp:positionH relativeFrom="column">
                  <wp:posOffset>2049780</wp:posOffset>
                </wp:positionH>
                <wp:positionV relativeFrom="paragraph">
                  <wp:posOffset>874395</wp:posOffset>
                </wp:positionV>
                <wp:extent cx="1916702" cy="184666"/>
                <wp:effectExtent l="0" t="0" r="0" b="0"/>
                <wp:wrapNone/>
                <wp:docPr id="838388576" name="Text Box 8383885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16702" cy="184666"/>
                        </a:xfrm>
                        <a:prstGeom prst="rect">
                          <a:avLst/>
                        </a:prstGeom>
                        <a:noFill/>
                      </wps:spPr>
                      <wps:txbx>
                        <w:txbxContent>
                          <w:p w14:paraId="032449EF"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DAE virtual consultations</w:t>
                            </w:r>
                          </w:p>
                        </w:txbxContent>
                      </wps:txbx>
                      <wps:bodyPr wrap="square" lIns="0" tIns="0" rIns="0" bIns="0" rtlCol="0">
                        <a:spAutoFit/>
                      </wps:bodyPr>
                    </wps:wsp>
                  </a:graphicData>
                </a:graphic>
              </wp:anchor>
            </w:drawing>
          </mc:Choice>
          <mc:Fallback>
            <w:pict>
              <v:shape w14:anchorId="1741F811" id="Text Box 838388576" o:spid="_x0000_s1032" type="#_x0000_t202" alt="&quot;&quot;" style="position:absolute;margin-left:161.4pt;margin-top:68.85pt;width:150.9pt;height:14.55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" filled="f" stroked="f">
                <v:textbox style="mso-fit-shape-to-text:t" inset="0,0,0,0">
                  <w:txbxContent>
                    <w:p w14:paraId="032449EF"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DAE virtual consultations</w:t>
                      </w:r>
                    </w:p>
                  </w:txbxContent>
                </v:textbox>
              </v:shape>
            </w:pict>
          </mc:Fallback>
        </mc:AlternateContent>
      </w:r>
      <w:r w:rsidRPr="00AD497B">
        <w:rPr>
          <w:noProof/>
        </w:rPr>
        <mc:AlternateContent>
          <mc:Choice Requires="wps">
            <w:drawing>
              <wp:anchor distT="0" distB="0" distL="114300" distR="114300" simplePos="0" relativeHeight="251649536" behindDoc="0" locked="0" layoutInCell="1" allowOverlap="1" wp14:anchorId="3235501C" wp14:editId="21F7F953">
                <wp:simplePos x="0" y="0"/>
                <wp:positionH relativeFrom="column">
                  <wp:posOffset>59690</wp:posOffset>
                </wp:positionH>
                <wp:positionV relativeFrom="paragraph">
                  <wp:posOffset>60960</wp:posOffset>
                </wp:positionV>
                <wp:extent cx="70330" cy="70330"/>
                <wp:effectExtent l="0" t="0" r="6350" b="6350"/>
                <wp:wrapNone/>
                <wp:docPr id="838388579" name="Flowchart: Connector 8383885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70330" cy="70330"/>
                        </a:xfrm>
                        <a:prstGeom prst="flowChartConnector">
                          <a:avLst/>
                        </a:prstGeom>
                        <a:solidFill>
                          <a:srgbClr val="FFFFFF"/>
                        </a:solidFill>
                        <a:ln w="19050" algn="ctr">
                          <a:noFill/>
                          <a:miter lim="800000"/>
                          <a:headEnd/>
                          <a:tailEnd/>
                        </a:ln>
                      </wps:spPr>
                      <wps:bodyPr wrap="square" lIns="88900" tIns="88900" rIns="88900" bIns="88900" rtlCol="0" anchor="ctr"/>
                    </wps:wsp>
                  </a:graphicData>
                </a:graphic>
              </wp:anchor>
            </w:drawing>
          </mc:Choice>
          <mc:Fallback>
            <w:pict>
              <v:shape w14:anchorId="7CC62C29" id="Flowchart: Connector 838388579" o:spid="_x0000_s1026" type="#_x0000_t120" alt="&quot;&quot;" style="position:absolute;margin-left:4.7pt;margin-top:4.8pt;width:5.55pt;height:5.55pt;z-index:251649536;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" stroked="f" strokeweight="1.5pt">
                <v:stroke joinstyle="miter"/>
                <v:textbox inset="7pt,7pt,7pt,7pt"/>
              </v:shape>
            </w:pict>
          </mc:Fallback>
        </mc:AlternateContent>
      </w:r>
      <w:r w:rsidRPr="00AD497B">
        <w:rPr>
          <w:noProof/>
        </w:rPr>
        <mc:AlternateContent>
          <mc:Choice Requires="wpg">
            <w:drawing>
              <wp:anchor distT="0" distB="0" distL="114300" distR="114300" simplePos="0" relativeHeight="251680256" behindDoc="0" locked="0" layoutInCell="1" allowOverlap="1" wp14:anchorId="6BF03EEE" wp14:editId="65C99DF5">
                <wp:simplePos x="0" y="0"/>
                <wp:positionH relativeFrom="column">
                  <wp:posOffset>1750060</wp:posOffset>
                </wp:positionH>
                <wp:positionV relativeFrom="paragraph">
                  <wp:posOffset>29210</wp:posOffset>
                </wp:positionV>
                <wp:extent cx="193964" cy="203200"/>
                <wp:effectExtent l="19050" t="0" r="15875" b="44450"/>
                <wp:wrapNone/>
                <wp:docPr id="838388580" name="Group 8383885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3964" cy="203200"/>
                          <a:chOff x="1750355" y="29918"/>
                          <a:chExt cx="193964" cy="203200"/>
                        </a:xfrm>
                        <a:solidFill>
                          <a:srgbClr val="9C27B0"/>
                        </a:solidFill>
                      </wpg:grpSpPr>
                      <wps:wsp>
                        <wps:cNvPr id="838388581" name="Teardrop 838388581"/>
                        <wps:cNvSpPr/>
                        <wps:spPr bwMode="gray">
                          <a:xfrm rot="8303303">
                            <a:off x="1750355" y="29918"/>
                            <a:ext cx="193964" cy="203200"/>
                          </a:xfrm>
                          <a:prstGeom prst="teardrop">
                            <a:avLst/>
                          </a:prstGeom>
                          <a:grpFill/>
                          <a:ln w="19050" algn="ctr">
                            <a:noFill/>
                            <a:miter lim="800000"/>
                            <a:headEnd/>
                            <a:tailEnd/>
                          </a:ln>
                        </wps:spPr>
                        <wps:bodyPr wrap="square" lIns="88900" tIns="88900" rIns="88900" bIns="88900" rtlCol="0" anchor="ctr"/>
                      </wps:wsp>
                      <wps:wsp>
                        <wps:cNvPr id="838388582" name="Flowchart: Connector 838388582"/>
                        <wps:cNvSpPr/>
                        <wps:spPr bwMode="gray">
                          <a:xfrm>
                            <a:off x="1813951" y="94157"/>
                            <a:ext cx="70330" cy="70330"/>
                          </a:xfrm>
                          <a:prstGeom prst="flowChartConnector">
                            <a:avLst/>
                          </a:prstGeom>
                          <a:grpFill/>
                          <a:ln w="19050" algn="ctr">
                            <a:noFill/>
                            <a:miter lim="800000"/>
                            <a:headEnd/>
                            <a:tailEnd/>
                          </a:ln>
                        </wps:spPr>
                        <wps:bodyPr wrap="square" lIns="88900" tIns="88900" rIns="88900" bIns="88900" rtlCol="0" anchor="ctr"/>
                      </wps:wsp>
                    </wpg:wgp>
                  </a:graphicData>
                </a:graphic>
              </wp:anchor>
            </w:drawing>
          </mc:Choice>
          <mc:Fallback>
            <w:pict>
              <v:group w14:anchorId="0CFDD5BF" id="Group 838388580" o:spid="_x0000_s1026" alt="&quot;&quot;" style="position:absolute;margin-left:137.8pt;margin-top:2.3pt;width:15.25pt;height:16pt;z-index:251680256" coordorigin="17503,299" coordsize="1939,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">
                <v:shape id="Teardrop 838388581" o:spid="_x0000_s1027" style="position:absolute;left:17503;top:299;width:1940;height:2032;rotation:9069421fd;visibility:visible;mso-wrap-style:square;v-text-anchor:middle" coordsize="193964,203200"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" path="m,101600c,45488,43420,,96982,r96982,l193964,101600v,56112,-43420,101600,-96982,101600c43420,203200,,157712,,101600xe" filled="f" stroked="f" strokeweight="1.5pt">
                  <v:stroke joinstyle="miter"/>
                  <v:path arrowok="t" o:connecttype="custom" o:connectlocs="0,101600;96982,0;193964,0;193964,101600;96982,203200;0,101600" o:connectangles="0,0,0,0,0,0"/>
                </v:shape>
                <v:shape id="Flowchart: Connector 838388582" o:spid="_x0000_s1028" type="#_x0000_t120" style="position:absolute;left:18139;top:941;width:703;height:70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" filled="f" stroked="f" strokeweight="1.5pt">
                  <v:stroke joinstyle="miter"/>
                  <v:textbox inset="7pt,7pt,7pt,7pt"/>
                </v:shape>
              </v:group>
            </w:pict>
          </mc:Fallback>
        </mc:AlternateContent>
      </w:r>
      <w:r w:rsidRPr="00AD497B">
        <w:rPr>
          <w:noProof/>
        </w:rPr>
        <mc:AlternateContent>
          <mc:Choice Requires="wps">
            <w:drawing>
              <wp:anchor distT="0" distB="0" distL="114300" distR="114300" simplePos="0" relativeHeight="251640320" behindDoc="0" locked="0" layoutInCell="1" allowOverlap="1" wp14:anchorId="10A84746" wp14:editId="36C4C171">
                <wp:simplePos x="0" y="0"/>
                <wp:positionH relativeFrom="column">
                  <wp:posOffset>2049780</wp:posOffset>
                </wp:positionH>
                <wp:positionV relativeFrom="paragraph">
                  <wp:posOffset>36195</wp:posOffset>
                </wp:positionV>
                <wp:extent cx="1916702" cy="184666"/>
                <wp:effectExtent l="0" t="0" r="0" b="0"/>
                <wp:wrapNone/>
                <wp:docPr id="838388583" name="Text Box 8383885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16702" cy="184666"/>
                        </a:xfrm>
                        <a:prstGeom prst="rect">
                          <a:avLst/>
                        </a:prstGeom>
                        <a:noFill/>
                      </wps:spPr>
                      <wps:txbx>
                        <w:txbxContent>
                          <w:p w14:paraId="2234F9CB"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SNAICC virtual consultations</w:t>
                            </w:r>
                          </w:p>
                        </w:txbxContent>
                      </wps:txbx>
                      <wps:bodyPr wrap="square" lIns="0" tIns="0" rIns="0" bIns="0" rtlCol="0">
                        <a:spAutoFit/>
                      </wps:bodyPr>
                    </wps:wsp>
                  </a:graphicData>
                </a:graphic>
              </wp:anchor>
            </w:drawing>
          </mc:Choice>
          <mc:Fallback>
            <w:pict>
              <v:shape w14:anchorId="10A84746" id="Text Box 838388583" o:spid="_x0000_s1033" type="#_x0000_t202" alt="&quot;&quot;" style="position:absolute;margin-left:161.4pt;margin-top:2.85pt;width:150.9pt;height:14.5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" filled="f" stroked="f">
                <v:textbox style="mso-fit-shape-to-text:t" inset="0,0,0,0">
                  <w:txbxContent>
                    <w:p w14:paraId="2234F9CB"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SNAICC virtual consultations</w:t>
                      </w:r>
                    </w:p>
                  </w:txbxContent>
                </v:textbox>
              </v:shape>
            </w:pict>
          </mc:Fallback>
        </mc:AlternateContent>
      </w:r>
      <w:r w:rsidRPr="00AD497B">
        <w:rPr>
          <w:noProof/>
        </w:rPr>
        <mc:AlternateContent>
          <mc:Choice Requires="wps">
            <w:drawing>
              <wp:anchor distT="0" distB="0" distL="114300" distR="114300" simplePos="0" relativeHeight="251643392" behindDoc="0" locked="0" layoutInCell="1" allowOverlap="1" wp14:anchorId="2F9CAA0E" wp14:editId="7D5CA241">
                <wp:simplePos x="0" y="0"/>
                <wp:positionH relativeFrom="column">
                  <wp:posOffset>1813560</wp:posOffset>
                </wp:positionH>
                <wp:positionV relativeFrom="paragraph">
                  <wp:posOffset>100965</wp:posOffset>
                </wp:positionV>
                <wp:extent cx="70330" cy="70330"/>
                <wp:effectExtent l="0" t="0" r="6350" b="6350"/>
                <wp:wrapNone/>
                <wp:docPr id="838388584" name="Flowchart: Connector 8383885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70330" cy="70330"/>
                        </a:xfrm>
                        <a:prstGeom prst="flowChartConnector">
                          <a:avLst/>
                        </a:prstGeom>
                        <a:solidFill>
                          <a:srgbClr val="FFFFFF"/>
                        </a:solidFill>
                        <a:ln w="19050" algn="ctr">
                          <a:noFill/>
                          <a:miter lim="800000"/>
                          <a:headEnd/>
                          <a:tailEnd/>
                        </a:ln>
                      </wps:spPr>
                      <wps:bodyPr wrap="square" lIns="88900" tIns="88900" rIns="88900" bIns="88900" rtlCol="0" anchor="ctr"/>
                    </wps:wsp>
                  </a:graphicData>
                </a:graphic>
              </wp:anchor>
            </w:drawing>
          </mc:Choice>
          <mc:Fallback>
            <w:pict>
              <v:shape w14:anchorId="691CBD01" id="Flowchart: Connector 838388584" o:spid="_x0000_s1026" type="#_x0000_t120" alt="&quot;&quot;" style="position:absolute;margin-left:142.8pt;margin-top:7.95pt;width:5.55pt;height:5.55pt;z-index:251643392;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" stroked="f" strokeweight="1.5pt">
                <v:stroke joinstyle="miter"/>
                <v:textbox inset="7pt,7pt,7pt,7pt"/>
              </v:shape>
            </w:pict>
          </mc:Fallback>
        </mc:AlternateContent>
      </w:r>
      <w:r w:rsidRPr="00AD497B">
        <w:rPr>
          <w:noProof/>
        </w:rPr>
        <mc:AlternateContent>
          <mc:Choice Requires="wpg">
            <w:drawing>
              <wp:anchor distT="0" distB="0" distL="114300" distR="114300" simplePos="0" relativeHeight="251683328" behindDoc="0" locked="0" layoutInCell="1" allowOverlap="1" wp14:anchorId="07029150" wp14:editId="42B1D7E0">
                <wp:simplePos x="0" y="0"/>
                <wp:positionH relativeFrom="column">
                  <wp:posOffset>1750060</wp:posOffset>
                </wp:positionH>
                <wp:positionV relativeFrom="paragraph">
                  <wp:posOffset>433705</wp:posOffset>
                </wp:positionV>
                <wp:extent cx="193964" cy="203200"/>
                <wp:effectExtent l="19050" t="0" r="15875" b="44450"/>
                <wp:wrapNone/>
                <wp:docPr id="838388585" name="Group 8383885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3964" cy="203200"/>
                          <a:chOff x="1750355" y="434593"/>
                          <a:chExt cx="193964" cy="203200"/>
                        </a:xfrm>
                        <a:solidFill>
                          <a:srgbClr val="FFE555"/>
                        </a:solidFill>
                      </wpg:grpSpPr>
                      <wps:wsp>
                        <wps:cNvPr id="838388586" name="Teardrop 838388586"/>
                        <wps:cNvSpPr/>
                        <wps:spPr bwMode="gray">
                          <a:xfrm rot="8303303">
                            <a:off x="1750355" y="434593"/>
                            <a:ext cx="193964" cy="203200"/>
                          </a:xfrm>
                          <a:prstGeom prst="teardrop">
                            <a:avLst/>
                          </a:prstGeom>
                          <a:grpFill/>
                          <a:ln w="19050" algn="ctr">
                            <a:noFill/>
                            <a:miter lim="800000"/>
                            <a:headEnd/>
                            <a:tailEnd/>
                          </a:ln>
                        </wps:spPr>
                        <wps:bodyPr wrap="square" lIns="88900" tIns="88900" rIns="88900" bIns="88900" rtlCol="0" anchor="ctr"/>
                      </wps:wsp>
                      <wps:wsp>
                        <wps:cNvPr id="838388587" name="Flowchart: Connector 838388587"/>
                        <wps:cNvSpPr/>
                        <wps:spPr bwMode="gray">
                          <a:xfrm>
                            <a:off x="1813951" y="501028"/>
                            <a:ext cx="70330" cy="70330"/>
                          </a:xfrm>
                          <a:prstGeom prst="flowChartConnector">
                            <a:avLst/>
                          </a:prstGeom>
                          <a:grpFill/>
                          <a:ln w="19050" algn="ctr">
                            <a:noFill/>
                            <a:miter lim="800000"/>
                            <a:headEnd/>
                            <a:tailEnd/>
                          </a:ln>
                        </wps:spPr>
                        <wps:bodyPr wrap="square" lIns="88900" tIns="88900" rIns="88900" bIns="88900" rtlCol="0" anchor="ctr"/>
                      </wps:wsp>
                    </wpg:wgp>
                  </a:graphicData>
                </a:graphic>
              </wp:anchor>
            </w:drawing>
          </mc:Choice>
          <mc:Fallback>
            <w:pict>
              <v:group w14:anchorId="2974AB76" id="Group 838388585" o:spid="_x0000_s1026" alt="&quot;&quot;" style="position:absolute;margin-left:137.8pt;margin-top:34.15pt;width:15.25pt;height:16pt;z-index:251683328" coordorigin="17503,4345" coordsize="1939,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">
                <v:shape id="Teardrop 838388586" o:spid="_x0000_s1027" style="position:absolute;left:17503;top:4345;width:1940;height:2032;rotation:9069421fd;visibility:visible;mso-wrap-style:square;v-text-anchor:middle" coordsize="193964,203200"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" path="m,101600c,45488,43420,,96982,r96982,l193964,101600v,56112,-43420,101600,-96982,101600c43420,203200,,157712,,101600xe" filled="f" stroked="f" strokeweight="1.5pt">
                  <v:stroke joinstyle="miter"/>
                  <v:path arrowok="t" o:connecttype="custom" o:connectlocs="0,101600;96982,0;193964,0;193964,101600;96982,203200;0,101600" o:connectangles="0,0,0,0,0,0"/>
                </v:shape>
                <v:shape id="Flowchart: Connector 838388587" o:spid="_x0000_s1028" type="#_x0000_t120" style="position:absolute;left:18139;top:5010;width:703;height:70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" filled="f" stroked="f" strokeweight="1.5pt">
                  <v:stroke joinstyle="miter"/>
                  <v:textbox inset="7pt,7pt,7pt,7pt"/>
                </v:shape>
              </v:group>
            </w:pict>
          </mc:Fallback>
        </mc:AlternateContent>
      </w:r>
      <w:r w:rsidRPr="00AD497B">
        <w:rPr>
          <w:noProof/>
        </w:rPr>
        <mc:AlternateContent>
          <mc:Choice Requires="wps">
            <w:drawing>
              <wp:anchor distT="0" distB="0" distL="114300" distR="114300" simplePos="0" relativeHeight="251646464" behindDoc="0" locked="0" layoutInCell="1" allowOverlap="1" wp14:anchorId="2FA3E754" wp14:editId="353DDAE0">
                <wp:simplePos x="0" y="0"/>
                <wp:positionH relativeFrom="column">
                  <wp:posOffset>2054225</wp:posOffset>
                </wp:positionH>
                <wp:positionV relativeFrom="paragraph">
                  <wp:posOffset>442595</wp:posOffset>
                </wp:positionV>
                <wp:extent cx="1912553" cy="184666"/>
                <wp:effectExtent l="0" t="0" r="0" b="0"/>
                <wp:wrapNone/>
                <wp:docPr id="838388588" name="Text Box 8383885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12553" cy="184666"/>
                        </a:xfrm>
                        <a:prstGeom prst="rect">
                          <a:avLst/>
                        </a:prstGeom>
                        <a:noFill/>
                      </wps:spPr>
                      <wps:txbx>
                        <w:txbxContent>
                          <w:p w14:paraId="655F9B6A"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Murawin virtual consultations</w:t>
                            </w:r>
                          </w:p>
                        </w:txbxContent>
                      </wps:txbx>
                      <wps:bodyPr wrap="square" lIns="0" tIns="0" rIns="0" bIns="0" rtlCol="0">
                        <a:spAutoFit/>
                      </wps:bodyPr>
                    </wps:wsp>
                  </a:graphicData>
                </a:graphic>
              </wp:anchor>
            </w:drawing>
          </mc:Choice>
          <mc:Fallback>
            <w:pict>
              <v:shape w14:anchorId="2FA3E754" id="Text Box 838388588" o:spid="_x0000_s1034" type="#_x0000_t202" alt="&quot;&quot;" style="position:absolute;margin-left:161.75pt;margin-top:34.85pt;width:150.6pt;height:14.55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" filled="f" stroked="f">
                <v:textbox style="mso-fit-shape-to-text:t" inset="0,0,0,0">
                  <w:txbxContent>
                    <w:p w14:paraId="655F9B6A" w14:textId="77777777" w:rsidR="00824897" w:rsidRDefault="00824897" w:rsidP="00824897">
                      <w:pPr>
                        <w:spacing w:after="267"/>
                        <w:textAlignment w:val="baseline"/>
                        <w:rPr>
                          <w:rFonts w:ascii="Calibri" w:hAnsi="Calibri"/>
                          <w:color w:val="000000"/>
                          <w:kern w:val="24"/>
                          <w:sz w:val="24"/>
                          <w:szCs w:val="24"/>
                        </w:rPr>
                      </w:pPr>
                      <w:r>
                        <w:rPr>
                          <w:rFonts w:ascii="Calibri" w:hAnsi="Calibri"/>
                          <w:color w:val="000000"/>
                          <w:kern w:val="24"/>
                        </w:rPr>
                        <w:t>Murawin virtual consultations</w:t>
                      </w:r>
                    </w:p>
                  </w:txbxContent>
                </v:textbox>
              </v:shape>
            </w:pict>
          </mc:Fallback>
        </mc:AlternateContent>
      </w:r>
      <w:r w:rsidRPr="00AD497B">
        <w:rPr>
          <w:noProof/>
        </w:rPr>
        <mc:AlternateContent>
          <mc:Choice Requires="wps">
            <w:drawing>
              <wp:anchor distT="0" distB="0" distL="114300" distR="114300" simplePos="0" relativeHeight="251652608" behindDoc="0" locked="0" layoutInCell="1" allowOverlap="1" wp14:anchorId="7867EF71" wp14:editId="34A8CBFF">
                <wp:simplePos x="0" y="0"/>
                <wp:positionH relativeFrom="column">
                  <wp:posOffset>1809750</wp:posOffset>
                </wp:positionH>
                <wp:positionV relativeFrom="paragraph">
                  <wp:posOffset>507365</wp:posOffset>
                </wp:positionV>
                <wp:extent cx="70330" cy="70330"/>
                <wp:effectExtent l="0" t="0" r="6350" b="6350"/>
                <wp:wrapNone/>
                <wp:docPr id="838388589" name="Flowchart: Connector 838388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70330" cy="70330"/>
                        </a:xfrm>
                        <a:prstGeom prst="flowChartConnector">
                          <a:avLst/>
                        </a:prstGeom>
                        <a:solidFill>
                          <a:srgbClr val="FFFFFF"/>
                        </a:solidFill>
                        <a:ln w="19050" algn="ctr">
                          <a:noFill/>
                          <a:miter lim="800000"/>
                          <a:headEnd/>
                          <a:tailEnd/>
                        </a:ln>
                      </wps:spPr>
                      <wps:bodyPr wrap="square" lIns="88900" tIns="88900" rIns="88900" bIns="88900" rtlCol="0" anchor="ctr"/>
                    </wps:wsp>
                  </a:graphicData>
                </a:graphic>
              </wp:anchor>
            </w:drawing>
          </mc:Choice>
          <mc:Fallback>
            <w:pict>
              <v:shape w14:anchorId="1B24A325" id="Flowchart: Connector 838388589" o:spid="_x0000_s1026" type="#_x0000_t120" alt="&quot;&quot;" style="position:absolute;margin-left:142.5pt;margin-top:39.95pt;width:5.55pt;height:5.55pt;z-index:251652608;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" stroked="f" strokeweight="1.5pt">
                <v:stroke joinstyle="miter"/>
                <v:textbox inset="7pt,7pt,7pt,7pt"/>
              </v:shape>
            </w:pict>
          </mc:Fallback>
        </mc:AlternateContent>
      </w:r>
    </w:p>
    <w:p w14:paraId="2B8BAF5D" w14:textId="77777777" w:rsidR="00824897" w:rsidRDefault="00824897" w:rsidP="00824897">
      <w:pPr>
        <w:rPr>
          <w:b/>
          <w:bCs/>
          <w:i/>
          <w:iCs/>
        </w:rPr>
      </w:pPr>
    </w:p>
    <w:p w14:paraId="28D34FAA" w14:textId="77777777" w:rsidR="00824897" w:rsidRDefault="00824897" w:rsidP="00824897">
      <w:pPr>
        <w:rPr>
          <w:b/>
          <w:bCs/>
          <w:i/>
          <w:iCs/>
        </w:rPr>
      </w:pPr>
    </w:p>
    <w:p w14:paraId="4DA3EE2B" w14:textId="77777777" w:rsidR="00824897" w:rsidRDefault="00824897" w:rsidP="00824897">
      <w:pPr>
        <w:rPr>
          <w:b/>
          <w:bCs/>
          <w:i/>
          <w:iCs/>
        </w:rPr>
      </w:pPr>
    </w:p>
    <w:p w14:paraId="24F4D76B" w14:textId="77777777" w:rsidR="00824897" w:rsidRDefault="00824897" w:rsidP="00824897">
      <w:pPr>
        <w:pStyle w:val="Source"/>
        <w:rPr>
          <w:lang w:val="da-DK"/>
        </w:rPr>
      </w:pPr>
    </w:p>
    <w:p w14:paraId="5FF8D7A5" w14:textId="77777777" w:rsidR="00824897" w:rsidRPr="00D15A09" w:rsidRDefault="00824897" w:rsidP="00824897">
      <w:pPr>
        <w:pStyle w:val="Source"/>
      </w:pPr>
      <w:r w:rsidRPr="00D15A09">
        <w:t xml:space="preserve">Source: </w:t>
      </w:r>
      <w:r>
        <w:t>Deloitte Access Economics (2023)</w:t>
      </w:r>
    </w:p>
    <w:p w14:paraId="41E17DDE" w14:textId="752238D9" w:rsidR="5F4AB26A" w:rsidRDefault="5F4AB26A" w:rsidP="5F4AB26A">
      <w:r w:rsidRPr="408A3859">
        <w:t xml:space="preserve">Given the large number of services in Aboriginal and Torres Strait Islander communities receiving the CCCFR grant, </w:t>
      </w:r>
      <w:r w:rsidR="6CCA042F" w:rsidRPr="408A3859">
        <w:t>to align the characteristics of the sample with the characteristics of the services, ultimately</w:t>
      </w:r>
      <w:r w:rsidRPr="408A3859">
        <w:t xml:space="preserve"> meant that a significant proportion </w:t>
      </w:r>
      <w:r w:rsidR="7D21EE56" w:rsidRPr="408A3859">
        <w:t xml:space="preserve">of </w:t>
      </w:r>
      <w:r w:rsidRPr="408A3859">
        <w:t xml:space="preserve">services </w:t>
      </w:r>
      <w:r w:rsidR="2839156D" w:rsidRPr="408A3859">
        <w:t xml:space="preserve">in Aboriginal and Torres Strait Islander </w:t>
      </w:r>
      <w:r w:rsidR="005A4933" w:rsidRPr="408A3859">
        <w:t>communities</w:t>
      </w:r>
      <w:r w:rsidRPr="408A3859">
        <w:t xml:space="preserve"> formed part of </w:t>
      </w:r>
      <w:r w:rsidR="00FF52B0" w:rsidRPr="408A3859">
        <w:t xml:space="preserve">the </w:t>
      </w:r>
      <w:r w:rsidRPr="408A3859">
        <w:t>consultation sample. Other grant recipients were consulted, including those based in non-</w:t>
      </w:r>
      <w:r w:rsidR="007668E3" w:rsidRPr="408A3859">
        <w:t>Aboriginal and Torres Strait Islander</w:t>
      </w:r>
      <w:r w:rsidRPr="408A3859">
        <w:t xml:space="preserve"> rural and regional </w:t>
      </w:r>
      <w:r w:rsidR="01CE364F" w:rsidRPr="408A3859">
        <w:t>communities</w:t>
      </w:r>
      <w:r w:rsidRPr="408A3859">
        <w:t xml:space="preserve">, </w:t>
      </w:r>
      <w:r w:rsidRPr="408A3859">
        <w:lastRenderedPageBreak/>
        <w:t>however as these make up a smaller number of grant recipients</w:t>
      </w:r>
      <w:r w:rsidR="00FF52B0" w:rsidRPr="408A3859">
        <w:t>,</w:t>
      </w:r>
      <w:r w:rsidRPr="408A3859">
        <w:t xml:space="preserve"> they also made up a smaller number of the sample size</w:t>
      </w:r>
      <w:r w:rsidR="00FC1532">
        <w:t xml:space="preserve"> inclusions</w:t>
      </w:r>
      <w:r w:rsidRPr="408A3859">
        <w:t>.</w:t>
      </w:r>
    </w:p>
    <w:p w14:paraId="2FF5E91E" w14:textId="203A563F" w:rsidR="5F4AB26A" w:rsidRDefault="15B86F15" w:rsidP="5F4AB26A">
      <w:pPr>
        <w:rPr>
          <w:rFonts w:eastAsia="Verdana" w:cs="Verdana"/>
        </w:rPr>
      </w:pPr>
      <w:r w:rsidRPr="408A3859">
        <w:t xml:space="preserve">Additionally, the Statement of Work </w:t>
      </w:r>
      <w:r w:rsidR="09C7CCF9" w:rsidRPr="408A3859">
        <w:t>required an</w:t>
      </w:r>
      <w:r w:rsidR="09C7CCF9" w:rsidRPr="408A3859">
        <w:rPr>
          <w:rFonts w:eastAsia="Verdana" w:cs="Verdana"/>
        </w:rPr>
        <w:t xml:space="preserve"> examination of the extent to which the CCCFR </w:t>
      </w:r>
      <w:r w:rsidR="00FB4ED6">
        <w:rPr>
          <w:rFonts w:eastAsia="Verdana" w:cs="Verdana"/>
        </w:rPr>
        <w:t>g</w:t>
      </w:r>
      <w:r w:rsidR="09C7CCF9" w:rsidRPr="408A3859">
        <w:rPr>
          <w:rFonts w:eastAsia="Verdana" w:cs="Verdana"/>
        </w:rPr>
        <w:t xml:space="preserve">rant, applying legislation, and Services Australia processes and practices embed cultural safety in service delivery in alignment with the National Agreement on Closing the Gap. </w:t>
      </w:r>
      <w:r w:rsidR="00FF52B0" w:rsidRPr="408A3859">
        <w:rPr>
          <w:rFonts w:eastAsia="Verdana" w:cs="Verdana"/>
        </w:rPr>
        <w:t>To make</w:t>
      </w:r>
      <w:r w:rsidR="09C7CCF9" w:rsidRPr="408A3859">
        <w:rPr>
          <w:rFonts w:eastAsia="Verdana" w:cs="Verdana"/>
        </w:rPr>
        <w:t xml:space="preserve"> recommendations on changes to improve Aboriginal and/or Torres Strait Islander leadership, community-controlled service delivery, cultural safety and child and family participation in CCCFR grant funded services</w:t>
      </w:r>
      <w:r w:rsidR="1EE231EB" w:rsidRPr="408A3859">
        <w:rPr>
          <w:rFonts w:eastAsia="Verdana" w:cs="Verdana"/>
        </w:rPr>
        <w:t xml:space="preserve">, it was </w:t>
      </w:r>
      <w:r w:rsidR="2487EADF" w:rsidRPr="408A3859">
        <w:rPr>
          <w:rFonts w:eastAsia="Verdana" w:cs="Verdana"/>
        </w:rPr>
        <w:t>necessary</w:t>
      </w:r>
      <w:r w:rsidR="1EE231EB" w:rsidRPr="408A3859">
        <w:rPr>
          <w:rFonts w:eastAsia="Verdana" w:cs="Verdana"/>
        </w:rPr>
        <w:t xml:space="preserve"> to consult with a large number of services, educators and family members in Aboriginal and Torres Strait Islander </w:t>
      </w:r>
      <w:r w:rsidR="7F52E937" w:rsidRPr="408A3859">
        <w:rPr>
          <w:rFonts w:eastAsia="Verdana" w:cs="Verdana"/>
        </w:rPr>
        <w:t>communities</w:t>
      </w:r>
      <w:r w:rsidR="1EE231EB" w:rsidRPr="408A3859">
        <w:rPr>
          <w:rFonts w:eastAsia="Verdana" w:cs="Verdana"/>
        </w:rPr>
        <w:t xml:space="preserve"> wher</w:t>
      </w:r>
      <w:r w:rsidR="6F238F26" w:rsidRPr="408A3859">
        <w:rPr>
          <w:rFonts w:eastAsia="Verdana" w:cs="Verdana"/>
        </w:rPr>
        <w:t>e CCCFR services operate</w:t>
      </w:r>
      <w:r w:rsidR="6D4071BE" w:rsidRPr="408A3859">
        <w:rPr>
          <w:rFonts w:eastAsia="Verdana" w:cs="Verdana"/>
        </w:rPr>
        <w:t>.</w:t>
      </w:r>
      <w:r w:rsidR="1EE231EB" w:rsidRPr="408A3859">
        <w:rPr>
          <w:rFonts w:eastAsia="Verdana" w:cs="Verdana"/>
        </w:rPr>
        <w:t xml:space="preserve"> </w:t>
      </w:r>
    </w:p>
    <w:p w14:paraId="6827BEE3" w14:textId="550DCDCB" w:rsidR="5F4AB26A" w:rsidRDefault="417176CA" w:rsidP="5F4AB26A">
      <w:r w:rsidRPr="408A3859">
        <w:t xml:space="preserve">The CCCFR grant </w:t>
      </w:r>
      <w:r w:rsidR="2677B26D" w:rsidRPr="408A3859">
        <w:t xml:space="preserve">additionally funds services targeting a number of cohorts experiencing </w:t>
      </w:r>
      <w:r w:rsidR="60D65919" w:rsidRPr="408A3859">
        <w:t>vulnerability</w:t>
      </w:r>
      <w:r w:rsidR="2677B26D" w:rsidRPr="408A3859">
        <w:t xml:space="preserve"> and disadvantage that are not </w:t>
      </w:r>
      <w:r w:rsidR="73452CF1" w:rsidRPr="408A3859">
        <w:t xml:space="preserve">located </w:t>
      </w:r>
      <w:r w:rsidR="2677B26D" w:rsidRPr="408A3859">
        <w:t xml:space="preserve">in predominately Aboriginal and Torres Strait Islander </w:t>
      </w:r>
      <w:r w:rsidR="6EF4866F" w:rsidRPr="408A3859">
        <w:t>communities</w:t>
      </w:r>
      <w:r w:rsidR="2677B26D" w:rsidRPr="408A3859">
        <w:t>.</w:t>
      </w:r>
      <w:r w:rsidRPr="408A3859">
        <w:t xml:space="preserve"> </w:t>
      </w:r>
      <w:r w:rsidR="25F4E7CC" w:rsidRPr="408A3859">
        <w:t xml:space="preserve">These include </w:t>
      </w:r>
      <w:r w:rsidR="7DD6E885" w:rsidRPr="408A3859">
        <w:t>services providing child</w:t>
      </w:r>
      <w:r w:rsidR="00C03FB1">
        <w:t xml:space="preserve"> </w:t>
      </w:r>
      <w:r w:rsidR="7DD6E885" w:rsidRPr="408A3859">
        <w:t xml:space="preserve">care for </w:t>
      </w:r>
      <w:r w:rsidR="0BDD4F40" w:rsidRPr="408A3859">
        <w:t>young</w:t>
      </w:r>
      <w:r w:rsidR="7DD6E885" w:rsidRPr="408A3859">
        <w:t xml:space="preserve"> </w:t>
      </w:r>
      <w:r w:rsidR="00C34B50">
        <w:t>parents</w:t>
      </w:r>
      <w:r w:rsidR="7DD6E885" w:rsidRPr="408A3859">
        <w:t>, services providing child</w:t>
      </w:r>
      <w:r w:rsidR="00C03FB1">
        <w:t xml:space="preserve"> </w:t>
      </w:r>
      <w:r w:rsidR="7DD6E885" w:rsidRPr="408A3859">
        <w:t xml:space="preserve">care for </w:t>
      </w:r>
      <w:r w:rsidR="00B85C18">
        <w:t>parents</w:t>
      </w:r>
      <w:r w:rsidR="7DD6E885" w:rsidRPr="408A3859">
        <w:t xml:space="preserve"> with </w:t>
      </w:r>
      <w:r w:rsidR="5D32EB04" w:rsidRPr="408A3859">
        <w:t xml:space="preserve">specific </w:t>
      </w:r>
      <w:r w:rsidR="7DD6E885" w:rsidRPr="408A3859">
        <w:t>health and wellbeing needs and services supporting families fro</w:t>
      </w:r>
      <w:r w:rsidR="5711BBEA" w:rsidRPr="408A3859">
        <w:t>m migrant and refugee communities. Many of these services were engaged as part of the consultation process</w:t>
      </w:r>
      <w:r w:rsidR="36BAA1E3" w:rsidRPr="408A3859">
        <w:t xml:space="preserve"> in order to understand the full breadth of complexities</w:t>
      </w:r>
      <w:r w:rsidR="5711BBEA" w:rsidRPr="408A3859">
        <w:t xml:space="preserve"> </w:t>
      </w:r>
      <w:r w:rsidR="36BAA1E3" w:rsidRPr="408A3859">
        <w:t>faced by families who are engaging with CCCFR services</w:t>
      </w:r>
      <w:r w:rsidR="597B4228" w:rsidRPr="408A3859">
        <w:t xml:space="preserve">. </w:t>
      </w:r>
      <w:r w:rsidR="074E0AC3" w:rsidRPr="408A3859">
        <w:t>Distinct</w:t>
      </w:r>
      <w:r w:rsidR="0023648D" w:rsidRPr="408A3859">
        <w:t>,</w:t>
      </w:r>
      <w:r w:rsidR="074E0AC3" w:rsidRPr="408A3859">
        <w:t xml:space="preserve"> however, to the services in Aboriginal and Torres Strait Islander communities, the CCCFR grant</w:t>
      </w:r>
      <w:r w:rsidR="09029EDA" w:rsidRPr="408A3859">
        <w:t xml:space="preserve"> is funding </w:t>
      </w:r>
      <w:r w:rsidR="001457D1" w:rsidRPr="408A3859">
        <w:t>a relatively small</w:t>
      </w:r>
      <w:r w:rsidR="000D4713" w:rsidRPr="408A3859">
        <w:t xml:space="preserve"> number of</w:t>
      </w:r>
      <w:r w:rsidR="001457D1" w:rsidRPr="408A3859">
        <w:t xml:space="preserve"> </w:t>
      </w:r>
      <w:r w:rsidR="09029EDA" w:rsidRPr="408A3859">
        <w:t xml:space="preserve">services with these specific </w:t>
      </w:r>
      <w:r w:rsidR="007E793C">
        <w:t xml:space="preserve">sets of </w:t>
      </w:r>
      <w:r w:rsidR="09029EDA" w:rsidRPr="408A3859">
        <w:t>characteristics</w:t>
      </w:r>
      <w:r w:rsidR="00F46CA0" w:rsidRPr="408A3859">
        <w:t>.</w:t>
      </w:r>
      <w:r w:rsidR="3C768E74" w:rsidRPr="408A3859">
        <w:t xml:space="preserve"> </w:t>
      </w:r>
      <w:r w:rsidR="00404533" w:rsidRPr="408A3859">
        <w:t xml:space="preserve">This </w:t>
      </w:r>
      <w:r w:rsidR="3C768E74" w:rsidRPr="408A3859">
        <w:t xml:space="preserve">places limitations on </w:t>
      </w:r>
      <w:r w:rsidR="00404533" w:rsidRPr="408A3859">
        <w:t xml:space="preserve">the ability of the </w:t>
      </w:r>
      <w:r w:rsidR="3C768E74" w:rsidRPr="408A3859">
        <w:t>review to draw conclusions that could be applicable to services</w:t>
      </w:r>
      <w:r w:rsidR="00762F1D">
        <w:t xml:space="preserve"> with these characteristics</w:t>
      </w:r>
      <w:r w:rsidR="3C768E74" w:rsidRPr="408A3859">
        <w:t xml:space="preserve">. </w:t>
      </w:r>
      <w:r>
        <w:br/>
      </w:r>
      <w:r>
        <w:br/>
      </w:r>
      <w:r w:rsidR="00F418CD" w:rsidRPr="408A3859">
        <w:t>B</w:t>
      </w:r>
      <w:r w:rsidR="44B60864" w:rsidRPr="408A3859">
        <w:t xml:space="preserve">oth in response to the Statement of Work and </w:t>
      </w:r>
      <w:r w:rsidR="3C768E74" w:rsidRPr="408A3859">
        <w:t>th</w:t>
      </w:r>
      <w:r w:rsidR="44B60864" w:rsidRPr="408A3859">
        <w:t xml:space="preserve">e </w:t>
      </w:r>
      <w:r w:rsidR="00F418CD" w:rsidRPr="408A3859">
        <w:t>profile</w:t>
      </w:r>
      <w:r w:rsidR="44B60864" w:rsidRPr="408A3859">
        <w:t xml:space="preserve"> of </w:t>
      </w:r>
      <w:r w:rsidR="00F418CD" w:rsidRPr="408A3859">
        <w:t>CCCFR</w:t>
      </w:r>
      <w:r w:rsidR="44B60864" w:rsidRPr="408A3859">
        <w:t xml:space="preserve"> services, </w:t>
      </w:r>
      <w:r w:rsidR="3C768E74" w:rsidRPr="408A3859">
        <w:t xml:space="preserve">many </w:t>
      </w:r>
      <w:r w:rsidR="005C6DB9" w:rsidRPr="408A3859">
        <w:t xml:space="preserve">review </w:t>
      </w:r>
      <w:r w:rsidR="3C768E74" w:rsidRPr="408A3859">
        <w:t>find</w:t>
      </w:r>
      <w:r w:rsidR="165FFB0C" w:rsidRPr="408A3859">
        <w:t xml:space="preserve">ings and recommendations </w:t>
      </w:r>
      <w:r w:rsidR="005C6DB9" w:rsidRPr="408A3859">
        <w:t>relate</w:t>
      </w:r>
      <w:r w:rsidR="0E1084B7" w:rsidRPr="408A3859">
        <w:t xml:space="preserve"> to services in Aboriginal and Torres Strait Islander communities</w:t>
      </w:r>
      <w:r w:rsidR="2AB25404" w:rsidRPr="408A3859">
        <w:t xml:space="preserve">. </w:t>
      </w:r>
      <w:r w:rsidR="7EFF1EC8" w:rsidRPr="408A3859">
        <w:t>This is not to</w:t>
      </w:r>
      <w:r w:rsidR="005C6DB9" w:rsidRPr="408A3859">
        <w:t xml:space="preserve"> </w:t>
      </w:r>
      <w:r w:rsidR="7EFF1EC8" w:rsidRPr="408A3859">
        <w:t>the exclusion of non-</w:t>
      </w:r>
      <w:r w:rsidR="000E234C" w:rsidRPr="408A3859">
        <w:t>Aboriginal and Torres Strait Islander</w:t>
      </w:r>
      <w:r w:rsidR="7EFF1EC8" w:rsidRPr="408A3859">
        <w:t xml:space="preserve"> services b</w:t>
      </w:r>
      <w:r w:rsidR="3F5171AB" w:rsidRPr="408A3859">
        <w:t xml:space="preserve">ut </w:t>
      </w:r>
      <w:r w:rsidR="752C9885" w:rsidRPr="408A3859">
        <w:t xml:space="preserve">recognises that many findings are distinct to </w:t>
      </w:r>
      <w:r w:rsidR="47AB674E" w:rsidRPr="408A3859">
        <w:t xml:space="preserve">this group. </w:t>
      </w:r>
      <w:r w:rsidR="067EBE48" w:rsidRPr="408A3859">
        <w:t>In some circumstances it reflects</w:t>
      </w:r>
      <w:r w:rsidR="3F5171AB" w:rsidRPr="408A3859">
        <w:t xml:space="preserve"> a limitation of the </w:t>
      </w:r>
      <w:r w:rsidR="77AB3D2A" w:rsidRPr="408A3859">
        <w:t>data set from which findings and recommendations could be drawn.</w:t>
      </w:r>
    </w:p>
    <w:p w14:paraId="6875C27C" w14:textId="5872F389" w:rsidR="00824897" w:rsidRPr="00225457" w:rsidRDefault="00824897" w:rsidP="00824897">
      <w:pPr>
        <w:rPr>
          <w:b/>
          <w:bCs/>
          <w:i/>
          <w:iCs/>
        </w:rPr>
      </w:pPr>
      <w:r w:rsidRPr="00225457">
        <w:rPr>
          <w:b/>
          <w:bCs/>
          <w:i/>
          <w:iCs/>
        </w:rPr>
        <w:t xml:space="preserve">Further detail on the sampling process is outlined in </w:t>
      </w:r>
      <w:r w:rsidR="00014EC9">
        <w:rPr>
          <w:b/>
          <w:bCs/>
          <w:i/>
          <w:iCs/>
        </w:rPr>
        <w:fldChar w:fldCharType="begin"/>
      </w:r>
      <w:r w:rsidR="00014EC9">
        <w:rPr>
          <w:b/>
          <w:bCs/>
          <w:i/>
          <w:iCs/>
        </w:rPr>
        <w:instrText xml:space="preserve"> REF _Ref152874862 \r \h </w:instrText>
      </w:r>
      <w:r w:rsidR="00014EC9">
        <w:rPr>
          <w:b/>
          <w:bCs/>
          <w:i/>
          <w:iCs/>
        </w:rPr>
      </w:r>
      <w:r w:rsidR="00014EC9">
        <w:rPr>
          <w:b/>
          <w:bCs/>
          <w:i/>
          <w:iCs/>
        </w:rPr>
        <w:fldChar w:fldCharType="separate"/>
      </w:r>
      <w:r w:rsidR="00D300D0">
        <w:rPr>
          <w:b/>
          <w:bCs/>
          <w:i/>
          <w:iCs/>
        </w:rPr>
        <w:t>Appendix G</w:t>
      </w:r>
      <w:r w:rsidR="00014EC9">
        <w:rPr>
          <w:b/>
          <w:bCs/>
          <w:i/>
          <w:iCs/>
        </w:rPr>
        <w:fldChar w:fldCharType="end"/>
      </w:r>
      <w:r w:rsidRPr="00225457">
        <w:rPr>
          <w:b/>
          <w:bCs/>
          <w:i/>
          <w:iCs/>
        </w:rPr>
        <w:t>.</w:t>
      </w:r>
    </w:p>
    <w:p w14:paraId="08B2FE52" w14:textId="7BD69240" w:rsidR="00824897" w:rsidRDefault="00824897" w:rsidP="00824897">
      <w:r>
        <w:t xml:space="preserve">The profile of consulted services whose observations are presented in this report is outlined below, compared to the full population of CCCFR services. </w:t>
      </w:r>
      <w:r w:rsidR="00645E81">
        <w:t>During the review</w:t>
      </w:r>
      <w:r>
        <w:t xml:space="preserve">, 29 face-to-face and </w:t>
      </w:r>
      <w:r w:rsidRPr="00DB5B6C">
        <w:t>1</w:t>
      </w:r>
      <w:r>
        <w:t>4 virtual consultations had been conducted, across 43 services.</w:t>
      </w:r>
    </w:p>
    <w:p w14:paraId="55D33926" w14:textId="77777777" w:rsidR="00824897" w:rsidRPr="006A1521" w:rsidRDefault="00824897" w:rsidP="00824897">
      <w:pPr>
        <w:pStyle w:val="CaptionTable"/>
      </w:pPr>
      <w:bookmarkStart w:id="201" w:name="_Toc151723911"/>
      <w:bookmarkStart w:id="202" w:name="_Toc158997961"/>
      <w:bookmarkStart w:id="203" w:name="_Toc167130707"/>
      <w:r w:rsidRPr="006A1521">
        <w:t>: Representativeness of consultation service sample</w:t>
      </w:r>
      <w:bookmarkEnd w:id="201"/>
      <w:bookmarkEnd w:id="202"/>
      <w:bookmarkEnd w:id="203"/>
    </w:p>
    <w:tbl>
      <w:tblPr>
        <w:tblW w:w="9109" w:type="dxa"/>
        <w:tblInd w:w="10" w:type="dxa"/>
        <w:tblBorders>
          <w:top w:val="single" w:sz="8" w:space="0" w:color="046A38"/>
          <w:bottom w:val="single" w:sz="4" w:space="0" w:color="auto"/>
          <w:insideH w:val="single" w:sz="8" w:space="0" w:color="046A38"/>
          <w:insideV w:val="single" w:sz="8" w:space="0" w:color="046A38"/>
        </w:tblBorders>
        <w:tblLayout w:type="fixed"/>
        <w:tblCellMar>
          <w:top w:w="57" w:type="dxa"/>
          <w:left w:w="57" w:type="dxa"/>
          <w:bottom w:w="57" w:type="dxa"/>
          <w:right w:w="57" w:type="dxa"/>
        </w:tblCellMar>
        <w:tblLook w:val="0420" w:firstRow="1" w:lastRow="0" w:firstColumn="0" w:lastColumn="0" w:noHBand="0" w:noVBand="1"/>
      </w:tblPr>
      <w:tblGrid>
        <w:gridCol w:w="2258"/>
        <w:gridCol w:w="1712"/>
        <w:gridCol w:w="1713"/>
        <w:gridCol w:w="1713"/>
        <w:gridCol w:w="1713"/>
      </w:tblGrid>
      <w:tr w:rsidR="00824897" w:rsidRPr="00092477" w14:paraId="1D8D0267" w14:textId="77777777">
        <w:trPr>
          <w:trHeight w:val="224"/>
        </w:trPr>
        <w:tc>
          <w:tcPr>
            <w:tcW w:w="2258" w:type="dxa"/>
            <w:vMerge w:val="restart"/>
            <w:shd w:val="clear" w:color="auto" w:fill="E7F5CF" w:themeFill="accent1" w:themeFillTint="33"/>
            <w:noWrap/>
            <w:vAlign w:val="center"/>
            <w:hideMark/>
          </w:tcPr>
          <w:p w14:paraId="23444AD6" w14:textId="77777777" w:rsidR="00824897" w:rsidRPr="00092477" w:rsidRDefault="00824897">
            <w:pPr>
              <w:spacing w:after="0"/>
              <w:jc w:val="center"/>
              <w:rPr>
                <w:b/>
                <w:bCs/>
                <w:sz w:val="16"/>
                <w:szCs w:val="16"/>
              </w:rPr>
            </w:pPr>
            <w:r w:rsidRPr="00092477">
              <w:rPr>
                <w:b/>
                <w:bCs/>
                <w:sz w:val="16"/>
                <w:szCs w:val="16"/>
              </w:rPr>
              <w:t>Characteristic</w:t>
            </w:r>
          </w:p>
        </w:tc>
        <w:tc>
          <w:tcPr>
            <w:tcW w:w="3425" w:type="dxa"/>
            <w:gridSpan w:val="2"/>
            <w:shd w:val="clear" w:color="auto" w:fill="E7F5CF" w:themeFill="accent1" w:themeFillTint="33"/>
            <w:noWrap/>
            <w:vAlign w:val="center"/>
            <w:hideMark/>
          </w:tcPr>
          <w:p w14:paraId="0DF7BA07" w14:textId="01D5904E" w:rsidR="00824897" w:rsidRPr="00092477" w:rsidRDefault="00824897">
            <w:pPr>
              <w:spacing w:after="0"/>
              <w:jc w:val="center"/>
              <w:rPr>
                <w:b/>
                <w:bCs/>
                <w:sz w:val="16"/>
                <w:szCs w:val="16"/>
              </w:rPr>
            </w:pPr>
            <w:r w:rsidRPr="00092477">
              <w:rPr>
                <w:b/>
                <w:bCs/>
                <w:sz w:val="16"/>
                <w:szCs w:val="16"/>
              </w:rPr>
              <w:t>Consultation service sample</w:t>
            </w:r>
          </w:p>
        </w:tc>
        <w:tc>
          <w:tcPr>
            <w:tcW w:w="3426" w:type="dxa"/>
            <w:gridSpan w:val="2"/>
            <w:shd w:val="clear" w:color="auto" w:fill="E7F5CF" w:themeFill="accent1" w:themeFillTint="33"/>
            <w:noWrap/>
            <w:vAlign w:val="center"/>
            <w:hideMark/>
          </w:tcPr>
          <w:p w14:paraId="73A8608D" w14:textId="77777777" w:rsidR="00824897" w:rsidRPr="00092477" w:rsidRDefault="00824897">
            <w:pPr>
              <w:spacing w:after="0"/>
              <w:jc w:val="center"/>
              <w:rPr>
                <w:b/>
                <w:bCs/>
                <w:sz w:val="16"/>
                <w:szCs w:val="16"/>
              </w:rPr>
            </w:pPr>
            <w:r w:rsidRPr="00092477">
              <w:rPr>
                <w:b/>
                <w:bCs/>
                <w:sz w:val="16"/>
                <w:szCs w:val="16"/>
              </w:rPr>
              <w:t>Full population of CCCFR services</w:t>
            </w:r>
          </w:p>
        </w:tc>
      </w:tr>
      <w:tr w:rsidR="00824897" w:rsidRPr="00092477" w14:paraId="488A068D" w14:textId="77777777" w:rsidTr="405969C7">
        <w:trPr>
          <w:trHeight w:val="720"/>
        </w:trPr>
        <w:tc>
          <w:tcPr>
            <w:tcW w:w="2258" w:type="dxa"/>
            <w:vMerge/>
            <w:noWrap/>
            <w:hideMark/>
          </w:tcPr>
          <w:p w14:paraId="45A1E297" w14:textId="77777777" w:rsidR="00824897" w:rsidRPr="00092477" w:rsidRDefault="00824897">
            <w:pPr>
              <w:spacing w:after="0"/>
              <w:rPr>
                <w:b/>
                <w:bCs/>
                <w:sz w:val="16"/>
                <w:szCs w:val="16"/>
              </w:rPr>
            </w:pPr>
          </w:p>
        </w:tc>
        <w:tc>
          <w:tcPr>
            <w:tcW w:w="1712" w:type="dxa"/>
            <w:noWrap/>
            <w:vAlign w:val="center"/>
            <w:hideMark/>
          </w:tcPr>
          <w:p w14:paraId="06C27D5E" w14:textId="15453A5B" w:rsidR="00824897" w:rsidRPr="00092477" w:rsidRDefault="00824897">
            <w:pPr>
              <w:spacing w:after="0"/>
              <w:jc w:val="center"/>
              <w:rPr>
                <w:sz w:val="16"/>
                <w:szCs w:val="16"/>
              </w:rPr>
            </w:pPr>
            <w:r w:rsidRPr="00092477">
              <w:rPr>
                <w:sz w:val="16"/>
                <w:szCs w:val="16"/>
              </w:rPr>
              <w:t>No. of services</w:t>
            </w:r>
          </w:p>
        </w:tc>
        <w:tc>
          <w:tcPr>
            <w:tcW w:w="1713" w:type="dxa"/>
            <w:noWrap/>
            <w:vAlign w:val="center"/>
            <w:hideMark/>
          </w:tcPr>
          <w:p w14:paraId="6E50438E" w14:textId="77777777" w:rsidR="00824897" w:rsidRPr="00092477" w:rsidRDefault="00824897">
            <w:pPr>
              <w:spacing w:after="0"/>
              <w:jc w:val="center"/>
              <w:rPr>
                <w:sz w:val="16"/>
                <w:szCs w:val="16"/>
              </w:rPr>
            </w:pPr>
            <w:r w:rsidRPr="00092477">
              <w:rPr>
                <w:i/>
                <w:iCs/>
                <w:sz w:val="16"/>
                <w:szCs w:val="16"/>
              </w:rPr>
              <w:t>% of sample</w:t>
            </w:r>
          </w:p>
        </w:tc>
        <w:tc>
          <w:tcPr>
            <w:tcW w:w="1713" w:type="dxa"/>
            <w:noWrap/>
            <w:vAlign w:val="center"/>
            <w:hideMark/>
          </w:tcPr>
          <w:p w14:paraId="183C9892" w14:textId="77777777" w:rsidR="00824897" w:rsidRPr="00092477" w:rsidRDefault="00824897">
            <w:pPr>
              <w:spacing w:after="0"/>
              <w:jc w:val="center"/>
              <w:rPr>
                <w:sz w:val="16"/>
                <w:szCs w:val="16"/>
              </w:rPr>
            </w:pPr>
            <w:r w:rsidRPr="00092477">
              <w:rPr>
                <w:sz w:val="16"/>
                <w:szCs w:val="16"/>
              </w:rPr>
              <w:t>No. of services</w:t>
            </w:r>
          </w:p>
        </w:tc>
        <w:tc>
          <w:tcPr>
            <w:tcW w:w="1713" w:type="dxa"/>
            <w:noWrap/>
            <w:vAlign w:val="center"/>
            <w:hideMark/>
          </w:tcPr>
          <w:p w14:paraId="67B5E7C9" w14:textId="77777777" w:rsidR="00824897" w:rsidRPr="00092477" w:rsidRDefault="00824897">
            <w:pPr>
              <w:spacing w:after="0"/>
              <w:jc w:val="center"/>
              <w:rPr>
                <w:sz w:val="16"/>
                <w:szCs w:val="16"/>
              </w:rPr>
            </w:pPr>
            <w:r w:rsidRPr="00092477">
              <w:rPr>
                <w:i/>
                <w:iCs/>
                <w:sz w:val="16"/>
                <w:szCs w:val="16"/>
              </w:rPr>
              <w:t>% of full population</w:t>
            </w:r>
          </w:p>
        </w:tc>
      </w:tr>
      <w:tr w:rsidR="00824897" w:rsidRPr="00092477" w14:paraId="1640903F" w14:textId="77777777" w:rsidTr="405969C7">
        <w:trPr>
          <w:trHeight w:val="224"/>
        </w:trPr>
        <w:tc>
          <w:tcPr>
            <w:tcW w:w="2258" w:type="dxa"/>
            <w:tcBorders>
              <w:top w:val="single" w:sz="8" w:space="0" w:color="046A38" w:themeColor="accent2"/>
            </w:tcBorders>
            <w:noWrap/>
            <w:hideMark/>
          </w:tcPr>
          <w:p w14:paraId="722A24B7" w14:textId="77777777" w:rsidR="00824897" w:rsidRPr="00092477" w:rsidRDefault="00824897">
            <w:pPr>
              <w:spacing w:after="0"/>
              <w:rPr>
                <w:b/>
                <w:bCs/>
                <w:sz w:val="16"/>
                <w:szCs w:val="16"/>
              </w:rPr>
            </w:pPr>
            <w:r w:rsidRPr="00092477">
              <w:rPr>
                <w:b/>
                <w:bCs/>
                <w:sz w:val="16"/>
                <w:szCs w:val="16"/>
              </w:rPr>
              <w:t>Identification as an Aboriginal or Torres Strait Islander service</w:t>
            </w:r>
            <w:r w:rsidRPr="00092477">
              <w:rPr>
                <w:rStyle w:val="FootnoteReference"/>
                <w:b/>
                <w:bCs/>
                <w:sz w:val="16"/>
                <w:szCs w:val="16"/>
              </w:rPr>
              <w:footnoteReference w:id="84"/>
            </w:r>
          </w:p>
        </w:tc>
        <w:tc>
          <w:tcPr>
            <w:tcW w:w="1712" w:type="dxa"/>
            <w:noWrap/>
            <w:vAlign w:val="bottom"/>
            <w:hideMark/>
          </w:tcPr>
          <w:p w14:paraId="55CF63FC" w14:textId="6E5DA48B" w:rsidR="00824897" w:rsidRPr="00092477" w:rsidRDefault="00824897">
            <w:pPr>
              <w:spacing w:after="0"/>
              <w:jc w:val="right"/>
              <w:rPr>
                <w:sz w:val="16"/>
                <w:szCs w:val="16"/>
              </w:rPr>
            </w:pPr>
            <w:r w:rsidRPr="00092477">
              <w:rPr>
                <w:sz w:val="16"/>
                <w:szCs w:val="16"/>
              </w:rPr>
              <w:t>2</w:t>
            </w:r>
            <w:r w:rsidR="003A7D42">
              <w:rPr>
                <w:sz w:val="16"/>
                <w:szCs w:val="16"/>
              </w:rPr>
              <w:t>6</w:t>
            </w:r>
          </w:p>
        </w:tc>
        <w:tc>
          <w:tcPr>
            <w:tcW w:w="1713" w:type="dxa"/>
            <w:noWrap/>
            <w:vAlign w:val="bottom"/>
            <w:hideMark/>
          </w:tcPr>
          <w:p w14:paraId="103B9CC8" w14:textId="428E57E7" w:rsidR="00824897" w:rsidRPr="00092477" w:rsidRDefault="003A7D42">
            <w:pPr>
              <w:spacing w:after="0"/>
              <w:jc w:val="right"/>
              <w:rPr>
                <w:sz w:val="16"/>
                <w:szCs w:val="16"/>
              </w:rPr>
            </w:pPr>
            <w:r>
              <w:rPr>
                <w:sz w:val="16"/>
                <w:szCs w:val="16"/>
              </w:rPr>
              <w:t>60</w:t>
            </w:r>
            <w:r w:rsidR="00824897" w:rsidRPr="00092477">
              <w:rPr>
                <w:sz w:val="16"/>
                <w:szCs w:val="16"/>
              </w:rPr>
              <w:t>%</w:t>
            </w:r>
          </w:p>
        </w:tc>
        <w:tc>
          <w:tcPr>
            <w:tcW w:w="1713" w:type="dxa"/>
            <w:noWrap/>
            <w:vAlign w:val="bottom"/>
            <w:hideMark/>
          </w:tcPr>
          <w:p w14:paraId="59FA5D27" w14:textId="42B2BE17" w:rsidR="00824897" w:rsidRPr="00092477" w:rsidRDefault="00097B73">
            <w:pPr>
              <w:spacing w:after="0"/>
              <w:jc w:val="right"/>
              <w:rPr>
                <w:sz w:val="16"/>
                <w:szCs w:val="16"/>
              </w:rPr>
            </w:pPr>
            <w:r>
              <w:rPr>
                <w:sz w:val="16"/>
                <w:szCs w:val="16"/>
              </w:rPr>
              <w:t>70</w:t>
            </w:r>
          </w:p>
        </w:tc>
        <w:tc>
          <w:tcPr>
            <w:tcW w:w="1713" w:type="dxa"/>
            <w:noWrap/>
            <w:vAlign w:val="bottom"/>
            <w:hideMark/>
          </w:tcPr>
          <w:p w14:paraId="74D4795B" w14:textId="7D97C84F" w:rsidR="00824897" w:rsidRPr="00092477" w:rsidRDefault="00824897">
            <w:pPr>
              <w:spacing w:after="0"/>
              <w:jc w:val="right"/>
              <w:rPr>
                <w:sz w:val="16"/>
                <w:szCs w:val="16"/>
              </w:rPr>
            </w:pPr>
            <w:r w:rsidRPr="00092477">
              <w:rPr>
                <w:sz w:val="16"/>
                <w:szCs w:val="16"/>
              </w:rPr>
              <w:t>4</w:t>
            </w:r>
            <w:r w:rsidR="003A7D42">
              <w:rPr>
                <w:sz w:val="16"/>
                <w:szCs w:val="16"/>
              </w:rPr>
              <w:t>8</w:t>
            </w:r>
            <w:r w:rsidRPr="00092477">
              <w:rPr>
                <w:sz w:val="16"/>
                <w:szCs w:val="16"/>
              </w:rPr>
              <w:t>%</w:t>
            </w:r>
          </w:p>
        </w:tc>
      </w:tr>
      <w:tr w:rsidR="00824897" w:rsidRPr="00092477" w14:paraId="50844E2D" w14:textId="77777777">
        <w:trPr>
          <w:trHeight w:val="224"/>
        </w:trPr>
        <w:tc>
          <w:tcPr>
            <w:tcW w:w="9109" w:type="dxa"/>
            <w:gridSpan w:val="5"/>
            <w:noWrap/>
            <w:vAlign w:val="center"/>
            <w:hideMark/>
          </w:tcPr>
          <w:p w14:paraId="45EA81D9" w14:textId="77777777" w:rsidR="00824897" w:rsidRPr="00092477" w:rsidRDefault="00824897">
            <w:pPr>
              <w:spacing w:after="0"/>
              <w:rPr>
                <w:sz w:val="16"/>
                <w:szCs w:val="16"/>
              </w:rPr>
            </w:pPr>
            <w:r w:rsidRPr="00092477">
              <w:rPr>
                <w:b/>
                <w:bCs/>
                <w:sz w:val="16"/>
                <w:szCs w:val="16"/>
              </w:rPr>
              <w:t>State/Territory</w:t>
            </w:r>
          </w:p>
        </w:tc>
      </w:tr>
      <w:tr w:rsidR="00824897" w:rsidRPr="00092477" w14:paraId="38E06C16" w14:textId="77777777">
        <w:trPr>
          <w:trHeight w:val="224"/>
        </w:trPr>
        <w:tc>
          <w:tcPr>
            <w:tcW w:w="2258" w:type="dxa"/>
            <w:noWrap/>
            <w:hideMark/>
          </w:tcPr>
          <w:p w14:paraId="7EB80736" w14:textId="77777777" w:rsidR="00824897" w:rsidRPr="00092477" w:rsidRDefault="00824897">
            <w:pPr>
              <w:spacing w:after="0"/>
              <w:rPr>
                <w:i/>
                <w:iCs/>
                <w:sz w:val="16"/>
                <w:szCs w:val="16"/>
              </w:rPr>
            </w:pPr>
            <w:r w:rsidRPr="00092477">
              <w:rPr>
                <w:i/>
                <w:iCs/>
                <w:sz w:val="16"/>
                <w:szCs w:val="16"/>
              </w:rPr>
              <w:lastRenderedPageBreak/>
              <w:t>Australian Capital Territory</w:t>
            </w:r>
          </w:p>
        </w:tc>
        <w:tc>
          <w:tcPr>
            <w:tcW w:w="1712" w:type="dxa"/>
            <w:noWrap/>
            <w:vAlign w:val="bottom"/>
            <w:hideMark/>
          </w:tcPr>
          <w:p w14:paraId="74F98DE9" w14:textId="77777777" w:rsidR="00824897" w:rsidRPr="00092477" w:rsidRDefault="00824897">
            <w:pPr>
              <w:spacing w:after="0"/>
              <w:jc w:val="right"/>
              <w:rPr>
                <w:sz w:val="16"/>
                <w:szCs w:val="16"/>
              </w:rPr>
            </w:pPr>
            <w:r w:rsidRPr="00092477">
              <w:rPr>
                <w:sz w:val="16"/>
                <w:szCs w:val="16"/>
              </w:rPr>
              <w:t>1</w:t>
            </w:r>
          </w:p>
        </w:tc>
        <w:tc>
          <w:tcPr>
            <w:tcW w:w="1713" w:type="dxa"/>
            <w:noWrap/>
            <w:vAlign w:val="bottom"/>
            <w:hideMark/>
          </w:tcPr>
          <w:p w14:paraId="24C6280B" w14:textId="77777777" w:rsidR="00824897" w:rsidRPr="00092477" w:rsidRDefault="00824897">
            <w:pPr>
              <w:spacing w:after="0"/>
              <w:jc w:val="right"/>
              <w:rPr>
                <w:sz w:val="16"/>
                <w:szCs w:val="16"/>
              </w:rPr>
            </w:pPr>
            <w:r w:rsidRPr="00092477">
              <w:rPr>
                <w:sz w:val="16"/>
                <w:szCs w:val="16"/>
              </w:rPr>
              <w:t>2%</w:t>
            </w:r>
          </w:p>
        </w:tc>
        <w:tc>
          <w:tcPr>
            <w:tcW w:w="1713" w:type="dxa"/>
            <w:noWrap/>
            <w:vAlign w:val="bottom"/>
            <w:hideMark/>
          </w:tcPr>
          <w:p w14:paraId="60FB0656" w14:textId="77777777" w:rsidR="00824897" w:rsidRPr="00092477" w:rsidRDefault="00824897">
            <w:pPr>
              <w:spacing w:after="0"/>
              <w:jc w:val="right"/>
              <w:rPr>
                <w:sz w:val="16"/>
                <w:szCs w:val="16"/>
              </w:rPr>
            </w:pPr>
            <w:r w:rsidRPr="00092477">
              <w:rPr>
                <w:sz w:val="16"/>
                <w:szCs w:val="16"/>
              </w:rPr>
              <w:t>1</w:t>
            </w:r>
          </w:p>
        </w:tc>
        <w:tc>
          <w:tcPr>
            <w:tcW w:w="1713" w:type="dxa"/>
            <w:noWrap/>
            <w:vAlign w:val="bottom"/>
            <w:hideMark/>
          </w:tcPr>
          <w:p w14:paraId="192EF101" w14:textId="77777777" w:rsidR="00824897" w:rsidRPr="00092477" w:rsidRDefault="00824897">
            <w:pPr>
              <w:spacing w:after="0"/>
              <w:jc w:val="right"/>
              <w:rPr>
                <w:sz w:val="16"/>
                <w:szCs w:val="16"/>
              </w:rPr>
            </w:pPr>
            <w:r w:rsidRPr="00092477">
              <w:rPr>
                <w:sz w:val="16"/>
                <w:szCs w:val="16"/>
              </w:rPr>
              <w:t>1%</w:t>
            </w:r>
          </w:p>
        </w:tc>
      </w:tr>
      <w:tr w:rsidR="00824897" w:rsidRPr="00092477" w14:paraId="76AB598D" w14:textId="77777777">
        <w:trPr>
          <w:trHeight w:val="224"/>
        </w:trPr>
        <w:tc>
          <w:tcPr>
            <w:tcW w:w="2258" w:type="dxa"/>
            <w:noWrap/>
            <w:hideMark/>
          </w:tcPr>
          <w:p w14:paraId="149F4EBA" w14:textId="77777777" w:rsidR="00824897" w:rsidRPr="00092477" w:rsidRDefault="00824897">
            <w:pPr>
              <w:spacing w:after="0"/>
              <w:rPr>
                <w:i/>
                <w:iCs/>
                <w:sz w:val="16"/>
                <w:szCs w:val="16"/>
              </w:rPr>
            </w:pPr>
            <w:r w:rsidRPr="00092477">
              <w:rPr>
                <w:i/>
                <w:iCs/>
                <w:sz w:val="16"/>
                <w:szCs w:val="16"/>
              </w:rPr>
              <w:t>New South Wales</w:t>
            </w:r>
          </w:p>
        </w:tc>
        <w:tc>
          <w:tcPr>
            <w:tcW w:w="1712" w:type="dxa"/>
            <w:noWrap/>
            <w:vAlign w:val="bottom"/>
            <w:hideMark/>
          </w:tcPr>
          <w:p w14:paraId="3E9BFB07" w14:textId="77777777" w:rsidR="00824897" w:rsidRPr="00092477" w:rsidRDefault="00824897">
            <w:pPr>
              <w:spacing w:after="0"/>
              <w:jc w:val="right"/>
              <w:rPr>
                <w:sz w:val="16"/>
                <w:szCs w:val="16"/>
              </w:rPr>
            </w:pPr>
            <w:r w:rsidRPr="00092477">
              <w:rPr>
                <w:sz w:val="16"/>
                <w:szCs w:val="16"/>
              </w:rPr>
              <w:t>8</w:t>
            </w:r>
          </w:p>
        </w:tc>
        <w:tc>
          <w:tcPr>
            <w:tcW w:w="1713" w:type="dxa"/>
            <w:noWrap/>
            <w:vAlign w:val="bottom"/>
            <w:hideMark/>
          </w:tcPr>
          <w:p w14:paraId="00FA23FF" w14:textId="77777777" w:rsidR="00824897" w:rsidRPr="00092477" w:rsidRDefault="00824897">
            <w:pPr>
              <w:spacing w:after="0"/>
              <w:jc w:val="right"/>
              <w:rPr>
                <w:sz w:val="16"/>
                <w:szCs w:val="16"/>
              </w:rPr>
            </w:pPr>
            <w:r w:rsidRPr="00092477">
              <w:rPr>
                <w:sz w:val="16"/>
                <w:szCs w:val="16"/>
              </w:rPr>
              <w:t>19%</w:t>
            </w:r>
          </w:p>
        </w:tc>
        <w:tc>
          <w:tcPr>
            <w:tcW w:w="1713" w:type="dxa"/>
            <w:noWrap/>
            <w:vAlign w:val="bottom"/>
            <w:hideMark/>
          </w:tcPr>
          <w:p w14:paraId="1743A90F" w14:textId="77777777" w:rsidR="00824897" w:rsidRPr="00092477" w:rsidRDefault="00824897">
            <w:pPr>
              <w:spacing w:after="0"/>
              <w:jc w:val="right"/>
              <w:rPr>
                <w:sz w:val="16"/>
                <w:szCs w:val="16"/>
              </w:rPr>
            </w:pPr>
            <w:r w:rsidRPr="00092477">
              <w:rPr>
                <w:sz w:val="16"/>
                <w:szCs w:val="16"/>
              </w:rPr>
              <w:t>23</w:t>
            </w:r>
          </w:p>
        </w:tc>
        <w:tc>
          <w:tcPr>
            <w:tcW w:w="1713" w:type="dxa"/>
            <w:noWrap/>
            <w:vAlign w:val="bottom"/>
            <w:hideMark/>
          </w:tcPr>
          <w:p w14:paraId="19B95981" w14:textId="77777777" w:rsidR="00824897" w:rsidRPr="00092477" w:rsidRDefault="00824897">
            <w:pPr>
              <w:spacing w:after="0"/>
              <w:jc w:val="right"/>
              <w:rPr>
                <w:sz w:val="16"/>
                <w:szCs w:val="16"/>
              </w:rPr>
            </w:pPr>
            <w:r w:rsidRPr="00092477">
              <w:rPr>
                <w:sz w:val="16"/>
                <w:szCs w:val="16"/>
              </w:rPr>
              <w:t>15%</w:t>
            </w:r>
          </w:p>
        </w:tc>
      </w:tr>
      <w:tr w:rsidR="00824897" w:rsidRPr="00092477" w14:paraId="0C5159A1" w14:textId="77777777">
        <w:trPr>
          <w:trHeight w:val="224"/>
        </w:trPr>
        <w:tc>
          <w:tcPr>
            <w:tcW w:w="2258" w:type="dxa"/>
            <w:noWrap/>
            <w:hideMark/>
          </w:tcPr>
          <w:p w14:paraId="26977ACF" w14:textId="77777777" w:rsidR="00824897" w:rsidRPr="00092477" w:rsidRDefault="00824897">
            <w:pPr>
              <w:spacing w:after="0"/>
              <w:rPr>
                <w:i/>
                <w:iCs/>
                <w:sz w:val="16"/>
                <w:szCs w:val="16"/>
              </w:rPr>
            </w:pPr>
            <w:r w:rsidRPr="00092477">
              <w:rPr>
                <w:i/>
                <w:iCs/>
                <w:sz w:val="16"/>
                <w:szCs w:val="16"/>
              </w:rPr>
              <w:t>Northern Territory</w:t>
            </w:r>
          </w:p>
        </w:tc>
        <w:tc>
          <w:tcPr>
            <w:tcW w:w="1712" w:type="dxa"/>
            <w:noWrap/>
            <w:vAlign w:val="bottom"/>
            <w:hideMark/>
          </w:tcPr>
          <w:p w14:paraId="1C4F2DBE" w14:textId="77777777" w:rsidR="00824897" w:rsidRPr="00092477" w:rsidRDefault="00824897">
            <w:pPr>
              <w:spacing w:after="0"/>
              <w:jc w:val="right"/>
              <w:rPr>
                <w:sz w:val="16"/>
                <w:szCs w:val="16"/>
              </w:rPr>
            </w:pPr>
            <w:r w:rsidRPr="00092477">
              <w:rPr>
                <w:sz w:val="16"/>
                <w:szCs w:val="16"/>
              </w:rPr>
              <w:t>9</w:t>
            </w:r>
          </w:p>
        </w:tc>
        <w:tc>
          <w:tcPr>
            <w:tcW w:w="1713" w:type="dxa"/>
            <w:noWrap/>
            <w:vAlign w:val="bottom"/>
            <w:hideMark/>
          </w:tcPr>
          <w:p w14:paraId="249AA3FF" w14:textId="77777777" w:rsidR="00824897" w:rsidRPr="00092477" w:rsidRDefault="00824897">
            <w:pPr>
              <w:spacing w:after="0"/>
              <w:jc w:val="right"/>
              <w:rPr>
                <w:sz w:val="16"/>
                <w:szCs w:val="16"/>
              </w:rPr>
            </w:pPr>
            <w:r w:rsidRPr="00092477">
              <w:rPr>
                <w:sz w:val="16"/>
                <w:szCs w:val="16"/>
              </w:rPr>
              <w:t>21%</w:t>
            </w:r>
          </w:p>
        </w:tc>
        <w:tc>
          <w:tcPr>
            <w:tcW w:w="1713" w:type="dxa"/>
            <w:noWrap/>
            <w:vAlign w:val="bottom"/>
            <w:hideMark/>
          </w:tcPr>
          <w:p w14:paraId="5B923C89" w14:textId="77777777" w:rsidR="00824897" w:rsidRPr="00092477" w:rsidRDefault="00824897">
            <w:pPr>
              <w:spacing w:after="0"/>
              <w:jc w:val="right"/>
              <w:rPr>
                <w:sz w:val="16"/>
                <w:szCs w:val="16"/>
              </w:rPr>
            </w:pPr>
            <w:r w:rsidRPr="00092477">
              <w:rPr>
                <w:sz w:val="16"/>
                <w:szCs w:val="16"/>
              </w:rPr>
              <w:t>46</w:t>
            </w:r>
          </w:p>
        </w:tc>
        <w:tc>
          <w:tcPr>
            <w:tcW w:w="1713" w:type="dxa"/>
            <w:noWrap/>
            <w:vAlign w:val="bottom"/>
            <w:hideMark/>
          </w:tcPr>
          <w:p w14:paraId="142937E0" w14:textId="77777777" w:rsidR="00824897" w:rsidRPr="00092477" w:rsidRDefault="00824897">
            <w:pPr>
              <w:spacing w:after="0"/>
              <w:jc w:val="right"/>
              <w:rPr>
                <w:sz w:val="16"/>
                <w:szCs w:val="16"/>
              </w:rPr>
            </w:pPr>
            <w:r w:rsidRPr="00092477">
              <w:rPr>
                <w:sz w:val="16"/>
                <w:szCs w:val="16"/>
              </w:rPr>
              <w:t>31%</w:t>
            </w:r>
          </w:p>
        </w:tc>
      </w:tr>
      <w:tr w:rsidR="00824897" w:rsidRPr="00092477" w14:paraId="2BC799AB" w14:textId="77777777">
        <w:trPr>
          <w:trHeight w:val="224"/>
        </w:trPr>
        <w:tc>
          <w:tcPr>
            <w:tcW w:w="2258" w:type="dxa"/>
            <w:noWrap/>
            <w:hideMark/>
          </w:tcPr>
          <w:p w14:paraId="27E83361" w14:textId="77777777" w:rsidR="00824897" w:rsidRPr="00092477" w:rsidRDefault="00824897">
            <w:pPr>
              <w:spacing w:after="0"/>
              <w:rPr>
                <w:i/>
                <w:iCs/>
                <w:sz w:val="16"/>
                <w:szCs w:val="16"/>
              </w:rPr>
            </w:pPr>
            <w:r w:rsidRPr="00092477">
              <w:rPr>
                <w:i/>
                <w:iCs/>
                <w:sz w:val="16"/>
                <w:szCs w:val="16"/>
              </w:rPr>
              <w:t>Queensland</w:t>
            </w:r>
          </w:p>
        </w:tc>
        <w:tc>
          <w:tcPr>
            <w:tcW w:w="1712" w:type="dxa"/>
            <w:noWrap/>
            <w:vAlign w:val="bottom"/>
            <w:hideMark/>
          </w:tcPr>
          <w:p w14:paraId="1207EB6E" w14:textId="77777777" w:rsidR="00824897" w:rsidRPr="00092477" w:rsidRDefault="00824897">
            <w:pPr>
              <w:spacing w:after="0"/>
              <w:jc w:val="right"/>
              <w:rPr>
                <w:sz w:val="16"/>
                <w:szCs w:val="16"/>
              </w:rPr>
            </w:pPr>
            <w:r w:rsidRPr="00092477">
              <w:rPr>
                <w:sz w:val="16"/>
                <w:szCs w:val="16"/>
              </w:rPr>
              <w:t>10</w:t>
            </w:r>
          </w:p>
        </w:tc>
        <w:tc>
          <w:tcPr>
            <w:tcW w:w="1713" w:type="dxa"/>
            <w:noWrap/>
            <w:vAlign w:val="bottom"/>
            <w:hideMark/>
          </w:tcPr>
          <w:p w14:paraId="54DF909C" w14:textId="77777777" w:rsidR="00824897" w:rsidRPr="00092477" w:rsidRDefault="00824897">
            <w:pPr>
              <w:spacing w:after="0"/>
              <w:jc w:val="right"/>
              <w:rPr>
                <w:sz w:val="16"/>
                <w:szCs w:val="16"/>
              </w:rPr>
            </w:pPr>
            <w:r w:rsidRPr="00092477">
              <w:rPr>
                <w:sz w:val="16"/>
                <w:szCs w:val="16"/>
              </w:rPr>
              <w:t>23%</w:t>
            </w:r>
          </w:p>
        </w:tc>
        <w:tc>
          <w:tcPr>
            <w:tcW w:w="1713" w:type="dxa"/>
            <w:noWrap/>
            <w:vAlign w:val="bottom"/>
            <w:hideMark/>
          </w:tcPr>
          <w:p w14:paraId="1FBB8C9C" w14:textId="77777777" w:rsidR="00824897" w:rsidRPr="00092477" w:rsidRDefault="00824897">
            <w:pPr>
              <w:spacing w:after="0"/>
              <w:jc w:val="right"/>
              <w:rPr>
                <w:sz w:val="16"/>
                <w:szCs w:val="16"/>
              </w:rPr>
            </w:pPr>
            <w:r w:rsidRPr="00092477">
              <w:rPr>
                <w:sz w:val="16"/>
                <w:szCs w:val="16"/>
              </w:rPr>
              <w:t>28</w:t>
            </w:r>
          </w:p>
        </w:tc>
        <w:tc>
          <w:tcPr>
            <w:tcW w:w="1713" w:type="dxa"/>
            <w:noWrap/>
            <w:vAlign w:val="bottom"/>
            <w:hideMark/>
          </w:tcPr>
          <w:p w14:paraId="790E11A3" w14:textId="77777777" w:rsidR="00824897" w:rsidRPr="00092477" w:rsidRDefault="00824897">
            <w:pPr>
              <w:spacing w:after="0"/>
              <w:jc w:val="right"/>
              <w:rPr>
                <w:sz w:val="16"/>
                <w:szCs w:val="16"/>
              </w:rPr>
            </w:pPr>
            <w:r w:rsidRPr="00092477">
              <w:rPr>
                <w:sz w:val="16"/>
                <w:szCs w:val="16"/>
              </w:rPr>
              <w:t>19%</w:t>
            </w:r>
          </w:p>
        </w:tc>
      </w:tr>
      <w:tr w:rsidR="00824897" w:rsidRPr="00092477" w14:paraId="16F5CE22" w14:textId="77777777">
        <w:trPr>
          <w:trHeight w:val="224"/>
        </w:trPr>
        <w:tc>
          <w:tcPr>
            <w:tcW w:w="2258" w:type="dxa"/>
            <w:noWrap/>
            <w:hideMark/>
          </w:tcPr>
          <w:p w14:paraId="235F0DEA" w14:textId="77777777" w:rsidR="00824897" w:rsidRPr="00092477" w:rsidRDefault="00824897">
            <w:pPr>
              <w:spacing w:after="0"/>
              <w:rPr>
                <w:i/>
                <w:iCs/>
                <w:sz w:val="16"/>
                <w:szCs w:val="16"/>
              </w:rPr>
            </w:pPr>
            <w:r w:rsidRPr="00092477">
              <w:rPr>
                <w:i/>
                <w:iCs/>
                <w:sz w:val="16"/>
                <w:szCs w:val="16"/>
              </w:rPr>
              <w:t>South Australia</w:t>
            </w:r>
          </w:p>
        </w:tc>
        <w:tc>
          <w:tcPr>
            <w:tcW w:w="1712" w:type="dxa"/>
            <w:noWrap/>
            <w:vAlign w:val="bottom"/>
            <w:hideMark/>
          </w:tcPr>
          <w:p w14:paraId="10A586DA" w14:textId="77777777" w:rsidR="00824897" w:rsidRPr="00092477" w:rsidRDefault="00824897">
            <w:pPr>
              <w:spacing w:after="0"/>
              <w:jc w:val="right"/>
              <w:rPr>
                <w:sz w:val="16"/>
                <w:szCs w:val="16"/>
              </w:rPr>
            </w:pPr>
            <w:r w:rsidRPr="00092477">
              <w:rPr>
                <w:sz w:val="16"/>
                <w:szCs w:val="16"/>
              </w:rPr>
              <w:t>3</w:t>
            </w:r>
          </w:p>
        </w:tc>
        <w:tc>
          <w:tcPr>
            <w:tcW w:w="1713" w:type="dxa"/>
            <w:noWrap/>
            <w:vAlign w:val="bottom"/>
            <w:hideMark/>
          </w:tcPr>
          <w:p w14:paraId="39331F8E" w14:textId="77777777" w:rsidR="00824897" w:rsidRPr="00092477" w:rsidRDefault="00824897">
            <w:pPr>
              <w:spacing w:after="0"/>
              <w:jc w:val="right"/>
              <w:rPr>
                <w:sz w:val="16"/>
                <w:szCs w:val="16"/>
              </w:rPr>
            </w:pPr>
            <w:r w:rsidRPr="00092477">
              <w:rPr>
                <w:sz w:val="16"/>
                <w:szCs w:val="16"/>
              </w:rPr>
              <w:t>7%</w:t>
            </w:r>
          </w:p>
        </w:tc>
        <w:tc>
          <w:tcPr>
            <w:tcW w:w="1713" w:type="dxa"/>
            <w:noWrap/>
            <w:vAlign w:val="bottom"/>
            <w:hideMark/>
          </w:tcPr>
          <w:p w14:paraId="794E5390" w14:textId="77777777" w:rsidR="00824897" w:rsidRPr="00092477" w:rsidRDefault="00824897">
            <w:pPr>
              <w:spacing w:after="0"/>
              <w:jc w:val="right"/>
              <w:rPr>
                <w:sz w:val="16"/>
                <w:szCs w:val="16"/>
              </w:rPr>
            </w:pPr>
            <w:r w:rsidRPr="00092477">
              <w:rPr>
                <w:sz w:val="16"/>
                <w:szCs w:val="16"/>
              </w:rPr>
              <w:t>15</w:t>
            </w:r>
          </w:p>
        </w:tc>
        <w:tc>
          <w:tcPr>
            <w:tcW w:w="1713" w:type="dxa"/>
            <w:noWrap/>
            <w:vAlign w:val="bottom"/>
            <w:hideMark/>
          </w:tcPr>
          <w:p w14:paraId="4CE8B85E" w14:textId="77777777" w:rsidR="00824897" w:rsidRPr="00092477" w:rsidRDefault="00824897">
            <w:pPr>
              <w:spacing w:after="0"/>
              <w:jc w:val="right"/>
              <w:rPr>
                <w:sz w:val="16"/>
                <w:szCs w:val="16"/>
              </w:rPr>
            </w:pPr>
            <w:r w:rsidRPr="00092477">
              <w:rPr>
                <w:sz w:val="16"/>
                <w:szCs w:val="16"/>
              </w:rPr>
              <w:t>10%</w:t>
            </w:r>
          </w:p>
        </w:tc>
      </w:tr>
      <w:tr w:rsidR="00824897" w:rsidRPr="00092477" w14:paraId="0EB3FCD3" w14:textId="77777777">
        <w:trPr>
          <w:trHeight w:val="224"/>
        </w:trPr>
        <w:tc>
          <w:tcPr>
            <w:tcW w:w="2258" w:type="dxa"/>
            <w:noWrap/>
            <w:hideMark/>
          </w:tcPr>
          <w:p w14:paraId="6EF1BBFA" w14:textId="77777777" w:rsidR="00824897" w:rsidRPr="00092477" w:rsidRDefault="00824897">
            <w:pPr>
              <w:spacing w:after="0"/>
              <w:rPr>
                <w:i/>
                <w:iCs/>
                <w:sz w:val="16"/>
                <w:szCs w:val="16"/>
              </w:rPr>
            </w:pPr>
            <w:r w:rsidRPr="00092477">
              <w:rPr>
                <w:i/>
                <w:iCs/>
                <w:sz w:val="16"/>
                <w:szCs w:val="16"/>
              </w:rPr>
              <w:t>Tasmania</w:t>
            </w:r>
          </w:p>
        </w:tc>
        <w:tc>
          <w:tcPr>
            <w:tcW w:w="1712" w:type="dxa"/>
            <w:noWrap/>
            <w:vAlign w:val="bottom"/>
            <w:hideMark/>
          </w:tcPr>
          <w:p w14:paraId="4AC5468D" w14:textId="77777777" w:rsidR="00824897" w:rsidRPr="00092477" w:rsidRDefault="00824897">
            <w:pPr>
              <w:spacing w:after="0"/>
              <w:jc w:val="right"/>
              <w:rPr>
                <w:sz w:val="16"/>
                <w:szCs w:val="16"/>
              </w:rPr>
            </w:pPr>
            <w:r w:rsidRPr="00092477">
              <w:rPr>
                <w:sz w:val="16"/>
                <w:szCs w:val="16"/>
              </w:rPr>
              <w:t>1</w:t>
            </w:r>
          </w:p>
        </w:tc>
        <w:tc>
          <w:tcPr>
            <w:tcW w:w="1713" w:type="dxa"/>
            <w:noWrap/>
            <w:vAlign w:val="bottom"/>
            <w:hideMark/>
          </w:tcPr>
          <w:p w14:paraId="0D307C3F" w14:textId="77777777" w:rsidR="00824897" w:rsidRPr="00092477" w:rsidRDefault="00824897">
            <w:pPr>
              <w:spacing w:after="0"/>
              <w:jc w:val="right"/>
              <w:rPr>
                <w:sz w:val="16"/>
                <w:szCs w:val="16"/>
              </w:rPr>
            </w:pPr>
            <w:r w:rsidRPr="00092477">
              <w:rPr>
                <w:sz w:val="16"/>
                <w:szCs w:val="16"/>
              </w:rPr>
              <w:t>2%</w:t>
            </w:r>
          </w:p>
        </w:tc>
        <w:tc>
          <w:tcPr>
            <w:tcW w:w="1713" w:type="dxa"/>
            <w:noWrap/>
            <w:vAlign w:val="bottom"/>
            <w:hideMark/>
          </w:tcPr>
          <w:p w14:paraId="181B3B61" w14:textId="77777777" w:rsidR="00824897" w:rsidRPr="00092477" w:rsidRDefault="00824897">
            <w:pPr>
              <w:spacing w:after="0"/>
              <w:jc w:val="right"/>
              <w:rPr>
                <w:sz w:val="16"/>
                <w:szCs w:val="16"/>
              </w:rPr>
            </w:pPr>
            <w:r w:rsidRPr="00092477">
              <w:rPr>
                <w:sz w:val="16"/>
                <w:szCs w:val="16"/>
              </w:rPr>
              <w:t>4</w:t>
            </w:r>
          </w:p>
        </w:tc>
        <w:tc>
          <w:tcPr>
            <w:tcW w:w="1713" w:type="dxa"/>
            <w:noWrap/>
            <w:vAlign w:val="bottom"/>
            <w:hideMark/>
          </w:tcPr>
          <w:p w14:paraId="67C1BE72" w14:textId="77777777" w:rsidR="00824897" w:rsidRPr="00092477" w:rsidRDefault="00824897">
            <w:pPr>
              <w:spacing w:after="0"/>
              <w:jc w:val="right"/>
              <w:rPr>
                <w:sz w:val="16"/>
                <w:szCs w:val="16"/>
              </w:rPr>
            </w:pPr>
            <w:r w:rsidRPr="00092477">
              <w:rPr>
                <w:sz w:val="16"/>
                <w:szCs w:val="16"/>
              </w:rPr>
              <w:t>3%</w:t>
            </w:r>
          </w:p>
        </w:tc>
      </w:tr>
      <w:tr w:rsidR="00824897" w:rsidRPr="00092477" w14:paraId="06E60516" w14:textId="77777777">
        <w:trPr>
          <w:trHeight w:val="224"/>
        </w:trPr>
        <w:tc>
          <w:tcPr>
            <w:tcW w:w="2258" w:type="dxa"/>
            <w:noWrap/>
            <w:hideMark/>
          </w:tcPr>
          <w:p w14:paraId="29F6E33A" w14:textId="77777777" w:rsidR="00824897" w:rsidRPr="00092477" w:rsidRDefault="00824897">
            <w:pPr>
              <w:spacing w:after="0"/>
              <w:rPr>
                <w:i/>
                <w:iCs/>
                <w:sz w:val="16"/>
                <w:szCs w:val="16"/>
              </w:rPr>
            </w:pPr>
            <w:r w:rsidRPr="00092477">
              <w:rPr>
                <w:i/>
                <w:iCs/>
                <w:sz w:val="16"/>
                <w:szCs w:val="16"/>
              </w:rPr>
              <w:t>Victoria</w:t>
            </w:r>
          </w:p>
        </w:tc>
        <w:tc>
          <w:tcPr>
            <w:tcW w:w="1712" w:type="dxa"/>
            <w:noWrap/>
            <w:vAlign w:val="bottom"/>
            <w:hideMark/>
          </w:tcPr>
          <w:p w14:paraId="7F77E0DD" w14:textId="77777777" w:rsidR="00824897" w:rsidRPr="00092477" w:rsidRDefault="00824897">
            <w:pPr>
              <w:spacing w:after="0"/>
              <w:jc w:val="right"/>
              <w:rPr>
                <w:sz w:val="16"/>
                <w:szCs w:val="16"/>
              </w:rPr>
            </w:pPr>
            <w:r w:rsidRPr="00092477">
              <w:rPr>
                <w:sz w:val="16"/>
                <w:szCs w:val="16"/>
              </w:rPr>
              <w:t>5</w:t>
            </w:r>
          </w:p>
        </w:tc>
        <w:tc>
          <w:tcPr>
            <w:tcW w:w="1713" w:type="dxa"/>
            <w:noWrap/>
            <w:vAlign w:val="bottom"/>
            <w:hideMark/>
          </w:tcPr>
          <w:p w14:paraId="34FA725A" w14:textId="77777777" w:rsidR="00824897" w:rsidRPr="00092477" w:rsidRDefault="00824897">
            <w:pPr>
              <w:spacing w:after="0"/>
              <w:jc w:val="right"/>
              <w:rPr>
                <w:sz w:val="16"/>
                <w:szCs w:val="16"/>
              </w:rPr>
            </w:pPr>
            <w:r w:rsidRPr="00092477">
              <w:rPr>
                <w:sz w:val="16"/>
                <w:szCs w:val="16"/>
              </w:rPr>
              <w:t>12%</w:t>
            </w:r>
          </w:p>
        </w:tc>
        <w:tc>
          <w:tcPr>
            <w:tcW w:w="1713" w:type="dxa"/>
            <w:noWrap/>
            <w:vAlign w:val="bottom"/>
            <w:hideMark/>
          </w:tcPr>
          <w:p w14:paraId="0701A81D" w14:textId="77777777" w:rsidR="00824897" w:rsidRPr="00092477" w:rsidRDefault="00824897">
            <w:pPr>
              <w:spacing w:after="0"/>
              <w:jc w:val="right"/>
              <w:rPr>
                <w:sz w:val="16"/>
                <w:szCs w:val="16"/>
              </w:rPr>
            </w:pPr>
            <w:r w:rsidRPr="00092477">
              <w:rPr>
                <w:sz w:val="16"/>
                <w:szCs w:val="16"/>
              </w:rPr>
              <w:t>19</w:t>
            </w:r>
          </w:p>
        </w:tc>
        <w:tc>
          <w:tcPr>
            <w:tcW w:w="1713" w:type="dxa"/>
            <w:noWrap/>
            <w:vAlign w:val="bottom"/>
            <w:hideMark/>
          </w:tcPr>
          <w:p w14:paraId="659B039A" w14:textId="77777777" w:rsidR="00824897" w:rsidRPr="00092477" w:rsidRDefault="00824897">
            <w:pPr>
              <w:spacing w:after="0"/>
              <w:jc w:val="right"/>
              <w:rPr>
                <w:sz w:val="16"/>
                <w:szCs w:val="16"/>
              </w:rPr>
            </w:pPr>
            <w:r w:rsidRPr="00092477">
              <w:rPr>
                <w:sz w:val="16"/>
                <w:szCs w:val="16"/>
              </w:rPr>
              <w:t>13%</w:t>
            </w:r>
          </w:p>
        </w:tc>
      </w:tr>
      <w:tr w:rsidR="00824897" w:rsidRPr="00092477" w14:paraId="50ECD07E" w14:textId="77777777">
        <w:trPr>
          <w:trHeight w:val="224"/>
        </w:trPr>
        <w:tc>
          <w:tcPr>
            <w:tcW w:w="2258" w:type="dxa"/>
            <w:noWrap/>
            <w:hideMark/>
          </w:tcPr>
          <w:p w14:paraId="415DE42D" w14:textId="77777777" w:rsidR="00824897" w:rsidRPr="00092477" w:rsidRDefault="00824897">
            <w:pPr>
              <w:spacing w:after="0"/>
              <w:rPr>
                <w:i/>
                <w:iCs/>
                <w:sz w:val="16"/>
                <w:szCs w:val="16"/>
              </w:rPr>
            </w:pPr>
            <w:r w:rsidRPr="00092477">
              <w:rPr>
                <w:i/>
                <w:iCs/>
                <w:sz w:val="16"/>
                <w:szCs w:val="16"/>
              </w:rPr>
              <w:t>Western Australia</w:t>
            </w:r>
          </w:p>
        </w:tc>
        <w:tc>
          <w:tcPr>
            <w:tcW w:w="1712" w:type="dxa"/>
            <w:noWrap/>
            <w:vAlign w:val="bottom"/>
            <w:hideMark/>
          </w:tcPr>
          <w:p w14:paraId="4A075B41" w14:textId="77777777" w:rsidR="00824897" w:rsidRPr="00092477" w:rsidRDefault="00824897">
            <w:pPr>
              <w:spacing w:after="0"/>
              <w:jc w:val="right"/>
              <w:rPr>
                <w:sz w:val="16"/>
                <w:szCs w:val="16"/>
              </w:rPr>
            </w:pPr>
            <w:r w:rsidRPr="00092477">
              <w:rPr>
                <w:sz w:val="16"/>
                <w:szCs w:val="16"/>
              </w:rPr>
              <w:t>6</w:t>
            </w:r>
          </w:p>
        </w:tc>
        <w:tc>
          <w:tcPr>
            <w:tcW w:w="1713" w:type="dxa"/>
            <w:noWrap/>
            <w:vAlign w:val="bottom"/>
            <w:hideMark/>
          </w:tcPr>
          <w:p w14:paraId="17449C57" w14:textId="77777777" w:rsidR="00824897" w:rsidRPr="00092477" w:rsidRDefault="00824897">
            <w:pPr>
              <w:spacing w:after="0"/>
              <w:jc w:val="right"/>
              <w:rPr>
                <w:sz w:val="16"/>
                <w:szCs w:val="16"/>
              </w:rPr>
            </w:pPr>
            <w:r w:rsidRPr="00092477">
              <w:rPr>
                <w:sz w:val="16"/>
                <w:szCs w:val="16"/>
              </w:rPr>
              <w:t>14%</w:t>
            </w:r>
          </w:p>
        </w:tc>
        <w:tc>
          <w:tcPr>
            <w:tcW w:w="1713" w:type="dxa"/>
            <w:noWrap/>
            <w:vAlign w:val="bottom"/>
            <w:hideMark/>
          </w:tcPr>
          <w:p w14:paraId="3E2E7346" w14:textId="77777777" w:rsidR="00824897" w:rsidRPr="00092477" w:rsidRDefault="00824897">
            <w:pPr>
              <w:spacing w:after="0"/>
              <w:jc w:val="right"/>
              <w:rPr>
                <w:sz w:val="16"/>
                <w:szCs w:val="16"/>
              </w:rPr>
            </w:pPr>
            <w:r w:rsidRPr="00092477">
              <w:rPr>
                <w:sz w:val="16"/>
                <w:szCs w:val="16"/>
              </w:rPr>
              <w:t>13</w:t>
            </w:r>
          </w:p>
        </w:tc>
        <w:tc>
          <w:tcPr>
            <w:tcW w:w="1713" w:type="dxa"/>
            <w:noWrap/>
            <w:vAlign w:val="bottom"/>
            <w:hideMark/>
          </w:tcPr>
          <w:p w14:paraId="17090AB7" w14:textId="77777777" w:rsidR="00824897" w:rsidRPr="00092477" w:rsidRDefault="00824897">
            <w:pPr>
              <w:spacing w:after="0"/>
              <w:jc w:val="right"/>
              <w:rPr>
                <w:sz w:val="16"/>
                <w:szCs w:val="16"/>
              </w:rPr>
            </w:pPr>
            <w:r w:rsidRPr="00092477">
              <w:rPr>
                <w:sz w:val="16"/>
                <w:szCs w:val="16"/>
              </w:rPr>
              <w:t>9%</w:t>
            </w:r>
          </w:p>
        </w:tc>
      </w:tr>
      <w:tr w:rsidR="00824897" w:rsidRPr="00092477" w14:paraId="3B11F607" w14:textId="77777777">
        <w:trPr>
          <w:trHeight w:val="224"/>
        </w:trPr>
        <w:tc>
          <w:tcPr>
            <w:tcW w:w="9109" w:type="dxa"/>
            <w:gridSpan w:val="5"/>
            <w:noWrap/>
            <w:vAlign w:val="center"/>
            <w:hideMark/>
          </w:tcPr>
          <w:p w14:paraId="28074C97" w14:textId="77777777" w:rsidR="00824897" w:rsidRPr="00092477" w:rsidRDefault="00824897">
            <w:pPr>
              <w:spacing w:after="0"/>
              <w:rPr>
                <w:sz w:val="16"/>
                <w:szCs w:val="16"/>
              </w:rPr>
            </w:pPr>
            <w:r w:rsidRPr="00092477">
              <w:rPr>
                <w:b/>
                <w:bCs/>
                <w:sz w:val="16"/>
                <w:szCs w:val="16"/>
              </w:rPr>
              <w:t>CCCFR grant size (2022-23)</w:t>
            </w:r>
          </w:p>
        </w:tc>
      </w:tr>
      <w:tr w:rsidR="00824897" w:rsidRPr="00092477" w14:paraId="262A9C49" w14:textId="77777777" w:rsidTr="001235A2">
        <w:trPr>
          <w:trHeight w:val="144"/>
        </w:trPr>
        <w:tc>
          <w:tcPr>
            <w:tcW w:w="2258" w:type="dxa"/>
            <w:noWrap/>
            <w:vAlign w:val="bottom"/>
            <w:hideMark/>
          </w:tcPr>
          <w:p w14:paraId="3B1834B9" w14:textId="0A511EFE" w:rsidR="00824897" w:rsidRPr="00092477" w:rsidRDefault="001235A2">
            <w:pPr>
              <w:spacing w:after="0"/>
              <w:rPr>
                <w:i/>
                <w:iCs/>
                <w:sz w:val="16"/>
                <w:szCs w:val="16"/>
              </w:rPr>
            </w:pPr>
            <w:r>
              <w:rPr>
                <w:i/>
                <w:iCs/>
                <w:color w:val="000000"/>
                <w:sz w:val="16"/>
                <w:szCs w:val="16"/>
              </w:rPr>
              <w:t>$</w:t>
            </w:r>
            <w:r w:rsidRPr="001235A2">
              <w:rPr>
                <w:i/>
                <w:iCs/>
                <w:color w:val="000000"/>
                <w:sz w:val="16"/>
                <w:szCs w:val="16"/>
              </w:rPr>
              <w:t xml:space="preserve">-   </w:t>
            </w:r>
          </w:p>
        </w:tc>
        <w:tc>
          <w:tcPr>
            <w:tcW w:w="1712" w:type="dxa"/>
            <w:noWrap/>
            <w:vAlign w:val="bottom"/>
            <w:hideMark/>
          </w:tcPr>
          <w:p w14:paraId="2AAB704E" w14:textId="0A8A9E9D" w:rsidR="00824897" w:rsidRPr="001235A2" w:rsidRDefault="001235A2">
            <w:pPr>
              <w:spacing w:after="0"/>
              <w:jc w:val="right"/>
              <w:rPr>
                <w:i/>
                <w:sz w:val="16"/>
                <w:szCs w:val="16"/>
              </w:rPr>
            </w:pPr>
            <w:r w:rsidRPr="001235A2">
              <w:rPr>
                <w:i/>
                <w:iCs/>
                <w:color w:val="000000"/>
                <w:sz w:val="16"/>
                <w:szCs w:val="16"/>
              </w:rPr>
              <w:t>1</w:t>
            </w:r>
          </w:p>
        </w:tc>
        <w:tc>
          <w:tcPr>
            <w:tcW w:w="1713" w:type="dxa"/>
            <w:noWrap/>
            <w:vAlign w:val="bottom"/>
            <w:hideMark/>
          </w:tcPr>
          <w:p w14:paraId="0E0024AD" w14:textId="59A35944" w:rsidR="00824897" w:rsidRPr="001235A2" w:rsidRDefault="001235A2">
            <w:pPr>
              <w:spacing w:after="0"/>
              <w:jc w:val="right"/>
              <w:rPr>
                <w:i/>
                <w:sz w:val="16"/>
                <w:szCs w:val="16"/>
              </w:rPr>
            </w:pPr>
            <w:r w:rsidRPr="001235A2">
              <w:rPr>
                <w:i/>
                <w:iCs/>
                <w:color w:val="000000"/>
                <w:sz w:val="16"/>
                <w:szCs w:val="16"/>
              </w:rPr>
              <w:t>2</w:t>
            </w:r>
            <w:r w:rsidR="00824897" w:rsidRPr="001235A2">
              <w:rPr>
                <w:i/>
                <w:color w:val="000000"/>
                <w:sz w:val="16"/>
                <w:szCs w:val="16"/>
              </w:rPr>
              <w:t>%</w:t>
            </w:r>
          </w:p>
        </w:tc>
        <w:tc>
          <w:tcPr>
            <w:tcW w:w="1713" w:type="dxa"/>
            <w:noWrap/>
            <w:vAlign w:val="bottom"/>
            <w:hideMark/>
          </w:tcPr>
          <w:p w14:paraId="368BA723" w14:textId="4139C5EB" w:rsidR="00824897" w:rsidRPr="001235A2" w:rsidRDefault="00755623">
            <w:pPr>
              <w:spacing w:after="0"/>
              <w:jc w:val="right"/>
              <w:rPr>
                <w:i/>
                <w:sz w:val="16"/>
                <w:szCs w:val="16"/>
              </w:rPr>
            </w:pPr>
            <w:r w:rsidRPr="001235A2">
              <w:rPr>
                <w:i/>
                <w:color w:val="000000"/>
                <w:sz w:val="16"/>
                <w:szCs w:val="16"/>
              </w:rPr>
              <w:t>6</w:t>
            </w:r>
          </w:p>
        </w:tc>
        <w:tc>
          <w:tcPr>
            <w:tcW w:w="1713" w:type="dxa"/>
            <w:noWrap/>
            <w:vAlign w:val="bottom"/>
            <w:hideMark/>
          </w:tcPr>
          <w:p w14:paraId="2697BC96" w14:textId="758D46E8" w:rsidR="00824897" w:rsidRPr="001235A2" w:rsidRDefault="00755623">
            <w:pPr>
              <w:spacing w:after="0"/>
              <w:jc w:val="right"/>
              <w:rPr>
                <w:i/>
                <w:sz w:val="16"/>
                <w:szCs w:val="16"/>
              </w:rPr>
            </w:pPr>
            <w:r w:rsidRPr="001235A2">
              <w:rPr>
                <w:i/>
                <w:color w:val="000000"/>
                <w:sz w:val="16"/>
                <w:szCs w:val="16"/>
              </w:rPr>
              <w:t>4</w:t>
            </w:r>
            <w:r w:rsidR="00824897" w:rsidRPr="001235A2">
              <w:rPr>
                <w:i/>
                <w:color w:val="000000"/>
                <w:sz w:val="16"/>
                <w:szCs w:val="16"/>
              </w:rPr>
              <w:t>%</w:t>
            </w:r>
          </w:p>
        </w:tc>
      </w:tr>
      <w:tr w:rsidR="00824897" w:rsidRPr="00092477" w14:paraId="1A0A3835" w14:textId="77777777">
        <w:trPr>
          <w:trHeight w:val="224"/>
        </w:trPr>
        <w:tc>
          <w:tcPr>
            <w:tcW w:w="2258" w:type="dxa"/>
            <w:noWrap/>
            <w:vAlign w:val="bottom"/>
            <w:hideMark/>
          </w:tcPr>
          <w:p w14:paraId="4BBA7589" w14:textId="6525D10D" w:rsidR="00824897" w:rsidRPr="00092477" w:rsidRDefault="00824897">
            <w:pPr>
              <w:spacing w:after="0"/>
              <w:rPr>
                <w:i/>
                <w:iCs/>
                <w:sz w:val="16"/>
                <w:szCs w:val="16"/>
              </w:rPr>
            </w:pPr>
            <w:r w:rsidRPr="001235A2">
              <w:rPr>
                <w:i/>
                <w:color w:val="000000"/>
                <w:sz w:val="16"/>
                <w:szCs w:val="16"/>
              </w:rPr>
              <w:t xml:space="preserve">$50,000 </w:t>
            </w:r>
            <w:r w:rsidR="001235A2" w:rsidRPr="001235A2">
              <w:rPr>
                <w:i/>
                <w:iCs/>
                <w:color w:val="000000"/>
                <w:sz w:val="16"/>
                <w:szCs w:val="16"/>
              </w:rPr>
              <w:t>and under</w:t>
            </w:r>
          </w:p>
        </w:tc>
        <w:tc>
          <w:tcPr>
            <w:tcW w:w="1712" w:type="dxa"/>
            <w:noWrap/>
            <w:vAlign w:val="bottom"/>
            <w:hideMark/>
          </w:tcPr>
          <w:p w14:paraId="4B3BDA84" w14:textId="68FEE181" w:rsidR="00824897" w:rsidRPr="001235A2" w:rsidRDefault="001235A2">
            <w:pPr>
              <w:spacing w:after="0"/>
              <w:jc w:val="right"/>
              <w:rPr>
                <w:i/>
                <w:sz w:val="16"/>
                <w:szCs w:val="16"/>
              </w:rPr>
            </w:pPr>
            <w:r w:rsidRPr="001235A2">
              <w:rPr>
                <w:i/>
                <w:iCs/>
                <w:color w:val="000000"/>
                <w:sz w:val="16"/>
                <w:szCs w:val="16"/>
              </w:rPr>
              <w:t>2</w:t>
            </w:r>
          </w:p>
        </w:tc>
        <w:tc>
          <w:tcPr>
            <w:tcW w:w="1713" w:type="dxa"/>
            <w:noWrap/>
            <w:vAlign w:val="bottom"/>
            <w:hideMark/>
          </w:tcPr>
          <w:p w14:paraId="523ADA4F" w14:textId="3CAAF33B" w:rsidR="00824897" w:rsidRPr="001235A2" w:rsidRDefault="001235A2">
            <w:pPr>
              <w:spacing w:after="0"/>
              <w:jc w:val="right"/>
              <w:rPr>
                <w:i/>
                <w:sz w:val="16"/>
                <w:szCs w:val="16"/>
              </w:rPr>
            </w:pPr>
            <w:r w:rsidRPr="001235A2">
              <w:rPr>
                <w:i/>
                <w:iCs/>
                <w:color w:val="000000"/>
                <w:sz w:val="16"/>
                <w:szCs w:val="16"/>
              </w:rPr>
              <w:t>5</w:t>
            </w:r>
            <w:r w:rsidR="00824897" w:rsidRPr="001235A2">
              <w:rPr>
                <w:i/>
                <w:color w:val="000000"/>
                <w:sz w:val="16"/>
                <w:szCs w:val="16"/>
              </w:rPr>
              <w:t>%</w:t>
            </w:r>
          </w:p>
        </w:tc>
        <w:tc>
          <w:tcPr>
            <w:tcW w:w="1713" w:type="dxa"/>
            <w:noWrap/>
            <w:vAlign w:val="bottom"/>
            <w:hideMark/>
          </w:tcPr>
          <w:p w14:paraId="36D5F92B" w14:textId="4BA84C17" w:rsidR="00824897" w:rsidRPr="001235A2" w:rsidRDefault="00755623">
            <w:pPr>
              <w:spacing w:after="0"/>
              <w:jc w:val="right"/>
              <w:rPr>
                <w:i/>
                <w:sz w:val="16"/>
                <w:szCs w:val="16"/>
              </w:rPr>
            </w:pPr>
            <w:r w:rsidRPr="001235A2">
              <w:rPr>
                <w:i/>
                <w:color w:val="000000"/>
                <w:sz w:val="16"/>
                <w:szCs w:val="16"/>
              </w:rPr>
              <w:t>10</w:t>
            </w:r>
          </w:p>
        </w:tc>
        <w:tc>
          <w:tcPr>
            <w:tcW w:w="1713" w:type="dxa"/>
            <w:noWrap/>
            <w:vAlign w:val="bottom"/>
            <w:hideMark/>
          </w:tcPr>
          <w:p w14:paraId="49C4B2BF" w14:textId="34DE2AFA" w:rsidR="00824897" w:rsidRPr="001235A2" w:rsidRDefault="00824897">
            <w:pPr>
              <w:spacing w:after="0"/>
              <w:jc w:val="right"/>
              <w:rPr>
                <w:i/>
                <w:sz w:val="16"/>
                <w:szCs w:val="16"/>
              </w:rPr>
            </w:pPr>
            <w:r w:rsidRPr="001235A2">
              <w:rPr>
                <w:i/>
                <w:color w:val="000000"/>
                <w:sz w:val="16"/>
                <w:szCs w:val="16"/>
              </w:rPr>
              <w:t>7%</w:t>
            </w:r>
          </w:p>
        </w:tc>
      </w:tr>
      <w:tr w:rsidR="00824897" w:rsidRPr="00092477" w14:paraId="1743C429" w14:textId="77777777">
        <w:trPr>
          <w:trHeight w:val="224"/>
        </w:trPr>
        <w:tc>
          <w:tcPr>
            <w:tcW w:w="2258" w:type="dxa"/>
            <w:noWrap/>
            <w:vAlign w:val="bottom"/>
            <w:hideMark/>
          </w:tcPr>
          <w:p w14:paraId="151B1589" w14:textId="51177691" w:rsidR="00824897" w:rsidRPr="00092477" w:rsidRDefault="00824897">
            <w:pPr>
              <w:spacing w:after="0"/>
              <w:rPr>
                <w:i/>
                <w:iCs/>
                <w:sz w:val="16"/>
                <w:szCs w:val="16"/>
              </w:rPr>
            </w:pPr>
            <w:r w:rsidRPr="001235A2">
              <w:rPr>
                <w:i/>
                <w:color w:val="000000"/>
                <w:sz w:val="16"/>
                <w:szCs w:val="16"/>
              </w:rPr>
              <w:t>$</w:t>
            </w:r>
            <w:r w:rsidR="001235A2" w:rsidRPr="001235A2">
              <w:rPr>
                <w:i/>
                <w:iCs/>
                <w:color w:val="000000"/>
                <w:sz w:val="16"/>
                <w:szCs w:val="16"/>
              </w:rPr>
              <w:t>50,001 to $</w:t>
            </w:r>
            <w:r w:rsidRPr="001235A2">
              <w:rPr>
                <w:i/>
                <w:color w:val="000000"/>
                <w:sz w:val="16"/>
                <w:szCs w:val="16"/>
              </w:rPr>
              <w:t>100,000</w:t>
            </w:r>
          </w:p>
        </w:tc>
        <w:tc>
          <w:tcPr>
            <w:tcW w:w="1712" w:type="dxa"/>
            <w:noWrap/>
            <w:vAlign w:val="bottom"/>
            <w:hideMark/>
          </w:tcPr>
          <w:p w14:paraId="4B15D8CC" w14:textId="2173F525" w:rsidR="00824897" w:rsidRPr="001235A2" w:rsidRDefault="001235A2">
            <w:pPr>
              <w:spacing w:after="0"/>
              <w:jc w:val="right"/>
              <w:rPr>
                <w:i/>
                <w:sz w:val="16"/>
                <w:szCs w:val="16"/>
              </w:rPr>
            </w:pPr>
            <w:r w:rsidRPr="001235A2">
              <w:rPr>
                <w:i/>
                <w:iCs/>
                <w:color w:val="000000"/>
                <w:sz w:val="16"/>
                <w:szCs w:val="16"/>
              </w:rPr>
              <w:t>4</w:t>
            </w:r>
          </w:p>
        </w:tc>
        <w:tc>
          <w:tcPr>
            <w:tcW w:w="1713" w:type="dxa"/>
            <w:noWrap/>
            <w:vAlign w:val="bottom"/>
            <w:hideMark/>
          </w:tcPr>
          <w:p w14:paraId="202AF483" w14:textId="50B1AEE3" w:rsidR="00824897" w:rsidRPr="001235A2" w:rsidRDefault="001235A2">
            <w:pPr>
              <w:spacing w:after="0"/>
              <w:jc w:val="right"/>
              <w:rPr>
                <w:i/>
                <w:sz w:val="16"/>
                <w:szCs w:val="16"/>
              </w:rPr>
            </w:pPr>
            <w:r w:rsidRPr="001235A2">
              <w:rPr>
                <w:i/>
                <w:iCs/>
                <w:color w:val="000000"/>
                <w:sz w:val="16"/>
                <w:szCs w:val="16"/>
              </w:rPr>
              <w:t>9</w:t>
            </w:r>
            <w:r w:rsidR="00824897" w:rsidRPr="001235A2">
              <w:rPr>
                <w:i/>
                <w:color w:val="000000"/>
                <w:sz w:val="16"/>
                <w:szCs w:val="16"/>
              </w:rPr>
              <w:t>%</w:t>
            </w:r>
          </w:p>
        </w:tc>
        <w:tc>
          <w:tcPr>
            <w:tcW w:w="1713" w:type="dxa"/>
            <w:noWrap/>
            <w:vAlign w:val="bottom"/>
            <w:hideMark/>
          </w:tcPr>
          <w:p w14:paraId="2AF2F65F" w14:textId="4D102EBB" w:rsidR="00824897" w:rsidRPr="001235A2" w:rsidRDefault="00824897">
            <w:pPr>
              <w:spacing w:after="0"/>
              <w:jc w:val="right"/>
              <w:rPr>
                <w:i/>
                <w:sz w:val="16"/>
                <w:szCs w:val="16"/>
              </w:rPr>
            </w:pPr>
            <w:r w:rsidRPr="001235A2">
              <w:rPr>
                <w:i/>
                <w:color w:val="000000"/>
                <w:sz w:val="16"/>
                <w:szCs w:val="16"/>
              </w:rPr>
              <w:t>38</w:t>
            </w:r>
          </w:p>
        </w:tc>
        <w:tc>
          <w:tcPr>
            <w:tcW w:w="1713" w:type="dxa"/>
            <w:noWrap/>
            <w:vAlign w:val="bottom"/>
            <w:hideMark/>
          </w:tcPr>
          <w:p w14:paraId="45E25781" w14:textId="4DC7F59F" w:rsidR="00824897" w:rsidRPr="001235A2" w:rsidRDefault="00824897">
            <w:pPr>
              <w:spacing w:after="0"/>
              <w:jc w:val="right"/>
              <w:rPr>
                <w:i/>
                <w:sz w:val="16"/>
                <w:szCs w:val="16"/>
              </w:rPr>
            </w:pPr>
            <w:r w:rsidRPr="001235A2">
              <w:rPr>
                <w:i/>
                <w:color w:val="000000"/>
                <w:sz w:val="16"/>
                <w:szCs w:val="16"/>
              </w:rPr>
              <w:t>26%</w:t>
            </w:r>
          </w:p>
        </w:tc>
      </w:tr>
      <w:tr w:rsidR="00824897" w:rsidRPr="00092477" w14:paraId="2BDB4F57" w14:textId="77777777">
        <w:trPr>
          <w:trHeight w:val="224"/>
        </w:trPr>
        <w:tc>
          <w:tcPr>
            <w:tcW w:w="2258" w:type="dxa"/>
            <w:noWrap/>
            <w:vAlign w:val="bottom"/>
            <w:hideMark/>
          </w:tcPr>
          <w:p w14:paraId="1DC919A3" w14:textId="66A61FD6" w:rsidR="00824897" w:rsidRPr="00092477" w:rsidRDefault="00824897">
            <w:pPr>
              <w:spacing w:after="0"/>
              <w:rPr>
                <w:i/>
                <w:iCs/>
                <w:sz w:val="16"/>
                <w:szCs w:val="16"/>
              </w:rPr>
            </w:pPr>
            <w:r w:rsidRPr="001235A2">
              <w:rPr>
                <w:i/>
                <w:color w:val="000000"/>
                <w:sz w:val="16"/>
                <w:szCs w:val="16"/>
              </w:rPr>
              <w:t>$</w:t>
            </w:r>
            <w:r w:rsidR="001235A2" w:rsidRPr="001235A2">
              <w:rPr>
                <w:i/>
                <w:iCs/>
                <w:color w:val="000000"/>
                <w:sz w:val="16"/>
                <w:szCs w:val="16"/>
              </w:rPr>
              <w:t>100,001 to $</w:t>
            </w:r>
            <w:r w:rsidRPr="001235A2">
              <w:rPr>
                <w:i/>
                <w:color w:val="000000"/>
                <w:sz w:val="16"/>
                <w:szCs w:val="16"/>
              </w:rPr>
              <w:t>250,000</w:t>
            </w:r>
          </w:p>
        </w:tc>
        <w:tc>
          <w:tcPr>
            <w:tcW w:w="1712" w:type="dxa"/>
            <w:noWrap/>
            <w:vAlign w:val="bottom"/>
            <w:hideMark/>
          </w:tcPr>
          <w:p w14:paraId="46E9334B" w14:textId="080BC93D" w:rsidR="00824897" w:rsidRPr="001235A2" w:rsidRDefault="001235A2">
            <w:pPr>
              <w:spacing w:after="0"/>
              <w:jc w:val="right"/>
              <w:rPr>
                <w:i/>
                <w:sz w:val="16"/>
                <w:szCs w:val="16"/>
              </w:rPr>
            </w:pPr>
            <w:r w:rsidRPr="001235A2">
              <w:rPr>
                <w:i/>
                <w:iCs/>
                <w:color w:val="000000"/>
                <w:sz w:val="16"/>
                <w:szCs w:val="16"/>
              </w:rPr>
              <w:t>15</w:t>
            </w:r>
          </w:p>
        </w:tc>
        <w:tc>
          <w:tcPr>
            <w:tcW w:w="1713" w:type="dxa"/>
            <w:noWrap/>
            <w:vAlign w:val="bottom"/>
            <w:hideMark/>
          </w:tcPr>
          <w:p w14:paraId="7B619D1C" w14:textId="2B900BCB" w:rsidR="00824897" w:rsidRPr="001235A2" w:rsidRDefault="001235A2">
            <w:pPr>
              <w:spacing w:after="0"/>
              <w:jc w:val="right"/>
              <w:rPr>
                <w:i/>
                <w:sz w:val="16"/>
                <w:szCs w:val="16"/>
              </w:rPr>
            </w:pPr>
            <w:r w:rsidRPr="001235A2">
              <w:rPr>
                <w:i/>
                <w:iCs/>
                <w:color w:val="000000"/>
                <w:sz w:val="16"/>
                <w:szCs w:val="16"/>
              </w:rPr>
              <w:t>35</w:t>
            </w:r>
            <w:r w:rsidR="00824897" w:rsidRPr="001235A2">
              <w:rPr>
                <w:i/>
                <w:color w:val="000000"/>
                <w:sz w:val="16"/>
                <w:szCs w:val="16"/>
              </w:rPr>
              <w:t>%</w:t>
            </w:r>
          </w:p>
        </w:tc>
        <w:tc>
          <w:tcPr>
            <w:tcW w:w="1713" w:type="dxa"/>
            <w:noWrap/>
            <w:vAlign w:val="bottom"/>
            <w:hideMark/>
          </w:tcPr>
          <w:p w14:paraId="6AD52558" w14:textId="25D2B15E" w:rsidR="00824897" w:rsidRPr="001235A2" w:rsidRDefault="00824897">
            <w:pPr>
              <w:spacing w:after="0"/>
              <w:jc w:val="right"/>
              <w:rPr>
                <w:i/>
                <w:sz w:val="16"/>
                <w:szCs w:val="16"/>
              </w:rPr>
            </w:pPr>
            <w:r w:rsidRPr="001235A2">
              <w:rPr>
                <w:i/>
                <w:color w:val="000000"/>
                <w:sz w:val="16"/>
                <w:szCs w:val="16"/>
              </w:rPr>
              <w:t>68</w:t>
            </w:r>
          </w:p>
        </w:tc>
        <w:tc>
          <w:tcPr>
            <w:tcW w:w="1713" w:type="dxa"/>
            <w:noWrap/>
            <w:vAlign w:val="bottom"/>
            <w:hideMark/>
          </w:tcPr>
          <w:p w14:paraId="0E0689A6" w14:textId="3D651790" w:rsidR="00824897" w:rsidRPr="001235A2" w:rsidRDefault="00824897">
            <w:pPr>
              <w:spacing w:after="0"/>
              <w:jc w:val="right"/>
              <w:rPr>
                <w:i/>
                <w:sz w:val="16"/>
                <w:szCs w:val="16"/>
              </w:rPr>
            </w:pPr>
            <w:r w:rsidRPr="001235A2">
              <w:rPr>
                <w:i/>
                <w:color w:val="000000"/>
                <w:sz w:val="16"/>
                <w:szCs w:val="16"/>
              </w:rPr>
              <w:t>46%</w:t>
            </w:r>
          </w:p>
        </w:tc>
      </w:tr>
      <w:tr w:rsidR="00824897" w:rsidRPr="00092477" w14:paraId="18158030" w14:textId="77777777">
        <w:trPr>
          <w:trHeight w:val="224"/>
        </w:trPr>
        <w:tc>
          <w:tcPr>
            <w:tcW w:w="2258" w:type="dxa"/>
            <w:noWrap/>
            <w:vAlign w:val="bottom"/>
            <w:hideMark/>
          </w:tcPr>
          <w:p w14:paraId="177F92A0" w14:textId="1159D952" w:rsidR="00824897" w:rsidRPr="00092477" w:rsidRDefault="001235A2">
            <w:pPr>
              <w:spacing w:after="0"/>
              <w:rPr>
                <w:i/>
                <w:iCs/>
                <w:sz w:val="16"/>
                <w:szCs w:val="16"/>
              </w:rPr>
            </w:pPr>
            <w:r w:rsidRPr="001235A2">
              <w:rPr>
                <w:i/>
                <w:iCs/>
                <w:color w:val="000000"/>
                <w:sz w:val="16"/>
                <w:szCs w:val="16"/>
              </w:rPr>
              <w:t xml:space="preserve">$250,001 to </w:t>
            </w:r>
            <w:r w:rsidR="00824897" w:rsidRPr="001235A2">
              <w:rPr>
                <w:i/>
                <w:color w:val="000000"/>
                <w:sz w:val="16"/>
                <w:szCs w:val="16"/>
              </w:rPr>
              <w:t>$500,000</w:t>
            </w:r>
          </w:p>
        </w:tc>
        <w:tc>
          <w:tcPr>
            <w:tcW w:w="1712" w:type="dxa"/>
            <w:noWrap/>
            <w:vAlign w:val="bottom"/>
            <w:hideMark/>
          </w:tcPr>
          <w:p w14:paraId="1428CBAF" w14:textId="02B040F1" w:rsidR="00824897" w:rsidRPr="001235A2" w:rsidRDefault="001235A2">
            <w:pPr>
              <w:spacing w:after="0"/>
              <w:jc w:val="right"/>
              <w:rPr>
                <w:i/>
                <w:sz w:val="16"/>
                <w:szCs w:val="16"/>
              </w:rPr>
            </w:pPr>
            <w:r w:rsidRPr="001235A2">
              <w:rPr>
                <w:i/>
                <w:iCs/>
                <w:color w:val="000000"/>
                <w:sz w:val="16"/>
                <w:szCs w:val="16"/>
              </w:rPr>
              <w:t>15</w:t>
            </w:r>
          </w:p>
        </w:tc>
        <w:tc>
          <w:tcPr>
            <w:tcW w:w="1713" w:type="dxa"/>
            <w:noWrap/>
            <w:vAlign w:val="bottom"/>
            <w:hideMark/>
          </w:tcPr>
          <w:p w14:paraId="7C1ABDF4" w14:textId="36D6A6B1" w:rsidR="00824897" w:rsidRPr="001235A2" w:rsidRDefault="001235A2">
            <w:pPr>
              <w:spacing w:after="0"/>
              <w:jc w:val="right"/>
              <w:rPr>
                <w:i/>
                <w:sz w:val="16"/>
                <w:szCs w:val="16"/>
              </w:rPr>
            </w:pPr>
            <w:r w:rsidRPr="001235A2">
              <w:rPr>
                <w:i/>
                <w:iCs/>
                <w:color w:val="000000"/>
                <w:sz w:val="16"/>
                <w:szCs w:val="16"/>
              </w:rPr>
              <w:t>35</w:t>
            </w:r>
            <w:r w:rsidR="00824897" w:rsidRPr="001235A2">
              <w:rPr>
                <w:i/>
                <w:color w:val="000000"/>
                <w:sz w:val="16"/>
                <w:szCs w:val="16"/>
              </w:rPr>
              <w:t>%</w:t>
            </w:r>
          </w:p>
        </w:tc>
        <w:tc>
          <w:tcPr>
            <w:tcW w:w="1713" w:type="dxa"/>
            <w:noWrap/>
            <w:vAlign w:val="bottom"/>
            <w:hideMark/>
          </w:tcPr>
          <w:p w14:paraId="28F6417D" w14:textId="30B97822" w:rsidR="00824897" w:rsidRPr="001235A2" w:rsidRDefault="001235A2">
            <w:pPr>
              <w:spacing w:after="0"/>
              <w:jc w:val="right"/>
              <w:rPr>
                <w:i/>
                <w:sz w:val="16"/>
                <w:szCs w:val="16"/>
              </w:rPr>
            </w:pPr>
            <w:r w:rsidRPr="001235A2">
              <w:rPr>
                <w:i/>
                <w:iCs/>
                <w:color w:val="000000"/>
                <w:sz w:val="16"/>
                <w:szCs w:val="16"/>
              </w:rPr>
              <w:t>0</w:t>
            </w:r>
          </w:p>
        </w:tc>
        <w:tc>
          <w:tcPr>
            <w:tcW w:w="1713" w:type="dxa"/>
            <w:noWrap/>
            <w:vAlign w:val="bottom"/>
            <w:hideMark/>
          </w:tcPr>
          <w:p w14:paraId="0A3B1807" w14:textId="4E863076" w:rsidR="00824897" w:rsidRPr="001235A2" w:rsidRDefault="001235A2">
            <w:pPr>
              <w:spacing w:after="0"/>
              <w:jc w:val="right"/>
              <w:rPr>
                <w:i/>
                <w:sz w:val="16"/>
                <w:szCs w:val="16"/>
              </w:rPr>
            </w:pPr>
            <w:r w:rsidRPr="001235A2">
              <w:rPr>
                <w:i/>
                <w:iCs/>
                <w:color w:val="000000"/>
                <w:sz w:val="16"/>
                <w:szCs w:val="16"/>
              </w:rPr>
              <w:t>0</w:t>
            </w:r>
            <w:r w:rsidR="00824897" w:rsidRPr="001235A2">
              <w:rPr>
                <w:i/>
                <w:color w:val="000000"/>
                <w:sz w:val="16"/>
                <w:szCs w:val="16"/>
              </w:rPr>
              <w:t>%</w:t>
            </w:r>
          </w:p>
        </w:tc>
      </w:tr>
      <w:tr w:rsidR="00BD1620" w:rsidRPr="00092477" w14:paraId="13EA9837" w14:textId="77777777">
        <w:trPr>
          <w:trHeight w:val="224"/>
        </w:trPr>
        <w:tc>
          <w:tcPr>
            <w:tcW w:w="2258" w:type="dxa"/>
            <w:noWrap/>
            <w:vAlign w:val="bottom"/>
          </w:tcPr>
          <w:p w14:paraId="749151E1" w14:textId="0CFDED9F" w:rsidR="00BD1620" w:rsidRPr="00092477" w:rsidRDefault="001235A2">
            <w:pPr>
              <w:spacing w:after="0"/>
              <w:rPr>
                <w:i/>
                <w:iCs/>
                <w:sz w:val="16"/>
                <w:szCs w:val="16"/>
              </w:rPr>
            </w:pPr>
            <w:r w:rsidRPr="001235A2">
              <w:rPr>
                <w:i/>
                <w:iCs/>
                <w:color w:val="000000"/>
                <w:sz w:val="16"/>
                <w:szCs w:val="16"/>
              </w:rPr>
              <w:t>Over $500,000</w:t>
            </w:r>
          </w:p>
        </w:tc>
        <w:tc>
          <w:tcPr>
            <w:tcW w:w="1712" w:type="dxa"/>
            <w:noWrap/>
            <w:vAlign w:val="bottom"/>
          </w:tcPr>
          <w:p w14:paraId="05FF1596" w14:textId="04919C92" w:rsidR="00BD1620" w:rsidRPr="001235A2" w:rsidRDefault="001235A2">
            <w:pPr>
              <w:spacing w:after="0"/>
              <w:jc w:val="right"/>
              <w:rPr>
                <w:i/>
                <w:sz w:val="16"/>
                <w:szCs w:val="16"/>
              </w:rPr>
            </w:pPr>
            <w:r w:rsidRPr="001235A2">
              <w:rPr>
                <w:i/>
                <w:iCs/>
                <w:color w:val="000000"/>
                <w:sz w:val="16"/>
                <w:szCs w:val="16"/>
              </w:rPr>
              <w:t>6</w:t>
            </w:r>
          </w:p>
        </w:tc>
        <w:tc>
          <w:tcPr>
            <w:tcW w:w="1713" w:type="dxa"/>
            <w:noWrap/>
            <w:vAlign w:val="bottom"/>
          </w:tcPr>
          <w:p w14:paraId="25EBBDE3" w14:textId="61303C2B" w:rsidR="00BD1620" w:rsidRPr="001235A2" w:rsidRDefault="001235A2">
            <w:pPr>
              <w:spacing w:after="0"/>
              <w:jc w:val="right"/>
              <w:rPr>
                <w:i/>
                <w:sz w:val="16"/>
                <w:szCs w:val="16"/>
              </w:rPr>
            </w:pPr>
            <w:r w:rsidRPr="001235A2">
              <w:rPr>
                <w:i/>
                <w:iCs/>
                <w:color w:val="000000"/>
                <w:sz w:val="16"/>
                <w:szCs w:val="16"/>
              </w:rPr>
              <w:t>14%</w:t>
            </w:r>
          </w:p>
        </w:tc>
        <w:tc>
          <w:tcPr>
            <w:tcW w:w="1713" w:type="dxa"/>
            <w:noWrap/>
            <w:vAlign w:val="bottom"/>
          </w:tcPr>
          <w:p w14:paraId="5FE06F40" w14:textId="12812121" w:rsidR="00BD1620" w:rsidRPr="001235A2" w:rsidRDefault="001235A2">
            <w:pPr>
              <w:spacing w:after="0"/>
              <w:jc w:val="right"/>
              <w:rPr>
                <w:i/>
                <w:sz w:val="16"/>
                <w:szCs w:val="16"/>
              </w:rPr>
            </w:pPr>
            <w:r w:rsidRPr="001235A2">
              <w:rPr>
                <w:i/>
                <w:iCs/>
                <w:color w:val="000000"/>
                <w:sz w:val="16"/>
                <w:szCs w:val="16"/>
              </w:rPr>
              <w:t>25</w:t>
            </w:r>
          </w:p>
        </w:tc>
        <w:tc>
          <w:tcPr>
            <w:tcW w:w="1713" w:type="dxa"/>
            <w:noWrap/>
            <w:vAlign w:val="bottom"/>
          </w:tcPr>
          <w:p w14:paraId="4018D686" w14:textId="7EE0AADA" w:rsidR="00BD1620" w:rsidRPr="001235A2" w:rsidRDefault="001235A2">
            <w:pPr>
              <w:spacing w:after="0"/>
              <w:jc w:val="right"/>
              <w:rPr>
                <w:i/>
                <w:sz w:val="16"/>
                <w:szCs w:val="16"/>
              </w:rPr>
            </w:pPr>
            <w:r w:rsidRPr="001235A2">
              <w:rPr>
                <w:i/>
                <w:iCs/>
                <w:color w:val="000000"/>
                <w:sz w:val="16"/>
                <w:szCs w:val="16"/>
              </w:rPr>
              <w:t>17%</w:t>
            </w:r>
          </w:p>
        </w:tc>
      </w:tr>
      <w:tr w:rsidR="00824897" w:rsidRPr="00092477" w14:paraId="31018FE2" w14:textId="77777777">
        <w:trPr>
          <w:trHeight w:val="224"/>
        </w:trPr>
        <w:tc>
          <w:tcPr>
            <w:tcW w:w="9109" w:type="dxa"/>
            <w:gridSpan w:val="5"/>
            <w:noWrap/>
            <w:vAlign w:val="center"/>
            <w:hideMark/>
          </w:tcPr>
          <w:p w14:paraId="0BE37B65" w14:textId="77777777" w:rsidR="00824897" w:rsidRPr="00092477" w:rsidRDefault="00824897">
            <w:pPr>
              <w:spacing w:after="0"/>
              <w:rPr>
                <w:sz w:val="16"/>
                <w:szCs w:val="16"/>
              </w:rPr>
            </w:pPr>
            <w:r w:rsidRPr="00092477">
              <w:rPr>
                <w:b/>
                <w:bCs/>
                <w:sz w:val="16"/>
                <w:szCs w:val="16"/>
              </w:rPr>
              <w:t>SEIFA decile</w:t>
            </w:r>
          </w:p>
        </w:tc>
      </w:tr>
      <w:tr w:rsidR="00824897" w:rsidRPr="00092477" w14:paraId="651A4F88" w14:textId="77777777">
        <w:trPr>
          <w:trHeight w:val="224"/>
        </w:trPr>
        <w:tc>
          <w:tcPr>
            <w:tcW w:w="2258" w:type="dxa"/>
            <w:noWrap/>
            <w:hideMark/>
          </w:tcPr>
          <w:p w14:paraId="23F9A1CD" w14:textId="77777777" w:rsidR="00824897" w:rsidRPr="00092477" w:rsidRDefault="00824897">
            <w:pPr>
              <w:spacing w:after="0"/>
              <w:rPr>
                <w:i/>
                <w:iCs/>
                <w:sz w:val="16"/>
                <w:szCs w:val="16"/>
              </w:rPr>
            </w:pPr>
            <w:r w:rsidRPr="00092477">
              <w:rPr>
                <w:i/>
                <w:iCs/>
                <w:sz w:val="16"/>
                <w:szCs w:val="16"/>
              </w:rPr>
              <w:t>Decile 1</w:t>
            </w:r>
          </w:p>
        </w:tc>
        <w:tc>
          <w:tcPr>
            <w:tcW w:w="1712" w:type="dxa"/>
            <w:noWrap/>
            <w:vAlign w:val="bottom"/>
            <w:hideMark/>
          </w:tcPr>
          <w:p w14:paraId="3AC10100" w14:textId="77777777" w:rsidR="00824897" w:rsidRPr="00092477" w:rsidRDefault="00824897">
            <w:pPr>
              <w:spacing w:after="0"/>
              <w:jc w:val="right"/>
              <w:rPr>
                <w:sz w:val="16"/>
                <w:szCs w:val="16"/>
              </w:rPr>
            </w:pPr>
            <w:r w:rsidRPr="00092477">
              <w:rPr>
                <w:sz w:val="16"/>
                <w:szCs w:val="16"/>
              </w:rPr>
              <w:t>21</w:t>
            </w:r>
          </w:p>
        </w:tc>
        <w:tc>
          <w:tcPr>
            <w:tcW w:w="1713" w:type="dxa"/>
            <w:noWrap/>
            <w:vAlign w:val="bottom"/>
            <w:hideMark/>
          </w:tcPr>
          <w:p w14:paraId="19503A70" w14:textId="77777777" w:rsidR="00824897" w:rsidRPr="00092477" w:rsidRDefault="00824897">
            <w:pPr>
              <w:spacing w:after="0"/>
              <w:jc w:val="right"/>
              <w:rPr>
                <w:sz w:val="16"/>
                <w:szCs w:val="16"/>
              </w:rPr>
            </w:pPr>
            <w:r w:rsidRPr="00092477">
              <w:rPr>
                <w:sz w:val="16"/>
                <w:szCs w:val="16"/>
              </w:rPr>
              <w:t>49%</w:t>
            </w:r>
          </w:p>
        </w:tc>
        <w:tc>
          <w:tcPr>
            <w:tcW w:w="1713" w:type="dxa"/>
            <w:noWrap/>
            <w:hideMark/>
          </w:tcPr>
          <w:p w14:paraId="35DEA192" w14:textId="77777777" w:rsidR="00824897" w:rsidRPr="00092477" w:rsidRDefault="00824897">
            <w:pPr>
              <w:spacing w:after="0"/>
              <w:jc w:val="right"/>
              <w:rPr>
                <w:sz w:val="16"/>
                <w:szCs w:val="16"/>
              </w:rPr>
            </w:pPr>
            <w:r w:rsidRPr="00092477">
              <w:rPr>
                <w:sz w:val="16"/>
                <w:szCs w:val="16"/>
              </w:rPr>
              <w:t>75</w:t>
            </w:r>
          </w:p>
        </w:tc>
        <w:tc>
          <w:tcPr>
            <w:tcW w:w="1713" w:type="dxa"/>
            <w:noWrap/>
            <w:hideMark/>
          </w:tcPr>
          <w:p w14:paraId="38E9316F" w14:textId="04527F3E" w:rsidR="00824897" w:rsidRPr="00092477" w:rsidRDefault="00476A73">
            <w:pPr>
              <w:spacing w:after="0"/>
              <w:jc w:val="right"/>
              <w:rPr>
                <w:sz w:val="16"/>
                <w:szCs w:val="16"/>
              </w:rPr>
            </w:pPr>
            <w:r w:rsidRPr="00476A73">
              <w:rPr>
                <w:sz w:val="16"/>
                <w:szCs w:val="16"/>
              </w:rPr>
              <w:t>51</w:t>
            </w:r>
            <w:r w:rsidR="00824897" w:rsidRPr="00092477">
              <w:rPr>
                <w:sz w:val="16"/>
                <w:szCs w:val="16"/>
              </w:rPr>
              <w:t>%</w:t>
            </w:r>
          </w:p>
        </w:tc>
      </w:tr>
      <w:tr w:rsidR="00824897" w:rsidRPr="00092477" w14:paraId="3F8C1A7A" w14:textId="77777777">
        <w:trPr>
          <w:trHeight w:val="224"/>
        </w:trPr>
        <w:tc>
          <w:tcPr>
            <w:tcW w:w="2258" w:type="dxa"/>
            <w:noWrap/>
            <w:hideMark/>
          </w:tcPr>
          <w:p w14:paraId="3D69F6F0" w14:textId="77777777" w:rsidR="00824897" w:rsidRPr="00092477" w:rsidRDefault="00824897">
            <w:pPr>
              <w:spacing w:after="0"/>
              <w:rPr>
                <w:i/>
                <w:iCs/>
                <w:sz w:val="16"/>
                <w:szCs w:val="16"/>
              </w:rPr>
            </w:pPr>
            <w:r w:rsidRPr="00092477">
              <w:rPr>
                <w:i/>
                <w:iCs/>
                <w:sz w:val="16"/>
                <w:szCs w:val="16"/>
              </w:rPr>
              <w:t>Decile 2</w:t>
            </w:r>
          </w:p>
        </w:tc>
        <w:tc>
          <w:tcPr>
            <w:tcW w:w="1712" w:type="dxa"/>
            <w:noWrap/>
            <w:vAlign w:val="bottom"/>
            <w:hideMark/>
          </w:tcPr>
          <w:p w14:paraId="2533298F" w14:textId="77777777" w:rsidR="00824897" w:rsidRPr="00092477" w:rsidRDefault="00824897">
            <w:pPr>
              <w:spacing w:after="0"/>
              <w:jc w:val="right"/>
              <w:rPr>
                <w:sz w:val="16"/>
                <w:szCs w:val="16"/>
              </w:rPr>
            </w:pPr>
            <w:r w:rsidRPr="00092477">
              <w:rPr>
                <w:sz w:val="16"/>
                <w:szCs w:val="16"/>
              </w:rPr>
              <w:t>6</w:t>
            </w:r>
          </w:p>
        </w:tc>
        <w:tc>
          <w:tcPr>
            <w:tcW w:w="1713" w:type="dxa"/>
            <w:noWrap/>
            <w:vAlign w:val="bottom"/>
            <w:hideMark/>
          </w:tcPr>
          <w:p w14:paraId="36CE1AA8" w14:textId="77777777" w:rsidR="00824897" w:rsidRPr="00092477" w:rsidRDefault="00824897">
            <w:pPr>
              <w:spacing w:after="0"/>
              <w:jc w:val="right"/>
              <w:rPr>
                <w:sz w:val="16"/>
                <w:szCs w:val="16"/>
              </w:rPr>
            </w:pPr>
            <w:r w:rsidRPr="00092477">
              <w:rPr>
                <w:sz w:val="16"/>
                <w:szCs w:val="16"/>
              </w:rPr>
              <w:t>14%</w:t>
            </w:r>
          </w:p>
        </w:tc>
        <w:tc>
          <w:tcPr>
            <w:tcW w:w="1713" w:type="dxa"/>
            <w:noWrap/>
            <w:hideMark/>
          </w:tcPr>
          <w:p w14:paraId="1BE1725B" w14:textId="77777777" w:rsidR="00824897" w:rsidRPr="00092477" w:rsidRDefault="00824897">
            <w:pPr>
              <w:spacing w:after="0"/>
              <w:jc w:val="right"/>
              <w:rPr>
                <w:sz w:val="16"/>
                <w:szCs w:val="16"/>
              </w:rPr>
            </w:pPr>
            <w:r w:rsidRPr="00092477">
              <w:rPr>
                <w:sz w:val="16"/>
                <w:szCs w:val="16"/>
              </w:rPr>
              <w:t>14</w:t>
            </w:r>
          </w:p>
        </w:tc>
        <w:tc>
          <w:tcPr>
            <w:tcW w:w="1713" w:type="dxa"/>
            <w:noWrap/>
            <w:hideMark/>
          </w:tcPr>
          <w:p w14:paraId="32ECBFF0" w14:textId="19584157" w:rsidR="00824897" w:rsidRPr="00092477" w:rsidRDefault="00476A73">
            <w:pPr>
              <w:spacing w:after="0"/>
              <w:jc w:val="right"/>
              <w:rPr>
                <w:sz w:val="16"/>
                <w:szCs w:val="16"/>
              </w:rPr>
            </w:pPr>
            <w:r w:rsidRPr="00476A73">
              <w:rPr>
                <w:sz w:val="16"/>
                <w:szCs w:val="16"/>
              </w:rPr>
              <w:t>10</w:t>
            </w:r>
            <w:r w:rsidR="00824897" w:rsidRPr="00092477">
              <w:rPr>
                <w:sz w:val="16"/>
                <w:szCs w:val="16"/>
              </w:rPr>
              <w:t>%</w:t>
            </w:r>
          </w:p>
        </w:tc>
      </w:tr>
      <w:tr w:rsidR="00824897" w:rsidRPr="00092477" w14:paraId="73CE97FF" w14:textId="77777777">
        <w:trPr>
          <w:trHeight w:val="224"/>
        </w:trPr>
        <w:tc>
          <w:tcPr>
            <w:tcW w:w="2258" w:type="dxa"/>
            <w:noWrap/>
            <w:hideMark/>
          </w:tcPr>
          <w:p w14:paraId="7CE08E50" w14:textId="77777777" w:rsidR="00824897" w:rsidRPr="00092477" w:rsidRDefault="00824897">
            <w:pPr>
              <w:spacing w:after="0"/>
              <w:rPr>
                <w:i/>
                <w:iCs/>
                <w:sz w:val="16"/>
                <w:szCs w:val="16"/>
              </w:rPr>
            </w:pPr>
            <w:r w:rsidRPr="00092477">
              <w:rPr>
                <w:i/>
                <w:iCs/>
                <w:sz w:val="16"/>
                <w:szCs w:val="16"/>
              </w:rPr>
              <w:t>Decile 3</w:t>
            </w:r>
          </w:p>
        </w:tc>
        <w:tc>
          <w:tcPr>
            <w:tcW w:w="1712" w:type="dxa"/>
            <w:noWrap/>
            <w:vAlign w:val="bottom"/>
            <w:hideMark/>
          </w:tcPr>
          <w:p w14:paraId="4DC084A7" w14:textId="77777777" w:rsidR="00824897" w:rsidRPr="00092477" w:rsidRDefault="00824897">
            <w:pPr>
              <w:spacing w:after="0"/>
              <w:jc w:val="right"/>
              <w:rPr>
                <w:sz w:val="16"/>
                <w:szCs w:val="16"/>
              </w:rPr>
            </w:pPr>
            <w:r w:rsidRPr="00092477">
              <w:rPr>
                <w:sz w:val="16"/>
                <w:szCs w:val="16"/>
              </w:rPr>
              <w:t>5</w:t>
            </w:r>
          </w:p>
        </w:tc>
        <w:tc>
          <w:tcPr>
            <w:tcW w:w="1713" w:type="dxa"/>
            <w:noWrap/>
            <w:vAlign w:val="bottom"/>
            <w:hideMark/>
          </w:tcPr>
          <w:p w14:paraId="6DADE297" w14:textId="77777777" w:rsidR="00824897" w:rsidRPr="00092477" w:rsidRDefault="00824897">
            <w:pPr>
              <w:spacing w:after="0"/>
              <w:jc w:val="right"/>
              <w:rPr>
                <w:sz w:val="16"/>
                <w:szCs w:val="16"/>
              </w:rPr>
            </w:pPr>
            <w:r w:rsidRPr="00092477">
              <w:rPr>
                <w:sz w:val="16"/>
                <w:szCs w:val="16"/>
              </w:rPr>
              <w:t>12%</w:t>
            </w:r>
          </w:p>
        </w:tc>
        <w:tc>
          <w:tcPr>
            <w:tcW w:w="1713" w:type="dxa"/>
            <w:noWrap/>
            <w:hideMark/>
          </w:tcPr>
          <w:p w14:paraId="42DAB896" w14:textId="77777777" w:rsidR="00824897" w:rsidRPr="00092477" w:rsidRDefault="00824897">
            <w:pPr>
              <w:spacing w:after="0"/>
              <w:jc w:val="right"/>
              <w:rPr>
                <w:sz w:val="16"/>
                <w:szCs w:val="16"/>
              </w:rPr>
            </w:pPr>
            <w:r w:rsidRPr="00092477">
              <w:rPr>
                <w:sz w:val="16"/>
                <w:szCs w:val="16"/>
              </w:rPr>
              <w:t>18</w:t>
            </w:r>
          </w:p>
        </w:tc>
        <w:tc>
          <w:tcPr>
            <w:tcW w:w="1713" w:type="dxa"/>
            <w:noWrap/>
            <w:hideMark/>
          </w:tcPr>
          <w:p w14:paraId="5BE8248A" w14:textId="77777777" w:rsidR="00824897" w:rsidRPr="00092477" w:rsidRDefault="00824897">
            <w:pPr>
              <w:spacing w:after="0"/>
              <w:jc w:val="right"/>
              <w:rPr>
                <w:sz w:val="16"/>
                <w:szCs w:val="16"/>
              </w:rPr>
            </w:pPr>
            <w:r w:rsidRPr="00092477">
              <w:rPr>
                <w:sz w:val="16"/>
                <w:szCs w:val="16"/>
              </w:rPr>
              <w:t>12%</w:t>
            </w:r>
          </w:p>
        </w:tc>
      </w:tr>
      <w:tr w:rsidR="00824897" w:rsidRPr="00092477" w14:paraId="596CA2BE" w14:textId="77777777">
        <w:trPr>
          <w:trHeight w:val="224"/>
        </w:trPr>
        <w:tc>
          <w:tcPr>
            <w:tcW w:w="2258" w:type="dxa"/>
            <w:noWrap/>
            <w:hideMark/>
          </w:tcPr>
          <w:p w14:paraId="57AA17FB" w14:textId="77777777" w:rsidR="00824897" w:rsidRPr="00092477" w:rsidRDefault="00824897">
            <w:pPr>
              <w:spacing w:after="0"/>
              <w:rPr>
                <w:i/>
                <w:iCs/>
                <w:sz w:val="16"/>
                <w:szCs w:val="16"/>
              </w:rPr>
            </w:pPr>
            <w:r w:rsidRPr="00092477">
              <w:rPr>
                <w:i/>
                <w:iCs/>
                <w:sz w:val="16"/>
                <w:szCs w:val="16"/>
              </w:rPr>
              <w:t>Decile 4</w:t>
            </w:r>
          </w:p>
        </w:tc>
        <w:tc>
          <w:tcPr>
            <w:tcW w:w="1712" w:type="dxa"/>
            <w:noWrap/>
            <w:vAlign w:val="bottom"/>
            <w:hideMark/>
          </w:tcPr>
          <w:p w14:paraId="3366EC40" w14:textId="77777777" w:rsidR="00824897" w:rsidRPr="00092477" w:rsidRDefault="00824897">
            <w:pPr>
              <w:spacing w:after="0"/>
              <w:jc w:val="right"/>
              <w:rPr>
                <w:sz w:val="16"/>
                <w:szCs w:val="16"/>
              </w:rPr>
            </w:pPr>
            <w:r w:rsidRPr="00092477">
              <w:rPr>
                <w:sz w:val="16"/>
                <w:szCs w:val="16"/>
              </w:rPr>
              <w:t>3</w:t>
            </w:r>
          </w:p>
        </w:tc>
        <w:tc>
          <w:tcPr>
            <w:tcW w:w="1713" w:type="dxa"/>
            <w:noWrap/>
            <w:vAlign w:val="bottom"/>
            <w:hideMark/>
          </w:tcPr>
          <w:p w14:paraId="0E821497" w14:textId="77777777" w:rsidR="00824897" w:rsidRPr="00092477" w:rsidRDefault="00824897">
            <w:pPr>
              <w:spacing w:after="0"/>
              <w:jc w:val="right"/>
              <w:rPr>
                <w:sz w:val="16"/>
                <w:szCs w:val="16"/>
              </w:rPr>
            </w:pPr>
            <w:r w:rsidRPr="00092477">
              <w:rPr>
                <w:sz w:val="16"/>
                <w:szCs w:val="16"/>
              </w:rPr>
              <w:t>7%</w:t>
            </w:r>
          </w:p>
        </w:tc>
        <w:tc>
          <w:tcPr>
            <w:tcW w:w="1713" w:type="dxa"/>
            <w:noWrap/>
            <w:hideMark/>
          </w:tcPr>
          <w:p w14:paraId="2F5CA751" w14:textId="77777777" w:rsidR="00824897" w:rsidRPr="00092477" w:rsidRDefault="00824897">
            <w:pPr>
              <w:spacing w:after="0"/>
              <w:jc w:val="right"/>
              <w:rPr>
                <w:sz w:val="16"/>
                <w:szCs w:val="16"/>
              </w:rPr>
            </w:pPr>
            <w:r w:rsidRPr="00092477">
              <w:rPr>
                <w:sz w:val="16"/>
                <w:szCs w:val="16"/>
              </w:rPr>
              <w:t>14</w:t>
            </w:r>
          </w:p>
        </w:tc>
        <w:tc>
          <w:tcPr>
            <w:tcW w:w="1713" w:type="dxa"/>
            <w:noWrap/>
            <w:hideMark/>
          </w:tcPr>
          <w:p w14:paraId="108BACB0" w14:textId="52DC3249" w:rsidR="00824897" w:rsidRPr="00092477" w:rsidRDefault="00476A73">
            <w:pPr>
              <w:spacing w:after="0"/>
              <w:jc w:val="right"/>
              <w:rPr>
                <w:sz w:val="16"/>
                <w:szCs w:val="16"/>
              </w:rPr>
            </w:pPr>
            <w:r w:rsidRPr="00476A73">
              <w:rPr>
                <w:sz w:val="16"/>
                <w:szCs w:val="16"/>
              </w:rPr>
              <w:t>10</w:t>
            </w:r>
            <w:r w:rsidR="00824897" w:rsidRPr="00092477">
              <w:rPr>
                <w:sz w:val="16"/>
                <w:szCs w:val="16"/>
              </w:rPr>
              <w:t>%</w:t>
            </w:r>
          </w:p>
        </w:tc>
      </w:tr>
      <w:tr w:rsidR="00824897" w:rsidRPr="00092477" w14:paraId="20EED173" w14:textId="77777777">
        <w:trPr>
          <w:trHeight w:val="224"/>
        </w:trPr>
        <w:tc>
          <w:tcPr>
            <w:tcW w:w="2258" w:type="dxa"/>
            <w:noWrap/>
            <w:hideMark/>
          </w:tcPr>
          <w:p w14:paraId="37AC45D0" w14:textId="77777777" w:rsidR="00824897" w:rsidRPr="00092477" w:rsidRDefault="00824897">
            <w:pPr>
              <w:spacing w:after="0"/>
              <w:rPr>
                <w:i/>
                <w:iCs/>
                <w:sz w:val="16"/>
                <w:szCs w:val="16"/>
              </w:rPr>
            </w:pPr>
            <w:r w:rsidRPr="00092477">
              <w:rPr>
                <w:i/>
                <w:iCs/>
                <w:sz w:val="16"/>
                <w:szCs w:val="16"/>
              </w:rPr>
              <w:t>Decile 5</w:t>
            </w:r>
          </w:p>
        </w:tc>
        <w:tc>
          <w:tcPr>
            <w:tcW w:w="1712" w:type="dxa"/>
            <w:noWrap/>
            <w:vAlign w:val="bottom"/>
            <w:hideMark/>
          </w:tcPr>
          <w:p w14:paraId="66FF20E4" w14:textId="77777777" w:rsidR="00824897" w:rsidRPr="00092477" w:rsidRDefault="00824897">
            <w:pPr>
              <w:spacing w:after="0"/>
              <w:jc w:val="right"/>
              <w:rPr>
                <w:sz w:val="16"/>
                <w:szCs w:val="16"/>
              </w:rPr>
            </w:pPr>
            <w:r w:rsidRPr="00092477">
              <w:rPr>
                <w:sz w:val="16"/>
                <w:szCs w:val="16"/>
              </w:rPr>
              <w:t>2</w:t>
            </w:r>
          </w:p>
        </w:tc>
        <w:tc>
          <w:tcPr>
            <w:tcW w:w="1713" w:type="dxa"/>
            <w:noWrap/>
            <w:vAlign w:val="bottom"/>
            <w:hideMark/>
          </w:tcPr>
          <w:p w14:paraId="649DACFB" w14:textId="77777777" w:rsidR="00824897" w:rsidRPr="00092477" w:rsidRDefault="00824897">
            <w:pPr>
              <w:spacing w:after="0"/>
              <w:jc w:val="right"/>
              <w:rPr>
                <w:sz w:val="16"/>
                <w:szCs w:val="16"/>
              </w:rPr>
            </w:pPr>
            <w:r w:rsidRPr="00092477">
              <w:rPr>
                <w:sz w:val="16"/>
                <w:szCs w:val="16"/>
              </w:rPr>
              <w:t>5%</w:t>
            </w:r>
          </w:p>
        </w:tc>
        <w:tc>
          <w:tcPr>
            <w:tcW w:w="1713" w:type="dxa"/>
            <w:noWrap/>
            <w:hideMark/>
          </w:tcPr>
          <w:p w14:paraId="10021771" w14:textId="77777777" w:rsidR="00824897" w:rsidRPr="00092477" w:rsidRDefault="00824897">
            <w:pPr>
              <w:spacing w:after="0"/>
              <w:jc w:val="right"/>
              <w:rPr>
                <w:sz w:val="16"/>
                <w:szCs w:val="16"/>
              </w:rPr>
            </w:pPr>
            <w:r w:rsidRPr="00092477">
              <w:rPr>
                <w:sz w:val="16"/>
                <w:szCs w:val="16"/>
              </w:rPr>
              <w:t>7</w:t>
            </w:r>
          </w:p>
        </w:tc>
        <w:tc>
          <w:tcPr>
            <w:tcW w:w="1713" w:type="dxa"/>
            <w:noWrap/>
            <w:hideMark/>
          </w:tcPr>
          <w:p w14:paraId="3B4A0000" w14:textId="77777777" w:rsidR="00824897" w:rsidRPr="00092477" w:rsidRDefault="00824897">
            <w:pPr>
              <w:spacing w:after="0"/>
              <w:jc w:val="right"/>
              <w:rPr>
                <w:sz w:val="16"/>
                <w:szCs w:val="16"/>
              </w:rPr>
            </w:pPr>
            <w:r w:rsidRPr="00092477">
              <w:rPr>
                <w:sz w:val="16"/>
                <w:szCs w:val="16"/>
              </w:rPr>
              <w:t>5%</w:t>
            </w:r>
          </w:p>
        </w:tc>
      </w:tr>
      <w:tr w:rsidR="00824897" w:rsidRPr="00092477" w14:paraId="1BC3ECF2" w14:textId="77777777">
        <w:trPr>
          <w:trHeight w:val="224"/>
        </w:trPr>
        <w:tc>
          <w:tcPr>
            <w:tcW w:w="2258" w:type="dxa"/>
            <w:noWrap/>
            <w:hideMark/>
          </w:tcPr>
          <w:p w14:paraId="04E5ED44" w14:textId="77777777" w:rsidR="00824897" w:rsidRPr="00092477" w:rsidRDefault="00824897">
            <w:pPr>
              <w:spacing w:after="0"/>
              <w:rPr>
                <w:i/>
                <w:iCs/>
                <w:sz w:val="16"/>
                <w:szCs w:val="16"/>
              </w:rPr>
            </w:pPr>
            <w:r w:rsidRPr="00092477">
              <w:rPr>
                <w:i/>
                <w:iCs/>
                <w:sz w:val="16"/>
                <w:szCs w:val="16"/>
              </w:rPr>
              <w:t>Decile 6</w:t>
            </w:r>
          </w:p>
        </w:tc>
        <w:tc>
          <w:tcPr>
            <w:tcW w:w="1712" w:type="dxa"/>
            <w:noWrap/>
            <w:vAlign w:val="bottom"/>
            <w:hideMark/>
          </w:tcPr>
          <w:p w14:paraId="03CBFDEF" w14:textId="77777777" w:rsidR="00824897" w:rsidRPr="00092477" w:rsidRDefault="00824897">
            <w:pPr>
              <w:spacing w:after="0"/>
              <w:jc w:val="right"/>
              <w:rPr>
                <w:sz w:val="16"/>
                <w:szCs w:val="16"/>
              </w:rPr>
            </w:pPr>
            <w:r w:rsidRPr="00092477">
              <w:rPr>
                <w:sz w:val="16"/>
                <w:szCs w:val="16"/>
              </w:rPr>
              <w:t>1</w:t>
            </w:r>
          </w:p>
        </w:tc>
        <w:tc>
          <w:tcPr>
            <w:tcW w:w="1713" w:type="dxa"/>
            <w:noWrap/>
            <w:vAlign w:val="bottom"/>
            <w:hideMark/>
          </w:tcPr>
          <w:p w14:paraId="43D95E17" w14:textId="77777777" w:rsidR="00824897" w:rsidRPr="00092477" w:rsidRDefault="00824897">
            <w:pPr>
              <w:spacing w:after="0"/>
              <w:jc w:val="right"/>
              <w:rPr>
                <w:sz w:val="16"/>
                <w:szCs w:val="16"/>
              </w:rPr>
            </w:pPr>
            <w:r w:rsidRPr="00092477">
              <w:rPr>
                <w:sz w:val="16"/>
                <w:szCs w:val="16"/>
              </w:rPr>
              <w:t>2%</w:t>
            </w:r>
          </w:p>
        </w:tc>
        <w:tc>
          <w:tcPr>
            <w:tcW w:w="1713" w:type="dxa"/>
            <w:noWrap/>
            <w:hideMark/>
          </w:tcPr>
          <w:p w14:paraId="04FB6EE7" w14:textId="77777777" w:rsidR="00824897" w:rsidRPr="00092477" w:rsidRDefault="00824897">
            <w:pPr>
              <w:spacing w:after="0"/>
              <w:jc w:val="right"/>
              <w:rPr>
                <w:sz w:val="16"/>
                <w:szCs w:val="16"/>
              </w:rPr>
            </w:pPr>
            <w:r w:rsidRPr="00092477">
              <w:rPr>
                <w:sz w:val="16"/>
                <w:szCs w:val="16"/>
              </w:rPr>
              <w:t>7</w:t>
            </w:r>
          </w:p>
        </w:tc>
        <w:tc>
          <w:tcPr>
            <w:tcW w:w="1713" w:type="dxa"/>
            <w:noWrap/>
            <w:hideMark/>
          </w:tcPr>
          <w:p w14:paraId="3CDA3F87" w14:textId="77777777" w:rsidR="00824897" w:rsidRPr="00092477" w:rsidRDefault="00824897">
            <w:pPr>
              <w:spacing w:after="0"/>
              <w:jc w:val="right"/>
              <w:rPr>
                <w:sz w:val="16"/>
                <w:szCs w:val="16"/>
              </w:rPr>
            </w:pPr>
            <w:r w:rsidRPr="00092477">
              <w:rPr>
                <w:sz w:val="16"/>
                <w:szCs w:val="16"/>
              </w:rPr>
              <w:t>5%</w:t>
            </w:r>
          </w:p>
        </w:tc>
      </w:tr>
      <w:tr w:rsidR="00824897" w:rsidRPr="00092477" w14:paraId="49F25527" w14:textId="77777777">
        <w:trPr>
          <w:trHeight w:val="224"/>
        </w:trPr>
        <w:tc>
          <w:tcPr>
            <w:tcW w:w="2258" w:type="dxa"/>
            <w:noWrap/>
            <w:hideMark/>
          </w:tcPr>
          <w:p w14:paraId="4665BDA8" w14:textId="77777777" w:rsidR="00824897" w:rsidRPr="00092477" w:rsidRDefault="00824897">
            <w:pPr>
              <w:spacing w:after="0"/>
              <w:rPr>
                <w:i/>
                <w:iCs/>
                <w:sz w:val="16"/>
                <w:szCs w:val="16"/>
              </w:rPr>
            </w:pPr>
            <w:r w:rsidRPr="00092477">
              <w:rPr>
                <w:i/>
                <w:iCs/>
                <w:sz w:val="16"/>
                <w:szCs w:val="16"/>
              </w:rPr>
              <w:t>Decile 7</w:t>
            </w:r>
          </w:p>
        </w:tc>
        <w:tc>
          <w:tcPr>
            <w:tcW w:w="1712" w:type="dxa"/>
            <w:noWrap/>
            <w:vAlign w:val="bottom"/>
            <w:hideMark/>
          </w:tcPr>
          <w:p w14:paraId="4829A348" w14:textId="77777777" w:rsidR="00824897" w:rsidRPr="00092477" w:rsidRDefault="00824897">
            <w:pPr>
              <w:spacing w:after="0"/>
              <w:jc w:val="right"/>
              <w:rPr>
                <w:sz w:val="16"/>
                <w:szCs w:val="16"/>
              </w:rPr>
            </w:pPr>
            <w:r w:rsidRPr="00092477">
              <w:rPr>
                <w:sz w:val="16"/>
                <w:szCs w:val="16"/>
              </w:rPr>
              <w:t>1</w:t>
            </w:r>
          </w:p>
        </w:tc>
        <w:tc>
          <w:tcPr>
            <w:tcW w:w="1713" w:type="dxa"/>
            <w:noWrap/>
            <w:vAlign w:val="bottom"/>
            <w:hideMark/>
          </w:tcPr>
          <w:p w14:paraId="0069E56A" w14:textId="77777777" w:rsidR="00824897" w:rsidRPr="00092477" w:rsidRDefault="00824897">
            <w:pPr>
              <w:spacing w:after="0"/>
              <w:jc w:val="right"/>
              <w:rPr>
                <w:sz w:val="16"/>
                <w:szCs w:val="16"/>
              </w:rPr>
            </w:pPr>
            <w:r w:rsidRPr="00092477">
              <w:rPr>
                <w:sz w:val="16"/>
                <w:szCs w:val="16"/>
              </w:rPr>
              <w:t>2%</w:t>
            </w:r>
          </w:p>
        </w:tc>
        <w:tc>
          <w:tcPr>
            <w:tcW w:w="1713" w:type="dxa"/>
            <w:noWrap/>
            <w:hideMark/>
          </w:tcPr>
          <w:p w14:paraId="7992C854" w14:textId="77777777" w:rsidR="00824897" w:rsidRPr="00092477" w:rsidRDefault="00824897">
            <w:pPr>
              <w:spacing w:after="0"/>
              <w:jc w:val="right"/>
              <w:rPr>
                <w:sz w:val="16"/>
                <w:szCs w:val="16"/>
              </w:rPr>
            </w:pPr>
            <w:r w:rsidRPr="00092477">
              <w:rPr>
                <w:sz w:val="16"/>
                <w:szCs w:val="16"/>
              </w:rPr>
              <w:t>4</w:t>
            </w:r>
          </w:p>
        </w:tc>
        <w:tc>
          <w:tcPr>
            <w:tcW w:w="1713" w:type="dxa"/>
            <w:noWrap/>
            <w:hideMark/>
          </w:tcPr>
          <w:p w14:paraId="0F1C40E5" w14:textId="77777777" w:rsidR="00824897" w:rsidRPr="00092477" w:rsidRDefault="00824897">
            <w:pPr>
              <w:spacing w:after="0"/>
              <w:jc w:val="right"/>
              <w:rPr>
                <w:sz w:val="16"/>
                <w:szCs w:val="16"/>
              </w:rPr>
            </w:pPr>
            <w:r w:rsidRPr="00092477">
              <w:rPr>
                <w:sz w:val="16"/>
                <w:szCs w:val="16"/>
              </w:rPr>
              <w:t>3%</w:t>
            </w:r>
          </w:p>
        </w:tc>
      </w:tr>
      <w:tr w:rsidR="00824897" w:rsidRPr="00092477" w14:paraId="763F2CC3" w14:textId="77777777">
        <w:trPr>
          <w:trHeight w:val="224"/>
        </w:trPr>
        <w:tc>
          <w:tcPr>
            <w:tcW w:w="2258" w:type="dxa"/>
            <w:noWrap/>
            <w:hideMark/>
          </w:tcPr>
          <w:p w14:paraId="70B98957" w14:textId="77777777" w:rsidR="00824897" w:rsidRPr="00092477" w:rsidRDefault="00824897">
            <w:pPr>
              <w:spacing w:after="0"/>
              <w:rPr>
                <w:i/>
                <w:iCs/>
                <w:sz w:val="16"/>
                <w:szCs w:val="16"/>
              </w:rPr>
            </w:pPr>
            <w:r w:rsidRPr="00092477">
              <w:rPr>
                <w:i/>
                <w:iCs/>
                <w:sz w:val="16"/>
                <w:szCs w:val="16"/>
              </w:rPr>
              <w:t>Decile 8</w:t>
            </w:r>
          </w:p>
        </w:tc>
        <w:tc>
          <w:tcPr>
            <w:tcW w:w="1712" w:type="dxa"/>
            <w:noWrap/>
            <w:vAlign w:val="bottom"/>
            <w:hideMark/>
          </w:tcPr>
          <w:p w14:paraId="18D6B616" w14:textId="77777777" w:rsidR="00824897" w:rsidRPr="00092477" w:rsidRDefault="00824897">
            <w:pPr>
              <w:spacing w:after="0"/>
              <w:jc w:val="right"/>
              <w:rPr>
                <w:sz w:val="16"/>
                <w:szCs w:val="16"/>
              </w:rPr>
            </w:pPr>
            <w:r w:rsidRPr="00092477">
              <w:rPr>
                <w:sz w:val="16"/>
                <w:szCs w:val="16"/>
              </w:rPr>
              <w:t>1</w:t>
            </w:r>
          </w:p>
        </w:tc>
        <w:tc>
          <w:tcPr>
            <w:tcW w:w="1713" w:type="dxa"/>
            <w:noWrap/>
            <w:vAlign w:val="bottom"/>
            <w:hideMark/>
          </w:tcPr>
          <w:p w14:paraId="001417A1" w14:textId="77777777" w:rsidR="00824897" w:rsidRPr="00092477" w:rsidRDefault="00824897">
            <w:pPr>
              <w:spacing w:after="0"/>
              <w:jc w:val="right"/>
              <w:rPr>
                <w:sz w:val="16"/>
                <w:szCs w:val="16"/>
              </w:rPr>
            </w:pPr>
            <w:r w:rsidRPr="00092477">
              <w:rPr>
                <w:sz w:val="16"/>
                <w:szCs w:val="16"/>
              </w:rPr>
              <w:t>2%</w:t>
            </w:r>
          </w:p>
        </w:tc>
        <w:tc>
          <w:tcPr>
            <w:tcW w:w="1713" w:type="dxa"/>
            <w:noWrap/>
            <w:hideMark/>
          </w:tcPr>
          <w:p w14:paraId="1DDB205B" w14:textId="77777777" w:rsidR="00824897" w:rsidRPr="00092477" w:rsidRDefault="00824897">
            <w:pPr>
              <w:spacing w:after="0"/>
              <w:jc w:val="right"/>
              <w:rPr>
                <w:sz w:val="16"/>
                <w:szCs w:val="16"/>
              </w:rPr>
            </w:pPr>
            <w:r w:rsidRPr="00092477">
              <w:rPr>
                <w:sz w:val="16"/>
                <w:szCs w:val="16"/>
              </w:rPr>
              <w:t>3</w:t>
            </w:r>
          </w:p>
        </w:tc>
        <w:tc>
          <w:tcPr>
            <w:tcW w:w="1713" w:type="dxa"/>
            <w:noWrap/>
            <w:hideMark/>
          </w:tcPr>
          <w:p w14:paraId="7A75049E" w14:textId="77777777" w:rsidR="00824897" w:rsidRPr="00092477" w:rsidRDefault="00824897">
            <w:pPr>
              <w:spacing w:after="0"/>
              <w:jc w:val="right"/>
              <w:rPr>
                <w:sz w:val="16"/>
                <w:szCs w:val="16"/>
              </w:rPr>
            </w:pPr>
            <w:r w:rsidRPr="00092477">
              <w:rPr>
                <w:sz w:val="16"/>
                <w:szCs w:val="16"/>
              </w:rPr>
              <w:t>2%</w:t>
            </w:r>
          </w:p>
        </w:tc>
      </w:tr>
      <w:tr w:rsidR="00824897" w:rsidRPr="00092477" w14:paraId="5D4D6EDE" w14:textId="77777777">
        <w:trPr>
          <w:trHeight w:val="224"/>
        </w:trPr>
        <w:tc>
          <w:tcPr>
            <w:tcW w:w="2258" w:type="dxa"/>
            <w:noWrap/>
            <w:hideMark/>
          </w:tcPr>
          <w:p w14:paraId="70A52F58" w14:textId="77777777" w:rsidR="00824897" w:rsidRPr="00092477" w:rsidRDefault="00824897">
            <w:pPr>
              <w:spacing w:after="0"/>
              <w:rPr>
                <w:i/>
                <w:iCs/>
                <w:sz w:val="16"/>
                <w:szCs w:val="16"/>
              </w:rPr>
            </w:pPr>
            <w:r w:rsidRPr="00092477">
              <w:rPr>
                <w:i/>
                <w:iCs/>
                <w:sz w:val="16"/>
                <w:szCs w:val="16"/>
              </w:rPr>
              <w:t>Decile 9</w:t>
            </w:r>
          </w:p>
        </w:tc>
        <w:tc>
          <w:tcPr>
            <w:tcW w:w="1712" w:type="dxa"/>
            <w:noWrap/>
            <w:vAlign w:val="bottom"/>
            <w:hideMark/>
          </w:tcPr>
          <w:p w14:paraId="0C164293" w14:textId="77777777" w:rsidR="00824897" w:rsidRPr="00092477" w:rsidRDefault="00824897">
            <w:pPr>
              <w:spacing w:after="0"/>
              <w:jc w:val="right"/>
              <w:rPr>
                <w:sz w:val="16"/>
                <w:szCs w:val="16"/>
              </w:rPr>
            </w:pPr>
            <w:r w:rsidRPr="00092477">
              <w:rPr>
                <w:sz w:val="16"/>
                <w:szCs w:val="16"/>
              </w:rPr>
              <w:t>1</w:t>
            </w:r>
          </w:p>
        </w:tc>
        <w:tc>
          <w:tcPr>
            <w:tcW w:w="1713" w:type="dxa"/>
            <w:noWrap/>
            <w:vAlign w:val="bottom"/>
            <w:hideMark/>
          </w:tcPr>
          <w:p w14:paraId="4D04C1C4" w14:textId="77777777" w:rsidR="00824897" w:rsidRPr="00092477" w:rsidRDefault="00824897">
            <w:pPr>
              <w:spacing w:after="0"/>
              <w:jc w:val="right"/>
              <w:rPr>
                <w:sz w:val="16"/>
                <w:szCs w:val="16"/>
              </w:rPr>
            </w:pPr>
            <w:r w:rsidRPr="00092477">
              <w:rPr>
                <w:sz w:val="16"/>
                <w:szCs w:val="16"/>
              </w:rPr>
              <w:t>2%</w:t>
            </w:r>
          </w:p>
        </w:tc>
        <w:tc>
          <w:tcPr>
            <w:tcW w:w="1713" w:type="dxa"/>
            <w:noWrap/>
            <w:hideMark/>
          </w:tcPr>
          <w:p w14:paraId="4A8A572A" w14:textId="77777777" w:rsidR="00824897" w:rsidRPr="00092477" w:rsidRDefault="00824897">
            <w:pPr>
              <w:spacing w:after="0"/>
              <w:jc w:val="right"/>
              <w:rPr>
                <w:sz w:val="16"/>
                <w:szCs w:val="16"/>
              </w:rPr>
            </w:pPr>
            <w:r w:rsidRPr="00092477">
              <w:rPr>
                <w:sz w:val="16"/>
                <w:szCs w:val="16"/>
              </w:rPr>
              <w:t>4</w:t>
            </w:r>
          </w:p>
        </w:tc>
        <w:tc>
          <w:tcPr>
            <w:tcW w:w="1713" w:type="dxa"/>
            <w:noWrap/>
            <w:hideMark/>
          </w:tcPr>
          <w:p w14:paraId="383ED3BB" w14:textId="77777777" w:rsidR="00824897" w:rsidRPr="00092477" w:rsidRDefault="00824897">
            <w:pPr>
              <w:spacing w:after="0"/>
              <w:jc w:val="right"/>
              <w:rPr>
                <w:sz w:val="16"/>
                <w:szCs w:val="16"/>
              </w:rPr>
            </w:pPr>
            <w:r w:rsidRPr="00092477">
              <w:rPr>
                <w:sz w:val="16"/>
                <w:szCs w:val="16"/>
              </w:rPr>
              <w:t>3%</w:t>
            </w:r>
          </w:p>
        </w:tc>
      </w:tr>
      <w:tr w:rsidR="00824897" w:rsidRPr="00092477" w14:paraId="3A870075" w14:textId="77777777">
        <w:trPr>
          <w:trHeight w:val="224"/>
        </w:trPr>
        <w:tc>
          <w:tcPr>
            <w:tcW w:w="2258" w:type="dxa"/>
            <w:noWrap/>
            <w:hideMark/>
          </w:tcPr>
          <w:p w14:paraId="7EA334DA" w14:textId="77777777" w:rsidR="00824897" w:rsidRPr="00092477" w:rsidRDefault="00824897">
            <w:pPr>
              <w:spacing w:after="0"/>
              <w:rPr>
                <w:i/>
                <w:iCs/>
                <w:sz w:val="16"/>
                <w:szCs w:val="16"/>
              </w:rPr>
            </w:pPr>
            <w:r w:rsidRPr="00092477">
              <w:rPr>
                <w:i/>
                <w:iCs/>
                <w:sz w:val="16"/>
                <w:szCs w:val="16"/>
              </w:rPr>
              <w:t>Decile 10</w:t>
            </w:r>
          </w:p>
        </w:tc>
        <w:tc>
          <w:tcPr>
            <w:tcW w:w="1712" w:type="dxa"/>
            <w:noWrap/>
            <w:vAlign w:val="bottom"/>
            <w:hideMark/>
          </w:tcPr>
          <w:p w14:paraId="562F9936" w14:textId="77777777" w:rsidR="00824897" w:rsidRPr="00092477" w:rsidRDefault="00824897">
            <w:pPr>
              <w:spacing w:after="0"/>
              <w:jc w:val="right"/>
              <w:rPr>
                <w:sz w:val="16"/>
                <w:szCs w:val="16"/>
              </w:rPr>
            </w:pPr>
            <w:r w:rsidRPr="00092477">
              <w:rPr>
                <w:sz w:val="16"/>
                <w:szCs w:val="16"/>
              </w:rPr>
              <w:t>2</w:t>
            </w:r>
          </w:p>
        </w:tc>
        <w:tc>
          <w:tcPr>
            <w:tcW w:w="1713" w:type="dxa"/>
            <w:noWrap/>
            <w:vAlign w:val="bottom"/>
            <w:hideMark/>
          </w:tcPr>
          <w:p w14:paraId="7B159CEE" w14:textId="77777777" w:rsidR="00824897" w:rsidRPr="00092477" w:rsidRDefault="00824897">
            <w:pPr>
              <w:spacing w:after="0"/>
              <w:jc w:val="right"/>
              <w:rPr>
                <w:sz w:val="16"/>
                <w:szCs w:val="16"/>
              </w:rPr>
            </w:pPr>
            <w:r w:rsidRPr="00092477">
              <w:rPr>
                <w:sz w:val="16"/>
                <w:szCs w:val="16"/>
              </w:rPr>
              <w:t>5%</w:t>
            </w:r>
          </w:p>
        </w:tc>
        <w:tc>
          <w:tcPr>
            <w:tcW w:w="1713" w:type="dxa"/>
            <w:noWrap/>
            <w:hideMark/>
          </w:tcPr>
          <w:p w14:paraId="07326162" w14:textId="77777777" w:rsidR="00824897" w:rsidRPr="00092477" w:rsidRDefault="00824897">
            <w:pPr>
              <w:spacing w:after="0"/>
              <w:jc w:val="right"/>
              <w:rPr>
                <w:sz w:val="16"/>
                <w:szCs w:val="16"/>
              </w:rPr>
            </w:pPr>
            <w:r w:rsidRPr="00092477">
              <w:rPr>
                <w:sz w:val="16"/>
                <w:szCs w:val="16"/>
              </w:rPr>
              <w:t>2</w:t>
            </w:r>
          </w:p>
        </w:tc>
        <w:tc>
          <w:tcPr>
            <w:tcW w:w="1713" w:type="dxa"/>
            <w:noWrap/>
            <w:hideMark/>
          </w:tcPr>
          <w:p w14:paraId="32CE9716" w14:textId="77777777" w:rsidR="00824897" w:rsidRPr="00092477" w:rsidRDefault="00824897">
            <w:pPr>
              <w:spacing w:after="0"/>
              <w:jc w:val="right"/>
              <w:rPr>
                <w:sz w:val="16"/>
                <w:szCs w:val="16"/>
              </w:rPr>
            </w:pPr>
            <w:r w:rsidRPr="00092477">
              <w:rPr>
                <w:sz w:val="16"/>
                <w:szCs w:val="16"/>
              </w:rPr>
              <w:t>1%</w:t>
            </w:r>
          </w:p>
        </w:tc>
      </w:tr>
      <w:tr w:rsidR="00824897" w:rsidRPr="00092477" w14:paraId="56F06C46" w14:textId="77777777">
        <w:trPr>
          <w:trHeight w:val="224"/>
        </w:trPr>
        <w:tc>
          <w:tcPr>
            <w:tcW w:w="2258" w:type="dxa"/>
            <w:noWrap/>
            <w:hideMark/>
          </w:tcPr>
          <w:p w14:paraId="68295DB2" w14:textId="77777777" w:rsidR="00824897" w:rsidRPr="00092477" w:rsidRDefault="00824897">
            <w:pPr>
              <w:spacing w:after="0"/>
              <w:rPr>
                <w:i/>
                <w:iCs/>
                <w:sz w:val="16"/>
                <w:szCs w:val="16"/>
              </w:rPr>
            </w:pPr>
            <w:r w:rsidRPr="00092477">
              <w:rPr>
                <w:i/>
                <w:iCs/>
                <w:sz w:val="16"/>
                <w:szCs w:val="16"/>
              </w:rPr>
              <w:t>Unassigned</w:t>
            </w:r>
          </w:p>
        </w:tc>
        <w:tc>
          <w:tcPr>
            <w:tcW w:w="1712" w:type="dxa"/>
            <w:noWrap/>
            <w:vAlign w:val="bottom"/>
            <w:hideMark/>
          </w:tcPr>
          <w:p w14:paraId="15FC63A9" w14:textId="77777777" w:rsidR="00824897" w:rsidRPr="00092477" w:rsidRDefault="00824897">
            <w:pPr>
              <w:spacing w:after="0"/>
              <w:jc w:val="right"/>
              <w:rPr>
                <w:i/>
                <w:iCs/>
                <w:sz w:val="16"/>
                <w:szCs w:val="16"/>
              </w:rPr>
            </w:pPr>
          </w:p>
        </w:tc>
        <w:tc>
          <w:tcPr>
            <w:tcW w:w="1713" w:type="dxa"/>
            <w:noWrap/>
            <w:vAlign w:val="bottom"/>
            <w:hideMark/>
          </w:tcPr>
          <w:p w14:paraId="0E8816C0" w14:textId="77777777" w:rsidR="00824897" w:rsidRPr="00092477" w:rsidRDefault="00824897">
            <w:pPr>
              <w:spacing w:after="0"/>
              <w:jc w:val="right"/>
              <w:rPr>
                <w:sz w:val="16"/>
                <w:szCs w:val="16"/>
              </w:rPr>
            </w:pPr>
          </w:p>
        </w:tc>
        <w:tc>
          <w:tcPr>
            <w:tcW w:w="1713" w:type="dxa"/>
            <w:noWrap/>
            <w:hideMark/>
          </w:tcPr>
          <w:p w14:paraId="15DD7AC0" w14:textId="77777777" w:rsidR="00824897" w:rsidRPr="00092477" w:rsidRDefault="00824897">
            <w:pPr>
              <w:spacing w:after="0"/>
              <w:jc w:val="right"/>
              <w:rPr>
                <w:sz w:val="16"/>
                <w:szCs w:val="16"/>
              </w:rPr>
            </w:pPr>
            <w:r w:rsidRPr="00092477">
              <w:rPr>
                <w:sz w:val="16"/>
                <w:szCs w:val="16"/>
              </w:rPr>
              <w:t>1</w:t>
            </w:r>
          </w:p>
        </w:tc>
        <w:tc>
          <w:tcPr>
            <w:tcW w:w="1713" w:type="dxa"/>
            <w:noWrap/>
            <w:hideMark/>
          </w:tcPr>
          <w:p w14:paraId="6CBAD7A9" w14:textId="77777777" w:rsidR="00824897" w:rsidRPr="00092477" w:rsidRDefault="00824897">
            <w:pPr>
              <w:spacing w:after="0"/>
              <w:jc w:val="right"/>
              <w:rPr>
                <w:sz w:val="16"/>
                <w:szCs w:val="16"/>
              </w:rPr>
            </w:pPr>
            <w:r w:rsidRPr="00092477">
              <w:rPr>
                <w:sz w:val="16"/>
                <w:szCs w:val="16"/>
              </w:rPr>
              <w:t>1%</w:t>
            </w:r>
          </w:p>
        </w:tc>
      </w:tr>
      <w:tr w:rsidR="00824897" w:rsidRPr="00092477" w14:paraId="40E28564" w14:textId="77777777">
        <w:trPr>
          <w:trHeight w:val="224"/>
        </w:trPr>
        <w:tc>
          <w:tcPr>
            <w:tcW w:w="9109" w:type="dxa"/>
            <w:gridSpan w:val="5"/>
            <w:noWrap/>
            <w:vAlign w:val="center"/>
            <w:hideMark/>
          </w:tcPr>
          <w:p w14:paraId="60769943" w14:textId="77777777" w:rsidR="00824897" w:rsidRPr="00092477" w:rsidRDefault="00824897">
            <w:pPr>
              <w:spacing w:after="0"/>
              <w:rPr>
                <w:sz w:val="16"/>
                <w:szCs w:val="16"/>
              </w:rPr>
            </w:pPr>
            <w:r w:rsidRPr="00092477">
              <w:rPr>
                <w:b/>
                <w:bCs/>
                <w:sz w:val="16"/>
                <w:szCs w:val="16"/>
              </w:rPr>
              <w:t xml:space="preserve">Remoteness </w:t>
            </w:r>
          </w:p>
        </w:tc>
      </w:tr>
      <w:tr w:rsidR="00824897" w:rsidRPr="00092477" w14:paraId="013BD32E" w14:textId="77777777">
        <w:trPr>
          <w:trHeight w:val="224"/>
        </w:trPr>
        <w:tc>
          <w:tcPr>
            <w:tcW w:w="2258" w:type="dxa"/>
            <w:noWrap/>
            <w:hideMark/>
          </w:tcPr>
          <w:p w14:paraId="4D24364D" w14:textId="77777777" w:rsidR="00824897" w:rsidRPr="00092477" w:rsidRDefault="00824897">
            <w:pPr>
              <w:spacing w:after="0"/>
              <w:rPr>
                <w:i/>
                <w:iCs/>
                <w:sz w:val="16"/>
                <w:szCs w:val="16"/>
              </w:rPr>
            </w:pPr>
            <w:r w:rsidRPr="00092477">
              <w:rPr>
                <w:i/>
                <w:iCs/>
                <w:sz w:val="16"/>
                <w:szCs w:val="16"/>
              </w:rPr>
              <w:t>Major cities of Australia</w:t>
            </w:r>
          </w:p>
        </w:tc>
        <w:tc>
          <w:tcPr>
            <w:tcW w:w="1712" w:type="dxa"/>
            <w:noWrap/>
            <w:vAlign w:val="bottom"/>
            <w:hideMark/>
          </w:tcPr>
          <w:p w14:paraId="0144142C" w14:textId="77777777" w:rsidR="00824897" w:rsidRPr="00092477" w:rsidRDefault="00824897">
            <w:pPr>
              <w:spacing w:after="0"/>
              <w:jc w:val="right"/>
              <w:rPr>
                <w:sz w:val="16"/>
                <w:szCs w:val="16"/>
              </w:rPr>
            </w:pPr>
            <w:r w:rsidRPr="00092477">
              <w:rPr>
                <w:sz w:val="16"/>
                <w:szCs w:val="16"/>
              </w:rPr>
              <w:t>13</w:t>
            </w:r>
          </w:p>
        </w:tc>
        <w:tc>
          <w:tcPr>
            <w:tcW w:w="1713" w:type="dxa"/>
            <w:noWrap/>
            <w:vAlign w:val="bottom"/>
            <w:hideMark/>
          </w:tcPr>
          <w:p w14:paraId="2BC69A8D" w14:textId="77777777" w:rsidR="00824897" w:rsidRPr="00092477" w:rsidRDefault="00824897">
            <w:pPr>
              <w:spacing w:after="0"/>
              <w:jc w:val="right"/>
              <w:rPr>
                <w:sz w:val="16"/>
                <w:szCs w:val="16"/>
              </w:rPr>
            </w:pPr>
            <w:r w:rsidRPr="00092477">
              <w:rPr>
                <w:sz w:val="16"/>
                <w:szCs w:val="16"/>
              </w:rPr>
              <w:t>30%</w:t>
            </w:r>
          </w:p>
        </w:tc>
        <w:tc>
          <w:tcPr>
            <w:tcW w:w="1713" w:type="dxa"/>
            <w:noWrap/>
            <w:vAlign w:val="bottom"/>
            <w:hideMark/>
          </w:tcPr>
          <w:p w14:paraId="7D23E066" w14:textId="77777777" w:rsidR="00824897" w:rsidRPr="00092477" w:rsidRDefault="00824897">
            <w:pPr>
              <w:spacing w:after="0"/>
              <w:jc w:val="right"/>
              <w:rPr>
                <w:sz w:val="16"/>
                <w:szCs w:val="16"/>
              </w:rPr>
            </w:pPr>
            <w:r w:rsidRPr="00092477">
              <w:rPr>
                <w:sz w:val="16"/>
                <w:szCs w:val="16"/>
              </w:rPr>
              <w:t>22</w:t>
            </w:r>
          </w:p>
        </w:tc>
        <w:tc>
          <w:tcPr>
            <w:tcW w:w="1713" w:type="dxa"/>
            <w:noWrap/>
            <w:vAlign w:val="bottom"/>
            <w:hideMark/>
          </w:tcPr>
          <w:p w14:paraId="646491D7" w14:textId="77777777" w:rsidR="00824897" w:rsidRPr="00092477" w:rsidRDefault="00824897">
            <w:pPr>
              <w:spacing w:after="0"/>
              <w:jc w:val="right"/>
              <w:rPr>
                <w:sz w:val="16"/>
                <w:szCs w:val="16"/>
              </w:rPr>
            </w:pPr>
            <w:r w:rsidRPr="00092477">
              <w:rPr>
                <w:sz w:val="16"/>
                <w:szCs w:val="16"/>
              </w:rPr>
              <w:t>15%</w:t>
            </w:r>
          </w:p>
        </w:tc>
      </w:tr>
      <w:tr w:rsidR="00824897" w:rsidRPr="00092477" w14:paraId="309E8703" w14:textId="77777777">
        <w:trPr>
          <w:trHeight w:val="224"/>
        </w:trPr>
        <w:tc>
          <w:tcPr>
            <w:tcW w:w="2258" w:type="dxa"/>
            <w:noWrap/>
            <w:hideMark/>
          </w:tcPr>
          <w:p w14:paraId="6F2138AA" w14:textId="77777777" w:rsidR="00824897" w:rsidRPr="00092477" w:rsidRDefault="00824897">
            <w:pPr>
              <w:spacing w:after="0"/>
              <w:rPr>
                <w:i/>
                <w:iCs/>
                <w:sz w:val="16"/>
                <w:szCs w:val="16"/>
              </w:rPr>
            </w:pPr>
            <w:r w:rsidRPr="00092477">
              <w:rPr>
                <w:i/>
                <w:iCs/>
                <w:sz w:val="16"/>
                <w:szCs w:val="16"/>
              </w:rPr>
              <w:t>Inner Regional Australia</w:t>
            </w:r>
          </w:p>
        </w:tc>
        <w:tc>
          <w:tcPr>
            <w:tcW w:w="1712" w:type="dxa"/>
            <w:noWrap/>
            <w:vAlign w:val="bottom"/>
            <w:hideMark/>
          </w:tcPr>
          <w:p w14:paraId="6887D15C" w14:textId="77777777" w:rsidR="00824897" w:rsidRPr="00092477" w:rsidRDefault="00824897">
            <w:pPr>
              <w:spacing w:after="0"/>
              <w:jc w:val="right"/>
              <w:rPr>
                <w:sz w:val="16"/>
                <w:szCs w:val="16"/>
              </w:rPr>
            </w:pPr>
            <w:r w:rsidRPr="00092477">
              <w:rPr>
                <w:sz w:val="16"/>
                <w:szCs w:val="16"/>
              </w:rPr>
              <w:t>6</w:t>
            </w:r>
          </w:p>
        </w:tc>
        <w:tc>
          <w:tcPr>
            <w:tcW w:w="1713" w:type="dxa"/>
            <w:noWrap/>
            <w:vAlign w:val="bottom"/>
            <w:hideMark/>
          </w:tcPr>
          <w:p w14:paraId="3D77A8B0" w14:textId="77777777" w:rsidR="00824897" w:rsidRPr="00092477" w:rsidRDefault="00824897">
            <w:pPr>
              <w:spacing w:after="0"/>
              <w:jc w:val="right"/>
              <w:rPr>
                <w:sz w:val="16"/>
                <w:szCs w:val="16"/>
              </w:rPr>
            </w:pPr>
            <w:r w:rsidRPr="00092477">
              <w:rPr>
                <w:sz w:val="16"/>
                <w:szCs w:val="16"/>
              </w:rPr>
              <w:t>14%</w:t>
            </w:r>
          </w:p>
        </w:tc>
        <w:tc>
          <w:tcPr>
            <w:tcW w:w="1713" w:type="dxa"/>
            <w:noWrap/>
            <w:vAlign w:val="bottom"/>
            <w:hideMark/>
          </w:tcPr>
          <w:p w14:paraId="328F41DA" w14:textId="77777777" w:rsidR="00824897" w:rsidRPr="00092477" w:rsidRDefault="00824897">
            <w:pPr>
              <w:spacing w:after="0"/>
              <w:jc w:val="right"/>
              <w:rPr>
                <w:sz w:val="16"/>
                <w:szCs w:val="16"/>
              </w:rPr>
            </w:pPr>
            <w:r w:rsidRPr="00092477">
              <w:rPr>
                <w:sz w:val="16"/>
                <w:szCs w:val="16"/>
              </w:rPr>
              <w:t>17</w:t>
            </w:r>
          </w:p>
        </w:tc>
        <w:tc>
          <w:tcPr>
            <w:tcW w:w="1713" w:type="dxa"/>
            <w:noWrap/>
            <w:vAlign w:val="bottom"/>
            <w:hideMark/>
          </w:tcPr>
          <w:p w14:paraId="3CDE20D6" w14:textId="77777777" w:rsidR="00824897" w:rsidRPr="00092477" w:rsidRDefault="00824897">
            <w:pPr>
              <w:spacing w:after="0"/>
              <w:jc w:val="right"/>
              <w:rPr>
                <w:sz w:val="16"/>
                <w:szCs w:val="16"/>
              </w:rPr>
            </w:pPr>
            <w:r w:rsidRPr="00092477">
              <w:rPr>
                <w:sz w:val="16"/>
                <w:szCs w:val="16"/>
              </w:rPr>
              <w:t>11%</w:t>
            </w:r>
          </w:p>
        </w:tc>
      </w:tr>
      <w:tr w:rsidR="00824897" w:rsidRPr="00092477" w14:paraId="292EF060" w14:textId="77777777">
        <w:trPr>
          <w:trHeight w:val="224"/>
        </w:trPr>
        <w:tc>
          <w:tcPr>
            <w:tcW w:w="2258" w:type="dxa"/>
            <w:noWrap/>
            <w:hideMark/>
          </w:tcPr>
          <w:p w14:paraId="4CAE4CB0" w14:textId="77777777" w:rsidR="00824897" w:rsidRPr="00092477" w:rsidRDefault="00824897">
            <w:pPr>
              <w:spacing w:after="0"/>
              <w:rPr>
                <w:i/>
                <w:iCs/>
                <w:sz w:val="16"/>
                <w:szCs w:val="16"/>
              </w:rPr>
            </w:pPr>
            <w:r w:rsidRPr="00092477">
              <w:rPr>
                <w:i/>
                <w:iCs/>
                <w:sz w:val="16"/>
                <w:szCs w:val="16"/>
              </w:rPr>
              <w:t>Outer Regional Australia</w:t>
            </w:r>
          </w:p>
        </w:tc>
        <w:tc>
          <w:tcPr>
            <w:tcW w:w="1712" w:type="dxa"/>
            <w:noWrap/>
            <w:vAlign w:val="bottom"/>
            <w:hideMark/>
          </w:tcPr>
          <w:p w14:paraId="55C0EA88" w14:textId="77777777" w:rsidR="00824897" w:rsidRPr="00092477" w:rsidRDefault="00824897">
            <w:pPr>
              <w:spacing w:after="0"/>
              <w:jc w:val="right"/>
              <w:rPr>
                <w:sz w:val="16"/>
                <w:szCs w:val="16"/>
              </w:rPr>
            </w:pPr>
            <w:r w:rsidRPr="00092477">
              <w:rPr>
                <w:sz w:val="16"/>
                <w:szCs w:val="16"/>
              </w:rPr>
              <w:t>4</w:t>
            </w:r>
          </w:p>
        </w:tc>
        <w:tc>
          <w:tcPr>
            <w:tcW w:w="1713" w:type="dxa"/>
            <w:noWrap/>
            <w:vAlign w:val="bottom"/>
            <w:hideMark/>
          </w:tcPr>
          <w:p w14:paraId="64F24124" w14:textId="77777777" w:rsidR="00824897" w:rsidRPr="00092477" w:rsidRDefault="00824897">
            <w:pPr>
              <w:spacing w:after="0"/>
              <w:jc w:val="right"/>
              <w:rPr>
                <w:sz w:val="16"/>
                <w:szCs w:val="16"/>
              </w:rPr>
            </w:pPr>
            <w:r w:rsidRPr="00092477">
              <w:rPr>
                <w:sz w:val="16"/>
                <w:szCs w:val="16"/>
              </w:rPr>
              <w:t>9%</w:t>
            </w:r>
          </w:p>
        </w:tc>
        <w:tc>
          <w:tcPr>
            <w:tcW w:w="1713" w:type="dxa"/>
            <w:noWrap/>
            <w:vAlign w:val="bottom"/>
            <w:hideMark/>
          </w:tcPr>
          <w:p w14:paraId="3CB9E4D6" w14:textId="77777777" w:rsidR="00824897" w:rsidRPr="00092477" w:rsidRDefault="00824897">
            <w:pPr>
              <w:spacing w:after="0"/>
              <w:jc w:val="right"/>
              <w:rPr>
                <w:sz w:val="16"/>
                <w:szCs w:val="16"/>
              </w:rPr>
            </w:pPr>
            <w:r w:rsidRPr="00092477">
              <w:rPr>
                <w:sz w:val="16"/>
                <w:szCs w:val="16"/>
              </w:rPr>
              <w:t>25</w:t>
            </w:r>
          </w:p>
        </w:tc>
        <w:tc>
          <w:tcPr>
            <w:tcW w:w="1713" w:type="dxa"/>
            <w:noWrap/>
            <w:vAlign w:val="bottom"/>
            <w:hideMark/>
          </w:tcPr>
          <w:p w14:paraId="428CA8A7" w14:textId="77777777" w:rsidR="00824897" w:rsidRPr="00092477" w:rsidRDefault="00824897">
            <w:pPr>
              <w:spacing w:after="0"/>
              <w:jc w:val="right"/>
              <w:rPr>
                <w:sz w:val="16"/>
                <w:szCs w:val="16"/>
              </w:rPr>
            </w:pPr>
            <w:r w:rsidRPr="00092477">
              <w:rPr>
                <w:sz w:val="16"/>
                <w:szCs w:val="16"/>
              </w:rPr>
              <w:t>17%</w:t>
            </w:r>
          </w:p>
        </w:tc>
      </w:tr>
      <w:tr w:rsidR="00824897" w:rsidRPr="00092477" w14:paraId="2D5E2D29" w14:textId="77777777">
        <w:trPr>
          <w:trHeight w:val="224"/>
        </w:trPr>
        <w:tc>
          <w:tcPr>
            <w:tcW w:w="2258" w:type="dxa"/>
            <w:noWrap/>
            <w:hideMark/>
          </w:tcPr>
          <w:p w14:paraId="08C86753" w14:textId="77777777" w:rsidR="00824897" w:rsidRPr="00092477" w:rsidRDefault="00824897">
            <w:pPr>
              <w:spacing w:after="0"/>
              <w:rPr>
                <w:i/>
                <w:iCs/>
                <w:sz w:val="16"/>
                <w:szCs w:val="16"/>
              </w:rPr>
            </w:pPr>
            <w:r w:rsidRPr="00092477">
              <w:rPr>
                <w:i/>
                <w:iCs/>
                <w:sz w:val="16"/>
                <w:szCs w:val="16"/>
              </w:rPr>
              <w:t>Remote Australia</w:t>
            </w:r>
          </w:p>
        </w:tc>
        <w:tc>
          <w:tcPr>
            <w:tcW w:w="1712" w:type="dxa"/>
            <w:noWrap/>
            <w:vAlign w:val="bottom"/>
            <w:hideMark/>
          </w:tcPr>
          <w:p w14:paraId="0B308378" w14:textId="77777777" w:rsidR="00824897" w:rsidRPr="00092477" w:rsidRDefault="00824897">
            <w:pPr>
              <w:spacing w:after="0"/>
              <w:jc w:val="right"/>
              <w:rPr>
                <w:sz w:val="16"/>
                <w:szCs w:val="16"/>
              </w:rPr>
            </w:pPr>
            <w:r w:rsidRPr="00092477">
              <w:rPr>
                <w:sz w:val="16"/>
                <w:szCs w:val="16"/>
              </w:rPr>
              <w:t>6</w:t>
            </w:r>
          </w:p>
        </w:tc>
        <w:tc>
          <w:tcPr>
            <w:tcW w:w="1713" w:type="dxa"/>
            <w:noWrap/>
            <w:vAlign w:val="bottom"/>
            <w:hideMark/>
          </w:tcPr>
          <w:p w14:paraId="5F303B6E" w14:textId="77777777" w:rsidR="00824897" w:rsidRPr="00092477" w:rsidRDefault="00824897">
            <w:pPr>
              <w:spacing w:after="0"/>
              <w:jc w:val="right"/>
              <w:rPr>
                <w:sz w:val="16"/>
                <w:szCs w:val="16"/>
              </w:rPr>
            </w:pPr>
            <w:r w:rsidRPr="00092477">
              <w:rPr>
                <w:sz w:val="16"/>
                <w:szCs w:val="16"/>
              </w:rPr>
              <w:t>14%</w:t>
            </w:r>
          </w:p>
        </w:tc>
        <w:tc>
          <w:tcPr>
            <w:tcW w:w="1713" w:type="dxa"/>
            <w:noWrap/>
            <w:vAlign w:val="bottom"/>
            <w:hideMark/>
          </w:tcPr>
          <w:p w14:paraId="5864C493" w14:textId="77777777" w:rsidR="00824897" w:rsidRPr="00092477" w:rsidRDefault="00824897">
            <w:pPr>
              <w:spacing w:after="0"/>
              <w:jc w:val="right"/>
              <w:rPr>
                <w:sz w:val="16"/>
                <w:szCs w:val="16"/>
              </w:rPr>
            </w:pPr>
            <w:r w:rsidRPr="00092477">
              <w:rPr>
                <w:sz w:val="16"/>
                <w:szCs w:val="16"/>
              </w:rPr>
              <w:t>20</w:t>
            </w:r>
          </w:p>
        </w:tc>
        <w:tc>
          <w:tcPr>
            <w:tcW w:w="1713" w:type="dxa"/>
            <w:noWrap/>
            <w:vAlign w:val="bottom"/>
            <w:hideMark/>
          </w:tcPr>
          <w:p w14:paraId="2CD61E89" w14:textId="77777777" w:rsidR="00824897" w:rsidRPr="00092477" w:rsidRDefault="00824897">
            <w:pPr>
              <w:spacing w:after="0"/>
              <w:jc w:val="right"/>
              <w:rPr>
                <w:sz w:val="16"/>
                <w:szCs w:val="16"/>
              </w:rPr>
            </w:pPr>
            <w:r w:rsidRPr="00092477">
              <w:rPr>
                <w:sz w:val="16"/>
                <w:szCs w:val="16"/>
              </w:rPr>
              <w:t>13%</w:t>
            </w:r>
          </w:p>
        </w:tc>
      </w:tr>
      <w:tr w:rsidR="00824897" w:rsidRPr="00092477" w14:paraId="6EEC39D8" w14:textId="77777777">
        <w:trPr>
          <w:trHeight w:val="224"/>
        </w:trPr>
        <w:tc>
          <w:tcPr>
            <w:tcW w:w="2258" w:type="dxa"/>
            <w:noWrap/>
            <w:hideMark/>
          </w:tcPr>
          <w:p w14:paraId="10F74B00" w14:textId="77777777" w:rsidR="00824897" w:rsidRPr="00092477" w:rsidRDefault="00824897">
            <w:pPr>
              <w:spacing w:after="0"/>
              <w:rPr>
                <w:i/>
                <w:iCs/>
                <w:sz w:val="16"/>
                <w:szCs w:val="16"/>
              </w:rPr>
            </w:pPr>
            <w:r w:rsidRPr="00092477">
              <w:rPr>
                <w:i/>
                <w:iCs/>
                <w:sz w:val="16"/>
                <w:szCs w:val="16"/>
              </w:rPr>
              <w:t>Very Remote Australia</w:t>
            </w:r>
          </w:p>
        </w:tc>
        <w:tc>
          <w:tcPr>
            <w:tcW w:w="1712" w:type="dxa"/>
            <w:noWrap/>
            <w:vAlign w:val="bottom"/>
            <w:hideMark/>
          </w:tcPr>
          <w:p w14:paraId="7A04EEF3" w14:textId="77777777" w:rsidR="00824897" w:rsidRPr="00092477" w:rsidRDefault="00824897">
            <w:pPr>
              <w:spacing w:after="0"/>
              <w:jc w:val="right"/>
              <w:rPr>
                <w:sz w:val="16"/>
                <w:szCs w:val="16"/>
              </w:rPr>
            </w:pPr>
            <w:r w:rsidRPr="00092477">
              <w:rPr>
                <w:sz w:val="16"/>
                <w:szCs w:val="16"/>
              </w:rPr>
              <w:t>14</w:t>
            </w:r>
          </w:p>
        </w:tc>
        <w:tc>
          <w:tcPr>
            <w:tcW w:w="1713" w:type="dxa"/>
            <w:noWrap/>
            <w:vAlign w:val="bottom"/>
            <w:hideMark/>
          </w:tcPr>
          <w:p w14:paraId="2A4FEA12" w14:textId="77777777" w:rsidR="00824897" w:rsidRPr="00092477" w:rsidRDefault="00824897">
            <w:pPr>
              <w:spacing w:after="0"/>
              <w:jc w:val="right"/>
              <w:rPr>
                <w:sz w:val="16"/>
                <w:szCs w:val="16"/>
              </w:rPr>
            </w:pPr>
            <w:r w:rsidRPr="00092477">
              <w:rPr>
                <w:sz w:val="16"/>
                <w:szCs w:val="16"/>
              </w:rPr>
              <w:t>33%</w:t>
            </w:r>
          </w:p>
        </w:tc>
        <w:tc>
          <w:tcPr>
            <w:tcW w:w="1713" w:type="dxa"/>
            <w:noWrap/>
            <w:vAlign w:val="bottom"/>
            <w:hideMark/>
          </w:tcPr>
          <w:p w14:paraId="56D38FE0" w14:textId="77777777" w:rsidR="00824897" w:rsidRPr="00092477" w:rsidRDefault="00824897">
            <w:pPr>
              <w:spacing w:after="0"/>
              <w:jc w:val="right"/>
              <w:rPr>
                <w:sz w:val="16"/>
                <w:szCs w:val="16"/>
              </w:rPr>
            </w:pPr>
            <w:r w:rsidRPr="00092477">
              <w:rPr>
                <w:sz w:val="16"/>
                <w:szCs w:val="16"/>
              </w:rPr>
              <w:t>65</w:t>
            </w:r>
          </w:p>
        </w:tc>
        <w:tc>
          <w:tcPr>
            <w:tcW w:w="1713" w:type="dxa"/>
            <w:noWrap/>
            <w:vAlign w:val="bottom"/>
            <w:hideMark/>
          </w:tcPr>
          <w:p w14:paraId="0D436E54" w14:textId="77777777" w:rsidR="00824897" w:rsidRPr="00092477" w:rsidRDefault="00824897">
            <w:pPr>
              <w:spacing w:after="0"/>
              <w:jc w:val="right"/>
              <w:rPr>
                <w:sz w:val="16"/>
                <w:szCs w:val="16"/>
              </w:rPr>
            </w:pPr>
            <w:r w:rsidRPr="00092477">
              <w:rPr>
                <w:sz w:val="16"/>
                <w:szCs w:val="16"/>
              </w:rPr>
              <w:t>44%</w:t>
            </w:r>
          </w:p>
        </w:tc>
      </w:tr>
    </w:tbl>
    <w:p w14:paraId="77740F8C" w14:textId="77777777" w:rsidR="00824897" w:rsidRDefault="00824897" w:rsidP="00824897">
      <w:pPr>
        <w:spacing w:before="170"/>
      </w:pPr>
      <w:r>
        <w:t xml:space="preserve">Prior to commencing consultations, Human Research Ethics Committee approval was sought through the </w:t>
      </w:r>
      <w:r w:rsidRPr="00C84A26">
        <w:t xml:space="preserve">Australian Institute of Aboriginal and Torres Strait Islander Studies </w:t>
      </w:r>
      <w:r>
        <w:t>(</w:t>
      </w:r>
      <w:r w:rsidRPr="00A548D8">
        <w:t>AIATSIS</w:t>
      </w:r>
      <w:r>
        <w:t>) – as outlined in the box below.</w:t>
      </w:r>
    </w:p>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824897" w14:paraId="32806BAA" w14:textId="77777777" w:rsidTr="001E479C">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3A856645" w14:textId="20DCD14C" w:rsidR="00824897" w:rsidRPr="00A009A5" w:rsidRDefault="00824897">
            <w:pPr>
              <w:pStyle w:val="NoSpacing"/>
              <w:spacing w:before="60" w:after="170"/>
              <w:rPr>
                <w:b/>
                <w:bCs/>
              </w:rPr>
            </w:pPr>
            <w:r w:rsidRPr="006A1521">
              <w:rPr>
                <w:b/>
              </w:rPr>
              <w:lastRenderedPageBreak/>
              <w:t xml:space="preserve">Box </w:t>
            </w:r>
            <w:r w:rsidR="00B40630" w:rsidRPr="006A1521">
              <w:rPr>
                <w:b/>
              </w:rPr>
              <w:t>4</w:t>
            </w:r>
            <w:r w:rsidRPr="006A1521">
              <w:rPr>
                <w:b/>
              </w:rPr>
              <w:t>.1:</w:t>
            </w:r>
            <w:r w:rsidRPr="00A009A5">
              <w:rPr>
                <w:b/>
                <w:bCs/>
              </w:rPr>
              <w:t xml:space="preserve"> </w:t>
            </w:r>
            <w:r>
              <w:rPr>
                <w:b/>
                <w:bCs/>
              </w:rPr>
              <w:t>AIATSIS Research Ethics Committee approval for the CCCFR review</w:t>
            </w:r>
          </w:p>
          <w:p w14:paraId="2AB13B03" w14:textId="77777777" w:rsidR="00824897" w:rsidRPr="00C84A26" w:rsidRDefault="00824897">
            <w:r w:rsidRPr="00C84A26">
              <w:t xml:space="preserve">The </w:t>
            </w:r>
            <w:r w:rsidRPr="00A14332">
              <w:rPr>
                <w:i/>
                <w:iCs/>
              </w:rPr>
              <w:t>AIATSIS Code of Ethics for Aboriginal and Torres Strait Islander Research</w:t>
            </w:r>
            <w:r w:rsidRPr="00C84A26">
              <w:t xml:space="preserve"> is a set of ethical guidelines that govern research involving </w:t>
            </w:r>
            <w:r>
              <w:t>Aboriginal and Torres Strait Islander</w:t>
            </w:r>
            <w:r w:rsidRPr="00C84A26">
              <w:t xml:space="preserve"> </w:t>
            </w:r>
            <w:r>
              <w:t>P</w:t>
            </w:r>
            <w:r w:rsidRPr="00C84A26">
              <w:t xml:space="preserve">eople and communities in Australia. The code emphasises the importance of recognising the rights and interests of Aboriginal and Torres Strait Islander </w:t>
            </w:r>
            <w:r>
              <w:t>P</w:t>
            </w:r>
            <w:r w:rsidRPr="00C84A26">
              <w:t xml:space="preserve">eople and communities and the need for researchers to act in a culturally sensitive and respectful manner. </w:t>
            </w:r>
          </w:p>
          <w:p w14:paraId="6C31A2AD" w14:textId="77777777" w:rsidR="00824897" w:rsidRPr="00C84A26" w:rsidRDefault="00824897">
            <w:r w:rsidRPr="00C84A26">
              <w:t>The code is intended to ensure that research is conducted in an ethical and responsible way</w:t>
            </w:r>
            <w:r>
              <w:t>,</w:t>
            </w:r>
            <w:r w:rsidRPr="00C84A26">
              <w:t xml:space="preserve"> and that the rights and interests of </w:t>
            </w:r>
            <w:r>
              <w:t>Aboriginal and Torres Strait Islander</w:t>
            </w:r>
            <w:r w:rsidRPr="00C84A26">
              <w:t xml:space="preserve"> </w:t>
            </w:r>
            <w:r>
              <w:t>P</w:t>
            </w:r>
            <w:r w:rsidRPr="00C84A26">
              <w:t>eople and communities are protected. The code covers a range of issues, including obtaining informed consent, respecting privacy and confidentiality, protecting cultural knowledge, and ensuring that research benefits Aboriginal and Torres Strait Islander people and communities. It also emphasi</w:t>
            </w:r>
            <w:r>
              <w:t>s</w:t>
            </w:r>
            <w:r w:rsidRPr="00C84A26">
              <w:t>es the need for researchers to build respectful and collaborative relationships with Aboriginal and Torres Strait Islander people and communities and to involve them in all stages of the research process.</w:t>
            </w:r>
          </w:p>
          <w:p w14:paraId="473AB6B7" w14:textId="77777777" w:rsidR="00824897" w:rsidRDefault="00824897">
            <w:pPr>
              <w:pStyle w:val="NoSpacing"/>
              <w:spacing w:before="60" w:after="60"/>
            </w:pPr>
            <w:r>
              <w:t xml:space="preserve">Deloitte Access Economics, in collaboration with SNAICC and Murawin, prepared a detailed submission </w:t>
            </w:r>
            <w:r w:rsidRPr="00D3055B">
              <w:t xml:space="preserve">to the AIATSIS Research Ethics </w:t>
            </w:r>
            <w:r>
              <w:t xml:space="preserve">Committee. Ethics approval was granted by the AIATSIS </w:t>
            </w:r>
            <w:r w:rsidRPr="00D3055B">
              <w:t xml:space="preserve">Research Ethics </w:t>
            </w:r>
            <w:r>
              <w:t xml:space="preserve">Committee on 24 August 2023 (ref: REC-0179). This means the CCCFR review meets the requirements of the </w:t>
            </w:r>
            <w:r w:rsidRPr="00867F74">
              <w:rPr>
                <w:i/>
                <w:iCs/>
              </w:rPr>
              <w:t>National Statement on Ethical Conduct in Human Research</w:t>
            </w:r>
            <w:r>
              <w:t xml:space="preserve"> (2007) and the </w:t>
            </w:r>
            <w:r w:rsidRPr="00867F74">
              <w:rPr>
                <w:i/>
                <w:iCs/>
              </w:rPr>
              <w:t>AIATSIS Code of Ethics for Aboriginal and Torres Strait Islander Research</w:t>
            </w:r>
            <w:r>
              <w:t xml:space="preserve"> (2020).</w:t>
            </w:r>
          </w:p>
        </w:tc>
      </w:tr>
    </w:tbl>
    <w:p w14:paraId="03AF22CA" w14:textId="77777777" w:rsidR="00824897" w:rsidRDefault="00824897" w:rsidP="00824897">
      <w:pPr>
        <w:spacing w:before="170"/>
      </w:pPr>
      <w:r>
        <w:t>Core elements of the ethical approach to these consultations include:</w:t>
      </w:r>
    </w:p>
    <w:p w14:paraId="70D6648A" w14:textId="2F7AE3CB" w:rsidR="00824897" w:rsidRPr="00A620BD" w:rsidRDefault="00824897" w:rsidP="00824897">
      <w:pPr>
        <w:pStyle w:val="ListBullet"/>
      </w:pPr>
      <w:r w:rsidRPr="2B91AEFB">
        <w:rPr>
          <w:b/>
          <w:bCs/>
        </w:rPr>
        <w:t xml:space="preserve">Honouring the value of participation </w:t>
      </w:r>
      <w:r>
        <w:t>– Lived experience is equally valued as expertise, and weighted comparably with other research findings. Families</w:t>
      </w:r>
      <w:r w:rsidR="00C32936">
        <w:t xml:space="preserve"> and community members</w:t>
      </w:r>
      <w:r>
        <w:t xml:space="preserve"> have been compensated to a value of $50 for their time and expertise. The method of payment is through gift cards.</w:t>
      </w:r>
    </w:p>
    <w:p w14:paraId="6BDBF512" w14:textId="77777777" w:rsidR="00824897" w:rsidRDefault="00824897" w:rsidP="00824897">
      <w:pPr>
        <w:pStyle w:val="ListBullet"/>
      </w:pPr>
      <w:r w:rsidRPr="2B91AEFB">
        <w:rPr>
          <w:b/>
          <w:bCs/>
        </w:rPr>
        <w:t xml:space="preserve">Building vertical and reciprocal trust </w:t>
      </w:r>
      <w:r>
        <w:t xml:space="preserve">– Full and transparent information about the research is provided to all participants. The research team listens to their feedback and answers their questions before, during and after the project. </w:t>
      </w:r>
    </w:p>
    <w:p w14:paraId="7055A5F4" w14:textId="0D01190E" w:rsidR="00824897" w:rsidRPr="00D149E4" w:rsidRDefault="00824897" w:rsidP="00824897">
      <w:pPr>
        <w:pStyle w:val="ListBullet"/>
      </w:pPr>
      <w:r w:rsidRPr="2B91AEFB">
        <w:rPr>
          <w:b/>
          <w:bCs/>
        </w:rPr>
        <w:t xml:space="preserve">Respecting autonomy and self-determination </w:t>
      </w:r>
      <w:r w:rsidR="00F627A3">
        <w:t>–</w:t>
      </w:r>
      <w:r>
        <w:t xml:space="preserve"> Participants are free to choose to participate or not. When they choose to participate, they may choose to answer only some questions, finish engagement early, or take breaks whenever they need to. The questions are sent in advance so that participants can feel prepared and confident. </w:t>
      </w:r>
    </w:p>
    <w:p w14:paraId="20CC6992" w14:textId="7E2AE947" w:rsidR="00824897" w:rsidRPr="00D149E4" w:rsidRDefault="00824897" w:rsidP="00824897">
      <w:pPr>
        <w:pStyle w:val="ListBullet"/>
      </w:pPr>
      <w:r w:rsidRPr="2B91AEFB">
        <w:rPr>
          <w:b/>
          <w:bCs/>
        </w:rPr>
        <w:t xml:space="preserve">Protecting privacy and confidentiality </w:t>
      </w:r>
      <w:r w:rsidR="00F627A3">
        <w:t>–</w:t>
      </w:r>
      <w:r>
        <w:t xml:space="preserve"> No individual participant is identified in the reporting. All data is reported in aggregated form or by participant group. The data is stored on secure, password-protected servers and only staff working on the project have access to data, and only for the purposes of this project.</w:t>
      </w:r>
    </w:p>
    <w:p w14:paraId="5CFAB71E" w14:textId="4F4435AA" w:rsidR="00824897" w:rsidRPr="0053478B" w:rsidRDefault="00824897" w:rsidP="00824897">
      <w:pPr>
        <w:pStyle w:val="ListBullet"/>
      </w:pPr>
      <w:r w:rsidRPr="2B91AEFB">
        <w:rPr>
          <w:b/>
          <w:bCs/>
        </w:rPr>
        <w:t xml:space="preserve">Photography protocols </w:t>
      </w:r>
      <w:r w:rsidR="00F627A3">
        <w:t>–</w:t>
      </w:r>
      <w:r>
        <w:t xml:space="preserve"> No photographs of individuals have been taken by the project team. To the extent photos of building facilities within child care centres are taken, consent has been obtained from centre management, and such photos will be used explicitly for the use of “Department of Education CCCFR review 2023” only.</w:t>
      </w:r>
    </w:p>
    <w:p w14:paraId="194FD2C4" w14:textId="170CFEFB" w:rsidR="00824897" w:rsidRDefault="00824897" w:rsidP="00824897">
      <w:pPr>
        <w:spacing w:before="170"/>
      </w:pPr>
      <w:r w:rsidRPr="00D855E1">
        <w:t>A semi-structured interview format was used for the</w:t>
      </w:r>
      <w:r>
        <w:t xml:space="preserve"> service</w:t>
      </w:r>
      <w:r w:rsidRPr="00D855E1">
        <w:t xml:space="preserve"> consultations – refer to </w:t>
      </w:r>
      <w:r w:rsidR="00470BFB">
        <w:fldChar w:fldCharType="begin"/>
      </w:r>
      <w:r w:rsidR="00470BFB">
        <w:instrText xml:space="preserve"> REF _Ref152874988 \r \h </w:instrText>
      </w:r>
      <w:r w:rsidR="00470BFB">
        <w:fldChar w:fldCharType="separate"/>
      </w:r>
      <w:r w:rsidR="00D300D0">
        <w:t>Appendix C</w:t>
      </w:r>
      <w:r w:rsidR="00470BFB">
        <w:fldChar w:fldCharType="end"/>
      </w:r>
      <w:r w:rsidRPr="00D855E1">
        <w:t xml:space="preserve"> for the consultation guide.</w:t>
      </w:r>
      <w:r>
        <w:t xml:space="preserve"> The questions</w:t>
      </w:r>
      <w:r w:rsidRPr="00353248">
        <w:t xml:space="preserve"> cover the core service domains included in the </w:t>
      </w:r>
      <w:r>
        <w:t>online</w:t>
      </w:r>
      <w:r w:rsidRPr="00353248">
        <w:t xml:space="preserve"> survey</w:t>
      </w:r>
      <w:r>
        <w:t xml:space="preserve"> (</w:t>
      </w:r>
      <w:r w:rsidRPr="007836D5">
        <w:t xml:space="preserve">see section </w:t>
      </w:r>
      <w:r w:rsidRPr="007836D5">
        <w:fldChar w:fldCharType="begin"/>
      </w:r>
      <w:r w:rsidRPr="007836D5">
        <w:instrText xml:space="preserve"> REF _Ref147417294 \r \h </w:instrText>
      </w:r>
      <w:r w:rsidR="001E132F" w:rsidRPr="007836D5">
        <w:instrText xml:space="preserve"> \* MERGEFORMAT </w:instrText>
      </w:r>
      <w:r w:rsidRPr="007836D5">
        <w:fldChar w:fldCharType="separate"/>
      </w:r>
      <w:r w:rsidR="00D300D0">
        <w:t>4.1.2</w:t>
      </w:r>
      <w:r w:rsidRPr="007836D5">
        <w:fldChar w:fldCharType="end"/>
      </w:r>
      <w:r>
        <w:t>)</w:t>
      </w:r>
      <w:r w:rsidRPr="00353248">
        <w:t xml:space="preserve">, </w:t>
      </w:r>
      <w:r>
        <w:t>with</w:t>
      </w:r>
      <w:r w:rsidRPr="00353248">
        <w:t xml:space="preserve"> targeted support</w:t>
      </w:r>
      <w:r>
        <w:t xml:space="preserve"> provided</w:t>
      </w:r>
      <w:r w:rsidRPr="00353248">
        <w:t xml:space="preserve"> to answer the additional questions focused on costs and funding information not covered by existing data sources.</w:t>
      </w:r>
      <w:r>
        <w:t xml:space="preserve"> Consultations were held with a range of service staff, depending on the particular service, ranging from the service director to </w:t>
      </w:r>
      <w:r w:rsidRPr="00E10C8F">
        <w:t>teachers, educators, administrative staff or management</w:t>
      </w:r>
      <w:r>
        <w:t>.</w:t>
      </w:r>
    </w:p>
    <w:p w14:paraId="7B52A9B3" w14:textId="77777777" w:rsidR="009D2E28" w:rsidRDefault="00824897" w:rsidP="00824897">
      <w:pPr>
        <w:spacing w:before="170"/>
      </w:pPr>
      <w:r w:rsidRPr="0084102B">
        <w:t>Consultations with families and communities took place at the centres where services were being delivered. Individuals were recruited to participate in the consultation process through either direct request from the service educators or through posters advertising the consultation sessions that were placed by the services on behalf of the SNAICC and Murawin teams.</w:t>
      </w:r>
      <w:r>
        <w:t xml:space="preserve"> </w:t>
      </w:r>
    </w:p>
    <w:p w14:paraId="51299C99" w14:textId="2A92FA33" w:rsidR="009D2E28" w:rsidRDefault="00824897" w:rsidP="00824897">
      <w:pPr>
        <w:spacing w:before="170"/>
      </w:pPr>
      <w:r>
        <w:lastRenderedPageBreak/>
        <w:t xml:space="preserve">Depending on the number of families and carers attending and their preference for engagement, some of the interviews were conducted in groups and some individually. This meant that while the family consultation guide questions </w:t>
      </w:r>
      <w:r w:rsidRPr="00E61DDD">
        <w:t xml:space="preserve">(see </w:t>
      </w:r>
      <w:r w:rsidR="00F14822">
        <w:fldChar w:fldCharType="begin"/>
      </w:r>
      <w:r w:rsidR="00F14822">
        <w:instrText xml:space="preserve"> REF _Ref152875078 \r \h </w:instrText>
      </w:r>
      <w:r w:rsidR="00F14822">
        <w:fldChar w:fldCharType="separate"/>
      </w:r>
      <w:r w:rsidR="00D300D0">
        <w:t>Appendix D</w:t>
      </w:r>
      <w:r w:rsidR="00F14822">
        <w:fldChar w:fldCharType="end"/>
      </w:r>
      <w:r w:rsidRPr="00E61DDD">
        <w:t>)</w:t>
      </w:r>
      <w:r>
        <w:t xml:space="preserve"> drove the discussion, that in some cases it reflected a semi-structured interview and in other cases it reflected a focus group</w:t>
      </w:r>
      <w:r w:rsidRPr="0084102B">
        <w:t>.</w:t>
      </w:r>
      <w:r>
        <w:t xml:space="preserve"> </w:t>
      </w:r>
    </w:p>
    <w:p w14:paraId="1C2A6BA9" w14:textId="77777777" w:rsidR="009D2E28" w:rsidRDefault="00824897" w:rsidP="00824897">
      <w:pPr>
        <w:spacing w:before="170"/>
      </w:pPr>
      <w:r>
        <w:t xml:space="preserve">The educators and service directors were typically not present during these interviews, except where an educator was also a parent using the service and was being interviewed for their perspectives on the use of the service rather than their contribution to the service provision. </w:t>
      </w:r>
    </w:p>
    <w:p w14:paraId="26556D04" w14:textId="26CAD3C3" w:rsidR="00824897" w:rsidRDefault="00824897" w:rsidP="00824897">
      <w:pPr>
        <w:spacing w:before="170"/>
      </w:pPr>
      <w:r>
        <w:t>Complementary food and drinks were provided to all families and community members in attendance and a $50 gift voucher that could be used at the local community store was provided to each family, carer or community member who participated in an interview.</w:t>
      </w:r>
      <w:r w:rsidR="002E497C">
        <w:t xml:space="preserve"> </w:t>
      </w:r>
      <w:r>
        <w:t xml:space="preserve"> </w:t>
      </w:r>
    </w:p>
    <w:p w14:paraId="3643F4B1" w14:textId="52E4FF6F" w:rsidR="00824897" w:rsidRPr="007836D5" w:rsidRDefault="00824897" w:rsidP="00824897">
      <w:pPr>
        <w:pStyle w:val="CaptionTable"/>
      </w:pPr>
      <w:bookmarkStart w:id="204" w:name="_Toc151723912"/>
      <w:bookmarkStart w:id="205" w:name="_Toc158997962"/>
      <w:bookmarkStart w:id="206" w:name="_Toc167130708"/>
      <w:r w:rsidRPr="007836D5">
        <w:t xml:space="preserve">: Services consulted with by </w:t>
      </w:r>
      <w:r w:rsidR="007765DF" w:rsidRPr="007836D5">
        <w:t>Aboriginal and Torres Strait Islander</w:t>
      </w:r>
      <w:r w:rsidRPr="007836D5">
        <w:t xml:space="preserve"> provider status and consultation mode</w:t>
      </w:r>
      <w:bookmarkEnd w:id="204"/>
      <w:bookmarkEnd w:id="205"/>
      <w:bookmarkEnd w:id="206"/>
    </w:p>
    <w:tbl>
      <w:tblPr>
        <w:tblW w:w="9229" w:type="dxa"/>
        <w:tblInd w:w="-15" w:type="dxa"/>
        <w:tblBorders>
          <w:top w:val="single" w:sz="4" w:space="0" w:color="046A38" w:themeColor="accent2"/>
          <w:bottom w:val="single" w:sz="4" w:space="0" w:color="046A38" w:themeColor="accent2"/>
          <w:insideH w:val="single" w:sz="4" w:space="0" w:color="046A38" w:themeColor="accent2"/>
          <w:insideV w:val="single" w:sz="4" w:space="0" w:color="046A38" w:themeColor="accent2"/>
        </w:tblBorders>
        <w:tblLayout w:type="fixed"/>
        <w:tblCellMar>
          <w:top w:w="57" w:type="dxa"/>
          <w:left w:w="113" w:type="dxa"/>
          <w:bottom w:w="57" w:type="dxa"/>
          <w:right w:w="113" w:type="dxa"/>
        </w:tblCellMar>
        <w:tblLook w:val="04A0" w:firstRow="1" w:lastRow="0" w:firstColumn="1" w:lastColumn="0" w:noHBand="0" w:noVBand="1"/>
      </w:tblPr>
      <w:tblGrid>
        <w:gridCol w:w="4937"/>
        <w:gridCol w:w="1571"/>
        <w:gridCol w:w="1572"/>
        <w:gridCol w:w="1134"/>
        <w:gridCol w:w="15"/>
      </w:tblGrid>
      <w:tr w:rsidR="00EF30C6" w:rsidRPr="00E42CB7" w14:paraId="5DCB83B1" w14:textId="77777777" w:rsidTr="7D1D84D3">
        <w:trPr>
          <w:gridAfter w:val="1"/>
          <w:wAfter w:w="15" w:type="dxa"/>
          <w:trHeight w:val="57"/>
        </w:trPr>
        <w:tc>
          <w:tcPr>
            <w:tcW w:w="4937" w:type="dxa"/>
            <w:tcBorders>
              <w:bottom w:val="nil"/>
            </w:tcBorders>
            <w:shd w:val="clear" w:color="auto" w:fill="E7F5CF" w:themeFill="accent1" w:themeFillTint="33"/>
            <w:noWrap/>
            <w:tcMar>
              <w:top w:w="15" w:type="dxa"/>
              <w:left w:w="15" w:type="dxa"/>
              <w:bottom w:w="0" w:type="dxa"/>
              <w:right w:w="15" w:type="dxa"/>
            </w:tcMar>
            <w:vAlign w:val="bottom"/>
            <w:hideMark/>
          </w:tcPr>
          <w:p w14:paraId="680EF3A7" w14:textId="77777777" w:rsidR="00824897" w:rsidRPr="00C60E63" w:rsidRDefault="00824897">
            <w:pPr>
              <w:spacing w:after="120"/>
              <w:jc w:val="both"/>
              <w:rPr>
                <w:sz w:val="16"/>
                <w:szCs w:val="16"/>
              </w:rPr>
            </w:pPr>
          </w:p>
        </w:tc>
        <w:tc>
          <w:tcPr>
            <w:tcW w:w="3143" w:type="dxa"/>
            <w:gridSpan w:val="2"/>
            <w:shd w:val="clear" w:color="auto" w:fill="E7F5CF" w:themeFill="accent1" w:themeFillTint="33"/>
            <w:noWrap/>
            <w:tcMar>
              <w:top w:w="15" w:type="dxa"/>
              <w:left w:w="15" w:type="dxa"/>
              <w:bottom w:w="0" w:type="dxa"/>
              <w:right w:w="15" w:type="dxa"/>
            </w:tcMar>
            <w:vAlign w:val="center"/>
            <w:hideMark/>
          </w:tcPr>
          <w:p w14:paraId="20A64734" w14:textId="77777777" w:rsidR="00824897" w:rsidRPr="00C60E63" w:rsidRDefault="00824897">
            <w:pPr>
              <w:spacing w:after="120"/>
              <w:jc w:val="center"/>
              <w:rPr>
                <w:b/>
                <w:bCs/>
                <w:i/>
                <w:iCs/>
                <w:sz w:val="16"/>
                <w:szCs w:val="16"/>
              </w:rPr>
            </w:pPr>
            <w:r w:rsidRPr="00C60E63">
              <w:rPr>
                <w:b/>
                <w:bCs/>
                <w:i/>
                <w:iCs/>
                <w:sz w:val="16"/>
                <w:szCs w:val="16"/>
              </w:rPr>
              <w:t>Consultation Mode</w:t>
            </w:r>
          </w:p>
        </w:tc>
        <w:tc>
          <w:tcPr>
            <w:tcW w:w="1134" w:type="dxa"/>
            <w:tcBorders>
              <w:bottom w:val="nil"/>
            </w:tcBorders>
            <w:shd w:val="clear" w:color="auto" w:fill="E7F5CF" w:themeFill="accent1" w:themeFillTint="33"/>
            <w:noWrap/>
            <w:tcMar>
              <w:top w:w="15" w:type="dxa"/>
              <w:left w:w="15" w:type="dxa"/>
              <w:bottom w:w="0" w:type="dxa"/>
              <w:right w:w="15" w:type="dxa"/>
            </w:tcMar>
            <w:vAlign w:val="bottom"/>
            <w:hideMark/>
          </w:tcPr>
          <w:p w14:paraId="26066132" w14:textId="77777777" w:rsidR="00824897" w:rsidRPr="00C60E63" w:rsidRDefault="00824897">
            <w:pPr>
              <w:spacing w:after="120"/>
              <w:jc w:val="both"/>
              <w:rPr>
                <w:b/>
                <w:bCs/>
                <w:i/>
                <w:iCs/>
                <w:sz w:val="16"/>
                <w:szCs w:val="16"/>
              </w:rPr>
            </w:pPr>
          </w:p>
        </w:tc>
      </w:tr>
      <w:tr w:rsidR="00831F73" w:rsidRPr="00E42CB7" w14:paraId="67AC2369" w14:textId="77777777" w:rsidTr="7D1D84D3">
        <w:trPr>
          <w:gridAfter w:val="1"/>
          <w:wAfter w:w="15" w:type="dxa"/>
          <w:trHeight w:val="57"/>
        </w:trPr>
        <w:tc>
          <w:tcPr>
            <w:tcW w:w="4937" w:type="dxa"/>
            <w:tcBorders>
              <w:top w:val="nil"/>
            </w:tcBorders>
            <w:shd w:val="clear" w:color="auto" w:fill="E7F5CF" w:themeFill="accent1" w:themeFillTint="33"/>
            <w:tcMar>
              <w:top w:w="15" w:type="dxa"/>
              <w:left w:w="15" w:type="dxa"/>
              <w:bottom w:w="0" w:type="dxa"/>
              <w:right w:w="15" w:type="dxa"/>
            </w:tcMar>
            <w:vAlign w:val="bottom"/>
            <w:hideMark/>
          </w:tcPr>
          <w:p w14:paraId="638816E8" w14:textId="548DE00A" w:rsidR="00824897" w:rsidRPr="00C60E63" w:rsidRDefault="00824897">
            <w:pPr>
              <w:spacing w:after="120"/>
              <w:jc w:val="both"/>
              <w:rPr>
                <w:b/>
                <w:bCs/>
                <w:i/>
                <w:iCs/>
                <w:sz w:val="16"/>
                <w:szCs w:val="16"/>
              </w:rPr>
            </w:pPr>
            <w:r w:rsidRPr="00C60E63">
              <w:rPr>
                <w:b/>
                <w:bCs/>
                <w:i/>
                <w:iCs/>
                <w:sz w:val="16"/>
                <w:szCs w:val="16"/>
              </w:rPr>
              <w:t xml:space="preserve">Identifies as </w:t>
            </w:r>
            <w:r w:rsidRPr="4470D6F5">
              <w:rPr>
                <w:b/>
                <w:bCs/>
                <w:i/>
                <w:iCs/>
                <w:sz w:val="16"/>
                <w:szCs w:val="16"/>
              </w:rPr>
              <w:t>a</w:t>
            </w:r>
            <w:r w:rsidR="007836D5">
              <w:rPr>
                <w:b/>
                <w:bCs/>
                <w:i/>
                <w:iCs/>
                <w:sz w:val="16"/>
                <w:szCs w:val="16"/>
              </w:rPr>
              <w:t>n</w:t>
            </w:r>
            <w:r w:rsidRPr="00C60E63">
              <w:rPr>
                <w:b/>
                <w:bCs/>
                <w:i/>
                <w:iCs/>
                <w:sz w:val="16"/>
                <w:szCs w:val="16"/>
              </w:rPr>
              <w:t xml:space="preserve"> </w:t>
            </w:r>
            <w:r w:rsidR="00A802B5" w:rsidRPr="00A802B5">
              <w:rPr>
                <w:b/>
                <w:bCs/>
                <w:i/>
                <w:iCs/>
                <w:sz w:val="16"/>
                <w:szCs w:val="16"/>
              </w:rPr>
              <w:t xml:space="preserve">Aboriginal and/or Torres Strait Islander </w:t>
            </w:r>
            <w:r w:rsidRPr="00C60E63">
              <w:rPr>
                <w:b/>
                <w:bCs/>
                <w:i/>
                <w:iCs/>
                <w:sz w:val="16"/>
                <w:szCs w:val="16"/>
              </w:rPr>
              <w:t>provider</w:t>
            </w:r>
            <w:r w:rsidR="00A802B5">
              <w:rPr>
                <w:b/>
                <w:bCs/>
                <w:i/>
                <w:iCs/>
                <w:sz w:val="16"/>
                <w:szCs w:val="16"/>
              </w:rPr>
              <w:t xml:space="preserve"> </w:t>
            </w:r>
            <w:r w:rsidR="001C416E">
              <w:rPr>
                <w:b/>
                <w:bCs/>
                <w:i/>
                <w:iCs/>
                <w:sz w:val="16"/>
                <w:szCs w:val="16"/>
              </w:rPr>
              <w:t xml:space="preserve">or has an Aboriginal and Torres Strait Islander organisational affiliation </w:t>
            </w:r>
            <w:r w:rsidRPr="00C60E63">
              <w:rPr>
                <w:rStyle w:val="FootnoteReference"/>
                <w:b/>
                <w:bCs/>
                <w:i/>
                <w:iCs/>
                <w:sz w:val="16"/>
                <w:szCs w:val="16"/>
              </w:rPr>
              <w:footnoteReference w:id="85"/>
            </w:r>
          </w:p>
        </w:tc>
        <w:tc>
          <w:tcPr>
            <w:tcW w:w="1571" w:type="dxa"/>
            <w:shd w:val="clear" w:color="auto" w:fill="E7F5CF" w:themeFill="accent1" w:themeFillTint="33"/>
            <w:noWrap/>
            <w:tcMar>
              <w:top w:w="15" w:type="dxa"/>
              <w:left w:w="15" w:type="dxa"/>
              <w:bottom w:w="0" w:type="dxa"/>
              <w:right w:w="15" w:type="dxa"/>
            </w:tcMar>
            <w:vAlign w:val="center"/>
            <w:hideMark/>
          </w:tcPr>
          <w:p w14:paraId="76E3BAEA" w14:textId="77777777" w:rsidR="00824897" w:rsidRPr="00C60E63" w:rsidRDefault="00824897">
            <w:pPr>
              <w:spacing w:after="120"/>
              <w:jc w:val="center"/>
              <w:rPr>
                <w:b/>
                <w:bCs/>
                <w:sz w:val="16"/>
                <w:szCs w:val="16"/>
              </w:rPr>
            </w:pPr>
            <w:r w:rsidRPr="00C60E63">
              <w:rPr>
                <w:b/>
                <w:bCs/>
                <w:sz w:val="16"/>
                <w:szCs w:val="16"/>
              </w:rPr>
              <w:t>Face to Face</w:t>
            </w:r>
          </w:p>
        </w:tc>
        <w:tc>
          <w:tcPr>
            <w:tcW w:w="1572" w:type="dxa"/>
            <w:shd w:val="clear" w:color="auto" w:fill="E7F5CF" w:themeFill="accent1" w:themeFillTint="33"/>
            <w:noWrap/>
            <w:tcMar>
              <w:top w:w="15" w:type="dxa"/>
              <w:left w:w="15" w:type="dxa"/>
              <w:bottom w:w="0" w:type="dxa"/>
              <w:right w:w="15" w:type="dxa"/>
            </w:tcMar>
            <w:vAlign w:val="center"/>
            <w:hideMark/>
          </w:tcPr>
          <w:p w14:paraId="19868DC9" w14:textId="77777777" w:rsidR="00824897" w:rsidRPr="00C60E63" w:rsidRDefault="00824897">
            <w:pPr>
              <w:spacing w:after="120"/>
              <w:jc w:val="center"/>
              <w:rPr>
                <w:b/>
                <w:bCs/>
                <w:sz w:val="16"/>
                <w:szCs w:val="16"/>
              </w:rPr>
            </w:pPr>
            <w:r w:rsidRPr="00C60E63">
              <w:rPr>
                <w:b/>
                <w:bCs/>
                <w:sz w:val="16"/>
                <w:szCs w:val="16"/>
              </w:rPr>
              <w:t>Online</w:t>
            </w:r>
          </w:p>
        </w:tc>
        <w:tc>
          <w:tcPr>
            <w:tcW w:w="1134" w:type="dxa"/>
            <w:tcBorders>
              <w:top w:val="nil"/>
            </w:tcBorders>
            <w:shd w:val="clear" w:color="auto" w:fill="E7F5CF" w:themeFill="accent1" w:themeFillTint="33"/>
            <w:noWrap/>
            <w:tcMar>
              <w:top w:w="15" w:type="dxa"/>
              <w:left w:w="15" w:type="dxa"/>
              <w:bottom w:w="0" w:type="dxa"/>
              <w:right w:w="15" w:type="dxa"/>
            </w:tcMar>
            <w:vAlign w:val="center"/>
            <w:hideMark/>
          </w:tcPr>
          <w:p w14:paraId="59FA055A" w14:textId="77777777" w:rsidR="00824897" w:rsidRPr="00C60E63" w:rsidRDefault="00824897">
            <w:pPr>
              <w:spacing w:after="120"/>
              <w:jc w:val="center"/>
              <w:rPr>
                <w:b/>
                <w:bCs/>
                <w:sz w:val="16"/>
                <w:szCs w:val="16"/>
              </w:rPr>
            </w:pPr>
            <w:r w:rsidRPr="00C60E63">
              <w:rPr>
                <w:b/>
                <w:bCs/>
                <w:sz w:val="16"/>
                <w:szCs w:val="16"/>
              </w:rPr>
              <w:t>Total</w:t>
            </w:r>
          </w:p>
        </w:tc>
      </w:tr>
      <w:tr w:rsidR="00A522AC" w:rsidRPr="00E42CB7" w14:paraId="5EEACAFB" w14:textId="77777777" w:rsidTr="7D1D84D3">
        <w:trPr>
          <w:trHeight w:val="57"/>
        </w:trPr>
        <w:tc>
          <w:tcPr>
            <w:tcW w:w="4937" w:type="dxa"/>
            <w:shd w:val="clear" w:color="auto" w:fill="auto"/>
            <w:noWrap/>
            <w:tcMar>
              <w:top w:w="15" w:type="dxa"/>
              <w:left w:w="15" w:type="dxa"/>
              <w:bottom w:w="0" w:type="dxa"/>
              <w:right w:w="15" w:type="dxa"/>
            </w:tcMar>
            <w:vAlign w:val="bottom"/>
            <w:hideMark/>
          </w:tcPr>
          <w:p w14:paraId="51D76B8E" w14:textId="77777777" w:rsidR="00824897" w:rsidRPr="00C60E63" w:rsidRDefault="00824897">
            <w:pPr>
              <w:spacing w:after="120"/>
              <w:jc w:val="both"/>
              <w:rPr>
                <w:b/>
                <w:bCs/>
                <w:sz w:val="16"/>
                <w:szCs w:val="16"/>
              </w:rPr>
            </w:pPr>
            <w:r w:rsidRPr="00C60E63">
              <w:rPr>
                <w:b/>
                <w:bCs/>
                <w:sz w:val="16"/>
                <w:szCs w:val="16"/>
              </w:rPr>
              <w:t>Yes</w:t>
            </w:r>
          </w:p>
        </w:tc>
        <w:tc>
          <w:tcPr>
            <w:tcW w:w="1571" w:type="dxa"/>
            <w:shd w:val="clear" w:color="auto" w:fill="auto"/>
            <w:noWrap/>
            <w:tcMar>
              <w:top w:w="15" w:type="dxa"/>
              <w:left w:w="15" w:type="dxa"/>
              <w:bottom w:w="0" w:type="dxa"/>
              <w:right w:w="15" w:type="dxa"/>
            </w:tcMar>
            <w:vAlign w:val="center"/>
            <w:hideMark/>
          </w:tcPr>
          <w:p w14:paraId="5045FC74" w14:textId="77777777" w:rsidR="00824897" w:rsidRPr="00C60E63" w:rsidRDefault="00824897" w:rsidP="00A84DEE">
            <w:pPr>
              <w:spacing w:after="0"/>
              <w:ind w:left="57" w:right="57"/>
              <w:jc w:val="right"/>
              <w:rPr>
                <w:sz w:val="16"/>
                <w:szCs w:val="16"/>
              </w:rPr>
            </w:pPr>
            <w:r w:rsidRPr="00C60E63">
              <w:rPr>
                <w:sz w:val="16"/>
                <w:szCs w:val="16"/>
              </w:rPr>
              <w:t>1</w:t>
            </w:r>
            <w:r>
              <w:rPr>
                <w:sz w:val="16"/>
                <w:szCs w:val="16"/>
              </w:rPr>
              <w:t>8</w:t>
            </w:r>
          </w:p>
        </w:tc>
        <w:tc>
          <w:tcPr>
            <w:tcW w:w="1572" w:type="dxa"/>
            <w:shd w:val="clear" w:color="auto" w:fill="auto"/>
            <w:noWrap/>
            <w:tcMar>
              <w:top w:w="15" w:type="dxa"/>
              <w:left w:w="15" w:type="dxa"/>
              <w:bottom w:w="0" w:type="dxa"/>
              <w:right w:w="15" w:type="dxa"/>
            </w:tcMar>
            <w:vAlign w:val="center"/>
            <w:hideMark/>
          </w:tcPr>
          <w:p w14:paraId="27F2CE20" w14:textId="5D048DC2" w:rsidR="00824897" w:rsidRPr="00C60E63" w:rsidRDefault="00115565" w:rsidP="00A84DEE">
            <w:pPr>
              <w:spacing w:after="0"/>
              <w:ind w:left="57" w:right="57"/>
              <w:jc w:val="right"/>
              <w:rPr>
                <w:sz w:val="16"/>
                <w:szCs w:val="16"/>
              </w:rPr>
            </w:pPr>
            <w:r>
              <w:rPr>
                <w:sz w:val="16"/>
                <w:szCs w:val="16"/>
              </w:rPr>
              <w:t>8</w:t>
            </w:r>
          </w:p>
        </w:tc>
        <w:tc>
          <w:tcPr>
            <w:tcW w:w="1134" w:type="dxa"/>
            <w:gridSpan w:val="2"/>
            <w:shd w:val="clear" w:color="auto" w:fill="auto"/>
            <w:noWrap/>
            <w:tcMar>
              <w:top w:w="15" w:type="dxa"/>
              <w:left w:w="15" w:type="dxa"/>
              <w:bottom w:w="0" w:type="dxa"/>
              <w:right w:w="15" w:type="dxa"/>
            </w:tcMar>
            <w:vAlign w:val="center"/>
            <w:hideMark/>
          </w:tcPr>
          <w:p w14:paraId="28DA6F41" w14:textId="5F6222A4" w:rsidR="00824897" w:rsidRPr="00C60E63" w:rsidRDefault="00115565" w:rsidP="00A84DEE">
            <w:pPr>
              <w:spacing w:after="0"/>
              <w:ind w:left="57" w:right="57"/>
              <w:jc w:val="right"/>
              <w:rPr>
                <w:sz w:val="16"/>
                <w:szCs w:val="16"/>
              </w:rPr>
            </w:pPr>
            <w:r>
              <w:rPr>
                <w:sz w:val="16"/>
                <w:szCs w:val="16"/>
              </w:rPr>
              <w:t>26</w:t>
            </w:r>
          </w:p>
        </w:tc>
      </w:tr>
      <w:tr w:rsidR="00A522AC" w14:paraId="365CD795" w14:textId="77777777" w:rsidTr="7D1D84D3">
        <w:trPr>
          <w:trHeight w:val="57"/>
        </w:trPr>
        <w:tc>
          <w:tcPr>
            <w:tcW w:w="4937" w:type="dxa"/>
            <w:shd w:val="clear" w:color="auto" w:fill="auto"/>
            <w:noWrap/>
            <w:tcMar>
              <w:top w:w="15" w:type="dxa"/>
              <w:left w:w="15" w:type="dxa"/>
              <w:bottom w:w="0" w:type="dxa"/>
              <w:right w:w="15" w:type="dxa"/>
            </w:tcMar>
            <w:vAlign w:val="bottom"/>
            <w:hideMark/>
          </w:tcPr>
          <w:p w14:paraId="7079EC20" w14:textId="77777777" w:rsidR="00824897" w:rsidRPr="00C60E63" w:rsidRDefault="00824897">
            <w:pPr>
              <w:spacing w:after="120"/>
              <w:jc w:val="both"/>
              <w:rPr>
                <w:b/>
                <w:bCs/>
                <w:sz w:val="16"/>
                <w:szCs w:val="16"/>
              </w:rPr>
            </w:pPr>
            <w:r w:rsidRPr="00C60E63">
              <w:rPr>
                <w:b/>
                <w:bCs/>
                <w:sz w:val="16"/>
                <w:szCs w:val="16"/>
              </w:rPr>
              <w:t>No</w:t>
            </w:r>
          </w:p>
        </w:tc>
        <w:tc>
          <w:tcPr>
            <w:tcW w:w="1571" w:type="dxa"/>
            <w:shd w:val="clear" w:color="auto" w:fill="auto"/>
            <w:noWrap/>
            <w:tcMar>
              <w:top w:w="15" w:type="dxa"/>
              <w:left w:w="15" w:type="dxa"/>
              <w:bottom w:w="0" w:type="dxa"/>
              <w:right w:w="15" w:type="dxa"/>
            </w:tcMar>
            <w:vAlign w:val="center"/>
            <w:hideMark/>
          </w:tcPr>
          <w:p w14:paraId="10648BE0" w14:textId="3E31C970" w:rsidR="00824897" w:rsidRPr="00C60E63" w:rsidRDefault="00115565" w:rsidP="00A84DEE">
            <w:pPr>
              <w:spacing w:after="0"/>
              <w:ind w:left="57" w:right="57"/>
              <w:jc w:val="right"/>
              <w:rPr>
                <w:sz w:val="16"/>
                <w:szCs w:val="16"/>
              </w:rPr>
            </w:pPr>
            <w:r>
              <w:rPr>
                <w:sz w:val="16"/>
                <w:szCs w:val="16"/>
              </w:rPr>
              <w:t>11</w:t>
            </w:r>
          </w:p>
        </w:tc>
        <w:tc>
          <w:tcPr>
            <w:tcW w:w="1572" w:type="dxa"/>
            <w:shd w:val="clear" w:color="auto" w:fill="auto"/>
            <w:noWrap/>
            <w:tcMar>
              <w:top w:w="15" w:type="dxa"/>
              <w:left w:w="15" w:type="dxa"/>
              <w:bottom w:w="0" w:type="dxa"/>
              <w:right w:w="15" w:type="dxa"/>
            </w:tcMar>
            <w:vAlign w:val="center"/>
            <w:hideMark/>
          </w:tcPr>
          <w:p w14:paraId="7C56DAC7" w14:textId="77777777" w:rsidR="00824897" w:rsidRPr="00A84DEE" w:rsidRDefault="00824897" w:rsidP="00A84DEE">
            <w:pPr>
              <w:spacing w:after="0"/>
              <w:ind w:left="57" w:right="57"/>
              <w:jc w:val="right"/>
              <w:rPr>
                <w:sz w:val="16"/>
                <w:szCs w:val="16"/>
              </w:rPr>
            </w:pPr>
            <w:r w:rsidRPr="00A84DEE">
              <w:rPr>
                <w:sz w:val="16"/>
                <w:szCs w:val="16"/>
              </w:rPr>
              <w:t>6</w:t>
            </w:r>
          </w:p>
        </w:tc>
        <w:tc>
          <w:tcPr>
            <w:tcW w:w="1134" w:type="dxa"/>
            <w:gridSpan w:val="2"/>
            <w:shd w:val="clear" w:color="auto" w:fill="auto"/>
            <w:noWrap/>
            <w:tcMar>
              <w:top w:w="15" w:type="dxa"/>
              <w:left w:w="15" w:type="dxa"/>
              <w:bottom w:w="0" w:type="dxa"/>
              <w:right w:w="15" w:type="dxa"/>
            </w:tcMar>
            <w:vAlign w:val="center"/>
            <w:hideMark/>
          </w:tcPr>
          <w:p w14:paraId="2B13EC4C" w14:textId="48499192" w:rsidR="00824897" w:rsidRPr="00A84DEE" w:rsidRDefault="00115565" w:rsidP="00A84DEE">
            <w:pPr>
              <w:spacing w:after="0"/>
              <w:ind w:left="57" w:right="57"/>
              <w:jc w:val="right"/>
              <w:rPr>
                <w:sz w:val="16"/>
                <w:szCs w:val="16"/>
              </w:rPr>
            </w:pPr>
            <w:r>
              <w:rPr>
                <w:sz w:val="16"/>
                <w:szCs w:val="16"/>
              </w:rPr>
              <w:t>17</w:t>
            </w:r>
          </w:p>
        </w:tc>
      </w:tr>
      <w:tr w:rsidR="00A522AC" w14:paraId="042C9D3C" w14:textId="77777777" w:rsidTr="7D1D84D3">
        <w:trPr>
          <w:trHeight w:val="57"/>
        </w:trPr>
        <w:tc>
          <w:tcPr>
            <w:tcW w:w="4937" w:type="dxa"/>
            <w:shd w:val="clear" w:color="auto" w:fill="auto"/>
            <w:noWrap/>
            <w:tcMar>
              <w:top w:w="15" w:type="dxa"/>
              <w:left w:w="15" w:type="dxa"/>
              <w:bottom w:w="0" w:type="dxa"/>
              <w:right w:w="15" w:type="dxa"/>
            </w:tcMar>
            <w:vAlign w:val="bottom"/>
            <w:hideMark/>
          </w:tcPr>
          <w:p w14:paraId="71B08EA9" w14:textId="77777777" w:rsidR="00824897" w:rsidRPr="00C60E63" w:rsidRDefault="00824897">
            <w:pPr>
              <w:spacing w:after="120"/>
              <w:jc w:val="both"/>
              <w:rPr>
                <w:b/>
                <w:bCs/>
                <w:color w:val="000000"/>
                <w:sz w:val="16"/>
                <w:szCs w:val="16"/>
              </w:rPr>
            </w:pPr>
            <w:r w:rsidRPr="00C60E63">
              <w:rPr>
                <w:b/>
                <w:bCs/>
                <w:color w:val="000000"/>
                <w:sz w:val="16"/>
                <w:szCs w:val="16"/>
              </w:rPr>
              <w:t>Total</w:t>
            </w:r>
          </w:p>
        </w:tc>
        <w:tc>
          <w:tcPr>
            <w:tcW w:w="1571" w:type="dxa"/>
            <w:shd w:val="clear" w:color="auto" w:fill="auto"/>
            <w:noWrap/>
            <w:tcMar>
              <w:top w:w="15" w:type="dxa"/>
              <w:left w:w="15" w:type="dxa"/>
              <w:bottom w:w="0" w:type="dxa"/>
              <w:right w:w="15" w:type="dxa"/>
            </w:tcMar>
            <w:vAlign w:val="center"/>
            <w:hideMark/>
          </w:tcPr>
          <w:p w14:paraId="1D5DCF99" w14:textId="77777777" w:rsidR="00824897" w:rsidRPr="00A84DEE" w:rsidRDefault="00824897" w:rsidP="00A84DEE">
            <w:pPr>
              <w:spacing w:after="0"/>
              <w:ind w:left="57" w:right="57"/>
              <w:jc w:val="right"/>
              <w:rPr>
                <w:b/>
                <w:bCs/>
                <w:sz w:val="16"/>
                <w:szCs w:val="16"/>
              </w:rPr>
            </w:pPr>
            <w:r w:rsidRPr="00A84DEE">
              <w:rPr>
                <w:b/>
                <w:bCs/>
                <w:sz w:val="16"/>
                <w:szCs w:val="16"/>
              </w:rPr>
              <w:t>29</w:t>
            </w:r>
          </w:p>
        </w:tc>
        <w:tc>
          <w:tcPr>
            <w:tcW w:w="1572" w:type="dxa"/>
            <w:shd w:val="clear" w:color="auto" w:fill="auto"/>
            <w:noWrap/>
            <w:tcMar>
              <w:top w:w="15" w:type="dxa"/>
              <w:left w:w="15" w:type="dxa"/>
              <w:bottom w:w="0" w:type="dxa"/>
              <w:right w:w="15" w:type="dxa"/>
            </w:tcMar>
            <w:vAlign w:val="center"/>
            <w:hideMark/>
          </w:tcPr>
          <w:p w14:paraId="32F1F122" w14:textId="77777777" w:rsidR="00824897" w:rsidRPr="00A84DEE" w:rsidRDefault="00824897" w:rsidP="00A84DEE">
            <w:pPr>
              <w:spacing w:after="0"/>
              <w:ind w:left="57" w:right="57"/>
              <w:jc w:val="right"/>
              <w:rPr>
                <w:b/>
                <w:bCs/>
                <w:sz w:val="16"/>
                <w:szCs w:val="16"/>
              </w:rPr>
            </w:pPr>
            <w:r w:rsidRPr="00A84DEE">
              <w:rPr>
                <w:b/>
                <w:bCs/>
                <w:sz w:val="16"/>
                <w:szCs w:val="16"/>
              </w:rPr>
              <w:t>14</w:t>
            </w:r>
          </w:p>
        </w:tc>
        <w:tc>
          <w:tcPr>
            <w:tcW w:w="1134" w:type="dxa"/>
            <w:gridSpan w:val="2"/>
            <w:shd w:val="clear" w:color="auto" w:fill="auto"/>
            <w:noWrap/>
            <w:tcMar>
              <w:top w:w="15" w:type="dxa"/>
              <w:left w:w="15" w:type="dxa"/>
              <w:bottom w:w="0" w:type="dxa"/>
              <w:right w:w="15" w:type="dxa"/>
            </w:tcMar>
            <w:vAlign w:val="center"/>
            <w:hideMark/>
          </w:tcPr>
          <w:p w14:paraId="06BC62F2" w14:textId="77777777" w:rsidR="00824897" w:rsidRPr="00A84DEE" w:rsidRDefault="00824897" w:rsidP="00A84DEE">
            <w:pPr>
              <w:spacing w:after="0"/>
              <w:ind w:left="57" w:right="57"/>
              <w:jc w:val="right"/>
              <w:rPr>
                <w:b/>
                <w:bCs/>
                <w:sz w:val="16"/>
                <w:szCs w:val="16"/>
              </w:rPr>
            </w:pPr>
            <w:r w:rsidRPr="00A84DEE">
              <w:rPr>
                <w:b/>
                <w:bCs/>
                <w:sz w:val="16"/>
                <w:szCs w:val="16"/>
              </w:rPr>
              <w:t>43</w:t>
            </w:r>
          </w:p>
        </w:tc>
      </w:tr>
    </w:tbl>
    <w:p w14:paraId="3E98A691" w14:textId="77777777" w:rsidR="00824897" w:rsidRDefault="00824897" w:rsidP="00824897">
      <w:pPr>
        <w:pStyle w:val="Source"/>
      </w:pPr>
      <w:r>
        <w:t>Source: Deloitte Access Economics, CCCFR Compliance and Operations Survey 2022-2023</w:t>
      </w:r>
    </w:p>
    <w:p w14:paraId="013AE31E" w14:textId="30EAB607" w:rsidR="00824897" w:rsidRPr="007836D5" w:rsidRDefault="00824897" w:rsidP="00824897">
      <w:pPr>
        <w:pStyle w:val="CaptionTable"/>
      </w:pPr>
      <w:bookmarkStart w:id="207" w:name="_Toc151723913"/>
      <w:bookmarkStart w:id="208" w:name="_Toc158997963"/>
      <w:bookmarkStart w:id="209" w:name="_Toc167130709"/>
      <w:r w:rsidRPr="007836D5">
        <w:t xml:space="preserve">: Services consulted with by proportion of Aboriginal and Torres Strait Islander children enrolled compared to </w:t>
      </w:r>
      <w:r w:rsidR="00745720">
        <w:t>self-reported</w:t>
      </w:r>
      <w:r w:rsidRPr="007836D5">
        <w:t xml:space="preserve"> capacity (expressed as a percentage) and consultation mode</w:t>
      </w:r>
      <w:bookmarkEnd w:id="207"/>
      <w:bookmarkEnd w:id="208"/>
      <w:bookmarkEnd w:id="209"/>
    </w:p>
    <w:tbl>
      <w:tblPr>
        <w:tblW w:w="9214" w:type="dxa"/>
        <w:tblBorders>
          <w:top w:val="single" w:sz="4" w:space="0" w:color="046A38" w:themeColor="accent2"/>
          <w:bottom w:val="single" w:sz="4" w:space="0" w:color="046A38" w:themeColor="accent2"/>
          <w:insideH w:val="single" w:sz="4" w:space="0" w:color="046A38" w:themeColor="accent2"/>
          <w:insideV w:val="single" w:sz="4" w:space="0" w:color="046A38" w:themeColor="accent2"/>
        </w:tblBorders>
        <w:tblLayout w:type="fixed"/>
        <w:tblCellMar>
          <w:top w:w="57" w:type="dxa"/>
          <w:left w:w="57" w:type="dxa"/>
          <w:bottom w:w="57" w:type="dxa"/>
          <w:right w:w="57" w:type="dxa"/>
        </w:tblCellMar>
        <w:tblLook w:val="04A0" w:firstRow="1" w:lastRow="0" w:firstColumn="1" w:lastColumn="0" w:noHBand="0" w:noVBand="1"/>
      </w:tblPr>
      <w:tblGrid>
        <w:gridCol w:w="5103"/>
        <w:gridCol w:w="1466"/>
        <w:gridCol w:w="1466"/>
        <w:gridCol w:w="1179"/>
      </w:tblGrid>
      <w:tr w:rsidR="00824897" w:rsidRPr="008C5ACC" w14:paraId="7BC8DFA0" w14:textId="77777777">
        <w:trPr>
          <w:trHeight w:val="262"/>
        </w:trPr>
        <w:tc>
          <w:tcPr>
            <w:tcW w:w="5103" w:type="dxa"/>
            <w:tcBorders>
              <w:bottom w:val="nil"/>
            </w:tcBorders>
            <w:shd w:val="clear" w:color="auto" w:fill="E7F5CF" w:themeFill="accent1" w:themeFillTint="33"/>
            <w:noWrap/>
            <w:tcMar>
              <w:top w:w="15" w:type="dxa"/>
              <w:left w:w="15" w:type="dxa"/>
              <w:bottom w:w="0" w:type="dxa"/>
              <w:right w:w="15" w:type="dxa"/>
            </w:tcMar>
            <w:vAlign w:val="bottom"/>
            <w:hideMark/>
          </w:tcPr>
          <w:p w14:paraId="4B27B297" w14:textId="77777777" w:rsidR="00824897" w:rsidRPr="00C60E63" w:rsidRDefault="00824897">
            <w:pPr>
              <w:spacing w:after="120"/>
              <w:rPr>
                <w:sz w:val="16"/>
                <w:szCs w:val="16"/>
              </w:rPr>
            </w:pPr>
          </w:p>
        </w:tc>
        <w:tc>
          <w:tcPr>
            <w:tcW w:w="2932" w:type="dxa"/>
            <w:gridSpan w:val="2"/>
            <w:shd w:val="clear" w:color="auto" w:fill="E7F5CF" w:themeFill="accent1" w:themeFillTint="33"/>
            <w:noWrap/>
            <w:tcMar>
              <w:top w:w="15" w:type="dxa"/>
              <w:left w:w="15" w:type="dxa"/>
              <w:bottom w:w="0" w:type="dxa"/>
              <w:right w:w="15" w:type="dxa"/>
            </w:tcMar>
            <w:vAlign w:val="center"/>
            <w:hideMark/>
          </w:tcPr>
          <w:p w14:paraId="4CFB29A4" w14:textId="77777777" w:rsidR="00824897" w:rsidRPr="00C60E63" w:rsidRDefault="00824897">
            <w:pPr>
              <w:spacing w:after="120"/>
              <w:jc w:val="center"/>
              <w:rPr>
                <w:b/>
                <w:bCs/>
                <w:i/>
                <w:iCs/>
                <w:sz w:val="16"/>
                <w:szCs w:val="16"/>
              </w:rPr>
            </w:pPr>
            <w:r w:rsidRPr="00C60E63">
              <w:rPr>
                <w:b/>
                <w:bCs/>
                <w:i/>
                <w:iCs/>
                <w:sz w:val="16"/>
                <w:szCs w:val="16"/>
              </w:rPr>
              <w:t>Consultation mode</w:t>
            </w:r>
          </w:p>
        </w:tc>
        <w:tc>
          <w:tcPr>
            <w:tcW w:w="1179" w:type="dxa"/>
            <w:tcBorders>
              <w:bottom w:val="nil"/>
            </w:tcBorders>
            <w:shd w:val="clear" w:color="auto" w:fill="E7F5CF" w:themeFill="accent1" w:themeFillTint="33"/>
            <w:noWrap/>
            <w:tcMar>
              <w:top w:w="15" w:type="dxa"/>
              <w:left w:w="15" w:type="dxa"/>
              <w:bottom w:w="0" w:type="dxa"/>
              <w:right w:w="15" w:type="dxa"/>
            </w:tcMar>
            <w:vAlign w:val="center"/>
            <w:hideMark/>
          </w:tcPr>
          <w:p w14:paraId="5A795543" w14:textId="77777777" w:rsidR="00824897" w:rsidRPr="00C60E63" w:rsidRDefault="00824897">
            <w:pPr>
              <w:spacing w:after="120"/>
              <w:jc w:val="center"/>
              <w:rPr>
                <w:b/>
                <w:bCs/>
                <w:i/>
                <w:iCs/>
                <w:sz w:val="16"/>
                <w:szCs w:val="16"/>
              </w:rPr>
            </w:pPr>
          </w:p>
        </w:tc>
      </w:tr>
      <w:tr w:rsidR="00824897" w:rsidRPr="00126CC8" w14:paraId="729ADAC4" w14:textId="77777777">
        <w:trPr>
          <w:trHeight w:val="262"/>
        </w:trPr>
        <w:tc>
          <w:tcPr>
            <w:tcW w:w="5103" w:type="dxa"/>
            <w:tcBorders>
              <w:top w:val="nil"/>
            </w:tcBorders>
            <w:shd w:val="clear" w:color="auto" w:fill="E7F5CF" w:themeFill="accent1" w:themeFillTint="33"/>
            <w:noWrap/>
            <w:tcMar>
              <w:top w:w="15" w:type="dxa"/>
              <w:left w:w="15" w:type="dxa"/>
              <w:bottom w:w="0" w:type="dxa"/>
              <w:right w:w="15" w:type="dxa"/>
            </w:tcMar>
            <w:vAlign w:val="bottom"/>
            <w:hideMark/>
          </w:tcPr>
          <w:p w14:paraId="6437F9BB" w14:textId="2013B2BE" w:rsidR="00824897" w:rsidRPr="00C60E63" w:rsidRDefault="00824897">
            <w:pPr>
              <w:spacing w:after="120"/>
              <w:rPr>
                <w:b/>
                <w:bCs/>
                <w:i/>
                <w:iCs/>
                <w:sz w:val="16"/>
                <w:szCs w:val="16"/>
              </w:rPr>
            </w:pPr>
            <w:r w:rsidRPr="00C60E63">
              <w:rPr>
                <w:b/>
                <w:bCs/>
                <w:i/>
                <w:iCs/>
                <w:sz w:val="16"/>
                <w:szCs w:val="16"/>
              </w:rPr>
              <w:t xml:space="preserve">Proportion of Aboriginal and Torres Strait Islander children enrolled compared to </w:t>
            </w:r>
            <w:r w:rsidR="00745720">
              <w:rPr>
                <w:b/>
                <w:bCs/>
                <w:i/>
                <w:iCs/>
                <w:sz w:val="16"/>
                <w:szCs w:val="16"/>
              </w:rPr>
              <w:t>self-reported</w:t>
            </w:r>
            <w:r w:rsidRPr="00C60E63">
              <w:rPr>
                <w:b/>
                <w:bCs/>
                <w:i/>
                <w:iCs/>
                <w:sz w:val="16"/>
                <w:szCs w:val="16"/>
              </w:rPr>
              <w:t xml:space="preserve"> capacity</w:t>
            </w:r>
          </w:p>
        </w:tc>
        <w:tc>
          <w:tcPr>
            <w:tcW w:w="1466" w:type="dxa"/>
            <w:shd w:val="clear" w:color="auto" w:fill="E7F5CF" w:themeFill="accent1" w:themeFillTint="33"/>
            <w:noWrap/>
            <w:tcMar>
              <w:top w:w="15" w:type="dxa"/>
              <w:left w:w="15" w:type="dxa"/>
              <w:bottom w:w="0" w:type="dxa"/>
              <w:right w:w="15" w:type="dxa"/>
            </w:tcMar>
            <w:vAlign w:val="center"/>
            <w:hideMark/>
          </w:tcPr>
          <w:p w14:paraId="52745778" w14:textId="77777777" w:rsidR="00824897" w:rsidRPr="00C60E63" w:rsidRDefault="00824897">
            <w:pPr>
              <w:spacing w:after="120"/>
              <w:jc w:val="center"/>
              <w:rPr>
                <w:b/>
                <w:bCs/>
                <w:sz w:val="16"/>
                <w:szCs w:val="16"/>
              </w:rPr>
            </w:pPr>
            <w:r w:rsidRPr="00C60E63">
              <w:rPr>
                <w:b/>
                <w:bCs/>
                <w:sz w:val="16"/>
                <w:szCs w:val="16"/>
              </w:rPr>
              <w:t>Face to Face</w:t>
            </w:r>
          </w:p>
        </w:tc>
        <w:tc>
          <w:tcPr>
            <w:tcW w:w="1466" w:type="dxa"/>
            <w:shd w:val="clear" w:color="auto" w:fill="E7F5CF" w:themeFill="accent1" w:themeFillTint="33"/>
            <w:noWrap/>
            <w:tcMar>
              <w:top w:w="15" w:type="dxa"/>
              <w:left w:w="15" w:type="dxa"/>
              <w:bottom w:w="0" w:type="dxa"/>
              <w:right w:w="15" w:type="dxa"/>
            </w:tcMar>
            <w:vAlign w:val="center"/>
            <w:hideMark/>
          </w:tcPr>
          <w:p w14:paraId="544C7CF2" w14:textId="77777777" w:rsidR="00824897" w:rsidRPr="00C60E63" w:rsidRDefault="00824897">
            <w:pPr>
              <w:spacing w:after="120"/>
              <w:jc w:val="center"/>
              <w:rPr>
                <w:b/>
                <w:bCs/>
                <w:sz w:val="16"/>
                <w:szCs w:val="16"/>
              </w:rPr>
            </w:pPr>
            <w:r w:rsidRPr="00C60E63">
              <w:rPr>
                <w:b/>
                <w:bCs/>
                <w:sz w:val="16"/>
                <w:szCs w:val="16"/>
              </w:rPr>
              <w:t>Online</w:t>
            </w:r>
          </w:p>
        </w:tc>
        <w:tc>
          <w:tcPr>
            <w:tcW w:w="1179" w:type="dxa"/>
            <w:tcBorders>
              <w:top w:val="nil"/>
            </w:tcBorders>
            <w:shd w:val="clear" w:color="auto" w:fill="E7F5CF" w:themeFill="accent1" w:themeFillTint="33"/>
            <w:noWrap/>
            <w:tcMar>
              <w:top w:w="15" w:type="dxa"/>
              <w:left w:w="15" w:type="dxa"/>
              <w:bottom w:w="0" w:type="dxa"/>
              <w:right w:w="15" w:type="dxa"/>
            </w:tcMar>
            <w:vAlign w:val="center"/>
            <w:hideMark/>
          </w:tcPr>
          <w:p w14:paraId="15622E67" w14:textId="77777777" w:rsidR="00824897" w:rsidRPr="00C60E63" w:rsidRDefault="00824897">
            <w:pPr>
              <w:spacing w:after="120"/>
              <w:rPr>
                <w:b/>
                <w:bCs/>
                <w:sz w:val="16"/>
                <w:szCs w:val="16"/>
              </w:rPr>
            </w:pPr>
            <w:r w:rsidRPr="00C60E63">
              <w:rPr>
                <w:b/>
                <w:bCs/>
                <w:sz w:val="16"/>
                <w:szCs w:val="16"/>
              </w:rPr>
              <w:t>Total</w:t>
            </w:r>
          </w:p>
        </w:tc>
      </w:tr>
      <w:tr w:rsidR="00824897" w:rsidRPr="008C5ACC" w14:paraId="53EDC5DF" w14:textId="77777777">
        <w:trPr>
          <w:trHeight w:val="262"/>
        </w:trPr>
        <w:tc>
          <w:tcPr>
            <w:tcW w:w="5103" w:type="dxa"/>
            <w:shd w:val="clear" w:color="auto" w:fill="auto"/>
            <w:noWrap/>
            <w:tcMar>
              <w:top w:w="15" w:type="dxa"/>
              <w:left w:w="15" w:type="dxa"/>
              <w:bottom w:w="0" w:type="dxa"/>
              <w:right w:w="15" w:type="dxa"/>
            </w:tcMar>
            <w:vAlign w:val="bottom"/>
            <w:hideMark/>
          </w:tcPr>
          <w:p w14:paraId="39C777A1" w14:textId="77777777" w:rsidR="00824897" w:rsidRPr="00C60E63" w:rsidRDefault="00824897">
            <w:pPr>
              <w:spacing w:after="120"/>
              <w:rPr>
                <w:b/>
                <w:bCs/>
                <w:sz w:val="16"/>
                <w:szCs w:val="16"/>
              </w:rPr>
            </w:pPr>
            <w:r w:rsidRPr="00C60E63">
              <w:rPr>
                <w:b/>
                <w:bCs/>
                <w:sz w:val="16"/>
                <w:szCs w:val="16"/>
              </w:rPr>
              <w:t>0%</w:t>
            </w:r>
          </w:p>
        </w:tc>
        <w:tc>
          <w:tcPr>
            <w:tcW w:w="1466" w:type="dxa"/>
            <w:shd w:val="clear" w:color="auto" w:fill="auto"/>
            <w:noWrap/>
            <w:tcMar>
              <w:top w:w="15" w:type="dxa"/>
              <w:left w:w="15" w:type="dxa"/>
              <w:bottom w:w="0" w:type="dxa"/>
              <w:right w:w="15" w:type="dxa"/>
            </w:tcMar>
            <w:vAlign w:val="center"/>
            <w:hideMark/>
          </w:tcPr>
          <w:p w14:paraId="34454104" w14:textId="77777777" w:rsidR="00824897" w:rsidRPr="00C60E63" w:rsidRDefault="00824897" w:rsidP="00BA0ACB">
            <w:pPr>
              <w:spacing w:after="0"/>
              <w:ind w:left="57" w:right="57"/>
              <w:jc w:val="right"/>
              <w:rPr>
                <w:sz w:val="16"/>
                <w:szCs w:val="16"/>
              </w:rPr>
            </w:pPr>
            <w:r w:rsidRPr="00C60E63">
              <w:rPr>
                <w:sz w:val="16"/>
                <w:szCs w:val="16"/>
              </w:rPr>
              <w:t>1</w:t>
            </w:r>
          </w:p>
        </w:tc>
        <w:tc>
          <w:tcPr>
            <w:tcW w:w="1466" w:type="dxa"/>
            <w:shd w:val="clear" w:color="auto" w:fill="auto"/>
            <w:noWrap/>
            <w:tcMar>
              <w:top w:w="15" w:type="dxa"/>
              <w:left w:w="15" w:type="dxa"/>
              <w:bottom w:w="0" w:type="dxa"/>
              <w:right w:w="15" w:type="dxa"/>
            </w:tcMar>
            <w:vAlign w:val="center"/>
            <w:hideMark/>
          </w:tcPr>
          <w:p w14:paraId="5FDC1503" w14:textId="77777777" w:rsidR="00824897" w:rsidRPr="00C60E63" w:rsidRDefault="00824897" w:rsidP="00BA0ACB">
            <w:pPr>
              <w:spacing w:after="0"/>
              <w:ind w:left="57" w:right="57"/>
              <w:jc w:val="right"/>
              <w:rPr>
                <w:sz w:val="16"/>
                <w:szCs w:val="16"/>
              </w:rPr>
            </w:pPr>
            <w:r w:rsidRPr="00C60E63">
              <w:rPr>
                <w:sz w:val="16"/>
                <w:szCs w:val="16"/>
              </w:rPr>
              <w:t>-</w:t>
            </w:r>
          </w:p>
        </w:tc>
        <w:tc>
          <w:tcPr>
            <w:tcW w:w="1179" w:type="dxa"/>
            <w:shd w:val="clear" w:color="auto" w:fill="auto"/>
            <w:noWrap/>
            <w:tcMar>
              <w:top w:w="15" w:type="dxa"/>
              <w:left w:w="15" w:type="dxa"/>
              <w:bottom w:w="0" w:type="dxa"/>
              <w:right w:w="15" w:type="dxa"/>
            </w:tcMar>
            <w:vAlign w:val="center"/>
            <w:hideMark/>
          </w:tcPr>
          <w:p w14:paraId="191EF6C6" w14:textId="77777777" w:rsidR="00824897" w:rsidRPr="00C60E63" w:rsidRDefault="00824897" w:rsidP="00BA0ACB">
            <w:pPr>
              <w:spacing w:after="0"/>
              <w:ind w:left="57" w:right="57"/>
              <w:jc w:val="right"/>
              <w:rPr>
                <w:sz w:val="16"/>
                <w:szCs w:val="16"/>
              </w:rPr>
            </w:pPr>
            <w:r w:rsidRPr="00C60E63">
              <w:rPr>
                <w:sz w:val="16"/>
                <w:szCs w:val="16"/>
              </w:rPr>
              <w:t>1</w:t>
            </w:r>
          </w:p>
        </w:tc>
      </w:tr>
      <w:tr w:rsidR="00824897" w:rsidRPr="008C5ACC" w14:paraId="416036B7" w14:textId="77777777">
        <w:trPr>
          <w:trHeight w:val="262"/>
        </w:trPr>
        <w:tc>
          <w:tcPr>
            <w:tcW w:w="5103" w:type="dxa"/>
            <w:shd w:val="clear" w:color="auto" w:fill="auto"/>
            <w:noWrap/>
            <w:tcMar>
              <w:top w:w="15" w:type="dxa"/>
              <w:left w:w="15" w:type="dxa"/>
              <w:bottom w:w="0" w:type="dxa"/>
              <w:right w:w="15" w:type="dxa"/>
            </w:tcMar>
            <w:vAlign w:val="bottom"/>
            <w:hideMark/>
          </w:tcPr>
          <w:p w14:paraId="63CCE1D6" w14:textId="77777777" w:rsidR="00824897" w:rsidRPr="00C60E63" w:rsidRDefault="00824897">
            <w:pPr>
              <w:spacing w:after="120"/>
              <w:rPr>
                <w:b/>
                <w:bCs/>
                <w:sz w:val="16"/>
                <w:szCs w:val="16"/>
              </w:rPr>
            </w:pPr>
            <w:r w:rsidRPr="00C60E63">
              <w:rPr>
                <w:b/>
                <w:bCs/>
                <w:sz w:val="16"/>
                <w:szCs w:val="16"/>
              </w:rPr>
              <w:t>&lt;25%</w:t>
            </w:r>
          </w:p>
        </w:tc>
        <w:tc>
          <w:tcPr>
            <w:tcW w:w="1466" w:type="dxa"/>
            <w:shd w:val="clear" w:color="auto" w:fill="auto"/>
            <w:noWrap/>
            <w:tcMar>
              <w:top w:w="15" w:type="dxa"/>
              <w:left w:w="15" w:type="dxa"/>
              <w:bottom w:w="0" w:type="dxa"/>
              <w:right w:w="15" w:type="dxa"/>
            </w:tcMar>
            <w:vAlign w:val="center"/>
            <w:hideMark/>
          </w:tcPr>
          <w:p w14:paraId="4600C92D" w14:textId="77777777" w:rsidR="00824897" w:rsidRPr="00C60E63" w:rsidRDefault="00824897" w:rsidP="00BA0ACB">
            <w:pPr>
              <w:spacing w:after="0"/>
              <w:ind w:left="57" w:right="57"/>
              <w:jc w:val="right"/>
              <w:rPr>
                <w:sz w:val="16"/>
                <w:szCs w:val="16"/>
              </w:rPr>
            </w:pPr>
            <w:r>
              <w:rPr>
                <w:sz w:val="16"/>
                <w:szCs w:val="16"/>
              </w:rPr>
              <w:t>6</w:t>
            </w:r>
          </w:p>
        </w:tc>
        <w:tc>
          <w:tcPr>
            <w:tcW w:w="1466" w:type="dxa"/>
            <w:shd w:val="clear" w:color="auto" w:fill="auto"/>
            <w:noWrap/>
            <w:tcMar>
              <w:top w:w="15" w:type="dxa"/>
              <w:left w:w="15" w:type="dxa"/>
              <w:bottom w:w="0" w:type="dxa"/>
              <w:right w:w="15" w:type="dxa"/>
            </w:tcMar>
            <w:vAlign w:val="center"/>
            <w:hideMark/>
          </w:tcPr>
          <w:p w14:paraId="2732958C" w14:textId="77777777" w:rsidR="00824897" w:rsidRPr="00C60E63" w:rsidRDefault="00824897" w:rsidP="00BA0ACB">
            <w:pPr>
              <w:spacing w:after="0"/>
              <w:ind w:left="57" w:right="57"/>
              <w:jc w:val="right"/>
              <w:rPr>
                <w:sz w:val="16"/>
                <w:szCs w:val="16"/>
              </w:rPr>
            </w:pPr>
            <w:r w:rsidRPr="00C60E63">
              <w:rPr>
                <w:sz w:val="16"/>
                <w:szCs w:val="16"/>
              </w:rPr>
              <w:t>5</w:t>
            </w:r>
          </w:p>
        </w:tc>
        <w:tc>
          <w:tcPr>
            <w:tcW w:w="1179" w:type="dxa"/>
            <w:shd w:val="clear" w:color="auto" w:fill="auto"/>
            <w:noWrap/>
            <w:tcMar>
              <w:top w:w="15" w:type="dxa"/>
              <w:left w:w="15" w:type="dxa"/>
              <w:bottom w:w="0" w:type="dxa"/>
              <w:right w:w="15" w:type="dxa"/>
            </w:tcMar>
            <w:vAlign w:val="center"/>
            <w:hideMark/>
          </w:tcPr>
          <w:p w14:paraId="5A9FD94D" w14:textId="77777777" w:rsidR="00824897" w:rsidRPr="00C60E63" w:rsidRDefault="00824897" w:rsidP="00BA0ACB">
            <w:pPr>
              <w:spacing w:after="0"/>
              <w:ind w:left="57" w:right="57"/>
              <w:jc w:val="right"/>
              <w:rPr>
                <w:sz w:val="16"/>
                <w:szCs w:val="16"/>
              </w:rPr>
            </w:pPr>
            <w:r>
              <w:rPr>
                <w:sz w:val="16"/>
                <w:szCs w:val="16"/>
              </w:rPr>
              <w:t>11</w:t>
            </w:r>
          </w:p>
        </w:tc>
      </w:tr>
      <w:tr w:rsidR="00824897" w:rsidRPr="008C5ACC" w14:paraId="0F59FC31" w14:textId="77777777">
        <w:trPr>
          <w:trHeight w:val="262"/>
        </w:trPr>
        <w:tc>
          <w:tcPr>
            <w:tcW w:w="5103" w:type="dxa"/>
            <w:shd w:val="clear" w:color="auto" w:fill="auto"/>
            <w:noWrap/>
            <w:tcMar>
              <w:top w:w="15" w:type="dxa"/>
              <w:left w:w="15" w:type="dxa"/>
              <w:bottom w:w="0" w:type="dxa"/>
              <w:right w:w="15" w:type="dxa"/>
            </w:tcMar>
            <w:vAlign w:val="bottom"/>
            <w:hideMark/>
          </w:tcPr>
          <w:p w14:paraId="231FD8DC" w14:textId="77777777" w:rsidR="00824897" w:rsidRPr="00C60E63" w:rsidRDefault="00824897">
            <w:pPr>
              <w:spacing w:after="120"/>
              <w:rPr>
                <w:b/>
                <w:bCs/>
                <w:sz w:val="16"/>
                <w:szCs w:val="16"/>
              </w:rPr>
            </w:pPr>
            <w:r w:rsidRPr="00C60E63">
              <w:rPr>
                <w:b/>
                <w:bCs/>
                <w:sz w:val="16"/>
                <w:szCs w:val="16"/>
              </w:rPr>
              <w:t>Between 25% and 49%</w:t>
            </w:r>
          </w:p>
        </w:tc>
        <w:tc>
          <w:tcPr>
            <w:tcW w:w="1466" w:type="dxa"/>
            <w:shd w:val="clear" w:color="auto" w:fill="auto"/>
            <w:noWrap/>
            <w:tcMar>
              <w:top w:w="15" w:type="dxa"/>
              <w:left w:w="15" w:type="dxa"/>
              <w:bottom w:w="0" w:type="dxa"/>
              <w:right w:w="15" w:type="dxa"/>
            </w:tcMar>
            <w:vAlign w:val="center"/>
            <w:hideMark/>
          </w:tcPr>
          <w:p w14:paraId="17CF2340" w14:textId="77777777" w:rsidR="00824897" w:rsidRPr="00C60E63" w:rsidRDefault="00824897" w:rsidP="00BA0ACB">
            <w:pPr>
              <w:spacing w:after="0"/>
              <w:ind w:left="57" w:right="57"/>
              <w:jc w:val="right"/>
              <w:rPr>
                <w:sz w:val="16"/>
                <w:szCs w:val="16"/>
              </w:rPr>
            </w:pPr>
            <w:r>
              <w:rPr>
                <w:sz w:val="16"/>
                <w:szCs w:val="16"/>
              </w:rPr>
              <w:t>4</w:t>
            </w:r>
          </w:p>
        </w:tc>
        <w:tc>
          <w:tcPr>
            <w:tcW w:w="1466" w:type="dxa"/>
            <w:shd w:val="clear" w:color="auto" w:fill="auto"/>
            <w:noWrap/>
            <w:tcMar>
              <w:top w:w="15" w:type="dxa"/>
              <w:left w:w="15" w:type="dxa"/>
              <w:bottom w:w="0" w:type="dxa"/>
              <w:right w:w="15" w:type="dxa"/>
            </w:tcMar>
            <w:vAlign w:val="center"/>
            <w:hideMark/>
          </w:tcPr>
          <w:p w14:paraId="008811FD" w14:textId="77777777" w:rsidR="00824897" w:rsidRPr="00C60E63" w:rsidRDefault="00824897" w:rsidP="00BA0ACB">
            <w:pPr>
              <w:spacing w:after="0"/>
              <w:ind w:left="57" w:right="57"/>
              <w:jc w:val="right"/>
              <w:rPr>
                <w:sz w:val="16"/>
                <w:szCs w:val="16"/>
              </w:rPr>
            </w:pPr>
            <w:r>
              <w:rPr>
                <w:sz w:val="16"/>
                <w:szCs w:val="16"/>
              </w:rPr>
              <w:t>1</w:t>
            </w:r>
          </w:p>
        </w:tc>
        <w:tc>
          <w:tcPr>
            <w:tcW w:w="1179" w:type="dxa"/>
            <w:shd w:val="clear" w:color="auto" w:fill="auto"/>
            <w:noWrap/>
            <w:tcMar>
              <w:top w:w="15" w:type="dxa"/>
              <w:left w:w="15" w:type="dxa"/>
              <w:bottom w:w="0" w:type="dxa"/>
              <w:right w:w="15" w:type="dxa"/>
            </w:tcMar>
            <w:vAlign w:val="center"/>
            <w:hideMark/>
          </w:tcPr>
          <w:p w14:paraId="7F26D22D" w14:textId="77777777" w:rsidR="00824897" w:rsidRPr="00C60E63" w:rsidRDefault="00824897" w:rsidP="00BA0ACB">
            <w:pPr>
              <w:spacing w:after="0"/>
              <w:ind w:left="57" w:right="57"/>
              <w:jc w:val="right"/>
              <w:rPr>
                <w:sz w:val="16"/>
                <w:szCs w:val="16"/>
              </w:rPr>
            </w:pPr>
            <w:r>
              <w:rPr>
                <w:sz w:val="16"/>
                <w:szCs w:val="16"/>
              </w:rPr>
              <w:t>5</w:t>
            </w:r>
          </w:p>
        </w:tc>
      </w:tr>
      <w:tr w:rsidR="00824897" w:rsidRPr="008C5ACC" w14:paraId="21AEBAAD" w14:textId="77777777">
        <w:trPr>
          <w:trHeight w:val="262"/>
        </w:trPr>
        <w:tc>
          <w:tcPr>
            <w:tcW w:w="5103" w:type="dxa"/>
            <w:shd w:val="clear" w:color="auto" w:fill="auto"/>
            <w:noWrap/>
            <w:tcMar>
              <w:top w:w="15" w:type="dxa"/>
              <w:left w:w="15" w:type="dxa"/>
              <w:bottom w:w="0" w:type="dxa"/>
              <w:right w:w="15" w:type="dxa"/>
            </w:tcMar>
            <w:vAlign w:val="bottom"/>
            <w:hideMark/>
          </w:tcPr>
          <w:p w14:paraId="0A2C9BC7" w14:textId="77777777" w:rsidR="00824897" w:rsidRPr="00C60E63" w:rsidRDefault="00824897">
            <w:pPr>
              <w:spacing w:after="120"/>
              <w:rPr>
                <w:b/>
                <w:bCs/>
                <w:sz w:val="16"/>
                <w:szCs w:val="16"/>
              </w:rPr>
            </w:pPr>
            <w:r w:rsidRPr="00C60E63">
              <w:rPr>
                <w:b/>
                <w:bCs/>
                <w:sz w:val="16"/>
                <w:szCs w:val="16"/>
              </w:rPr>
              <w:t>Between 50% and 99%</w:t>
            </w:r>
          </w:p>
        </w:tc>
        <w:tc>
          <w:tcPr>
            <w:tcW w:w="1466" w:type="dxa"/>
            <w:shd w:val="clear" w:color="auto" w:fill="auto"/>
            <w:noWrap/>
            <w:tcMar>
              <w:top w:w="15" w:type="dxa"/>
              <w:left w:w="15" w:type="dxa"/>
              <w:bottom w:w="0" w:type="dxa"/>
              <w:right w:w="15" w:type="dxa"/>
            </w:tcMar>
            <w:vAlign w:val="center"/>
            <w:hideMark/>
          </w:tcPr>
          <w:p w14:paraId="6C60C8B4" w14:textId="77777777" w:rsidR="00824897" w:rsidRPr="00C60E63" w:rsidRDefault="00824897" w:rsidP="00BA0ACB">
            <w:pPr>
              <w:spacing w:after="0"/>
              <w:ind w:left="57" w:right="57"/>
              <w:jc w:val="right"/>
              <w:rPr>
                <w:sz w:val="16"/>
                <w:szCs w:val="16"/>
              </w:rPr>
            </w:pPr>
            <w:r>
              <w:rPr>
                <w:sz w:val="16"/>
                <w:szCs w:val="16"/>
              </w:rPr>
              <w:t>12</w:t>
            </w:r>
          </w:p>
        </w:tc>
        <w:tc>
          <w:tcPr>
            <w:tcW w:w="1466" w:type="dxa"/>
            <w:shd w:val="clear" w:color="auto" w:fill="auto"/>
            <w:noWrap/>
            <w:tcMar>
              <w:top w:w="15" w:type="dxa"/>
              <w:left w:w="15" w:type="dxa"/>
              <w:bottom w:w="0" w:type="dxa"/>
              <w:right w:w="15" w:type="dxa"/>
            </w:tcMar>
            <w:vAlign w:val="center"/>
            <w:hideMark/>
          </w:tcPr>
          <w:p w14:paraId="5800900F" w14:textId="77777777" w:rsidR="00824897" w:rsidRPr="00C60E63" w:rsidRDefault="00824897" w:rsidP="00BA0ACB">
            <w:pPr>
              <w:spacing w:after="0"/>
              <w:ind w:left="57" w:right="57"/>
              <w:jc w:val="right"/>
              <w:rPr>
                <w:sz w:val="16"/>
                <w:szCs w:val="16"/>
              </w:rPr>
            </w:pPr>
            <w:r>
              <w:rPr>
                <w:sz w:val="16"/>
                <w:szCs w:val="16"/>
              </w:rPr>
              <w:t>6</w:t>
            </w:r>
          </w:p>
        </w:tc>
        <w:tc>
          <w:tcPr>
            <w:tcW w:w="1179" w:type="dxa"/>
            <w:shd w:val="clear" w:color="auto" w:fill="auto"/>
            <w:noWrap/>
            <w:tcMar>
              <w:top w:w="15" w:type="dxa"/>
              <w:left w:w="15" w:type="dxa"/>
              <w:bottom w:w="0" w:type="dxa"/>
              <w:right w:w="15" w:type="dxa"/>
            </w:tcMar>
            <w:vAlign w:val="center"/>
            <w:hideMark/>
          </w:tcPr>
          <w:p w14:paraId="28A3743B" w14:textId="77777777" w:rsidR="00824897" w:rsidRPr="00C60E63" w:rsidRDefault="00824897" w:rsidP="00BA0ACB">
            <w:pPr>
              <w:spacing w:after="0"/>
              <w:ind w:left="57" w:right="57"/>
              <w:jc w:val="right"/>
              <w:rPr>
                <w:sz w:val="16"/>
                <w:szCs w:val="16"/>
              </w:rPr>
            </w:pPr>
            <w:r>
              <w:rPr>
                <w:sz w:val="16"/>
                <w:szCs w:val="16"/>
              </w:rPr>
              <w:t>18</w:t>
            </w:r>
          </w:p>
        </w:tc>
      </w:tr>
      <w:tr w:rsidR="00824897" w:rsidRPr="008C5ACC" w14:paraId="469EE6E5" w14:textId="77777777">
        <w:trPr>
          <w:trHeight w:val="262"/>
        </w:trPr>
        <w:tc>
          <w:tcPr>
            <w:tcW w:w="5103" w:type="dxa"/>
            <w:shd w:val="clear" w:color="auto" w:fill="auto"/>
            <w:noWrap/>
            <w:tcMar>
              <w:top w:w="15" w:type="dxa"/>
              <w:left w:w="15" w:type="dxa"/>
              <w:bottom w:w="0" w:type="dxa"/>
              <w:right w:w="15" w:type="dxa"/>
            </w:tcMar>
            <w:vAlign w:val="bottom"/>
            <w:hideMark/>
          </w:tcPr>
          <w:p w14:paraId="473C3E03" w14:textId="77777777" w:rsidR="00824897" w:rsidRPr="00C60E63" w:rsidRDefault="00824897">
            <w:pPr>
              <w:spacing w:after="120"/>
              <w:rPr>
                <w:b/>
                <w:bCs/>
                <w:sz w:val="16"/>
                <w:szCs w:val="16"/>
              </w:rPr>
            </w:pPr>
            <w:r w:rsidRPr="00C60E63">
              <w:rPr>
                <w:b/>
                <w:bCs/>
                <w:sz w:val="16"/>
                <w:szCs w:val="16"/>
              </w:rPr>
              <w:t>&gt;100%</w:t>
            </w:r>
          </w:p>
        </w:tc>
        <w:tc>
          <w:tcPr>
            <w:tcW w:w="1466" w:type="dxa"/>
            <w:shd w:val="clear" w:color="auto" w:fill="auto"/>
            <w:noWrap/>
            <w:tcMar>
              <w:top w:w="15" w:type="dxa"/>
              <w:left w:w="15" w:type="dxa"/>
              <w:bottom w:w="0" w:type="dxa"/>
              <w:right w:w="15" w:type="dxa"/>
            </w:tcMar>
            <w:vAlign w:val="center"/>
            <w:hideMark/>
          </w:tcPr>
          <w:p w14:paraId="6D23D7A6" w14:textId="77777777" w:rsidR="00824897" w:rsidRPr="00C60E63" w:rsidRDefault="00824897" w:rsidP="00BA0ACB">
            <w:pPr>
              <w:spacing w:after="0"/>
              <w:ind w:left="57" w:right="57"/>
              <w:jc w:val="right"/>
              <w:rPr>
                <w:sz w:val="16"/>
                <w:szCs w:val="16"/>
              </w:rPr>
            </w:pPr>
            <w:r>
              <w:rPr>
                <w:sz w:val="16"/>
                <w:szCs w:val="16"/>
              </w:rPr>
              <w:t>4</w:t>
            </w:r>
          </w:p>
        </w:tc>
        <w:tc>
          <w:tcPr>
            <w:tcW w:w="1466" w:type="dxa"/>
            <w:shd w:val="clear" w:color="auto" w:fill="auto"/>
            <w:noWrap/>
            <w:tcMar>
              <w:top w:w="15" w:type="dxa"/>
              <w:left w:w="15" w:type="dxa"/>
              <w:bottom w:w="0" w:type="dxa"/>
              <w:right w:w="15" w:type="dxa"/>
            </w:tcMar>
            <w:vAlign w:val="center"/>
            <w:hideMark/>
          </w:tcPr>
          <w:p w14:paraId="1314DDFD" w14:textId="77777777" w:rsidR="00824897" w:rsidRPr="00C60E63" w:rsidRDefault="00824897" w:rsidP="00BA0ACB">
            <w:pPr>
              <w:spacing w:after="0"/>
              <w:ind w:left="57" w:right="57"/>
              <w:jc w:val="right"/>
              <w:rPr>
                <w:sz w:val="16"/>
                <w:szCs w:val="16"/>
              </w:rPr>
            </w:pPr>
            <w:r w:rsidRPr="00C60E63">
              <w:rPr>
                <w:sz w:val="16"/>
                <w:szCs w:val="16"/>
              </w:rPr>
              <w:t>1</w:t>
            </w:r>
          </w:p>
        </w:tc>
        <w:tc>
          <w:tcPr>
            <w:tcW w:w="1179" w:type="dxa"/>
            <w:shd w:val="clear" w:color="auto" w:fill="auto"/>
            <w:noWrap/>
            <w:tcMar>
              <w:top w:w="15" w:type="dxa"/>
              <w:left w:w="15" w:type="dxa"/>
              <w:bottom w:w="0" w:type="dxa"/>
              <w:right w:w="15" w:type="dxa"/>
            </w:tcMar>
            <w:vAlign w:val="center"/>
            <w:hideMark/>
          </w:tcPr>
          <w:p w14:paraId="2294EEEE" w14:textId="77777777" w:rsidR="00824897" w:rsidRPr="00C60E63" w:rsidRDefault="00824897" w:rsidP="00BA0ACB">
            <w:pPr>
              <w:spacing w:after="0"/>
              <w:ind w:left="57" w:right="57"/>
              <w:jc w:val="right"/>
              <w:rPr>
                <w:sz w:val="16"/>
                <w:szCs w:val="16"/>
              </w:rPr>
            </w:pPr>
            <w:r>
              <w:rPr>
                <w:sz w:val="16"/>
                <w:szCs w:val="16"/>
              </w:rPr>
              <w:t>5</w:t>
            </w:r>
          </w:p>
        </w:tc>
      </w:tr>
      <w:tr w:rsidR="00824897" w:rsidRPr="008C5ACC" w14:paraId="6C3A8985" w14:textId="77777777">
        <w:trPr>
          <w:trHeight w:val="262"/>
        </w:trPr>
        <w:tc>
          <w:tcPr>
            <w:tcW w:w="5103" w:type="dxa"/>
            <w:shd w:val="clear" w:color="auto" w:fill="auto"/>
            <w:noWrap/>
            <w:tcMar>
              <w:top w:w="15" w:type="dxa"/>
              <w:left w:w="15" w:type="dxa"/>
              <w:bottom w:w="0" w:type="dxa"/>
              <w:right w:w="15" w:type="dxa"/>
            </w:tcMar>
            <w:vAlign w:val="bottom"/>
            <w:hideMark/>
          </w:tcPr>
          <w:p w14:paraId="590CAF24" w14:textId="77777777" w:rsidR="00824897" w:rsidRPr="00C60E63" w:rsidRDefault="00824897">
            <w:pPr>
              <w:spacing w:after="120"/>
              <w:rPr>
                <w:b/>
                <w:bCs/>
                <w:color w:val="000000"/>
                <w:sz w:val="16"/>
                <w:szCs w:val="16"/>
              </w:rPr>
            </w:pPr>
            <w:r w:rsidRPr="00C60E63">
              <w:rPr>
                <w:b/>
                <w:bCs/>
                <w:sz w:val="16"/>
                <w:szCs w:val="16"/>
              </w:rPr>
              <w:t>U</w:t>
            </w:r>
            <w:r w:rsidRPr="00C60E63">
              <w:rPr>
                <w:b/>
                <w:bCs/>
                <w:color w:val="000000"/>
                <w:sz w:val="16"/>
                <w:szCs w:val="16"/>
              </w:rPr>
              <w:t>nknown</w:t>
            </w:r>
          </w:p>
        </w:tc>
        <w:tc>
          <w:tcPr>
            <w:tcW w:w="1466" w:type="dxa"/>
            <w:shd w:val="clear" w:color="auto" w:fill="auto"/>
            <w:noWrap/>
            <w:tcMar>
              <w:top w:w="15" w:type="dxa"/>
              <w:left w:w="15" w:type="dxa"/>
              <w:bottom w:w="0" w:type="dxa"/>
              <w:right w:w="15" w:type="dxa"/>
            </w:tcMar>
            <w:vAlign w:val="center"/>
            <w:hideMark/>
          </w:tcPr>
          <w:p w14:paraId="56A7CAA6" w14:textId="77777777" w:rsidR="00824897" w:rsidRPr="00BA0ACB" w:rsidRDefault="00824897" w:rsidP="00BA0ACB">
            <w:pPr>
              <w:spacing w:after="0"/>
              <w:ind w:left="57" w:right="57"/>
              <w:jc w:val="right"/>
              <w:rPr>
                <w:sz w:val="16"/>
                <w:szCs w:val="16"/>
              </w:rPr>
            </w:pPr>
            <w:r w:rsidRPr="00BA0ACB">
              <w:rPr>
                <w:sz w:val="16"/>
                <w:szCs w:val="16"/>
              </w:rPr>
              <w:t>2</w:t>
            </w:r>
          </w:p>
        </w:tc>
        <w:tc>
          <w:tcPr>
            <w:tcW w:w="1466" w:type="dxa"/>
            <w:shd w:val="clear" w:color="auto" w:fill="auto"/>
            <w:noWrap/>
            <w:tcMar>
              <w:top w:w="15" w:type="dxa"/>
              <w:left w:w="15" w:type="dxa"/>
              <w:bottom w:w="0" w:type="dxa"/>
              <w:right w:w="15" w:type="dxa"/>
            </w:tcMar>
            <w:vAlign w:val="center"/>
            <w:hideMark/>
          </w:tcPr>
          <w:p w14:paraId="7E162296" w14:textId="77777777" w:rsidR="00824897" w:rsidRPr="00BA0ACB" w:rsidRDefault="00824897" w:rsidP="00BA0ACB">
            <w:pPr>
              <w:spacing w:after="0"/>
              <w:ind w:left="57" w:right="57"/>
              <w:jc w:val="right"/>
              <w:rPr>
                <w:sz w:val="16"/>
                <w:szCs w:val="16"/>
              </w:rPr>
            </w:pPr>
            <w:r w:rsidRPr="00BA0ACB">
              <w:rPr>
                <w:sz w:val="16"/>
                <w:szCs w:val="16"/>
              </w:rPr>
              <w:t>1</w:t>
            </w:r>
          </w:p>
        </w:tc>
        <w:tc>
          <w:tcPr>
            <w:tcW w:w="1179" w:type="dxa"/>
            <w:shd w:val="clear" w:color="auto" w:fill="auto"/>
            <w:noWrap/>
            <w:tcMar>
              <w:top w:w="15" w:type="dxa"/>
              <w:left w:w="15" w:type="dxa"/>
              <w:bottom w:w="0" w:type="dxa"/>
              <w:right w:w="15" w:type="dxa"/>
            </w:tcMar>
            <w:vAlign w:val="center"/>
            <w:hideMark/>
          </w:tcPr>
          <w:p w14:paraId="3239BDFE" w14:textId="77777777" w:rsidR="00824897" w:rsidRPr="00BA0ACB" w:rsidRDefault="00824897" w:rsidP="00BA0ACB">
            <w:pPr>
              <w:spacing w:after="0"/>
              <w:ind w:left="57" w:right="57"/>
              <w:jc w:val="right"/>
              <w:rPr>
                <w:sz w:val="16"/>
                <w:szCs w:val="16"/>
              </w:rPr>
            </w:pPr>
            <w:r w:rsidRPr="00BA0ACB">
              <w:rPr>
                <w:sz w:val="16"/>
                <w:szCs w:val="16"/>
              </w:rPr>
              <w:t>3</w:t>
            </w:r>
          </w:p>
        </w:tc>
      </w:tr>
      <w:tr w:rsidR="00824897" w:rsidRPr="008C5ACC" w14:paraId="41CC9F3C" w14:textId="77777777">
        <w:trPr>
          <w:trHeight w:val="262"/>
        </w:trPr>
        <w:tc>
          <w:tcPr>
            <w:tcW w:w="5103" w:type="dxa"/>
            <w:shd w:val="clear" w:color="auto" w:fill="auto"/>
            <w:noWrap/>
            <w:tcMar>
              <w:top w:w="15" w:type="dxa"/>
              <w:left w:w="15" w:type="dxa"/>
              <w:bottom w:w="0" w:type="dxa"/>
              <w:right w:w="15" w:type="dxa"/>
            </w:tcMar>
            <w:vAlign w:val="bottom"/>
            <w:hideMark/>
          </w:tcPr>
          <w:p w14:paraId="1CBAA1C3" w14:textId="77777777" w:rsidR="00824897" w:rsidRPr="00C60E63" w:rsidRDefault="00824897">
            <w:pPr>
              <w:spacing w:after="120"/>
              <w:rPr>
                <w:b/>
                <w:bCs/>
                <w:color w:val="000000"/>
                <w:sz w:val="16"/>
                <w:szCs w:val="16"/>
              </w:rPr>
            </w:pPr>
            <w:r w:rsidRPr="00C60E63">
              <w:rPr>
                <w:b/>
                <w:bCs/>
                <w:color w:val="000000"/>
                <w:sz w:val="16"/>
                <w:szCs w:val="16"/>
              </w:rPr>
              <w:t>Total</w:t>
            </w:r>
          </w:p>
        </w:tc>
        <w:tc>
          <w:tcPr>
            <w:tcW w:w="1466" w:type="dxa"/>
            <w:shd w:val="clear" w:color="auto" w:fill="auto"/>
            <w:noWrap/>
            <w:tcMar>
              <w:top w:w="15" w:type="dxa"/>
              <w:left w:w="15" w:type="dxa"/>
              <w:bottom w:w="0" w:type="dxa"/>
              <w:right w:w="15" w:type="dxa"/>
            </w:tcMar>
            <w:vAlign w:val="center"/>
            <w:hideMark/>
          </w:tcPr>
          <w:p w14:paraId="3EDC85CA" w14:textId="77777777" w:rsidR="00824897" w:rsidRPr="00BA0ACB" w:rsidRDefault="00824897" w:rsidP="00BA0ACB">
            <w:pPr>
              <w:spacing w:after="0"/>
              <w:ind w:left="57" w:right="57"/>
              <w:jc w:val="right"/>
              <w:rPr>
                <w:b/>
                <w:bCs/>
                <w:sz w:val="16"/>
                <w:szCs w:val="16"/>
              </w:rPr>
            </w:pPr>
            <w:r w:rsidRPr="00BA0ACB">
              <w:rPr>
                <w:b/>
                <w:bCs/>
                <w:sz w:val="16"/>
                <w:szCs w:val="16"/>
              </w:rPr>
              <w:t>29</w:t>
            </w:r>
          </w:p>
        </w:tc>
        <w:tc>
          <w:tcPr>
            <w:tcW w:w="1466" w:type="dxa"/>
            <w:shd w:val="clear" w:color="auto" w:fill="auto"/>
            <w:noWrap/>
            <w:tcMar>
              <w:top w:w="15" w:type="dxa"/>
              <w:left w:w="15" w:type="dxa"/>
              <w:bottom w:w="0" w:type="dxa"/>
              <w:right w:w="15" w:type="dxa"/>
            </w:tcMar>
            <w:vAlign w:val="center"/>
            <w:hideMark/>
          </w:tcPr>
          <w:p w14:paraId="2D0568F5" w14:textId="77777777" w:rsidR="00824897" w:rsidRPr="00BA0ACB" w:rsidRDefault="00824897" w:rsidP="00BA0ACB">
            <w:pPr>
              <w:spacing w:after="0"/>
              <w:ind w:left="57" w:right="57"/>
              <w:jc w:val="right"/>
              <w:rPr>
                <w:b/>
                <w:bCs/>
                <w:sz w:val="16"/>
                <w:szCs w:val="16"/>
              </w:rPr>
            </w:pPr>
            <w:r w:rsidRPr="00BA0ACB">
              <w:rPr>
                <w:b/>
                <w:bCs/>
                <w:sz w:val="16"/>
                <w:szCs w:val="16"/>
              </w:rPr>
              <w:t>14</w:t>
            </w:r>
          </w:p>
        </w:tc>
        <w:tc>
          <w:tcPr>
            <w:tcW w:w="1179" w:type="dxa"/>
            <w:shd w:val="clear" w:color="auto" w:fill="auto"/>
            <w:noWrap/>
            <w:tcMar>
              <w:top w:w="15" w:type="dxa"/>
              <w:left w:w="15" w:type="dxa"/>
              <w:bottom w:w="0" w:type="dxa"/>
              <w:right w:w="15" w:type="dxa"/>
            </w:tcMar>
            <w:vAlign w:val="center"/>
            <w:hideMark/>
          </w:tcPr>
          <w:p w14:paraId="439838EC" w14:textId="77777777" w:rsidR="00824897" w:rsidRPr="00BA0ACB" w:rsidRDefault="00824897" w:rsidP="00BA0ACB">
            <w:pPr>
              <w:spacing w:after="0"/>
              <w:ind w:left="57" w:right="57"/>
              <w:jc w:val="right"/>
              <w:rPr>
                <w:b/>
                <w:bCs/>
                <w:sz w:val="16"/>
                <w:szCs w:val="16"/>
              </w:rPr>
            </w:pPr>
            <w:r w:rsidRPr="00BA0ACB">
              <w:rPr>
                <w:b/>
                <w:bCs/>
                <w:sz w:val="16"/>
                <w:szCs w:val="16"/>
              </w:rPr>
              <w:t>43</w:t>
            </w:r>
          </w:p>
        </w:tc>
      </w:tr>
    </w:tbl>
    <w:p w14:paraId="04C45DE3" w14:textId="69B1C54A" w:rsidR="00824897" w:rsidRDefault="00824897" w:rsidP="00CD6AFF">
      <w:pPr>
        <w:pStyle w:val="Source"/>
      </w:pPr>
      <w:r>
        <w:t>Source: Deloitte Access Economics, CCCFR Compliance and Operations Survey 2022-2023</w:t>
      </w:r>
    </w:p>
    <w:tbl>
      <w:tblPr>
        <w:tblStyle w:val="TableGrid"/>
        <w:tblW w:w="0" w:type="auto"/>
        <w:shd w:val="clear" w:color="auto" w:fill="E7F5CF" w:themeFill="accent1" w:themeFillTint="33"/>
        <w:tblCellMar>
          <w:top w:w="85" w:type="dxa"/>
          <w:left w:w="85" w:type="dxa"/>
          <w:bottom w:w="85" w:type="dxa"/>
          <w:right w:w="85" w:type="dxa"/>
        </w:tblCellMar>
        <w:tblLook w:val="04A0" w:firstRow="1" w:lastRow="0" w:firstColumn="1" w:lastColumn="0" w:noHBand="0" w:noVBand="1"/>
      </w:tblPr>
      <w:tblGrid>
        <w:gridCol w:w="9026"/>
      </w:tblGrid>
      <w:tr w:rsidR="00824897" w14:paraId="03C7B3A0"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C527E64" w14:textId="52A35467" w:rsidR="00824897" w:rsidRPr="005341A0" w:rsidRDefault="00052CAF">
            <w:pPr>
              <w:spacing w:before="120" w:after="120"/>
            </w:pPr>
            <w:r>
              <w:lastRenderedPageBreak/>
              <w:t>During the review</w:t>
            </w:r>
            <w:r w:rsidR="00824897">
              <w:t xml:space="preserve">, consultations </w:t>
            </w:r>
            <w:r>
              <w:t>were</w:t>
            </w:r>
            <w:r w:rsidR="00824897">
              <w:t xml:space="preserve"> undertaken with 4</w:t>
            </w:r>
            <w:r w:rsidR="00733071">
              <w:t>3</w:t>
            </w:r>
            <w:r w:rsidR="00824897">
              <w:t xml:space="preserve"> CCCFR services and with </w:t>
            </w:r>
            <w:r w:rsidR="00881417">
              <w:t>60</w:t>
            </w:r>
            <w:r w:rsidR="00824897">
              <w:t xml:space="preserve"> families and communities in 2</w:t>
            </w:r>
            <w:r w:rsidR="005C48F3">
              <w:t>2</w:t>
            </w:r>
            <w:r w:rsidR="00824897">
              <w:t xml:space="preserve"> services. </w:t>
            </w:r>
          </w:p>
        </w:tc>
      </w:tr>
    </w:tbl>
    <w:p w14:paraId="1F42A6D1" w14:textId="77777777" w:rsidR="00824897" w:rsidRDefault="00824897" w:rsidP="00824897">
      <w:pPr>
        <w:pStyle w:val="Heading3"/>
        <w:spacing w:before="240"/>
      </w:pPr>
      <w:bookmarkStart w:id="210" w:name="_Ref147417294"/>
      <w:bookmarkStart w:id="211" w:name="_Toc151723853"/>
      <w:r>
        <w:t>Online survey of CCCFR services</w:t>
      </w:r>
      <w:bookmarkEnd w:id="210"/>
      <w:bookmarkEnd w:id="211"/>
    </w:p>
    <w:p w14:paraId="5B066169" w14:textId="77777777" w:rsidR="00824897" w:rsidRDefault="00824897" w:rsidP="00824897">
      <w:r w:rsidRPr="001107BB">
        <w:t xml:space="preserve">All CCCFR services not selected </w:t>
      </w:r>
      <w:r>
        <w:t>in</w:t>
      </w:r>
      <w:r w:rsidRPr="001107BB">
        <w:t xml:space="preserve"> the representative sample (site based or virtual consultation) </w:t>
      </w:r>
      <w:r>
        <w:t>received</w:t>
      </w:r>
      <w:r w:rsidRPr="001107BB">
        <w:t xml:space="preserve"> a link to an online survey via the Qualtrics platform</w:t>
      </w:r>
      <w:r>
        <w:t>. This enabled all CCCFR services to have the opportunity to contribute to the review.</w:t>
      </w:r>
    </w:p>
    <w:p w14:paraId="1ED3EFE9" w14:textId="55F472F9" w:rsidR="00824897" w:rsidRPr="004631EC" w:rsidRDefault="00824897" w:rsidP="00824897">
      <w:r>
        <w:t xml:space="preserve">The intention of the online survey </w:t>
      </w:r>
      <w:r w:rsidR="007A3952">
        <w:t>was</w:t>
      </w:r>
      <w:r>
        <w:t xml:space="preserve"> to </w:t>
      </w:r>
      <w:r w:rsidRPr="00B50295">
        <w:t>supplement information available from existing sources</w:t>
      </w:r>
      <w:r>
        <w:t xml:space="preserve"> such as </w:t>
      </w:r>
      <w:r w:rsidR="009079D7">
        <w:t>Compliance</w:t>
      </w:r>
      <w:r>
        <w:t xml:space="preserve"> and </w:t>
      </w:r>
      <w:r w:rsidR="009079D7">
        <w:t>Operations Report</w:t>
      </w:r>
      <w:r>
        <w:t>s, financial acquittal data, and other primary data collection methods such as consultations</w:t>
      </w:r>
      <w:r w:rsidRPr="00B50295">
        <w:t>.</w:t>
      </w:r>
      <w:r w:rsidR="002E497C">
        <w:t xml:space="preserve"> </w:t>
      </w:r>
    </w:p>
    <w:p w14:paraId="43A76D4D" w14:textId="727834F9" w:rsidR="00824897" w:rsidRDefault="00824897" w:rsidP="00824897">
      <w:r>
        <w:t xml:space="preserve">The survey is structured in two parts, with the first containing ‘core’ review questions, and the second focusing on cost drivers and financial information. Services were notified that they could exit the survey after completing the first part, given the second part requires input of more detailed financial information. Overall, the survey topics were designed to be similar to the consultation topics, following the review framework and lines of inquiry. Survey questions are provided at </w:t>
      </w:r>
      <w:r w:rsidR="0010358D" w:rsidRPr="00AD63C3">
        <w:fldChar w:fldCharType="begin"/>
      </w:r>
      <w:r w:rsidR="0010358D" w:rsidRPr="00AD63C3">
        <w:instrText xml:space="preserve"> REF _Ref152875322 \r \h </w:instrText>
      </w:r>
      <w:r w:rsidR="00771F2F" w:rsidRPr="00AD63C3">
        <w:instrText xml:space="preserve"> \* MERGEFORMAT </w:instrText>
      </w:r>
      <w:r w:rsidR="0010358D" w:rsidRPr="00AD63C3">
        <w:fldChar w:fldCharType="separate"/>
      </w:r>
      <w:r w:rsidR="00D300D0">
        <w:t>Appendix F</w:t>
      </w:r>
      <w:r w:rsidR="0010358D" w:rsidRPr="00AD63C3">
        <w:fldChar w:fldCharType="end"/>
      </w:r>
      <w:r w:rsidRPr="00AD63C3">
        <w:t>.</w:t>
      </w:r>
    </w:p>
    <w:p w14:paraId="0918EA88" w14:textId="42CAB3F2" w:rsidR="00824897" w:rsidRDefault="00824897" w:rsidP="00824897">
      <w:r>
        <w:t xml:space="preserve">The </w:t>
      </w:r>
      <w:r w:rsidR="001E5E6B">
        <w:t>structure</w:t>
      </w:r>
      <w:r>
        <w:t xml:space="preserve"> and wording of the survey was reviewed and refined by SNAICC, Murawin and the Department. Survey piloting was undertaken with a CCCFR service, to ensure the questions were appropriately framed and that the time required to complete the survey was not overly onerous.</w:t>
      </w:r>
    </w:p>
    <w:p w14:paraId="1BEA28CB" w14:textId="2F93AE62" w:rsidR="00824897" w:rsidRDefault="00824897" w:rsidP="00824897">
      <w:r>
        <w:t xml:space="preserve">The survey was developed using the software platform Qualtrics, which in addition to having high levels of functionality, is known to CCCFR grant recipients, who use it to complete annual Compliance and Operations </w:t>
      </w:r>
      <w:r w:rsidR="009079D7">
        <w:t>Report</w:t>
      </w:r>
      <w:r>
        <w:t xml:space="preserve">s. The survey included embedded data from services, to allow services to validate and confirm data held by the Department or collated by Deloitte Access Economics. It also used branch logic to ask more relevant questions of services about their regulation and regulatory experience. </w:t>
      </w:r>
    </w:p>
    <w:p w14:paraId="012BAEDE" w14:textId="77777777" w:rsidR="00824897" w:rsidRDefault="00824897" w:rsidP="00824897">
      <w:r w:rsidRPr="002857BD">
        <w:t xml:space="preserve">Response and open rates </w:t>
      </w:r>
      <w:r>
        <w:t>were</w:t>
      </w:r>
      <w:r w:rsidRPr="002857BD">
        <w:t xml:space="preserve"> tracked, with reminder emails </w:t>
      </w:r>
      <w:r>
        <w:t xml:space="preserve">sent </w:t>
      </w:r>
      <w:r w:rsidRPr="002857BD">
        <w:t>and phone calls</w:t>
      </w:r>
      <w:r>
        <w:t xml:space="preserve"> made</w:t>
      </w:r>
      <w:r w:rsidRPr="002857BD">
        <w:t xml:space="preserve"> to follow up and enable services to ask any questions about the survey. </w:t>
      </w:r>
    </w:p>
    <w:p w14:paraId="03E03A31" w14:textId="77777777" w:rsidR="00824897" w:rsidRPr="00D35F8A" w:rsidRDefault="00824897" w:rsidP="00824897">
      <w:r w:rsidRPr="00D35F8A">
        <w:t>The online survey was distributed to 92 services on 6 September 2023.</w:t>
      </w:r>
    </w:p>
    <w:p w14:paraId="4C251E7A" w14:textId="3A8E9657" w:rsidR="00824897" w:rsidRDefault="00824897" w:rsidP="00824897">
      <w:r w:rsidRPr="006C349C">
        <w:t>Of the 92</w:t>
      </w:r>
      <w:r w:rsidRPr="006C349C">
        <w:rPr>
          <w:color w:val="FF0000"/>
        </w:rPr>
        <w:t xml:space="preserve"> </w:t>
      </w:r>
      <w:r w:rsidRPr="006C349C">
        <w:t>surveys distributed, there were 37 full respondents in total by the survey closure on</w:t>
      </w:r>
      <w:r w:rsidRPr="006C349C">
        <w:rPr>
          <w:vertAlign w:val="superscript"/>
        </w:rPr>
        <w:t xml:space="preserve"> </w:t>
      </w:r>
      <w:r w:rsidR="00DF4FA7" w:rsidRPr="00CD38C6">
        <w:t>2</w:t>
      </w:r>
      <w:r w:rsidRPr="006C349C">
        <w:t xml:space="preserve"> </w:t>
      </w:r>
      <w:r w:rsidR="00DF4FA7" w:rsidRPr="00CD38C6">
        <w:t>November</w:t>
      </w:r>
      <w:r w:rsidRPr="006C349C">
        <w:t xml:space="preserve"> 2023. A further 22 responses were started but not completed from </w:t>
      </w:r>
      <w:r w:rsidR="003077AA" w:rsidRPr="00CD38C6">
        <w:t>20</w:t>
      </w:r>
      <w:r w:rsidRPr="006C349C">
        <w:t xml:space="preserve"> service providers (t</w:t>
      </w:r>
      <w:r w:rsidR="003077AA" w:rsidRPr="00CD38C6">
        <w:t>wo</w:t>
      </w:r>
      <w:r w:rsidRPr="006C349C">
        <w:t xml:space="preserve"> started their survey twice). Services were informed that if they did not complete the full survey, any partial responses would be used for data analysis</w:t>
      </w:r>
      <w:r>
        <w:t xml:space="preserve">. </w:t>
      </w:r>
      <w:r w:rsidR="006C349C" w:rsidRPr="00CD38C6">
        <w:t>T</w:t>
      </w:r>
      <w:r w:rsidRPr="006C349C">
        <w:t xml:space="preserve">he survey observations in this report </w:t>
      </w:r>
      <w:r w:rsidR="006C349C" w:rsidRPr="00CD38C6">
        <w:t>d</w:t>
      </w:r>
      <w:r w:rsidRPr="006C349C">
        <w:t xml:space="preserve">raw on </w:t>
      </w:r>
      <w:r w:rsidR="006C349C" w:rsidRPr="00CD38C6">
        <w:t>all</w:t>
      </w:r>
      <w:r w:rsidRPr="006C349C">
        <w:t xml:space="preserve"> survey responses.</w:t>
      </w:r>
    </w:p>
    <w:p w14:paraId="470F07E4" w14:textId="5CEA21F8" w:rsidR="00824897" w:rsidRDefault="00824897" w:rsidP="00824897">
      <w:r>
        <w:t xml:space="preserve">A profile of the 37 full survey respondents is outlined in </w:t>
      </w:r>
      <w:r w:rsidRPr="00AD63C3">
        <w:fldChar w:fldCharType="begin"/>
      </w:r>
      <w:r w:rsidRPr="00AD63C3">
        <w:instrText xml:space="preserve"> REF _Ref147761061 \r \h </w:instrText>
      </w:r>
      <w:r w:rsidR="003F4BFF" w:rsidRPr="00AD63C3">
        <w:instrText xml:space="preserve"> \* MERGEFORMAT </w:instrText>
      </w:r>
      <w:r w:rsidRPr="00AD63C3">
        <w:fldChar w:fldCharType="separate"/>
      </w:r>
      <w:r w:rsidR="00D300D0">
        <w:t>Table 4.4</w:t>
      </w:r>
      <w:r w:rsidRPr="00AD63C3">
        <w:fldChar w:fldCharType="end"/>
      </w:r>
      <w:r w:rsidRPr="00AD63C3">
        <w:t>.</w:t>
      </w:r>
      <w:r>
        <w:t xml:space="preserve"> </w:t>
      </w:r>
      <w:r w:rsidRPr="00296262">
        <w:t>The distribution of survey respondents is broadly in line with service distribution across the states</w:t>
      </w:r>
      <w:r>
        <w:t>/territories</w:t>
      </w:r>
      <w:r w:rsidRPr="00296262">
        <w:t xml:space="preserve">. The only differential is the low survey response rate from Queensland, being the state with the second largest number of CCCFR services. </w:t>
      </w:r>
    </w:p>
    <w:p w14:paraId="26AEA10D" w14:textId="77777777" w:rsidR="00824897" w:rsidRPr="00AD63C3" w:rsidRDefault="00824897" w:rsidP="00824897">
      <w:pPr>
        <w:pStyle w:val="CaptionTable"/>
      </w:pPr>
      <w:bookmarkStart w:id="212" w:name="_Ref147761061"/>
      <w:bookmarkStart w:id="213" w:name="_Toc151723914"/>
      <w:bookmarkStart w:id="214" w:name="_Toc158997964"/>
      <w:bookmarkStart w:id="215" w:name="_Toc167130710"/>
      <w:r w:rsidRPr="00AD63C3">
        <w:t>: Representativeness of survey respondent sample</w:t>
      </w:r>
      <w:bookmarkEnd w:id="212"/>
      <w:bookmarkEnd w:id="213"/>
      <w:bookmarkEnd w:id="214"/>
      <w:bookmarkEnd w:id="215"/>
    </w:p>
    <w:tbl>
      <w:tblPr>
        <w:tblW w:w="9374" w:type="dxa"/>
        <w:tblBorders>
          <w:top w:val="single" w:sz="4" w:space="0" w:color="046A38" w:themeColor="accent2"/>
          <w:bottom w:val="single" w:sz="4" w:space="0" w:color="046A38" w:themeColor="accent2"/>
          <w:insideH w:val="single" w:sz="4" w:space="0" w:color="046A38" w:themeColor="accent2"/>
          <w:insideV w:val="single" w:sz="4" w:space="0" w:color="046A38" w:themeColor="accent2"/>
        </w:tblBorders>
        <w:tblLayout w:type="fixed"/>
        <w:tblCellMar>
          <w:top w:w="57" w:type="dxa"/>
          <w:left w:w="57" w:type="dxa"/>
          <w:bottom w:w="57" w:type="dxa"/>
          <w:right w:w="57" w:type="dxa"/>
        </w:tblCellMar>
        <w:tblLook w:val="04A0" w:firstRow="1" w:lastRow="0" w:firstColumn="1" w:lastColumn="0" w:noHBand="0" w:noVBand="1"/>
      </w:tblPr>
      <w:tblGrid>
        <w:gridCol w:w="2284"/>
        <w:gridCol w:w="1772"/>
        <w:gridCol w:w="1773"/>
        <w:gridCol w:w="1772"/>
        <w:gridCol w:w="1773"/>
      </w:tblGrid>
      <w:tr w:rsidR="00824897" w:rsidRPr="001C71EA" w14:paraId="454893E9" w14:textId="77777777">
        <w:trPr>
          <w:trHeight w:val="218"/>
        </w:trPr>
        <w:tc>
          <w:tcPr>
            <w:tcW w:w="2284" w:type="dxa"/>
            <w:vMerge w:val="restart"/>
            <w:shd w:val="clear" w:color="auto" w:fill="E7F5CF" w:themeFill="accent1" w:themeFillTint="33"/>
            <w:noWrap/>
            <w:vAlign w:val="center"/>
            <w:hideMark/>
          </w:tcPr>
          <w:p w14:paraId="146546CB" w14:textId="77777777" w:rsidR="00824897" w:rsidRPr="001C71EA" w:rsidRDefault="00824897">
            <w:pPr>
              <w:spacing w:after="0"/>
              <w:jc w:val="center"/>
              <w:rPr>
                <w:b/>
                <w:bCs/>
                <w:sz w:val="16"/>
                <w:szCs w:val="16"/>
              </w:rPr>
            </w:pPr>
            <w:r w:rsidRPr="001C71EA">
              <w:rPr>
                <w:b/>
                <w:bCs/>
                <w:sz w:val="16"/>
                <w:szCs w:val="16"/>
              </w:rPr>
              <w:t>Characteristic</w:t>
            </w:r>
          </w:p>
        </w:tc>
        <w:tc>
          <w:tcPr>
            <w:tcW w:w="3545" w:type="dxa"/>
            <w:gridSpan w:val="2"/>
            <w:shd w:val="clear" w:color="auto" w:fill="E7F5CF" w:themeFill="accent1" w:themeFillTint="33"/>
            <w:noWrap/>
            <w:hideMark/>
          </w:tcPr>
          <w:p w14:paraId="0C598FC6" w14:textId="770733FD" w:rsidR="00824897" w:rsidRPr="001C71EA" w:rsidRDefault="00824897">
            <w:pPr>
              <w:spacing w:after="0"/>
              <w:jc w:val="center"/>
              <w:rPr>
                <w:b/>
                <w:bCs/>
                <w:sz w:val="16"/>
                <w:szCs w:val="16"/>
              </w:rPr>
            </w:pPr>
            <w:r w:rsidRPr="001C71EA">
              <w:rPr>
                <w:b/>
                <w:bCs/>
                <w:sz w:val="16"/>
                <w:szCs w:val="16"/>
              </w:rPr>
              <w:t>Survey respondent sample</w:t>
            </w:r>
          </w:p>
        </w:tc>
        <w:tc>
          <w:tcPr>
            <w:tcW w:w="3545" w:type="dxa"/>
            <w:gridSpan w:val="2"/>
            <w:shd w:val="clear" w:color="auto" w:fill="E7F5CF" w:themeFill="accent1" w:themeFillTint="33"/>
            <w:noWrap/>
            <w:hideMark/>
          </w:tcPr>
          <w:p w14:paraId="62ED50FB" w14:textId="77777777" w:rsidR="00824897" w:rsidRPr="001C71EA" w:rsidRDefault="00824897">
            <w:pPr>
              <w:spacing w:after="0"/>
              <w:jc w:val="center"/>
              <w:rPr>
                <w:b/>
                <w:bCs/>
                <w:sz w:val="16"/>
                <w:szCs w:val="16"/>
              </w:rPr>
            </w:pPr>
            <w:r w:rsidRPr="001C71EA">
              <w:rPr>
                <w:b/>
                <w:bCs/>
                <w:sz w:val="16"/>
                <w:szCs w:val="16"/>
              </w:rPr>
              <w:t>Full population of CCCFR services</w:t>
            </w:r>
          </w:p>
        </w:tc>
      </w:tr>
      <w:tr w:rsidR="00824897" w:rsidRPr="001C71EA" w14:paraId="521649AC" w14:textId="77777777">
        <w:trPr>
          <w:trHeight w:val="720"/>
        </w:trPr>
        <w:tc>
          <w:tcPr>
            <w:tcW w:w="2284" w:type="dxa"/>
            <w:vMerge/>
            <w:shd w:val="clear" w:color="auto" w:fill="E7F5CF" w:themeFill="accent1" w:themeFillTint="33"/>
            <w:noWrap/>
            <w:vAlign w:val="bottom"/>
            <w:hideMark/>
          </w:tcPr>
          <w:p w14:paraId="0C5F2C9C" w14:textId="77777777" w:rsidR="00824897" w:rsidRPr="001C71EA" w:rsidRDefault="00824897">
            <w:pPr>
              <w:spacing w:after="0"/>
              <w:rPr>
                <w:b/>
                <w:bCs/>
                <w:sz w:val="16"/>
                <w:szCs w:val="16"/>
              </w:rPr>
            </w:pPr>
          </w:p>
        </w:tc>
        <w:tc>
          <w:tcPr>
            <w:tcW w:w="1772" w:type="dxa"/>
            <w:shd w:val="clear" w:color="auto" w:fill="auto"/>
            <w:noWrap/>
            <w:vAlign w:val="center"/>
            <w:hideMark/>
          </w:tcPr>
          <w:p w14:paraId="234C7198" w14:textId="1691EB93" w:rsidR="00824897" w:rsidRPr="001C71EA" w:rsidRDefault="00824897">
            <w:pPr>
              <w:spacing w:after="0"/>
              <w:jc w:val="center"/>
              <w:rPr>
                <w:sz w:val="16"/>
                <w:szCs w:val="16"/>
              </w:rPr>
            </w:pPr>
            <w:r w:rsidRPr="001C71EA">
              <w:rPr>
                <w:sz w:val="16"/>
                <w:szCs w:val="16"/>
              </w:rPr>
              <w:t>No. of services</w:t>
            </w:r>
          </w:p>
        </w:tc>
        <w:tc>
          <w:tcPr>
            <w:tcW w:w="1773" w:type="dxa"/>
            <w:shd w:val="clear" w:color="auto" w:fill="auto"/>
            <w:noWrap/>
            <w:vAlign w:val="center"/>
            <w:hideMark/>
          </w:tcPr>
          <w:p w14:paraId="46AEA810" w14:textId="77777777" w:rsidR="00824897" w:rsidRPr="001C71EA" w:rsidRDefault="00824897">
            <w:pPr>
              <w:spacing w:after="0"/>
              <w:jc w:val="center"/>
              <w:rPr>
                <w:sz w:val="16"/>
                <w:szCs w:val="16"/>
              </w:rPr>
            </w:pPr>
            <w:r w:rsidRPr="001C71EA">
              <w:rPr>
                <w:i/>
                <w:iCs/>
                <w:sz w:val="16"/>
                <w:szCs w:val="16"/>
              </w:rPr>
              <w:t>% of sample</w:t>
            </w:r>
          </w:p>
        </w:tc>
        <w:tc>
          <w:tcPr>
            <w:tcW w:w="1772" w:type="dxa"/>
            <w:shd w:val="clear" w:color="auto" w:fill="auto"/>
            <w:noWrap/>
            <w:vAlign w:val="center"/>
            <w:hideMark/>
          </w:tcPr>
          <w:p w14:paraId="35725178" w14:textId="77777777" w:rsidR="00824897" w:rsidRPr="001C71EA" w:rsidRDefault="00824897">
            <w:pPr>
              <w:spacing w:after="0"/>
              <w:jc w:val="center"/>
              <w:rPr>
                <w:sz w:val="16"/>
                <w:szCs w:val="16"/>
              </w:rPr>
            </w:pPr>
            <w:r w:rsidRPr="001C71EA">
              <w:rPr>
                <w:sz w:val="16"/>
                <w:szCs w:val="16"/>
              </w:rPr>
              <w:t>No. of services</w:t>
            </w:r>
          </w:p>
        </w:tc>
        <w:tc>
          <w:tcPr>
            <w:tcW w:w="1773" w:type="dxa"/>
            <w:shd w:val="clear" w:color="auto" w:fill="auto"/>
            <w:noWrap/>
            <w:vAlign w:val="center"/>
            <w:hideMark/>
          </w:tcPr>
          <w:p w14:paraId="7DAC3265" w14:textId="77777777" w:rsidR="00824897" w:rsidRPr="001C71EA" w:rsidRDefault="00824897">
            <w:pPr>
              <w:spacing w:after="0"/>
              <w:jc w:val="center"/>
              <w:rPr>
                <w:sz w:val="16"/>
                <w:szCs w:val="16"/>
              </w:rPr>
            </w:pPr>
            <w:r w:rsidRPr="001C71EA">
              <w:rPr>
                <w:i/>
                <w:iCs/>
                <w:sz w:val="16"/>
                <w:szCs w:val="16"/>
              </w:rPr>
              <w:t>% of full population</w:t>
            </w:r>
          </w:p>
        </w:tc>
      </w:tr>
      <w:tr w:rsidR="00824897" w:rsidRPr="00416522" w14:paraId="10F753F8" w14:textId="77777777">
        <w:trPr>
          <w:trHeight w:val="218"/>
        </w:trPr>
        <w:tc>
          <w:tcPr>
            <w:tcW w:w="2284" w:type="dxa"/>
            <w:shd w:val="clear" w:color="auto" w:fill="auto"/>
            <w:noWrap/>
            <w:vAlign w:val="bottom"/>
            <w:hideMark/>
          </w:tcPr>
          <w:p w14:paraId="3C15246D" w14:textId="77777777" w:rsidR="00824897" w:rsidRPr="001C71EA" w:rsidRDefault="00824897">
            <w:pPr>
              <w:spacing w:after="0"/>
              <w:rPr>
                <w:b/>
                <w:bCs/>
                <w:sz w:val="16"/>
                <w:szCs w:val="16"/>
              </w:rPr>
            </w:pPr>
            <w:r w:rsidRPr="001C71EA">
              <w:rPr>
                <w:b/>
                <w:bCs/>
                <w:sz w:val="16"/>
                <w:szCs w:val="16"/>
              </w:rPr>
              <w:t>Identification as an Aboriginal or Torres Strait Islander service</w:t>
            </w:r>
          </w:p>
        </w:tc>
        <w:tc>
          <w:tcPr>
            <w:tcW w:w="1772" w:type="dxa"/>
            <w:shd w:val="clear" w:color="auto" w:fill="auto"/>
            <w:noWrap/>
            <w:hideMark/>
          </w:tcPr>
          <w:p w14:paraId="12233461" w14:textId="5693189D" w:rsidR="00824897" w:rsidRPr="001C71EA" w:rsidRDefault="00824897">
            <w:pPr>
              <w:spacing w:after="0"/>
              <w:jc w:val="right"/>
              <w:rPr>
                <w:sz w:val="16"/>
                <w:szCs w:val="16"/>
              </w:rPr>
            </w:pPr>
            <w:r w:rsidRPr="00416522">
              <w:rPr>
                <w:sz w:val="16"/>
                <w:szCs w:val="16"/>
              </w:rPr>
              <w:t>10</w:t>
            </w:r>
          </w:p>
        </w:tc>
        <w:tc>
          <w:tcPr>
            <w:tcW w:w="1773" w:type="dxa"/>
            <w:shd w:val="clear" w:color="auto" w:fill="auto"/>
            <w:noWrap/>
            <w:hideMark/>
          </w:tcPr>
          <w:p w14:paraId="6B9D2B5A" w14:textId="575F809B" w:rsidR="00824897" w:rsidRPr="001C71EA" w:rsidRDefault="00824897">
            <w:pPr>
              <w:spacing w:after="0"/>
              <w:jc w:val="right"/>
              <w:rPr>
                <w:sz w:val="16"/>
                <w:szCs w:val="16"/>
              </w:rPr>
            </w:pPr>
            <w:r w:rsidRPr="00416522">
              <w:rPr>
                <w:sz w:val="16"/>
                <w:szCs w:val="16"/>
              </w:rPr>
              <w:t>27%</w:t>
            </w:r>
          </w:p>
        </w:tc>
        <w:tc>
          <w:tcPr>
            <w:tcW w:w="1772" w:type="dxa"/>
            <w:shd w:val="clear" w:color="auto" w:fill="auto"/>
            <w:noWrap/>
            <w:hideMark/>
          </w:tcPr>
          <w:p w14:paraId="07950BCB" w14:textId="60E1F06A" w:rsidR="00824897" w:rsidRPr="001C71EA" w:rsidRDefault="00847472">
            <w:pPr>
              <w:spacing w:after="0"/>
              <w:jc w:val="right"/>
              <w:rPr>
                <w:sz w:val="16"/>
                <w:szCs w:val="16"/>
              </w:rPr>
            </w:pPr>
            <w:r w:rsidRPr="00416522">
              <w:rPr>
                <w:sz w:val="16"/>
                <w:szCs w:val="16"/>
              </w:rPr>
              <w:t>7</w:t>
            </w:r>
            <w:r w:rsidR="00D35186">
              <w:rPr>
                <w:sz w:val="16"/>
                <w:szCs w:val="16"/>
              </w:rPr>
              <w:t>0</w:t>
            </w:r>
          </w:p>
        </w:tc>
        <w:tc>
          <w:tcPr>
            <w:tcW w:w="1773" w:type="dxa"/>
            <w:shd w:val="clear" w:color="auto" w:fill="auto"/>
            <w:noWrap/>
            <w:hideMark/>
          </w:tcPr>
          <w:p w14:paraId="7BF21407" w14:textId="341E3F67" w:rsidR="00824897" w:rsidRPr="001C71EA" w:rsidRDefault="00847472">
            <w:pPr>
              <w:spacing w:after="0"/>
              <w:jc w:val="right"/>
              <w:rPr>
                <w:sz w:val="16"/>
                <w:szCs w:val="16"/>
              </w:rPr>
            </w:pPr>
            <w:r w:rsidRPr="00416522">
              <w:rPr>
                <w:sz w:val="16"/>
                <w:szCs w:val="16"/>
              </w:rPr>
              <w:t>48</w:t>
            </w:r>
            <w:r w:rsidR="00824897" w:rsidRPr="00416522">
              <w:rPr>
                <w:sz w:val="16"/>
                <w:szCs w:val="16"/>
              </w:rPr>
              <w:t>%</w:t>
            </w:r>
          </w:p>
        </w:tc>
      </w:tr>
      <w:tr w:rsidR="00824897" w:rsidRPr="00416522" w14:paraId="3DFA7EE1" w14:textId="77777777">
        <w:trPr>
          <w:trHeight w:val="218"/>
        </w:trPr>
        <w:tc>
          <w:tcPr>
            <w:tcW w:w="9374" w:type="dxa"/>
            <w:gridSpan w:val="5"/>
            <w:shd w:val="clear" w:color="auto" w:fill="auto"/>
            <w:noWrap/>
            <w:vAlign w:val="center"/>
            <w:hideMark/>
          </w:tcPr>
          <w:p w14:paraId="7B5D1BA5" w14:textId="77777777" w:rsidR="00824897" w:rsidRPr="001C71EA" w:rsidRDefault="00824897">
            <w:pPr>
              <w:spacing w:after="0"/>
              <w:rPr>
                <w:sz w:val="16"/>
                <w:szCs w:val="16"/>
              </w:rPr>
            </w:pPr>
            <w:r w:rsidRPr="001C71EA">
              <w:rPr>
                <w:b/>
                <w:bCs/>
                <w:sz w:val="16"/>
                <w:szCs w:val="16"/>
              </w:rPr>
              <w:t>State/Territory</w:t>
            </w:r>
          </w:p>
        </w:tc>
      </w:tr>
      <w:tr w:rsidR="00824897" w:rsidRPr="00416522" w14:paraId="25E99767" w14:textId="77777777">
        <w:trPr>
          <w:trHeight w:val="218"/>
        </w:trPr>
        <w:tc>
          <w:tcPr>
            <w:tcW w:w="2284" w:type="dxa"/>
            <w:shd w:val="clear" w:color="auto" w:fill="auto"/>
            <w:noWrap/>
            <w:tcMar>
              <w:top w:w="0" w:type="dxa"/>
              <w:left w:w="180" w:type="dxa"/>
              <w:bottom w:w="0" w:type="dxa"/>
              <w:right w:w="0" w:type="dxa"/>
            </w:tcMar>
            <w:vAlign w:val="bottom"/>
            <w:hideMark/>
          </w:tcPr>
          <w:p w14:paraId="4DE253FB" w14:textId="77777777" w:rsidR="00824897" w:rsidRPr="001C71EA" w:rsidRDefault="00824897">
            <w:pPr>
              <w:spacing w:after="0"/>
              <w:rPr>
                <w:i/>
                <w:iCs/>
                <w:sz w:val="16"/>
                <w:szCs w:val="16"/>
              </w:rPr>
            </w:pPr>
            <w:r w:rsidRPr="001C71EA">
              <w:rPr>
                <w:i/>
                <w:iCs/>
                <w:sz w:val="16"/>
                <w:szCs w:val="16"/>
              </w:rPr>
              <w:lastRenderedPageBreak/>
              <w:t>Australian Capital Territory</w:t>
            </w:r>
          </w:p>
        </w:tc>
        <w:tc>
          <w:tcPr>
            <w:tcW w:w="1772" w:type="dxa"/>
            <w:shd w:val="clear" w:color="auto" w:fill="auto"/>
            <w:noWrap/>
            <w:hideMark/>
          </w:tcPr>
          <w:p w14:paraId="7EBCA0A4" w14:textId="68F14C16" w:rsidR="00824897" w:rsidRPr="001C71EA" w:rsidRDefault="00824897">
            <w:pPr>
              <w:spacing w:after="0"/>
              <w:jc w:val="right"/>
              <w:rPr>
                <w:sz w:val="16"/>
                <w:szCs w:val="16"/>
              </w:rPr>
            </w:pPr>
            <w:r w:rsidRPr="00416522">
              <w:rPr>
                <w:sz w:val="16"/>
                <w:szCs w:val="16"/>
              </w:rPr>
              <w:t>0</w:t>
            </w:r>
          </w:p>
        </w:tc>
        <w:tc>
          <w:tcPr>
            <w:tcW w:w="1773" w:type="dxa"/>
            <w:shd w:val="clear" w:color="auto" w:fill="auto"/>
            <w:noWrap/>
            <w:hideMark/>
          </w:tcPr>
          <w:p w14:paraId="256BB954" w14:textId="1638219C" w:rsidR="00824897" w:rsidRPr="001C71EA" w:rsidRDefault="00824897">
            <w:pPr>
              <w:spacing w:after="0"/>
              <w:jc w:val="right"/>
              <w:rPr>
                <w:sz w:val="16"/>
                <w:szCs w:val="16"/>
              </w:rPr>
            </w:pPr>
            <w:r w:rsidRPr="00416522">
              <w:rPr>
                <w:sz w:val="16"/>
                <w:szCs w:val="16"/>
              </w:rPr>
              <w:t>0%</w:t>
            </w:r>
          </w:p>
        </w:tc>
        <w:tc>
          <w:tcPr>
            <w:tcW w:w="1772" w:type="dxa"/>
            <w:shd w:val="clear" w:color="auto" w:fill="auto"/>
            <w:noWrap/>
            <w:hideMark/>
          </w:tcPr>
          <w:p w14:paraId="30B187D6" w14:textId="5785A315" w:rsidR="00824897" w:rsidRPr="001C71EA" w:rsidRDefault="00824897">
            <w:pPr>
              <w:spacing w:after="0"/>
              <w:jc w:val="right"/>
              <w:rPr>
                <w:sz w:val="16"/>
                <w:szCs w:val="16"/>
              </w:rPr>
            </w:pPr>
            <w:r w:rsidRPr="00416522">
              <w:rPr>
                <w:sz w:val="16"/>
                <w:szCs w:val="16"/>
              </w:rPr>
              <w:t>1</w:t>
            </w:r>
          </w:p>
        </w:tc>
        <w:tc>
          <w:tcPr>
            <w:tcW w:w="1773" w:type="dxa"/>
            <w:shd w:val="clear" w:color="auto" w:fill="auto"/>
            <w:noWrap/>
            <w:hideMark/>
          </w:tcPr>
          <w:p w14:paraId="25B4D8B0" w14:textId="4FAD4F84" w:rsidR="00824897" w:rsidRPr="001C71EA" w:rsidRDefault="00824897">
            <w:pPr>
              <w:spacing w:after="0"/>
              <w:jc w:val="right"/>
              <w:rPr>
                <w:sz w:val="16"/>
                <w:szCs w:val="16"/>
              </w:rPr>
            </w:pPr>
            <w:r w:rsidRPr="00416522">
              <w:rPr>
                <w:sz w:val="16"/>
                <w:szCs w:val="16"/>
              </w:rPr>
              <w:t>1%</w:t>
            </w:r>
          </w:p>
        </w:tc>
      </w:tr>
      <w:tr w:rsidR="00824897" w:rsidRPr="00416522" w14:paraId="73F4BE2E" w14:textId="77777777">
        <w:trPr>
          <w:trHeight w:val="218"/>
        </w:trPr>
        <w:tc>
          <w:tcPr>
            <w:tcW w:w="2284" w:type="dxa"/>
            <w:shd w:val="clear" w:color="auto" w:fill="auto"/>
            <w:noWrap/>
            <w:tcMar>
              <w:top w:w="0" w:type="dxa"/>
              <w:left w:w="180" w:type="dxa"/>
              <w:bottom w:w="0" w:type="dxa"/>
              <w:right w:w="0" w:type="dxa"/>
            </w:tcMar>
            <w:vAlign w:val="bottom"/>
            <w:hideMark/>
          </w:tcPr>
          <w:p w14:paraId="0D621E7E" w14:textId="77777777" w:rsidR="00824897" w:rsidRPr="001C71EA" w:rsidRDefault="00824897">
            <w:pPr>
              <w:spacing w:after="0"/>
              <w:rPr>
                <w:i/>
                <w:iCs/>
                <w:sz w:val="16"/>
                <w:szCs w:val="16"/>
              </w:rPr>
            </w:pPr>
            <w:r w:rsidRPr="001C71EA">
              <w:rPr>
                <w:i/>
                <w:iCs/>
                <w:sz w:val="16"/>
                <w:szCs w:val="16"/>
              </w:rPr>
              <w:t>New South Wales</w:t>
            </w:r>
          </w:p>
        </w:tc>
        <w:tc>
          <w:tcPr>
            <w:tcW w:w="1772" w:type="dxa"/>
            <w:shd w:val="clear" w:color="auto" w:fill="auto"/>
            <w:noWrap/>
            <w:hideMark/>
          </w:tcPr>
          <w:p w14:paraId="0838739C" w14:textId="425475C7" w:rsidR="00824897" w:rsidRPr="001C71EA" w:rsidRDefault="00824897">
            <w:pPr>
              <w:spacing w:after="0"/>
              <w:jc w:val="right"/>
              <w:rPr>
                <w:sz w:val="16"/>
                <w:szCs w:val="16"/>
              </w:rPr>
            </w:pPr>
            <w:r w:rsidRPr="00416522">
              <w:rPr>
                <w:sz w:val="16"/>
                <w:szCs w:val="16"/>
              </w:rPr>
              <w:t>9</w:t>
            </w:r>
          </w:p>
        </w:tc>
        <w:tc>
          <w:tcPr>
            <w:tcW w:w="1773" w:type="dxa"/>
            <w:shd w:val="clear" w:color="auto" w:fill="auto"/>
            <w:noWrap/>
            <w:hideMark/>
          </w:tcPr>
          <w:p w14:paraId="78B7E51C" w14:textId="0AA2ADD1" w:rsidR="00824897" w:rsidRPr="001C71EA" w:rsidRDefault="00824897">
            <w:pPr>
              <w:spacing w:after="0"/>
              <w:jc w:val="right"/>
              <w:rPr>
                <w:sz w:val="16"/>
                <w:szCs w:val="16"/>
              </w:rPr>
            </w:pPr>
            <w:r w:rsidRPr="00416522">
              <w:rPr>
                <w:sz w:val="16"/>
                <w:szCs w:val="16"/>
              </w:rPr>
              <w:t>24%</w:t>
            </w:r>
          </w:p>
        </w:tc>
        <w:tc>
          <w:tcPr>
            <w:tcW w:w="1772" w:type="dxa"/>
            <w:shd w:val="clear" w:color="auto" w:fill="auto"/>
            <w:noWrap/>
            <w:hideMark/>
          </w:tcPr>
          <w:p w14:paraId="41DD6147" w14:textId="0B6D0E85" w:rsidR="00824897" w:rsidRPr="001C71EA" w:rsidRDefault="00824897">
            <w:pPr>
              <w:spacing w:after="0"/>
              <w:jc w:val="right"/>
              <w:rPr>
                <w:sz w:val="16"/>
                <w:szCs w:val="16"/>
              </w:rPr>
            </w:pPr>
            <w:r w:rsidRPr="00416522">
              <w:rPr>
                <w:sz w:val="16"/>
                <w:szCs w:val="16"/>
              </w:rPr>
              <w:t>23</w:t>
            </w:r>
          </w:p>
        </w:tc>
        <w:tc>
          <w:tcPr>
            <w:tcW w:w="1773" w:type="dxa"/>
            <w:shd w:val="clear" w:color="auto" w:fill="auto"/>
            <w:noWrap/>
            <w:hideMark/>
          </w:tcPr>
          <w:p w14:paraId="64E9AF3E" w14:textId="3F349223" w:rsidR="00824897" w:rsidRPr="001C71EA" w:rsidRDefault="00824897">
            <w:pPr>
              <w:spacing w:after="0"/>
              <w:jc w:val="right"/>
              <w:rPr>
                <w:sz w:val="16"/>
                <w:szCs w:val="16"/>
              </w:rPr>
            </w:pPr>
            <w:r w:rsidRPr="00416522">
              <w:rPr>
                <w:sz w:val="16"/>
                <w:szCs w:val="16"/>
              </w:rPr>
              <w:t>15%</w:t>
            </w:r>
          </w:p>
        </w:tc>
      </w:tr>
      <w:tr w:rsidR="00824897" w:rsidRPr="00416522" w14:paraId="7A09859F" w14:textId="77777777">
        <w:trPr>
          <w:trHeight w:val="218"/>
        </w:trPr>
        <w:tc>
          <w:tcPr>
            <w:tcW w:w="2284" w:type="dxa"/>
            <w:shd w:val="clear" w:color="auto" w:fill="auto"/>
            <w:noWrap/>
            <w:tcMar>
              <w:top w:w="0" w:type="dxa"/>
              <w:left w:w="180" w:type="dxa"/>
              <w:bottom w:w="0" w:type="dxa"/>
              <w:right w:w="0" w:type="dxa"/>
            </w:tcMar>
            <w:vAlign w:val="bottom"/>
            <w:hideMark/>
          </w:tcPr>
          <w:p w14:paraId="0F30D0B1" w14:textId="77777777" w:rsidR="00824897" w:rsidRPr="001C71EA" w:rsidRDefault="00824897">
            <w:pPr>
              <w:spacing w:after="0"/>
              <w:rPr>
                <w:i/>
                <w:iCs/>
                <w:sz w:val="16"/>
                <w:szCs w:val="16"/>
              </w:rPr>
            </w:pPr>
            <w:r w:rsidRPr="001C71EA">
              <w:rPr>
                <w:i/>
                <w:iCs/>
                <w:sz w:val="16"/>
                <w:szCs w:val="16"/>
              </w:rPr>
              <w:t>Northern Territory</w:t>
            </w:r>
          </w:p>
        </w:tc>
        <w:tc>
          <w:tcPr>
            <w:tcW w:w="1772" w:type="dxa"/>
            <w:shd w:val="clear" w:color="auto" w:fill="auto"/>
            <w:noWrap/>
            <w:hideMark/>
          </w:tcPr>
          <w:p w14:paraId="5EC2D204" w14:textId="7F74E652" w:rsidR="00824897" w:rsidRPr="001C71EA" w:rsidRDefault="00824897">
            <w:pPr>
              <w:spacing w:after="0"/>
              <w:jc w:val="right"/>
              <w:rPr>
                <w:sz w:val="16"/>
                <w:szCs w:val="16"/>
              </w:rPr>
            </w:pPr>
            <w:r w:rsidRPr="00416522">
              <w:rPr>
                <w:sz w:val="16"/>
                <w:szCs w:val="16"/>
              </w:rPr>
              <w:t>16</w:t>
            </w:r>
          </w:p>
        </w:tc>
        <w:tc>
          <w:tcPr>
            <w:tcW w:w="1773" w:type="dxa"/>
            <w:shd w:val="clear" w:color="auto" w:fill="auto"/>
            <w:noWrap/>
            <w:hideMark/>
          </w:tcPr>
          <w:p w14:paraId="72FFDABC" w14:textId="30392CBA" w:rsidR="00824897" w:rsidRPr="001C71EA" w:rsidRDefault="00824897">
            <w:pPr>
              <w:spacing w:after="0"/>
              <w:jc w:val="right"/>
              <w:rPr>
                <w:sz w:val="16"/>
                <w:szCs w:val="16"/>
              </w:rPr>
            </w:pPr>
            <w:r w:rsidRPr="00416522">
              <w:rPr>
                <w:sz w:val="16"/>
                <w:szCs w:val="16"/>
              </w:rPr>
              <w:t>43%</w:t>
            </w:r>
          </w:p>
        </w:tc>
        <w:tc>
          <w:tcPr>
            <w:tcW w:w="1772" w:type="dxa"/>
            <w:shd w:val="clear" w:color="auto" w:fill="auto"/>
            <w:noWrap/>
            <w:hideMark/>
          </w:tcPr>
          <w:p w14:paraId="5C776517" w14:textId="68A3C700" w:rsidR="00824897" w:rsidRPr="001C71EA" w:rsidRDefault="00824897">
            <w:pPr>
              <w:spacing w:after="0"/>
              <w:jc w:val="right"/>
              <w:rPr>
                <w:sz w:val="16"/>
                <w:szCs w:val="16"/>
              </w:rPr>
            </w:pPr>
            <w:r w:rsidRPr="00416522">
              <w:rPr>
                <w:sz w:val="16"/>
                <w:szCs w:val="16"/>
              </w:rPr>
              <w:t>46</w:t>
            </w:r>
          </w:p>
        </w:tc>
        <w:tc>
          <w:tcPr>
            <w:tcW w:w="1773" w:type="dxa"/>
            <w:shd w:val="clear" w:color="auto" w:fill="auto"/>
            <w:noWrap/>
            <w:hideMark/>
          </w:tcPr>
          <w:p w14:paraId="6B6E1ADD" w14:textId="630038BB" w:rsidR="00824897" w:rsidRPr="001C71EA" w:rsidRDefault="00824897">
            <w:pPr>
              <w:spacing w:after="0"/>
              <w:jc w:val="right"/>
              <w:rPr>
                <w:sz w:val="16"/>
                <w:szCs w:val="16"/>
              </w:rPr>
            </w:pPr>
            <w:r w:rsidRPr="00416522">
              <w:rPr>
                <w:sz w:val="16"/>
                <w:szCs w:val="16"/>
              </w:rPr>
              <w:t>31%</w:t>
            </w:r>
          </w:p>
        </w:tc>
      </w:tr>
      <w:tr w:rsidR="00824897" w:rsidRPr="00416522" w14:paraId="46520F05" w14:textId="77777777">
        <w:trPr>
          <w:trHeight w:val="218"/>
        </w:trPr>
        <w:tc>
          <w:tcPr>
            <w:tcW w:w="2284" w:type="dxa"/>
            <w:shd w:val="clear" w:color="auto" w:fill="auto"/>
            <w:noWrap/>
            <w:tcMar>
              <w:top w:w="0" w:type="dxa"/>
              <w:left w:w="180" w:type="dxa"/>
              <w:bottom w:w="0" w:type="dxa"/>
              <w:right w:w="0" w:type="dxa"/>
            </w:tcMar>
            <w:vAlign w:val="bottom"/>
            <w:hideMark/>
          </w:tcPr>
          <w:p w14:paraId="5A580FFC" w14:textId="77777777" w:rsidR="00824897" w:rsidRPr="001C71EA" w:rsidRDefault="00824897">
            <w:pPr>
              <w:spacing w:after="0"/>
              <w:rPr>
                <w:i/>
                <w:iCs/>
                <w:sz w:val="16"/>
                <w:szCs w:val="16"/>
              </w:rPr>
            </w:pPr>
            <w:r w:rsidRPr="001C71EA">
              <w:rPr>
                <w:i/>
                <w:iCs/>
                <w:sz w:val="16"/>
                <w:szCs w:val="16"/>
              </w:rPr>
              <w:t>Queensland</w:t>
            </w:r>
          </w:p>
        </w:tc>
        <w:tc>
          <w:tcPr>
            <w:tcW w:w="1772" w:type="dxa"/>
            <w:shd w:val="clear" w:color="auto" w:fill="auto"/>
            <w:noWrap/>
            <w:hideMark/>
          </w:tcPr>
          <w:p w14:paraId="7F6A0DAF" w14:textId="3B3C0394" w:rsidR="00824897" w:rsidRPr="001C71EA" w:rsidRDefault="00824897">
            <w:pPr>
              <w:spacing w:after="0"/>
              <w:jc w:val="right"/>
              <w:rPr>
                <w:sz w:val="16"/>
                <w:szCs w:val="16"/>
              </w:rPr>
            </w:pPr>
            <w:r w:rsidRPr="00416522">
              <w:rPr>
                <w:sz w:val="16"/>
                <w:szCs w:val="16"/>
              </w:rPr>
              <w:t>3</w:t>
            </w:r>
          </w:p>
        </w:tc>
        <w:tc>
          <w:tcPr>
            <w:tcW w:w="1773" w:type="dxa"/>
            <w:shd w:val="clear" w:color="auto" w:fill="auto"/>
            <w:noWrap/>
            <w:hideMark/>
          </w:tcPr>
          <w:p w14:paraId="229BFC4B" w14:textId="36EC759A" w:rsidR="00824897" w:rsidRPr="001C71EA" w:rsidRDefault="00824897">
            <w:pPr>
              <w:spacing w:after="0"/>
              <w:jc w:val="right"/>
              <w:rPr>
                <w:sz w:val="16"/>
                <w:szCs w:val="16"/>
              </w:rPr>
            </w:pPr>
            <w:r w:rsidRPr="00416522">
              <w:rPr>
                <w:sz w:val="16"/>
                <w:szCs w:val="16"/>
              </w:rPr>
              <w:t>8%</w:t>
            </w:r>
          </w:p>
        </w:tc>
        <w:tc>
          <w:tcPr>
            <w:tcW w:w="1772" w:type="dxa"/>
            <w:shd w:val="clear" w:color="auto" w:fill="auto"/>
            <w:noWrap/>
            <w:hideMark/>
          </w:tcPr>
          <w:p w14:paraId="552A9DB0" w14:textId="496926F3" w:rsidR="00824897" w:rsidRPr="001C71EA" w:rsidRDefault="00824897">
            <w:pPr>
              <w:spacing w:after="0"/>
              <w:jc w:val="right"/>
              <w:rPr>
                <w:sz w:val="16"/>
                <w:szCs w:val="16"/>
              </w:rPr>
            </w:pPr>
            <w:r w:rsidRPr="00416522">
              <w:rPr>
                <w:sz w:val="16"/>
                <w:szCs w:val="16"/>
              </w:rPr>
              <w:t>28</w:t>
            </w:r>
          </w:p>
        </w:tc>
        <w:tc>
          <w:tcPr>
            <w:tcW w:w="1773" w:type="dxa"/>
            <w:shd w:val="clear" w:color="auto" w:fill="auto"/>
            <w:noWrap/>
            <w:hideMark/>
          </w:tcPr>
          <w:p w14:paraId="5EF05DF9" w14:textId="6BD6CD1E" w:rsidR="00824897" w:rsidRPr="001C71EA" w:rsidRDefault="00824897">
            <w:pPr>
              <w:spacing w:after="0"/>
              <w:jc w:val="right"/>
              <w:rPr>
                <w:sz w:val="16"/>
                <w:szCs w:val="16"/>
              </w:rPr>
            </w:pPr>
            <w:r w:rsidRPr="00416522">
              <w:rPr>
                <w:sz w:val="16"/>
                <w:szCs w:val="16"/>
              </w:rPr>
              <w:t>19%</w:t>
            </w:r>
          </w:p>
        </w:tc>
      </w:tr>
      <w:tr w:rsidR="00824897" w:rsidRPr="00416522" w14:paraId="56881799" w14:textId="77777777">
        <w:trPr>
          <w:trHeight w:val="218"/>
        </w:trPr>
        <w:tc>
          <w:tcPr>
            <w:tcW w:w="2284" w:type="dxa"/>
            <w:shd w:val="clear" w:color="auto" w:fill="auto"/>
            <w:noWrap/>
            <w:tcMar>
              <w:top w:w="0" w:type="dxa"/>
              <w:left w:w="180" w:type="dxa"/>
              <w:bottom w:w="0" w:type="dxa"/>
              <w:right w:w="0" w:type="dxa"/>
            </w:tcMar>
            <w:vAlign w:val="bottom"/>
            <w:hideMark/>
          </w:tcPr>
          <w:p w14:paraId="55170C6E" w14:textId="77777777" w:rsidR="00824897" w:rsidRPr="001C71EA" w:rsidRDefault="00824897">
            <w:pPr>
              <w:spacing w:after="0"/>
              <w:rPr>
                <w:i/>
                <w:iCs/>
                <w:sz w:val="16"/>
                <w:szCs w:val="16"/>
              </w:rPr>
            </w:pPr>
            <w:r w:rsidRPr="001C71EA">
              <w:rPr>
                <w:i/>
                <w:iCs/>
                <w:sz w:val="16"/>
                <w:szCs w:val="16"/>
              </w:rPr>
              <w:t>South Australia</w:t>
            </w:r>
          </w:p>
        </w:tc>
        <w:tc>
          <w:tcPr>
            <w:tcW w:w="1772" w:type="dxa"/>
            <w:shd w:val="clear" w:color="auto" w:fill="auto"/>
            <w:noWrap/>
            <w:hideMark/>
          </w:tcPr>
          <w:p w14:paraId="7044BB17" w14:textId="3C379B59" w:rsidR="00824897" w:rsidRPr="001C71EA" w:rsidRDefault="00824897">
            <w:pPr>
              <w:spacing w:after="0"/>
              <w:jc w:val="right"/>
              <w:rPr>
                <w:sz w:val="16"/>
                <w:szCs w:val="16"/>
              </w:rPr>
            </w:pPr>
            <w:r w:rsidRPr="00416522">
              <w:rPr>
                <w:sz w:val="16"/>
                <w:szCs w:val="16"/>
              </w:rPr>
              <w:t>3</w:t>
            </w:r>
          </w:p>
        </w:tc>
        <w:tc>
          <w:tcPr>
            <w:tcW w:w="1773" w:type="dxa"/>
            <w:shd w:val="clear" w:color="auto" w:fill="auto"/>
            <w:noWrap/>
            <w:hideMark/>
          </w:tcPr>
          <w:p w14:paraId="17CA471C" w14:textId="52585AF0" w:rsidR="00824897" w:rsidRPr="001C71EA" w:rsidRDefault="00824897">
            <w:pPr>
              <w:spacing w:after="0"/>
              <w:jc w:val="right"/>
              <w:rPr>
                <w:sz w:val="16"/>
                <w:szCs w:val="16"/>
              </w:rPr>
            </w:pPr>
            <w:r w:rsidRPr="00416522">
              <w:rPr>
                <w:sz w:val="16"/>
                <w:szCs w:val="16"/>
              </w:rPr>
              <w:t>8%</w:t>
            </w:r>
          </w:p>
        </w:tc>
        <w:tc>
          <w:tcPr>
            <w:tcW w:w="1772" w:type="dxa"/>
            <w:shd w:val="clear" w:color="auto" w:fill="auto"/>
            <w:noWrap/>
            <w:hideMark/>
          </w:tcPr>
          <w:p w14:paraId="4616CA6C" w14:textId="4430033D" w:rsidR="00824897" w:rsidRPr="001C71EA" w:rsidRDefault="00824897">
            <w:pPr>
              <w:spacing w:after="0"/>
              <w:jc w:val="right"/>
              <w:rPr>
                <w:sz w:val="16"/>
                <w:szCs w:val="16"/>
              </w:rPr>
            </w:pPr>
            <w:r w:rsidRPr="00416522">
              <w:rPr>
                <w:sz w:val="16"/>
                <w:szCs w:val="16"/>
              </w:rPr>
              <w:t>15</w:t>
            </w:r>
          </w:p>
        </w:tc>
        <w:tc>
          <w:tcPr>
            <w:tcW w:w="1773" w:type="dxa"/>
            <w:shd w:val="clear" w:color="auto" w:fill="auto"/>
            <w:noWrap/>
            <w:hideMark/>
          </w:tcPr>
          <w:p w14:paraId="7360757C" w14:textId="6EFACEEB" w:rsidR="00824897" w:rsidRPr="001C71EA" w:rsidRDefault="00824897">
            <w:pPr>
              <w:spacing w:after="0"/>
              <w:jc w:val="right"/>
              <w:rPr>
                <w:sz w:val="16"/>
                <w:szCs w:val="16"/>
              </w:rPr>
            </w:pPr>
            <w:r w:rsidRPr="00416522">
              <w:rPr>
                <w:sz w:val="16"/>
                <w:szCs w:val="16"/>
              </w:rPr>
              <w:t>10%</w:t>
            </w:r>
          </w:p>
        </w:tc>
      </w:tr>
      <w:tr w:rsidR="00824897" w:rsidRPr="00416522" w14:paraId="304CFA2F" w14:textId="77777777">
        <w:trPr>
          <w:trHeight w:val="218"/>
        </w:trPr>
        <w:tc>
          <w:tcPr>
            <w:tcW w:w="2284" w:type="dxa"/>
            <w:shd w:val="clear" w:color="auto" w:fill="auto"/>
            <w:noWrap/>
            <w:tcMar>
              <w:top w:w="0" w:type="dxa"/>
              <w:left w:w="180" w:type="dxa"/>
              <w:bottom w:w="0" w:type="dxa"/>
              <w:right w:w="0" w:type="dxa"/>
            </w:tcMar>
            <w:vAlign w:val="bottom"/>
            <w:hideMark/>
          </w:tcPr>
          <w:p w14:paraId="3DFE24AB" w14:textId="77777777" w:rsidR="00824897" w:rsidRPr="001C71EA" w:rsidRDefault="00824897">
            <w:pPr>
              <w:spacing w:after="0"/>
              <w:rPr>
                <w:i/>
                <w:iCs/>
                <w:sz w:val="16"/>
                <w:szCs w:val="16"/>
              </w:rPr>
            </w:pPr>
            <w:r w:rsidRPr="001C71EA">
              <w:rPr>
                <w:i/>
                <w:iCs/>
                <w:sz w:val="16"/>
                <w:szCs w:val="16"/>
              </w:rPr>
              <w:t>Tasmania</w:t>
            </w:r>
          </w:p>
        </w:tc>
        <w:tc>
          <w:tcPr>
            <w:tcW w:w="1772" w:type="dxa"/>
            <w:shd w:val="clear" w:color="auto" w:fill="auto"/>
            <w:noWrap/>
            <w:hideMark/>
          </w:tcPr>
          <w:p w14:paraId="59D19706" w14:textId="2217C605" w:rsidR="00824897" w:rsidRPr="001C71EA" w:rsidRDefault="00824897">
            <w:pPr>
              <w:spacing w:after="0"/>
              <w:jc w:val="right"/>
              <w:rPr>
                <w:sz w:val="16"/>
                <w:szCs w:val="16"/>
              </w:rPr>
            </w:pPr>
            <w:r w:rsidRPr="00416522">
              <w:rPr>
                <w:sz w:val="16"/>
                <w:szCs w:val="16"/>
              </w:rPr>
              <w:t>0</w:t>
            </w:r>
          </w:p>
        </w:tc>
        <w:tc>
          <w:tcPr>
            <w:tcW w:w="1773" w:type="dxa"/>
            <w:shd w:val="clear" w:color="auto" w:fill="auto"/>
            <w:noWrap/>
            <w:hideMark/>
          </w:tcPr>
          <w:p w14:paraId="589BB864" w14:textId="7F51AD73" w:rsidR="00824897" w:rsidRPr="001C71EA" w:rsidRDefault="00824897">
            <w:pPr>
              <w:spacing w:after="0"/>
              <w:jc w:val="right"/>
              <w:rPr>
                <w:sz w:val="16"/>
                <w:szCs w:val="16"/>
              </w:rPr>
            </w:pPr>
            <w:r w:rsidRPr="00416522">
              <w:rPr>
                <w:sz w:val="16"/>
                <w:szCs w:val="16"/>
              </w:rPr>
              <w:t>0%</w:t>
            </w:r>
          </w:p>
        </w:tc>
        <w:tc>
          <w:tcPr>
            <w:tcW w:w="1772" w:type="dxa"/>
            <w:shd w:val="clear" w:color="auto" w:fill="auto"/>
            <w:noWrap/>
            <w:hideMark/>
          </w:tcPr>
          <w:p w14:paraId="68FDADCA" w14:textId="49620C00" w:rsidR="00824897" w:rsidRPr="001C71EA" w:rsidRDefault="00824897">
            <w:pPr>
              <w:spacing w:after="0"/>
              <w:jc w:val="right"/>
              <w:rPr>
                <w:sz w:val="16"/>
                <w:szCs w:val="16"/>
              </w:rPr>
            </w:pPr>
            <w:r w:rsidRPr="00416522">
              <w:rPr>
                <w:sz w:val="16"/>
                <w:szCs w:val="16"/>
              </w:rPr>
              <w:t>4</w:t>
            </w:r>
          </w:p>
        </w:tc>
        <w:tc>
          <w:tcPr>
            <w:tcW w:w="1773" w:type="dxa"/>
            <w:shd w:val="clear" w:color="auto" w:fill="auto"/>
            <w:noWrap/>
            <w:hideMark/>
          </w:tcPr>
          <w:p w14:paraId="670119F0" w14:textId="4D9A371F" w:rsidR="00824897" w:rsidRPr="001C71EA" w:rsidRDefault="00824897">
            <w:pPr>
              <w:spacing w:after="0"/>
              <w:jc w:val="right"/>
              <w:rPr>
                <w:sz w:val="16"/>
                <w:szCs w:val="16"/>
              </w:rPr>
            </w:pPr>
            <w:r w:rsidRPr="00416522">
              <w:rPr>
                <w:sz w:val="16"/>
                <w:szCs w:val="16"/>
              </w:rPr>
              <w:t>3%</w:t>
            </w:r>
          </w:p>
        </w:tc>
      </w:tr>
      <w:tr w:rsidR="00824897" w:rsidRPr="00416522" w14:paraId="48AC187A" w14:textId="77777777">
        <w:trPr>
          <w:trHeight w:val="218"/>
        </w:trPr>
        <w:tc>
          <w:tcPr>
            <w:tcW w:w="2284" w:type="dxa"/>
            <w:shd w:val="clear" w:color="auto" w:fill="auto"/>
            <w:noWrap/>
            <w:tcMar>
              <w:top w:w="0" w:type="dxa"/>
              <w:left w:w="180" w:type="dxa"/>
              <w:bottom w:w="0" w:type="dxa"/>
              <w:right w:w="0" w:type="dxa"/>
            </w:tcMar>
            <w:vAlign w:val="bottom"/>
            <w:hideMark/>
          </w:tcPr>
          <w:p w14:paraId="1426A96E" w14:textId="77777777" w:rsidR="00824897" w:rsidRPr="001C71EA" w:rsidRDefault="00824897">
            <w:pPr>
              <w:spacing w:after="0"/>
              <w:rPr>
                <w:i/>
                <w:iCs/>
                <w:sz w:val="16"/>
                <w:szCs w:val="16"/>
              </w:rPr>
            </w:pPr>
            <w:r w:rsidRPr="001C71EA">
              <w:rPr>
                <w:i/>
                <w:iCs/>
                <w:sz w:val="16"/>
                <w:szCs w:val="16"/>
              </w:rPr>
              <w:t>Victoria</w:t>
            </w:r>
          </w:p>
        </w:tc>
        <w:tc>
          <w:tcPr>
            <w:tcW w:w="1772" w:type="dxa"/>
            <w:shd w:val="clear" w:color="auto" w:fill="auto"/>
            <w:noWrap/>
            <w:hideMark/>
          </w:tcPr>
          <w:p w14:paraId="2A3E97F6" w14:textId="5901DF9E" w:rsidR="00824897" w:rsidRPr="001C71EA" w:rsidRDefault="00824897">
            <w:pPr>
              <w:spacing w:after="0"/>
              <w:jc w:val="right"/>
              <w:rPr>
                <w:sz w:val="16"/>
                <w:szCs w:val="16"/>
              </w:rPr>
            </w:pPr>
            <w:r w:rsidRPr="00416522">
              <w:rPr>
                <w:sz w:val="16"/>
                <w:szCs w:val="16"/>
              </w:rPr>
              <w:t>2</w:t>
            </w:r>
          </w:p>
        </w:tc>
        <w:tc>
          <w:tcPr>
            <w:tcW w:w="1773" w:type="dxa"/>
            <w:shd w:val="clear" w:color="auto" w:fill="auto"/>
            <w:noWrap/>
            <w:hideMark/>
          </w:tcPr>
          <w:p w14:paraId="3E587848" w14:textId="0C686AD4" w:rsidR="00824897" w:rsidRPr="001C71EA" w:rsidRDefault="00824897">
            <w:pPr>
              <w:spacing w:after="0"/>
              <w:jc w:val="right"/>
              <w:rPr>
                <w:sz w:val="16"/>
                <w:szCs w:val="16"/>
              </w:rPr>
            </w:pPr>
            <w:r w:rsidRPr="00416522">
              <w:rPr>
                <w:sz w:val="16"/>
                <w:szCs w:val="16"/>
              </w:rPr>
              <w:t>5%</w:t>
            </w:r>
          </w:p>
        </w:tc>
        <w:tc>
          <w:tcPr>
            <w:tcW w:w="1772" w:type="dxa"/>
            <w:shd w:val="clear" w:color="auto" w:fill="auto"/>
            <w:noWrap/>
            <w:hideMark/>
          </w:tcPr>
          <w:p w14:paraId="630B39AC" w14:textId="01CF9D5C" w:rsidR="00824897" w:rsidRPr="001C71EA" w:rsidRDefault="00824897">
            <w:pPr>
              <w:spacing w:after="0"/>
              <w:jc w:val="right"/>
              <w:rPr>
                <w:sz w:val="16"/>
                <w:szCs w:val="16"/>
              </w:rPr>
            </w:pPr>
            <w:r w:rsidRPr="00416522">
              <w:rPr>
                <w:sz w:val="16"/>
                <w:szCs w:val="16"/>
              </w:rPr>
              <w:t>19</w:t>
            </w:r>
          </w:p>
        </w:tc>
        <w:tc>
          <w:tcPr>
            <w:tcW w:w="1773" w:type="dxa"/>
            <w:shd w:val="clear" w:color="auto" w:fill="auto"/>
            <w:noWrap/>
            <w:hideMark/>
          </w:tcPr>
          <w:p w14:paraId="40B05B51" w14:textId="3655AEEC" w:rsidR="00824897" w:rsidRPr="001C71EA" w:rsidRDefault="00824897">
            <w:pPr>
              <w:spacing w:after="0"/>
              <w:jc w:val="right"/>
              <w:rPr>
                <w:sz w:val="16"/>
                <w:szCs w:val="16"/>
              </w:rPr>
            </w:pPr>
            <w:r w:rsidRPr="00416522">
              <w:rPr>
                <w:sz w:val="16"/>
                <w:szCs w:val="16"/>
              </w:rPr>
              <w:t>13%</w:t>
            </w:r>
          </w:p>
        </w:tc>
      </w:tr>
      <w:tr w:rsidR="00824897" w:rsidRPr="00416522" w14:paraId="7C21D422" w14:textId="77777777">
        <w:trPr>
          <w:trHeight w:val="218"/>
        </w:trPr>
        <w:tc>
          <w:tcPr>
            <w:tcW w:w="2284" w:type="dxa"/>
            <w:shd w:val="clear" w:color="auto" w:fill="auto"/>
            <w:noWrap/>
            <w:tcMar>
              <w:top w:w="0" w:type="dxa"/>
              <w:left w:w="180" w:type="dxa"/>
              <w:bottom w:w="0" w:type="dxa"/>
              <w:right w:w="0" w:type="dxa"/>
            </w:tcMar>
            <w:vAlign w:val="bottom"/>
            <w:hideMark/>
          </w:tcPr>
          <w:p w14:paraId="0D33E94C" w14:textId="77777777" w:rsidR="00824897" w:rsidRPr="001C71EA" w:rsidRDefault="00824897">
            <w:pPr>
              <w:spacing w:after="0"/>
              <w:rPr>
                <w:i/>
                <w:iCs/>
                <w:sz w:val="16"/>
                <w:szCs w:val="16"/>
              </w:rPr>
            </w:pPr>
            <w:r w:rsidRPr="001C71EA">
              <w:rPr>
                <w:i/>
                <w:iCs/>
                <w:sz w:val="16"/>
                <w:szCs w:val="16"/>
              </w:rPr>
              <w:t>Western Australia</w:t>
            </w:r>
          </w:p>
        </w:tc>
        <w:tc>
          <w:tcPr>
            <w:tcW w:w="1772" w:type="dxa"/>
            <w:shd w:val="clear" w:color="auto" w:fill="auto"/>
            <w:noWrap/>
            <w:hideMark/>
          </w:tcPr>
          <w:p w14:paraId="1B89CE72" w14:textId="5F41E0F2" w:rsidR="00824897" w:rsidRPr="001C71EA" w:rsidRDefault="00824897">
            <w:pPr>
              <w:spacing w:after="0"/>
              <w:jc w:val="right"/>
              <w:rPr>
                <w:sz w:val="16"/>
                <w:szCs w:val="16"/>
              </w:rPr>
            </w:pPr>
            <w:r w:rsidRPr="00416522">
              <w:rPr>
                <w:sz w:val="16"/>
                <w:szCs w:val="16"/>
              </w:rPr>
              <w:t>4</w:t>
            </w:r>
          </w:p>
        </w:tc>
        <w:tc>
          <w:tcPr>
            <w:tcW w:w="1773" w:type="dxa"/>
            <w:shd w:val="clear" w:color="auto" w:fill="auto"/>
            <w:noWrap/>
            <w:hideMark/>
          </w:tcPr>
          <w:p w14:paraId="10C1A9FB" w14:textId="555F3027" w:rsidR="00824897" w:rsidRPr="001C71EA" w:rsidRDefault="00824897">
            <w:pPr>
              <w:spacing w:after="0"/>
              <w:jc w:val="right"/>
              <w:rPr>
                <w:sz w:val="16"/>
                <w:szCs w:val="16"/>
              </w:rPr>
            </w:pPr>
            <w:r w:rsidRPr="00416522">
              <w:rPr>
                <w:sz w:val="16"/>
                <w:szCs w:val="16"/>
              </w:rPr>
              <w:t>11%</w:t>
            </w:r>
          </w:p>
        </w:tc>
        <w:tc>
          <w:tcPr>
            <w:tcW w:w="1772" w:type="dxa"/>
            <w:shd w:val="clear" w:color="auto" w:fill="auto"/>
            <w:noWrap/>
            <w:hideMark/>
          </w:tcPr>
          <w:p w14:paraId="70A2CF5B" w14:textId="568A2BB9" w:rsidR="00824897" w:rsidRPr="001C71EA" w:rsidRDefault="00824897">
            <w:pPr>
              <w:spacing w:after="0"/>
              <w:jc w:val="right"/>
              <w:rPr>
                <w:sz w:val="16"/>
                <w:szCs w:val="16"/>
              </w:rPr>
            </w:pPr>
            <w:r w:rsidRPr="00416522">
              <w:rPr>
                <w:sz w:val="16"/>
                <w:szCs w:val="16"/>
              </w:rPr>
              <w:t>13</w:t>
            </w:r>
          </w:p>
        </w:tc>
        <w:tc>
          <w:tcPr>
            <w:tcW w:w="1773" w:type="dxa"/>
            <w:shd w:val="clear" w:color="auto" w:fill="auto"/>
            <w:noWrap/>
            <w:hideMark/>
          </w:tcPr>
          <w:p w14:paraId="30F9D9B5" w14:textId="0A7F2984" w:rsidR="00824897" w:rsidRPr="001C71EA" w:rsidRDefault="00824897">
            <w:pPr>
              <w:spacing w:after="0"/>
              <w:jc w:val="right"/>
              <w:rPr>
                <w:sz w:val="16"/>
                <w:szCs w:val="16"/>
              </w:rPr>
            </w:pPr>
            <w:r w:rsidRPr="00416522">
              <w:rPr>
                <w:sz w:val="16"/>
                <w:szCs w:val="16"/>
              </w:rPr>
              <w:t>9%</w:t>
            </w:r>
          </w:p>
        </w:tc>
      </w:tr>
      <w:tr w:rsidR="00824897" w:rsidRPr="001C71EA" w14:paraId="3DA89621" w14:textId="77777777">
        <w:trPr>
          <w:trHeight w:val="218"/>
        </w:trPr>
        <w:tc>
          <w:tcPr>
            <w:tcW w:w="9374" w:type="dxa"/>
            <w:gridSpan w:val="5"/>
            <w:shd w:val="clear" w:color="auto" w:fill="auto"/>
            <w:noWrap/>
            <w:vAlign w:val="center"/>
            <w:hideMark/>
          </w:tcPr>
          <w:p w14:paraId="38D42552" w14:textId="77777777" w:rsidR="00824897" w:rsidRPr="001C71EA" w:rsidRDefault="00824897">
            <w:pPr>
              <w:spacing w:after="0"/>
              <w:rPr>
                <w:sz w:val="16"/>
                <w:szCs w:val="16"/>
              </w:rPr>
            </w:pPr>
            <w:r w:rsidRPr="001C71EA">
              <w:rPr>
                <w:b/>
                <w:bCs/>
                <w:sz w:val="16"/>
                <w:szCs w:val="16"/>
              </w:rPr>
              <w:t>CCCFR grant size (2022-23)</w:t>
            </w:r>
          </w:p>
        </w:tc>
      </w:tr>
      <w:tr w:rsidR="00824897" w:rsidRPr="001C71EA" w14:paraId="4B505F0F" w14:textId="77777777">
        <w:trPr>
          <w:trHeight w:val="218"/>
        </w:trPr>
        <w:tc>
          <w:tcPr>
            <w:tcW w:w="2284" w:type="dxa"/>
            <w:shd w:val="clear" w:color="auto" w:fill="auto"/>
            <w:noWrap/>
            <w:tcMar>
              <w:top w:w="0" w:type="dxa"/>
              <w:left w:w="180" w:type="dxa"/>
              <w:bottom w:w="0" w:type="dxa"/>
              <w:right w:w="0" w:type="dxa"/>
            </w:tcMar>
            <w:hideMark/>
          </w:tcPr>
          <w:p w14:paraId="07943394" w14:textId="34D0D322" w:rsidR="00824897" w:rsidRPr="001C71EA" w:rsidRDefault="00592F60">
            <w:pPr>
              <w:spacing w:after="0"/>
              <w:rPr>
                <w:i/>
                <w:iCs/>
                <w:sz w:val="16"/>
                <w:szCs w:val="16"/>
              </w:rPr>
            </w:pPr>
            <w:r w:rsidRPr="00592F60">
              <w:rPr>
                <w:i/>
                <w:iCs/>
                <w:sz w:val="16"/>
                <w:szCs w:val="16"/>
              </w:rPr>
              <w:t xml:space="preserve"> $-   </w:t>
            </w:r>
          </w:p>
        </w:tc>
        <w:tc>
          <w:tcPr>
            <w:tcW w:w="1772" w:type="dxa"/>
            <w:shd w:val="clear" w:color="auto" w:fill="auto"/>
            <w:noWrap/>
            <w:hideMark/>
          </w:tcPr>
          <w:p w14:paraId="5B8B6219" w14:textId="2ACEC3A6" w:rsidR="00824897" w:rsidRPr="00592F60" w:rsidRDefault="00824897">
            <w:pPr>
              <w:spacing w:after="0"/>
              <w:jc w:val="right"/>
              <w:rPr>
                <w:i/>
                <w:sz w:val="16"/>
                <w:szCs w:val="16"/>
              </w:rPr>
            </w:pPr>
            <w:r w:rsidRPr="00592F60">
              <w:rPr>
                <w:i/>
                <w:sz w:val="16"/>
                <w:szCs w:val="16"/>
              </w:rPr>
              <w:t>2</w:t>
            </w:r>
          </w:p>
        </w:tc>
        <w:tc>
          <w:tcPr>
            <w:tcW w:w="1773" w:type="dxa"/>
            <w:shd w:val="clear" w:color="auto" w:fill="auto"/>
            <w:noWrap/>
            <w:hideMark/>
          </w:tcPr>
          <w:p w14:paraId="0D3F2ECE" w14:textId="4C94F972" w:rsidR="00824897" w:rsidRPr="00592F60" w:rsidRDefault="00825A61">
            <w:pPr>
              <w:spacing w:after="0"/>
              <w:jc w:val="right"/>
              <w:rPr>
                <w:i/>
                <w:sz w:val="16"/>
                <w:szCs w:val="16"/>
              </w:rPr>
            </w:pPr>
            <w:r w:rsidRPr="00592F60">
              <w:rPr>
                <w:i/>
                <w:sz w:val="16"/>
                <w:szCs w:val="16"/>
              </w:rPr>
              <w:t>6</w:t>
            </w:r>
            <w:r w:rsidR="00824897" w:rsidRPr="00592F60">
              <w:rPr>
                <w:i/>
                <w:sz w:val="16"/>
                <w:szCs w:val="16"/>
              </w:rPr>
              <w:t>%</w:t>
            </w:r>
          </w:p>
        </w:tc>
        <w:tc>
          <w:tcPr>
            <w:tcW w:w="1772" w:type="dxa"/>
            <w:shd w:val="clear" w:color="auto" w:fill="auto"/>
            <w:noWrap/>
            <w:hideMark/>
          </w:tcPr>
          <w:p w14:paraId="4BF34085" w14:textId="4BFD4F1C" w:rsidR="00824897" w:rsidRPr="00592F60" w:rsidRDefault="00592F60">
            <w:pPr>
              <w:spacing w:after="0"/>
              <w:jc w:val="right"/>
              <w:rPr>
                <w:i/>
                <w:sz w:val="16"/>
                <w:szCs w:val="16"/>
              </w:rPr>
            </w:pPr>
            <w:r w:rsidRPr="00592F60">
              <w:rPr>
                <w:i/>
                <w:iCs/>
                <w:sz w:val="16"/>
                <w:szCs w:val="16"/>
              </w:rPr>
              <w:t>7</w:t>
            </w:r>
          </w:p>
        </w:tc>
        <w:tc>
          <w:tcPr>
            <w:tcW w:w="1773" w:type="dxa"/>
            <w:shd w:val="clear" w:color="auto" w:fill="auto"/>
            <w:noWrap/>
            <w:hideMark/>
          </w:tcPr>
          <w:p w14:paraId="4DFF042F" w14:textId="178FD881" w:rsidR="00824897" w:rsidRPr="00592F60" w:rsidRDefault="00592F60">
            <w:pPr>
              <w:spacing w:after="0"/>
              <w:jc w:val="right"/>
              <w:rPr>
                <w:i/>
                <w:sz w:val="16"/>
                <w:szCs w:val="16"/>
              </w:rPr>
            </w:pPr>
            <w:r w:rsidRPr="00592F60">
              <w:rPr>
                <w:i/>
                <w:iCs/>
                <w:sz w:val="16"/>
                <w:szCs w:val="16"/>
              </w:rPr>
              <w:t>5</w:t>
            </w:r>
            <w:r w:rsidR="00824897" w:rsidRPr="00592F60">
              <w:rPr>
                <w:i/>
                <w:sz w:val="16"/>
                <w:szCs w:val="16"/>
              </w:rPr>
              <w:t>%</w:t>
            </w:r>
          </w:p>
        </w:tc>
      </w:tr>
      <w:tr w:rsidR="00824897" w:rsidRPr="001C71EA" w14:paraId="652163C3" w14:textId="77777777">
        <w:trPr>
          <w:trHeight w:val="218"/>
        </w:trPr>
        <w:tc>
          <w:tcPr>
            <w:tcW w:w="2284" w:type="dxa"/>
            <w:shd w:val="clear" w:color="auto" w:fill="auto"/>
            <w:noWrap/>
            <w:tcMar>
              <w:top w:w="0" w:type="dxa"/>
              <w:left w:w="180" w:type="dxa"/>
              <w:bottom w:w="0" w:type="dxa"/>
              <w:right w:w="0" w:type="dxa"/>
            </w:tcMar>
            <w:hideMark/>
          </w:tcPr>
          <w:p w14:paraId="655B9013" w14:textId="13214697" w:rsidR="00824897" w:rsidRPr="001C71EA" w:rsidRDefault="00824897">
            <w:pPr>
              <w:spacing w:after="0"/>
              <w:rPr>
                <w:i/>
                <w:iCs/>
                <w:sz w:val="16"/>
                <w:szCs w:val="16"/>
              </w:rPr>
            </w:pPr>
            <w:r w:rsidRPr="001C71EA">
              <w:rPr>
                <w:i/>
                <w:iCs/>
                <w:sz w:val="16"/>
                <w:szCs w:val="16"/>
              </w:rPr>
              <w:t xml:space="preserve">$50,000 </w:t>
            </w:r>
            <w:r w:rsidR="00592F60" w:rsidRPr="00592F60">
              <w:rPr>
                <w:i/>
                <w:iCs/>
                <w:sz w:val="16"/>
                <w:szCs w:val="16"/>
              </w:rPr>
              <w:t>and under</w:t>
            </w:r>
          </w:p>
        </w:tc>
        <w:tc>
          <w:tcPr>
            <w:tcW w:w="1772" w:type="dxa"/>
            <w:shd w:val="clear" w:color="auto" w:fill="auto"/>
            <w:noWrap/>
            <w:hideMark/>
          </w:tcPr>
          <w:p w14:paraId="04B309A4" w14:textId="040FD5BF" w:rsidR="00824897" w:rsidRPr="00592F60" w:rsidRDefault="00825A61">
            <w:pPr>
              <w:spacing w:after="0"/>
              <w:jc w:val="right"/>
              <w:rPr>
                <w:i/>
                <w:sz w:val="16"/>
                <w:szCs w:val="16"/>
              </w:rPr>
            </w:pPr>
            <w:r w:rsidRPr="00592F60">
              <w:rPr>
                <w:i/>
                <w:sz w:val="16"/>
                <w:szCs w:val="16"/>
              </w:rPr>
              <w:t>2</w:t>
            </w:r>
          </w:p>
        </w:tc>
        <w:tc>
          <w:tcPr>
            <w:tcW w:w="1773" w:type="dxa"/>
            <w:shd w:val="clear" w:color="auto" w:fill="auto"/>
            <w:noWrap/>
            <w:hideMark/>
          </w:tcPr>
          <w:p w14:paraId="638578CC" w14:textId="66BB7A93" w:rsidR="00824897" w:rsidRPr="00592F60" w:rsidRDefault="00825A61">
            <w:pPr>
              <w:spacing w:after="0"/>
              <w:jc w:val="right"/>
              <w:rPr>
                <w:i/>
                <w:sz w:val="16"/>
                <w:szCs w:val="16"/>
              </w:rPr>
            </w:pPr>
            <w:r w:rsidRPr="00592F60">
              <w:rPr>
                <w:i/>
                <w:sz w:val="16"/>
                <w:szCs w:val="16"/>
              </w:rPr>
              <w:t>6</w:t>
            </w:r>
            <w:r w:rsidR="00824897" w:rsidRPr="00592F60">
              <w:rPr>
                <w:i/>
                <w:sz w:val="16"/>
                <w:szCs w:val="16"/>
              </w:rPr>
              <w:t>%</w:t>
            </w:r>
          </w:p>
        </w:tc>
        <w:tc>
          <w:tcPr>
            <w:tcW w:w="1772" w:type="dxa"/>
            <w:shd w:val="clear" w:color="auto" w:fill="auto"/>
            <w:noWrap/>
            <w:hideMark/>
          </w:tcPr>
          <w:p w14:paraId="127807FF" w14:textId="422C60FB" w:rsidR="00824897" w:rsidRPr="00592F60" w:rsidRDefault="00592F60">
            <w:pPr>
              <w:spacing w:after="0"/>
              <w:jc w:val="right"/>
              <w:rPr>
                <w:i/>
                <w:sz w:val="16"/>
                <w:szCs w:val="16"/>
              </w:rPr>
            </w:pPr>
            <w:r w:rsidRPr="00592F60">
              <w:rPr>
                <w:i/>
                <w:iCs/>
                <w:sz w:val="16"/>
                <w:szCs w:val="16"/>
              </w:rPr>
              <w:t>6</w:t>
            </w:r>
          </w:p>
        </w:tc>
        <w:tc>
          <w:tcPr>
            <w:tcW w:w="1773" w:type="dxa"/>
            <w:shd w:val="clear" w:color="auto" w:fill="auto"/>
            <w:noWrap/>
            <w:hideMark/>
          </w:tcPr>
          <w:p w14:paraId="21D78BF8" w14:textId="51B313A0" w:rsidR="00824897" w:rsidRPr="00592F60" w:rsidRDefault="00592F60">
            <w:pPr>
              <w:spacing w:after="0"/>
              <w:jc w:val="right"/>
              <w:rPr>
                <w:i/>
                <w:sz w:val="16"/>
                <w:szCs w:val="16"/>
              </w:rPr>
            </w:pPr>
            <w:r w:rsidRPr="00592F60">
              <w:rPr>
                <w:i/>
                <w:iCs/>
                <w:sz w:val="16"/>
                <w:szCs w:val="16"/>
              </w:rPr>
              <w:t>4</w:t>
            </w:r>
            <w:r w:rsidR="00824897" w:rsidRPr="00592F60">
              <w:rPr>
                <w:i/>
                <w:sz w:val="16"/>
                <w:szCs w:val="16"/>
              </w:rPr>
              <w:t>%</w:t>
            </w:r>
          </w:p>
        </w:tc>
      </w:tr>
      <w:tr w:rsidR="00824897" w:rsidRPr="001C71EA" w14:paraId="3EEDC155" w14:textId="77777777">
        <w:trPr>
          <w:trHeight w:val="218"/>
        </w:trPr>
        <w:tc>
          <w:tcPr>
            <w:tcW w:w="2284" w:type="dxa"/>
            <w:shd w:val="clear" w:color="auto" w:fill="auto"/>
            <w:noWrap/>
            <w:tcMar>
              <w:top w:w="0" w:type="dxa"/>
              <w:left w:w="180" w:type="dxa"/>
              <w:bottom w:w="0" w:type="dxa"/>
              <w:right w:w="0" w:type="dxa"/>
            </w:tcMar>
            <w:hideMark/>
          </w:tcPr>
          <w:p w14:paraId="4CFD124C" w14:textId="7A28BD7F" w:rsidR="00824897" w:rsidRPr="001C71EA" w:rsidRDefault="00824897">
            <w:pPr>
              <w:spacing w:after="0"/>
              <w:rPr>
                <w:i/>
                <w:iCs/>
                <w:sz w:val="16"/>
                <w:szCs w:val="16"/>
              </w:rPr>
            </w:pPr>
            <w:r w:rsidRPr="001C71EA">
              <w:rPr>
                <w:i/>
                <w:iCs/>
                <w:sz w:val="16"/>
                <w:szCs w:val="16"/>
              </w:rPr>
              <w:t>$</w:t>
            </w:r>
            <w:r w:rsidR="00592F60" w:rsidRPr="00592F60">
              <w:rPr>
                <w:i/>
                <w:iCs/>
                <w:sz w:val="16"/>
                <w:szCs w:val="16"/>
              </w:rPr>
              <w:t>50,001 to $</w:t>
            </w:r>
            <w:r w:rsidRPr="001C71EA">
              <w:rPr>
                <w:i/>
                <w:iCs/>
                <w:sz w:val="16"/>
                <w:szCs w:val="16"/>
              </w:rPr>
              <w:t>100,000</w:t>
            </w:r>
          </w:p>
        </w:tc>
        <w:tc>
          <w:tcPr>
            <w:tcW w:w="1772" w:type="dxa"/>
            <w:shd w:val="clear" w:color="auto" w:fill="auto"/>
            <w:noWrap/>
            <w:hideMark/>
          </w:tcPr>
          <w:p w14:paraId="23B3BB03" w14:textId="38805C32" w:rsidR="00824897" w:rsidRPr="00592F60" w:rsidRDefault="00592F60">
            <w:pPr>
              <w:spacing w:after="0"/>
              <w:jc w:val="right"/>
              <w:rPr>
                <w:i/>
                <w:sz w:val="16"/>
                <w:szCs w:val="16"/>
              </w:rPr>
            </w:pPr>
            <w:r w:rsidRPr="00592F60">
              <w:rPr>
                <w:i/>
                <w:iCs/>
                <w:sz w:val="16"/>
                <w:szCs w:val="16"/>
              </w:rPr>
              <w:t>2</w:t>
            </w:r>
          </w:p>
        </w:tc>
        <w:tc>
          <w:tcPr>
            <w:tcW w:w="1773" w:type="dxa"/>
            <w:shd w:val="clear" w:color="auto" w:fill="auto"/>
            <w:noWrap/>
            <w:hideMark/>
          </w:tcPr>
          <w:p w14:paraId="411A2DEB" w14:textId="3B9F8740" w:rsidR="00824897" w:rsidRPr="00592F60" w:rsidRDefault="00592F60">
            <w:pPr>
              <w:spacing w:after="0"/>
              <w:jc w:val="right"/>
              <w:rPr>
                <w:i/>
                <w:sz w:val="16"/>
                <w:szCs w:val="16"/>
              </w:rPr>
            </w:pPr>
            <w:r w:rsidRPr="00592F60">
              <w:rPr>
                <w:i/>
                <w:iCs/>
                <w:sz w:val="16"/>
                <w:szCs w:val="16"/>
              </w:rPr>
              <w:t>6</w:t>
            </w:r>
            <w:r w:rsidR="00824897" w:rsidRPr="00592F60">
              <w:rPr>
                <w:i/>
                <w:sz w:val="16"/>
                <w:szCs w:val="16"/>
              </w:rPr>
              <w:t>%</w:t>
            </w:r>
          </w:p>
        </w:tc>
        <w:tc>
          <w:tcPr>
            <w:tcW w:w="1772" w:type="dxa"/>
            <w:shd w:val="clear" w:color="auto" w:fill="auto"/>
            <w:noWrap/>
            <w:hideMark/>
          </w:tcPr>
          <w:p w14:paraId="24606352" w14:textId="16FD6F20" w:rsidR="00824897" w:rsidRPr="00592F60" w:rsidRDefault="00592F60">
            <w:pPr>
              <w:spacing w:after="0"/>
              <w:jc w:val="right"/>
              <w:rPr>
                <w:i/>
                <w:sz w:val="16"/>
                <w:szCs w:val="16"/>
              </w:rPr>
            </w:pPr>
            <w:r w:rsidRPr="00592F60">
              <w:rPr>
                <w:i/>
                <w:iCs/>
                <w:sz w:val="16"/>
                <w:szCs w:val="16"/>
              </w:rPr>
              <w:t>12</w:t>
            </w:r>
          </w:p>
        </w:tc>
        <w:tc>
          <w:tcPr>
            <w:tcW w:w="1773" w:type="dxa"/>
            <w:shd w:val="clear" w:color="auto" w:fill="auto"/>
            <w:noWrap/>
            <w:hideMark/>
          </w:tcPr>
          <w:p w14:paraId="20CEF730" w14:textId="0393B158" w:rsidR="00824897" w:rsidRPr="00592F60" w:rsidRDefault="00592F60">
            <w:pPr>
              <w:spacing w:after="0"/>
              <w:jc w:val="right"/>
              <w:rPr>
                <w:i/>
                <w:sz w:val="16"/>
                <w:szCs w:val="16"/>
              </w:rPr>
            </w:pPr>
            <w:r w:rsidRPr="00592F60">
              <w:rPr>
                <w:i/>
                <w:iCs/>
                <w:sz w:val="16"/>
                <w:szCs w:val="16"/>
              </w:rPr>
              <w:t>8</w:t>
            </w:r>
            <w:r w:rsidR="00824897" w:rsidRPr="00592F60">
              <w:rPr>
                <w:i/>
                <w:sz w:val="16"/>
                <w:szCs w:val="16"/>
              </w:rPr>
              <w:t>%</w:t>
            </w:r>
          </w:p>
        </w:tc>
      </w:tr>
      <w:tr w:rsidR="00824897" w:rsidRPr="001C71EA" w14:paraId="5DAE8AFC" w14:textId="77777777">
        <w:trPr>
          <w:trHeight w:val="218"/>
        </w:trPr>
        <w:tc>
          <w:tcPr>
            <w:tcW w:w="2284" w:type="dxa"/>
            <w:shd w:val="clear" w:color="auto" w:fill="auto"/>
            <w:noWrap/>
            <w:tcMar>
              <w:top w:w="0" w:type="dxa"/>
              <w:left w:w="180" w:type="dxa"/>
              <w:bottom w:w="0" w:type="dxa"/>
              <w:right w:w="0" w:type="dxa"/>
            </w:tcMar>
            <w:hideMark/>
          </w:tcPr>
          <w:p w14:paraId="421EAC00" w14:textId="322DDED9" w:rsidR="00824897" w:rsidRPr="001C71EA" w:rsidRDefault="00824897">
            <w:pPr>
              <w:spacing w:after="0"/>
              <w:rPr>
                <w:i/>
                <w:iCs/>
                <w:sz w:val="16"/>
                <w:szCs w:val="16"/>
              </w:rPr>
            </w:pPr>
            <w:r w:rsidRPr="001C71EA">
              <w:rPr>
                <w:i/>
                <w:iCs/>
                <w:sz w:val="16"/>
                <w:szCs w:val="16"/>
              </w:rPr>
              <w:t>$</w:t>
            </w:r>
            <w:r w:rsidR="00592F60" w:rsidRPr="00592F60">
              <w:rPr>
                <w:i/>
                <w:iCs/>
                <w:sz w:val="16"/>
                <w:szCs w:val="16"/>
              </w:rPr>
              <w:t>100,001 to $</w:t>
            </w:r>
            <w:r w:rsidRPr="001C71EA">
              <w:rPr>
                <w:i/>
                <w:iCs/>
                <w:sz w:val="16"/>
                <w:szCs w:val="16"/>
              </w:rPr>
              <w:t>250,000</w:t>
            </w:r>
          </w:p>
        </w:tc>
        <w:tc>
          <w:tcPr>
            <w:tcW w:w="1772" w:type="dxa"/>
            <w:shd w:val="clear" w:color="auto" w:fill="auto"/>
            <w:noWrap/>
            <w:hideMark/>
          </w:tcPr>
          <w:p w14:paraId="2DB958D6" w14:textId="183D71AA" w:rsidR="00824897" w:rsidRPr="00592F60" w:rsidRDefault="00592F60">
            <w:pPr>
              <w:spacing w:after="0"/>
              <w:jc w:val="right"/>
              <w:rPr>
                <w:i/>
                <w:sz w:val="16"/>
                <w:szCs w:val="16"/>
              </w:rPr>
            </w:pPr>
            <w:r w:rsidRPr="00592F60">
              <w:rPr>
                <w:i/>
                <w:iCs/>
                <w:sz w:val="16"/>
                <w:szCs w:val="16"/>
              </w:rPr>
              <w:t>8</w:t>
            </w:r>
          </w:p>
        </w:tc>
        <w:tc>
          <w:tcPr>
            <w:tcW w:w="1773" w:type="dxa"/>
            <w:shd w:val="clear" w:color="auto" w:fill="auto"/>
            <w:noWrap/>
            <w:hideMark/>
          </w:tcPr>
          <w:p w14:paraId="3A91E59B" w14:textId="571BD828" w:rsidR="00824897" w:rsidRPr="00592F60" w:rsidRDefault="00592F60">
            <w:pPr>
              <w:spacing w:after="0"/>
              <w:jc w:val="right"/>
              <w:rPr>
                <w:i/>
                <w:sz w:val="16"/>
                <w:szCs w:val="16"/>
              </w:rPr>
            </w:pPr>
            <w:r w:rsidRPr="00592F60">
              <w:rPr>
                <w:i/>
                <w:iCs/>
                <w:sz w:val="16"/>
                <w:szCs w:val="16"/>
              </w:rPr>
              <w:t>23</w:t>
            </w:r>
            <w:r w:rsidR="00824897" w:rsidRPr="00592F60">
              <w:rPr>
                <w:i/>
                <w:sz w:val="16"/>
                <w:szCs w:val="16"/>
              </w:rPr>
              <w:t>%</w:t>
            </w:r>
          </w:p>
        </w:tc>
        <w:tc>
          <w:tcPr>
            <w:tcW w:w="1772" w:type="dxa"/>
            <w:shd w:val="clear" w:color="auto" w:fill="auto"/>
            <w:noWrap/>
            <w:hideMark/>
          </w:tcPr>
          <w:p w14:paraId="0A223950" w14:textId="59CDCD5F" w:rsidR="00824897" w:rsidRPr="00592F60" w:rsidRDefault="00592F60">
            <w:pPr>
              <w:spacing w:after="0"/>
              <w:jc w:val="right"/>
              <w:rPr>
                <w:i/>
                <w:sz w:val="16"/>
                <w:szCs w:val="16"/>
              </w:rPr>
            </w:pPr>
            <w:r w:rsidRPr="00592F60">
              <w:rPr>
                <w:i/>
                <w:iCs/>
                <w:sz w:val="16"/>
                <w:szCs w:val="16"/>
              </w:rPr>
              <w:t>39</w:t>
            </w:r>
          </w:p>
        </w:tc>
        <w:tc>
          <w:tcPr>
            <w:tcW w:w="1773" w:type="dxa"/>
            <w:shd w:val="clear" w:color="auto" w:fill="auto"/>
            <w:noWrap/>
            <w:hideMark/>
          </w:tcPr>
          <w:p w14:paraId="5DFD68E9" w14:textId="5F46BFD0" w:rsidR="00824897" w:rsidRPr="00592F60" w:rsidRDefault="00592F60">
            <w:pPr>
              <w:spacing w:after="0"/>
              <w:jc w:val="right"/>
              <w:rPr>
                <w:i/>
                <w:color w:val="000000"/>
                <w:sz w:val="16"/>
                <w:szCs w:val="16"/>
              </w:rPr>
            </w:pPr>
            <w:r w:rsidRPr="00592F60">
              <w:rPr>
                <w:i/>
                <w:iCs/>
                <w:sz w:val="16"/>
                <w:szCs w:val="16"/>
              </w:rPr>
              <w:t>27</w:t>
            </w:r>
            <w:r w:rsidR="00824897" w:rsidRPr="00592F60">
              <w:rPr>
                <w:i/>
                <w:sz w:val="16"/>
                <w:szCs w:val="16"/>
              </w:rPr>
              <w:t>%</w:t>
            </w:r>
          </w:p>
        </w:tc>
      </w:tr>
      <w:tr w:rsidR="00824897" w:rsidRPr="001C71EA" w14:paraId="52D07D44" w14:textId="77777777">
        <w:trPr>
          <w:trHeight w:val="218"/>
        </w:trPr>
        <w:tc>
          <w:tcPr>
            <w:tcW w:w="2284" w:type="dxa"/>
            <w:shd w:val="clear" w:color="auto" w:fill="auto"/>
            <w:noWrap/>
            <w:tcMar>
              <w:top w:w="0" w:type="dxa"/>
              <w:left w:w="180" w:type="dxa"/>
              <w:bottom w:w="0" w:type="dxa"/>
              <w:right w:w="0" w:type="dxa"/>
            </w:tcMar>
            <w:hideMark/>
          </w:tcPr>
          <w:p w14:paraId="0C16C54F" w14:textId="116C1ACB" w:rsidR="00824897" w:rsidRPr="001C71EA" w:rsidRDefault="00592F60">
            <w:pPr>
              <w:spacing w:after="0"/>
              <w:rPr>
                <w:i/>
                <w:iCs/>
                <w:color w:val="000000"/>
                <w:sz w:val="16"/>
                <w:szCs w:val="16"/>
              </w:rPr>
            </w:pPr>
            <w:r w:rsidRPr="00592F60">
              <w:rPr>
                <w:i/>
                <w:iCs/>
                <w:sz w:val="16"/>
                <w:szCs w:val="16"/>
              </w:rPr>
              <w:t xml:space="preserve">$250,001 to </w:t>
            </w:r>
            <w:r w:rsidR="00824897" w:rsidRPr="00592F60">
              <w:rPr>
                <w:i/>
                <w:sz w:val="16"/>
                <w:szCs w:val="16"/>
              </w:rPr>
              <w:t>$500,000</w:t>
            </w:r>
          </w:p>
        </w:tc>
        <w:tc>
          <w:tcPr>
            <w:tcW w:w="1772" w:type="dxa"/>
            <w:shd w:val="clear" w:color="auto" w:fill="auto"/>
            <w:noWrap/>
            <w:hideMark/>
          </w:tcPr>
          <w:p w14:paraId="609C206B" w14:textId="4679E634" w:rsidR="00824897" w:rsidRPr="00592F60" w:rsidRDefault="00592F60">
            <w:pPr>
              <w:spacing w:after="0"/>
              <w:jc w:val="right"/>
              <w:rPr>
                <w:i/>
                <w:color w:val="000000"/>
                <w:sz w:val="16"/>
                <w:szCs w:val="16"/>
              </w:rPr>
            </w:pPr>
            <w:r w:rsidRPr="00592F60">
              <w:rPr>
                <w:i/>
                <w:iCs/>
                <w:sz w:val="16"/>
                <w:szCs w:val="16"/>
              </w:rPr>
              <w:t>19</w:t>
            </w:r>
          </w:p>
        </w:tc>
        <w:tc>
          <w:tcPr>
            <w:tcW w:w="1773" w:type="dxa"/>
            <w:shd w:val="clear" w:color="auto" w:fill="auto"/>
            <w:noWrap/>
            <w:hideMark/>
          </w:tcPr>
          <w:p w14:paraId="609495F7" w14:textId="6F36909B" w:rsidR="00824897" w:rsidRPr="00592F60" w:rsidRDefault="00592F60">
            <w:pPr>
              <w:spacing w:after="0"/>
              <w:jc w:val="right"/>
              <w:rPr>
                <w:i/>
                <w:color w:val="000000"/>
                <w:sz w:val="16"/>
                <w:szCs w:val="16"/>
              </w:rPr>
            </w:pPr>
            <w:r w:rsidRPr="00592F60">
              <w:rPr>
                <w:i/>
                <w:iCs/>
                <w:sz w:val="16"/>
                <w:szCs w:val="16"/>
              </w:rPr>
              <w:t>54</w:t>
            </w:r>
            <w:r w:rsidR="00824897" w:rsidRPr="00592F60">
              <w:rPr>
                <w:i/>
                <w:sz w:val="16"/>
                <w:szCs w:val="16"/>
              </w:rPr>
              <w:t>%</w:t>
            </w:r>
          </w:p>
        </w:tc>
        <w:tc>
          <w:tcPr>
            <w:tcW w:w="1772" w:type="dxa"/>
            <w:shd w:val="clear" w:color="auto" w:fill="auto"/>
            <w:noWrap/>
            <w:hideMark/>
          </w:tcPr>
          <w:p w14:paraId="3F4A108D" w14:textId="5EE1F9CE" w:rsidR="00824897" w:rsidRPr="00592F60" w:rsidRDefault="00592F60">
            <w:pPr>
              <w:spacing w:after="0"/>
              <w:jc w:val="right"/>
              <w:rPr>
                <w:i/>
                <w:color w:val="000000"/>
                <w:sz w:val="16"/>
                <w:szCs w:val="16"/>
              </w:rPr>
            </w:pPr>
            <w:r w:rsidRPr="00592F60">
              <w:rPr>
                <w:i/>
                <w:iCs/>
                <w:sz w:val="16"/>
                <w:szCs w:val="16"/>
              </w:rPr>
              <w:t>67</w:t>
            </w:r>
          </w:p>
        </w:tc>
        <w:tc>
          <w:tcPr>
            <w:tcW w:w="1773" w:type="dxa"/>
            <w:shd w:val="clear" w:color="auto" w:fill="auto"/>
            <w:noWrap/>
            <w:hideMark/>
          </w:tcPr>
          <w:p w14:paraId="1769D9AD" w14:textId="154358DF" w:rsidR="00824897" w:rsidRPr="00592F60" w:rsidRDefault="00592F60">
            <w:pPr>
              <w:spacing w:after="0"/>
              <w:jc w:val="right"/>
              <w:rPr>
                <w:i/>
                <w:color w:val="000000"/>
                <w:sz w:val="16"/>
                <w:szCs w:val="16"/>
              </w:rPr>
            </w:pPr>
            <w:r w:rsidRPr="00592F60">
              <w:rPr>
                <w:i/>
                <w:iCs/>
                <w:sz w:val="16"/>
                <w:szCs w:val="16"/>
              </w:rPr>
              <w:t>47</w:t>
            </w:r>
            <w:r w:rsidR="00824897" w:rsidRPr="00592F60">
              <w:rPr>
                <w:i/>
                <w:sz w:val="16"/>
                <w:szCs w:val="16"/>
              </w:rPr>
              <w:t>%</w:t>
            </w:r>
          </w:p>
        </w:tc>
      </w:tr>
      <w:tr w:rsidR="00592F60" w:rsidRPr="001C71EA" w14:paraId="39528903" w14:textId="77777777">
        <w:trPr>
          <w:trHeight w:val="218"/>
        </w:trPr>
        <w:tc>
          <w:tcPr>
            <w:tcW w:w="2284" w:type="dxa"/>
            <w:shd w:val="clear" w:color="auto" w:fill="auto"/>
            <w:noWrap/>
            <w:tcMar>
              <w:top w:w="0" w:type="dxa"/>
              <w:left w:w="180" w:type="dxa"/>
              <w:bottom w:w="0" w:type="dxa"/>
              <w:right w:w="0" w:type="dxa"/>
            </w:tcMar>
          </w:tcPr>
          <w:p w14:paraId="0BAFB8B6" w14:textId="53B52ACB" w:rsidR="00592F60" w:rsidRPr="00592F60" w:rsidRDefault="00592F60" w:rsidP="00592F60">
            <w:pPr>
              <w:spacing w:after="0"/>
              <w:rPr>
                <w:i/>
                <w:iCs/>
                <w:color w:val="000000"/>
                <w:sz w:val="16"/>
                <w:szCs w:val="16"/>
              </w:rPr>
            </w:pPr>
            <w:r w:rsidRPr="00592F60">
              <w:rPr>
                <w:i/>
                <w:iCs/>
                <w:sz w:val="16"/>
                <w:szCs w:val="16"/>
              </w:rPr>
              <w:t>Over $500,000</w:t>
            </w:r>
          </w:p>
        </w:tc>
        <w:tc>
          <w:tcPr>
            <w:tcW w:w="1772" w:type="dxa"/>
            <w:shd w:val="clear" w:color="auto" w:fill="auto"/>
            <w:noWrap/>
          </w:tcPr>
          <w:p w14:paraId="6F4DE7FE" w14:textId="68378808" w:rsidR="00592F60" w:rsidRPr="00592F60" w:rsidRDefault="00592F60" w:rsidP="00592F60">
            <w:pPr>
              <w:spacing w:after="0"/>
              <w:jc w:val="right"/>
              <w:rPr>
                <w:i/>
                <w:iCs/>
                <w:sz w:val="16"/>
                <w:szCs w:val="16"/>
              </w:rPr>
            </w:pPr>
            <w:r w:rsidRPr="00592F60">
              <w:rPr>
                <w:i/>
                <w:iCs/>
                <w:sz w:val="16"/>
                <w:szCs w:val="16"/>
              </w:rPr>
              <w:t>4</w:t>
            </w:r>
          </w:p>
        </w:tc>
        <w:tc>
          <w:tcPr>
            <w:tcW w:w="1773" w:type="dxa"/>
            <w:shd w:val="clear" w:color="auto" w:fill="auto"/>
            <w:noWrap/>
          </w:tcPr>
          <w:p w14:paraId="1AC9FF3A" w14:textId="356A9664" w:rsidR="00592F60" w:rsidRPr="00592F60" w:rsidRDefault="00592F60" w:rsidP="00592F60">
            <w:pPr>
              <w:spacing w:after="0"/>
              <w:jc w:val="right"/>
              <w:rPr>
                <w:i/>
                <w:iCs/>
                <w:sz w:val="16"/>
                <w:szCs w:val="16"/>
              </w:rPr>
            </w:pPr>
            <w:r w:rsidRPr="00592F60">
              <w:rPr>
                <w:i/>
                <w:iCs/>
                <w:sz w:val="16"/>
                <w:szCs w:val="16"/>
              </w:rPr>
              <w:t>11%</w:t>
            </w:r>
          </w:p>
        </w:tc>
        <w:tc>
          <w:tcPr>
            <w:tcW w:w="1772" w:type="dxa"/>
            <w:shd w:val="clear" w:color="auto" w:fill="auto"/>
            <w:noWrap/>
          </w:tcPr>
          <w:p w14:paraId="5251029A" w14:textId="55183AFE" w:rsidR="00592F60" w:rsidRPr="00592F60" w:rsidRDefault="00592F60" w:rsidP="00592F60">
            <w:pPr>
              <w:spacing w:after="0"/>
              <w:jc w:val="right"/>
              <w:rPr>
                <w:i/>
                <w:iCs/>
                <w:sz w:val="16"/>
                <w:szCs w:val="16"/>
              </w:rPr>
            </w:pPr>
            <w:r w:rsidRPr="00592F60">
              <w:rPr>
                <w:i/>
                <w:iCs/>
                <w:sz w:val="16"/>
                <w:szCs w:val="16"/>
              </w:rPr>
              <w:t>18</w:t>
            </w:r>
          </w:p>
        </w:tc>
        <w:tc>
          <w:tcPr>
            <w:tcW w:w="1773" w:type="dxa"/>
            <w:shd w:val="clear" w:color="auto" w:fill="auto"/>
            <w:noWrap/>
          </w:tcPr>
          <w:p w14:paraId="08DDA012" w14:textId="1D9BF2C0" w:rsidR="00592F60" w:rsidRPr="00592F60" w:rsidRDefault="00592F60" w:rsidP="00592F60">
            <w:pPr>
              <w:spacing w:after="0"/>
              <w:jc w:val="right"/>
              <w:rPr>
                <w:i/>
                <w:iCs/>
                <w:sz w:val="16"/>
                <w:szCs w:val="16"/>
              </w:rPr>
            </w:pPr>
            <w:r w:rsidRPr="00592F60">
              <w:rPr>
                <w:i/>
                <w:iCs/>
                <w:sz w:val="16"/>
                <w:szCs w:val="16"/>
              </w:rPr>
              <w:t>13%</w:t>
            </w:r>
          </w:p>
        </w:tc>
      </w:tr>
    </w:tbl>
    <w:p w14:paraId="2362751E" w14:textId="77777777" w:rsidR="00824897" w:rsidRDefault="00824897" w:rsidP="00824897"/>
    <w:tbl>
      <w:tblPr>
        <w:tblStyle w:val="TableGrid"/>
        <w:tblW w:w="0" w:type="auto"/>
        <w:shd w:val="clear" w:color="auto" w:fill="E7F5CF" w:themeFill="accent1" w:themeFillTint="33"/>
        <w:tblCellMar>
          <w:top w:w="85" w:type="dxa"/>
          <w:left w:w="85" w:type="dxa"/>
          <w:bottom w:w="85" w:type="dxa"/>
          <w:right w:w="85" w:type="dxa"/>
        </w:tblCellMar>
        <w:tblLook w:val="04A0" w:firstRow="1" w:lastRow="0" w:firstColumn="1" w:lastColumn="0" w:noHBand="0" w:noVBand="1"/>
      </w:tblPr>
      <w:tblGrid>
        <w:gridCol w:w="9026"/>
      </w:tblGrid>
      <w:tr w:rsidR="00824897" w14:paraId="44EA93B7"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1333CA75" w14:textId="0B2A4F51" w:rsidR="00824897" w:rsidRPr="005341A0" w:rsidRDefault="0055395E">
            <w:pPr>
              <w:spacing w:before="120" w:after="120"/>
            </w:pPr>
            <w:r w:rsidRPr="002D46E1">
              <w:t>Durin</w:t>
            </w:r>
            <w:r w:rsidR="00F92418" w:rsidRPr="002D46E1">
              <w:t>g the review</w:t>
            </w:r>
            <w:r w:rsidR="00824897" w:rsidRPr="002D46E1">
              <w:t xml:space="preserve">, there were </w:t>
            </w:r>
            <w:r w:rsidR="002D46E1" w:rsidRPr="002D46E1">
              <w:t>3</w:t>
            </w:r>
            <w:r w:rsidR="00824897" w:rsidRPr="002D46E1">
              <w:t>7 completed survey responses and 2</w:t>
            </w:r>
            <w:r w:rsidR="00F768F4">
              <w:t>2</w:t>
            </w:r>
            <w:r w:rsidR="00824897" w:rsidRPr="002D46E1">
              <w:t xml:space="preserve"> partially completed survey responses </w:t>
            </w:r>
            <w:r w:rsidR="00F768F4">
              <w:t xml:space="preserve">from </w:t>
            </w:r>
            <w:r w:rsidR="006C349C">
              <w:t>20</w:t>
            </w:r>
            <w:r w:rsidR="00F768F4">
              <w:t xml:space="preserve"> service providers (t</w:t>
            </w:r>
            <w:r w:rsidR="006C349C">
              <w:t>wo</w:t>
            </w:r>
            <w:r w:rsidR="00F768F4">
              <w:t xml:space="preserve"> started their survey twice) </w:t>
            </w:r>
            <w:r w:rsidR="00824897" w:rsidRPr="002D46E1">
              <w:t>– equating to 5</w:t>
            </w:r>
            <w:r w:rsidR="002D46E1" w:rsidRPr="002D46E1">
              <w:t>7</w:t>
            </w:r>
            <w:r w:rsidR="00824897" w:rsidRPr="002D46E1">
              <w:t xml:space="preserve"> individual survey responses overall. </w:t>
            </w:r>
            <w:r w:rsidR="002D46E1" w:rsidRPr="007E15DA">
              <w:t>All</w:t>
            </w:r>
            <w:r w:rsidR="00824897" w:rsidRPr="007E15DA">
              <w:t xml:space="preserve"> observations from </w:t>
            </w:r>
            <w:r w:rsidR="002D46E1" w:rsidRPr="007E15DA">
              <w:t>the</w:t>
            </w:r>
            <w:r w:rsidR="00824897" w:rsidRPr="007E15DA">
              <w:t xml:space="preserve"> survey responses are presented in this report</w:t>
            </w:r>
            <w:r w:rsidR="00824897">
              <w:t>.</w:t>
            </w:r>
          </w:p>
        </w:tc>
      </w:tr>
    </w:tbl>
    <w:p w14:paraId="7631A992" w14:textId="77777777" w:rsidR="00824897" w:rsidRDefault="00824897" w:rsidP="00824897">
      <w:pPr>
        <w:pStyle w:val="Heading3"/>
        <w:spacing w:before="240"/>
      </w:pPr>
      <w:bookmarkStart w:id="216" w:name="_Ref147249185"/>
      <w:bookmarkStart w:id="217" w:name="_Toc151723854"/>
      <w:r w:rsidRPr="003066A9">
        <w:t>Consultation</w:t>
      </w:r>
      <w:r>
        <w:t>s</w:t>
      </w:r>
      <w:r w:rsidRPr="003066A9">
        <w:t xml:space="preserve"> with Department</w:t>
      </w:r>
      <w:r>
        <w:t>al</w:t>
      </w:r>
      <w:r w:rsidRPr="003066A9">
        <w:t xml:space="preserve"> and broader stakeholders</w:t>
      </w:r>
      <w:bookmarkEnd w:id="216"/>
      <w:bookmarkEnd w:id="217"/>
    </w:p>
    <w:p w14:paraId="6A433AED" w14:textId="77777777" w:rsidR="00824897" w:rsidRDefault="00824897" w:rsidP="00027803">
      <w:pPr>
        <w:rPr>
          <w:b/>
        </w:rPr>
      </w:pPr>
      <w:r w:rsidRPr="003066A9">
        <w:t xml:space="preserve">Considering </w:t>
      </w:r>
      <w:r w:rsidRPr="00416522">
        <w:t>the history of the CCCFR grant, in particular its development from previous child care funding arrangements, such as the BBF program, the review team engaged with a wide range of stakeholders across government, sector, peak and community organisations to understand the history behind the grant, as well as the impacts and relevance in supporting child development and wellbeing, family engagement and support, and broader community outcomes.</w:t>
      </w:r>
    </w:p>
    <w:p w14:paraId="30387DBA" w14:textId="0CF44B28" w:rsidR="00824897" w:rsidRPr="003A30A2" w:rsidRDefault="00824897" w:rsidP="00824897">
      <w:r>
        <w:t>Due to the array of stakeholders’ perspectives, knowledge and expertise, interviews with broader stakeholders adopted differing areas of focus or discussion. These areas for discussion were guided by a consultation guide</w:t>
      </w:r>
      <w:r w:rsidR="00E40115">
        <w:t xml:space="preserve"> </w:t>
      </w:r>
      <w:r w:rsidR="00E40115" w:rsidRPr="001D7FC1">
        <w:t>(Appendix E)</w:t>
      </w:r>
      <w:r w:rsidRPr="001D7FC1">
        <w:t>,</w:t>
      </w:r>
      <w:r>
        <w:t xml:space="preserve"> which provided consultation participants with a broad range of discussion questions across all four research domains. Across most broader stakeholder consultations, respondents focused on one or two review domains for discussion (e.g., objectives and funding), based on the perceived importance or their specific area of knowledge.</w:t>
      </w:r>
    </w:p>
    <w:p w14:paraId="023C0411" w14:textId="77777777" w:rsidR="00824897" w:rsidRDefault="00824897" w:rsidP="00824897">
      <w:pPr>
        <w:spacing w:before="120"/>
      </w:pPr>
      <w:r>
        <w:t>The process of identifying relevant stakeholders for consultation for this review occurred through ongoing discussions between Deloitte Access Economics and the Department team responsible for overseeing the review. Broadly, stakeholders were invited to participate in the review through an email invitation sent to the contact person from either the Department or Deloitte Access Economics, with a link to schedule an interview with the Deloitte Access Economics review team.</w:t>
      </w:r>
    </w:p>
    <w:p w14:paraId="5374BC31" w14:textId="77777777" w:rsidR="00824897" w:rsidRDefault="00824897" w:rsidP="00824897">
      <w:r>
        <w:t>Invitations for consultation for the CCCFR review were sent through multiple channels, including through inter-governmental working groups and committee mailing lists relevant to the CCCFR grant and broader early years and Aboriginal and Torres Strait Islander policy areas.</w:t>
      </w:r>
    </w:p>
    <w:p w14:paraId="40649099" w14:textId="77777777" w:rsidR="00824897" w:rsidRDefault="00824897" w:rsidP="00824897">
      <w:r>
        <w:t>The table below sets out the range of stakeholders invited to participate in a consultation.</w:t>
      </w:r>
    </w:p>
    <w:p w14:paraId="6D0C2488" w14:textId="28B26533" w:rsidR="00824897" w:rsidRPr="001D7FC1" w:rsidRDefault="00824897" w:rsidP="00824897">
      <w:pPr>
        <w:pStyle w:val="CaptionTable"/>
      </w:pPr>
      <w:bookmarkStart w:id="218" w:name="_Toc151723915"/>
      <w:bookmarkStart w:id="219" w:name="_Toc158997965"/>
      <w:bookmarkStart w:id="220" w:name="_Toc167130711"/>
      <w:r w:rsidRPr="001D7FC1">
        <w:lastRenderedPageBreak/>
        <w:t>: Departmental and broader stakeholder groups</w:t>
      </w:r>
      <w:bookmarkEnd w:id="218"/>
      <w:bookmarkEnd w:id="219"/>
      <w:bookmarkEnd w:id="220"/>
    </w:p>
    <w:tbl>
      <w:tblPr>
        <w:tblW w:w="9592" w:type="dxa"/>
        <w:tblBorders>
          <w:top w:val="single" w:sz="8" w:space="0" w:color="046A38"/>
          <w:left w:val="single" w:sz="8" w:space="0" w:color="046A38"/>
          <w:bottom w:val="single" w:sz="4" w:space="0" w:color="auto"/>
          <w:right w:val="single" w:sz="8" w:space="0" w:color="046A38"/>
          <w:insideH w:val="single" w:sz="8" w:space="0" w:color="046A38"/>
          <w:insideV w:val="single" w:sz="8" w:space="0" w:color="046A38"/>
        </w:tblBorders>
        <w:tblCellMar>
          <w:top w:w="113" w:type="dxa"/>
          <w:left w:w="113" w:type="dxa"/>
          <w:bottom w:w="113" w:type="dxa"/>
          <w:right w:w="113" w:type="dxa"/>
        </w:tblCellMar>
        <w:tblLook w:val="0420" w:firstRow="1" w:lastRow="0" w:firstColumn="0" w:lastColumn="0" w:noHBand="0" w:noVBand="1"/>
      </w:tblPr>
      <w:tblGrid>
        <w:gridCol w:w="1691"/>
        <w:gridCol w:w="7901"/>
      </w:tblGrid>
      <w:tr w:rsidR="00824897" w:rsidRPr="007D7AD0" w14:paraId="08E7C411" w14:textId="77777777" w:rsidTr="2B91AEFB">
        <w:trPr>
          <w:trHeight w:val="303"/>
          <w:tblHeader/>
        </w:trPr>
        <w:tc>
          <w:tcPr>
            <w:tcW w:w="1691" w:type="dxa"/>
            <w:shd w:val="clear" w:color="auto" w:fill="046A38" w:themeFill="accent2"/>
          </w:tcPr>
          <w:p w14:paraId="05E26547" w14:textId="77777777" w:rsidR="00824897" w:rsidRPr="002F1C2B" w:rsidRDefault="00824897">
            <w:pPr>
              <w:jc w:val="center"/>
              <w:rPr>
                <w:rFonts w:asciiTheme="minorHAnsi" w:hAnsiTheme="minorHAnsi"/>
                <w:b/>
                <w:bCs/>
                <w:color w:val="FFFFFF" w:themeColor="background1"/>
                <w:sz w:val="16"/>
                <w:szCs w:val="16"/>
              </w:rPr>
            </w:pPr>
            <w:r w:rsidRPr="002F1C2B">
              <w:rPr>
                <w:rFonts w:asciiTheme="minorHAnsi" w:hAnsiTheme="minorHAnsi"/>
                <w:b/>
                <w:bCs/>
                <w:color w:val="FFFFFF" w:themeColor="background1"/>
                <w:sz w:val="16"/>
                <w:szCs w:val="16"/>
              </w:rPr>
              <w:t>Stakeholder group</w:t>
            </w:r>
          </w:p>
        </w:tc>
        <w:tc>
          <w:tcPr>
            <w:tcW w:w="7901" w:type="dxa"/>
            <w:shd w:val="clear" w:color="auto" w:fill="046A38" w:themeFill="accent2"/>
            <w:tcMar>
              <w:top w:w="72" w:type="dxa"/>
              <w:left w:w="144" w:type="dxa"/>
              <w:bottom w:w="72" w:type="dxa"/>
              <w:right w:w="144" w:type="dxa"/>
            </w:tcMar>
            <w:hideMark/>
          </w:tcPr>
          <w:p w14:paraId="59540F9C" w14:textId="77777777" w:rsidR="00824897" w:rsidRPr="002F1C2B" w:rsidRDefault="00824897">
            <w:pPr>
              <w:jc w:val="center"/>
              <w:rPr>
                <w:rFonts w:asciiTheme="minorHAnsi" w:hAnsiTheme="minorHAnsi"/>
                <w:b/>
                <w:bCs/>
                <w:color w:val="FFFFFF" w:themeColor="background1"/>
                <w:sz w:val="16"/>
                <w:szCs w:val="16"/>
              </w:rPr>
            </w:pPr>
            <w:r w:rsidRPr="002F1C2B">
              <w:rPr>
                <w:rFonts w:asciiTheme="minorHAnsi" w:hAnsiTheme="minorHAnsi"/>
                <w:b/>
                <w:bCs/>
                <w:color w:val="FFFFFF" w:themeColor="background1"/>
                <w:sz w:val="16"/>
                <w:szCs w:val="16"/>
              </w:rPr>
              <w:t>Overview of approach</w:t>
            </w:r>
          </w:p>
        </w:tc>
      </w:tr>
      <w:tr w:rsidR="00824897" w:rsidRPr="007D7AD0" w14:paraId="118A7620" w14:textId="77777777" w:rsidTr="2B91AEFB">
        <w:trPr>
          <w:trHeight w:val="718"/>
        </w:trPr>
        <w:tc>
          <w:tcPr>
            <w:tcW w:w="1691" w:type="dxa"/>
          </w:tcPr>
          <w:p w14:paraId="3E598556" w14:textId="77777777" w:rsidR="00824897" w:rsidRPr="002F1C2B" w:rsidRDefault="00824897">
            <w:pPr>
              <w:spacing w:after="0"/>
              <w:rPr>
                <w:rFonts w:asciiTheme="minorHAnsi" w:hAnsiTheme="minorHAnsi"/>
                <w:b/>
                <w:bCs/>
                <w:sz w:val="16"/>
                <w:szCs w:val="16"/>
              </w:rPr>
            </w:pPr>
            <w:r w:rsidRPr="002F1C2B">
              <w:rPr>
                <w:rFonts w:asciiTheme="minorHAnsi" w:hAnsiTheme="minorHAnsi" w:cs="Arial"/>
                <w:b/>
                <w:bCs/>
                <w:color w:val="000000" w:themeColor="text1"/>
                <w:kern w:val="24"/>
                <w:sz w:val="16"/>
                <w:szCs w:val="16"/>
              </w:rPr>
              <w:t>Australian Department of Education </w:t>
            </w:r>
          </w:p>
        </w:tc>
        <w:tc>
          <w:tcPr>
            <w:tcW w:w="7901" w:type="dxa"/>
            <w:shd w:val="clear" w:color="auto" w:fill="auto"/>
            <w:tcMar>
              <w:top w:w="72" w:type="dxa"/>
              <w:left w:w="144" w:type="dxa"/>
              <w:bottom w:w="72" w:type="dxa"/>
              <w:right w:w="144" w:type="dxa"/>
            </w:tcMar>
          </w:tcPr>
          <w:p w14:paraId="0B5D00D3" w14:textId="66517DDA" w:rsidR="00824897" w:rsidRPr="002F1C2B" w:rsidRDefault="00824897">
            <w:pPr>
              <w:spacing w:after="120"/>
              <w:rPr>
                <w:rFonts w:asciiTheme="minorHAnsi" w:hAnsiTheme="minorHAnsi"/>
                <w:sz w:val="16"/>
                <w:szCs w:val="16"/>
              </w:rPr>
            </w:pPr>
            <w:r w:rsidRPr="002F1C2B">
              <w:rPr>
                <w:rFonts w:asciiTheme="minorHAnsi" w:hAnsiTheme="minorHAnsi"/>
                <w:sz w:val="16"/>
                <w:szCs w:val="16"/>
              </w:rPr>
              <w:t>As the administ</w:t>
            </w:r>
            <w:r>
              <w:rPr>
                <w:rFonts w:asciiTheme="minorHAnsi" w:hAnsiTheme="minorHAnsi"/>
                <w:sz w:val="16"/>
                <w:szCs w:val="16"/>
              </w:rPr>
              <w:t>rator</w:t>
            </w:r>
            <w:r w:rsidRPr="002F1C2B">
              <w:rPr>
                <w:rFonts w:asciiTheme="minorHAnsi" w:hAnsiTheme="minorHAnsi"/>
                <w:sz w:val="16"/>
                <w:szCs w:val="16"/>
              </w:rPr>
              <w:t xml:space="preserve"> of the CCCFR grant, staff from the Department were consulted during multiple periods of the early review process, including when developing the </w:t>
            </w:r>
            <w:r>
              <w:rPr>
                <w:rFonts w:asciiTheme="minorHAnsi" w:hAnsiTheme="minorHAnsi"/>
                <w:sz w:val="16"/>
                <w:szCs w:val="16"/>
              </w:rPr>
              <w:t>review</w:t>
            </w:r>
            <w:r w:rsidRPr="002F1C2B">
              <w:rPr>
                <w:rFonts w:asciiTheme="minorHAnsi" w:hAnsiTheme="minorHAnsi"/>
                <w:sz w:val="16"/>
                <w:szCs w:val="16"/>
              </w:rPr>
              <w:t xml:space="preserve"> framework.</w:t>
            </w:r>
            <w:r>
              <w:rPr>
                <w:rFonts w:asciiTheme="minorHAnsi" w:hAnsiTheme="minorHAnsi"/>
                <w:sz w:val="16"/>
                <w:szCs w:val="16"/>
              </w:rPr>
              <w:t xml:space="preserve"> </w:t>
            </w:r>
            <w:r w:rsidRPr="002F1C2B">
              <w:rPr>
                <w:rFonts w:asciiTheme="minorHAnsi" w:hAnsiTheme="minorHAnsi"/>
                <w:sz w:val="16"/>
                <w:szCs w:val="16"/>
              </w:rPr>
              <w:t xml:space="preserve">In addition, specific staff members within the Department were consulted in their role in relation the CCCFR grant, such as </w:t>
            </w:r>
            <w:r w:rsidR="1C7FD348" w:rsidRPr="1424395C">
              <w:rPr>
                <w:rFonts w:asciiTheme="minorHAnsi" w:hAnsiTheme="minorHAnsi"/>
                <w:sz w:val="16"/>
                <w:szCs w:val="16"/>
              </w:rPr>
              <w:t xml:space="preserve">CCCFR </w:t>
            </w:r>
            <w:r w:rsidRPr="002F1C2B">
              <w:rPr>
                <w:rFonts w:asciiTheme="minorHAnsi" w:hAnsiTheme="minorHAnsi"/>
                <w:sz w:val="16"/>
                <w:szCs w:val="16"/>
              </w:rPr>
              <w:t xml:space="preserve">Program Officers, as well as others with an identified high level of organisational knowledge who were able to provide key insights to support early-stage research for the review. </w:t>
            </w:r>
          </w:p>
          <w:p w14:paraId="09F54432" w14:textId="558CC07D" w:rsidR="00824897" w:rsidRPr="002F1C2B" w:rsidRDefault="3F46FF8D">
            <w:pPr>
              <w:pStyle w:val="NoSpacing"/>
              <w:spacing w:after="120"/>
              <w:rPr>
                <w:rFonts w:asciiTheme="minorHAnsi" w:hAnsiTheme="minorHAnsi"/>
                <w:sz w:val="16"/>
                <w:szCs w:val="16"/>
              </w:rPr>
            </w:pPr>
            <w:r w:rsidRPr="1424395C">
              <w:rPr>
                <w:rFonts w:asciiTheme="minorHAnsi" w:hAnsiTheme="minorHAnsi"/>
                <w:sz w:val="16"/>
                <w:szCs w:val="16"/>
              </w:rPr>
              <w:t xml:space="preserve">CCCFR </w:t>
            </w:r>
            <w:r w:rsidR="00824897" w:rsidRPr="002F1C2B">
              <w:rPr>
                <w:rFonts w:asciiTheme="minorHAnsi" w:hAnsiTheme="minorHAnsi"/>
                <w:sz w:val="16"/>
                <w:szCs w:val="16"/>
              </w:rPr>
              <w:t xml:space="preserve">Program Officers </w:t>
            </w:r>
            <w:r w:rsidR="6489BAA1" w:rsidRPr="7D66056E">
              <w:rPr>
                <w:rFonts w:asciiTheme="minorHAnsi" w:hAnsiTheme="minorHAnsi"/>
                <w:sz w:val="16"/>
                <w:szCs w:val="16"/>
              </w:rPr>
              <w:t>were</w:t>
            </w:r>
            <w:r w:rsidR="00824897" w:rsidRPr="002F1C2B">
              <w:rPr>
                <w:rFonts w:asciiTheme="minorHAnsi" w:hAnsiTheme="minorHAnsi"/>
                <w:sz w:val="16"/>
                <w:szCs w:val="16"/>
              </w:rPr>
              <w:t xml:space="preserve"> consulted to ‘test and validate’ the review’s emerging hypotheses from the consultations with services and families, including an in-person workshop on 2 November 2023 to unpack discussions with services (in a de-identified manner), including confirming key insights requiring further analysis or consideration.</w:t>
            </w:r>
          </w:p>
          <w:p w14:paraId="2145E5B8" w14:textId="54E95BFF" w:rsidR="00824897" w:rsidRPr="002F1C2B" w:rsidRDefault="00824897">
            <w:pPr>
              <w:spacing w:after="0"/>
              <w:rPr>
                <w:rFonts w:asciiTheme="minorHAnsi" w:hAnsiTheme="minorHAnsi"/>
                <w:sz w:val="16"/>
                <w:szCs w:val="16"/>
              </w:rPr>
            </w:pPr>
            <w:r w:rsidRPr="002F1C2B">
              <w:rPr>
                <w:rFonts w:asciiTheme="minorHAnsi" w:hAnsiTheme="minorHAnsi"/>
                <w:sz w:val="16"/>
                <w:szCs w:val="16"/>
              </w:rPr>
              <w:t xml:space="preserve">In addition to </w:t>
            </w:r>
            <w:r w:rsidR="70F71C13" w:rsidRPr="1424395C">
              <w:rPr>
                <w:rFonts w:asciiTheme="minorHAnsi" w:hAnsiTheme="minorHAnsi"/>
                <w:sz w:val="16"/>
                <w:szCs w:val="16"/>
              </w:rPr>
              <w:t xml:space="preserve">CCCFR </w:t>
            </w:r>
            <w:r w:rsidRPr="002F1C2B">
              <w:rPr>
                <w:rFonts w:asciiTheme="minorHAnsi" w:hAnsiTheme="minorHAnsi"/>
                <w:sz w:val="16"/>
                <w:szCs w:val="16"/>
              </w:rPr>
              <w:t xml:space="preserve">Program Officer and CCCFR team members, further consultation </w:t>
            </w:r>
            <w:r w:rsidR="6905C7A2" w:rsidRPr="7D66056E">
              <w:rPr>
                <w:rFonts w:asciiTheme="minorHAnsi" w:hAnsiTheme="minorHAnsi"/>
                <w:sz w:val="16"/>
                <w:szCs w:val="16"/>
              </w:rPr>
              <w:t>was</w:t>
            </w:r>
            <w:r w:rsidRPr="002F1C2B">
              <w:rPr>
                <w:rFonts w:asciiTheme="minorHAnsi" w:hAnsiTheme="minorHAnsi"/>
                <w:sz w:val="16"/>
                <w:szCs w:val="16"/>
              </w:rPr>
              <w:t xml:space="preserve"> undertaken with Departmental executives.</w:t>
            </w:r>
          </w:p>
        </w:tc>
      </w:tr>
      <w:tr w:rsidR="00824897" w:rsidRPr="007D7AD0" w14:paraId="2F84756B" w14:textId="77777777" w:rsidTr="2B91AEFB">
        <w:trPr>
          <w:trHeight w:val="22"/>
        </w:trPr>
        <w:tc>
          <w:tcPr>
            <w:tcW w:w="1691" w:type="dxa"/>
          </w:tcPr>
          <w:p w14:paraId="07E25889" w14:textId="77777777" w:rsidR="00824897" w:rsidRPr="002F1C2B" w:rsidRDefault="00824897">
            <w:pPr>
              <w:spacing w:after="0"/>
              <w:rPr>
                <w:rFonts w:asciiTheme="minorHAnsi" w:hAnsiTheme="minorHAnsi" w:cs="Arial"/>
                <w:b/>
                <w:bCs/>
                <w:color w:val="000000" w:themeColor="text1"/>
                <w:kern w:val="24"/>
                <w:sz w:val="16"/>
                <w:szCs w:val="16"/>
              </w:rPr>
            </w:pPr>
            <w:r w:rsidRPr="002F1C2B">
              <w:rPr>
                <w:rFonts w:asciiTheme="minorHAnsi" w:hAnsiTheme="minorHAnsi" w:cs="Arial"/>
                <w:b/>
                <w:bCs/>
                <w:color w:val="000000" w:themeColor="text1"/>
                <w:kern w:val="24"/>
                <w:sz w:val="16"/>
                <w:szCs w:val="16"/>
              </w:rPr>
              <w:t>Broader Australian Government agencies</w:t>
            </w:r>
          </w:p>
          <w:p w14:paraId="116B2802" w14:textId="77777777" w:rsidR="00824897" w:rsidRPr="002F1C2B" w:rsidRDefault="00824897">
            <w:pPr>
              <w:spacing w:after="0"/>
              <w:rPr>
                <w:rFonts w:asciiTheme="minorHAnsi" w:hAnsiTheme="minorHAnsi"/>
                <w:sz w:val="16"/>
                <w:szCs w:val="16"/>
              </w:rPr>
            </w:pPr>
          </w:p>
        </w:tc>
        <w:tc>
          <w:tcPr>
            <w:tcW w:w="7901" w:type="dxa"/>
            <w:shd w:val="clear" w:color="auto" w:fill="auto"/>
            <w:tcMar>
              <w:top w:w="72" w:type="dxa"/>
              <w:left w:w="144" w:type="dxa"/>
              <w:bottom w:w="72" w:type="dxa"/>
              <w:right w:w="144" w:type="dxa"/>
            </w:tcMar>
          </w:tcPr>
          <w:p w14:paraId="56EA9CF5" w14:textId="55B3049F" w:rsidR="00824897" w:rsidRPr="002F1C2B" w:rsidRDefault="00824897">
            <w:pPr>
              <w:spacing w:after="120"/>
              <w:rPr>
                <w:rFonts w:asciiTheme="minorHAnsi" w:hAnsiTheme="minorHAnsi"/>
                <w:sz w:val="16"/>
                <w:szCs w:val="16"/>
              </w:rPr>
            </w:pPr>
            <w:r w:rsidRPr="002F1C2B">
              <w:rPr>
                <w:rFonts w:asciiTheme="minorHAnsi" w:hAnsiTheme="minorHAnsi"/>
                <w:sz w:val="16"/>
                <w:szCs w:val="16"/>
              </w:rPr>
              <w:t>Requests for interview were sent to key stakeholders across broader Australian Government departments and agencies, recognising the intersection of other Commonwealth payments and policy areas with requirements for services and families under the CCCFR grant.</w:t>
            </w:r>
            <w:r>
              <w:rPr>
                <w:rFonts w:asciiTheme="minorHAnsi" w:hAnsiTheme="minorHAnsi"/>
                <w:sz w:val="16"/>
                <w:szCs w:val="16"/>
              </w:rPr>
              <w:t xml:space="preserve"> </w:t>
            </w:r>
            <w:r w:rsidR="2B5FA166" w:rsidRPr="2DE71865">
              <w:rPr>
                <w:rFonts w:asciiTheme="minorHAnsi" w:hAnsiTheme="minorHAnsi"/>
                <w:sz w:val="16"/>
                <w:szCs w:val="16"/>
              </w:rPr>
              <w:t>T</w:t>
            </w:r>
            <w:r w:rsidRPr="2DE71865">
              <w:rPr>
                <w:rFonts w:asciiTheme="minorHAnsi" w:hAnsiTheme="minorHAnsi"/>
                <w:sz w:val="16"/>
                <w:szCs w:val="16"/>
              </w:rPr>
              <w:t>he</w:t>
            </w:r>
            <w:r w:rsidRPr="002F1C2B">
              <w:rPr>
                <w:rFonts w:asciiTheme="minorHAnsi" w:hAnsiTheme="minorHAnsi"/>
                <w:sz w:val="16"/>
                <w:szCs w:val="16"/>
              </w:rPr>
              <w:t xml:space="preserve"> review team </w:t>
            </w:r>
            <w:r w:rsidRPr="2DE71865">
              <w:rPr>
                <w:rFonts w:asciiTheme="minorHAnsi" w:hAnsiTheme="minorHAnsi"/>
                <w:sz w:val="16"/>
                <w:szCs w:val="16"/>
              </w:rPr>
              <w:t>undert</w:t>
            </w:r>
            <w:r w:rsidR="769157FC" w:rsidRPr="2DE71865">
              <w:rPr>
                <w:rFonts w:asciiTheme="minorHAnsi" w:hAnsiTheme="minorHAnsi"/>
                <w:sz w:val="16"/>
                <w:szCs w:val="16"/>
              </w:rPr>
              <w:t>ook</w:t>
            </w:r>
            <w:r w:rsidRPr="002F1C2B">
              <w:rPr>
                <w:rFonts w:asciiTheme="minorHAnsi" w:hAnsiTheme="minorHAnsi"/>
                <w:sz w:val="16"/>
                <w:szCs w:val="16"/>
              </w:rPr>
              <w:t xml:space="preserve"> a number of consultations with </w:t>
            </w:r>
            <w:r w:rsidRPr="0BB94FA3">
              <w:rPr>
                <w:rFonts w:asciiTheme="minorHAnsi" w:hAnsiTheme="minorHAnsi"/>
                <w:sz w:val="16"/>
                <w:szCs w:val="16"/>
              </w:rPr>
              <w:t>ACECQA</w:t>
            </w:r>
            <w:r w:rsidRPr="002F1C2B">
              <w:rPr>
                <w:rFonts w:asciiTheme="minorHAnsi" w:hAnsiTheme="minorHAnsi"/>
                <w:sz w:val="16"/>
                <w:szCs w:val="16"/>
              </w:rPr>
              <w:t>, both in their role as the National Authority for the NQF, as well as their particular involvement in CCCFR grant arrangements through providing resources and ongoing training to grant recipients.</w:t>
            </w:r>
          </w:p>
          <w:p w14:paraId="019440BE" w14:textId="4CCBD189" w:rsidR="00824897" w:rsidRPr="002F1C2B" w:rsidRDefault="00824897" w:rsidP="15DF6FBA">
            <w:pPr>
              <w:spacing w:after="0"/>
              <w:rPr>
                <w:rFonts w:asciiTheme="minorHAnsi" w:hAnsiTheme="minorHAnsi"/>
                <w:sz w:val="16"/>
                <w:szCs w:val="16"/>
              </w:rPr>
            </w:pPr>
            <w:r w:rsidRPr="15DF6FBA">
              <w:rPr>
                <w:rFonts w:asciiTheme="minorHAnsi" w:hAnsiTheme="minorHAnsi"/>
                <w:sz w:val="16"/>
                <w:szCs w:val="16"/>
              </w:rPr>
              <w:t xml:space="preserve">Consultation with key staff from </w:t>
            </w:r>
            <w:r w:rsidR="1FE30C50" w:rsidRPr="15DF6FBA">
              <w:rPr>
                <w:rFonts w:asciiTheme="minorHAnsi" w:hAnsiTheme="minorHAnsi"/>
                <w:sz w:val="16"/>
                <w:szCs w:val="16"/>
              </w:rPr>
              <w:t xml:space="preserve">other </w:t>
            </w:r>
            <w:r w:rsidRPr="15DF6FBA">
              <w:rPr>
                <w:rFonts w:asciiTheme="minorHAnsi" w:hAnsiTheme="minorHAnsi"/>
                <w:sz w:val="16"/>
                <w:szCs w:val="16"/>
              </w:rPr>
              <w:t>Australian Government agencies</w:t>
            </w:r>
            <w:r w:rsidR="52DF5F94" w:rsidRPr="15DF6FBA">
              <w:rPr>
                <w:rFonts w:asciiTheme="minorHAnsi" w:hAnsiTheme="minorHAnsi"/>
                <w:sz w:val="16"/>
                <w:szCs w:val="16"/>
              </w:rPr>
              <w:t xml:space="preserve"> was also undertaken</w:t>
            </w:r>
            <w:r w:rsidR="237B938A" w:rsidRPr="15DF6FBA">
              <w:rPr>
                <w:rFonts w:asciiTheme="minorHAnsi" w:hAnsiTheme="minorHAnsi"/>
                <w:sz w:val="16"/>
                <w:szCs w:val="16"/>
              </w:rPr>
              <w:t>.</w:t>
            </w:r>
          </w:p>
        </w:tc>
      </w:tr>
      <w:tr w:rsidR="00824897" w:rsidRPr="007D7AD0" w14:paraId="1BA23F99" w14:textId="77777777" w:rsidTr="2B91AEFB">
        <w:trPr>
          <w:trHeight w:val="870"/>
        </w:trPr>
        <w:tc>
          <w:tcPr>
            <w:tcW w:w="1691" w:type="dxa"/>
          </w:tcPr>
          <w:p w14:paraId="07994CC9" w14:textId="77777777" w:rsidR="00824897" w:rsidRPr="002F1C2B" w:rsidRDefault="00824897">
            <w:pPr>
              <w:spacing w:after="0"/>
              <w:rPr>
                <w:rFonts w:asciiTheme="minorHAnsi" w:hAnsiTheme="minorHAnsi" w:cs="Arial"/>
                <w:b/>
                <w:bCs/>
                <w:color w:val="000000" w:themeColor="text1"/>
                <w:kern w:val="24"/>
                <w:sz w:val="16"/>
                <w:szCs w:val="16"/>
              </w:rPr>
            </w:pPr>
            <w:r w:rsidRPr="002F1C2B">
              <w:rPr>
                <w:rFonts w:asciiTheme="minorHAnsi" w:hAnsiTheme="minorHAnsi" w:cs="Arial"/>
                <w:b/>
                <w:bCs/>
                <w:color w:val="000000" w:themeColor="text1"/>
                <w:kern w:val="24"/>
                <w:sz w:val="16"/>
                <w:szCs w:val="16"/>
              </w:rPr>
              <w:t>State and territory governments and agencies</w:t>
            </w:r>
          </w:p>
          <w:p w14:paraId="1F2381DE" w14:textId="77777777" w:rsidR="00824897" w:rsidRPr="002F1C2B" w:rsidRDefault="00824897">
            <w:pPr>
              <w:spacing w:after="0"/>
              <w:rPr>
                <w:rFonts w:asciiTheme="minorHAnsi" w:hAnsiTheme="minorHAnsi"/>
                <w:sz w:val="16"/>
                <w:szCs w:val="16"/>
              </w:rPr>
            </w:pPr>
          </w:p>
        </w:tc>
        <w:tc>
          <w:tcPr>
            <w:tcW w:w="7901" w:type="dxa"/>
            <w:shd w:val="clear" w:color="auto" w:fill="auto"/>
            <w:tcMar>
              <w:top w:w="72" w:type="dxa"/>
              <w:left w:w="144" w:type="dxa"/>
              <w:bottom w:w="72" w:type="dxa"/>
              <w:right w:w="144" w:type="dxa"/>
            </w:tcMar>
          </w:tcPr>
          <w:p w14:paraId="3039DE61" w14:textId="57ADD99A" w:rsidR="00824897" w:rsidRPr="002F1C2B" w:rsidRDefault="00824897">
            <w:pPr>
              <w:spacing w:after="120"/>
              <w:rPr>
                <w:rFonts w:asciiTheme="minorHAnsi" w:hAnsiTheme="minorHAnsi"/>
                <w:sz w:val="16"/>
                <w:szCs w:val="16"/>
              </w:rPr>
            </w:pPr>
            <w:r w:rsidRPr="002F1C2B">
              <w:rPr>
                <w:rFonts w:asciiTheme="minorHAnsi" w:hAnsiTheme="minorHAnsi"/>
                <w:sz w:val="16"/>
                <w:szCs w:val="16"/>
              </w:rPr>
              <w:t xml:space="preserve">State and territory governments were invited to </w:t>
            </w:r>
            <w:r w:rsidRPr="10B7C50F">
              <w:rPr>
                <w:rFonts w:asciiTheme="minorHAnsi" w:hAnsiTheme="minorHAnsi"/>
                <w:sz w:val="16"/>
                <w:szCs w:val="16"/>
              </w:rPr>
              <w:t>consult</w:t>
            </w:r>
            <w:r w:rsidRPr="002F1C2B">
              <w:rPr>
                <w:rFonts w:asciiTheme="minorHAnsi" w:hAnsiTheme="minorHAnsi"/>
                <w:sz w:val="16"/>
                <w:szCs w:val="16"/>
              </w:rPr>
              <w:t xml:space="preserve"> with the review team</w:t>
            </w:r>
            <w:r>
              <w:rPr>
                <w:rFonts w:asciiTheme="minorHAnsi" w:hAnsiTheme="minorHAnsi"/>
                <w:sz w:val="16"/>
                <w:szCs w:val="16"/>
              </w:rPr>
              <w:t xml:space="preserve">, namely </w:t>
            </w:r>
            <w:r w:rsidRPr="002F1C2B">
              <w:rPr>
                <w:rFonts w:asciiTheme="minorHAnsi" w:hAnsiTheme="minorHAnsi"/>
                <w:sz w:val="16"/>
                <w:szCs w:val="16"/>
              </w:rPr>
              <w:t>education departments</w:t>
            </w:r>
            <w:r>
              <w:rPr>
                <w:rFonts w:asciiTheme="minorHAnsi" w:hAnsiTheme="minorHAnsi"/>
                <w:sz w:val="16"/>
                <w:szCs w:val="16"/>
              </w:rPr>
              <w:t xml:space="preserve">, </w:t>
            </w:r>
            <w:r w:rsidRPr="002F1C2B">
              <w:rPr>
                <w:rFonts w:asciiTheme="minorHAnsi" w:hAnsiTheme="minorHAnsi"/>
                <w:sz w:val="16"/>
                <w:szCs w:val="16"/>
              </w:rPr>
              <w:t>regulatory authorities for early childhood services</w:t>
            </w:r>
            <w:r>
              <w:rPr>
                <w:rFonts w:asciiTheme="minorHAnsi" w:hAnsiTheme="minorHAnsi"/>
                <w:sz w:val="16"/>
                <w:szCs w:val="16"/>
              </w:rPr>
              <w:t xml:space="preserve"> and </w:t>
            </w:r>
            <w:r w:rsidRPr="002F1C2B">
              <w:rPr>
                <w:rFonts w:asciiTheme="minorHAnsi" w:hAnsiTheme="minorHAnsi"/>
                <w:sz w:val="16"/>
                <w:szCs w:val="16"/>
              </w:rPr>
              <w:t>relevant social services and community agencies through identified working groups or committees</w:t>
            </w:r>
            <w:r>
              <w:rPr>
                <w:rFonts w:asciiTheme="minorHAnsi" w:hAnsiTheme="minorHAnsi"/>
                <w:sz w:val="16"/>
                <w:szCs w:val="16"/>
              </w:rPr>
              <w:t>.</w:t>
            </w:r>
          </w:p>
          <w:p w14:paraId="3714FE53" w14:textId="77777777" w:rsidR="00824897" w:rsidRPr="002F1C2B" w:rsidRDefault="00824897">
            <w:pPr>
              <w:spacing w:after="0"/>
              <w:rPr>
                <w:rFonts w:asciiTheme="minorHAnsi" w:hAnsiTheme="minorHAnsi"/>
                <w:sz w:val="16"/>
                <w:szCs w:val="16"/>
              </w:rPr>
            </w:pPr>
            <w:r w:rsidRPr="002F1C2B">
              <w:rPr>
                <w:rFonts w:asciiTheme="minorHAnsi" w:hAnsiTheme="minorHAnsi"/>
                <w:sz w:val="16"/>
                <w:szCs w:val="16"/>
              </w:rPr>
              <w:t>To engage with the most appropriate contact at state or territory agencies, the review team (with support from Departmental staff) sent open invitations to members of the following working groups and committees:</w:t>
            </w:r>
          </w:p>
          <w:p w14:paraId="3B6D987F" w14:textId="1AD45083" w:rsidR="00824897" w:rsidRPr="00CF5BFF" w:rsidRDefault="00824897">
            <w:pPr>
              <w:pStyle w:val="ListBullet"/>
              <w:rPr>
                <w:sz w:val="16"/>
                <w:szCs w:val="16"/>
              </w:rPr>
            </w:pPr>
            <w:r w:rsidRPr="2B91AEFB">
              <w:rPr>
                <w:sz w:val="16"/>
                <w:szCs w:val="16"/>
              </w:rPr>
              <w:t>Early Childhood Care and Development Policy Partnership (E</w:t>
            </w:r>
            <w:r w:rsidR="5B0775CF" w:rsidRPr="2B91AEFB">
              <w:rPr>
                <w:sz w:val="16"/>
                <w:szCs w:val="16"/>
              </w:rPr>
              <w:t>C</w:t>
            </w:r>
            <w:r w:rsidRPr="2B91AEFB">
              <w:rPr>
                <w:sz w:val="16"/>
                <w:szCs w:val="16"/>
              </w:rPr>
              <w:t>C</w:t>
            </w:r>
            <w:r w:rsidR="65E0DADD" w:rsidRPr="2B91AEFB">
              <w:rPr>
                <w:sz w:val="16"/>
                <w:szCs w:val="16"/>
              </w:rPr>
              <w:t>D</w:t>
            </w:r>
            <w:r w:rsidRPr="2B91AEFB">
              <w:rPr>
                <w:sz w:val="16"/>
                <w:szCs w:val="16"/>
              </w:rPr>
              <w:t>PP)</w:t>
            </w:r>
          </w:p>
          <w:p w14:paraId="7680164D" w14:textId="77777777" w:rsidR="00824897" w:rsidRPr="00CF5BFF" w:rsidRDefault="00824897">
            <w:pPr>
              <w:pStyle w:val="ListBullet"/>
              <w:rPr>
                <w:sz w:val="16"/>
                <w:szCs w:val="16"/>
              </w:rPr>
            </w:pPr>
            <w:r w:rsidRPr="2B91AEFB">
              <w:rPr>
                <w:sz w:val="16"/>
                <w:szCs w:val="16"/>
              </w:rPr>
              <w:t>Early Childhood Policy Group (ECPG)</w:t>
            </w:r>
          </w:p>
          <w:p w14:paraId="2AE483D5" w14:textId="77777777" w:rsidR="00824897" w:rsidRPr="000D7E3A" w:rsidRDefault="00824897">
            <w:pPr>
              <w:pStyle w:val="ListBullet"/>
              <w:spacing w:after="120"/>
              <w:rPr>
                <w:rFonts w:asciiTheme="minorHAnsi" w:hAnsiTheme="minorHAnsi"/>
                <w:sz w:val="16"/>
                <w:szCs w:val="16"/>
              </w:rPr>
            </w:pPr>
            <w:r w:rsidRPr="2B91AEFB">
              <w:rPr>
                <w:sz w:val="16"/>
                <w:szCs w:val="16"/>
              </w:rPr>
              <w:t>Regulatory Practice Committee (RPC).</w:t>
            </w:r>
          </w:p>
        </w:tc>
      </w:tr>
      <w:tr w:rsidR="00824897" w:rsidRPr="007D7AD0" w14:paraId="508D8966" w14:textId="77777777" w:rsidTr="2B91AEFB">
        <w:trPr>
          <w:trHeight w:val="98"/>
        </w:trPr>
        <w:tc>
          <w:tcPr>
            <w:tcW w:w="1691" w:type="dxa"/>
          </w:tcPr>
          <w:p w14:paraId="3A6E936B" w14:textId="77777777" w:rsidR="00824897" w:rsidRPr="002F1C2B" w:rsidRDefault="00824897">
            <w:pPr>
              <w:spacing w:after="0"/>
              <w:rPr>
                <w:rFonts w:asciiTheme="minorHAnsi" w:hAnsiTheme="minorHAnsi" w:cs="Arial"/>
                <w:b/>
                <w:bCs/>
                <w:color w:val="000000" w:themeColor="text1"/>
                <w:kern w:val="24"/>
                <w:sz w:val="16"/>
                <w:szCs w:val="16"/>
              </w:rPr>
            </w:pPr>
            <w:r w:rsidRPr="002F1C2B">
              <w:rPr>
                <w:rFonts w:asciiTheme="minorHAnsi" w:hAnsiTheme="minorHAnsi" w:cs="Arial"/>
                <w:b/>
                <w:bCs/>
                <w:color w:val="000000" w:themeColor="text1"/>
                <w:kern w:val="24"/>
                <w:sz w:val="16"/>
                <w:szCs w:val="16"/>
              </w:rPr>
              <w:t>Peak bodies and advocacy organisations</w:t>
            </w:r>
          </w:p>
          <w:p w14:paraId="3F1A4A9C" w14:textId="77777777" w:rsidR="00824897" w:rsidRPr="002F1C2B" w:rsidRDefault="00824897">
            <w:pPr>
              <w:spacing w:after="0"/>
              <w:rPr>
                <w:rFonts w:asciiTheme="minorHAnsi" w:hAnsiTheme="minorHAnsi"/>
                <w:sz w:val="16"/>
                <w:szCs w:val="16"/>
              </w:rPr>
            </w:pPr>
          </w:p>
        </w:tc>
        <w:tc>
          <w:tcPr>
            <w:tcW w:w="7901" w:type="dxa"/>
            <w:shd w:val="clear" w:color="auto" w:fill="auto"/>
            <w:tcMar>
              <w:top w:w="72" w:type="dxa"/>
              <w:left w:w="144" w:type="dxa"/>
              <w:bottom w:w="72" w:type="dxa"/>
              <w:right w:w="144" w:type="dxa"/>
            </w:tcMar>
          </w:tcPr>
          <w:p w14:paraId="6EAD1B3C" w14:textId="77777777" w:rsidR="00824897" w:rsidRPr="002F1C2B" w:rsidRDefault="00824897">
            <w:pPr>
              <w:spacing w:after="120"/>
              <w:rPr>
                <w:rFonts w:asciiTheme="minorHAnsi" w:hAnsiTheme="minorHAnsi"/>
                <w:sz w:val="16"/>
                <w:szCs w:val="16"/>
              </w:rPr>
            </w:pPr>
            <w:r w:rsidRPr="002F1C2B">
              <w:rPr>
                <w:rFonts w:asciiTheme="minorHAnsi" w:hAnsiTheme="minorHAnsi"/>
                <w:sz w:val="16"/>
                <w:szCs w:val="16"/>
              </w:rPr>
              <w:t xml:space="preserve">Early years and </w:t>
            </w:r>
            <w:r>
              <w:rPr>
                <w:rFonts w:asciiTheme="minorHAnsi" w:hAnsiTheme="minorHAnsi"/>
                <w:sz w:val="16"/>
                <w:szCs w:val="16"/>
              </w:rPr>
              <w:t>Aboriginal and Torres Strait Islander</w:t>
            </w:r>
            <w:r w:rsidRPr="002F1C2B">
              <w:rPr>
                <w:rFonts w:asciiTheme="minorHAnsi" w:hAnsiTheme="minorHAnsi"/>
                <w:sz w:val="16"/>
                <w:szCs w:val="16"/>
              </w:rPr>
              <w:t xml:space="preserve"> peak bodies, sector and broader advocacy organisations were invited to provide feedback on the CCCFR grant as part of the review process. The scope of stakeholders as part of this group was determined between Deloitte Access Economics and the Department, leaning into existing relationships within early years and broader education policy committees and partnerships.</w:t>
            </w:r>
          </w:p>
          <w:p w14:paraId="01FAC177" w14:textId="38DCCDF0" w:rsidR="00824897" w:rsidRPr="002F1C2B" w:rsidRDefault="00F44374">
            <w:pPr>
              <w:spacing w:after="0"/>
              <w:rPr>
                <w:rFonts w:asciiTheme="minorHAnsi" w:hAnsiTheme="minorHAnsi"/>
                <w:sz w:val="16"/>
                <w:szCs w:val="16"/>
              </w:rPr>
            </w:pPr>
            <w:r>
              <w:rPr>
                <w:rFonts w:asciiTheme="minorHAnsi" w:hAnsiTheme="minorHAnsi"/>
                <w:sz w:val="16"/>
                <w:szCs w:val="16"/>
              </w:rPr>
              <w:t xml:space="preserve">To collect feedback from </w:t>
            </w:r>
            <w:r w:rsidRPr="002F1C2B">
              <w:rPr>
                <w:rFonts w:asciiTheme="minorHAnsi" w:hAnsiTheme="minorHAnsi"/>
                <w:sz w:val="16"/>
                <w:szCs w:val="16"/>
              </w:rPr>
              <w:t>peak body, sector and advocacy organisations</w:t>
            </w:r>
            <w:r>
              <w:rPr>
                <w:rFonts w:asciiTheme="minorHAnsi" w:hAnsiTheme="minorHAnsi"/>
                <w:sz w:val="16"/>
                <w:szCs w:val="16"/>
              </w:rPr>
              <w:t>, the Department supplied contact details of members on the following committees</w:t>
            </w:r>
            <w:r w:rsidR="006112B9">
              <w:rPr>
                <w:rFonts w:asciiTheme="minorHAnsi" w:hAnsiTheme="minorHAnsi"/>
                <w:sz w:val="16"/>
                <w:szCs w:val="16"/>
              </w:rPr>
              <w:t>, and requested individual requests be sent to members</w:t>
            </w:r>
            <w:r w:rsidR="00824897" w:rsidRPr="002F1C2B">
              <w:rPr>
                <w:rFonts w:asciiTheme="minorHAnsi" w:hAnsiTheme="minorHAnsi"/>
                <w:sz w:val="16"/>
                <w:szCs w:val="16"/>
              </w:rPr>
              <w:t xml:space="preserve"> on the</w:t>
            </w:r>
            <w:r>
              <w:rPr>
                <w:rFonts w:asciiTheme="minorHAnsi" w:hAnsiTheme="minorHAnsi"/>
                <w:sz w:val="16"/>
                <w:szCs w:val="16"/>
              </w:rPr>
              <w:t xml:space="preserve">: </w:t>
            </w:r>
          </w:p>
          <w:p w14:paraId="0BDC9EAB" w14:textId="43AFCBBD" w:rsidR="00824897" w:rsidRPr="002F1C2B" w:rsidRDefault="00824897" w:rsidP="00171325">
            <w:pPr>
              <w:pStyle w:val="ListParagraph"/>
              <w:numPr>
                <w:ilvl w:val="0"/>
                <w:numId w:val="3"/>
              </w:numPr>
              <w:spacing w:after="0"/>
              <w:rPr>
                <w:rFonts w:asciiTheme="minorHAnsi" w:hAnsiTheme="minorHAnsi"/>
                <w:sz w:val="16"/>
                <w:szCs w:val="16"/>
              </w:rPr>
            </w:pPr>
            <w:r w:rsidRPr="2B91AEFB">
              <w:rPr>
                <w:rFonts w:asciiTheme="minorHAnsi" w:hAnsiTheme="minorHAnsi"/>
                <w:sz w:val="16"/>
                <w:szCs w:val="16"/>
              </w:rPr>
              <w:t>EC</w:t>
            </w:r>
            <w:r w:rsidR="29CB1C3B" w:rsidRPr="2B91AEFB">
              <w:rPr>
                <w:rFonts w:asciiTheme="minorHAnsi" w:hAnsiTheme="minorHAnsi"/>
                <w:sz w:val="16"/>
                <w:szCs w:val="16"/>
              </w:rPr>
              <w:t>CD</w:t>
            </w:r>
            <w:r w:rsidRPr="2B91AEFB">
              <w:rPr>
                <w:rFonts w:asciiTheme="minorHAnsi" w:hAnsiTheme="minorHAnsi"/>
                <w:sz w:val="16"/>
                <w:szCs w:val="16"/>
              </w:rPr>
              <w:t>PP</w:t>
            </w:r>
          </w:p>
          <w:p w14:paraId="29BFAE96" w14:textId="77777777" w:rsidR="00824897" w:rsidRPr="002F1C2B" w:rsidRDefault="00824897" w:rsidP="00171325">
            <w:pPr>
              <w:pStyle w:val="ListParagraph"/>
              <w:numPr>
                <w:ilvl w:val="0"/>
                <w:numId w:val="3"/>
              </w:numPr>
              <w:spacing w:after="0"/>
              <w:contextualSpacing w:val="0"/>
              <w:rPr>
                <w:rFonts w:asciiTheme="minorHAnsi" w:hAnsiTheme="minorHAnsi"/>
                <w:sz w:val="16"/>
                <w:szCs w:val="16"/>
              </w:rPr>
            </w:pPr>
            <w:r w:rsidRPr="2B91AEFB">
              <w:rPr>
                <w:rFonts w:asciiTheme="minorHAnsi" w:hAnsiTheme="minorHAnsi"/>
                <w:sz w:val="16"/>
                <w:szCs w:val="16"/>
              </w:rPr>
              <w:t>Early Childhood Education and Care Reference Group (ECECRG).</w:t>
            </w:r>
          </w:p>
          <w:p w14:paraId="39997E42" w14:textId="5D999D7E" w:rsidR="00824897" w:rsidRPr="002F1C2B" w:rsidRDefault="00824897">
            <w:pPr>
              <w:spacing w:before="120" w:after="0"/>
              <w:rPr>
                <w:rFonts w:asciiTheme="minorHAnsi" w:hAnsiTheme="minorHAnsi"/>
                <w:sz w:val="16"/>
                <w:szCs w:val="16"/>
              </w:rPr>
            </w:pPr>
            <w:r w:rsidRPr="002F1C2B">
              <w:rPr>
                <w:rFonts w:asciiTheme="minorHAnsi" w:hAnsiTheme="minorHAnsi"/>
                <w:sz w:val="16"/>
                <w:szCs w:val="16"/>
              </w:rPr>
              <w:t>In addition, several additional peak body and advocacy organisations were invited to provide feedback around the CCCFR grant, recognising the broad scope of the grant’s intended objectives, outcomes and the unique nature of CCCFR</w:t>
            </w:r>
            <w:r w:rsidR="00205F77">
              <w:rPr>
                <w:rFonts w:asciiTheme="minorHAnsi" w:hAnsiTheme="minorHAnsi"/>
                <w:sz w:val="16"/>
                <w:szCs w:val="16"/>
              </w:rPr>
              <w:t xml:space="preserve"> </w:t>
            </w:r>
            <w:r w:rsidRPr="002F1C2B">
              <w:rPr>
                <w:rFonts w:asciiTheme="minorHAnsi" w:hAnsiTheme="minorHAnsi"/>
                <w:sz w:val="16"/>
                <w:szCs w:val="16"/>
              </w:rPr>
              <w:t>services.</w:t>
            </w:r>
          </w:p>
        </w:tc>
      </w:tr>
      <w:tr w:rsidR="00824897" w:rsidRPr="007D7AD0" w14:paraId="7AAE8836" w14:textId="77777777" w:rsidTr="2B91AEFB">
        <w:trPr>
          <w:trHeight w:val="98"/>
        </w:trPr>
        <w:tc>
          <w:tcPr>
            <w:tcW w:w="1691" w:type="dxa"/>
          </w:tcPr>
          <w:p w14:paraId="60DCE0EC" w14:textId="77777777" w:rsidR="00824897" w:rsidRPr="002F1C2B" w:rsidRDefault="00824897">
            <w:pPr>
              <w:spacing w:after="0"/>
              <w:rPr>
                <w:rFonts w:asciiTheme="minorHAnsi" w:hAnsiTheme="minorHAnsi" w:cs="Arial"/>
                <w:b/>
                <w:bCs/>
                <w:color w:val="000000" w:themeColor="text1"/>
                <w:kern w:val="24"/>
                <w:sz w:val="16"/>
                <w:szCs w:val="16"/>
              </w:rPr>
            </w:pPr>
            <w:r w:rsidRPr="002F1C2B">
              <w:rPr>
                <w:rFonts w:asciiTheme="minorHAnsi" w:hAnsiTheme="minorHAnsi" w:cs="Arial"/>
                <w:b/>
                <w:bCs/>
                <w:color w:val="000000" w:themeColor="text1"/>
                <w:kern w:val="24"/>
                <w:sz w:val="16"/>
                <w:szCs w:val="16"/>
              </w:rPr>
              <w:lastRenderedPageBreak/>
              <w:t>Researchers and academic bodies</w:t>
            </w:r>
          </w:p>
          <w:p w14:paraId="14ADB9E5" w14:textId="77777777" w:rsidR="00824897" w:rsidRPr="002F1C2B" w:rsidRDefault="00824897">
            <w:pPr>
              <w:spacing w:after="0"/>
              <w:rPr>
                <w:rFonts w:asciiTheme="minorHAnsi" w:hAnsiTheme="minorHAnsi" w:cs="Arial"/>
                <w:b/>
                <w:bCs/>
                <w:color w:val="000000" w:themeColor="text1"/>
                <w:kern w:val="24"/>
                <w:sz w:val="16"/>
                <w:szCs w:val="16"/>
              </w:rPr>
            </w:pPr>
          </w:p>
        </w:tc>
        <w:tc>
          <w:tcPr>
            <w:tcW w:w="7901" w:type="dxa"/>
            <w:shd w:val="clear" w:color="auto" w:fill="auto"/>
            <w:tcMar>
              <w:top w:w="72" w:type="dxa"/>
              <w:left w:w="144" w:type="dxa"/>
              <w:bottom w:w="72" w:type="dxa"/>
              <w:right w:w="144" w:type="dxa"/>
            </w:tcMar>
          </w:tcPr>
          <w:p w14:paraId="67C138D7" w14:textId="2264FAE4" w:rsidR="00824897" w:rsidRPr="002F1C2B" w:rsidRDefault="2D7B8F3B">
            <w:pPr>
              <w:spacing w:after="0"/>
              <w:rPr>
                <w:rFonts w:asciiTheme="minorHAnsi" w:hAnsiTheme="minorHAnsi"/>
                <w:sz w:val="16"/>
                <w:szCs w:val="16"/>
              </w:rPr>
            </w:pPr>
            <w:r w:rsidRPr="071A3115">
              <w:rPr>
                <w:rFonts w:asciiTheme="minorHAnsi" w:hAnsiTheme="minorHAnsi"/>
                <w:sz w:val="16"/>
                <w:szCs w:val="16"/>
              </w:rPr>
              <w:t>T</w:t>
            </w:r>
            <w:r w:rsidR="00824897" w:rsidRPr="071A3115">
              <w:rPr>
                <w:rFonts w:asciiTheme="minorHAnsi" w:hAnsiTheme="minorHAnsi"/>
                <w:sz w:val="16"/>
                <w:szCs w:val="16"/>
              </w:rPr>
              <w:t>he</w:t>
            </w:r>
            <w:r w:rsidR="00824897" w:rsidRPr="002F1C2B">
              <w:rPr>
                <w:rFonts w:asciiTheme="minorHAnsi" w:hAnsiTheme="minorHAnsi"/>
                <w:sz w:val="16"/>
                <w:szCs w:val="16"/>
              </w:rPr>
              <w:t xml:space="preserve"> review team sent invitations for feedback to several early years and </w:t>
            </w:r>
            <w:r w:rsidR="00824897">
              <w:rPr>
                <w:rFonts w:asciiTheme="minorHAnsi" w:hAnsiTheme="minorHAnsi"/>
                <w:sz w:val="16"/>
                <w:szCs w:val="16"/>
              </w:rPr>
              <w:t>Aboriginal and Torres Strait Islander</w:t>
            </w:r>
            <w:r w:rsidR="00824897" w:rsidRPr="002F1C2B">
              <w:rPr>
                <w:rFonts w:asciiTheme="minorHAnsi" w:hAnsiTheme="minorHAnsi"/>
                <w:sz w:val="16"/>
                <w:szCs w:val="16"/>
              </w:rPr>
              <w:t xml:space="preserve"> researchers, think tanks and broader research bodies.</w:t>
            </w:r>
            <w:r w:rsidR="00824897">
              <w:rPr>
                <w:rFonts w:asciiTheme="minorHAnsi" w:hAnsiTheme="minorHAnsi"/>
                <w:sz w:val="16"/>
                <w:szCs w:val="16"/>
              </w:rPr>
              <w:t xml:space="preserve"> However, those researchers and academic bodies who were invited to provide feedback were unable to participate, either due to a perceived lack of knowledge about the grant or limited organisational resources</w:t>
            </w:r>
            <w:r w:rsidR="00824897" w:rsidRPr="002F1C2B">
              <w:rPr>
                <w:rFonts w:asciiTheme="minorHAnsi" w:hAnsiTheme="minorHAnsi"/>
                <w:sz w:val="16"/>
                <w:szCs w:val="16"/>
              </w:rPr>
              <w:t>.</w:t>
            </w:r>
          </w:p>
        </w:tc>
      </w:tr>
      <w:tr w:rsidR="00824897" w:rsidRPr="007D7AD0" w14:paraId="2EF9E020" w14:textId="77777777" w:rsidTr="2B91AEFB">
        <w:trPr>
          <w:trHeight w:val="98"/>
        </w:trPr>
        <w:tc>
          <w:tcPr>
            <w:tcW w:w="1691" w:type="dxa"/>
            <w:vAlign w:val="center"/>
          </w:tcPr>
          <w:p w14:paraId="14AC8657" w14:textId="77777777" w:rsidR="00824897" w:rsidRPr="002F1C2B" w:rsidRDefault="00824897">
            <w:pPr>
              <w:spacing w:after="0"/>
              <w:rPr>
                <w:rFonts w:asciiTheme="minorHAnsi" w:hAnsiTheme="minorHAnsi" w:cs="Arial"/>
                <w:b/>
                <w:bCs/>
                <w:color w:val="000000" w:themeColor="text1"/>
                <w:kern w:val="24"/>
                <w:sz w:val="16"/>
                <w:szCs w:val="16"/>
              </w:rPr>
            </w:pPr>
            <w:r w:rsidRPr="002F1C2B">
              <w:rPr>
                <w:rFonts w:asciiTheme="minorHAnsi" w:hAnsiTheme="minorHAnsi" w:cs="Arial"/>
                <w:b/>
                <w:bCs/>
                <w:color w:val="000000" w:themeColor="text1"/>
                <w:kern w:val="24"/>
                <w:sz w:val="16"/>
                <w:szCs w:val="16"/>
              </w:rPr>
              <w:t>Community members and advocates</w:t>
            </w:r>
          </w:p>
          <w:p w14:paraId="39AA81DC" w14:textId="77777777" w:rsidR="00824897" w:rsidRPr="002F1C2B" w:rsidRDefault="00824897">
            <w:pPr>
              <w:rPr>
                <w:rFonts w:asciiTheme="minorHAnsi" w:hAnsiTheme="minorHAnsi" w:cs="Arial"/>
                <w:b/>
                <w:bCs/>
                <w:color w:val="000000" w:themeColor="text1"/>
                <w:kern w:val="24"/>
                <w:sz w:val="16"/>
                <w:szCs w:val="16"/>
              </w:rPr>
            </w:pPr>
          </w:p>
        </w:tc>
        <w:tc>
          <w:tcPr>
            <w:tcW w:w="7901" w:type="dxa"/>
            <w:shd w:val="clear" w:color="auto" w:fill="auto"/>
            <w:tcMar>
              <w:top w:w="72" w:type="dxa"/>
              <w:left w:w="144" w:type="dxa"/>
              <w:bottom w:w="72" w:type="dxa"/>
              <w:right w:w="144" w:type="dxa"/>
            </w:tcMar>
          </w:tcPr>
          <w:p w14:paraId="5D44AEFC" w14:textId="13161F72" w:rsidR="00824897" w:rsidRPr="002F1C2B" w:rsidRDefault="006112B9">
            <w:pPr>
              <w:spacing w:after="0"/>
              <w:rPr>
                <w:rFonts w:asciiTheme="minorHAnsi" w:hAnsiTheme="minorHAnsi"/>
                <w:sz w:val="16"/>
                <w:szCs w:val="16"/>
              </w:rPr>
            </w:pPr>
            <w:r w:rsidRPr="006112B9">
              <w:rPr>
                <w:rFonts w:asciiTheme="minorHAnsi" w:hAnsiTheme="minorHAnsi"/>
                <w:sz w:val="16"/>
                <w:szCs w:val="16"/>
              </w:rPr>
              <w:t xml:space="preserve">Deloitte was supplied with </w:t>
            </w:r>
            <w:r w:rsidR="008E23B8">
              <w:rPr>
                <w:rFonts w:asciiTheme="minorHAnsi" w:hAnsiTheme="minorHAnsi"/>
                <w:sz w:val="16"/>
                <w:szCs w:val="16"/>
              </w:rPr>
              <w:t>contact details</w:t>
            </w:r>
            <w:r w:rsidRPr="006112B9">
              <w:rPr>
                <w:rFonts w:asciiTheme="minorHAnsi" w:hAnsiTheme="minorHAnsi"/>
                <w:sz w:val="16"/>
                <w:szCs w:val="16"/>
              </w:rPr>
              <w:t xml:space="preserve"> </w:t>
            </w:r>
            <w:r w:rsidR="00D81668">
              <w:rPr>
                <w:rFonts w:asciiTheme="minorHAnsi" w:hAnsiTheme="minorHAnsi"/>
                <w:sz w:val="16"/>
                <w:szCs w:val="16"/>
              </w:rPr>
              <w:t>of</w:t>
            </w:r>
            <w:r w:rsidRPr="006112B9">
              <w:rPr>
                <w:rFonts w:asciiTheme="minorHAnsi" w:hAnsiTheme="minorHAnsi"/>
                <w:sz w:val="16"/>
                <w:szCs w:val="16"/>
              </w:rPr>
              <w:t xml:space="preserve"> </w:t>
            </w:r>
            <w:r w:rsidR="00824897">
              <w:rPr>
                <w:rFonts w:asciiTheme="minorHAnsi" w:hAnsiTheme="minorHAnsi"/>
                <w:sz w:val="16"/>
                <w:szCs w:val="16"/>
              </w:rPr>
              <w:t xml:space="preserve">members of the </w:t>
            </w:r>
            <w:r w:rsidR="00824897" w:rsidRPr="67D71E24">
              <w:rPr>
                <w:rFonts w:asciiTheme="minorHAnsi" w:hAnsiTheme="minorHAnsi"/>
                <w:sz w:val="16"/>
                <w:szCs w:val="16"/>
              </w:rPr>
              <w:t>E</w:t>
            </w:r>
            <w:r w:rsidR="14D9434B" w:rsidRPr="67D71E24">
              <w:rPr>
                <w:rFonts w:asciiTheme="minorHAnsi" w:hAnsiTheme="minorHAnsi"/>
                <w:sz w:val="16"/>
                <w:szCs w:val="16"/>
              </w:rPr>
              <w:t>C</w:t>
            </w:r>
            <w:r w:rsidR="00824897" w:rsidRPr="67D71E24">
              <w:rPr>
                <w:rFonts w:asciiTheme="minorHAnsi" w:hAnsiTheme="minorHAnsi"/>
                <w:sz w:val="16"/>
                <w:szCs w:val="16"/>
              </w:rPr>
              <w:t>C</w:t>
            </w:r>
            <w:r w:rsidR="2D0A6D6A" w:rsidRPr="67D71E24">
              <w:rPr>
                <w:rFonts w:asciiTheme="minorHAnsi" w:hAnsiTheme="minorHAnsi"/>
                <w:sz w:val="16"/>
                <w:szCs w:val="16"/>
              </w:rPr>
              <w:t>D</w:t>
            </w:r>
            <w:r w:rsidR="00824897" w:rsidRPr="67D71E24">
              <w:rPr>
                <w:rFonts w:asciiTheme="minorHAnsi" w:hAnsiTheme="minorHAnsi"/>
                <w:sz w:val="16"/>
                <w:szCs w:val="16"/>
              </w:rPr>
              <w:t>PP</w:t>
            </w:r>
            <w:r w:rsidR="00B06369">
              <w:rPr>
                <w:rFonts w:asciiTheme="minorHAnsi" w:hAnsiTheme="minorHAnsi"/>
                <w:sz w:val="16"/>
                <w:szCs w:val="16"/>
              </w:rPr>
              <w:t xml:space="preserve"> </w:t>
            </w:r>
            <w:r w:rsidR="00D81668">
              <w:rPr>
                <w:rFonts w:asciiTheme="minorHAnsi" w:hAnsiTheme="minorHAnsi"/>
                <w:sz w:val="16"/>
                <w:szCs w:val="16"/>
              </w:rPr>
              <w:t>by</w:t>
            </w:r>
            <w:r w:rsidRPr="006112B9">
              <w:rPr>
                <w:rFonts w:asciiTheme="minorHAnsi" w:hAnsiTheme="minorHAnsi"/>
                <w:sz w:val="16"/>
                <w:szCs w:val="16"/>
              </w:rPr>
              <w:t xml:space="preserve"> the Department</w:t>
            </w:r>
            <w:r w:rsidR="00D81668">
              <w:rPr>
                <w:rFonts w:asciiTheme="minorHAnsi" w:hAnsiTheme="minorHAnsi"/>
                <w:sz w:val="16"/>
                <w:szCs w:val="16"/>
              </w:rPr>
              <w:t>,</w:t>
            </w:r>
            <w:r w:rsidRPr="006112B9">
              <w:rPr>
                <w:rFonts w:asciiTheme="minorHAnsi" w:hAnsiTheme="minorHAnsi"/>
                <w:sz w:val="16"/>
                <w:szCs w:val="16"/>
              </w:rPr>
              <w:t xml:space="preserve"> and individual </w:t>
            </w:r>
            <w:r w:rsidR="00D81668">
              <w:rPr>
                <w:rFonts w:asciiTheme="minorHAnsi" w:hAnsiTheme="minorHAnsi"/>
                <w:sz w:val="16"/>
                <w:szCs w:val="16"/>
              </w:rPr>
              <w:t>emails were sent out.</w:t>
            </w:r>
            <w:r w:rsidR="00824897">
              <w:rPr>
                <w:rFonts w:asciiTheme="minorHAnsi" w:hAnsiTheme="minorHAnsi"/>
                <w:sz w:val="16"/>
                <w:szCs w:val="16"/>
              </w:rPr>
              <w:t xml:space="preserve"> This included </w:t>
            </w:r>
            <w:r w:rsidR="1B31A095" w:rsidRPr="1ED0F3BC">
              <w:rPr>
                <w:rFonts w:asciiTheme="minorHAnsi" w:hAnsiTheme="minorHAnsi"/>
                <w:sz w:val="16"/>
                <w:szCs w:val="16"/>
              </w:rPr>
              <w:t>Government representatives</w:t>
            </w:r>
            <w:r w:rsidR="00285FD1">
              <w:rPr>
                <w:rFonts w:asciiTheme="minorHAnsi" w:hAnsiTheme="minorHAnsi"/>
                <w:sz w:val="16"/>
                <w:szCs w:val="16"/>
              </w:rPr>
              <w:t xml:space="preserve">, </w:t>
            </w:r>
            <w:r w:rsidR="1B31A095" w:rsidRPr="1ED0F3BC">
              <w:rPr>
                <w:rFonts w:asciiTheme="minorHAnsi" w:hAnsiTheme="minorHAnsi"/>
                <w:sz w:val="16"/>
                <w:szCs w:val="16"/>
              </w:rPr>
              <w:t>Coalition of Peaks representatives,</w:t>
            </w:r>
            <w:r w:rsidR="00824897">
              <w:rPr>
                <w:rFonts w:asciiTheme="minorHAnsi" w:hAnsiTheme="minorHAnsi"/>
                <w:sz w:val="16"/>
                <w:szCs w:val="16"/>
              </w:rPr>
              <w:t xml:space="preserve"> and</w:t>
            </w:r>
            <w:r w:rsidR="1B31A095" w:rsidRPr="09F111C2">
              <w:rPr>
                <w:rFonts w:asciiTheme="minorHAnsi" w:hAnsiTheme="minorHAnsi"/>
                <w:sz w:val="16"/>
                <w:szCs w:val="16"/>
              </w:rPr>
              <w:t xml:space="preserve"> </w:t>
            </w:r>
            <w:r w:rsidR="1B31A095" w:rsidRPr="1ED0F3BC">
              <w:rPr>
                <w:rFonts w:asciiTheme="minorHAnsi" w:hAnsiTheme="minorHAnsi"/>
                <w:sz w:val="16"/>
                <w:szCs w:val="16"/>
              </w:rPr>
              <w:t>Independent Aboriginal and Torres Strait Islander representatives</w:t>
            </w:r>
            <w:r w:rsidR="00824897" w:rsidRPr="1ED0F3BC">
              <w:rPr>
                <w:rFonts w:asciiTheme="minorHAnsi" w:hAnsiTheme="minorHAnsi"/>
                <w:sz w:val="16"/>
                <w:szCs w:val="16"/>
              </w:rPr>
              <w:t>.</w:t>
            </w:r>
            <w:r w:rsidR="00824897">
              <w:rPr>
                <w:rFonts w:asciiTheme="minorHAnsi" w:hAnsiTheme="minorHAnsi"/>
                <w:sz w:val="16"/>
                <w:szCs w:val="16"/>
              </w:rPr>
              <w:t xml:space="preserve"> As this stakeholder group is substantially smaller</w:t>
            </w:r>
            <w:r w:rsidR="00824897" w:rsidRPr="002F1C2B">
              <w:rPr>
                <w:rFonts w:asciiTheme="minorHAnsi" w:hAnsiTheme="minorHAnsi"/>
                <w:sz w:val="16"/>
                <w:szCs w:val="16"/>
              </w:rPr>
              <w:t xml:space="preserve"> than other stakeholder types, observations from these stakeholders have been captured as ‘peak bodies and advocacy organisations’.</w:t>
            </w:r>
          </w:p>
        </w:tc>
      </w:tr>
    </w:tbl>
    <w:p w14:paraId="4317F8A7" w14:textId="5A908DDC" w:rsidR="00824897" w:rsidRPr="00F52CE0" w:rsidRDefault="00824897" w:rsidP="00824897">
      <w:pPr>
        <w:spacing w:before="120"/>
      </w:pPr>
      <w:r w:rsidRPr="002F1C2B">
        <w:t xml:space="preserve">Consultation guides provided to Department and broader stakeholders prior to interviews are included at </w:t>
      </w:r>
      <w:r w:rsidR="003B250C" w:rsidRPr="00C51FFE">
        <w:fldChar w:fldCharType="begin"/>
      </w:r>
      <w:r w:rsidR="003B250C" w:rsidRPr="00C51FFE">
        <w:instrText xml:space="preserve"> REF _Ref152875507 \r \h </w:instrText>
      </w:r>
      <w:r w:rsidR="005A6EC3" w:rsidRPr="00C51FFE">
        <w:instrText xml:space="preserve"> \* MERGEFORMAT </w:instrText>
      </w:r>
      <w:r w:rsidR="003B250C" w:rsidRPr="00C51FFE">
        <w:fldChar w:fldCharType="separate"/>
      </w:r>
      <w:r w:rsidR="00D300D0">
        <w:t>Appendix E</w:t>
      </w:r>
      <w:r w:rsidR="003B250C" w:rsidRPr="00C51FFE">
        <w:fldChar w:fldCharType="end"/>
      </w:r>
      <w:r w:rsidR="00D836E6">
        <w:t xml:space="preserve">, together with a list of </w:t>
      </w:r>
      <w:r w:rsidR="00692B04">
        <w:t>parties who were consulted with</w:t>
      </w:r>
      <w:r w:rsidRPr="00C51FFE">
        <w:t>.</w:t>
      </w:r>
    </w:p>
    <w:p w14:paraId="7D79F700" w14:textId="191CE312" w:rsidR="00824897" w:rsidRDefault="003B250C" w:rsidP="00824897">
      <w:r>
        <w:t>T</w:t>
      </w:r>
      <w:r w:rsidR="00824897">
        <w:t xml:space="preserve">he review team commenced consultations with </w:t>
      </w:r>
      <w:r w:rsidR="00824897" w:rsidRPr="005F4229">
        <w:t xml:space="preserve">Departmental staff, </w:t>
      </w:r>
      <w:r w:rsidR="00824897">
        <w:t>services, families,</w:t>
      </w:r>
      <w:r w:rsidR="00824897" w:rsidRPr="005F4229">
        <w:t xml:space="preserve"> and</w:t>
      </w:r>
      <w:r w:rsidR="00824897">
        <w:t xml:space="preserve"> local communities prior to </w:t>
      </w:r>
      <w:r w:rsidR="00824897" w:rsidRPr="005F4229">
        <w:t>interviews with broader stakeholders.</w:t>
      </w:r>
      <w:r w:rsidR="00824897">
        <w:t xml:space="preserve"> This staged approach ensured that detailed insights from services and families about the CCCFR grant could be taken into consideration when seeking supplementary feedback and insights from broader stakeholders.</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824897" w14:paraId="3613C9D4" w14:textId="77777777" w:rsidTr="001E479C">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4B05BC40" w14:textId="59BA0DAE" w:rsidR="00824897" w:rsidRPr="005341A0" w:rsidRDefault="003B250C">
            <w:pPr>
              <w:spacing w:before="120" w:after="120"/>
            </w:pPr>
            <w:r>
              <w:t>During the review</w:t>
            </w:r>
            <w:r w:rsidR="00824897" w:rsidRPr="00BF61A7">
              <w:t xml:space="preserve">, </w:t>
            </w:r>
            <w:r w:rsidR="00824897" w:rsidRPr="00163E17">
              <w:t>1</w:t>
            </w:r>
            <w:r w:rsidR="00C81B7B">
              <w:t>4</w:t>
            </w:r>
            <w:r w:rsidR="00824897">
              <w:t xml:space="preserve"> consultations </w:t>
            </w:r>
            <w:r>
              <w:t>were</w:t>
            </w:r>
            <w:r w:rsidR="00824897">
              <w:t xml:space="preserve"> undertaken with Departmental staff (Program Officers, CCCFR team and broader Department executive</w:t>
            </w:r>
            <w:r w:rsidR="00824897" w:rsidRPr="000E7E40">
              <w:t>) and 2</w:t>
            </w:r>
            <w:r w:rsidR="00BE0755">
              <w:t>8</w:t>
            </w:r>
            <w:r w:rsidR="00824897">
              <w:t xml:space="preserve"> consultations with broader government, sector, and broader community stakeholders.</w:t>
            </w:r>
            <w:r w:rsidR="00824897">
              <w:rPr>
                <w:rStyle w:val="FootnoteReference"/>
              </w:rPr>
              <w:footnoteReference w:id="86"/>
            </w:r>
            <w:r w:rsidR="00824897">
              <w:t xml:space="preserve"> </w:t>
            </w:r>
          </w:p>
        </w:tc>
      </w:tr>
    </w:tbl>
    <w:p w14:paraId="09904ECB" w14:textId="508F1806" w:rsidR="00474235" w:rsidRDefault="00474235" w:rsidP="00C51FFE">
      <w:pPr>
        <w:pStyle w:val="Heading2"/>
        <w:spacing w:after="120"/>
      </w:pPr>
      <w:bookmarkStart w:id="221" w:name="_Ref153387164"/>
      <w:bookmarkStart w:id="222" w:name="_Toc158993756"/>
      <w:bookmarkStart w:id="223" w:name="_Toc170227403"/>
      <w:r>
        <w:t>Secondary evidence</w:t>
      </w:r>
      <w:bookmarkEnd w:id="221"/>
      <w:bookmarkEnd w:id="222"/>
      <w:bookmarkEnd w:id="223"/>
    </w:p>
    <w:p w14:paraId="08C6DBB0" w14:textId="413E8927" w:rsidR="003958BF" w:rsidRDefault="00340EDF" w:rsidP="00474235">
      <w:r w:rsidRPr="00407CB0">
        <w:t>In addition to the primary evidence</w:t>
      </w:r>
      <w:r w:rsidR="00295B96" w:rsidRPr="00407CB0">
        <w:t xml:space="preserve">, this project also </w:t>
      </w:r>
      <w:r w:rsidR="00115479" w:rsidRPr="00407CB0">
        <w:t xml:space="preserve">relies on a range of </w:t>
      </w:r>
      <w:r w:rsidR="00AF64F7" w:rsidRPr="00407CB0">
        <w:t xml:space="preserve">secondary </w:t>
      </w:r>
      <w:r w:rsidR="00115479" w:rsidRPr="00407CB0">
        <w:t xml:space="preserve">data </w:t>
      </w:r>
      <w:r w:rsidR="00407CB0" w:rsidRPr="00407CB0">
        <w:t>sources</w:t>
      </w:r>
      <w:r w:rsidR="00115479" w:rsidRPr="00407CB0">
        <w:t xml:space="preserve"> in building an </w:t>
      </w:r>
      <w:r w:rsidR="00AF64F7" w:rsidRPr="00407CB0">
        <w:t>evidence</w:t>
      </w:r>
      <w:r w:rsidR="00115479" w:rsidRPr="00407CB0">
        <w:t xml:space="preserve"> </w:t>
      </w:r>
      <w:r w:rsidR="00407CB0" w:rsidRPr="00407CB0">
        <w:t xml:space="preserve">base to support the </w:t>
      </w:r>
      <w:r w:rsidR="00A473FB">
        <w:t>r</w:t>
      </w:r>
      <w:r w:rsidR="00540378">
        <w:t>eview</w:t>
      </w:r>
      <w:r w:rsidR="00FF4B97" w:rsidRPr="00407CB0">
        <w:t>.</w:t>
      </w:r>
      <w:r w:rsidR="009E2D05">
        <w:t xml:space="preserve"> The </w:t>
      </w:r>
      <w:r w:rsidR="003E49EA" w:rsidRPr="00622FA5">
        <w:t>s</w:t>
      </w:r>
      <w:r w:rsidR="00303DE6" w:rsidRPr="00622FA5">
        <w:t xml:space="preserve">econdary data </w:t>
      </w:r>
      <w:r w:rsidR="003E49EA" w:rsidRPr="00622FA5">
        <w:t>sources</w:t>
      </w:r>
      <w:r w:rsidR="00F768F3" w:rsidRPr="00622FA5">
        <w:t xml:space="preserve"> </w:t>
      </w:r>
      <w:r w:rsidR="009E2D05">
        <w:t>inform</w:t>
      </w:r>
      <w:r w:rsidR="00622FA5">
        <w:t>:</w:t>
      </w:r>
    </w:p>
    <w:p w14:paraId="129E1C18" w14:textId="7FB6293D" w:rsidR="00622FA5" w:rsidRDefault="00A473FB" w:rsidP="00622FA5">
      <w:pPr>
        <w:pStyle w:val="ListBullet"/>
      </w:pPr>
      <w:r>
        <w:t>a</w:t>
      </w:r>
      <w:r w:rsidR="00E645F1">
        <w:t xml:space="preserve">nalysis </w:t>
      </w:r>
      <w:r>
        <w:t>of</w:t>
      </w:r>
      <w:r w:rsidR="00E645F1">
        <w:t xml:space="preserve"> funding, </w:t>
      </w:r>
      <w:r w:rsidR="009E2D05">
        <w:t>cost</w:t>
      </w:r>
      <w:r w:rsidR="00E645F1">
        <w:t>s</w:t>
      </w:r>
      <w:r w:rsidR="009E2D05">
        <w:t xml:space="preserve"> and operational structure</w:t>
      </w:r>
      <w:r w:rsidR="00E645F1">
        <w:t>s</w:t>
      </w:r>
      <w:r w:rsidR="009E2D05">
        <w:t xml:space="preserve"> of </w:t>
      </w:r>
      <w:r w:rsidR="00E645F1">
        <w:t xml:space="preserve">CCCFR </w:t>
      </w:r>
      <w:r w:rsidR="009E2D05">
        <w:t>services</w:t>
      </w:r>
      <w:r w:rsidR="00E645F1">
        <w:t>, and implications for their ongoing financial sustainability</w:t>
      </w:r>
    </w:p>
    <w:p w14:paraId="76ECB9BD" w14:textId="117ECC81" w:rsidR="00F768F3" w:rsidRDefault="00A473FB" w:rsidP="00383714">
      <w:pPr>
        <w:pStyle w:val="ListBullet"/>
        <w:spacing w:after="170"/>
      </w:pPr>
      <w:r>
        <w:t>c</w:t>
      </w:r>
      <w:r w:rsidR="00D85F33">
        <w:t xml:space="preserve">hanges in the key </w:t>
      </w:r>
      <w:r w:rsidR="00383714">
        <w:t>outcomes of interest for the CCCFR grant over time, including child care participation, child developmental outcomes, and parental workforce participation.</w:t>
      </w:r>
    </w:p>
    <w:p w14:paraId="7FBD7B98" w14:textId="4FF67ACB" w:rsidR="005031D9" w:rsidRDefault="001241F0" w:rsidP="00197C58">
      <w:pPr>
        <w:spacing w:after="0"/>
      </w:pPr>
      <w:r w:rsidRPr="001241F0">
        <w:fldChar w:fldCharType="begin"/>
      </w:r>
      <w:r w:rsidRPr="001241F0">
        <w:instrText xml:space="preserve"> REF _Ref152859127 \r \h </w:instrText>
      </w:r>
      <w:r>
        <w:instrText xml:space="preserve"> \* MERGEFORMAT </w:instrText>
      </w:r>
      <w:r w:rsidRPr="001241F0">
        <w:fldChar w:fldCharType="separate"/>
      </w:r>
      <w:r w:rsidR="00D300D0">
        <w:t>Table 4.6</w:t>
      </w:r>
      <w:r w:rsidRPr="001241F0">
        <w:fldChar w:fldCharType="end"/>
      </w:r>
      <w:r w:rsidRPr="001241F0">
        <w:t xml:space="preserve"> includes </w:t>
      </w:r>
      <w:r w:rsidR="00FA2F77" w:rsidRPr="001241F0">
        <w:t xml:space="preserve">a detailed summary of </w:t>
      </w:r>
      <w:r w:rsidRPr="001241F0">
        <w:t xml:space="preserve">the individual </w:t>
      </w:r>
      <w:r w:rsidR="006540B0" w:rsidRPr="001241F0">
        <w:t>secondary data sources</w:t>
      </w:r>
      <w:r w:rsidR="00C954FB" w:rsidRPr="001241F0">
        <w:t>.</w:t>
      </w:r>
      <w:r w:rsidR="006540B0" w:rsidRPr="001241F0">
        <w:t xml:space="preserve"> </w:t>
      </w:r>
    </w:p>
    <w:p w14:paraId="5E1D73B8" w14:textId="77777777" w:rsidR="00DB0A25" w:rsidRDefault="00DB0A25" w:rsidP="00383714"/>
    <w:p w14:paraId="15A86BA0" w14:textId="461CE8D8" w:rsidR="005031D9" w:rsidRPr="001241F0" w:rsidRDefault="005031D9" w:rsidP="00197C58">
      <w:pPr>
        <w:spacing w:after="0"/>
        <w:sectPr w:rsidR="005031D9" w:rsidRPr="001241F0" w:rsidSect="005F043A">
          <w:headerReference w:type="even" r:id="rId63"/>
          <w:headerReference w:type="default" r:id="rId64"/>
          <w:footerReference w:type="default" r:id="rId65"/>
          <w:headerReference w:type="first" r:id="rId66"/>
          <w:pgSz w:w="11906" w:h="16838" w:code="9"/>
          <w:pgMar w:top="1440" w:right="1440" w:bottom="1440" w:left="1440" w:header="680" w:footer="425" w:gutter="0"/>
          <w:cols w:space="284"/>
          <w:docGrid w:linePitch="360"/>
        </w:sectPr>
      </w:pPr>
    </w:p>
    <w:p w14:paraId="317F607E" w14:textId="77777777" w:rsidR="005031D9" w:rsidRPr="008965A6" w:rsidRDefault="005031D9" w:rsidP="00A975E6"/>
    <w:p w14:paraId="0E552EAB" w14:textId="1C2A7397" w:rsidR="0086013C" w:rsidRPr="008965A6" w:rsidRDefault="00FA2F77" w:rsidP="0086013C">
      <w:pPr>
        <w:pStyle w:val="CaptionTable"/>
      </w:pPr>
      <w:bookmarkStart w:id="224" w:name="_Ref152859127"/>
      <w:bookmarkStart w:id="225" w:name="_Toc158997966"/>
      <w:bookmarkStart w:id="226" w:name="_Toc167130712"/>
      <w:r w:rsidRPr="008965A6">
        <w:t xml:space="preserve">: </w:t>
      </w:r>
      <w:r w:rsidR="00717B36" w:rsidRPr="008965A6">
        <w:t>Overview of s</w:t>
      </w:r>
      <w:r w:rsidRPr="008965A6">
        <w:t>econdary data sources</w:t>
      </w:r>
      <w:bookmarkEnd w:id="224"/>
      <w:bookmarkEnd w:id="225"/>
      <w:bookmarkEnd w:id="226"/>
    </w:p>
    <w:tbl>
      <w:tblPr>
        <w:tblStyle w:val="Deloittetable"/>
        <w:tblW w:w="5000" w:type="pct"/>
        <w:tblLook w:val="0420" w:firstRow="1" w:lastRow="0" w:firstColumn="0" w:lastColumn="0" w:noHBand="0" w:noVBand="1"/>
      </w:tblPr>
      <w:tblGrid>
        <w:gridCol w:w="1742"/>
        <w:gridCol w:w="3079"/>
        <w:gridCol w:w="2691"/>
        <w:gridCol w:w="1845"/>
        <w:gridCol w:w="4601"/>
      </w:tblGrid>
      <w:tr w:rsidR="00F5274C" w:rsidRPr="00F5274C" w14:paraId="01B49AEF" w14:textId="460FDA75" w:rsidTr="2B91AEFB">
        <w:trPr>
          <w:cnfStyle w:val="100000000000" w:firstRow="1" w:lastRow="0" w:firstColumn="0" w:lastColumn="0" w:oddVBand="0" w:evenVBand="0" w:oddHBand="0" w:evenHBand="0" w:firstRowFirstColumn="0" w:firstRowLastColumn="0" w:lastRowFirstColumn="0" w:lastRowLastColumn="0"/>
          <w:trHeight w:val="599"/>
          <w:tblHeader/>
        </w:trPr>
        <w:tc>
          <w:tcPr>
            <w:tcW w:w="624" w:type="pct"/>
          </w:tcPr>
          <w:p w14:paraId="0D00788A" w14:textId="593CD3A8" w:rsidR="00FA2F77" w:rsidRPr="00693102" w:rsidRDefault="00FA2F77" w:rsidP="003B777B">
            <w:pPr>
              <w:rPr>
                <w:rFonts w:asciiTheme="minorHAnsi" w:hAnsiTheme="minorHAnsi"/>
                <w:b/>
                <w:bCs/>
                <w:color w:val="007CB0"/>
                <w:sz w:val="16"/>
                <w:szCs w:val="16"/>
              </w:rPr>
            </w:pPr>
            <w:r w:rsidRPr="00693102">
              <w:rPr>
                <w:rFonts w:asciiTheme="minorHAnsi" w:hAnsiTheme="minorHAnsi"/>
                <w:b/>
                <w:bCs/>
                <w:color w:val="007CB0"/>
                <w:sz w:val="16"/>
                <w:szCs w:val="16"/>
              </w:rPr>
              <w:t xml:space="preserve">Secondary </w:t>
            </w:r>
            <w:r w:rsidR="00A473FB" w:rsidRPr="00693102">
              <w:rPr>
                <w:rFonts w:asciiTheme="minorHAnsi" w:hAnsiTheme="minorHAnsi"/>
                <w:b/>
                <w:bCs/>
                <w:color w:val="007CB0"/>
                <w:sz w:val="16"/>
                <w:szCs w:val="16"/>
              </w:rPr>
              <w:t>d</w:t>
            </w:r>
            <w:r w:rsidRPr="00693102">
              <w:rPr>
                <w:rFonts w:asciiTheme="minorHAnsi" w:hAnsiTheme="minorHAnsi"/>
                <w:b/>
                <w:bCs/>
                <w:color w:val="007CB0"/>
                <w:sz w:val="16"/>
                <w:szCs w:val="16"/>
              </w:rPr>
              <w:t xml:space="preserve">ata </w:t>
            </w:r>
            <w:r w:rsidR="00A473FB" w:rsidRPr="00693102">
              <w:rPr>
                <w:rFonts w:asciiTheme="minorHAnsi" w:hAnsiTheme="minorHAnsi"/>
                <w:b/>
                <w:bCs/>
                <w:color w:val="007CB0"/>
                <w:sz w:val="16"/>
                <w:szCs w:val="16"/>
              </w:rPr>
              <w:t>s</w:t>
            </w:r>
            <w:r w:rsidRPr="00693102">
              <w:rPr>
                <w:rFonts w:asciiTheme="minorHAnsi" w:hAnsiTheme="minorHAnsi"/>
                <w:b/>
                <w:bCs/>
                <w:color w:val="007CB0"/>
                <w:sz w:val="16"/>
                <w:szCs w:val="16"/>
              </w:rPr>
              <w:t>ources</w:t>
            </w:r>
          </w:p>
        </w:tc>
        <w:tc>
          <w:tcPr>
            <w:tcW w:w="1103" w:type="pct"/>
          </w:tcPr>
          <w:p w14:paraId="661D00CD" w14:textId="2B5215B2" w:rsidR="00FA2F77" w:rsidRPr="00693102" w:rsidRDefault="00FA2F77" w:rsidP="003B777B">
            <w:pPr>
              <w:rPr>
                <w:rFonts w:asciiTheme="minorHAnsi" w:hAnsiTheme="minorHAnsi"/>
                <w:b/>
                <w:bCs/>
                <w:color w:val="007CB0"/>
                <w:sz w:val="16"/>
                <w:szCs w:val="16"/>
              </w:rPr>
            </w:pPr>
            <w:r w:rsidRPr="00693102">
              <w:rPr>
                <w:rFonts w:asciiTheme="minorHAnsi" w:hAnsiTheme="minorHAnsi"/>
                <w:b/>
                <w:bCs/>
                <w:color w:val="007CB0"/>
                <w:sz w:val="16"/>
                <w:szCs w:val="16"/>
              </w:rPr>
              <w:t xml:space="preserve">Overview of the </w:t>
            </w:r>
            <w:r w:rsidR="00A473FB" w:rsidRPr="00693102">
              <w:rPr>
                <w:rFonts w:asciiTheme="minorHAnsi" w:hAnsiTheme="minorHAnsi"/>
                <w:b/>
                <w:bCs/>
                <w:color w:val="007CB0"/>
                <w:sz w:val="16"/>
                <w:szCs w:val="16"/>
              </w:rPr>
              <w:t>d</w:t>
            </w:r>
            <w:r w:rsidR="00241D35" w:rsidRPr="00693102">
              <w:rPr>
                <w:rFonts w:asciiTheme="minorHAnsi" w:hAnsiTheme="minorHAnsi"/>
                <w:b/>
                <w:bCs/>
                <w:color w:val="007CB0"/>
                <w:sz w:val="16"/>
                <w:szCs w:val="16"/>
              </w:rPr>
              <w:t xml:space="preserve">ata </w:t>
            </w:r>
            <w:r w:rsidR="00A473FB" w:rsidRPr="00693102">
              <w:rPr>
                <w:rFonts w:asciiTheme="minorHAnsi" w:hAnsiTheme="minorHAnsi"/>
                <w:b/>
                <w:bCs/>
                <w:color w:val="007CB0"/>
                <w:sz w:val="16"/>
                <w:szCs w:val="16"/>
              </w:rPr>
              <w:t>s</w:t>
            </w:r>
            <w:r w:rsidR="00241D35" w:rsidRPr="00693102">
              <w:rPr>
                <w:rFonts w:asciiTheme="minorHAnsi" w:hAnsiTheme="minorHAnsi"/>
                <w:b/>
                <w:bCs/>
                <w:color w:val="007CB0"/>
                <w:sz w:val="16"/>
                <w:szCs w:val="16"/>
              </w:rPr>
              <w:t>ource</w:t>
            </w:r>
          </w:p>
        </w:tc>
        <w:tc>
          <w:tcPr>
            <w:tcW w:w="964" w:type="pct"/>
          </w:tcPr>
          <w:p w14:paraId="67C8D275" w14:textId="6759A56E" w:rsidR="00FA2F77" w:rsidRPr="00693102" w:rsidRDefault="00FA2F77" w:rsidP="003B777B">
            <w:pPr>
              <w:rPr>
                <w:rFonts w:asciiTheme="minorHAnsi" w:hAnsiTheme="minorHAnsi"/>
                <w:b/>
                <w:bCs/>
                <w:color w:val="007CB0"/>
                <w:sz w:val="16"/>
                <w:szCs w:val="16"/>
              </w:rPr>
            </w:pPr>
            <w:r w:rsidRPr="00693102">
              <w:rPr>
                <w:rFonts w:asciiTheme="minorHAnsi" w:hAnsiTheme="minorHAnsi"/>
                <w:b/>
                <w:bCs/>
                <w:color w:val="007CB0"/>
                <w:sz w:val="16"/>
                <w:szCs w:val="16"/>
              </w:rPr>
              <w:t xml:space="preserve">Relevant </w:t>
            </w:r>
            <w:r w:rsidR="00A473FB" w:rsidRPr="00693102">
              <w:rPr>
                <w:rFonts w:asciiTheme="minorHAnsi" w:hAnsiTheme="minorHAnsi"/>
                <w:b/>
                <w:bCs/>
                <w:color w:val="007CB0"/>
                <w:sz w:val="16"/>
                <w:szCs w:val="16"/>
              </w:rPr>
              <w:t>m</w:t>
            </w:r>
            <w:r w:rsidRPr="00693102">
              <w:rPr>
                <w:rFonts w:asciiTheme="minorHAnsi" w:hAnsiTheme="minorHAnsi"/>
                <w:b/>
                <w:bCs/>
                <w:color w:val="007CB0"/>
                <w:sz w:val="16"/>
                <w:szCs w:val="16"/>
              </w:rPr>
              <w:t xml:space="preserve">easures and </w:t>
            </w:r>
            <w:r w:rsidR="00A473FB" w:rsidRPr="00693102">
              <w:rPr>
                <w:rFonts w:asciiTheme="minorHAnsi" w:hAnsiTheme="minorHAnsi"/>
                <w:b/>
                <w:bCs/>
                <w:color w:val="007CB0"/>
                <w:sz w:val="16"/>
                <w:szCs w:val="16"/>
              </w:rPr>
              <w:t>v</w:t>
            </w:r>
            <w:r w:rsidRPr="00693102">
              <w:rPr>
                <w:rFonts w:asciiTheme="minorHAnsi" w:hAnsiTheme="minorHAnsi"/>
                <w:b/>
                <w:bCs/>
                <w:color w:val="007CB0"/>
                <w:sz w:val="16"/>
                <w:szCs w:val="16"/>
              </w:rPr>
              <w:t xml:space="preserve">ariables </w:t>
            </w:r>
          </w:p>
        </w:tc>
        <w:tc>
          <w:tcPr>
            <w:tcW w:w="661" w:type="pct"/>
          </w:tcPr>
          <w:p w14:paraId="5AD09E12" w14:textId="62C61743" w:rsidR="00BE0A56" w:rsidRPr="00693102" w:rsidRDefault="00BE0A56" w:rsidP="00540378">
            <w:pPr>
              <w:rPr>
                <w:rFonts w:asciiTheme="minorHAnsi" w:hAnsiTheme="minorHAnsi"/>
                <w:b/>
                <w:bCs/>
                <w:color w:val="007CB0"/>
                <w:sz w:val="16"/>
                <w:szCs w:val="16"/>
              </w:rPr>
            </w:pPr>
            <w:r w:rsidRPr="00693102">
              <w:rPr>
                <w:rFonts w:asciiTheme="minorHAnsi" w:hAnsiTheme="minorHAnsi"/>
                <w:b/>
                <w:bCs/>
                <w:color w:val="007CB0"/>
                <w:sz w:val="16"/>
                <w:szCs w:val="16"/>
              </w:rPr>
              <w:t xml:space="preserve">Relevant </w:t>
            </w:r>
            <w:r w:rsidR="00A473FB" w:rsidRPr="00693102">
              <w:rPr>
                <w:rFonts w:asciiTheme="minorHAnsi" w:hAnsiTheme="minorHAnsi"/>
                <w:b/>
                <w:bCs/>
                <w:color w:val="007CB0"/>
                <w:sz w:val="16"/>
                <w:szCs w:val="16"/>
              </w:rPr>
              <w:t>r</w:t>
            </w:r>
            <w:r w:rsidRPr="00693102">
              <w:rPr>
                <w:rFonts w:asciiTheme="minorHAnsi" w:hAnsiTheme="minorHAnsi"/>
                <w:b/>
                <w:bCs/>
                <w:color w:val="007CB0"/>
                <w:sz w:val="16"/>
                <w:szCs w:val="16"/>
              </w:rPr>
              <w:t xml:space="preserve">eview </w:t>
            </w:r>
            <w:r w:rsidR="00A473FB" w:rsidRPr="00693102">
              <w:rPr>
                <w:rFonts w:asciiTheme="minorHAnsi" w:hAnsiTheme="minorHAnsi"/>
                <w:b/>
                <w:bCs/>
                <w:color w:val="007CB0"/>
                <w:sz w:val="16"/>
                <w:szCs w:val="16"/>
              </w:rPr>
              <w:t>d</w:t>
            </w:r>
            <w:r w:rsidRPr="00693102">
              <w:rPr>
                <w:rFonts w:asciiTheme="minorHAnsi" w:hAnsiTheme="minorHAnsi"/>
                <w:b/>
                <w:bCs/>
                <w:color w:val="007CB0"/>
                <w:sz w:val="16"/>
                <w:szCs w:val="16"/>
              </w:rPr>
              <w:t>omains</w:t>
            </w:r>
          </w:p>
        </w:tc>
        <w:tc>
          <w:tcPr>
            <w:tcW w:w="1649" w:type="pct"/>
          </w:tcPr>
          <w:p w14:paraId="693C82BC" w14:textId="4457C7D6" w:rsidR="00FA2F77" w:rsidRPr="00693102" w:rsidRDefault="003B777B" w:rsidP="001241F0">
            <w:pPr>
              <w:rPr>
                <w:rFonts w:asciiTheme="minorHAnsi" w:hAnsiTheme="minorHAnsi"/>
                <w:b/>
                <w:bCs/>
                <w:color w:val="007CB0"/>
                <w:sz w:val="16"/>
                <w:szCs w:val="16"/>
              </w:rPr>
            </w:pPr>
            <w:r w:rsidRPr="00693102">
              <w:rPr>
                <w:rFonts w:asciiTheme="minorHAnsi" w:hAnsiTheme="minorHAnsi"/>
                <w:b/>
                <w:bCs/>
                <w:color w:val="007CB0"/>
                <w:sz w:val="16"/>
                <w:szCs w:val="16"/>
              </w:rPr>
              <w:t>Data limitations and implications</w:t>
            </w:r>
          </w:p>
        </w:tc>
      </w:tr>
      <w:tr w:rsidR="00F5274C" w:rsidRPr="00F5274C" w14:paraId="05F1528F" w14:textId="15BB41AC" w:rsidTr="2B91AEFB">
        <w:trPr>
          <w:trHeight w:val="1985"/>
        </w:trPr>
        <w:tc>
          <w:tcPr>
            <w:tcW w:w="624" w:type="pct"/>
          </w:tcPr>
          <w:p w14:paraId="08A869DE" w14:textId="3473D9DD" w:rsidR="00FA2F77" w:rsidRPr="00F5274C" w:rsidRDefault="00C954FB">
            <w:pPr>
              <w:spacing w:after="0"/>
              <w:rPr>
                <w:rFonts w:asciiTheme="minorHAnsi" w:hAnsiTheme="minorHAnsi"/>
                <w:b/>
                <w:bCs/>
                <w:sz w:val="16"/>
                <w:szCs w:val="16"/>
              </w:rPr>
            </w:pPr>
            <w:r w:rsidRPr="00F5274C">
              <w:rPr>
                <w:rFonts w:asciiTheme="minorHAnsi" w:hAnsiTheme="minorHAnsi"/>
                <w:b/>
                <w:bCs/>
                <w:sz w:val="16"/>
                <w:szCs w:val="16"/>
              </w:rPr>
              <w:t xml:space="preserve">CCCFR service </w:t>
            </w:r>
            <w:r w:rsidR="00CC63D7">
              <w:rPr>
                <w:rFonts w:asciiTheme="minorHAnsi" w:hAnsiTheme="minorHAnsi"/>
                <w:b/>
                <w:bCs/>
                <w:sz w:val="16"/>
                <w:szCs w:val="16"/>
              </w:rPr>
              <w:t>f</w:t>
            </w:r>
            <w:r w:rsidRPr="00F5274C">
              <w:rPr>
                <w:rFonts w:asciiTheme="minorHAnsi" w:hAnsiTheme="minorHAnsi"/>
                <w:b/>
                <w:bCs/>
                <w:sz w:val="16"/>
                <w:szCs w:val="16"/>
              </w:rPr>
              <w:t xml:space="preserve">inancial </w:t>
            </w:r>
            <w:r w:rsidR="00CC63D7">
              <w:rPr>
                <w:rFonts w:asciiTheme="minorHAnsi" w:hAnsiTheme="minorHAnsi"/>
                <w:b/>
                <w:bCs/>
                <w:sz w:val="16"/>
                <w:szCs w:val="16"/>
              </w:rPr>
              <w:t>a</w:t>
            </w:r>
            <w:r w:rsidRPr="00F5274C">
              <w:rPr>
                <w:rFonts w:asciiTheme="minorHAnsi" w:hAnsiTheme="minorHAnsi"/>
                <w:b/>
                <w:bCs/>
                <w:sz w:val="16"/>
                <w:szCs w:val="16"/>
              </w:rPr>
              <w:t>cquittal reports</w:t>
            </w:r>
          </w:p>
        </w:tc>
        <w:tc>
          <w:tcPr>
            <w:tcW w:w="1103" w:type="pct"/>
          </w:tcPr>
          <w:p w14:paraId="1B50CDBB" w14:textId="63758C8F" w:rsidR="00FA2F77" w:rsidRPr="00F5274C" w:rsidRDefault="001C2C92" w:rsidP="00993132">
            <w:pPr>
              <w:rPr>
                <w:sz w:val="16"/>
                <w:szCs w:val="16"/>
              </w:rPr>
            </w:pPr>
            <w:r w:rsidRPr="00F5274C">
              <w:rPr>
                <w:sz w:val="16"/>
                <w:szCs w:val="16"/>
              </w:rPr>
              <w:t>CCCFR funded service</w:t>
            </w:r>
            <w:r w:rsidR="002158A4" w:rsidRPr="00F5274C">
              <w:rPr>
                <w:sz w:val="16"/>
                <w:szCs w:val="16"/>
              </w:rPr>
              <w:t>s</w:t>
            </w:r>
            <w:r w:rsidRPr="00F5274C">
              <w:rPr>
                <w:sz w:val="16"/>
                <w:szCs w:val="16"/>
              </w:rPr>
              <w:t xml:space="preserve"> </w:t>
            </w:r>
            <w:r w:rsidR="00EF7EDD" w:rsidRPr="00F5274C">
              <w:rPr>
                <w:sz w:val="16"/>
                <w:szCs w:val="16"/>
              </w:rPr>
              <w:t>are required to provide annual</w:t>
            </w:r>
            <w:r w:rsidRPr="00F5274C">
              <w:rPr>
                <w:sz w:val="16"/>
                <w:szCs w:val="16"/>
              </w:rPr>
              <w:t xml:space="preserve"> </w:t>
            </w:r>
            <w:r w:rsidR="00EF7EDD" w:rsidRPr="00F5274C">
              <w:rPr>
                <w:sz w:val="16"/>
                <w:szCs w:val="16"/>
              </w:rPr>
              <w:t>f</w:t>
            </w:r>
            <w:r w:rsidRPr="00F5274C">
              <w:rPr>
                <w:sz w:val="16"/>
                <w:szCs w:val="16"/>
              </w:rPr>
              <w:t xml:space="preserve">inancial </w:t>
            </w:r>
            <w:r w:rsidR="00EF7EDD" w:rsidRPr="00F5274C">
              <w:rPr>
                <w:sz w:val="16"/>
                <w:szCs w:val="16"/>
              </w:rPr>
              <w:t>a</w:t>
            </w:r>
            <w:r w:rsidRPr="00F5274C">
              <w:rPr>
                <w:sz w:val="16"/>
                <w:szCs w:val="16"/>
              </w:rPr>
              <w:t>cquittal report</w:t>
            </w:r>
            <w:r w:rsidR="002158A4" w:rsidRPr="00F5274C">
              <w:rPr>
                <w:sz w:val="16"/>
                <w:szCs w:val="16"/>
              </w:rPr>
              <w:t>s</w:t>
            </w:r>
            <w:r w:rsidRPr="00F5274C">
              <w:rPr>
                <w:sz w:val="16"/>
                <w:szCs w:val="16"/>
              </w:rPr>
              <w:t xml:space="preserve"> that </w:t>
            </w:r>
            <w:r w:rsidR="00582D09" w:rsidRPr="00F5274C">
              <w:rPr>
                <w:sz w:val="16"/>
                <w:szCs w:val="16"/>
              </w:rPr>
              <w:t xml:space="preserve">contain </w:t>
            </w:r>
            <w:r w:rsidR="00AD1057" w:rsidRPr="00F5274C">
              <w:rPr>
                <w:sz w:val="16"/>
                <w:szCs w:val="16"/>
              </w:rPr>
              <w:t>data</w:t>
            </w:r>
            <w:r w:rsidR="00582D09" w:rsidRPr="00F5274C">
              <w:rPr>
                <w:sz w:val="16"/>
                <w:szCs w:val="16"/>
              </w:rPr>
              <w:t xml:space="preserve"> on how the services </w:t>
            </w:r>
            <w:r w:rsidR="00EF7EDD" w:rsidRPr="00F5274C">
              <w:rPr>
                <w:sz w:val="16"/>
                <w:szCs w:val="16"/>
              </w:rPr>
              <w:t xml:space="preserve">have </w:t>
            </w:r>
            <w:r w:rsidR="00582D09" w:rsidRPr="00F5274C">
              <w:rPr>
                <w:sz w:val="16"/>
                <w:szCs w:val="16"/>
              </w:rPr>
              <w:t xml:space="preserve">spent the CCCFR grant funding during the previous financial </w:t>
            </w:r>
            <w:r w:rsidR="00582D09" w:rsidRPr="00311717">
              <w:rPr>
                <w:sz w:val="16"/>
                <w:szCs w:val="16"/>
              </w:rPr>
              <w:t xml:space="preserve">year. </w:t>
            </w:r>
            <w:r w:rsidR="00AD1057" w:rsidRPr="00311717">
              <w:rPr>
                <w:sz w:val="16"/>
                <w:szCs w:val="16"/>
              </w:rPr>
              <w:t>Data is available from 2018-19 to 2021-22.</w:t>
            </w:r>
          </w:p>
        </w:tc>
        <w:tc>
          <w:tcPr>
            <w:tcW w:w="964" w:type="pct"/>
          </w:tcPr>
          <w:p w14:paraId="5C6509AC" w14:textId="77777777" w:rsidR="00FA2F77" w:rsidRPr="00F5274C" w:rsidRDefault="09B7C21B" w:rsidP="006116A9">
            <w:pPr>
              <w:pStyle w:val="ListBullet"/>
              <w:rPr>
                <w:sz w:val="16"/>
                <w:szCs w:val="16"/>
              </w:rPr>
            </w:pPr>
            <w:r w:rsidRPr="2B91AEFB">
              <w:rPr>
                <w:sz w:val="16"/>
                <w:szCs w:val="16"/>
              </w:rPr>
              <w:t>Staff expenditure</w:t>
            </w:r>
          </w:p>
          <w:p w14:paraId="3B6068D6" w14:textId="77777777" w:rsidR="00153E17" w:rsidRPr="00F5274C" w:rsidRDefault="09B7C21B" w:rsidP="006116A9">
            <w:pPr>
              <w:pStyle w:val="ListBullet"/>
              <w:rPr>
                <w:sz w:val="16"/>
                <w:szCs w:val="16"/>
              </w:rPr>
            </w:pPr>
            <w:r w:rsidRPr="2B91AEFB">
              <w:rPr>
                <w:sz w:val="16"/>
                <w:szCs w:val="16"/>
              </w:rPr>
              <w:t>Fixed and variable expenditure</w:t>
            </w:r>
          </w:p>
          <w:p w14:paraId="29012649" w14:textId="3335186C" w:rsidR="00153E17" w:rsidRPr="00F5274C" w:rsidRDefault="09B7C21B" w:rsidP="006116A9">
            <w:pPr>
              <w:pStyle w:val="ListBullet"/>
              <w:rPr>
                <w:sz w:val="16"/>
                <w:szCs w:val="16"/>
              </w:rPr>
            </w:pPr>
            <w:r w:rsidRPr="2B91AEFB">
              <w:rPr>
                <w:sz w:val="16"/>
                <w:szCs w:val="16"/>
              </w:rPr>
              <w:t>Minor capital investment</w:t>
            </w:r>
          </w:p>
          <w:p w14:paraId="4207CAE0" w14:textId="52C105D2" w:rsidR="00153E17" w:rsidRPr="00F5274C" w:rsidRDefault="09B7C21B" w:rsidP="006116A9">
            <w:pPr>
              <w:pStyle w:val="ListBullet"/>
              <w:rPr>
                <w:sz w:val="16"/>
                <w:szCs w:val="16"/>
              </w:rPr>
            </w:pPr>
            <w:r w:rsidRPr="2B91AEFB">
              <w:rPr>
                <w:sz w:val="16"/>
                <w:szCs w:val="16"/>
              </w:rPr>
              <w:t>CCCF</w:t>
            </w:r>
            <w:r w:rsidR="2DA0F08A" w:rsidRPr="2B91AEFB">
              <w:rPr>
                <w:sz w:val="16"/>
                <w:szCs w:val="16"/>
              </w:rPr>
              <w:t>R</w:t>
            </w:r>
            <w:r w:rsidRPr="2B91AEFB">
              <w:rPr>
                <w:sz w:val="16"/>
                <w:szCs w:val="16"/>
              </w:rPr>
              <w:t>, CCS, and fees income</w:t>
            </w:r>
          </w:p>
          <w:p w14:paraId="1D996178" w14:textId="11B1153A" w:rsidR="00FA2F77" w:rsidRPr="00F5274C" w:rsidRDefault="09B7C21B" w:rsidP="006116A9">
            <w:pPr>
              <w:pStyle w:val="ListBullet"/>
              <w:rPr>
                <w:sz w:val="16"/>
                <w:szCs w:val="16"/>
              </w:rPr>
            </w:pPr>
            <w:r w:rsidRPr="2B91AEFB">
              <w:rPr>
                <w:sz w:val="16"/>
                <w:szCs w:val="16"/>
              </w:rPr>
              <w:t>Other expenditure and income items</w:t>
            </w:r>
          </w:p>
        </w:tc>
        <w:tc>
          <w:tcPr>
            <w:tcW w:w="661" w:type="pct"/>
          </w:tcPr>
          <w:p w14:paraId="70870B11" w14:textId="77777777" w:rsidR="00347F8D" w:rsidRPr="00F5274C" w:rsidRDefault="00347F8D">
            <w:pPr>
              <w:spacing w:after="0"/>
              <w:rPr>
                <w:rFonts w:asciiTheme="minorHAnsi" w:hAnsiTheme="minorHAnsi"/>
                <w:b/>
                <w:bCs/>
                <w:sz w:val="16"/>
                <w:szCs w:val="16"/>
              </w:rPr>
            </w:pPr>
            <w:r w:rsidRPr="00F5274C">
              <w:rPr>
                <w:rFonts w:asciiTheme="minorHAnsi" w:hAnsiTheme="minorHAnsi"/>
                <w:b/>
                <w:bCs/>
                <w:sz w:val="16"/>
                <w:szCs w:val="16"/>
              </w:rPr>
              <w:t>Resourcing and financial sustainability</w:t>
            </w:r>
          </w:p>
          <w:p w14:paraId="005C7DD1" w14:textId="77777777" w:rsidR="00923DE6" w:rsidRPr="00F5274C" w:rsidRDefault="00923DE6">
            <w:pPr>
              <w:spacing w:after="0"/>
              <w:rPr>
                <w:rFonts w:asciiTheme="minorHAnsi" w:hAnsiTheme="minorHAnsi"/>
                <w:sz w:val="16"/>
                <w:szCs w:val="16"/>
              </w:rPr>
            </w:pPr>
          </w:p>
          <w:p w14:paraId="3E3A10AD" w14:textId="6174A9F8" w:rsidR="00923DE6" w:rsidRPr="00F5274C" w:rsidRDefault="00923DE6">
            <w:pPr>
              <w:spacing w:after="0"/>
              <w:rPr>
                <w:rFonts w:asciiTheme="minorHAnsi" w:hAnsiTheme="minorHAnsi"/>
                <w:b/>
                <w:sz w:val="16"/>
                <w:szCs w:val="16"/>
              </w:rPr>
            </w:pPr>
            <w:r w:rsidRPr="00F5274C">
              <w:rPr>
                <w:rFonts w:asciiTheme="minorHAnsi" w:hAnsiTheme="minorHAnsi"/>
                <w:sz w:val="16"/>
                <w:szCs w:val="16"/>
              </w:rPr>
              <w:t xml:space="preserve">The data is used to </w:t>
            </w:r>
            <w:r w:rsidR="007D5E29" w:rsidRPr="00F5274C">
              <w:rPr>
                <w:rFonts w:asciiTheme="minorHAnsi" w:hAnsiTheme="minorHAnsi"/>
                <w:sz w:val="16"/>
                <w:szCs w:val="16"/>
              </w:rPr>
              <w:t>analys</w:t>
            </w:r>
            <w:r w:rsidR="00A473FB">
              <w:rPr>
                <w:rFonts w:asciiTheme="minorHAnsi" w:hAnsiTheme="minorHAnsi"/>
                <w:sz w:val="16"/>
                <w:szCs w:val="16"/>
              </w:rPr>
              <w:t>e</w:t>
            </w:r>
            <w:r w:rsidR="007D5E29" w:rsidRPr="00F5274C">
              <w:rPr>
                <w:rFonts w:asciiTheme="minorHAnsi" w:hAnsiTheme="minorHAnsi"/>
                <w:sz w:val="16"/>
                <w:szCs w:val="16"/>
              </w:rPr>
              <w:t xml:space="preserve"> </w:t>
            </w:r>
            <w:r w:rsidR="009F0B0D" w:rsidRPr="00F5274C">
              <w:rPr>
                <w:rFonts w:asciiTheme="minorHAnsi" w:hAnsiTheme="minorHAnsi"/>
                <w:sz w:val="16"/>
                <w:szCs w:val="16"/>
              </w:rPr>
              <w:t>service</w:t>
            </w:r>
            <w:r w:rsidR="007D5E29" w:rsidRPr="00F5274C">
              <w:rPr>
                <w:rFonts w:asciiTheme="minorHAnsi" w:hAnsiTheme="minorHAnsi"/>
                <w:sz w:val="16"/>
                <w:szCs w:val="16"/>
              </w:rPr>
              <w:t>s’ financial</w:t>
            </w:r>
            <w:r w:rsidR="009F0B0D" w:rsidRPr="00F5274C">
              <w:rPr>
                <w:rFonts w:asciiTheme="minorHAnsi" w:hAnsiTheme="minorHAnsi"/>
                <w:sz w:val="16"/>
                <w:szCs w:val="16"/>
              </w:rPr>
              <w:t xml:space="preserve"> viability. </w:t>
            </w:r>
          </w:p>
        </w:tc>
        <w:tc>
          <w:tcPr>
            <w:tcW w:w="1649" w:type="pct"/>
          </w:tcPr>
          <w:p w14:paraId="6141D963" w14:textId="370336A1" w:rsidR="007162DA" w:rsidRPr="00F5274C" w:rsidRDefault="00AD1057" w:rsidP="00171325">
            <w:pPr>
              <w:pStyle w:val="ListNumber"/>
              <w:numPr>
                <w:ilvl w:val="0"/>
                <w:numId w:val="15"/>
              </w:numPr>
              <w:rPr>
                <w:sz w:val="16"/>
                <w:szCs w:val="16"/>
              </w:rPr>
            </w:pPr>
            <w:r w:rsidRPr="00F5274C">
              <w:rPr>
                <w:sz w:val="16"/>
                <w:szCs w:val="16"/>
              </w:rPr>
              <w:t>The data is incomplete</w:t>
            </w:r>
            <w:r w:rsidR="00435B81" w:rsidRPr="00F5274C">
              <w:rPr>
                <w:sz w:val="16"/>
                <w:szCs w:val="16"/>
              </w:rPr>
              <w:t xml:space="preserve">, </w:t>
            </w:r>
            <w:r w:rsidR="00255875" w:rsidRPr="00F5274C">
              <w:rPr>
                <w:sz w:val="16"/>
                <w:szCs w:val="16"/>
              </w:rPr>
              <w:t>provided</w:t>
            </w:r>
            <w:r w:rsidRPr="00F5274C">
              <w:rPr>
                <w:sz w:val="16"/>
                <w:szCs w:val="16"/>
              </w:rPr>
              <w:t xml:space="preserve"> </w:t>
            </w:r>
            <w:r w:rsidR="004F0959" w:rsidRPr="00F5274C">
              <w:rPr>
                <w:sz w:val="16"/>
                <w:szCs w:val="16"/>
              </w:rPr>
              <w:t xml:space="preserve">in </w:t>
            </w:r>
            <w:r w:rsidR="002118A0">
              <w:rPr>
                <w:sz w:val="16"/>
                <w:szCs w:val="16"/>
              </w:rPr>
              <w:t>in</w:t>
            </w:r>
            <w:r w:rsidR="004F0959" w:rsidRPr="00F5274C">
              <w:rPr>
                <w:sz w:val="16"/>
                <w:szCs w:val="16"/>
              </w:rPr>
              <w:t>consistent formats</w:t>
            </w:r>
            <w:r w:rsidR="00DE4F9E" w:rsidRPr="00F5274C">
              <w:rPr>
                <w:sz w:val="16"/>
                <w:szCs w:val="16"/>
              </w:rPr>
              <w:t>, and requires data cleaning</w:t>
            </w:r>
            <w:r w:rsidR="00255875" w:rsidRPr="00F5274C">
              <w:rPr>
                <w:sz w:val="16"/>
                <w:szCs w:val="16"/>
              </w:rPr>
              <w:t xml:space="preserve">. Consequently, only </w:t>
            </w:r>
            <w:r w:rsidR="003B777B" w:rsidRPr="00F5274C">
              <w:rPr>
                <w:sz w:val="16"/>
                <w:szCs w:val="16"/>
              </w:rPr>
              <w:t>acquittal reports for a subset of services (</w:t>
            </w:r>
            <w:r w:rsidR="00036548" w:rsidRPr="008A6066">
              <w:rPr>
                <w:sz w:val="16"/>
                <w:szCs w:val="16"/>
              </w:rPr>
              <w:t>63</w:t>
            </w:r>
            <w:r w:rsidR="007F4CE1">
              <w:rPr>
                <w:sz w:val="16"/>
                <w:szCs w:val="16"/>
              </w:rPr>
              <w:t xml:space="preserve"> </w:t>
            </w:r>
            <w:r w:rsidR="007F4CE1">
              <w:t>per cent</w:t>
            </w:r>
            <w:r w:rsidR="003B777B" w:rsidRPr="00F5274C">
              <w:rPr>
                <w:sz w:val="16"/>
                <w:szCs w:val="16"/>
              </w:rPr>
              <w:t xml:space="preserve">) </w:t>
            </w:r>
            <w:r w:rsidR="00435B81" w:rsidRPr="00F5274C">
              <w:rPr>
                <w:sz w:val="16"/>
                <w:szCs w:val="16"/>
              </w:rPr>
              <w:t>have been incorporated into the analysis</w:t>
            </w:r>
            <w:r w:rsidR="003B777B" w:rsidRPr="00F5274C">
              <w:rPr>
                <w:sz w:val="16"/>
                <w:szCs w:val="16"/>
              </w:rPr>
              <w:t>.</w:t>
            </w:r>
            <w:r w:rsidR="00255875" w:rsidRPr="00F5274C">
              <w:rPr>
                <w:sz w:val="16"/>
                <w:szCs w:val="16"/>
              </w:rPr>
              <w:t xml:space="preserve"> </w:t>
            </w:r>
          </w:p>
          <w:p w14:paraId="4F7DD22E" w14:textId="77777777" w:rsidR="00884C14" w:rsidRPr="00F5274C" w:rsidRDefault="00CD3B58" w:rsidP="00171325">
            <w:pPr>
              <w:pStyle w:val="ListNumber"/>
              <w:numPr>
                <w:ilvl w:val="0"/>
                <w:numId w:val="15"/>
              </w:numPr>
              <w:rPr>
                <w:sz w:val="16"/>
                <w:szCs w:val="16"/>
              </w:rPr>
            </w:pPr>
            <w:r w:rsidRPr="00F5274C">
              <w:rPr>
                <w:sz w:val="16"/>
                <w:szCs w:val="16"/>
              </w:rPr>
              <w:t xml:space="preserve">The data cleaning </w:t>
            </w:r>
            <w:r w:rsidR="00420B6E" w:rsidRPr="00F5274C">
              <w:rPr>
                <w:sz w:val="16"/>
                <w:szCs w:val="16"/>
              </w:rPr>
              <w:t xml:space="preserve">process has the potential to introduce </w:t>
            </w:r>
            <w:r w:rsidR="00C9279D" w:rsidRPr="00F5274C">
              <w:rPr>
                <w:sz w:val="16"/>
                <w:szCs w:val="16"/>
              </w:rPr>
              <w:t>errors, while the reports are based on self-reported data by services.</w:t>
            </w:r>
          </w:p>
          <w:p w14:paraId="4BD31ED4" w14:textId="0EB363DF" w:rsidR="00FA2F77" w:rsidRPr="00F5274C" w:rsidRDefault="00CC63D7" w:rsidP="00517B9C">
            <w:pPr>
              <w:pStyle w:val="ListNumber"/>
              <w:ind w:left="0" w:firstLine="0"/>
              <w:rPr>
                <w:i/>
                <w:iCs/>
                <w:sz w:val="16"/>
                <w:szCs w:val="16"/>
              </w:rPr>
            </w:pPr>
            <w:r>
              <w:rPr>
                <w:i/>
                <w:iCs/>
                <w:sz w:val="16"/>
                <w:szCs w:val="16"/>
              </w:rPr>
              <w:t>This</w:t>
            </w:r>
            <w:r w:rsidR="00884C14" w:rsidRPr="00F5274C">
              <w:rPr>
                <w:i/>
                <w:iCs/>
                <w:sz w:val="16"/>
                <w:szCs w:val="16"/>
              </w:rPr>
              <w:t xml:space="preserve"> mean</w:t>
            </w:r>
            <w:r>
              <w:rPr>
                <w:i/>
                <w:iCs/>
                <w:sz w:val="16"/>
                <w:szCs w:val="16"/>
              </w:rPr>
              <w:t>s</w:t>
            </w:r>
            <w:r w:rsidR="00884C14" w:rsidRPr="00F5274C">
              <w:rPr>
                <w:i/>
                <w:iCs/>
                <w:sz w:val="16"/>
                <w:szCs w:val="16"/>
              </w:rPr>
              <w:t xml:space="preserve"> that </w:t>
            </w:r>
            <w:r w:rsidR="00C9279D" w:rsidRPr="00F5274C">
              <w:rPr>
                <w:i/>
                <w:iCs/>
                <w:sz w:val="16"/>
                <w:szCs w:val="16"/>
              </w:rPr>
              <w:t xml:space="preserve">analysis </w:t>
            </w:r>
            <w:r w:rsidR="00884C14" w:rsidRPr="00F5274C">
              <w:rPr>
                <w:i/>
                <w:iCs/>
                <w:sz w:val="16"/>
                <w:szCs w:val="16"/>
              </w:rPr>
              <w:t xml:space="preserve">relying on </w:t>
            </w:r>
            <w:r>
              <w:rPr>
                <w:i/>
                <w:iCs/>
                <w:sz w:val="16"/>
                <w:szCs w:val="16"/>
              </w:rPr>
              <w:t xml:space="preserve">self-reported </w:t>
            </w:r>
            <w:r w:rsidR="00884C14" w:rsidRPr="00F5274C">
              <w:rPr>
                <w:i/>
                <w:iCs/>
                <w:sz w:val="16"/>
                <w:szCs w:val="16"/>
              </w:rPr>
              <w:t>CCCFR service</w:t>
            </w:r>
            <w:r>
              <w:rPr>
                <w:i/>
                <w:iCs/>
                <w:sz w:val="16"/>
                <w:szCs w:val="16"/>
              </w:rPr>
              <w:t xml:space="preserve"> data</w:t>
            </w:r>
            <w:r w:rsidR="00884C14" w:rsidRPr="00F5274C">
              <w:rPr>
                <w:i/>
                <w:iCs/>
                <w:sz w:val="16"/>
                <w:szCs w:val="16"/>
              </w:rPr>
              <w:t xml:space="preserve"> </w:t>
            </w:r>
            <w:r w:rsidR="0021153C" w:rsidRPr="00F5274C">
              <w:rPr>
                <w:i/>
                <w:iCs/>
                <w:sz w:val="16"/>
                <w:szCs w:val="16"/>
              </w:rPr>
              <w:t xml:space="preserve">should </w:t>
            </w:r>
            <w:r w:rsidR="00C9279D" w:rsidRPr="00F5274C">
              <w:rPr>
                <w:i/>
                <w:iCs/>
                <w:sz w:val="16"/>
                <w:szCs w:val="16"/>
              </w:rPr>
              <w:t>be considered as indicative</w:t>
            </w:r>
            <w:r w:rsidR="00AA0467" w:rsidRPr="00F5274C">
              <w:rPr>
                <w:i/>
                <w:iCs/>
                <w:sz w:val="16"/>
                <w:szCs w:val="16"/>
              </w:rPr>
              <w:t xml:space="preserve">. </w:t>
            </w:r>
          </w:p>
        </w:tc>
      </w:tr>
      <w:tr w:rsidR="00F5274C" w:rsidRPr="00F5274C" w14:paraId="3222A13F" w14:textId="77777777" w:rsidTr="2B91AEFB">
        <w:trPr>
          <w:trHeight w:val="341"/>
        </w:trPr>
        <w:tc>
          <w:tcPr>
            <w:tcW w:w="624" w:type="pct"/>
          </w:tcPr>
          <w:p w14:paraId="0E5D5560" w14:textId="6995319F" w:rsidR="00C954FB" w:rsidRPr="00F5274C" w:rsidRDefault="00C954FB">
            <w:pPr>
              <w:spacing w:after="0"/>
              <w:rPr>
                <w:rFonts w:asciiTheme="minorHAnsi" w:hAnsiTheme="minorHAnsi"/>
                <w:b/>
                <w:bCs/>
                <w:sz w:val="16"/>
                <w:szCs w:val="16"/>
              </w:rPr>
            </w:pPr>
            <w:r w:rsidRPr="00F5274C">
              <w:rPr>
                <w:rFonts w:asciiTheme="minorHAnsi" w:hAnsiTheme="minorHAnsi"/>
                <w:b/>
                <w:bCs/>
                <w:sz w:val="16"/>
                <w:szCs w:val="16"/>
              </w:rPr>
              <w:t xml:space="preserve">CCCFR service </w:t>
            </w:r>
            <w:r w:rsidR="009079D7">
              <w:rPr>
                <w:rFonts w:asciiTheme="minorHAnsi" w:hAnsiTheme="minorHAnsi"/>
                <w:b/>
                <w:bCs/>
                <w:sz w:val="16"/>
                <w:szCs w:val="16"/>
              </w:rPr>
              <w:t>Compliance</w:t>
            </w:r>
            <w:r w:rsidRPr="00F5274C">
              <w:rPr>
                <w:rFonts w:asciiTheme="minorHAnsi" w:hAnsiTheme="minorHAnsi"/>
                <w:b/>
                <w:bCs/>
                <w:sz w:val="16"/>
                <w:szCs w:val="16"/>
              </w:rPr>
              <w:t xml:space="preserve"> and </w:t>
            </w:r>
            <w:r w:rsidR="009079D7">
              <w:rPr>
                <w:rFonts w:asciiTheme="minorHAnsi" w:hAnsiTheme="minorHAnsi"/>
                <w:b/>
                <w:bCs/>
                <w:sz w:val="16"/>
                <w:szCs w:val="16"/>
              </w:rPr>
              <w:t>Operations Report</w:t>
            </w:r>
            <w:r w:rsidR="00DF633A" w:rsidRPr="00F5274C">
              <w:rPr>
                <w:rFonts w:asciiTheme="minorHAnsi" w:hAnsiTheme="minorHAnsi"/>
                <w:b/>
                <w:bCs/>
                <w:sz w:val="16"/>
                <w:szCs w:val="16"/>
              </w:rPr>
              <w:t>s</w:t>
            </w:r>
          </w:p>
        </w:tc>
        <w:tc>
          <w:tcPr>
            <w:tcW w:w="1103" w:type="pct"/>
          </w:tcPr>
          <w:p w14:paraId="2DA10F54" w14:textId="05C83CDA" w:rsidR="00C954FB" w:rsidRPr="00F5274C" w:rsidRDefault="00334D80" w:rsidP="00036D67">
            <w:pPr>
              <w:rPr>
                <w:sz w:val="16"/>
                <w:szCs w:val="16"/>
              </w:rPr>
            </w:pPr>
            <w:r w:rsidRPr="00F5274C">
              <w:rPr>
                <w:sz w:val="16"/>
                <w:szCs w:val="16"/>
              </w:rPr>
              <w:t>CCCFR funded service</w:t>
            </w:r>
            <w:r w:rsidR="00606E6E" w:rsidRPr="00F5274C">
              <w:rPr>
                <w:sz w:val="16"/>
                <w:szCs w:val="16"/>
              </w:rPr>
              <w:t>s</w:t>
            </w:r>
            <w:r w:rsidRPr="00F5274C">
              <w:rPr>
                <w:sz w:val="16"/>
                <w:szCs w:val="16"/>
              </w:rPr>
              <w:t xml:space="preserve"> </w:t>
            </w:r>
            <w:r w:rsidR="00646127" w:rsidRPr="00F5274C">
              <w:rPr>
                <w:sz w:val="16"/>
                <w:szCs w:val="16"/>
              </w:rPr>
              <w:t xml:space="preserve">are required to </w:t>
            </w:r>
            <w:r w:rsidR="12A77596" w:rsidRPr="49377A83">
              <w:rPr>
                <w:sz w:val="16"/>
                <w:szCs w:val="16"/>
              </w:rPr>
              <w:t>submit</w:t>
            </w:r>
            <w:r w:rsidR="002158A4" w:rsidRPr="00F5274C">
              <w:rPr>
                <w:sz w:val="16"/>
                <w:szCs w:val="16"/>
              </w:rPr>
              <w:t xml:space="preserve"> </w:t>
            </w:r>
            <w:r w:rsidR="00606E6E" w:rsidRPr="00F5274C">
              <w:rPr>
                <w:sz w:val="16"/>
                <w:szCs w:val="16"/>
              </w:rPr>
              <w:t xml:space="preserve">annual </w:t>
            </w:r>
            <w:r w:rsidR="009079D7">
              <w:rPr>
                <w:sz w:val="16"/>
                <w:szCs w:val="16"/>
              </w:rPr>
              <w:t>Compliance</w:t>
            </w:r>
            <w:r w:rsidRPr="00F5274C">
              <w:rPr>
                <w:sz w:val="16"/>
                <w:szCs w:val="16"/>
              </w:rPr>
              <w:t xml:space="preserve"> and </w:t>
            </w:r>
            <w:r w:rsidR="009079D7">
              <w:rPr>
                <w:sz w:val="16"/>
                <w:szCs w:val="16"/>
              </w:rPr>
              <w:t>Operations Report</w:t>
            </w:r>
            <w:r w:rsidR="00124C7F" w:rsidRPr="00F5274C">
              <w:rPr>
                <w:sz w:val="16"/>
                <w:szCs w:val="16"/>
              </w:rPr>
              <w:t>s</w:t>
            </w:r>
            <w:r w:rsidRPr="00F5274C">
              <w:rPr>
                <w:sz w:val="16"/>
                <w:szCs w:val="16"/>
              </w:rPr>
              <w:t>, which include</w:t>
            </w:r>
            <w:r w:rsidR="00037A3C" w:rsidRPr="00F5274C">
              <w:rPr>
                <w:sz w:val="16"/>
                <w:szCs w:val="16"/>
              </w:rPr>
              <w:t xml:space="preserve"> information on service</w:t>
            </w:r>
            <w:r w:rsidR="004B6F33" w:rsidRPr="00F5274C">
              <w:rPr>
                <w:sz w:val="16"/>
                <w:szCs w:val="16"/>
              </w:rPr>
              <w:t xml:space="preserve"> policies, workforce and operations</w:t>
            </w:r>
            <w:r w:rsidR="00037A3C" w:rsidRPr="00F5274C">
              <w:rPr>
                <w:sz w:val="16"/>
                <w:szCs w:val="16"/>
              </w:rPr>
              <w:t>.</w:t>
            </w:r>
          </w:p>
        </w:tc>
        <w:tc>
          <w:tcPr>
            <w:tcW w:w="964" w:type="pct"/>
          </w:tcPr>
          <w:p w14:paraId="5C7A60EE" w14:textId="42658179" w:rsidR="00C954FB" w:rsidRPr="00F5274C" w:rsidRDefault="4AC90343" w:rsidP="4B5AA811">
            <w:pPr>
              <w:pStyle w:val="ListBullet"/>
              <w:ind w:left="0"/>
              <w:rPr>
                <w:sz w:val="16"/>
                <w:szCs w:val="16"/>
              </w:rPr>
            </w:pPr>
            <w:r w:rsidRPr="2B91AEFB">
              <w:rPr>
                <w:sz w:val="16"/>
                <w:szCs w:val="16"/>
              </w:rPr>
              <w:t xml:space="preserve">Submitted documentation </w:t>
            </w:r>
            <w:r w:rsidR="00F93920" w:rsidRPr="2B91AEFB">
              <w:rPr>
                <w:sz w:val="16"/>
                <w:szCs w:val="16"/>
              </w:rPr>
              <w:t>from</w:t>
            </w:r>
            <w:r w:rsidR="58186B92" w:rsidRPr="2B91AEFB">
              <w:rPr>
                <w:sz w:val="16"/>
                <w:szCs w:val="16"/>
              </w:rPr>
              <w:t xml:space="preserve"> 2022-23</w:t>
            </w:r>
            <w:r w:rsidR="00F93920" w:rsidRPr="2B91AEFB">
              <w:rPr>
                <w:sz w:val="16"/>
                <w:szCs w:val="16"/>
              </w:rPr>
              <w:t xml:space="preserve"> on</w:t>
            </w:r>
            <w:r w:rsidRPr="2B91AEFB">
              <w:rPr>
                <w:sz w:val="16"/>
                <w:szCs w:val="16"/>
              </w:rPr>
              <w:t>:</w:t>
            </w:r>
          </w:p>
          <w:p w14:paraId="273FA2A0" w14:textId="50DCCAF9" w:rsidR="00C954FB" w:rsidRPr="00F5274C" w:rsidRDefault="2191F5B7" w:rsidP="00171325">
            <w:pPr>
              <w:pStyle w:val="ListBullet"/>
              <w:numPr>
                <w:ilvl w:val="1"/>
                <w:numId w:val="2"/>
              </w:numPr>
              <w:rPr>
                <w:sz w:val="16"/>
                <w:szCs w:val="16"/>
              </w:rPr>
            </w:pPr>
            <w:r w:rsidRPr="4B5AA811">
              <w:rPr>
                <w:sz w:val="16"/>
                <w:szCs w:val="16"/>
              </w:rPr>
              <w:t>Educational program</w:t>
            </w:r>
          </w:p>
          <w:p w14:paraId="2DC4F762" w14:textId="0ECB0646" w:rsidR="00C954FB" w:rsidRPr="00F5274C" w:rsidRDefault="2191F5B7" w:rsidP="00171325">
            <w:pPr>
              <w:pStyle w:val="ListBullet"/>
              <w:numPr>
                <w:ilvl w:val="1"/>
                <w:numId w:val="2"/>
              </w:numPr>
              <w:rPr>
                <w:sz w:val="16"/>
                <w:szCs w:val="16"/>
              </w:rPr>
            </w:pPr>
            <w:r w:rsidRPr="751D615D">
              <w:rPr>
                <w:sz w:val="16"/>
                <w:szCs w:val="16"/>
              </w:rPr>
              <w:t xml:space="preserve">Serious </w:t>
            </w:r>
            <w:r w:rsidR="00D76E3D">
              <w:rPr>
                <w:sz w:val="16"/>
                <w:szCs w:val="16"/>
              </w:rPr>
              <w:t>Incident Procedure</w:t>
            </w:r>
            <w:r w:rsidRPr="751D615D">
              <w:rPr>
                <w:sz w:val="16"/>
                <w:szCs w:val="16"/>
              </w:rPr>
              <w:t xml:space="preserve"> policy</w:t>
            </w:r>
          </w:p>
          <w:p w14:paraId="6A823BF0" w14:textId="697B76A0" w:rsidR="00C954FB" w:rsidRPr="00F5274C" w:rsidRDefault="2191F5B7" w:rsidP="00171325">
            <w:pPr>
              <w:pStyle w:val="ListBullet"/>
              <w:numPr>
                <w:ilvl w:val="1"/>
                <w:numId w:val="2"/>
              </w:numPr>
              <w:rPr>
                <w:sz w:val="16"/>
                <w:szCs w:val="16"/>
              </w:rPr>
            </w:pPr>
            <w:r w:rsidRPr="751D615D">
              <w:rPr>
                <w:sz w:val="16"/>
                <w:szCs w:val="16"/>
              </w:rPr>
              <w:t>Quality Improvement Plan (QIP)</w:t>
            </w:r>
          </w:p>
          <w:p w14:paraId="1FE5DCA1" w14:textId="77777777" w:rsidR="00C954FB" w:rsidRDefault="00F06CD5" w:rsidP="00171325">
            <w:pPr>
              <w:pStyle w:val="ListBullet"/>
              <w:numPr>
                <w:ilvl w:val="1"/>
                <w:numId w:val="2"/>
              </w:numPr>
              <w:rPr>
                <w:sz w:val="16"/>
                <w:szCs w:val="16"/>
              </w:rPr>
            </w:pPr>
            <w:r>
              <w:rPr>
                <w:sz w:val="16"/>
                <w:szCs w:val="16"/>
              </w:rPr>
              <w:t>Workers Compensation Certificate</w:t>
            </w:r>
          </w:p>
          <w:p w14:paraId="729C4977" w14:textId="77777777" w:rsidR="00F06CD5" w:rsidRDefault="00856FE9" w:rsidP="00171325">
            <w:pPr>
              <w:pStyle w:val="ListBullet"/>
              <w:numPr>
                <w:ilvl w:val="1"/>
                <w:numId w:val="2"/>
              </w:numPr>
              <w:rPr>
                <w:sz w:val="16"/>
                <w:szCs w:val="16"/>
              </w:rPr>
            </w:pPr>
            <w:r>
              <w:rPr>
                <w:sz w:val="16"/>
                <w:szCs w:val="16"/>
              </w:rPr>
              <w:t>Public Liability Insurance Certificate</w:t>
            </w:r>
          </w:p>
          <w:p w14:paraId="16D5DFFC" w14:textId="19EA5F29" w:rsidR="00C954FB" w:rsidRPr="00311717" w:rsidRDefault="00C954FB" w:rsidP="00501331">
            <w:pPr>
              <w:pStyle w:val="ListBullet"/>
              <w:ind w:left="0"/>
              <w:rPr>
                <w:sz w:val="16"/>
                <w:szCs w:val="16"/>
              </w:rPr>
            </w:pPr>
          </w:p>
        </w:tc>
        <w:tc>
          <w:tcPr>
            <w:tcW w:w="661" w:type="pct"/>
          </w:tcPr>
          <w:p w14:paraId="5A810440" w14:textId="77777777" w:rsidR="00347F8D" w:rsidRPr="00F5274C" w:rsidRDefault="00347F8D">
            <w:pPr>
              <w:spacing w:after="0"/>
              <w:rPr>
                <w:rFonts w:asciiTheme="minorHAnsi" w:hAnsiTheme="minorHAnsi"/>
                <w:b/>
                <w:bCs/>
                <w:sz w:val="16"/>
                <w:szCs w:val="16"/>
              </w:rPr>
            </w:pPr>
            <w:r w:rsidRPr="00F5274C">
              <w:rPr>
                <w:rFonts w:asciiTheme="minorHAnsi" w:hAnsiTheme="minorHAnsi"/>
                <w:b/>
                <w:bCs/>
                <w:sz w:val="16"/>
                <w:szCs w:val="16"/>
              </w:rPr>
              <w:t>Administration, governance, and compliance</w:t>
            </w:r>
          </w:p>
          <w:p w14:paraId="7AF7572C" w14:textId="4BBD9A7A" w:rsidR="007D5E29" w:rsidRPr="00F5274C" w:rsidRDefault="007D5E29">
            <w:pPr>
              <w:spacing w:after="0"/>
              <w:rPr>
                <w:rFonts w:asciiTheme="minorHAnsi" w:hAnsiTheme="minorHAnsi"/>
                <w:b/>
                <w:bCs/>
                <w:sz w:val="16"/>
                <w:szCs w:val="16"/>
              </w:rPr>
            </w:pPr>
          </w:p>
        </w:tc>
        <w:tc>
          <w:tcPr>
            <w:tcW w:w="1649" w:type="pct"/>
          </w:tcPr>
          <w:p w14:paraId="35E0D7A3" w14:textId="6FAA4A02" w:rsidR="00C954FB" w:rsidRDefault="00767E66" w:rsidP="00171325">
            <w:pPr>
              <w:pStyle w:val="ListParagraph"/>
              <w:numPr>
                <w:ilvl w:val="0"/>
                <w:numId w:val="16"/>
              </w:numPr>
              <w:spacing w:after="0"/>
              <w:rPr>
                <w:rFonts w:asciiTheme="minorHAnsi" w:hAnsiTheme="minorHAnsi"/>
                <w:sz w:val="16"/>
                <w:szCs w:val="16"/>
              </w:rPr>
            </w:pPr>
            <w:r>
              <w:rPr>
                <w:rFonts w:asciiTheme="minorHAnsi" w:hAnsiTheme="minorHAnsi"/>
                <w:sz w:val="16"/>
                <w:szCs w:val="16"/>
              </w:rPr>
              <w:t xml:space="preserve">As </w:t>
            </w:r>
            <w:r w:rsidR="00B13360">
              <w:rPr>
                <w:rFonts w:asciiTheme="minorHAnsi" w:hAnsiTheme="minorHAnsi"/>
                <w:sz w:val="16"/>
                <w:szCs w:val="16"/>
              </w:rPr>
              <w:t>the</w:t>
            </w:r>
            <w:r>
              <w:rPr>
                <w:rFonts w:asciiTheme="minorHAnsi" w:hAnsiTheme="minorHAnsi"/>
                <w:sz w:val="16"/>
                <w:szCs w:val="16"/>
              </w:rPr>
              <w:t xml:space="preserve"> </w:t>
            </w:r>
            <w:r w:rsidR="007A4945">
              <w:rPr>
                <w:rFonts w:asciiTheme="minorHAnsi" w:hAnsiTheme="minorHAnsi"/>
                <w:sz w:val="16"/>
                <w:szCs w:val="16"/>
              </w:rPr>
              <w:t xml:space="preserve">format and scope of evidence </w:t>
            </w:r>
            <w:r w:rsidR="006851E1">
              <w:rPr>
                <w:rFonts w:asciiTheme="minorHAnsi" w:hAnsiTheme="minorHAnsi"/>
                <w:sz w:val="16"/>
                <w:szCs w:val="16"/>
              </w:rPr>
              <w:t>for submission to the Department is not prescribed, there is significant variance in the level of material included within documentation, in particular within uploaded Educational Programs.</w:t>
            </w:r>
          </w:p>
          <w:p w14:paraId="3D8B7C35" w14:textId="57ABCA94" w:rsidR="00574FC6" w:rsidRDefault="00574FC6" w:rsidP="00171325">
            <w:pPr>
              <w:pStyle w:val="ListParagraph"/>
              <w:numPr>
                <w:ilvl w:val="0"/>
                <w:numId w:val="16"/>
              </w:numPr>
              <w:spacing w:after="0"/>
              <w:rPr>
                <w:rFonts w:asciiTheme="minorHAnsi" w:hAnsiTheme="minorHAnsi"/>
                <w:sz w:val="16"/>
                <w:szCs w:val="16"/>
              </w:rPr>
            </w:pPr>
            <w:r>
              <w:rPr>
                <w:rFonts w:asciiTheme="minorHAnsi" w:hAnsiTheme="minorHAnsi"/>
                <w:sz w:val="16"/>
                <w:szCs w:val="16"/>
              </w:rPr>
              <w:t xml:space="preserve">Lack of </w:t>
            </w:r>
            <w:r w:rsidR="005178E1">
              <w:rPr>
                <w:rFonts w:asciiTheme="minorHAnsi" w:hAnsiTheme="minorHAnsi"/>
                <w:sz w:val="16"/>
                <w:szCs w:val="16"/>
              </w:rPr>
              <w:t xml:space="preserve">detail and/or </w:t>
            </w:r>
            <w:r>
              <w:rPr>
                <w:rFonts w:asciiTheme="minorHAnsi" w:hAnsiTheme="minorHAnsi"/>
                <w:sz w:val="16"/>
                <w:szCs w:val="16"/>
              </w:rPr>
              <w:t xml:space="preserve">prescribed </w:t>
            </w:r>
            <w:r w:rsidR="008C1108">
              <w:rPr>
                <w:rFonts w:asciiTheme="minorHAnsi" w:hAnsiTheme="minorHAnsi"/>
                <w:sz w:val="16"/>
                <w:szCs w:val="16"/>
              </w:rPr>
              <w:t xml:space="preserve">criteria </w:t>
            </w:r>
            <w:r w:rsidR="005178E1">
              <w:rPr>
                <w:rFonts w:asciiTheme="minorHAnsi" w:hAnsiTheme="minorHAnsi"/>
                <w:sz w:val="16"/>
                <w:szCs w:val="16"/>
              </w:rPr>
              <w:t>to support</w:t>
            </w:r>
            <w:r w:rsidR="008C1108">
              <w:rPr>
                <w:rFonts w:asciiTheme="minorHAnsi" w:hAnsiTheme="minorHAnsi"/>
                <w:sz w:val="16"/>
                <w:szCs w:val="16"/>
              </w:rPr>
              <w:t xml:space="preserve"> self-assessment against </w:t>
            </w:r>
            <w:r w:rsidR="009079D7">
              <w:rPr>
                <w:rFonts w:asciiTheme="minorHAnsi" w:hAnsiTheme="minorHAnsi"/>
                <w:sz w:val="16"/>
                <w:szCs w:val="16"/>
              </w:rPr>
              <w:t>Compliance</w:t>
            </w:r>
            <w:r w:rsidR="008C1108">
              <w:rPr>
                <w:rFonts w:asciiTheme="minorHAnsi" w:hAnsiTheme="minorHAnsi"/>
                <w:sz w:val="16"/>
                <w:szCs w:val="16"/>
              </w:rPr>
              <w:t xml:space="preserve"> and </w:t>
            </w:r>
            <w:r w:rsidR="009079D7">
              <w:rPr>
                <w:rFonts w:asciiTheme="minorHAnsi" w:hAnsiTheme="minorHAnsi"/>
                <w:sz w:val="16"/>
                <w:szCs w:val="16"/>
              </w:rPr>
              <w:t>Operations Report</w:t>
            </w:r>
            <w:r w:rsidR="008C1108">
              <w:rPr>
                <w:rFonts w:asciiTheme="minorHAnsi" w:hAnsiTheme="minorHAnsi"/>
                <w:sz w:val="16"/>
                <w:szCs w:val="16"/>
              </w:rPr>
              <w:t xml:space="preserve"> questions is assumed </w:t>
            </w:r>
            <w:r w:rsidR="005178E1">
              <w:rPr>
                <w:rFonts w:asciiTheme="minorHAnsi" w:hAnsiTheme="minorHAnsi"/>
                <w:sz w:val="16"/>
                <w:szCs w:val="16"/>
              </w:rPr>
              <w:t xml:space="preserve">to result in varying </w:t>
            </w:r>
            <w:r w:rsidR="00164091">
              <w:rPr>
                <w:rFonts w:asciiTheme="minorHAnsi" w:hAnsiTheme="minorHAnsi"/>
                <w:sz w:val="16"/>
                <w:szCs w:val="16"/>
              </w:rPr>
              <w:t>self-assessment across services.</w:t>
            </w:r>
          </w:p>
          <w:p w14:paraId="144B7F14" w14:textId="77777777" w:rsidR="00574FC6" w:rsidRDefault="00574FC6" w:rsidP="00171325">
            <w:pPr>
              <w:pStyle w:val="ListParagraph"/>
              <w:numPr>
                <w:ilvl w:val="0"/>
                <w:numId w:val="16"/>
              </w:numPr>
              <w:spacing w:after="0"/>
              <w:rPr>
                <w:rFonts w:asciiTheme="minorHAnsi" w:hAnsiTheme="minorHAnsi"/>
                <w:sz w:val="16"/>
                <w:szCs w:val="16"/>
              </w:rPr>
            </w:pPr>
            <w:r>
              <w:rPr>
                <w:rFonts w:asciiTheme="minorHAnsi" w:hAnsiTheme="minorHAnsi"/>
                <w:sz w:val="16"/>
                <w:szCs w:val="16"/>
              </w:rPr>
              <w:t>Some closed services did not provide documentation in the 2022-23 reporting period (through agreement with the Department) and these have been excluded from analysis.</w:t>
            </w:r>
          </w:p>
          <w:p w14:paraId="25FE918D" w14:textId="4881815B" w:rsidR="00C954FB" w:rsidRPr="00862C08" w:rsidRDefault="00862C08" w:rsidP="00862C08">
            <w:pPr>
              <w:spacing w:after="0"/>
              <w:rPr>
                <w:rFonts w:asciiTheme="minorHAnsi" w:hAnsiTheme="minorHAnsi"/>
                <w:i/>
                <w:sz w:val="16"/>
                <w:szCs w:val="16"/>
              </w:rPr>
            </w:pPr>
            <w:r w:rsidRPr="00862C08">
              <w:rPr>
                <w:rFonts w:asciiTheme="minorHAnsi" w:hAnsiTheme="minorHAnsi"/>
                <w:i/>
                <w:iCs/>
                <w:sz w:val="16"/>
                <w:szCs w:val="16"/>
              </w:rPr>
              <w:t xml:space="preserve">Note: Analysis of </w:t>
            </w:r>
            <w:r w:rsidR="00B13360">
              <w:rPr>
                <w:rFonts w:asciiTheme="minorHAnsi" w:hAnsiTheme="minorHAnsi"/>
                <w:i/>
                <w:iCs/>
                <w:sz w:val="16"/>
                <w:szCs w:val="16"/>
              </w:rPr>
              <w:t>c</w:t>
            </w:r>
            <w:r w:rsidRPr="00862C08">
              <w:rPr>
                <w:rFonts w:asciiTheme="minorHAnsi" w:hAnsiTheme="minorHAnsi"/>
                <w:i/>
                <w:iCs/>
                <w:sz w:val="16"/>
                <w:szCs w:val="16"/>
              </w:rPr>
              <w:t xml:space="preserve">ompliance and </w:t>
            </w:r>
            <w:r w:rsidR="00B13360">
              <w:rPr>
                <w:rFonts w:asciiTheme="minorHAnsi" w:hAnsiTheme="minorHAnsi"/>
                <w:i/>
                <w:iCs/>
                <w:sz w:val="16"/>
                <w:szCs w:val="16"/>
              </w:rPr>
              <w:t>o</w:t>
            </w:r>
            <w:r w:rsidRPr="00862C08">
              <w:rPr>
                <w:rFonts w:asciiTheme="minorHAnsi" w:hAnsiTheme="minorHAnsi"/>
                <w:i/>
                <w:iCs/>
                <w:sz w:val="16"/>
                <w:szCs w:val="16"/>
              </w:rPr>
              <w:t xml:space="preserve">perations materials is unable to infer overall service adherence to governance and compliance measures as </w:t>
            </w:r>
            <w:r w:rsidR="00B13360">
              <w:rPr>
                <w:rFonts w:asciiTheme="minorHAnsi" w:hAnsiTheme="minorHAnsi"/>
                <w:i/>
                <w:iCs/>
                <w:sz w:val="16"/>
                <w:szCs w:val="16"/>
              </w:rPr>
              <w:t>they do not allow</w:t>
            </w:r>
            <w:r w:rsidRPr="00862C08">
              <w:rPr>
                <w:rFonts w:asciiTheme="minorHAnsi" w:hAnsiTheme="minorHAnsi"/>
                <w:i/>
                <w:iCs/>
                <w:sz w:val="16"/>
                <w:szCs w:val="16"/>
              </w:rPr>
              <w:t xml:space="preserve"> interpret</w:t>
            </w:r>
            <w:r w:rsidR="00B13360">
              <w:rPr>
                <w:rFonts w:asciiTheme="minorHAnsi" w:hAnsiTheme="minorHAnsi"/>
                <w:i/>
                <w:iCs/>
                <w:sz w:val="16"/>
                <w:szCs w:val="16"/>
              </w:rPr>
              <w:t>ation of the</w:t>
            </w:r>
            <w:r w:rsidRPr="00862C08">
              <w:rPr>
                <w:rFonts w:asciiTheme="minorHAnsi" w:hAnsiTheme="minorHAnsi"/>
                <w:i/>
                <w:iCs/>
                <w:sz w:val="16"/>
                <w:szCs w:val="16"/>
              </w:rPr>
              <w:t xml:space="preserve"> application of policies and/or procedures on the </w:t>
            </w:r>
            <w:r>
              <w:rPr>
                <w:rFonts w:asciiTheme="minorHAnsi" w:hAnsiTheme="minorHAnsi"/>
                <w:i/>
                <w:iCs/>
                <w:sz w:val="16"/>
                <w:szCs w:val="16"/>
              </w:rPr>
              <w:t>service floor</w:t>
            </w:r>
            <w:r w:rsidRPr="00862C08">
              <w:rPr>
                <w:rFonts w:asciiTheme="minorHAnsi" w:hAnsiTheme="minorHAnsi"/>
                <w:i/>
                <w:iCs/>
                <w:sz w:val="16"/>
                <w:szCs w:val="16"/>
              </w:rPr>
              <w:t>.</w:t>
            </w:r>
          </w:p>
        </w:tc>
      </w:tr>
      <w:tr w:rsidR="00F5274C" w:rsidRPr="00F5274C" w14:paraId="3A48D03E" w14:textId="77777777" w:rsidTr="2B91AEFB">
        <w:trPr>
          <w:trHeight w:val="341"/>
        </w:trPr>
        <w:tc>
          <w:tcPr>
            <w:tcW w:w="624" w:type="pct"/>
          </w:tcPr>
          <w:p w14:paraId="415CBBC9" w14:textId="53B22A2C" w:rsidR="00DF633A" w:rsidRPr="00F5274C" w:rsidRDefault="00607BCD">
            <w:pPr>
              <w:spacing w:after="0"/>
              <w:rPr>
                <w:rFonts w:asciiTheme="minorHAnsi" w:hAnsiTheme="minorHAnsi"/>
                <w:b/>
                <w:bCs/>
                <w:sz w:val="16"/>
                <w:szCs w:val="16"/>
              </w:rPr>
            </w:pPr>
            <w:r w:rsidRPr="00F5274C">
              <w:rPr>
                <w:rFonts w:asciiTheme="minorHAnsi" w:hAnsiTheme="minorHAnsi"/>
                <w:b/>
                <w:bCs/>
                <w:sz w:val="16"/>
                <w:szCs w:val="16"/>
              </w:rPr>
              <w:lastRenderedPageBreak/>
              <w:t xml:space="preserve">Child Care </w:t>
            </w:r>
            <w:r w:rsidR="001A3F59" w:rsidRPr="00F5274C">
              <w:rPr>
                <w:rFonts w:asciiTheme="minorHAnsi" w:hAnsiTheme="minorHAnsi"/>
                <w:b/>
                <w:bCs/>
                <w:sz w:val="16"/>
                <w:szCs w:val="16"/>
              </w:rPr>
              <w:t xml:space="preserve">Subsidy </w:t>
            </w:r>
            <w:r w:rsidR="0049449B" w:rsidRPr="00F5274C">
              <w:rPr>
                <w:rFonts w:asciiTheme="minorHAnsi" w:hAnsiTheme="minorHAnsi"/>
                <w:b/>
                <w:bCs/>
                <w:sz w:val="16"/>
                <w:szCs w:val="16"/>
              </w:rPr>
              <w:t>System</w:t>
            </w:r>
            <w:r w:rsidR="00131BA9" w:rsidRPr="00F5274C">
              <w:rPr>
                <w:rFonts w:asciiTheme="minorHAnsi" w:hAnsiTheme="minorHAnsi"/>
                <w:b/>
                <w:bCs/>
                <w:sz w:val="16"/>
                <w:szCs w:val="16"/>
              </w:rPr>
              <w:t xml:space="preserve"> </w:t>
            </w:r>
            <w:r w:rsidR="00CF7B3C" w:rsidRPr="00F5274C">
              <w:rPr>
                <w:rFonts w:asciiTheme="minorHAnsi" w:hAnsiTheme="minorHAnsi"/>
                <w:b/>
                <w:bCs/>
                <w:sz w:val="16"/>
                <w:szCs w:val="16"/>
              </w:rPr>
              <w:t>(CCS</w:t>
            </w:r>
            <w:r w:rsidR="001A3F59" w:rsidRPr="00F5274C">
              <w:rPr>
                <w:rFonts w:asciiTheme="minorHAnsi" w:hAnsiTheme="minorHAnsi"/>
                <w:b/>
                <w:bCs/>
                <w:sz w:val="16"/>
                <w:szCs w:val="16"/>
              </w:rPr>
              <w:t>S</w:t>
            </w:r>
            <w:r w:rsidR="00CF7B3C" w:rsidRPr="00F5274C">
              <w:rPr>
                <w:rFonts w:asciiTheme="minorHAnsi" w:hAnsiTheme="minorHAnsi"/>
                <w:b/>
                <w:bCs/>
                <w:sz w:val="16"/>
                <w:szCs w:val="16"/>
              </w:rPr>
              <w:t>)</w:t>
            </w:r>
            <w:r w:rsidR="00131BA9" w:rsidRPr="00F5274C">
              <w:rPr>
                <w:rFonts w:asciiTheme="minorHAnsi" w:hAnsiTheme="minorHAnsi"/>
                <w:b/>
                <w:bCs/>
                <w:sz w:val="16"/>
                <w:szCs w:val="16"/>
              </w:rPr>
              <w:t xml:space="preserve"> data</w:t>
            </w:r>
          </w:p>
        </w:tc>
        <w:tc>
          <w:tcPr>
            <w:tcW w:w="1103" w:type="pct"/>
          </w:tcPr>
          <w:p w14:paraId="1D9CE0F8" w14:textId="00184298" w:rsidR="00DF633A" w:rsidRPr="00F5274C" w:rsidRDefault="00CF7B3C" w:rsidP="00B377F4">
            <w:pPr>
              <w:rPr>
                <w:sz w:val="16"/>
                <w:szCs w:val="16"/>
              </w:rPr>
            </w:pPr>
            <w:r w:rsidRPr="00F5274C">
              <w:rPr>
                <w:sz w:val="16"/>
                <w:szCs w:val="16"/>
              </w:rPr>
              <w:t>CCS</w:t>
            </w:r>
            <w:r w:rsidR="001A3F59" w:rsidRPr="00F5274C">
              <w:rPr>
                <w:sz w:val="16"/>
                <w:szCs w:val="16"/>
              </w:rPr>
              <w:t>S</w:t>
            </w:r>
            <w:r w:rsidRPr="00F5274C">
              <w:rPr>
                <w:sz w:val="16"/>
                <w:szCs w:val="16"/>
              </w:rPr>
              <w:t xml:space="preserve"> data</w:t>
            </w:r>
            <w:r w:rsidR="005946E0" w:rsidRPr="00F5274C">
              <w:rPr>
                <w:sz w:val="16"/>
                <w:szCs w:val="16"/>
              </w:rPr>
              <w:t xml:space="preserve"> </w:t>
            </w:r>
            <w:r w:rsidR="0018313D" w:rsidRPr="00F5274C">
              <w:rPr>
                <w:sz w:val="16"/>
                <w:szCs w:val="16"/>
              </w:rPr>
              <w:t xml:space="preserve">is collected </w:t>
            </w:r>
            <w:r w:rsidR="006A085A" w:rsidRPr="00F5274C">
              <w:rPr>
                <w:sz w:val="16"/>
                <w:szCs w:val="16"/>
              </w:rPr>
              <w:t xml:space="preserve">by the Australian Government in administering the CCS. It holds records </w:t>
            </w:r>
            <w:r w:rsidR="00A94C87" w:rsidRPr="00F5274C">
              <w:rPr>
                <w:sz w:val="16"/>
                <w:szCs w:val="16"/>
              </w:rPr>
              <w:t xml:space="preserve">related to enrolments, </w:t>
            </w:r>
            <w:r w:rsidR="00B377F4" w:rsidRPr="00F5274C">
              <w:rPr>
                <w:sz w:val="16"/>
                <w:szCs w:val="16"/>
              </w:rPr>
              <w:t xml:space="preserve">families, and services accessing CCS. </w:t>
            </w:r>
          </w:p>
        </w:tc>
        <w:tc>
          <w:tcPr>
            <w:tcW w:w="964" w:type="pct"/>
          </w:tcPr>
          <w:p w14:paraId="60BE8F0E" w14:textId="77777777" w:rsidR="002019F4" w:rsidRPr="00F5274C" w:rsidRDefault="1D63F3DC" w:rsidP="006116A9">
            <w:pPr>
              <w:pStyle w:val="ListBullet"/>
              <w:rPr>
                <w:sz w:val="16"/>
                <w:szCs w:val="16"/>
              </w:rPr>
            </w:pPr>
            <w:r w:rsidRPr="2B91AEFB">
              <w:rPr>
                <w:sz w:val="16"/>
                <w:szCs w:val="16"/>
              </w:rPr>
              <w:t>Child level CCS and ACCS funding amounts</w:t>
            </w:r>
          </w:p>
          <w:p w14:paraId="71F078CF" w14:textId="7FD2A0B0" w:rsidR="00DF633A" w:rsidRPr="00F5274C" w:rsidRDefault="1D63F3DC" w:rsidP="006116A9">
            <w:pPr>
              <w:pStyle w:val="ListBullet"/>
              <w:rPr>
                <w:sz w:val="16"/>
                <w:szCs w:val="16"/>
              </w:rPr>
            </w:pPr>
            <w:r w:rsidRPr="2B91AEFB">
              <w:rPr>
                <w:sz w:val="16"/>
                <w:szCs w:val="16"/>
              </w:rPr>
              <w:t>Service level enrolment and attendance counts</w:t>
            </w:r>
          </w:p>
          <w:p w14:paraId="266F407E" w14:textId="663C4AF4" w:rsidR="00DF633A" w:rsidRPr="00F5274C" w:rsidRDefault="69081C50" w:rsidP="006116A9">
            <w:pPr>
              <w:pStyle w:val="ListBullet"/>
              <w:rPr>
                <w:sz w:val="16"/>
                <w:szCs w:val="16"/>
              </w:rPr>
            </w:pPr>
            <w:r w:rsidRPr="2B91AEFB">
              <w:rPr>
                <w:sz w:val="16"/>
                <w:szCs w:val="16"/>
              </w:rPr>
              <w:t>Charged fees</w:t>
            </w:r>
          </w:p>
        </w:tc>
        <w:tc>
          <w:tcPr>
            <w:tcW w:w="661" w:type="pct"/>
          </w:tcPr>
          <w:p w14:paraId="7825D79B" w14:textId="0BFF1318" w:rsidR="00241D35" w:rsidRPr="00F5274C" w:rsidRDefault="0007629C" w:rsidP="00D129F2">
            <w:pPr>
              <w:spacing w:after="0"/>
              <w:rPr>
                <w:rFonts w:asciiTheme="minorHAnsi" w:hAnsiTheme="minorHAnsi"/>
                <w:b/>
                <w:bCs/>
                <w:sz w:val="16"/>
                <w:szCs w:val="16"/>
              </w:rPr>
            </w:pPr>
            <w:r>
              <w:rPr>
                <w:rFonts w:asciiTheme="minorHAnsi" w:hAnsiTheme="minorHAnsi"/>
                <w:b/>
                <w:bCs/>
                <w:sz w:val="16"/>
                <w:szCs w:val="16"/>
              </w:rPr>
              <w:t>Objectives and intent</w:t>
            </w:r>
          </w:p>
          <w:p w14:paraId="5ACBE9C2" w14:textId="37D54C91" w:rsidR="00483332" w:rsidRPr="00F5274C" w:rsidRDefault="007D5E29" w:rsidP="00F5274C">
            <w:pPr>
              <w:spacing w:after="0"/>
              <w:rPr>
                <w:rFonts w:asciiTheme="minorHAnsi" w:hAnsiTheme="minorHAnsi"/>
                <w:b/>
                <w:sz w:val="16"/>
                <w:szCs w:val="16"/>
              </w:rPr>
            </w:pPr>
            <w:r w:rsidRPr="00F5274C">
              <w:rPr>
                <w:rFonts w:asciiTheme="minorHAnsi" w:hAnsiTheme="minorHAnsi"/>
                <w:sz w:val="16"/>
                <w:szCs w:val="16"/>
              </w:rPr>
              <w:t xml:space="preserve">The data is used to understand </w:t>
            </w:r>
            <w:r w:rsidR="00483332" w:rsidRPr="00F5274C">
              <w:rPr>
                <w:rFonts w:asciiTheme="minorHAnsi" w:hAnsiTheme="minorHAnsi"/>
                <w:sz w:val="16"/>
                <w:szCs w:val="16"/>
              </w:rPr>
              <w:t>trends in access and affordability in CCCFR funded services.</w:t>
            </w:r>
          </w:p>
        </w:tc>
        <w:tc>
          <w:tcPr>
            <w:tcW w:w="1649" w:type="pct"/>
          </w:tcPr>
          <w:p w14:paraId="4BDFD94B" w14:textId="3E7C48BE" w:rsidR="00DF633A" w:rsidRPr="00F5274C" w:rsidRDefault="50FA142E" w:rsidP="00866178">
            <w:pPr>
              <w:pStyle w:val="ListBullet"/>
              <w:rPr>
                <w:sz w:val="16"/>
                <w:szCs w:val="16"/>
              </w:rPr>
            </w:pPr>
            <w:r w:rsidRPr="2B91AEFB">
              <w:rPr>
                <w:sz w:val="16"/>
                <w:szCs w:val="16"/>
              </w:rPr>
              <w:t>The data is incomplete, and five</w:t>
            </w:r>
            <w:r w:rsidR="58CCDDDA" w:rsidRPr="2B91AEFB">
              <w:rPr>
                <w:sz w:val="16"/>
                <w:szCs w:val="16"/>
              </w:rPr>
              <w:t xml:space="preserve"> CCCFR services are not captured in CCS</w:t>
            </w:r>
            <w:r w:rsidRPr="2B91AEFB">
              <w:rPr>
                <w:sz w:val="16"/>
                <w:szCs w:val="16"/>
              </w:rPr>
              <w:t>S</w:t>
            </w:r>
            <w:r w:rsidR="58CCDDDA" w:rsidRPr="2B91AEFB">
              <w:rPr>
                <w:sz w:val="16"/>
                <w:szCs w:val="16"/>
              </w:rPr>
              <w:t xml:space="preserve"> data</w:t>
            </w:r>
            <w:r w:rsidRPr="2B91AEFB">
              <w:rPr>
                <w:sz w:val="16"/>
                <w:szCs w:val="16"/>
              </w:rPr>
              <w:t xml:space="preserve">. </w:t>
            </w:r>
          </w:p>
          <w:p w14:paraId="11432E0D" w14:textId="4B29D321" w:rsidR="003A5A5B" w:rsidRPr="00F5274C" w:rsidRDefault="50FA142E" w:rsidP="003A5A5B">
            <w:pPr>
              <w:pStyle w:val="ListBullet"/>
              <w:rPr>
                <w:sz w:val="16"/>
                <w:szCs w:val="16"/>
              </w:rPr>
            </w:pPr>
            <w:r w:rsidRPr="2B91AEFB">
              <w:rPr>
                <w:sz w:val="16"/>
                <w:szCs w:val="16"/>
              </w:rPr>
              <w:t xml:space="preserve">The data is collected for </w:t>
            </w:r>
            <w:r w:rsidR="2F1CBE10" w:rsidRPr="2B91AEFB">
              <w:rPr>
                <w:sz w:val="16"/>
                <w:szCs w:val="16"/>
              </w:rPr>
              <w:t xml:space="preserve">administrative purposes and may not be fit-for-purpose in determining the impact of the </w:t>
            </w:r>
            <w:r w:rsidR="35F7641C" w:rsidRPr="2B91AEFB">
              <w:rPr>
                <w:sz w:val="16"/>
                <w:szCs w:val="16"/>
              </w:rPr>
              <w:t>g</w:t>
            </w:r>
            <w:r w:rsidR="2F1CBE10" w:rsidRPr="2B91AEFB">
              <w:rPr>
                <w:sz w:val="16"/>
                <w:szCs w:val="16"/>
              </w:rPr>
              <w:t xml:space="preserve">rant. </w:t>
            </w:r>
          </w:p>
          <w:p w14:paraId="6CBCC74C" w14:textId="77777777" w:rsidR="00A94C87" w:rsidRPr="00F5274C" w:rsidRDefault="10EC7B43" w:rsidP="003A5A5B">
            <w:pPr>
              <w:pStyle w:val="ListBullet"/>
              <w:rPr>
                <w:sz w:val="16"/>
                <w:szCs w:val="16"/>
              </w:rPr>
            </w:pPr>
            <w:r w:rsidRPr="2B91AEFB">
              <w:rPr>
                <w:rFonts w:asciiTheme="minorHAnsi" w:hAnsiTheme="minorHAnsi"/>
                <w:sz w:val="16"/>
                <w:szCs w:val="16"/>
              </w:rPr>
              <w:t xml:space="preserve">Data is not available for </w:t>
            </w:r>
            <w:r w:rsidR="3F993F39" w:rsidRPr="2B91AEFB">
              <w:rPr>
                <w:rFonts w:asciiTheme="minorHAnsi" w:hAnsiTheme="minorHAnsi"/>
                <w:sz w:val="16"/>
                <w:szCs w:val="16"/>
              </w:rPr>
              <w:t xml:space="preserve">parts of </w:t>
            </w:r>
            <w:r w:rsidRPr="2B91AEFB">
              <w:rPr>
                <w:rFonts w:asciiTheme="minorHAnsi" w:hAnsiTheme="minorHAnsi"/>
                <w:sz w:val="16"/>
                <w:szCs w:val="16"/>
              </w:rPr>
              <w:t xml:space="preserve">2020, as </w:t>
            </w:r>
            <w:r w:rsidR="708D898B" w:rsidRPr="2B91AEFB">
              <w:rPr>
                <w:rFonts w:asciiTheme="minorHAnsi" w:hAnsiTheme="minorHAnsi"/>
                <w:sz w:val="16"/>
                <w:szCs w:val="16"/>
              </w:rPr>
              <w:t>services were not required to collect data during COVID-1</w:t>
            </w:r>
            <w:r w:rsidR="3F993F39" w:rsidRPr="2B91AEFB">
              <w:rPr>
                <w:rFonts w:asciiTheme="minorHAnsi" w:hAnsiTheme="minorHAnsi"/>
                <w:sz w:val="16"/>
                <w:szCs w:val="16"/>
              </w:rPr>
              <w:t>9.</w:t>
            </w:r>
            <w:r w:rsidR="5EE7EC55" w:rsidRPr="2B91AEFB">
              <w:rPr>
                <w:rFonts w:asciiTheme="minorHAnsi" w:hAnsiTheme="minorHAnsi"/>
                <w:sz w:val="16"/>
                <w:szCs w:val="16"/>
              </w:rPr>
              <w:t xml:space="preserve"> </w:t>
            </w:r>
          </w:p>
          <w:p w14:paraId="1509F6AC" w14:textId="798EBE7E" w:rsidR="00517B9C" w:rsidRPr="00F5274C" w:rsidRDefault="28529B3F" w:rsidP="00517B9C">
            <w:pPr>
              <w:pStyle w:val="ListBullet"/>
              <w:ind w:left="0"/>
              <w:rPr>
                <w:i/>
                <w:iCs/>
                <w:sz w:val="16"/>
                <w:szCs w:val="16"/>
              </w:rPr>
            </w:pPr>
            <w:r w:rsidRPr="2B91AEFB">
              <w:rPr>
                <w:rFonts w:asciiTheme="minorHAnsi" w:hAnsiTheme="minorHAnsi"/>
                <w:i/>
                <w:iCs/>
                <w:sz w:val="16"/>
                <w:szCs w:val="16"/>
              </w:rPr>
              <w:t xml:space="preserve">Analysis relying on the data should be considered as indicative. </w:t>
            </w:r>
          </w:p>
        </w:tc>
      </w:tr>
      <w:tr w:rsidR="00F5274C" w:rsidRPr="00F5274C" w14:paraId="68890E9D" w14:textId="77777777" w:rsidTr="2B91AEFB">
        <w:trPr>
          <w:trHeight w:val="341"/>
        </w:trPr>
        <w:tc>
          <w:tcPr>
            <w:tcW w:w="624" w:type="pct"/>
          </w:tcPr>
          <w:p w14:paraId="6C757C3C" w14:textId="6BF202BD" w:rsidR="00131BA9" w:rsidRPr="00F5274C" w:rsidRDefault="00EC3D11">
            <w:pPr>
              <w:spacing w:after="0"/>
              <w:rPr>
                <w:rFonts w:asciiTheme="minorHAnsi" w:hAnsiTheme="minorHAnsi"/>
                <w:b/>
                <w:bCs/>
                <w:sz w:val="16"/>
                <w:szCs w:val="16"/>
              </w:rPr>
            </w:pPr>
            <w:r>
              <w:rPr>
                <w:rFonts w:asciiTheme="minorHAnsi" w:hAnsiTheme="minorHAnsi"/>
                <w:b/>
                <w:bCs/>
                <w:sz w:val="16"/>
                <w:szCs w:val="16"/>
              </w:rPr>
              <w:t xml:space="preserve">Australian Early Development </w:t>
            </w:r>
            <w:r w:rsidR="008E2E54">
              <w:rPr>
                <w:rFonts w:asciiTheme="minorHAnsi" w:hAnsiTheme="minorHAnsi"/>
                <w:b/>
                <w:bCs/>
                <w:sz w:val="16"/>
                <w:szCs w:val="16"/>
              </w:rPr>
              <w:t>Census (</w:t>
            </w:r>
            <w:r w:rsidR="00131BA9" w:rsidRPr="00F5274C">
              <w:rPr>
                <w:rFonts w:asciiTheme="minorHAnsi" w:hAnsiTheme="minorHAnsi"/>
                <w:b/>
                <w:bCs/>
                <w:sz w:val="16"/>
                <w:szCs w:val="16"/>
              </w:rPr>
              <w:t>AEDC</w:t>
            </w:r>
            <w:r w:rsidR="00BD4D41">
              <w:rPr>
                <w:rFonts w:asciiTheme="minorHAnsi" w:hAnsiTheme="minorHAnsi"/>
                <w:b/>
                <w:bCs/>
                <w:sz w:val="16"/>
                <w:szCs w:val="16"/>
              </w:rPr>
              <w:t>)</w:t>
            </w:r>
            <w:r w:rsidR="00131BA9" w:rsidRPr="00F5274C">
              <w:rPr>
                <w:rFonts w:asciiTheme="minorHAnsi" w:hAnsiTheme="minorHAnsi"/>
                <w:b/>
                <w:bCs/>
                <w:sz w:val="16"/>
                <w:szCs w:val="16"/>
              </w:rPr>
              <w:t xml:space="preserve"> data</w:t>
            </w:r>
          </w:p>
        </w:tc>
        <w:tc>
          <w:tcPr>
            <w:tcW w:w="1103" w:type="pct"/>
          </w:tcPr>
          <w:p w14:paraId="722C0906" w14:textId="11539AF4" w:rsidR="00131BA9" w:rsidRPr="00F5274C" w:rsidRDefault="00BF0384" w:rsidP="00036D67">
            <w:pPr>
              <w:rPr>
                <w:sz w:val="16"/>
                <w:szCs w:val="16"/>
              </w:rPr>
            </w:pPr>
            <w:r w:rsidRPr="00F5274C">
              <w:rPr>
                <w:sz w:val="16"/>
                <w:szCs w:val="16"/>
              </w:rPr>
              <w:t xml:space="preserve">The AEDC a nationwide measure evaluating the development of children in Australia by the time they start their first year of </w:t>
            </w:r>
            <w:r w:rsidR="00DC7BC1" w:rsidRPr="00F5274C">
              <w:rPr>
                <w:sz w:val="16"/>
                <w:szCs w:val="16"/>
              </w:rPr>
              <w:t>full-time</w:t>
            </w:r>
            <w:r w:rsidRPr="00F5274C">
              <w:rPr>
                <w:sz w:val="16"/>
                <w:szCs w:val="16"/>
              </w:rPr>
              <w:t xml:space="preserve"> school. </w:t>
            </w:r>
            <w:r w:rsidR="00A6115A">
              <w:rPr>
                <w:sz w:val="16"/>
                <w:szCs w:val="16"/>
              </w:rPr>
              <w:t>Data is collected every three years (</w:t>
            </w:r>
            <w:r w:rsidR="00F526CA">
              <w:rPr>
                <w:sz w:val="16"/>
                <w:szCs w:val="16"/>
              </w:rPr>
              <w:t>e.g.</w:t>
            </w:r>
            <w:r w:rsidR="00501DF0">
              <w:rPr>
                <w:sz w:val="16"/>
                <w:szCs w:val="16"/>
              </w:rPr>
              <w:t>,</w:t>
            </w:r>
            <w:r w:rsidR="00F526CA">
              <w:rPr>
                <w:sz w:val="16"/>
                <w:szCs w:val="16"/>
              </w:rPr>
              <w:t xml:space="preserve"> 2012, 2015, 2018, 2021).</w:t>
            </w:r>
          </w:p>
        </w:tc>
        <w:tc>
          <w:tcPr>
            <w:tcW w:w="964" w:type="pct"/>
          </w:tcPr>
          <w:p w14:paraId="2FD7B93F" w14:textId="77777777" w:rsidR="00F526CA" w:rsidRDefault="7F585811" w:rsidP="006116A9">
            <w:pPr>
              <w:pStyle w:val="ListBullet"/>
              <w:rPr>
                <w:sz w:val="16"/>
                <w:szCs w:val="16"/>
              </w:rPr>
            </w:pPr>
            <w:r w:rsidRPr="2B91AEFB">
              <w:rPr>
                <w:sz w:val="16"/>
                <w:szCs w:val="16"/>
              </w:rPr>
              <w:t>Measures of child developmental vulnerability</w:t>
            </w:r>
          </w:p>
          <w:p w14:paraId="34ABB6F5" w14:textId="77777777" w:rsidR="00B25AAA" w:rsidRDefault="7F585811" w:rsidP="006116A9">
            <w:pPr>
              <w:pStyle w:val="ListBullet"/>
              <w:rPr>
                <w:sz w:val="16"/>
                <w:szCs w:val="16"/>
              </w:rPr>
            </w:pPr>
            <w:r w:rsidRPr="2B91AEFB">
              <w:rPr>
                <w:sz w:val="16"/>
                <w:szCs w:val="16"/>
              </w:rPr>
              <w:t xml:space="preserve">Measures of child </w:t>
            </w:r>
            <w:r w:rsidR="5D7A4538" w:rsidRPr="2B91AEFB">
              <w:rPr>
                <w:sz w:val="16"/>
                <w:szCs w:val="16"/>
              </w:rPr>
              <w:t>use of ECEC in the year before full time schooling</w:t>
            </w:r>
          </w:p>
          <w:p w14:paraId="1E631581" w14:textId="0639A501" w:rsidR="00131BA9" w:rsidRPr="00F5274C" w:rsidRDefault="5D7A4538" w:rsidP="006116A9">
            <w:pPr>
              <w:pStyle w:val="ListBullet"/>
              <w:rPr>
                <w:sz w:val="16"/>
                <w:szCs w:val="16"/>
              </w:rPr>
            </w:pPr>
            <w:r w:rsidRPr="2B91AEFB">
              <w:rPr>
                <w:sz w:val="16"/>
                <w:szCs w:val="16"/>
              </w:rPr>
              <w:t>Child demographic measures, including location</w:t>
            </w:r>
            <w:r w:rsidR="3CFB44E9" w:rsidRPr="2B91AEFB">
              <w:rPr>
                <w:sz w:val="16"/>
                <w:szCs w:val="16"/>
              </w:rPr>
              <w:t>, background</w:t>
            </w:r>
          </w:p>
        </w:tc>
        <w:tc>
          <w:tcPr>
            <w:tcW w:w="661" w:type="pct"/>
          </w:tcPr>
          <w:p w14:paraId="5A7E7442" w14:textId="77777777" w:rsidR="00577680" w:rsidRPr="00F5274C" w:rsidRDefault="00577680" w:rsidP="00577680">
            <w:pPr>
              <w:spacing w:after="0"/>
              <w:rPr>
                <w:rFonts w:asciiTheme="minorHAnsi" w:hAnsiTheme="minorHAnsi"/>
                <w:b/>
                <w:bCs/>
                <w:sz w:val="16"/>
                <w:szCs w:val="16"/>
              </w:rPr>
            </w:pPr>
            <w:r>
              <w:rPr>
                <w:rFonts w:asciiTheme="minorHAnsi" w:hAnsiTheme="minorHAnsi"/>
                <w:b/>
                <w:bCs/>
                <w:sz w:val="16"/>
                <w:szCs w:val="16"/>
              </w:rPr>
              <w:t>Objectives and intent</w:t>
            </w:r>
          </w:p>
          <w:p w14:paraId="0CA6FC43" w14:textId="654C3FF2" w:rsidR="00285186" w:rsidRPr="00285186" w:rsidRDefault="00285186" w:rsidP="00E51AB4">
            <w:pPr>
              <w:spacing w:after="0"/>
              <w:rPr>
                <w:rFonts w:asciiTheme="minorHAnsi" w:hAnsiTheme="minorHAnsi"/>
                <w:sz w:val="16"/>
                <w:szCs w:val="16"/>
              </w:rPr>
            </w:pPr>
            <w:r>
              <w:rPr>
                <w:rFonts w:asciiTheme="minorHAnsi" w:hAnsiTheme="minorHAnsi"/>
                <w:sz w:val="16"/>
                <w:szCs w:val="16"/>
              </w:rPr>
              <w:t>This data is used to understand trends in ECEC use and developmental outcomes.</w:t>
            </w:r>
          </w:p>
          <w:p w14:paraId="634C0FB6" w14:textId="1F379DAD" w:rsidR="00347F8D" w:rsidRPr="00F5274C" w:rsidRDefault="00347F8D" w:rsidP="00E51AB4">
            <w:pPr>
              <w:spacing w:after="0"/>
              <w:rPr>
                <w:rFonts w:asciiTheme="minorHAnsi" w:hAnsiTheme="minorHAnsi"/>
                <w:b/>
                <w:sz w:val="16"/>
                <w:szCs w:val="16"/>
              </w:rPr>
            </w:pPr>
          </w:p>
        </w:tc>
        <w:tc>
          <w:tcPr>
            <w:tcW w:w="1649" w:type="pct"/>
          </w:tcPr>
          <w:p w14:paraId="1933205D" w14:textId="29E2CBE2" w:rsidR="0004537D" w:rsidRDefault="72F0E419" w:rsidP="00285186">
            <w:pPr>
              <w:pStyle w:val="ListBullet"/>
              <w:rPr>
                <w:rFonts w:asciiTheme="minorHAnsi" w:hAnsiTheme="minorHAnsi"/>
                <w:sz w:val="16"/>
                <w:szCs w:val="16"/>
              </w:rPr>
            </w:pPr>
            <w:r w:rsidRPr="2B91AEFB">
              <w:rPr>
                <w:rFonts w:asciiTheme="minorHAnsi" w:hAnsiTheme="minorHAnsi"/>
                <w:sz w:val="16"/>
                <w:szCs w:val="16"/>
              </w:rPr>
              <w:t xml:space="preserve">Data on </w:t>
            </w:r>
            <w:r w:rsidR="06684090" w:rsidRPr="2B91AEFB">
              <w:rPr>
                <w:rFonts w:asciiTheme="minorHAnsi" w:hAnsiTheme="minorHAnsi"/>
                <w:sz w:val="16"/>
                <w:szCs w:val="16"/>
              </w:rPr>
              <w:t>c</w:t>
            </w:r>
            <w:r w:rsidRPr="2B91AEFB">
              <w:rPr>
                <w:rFonts w:asciiTheme="minorHAnsi" w:hAnsiTheme="minorHAnsi"/>
                <w:sz w:val="16"/>
                <w:szCs w:val="16"/>
              </w:rPr>
              <w:t>hildren’s Aboriginal and Torres Strait Islander status has not been accessed as a part of this project.</w:t>
            </w:r>
          </w:p>
          <w:p w14:paraId="3477F1EA" w14:textId="7BC80E16" w:rsidR="00131BA9" w:rsidRDefault="72F0E419" w:rsidP="00285186">
            <w:pPr>
              <w:pStyle w:val="ListBullet"/>
              <w:rPr>
                <w:rFonts w:asciiTheme="minorHAnsi" w:hAnsiTheme="minorHAnsi"/>
                <w:sz w:val="16"/>
                <w:szCs w:val="16"/>
              </w:rPr>
            </w:pPr>
            <w:r w:rsidRPr="2B91AEFB">
              <w:rPr>
                <w:rFonts w:asciiTheme="minorHAnsi" w:hAnsiTheme="minorHAnsi"/>
                <w:sz w:val="16"/>
                <w:szCs w:val="16"/>
              </w:rPr>
              <w:t xml:space="preserve">AEDC data has not been linked to other data sources to identify whether a child has attended a CCCFR service. </w:t>
            </w:r>
          </w:p>
          <w:p w14:paraId="5A3CC61C" w14:textId="6C7BCC56" w:rsidR="0004537D" w:rsidRPr="0004537D" w:rsidRDefault="72F0E419" w:rsidP="0004537D">
            <w:pPr>
              <w:pStyle w:val="ListBullet"/>
              <w:ind w:left="0"/>
              <w:rPr>
                <w:rFonts w:asciiTheme="minorHAnsi" w:hAnsiTheme="minorHAnsi"/>
                <w:i/>
                <w:iCs/>
                <w:sz w:val="16"/>
                <w:szCs w:val="16"/>
              </w:rPr>
            </w:pPr>
            <w:r w:rsidRPr="2B91AEFB">
              <w:rPr>
                <w:rFonts w:asciiTheme="minorHAnsi" w:hAnsiTheme="minorHAnsi"/>
                <w:i/>
                <w:iCs/>
                <w:sz w:val="16"/>
                <w:szCs w:val="16"/>
              </w:rPr>
              <w:t>Analysis relying on this data is unable to focus specifically on the cohorts of interest (i.e.</w:t>
            </w:r>
            <w:r w:rsidR="59B0D255" w:rsidRPr="2B91AEFB">
              <w:rPr>
                <w:rFonts w:asciiTheme="minorHAnsi" w:hAnsiTheme="minorHAnsi"/>
                <w:i/>
                <w:iCs/>
                <w:sz w:val="16"/>
                <w:szCs w:val="16"/>
              </w:rPr>
              <w:t>,</w:t>
            </w:r>
            <w:r w:rsidRPr="2B91AEFB">
              <w:rPr>
                <w:rFonts w:asciiTheme="minorHAnsi" w:hAnsiTheme="minorHAnsi"/>
                <w:i/>
                <w:iCs/>
                <w:sz w:val="16"/>
                <w:szCs w:val="16"/>
              </w:rPr>
              <w:t xml:space="preserve"> vulnerable cohorts in CCCFR services). </w:t>
            </w:r>
            <w:r w:rsidR="71D603B9" w:rsidRPr="2B91AEFB">
              <w:rPr>
                <w:rFonts w:asciiTheme="minorHAnsi" w:hAnsiTheme="minorHAnsi"/>
                <w:i/>
                <w:iCs/>
                <w:sz w:val="16"/>
                <w:szCs w:val="16"/>
              </w:rPr>
              <w:t xml:space="preserve">Any findings are at the broader regional level, and cannot be directly attributed or linked to the </w:t>
            </w:r>
            <w:r w:rsidR="06684090" w:rsidRPr="2B91AEFB">
              <w:rPr>
                <w:rFonts w:asciiTheme="minorHAnsi" w:hAnsiTheme="minorHAnsi"/>
                <w:i/>
                <w:iCs/>
                <w:sz w:val="16"/>
                <w:szCs w:val="16"/>
              </w:rPr>
              <w:t>g</w:t>
            </w:r>
            <w:r w:rsidR="71D603B9" w:rsidRPr="2B91AEFB">
              <w:rPr>
                <w:rFonts w:asciiTheme="minorHAnsi" w:hAnsiTheme="minorHAnsi"/>
                <w:i/>
                <w:iCs/>
                <w:sz w:val="16"/>
                <w:szCs w:val="16"/>
              </w:rPr>
              <w:t>rant</w:t>
            </w:r>
            <w:r w:rsidRPr="2B91AEFB">
              <w:rPr>
                <w:rFonts w:asciiTheme="minorHAnsi" w:hAnsiTheme="minorHAnsi"/>
                <w:i/>
                <w:iCs/>
                <w:sz w:val="16"/>
                <w:szCs w:val="16"/>
              </w:rPr>
              <w:t xml:space="preserve">. </w:t>
            </w:r>
          </w:p>
        </w:tc>
      </w:tr>
      <w:tr w:rsidR="00F5274C" w:rsidRPr="00F5274C" w14:paraId="09FD2FD2" w14:textId="77777777" w:rsidTr="2B91AEFB">
        <w:trPr>
          <w:trHeight w:val="341"/>
        </w:trPr>
        <w:tc>
          <w:tcPr>
            <w:tcW w:w="624" w:type="pct"/>
          </w:tcPr>
          <w:p w14:paraId="32D862FC" w14:textId="09F093C1" w:rsidR="00131BA9" w:rsidRPr="00F5274C" w:rsidRDefault="00131BA9">
            <w:pPr>
              <w:spacing w:after="0"/>
              <w:rPr>
                <w:rFonts w:asciiTheme="minorHAnsi" w:hAnsiTheme="minorHAnsi"/>
                <w:b/>
                <w:bCs/>
                <w:sz w:val="16"/>
                <w:szCs w:val="16"/>
              </w:rPr>
            </w:pPr>
            <w:r w:rsidRPr="00F5274C">
              <w:rPr>
                <w:rFonts w:asciiTheme="minorHAnsi" w:hAnsiTheme="minorHAnsi"/>
                <w:b/>
                <w:bCs/>
                <w:sz w:val="16"/>
                <w:szCs w:val="16"/>
              </w:rPr>
              <w:t>ABS</w:t>
            </w:r>
            <w:r w:rsidR="00BC7B31">
              <w:rPr>
                <w:rFonts w:asciiTheme="minorHAnsi" w:hAnsiTheme="minorHAnsi"/>
                <w:b/>
                <w:bCs/>
                <w:sz w:val="16"/>
                <w:szCs w:val="16"/>
              </w:rPr>
              <w:t xml:space="preserve"> </w:t>
            </w:r>
            <w:r w:rsidR="00030C09" w:rsidRPr="00F5274C">
              <w:rPr>
                <w:rFonts w:asciiTheme="minorHAnsi" w:hAnsiTheme="minorHAnsi"/>
                <w:b/>
                <w:bCs/>
                <w:sz w:val="16"/>
                <w:szCs w:val="16"/>
              </w:rPr>
              <w:t>Preschool Education</w:t>
            </w:r>
            <w:r w:rsidR="00441EF0">
              <w:rPr>
                <w:rFonts w:asciiTheme="minorHAnsi" w:hAnsiTheme="minorHAnsi"/>
                <w:b/>
                <w:bCs/>
                <w:sz w:val="16"/>
                <w:szCs w:val="16"/>
              </w:rPr>
              <w:t xml:space="preserve"> (Tablebuilder)</w:t>
            </w:r>
          </w:p>
        </w:tc>
        <w:tc>
          <w:tcPr>
            <w:tcW w:w="1103" w:type="pct"/>
          </w:tcPr>
          <w:p w14:paraId="325A342A" w14:textId="72FFB31F" w:rsidR="00131BA9" w:rsidRPr="00F5274C" w:rsidRDefault="0060240B" w:rsidP="00036D67">
            <w:pPr>
              <w:rPr>
                <w:sz w:val="16"/>
                <w:szCs w:val="16"/>
              </w:rPr>
            </w:pPr>
            <w:r w:rsidRPr="00F5274C">
              <w:rPr>
                <w:sz w:val="16"/>
                <w:szCs w:val="16"/>
              </w:rPr>
              <w:t>The ABS Preschool Education data</w:t>
            </w:r>
            <w:r w:rsidR="003F43FF">
              <w:rPr>
                <w:sz w:val="16"/>
                <w:szCs w:val="16"/>
              </w:rPr>
              <w:t xml:space="preserve"> series</w:t>
            </w:r>
            <w:r w:rsidRPr="00F5274C">
              <w:rPr>
                <w:sz w:val="16"/>
                <w:szCs w:val="16"/>
              </w:rPr>
              <w:t xml:space="preserve"> </w:t>
            </w:r>
            <w:r w:rsidR="003F43FF">
              <w:rPr>
                <w:sz w:val="16"/>
                <w:szCs w:val="16"/>
              </w:rPr>
              <w:t>provides annual data on preschool usage, including enrolments</w:t>
            </w:r>
            <w:r w:rsidR="004022C0" w:rsidRPr="00F5274C">
              <w:rPr>
                <w:sz w:val="16"/>
                <w:szCs w:val="16"/>
              </w:rPr>
              <w:t xml:space="preserve">, fees, </w:t>
            </w:r>
            <w:r w:rsidR="003F43FF">
              <w:rPr>
                <w:sz w:val="16"/>
                <w:szCs w:val="16"/>
              </w:rPr>
              <w:t>and hours.</w:t>
            </w:r>
          </w:p>
        </w:tc>
        <w:tc>
          <w:tcPr>
            <w:tcW w:w="964" w:type="pct"/>
          </w:tcPr>
          <w:p w14:paraId="02F5AE0C" w14:textId="5C6E2C03" w:rsidR="00131BA9" w:rsidRPr="001C655F" w:rsidRDefault="3B53EDD3" w:rsidP="0001643F">
            <w:pPr>
              <w:pStyle w:val="ListBullet"/>
              <w:rPr>
                <w:sz w:val="16"/>
              </w:rPr>
            </w:pPr>
            <w:r w:rsidRPr="001C655F">
              <w:rPr>
                <w:sz w:val="16"/>
                <w:szCs w:val="16"/>
              </w:rPr>
              <w:t xml:space="preserve">Preschool </w:t>
            </w:r>
            <w:r w:rsidR="2EF0BA33" w:rsidRPr="001C655F">
              <w:rPr>
                <w:sz w:val="16"/>
                <w:szCs w:val="16"/>
              </w:rPr>
              <w:t>enrolment and attendance</w:t>
            </w:r>
            <w:r w:rsidR="001CD8AD" w:rsidRPr="001C655F">
              <w:rPr>
                <w:sz w:val="16"/>
                <w:szCs w:val="16"/>
              </w:rPr>
              <w:t xml:space="preserve"> for children aged 3-6. F</w:t>
            </w:r>
            <w:r w:rsidR="0C688A5D" w:rsidRPr="001C655F">
              <w:rPr>
                <w:sz w:val="16"/>
                <w:szCs w:val="16"/>
              </w:rPr>
              <w:t>or</w:t>
            </w:r>
            <w:r w:rsidR="001CD8AD" w:rsidRPr="001C655F">
              <w:rPr>
                <w:sz w:val="16"/>
                <w:szCs w:val="16"/>
              </w:rPr>
              <w:t xml:space="preserve"> three-year-old</w:t>
            </w:r>
            <w:r w:rsidR="0C688A5D" w:rsidRPr="001C655F">
              <w:rPr>
                <w:sz w:val="16"/>
                <w:szCs w:val="16"/>
              </w:rPr>
              <w:t xml:space="preserve"> children, all </w:t>
            </w:r>
            <w:r w:rsidR="001CD8AD" w:rsidRPr="001C655F">
              <w:rPr>
                <w:sz w:val="16"/>
                <w:szCs w:val="16"/>
              </w:rPr>
              <w:t xml:space="preserve">enrolments </w:t>
            </w:r>
            <w:r w:rsidR="0C688A5D" w:rsidRPr="001C655F">
              <w:rPr>
                <w:sz w:val="16"/>
                <w:szCs w:val="16"/>
              </w:rPr>
              <w:t xml:space="preserve">in </w:t>
            </w:r>
            <w:r w:rsidR="001CD8AD" w:rsidRPr="001C655F">
              <w:rPr>
                <w:sz w:val="16"/>
                <w:szCs w:val="16"/>
              </w:rPr>
              <w:t>CBDCs are captured (regardless of whether a preschool program is delivered)</w:t>
            </w:r>
            <w:r w:rsidRPr="001C655F">
              <w:rPr>
                <w:sz w:val="16"/>
                <w:szCs w:val="16"/>
              </w:rPr>
              <w:t xml:space="preserve"> </w:t>
            </w:r>
          </w:p>
          <w:p w14:paraId="49900833" w14:textId="28AFD111" w:rsidR="00131BA9" w:rsidRPr="00F5274C" w:rsidRDefault="4AA325FB" w:rsidP="0001643F">
            <w:pPr>
              <w:pStyle w:val="ListBullet"/>
            </w:pPr>
            <w:r w:rsidRPr="001C655F">
              <w:rPr>
                <w:sz w:val="16"/>
                <w:szCs w:val="16"/>
              </w:rPr>
              <w:t>Preschool fees</w:t>
            </w:r>
          </w:p>
        </w:tc>
        <w:tc>
          <w:tcPr>
            <w:tcW w:w="661" w:type="pct"/>
          </w:tcPr>
          <w:p w14:paraId="4D55C769" w14:textId="77777777" w:rsidR="00577680" w:rsidRPr="00F5274C" w:rsidRDefault="00577680" w:rsidP="00577680">
            <w:pPr>
              <w:spacing w:after="0"/>
              <w:rPr>
                <w:rFonts w:asciiTheme="minorHAnsi" w:hAnsiTheme="minorHAnsi"/>
                <w:b/>
                <w:bCs/>
                <w:sz w:val="16"/>
                <w:szCs w:val="16"/>
              </w:rPr>
            </w:pPr>
            <w:r>
              <w:rPr>
                <w:rFonts w:asciiTheme="minorHAnsi" w:hAnsiTheme="minorHAnsi"/>
                <w:b/>
                <w:bCs/>
                <w:sz w:val="16"/>
                <w:szCs w:val="16"/>
              </w:rPr>
              <w:t>Objectives and intent</w:t>
            </w:r>
          </w:p>
          <w:p w14:paraId="35D32B7E" w14:textId="5A3B3CDD" w:rsidR="00347F8D" w:rsidRPr="00D70216" w:rsidRDefault="00D70216" w:rsidP="00347F8D">
            <w:pPr>
              <w:spacing w:after="0"/>
              <w:rPr>
                <w:rFonts w:asciiTheme="minorHAnsi" w:hAnsiTheme="minorHAnsi"/>
                <w:b/>
                <w:sz w:val="16"/>
                <w:szCs w:val="16"/>
              </w:rPr>
            </w:pPr>
            <w:r>
              <w:rPr>
                <w:rFonts w:asciiTheme="minorHAnsi" w:hAnsiTheme="minorHAnsi"/>
                <w:sz w:val="16"/>
                <w:szCs w:val="16"/>
              </w:rPr>
              <w:t xml:space="preserve">This data is used to determine the impacts on ECEC and preschool use. </w:t>
            </w:r>
          </w:p>
        </w:tc>
        <w:tc>
          <w:tcPr>
            <w:tcW w:w="1649" w:type="pct"/>
          </w:tcPr>
          <w:p w14:paraId="209FAB96" w14:textId="645AE930" w:rsidR="00350188" w:rsidRDefault="2EF0BA33" w:rsidP="00E618E4">
            <w:pPr>
              <w:pStyle w:val="ListBullet"/>
              <w:rPr>
                <w:rFonts w:asciiTheme="minorHAnsi" w:hAnsiTheme="minorHAnsi"/>
                <w:sz w:val="16"/>
                <w:szCs w:val="16"/>
              </w:rPr>
            </w:pPr>
            <w:r w:rsidRPr="2B91AEFB">
              <w:rPr>
                <w:rFonts w:asciiTheme="minorHAnsi" w:hAnsiTheme="minorHAnsi"/>
                <w:sz w:val="16"/>
                <w:szCs w:val="16"/>
              </w:rPr>
              <w:t xml:space="preserve">This dataset does not contain a population measure for calculating the participation rate. Consequently, </w:t>
            </w:r>
            <w:r w:rsidR="2C45262B" w:rsidRPr="2B91AEFB">
              <w:rPr>
                <w:rFonts w:asciiTheme="minorHAnsi" w:hAnsiTheme="minorHAnsi"/>
                <w:sz w:val="16"/>
                <w:szCs w:val="16"/>
              </w:rPr>
              <w:t>it is combined with other data sources (i.e.</w:t>
            </w:r>
            <w:r w:rsidR="551BBD58" w:rsidRPr="2B91AEFB">
              <w:rPr>
                <w:rFonts w:asciiTheme="minorHAnsi" w:hAnsiTheme="minorHAnsi"/>
                <w:sz w:val="16"/>
                <w:szCs w:val="16"/>
              </w:rPr>
              <w:t>,</w:t>
            </w:r>
            <w:r w:rsidR="2C45262B" w:rsidRPr="2B91AEFB">
              <w:rPr>
                <w:rFonts w:asciiTheme="minorHAnsi" w:hAnsiTheme="minorHAnsi"/>
                <w:sz w:val="16"/>
                <w:szCs w:val="16"/>
              </w:rPr>
              <w:t xml:space="preserve"> ABS Census) to calculate </w:t>
            </w:r>
            <w:r w:rsidR="43670DD6" w:rsidRPr="2B91AEFB">
              <w:rPr>
                <w:rFonts w:asciiTheme="minorHAnsi" w:hAnsiTheme="minorHAnsi"/>
                <w:sz w:val="16"/>
                <w:szCs w:val="16"/>
              </w:rPr>
              <w:t>the enrolment rate.</w:t>
            </w:r>
          </w:p>
          <w:p w14:paraId="0775B38B" w14:textId="7EE54350" w:rsidR="004B05D9" w:rsidRPr="00350188" w:rsidRDefault="43670DD6" w:rsidP="00350188">
            <w:pPr>
              <w:pStyle w:val="ListBullet"/>
              <w:ind w:left="0"/>
              <w:rPr>
                <w:rFonts w:asciiTheme="minorHAnsi" w:hAnsiTheme="minorHAnsi"/>
                <w:i/>
                <w:iCs/>
                <w:sz w:val="16"/>
                <w:szCs w:val="16"/>
              </w:rPr>
            </w:pPr>
            <w:r w:rsidRPr="2B91AEFB">
              <w:rPr>
                <w:rFonts w:asciiTheme="minorHAnsi" w:hAnsiTheme="minorHAnsi"/>
                <w:i/>
                <w:iCs/>
                <w:sz w:val="16"/>
                <w:szCs w:val="16"/>
              </w:rPr>
              <w:t xml:space="preserve">This may </w:t>
            </w:r>
            <w:r w:rsidR="146DE489" w:rsidRPr="2B91AEFB">
              <w:rPr>
                <w:rFonts w:asciiTheme="minorHAnsi" w:hAnsiTheme="minorHAnsi"/>
                <w:i/>
                <w:iCs/>
                <w:sz w:val="16"/>
                <w:szCs w:val="16"/>
              </w:rPr>
              <w:t>lead</w:t>
            </w:r>
            <w:r w:rsidRPr="2B91AEFB">
              <w:rPr>
                <w:rFonts w:asciiTheme="minorHAnsi" w:hAnsiTheme="minorHAnsi"/>
                <w:i/>
                <w:iCs/>
                <w:sz w:val="16"/>
                <w:szCs w:val="16"/>
              </w:rPr>
              <w:t xml:space="preserve"> to inaccurate estimates of preschool participation. </w:t>
            </w:r>
          </w:p>
          <w:p w14:paraId="3597574F" w14:textId="5BA5ECAE" w:rsidR="004B05D9" w:rsidRPr="00F5274C" w:rsidRDefault="004B05D9">
            <w:pPr>
              <w:spacing w:after="0"/>
              <w:rPr>
                <w:rFonts w:asciiTheme="minorHAnsi" w:hAnsiTheme="minorHAnsi"/>
                <w:sz w:val="16"/>
                <w:szCs w:val="16"/>
              </w:rPr>
            </w:pPr>
          </w:p>
        </w:tc>
      </w:tr>
      <w:tr w:rsidR="00F5274C" w:rsidRPr="00F5274C" w14:paraId="60CCEECB" w14:textId="77777777" w:rsidTr="2B91AEFB">
        <w:trPr>
          <w:trHeight w:val="341"/>
        </w:trPr>
        <w:tc>
          <w:tcPr>
            <w:tcW w:w="624" w:type="pct"/>
          </w:tcPr>
          <w:p w14:paraId="656A84FD" w14:textId="70D55E32" w:rsidR="00A62E66" w:rsidRPr="00F5274C" w:rsidRDefault="00A62E66">
            <w:pPr>
              <w:spacing w:after="0"/>
              <w:rPr>
                <w:rFonts w:asciiTheme="minorHAnsi" w:hAnsiTheme="minorHAnsi"/>
                <w:b/>
                <w:bCs/>
                <w:sz w:val="16"/>
                <w:szCs w:val="16"/>
              </w:rPr>
            </w:pPr>
            <w:r w:rsidRPr="00F5274C">
              <w:rPr>
                <w:rFonts w:asciiTheme="minorHAnsi" w:hAnsiTheme="minorHAnsi"/>
                <w:b/>
                <w:bCs/>
                <w:sz w:val="16"/>
                <w:szCs w:val="16"/>
              </w:rPr>
              <w:t xml:space="preserve">ABS </w:t>
            </w:r>
            <w:r w:rsidR="00D17150">
              <w:rPr>
                <w:rFonts w:asciiTheme="minorHAnsi" w:hAnsiTheme="minorHAnsi"/>
                <w:b/>
                <w:bCs/>
                <w:sz w:val="16"/>
                <w:szCs w:val="16"/>
              </w:rPr>
              <w:t xml:space="preserve">Census of Population and </w:t>
            </w:r>
            <w:r w:rsidR="00D17150">
              <w:rPr>
                <w:rFonts w:asciiTheme="minorHAnsi" w:hAnsiTheme="minorHAnsi"/>
                <w:b/>
                <w:bCs/>
                <w:sz w:val="16"/>
                <w:szCs w:val="16"/>
              </w:rPr>
              <w:lastRenderedPageBreak/>
              <w:t>Housing</w:t>
            </w:r>
            <w:r w:rsidR="00441EF0">
              <w:rPr>
                <w:rFonts w:asciiTheme="minorHAnsi" w:hAnsiTheme="minorHAnsi"/>
                <w:b/>
                <w:bCs/>
                <w:sz w:val="16"/>
                <w:szCs w:val="16"/>
              </w:rPr>
              <w:t xml:space="preserve"> (Tablebuilder)</w:t>
            </w:r>
          </w:p>
        </w:tc>
        <w:tc>
          <w:tcPr>
            <w:tcW w:w="1103" w:type="pct"/>
          </w:tcPr>
          <w:p w14:paraId="427CD3FF" w14:textId="70A804A9" w:rsidR="00A62E66" w:rsidRPr="00F5274C" w:rsidRDefault="007C628C" w:rsidP="00036D67">
            <w:pPr>
              <w:rPr>
                <w:sz w:val="16"/>
                <w:szCs w:val="16"/>
              </w:rPr>
            </w:pPr>
            <w:r w:rsidRPr="00F5274C">
              <w:rPr>
                <w:sz w:val="16"/>
                <w:szCs w:val="16"/>
              </w:rPr>
              <w:lastRenderedPageBreak/>
              <w:t xml:space="preserve">Every </w:t>
            </w:r>
            <w:r w:rsidR="00694E5A">
              <w:rPr>
                <w:sz w:val="16"/>
                <w:szCs w:val="16"/>
              </w:rPr>
              <w:t>five</w:t>
            </w:r>
            <w:r w:rsidRPr="00F5274C">
              <w:rPr>
                <w:sz w:val="16"/>
                <w:szCs w:val="16"/>
              </w:rPr>
              <w:t xml:space="preserve"> years, ABS counts every person and household in Australia, and collect</w:t>
            </w:r>
            <w:r w:rsidR="004014D3" w:rsidRPr="00F5274C">
              <w:rPr>
                <w:sz w:val="16"/>
                <w:szCs w:val="16"/>
              </w:rPr>
              <w:t xml:space="preserve">s information </w:t>
            </w:r>
            <w:r w:rsidR="00350188">
              <w:rPr>
                <w:sz w:val="16"/>
                <w:szCs w:val="16"/>
              </w:rPr>
              <w:t xml:space="preserve">on housing, </w:t>
            </w:r>
            <w:r w:rsidR="00350188">
              <w:rPr>
                <w:sz w:val="16"/>
                <w:szCs w:val="16"/>
              </w:rPr>
              <w:lastRenderedPageBreak/>
              <w:t xml:space="preserve">employment, </w:t>
            </w:r>
            <w:r w:rsidR="00694E5A">
              <w:rPr>
                <w:sz w:val="16"/>
                <w:szCs w:val="16"/>
              </w:rPr>
              <w:t>family composition and education.</w:t>
            </w:r>
            <w:r w:rsidR="002E497C">
              <w:rPr>
                <w:sz w:val="16"/>
                <w:szCs w:val="16"/>
              </w:rPr>
              <w:t xml:space="preserve"> </w:t>
            </w:r>
          </w:p>
        </w:tc>
        <w:tc>
          <w:tcPr>
            <w:tcW w:w="964" w:type="pct"/>
          </w:tcPr>
          <w:p w14:paraId="588ACD08" w14:textId="77777777" w:rsidR="00A62E66" w:rsidRPr="001C655F" w:rsidRDefault="07845F32" w:rsidP="0001643F">
            <w:pPr>
              <w:pStyle w:val="ListBullet"/>
              <w:rPr>
                <w:sz w:val="16"/>
              </w:rPr>
            </w:pPr>
            <w:r w:rsidRPr="001C655F">
              <w:rPr>
                <w:sz w:val="16"/>
                <w:szCs w:val="16"/>
              </w:rPr>
              <w:lastRenderedPageBreak/>
              <w:t>Unemployment rates for young women with child</w:t>
            </w:r>
          </w:p>
          <w:p w14:paraId="49DDC1AA" w14:textId="210EF0C5" w:rsidR="00D70216" w:rsidRPr="00F5274C" w:rsidRDefault="5386BE37" w:rsidP="0001643F">
            <w:pPr>
              <w:pStyle w:val="ListBullet"/>
            </w:pPr>
            <w:r w:rsidRPr="001C655F">
              <w:rPr>
                <w:sz w:val="16"/>
                <w:szCs w:val="16"/>
              </w:rPr>
              <w:t>Population</w:t>
            </w:r>
          </w:p>
        </w:tc>
        <w:tc>
          <w:tcPr>
            <w:tcW w:w="661" w:type="pct"/>
          </w:tcPr>
          <w:p w14:paraId="48B0A28D" w14:textId="77777777" w:rsidR="00577680" w:rsidRPr="00F5274C" w:rsidRDefault="00577680" w:rsidP="00577680">
            <w:pPr>
              <w:spacing w:after="0"/>
              <w:rPr>
                <w:rFonts w:asciiTheme="minorHAnsi" w:hAnsiTheme="minorHAnsi"/>
                <w:b/>
                <w:bCs/>
                <w:sz w:val="16"/>
                <w:szCs w:val="16"/>
              </w:rPr>
            </w:pPr>
            <w:r>
              <w:rPr>
                <w:rFonts w:asciiTheme="minorHAnsi" w:hAnsiTheme="minorHAnsi"/>
                <w:b/>
                <w:bCs/>
                <w:sz w:val="16"/>
                <w:szCs w:val="16"/>
              </w:rPr>
              <w:t>Objectives and intent</w:t>
            </w:r>
          </w:p>
          <w:p w14:paraId="23D03087" w14:textId="76A9BD10" w:rsidR="00347F8D" w:rsidRPr="00D70216" w:rsidRDefault="00D70216" w:rsidP="00347F8D">
            <w:pPr>
              <w:spacing w:after="0"/>
              <w:rPr>
                <w:rFonts w:asciiTheme="minorHAnsi" w:hAnsiTheme="minorHAnsi"/>
                <w:b/>
                <w:sz w:val="16"/>
                <w:szCs w:val="16"/>
              </w:rPr>
            </w:pPr>
            <w:r>
              <w:rPr>
                <w:rFonts w:asciiTheme="minorHAnsi" w:hAnsiTheme="minorHAnsi"/>
                <w:sz w:val="16"/>
                <w:szCs w:val="16"/>
              </w:rPr>
              <w:lastRenderedPageBreak/>
              <w:t>This data is used to determine the impacts on parental labour market outcomes.</w:t>
            </w:r>
          </w:p>
        </w:tc>
        <w:tc>
          <w:tcPr>
            <w:tcW w:w="1649" w:type="pct"/>
          </w:tcPr>
          <w:p w14:paraId="7D6A59F2" w14:textId="721FE0D8" w:rsidR="00CF0DA2" w:rsidRPr="001C655F" w:rsidRDefault="0003516F" w:rsidP="00BE2DE6">
            <w:pPr>
              <w:pStyle w:val="ListBullet"/>
              <w:rPr>
                <w:sz w:val="16"/>
              </w:rPr>
            </w:pPr>
            <w:r w:rsidRPr="001C655F">
              <w:rPr>
                <w:sz w:val="16"/>
                <w:szCs w:val="16"/>
              </w:rPr>
              <w:lastRenderedPageBreak/>
              <w:t xml:space="preserve">Data </w:t>
            </w:r>
            <w:r w:rsidR="791F01AD" w:rsidRPr="001C655F">
              <w:rPr>
                <w:sz w:val="16"/>
                <w:szCs w:val="16"/>
              </w:rPr>
              <w:t>is not linked to CCCFR service usage data.</w:t>
            </w:r>
          </w:p>
          <w:p w14:paraId="5B5B8367" w14:textId="200AEF51" w:rsidR="00CF0DA2" w:rsidRPr="001C655F" w:rsidRDefault="791F01AD" w:rsidP="00CF0DA2">
            <w:pPr>
              <w:pStyle w:val="ListBullet"/>
              <w:ind w:left="0"/>
              <w:rPr>
                <w:i/>
                <w:sz w:val="16"/>
              </w:rPr>
            </w:pPr>
            <w:r w:rsidRPr="001C655F">
              <w:rPr>
                <w:i/>
                <w:sz w:val="16"/>
                <w:szCs w:val="16"/>
              </w:rPr>
              <w:t xml:space="preserve">The findings represent broader regional trends, and cannot be attributed to </w:t>
            </w:r>
            <w:r w:rsidR="146DE489" w:rsidRPr="001C655F">
              <w:rPr>
                <w:i/>
                <w:sz w:val="16"/>
                <w:szCs w:val="16"/>
              </w:rPr>
              <w:t xml:space="preserve">the </w:t>
            </w:r>
            <w:r w:rsidRPr="001C655F">
              <w:rPr>
                <w:i/>
                <w:sz w:val="16"/>
                <w:szCs w:val="16"/>
              </w:rPr>
              <w:t>CCCFR</w:t>
            </w:r>
            <w:r w:rsidR="146DE489" w:rsidRPr="001C655F">
              <w:rPr>
                <w:i/>
                <w:sz w:val="16"/>
                <w:szCs w:val="16"/>
              </w:rPr>
              <w:t xml:space="preserve"> grant</w:t>
            </w:r>
            <w:r w:rsidRPr="001C655F">
              <w:rPr>
                <w:i/>
                <w:sz w:val="16"/>
                <w:szCs w:val="16"/>
              </w:rPr>
              <w:t xml:space="preserve">. </w:t>
            </w:r>
            <w:r w:rsidR="67B389FF" w:rsidRPr="001C655F">
              <w:rPr>
                <w:i/>
                <w:sz w:val="16"/>
                <w:szCs w:val="16"/>
              </w:rPr>
              <w:t xml:space="preserve">Further </w:t>
            </w:r>
            <w:r w:rsidR="67B389FF" w:rsidRPr="001C655F">
              <w:rPr>
                <w:i/>
                <w:sz w:val="16"/>
                <w:szCs w:val="16"/>
              </w:rPr>
              <w:lastRenderedPageBreak/>
              <w:t xml:space="preserve">analysis using Person Level Integrated Data Asset (PLIDA) is required </w:t>
            </w:r>
            <w:r w:rsidR="107D858F" w:rsidRPr="001C655F">
              <w:rPr>
                <w:i/>
                <w:sz w:val="16"/>
                <w:szCs w:val="16"/>
              </w:rPr>
              <w:t>to determ</w:t>
            </w:r>
            <w:r w:rsidR="6B805137" w:rsidRPr="001C655F">
              <w:rPr>
                <w:i/>
                <w:sz w:val="16"/>
                <w:szCs w:val="16"/>
              </w:rPr>
              <w:t>ine attribution.</w:t>
            </w:r>
            <w:r w:rsidR="002E497C" w:rsidRPr="001C655F">
              <w:rPr>
                <w:i/>
                <w:sz w:val="16"/>
                <w:szCs w:val="16"/>
              </w:rPr>
              <w:t xml:space="preserve"> </w:t>
            </w:r>
          </w:p>
        </w:tc>
      </w:tr>
      <w:tr w:rsidR="001A714A" w:rsidRPr="00F5274C" w14:paraId="6748B777" w14:textId="77777777" w:rsidTr="2B91AEFB">
        <w:trPr>
          <w:trHeight w:val="3451"/>
        </w:trPr>
        <w:tc>
          <w:tcPr>
            <w:tcW w:w="624" w:type="pct"/>
          </w:tcPr>
          <w:p w14:paraId="076D5372" w14:textId="5AD558A8" w:rsidR="001A714A" w:rsidRPr="00F5274C" w:rsidRDefault="001501B9">
            <w:pPr>
              <w:spacing w:after="0"/>
              <w:rPr>
                <w:rFonts w:asciiTheme="minorHAnsi" w:hAnsiTheme="minorHAnsi"/>
                <w:b/>
                <w:bCs/>
                <w:sz w:val="16"/>
                <w:szCs w:val="16"/>
              </w:rPr>
            </w:pPr>
            <w:r w:rsidRPr="00F5274C">
              <w:rPr>
                <w:rFonts w:asciiTheme="minorHAnsi" w:hAnsiTheme="minorHAnsi"/>
                <w:b/>
                <w:bCs/>
                <w:sz w:val="16"/>
                <w:szCs w:val="16"/>
              </w:rPr>
              <w:lastRenderedPageBreak/>
              <w:t>ABS</w:t>
            </w:r>
            <w:r>
              <w:rPr>
                <w:rFonts w:asciiTheme="minorHAnsi" w:hAnsiTheme="minorHAnsi"/>
                <w:b/>
                <w:bCs/>
                <w:sz w:val="16"/>
                <w:szCs w:val="16"/>
              </w:rPr>
              <w:t xml:space="preserve"> </w:t>
            </w:r>
            <w:r w:rsidRPr="001501B9">
              <w:rPr>
                <w:rFonts w:asciiTheme="minorHAnsi" w:hAnsiTheme="minorHAnsi"/>
                <w:b/>
                <w:bCs/>
                <w:sz w:val="16"/>
                <w:szCs w:val="16"/>
              </w:rPr>
              <w:t>Socio-Economic Indexes for Areas (SEIFA), Australia</w:t>
            </w:r>
          </w:p>
        </w:tc>
        <w:tc>
          <w:tcPr>
            <w:tcW w:w="1103" w:type="pct"/>
          </w:tcPr>
          <w:p w14:paraId="04EA14FC" w14:textId="4DD8A6C7" w:rsidR="003B33EA" w:rsidRPr="003B33EA" w:rsidRDefault="003B33EA" w:rsidP="003B33EA">
            <w:pPr>
              <w:rPr>
                <w:sz w:val="16"/>
                <w:szCs w:val="16"/>
              </w:rPr>
            </w:pPr>
            <w:r w:rsidRPr="003B33EA">
              <w:rPr>
                <w:sz w:val="16"/>
                <w:szCs w:val="16"/>
              </w:rPr>
              <w:t xml:space="preserve">The 2021 Census of population and housing (Census) provides information on a range of social and economic characteristics of Australia’s population. </w:t>
            </w:r>
          </w:p>
          <w:p w14:paraId="10C61BEF" w14:textId="77777777" w:rsidR="003B33EA" w:rsidRPr="003B33EA" w:rsidRDefault="003B33EA" w:rsidP="003B33EA">
            <w:pPr>
              <w:rPr>
                <w:sz w:val="16"/>
                <w:szCs w:val="16"/>
              </w:rPr>
            </w:pPr>
            <w:r w:rsidRPr="003B33EA">
              <w:rPr>
                <w:sz w:val="16"/>
                <w:szCs w:val="16"/>
              </w:rPr>
              <w:t>SEIFA combines Census data such as income, education, employment, occupation, housing and family structure to summarise the socio-economic characteristics of an area.</w:t>
            </w:r>
          </w:p>
          <w:p w14:paraId="0826F61D" w14:textId="44A781AB" w:rsidR="001A714A" w:rsidRPr="00F5274C" w:rsidRDefault="003B33EA" w:rsidP="00036D67">
            <w:pPr>
              <w:rPr>
                <w:sz w:val="16"/>
                <w:szCs w:val="16"/>
              </w:rPr>
            </w:pPr>
            <w:r w:rsidRPr="003B33EA">
              <w:rPr>
                <w:sz w:val="16"/>
                <w:szCs w:val="16"/>
              </w:rPr>
              <w:t>Each area receives a SEIFA score indicating how relatively advantaged or disadvantaged that area is compared with other areas.</w:t>
            </w:r>
          </w:p>
        </w:tc>
        <w:tc>
          <w:tcPr>
            <w:tcW w:w="964" w:type="pct"/>
          </w:tcPr>
          <w:p w14:paraId="59BC64C4" w14:textId="64174041" w:rsidR="001A714A" w:rsidRPr="00F5274C" w:rsidRDefault="01C9F195" w:rsidP="0001643F">
            <w:pPr>
              <w:pStyle w:val="ListBullet"/>
            </w:pPr>
            <w:r w:rsidRPr="001C655F">
              <w:rPr>
                <w:sz w:val="16"/>
                <w:szCs w:val="16"/>
              </w:rPr>
              <w:t>T</w:t>
            </w:r>
            <w:r w:rsidR="685141E1" w:rsidRPr="001C655F">
              <w:rPr>
                <w:sz w:val="16"/>
                <w:szCs w:val="16"/>
              </w:rPr>
              <w:t>he Index of Relative Socio-economic Disadvantage (IRSD) focuses on relative socio-economic disadvantage</w:t>
            </w:r>
          </w:p>
        </w:tc>
        <w:tc>
          <w:tcPr>
            <w:tcW w:w="661" w:type="pct"/>
          </w:tcPr>
          <w:p w14:paraId="0A7FA1EE" w14:textId="77777777" w:rsidR="001A714A" w:rsidRPr="00577680" w:rsidRDefault="003B33EA" w:rsidP="00347F8D">
            <w:pPr>
              <w:spacing w:after="0"/>
              <w:rPr>
                <w:rFonts w:asciiTheme="minorHAnsi" w:hAnsiTheme="minorHAnsi"/>
                <w:b/>
                <w:sz w:val="16"/>
                <w:szCs w:val="16"/>
              </w:rPr>
            </w:pPr>
            <w:r w:rsidRPr="00577680">
              <w:rPr>
                <w:rFonts w:asciiTheme="minorHAnsi" w:hAnsiTheme="minorHAnsi"/>
                <w:b/>
                <w:sz w:val="16"/>
                <w:szCs w:val="16"/>
              </w:rPr>
              <w:t xml:space="preserve">Profile of CCCFR services </w:t>
            </w:r>
          </w:p>
          <w:p w14:paraId="6008274F" w14:textId="77777777" w:rsidR="00577680" w:rsidRPr="00577680" w:rsidRDefault="00577680" w:rsidP="00577680">
            <w:pPr>
              <w:spacing w:after="0"/>
              <w:rPr>
                <w:rFonts w:asciiTheme="minorHAnsi" w:hAnsiTheme="minorHAnsi"/>
                <w:b/>
                <w:bCs/>
                <w:sz w:val="16"/>
                <w:szCs w:val="16"/>
              </w:rPr>
            </w:pPr>
            <w:r w:rsidRPr="00577680">
              <w:rPr>
                <w:rFonts w:asciiTheme="minorHAnsi" w:hAnsiTheme="minorHAnsi"/>
                <w:b/>
                <w:bCs/>
                <w:sz w:val="16"/>
                <w:szCs w:val="16"/>
              </w:rPr>
              <w:t>Objectives and intent</w:t>
            </w:r>
          </w:p>
          <w:p w14:paraId="2B728FD1" w14:textId="32E15B7D" w:rsidR="001A714A" w:rsidRPr="00577680" w:rsidRDefault="001A714A" w:rsidP="00347F8D">
            <w:pPr>
              <w:spacing w:after="0"/>
              <w:rPr>
                <w:rFonts w:asciiTheme="minorHAnsi" w:hAnsiTheme="minorHAnsi"/>
                <w:b/>
                <w:sz w:val="16"/>
                <w:szCs w:val="16"/>
              </w:rPr>
            </w:pPr>
          </w:p>
        </w:tc>
        <w:tc>
          <w:tcPr>
            <w:tcW w:w="1649" w:type="pct"/>
          </w:tcPr>
          <w:p w14:paraId="65040BE2" w14:textId="3F99767E" w:rsidR="001A714A" w:rsidRPr="001C655F" w:rsidRDefault="0C2E1F02" w:rsidP="00BE2DE6">
            <w:pPr>
              <w:pStyle w:val="ListBullet"/>
              <w:rPr>
                <w:sz w:val="16"/>
              </w:rPr>
            </w:pPr>
            <w:r w:rsidRPr="001C655F">
              <w:rPr>
                <w:sz w:val="16"/>
                <w:szCs w:val="16"/>
              </w:rPr>
              <w:t xml:space="preserve">SEIFA data is not available for </w:t>
            </w:r>
            <w:r w:rsidR="4EDD7C07" w:rsidRPr="001C655F">
              <w:rPr>
                <w:sz w:val="16"/>
                <w:szCs w:val="16"/>
              </w:rPr>
              <w:t>a small number of</w:t>
            </w:r>
            <w:r w:rsidRPr="001C655F">
              <w:rPr>
                <w:sz w:val="16"/>
                <w:szCs w:val="16"/>
              </w:rPr>
              <w:t xml:space="preserve"> SA2 geographies</w:t>
            </w:r>
            <w:r w:rsidR="00C42D47">
              <w:rPr>
                <w:sz w:val="16"/>
                <w:szCs w:val="16"/>
              </w:rPr>
              <w:t>, including for 1 CCCFR service’s location.</w:t>
            </w:r>
            <w:r w:rsidR="00C42D47">
              <w:rPr>
                <w:rStyle w:val="FootnoteReference"/>
                <w:sz w:val="16"/>
                <w:szCs w:val="16"/>
              </w:rPr>
              <w:footnoteReference w:id="87"/>
            </w:r>
            <w:r w:rsidR="4EDD7C07" w:rsidRPr="001C655F">
              <w:rPr>
                <w:sz w:val="16"/>
                <w:szCs w:val="16"/>
              </w:rPr>
              <w:t xml:space="preserve"> </w:t>
            </w:r>
          </w:p>
        </w:tc>
      </w:tr>
      <w:tr w:rsidR="00A407E9" w:rsidRPr="00F5274C" w14:paraId="643EDEF0" w14:textId="77777777" w:rsidTr="2B91AEFB">
        <w:trPr>
          <w:trHeight w:val="341"/>
        </w:trPr>
        <w:tc>
          <w:tcPr>
            <w:tcW w:w="624" w:type="pct"/>
          </w:tcPr>
          <w:p w14:paraId="6CB606BF" w14:textId="282751F8" w:rsidR="001F2B40" w:rsidRPr="00F5274C" w:rsidRDefault="00993132">
            <w:pPr>
              <w:spacing w:after="0"/>
              <w:rPr>
                <w:rFonts w:asciiTheme="minorHAnsi" w:hAnsiTheme="minorHAnsi"/>
                <w:b/>
                <w:bCs/>
                <w:sz w:val="16"/>
                <w:szCs w:val="16"/>
              </w:rPr>
            </w:pPr>
            <w:r>
              <w:rPr>
                <w:rFonts w:asciiTheme="minorHAnsi" w:hAnsiTheme="minorHAnsi"/>
                <w:b/>
                <w:bCs/>
                <w:sz w:val="16"/>
                <w:szCs w:val="16"/>
              </w:rPr>
              <w:t xml:space="preserve">ECEC </w:t>
            </w:r>
            <w:r w:rsidR="001F2B40" w:rsidRPr="00F5274C">
              <w:rPr>
                <w:rFonts w:asciiTheme="minorHAnsi" w:hAnsiTheme="minorHAnsi"/>
                <w:b/>
                <w:bCs/>
                <w:sz w:val="16"/>
                <w:szCs w:val="16"/>
              </w:rPr>
              <w:t>National Workforce Census</w:t>
            </w:r>
            <w:r w:rsidR="003F79C5">
              <w:rPr>
                <w:rFonts w:asciiTheme="minorHAnsi" w:hAnsiTheme="minorHAnsi"/>
                <w:b/>
                <w:bCs/>
                <w:sz w:val="16"/>
                <w:szCs w:val="16"/>
              </w:rPr>
              <w:t xml:space="preserve"> (NWC)</w:t>
            </w:r>
          </w:p>
        </w:tc>
        <w:tc>
          <w:tcPr>
            <w:tcW w:w="1103" w:type="pct"/>
          </w:tcPr>
          <w:p w14:paraId="1E2DD097" w14:textId="4C8BF1E6" w:rsidR="00993132" w:rsidRPr="00F5274C" w:rsidRDefault="00993132" w:rsidP="00993132">
            <w:pPr>
              <w:spacing w:after="0"/>
              <w:rPr>
                <w:rFonts w:asciiTheme="minorHAnsi" w:hAnsiTheme="minorHAnsi"/>
                <w:sz w:val="16"/>
                <w:szCs w:val="16"/>
              </w:rPr>
            </w:pPr>
            <w:r>
              <w:rPr>
                <w:rFonts w:asciiTheme="minorHAnsi" w:hAnsiTheme="minorHAnsi"/>
                <w:sz w:val="16"/>
                <w:szCs w:val="16"/>
              </w:rPr>
              <w:t>Census</w:t>
            </w:r>
            <w:r w:rsidRPr="00993132">
              <w:rPr>
                <w:rFonts w:asciiTheme="minorHAnsi" w:hAnsiTheme="minorHAnsi"/>
                <w:sz w:val="16"/>
                <w:szCs w:val="16"/>
              </w:rPr>
              <w:t xml:space="preserve"> information from child care services on staff, service usage, children with additional needs and access to preschool programs.</w:t>
            </w:r>
            <w:r>
              <w:rPr>
                <w:rFonts w:asciiTheme="minorHAnsi" w:hAnsiTheme="minorHAnsi"/>
                <w:sz w:val="16"/>
                <w:szCs w:val="16"/>
              </w:rPr>
              <w:t xml:space="preserve"> Data </w:t>
            </w:r>
            <w:r>
              <w:rPr>
                <w:rFonts w:asciiTheme="minorHAnsi" w:hAnsiTheme="minorHAnsi"/>
                <w:sz w:val="16"/>
                <w:szCs w:val="16"/>
              </w:rPr>
              <w:lastRenderedPageBreak/>
              <w:t>is collected every three years (i.e. 2018, 2021).</w:t>
            </w:r>
          </w:p>
        </w:tc>
        <w:tc>
          <w:tcPr>
            <w:tcW w:w="964" w:type="pct"/>
          </w:tcPr>
          <w:p w14:paraId="4A15BD12" w14:textId="358D963C" w:rsidR="001F2B40" w:rsidRDefault="1B5FBF51" w:rsidP="00C5346B">
            <w:pPr>
              <w:pStyle w:val="ListBullet"/>
              <w:rPr>
                <w:rFonts w:asciiTheme="minorHAnsi" w:hAnsiTheme="minorHAnsi"/>
                <w:sz w:val="16"/>
                <w:szCs w:val="16"/>
              </w:rPr>
            </w:pPr>
            <w:r w:rsidRPr="2B91AEFB">
              <w:rPr>
                <w:rFonts w:asciiTheme="minorHAnsi" w:hAnsiTheme="minorHAnsi"/>
                <w:sz w:val="16"/>
                <w:szCs w:val="16"/>
              </w:rPr>
              <w:lastRenderedPageBreak/>
              <w:t>Attendance (in a reference week) by child characteristics</w:t>
            </w:r>
          </w:p>
          <w:p w14:paraId="5EA7E66D" w14:textId="2A10C35F" w:rsidR="00F11670" w:rsidRPr="00F11670" w:rsidRDefault="1B5FBF51" w:rsidP="00F11670">
            <w:pPr>
              <w:pStyle w:val="ListBullet"/>
              <w:rPr>
                <w:rFonts w:asciiTheme="minorHAnsi" w:hAnsiTheme="minorHAnsi"/>
                <w:sz w:val="16"/>
                <w:szCs w:val="16"/>
              </w:rPr>
            </w:pPr>
            <w:r w:rsidRPr="2B91AEFB">
              <w:rPr>
                <w:rFonts w:asciiTheme="minorHAnsi" w:hAnsiTheme="minorHAnsi"/>
                <w:sz w:val="16"/>
                <w:szCs w:val="16"/>
              </w:rPr>
              <w:t>Service utilisation</w:t>
            </w:r>
          </w:p>
        </w:tc>
        <w:tc>
          <w:tcPr>
            <w:tcW w:w="661" w:type="pct"/>
          </w:tcPr>
          <w:p w14:paraId="6FE18F58" w14:textId="77777777" w:rsidR="0035464B" w:rsidRPr="00F5274C" w:rsidRDefault="0035464B" w:rsidP="0035464B">
            <w:pPr>
              <w:spacing w:after="0"/>
              <w:rPr>
                <w:rFonts w:asciiTheme="minorHAnsi" w:hAnsiTheme="minorHAnsi"/>
                <w:b/>
                <w:bCs/>
                <w:sz w:val="16"/>
                <w:szCs w:val="16"/>
              </w:rPr>
            </w:pPr>
            <w:r>
              <w:rPr>
                <w:rFonts w:asciiTheme="minorHAnsi" w:hAnsiTheme="minorHAnsi"/>
                <w:b/>
                <w:bCs/>
                <w:sz w:val="16"/>
                <w:szCs w:val="16"/>
              </w:rPr>
              <w:t>Objectives and intent</w:t>
            </w:r>
          </w:p>
          <w:p w14:paraId="170599AD" w14:textId="7484DBF3" w:rsidR="001F2B40" w:rsidRDefault="00F11670" w:rsidP="00347F8D">
            <w:pPr>
              <w:spacing w:after="0"/>
              <w:rPr>
                <w:rFonts w:asciiTheme="minorHAnsi" w:hAnsiTheme="minorHAnsi"/>
                <w:sz w:val="16"/>
                <w:szCs w:val="16"/>
              </w:rPr>
            </w:pPr>
            <w:r>
              <w:rPr>
                <w:rFonts w:asciiTheme="minorHAnsi" w:hAnsiTheme="minorHAnsi"/>
                <w:sz w:val="16"/>
                <w:szCs w:val="16"/>
              </w:rPr>
              <w:t xml:space="preserve">This data is used to understand service </w:t>
            </w:r>
            <w:r>
              <w:rPr>
                <w:rFonts w:asciiTheme="minorHAnsi" w:hAnsiTheme="minorHAnsi"/>
                <w:sz w:val="16"/>
                <w:szCs w:val="16"/>
              </w:rPr>
              <w:lastRenderedPageBreak/>
              <w:t>capacity and utilisation.</w:t>
            </w:r>
          </w:p>
          <w:p w14:paraId="6A3FDEED" w14:textId="77777777" w:rsidR="00F11670" w:rsidRPr="00F5274C" w:rsidRDefault="00F11670" w:rsidP="00347F8D">
            <w:pPr>
              <w:spacing w:after="0"/>
              <w:rPr>
                <w:rFonts w:asciiTheme="minorHAnsi" w:hAnsiTheme="minorHAnsi"/>
                <w:sz w:val="16"/>
                <w:szCs w:val="16"/>
              </w:rPr>
            </w:pPr>
          </w:p>
        </w:tc>
        <w:tc>
          <w:tcPr>
            <w:tcW w:w="1649" w:type="pct"/>
          </w:tcPr>
          <w:p w14:paraId="66A76091" w14:textId="7AB1BB9A" w:rsidR="00DC4BE0" w:rsidRDefault="2604A35B" w:rsidP="6A4F117B">
            <w:pPr>
              <w:pStyle w:val="ListBullet"/>
              <w:ind w:left="0"/>
              <w:rPr>
                <w:rFonts w:asciiTheme="minorHAnsi" w:hAnsiTheme="minorHAnsi"/>
                <w:sz w:val="16"/>
                <w:szCs w:val="16"/>
              </w:rPr>
            </w:pPr>
            <w:r w:rsidRPr="2B91AEFB">
              <w:rPr>
                <w:rFonts w:asciiTheme="minorHAnsi" w:hAnsiTheme="minorHAnsi"/>
                <w:sz w:val="16"/>
                <w:szCs w:val="16"/>
              </w:rPr>
              <w:lastRenderedPageBreak/>
              <w:t>132 CCCFR services are captured in the NWC</w:t>
            </w:r>
            <w:r w:rsidR="32309116" w:rsidRPr="2B91AEFB">
              <w:rPr>
                <w:rFonts w:asciiTheme="minorHAnsi" w:hAnsiTheme="minorHAnsi"/>
                <w:sz w:val="16"/>
                <w:szCs w:val="16"/>
              </w:rPr>
              <w:t>, noting that results are based on a reference week</w:t>
            </w:r>
            <w:r w:rsidRPr="2B91AEFB">
              <w:rPr>
                <w:rFonts w:asciiTheme="minorHAnsi" w:hAnsiTheme="minorHAnsi"/>
                <w:sz w:val="16"/>
                <w:szCs w:val="16"/>
              </w:rPr>
              <w:t>.</w:t>
            </w:r>
          </w:p>
          <w:p w14:paraId="2F58298D" w14:textId="3426595C" w:rsidR="00F11670" w:rsidRPr="00DC4BE0" w:rsidRDefault="32309116" w:rsidP="00DC4BE0">
            <w:pPr>
              <w:pStyle w:val="ListBullet"/>
              <w:ind w:left="0"/>
              <w:rPr>
                <w:rFonts w:asciiTheme="minorHAnsi" w:hAnsiTheme="minorHAnsi"/>
                <w:i/>
                <w:sz w:val="16"/>
                <w:szCs w:val="16"/>
              </w:rPr>
            </w:pPr>
            <w:r w:rsidRPr="2B91AEFB">
              <w:rPr>
                <w:rFonts w:asciiTheme="minorHAnsi" w:hAnsiTheme="minorHAnsi"/>
                <w:i/>
                <w:iCs/>
                <w:sz w:val="16"/>
                <w:szCs w:val="16"/>
              </w:rPr>
              <w:t>Not all CCCFR services are captured in the NWC.</w:t>
            </w:r>
            <w:r w:rsidR="00651189" w:rsidRPr="2B91AEFB">
              <w:rPr>
                <w:rStyle w:val="FootnoteReference"/>
                <w:rFonts w:asciiTheme="minorHAnsi" w:hAnsiTheme="minorHAnsi"/>
                <w:i/>
                <w:iCs/>
                <w:sz w:val="16"/>
                <w:szCs w:val="16"/>
              </w:rPr>
              <w:footnoteReference w:id="88"/>
            </w:r>
            <w:r w:rsidR="002E497C" w:rsidRPr="2B91AEFB">
              <w:rPr>
                <w:rFonts w:asciiTheme="minorHAnsi" w:hAnsiTheme="minorHAnsi"/>
                <w:i/>
                <w:iCs/>
                <w:sz w:val="16"/>
                <w:szCs w:val="16"/>
              </w:rPr>
              <w:t xml:space="preserve"> </w:t>
            </w:r>
          </w:p>
        </w:tc>
      </w:tr>
    </w:tbl>
    <w:p w14:paraId="4CB0E052" w14:textId="77777777" w:rsidR="005031D9" w:rsidRDefault="00F523FB" w:rsidP="00F523FB">
      <w:pPr>
        <w:pStyle w:val="Source"/>
      </w:pPr>
      <w:r>
        <w:t>Source: Deloitte Access Economics.</w:t>
      </w:r>
    </w:p>
    <w:p w14:paraId="1C2598BD" w14:textId="77777777" w:rsidR="00F523FB" w:rsidRDefault="00F523FB" w:rsidP="00F523FB">
      <w:pPr>
        <w:rPr>
          <w:highlight w:val="yellow"/>
        </w:rPr>
      </w:pPr>
    </w:p>
    <w:p w14:paraId="62E3EF78" w14:textId="389A8D25" w:rsidR="00F523FB" w:rsidRPr="00F523FB" w:rsidRDefault="00F523FB" w:rsidP="00F523FB">
      <w:pPr>
        <w:rPr>
          <w:highlight w:val="yellow"/>
        </w:rPr>
        <w:sectPr w:rsidR="00F523FB" w:rsidRPr="00F523FB" w:rsidSect="005031D9">
          <w:pgSz w:w="16838" w:h="11906" w:orient="landscape" w:code="9"/>
          <w:pgMar w:top="1440" w:right="1440" w:bottom="1440" w:left="1440" w:header="680" w:footer="425" w:gutter="0"/>
          <w:cols w:space="284"/>
          <w:docGrid w:linePitch="360"/>
        </w:sectPr>
      </w:pPr>
    </w:p>
    <w:p w14:paraId="3F877D71" w14:textId="105B1B2B" w:rsidR="00411A90" w:rsidRPr="003549F9" w:rsidRDefault="005D0811" w:rsidP="00D130A8">
      <w:pPr>
        <w:pStyle w:val="Heading1un-numbered"/>
      </w:pPr>
      <w:bookmarkStart w:id="227" w:name="_Toc158993757"/>
      <w:bookmarkStart w:id="228" w:name="_Toc170227404"/>
      <w:r w:rsidRPr="003549F9">
        <w:lastRenderedPageBreak/>
        <w:t>Part B: Review findings</w:t>
      </w:r>
      <w:r w:rsidR="00E50F24">
        <w:t xml:space="preserve"> and recommendations</w:t>
      </w:r>
      <w:bookmarkEnd w:id="227"/>
      <w:bookmarkEnd w:id="228"/>
    </w:p>
    <w:p w14:paraId="6F243533" w14:textId="1829D7B5" w:rsidR="00411A90" w:rsidRDefault="00CF41E6" w:rsidP="00A253B7">
      <w:pPr>
        <w:pStyle w:val="Heading1"/>
      </w:pPr>
      <w:bookmarkStart w:id="229" w:name="_Ref152862080"/>
      <w:bookmarkStart w:id="230" w:name="_Toc158993758"/>
      <w:bookmarkStart w:id="231" w:name="_Toc170227405"/>
      <w:r w:rsidRPr="003549F9">
        <w:lastRenderedPageBreak/>
        <w:t>Objectives and intent</w:t>
      </w:r>
      <w:bookmarkEnd w:id="229"/>
      <w:bookmarkEnd w:id="230"/>
      <w:bookmarkEnd w:id="231"/>
    </w:p>
    <w:p w14:paraId="0AE73C7F" w14:textId="6312967B" w:rsidR="00430D1B" w:rsidRDefault="003563D6" w:rsidP="00FC2CF1">
      <w:pPr>
        <w:pStyle w:val="Sectionintro"/>
        <w:spacing w:after="170" w:line="240" w:lineRule="atLeast"/>
        <w:contextualSpacing w:val="0"/>
      </w:pPr>
      <w:r>
        <w:t xml:space="preserve">This </w:t>
      </w:r>
      <w:r w:rsidR="0089315F">
        <w:t>chapter</w:t>
      </w:r>
      <w:r>
        <w:t xml:space="preserve"> </w:t>
      </w:r>
      <w:r w:rsidR="00390A8F">
        <w:t xml:space="preserve">examines the </w:t>
      </w:r>
      <w:r w:rsidR="0046684F">
        <w:t>CCCFR grant objectives</w:t>
      </w:r>
      <w:r w:rsidR="0006784D">
        <w:t xml:space="preserve"> and intent</w:t>
      </w:r>
      <w:r w:rsidR="0046684F">
        <w:t>, to reveal the level of aw</w:t>
      </w:r>
      <w:r w:rsidR="004F5938">
        <w:t xml:space="preserve">areness and understanding of the objectives and </w:t>
      </w:r>
      <w:r w:rsidR="003165B8">
        <w:t xml:space="preserve">the extent </w:t>
      </w:r>
      <w:r w:rsidR="00911D23">
        <w:t>of alignment</w:t>
      </w:r>
      <w:r w:rsidR="009A187D">
        <w:t xml:space="preserve"> with Australian Government strategic objectives</w:t>
      </w:r>
      <w:r w:rsidR="00911D23">
        <w:t>.</w:t>
      </w:r>
      <w:r w:rsidR="00D008C8">
        <w:t xml:space="preserve"> It also considers </w:t>
      </w:r>
      <w:r w:rsidR="002E7A8F">
        <w:t xml:space="preserve">how </w:t>
      </w:r>
      <w:r w:rsidR="002353E2">
        <w:t>well</w:t>
      </w:r>
      <w:r w:rsidR="00AF6904">
        <w:t xml:space="preserve"> the objectives </w:t>
      </w:r>
      <w:r w:rsidR="002353E2">
        <w:t>meet the</w:t>
      </w:r>
      <w:r w:rsidR="00AF6904">
        <w:t xml:space="preserve"> needs </w:t>
      </w:r>
      <w:r w:rsidR="002353E2">
        <w:t>of</w:t>
      </w:r>
      <w:r w:rsidR="00AF6904">
        <w:t xml:space="preserve"> service</w:t>
      </w:r>
      <w:r w:rsidR="002353E2">
        <w:t>s</w:t>
      </w:r>
      <w:r w:rsidR="00AF6904">
        <w:t>, famil</w:t>
      </w:r>
      <w:r w:rsidR="002353E2">
        <w:t>ies</w:t>
      </w:r>
      <w:r w:rsidR="00FC2CF1" w:rsidRPr="00FC2CF1">
        <w:rPr>
          <w:szCs w:val="28"/>
        </w:rPr>
        <w:t>,</w:t>
      </w:r>
      <w:r w:rsidR="00AF6904">
        <w:t xml:space="preserve"> and communit</w:t>
      </w:r>
      <w:r w:rsidR="002353E2">
        <w:t>ies</w:t>
      </w:r>
      <w:r w:rsidR="00AF6904">
        <w:t>.</w:t>
      </w:r>
    </w:p>
    <w:p w14:paraId="437650E7" w14:textId="6368D51A" w:rsidR="00192FF9" w:rsidRDefault="00192FF9" w:rsidP="00362621">
      <w:pPr>
        <w:pStyle w:val="Heading2"/>
        <w:spacing w:after="120"/>
      </w:pPr>
      <w:bookmarkStart w:id="232" w:name="_Ref153351190"/>
      <w:bookmarkStart w:id="233" w:name="_Toc158993759"/>
      <w:bookmarkStart w:id="234" w:name="_Toc170227406"/>
      <w:bookmarkStart w:id="235" w:name="_Ref152917425"/>
      <w:r>
        <w:t>Outcomes against the objectives of the CCCFR grant</w:t>
      </w:r>
      <w:bookmarkEnd w:id="232"/>
      <w:bookmarkEnd w:id="233"/>
      <w:bookmarkEnd w:id="234"/>
    </w:p>
    <w:p w14:paraId="2D0A8A88" w14:textId="52B813C3" w:rsidR="00192FF9" w:rsidRDefault="00BE7806" w:rsidP="00192FF9">
      <w:r>
        <w:t>T</w:t>
      </w:r>
      <w:r w:rsidR="009C0930">
        <w:t xml:space="preserve">o </w:t>
      </w:r>
      <w:r w:rsidR="00192FF9">
        <w:t xml:space="preserve">understand the </w:t>
      </w:r>
      <w:r w:rsidR="009C0930">
        <w:t>grant’s effectiveness and impact</w:t>
      </w:r>
      <w:r w:rsidR="00192FF9">
        <w:t xml:space="preserve"> it is </w:t>
      </w:r>
      <w:r w:rsidR="00FC78B0">
        <w:t xml:space="preserve">necessary to </w:t>
      </w:r>
      <w:r w:rsidR="00B31D95">
        <w:t>examine</w:t>
      </w:r>
      <w:r w:rsidR="00192FF9">
        <w:t xml:space="preserve"> the outcomes </w:t>
      </w:r>
      <w:r w:rsidR="00B31D95">
        <w:t>associated with it</w:t>
      </w:r>
      <w:r w:rsidR="00192FF9">
        <w:t>. Three categories of outcomes are considered: (1) child care participation, (2) early childhood development and (3) workforce participation.</w:t>
      </w:r>
      <w:r w:rsidR="002E497C">
        <w:t xml:space="preserve"> </w:t>
      </w:r>
      <w:r w:rsidR="0001557A">
        <w:t xml:space="preserve">The analysis seeks to </w:t>
      </w:r>
      <w:r w:rsidR="00F1285A">
        <w:t>understand</w:t>
      </w:r>
      <w:r w:rsidR="0001557A">
        <w:t xml:space="preserve"> these outcomes by </w:t>
      </w:r>
      <w:r w:rsidR="00F1285A">
        <w:t xml:space="preserve">examining </w:t>
      </w:r>
      <w:r w:rsidR="00AA3AA2" w:rsidRPr="00AA3AA2">
        <w:t>grant</w:t>
      </w:r>
      <w:r w:rsidR="00F1285A">
        <w:t xml:space="preserve"> data, national datasets and information gathered from </w:t>
      </w:r>
      <w:r w:rsidR="00E3201A">
        <w:t xml:space="preserve">CCCFR </w:t>
      </w:r>
      <w:r w:rsidR="00F1285A">
        <w:t xml:space="preserve">services and families. </w:t>
      </w:r>
      <w:r w:rsidR="00CD3C05">
        <w:t>While a</w:t>
      </w:r>
      <w:r w:rsidR="00EC4A4B">
        <w:t>ll of this information is instructive</w:t>
      </w:r>
      <w:r w:rsidR="00CD3C05">
        <w:t>,</w:t>
      </w:r>
      <w:r w:rsidR="00EC4A4B">
        <w:t xml:space="preserve"> however as is commonly the case, </w:t>
      </w:r>
      <w:r w:rsidR="004C7D09">
        <w:t xml:space="preserve">attribution is challenging and definitive conclusions hard to reach. </w:t>
      </w:r>
    </w:p>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37626D" w14:paraId="6C45AFA8" w14:textId="77777777" w:rsidTr="007B5043">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7B23F7A7" w14:textId="6AEE4841" w:rsidR="00572805" w:rsidRPr="003104B7" w:rsidRDefault="00572805" w:rsidP="003104B7">
            <w:pPr>
              <w:pStyle w:val="Heading7"/>
              <w:keepLines w:val="0"/>
              <w:spacing w:after="170"/>
              <w:rPr>
                <w:rFonts w:eastAsiaTheme="minorHAnsi" w:cstheme="minorBidi"/>
                <w:bCs/>
                <w:iCs w:val="0"/>
              </w:rPr>
            </w:pPr>
            <w:bookmarkStart w:id="236" w:name="_Toc160193893"/>
            <w:bookmarkStart w:id="237" w:name="_Toc158997989"/>
            <w:bookmarkStart w:id="238" w:name="_Toc170228791"/>
            <w:r w:rsidRPr="003104B7">
              <w:rPr>
                <w:rFonts w:eastAsiaTheme="minorHAnsi" w:cstheme="minorBidi"/>
                <w:bCs/>
                <w:iCs w:val="0"/>
              </w:rPr>
              <w:t xml:space="preserve">Box </w:t>
            </w:r>
            <w:r w:rsidR="00B96937">
              <w:rPr>
                <w:rFonts w:eastAsiaTheme="minorHAnsi" w:cstheme="minorBidi"/>
                <w:bCs/>
                <w:iCs w:val="0"/>
              </w:rPr>
              <w:t>5.1</w:t>
            </w:r>
            <w:r w:rsidRPr="003104B7">
              <w:rPr>
                <w:rFonts w:eastAsiaTheme="minorHAnsi" w:cstheme="minorBidi"/>
                <w:bCs/>
                <w:iCs w:val="0"/>
              </w:rPr>
              <w:t xml:space="preserve">: </w:t>
            </w:r>
            <w:r w:rsidR="003104B7">
              <w:rPr>
                <w:rFonts w:eastAsiaTheme="minorHAnsi" w:cstheme="minorBidi"/>
                <w:bCs/>
                <w:iCs w:val="0"/>
              </w:rPr>
              <w:t>Interpreting the o</w:t>
            </w:r>
            <w:r w:rsidR="003104B7" w:rsidRPr="003104B7">
              <w:rPr>
                <w:rFonts w:eastAsiaTheme="minorHAnsi" w:cstheme="minorBidi"/>
                <w:bCs/>
                <w:iCs w:val="0"/>
              </w:rPr>
              <w:t>ut</w:t>
            </w:r>
            <w:r w:rsidR="003104B7">
              <w:rPr>
                <w:rFonts w:eastAsiaTheme="minorHAnsi" w:cstheme="minorBidi"/>
                <w:bCs/>
                <w:iCs w:val="0"/>
              </w:rPr>
              <w:t>comes analysis</w:t>
            </w:r>
            <w:bookmarkEnd w:id="236"/>
            <w:bookmarkEnd w:id="237"/>
            <w:bookmarkEnd w:id="238"/>
          </w:p>
          <w:p w14:paraId="2B67928C" w14:textId="15887BCA" w:rsidR="00572805" w:rsidRDefault="00572805" w:rsidP="00572805">
            <w:r>
              <w:t xml:space="preserve">The review </w:t>
            </w:r>
            <w:r w:rsidR="00FD1611">
              <w:t>was</w:t>
            </w:r>
            <w:r>
              <w:t xml:space="preserve"> granted access to a wide range of leading data on outcomes and has employed leading empirical techniques in analysing this data. </w:t>
            </w:r>
          </w:p>
          <w:p w14:paraId="3F6DDEEC" w14:textId="1C559685" w:rsidR="00572805" w:rsidRDefault="00572805" w:rsidP="00572805">
            <w:r>
              <w:t>This allowed conclusions to be drawn regarding how the outcomes observed in regions where a service in receipt of a CCCFR grant is located compare</w:t>
            </w:r>
            <w:r w:rsidR="003104B7">
              <w:t>d</w:t>
            </w:r>
            <w:r>
              <w:t xml:space="preserve"> to others (including regions with similar underlying socio-demographics. </w:t>
            </w:r>
          </w:p>
          <w:p w14:paraId="04643CB1" w14:textId="2E0B5E11" w:rsidR="0037626D" w:rsidRDefault="00572805" w:rsidP="00572805">
            <w:pPr>
              <w:pStyle w:val="Date"/>
            </w:pPr>
            <w:r>
              <w:t xml:space="preserve">What </w:t>
            </w:r>
            <w:r w:rsidR="005E18C0">
              <w:t>was</w:t>
            </w:r>
            <w:r>
              <w:t xml:space="preserve"> not possible </w:t>
            </w:r>
            <w:r w:rsidR="005E18C0">
              <w:t>was</w:t>
            </w:r>
            <w:r>
              <w:t xml:space="preserve"> to determine whether observed differences are the result of the presence of the CCCFR service or, moreover, the CCCFR grant. Inferences can be made but definitive conclusions cannot be reached. </w:t>
            </w:r>
          </w:p>
          <w:p w14:paraId="424B5526" w14:textId="60B9FA2D" w:rsidR="001A2FDA" w:rsidRPr="00B9245A" w:rsidRDefault="009A0227" w:rsidP="00A70AEA">
            <w:r w:rsidRPr="00B9245A">
              <w:t xml:space="preserve">It should be noted that the outcomes analysis with respect to CCS data and NWC data is limited to </w:t>
            </w:r>
            <w:r w:rsidR="00FC348F" w:rsidRPr="00B9245A">
              <w:t xml:space="preserve">data following services’ transition to the CCCFR. The analysis does not seek to compare outcomes from delivery under former funding models with outcomes under the CCCFR grant. </w:t>
            </w:r>
            <w:r w:rsidR="00D60CEE" w:rsidRPr="00B9245A">
              <w:t xml:space="preserve">The evaluation of the Child Care Package suggests that former BBF services experienced a sharp decline in enrolments </w:t>
            </w:r>
            <w:r w:rsidR="00A70AEA" w:rsidRPr="00B9245A">
              <w:t>of Aboriginal and Torres Strait Islander children at the point of transition.</w:t>
            </w:r>
            <w:r w:rsidR="00E142B3">
              <w:rPr>
                <w:rStyle w:val="FootnoteReference"/>
              </w:rPr>
              <w:footnoteReference w:id="89"/>
            </w:r>
            <w:r w:rsidR="00A70AEA" w:rsidRPr="00B9245A">
              <w:t xml:space="preserve"> This is supported by consultation findings of this review. </w:t>
            </w:r>
          </w:p>
          <w:p w14:paraId="0ADA1AE0" w14:textId="184F576F" w:rsidR="0037626D" w:rsidRPr="00F625F9" w:rsidRDefault="00A70AEA" w:rsidP="00FC348F">
            <w:r>
              <w:t xml:space="preserve">The analysis presented in these sections should be interpreted accordingly. </w:t>
            </w:r>
          </w:p>
        </w:tc>
      </w:tr>
    </w:tbl>
    <w:p w14:paraId="62733DD3" w14:textId="72785448" w:rsidR="00F1765F" w:rsidRDefault="00F1765F" w:rsidP="00572805">
      <w:pPr>
        <w:pStyle w:val="Date"/>
      </w:pPr>
    </w:p>
    <w:p w14:paraId="1F2A3244" w14:textId="77777777" w:rsidR="00BD449F" w:rsidRDefault="00BD449F" w:rsidP="00F06BEE">
      <w:pPr>
        <w:pStyle w:val="Date"/>
      </w:pPr>
    </w:p>
    <w:tbl>
      <w:tblPr>
        <w:tblStyle w:val="TableGrid"/>
        <w:tblW w:w="9072" w:type="dxa"/>
        <w:tblBorders>
          <w:left w:val="double" w:sz="12" w:space="0" w:color="012169" w:themeColor="accent4"/>
        </w:tblBorders>
        <w:tblCellMar>
          <w:top w:w="85" w:type="dxa"/>
          <w:left w:w="227" w:type="dxa"/>
          <w:bottom w:w="85" w:type="dxa"/>
          <w:right w:w="113" w:type="dxa"/>
        </w:tblCellMar>
        <w:tblLook w:val="04A0" w:firstRow="1" w:lastRow="0" w:firstColumn="1" w:lastColumn="0" w:noHBand="0" w:noVBand="1"/>
      </w:tblPr>
      <w:tblGrid>
        <w:gridCol w:w="9072"/>
      </w:tblGrid>
      <w:tr w:rsidR="009275FE" w:rsidRPr="00BD1248" w14:paraId="783819CB" w14:textId="77777777" w:rsidTr="00162F3A">
        <w:trPr>
          <w:cnfStyle w:val="100000000000" w:firstRow="1" w:lastRow="0" w:firstColumn="0" w:lastColumn="0" w:oddVBand="0" w:evenVBand="0" w:oddHBand="0" w:evenHBand="0" w:firstRowFirstColumn="0" w:firstRowLastColumn="0" w:lastRowFirstColumn="0" w:lastRowLastColumn="0"/>
          <w:cantSplit/>
        </w:trPr>
        <w:tc>
          <w:tcPr>
            <w:tcW w:w="9072" w:type="dxa"/>
            <w:shd w:val="clear" w:color="auto" w:fill="DFF0F9" w:themeFill="accent3" w:themeFillTint="33"/>
          </w:tcPr>
          <w:p w14:paraId="7D3EAC25" w14:textId="77777777" w:rsidR="00192FF9" w:rsidRDefault="00192FF9">
            <w:pPr>
              <w:spacing w:after="120"/>
              <w:rPr>
                <w:b/>
                <w:bCs/>
                <w:i/>
                <w:iCs/>
              </w:rPr>
            </w:pPr>
            <w:r w:rsidRPr="00B95090">
              <w:rPr>
                <w:b/>
                <w:bCs/>
                <w:i/>
                <w:iCs/>
              </w:rPr>
              <w:lastRenderedPageBreak/>
              <w:t>Key research questio</w:t>
            </w:r>
            <w:r>
              <w:rPr>
                <w:b/>
                <w:bCs/>
                <w:i/>
                <w:iCs/>
              </w:rPr>
              <w:t>ns</w:t>
            </w:r>
          </w:p>
          <w:p w14:paraId="685F09E4" w14:textId="77777777" w:rsidR="00192FF9" w:rsidRDefault="00192FF9">
            <w:pPr>
              <w:spacing w:before="120" w:after="120"/>
              <w:rPr>
                <w:i/>
                <w:iCs/>
              </w:rPr>
            </w:pPr>
            <w:r w:rsidRPr="00D611B7">
              <w:rPr>
                <w:i/>
                <w:iCs/>
              </w:rPr>
              <w:t>To what extent does the grant ensure equitable access to affordable child care services for families, in particular for Aboriginal and Torres Strait Islander children and children who may be experiencing vulnerability and disadvantage?</w:t>
            </w:r>
          </w:p>
          <w:p w14:paraId="210B52D0" w14:textId="77777777" w:rsidR="00192FF9" w:rsidRDefault="00192FF9">
            <w:pPr>
              <w:spacing w:before="120" w:after="120"/>
              <w:rPr>
                <w:i/>
                <w:iCs/>
              </w:rPr>
            </w:pPr>
            <w:r w:rsidRPr="00D611B7">
              <w:rPr>
                <w:i/>
                <w:iCs/>
              </w:rPr>
              <w:t>To what extent does the grant improve early childhood development outcomes for children who may be experiencing vulnerability and disadvantage, including through enabling factors of consistent attendance at ECEC services?</w:t>
            </w:r>
          </w:p>
          <w:p w14:paraId="4A74A704" w14:textId="614ACB3A" w:rsidR="00192FF9" w:rsidRPr="00D611B7" w:rsidRDefault="00192FF9">
            <w:pPr>
              <w:spacing w:before="120" w:after="120"/>
              <w:rPr>
                <w:i/>
              </w:rPr>
            </w:pPr>
            <w:r w:rsidRPr="00D611B7">
              <w:rPr>
                <w:i/>
                <w:iCs/>
              </w:rPr>
              <w:t>To what extent is workforce participation by families who may be experiencing vulnerability and disadvantage impacted by 1) ECEC provision and 2) CCCFR services?</w:t>
            </w:r>
          </w:p>
        </w:tc>
      </w:tr>
    </w:tbl>
    <w:p w14:paraId="72AD2E6A" w14:textId="77777777" w:rsidR="0035324B" w:rsidRDefault="0035324B" w:rsidP="00CD38C6"/>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C037DD" w14:paraId="73333BB7" w14:textId="77777777" w:rsidTr="00283A79">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1BA9C34D" w14:textId="05E3247A" w:rsidR="00EE61F0" w:rsidRPr="00CD38C6" w:rsidRDefault="00C037DD" w:rsidP="00CD38C6">
            <w:pPr>
              <w:spacing w:after="120"/>
              <w:rPr>
                <w:b/>
              </w:rPr>
            </w:pPr>
            <w:r w:rsidRPr="00CD38C6">
              <w:rPr>
                <w:b/>
              </w:rPr>
              <w:t>Box 5.</w:t>
            </w:r>
            <w:r w:rsidR="00EE61F0" w:rsidRPr="00CD38C6">
              <w:rPr>
                <w:b/>
                <w:iCs/>
              </w:rPr>
              <w:t>2</w:t>
            </w:r>
            <w:r w:rsidRPr="00CD38C6">
              <w:rPr>
                <w:b/>
              </w:rPr>
              <w:t xml:space="preserve">: </w:t>
            </w:r>
            <w:r w:rsidR="00EE61F0" w:rsidRPr="00CD38C6">
              <w:rPr>
                <w:b/>
              </w:rPr>
              <w:t xml:space="preserve">Links between </w:t>
            </w:r>
            <w:r w:rsidR="00A8770A">
              <w:rPr>
                <w:b/>
              </w:rPr>
              <w:t xml:space="preserve">participation and </w:t>
            </w:r>
            <w:r w:rsidR="00EE61F0" w:rsidRPr="00CD38C6">
              <w:rPr>
                <w:b/>
              </w:rPr>
              <w:t>outcomes</w:t>
            </w:r>
          </w:p>
          <w:p w14:paraId="5AB62BC0" w14:textId="77777777" w:rsidR="00EE61F0" w:rsidRPr="00D611B7" w:rsidRDefault="00EE61F0" w:rsidP="00EE61F0">
            <w:pPr>
              <w:spacing w:before="170" w:after="120"/>
            </w:pPr>
            <w:r>
              <w:t>There is strong evidence of a relationship between participation in high quality ECEC and developmental outcomes for children, and that the benefits can be greater for children who may be experiencing vulnerability and disadvantage.</w:t>
            </w:r>
            <w:r w:rsidRPr="2A996E96">
              <w:rPr>
                <w:rStyle w:val="FootnoteReference"/>
              </w:rPr>
              <w:footnoteReference w:id="90"/>
            </w:r>
            <w:r>
              <w:t xml:space="preserve"> This relationship has long been understood by policy makers, and investments have been made in early childhood services and programs in order to improve early childhood development outcomes through greater access to and quality of early years programs. </w:t>
            </w:r>
          </w:p>
          <w:p w14:paraId="19B9493B" w14:textId="77777777" w:rsidR="00EE61F0" w:rsidRPr="00D611B7" w:rsidRDefault="00EE61F0" w:rsidP="00EE61F0">
            <w:pPr>
              <w:spacing w:before="170" w:after="120"/>
            </w:pPr>
            <w:r>
              <w:t xml:space="preserve">The links between availability and affordability of child care and parental workforce participation are also well recognised in the Australian context. The impact is more significant for female workforce participation. </w:t>
            </w:r>
          </w:p>
          <w:p w14:paraId="743B2629" w14:textId="77777777" w:rsidR="00EE61F0" w:rsidRPr="00D611B7" w:rsidRDefault="00EE61F0" w:rsidP="00EE61F0">
            <w:pPr>
              <w:spacing w:before="170" w:after="120"/>
            </w:pPr>
            <w:r>
              <w:t xml:space="preserve">There is a growing recognition of the intersection between ECEC participation and other factors which affect child development outcomes, for instance, the role of families in creating a strong home learning environment, but also in enabling access to ECEC programs. Simply put, participating in high quality child care is likely to lead to better outcomes for a child, but there are many other factors which affect a child’s development. </w:t>
            </w:r>
          </w:p>
          <w:p w14:paraId="7EF37396" w14:textId="2E43950F" w:rsidR="007E03CA" w:rsidRDefault="00EE61F0" w:rsidP="00EE61F0">
            <w:pPr>
              <w:spacing w:before="170" w:after="120"/>
            </w:pPr>
            <w:r>
              <w:t>There are two factors within child care participation which are seen to make a significant difference to improving outcomes: quality and dosage. While quality is a spectrum, and measures of ECEC quality are ‘imperfect’,</w:t>
            </w:r>
            <w:r w:rsidRPr="2A996E96">
              <w:rPr>
                <w:rStyle w:val="FootnoteReference"/>
              </w:rPr>
              <w:footnoteReference w:id="91"/>
            </w:r>
            <w:r>
              <w:t xml:space="preserve"> the Australian system recognises hallmarks of quality delivery through the NQS and regulates most services by applying the NQS against the NQF. CCCFR services do not have to be regulated under the NQF (for more information see </w:t>
            </w:r>
            <w:r w:rsidR="00C24550">
              <w:t xml:space="preserve">section </w:t>
            </w:r>
            <w:r w:rsidR="00C24550">
              <w:rPr>
                <w:highlight w:val="yellow"/>
              </w:rPr>
              <w:fldChar w:fldCharType="begin"/>
            </w:r>
            <w:r w:rsidR="00C24550">
              <w:instrText xml:space="preserve"> REF _Ref158978894 \r \h </w:instrText>
            </w:r>
            <w:r w:rsidR="00C24550">
              <w:rPr>
                <w:highlight w:val="yellow"/>
              </w:rPr>
            </w:r>
            <w:r w:rsidR="00C24550">
              <w:rPr>
                <w:highlight w:val="yellow"/>
              </w:rPr>
              <w:fldChar w:fldCharType="separate"/>
            </w:r>
            <w:r w:rsidR="00D300D0">
              <w:t>2.3.3.3</w:t>
            </w:r>
            <w:r w:rsidR="00C24550">
              <w:rPr>
                <w:highlight w:val="yellow"/>
              </w:rPr>
              <w:fldChar w:fldCharType="end"/>
            </w:r>
            <w:r w:rsidR="0E1BDE90">
              <w:t xml:space="preserve">). </w:t>
            </w:r>
          </w:p>
          <w:p w14:paraId="1C33E8E9" w14:textId="02BDFDCC" w:rsidR="00EE61F0" w:rsidRDefault="00EE61F0" w:rsidP="00EE61F0">
            <w:pPr>
              <w:spacing w:before="170" w:after="120"/>
            </w:pPr>
            <w:r>
              <w:t>There is no consensus opinion on the optimal dosage of ECEC for strong development outcomes.</w:t>
            </w:r>
            <w:r w:rsidR="006E043D">
              <w:rPr>
                <w:rStyle w:val="FootnoteReference"/>
              </w:rPr>
              <w:footnoteReference w:id="92"/>
            </w:r>
            <w:r>
              <w:t xml:space="preserve"> In general, it is expected that additional hours of high quality ECEC may be beneficial, or at worst, neutral, for disadvantaged or vulnerable children. However, some studies have linked high dosage of low quality ECEC with negative impacts on children’s development.</w:t>
            </w:r>
            <w:r w:rsidRPr="2A996E96">
              <w:rPr>
                <w:rStyle w:val="FootnoteReference"/>
              </w:rPr>
              <w:footnoteReference w:id="93"/>
            </w:r>
            <w:r>
              <w:t xml:space="preserve"> </w:t>
            </w:r>
            <w:r>
              <w:lastRenderedPageBreak/>
              <w:t>A high quality home learning environment may mitigate against these effects.</w:t>
            </w:r>
            <w:r w:rsidRPr="00CD38C6">
              <w:rPr>
                <w:vertAlign w:val="superscript"/>
              </w:rPr>
              <w:footnoteReference w:id="94"/>
            </w:r>
            <w:r>
              <w:t xml:space="preserve"> The 2017 ‘Lifting our game’ report, commissioned by all Australian states and territories, found that 15 hours a week is the minimum dosage required for most children.</w:t>
            </w:r>
            <w:r w:rsidRPr="2A996E96">
              <w:rPr>
                <w:rStyle w:val="FootnoteReference"/>
              </w:rPr>
              <w:footnoteReference w:id="95"/>
            </w:r>
            <w:r w:rsidRPr="2A996E96">
              <w:rPr>
                <w:rStyle w:val="FootnoteReference"/>
              </w:rPr>
              <w:t xml:space="preserve"> </w:t>
            </w:r>
            <w:r w:rsidR="00DD2252">
              <w:t xml:space="preserve">Unpublished research </w:t>
            </w:r>
            <w:r w:rsidR="00070BAA">
              <w:t xml:space="preserve">commissioned by SNAICC finds that </w:t>
            </w:r>
            <w:r w:rsidR="004210AE">
              <w:t>‘full day’ (</w:t>
            </w:r>
            <w:r w:rsidR="0055076A">
              <w:t xml:space="preserve">over 5 hours per day, 5 days per week, for 180-200 days per year) </w:t>
            </w:r>
            <w:r w:rsidR="00690EC1">
              <w:t xml:space="preserve">programs </w:t>
            </w:r>
            <w:r w:rsidR="006A3B4E">
              <w:t xml:space="preserve">have been shown to lead to better outcomes </w:t>
            </w:r>
            <w:r w:rsidR="00DE0659">
              <w:t>for children. While the evidence base is still maturing, this may be attributed towards a higher amount of time learning, stronger relationships with educators and peers,</w:t>
            </w:r>
            <w:r w:rsidR="00F6739F">
              <w:t xml:space="preserve"> increased attendance due to </w:t>
            </w:r>
            <w:r w:rsidR="001679D8">
              <w:t>better routines associated with full day programs, and the fact that families can engage with work and study while children attend</w:t>
            </w:r>
            <w:r w:rsidR="00F63D93">
              <w:t xml:space="preserve">, </w:t>
            </w:r>
            <w:r w:rsidR="00823D06">
              <w:t>with flow on impacts for family economic circumstances.</w:t>
            </w:r>
            <w:r w:rsidR="00823D06">
              <w:rPr>
                <w:rStyle w:val="FootnoteReference"/>
              </w:rPr>
              <w:footnoteReference w:id="96"/>
            </w:r>
            <w:r w:rsidR="00823D06">
              <w:t xml:space="preserve"> </w:t>
            </w:r>
          </w:p>
          <w:p w14:paraId="5434E918" w14:textId="3E5851BD" w:rsidR="001A4D2F" w:rsidRPr="00CD38C6" w:rsidRDefault="000C350D" w:rsidP="001A4D2F">
            <w:pPr>
              <w:spacing w:before="170" w:after="120"/>
              <w:rPr>
                <w:rStyle w:val="FootnoteReference"/>
                <w:vertAlign w:val="baseline"/>
              </w:rPr>
            </w:pPr>
            <w:r>
              <w:rPr>
                <w:rStyle w:val="FootnoteReference"/>
                <w:vertAlign w:val="baseline"/>
              </w:rPr>
              <w:t xml:space="preserve">Against this background, there is growing interest </w:t>
            </w:r>
            <w:r w:rsidR="00273D82">
              <w:rPr>
                <w:rStyle w:val="FootnoteReference"/>
                <w:vertAlign w:val="baseline"/>
              </w:rPr>
              <w:t xml:space="preserve">in </w:t>
            </w:r>
            <w:r w:rsidR="004F5CBA">
              <w:rPr>
                <w:rStyle w:val="FootnoteReference"/>
                <w:vertAlign w:val="baseline"/>
              </w:rPr>
              <w:t xml:space="preserve">expanding the number of hours of ECEC available for children, particularly those who may be experiencing vulnerability or disadvantage. </w:t>
            </w:r>
            <w:r w:rsidR="00094A04">
              <w:t xml:space="preserve">The Productivity </w:t>
            </w:r>
            <w:r w:rsidR="00B57736">
              <w:t>Commission’s</w:t>
            </w:r>
            <w:r w:rsidR="00094A04">
              <w:t xml:space="preserve"> draft report </w:t>
            </w:r>
            <w:r w:rsidR="00361F1C">
              <w:t xml:space="preserve">finds that up to 30 hours, or </w:t>
            </w:r>
            <w:r w:rsidR="006E3FEE">
              <w:t>three</w:t>
            </w:r>
            <w:r w:rsidR="00361F1C">
              <w:t xml:space="preserve"> days a week, of quality ECEC should be available to all children aged 0-5 years</w:t>
            </w:r>
            <w:r w:rsidR="00416E8B">
              <w:t xml:space="preserve">. This aligns with some recent state and territory commitments to </w:t>
            </w:r>
            <w:r w:rsidR="00C756E5">
              <w:t>preschool or kindergarten in the year before school</w:t>
            </w:r>
            <w:r w:rsidR="00A12DAA">
              <w:t xml:space="preserve"> and reflects</w:t>
            </w:r>
            <w:r w:rsidR="00A200DC">
              <w:t xml:space="preserve"> the entitlement</w:t>
            </w:r>
            <w:r w:rsidR="00A12DAA">
              <w:t xml:space="preserve"> </w:t>
            </w:r>
            <w:r w:rsidR="00247D20">
              <w:t>‘many inquiry participants’</w:t>
            </w:r>
            <w:r w:rsidR="006E3FEE">
              <w:t xml:space="preserve"> have</w:t>
            </w:r>
            <w:r w:rsidR="00A200DC">
              <w:t xml:space="preserve"> advocated for</w:t>
            </w:r>
            <w:r w:rsidR="007F7236">
              <w:t>, with additional days for children experiencing vulnerability and disadvantage</w:t>
            </w:r>
            <w:r w:rsidR="00A200DC">
              <w:t>.</w:t>
            </w:r>
            <w:r w:rsidR="00A200DC">
              <w:rPr>
                <w:rStyle w:val="FootnoteReference"/>
              </w:rPr>
              <w:footnoteReference w:id="97"/>
            </w:r>
            <w:r w:rsidR="00A200DC">
              <w:t xml:space="preserve"> </w:t>
            </w:r>
            <w:r w:rsidR="0004764C">
              <w:t>The Productivity Commission notes that this number is a ‘balance’ between parental preferences and incentives and child out</w:t>
            </w:r>
            <w:r w:rsidR="00305EC4">
              <w:t>c</w:t>
            </w:r>
            <w:r w:rsidR="0004764C">
              <w:t>omes</w:t>
            </w:r>
            <w:r w:rsidR="00C70CAE">
              <w:t xml:space="preserve"> and considers the impacts to parental labour force participation. </w:t>
            </w:r>
          </w:p>
          <w:p w14:paraId="2E7FAD97" w14:textId="56F17D13" w:rsidR="00C037DD" w:rsidRPr="00F625F9" w:rsidRDefault="00EE61F0" w:rsidP="00CD38C6">
            <w:pPr>
              <w:spacing w:before="170" w:after="120"/>
            </w:pPr>
            <w:r w:rsidRPr="2A996E96">
              <w:rPr>
                <w:rStyle w:val="FootnoteReference"/>
                <w:vertAlign w:val="baseline"/>
              </w:rPr>
              <w:t>Child care participation and attendance is therefore a critical enabler of workforce participation outcomes, and high quality child care is a contributing enabler of child development outcomes. It should be noted that workforce participation may also enable stronger child development outcomes due to likely increased household income.</w:t>
            </w:r>
          </w:p>
        </w:tc>
      </w:tr>
    </w:tbl>
    <w:p w14:paraId="75356F08" w14:textId="77777777" w:rsidR="0035324B" w:rsidRDefault="0035324B" w:rsidP="00CD38C6"/>
    <w:p w14:paraId="1B427CAE" w14:textId="78DA993B" w:rsidR="00192FF9" w:rsidRDefault="00192FF9" w:rsidP="000207CC">
      <w:pPr>
        <w:pStyle w:val="Heading3"/>
        <w:spacing w:before="170" w:after="170"/>
      </w:pPr>
      <w:bookmarkStart w:id="239" w:name="_Ref158895358"/>
      <w:r>
        <w:t>Child care participation outcomes</w:t>
      </w:r>
      <w:bookmarkEnd w:id="239"/>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92FF9" w14:paraId="3746930B" w14:textId="77777777" w:rsidTr="00143368">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3CE45EA4" w14:textId="25BE050C" w:rsidR="00192FF9" w:rsidRPr="009E424E" w:rsidRDefault="00192FF9">
            <w:pPr>
              <w:spacing w:after="120"/>
              <w:rPr>
                <w:b/>
                <w:bCs/>
              </w:rPr>
            </w:pPr>
            <w:r w:rsidRPr="009E424E">
              <w:rPr>
                <w:b/>
                <w:bCs/>
              </w:rPr>
              <w:t xml:space="preserve">Review finding </w:t>
            </w:r>
            <w:r w:rsidR="00141886">
              <w:rPr>
                <w:b/>
                <w:bCs/>
              </w:rPr>
              <w:t>1</w:t>
            </w:r>
          </w:p>
          <w:p w14:paraId="102A0676" w14:textId="51DC72EE" w:rsidR="00192FF9" w:rsidRPr="001224B1" w:rsidRDefault="00DF5E61" w:rsidP="00F83858">
            <w:pPr>
              <w:pStyle w:val="Contacttext"/>
              <w:spacing w:before="120" w:after="120"/>
            </w:pPr>
            <w:r w:rsidRPr="00DF5E61">
              <w:t>While intensity of use by existing families increased, enrolments by Aboriginal and Torres Strait Islander children at CCCFR services grew slower than at other non-CCCFR funded education and child care services receiving CCS in the same region and national benchmarks.</w:t>
            </w:r>
          </w:p>
        </w:tc>
      </w:tr>
    </w:tbl>
    <w:p w14:paraId="2983CCFD" w14:textId="10103DEC" w:rsidR="00192FF9" w:rsidRDefault="00192FF9" w:rsidP="00192FF9">
      <w:pPr>
        <w:spacing w:before="170"/>
        <w:rPr>
          <w:b/>
          <w:bCs/>
        </w:rPr>
      </w:pPr>
      <w:r w:rsidRPr="00C81B54">
        <w:rPr>
          <w:b/>
          <w:bCs/>
        </w:rPr>
        <w:t xml:space="preserve">Supporting evidence for this finding is drawn from </w:t>
      </w:r>
      <w:r>
        <w:rPr>
          <w:b/>
          <w:bCs/>
        </w:rPr>
        <w:t>analysis of CCS data on service usage in CCCFR services over time</w:t>
      </w:r>
      <w:r w:rsidRPr="00C81B54">
        <w:rPr>
          <w:b/>
          <w:bCs/>
        </w:rPr>
        <w:t>.</w:t>
      </w:r>
      <w:r w:rsidR="00F83858">
        <w:rPr>
          <w:b/>
          <w:bCs/>
        </w:rPr>
        <w:t xml:space="preserve"> It does not include enrolments not captured by CCS data.</w:t>
      </w:r>
      <w:r w:rsidR="000C5DA1">
        <w:rPr>
          <w:b/>
          <w:bCs/>
        </w:rPr>
        <w:t xml:space="preserve"> Further details of the methodology, data and limitations are outlined in </w:t>
      </w:r>
      <w:r w:rsidR="00946DB9" w:rsidRPr="00946DB9">
        <w:rPr>
          <w:b/>
          <w:bCs/>
        </w:rPr>
        <w:fldChar w:fldCharType="begin"/>
      </w:r>
      <w:r w:rsidR="00946DB9" w:rsidRPr="00946DB9">
        <w:rPr>
          <w:b/>
          <w:bCs/>
        </w:rPr>
        <w:instrText xml:space="preserve"> REF _Ref158904825 \r \h </w:instrText>
      </w:r>
      <w:r w:rsidR="00946DB9">
        <w:rPr>
          <w:b/>
          <w:bCs/>
        </w:rPr>
        <w:instrText xml:space="preserve"> \* MERGEFORMAT </w:instrText>
      </w:r>
      <w:r w:rsidR="00946DB9" w:rsidRPr="00946DB9">
        <w:rPr>
          <w:b/>
          <w:bCs/>
        </w:rPr>
      </w:r>
      <w:r w:rsidR="00946DB9" w:rsidRPr="00946DB9">
        <w:rPr>
          <w:b/>
          <w:bCs/>
        </w:rPr>
        <w:fldChar w:fldCharType="separate"/>
      </w:r>
      <w:r w:rsidR="00D300D0">
        <w:rPr>
          <w:b/>
          <w:bCs/>
        </w:rPr>
        <w:t>Appendix K</w:t>
      </w:r>
      <w:r w:rsidR="00946DB9" w:rsidRPr="00946DB9">
        <w:rPr>
          <w:b/>
          <w:bCs/>
        </w:rPr>
        <w:fldChar w:fldCharType="end"/>
      </w:r>
      <w:r w:rsidR="000C5DA1" w:rsidRPr="00946DB9">
        <w:rPr>
          <w:b/>
          <w:bCs/>
        </w:rPr>
        <w:t>.</w:t>
      </w:r>
      <w:r w:rsidR="000C5DA1">
        <w:rPr>
          <w:b/>
          <w:bCs/>
        </w:rPr>
        <w:t xml:space="preserve"> </w:t>
      </w:r>
    </w:p>
    <w:p w14:paraId="33ED3BB7" w14:textId="5099450D" w:rsidR="00F847F5" w:rsidRDefault="00F847F5" w:rsidP="00192FF9">
      <w:r>
        <w:t xml:space="preserve">The analysis considers both enrolment and </w:t>
      </w:r>
      <w:r w:rsidR="00DD347C">
        <w:t>attendance in CCCFR services</w:t>
      </w:r>
      <w:r w:rsidR="00B52AF1">
        <w:t xml:space="preserve"> as </w:t>
      </w:r>
      <w:r w:rsidR="00A84B9B">
        <w:t>metrics of child care particiaption</w:t>
      </w:r>
      <w:r w:rsidR="00DD347C">
        <w:t>. Enrolme</w:t>
      </w:r>
      <w:r w:rsidR="00555FFC">
        <w:t>nt</w:t>
      </w:r>
      <w:r w:rsidR="00DD347C">
        <w:t xml:space="preserve"> </w:t>
      </w:r>
      <w:r w:rsidR="00A84B9B">
        <w:t xml:space="preserve">reflects </w:t>
      </w:r>
      <w:r w:rsidR="001F3EB4">
        <w:t>families</w:t>
      </w:r>
      <w:r w:rsidR="00A84B9B">
        <w:t>’</w:t>
      </w:r>
      <w:r w:rsidR="001F3EB4">
        <w:t xml:space="preserve"> </w:t>
      </w:r>
      <w:r w:rsidR="00555FFC">
        <w:t>access</w:t>
      </w:r>
      <w:r w:rsidR="001F3EB4">
        <w:t xml:space="preserve"> </w:t>
      </w:r>
      <w:r w:rsidR="00A84B9B">
        <w:t xml:space="preserve">to </w:t>
      </w:r>
      <w:r w:rsidR="001F3EB4">
        <w:t>CCCFR services</w:t>
      </w:r>
      <w:r w:rsidR="00555FFC">
        <w:t xml:space="preserve">, </w:t>
      </w:r>
      <w:r w:rsidR="00A84B9B">
        <w:t xml:space="preserve">and is </w:t>
      </w:r>
      <w:r w:rsidR="00A2294F">
        <w:t>a</w:t>
      </w:r>
      <w:r w:rsidR="00A84B9B">
        <w:t xml:space="preserve"> pre-requisite </w:t>
      </w:r>
      <w:r w:rsidR="00A2294F">
        <w:t>to attendance. A</w:t>
      </w:r>
      <w:r w:rsidR="00555FFC">
        <w:t xml:space="preserve">ttendance captures </w:t>
      </w:r>
      <w:r w:rsidR="001F3EB4">
        <w:t>usage</w:t>
      </w:r>
      <w:r w:rsidR="00A2294F">
        <w:t xml:space="preserve">, which is </w:t>
      </w:r>
      <w:r w:rsidR="00493ED8">
        <w:t xml:space="preserve">in turn </w:t>
      </w:r>
      <w:r w:rsidR="00A2294F">
        <w:t xml:space="preserve">linked to </w:t>
      </w:r>
      <w:r w:rsidR="00B13BFA">
        <w:t>improved developmental outcomes for children, and workforce participation for primary carers</w:t>
      </w:r>
      <w:r w:rsidR="001F3EB4">
        <w:t xml:space="preserve">. </w:t>
      </w:r>
    </w:p>
    <w:p w14:paraId="405BBE08" w14:textId="399809C6" w:rsidR="00192FF9" w:rsidRDefault="00192FF9" w:rsidP="00192FF9">
      <w:pPr>
        <w:rPr>
          <w:b/>
          <w:bCs/>
        </w:rPr>
      </w:pPr>
      <w:r w:rsidRPr="00171816">
        <w:t>Enrolments in child care services receiving CCCFR grants has increased by 4%</w:t>
      </w:r>
      <w:r w:rsidR="007F4CE1">
        <w:t xml:space="preserve"> </w:t>
      </w:r>
      <w:r w:rsidRPr="00171816">
        <w:t>from 2019 to 2023, w</w:t>
      </w:r>
      <w:r w:rsidR="002225C1">
        <w:t>hile</w:t>
      </w:r>
      <w:r w:rsidRPr="00171816">
        <w:t xml:space="preserve"> growth concentrated from 2019 to 2021</w:t>
      </w:r>
      <w:r>
        <w:t xml:space="preserve"> </w:t>
      </w:r>
      <w:r w:rsidRPr="00E525DC">
        <w:t>(</w:t>
      </w:r>
      <w:r w:rsidR="00510170" w:rsidRPr="00E525DC">
        <w:fldChar w:fldCharType="begin"/>
      </w:r>
      <w:r w:rsidR="00510170" w:rsidRPr="00E525DC">
        <w:instrText xml:space="preserve"> REF _Ref153376075 \r \h </w:instrText>
      </w:r>
      <w:r w:rsidR="00B83506" w:rsidRPr="00E525DC">
        <w:instrText xml:space="preserve"> \* MERGEFORMAT </w:instrText>
      </w:r>
      <w:r w:rsidR="00510170" w:rsidRPr="00E525DC">
        <w:fldChar w:fldCharType="separate"/>
      </w:r>
      <w:r w:rsidR="00D300D0">
        <w:t>Chart 5.1</w:t>
      </w:r>
      <w:r w:rsidR="00510170" w:rsidRPr="00E525DC">
        <w:fldChar w:fldCharType="end"/>
      </w:r>
      <w:r w:rsidRPr="00E525DC">
        <w:t>).</w:t>
      </w:r>
    </w:p>
    <w:p w14:paraId="0AA1D7D4" w14:textId="4086852E" w:rsidR="00192FF9" w:rsidRPr="00E525DC" w:rsidRDefault="00192FF9" w:rsidP="00192FF9">
      <w:pPr>
        <w:pStyle w:val="CaptionChart"/>
      </w:pPr>
      <w:bookmarkStart w:id="240" w:name="_Ref153376075"/>
      <w:bookmarkStart w:id="241" w:name="_Toc158997924"/>
      <w:bookmarkStart w:id="242" w:name="_Toc167130543"/>
      <w:r w:rsidRPr="00E525DC">
        <w:lastRenderedPageBreak/>
        <w:t>: Enrolments in CCCFR services, financial year 2019 to 2023 (June)</w:t>
      </w:r>
      <w:bookmarkEnd w:id="240"/>
      <w:bookmarkEnd w:id="241"/>
      <w:bookmarkEnd w:id="242"/>
    </w:p>
    <w:p w14:paraId="0E4B72B0" w14:textId="3DDE2C10" w:rsidR="00FE0C93" w:rsidRPr="00FE0C93" w:rsidRDefault="009017EA" w:rsidP="00FE0C93">
      <w:r w:rsidRPr="009017EA">
        <w:rPr>
          <w:noProof/>
        </w:rPr>
        <w:drawing>
          <wp:inline distT="0" distB="0" distL="0" distR="0" wp14:anchorId="5F2D5F4F" wp14:editId="71DBE3C4">
            <wp:extent cx="4596130" cy="2703195"/>
            <wp:effectExtent l="0" t="0" r="0" b="0"/>
            <wp:docPr id="838388593" name="Picture 838388593" descr="Bar chart showing the enrolments in CCCFR services between the financial years 2019 to 2023, split by ATSI and other enrol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93" name="Picture 838388593" descr="Bar chart showing the enrolments in CCCFR services between the financial years 2019 to 2023, split by ATSI and other enrolments. "/>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96130" cy="2703195"/>
                    </a:xfrm>
                    <a:prstGeom prst="rect">
                      <a:avLst/>
                    </a:prstGeom>
                    <a:noFill/>
                    <a:ln>
                      <a:noFill/>
                    </a:ln>
                  </pic:spPr>
                </pic:pic>
              </a:graphicData>
            </a:graphic>
          </wp:inline>
        </w:drawing>
      </w:r>
    </w:p>
    <w:p w14:paraId="53A1A666" w14:textId="77777777" w:rsidR="00192FF9" w:rsidRPr="00B16B58" w:rsidRDefault="00192FF9" w:rsidP="00192FF9">
      <w:pPr>
        <w:pStyle w:val="Source"/>
      </w:pPr>
      <w:r w:rsidRPr="00B16B58">
        <w:t xml:space="preserve">Source: </w:t>
      </w:r>
      <w:r>
        <w:t xml:space="preserve">Deloitte Access Economics, using CCSS data. Note that data is not available for 2020 as data was not collected from services in June due to COVID-19. </w:t>
      </w:r>
    </w:p>
    <w:p w14:paraId="7B797DEE" w14:textId="777B77F1" w:rsidR="00192FF9" w:rsidRDefault="002225C1" w:rsidP="00192FF9">
      <w:r>
        <w:t>E</w:t>
      </w:r>
      <w:r w:rsidR="00192FF9" w:rsidRPr="00171816">
        <w:t xml:space="preserve">nrolments by Aboriginal and Torres Strait Islander </w:t>
      </w:r>
      <w:r w:rsidR="00192FF9">
        <w:t>children</w:t>
      </w:r>
      <w:r w:rsidR="00192FF9" w:rsidRPr="00171816">
        <w:t xml:space="preserve"> have not grown over the same period </w:t>
      </w:r>
      <w:r w:rsidR="00AE399C">
        <w:t>as</w:t>
      </w:r>
      <w:r w:rsidR="00192FF9" w:rsidRPr="00171816">
        <w:t xml:space="preserve"> growth driven by other cohorts</w:t>
      </w:r>
      <w:r w:rsidR="00192FF9">
        <w:t xml:space="preserve">. </w:t>
      </w:r>
      <w:r w:rsidR="00192FF9" w:rsidRPr="00171816">
        <w:t xml:space="preserve">This is despite </w:t>
      </w:r>
      <w:r w:rsidR="00192FF9">
        <w:t>higher</w:t>
      </w:r>
      <w:r w:rsidR="00192FF9" w:rsidRPr="00171816">
        <w:t xml:space="preserve"> increases in child care use by Aboriginal and Torres Strait Islander children </w:t>
      </w:r>
      <w:r w:rsidR="00192FF9">
        <w:t>in non-CCCFR services in the same SA2s (</w:t>
      </w:r>
      <w:r w:rsidR="006105F2">
        <w:fldChar w:fldCharType="begin"/>
      </w:r>
      <w:r w:rsidR="006105F2">
        <w:instrText xml:space="preserve"> REF _Ref153376101 \r \h </w:instrText>
      </w:r>
      <w:r w:rsidR="006105F2">
        <w:fldChar w:fldCharType="separate"/>
      </w:r>
      <w:r w:rsidR="00D300D0">
        <w:t>Chart 5.2</w:t>
      </w:r>
      <w:r w:rsidR="006105F2">
        <w:fldChar w:fldCharType="end"/>
      </w:r>
      <w:r w:rsidR="00192FF9">
        <w:t>)</w:t>
      </w:r>
      <w:r w:rsidR="00192FF9" w:rsidRPr="00171816">
        <w:t xml:space="preserve">. </w:t>
      </w:r>
      <w:r w:rsidR="00347EC0">
        <w:t>Assuming similar rates of population growth and other demographic changes within a SA2 – which is comparable to a suburb – growth in</w:t>
      </w:r>
      <w:r w:rsidR="00175DF3">
        <w:t xml:space="preserve"> child care</w:t>
      </w:r>
      <w:r w:rsidR="00347EC0">
        <w:t xml:space="preserve"> enrolments </w:t>
      </w:r>
      <w:r w:rsidR="00175DF3">
        <w:t xml:space="preserve">would be expected to be </w:t>
      </w:r>
      <w:r w:rsidR="00347EC0">
        <w:t xml:space="preserve">similar between CCCFR and non-CCCFR services. However, this may not occur where there are more localised differences in population growth or where there are supply constraints. </w:t>
      </w:r>
    </w:p>
    <w:p w14:paraId="7EE0FC5B" w14:textId="77777777" w:rsidR="00192FF9" w:rsidRPr="00E525DC" w:rsidRDefault="00192FF9" w:rsidP="00192FF9">
      <w:pPr>
        <w:pStyle w:val="CaptionChart"/>
      </w:pPr>
      <w:bookmarkStart w:id="243" w:name="_Ref153376101"/>
      <w:bookmarkStart w:id="244" w:name="_Toc158997925"/>
      <w:bookmarkStart w:id="245" w:name="_Toc167130544"/>
      <w:r w:rsidRPr="00E525DC">
        <w:t>: Enrolment growth by Aboriginal and Torres Strait Islander children by service type, financial year 2019-2023 [2019 June level = 100]</w:t>
      </w:r>
      <w:bookmarkEnd w:id="243"/>
      <w:bookmarkEnd w:id="244"/>
      <w:bookmarkEnd w:id="245"/>
    </w:p>
    <w:p w14:paraId="64AC0066" w14:textId="5063CD50" w:rsidR="00B902BB" w:rsidRPr="00B902BB" w:rsidRDefault="00B902BB" w:rsidP="00947C60">
      <w:r w:rsidRPr="00B902BB">
        <w:rPr>
          <w:noProof/>
        </w:rPr>
        <w:drawing>
          <wp:inline distT="0" distB="0" distL="0" distR="0" wp14:anchorId="1DD1D646" wp14:editId="26362C35">
            <wp:extent cx="4572000" cy="2743200"/>
            <wp:effectExtent l="0" t="0" r="0" b="0"/>
            <wp:docPr id="24" name="Picture 24" descr="Line chart showing the trend in Aboriginal and Torres Strait Islander children enrolment by service type, that is, CCCFR service, non-CCCFR service (same SA2), and non-CCCFR (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ine chart showing the trend in Aboriginal and Torres Strait Islander children enrolment by service type, that is, CCCFR service, non-CCCFR service (same SA2), and non-CCCFR (all). "/>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265CDB6E" w14:textId="77777777" w:rsidR="00192FF9" w:rsidRPr="00693102" w:rsidRDefault="00192FF9" w:rsidP="00947C60">
      <w:pPr>
        <w:rPr>
          <w:color w:val="57595C" w:themeColor="accent6" w:themeShade="BF"/>
          <w:sz w:val="14"/>
          <w:szCs w:val="14"/>
        </w:rPr>
      </w:pPr>
      <w:r w:rsidRPr="00693102">
        <w:rPr>
          <w:color w:val="57595C" w:themeColor="accent6" w:themeShade="BF"/>
          <w:sz w:val="14"/>
          <w:szCs w:val="14"/>
        </w:rPr>
        <w:t xml:space="preserve">Source: Deloitte Access Economics, using CCSS data. Note that data is not available for 2020 as data was not collected from services in June due to COVID-19. </w:t>
      </w:r>
    </w:p>
    <w:p w14:paraId="2FF4EE01" w14:textId="6651A17E" w:rsidR="00B13BDC" w:rsidRDefault="00192FF9" w:rsidP="00192FF9">
      <w:r w:rsidRPr="001D5A73">
        <w:t>Based on the available data, there d</w:t>
      </w:r>
      <w:r>
        <w:t>o</w:t>
      </w:r>
      <w:r w:rsidRPr="001D5A73">
        <w:t xml:space="preserve"> not appear to </w:t>
      </w:r>
      <w:r>
        <w:t xml:space="preserve">be </w:t>
      </w:r>
      <w:r w:rsidRPr="001D5A73">
        <w:t xml:space="preserve">capacity </w:t>
      </w:r>
      <w:r>
        <w:t xml:space="preserve">issues </w:t>
      </w:r>
      <w:r w:rsidRPr="001D5A73">
        <w:t xml:space="preserve">on the whole across </w:t>
      </w:r>
      <w:r>
        <w:t xml:space="preserve">CCCFR </w:t>
      </w:r>
      <w:r w:rsidRPr="001D5A73">
        <w:t>services</w:t>
      </w:r>
      <w:r>
        <w:t xml:space="preserve"> that would prevent </w:t>
      </w:r>
      <w:r w:rsidRPr="00FE7694">
        <w:t>expansion</w:t>
      </w:r>
      <w:r w:rsidR="008F1A92">
        <w:t>, or additional children from enrolling in CCCFR services</w:t>
      </w:r>
      <w:r w:rsidR="006E24CB">
        <w:t>.</w:t>
      </w:r>
    </w:p>
    <w:p w14:paraId="1BDF3149" w14:textId="059C3B8E" w:rsidR="003E11AC" w:rsidRDefault="00192FF9" w:rsidP="00192FF9">
      <w:r w:rsidRPr="00FE7694">
        <w:lastRenderedPageBreak/>
        <w:t xml:space="preserve">Based on </w:t>
      </w:r>
      <w:r w:rsidR="004E4307">
        <w:t xml:space="preserve">the available </w:t>
      </w:r>
      <w:r w:rsidRPr="00FE7694">
        <w:t>data, ‘service utilisation’</w:t>
      </w:r>
      <w:r w:rsidRPr="00FE7694">
        <w:rPr>
          <w:rStyle w:val="FootnoteReference"/>
        </w:rPr>
        <w:footnoteReference w:id="98"/>
      </w:r>
      <w:r>
        <w:t xml:space="preserve"> </w:t>
      </w:r>
      <w:r w:rsidR="004E4307">
        <w:t>by children receiving CCS</w:t>
      </w:r>
      <w:r w:rsidR="000D4BC4">
        <w:t>S</w:t>
      </w:r>
      <w:r w:rsidR="004E4307">
        <w:t xml:space="preserve"> as a share of total </w:t>
      </w:r>
      <w:r w:rsidR="00B268AD">
        <w:t>delivery hours that could be legally supported in the service</w:t>
      </w:r>
      <w:r>
        <w:t xml:space="preserve"> </w:t>
      </w:r>
      <w:r w:rsidRPr="00FE7694">
        <w:t>is estimated to have averaged around 40</w:t>
      </w:r>
      <w:r w:rsidR="007F4CE1">
        <w:t xml:space="preserve"> per cent</w:t>
      </w:r>
      <w:r w:rsidRPr="00FE7694">
        <w:t xml:space="preserve"> </w:t>
      </w:r>
      <w:r w:rsidR="00B268AD">
        <w:t xml:space="preserve">in any given week </w:t>
      </w:r>
      <w:r w:rsidRPr="00FE7694">
        <w:t xml:space="preserve">over </w:t>
      </w:r>
      <w:r w:rsidR="00FF294D">
        <w:t xml:space="preserve">the period </w:t>
      </w:r>
      <w:r w:rsidRPr="00FE7694">
        <w:t>from 2019 to 2023</w:t>
      </w:r>
      <w:r w:rsidRPr="00355910">
        <w:t xml:space="preserve">. However, there is significant variation in utilisation across </w:t>
      </w:r>
      <w:r w:rsidR="00E3201A">
        <w:t xml:space="preserve">CCCFR </w:t>
      </w:r>
      <w:r w:rsidRPr="00355910">
        <w:t xml:space="preserve">services, and from week to week within a given </w:t>
      </w:r>
      <w:r w:rsidRPr="00E525DC">
        <w:t>year (</w:t>
      </w:r>
      <w:r w:rsidR="006105F2" w:rsidRPr="00E525DC">
        <w:fldChar w:fldCharType="begin"/>
      </w:r>
      <w:r w:rsidR="006105F2" w:rsidRPr="00E525DC">
        <w:instrText xml:space="preserve"> REF _Ref153376122 \r \h </w:instrText>
      </w:r>
      <w:r w:rsidR="001F195F" w:rsidRPr="00E525DC">
        <w:instrText xml:space="preserve"> \* MERGEFORMAT </w:instrText>
      </w:r>
      <w:r w:rsidR="006105F2" w:rsidRPr="00E525DC">
        <w:fldChar w:fldCharType="separate"/>
      </w:r>
      <w:r w:rsidR="00D300D0">
        <w:t>Chart 5.3</w:t>
      </w:r>
      <w:r w:rsidR="006105F2" w:rsidRPr="00E525DC">
        <w:fldChar w:fldCharType="end"/>
      </w:r>
      <w:r w:rsidRPr="00E525DC">
        <w:t>).</w:t>
      </w:r>
      <w:r w:rsidRPr="00355910">
        <w:t xml:space="preserve"> </w:t>
      </w:r>
      <w:r w:rsidR="001C73AB" w:rsidRPr="001C73AB">
        <w:t>B</w:t>
      </w:r>
      <w:r w:rsidR="00B4405E" w:rsidRPr="001C73AB">
        <w:t xml:space="preserve">y comparing enrolled hours with total hours, </w:t>
      </w:r>
      <w:r w:rsidR="001C73AB">
        <w:t xml:space="preserve">the above metric </w:t>
      </w:r>
      <w:r w:rsidR="00B4405E" w:rsidRPr="001C73AB">
        <w:t xml:space="preserve">may underestimate utilisation </w:t>
      </w:r>
      <w:r w:rsidR="00560DCC">
        <w:t>for services where children</w:t>
      </w:r>
      <w:r w:rsidR="00346105">
        <w:t xml:space="preserve"> do not enrol for the full day. </w:t>
      </w:r>
      <w:r w:rsidR="007251C6">
        <w:t xml:space="preserve">While the services could technically enrol children for the remaining hours, there is likely to be </w:t>
      </w:r>
      <w:r w:rsidR="00707B51">
        <w:t>limited demand</w:t>
      </w:r>
      <w:r w:rsidR="007251C6">
        <w:t xml:space="preserve">. </w:t>
      </w:r>
    </w:p>
    <w:p w14:paraId="2106D519" w14:textId="49A852B1" w:rsidR="00A037CD" w:rsidRPr="00906779" w:rsidRDefault="001C73AB" w:rsidP="00192FF9">
      <w:r>
        <w:t>Further</w:t>
      </w:r>
      <w:r w:rsidR="00192FF9">
        <w:t xml:space="preserve">, there may be other constraints </w:t>
      </w:r>
      <w:r w:rsidR="00707B51">
        <w:t xml:space="preserve">that prevent services </w:t>
      </w:r>
      <w:r w:rsidR="00A01480">
        <w:t xml:space="preserve">from enrolling more children </w:t>
      </w:r>
      <w:r w:rsidR="00C0247A">
        <w:t>up to the licensed capacity.</w:t>
      </w:r>
      <w:r w:rsidR="00192FF9">
        <w:t xml:space="preserve"> The </w:t>
      </w:r>
      <w:r w:rsidR="00192FF9" w:rsidRPr="00906779">
        <w:t xml:space="preserve">NWC suggests that on average, </w:t>
      </w:r>
      <w:r w:rsidR="00192FF9">
        <w:rPr>
          <w:rFonts w:eastAsia="Times New Roman"/>
        </w:rPr>
        <w:t>typical capacity (typical number of places offered) represents only 82</w:t>
      </w:r>
      <w:r w:rsidR="007F4CE1">
        <w:rPr>
          <w:rFonts w:eastAsia="Times New Roman"/>
        </w:rPr>
        <w:t xml:space="preserve"> </w:t>
      </w:r>
      <w:r w:rsidR="007F4CE1">
        <w:t>per cent</w:t>
      </w:r>
      <w:r w:rsidR="00192FF9">
        <w:rPr>
          <w:rFonts w:eastAsia="Times New Roman"/>
        </w:rPr>
        <w:t xml:space="preserve"> of maximum capacity (maximum number of places offered)</w:t>
      </w:r>
      <w:r w:rsidR="00192FF9">
        <w:t>. Approximately 11</w:t>
      </w:r>
      <w:r w:rsidR="007F4CE1">
        <w:t xml:space="preserve"> per cent</w:t>
      </w:r>
      <w:r w:rsidR="00192FF9">
        <w:t xml:space="preserve"> of </w:t>
      </w:r>
      <w:r w:rsidR="00E3201A">
        <w:t xml:space="preserve">CCCFR </w:t>
      </w:r>
      <w:r w:rsidR="00192FF9">
        <w:t>services also had exemptions or approvals that enabled a position to be occupied by a worker without the required ECEC qualifications, which suggests there may also be workforce challenges that prevent</w:t>
      </w:r>
      <w:r w:rsidR="00192FF9" w:rsidRPr="00906779">
        <w:t xml:space="preserve"> </w:t>
      </w:r>
      <w:r w:rsidR="00192FF9">
        <w:t>higher service utilisation.</w:t>
      </w:r>
      <w:r w:rsidR="00C0247A">
        <w:t xml:space="preserve"> </w:t>
      </w:r>
    </w:p>
    <w:p w14:paraId="1F857B2F" w14:textId="77777777" w:rsidR="00192FF9" w:rsidRPr="00E525DC" w:rsidRDefault="00192FF9" w:rsidP="00192FF9">
      <w:pPr>
        <w:pStyle w:val="CaptionChart"/>
      </w:pPr>
      <w:bookmarkStart w:id="246" w:name="_Ref153376122"/>
      <w:bookmarkStart w:id="247" w:name="_Toc158997926"/>
      <w:bookmarkStart w:id="248" w:name="_Toc167130545"/>
      <w:r w:rsidRPr="00E525DC">
        <w:t>: Distribution of ‘service utilisation’ across CCCFR services, financial year 2023</w:t>
      </w:r>
      <w:bookmarkEnd w:id="246"/>
      <w:bookmarkEnd w:id="247"/>
      <w:bookmarkEnd w:id="248"/>
    </w:p>
    <w:p w14:paraId="02503536" w14:textId="665B2D73" w:rsidR="00CD7EC1" w:rsidRPr="00CD7EC1" w:rsidRDefault="001C73AB" w:rsidP="00CD7EC1">
      <w:r w:rsidRPr="001C73AB">
        <w:rPr>
          <w:noProof/>
        </w:rPr>
        <w:drawing>
          <wp:inline distT="0" distB="0" distL="0" distR="0" wp14:anchorId="14E66399" wp14:editId="0599B34C">
            <wp:extent cx="4572000" cy="2657475"/>
            <wp:effectExtent l="0" t="0" r="0" b="0"/>
            <wp:docPr id="32" name="Picture 32" descr="Chart showing the comparative service utilisation of CCCFR services for the 2022-23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howing the comparative service utilisation of CCCFR services for the 2022-23 Financial Yea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0" cy="2657475"/>
                    </a:xfrm>
                    <a:prstGeom prst="rect">
                      <a:avLst/>
                    </a:prstGeom>
                    <a:noFill/>
                    <a:ln>
                      <a:noFill/>
                    </a:ln>
                  </pic:spPr>
                </pic:pic>
              </a:graphicData>
            </a:graphic>
          </wp:inline>
        </w:drawing>
      </w:r>
    </w:p>
    <w:p w14:paraId="7083275E" w14:textId="7B6F6AFF" w:rsidR="00192FF9" w:rsidRPr="00093E3F" w:rsidRDefault="00192FF9" w:rsidP="00192FF9">
      <w:pPr>
        <w:pStyle w:val="Source"/>
      </w:pPr>
      <w:r w:rsidRPr="004F1E44">
        <w:t>Source: Deloitte Access Economics, using CCSS data.</w:t>
      </w:r>
      <w:r w:rsidR="000928B9">
        <w:t xml:space="preserve"> The CCSS data does not </w:t>
      </w:r>
      <w:r w:rsidR="00006D5D">
        <w:t xml:space="preserve">capture </w:t>
      </w:r>
      <w:r w:rsidR="007E1861">
        <w:t xml:space="preserve">service </w:t>
      </w:r>
      <w:r w:rsidR="000928B9">
        <w:t>utilisation by children not receiving CCS</w:t>
      </w:r>
      <w:r w:rsidR="007E1861">
        <w:t xml:space="preserve"> payments</w:t>
      </w:r>
      <w:r w:rsidR="000928B9">
        <w:t xml:space="preserve">, and consequently may represent an underestimate of ‘service utilisation’. </w:t>
      </w:r>
      <w:r w:rsidR="00831359">
        <w:t>S</w:t>
      </w:r>
      <w:r w:rsidR="00831359" w:rsidRPr="00831359">
        <w:t>ervice level utilisation figures have been capped at 100%.</w:t>
      </w:r>
      <w:r w:rsidR="00831359">
        <w:t xml:space="preserve"> While </w:t>
      </w:r>
      <w:r w:rsidR="000E7440">
        <w:t xml:space="preserve">7% of services report maximum utilisation rates above </w:t>
      </w:r>
      <w:r w:rsidR="00315771">
        <w:t>100%, this could be due to</w:t>
      </w:r>
      <w:r w:rsidR="00330DD5">
        <w:t xml:space="preserve"> </w:t>
      </w:r>
      <w:r w:rsidR="00885BF6">
        <w:t>the use of a point-in-time measure of licensed capacity</w:t>
      </w:r>
      <w:r w:rsidR="009C3D25">
        <w:t xml:space="preserve">. </w:t>
      </w:r>
    </w:p>
    <w:p w14:paraId="728A23C0" w14:textId="454A6057" w:rsidR="00192FF9" w:rsidRDefault="00192FF9" w:rsidP="00192FF9">
      <w:pPr>
        <w:spacing w:before="170"/>
      </w:pPr>
      <w:r>
        <w:t>While enrolments have been stable, a</w:t>
      </w:r>
      <w:r w:rsidRPr="00AC6F6F">
        <w:t xml:space="preserve">nnual </w:t>
      </w:r>
      <w:r>
        <w:t xml:space="preserve">attendance </w:t>
      </w:r>
      <w:r w:rsidRPr="00AC6F6F">
        <w:t xml:space="preserve">hours in CCCFR services have been increasing over time, </w:t>
      </w:r>
      <w:r>
        <w:t xml:space="preserve">with the average child attending for </w:t>
      </w:r>
      <w:r w:rsidRPr="00AC6F6F">
        <w:t xml:space="preserve">320 hours </w:t>
      </w:r>
      <w:r>
        <w:t xml:space="preserve">in </w:t>
      </w:r>
      <w:r w:rsidRPr="00AC6F6F">
        <w:t xml:space="preserve">2023. Comparing attendance hours to charged hours, </w:t>
      </w:r>
      <w:r w:rsidR="00511707">
        <w:t>implies</w:t>
      </w:r>
      <w:r w:rsidRPr="00AC6F6F">
        <w:t xml:space="preserve"> an attendance rate of 63</w:t>
      </w:r>
      <w:r w:rsidR="007F4CE1">
        <w:t xml:space="preserve"> per cent</w:t>
      </w:r>
      <w:r w:rsidRPr="00AC6F6F">
        <w:t xml:space="preserve">. This trend </w:t>
      </w:r>
      <w:r>
        <w:t xml:space="preserve">holds for both </w:t>
      </w:r>
      <w:r w:rsidRPr="00AC6F6F">
        <w:t xml:space="preserve">Aboriginal and Torres Strait Islander </w:t>
      </w:r>
      <w:r>
        <w:t>and other children (</w:t>
      </w:r>
      <w:r w:rsidR="00405645">
        <w:fldChar w:fldCharType="begin"/>
      </w:r>
      <w:r w:rsidR="00405645">
        <w:instrText xml:space="preserve"> REF _Ref153376162 \r \h </w:instrText>
      </w:r>
      <w:r w:rsidR="00405645">
        <w:fldChar w:fldCharType="separate"/>
      </w:r>
      <w:r w:rsidR="00D300D0">
        <w:t>Chart 5.4</w:t>
      </w:r>
      <w:r w:rsidR="00405645">
        <w:fldChar w:fldCharType="end"/>
      </w:r>
      <w:r>
        <w:t>)</w:t>
      </w:r>
      <w:r w:rsidRPr="00AC6F6F">
        <w:t xml:space="preserve">. </w:t>
      </w:r>
      <w:r>
        <w:t>From 2019 to 2023, average annual attendance hours have grown at a faster rate for CCCFR services compared to non-CCCFR services that operate within the same regions (SA2s).</w:t>
      </w:r>
    </w:p>
    <w:p w14:paraId="388A7E74" w14:textId="77777777" w:rsidR="00192FF9" w:rsidRDefault="00192FF9" w:rsidP="00192FF9">
      <w:pPr>
        <w:pStyle w:val="CaptionChart"/>
      </w:pPr>
      <w:bookmarkStart w:id="249" w:name="_Ref153376162"/>
      <w:bookmarkStart w:id="250" w:name="_Toc158997927"/>
      <w:bookmarkStart w:id="251" w:name="_Toc167130546"/>
      <w:r>
        <w:lastRenderedPageBreak/>
        <w:t>: Annual hours attended per enrolled child in CCCFR services, financial year 2019-2023</w:t>
      </w:r>
      <w:bookmarkEnd w:id="249"/>
      <w:bookmarkEnd w:id="250"/>
      <w:bookmarkEnd w:id="251"/>
      <w:r>
        <w:t xml:space="preserve"> </w:t>
      </w:r>
    </w:p>
    <w:tbl>
      <w:tblPr>
        <w:tblStyle w:val="TableGrid"/>
        <w:tblW w:w="0" w:type="auto"/>
        <w:tblInd w:w="24" w:type="dxa"/>
        <w:tblLook w:val="04A0" w:firstRow="1" w:lastRow="0" w:firstColumn="1" w:lastColumn="0" w:noHBand="0" w:noVBand="1"/>
      </w:tblPr>
      <w:tblGrid>
        <w:gridCol w:w="4533"/>
        <w:gridCol w:w="4469"/>
      </w:tblGrid>
      <w:tr w:rsidR="00192FF9" w:rsidRPr="009339DA" w14:paraId="3FD8FA50" w14:textId="77777777" w:rsidTr="00F83858">
        <w:trPr>
          <w:cnfStyle w:val="100000000000" w:firstRow="1" w:lastRow="0" w:firstColumn="0" w:lastColumn="0" w:oddVBand="0" w:evenVBand="0" w:oddHBand="0" w:evenHBand="0" w:firstRowFirstColumn="0" w:firstRowLastColumn="0" w:lastRowFirstColumn="0" w:lastRowLastColumn="0"/>
          <w:cantSplit/>
          <w:tblHeader/>
        </w:trPr>
        <w:tc>
          <w:tcPr>
            <w:tcW w:w="4533" w:type="dxa"/>
          </w:tcPr>
          <w:p w14:paraId="3421EBCD" w14:textId="77777777" w:rsidR="00192FF9" w:rsidRPr="009339DA" w:rsidRDefault="00192FF9" w:rsidP="008A6066">
            <w:pPr>
              <w:keepNext/>
              <w:spacing w:after="0"/>
              <w:rPr>
                <w:b/>
                <w:bCs/>
                <w:sz w:val="16"/>
                <w:szCs w:val="16"/>
              </w:rPr>
            </w:pPr>
            <w:r w:rsidRPr="009339DA">
              <w:rPr>
                <w:b/>
                <w:bCs/>
                <w:sz w:val="16"/>
                <w:szCs w:val="16"/>
              </w:rPr>
              <w:t xml:space="preserve">Aboriginal and Torres </w:t>
            </w:r>
            <w:r>
              <w:rPr>
                <w:b/>
                <w:bCs/>
                <w:sz w:val="16"/>
                <w:szCs w:val="16"/>
              </w:rPr>
              <w:t>St</w:t>
            </w:r>
            <w:r w:rsidRPr="009339DA">
              <w:rPr>
                <w:b/>
                <w:bCs/>
                <w:sz w:val="16"/>
                <w:szCs w:val="16"/>
              </w:rPr>
              <w:t>rait Islander</w:t>
            </w:r>
          </w:p>
        </w:tc>
        <w:tc>
          <w:tcPr>
            <w:tcW w:w="4469" w:type="dxa"/>
          </w:tcPr>
          <w:p w14:paraId="145FF224" w14:textId="77777777" w:rsidR="001C7C95" w:rsidRPr="009339DA" w:rsidRDefault="00192FF9" w:rsidP="008A6066">
            <w:pPr>
              <w:keepNext/>
              <w:spacing w:after="0"/>
              <w:rPr>
                <w:b/>
                <w:bCs/>
                <w:sz w:val="16"/>
                <w:szCs w:val="16"/>
              </w:rPr>
            </w:pPr>
            <w:r w:rsidRPr="009339DA">
              <w:rPr>
                <w:b/>
                <w:bCs/>
                <w:sz w:val="16"/>
                <w:szCs w:val="16"/>
              </w:rPr>
              <w:t xml:space="preserve">Other </w:t>
            </w:r>
            <w:r>
              <w:rPr>
                <w:b/>
                <w:bCs/>
                <w:sz w:val="16"/>
                <w:szCs w:val="16"/>
              </w:rPr>
              <w:t>enrolments</w:t>
            </w:r>
          </w:p>
        </w:tc>
      </w:tr>
    </w:tbl>
    <w:p w14:paraId="202A131E" w14:textId="51A0C649" w:rsidR="00192FF9" w:rsidRPr="00693102" w:rsidRDefault="0080153E" w:rsidP="008A6066">
      <w:pPr>
        <w:keepNext/>
        <w:spacing w:before="170"/>
        <w:rPr>
          <w:color w:val="57595C" w:themeColor="accent6" w:themeShade="BF"/>
          <w:sz w:val="14"/>
          <w:szCs w:val="14"/>
        </w:rPr>
      </w:pPr>
      <w:r w:rsidRPr="0080153E">
        <w:rPr>
          <w:noProof/>
        </w:rPr>
        <w:drawing>
          <wp:inline distT="0" distB="0" distL="0" distR="0" wp14:anchorId="6787B423" wp14:editId="370BA493">
            <wp:extent cx="2883877" cy="2052604"/>
            <wp:effectExtent l="0" t="0" r="0" b="0"/>
            <wp:docPr id="838388591" name="Picture 838388591" descr="Bar graph highlighting the average amount of hours enrolled and attended by Aboriginal and Torres Strait Islander children in CCCFR services, across each year from 2019-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91" name="Picture 838388591" descr="Bar graph highlighting the average amount of hours enrolled and attended by Aboriginal and Torres Strait Islander children in CCCFR services, across each year from 2019-20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06559" cy="2068748"/>
                    </a:xfrm>
                    <a:prstGeom prst="rect">
                      <a:avLst/>
                    </a:prstGeom>
                    <a:noFill/>
                    <a:ln>
                      <a:noFill/>
                    </a:ln>
                  </pic:spPr>
                </pic:pic>
              </a:graphicData>
            </a:graphic>
          </wp:inline>
        </w:drawing>
      </w:r>
      <w:r w:rsidR="00516097" w:rsidRPr="00516097">
        <w:rPr>
          <w:noProof/>
        </w:rPr>
        <w:drawing>
          <wp:inline distT="0" distB="0" distL="0" distR="0" wp14:anchorId="796658C8" wp14:editId="2D466514">
            <wp:extent cx="2705732" cy="2059912"/>
            <wp:effectExtent l="0" t="0" r="0" b="0"/>
            <wp:docPr id="838388602" name="Picture 838388602" descr="Bar graph highlighting the average amount of hours enrolled and attended by non-Aboriginal and Torres Strait Islander children in CCCFR services, across each year from 2019-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602" name="Picture 838388602" descr="Bar graph highlighting the average amount of hours enrolled and attended by non-Aboriginal and Torres Strait Islander children in CCCFR services, across each year from 2019-20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17625" cy="2068967"/>
                    </a:xfrm>
                    <a:prstGeom prst="rect">
                      <a:avLst/>
                    </a:prstGeom>
                    <a:noFill/>
                    <a:ln>
                      <a:noFill/>
                    </a:ln>
                  </pic:spPr>
                </pic:pic>
              </a:graphicData>
            </a:graphic>
          </wp:inline>
        </w:drawing>
      </w:r>
      <w:r w:rsidR="00192FF9" w:rsidRPr="00693102">
        <w:rPr>
          <w:color w:val="57595C" w:themeColor="accent6" w:themeShade="BF"/>
          <w:sz w:val="14"/>
          <w:szCs w:val="14"/>
        </w:rPr>
        <w:t>Source: Deloitte Access Economics, using CCSS data. Attendance rate defined as total attended hours divided by total charged hours.</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92FF9" w14:paraId="49EFDFE5" w14:textId="77777777" w:rsidTr="003B65ED">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092C3301" w14:textId="1C29B1B7" w:rsidR="00192FF9" w:rsidRPr="009E424E" w:rsidRDefault="00192FF9">
            <w:pPr>
              <w:spacing w:after="120"/>
              <w:rPr>
                <w:b/>
                <w:bCs/>
              </w:rPr>
            </w:pPr>
            <w:r w:rsidRPr="009E424E">
              <w:rPr>
                <w:b/>
                <w:bCs/>
              </w:rPr>
              <w:t xml:space="preserve">Review finding </w:t>
            </w:r>
            <w:r w:rsidR="00141886">
              <w:rPr>
                <w:b/>
                <w:bCs/>
              </w:rPr>
              <w:t>2</w:t>
            </w:r>
          </w:p>
          <w:p w14:paraId="38E1CFDB" w14:textId="1E639703" w:rsidR="00192FF9" w:rsidRPr="00714D6B" w:rsidRDefault="00F30E72" w:rsidP="00714D6B">
            <w:pPr>
              <w:spacing w:before="120" w:after="120"/>
            </w:pPr>
            <w:r w:rsidRPr="00F30E72">
              <w:t xml:space="preserve">There is evidence to suggest that access to the CCCFR grant has been associated with slower growth in out-of-pocket fees and, for Aboriginal and Torres </w:t>
            </w:r>
            <w:r w:rsidR="00B00516" w:rsidRPr="00F30E72">
              <w:t>Strait</w:t>
            </w:r>
            <w:r w:rsidRPr="00F30E72">
              <w:t xml:space="preserve"> Islander families, greater affordability.</w:t>
            </w:r>
            <w:r w:rsidR="002E497C">
              <w:t xml:space="preserve"> </w:t>
            </w:r>
            <w:r w:rsidR="00192FF9">
              <w:t xml:space="preserve"> </w:t>
            </w:r>
          </w:p>
        </w:tc>
      </w:tr>
    </w:tbl>
    <w:p w14:paraId="126D3E25" w14:textId="77777777" w:rsidR="00192FF9" w:rsidRDefault="00192FF9" w:rsidP="00192FF9">
      <w:pPr>
        <w:spacing w:before="170"/>
        <w:rPr>
          <w:b/>
          <w:bCs/>
        </w:rPr>
      </w:pPr>
      <w:r w:rsidRPr="00C81B54">
        <w:rPr>
          <w:b/>
          <w:bCs/>
        </w:rPr>
        <w:t xml:space="preserve">Supporting evidence for this finding is drawn from </w:t>
      </w:r>
      <w:r>
        <w:rPr>
          <w:b/>
          <w:bCs/>
        </w:rPr>
        <w:t>analysis of CCSS data on out-of-pocket fees in CCCFR services over time</w:t>
      </w:r>
      <w:r w:rsidRPr="00C81B54">
        <w:rPr>
          <w:b/>
          <w:bCs/>
        </w:rPr>
        <w:t>.</w:t>
      </w:r>
    </w:p>
    <w:p w14:paraId="03F5BEC7" w14:textId="39A8332B" w:rsidR="00192FF9" w:rsidRDefault="00192FF9" w:rsidP="00192FF9">
      <w:pPr>
        <w:spacing w:before="170"/>
      </w:pPr>
      <w:r>
        <w:t>From 2019 to 2023</w:t>
      </w:r>
      <w:r w:rsidRPr="005A177B">
        <w:t xml:space="preserve">, </w:t>
      </w:r>
      <w:r>
        <w:t>out-of-pocket (OOP) fees per charged hour</w:t>
      </w:r>
      <w:r w:rsidRPr="005A177B">
        <w:t xml:space="preserve"> in</w:t>
      </w:r>
      <w:r>
        <w:t xml:space="preserve"> CCCFR services remained broadly constant at $2.40</w:t>
      </w:r>
      <w:r w:rsidR="4B62F6DF">
        <w:t xml:space="preserve"> per hour</w:t>
      </w:r>
      <w:r>
        <w:t>. Over this period, fees in non-CCCFR services within the same SA2 have grown by over 20</w:t>
      </w:r>
      <w:r w:rsidR="007F4CE1">
        <w:t xml:space="preserve"> per cent</w:t>
      </w:r>
      <w:r>
        <w:t xml:space="preserve">. </w:t>
      </w:r>
      <w:r w:rsidR="3A6CEE52">
        <w:t>After</w:t>
      </w:r>
      <w:r>
        <w:t xml:space="preserve"> accounting for inflation, OOP fees in CCCFR services are </w:t>
      </w:r>
      <w:r w:rsidRPr="00074FC4">
        <w:t>15</w:t>
      </w:r>
      <w:r w:rsidR="007F4CE1">
        <w:t xml:space="preserve"> per cent</w:t>
      </w:r>
      <w:r>
        <w:t xml:space="preserve"> lower in 2023 compared to 2019 </w:t>
      </w:r>
      <w:r w:rsidRPr="00E525DC">
        <w:t>(</w:t>
      </w:r>
      <w:r w:rsidR="006148C7" w:rsidRPr="00E525DC">
        <w:fldChar w:fldCharType="begin"/>
      </w:r>
      <w:r w:rsidR="006148C7" w:rsidRPr="00E525DC">
        <w:instrText xml:space="preserve"> REF _Ref153376196 \r \h </w:instrText>
      </w:r>
      <w:r w:rsidR="00B14637" w:rsidRPr="00E525DC">
        <w:instrText xml:space="preserve"> \* MERGEFORMAT </w:instrText>
      </w:r>
      <w:r w:rsidR="006148C7" w:rsidRPr="00E525DC">
        <w:fldChar w:fldCharType="separate"/>
      </w:r>
      <w:r w:rsidR="00D300D0">
        <w:t>Chart 5.5</w:t>
      </w:r>
      <w:r w:rsidR="006148C7" w:rsidRPr="00E525DC">
        <w:fldChar w:fldCharType="end"/>
      </w:r>
      <w:r w:rsidRPr="00E525DC">
        <w:t>).</w:t>
      </w:r>
      <w:r>
        <w:t xml:space="preserve"> </w:t>
      </w:r>
      <w:r w:rsidR="0056479B">
        <w:t xml:space="preserve"> This may signal that services have not adequately utilised the opportunity to maximise their financial viability through fee revenue.  Alternatively, it may reiterate the </w:t>
      </w:r>
      <w:r w:rsidR="003E61E8">
        <w:t xml:space="preserve">limited ability and willingness to pay among the communities and cohorts that CCCFR services serve. </w:t>
      </w:r>
    </w:p>
    <w:p w14:paraId="05A487A7" w14:textId="77777777" w:rsidR="00192FF9" w:rsidRPr="00E525DC" w:rsidRDefault="00192FF9" w:rsidP="00192FF9">
      <w:pPr>
        <w:pStyle w:val="CaptionChart"/>
      </w:pPr>
      <w:bookmarkStart w:id="252" w:name="_Ref153376196"/>
      <w:bookmarkStart w:id="253" w:name="_Toc158997928"/>
      <w:bookmarkStart w:id="254" w:name="_Toc167130547"/>
      <w:r w:rsidRPr="00E525DC">
        <w:t>: Out-of-pocket fees per charged hour by service type, financial year 2019-2023</w:t>
      </w:r>
      <w:bookmarkEnd w:id="252"/>
      <w:bookmarkEnd w:id="253"/>
      <w:bookmarkEnd w:id="254"/>
      <w:r w:rsidRPr="00E525DC">
        <w:t xml:space="preserve"> </w:t>
      </w:r>
    </w:p>
    <w:p w14:paraId="1B2B79F6" w14:textId="38DEC474" w:rsidR="00CE1D45" w:rsidRPr="00CE1D45" w:rsidRDefault="00CE1D45" w:rsidP="00CE1D45">
      <w:r w:rsidRPr="00CE1D45">
        <w:rPr>
          <w:noProof/>
        </w:rPr>
        <w:drawing>
          <wp:inline distT="0" distB="0" distL="0" distR="0" wp14:anchorId="77693404" wp14:editId="34ACB298">
            <wp:extent cx="4260215" cy="2662737"/>
            <wp:effectExtent l="0" t="0" r="0" b="0"/>
            <wp:docPr id="838388605" name="Picture 838388605" descr="Bar chart showing the average out-of-pocket fee per hour, comparing CCCFR and non-CCCFR services in the same geographic area. The data is year-on-year from 2019 to 2023, and shows per hour out-of-pocket costs being comparatively lower each year for CCCF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605" name="Picture 838388605" descr="Bar chart showing the average out-of-pocket fee per hour, comparing CCCFR and non-CCCFR services in the same geographic area. The data is year-on-year from 2019 to 2023, and shows per hour out-of-pocket costs being comparatively lower each year for CCCFR services."/>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4677"/>
                    <a:stretch/>
                  </pic:blipFill>
                  <pic:spPr bwMode="auto">
                    <a:xfrm>
                      <a:off x="0" y="0"/>
                      <a:ext cx="4260215" cy="2662737"/>
                    </a:xfrm>
                    <a:prstGeom prst="rect">
                      <a:avLst/>
                    </a:prstGeom>
                    <a:noFill/>
                    <a:ln>
                      <a:noFill/>
                    </a:ln>
                    <a:extLst>
                      <a:ext uri="{53640926-AAD7-44D8-BBD7-CCE9431645EC}">
                        <a14:shadowObscured xmlns:a14="http://schemas.microsoft.com/office/drawing/2010/main"/>
                      </a:ext>
                    </a:extLst>
                  </pic:spPr>
                </pic:pic>
              </a:graphicData>
            </a:graphic>
          </wp:inline>
        </w:drawing>
      </w:r>
    </w:p>
    <w:p w14:paraId="2F10FB91" w14:textId="77777777" w:rsidR="00192FF9" w:rsidRPr="00693102" w:rsidRDefault="00192FF9" w:rsidP="00192FF9">
      <w:pPr>
        <w:spacing w:before="170"/>
        <w:rPr>
          <w:iCs/>
          <w:color w:val="57595C" w:themeColor="accent6" w:themeShade="BF"/>
          <w:sz w:val="14"/>
        </w:rPr>
      </w:pPr>
      <w:r w:rsidRPr="00693102">
        <w:rPr>
          <w:iCs/>
          <w:color w:val="57595C" w:themeColor="accent6" w:themeShade="BF"/>
          <w:sz w:val="14"/>
        </w:rPr>
        <w:t>Source: Deloitte Access Economics, using CCSS data.</w:t>
      </w:r>
    </w:p>
    <w:p w14:paraId="0C793E28" w14:textId="4B170BC7" w:rsidR="00C11C97" w:rsidRDefault="00192FF9" w:rsidP="00192FF9">
      <w:r>
        <w:lastRenderedPageBreak/>
        <w:t xml:space="preserve">The average family enrolled in a CCCFR service spends </w:t>
      </w:r>
      <w:r w:rsidR="006C4F40">
        <w:t>three</w:t>
      </w:r>
      <w:r w:rsidR="007F4CE1">
        <w:t xml:space="preserve"> per cent</w:t>
      </w:r>
      <w:r>
        <w:t xml:space="preserve"> of </w:t>
      </w:r>
      <w:r w:rsidR="00AF1B46">
        <w:t xml:space="preserve">estimated </w:t>
      </w:r>
      <w:r>
        <w:t xml:space="preserve">gross annual family income </w:t>
      </w:r>
      <w:r w:rsidR="00AF1B46">
        <w:t>(as reported in the CCS data)</w:t>
      </w:r>
      <w:r>
        <w:t xml:space="preserve"> on child care. For Aboriginal and Torres Strait Islander families, this is slightly higher at 4</w:t>
      </w:r>
      <w:r w:rsidR="007F4CE1">
        <w:t xml:space="preserve"> per cent</w:t>
      </w:r>
      <w:r>
        <w:t>. When controlling for differences in the hours used across families the average Aboriginal and Torres Strait Islander family would experience a saving equalling 1</w:t>
      </w:r>
      <w:r w:rsidR="007F4CE1" w:rsidRPr="007F4CE1">
        <w:t xml:space="preserve"> </w:t>
      </w:r>
      <w:r w:rsidR="007F4CE1">
        <w:t>per cent</w:t>
      </w:r>
      <w:r>
        <w:t xml:space="preserve"> of their annual income by using CCCFR services instead of a non-CCCFR services within the same SA2</w:t>
      </w:r>
      <w:r w:rsidR="00B71FBA">
        <w:t>. In contrast, other families would face slightly higher expenditure on child care by using a CCCFR service</w:t>
      </w:r>
      <w:r w:rsidR="002D5823">
        <w:t xml:space="preserve"> (</w:t>
      </w:r>
      <w:r w:rsidR="002D5823">
        <w:fldChar w:fldCharType="begin"/>
      </w:r>
      <w:r w:rsidR="002D5823">
        <w:instrText xml:space="preserve"> REF _Ref167119228 \r \h </w:instrText>
      </w:r>
      <w:r w:rsidR="002D5823">
        <w:fldChar w:fldCharType="separate"/>
      </w:r>
      <w:r w:rsidR="00D300D0">
        <w:t>Chart 5.6</w:t>
      </w:r>
      <w:r w:rsidR="002D5823">
        <w:fldChar w:fldCharType="end"/>
      </w:r>
      <w:r w:rsidR="002D5823">
        <w:t>)</w:t>
      </w:r>
      <w:r>
        <w:t xml:space="preserve">. </w:t>
      </w:r>
    </w:p>
    <w:p w14:paraId="60720C20" w14:textId="25D0CBED" w:rsidR="009B1C55" w:rsidRDefault="00444405" w:rsidP="00192FF9">
      <w:r>
        <w:t>For</w:t>
      </w:r>
      <w:r w:rsidR="00B94C58">
        <w:t xml:space="preserve"> </w:t>
      </w:r>
      <w:r>
        <w:t xml:space="preserve">families </w:t>
      </w:r>
      <w:r w:rsidR="00C66646">
        <w:t xml:space="preserve">with income </w:t>
      </w:r>
      <w:r>
        <w:t xml:space="preserve">in the bottom </w:t>
      </w:r>
      <w:r w:rsidR="00C66646">
        <w:t>quartile</w:t>
      </w:r>
      <w:r>
        <w:t xml:space="preserve"> </w:t>
      </w:r>
      <w:r w:rsidR="009B1C55">
        <w:t xml:space="preserve">among CCCFR service users </w:t>
      </w:r>
      <w:r w:rsidR="00B94C58">
        <w:t xml:space="preserve">(under </w:t>
      </w:r>
      <w:r w:rsidR="00C66646">
        <w:t>$</w:t>
      </w:r>
      <w:r w:rsidR="009B1C55">
        <w:t>65,000 per annum</w:t>
      </w:r>
      <w:r w:rsidR="00B94C58">
        <w:t>)</w:t>
      </w:r>
      <w:r w:rsidR="009B1C55">
        <w:t>,</w:t>
      </w:r>
      <w:r w:rsidR="00A7581B">
        <w:t xml:space="preserve"> child care fees as a share of estimated gross annual family income is higher, at </w:t>
      </w:r>
      <w:r w:rsidR="00F460DF">
        <w:t xml:space="preserve">5 per cent. However, when controlling for charged hours, the </w:t>
      </w:r>
      <w:r w:rsidR="00822BB2">
        <w:t>average Aboriginal and Torres Strait Islander family would experience a larger saving</w:t>
      </w:r>
      <w:r w:rsidR="007874A4">
        <w:t xml:space="preserve"> </w:t>
      </w:r>
      <w:r w:rsidR="003632D1">
        <w:t>(</w:t>
      </w:r>
      <w:r w:rsidR="007874A4">
        <w:t>2 per cent)</w:t>
      </w:r>
      <w:r w:rsidR="00822BB2">
        <w:t xml:space="preserve"> </w:t>
      </w:r>
      <w:r w:rsidR="00CB1F68">
        <w:t>using CCCFR services</w:t>
      </w:r>
      <w:r w:rsidR="007874A4">
        <w:t xml:space="preserve"> compared to non-CCCFR services within the same SA2. </w:t>
      </w:r>
    </w:p>
    <w:p w14:paraId="5678683C" w14:textId="77777777" w:rsidR="00192FF9" w:rsidRPr="00E525DC" w:rsidRDefault="00192FF9" w:rsidP="00192FF9">
      <w:pPr>
        <w:pStyle w:val="CaptionChart"/>
      </w:pPr>
      <w:bookmarkStart w:id="255" w:name="_Toc158997929"/>
      <w:bookmarkStart w:id="256" w:name="_Ref167119228"/>
      <w:bookmarkStart w:id="257" w:name="_Toc167130548"/>
      <w:r w:rsidRPr="00E525DC">
        <w:t>: Out-of-pocket fees as a share of family income, financial year 2023</w:t>
      </w:r>
      <w:bookmarkEnd w:id="255"/>
      <w:bookmarkEnd w:id="256"/>
      <w:bookmarkEnd w:id="257"/>
      <w:r w:rsidRPr="00E525DC">
        <w:t xml:space="preserve"> </w:t>
      </w:r>
    </w:p>
    <w:p w14:paraId="6443A687" w14:textId="6FD38275" w:rsidR="00192FF9" w:rsidRDefault="00CD60B1" w:rsidP="00192FF9">
      <w:pPr>
        <w:spacing w:before="170"/>
      </w:pPr>
      <w:r w:rsidRPr="00CD60B1">
        <w:rPr>
          <w:noProof/>
        </w:rPr>
        <w:drawing>
          <wp:inline distT="0" distB="0" distL="0" distR="0" wp14:anchorId="116A03AE" wp14:editId="1ADEF16D">
            <wp:extent cx="4572000" cy="2743200"/>
            <wp:effectExtent l="0" t="0" r="0" b="0"/>
            <wp:docPr id="29" name="Picture 29" descr="Chart that compares out of pocket fees as a proportion of family income for families using CCCFR services with families using non-CCCFR services within a given SA2. The chart reports differences by parent background, and distinguishes between overall fees and fees for a given number of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that compares out of pocket fees as a proportion of family income for families using CCCFR services with families using non-CCCFR services within a given SA2. The chart reports differences by parent background, and distinguishes between overall fees and fees for a given number of hour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25875FE" w14:textId="77777777" w:rsidR="00192FF9" w:rsidRPr="00693102" w:rsidRDefault="00192FF9" w:rsidP="00192FF9">
      <w:pPr>
        <w:spacing w:before="170"/>
        <w:rPr>
          <w:iCs/>
          <w:color w:val="57595C" w:themeColor="accent6" w:themeShade="BF"/>
          <w:sz w:val="14"/>
        </w:rPr>
      </w:pPr>
      <w:r w:rsidRPr="00693102">
        <w:rPr>
          <w:iCs/>
          <w:color w:val="57595C" w:themeColor="accent6" w:themeShade="BF"/>
          <w:sz w:val="14"/>
        </w:rPr>
        <w:t>Source: Deloitte Access Economics, using CCSS data.</w:t>
      </w:r>
    </w:p>
    <w:p w14:paraId="66B348CB" w14:textId="79FE03CA" w:rsidR="00192FF9" w:rsidRDefault="00B71FBA" w:rsidP="00192FF9">
      <w:pPr>
        <w:spacing w:before="170"/>
      </w:pPr>
      <w:r>
        <w:t>Lower out of pocket fees for Aboriginal and Torres Strait Islander families in</w:t>
      </w:r>
      <w:r w:rsidR="00192FF9">
        <w:t xml:space="preserve"> CCCFR </w:t>
      </w:r>
      <w:r>
        <w:t>services could be</w:t>
      </w:r>
      <w:r w:rsidR="00192FF9">
        <w:t xml:space="preserve"> driven by OOP fees on average being lower for Aboriginal and Torres Strait Islander families within CCFR services </w:t>
      </w:r>
      <w:r w:rsidR="00192FF9" w:rsidRPr="00E525DC">
        <w:t>(</w:t>
      </w:r>
      <w:r w:rsidR="00AF3146" w:rsidRPr="00E525DC">
        <w:fldChar w:fldCharType="begin"/>
      </w:r>
      <w:r w:rsidR="00AF3146" w:rsidRPr="00E525DC">
        <w:instrText xml:space="preserve"> REF _Ref153376221 \r \h </w:instrText>
      </w:r>
      <w:r w:rsidR="00EA6703" w:rsidRPr="00E525DC">
        <w:instrText xml:space="preserve"> \* MERGEFORMAT </w:instrText>
      </w:r>
      <w:r w:rsidR="00AF3146" w:rsidRPr="00E525DC">
        <w:fldChar w:fldCharType="separate"/>
      </w:r>
      <w:r w:rsidR="00D300D0">
        <w:t>Chart 5.7</w:t>
      </w:r>
      <w:r w:rsidR="00AF3146" w:rsidRPr="00E525DC">
        <w:fldChar w:fldCharType="end"/>
      </w:r>
      <w:r w:rsidR="00192FF9" w:rsidRPr="00E525DC">
        <w:t>).</w:t>
      </w:r>
    </w:p>
    <w:p w14:paraId="06FC8471" w14:textId="77777777" w:rsidR="00192FF9" w:rsidRPr="00E525DC" w:rsidRDefault="00192FF9" w:rsidP="00192FF9">
      <w:pPr>
        <w:pStyle w:val="CaptionChart"/>
      </w:pPr>
      <w:bookmarkStart w:id="258" w:name="_Ref153376221"/>
      <w:bookmarkStart w:id="259" w:name="_Toc158997930"/>
      <w:bookmarkStart w:id="260" w:name="_Toc167130549"/>
      <w:r w:rsidRPr="00E525DC">
        <w:lastRenderedPageBreak/>
        <w:t>: Out-of-pocket fees per charged hour for CCCFR services, financial year 2019-2023</w:t>
      </w:r>
      <w:bookmarkEnd w:id="258"/>
      <w:bookmarkEnd w:id="259"/>
      <w:bookmarkEnd w:id="260"/>
      <w:r w:rsidRPr="00E525DC">
        <w:t xml:space="preserve"> </w:t>
      </w:r>
    </w:p>
    <w:p w14:paraId="5BDE37C4" w14:textId="45574666" w:rsidR="001249C3" w:rsidRPr="001249C3" w:rsidRDefault="004D77C2" w:rsidP="001249C3">
      <w:r w:rsidRPr="004D77C2">
        <w:rPr>
          <w:noProof/>
        </w:rPr>
        <w:drawing>
          <wp:inline distT="0" distB="0" distL="0" distR="0" wp14:anchorId="2DF6576C" wp14:editId="74257665">
            <wp:extent cx="4260215" cy="2803525"/>
            <wp:effectExtent l="0" t="0" r="0" b="0"/>
            <wp:docPr id="1489793603" name="Picture 1489793603" descr="Bar chart showing the average per hour out-of-pocket fees charged in CCCFR services to Aboriginal and Torres Strait Islander children, and non-Aboriginal and Torres Strait Islander children. This is shown year-on-year from 2019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03" name="Picture 1489793603" descr="Bar chart showing the average per hour out-of-pocket fees charged in CCCFR services to Aboriginal and Torres Strait Islander children, and non-Aboriginal and Torres Strait Islander children. This is shown year-on-year from 2019 to 202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60215" cy="2803525"/>
                    </a:xfrm>
                    <a:prstGeom prst="rect">
                      <a:avLst/>
                    </a:prstGeom>
                    <a:noFill/>
                    <a:ln>
                      <a:noFill/>
                    </a:ln>
                  </pic:spPr>
                </pic:pic>
              </a:graphicData>
            </a:graphic>
          </wp:inline>
        </w:drawing>
      </w:r>
    </w:p>
    <w:p w14:paraId="41BC7E4D" w14:textId="77777777" w:rsidR="00192FF9" w:rsidRPr="00C331DC" w:rsidRDefault="00192FF9" w:rsidP="00192FF9">
      <w:pPr>
        <w:spacing w:before="170"/>
        <w:rPr>
          <w:iCs/>
          <w:color w:val="57595C" w:themeColor="accent6" w:themeShade="BF"/>
          <w:sz w:val="14"/>
        </w:rPr>
      </w:pPr>
      <w:r w:rsidRPr="00C331DC">
        <w:rPr>
          <w:iCs/>
          <w:color w:val="57595C" w:themeColor="accent6" w:themeShade="BF"/>
          <w:sz w:val="14"/>
        </w:rPr>
        <w:t xml:space="preserve">Source: Deloitte Access Economics, using CCSS data. </w:t>
      </w:r>
    </w:p>
    <w:tbl>
      <w:tblPr>
        <w:tblStyle w:val="TableGrid"/>
        <w:tblW w:w="0" w:type="auto"/>
        <w:shd w:val="clear" w:color="auto" w:fill="E7F5CF" w:themeFill="accent1" w:themeFillTint="33"/>
        <w:tblCellMar>
          <w:top w:w="85" w:type="dxa"/>
          <w:left w:w="113" w:type="dxa"/>
          <w:bottom w:w="85" w:type="dxa"/>
          <w:right w:w="113" w:type="dxa"/>
        </w:tblCellMar>
        <w:tblLook w:val="04A0" w:firstRow="1" w:lastRow="0" w:firstColumn="1" w:lastColumn="0" w:noHBand="0" w:noVBand="1"/>
      </w:tblPr>
      <w:tblGrid>
        <w:gridCol w:w="9026"/>
      </w:tblGrid>
      <w:tr w:rsidR="00192FF9" w14:paraId="11237A43"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57E1B7B4" w14:textId="1F0940DA" w:rsidR="00192FF9" w:rsidRPr="009E424E" w:rsidRDefault="00192FF9">
            <w:pPr>
              <w:spacing w:after="120"/>
              <w:rPr>
                <w:b/>
                <w:bCs/>
              </w:rPr>
            </w:pPr>
            <w:r w:rsidRPr="009E424E">
              <w:rPr>
                <w:b/>
                <w:bCs/>
              </w:rPr>
              <w:t xml:space="preserve">Review finding </w:t>
            </w:r>
            <w:r w:rsidR="00EE0B74">
              <w:rPr>
                <w:b/>
                <w:bCs/>
              </w:rPr>
              <w:t>3</w:t>
            </w:r>
          </w:p>
          <w:p w14:paraId="0E2A8B02" w14:textId="4EA6AC0B" w:rsidR="00192FF9" w:rsidRPr="00E2000B" w:rsidRDefault="00F30E72" w:rsidP="00E2000B">
            <w:pPr>
              <w:spacing w:before="120" w:after="120"/>
            </w:pPr>
            <w:r>
              <w:t xml:space="preserve">The evidence on the impact of the CCCFR grant on </w:t>
            </w:r>
            <w:r w:rsidR="00007A09">
              <w:t xml:space="preserve">preschool participation </w:t>
            </w:r>
            <w:r>
              <w:t>is mixed.</w:t>
            </w:r>
            <w:r w:rsidR="00EB76C7">
              <w:rPr>
                <w:rStyle w:val="FootnoteReference"/>
              </w:rPr>
              <w:footnoteReference w:id="99"/>
            </w:r>
            <w:r>
              <w:t xml:space="preserve"> </w:t>
            </w:r>
            <w:r w:rsidR="00FA77F7">
              <w:t xml:space="preserve">While there is evidence that preschool </w:t>
            </w:r>
            <w:r w:rsidR="00192FF9" w:rsidRPr="00A371C6">
              <w:t>participation</w:t>
            </w:r>
            <w:r w:rsidR="00192FF9">
              <w:t xml:space="preserve"> in the year before full-time schooling </w:t>
            </w:r>
            <w:r w:rsidR="00192FF9" w:rsidRPr="00A371C6">
              <w:t>increase</w:t>
            </w:r>
            <w:r w:rsidR="00FA77F7">
              <w:t>d</w:t>
            </w:r>
            <w:r w:rsidR="00192FF9" w:rsidRPr="00A371C6">
              <w:t xml:space="preserve"> faster in </w:t>
            </w:r>
            <w:r w:rsidR="008D11D6" w:rsidRPr="009B5BD3">
              <w:t>some</w:t>
            </w:r>
            <w:r w:rsidR="008D11D6">
              <w:t xml:space="preserve"> </w:t>
            </w:r>
            <w:r w:rsidR="00192FF9" w:rsidRPr="00A371C6">
              <w:t xml:space="preserve">CCCFR regions </w:t>
            </w:r>
            <w:r w:rsidR="00192FF9">
              <w:t>compared to similar non-CCCFR regions</w:t>
            </w:r>
            <w:r w:rsidR="00FA77F7">
              <w:t>, the</w:t>
            </w:r>
            <w:r w:rsidR="006028EE">
              <w:t xml:space="preserve"> </w:t>
            </w:r>
            <w:r w:rsidR="009F32B4">
              <w:t xml:space="preserve">trends </w:t>
            </w:r>
            <w:r w:rsidR="006028EE">
              <w:t xml:space="preserve">cannot be attributed to </w:t>
            </w:r>
            <w:r w:rsidR="009F32B4">
              <w:t>the CCCFR grant</w:t>
            </w:r>
            <w:r w:rsidR="00192FF9" w:rsidRPr="00A371C6">
              <w:t>.</w:t>
            </w:r>
            <w:r w:rsidR="00192FF9">
              <w:t xml:space="preserve"> </w:t>
            </w:r>
          </w:p>
        </w:tc>
      </w:tr>
    </w:tbl>
    <w:p w14:paraId="1916081A" w14:textId="77777777" w:rsidR="00192FF9" w:rsidRDefault="00192FF9" w:rsidP="00192FF9">
      <w:pPr>
        <w:spacing w:before="170"/>
        <w:rPr>
          <w:b/>
          <w:bCs/>
        </w:rPr>
      </w:pPr>
      <w:r w:rsidRPr="002331FE">
        <w:rPr>
          <w:b/>
        </w:rPr>
        <w:t>Supporting evidence for this finding is drawn from AEDC data.</w:t>
      </w:r>
    </w:p>
    <w:p w14:paraId="7D5A50C0" w14:textId="28A88217" w:rsidR="004C1AEE" w:rsidRPr="00083238" w:rsidRDefault="00083238" w:rsidP="00192FF9">
      <w:pPr>
        <w:rPr>
          <w:i/>
        </w:rPr>
      </w:pPr>
      <w:r w:rsidRPr="00BC26DA">
        <w:rPr>
          <w:i/>
        </w:rPr>
        <w:t>Note that the content in this section is u</w:t>
      </w:r>
      <w:r w:rsidR="00192FF9" w:rsidRPr="00BC26DA">
        <w:rPr>
          <w:i/>
        </w:rPr>
        <w:t>nder embargo pending review by AEDC</w:t>
      </w:r>
      <w:r w:rsidRPr="00BC26DA">
        <w:rPr>
          <w:i/>
        </w:rPr>
        <w:t xml:space="preserve"> and is not</w:t>
      </w:r>
      <w:r w:rsidR="00192FF9" w:rsidRPr="00BC26DA">
        <w:rPr>
          <w:i/>
        </w:rPr>
        <w:t xml:space="preserve"> to be shared beyond the Department</w:t>
      </w:r>
      <w:r w:rsidRPr="00083238">
        <w:rPr>
          <w:i/>
          <w:iCs/>
        </w:rPr>
        <w:t>.</w:t>
      </w:r>
    </w:p>
    <w:p w14:paraId="556EAA3B" w14:textId="098D8B08" w:rsidR="00192FF9" w:rsidRDefault="004C1AEE" w:rsidP="00192FF9">
      <w:r>
        <w:t>Analysis of the AEDC data suggests that when considering the SA2s that have CCCFR services, there have been a slight increase in the proportion of children who participat</w:t>
      </w:r>
      <w:r w:rsidR="008339B5">
        <w:t>ed</w:t>
      </w:r>
      <w:r>
        <w:t xml:space="preserve"> in ECEC (preschool, day care, or other early intervention programs) in the year before full-time schooling (YBFS</w:t>
      </w:r>
      <w:r w:rsidR="008339B5">
        <w:t xml:space="preserve">). Note that within the AEDC, primary school teachers for the children report on their ECEC participation. </w:t>
      </w:r>
    </w:p>
    <w:p w14:paraId="11858DF3" w14:textId="77777777" w:rsidR="00192FF9" w:rsidRDefault="00192FF9" w:rsidP="00192FF9">
      <w:pPr>
        <w:pStyle w:val="CaptionChart"/>
      </w:pPr>
      <w:bookmarkStart w:id="261" w:name="_Toc158997931"/>
      <w:bookmarkStart w:id="262" w:name="_Toc167130550"/>
      <w:r>
        <w:lastRenderedPageBreak/>
        <w:t xml:space="preserve">: ECEC </w:t>
      </w:r>
      <w:r w:rsidRPr="002C5393">
        <w:t>enrolment in the YBFS by children</w:t>
      </w:r>
      <w:r>
        <w:t xml:space="preserve"> in SA2s with CCCFR services</w:t>
      </w:r>
      <w:bookmarkEnd w:id="261"/>
      <w:bookmarkEnd w:id="262"/>
      <w:r>
        <w:t xml:space="preserve"> </w:t>
      </w:r>
    </w:p>
    <w:p w14:paraId="6F08678A" w14:textId="6434D7C6" w:rsidR="00192FF9" w:rsidRDefault="002C5393" w:rsidP="00192FF9">
      <w:r w:rsidRPr="002C5393">
        <w:rPr>
          <w:noProof/>
        </w:rPr>
        <w:drawing>
          <wp:inline distT="0" distB="0" distL="0" distR="0" wp14:anchorId="3AD0CD68" wp14:editId="5AC63B2D">
            <wp:extent cx="4457700" cy="2997200"/>
            <wp:effectExtent l="0" t="0" r="0" b="0"/>
            <wp:docPr id="1489793626" name="Picture 1489793626" descr="Bar chart showing ECEC enrolments in CCCFR services for children in the year before school, across 2012, 2015, 2018 and 2021. In each year, the vast majority of children are enrolled in a preschoo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6" name="Picture 1489793626" descr="Bar chart showing ECEC enrolments in CCCFR services for children in the year before school, across 2012, 2015, 2018 and 2021. In each year, the vast majority of children are enrolled in a preschool program."/>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457700" cy="2997200"/>
                    </a:xfrm>
                    <a:prstGeom prst="rect">
                      <a:avLst/>
                    </a:prstGeom>
                    <a:noFill/>
                    <a:ln>
                      <a:noFill/>
                    </a:ln>
                  </pic:spPr>
                </pic:pic>
              </a:graphicData>
            </a:graphic>
          </wp:inline>
        </w:drawing>
      </w:r>
    </w:p>
    <w:p w14:paraId="56DBFDE9" w14:textId="0A7F353F" w:rsidR="00192FF9" w:rsidRPr="00C331DC" w:rsidRDefault="00192FF9" w:rsidP="00192FF9">
      <w:pPr>
        <w:spacing w:before="170"/>
        <w:rPr>
          <w:iCs/>
          <w:color w:val="57595C" w:themeColor="accent6" w:themeShade="BF"/>
          <w:sz w:val="14"/>
        </w:rPr>
      </w:pPr>
      <w:r w:rsidRPr="00C331DC">
        <w:rPr>
          <w:iCs/>
          <w:color w:val="57595C" w:themeColor="accent6" w:themeShade="BF"/>
          <w:sz w:val="14"/>
        </w:rPr>
        <w:t>Source: Deloitte Access Economics, using AEDC data.</w:t>
      </w:r>
      <w:r w:rsidR="00496572" w:rsidRPr="00C331DC">
        <w:rPr>
          <w:rStyle w:val="FootnoteReference"/>
          <w:iCs/>
          <w:color w:val="57595C" w:themeColor="accent6" w:themeShade="BF"/>
          <w:sz w:val="14"/>
        </w:rPr>
        <w:footnoteReference w:id="100"/>
      </w:r>
      <w:r w:rsidRPr="00C331DC">
        <w:rPr>
          <w:iCs/>
          <w:color w:val="57595C" w:themeColor="accent6" w:themeShade="BF"/>
          <w:sz w:val="14"/>
        </w:rPr>
        <w:t xml:space="preserve"> </w:t>
      </w:r>
    </w:p>
    <w:p w14:paraId="50A8B427" w14:textId="537FD50A" w:rsidR="00192FF9" w:rsidRDefault="00192FF9" w:rsidP="00192FF9">
      <w:r>
        <w:t>To place the performance of the CCCFR regions (SA2s with CCCFR services) in context, the analysis compares CCCFR with ‘like regions’ – SA2s within the same SA3 that do not have CCCFR services.</w:t>
      </w:r>
      <w:r w:rsidR="006A3356">
        <w:rPr>
          <w:rStyle w:val="FootnoteReference"/>
        </w:rPr>
        <w:footnoteReference w:id="101"/>
      </w:r>
      <w:r>
        <w:t xml:space="preserve"> This reduces the potential effects of demographics and other contextual factors in driving preschool participation outcomes over time, as SA2s within a SA3 are likely to be relatively similar. Further, the analysis focuses on the change in outcomes </w:t>
      </w:r>
      <w:r w:rsidR="00071919">
        <w:t>between</w:t>
      </w:r>
      <w:r>
        <w:t xml:space="preserve"> 2015 (the latest point before the introduction of the CCCFR grant) and 2021 (the latest available data point after the introduction of the CCCFR grant). </w:t>
      </w:r>
    </w:p>
    <w:p w14:paraId="2F54ED8B" w14:textId="024FDF53" w:rsidR="00F2250D" w:rsidRDefault="00192FF9" w:rsidP="00192FF9">
      <w:r>
        <w:t>When comparing against ‘like regions’, preschool participation for children in the YBFS in CCCFR region</w:t>
      </w:r>
      <w:r w:rsidR="00131608">
        <w:t>s</w:t>
      </w:r>
      <w:r>
        <w:t xml:space="preserve"> grew faster by two percentage points from 2015 to 2021 on average. </w:t>
      </w:r>
      <w:r w:rsidR="00F2250D">
        <w:t xml:space="preserve">Note that the preschool participation rate is </w:t>
      </w:r>
      <w:r w:rsidR="0006536D">
        <w:t xml:space="preserve">reported as a share of the population of all children in the YBFS, and improvements in the participation rate reflects improvements in preschool use, rather than differences in population growth. </w:t>
      </w:r>
    </w:p>
    <w:p w14:paraId="73141435" w14:textId="750B4970" w:rsidR="00192FF9" w:rsidRDefault="00192FF9" w:rsidP="00192FF9">
      <w:r>
        <w:t>In two thirds of CCCFR regions, the increase was greater by five or more percentage points (</w:t>
      </w:r>
      <w:r w:rsidR="00377632">
        <w:fldChar w:fldCharType="begin"/>
      </w:r>
      <w:r w:rsidR="00377632">
        <w:instrText xml:space="preserve"> REF _Ref153376280 \r \h </w:instrText>
      </w:r>
      <w:r w:rsidR="00BE7D42">
        <w:instrText xml:space="preserve"> \* MERGEFORMAT </w:instrText>
      </w:r>
      <w:r w:rsidR="00377632">
        <w:fldChar w:fldCharType="separate"/>
      </w:r>
      <w:r w:rsidR="00D300D0">
        <w:t>Chart 5.9</w:t>
      </w:r>
      <w:r w:rsidR="00377632">
        <w:fldChar w:fldCharType="end"/>
      </w:r>
      <w:r w:rsidR="00377632">
        <w:t>).</w:t>
      </w:r>
      <w:r>
        <w:t xml:space="preserve"> </w:t>
      </w:r>
      <w:r w:rsidR="000C5DA1" w:rsidRPr="00F2250D">
        <w:t xml:space="preserve">Note that there is insufficient data to support examination of </w:t>
      </w:r>
      <w:r w:rsidR="00F2250D" w:rsidRPr="00F2250D">
        <w:t xml:space="preserve">preschool trends </w:t>
      </w:r>
      <w:r w:rsidR="0006536D">
        <w:t xml:space="preserve">for regions </w:t>
      </w:r>
      <w:r w:rsidR="00F2250D" w:rsidRPr="00F2250D">
        <w:t>at a sub-SA2 level.</w:t>
      </w:r>
    </w:p>
    <w:p w14:paraId="685F9C83" w14:textId="126F15C8" w:rsidR="00F2250D" w:rsidRDefault="00F2250D" w:rsidP="00192FF9">
      <w:r>
        <w:t xml:space="preserve">Further details on the methodology and limitations are provided in </w:t>
      </w:r>
      <w:r w:rsidRPr="008C6EE3">
        <w:fldChar w:fldCharType="begin"/>
      </w:r>
      <w:r w:rsidRPr="008C6EE3">
        <w:instrText xml:space="preserve"> REF _Ref158904825 \r \h </w:instrText>
      </w:r>
      <w:r w:rsidR="00BE7D42" w:rsidRPr="008C6EE3">
        <w:instrText xml:space="preserve"> \* MERGEFORMAT </w:instrText>
      </w:r>
      <w:r w:rsidRPr="008C6EE3">
        <w:fldChar w:fldCharType="separate"/>
      </w:r>
      <w:r w:rsidR="00D300D0">
        <w:t>Appendix K</w:t>
      </w:r>
      <w:r w:rsidRPr="008C6EE3">
        <w:fldChar w:fldCharType="end"/>
      </w:r>
      <w:r w:rsidRPr="008C6EE3">
        <w:t>.</w:t>
      </w:r>
    </w:p>
    <w:p w14:paraId="64581F80" w14:textId="77777777" w:rsidR="00192FF9" w:rsidRPr="008C6EE3" w:rsidRDefault="00192FF9" w:rsidP="00192FF9">
      <w:pPr>
        <w:pStyle w:val="CaptionChart"/>
      </w:pPr>
      <w:bookmarkStart w:id="263" w:name="_Ref153376280"/>
      <w:bookmarkStart w:id="264" w:name="_Toc158997932"/>
      <w:bookmarkStart w:id="265" w:name="_Toc167130551"/>
      <w:r w:rsidRPr="008C6EE3">
        <w:lastRenderedPageBreak/>
        <w:t>: Difference in preschool participation rate growth for CCCFR and like regions in the YBFS, 2015-2021</w:t>
      </w:r>
      <w:bookmarkEnd w:id="263"/>
      <w:bookmarkEnd w:id="264"/>
      <w:bookmarkEnd w:id="265"/>
    </w:p>
    <w:p w14:paraId="17DB7D8A" w14:textId="3B1D4D9D" w:rsidR="00E247DE" w:rsidRPr="00E247DE" w:rsidRDefault="000615A8" w:rsidP="00E247DE">
      <w:r w:rsidRPr="000615A8">
        <w:rPr>
          <w:noProof/>
        </w:rPr>
        <w:drawing>
          <wp:inline distT="0" distB="0" distL="0" distR="0" wp14:anchorId="7F1AD281" wp14:editId="0A77E5B4">
            <wp:extent cx="5035550" cy="2419350"/>
            <wp:effectExtent l="0" t="0" r="0" b="0"/>
            <wp:docPr id="17" name="Picture 17" descr="Bar chart showing the change in preschool participation rate growth for CCCFR and like regions in the year before school, between 2015-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ar chart showing the change in preschool participation rate growth for CCCFR and like regions in the year before school, between 2015-20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35550" cy="2419350"/>
                    </a:xfrm>
                    <a:prstGeom prst="rect">
                      <a:avLst/>
                    </a:prstGeom>
                    <a:noFill/>
                    <a:ln>
                      <a:noFill/>
                    </a:ln>
                  </pic:spPr>
                </pic:pic>
              </a:graphicData>
            </a:graphic>
          </wp:inline>
        </w:drawing>
      </w:r>
    </w:p>
    <w:p w14:paraId="33477484" w14:textId="091DF90C" w:rsidR="00192FF9" w:rsidRPr="00DB54A4" w:rsidRDefault="00192FF9" w:rsidP="00192FF9">
      <w:pPr>
        <w:spacing w:before="170"/>
        <w:rPr>
          <w:iCs/>
          <w:color w:val="57595C" w:themeColor="accent6" w:themeShade="BF"/>
          <w:sz w:val="14"/>
        </w:rPr>
      </w:pPr>
      <w:r w:rsidRPr="00DB54A4">
        <w:rPr>
          <w:iCs/>
          <w:color w:val="57595C" w:themeColor="accent6" w:themeShade="BF"/>
          <w:sz w:val="14"/>
        </w:rPr>
        <w:t>Source: Deloitte Access Economics, using AEDC data.</w:t>
      </w:r>
      <w:r w:rsidR="006616D7" w:rsidRPr="00DB54A4">
        <w:rPr>
          <w:rStyle w:val="FootnoteReference"/>
          <w:iCs/>
          <w:color w:val="57595C" w:themeColor="accent6" w:themeShade="BF"/>
          <w:sz w:val="14"/>
        </w:rPr>
        <w:footnoteReference w:id="102"/>
      </w:r>
      <w:r w:rsidRPr="00DB54A4">
        <w:rPr>
          <w:iCs/>
          <w:color w:val="57595C" w:themeColor="accent6" w:themeShade="BF"/>
          <w:sz w:val="14"/>
        </w:rPr>
        <w:t xml:space="preserve"> </w:t>
      </w:r>
    </w:p>
    <w:p w14:paraId="574DB741" w14:textId="54489095" w:rsidR="00192FF9" w:rsidRDefault="00192FF9" w:rsidP="00192FF9">
      <w:r w:rsidRPr="002B1E86">
        <w:t xml:space="preserve">CCCFR regions </w:t>
      </w:r>
      <w:r>
        <w:t xml:space="preserve">in the following regions have </w:t>
      </w:r>
      <w:r w:rsidRPr="002B1E86">
        <w:t>experience</w:t>
      </w:r>
      <w:r>
        <w:t>d</w:t>
      </w:r>
      <w:r w:rsidRPr="002B1E86">
        <w:t xml:space="preserve"> the greatest improvements in preschool participation relative to like regions</w:t>
      </w:r>
      <w:r>
        <w:t>:</w:t>
      </w:r>
      <w:r w:rsidR="00DA0F51">
        <w:t xml:space="preserve"> </w:t>
      </w:r>
    </w:p>
    <w:p w14:paraId="1BB104DB" w14:textId="77777777" w:rsidR="00B0031F" w:rsidRDefault="00192FF9" w:rsidP="00192FF9">
      <w:pPr>
        <w:pStyle w:val="ListBullet"/>
      </w:pPr>
      <w:r>
        <w:t xml:space="preserve">CCCFR regions in Queensland, Northern Territory, Tasmania, and South Australia. </w:t>
      </w:r>
    </w:p>
    <w:p w14:paraId="5B7C2781" w14:textId="5A8782C7" w:rsidR="00192FF9" w:rsidRDefault="00192FF9" w:rsidP="00DA0F51">
      <w:pPr>
        <w:pStyle w:val="ListBullet"/>
        <w:numPr>
          <w:ilvl w:val="1"/>
          <w:numId w:val="2"/>
        </w:numPr>
      </w:pPr>
      <w:r>
        <w:t>In contrast, preschool participation in CCCFR regions in NSW and Western Australia grew at slower rates compared to like regions.</w:t>
      </w:r>
    </w:p>
    <w:p w14:paraId="413141B5" w14:textId="77777777" w:rsidR="00DA0F51" w:rsidRDefault="00192FF9" w:rsidP="002A0332">
      <w:pPr>
        <w:pStyle w:val="ListBullet"/>
      </w:pPr>
      <w:r>
        <w:t xml:space="preserve">CCCFR regions in relatively more advantaged areas (SEIFA deciles 5 to 10). </w:t>
      </w:r>
    </w:p>
    <w:p w14:paraId="47FADD9E" w14:textId="69C18C53" w:rsidR="008C6EE3" w:rsidRDefault="00192FF9" w:rsidP="00DA0F51">
      <w:pPr>
        <w:pStyle w:val="ListBullet"/>
        <w:numPr>
          <w:ilvl w:val="1"/>
          <w:numId w:val="2"/>
        </w:numPr>
      </w:pPr>
      <w:r>
        <w:t>In contrast, the improvement in preschool participation relative to like regions was relatively more modest in disadvantaged areas.</w:t>
      </w:r>
    </w:p>
    <w:p w14:paraId="70EB1594" w14:textId="77777777" w:rsidR="0073372A" w:rsidRDefault="0073372A" w:rsidP="00DA0F51">
      <w:pPr>
        <w:pStyle w:val="ListBullet"/>
        <w:numPr>
          <w:ilvl w:val="0"/>
          <w:numId w:val="0"/>
        </w:numPr>
        <w:spacing w:after="170"/>
        <w:ind w:left="340" w:hanging="340"/>
      </w:pPr>
    </w:p>
    <w:p w14:paraId="73D1E55D" w14:textId="787664A1" w:rsidR="0006536D" w:rsidRDefault="0006536D" w:rsidP="00DA0F51">
      <w:pPr>
        <w:pStyle w:val="ListBullet"/>
        <w:numPr>
          <w:ilvl w:val="0"/>
          <w:numId w:val="0"/>
        </w:numPr>
        <w:spacing w:after="170"/>
        <w:ind w:left="340" w:hanging="340"/>
      </w:pPr>
      <w:r>
        <w:t xml:space="preserve">Given the nature of the available data, causality cannot be established </w:t>
      </w:r>
      <w:r w:rsidR="0025723D">
        <w:t xml:space="preserve">(see </w:t>
      </w:r>
      <w:r>
        <w:fldChar w:fldCharType="begin"/>
      </w:r>
      <w:r>
        <w:instrText xml:space="preserve"> REF _Ref158904825 \r \h  \* MERGEFORMAT </w:instrText>
      </w:r>
      <w:r>
        <w:fldChar w:fldCharType="separate"/>
      </w:r>
      <w:r w:rsidR="00D300D0">
        <w:t>Appendix K</w:t>
      </w:r>
      <w:r>
        <w:fldChar w:fldCharType="end"/>
      </w:r>
      <w:r w:rsidR="0025723D">
        <w:t>).</w:t>
      </w:r>
      <w:r w:rsidR="002E497C">
        <w:t xml:space="preserve"> </w:t>
      </w:r>
    </w:p>
    <w:p w14:paraId="57B4E93A" w14:textId="56D1B388" w:rsidR="00192FF9" w:rsidRPr="008C6EE3" w:rsidRDefault="00192FF9" w:rsidP="00192FF9">
      <w:pPr>
        <w:pStyle w:val="CaptionChart"/>
      </w:pPr>
      <w:bookmarkStart w:id="266" w:name="_Toc158997933"/>
      <w:bookmarkStart w:id="267" w:name="_Toc167130552"/>
      <w:r w:rsidRPr="008C6EE3">
        <w:lastRenderedPageBreak/>
        <w:t xml:space="preserve">: Difference in preschool participation rate growth for CCCFR and like regions in 2015-2021 in the YBFS, </w:t>
      </w:r>
      <w:bookmarkEnd w:id="266"/>
      <w:r w:rsidRPr="008C6EE3">
        <w:t>by region</w:t>
      </w:r>
      <w:r w:rsidR="004A1CD3">
        <w:t xml:space="preserve"> type</w:t>
      </w:r>
      <w:bookmarkEnd w:id="267"/>
    </w:p>
    <w:p w14:paraId="33F1408F" w14:textId="19C5BDF9" w:rsidR="00AC4472" w:rsidRPr="00AC4472" w:rsidRDefault="001F6373" w:rsidP="00AC4472">
      <w:r w:rsidRPr="001F6373">
        <w:rPr>
          <w:noProof/>
        </w:rPr>
        <w:drawing>
          <wp:inline distT="0" distB="0" distL="0" distR="0" wp14:anchorId="0E0419F4" wp14:editId="6DBF1DA5">
            <wp:extent cx="4837814" cy="3951949"/>
            <wp:effectExtent l="0" t="0" r="0" b="0"/>
            <wp:docPr id="1489793630" name="Picture 1489793630" descr="Bar chart which highlights rates of preschool participation across regions of different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30" name="Picture 1489793630" descr="Bar chart which highlights rates of preschool participation across regions of different characteristics."/>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4030" b="3479"/>
                    <a:stretch/>
                  </pic:blipFill>
                  <pic:spPr bwMode="auto">
                    <a:xfrm>
                      <a:off x="0" y="0"/>
                      <a:ext cx="4842695" cy="3955936"/>
                    </a:xfrm>
                    <a:prstGeom prst="rect">
                      <a:avLst/>
                    </a:prstGeom>
                    <a:noFill/>
                    <a:ln>
                      <a:noFill/>
                    </a:ln>
                    <a:extLst>
                      <a:ext uri="{53640926-AAD7-44D8-BBD7-CCE9431645EC}">
                        <a14:shadowObscured xmlns:a14="http://schemas.microsoft.com/office/drawing/2010/main"/>
                      </a:ext>
                    </a:extLst>
                  </pic:spPr>
                </pic:pic>
              </a:graphicData>
            </a:graphic>
          </wp:inline>
        </w:drawing>
      </w:r>
    </w:p>
    <w:p w14:paraId="6B187216" w14:textId="77777777" w:rsidR="00192FF9" w:rsidRPr="001A7E2E" w:rsidRDefault="00192FF9" w:rsidP="00192FF9">
      <w:pPr>
        <w:spacing w:before="170"/>
        <w:rPr>
          <w:color w:val="57595C" w:themeColor="accent6" w:themeShade="BF"/>
          <w:sz w:val="14"/>
        </w:rPr>
      </w:pPr>
      <w:r w:rsidRPr="001A7E2E">
        <w:rPr>
          <w:iCs/>
          <w:color w:val="57595C" w:themeColor="accent6" w:themeShade="BF"/>
          <w:sz w:val="14"/>
        </w:rPr>
        <w:t xml:space="preserve">Source: Deloitte Access Economics, using AEDC data. CCCFR reliance defined as CCCFR enrolments as a share of total population (aged 0-6) in the SA2. </w:t>
      </w:r>
    </w:p>
    <w:p w14:paraId="23DDAB1B" w14:textId="77777777" w:rsidR="00192FF9" w:rsidRPr="00C20587" w:rsidRDefault="00192FF9" w:rsidP="00192FF9">
      <w:pPr>
        <w:spacing w:before="170"/>
      </w:pPr>
      <w:r w:rsidRPr="00C20587">
        <w:t>While t</w:t>
      </w:r>
      <w:r>
        <w:t xml:space="preserve">he analysis provides some indications that preschool participation has improved at a faster rate in regions with CCCFR services compared to similar regions without CCCFR services, the observed difference cannot be attributed to the presence of CCCFR services. Other potential factors that could be driving the change could include the actions of non-CCCFR services in those regions or other policy changes (not related to CCCFR) that have increased preschool participation in those specific regions. </w:t>
      </w:r>
    </w:p>
    <w:p w14:paraId="09FA010E" w14:textId="77777777" w:rsidR="00192FF9" w:rsidRDefault="00192FF9" w:rsidP="008D459A">
      <w:pPr>
        <w:pStyle w:val="Heading3"/>
        <w:spacing w:after="170"/>
      </w:pPr>
      <w:r>
        <w:t>Early childhood development outcomes</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92FF9" w14:paraId="70E39F2C" w14:textId="77777777" w:rsidTr="00AC138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4936E675" w14:textId="3110CAF8" w:rsidR="00192FF9" w:rsidRPr="009E424E" w:rsidRDefault="00192FF9">
            <w:pPr>
              <w:spacing w:after="120"/>
              <w:rPr>
                <w:b/>
              </w:rPr>
            </w:pPr>
            <w:r w:rsidRPr="009E424E">
              <w:rPr>
                <w:b/>
              </w:rPr>
              <w:t xml:space="preserve">Review finding </w:t>
            </w:r>
            <w:r w:rsidR="00700CA7">
              <w:rPr>
                <w:b/>
              </w:rPr>
              <w:t>4</w:t>
            </w:r>
          </w:p>
          <w:p w14:paraId="16E88283" w14:textId="698B0F56" w:rsidR="00192FF9" w:rsidRPr="00E2000B" w:rsidRDefault="00D81EBD" w:rsidP="00E2000B">
            <w:pPr>
              <w:pStyle w:val="Contacttext"/>
              <w:spacing w:before="120" w:after="120"/>
            </w:pPr>
            <w:r w:rsidRPr="00D81EBD">
              <w:t>The evidence on the impact of the CCCFR grant on child developmental outcomes results is mixed. Remote areas, and areas with high Aboriginal and Torres Strait Islander populations saw the most consistent improvements in child developmental outcomes compared to other areas. In contrast, the trends were less consistent in regional and metropolitan areas, and areas with relatively lower concentrations of Aboriginal and Torres Strait Islander children.</w:t>
            </w:r>
          </w:p>
        </w:tc>
      </w:tr>
    </w:tbl>
    <w:p w14:paraId="675E550A" w14:textId="77777777" w:rsidR="00192FF9" w:rsidRDefault="00192FF9" w:rsidP="00192FF9">
      <w:pPr>
        <w:spacing w:before="170"/>
        <w:rPr>
          <w:b/>
        </w:rPr>
      </w:pPr>
      <w:r w:rsidRPr="00C81B54">
        <w:rPr>
          <w:b/>
        </w:rPr>
        <w:t xml:space="preserve">Supporting evidence for this finding is drawn from </w:t>
      </w:r>
      <w:r>
        <w:rPr>
          <w:b/>
        </w:rPr>
        <w:t xml:space="preserve">AEDC data, relying on a combination of publicly available sources and analysis undertaken using the data. </w:t>
      </w:r>
    </w:p>
    <w:p w14:paraId="422AEBB4" w14:textId="2BF2FFEB" w:rsidR="00BC26DA" w:rsidRPr="00083238" w:rsidRDefault="00BC26DA" w:rsidP="00BC26DA">
      <w:pPr>
        <w:rPr>
          <w:i/>
          <w:iCs/>
        </w:rPr>
      </w:pPr>
      <w:r w:rsidRPr="00BC26DA">
        <w:rPr>
          <w:i/>
          <w:iCs/>
        </w:rPr>
        <w:t>Note that the content in this section is under embargo pending review by AEDC and is not to be shared beyond the Department.</w:t>
      </w:r>
    </w:p>
    <w:p w14:paraId="4E818A66" w14:textId="11B3ECEB" w:rsidR="00192FF9" w:rsidRDefault="00192FF9" w:rsidP="00192FF9">
      <w:r>
        <w:t xml:space="preserve">In SA2s with CCCFR services, the proportion of children developmentally vulnerable on one or more domains has increased by 0.7 percentage points from 2015 to 2021. Over the same period, </w:t>
      </w:r>
      <w:r>
        <w:lastRenderedPageBreak/>
        <w:t>the proportion of children developmentally vulnerable on two or more domains has decreased by 0.2 percentage points (</w:t>
      </w:r>
      <w:r w:rsidR="001220AF" w:rsidRPr="00F60E23">
        <w:fldChar w:fldCharType="begin"/>
      </w:r>
      <w:r w:rsidR="001220AF" w:rsidRPr="00F60E23">
        <w:instrText xml:space="preserve"> REF _Ref153376375 \r \h </w:instrText>
      </w:r>
      <w:r w:rsidR="00030B5F" w:rsidRPr="00F60E23">
        <w:instrText xml:space="preserve"> \* MERGEFORMAT </w:instrText>
      </w:r>
      <w:r w:rsidR="001220AF" w:rsidRPr="00F60E23">
        <w:fldChar w:fldCharType="separate"/>
      </w:r>
      <w:r w:rsidR="00D300D0">
        <w:t>Chart 5.11</w:t>
      </w:r>
      <w:r w:rsidR="001220AF" w:rsidRPr="00F60E23">
        <w:fldChar w:fldCharType="end"/>
      </w:r>
      <w:r w:rsidRPr="00F60E23">
        <w:t>).</w:t>
      </w:r>
    </w:p>
    <w:p w14:paraId="5AA73CCD" w14:textId="77777777" w:rsidR="00192FF9" w:rsidRPr="00F60E23" w:rsidRDefault="00192FF9" w:rsidP="00192FF9">
      <w:pPr>
        <w:pStyle w:val="CaptionChart"/>
      </w:pPr>
      <w:bookmarkStart w:id="268" w:name="_Ref153376375"/>
      <w:bookmarkStart w:id="269" w:name="_Toc158997934"/>
      <w:bookmarkStart w:id="270" w:name="_Toc167130553"/>
      <w:r w:rsidRPr="00F60E23">
        <w:t>: Proportion of children developmentally vulnerable in SA2s with CCCFR services</w:t>
      </w:r>
      <w:bookmarkEnd w:id="268"/>
      <w:bookmarkEnd w:id="269"/>
      <w:bookmarkEnd w:id="270"/>
      <w:r w:rsidRPr="00F60E23">
        <w:t xml:space="preserve"> </w:t>
      </w:r>
    </w:p>
    <w:p w14:paraId="5CD464D4" w14:textId="5D0DE714" w:rsidR="00192FF9" w:rsidRDefault="00252C04" w:rsidP="00192FF9">
      <w:r w:rsidRPr="00252C04">
        <w:rPr>
          <w:noProof/>
        </w:rPr>
        <w:drawing>
          <wp:inline distT="0" distB="0" distL="0" distR="0" wp14:anchorId="606B294C" wp14:editId="0DDDF2BD">
            <wp:extent cx="5041900" cy="2470150"/>
            <wp:effectExtent l="0" t="0" r="0" b="0"/>
            <wp:docPr id="21" name="Picture 21" descr="Bar chart showing the proportion of children in SA2s with CCCFR services who are (1) developmentally vulnerable on one or more AEDC domains and (2)  developmentally vulnerable on two or more AEDC domains, from 2012 t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ar chart showing the proportion of children in SA2s with CCCFR services who are (1) developmentally vulnerable on one or more AEDC domains and (2)  developmentally vulnerable on two or more AEDC domains, from 2012 to 202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41900" cy="2470150"/>
                    </a:xfrm>
                    <a:prstGeom prst="rect">
                      <a:avLst/>
                    </a:prstGeom>
                    <a:noFill/>
                    <a:ln>
                      <a:noFill/>
                    </a:ln>
                  </pic:spPr>
                </pic:pic>
              </a:graphicData>
            </a:graphic>
          </wp:inline>
        </w:drawing>
      </w:r>
    </w:p>
    <w:p w14:paraId="5B2D097B" w14:textId="5638A1A8" w:rsidR="00192FF9" w:rsidRPr="002B5516" w:rsidRDefault="00192FF9" w:rsidP="00192FF9">
      <w:pPr>
        <w:spacing w:before="170"/>
        <w:rPr>
          <w:color w:val="57595C" w:themeColor="accent6" w:themeShade="BF"/>
          <w:sz w:val="14"/>
          <w:vertAlign w:val="superscript"/>
        </w:rPr>
      </w:pPr>
      <w:r w:rsidRPr="002B5516">
        <w:rPr>
          <w:iCs/>
          <w:color w:val="57595C" w:themeColor="accent6" w:themeShade="BF"/>
          <w:sz w:val="14"/>
        </w:rPr>
        <w:t>Source: Deloitte Access Economics</w:t>
      </w:r>
      <w:r w:rsidR="00D81BCA" w:rsidRPr="002B5516">
        <w:rPr>
          <w:iCs/>
          <w:color w:val="57595C" w:themeColor="accent6" w:themeShade="BF"/>
          <w:sz w:val="14"/>
        </w:rPr>
        <w:t xml:space="preserve"> (2024)</w:t>
      </w:r>
      <w:r w:rsidRPr="002B5516">
        <w:rPr>
          <w:iCs/>
          <w:color w:val="57595C" w:themeColor="accent6" w:themeShade="BF"/>
          <w:sz w:val="14"/>
        </w:rPr>
        <w:t>, using AEDC data</w:t>
      </w:r>
      <w:r w:rsidR="00D81BCA" w:rsidRPr="002B5516">
        <w:rPr>
          <w:iCs/>
          <w:color w:val="57595C" w:themeColor="accent6" w:themeShade="BF"/>
          <w:sz w:val="14"/>
        </w:rPr>
        <w:t xml:space="preserve"> (2021)</w:t>
      </w:r>
      <w:r w:rsidRPr="002B5516">
        <w:rPr>
          <w:iCs/>
          <w:color w:val="57595C" w:themeColor="accent6" w:themeShade="BF"/>
          <w:sz w:val="14"/>
        </w:rPr>
        <w:t xml:space="preserve">. </w:t>
      </w:r>
    </w:p>
    <w:p w14:paraId="69D1A62C" w14:textId="682DA05D" w:rsidR="00192FF9" w:rsidRPr="006F1E39" w:rsidRDefault="00192FF9" w:rsidP="00192FF9">
      <w:pPr>
        <w:spacing w:before="170"/>
      </w:pPr>
      <w:r>
        <w:t>The proportion of Aboriginal and Torres Strait Islander children in Indigenous Areas with CCCFR services developmentally vulnerable on one or more domains have increased by 1.3 percentage points (</w:t>
      </w:r>
      <w:r w:rsidR="009C0FF5" w:rsidRPr="00BD4781">
        <w:fldChar w:fldCharType="begin"/>
      </w:r>
      <w:r w:rsidR="009C0FF5" w:rsidRPr="00030B5F">
        <w:rPr>
          <w:highlight w:val="yellow"/>
        </w:rPr>
        <w:instrText xml:space="preserve"> REF _Ref153376393 \r \h </w:instrText>
      </w:r>
      <w:r w:rsidR="00193494" w:rsidRPr="00030B5F">
        <w:rPr>
          <w:highlight w:val="yellow"/>
        </w:rPr>
        <w:instrText xml:space="preserve"> \* MERGEFORMAT </w:instrText>
      </w:r>
      <w:r w:rsidR="009C0FF5" w:rsidRPr="00BD4781">
        <w:fldChar w:fldCharType="separate"/>
      </w:r>
      <w:r w:rsidR="00D300D0" w:rsidRPr="00D300D0">
        <w:t>Chart 5.12</w:t>
      </w:r>
      <w:r w:rsidR="009C0FF5" w:rsidRPr="00BD4781">
        <w:fldChar w:fldCharType="end"/>
      </w:r>
      <w:r w:rsidRPr="00BD4781">
        <w:t>)</w:t>
      </w:r>
      <w:r>
        <w:t xml:space="preserve"> from 2015 to 2021.</w:t>
      </w:r>
    </w:p>
    <w:p w14:paraId="0E50AF1E" w14:textId="7FB6D903" w:rsidR="00192FF9" w:rsidRPr="00AB4D5F" w:rsidRDefault="00192FF9" w:rsidP="00AB4D5F">
      <w:pPr>
        <w:pStyle w:val="CaptionChart"/>
      </w:pPr>
      <w:bookmarkStart w:id="271" w:name="_Ref153376393"/>
      <w:bookmarkStart w:id="272" w:name="_Toc158997935"/>
      <w:bookmarkStart w:id="273" w:name="_Toc167130554"/>
      <w:r w:rsidRPr="00BD4781">
        <w:t>: Proportion of Aboriginal children developmentally vulnerable in Indigenous Areas with CCCFR services</w:t>
      </w:r>
      <w:bookmarkEnd w:id="271"/>
      <w:bookmarkEnd w:id="272"/>
      <w:bookmarkEnd w:id="273"/>
      <w:r w:rsidRPr="00BD4781">
        <w:t xml:space="preserve"> </w:t>
      </w:r>
    </w:p>
    <w:p w14:paraId="485AC1ED" w14:textId="39097443" w:rsidR="00192FF9" w:rsidRPr="002B5516" w:rsidRDefault="00AB4D5F" w:rsidP="00192FF9">
      <w:pPr>
        <w:spacing w:before="170"/>
        <w:rPr>
          <w:iCs/>
          <w:color w:val="57595C" w:themeColor="accent6" w:themeShade="BF"/>
          <w:sz w:val="14"/>
        </w:rPr>
      </w:pPr>
      <w:r w:rsidRPr="00252C04">
        <w:rPr>
          <w:noProof/>
        </w:rPr>
        <w:drawing>
          <wp:anchor distT="0" distB="0" distL="114300" distR="114300" simplePos="0" relativeHeight="251686400" behindDoc="0" locked="0" layoutInCell="1" allowOverlap="1" wp14:anchorId="661248F2" wp14:editId="3AAB34C7">
            <wp:simplePos x="0" y="0"/>
            <wp:positionH relativeFrom="column">
              <wp:posOffset>19050</wp:posOffset>
            </wp:positionH>
            <wp:positionV relativeFrom="paragraph">
              <wp:posOffset>2212340</wp:posOffset>
            </wp:positionV>
            <wp:extent cx="5041900" cy="488950"/>
            <wp:effectExtent l="0" t="0" r="0" b="0"/>
            <wp:wrapTopAndBottom/>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80206"/>
                    <a:stretch/>
                  </pic:blipFill>
                  <pic:spPr bwMode="auto">
                    <a:xfrm>
                      <a:off x="0" y="0"/>
                      <a:ext cx="5041900" cy="488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2FF9">
        <w:rPr>
          <w:iCs/>
          <w:noProof/>
          <w:color w:val="75787B" w:themeColor="accent6"/>
          <w:sz w:val="14"/>
        </w:rPr>
        <w:drawing>
          <wp:inline distT="0" distB="0" distL="0" distR="0" wp14:anchorId="38D338C6" wp14:editId="57E41B64">
            <wp:extent cx="4572635" cy="2190750"/>
            <wp:effectExtent l="0" t="0" r="0" b="0"/>
            <wp:docPr id="19" name="Picture 19" descr="Bar graph showing the proportion of Aboriginal children identified as developmentally vulnerable in Indigenous Areas, across one or two AEDC domains. The graph includes data for 2012, 2015, 2018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ar graph showing the proportion of Aboriginal children identified as developmentally vulnerable in Indigenous Areas, across one or two AEDC domains. The graph includes data for 2012, 2015, 2018 and 2021."/>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b="11266"/>
                    <a:stretch/>
                  </pic:blipFill>
                  <pic:spPr bwMode="auto">
                    <a:xfrm>
                      <a:off x="0" y="0"/>
                      <a:ext cx="4572635" cy="2190750"/>
                    </a:xfrm>
                    <a:prstGeom prst="rect">
                      <a:avLst/>
                    </a:prstGeom>
                    <a:noFill/>
                    <a:ln>
                      <a:noFill/>
                    </a:ln>
                    <a:extLst>
                      <a:ext uri="{53640926-AAD7-44D8-BBD7-CCE9431645EC}">
                        <a14:shadowObscured xmlns:a14="http://schemas.microsoft.com/office/drawing/2010/main"/>
                      </a:ext>
                    </a:extLst>
                  </pic:spPr>
                </pic:pic>
              </a:graphicData>
            </a:graphic>
          </wp:inline>
        </w:drawing>
      </w:r>
    </w:p>
    <w:p w14:paraId="5CCE8B7F" w14:textId="24B03D34" w:rsidR="00192FF9" w:rsidRPr="002B5516" w:rsidRDefault="00192FF9" w:rsidP="00192FF9">
      <w:pPr>
        <w:spacing w:before="170"/>
        <w:rPr>
          <w:color w:val="57595C" w:themeColor="accent6" w:themeShade="BF"/>
          <w:sz w:val="14"/>
          <w:vertAlign w:val="superscript"/>
        </w:rPr>
      </w:pPr>
      <w:r w:rsidRPr="002B5516">
        <w:rPr>
          <w:iCs/>
          <w:color w:val="57595C" w:themeColor="accent6" w:themeShade="BF"/>
          <w:sz w:val="14"/>
        </w:rPr>
        <w:t xml:space="preserve">Source: Deloitte Access Economics, using publicly available AEDC data from Public Health Information Development Unit, Torrens University Australia. </w:t>
      </w:r>
      <w:r w:rsidR="004172FE" w:rsidRPr="002B5516">
        <w:rPr>
          <w:iCs/>
          <w:color w:val="57595C" w:themeColor="accent6" w:themeShade="BF"/>
          <w:sz w:val="14"/>
        </w:rPr>
        <w:t>Indigenous Areas are medium sized geographic areas built from whole Indigenous Locations. There are 431 Indigenous Areas covering the whole of Australia without gaps or overlaps.</w:t>
      </w:r>
    </w:p>
    <w:p w14:paraId="59B61014" w14:textId="7BBB8AF7" w:rsidR="00BC26DA" w:rsidRPr="00083238" w:rsidRDefault="00BC26DA" w:rsidP="00BC26DA">
      <w:pPr>
        <w:rPr>
          <w:i/>
          <w:iCs/>
        </w:rPr>
      </w:pPr>
      <w:r w:rsidRPr="00BC26DA">
        <w:rPr>
          <w:i/>
          <w:iCs/>
        </w:rPr>
        <w:t>Note that the content in this section is under embargo pending review by AEDC and is not to be shared beyond the Department .</w:t>
      </w:r>
    </w:p>
    <w:p w14:paraId="62F25F3F" w14:textId="4BD30C54" w:rsidR="00192FF9" w:rsidRDefault="00192FF9" w:rsidP="00192FF9">
      <w:r>
        <w:t>When comparing CCCFR regions with like regions, the evidence on child developmental outcome has been relatively mixed. 47</w:t>
      </w:r>
      <w:r w:rsidR="007F4CE1">
        <w:t xml:space="preserve"> per cent</w:t>
      </w:r>
      <w:r>
        <w:t xml:space="preserve"> of CCCFR regions saw an improvement in the proportion of children vulnerable in one or more domains compared to non-CCCFR regions within the same SA3. </w:t>
      </w:r>
      <w:r>
        <w:lastRenderedPageBreak/>
        <w:t>This increases to 50</w:t>
      </w:r>
      <w:r w:rsidR="007F4CE1">
        <w:t xml:space="preserve"> per cent</w:t>
      </w:r>
      <w:r>
        <w:t xml:space="preserve"> when considering the proportion of children vulnerable on two or more domains </w:t>
      </w:r>
      <w:r w:rsidRPr="00BD4781">
        <w:t>(</w:t>
      </w:r>
      <w:r w:rsidR="00B2775D" w:rsidRPr="00BD4781">
        <w:fldChar w:fldCharType="begin"/>
      </w:r>
      <w:r w:rsidR="00B2775D" w:rsidRPr="00030B5F">
        <w:rPr>
          <w:highlight w:val="yellow"/>
        </w:rPr>
        <w:instrText xml:space="preserve"> REF _Ref153376406 \r \h </w:instrText>
      </w:r>
      <w:r w:rsidR="00030B5F">
        <w:rPr>
          <w:highlight w:val="yellow"/>
        </w:rPr>
        <w:instrText xml:space="preserve"> \* MERGEFORMAT </w:instrText>
      </w:r>
      <w:r w:rsidR="00B2775D" w:rsidRPr="00BD4781">
        <w:fldChar w:fldCharType="separate"/>
      </w:r>
      <w:r w:rsidR="00D300D0" w:rsidRPr="00D300D0">
        <w:t>Chart 5.13</w:t>
      </w:r>
      <w:r w:rsidR="00B2775D" w:rsidRPr="00BD4781">
        <w:fldChar w:fldCharType="end"/>
      </w:r>
      <w:r w:rsidRPr="00BD4781">
        <w:t>).</w:t>
      </w:r>
    </w:p>
    <w:p w14:paraId="073CE8EE" w14:textId="77777777" w:rsidR="00192FF9" w:rsidRPr="00BD4781" w:rsidRDefault="00192FF9" w:rsidP="00192FF9">
      <w:pPr>
        <w:pStyle w:val="CaptionChart"/>
      </w:pPr>
      <w:bookmarkStart w:id="274" w:name="_Ref153376406"/>
      <w:bookmarkStart w:id="275" w:name="_Toc158997936"/>
      <w:bookmarkStart w:id="276" w:name="_Toc167130555"/>
      <w:r w:rsidRPr="00BD4781">
        <w:t>: Difference in improvements in child developmental outcomes for CCCFR and like regions, 2015-2021</w:t>
      </w:r>
      <w:bookmarkEnd w:id="274"/>
      <w:bookmarkEnd w:id="275"/>
      <w:bookmarkEnd w:id="276"/>
    </w:p>
    <w:p w14:paraId="46C09B4C" w14:textId="277232A3" w:rsidR="00192FF9" w:rsidRDefault="00256274" w:rsidP="00F4035C">
      <w:pPr>
        <w:spacing w:after="0"/>
      </w:pPr>
      <w:r w:rsidRPr="00256274">
        <w:rPr>
          <w:noProof/>
        </w:rPr>
        <w:drawing>
          <wp:inline distT="0" distB="0" distL="0" distR="0" wp14:anchorId="4643D109" wp14:editId="5CB14F1A">
            <wp:extent cx="4705350" cy="2787650"/>
            <wp:effectExtent l="0" t="0" r="0" b="0"/>
            <wp:docPr id="38" name="Picture 38" descr="Bar chart that shows the difference in improvements in child developmental outcomes for CCCFR and like regions, for 2015-2021, based on AEDC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Bar chart that shows the difference in improvements in child developmental outcomes for CCCFR and like regions, for 2015-2021, based on AEDC data"/>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05350" cy="2787650"/>
                    </a:xfrm>
                    <a:prstGeom prst="rect">
                      <a:avLst/>
                    </a:prstGeom>
                    <a:noFill/>
                    <a:ln>
                      <a:noFill/>
                    </a:ln>
                  </pic:spPr>
                </pic:pic>
              </a:graphicData>
            </a:graphic>
          </wp:inline>
        </w:drawing>
      </w:r>
    </w:p>
    <w:p w14:paraId="66128C39" w14:textId="77777777" w:rsidR="00192FF9" w:rsidRDefault="00192FF9" w:rsidP="00192FF9">
      <w:r w:rsidRPr="002B5516">
        <w:rPr>
          <w:iCs/>
          <w:color w:val="57595C" w:themeColor="accent6" w:themeShade="BF"/>
          <w:sz w:val="14"/>
        </w:rPr>
        <w:t>Source: Deloitte Access Economics, using AEDC data.</w:t>
      </w:r>
    </w:p>
    <w:p w14:paraId="709A49D6" w14:textId="04C824E9" w:rsidR="00192FF9" w:rsidRDefault="00192FF9" w:rsidP="00192FF9">
      <w:r>
        <w:t xml:space="preserve">On average, CCCFR regions in remote Australia, in areas with SEIFA deciles 3-4, South Australia and in areas with a relatively higher share of Aboriginal and Torres Strait Islander population saw more consistent improvements in child developmental outcomes compared to similar regions </w:t>
      </w:r>
      <w:r w:rsidRPr="007F7A51">
        <w:t>(</w:t>
      </w:r>
      <w:r w:rsidR="007F7A51" w:rsidRPr="007F7A51">
        <w:fldChar w:fldCharType="begin"/>
      </w:r>
      <w:r w:rsidR="007F7A51" w:rsidRPr="007F7A51">
        <w:instrText xml:space="preserve"> REF _Ref158979522 \r \h </w:instrText>
      </w:r>
      <w:r w:rsidR="007F7A51">
        <w:instrText xml:space="preserve"> \* MERGEFORMAT </w:instrText>
      </w:r>
      <w:r w:rsidR="007F7A51" w:rsidRPr="007F7A51">
        <w:fldChar w:fldCharType="separate"/>
      </w:r>
      <w:r w:rsidR="00D300D0">
        <w:t>Chart 5.14</w:t>
      </w:r>
      <w:r w:rsidR="007F7A51" w:rsidRPr="007F7A51">
        <w:fldChar w:fldCharType="end"/>
      </w:r>
      <w:r w:rsidRPr="007F7A51">
        <w:t>).</w:t>
      </w:r>
    </w:p>
    <w:p w14:paraId="6A0F7C7E" w14:textId="77777777" w:rsidR="00192FF9" w:rsidRDefault="00192FF9" w:rsidP="00192FF9">
      <w:r>
        <w:t>In contrast, CCCFR regions in major cities, regional Australia, Western Australia and the most advantaged areas were more likely to decline in child developmental outcomes compared to like regions.</w:t>
      </w:r>
    </w:p>
    <w:p w14:paraId="6F27E163" w14:textId="32E54BC7" w:rsidR="00192FF9" w:rsidRDefault="00192FF9" w:rsidP="00192FF9">
      <w:r>
        <w:t>The</w:t>
      </w:r>
      <w:r w:rsidR="00C07A20">
        <w:t>re</w:t>
      </w:r>
      <w:r>
        <w:t xml:space="preserve"> does not appear to be a correlation between CCCFR regions that have seen greater improvements in preschool attendance, and CCCFR regions that have seen greater improvements in child development outcomes, relative to similar regions. </w:t>
      </w:r>
    </w:p>
    <w:p w14:paraId="67FE7738" w14:textId="77777777" w:rsidR="00192FF9" w:rsidRPr="007F7A51" w:rsidRDefault="00192FF9" w:rsidP="00192FF9">
      <w:pPr>
        <w:pStyle w:val="CaptionChart"/>
      </w:pPr>
      <w:bookmarkStart w:id="277" w:name="_Ref158979522"/>
      <w:bookmarkStart w:id="278" w:name="_Toc158997937"/>
      <w:bookmarkStart w:id="279" w:name="_Toc167130556"/>
      <w:r w:rsidRPr="007F7A51">
        <w:lastRenderedPageBreak/>
        <w:t>: Difference in improvements in child developmental outcomes for CCCFR and like regions, by region</w:t>
      </w:r>
      <w:bookmarkEnd w:id="277"/>
      <w:bookmarkEnd w:id="278"/>
      <w:bookmarkEnd w:id="279"/>
    </w:p>
    <w:p w14:paraId="38E9467D" w14:textId="296DEE78" w:rsidR="00192FF9" w:rsidRDefault="006718AC" w:rsidP="00A64234">
      <w:pPr>
        <w:spacing w:after="0"/>
      </w:pPr>
      <w:r w:rsidRPr="006718AC">
        <w:rPr>
          <w:noProof/>
        </w:rPr>
        <w:drawing>
          <wp:inline distT="0" distB="0" distL="0" distR="0" wp14:anchorId="3CF374A4" wp14:editId="500FDEDD">
            <wp:extent cx="5347970" cy="5018405"/>
            <wp:effectExtent l="0" t="0" r="0" b="0"/>
            <wp:docPr id="50" name="Picture 50" descr="Chart that shows the difference in improvements in child developmental outcomes for CCCFR and like regions, by region, using AEDC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that shows the difference in improvements in child developmental outcomes for CCCFR and like regions, by region, using AEDC data"/>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47970" cy="5018405"/>
                    </a:xfrm>
                    <a:prstGeom prst="rect">
                      <a:avLst/>
                    </a:prstGeom>
                    <a:noFill/>
                    <a:ln>
                      <a:noFill/>
                    </a:ln>
                  </pic:spPr>
                </pic:pic>
              </a:graphicData>
            </a:graphic>
          </wp:inline>
        </w:drawing>
      </w:r>
    </w:p>
    <w:p w14:paraId="66DF4F28" w14:textId="77777777" w:rsidR="00192FF9" w:rsidRPr="002B5516" w:rsidRDefault="00192FF9" w:rsidP="00192FF9">
      <w:pPr>
        <w:rPr>
          <w:iCs/>
          <w:color w:val="57595C" w:themeColor="accent6" w:themeShade="BF"/>
          <w:sz w:val="14"/>
        </w:rPr>
      </w:pPr>
      <w:r w:rsidRPr="002B5516">
        <w:rPr>
          <w:iCs/>
          <w:color w:val="57595C" w:themeColor="accent6" w:themeShade="BF"/>
          <w:sz w:val="14"/>
        </w:rPr>
        <w:t>Source: Deloitte Access Economics, using AEDC data. CCCFR reliance defined as CCCFR enrolments as a share of total population (aged 0-6) in the SA2.</w:t>
      </w:r>
    </w:p>
    <w:p w14:paraId="1FECAB97" w14:textId="77777777" w:rsidR="00192FF9" w:rsidRDefault="00192FF9" w:rsidP="00192FF9">
      <w:pPr>
        <w:spacing w:before="170"/>
      </w:pPr>
      <w:r>
        <w:t xml:space="preserve">The above analysis provides some indications of trends in child developmental outcomes in CCCFR regions compared to similar regions without CCCFR services. However, given the nature of the data, it is not possible to understand the extent to which CCCFR services have played a role in driving these outcomes. </w:t>
      </w:r>
    </w:p>
    <w:p w14:paraId="557F9593" w14:textId="77777777" w:rsidR="00192FF9" w:rsidRPr="00A67BE2" w:rsidRDefault="00192FF9" w:rsidP="00EC7B5E">
      <w:pPr>
        <w:pStyle w:val="Heading3"/>
        <w:spacing w:after="170"/>
      </w:pPr>
      <w:r>
        <w:t>Workforce participation outcomes</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92FF9" w14:paraId="545F96F1" w14:textId="77777777" w:rsidTr="00AC138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2029E3A6" w14:textId="3130EEF1" w:rsidR="00192FF9" w:rsidRPr="009E424E" w:rsidRDefault="00192FF9">
            <w:pPr>
              <w:spacing w:after="120"/>
              <w:rPr>
                <w:b/>
                <w:bCs/>
              </w:rPr>
            </w:pPr>
            <w:r w:rsidRPr="009E424E">
              <w:rPr>
                <w:b/>
                <w:bCs/>
              </w:rPr>
              <w:t xml:space="preserve">Review finding </w:t>
            </w:r>
            <w:r w:rsidR="00834FCB">
              <w:rPr>
                <w:b/>
                <w:bCs/>
              </w:rPr>
              <w:t>5</w:t>
            </w:r>
          </w:p>
          <w:p w14:paraId="170921BA" w14:textId="0FFDCA73" w:rsidR="00192FF9" w:rsidRPr="00077E82" w:rsidRDefault="00192FF9" w:rsidP="00077E82">
            <w:pPr>
              <w:pStyle w:val="Contacttext"/>
              <w:spacing w:before="120" w:after="120"/>
            </w:pPr>
            <w:r>
              <w:t xml:space="preserve">Primary carer employment rates and hours worked have increased at a faster rate in CCCFR regions compared to like regions. These improvements are driven by regions in metropolitan and remote Australia. </w:t>
            </w:r>
          </w:p>
        </w:tc>
      </w:tr>
    </w:tbl>
    <w:p w14:paraId="722E7922" w14:textId="77777777" w:rsidR="00192FF9" w:rsidRDefault="00192FF9" w:rsidP="00192FF9">
      <w:pPr>
        <w:spacing w:before="170"/>
        <w:rPr>
          <w:b/>
          <w:bCs/>
        </w:rPr>
      </w:pPr>
      <w:r w:rsidRPr="00C81B54">
        <w:rPr>
          <w:b/>
          <w:bCs/>
        </w:rPr>
        <w:t xml:space="preserve">Supporting evidence for this finding is drawn from </w:t>
      </w:r>
      <w:r>
        <w:rPr>
          <w:b/>
          <w:bCs/>
        </w:rPr>
        <w:t>ABS Census of Population and Housing data</w:t>
      </w:r>
      <w:r w:rsidRPr="00C81B54">
        <w:rPr>
          <w:b/>
          <w:bCs/>
        </w:rPr>
        <w:t>.</w:t>
      </w:r>
    </w:p>
    <w:p w14:paraId="7BEA0888" w14:textId="5408D1F3" w:rsidR="00192FF9" w:rsidRDefault="00192FF9" w:rsidP="00192FF9">
      <w:r>
        <w:lastRenderedPageBreak/>
        <w:t xml:space="preserve">Regions </w:t>
      </w:r>
      <w:r w:rsidRPr="00A37C4E">
        <w:t xml:space="preserve">with CCCFR services have seen greater improvements in </w:t>
      </w:r>
      <w:r>
        <w:t>primary carer</w:t>
      </w:r>
      <w:r w:rsidRPr="00A37C4E">
        <w:t xml:space="preserve"> workforce participation compared to neighbouring SA2s without CCCFR services</w:t>
      </w:r>
      <w:r>
        <w:t xml:space="preserve"> from 2016 to 2021</w:t>
      </w:r>
      <w:r w:rsidRPr="00A37C4E">
        <w:t>.</w:t>
      </w:r>
      <w:r w:rsidR="00077E82">
        <w:rPr>
          <w:rStyle w:val="FootnoteReference"/>
        </w:rPr>
        <w:footnoteReference w:id="103"/>
      </w:r>
      <w:r>
        <w:t xml:space="preserve"> This includes both:</w:t>
      </w:r>
      <w:r w:rsidR="00077E82" w:rsidRPr="00077E82">
        <w:rPr>
          <w:rStyle w:val="FootnoteReference"/>
        </w:rPr>
        <w:t xml:space="preserve"> </w:t>
      </w:r>
    </w:p>
    <w:p w14:paraId="5C563AEC" w14:textId="10E0862D" w:rsidR="00192FF9" w:rsidRDefault="00C2662B" w:rsidP="00192FF9">
      <w:pPr>
        <w:pStyle w:val="ListBullet"/>
      </w:pPr>
      <w:r>
        <w:t>i</w:t>
      </w:r>
      <w:r w:rsidR="00192FF9">
        <w:t>ncreased rates of employment among primary carers, representing an additional 0.5 percentage point decrease in the unemployment rate</w:t>
      </w:r>
    </w:p>
    <w:p w14:paraId="731F50C4" w14:textId="10881855" w:rsidR="00192FF9" w:rsidRDefault="00C2662B" w:rsidP="00192FF9">
      <w:pPr>
        <w:pStyle w:val="ListBullet"/>
        <w:spacing w:after="170"/>
      </w:pPr>
      <w:r>
        <w:t>in</w:t>
      </w:r>
      <w:r w:rsidR="00192FF9">
        <w:t>creased hours worked for primary carers who are employed, representing an additional nine hours per annum.</w:t>
      </w:r>
    </w:p>
    <w:p w14:paraId="136A51A9" w14:textId="6B1A317C" w:rsidR="00192FF9" w:rsidRDefault="00192FF9" w:rsidP="00192FF9">
      <w:r>
        <w:t xml:space="preserve">The workforce participation outcomes by region are summarised in </w:t>
      </w:r>
      <w:r w:rsidR="00772FC2" w:rsidRPr="007F7A51">
        <w:fldChar w:fldCharType="begin"/>
      </w:r>
      <w:r w:rsidR="00772FC2" w:rsidRPr="007F7A51">
        <w:instrText xml:space="preserve"> REF _Ref158708838 \r \h </w:instrText>
      </w:r>
      <w:r w:rsidR="0035146A" w:rsidRPr="007F7A51">
        <w:instrText xml:space="preserve"> \* MERGEFORMAT </w:instrText>
      </w:r>
      <w:r w:rsidR="00772FC2" w:rsidRPr="007F7A51">
        <w:fldChar w:fldCharType="separate"/>
      </w:r>
      <w:r w:rsidR="00D300D0">
        <w:t>Chart 5.15</w:t>
      </w:r>
      <w:r w:rsidR="00772FC2" w:rsidRPr="007F7A51">
        <w:fldChar w:fldCharType="end"/>
      </w:r>
      <w:r w:rsidRPr="007F7A51">
        <w:t>.</w:t>
      </w:r>
      <w:r>
        <w:t xml:space="preserve"> Results are presented in terms of standard deviations to compare across different units.</w:t>
      </w:r>
    </w:p>
    <w:p w14:paraId="70CB8DF1" w14:textId="77777777" w:rsidR="00192FF9" w:rsidRPr="007F7A51" w:rsidRDefault="00192FF9" w:rsidP="00192FF9">
      <w:pPr>
        <w:pStyle w:val="CaptionChart"/>
      </w:pPr>
      <w:bookmarkStart w:id="280" w:name="_Ref158708838"/>
      <w:bookmarkStart w:id="281" w:name="_Toc158997938"/>
      <w:bookmarkStart w:id="282" w:name="_Toc167130557"/>
      <w:r w:rsidRPr="007F7A51">
        <w:t>: Difference in parental workforce participation outcomes for CCCFR and like regions, by regionality</w:t>
      </w:r>
      <w:bookmarkEnd w:id="280"/>
      <w:bookmarkEnd w:id="281"/>
      <w:bookmarkEnd w:id="282"/>
    </w:p>
    <w:p w14:paraId="20974288" w14:textId="70215612" w:rsidR="00192FF9" w:rsidRDefault="007C02BA" w:rsidP="00192FF9">
      <w:r w:rsidRPr="007C02BA">
        <w:rPr>
          <w:noProof/>
        </w:rPr>
        <w:drawing>
          <wp:inline distT="0" distB="0" distL="0" distR="0" wp14:anchorId="17234C82" wp14:editId="4562189B">
            <wp:extent cx="4514850" cy="2714232"/>
            <wp:effectExtent l="0" t="0" r="0" b="0"/>
            <wp:docPr id="1489793634" name="Picture 1489793634" descr="Chart showing the difference in parental workforce participation outcomes for regions with CCCFR services, by region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34" name="Picture 1489793634" descr="Chart showing the difference in parental workforce participation outcomes for regions with CCCFR services, by regionality. "/>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16026" cy="2714939"/>
                    </a:xfrm>
                    <a:prstGeom prst="rect">
                      <a:avLst/>
                    </a:prstGeom>
                    <a:noFill/>
                    <a:ln>
                      <a:noFill/>
                    </a:ln>
                  </pic:spPr>
                </pic:pic>
              </a:graphicData>
            </a:graphic>
          </wp:inline>
        </w:drawing>
      </w:r>
    </w:p>
    <w:p w14:paraId="50371C10" w14:textId="77777777" w:rsidR="00192FF9" w:rsidRPr="002B5516" w:rsidRDefault="00192FF9" w:rsidP="00192FF9">
      <w:pPr>
        <w:rPr>
          <w:iCs/>
          <w:color w:val="57595C" w:themeColor="accent6" w:themeShade="BF"/>
          <w:sz w:val="14"/>
        </w:rPr>
      </w:pPr>
      <w:r w:rsidRPr="002B5516">
        <w:rPr>
          <w:iCs/>
          <w:color w:val="57595C" w:themeColor="accent6" w:themeShade="BF"/>
          <w:sz w:val="14"/>
        </w:rPr>
        <w:t>Source: Deloitte Access Economics, using ABS Census data.</w:t>
      </w:r>
    </w:p>
    <w:p w14:paraId="690A6F4B" w14:textId="47E0CB99" w:rsidR="00192FF9" w:rsidRDefault="00192FF9" w:rsidP="00192FF9">
      <w:r>
        <w:t xml:space="preserve">Given the nature of the data, it is not possible to observe whether the improvements in parental workforce participation were from families using CCCFR services. Datasets that link ABS Census data on employment status and child care usage by service – such as through </w:t>
      </w:r>
      <w:r w:rsidRPr="00000FB1">
        <w:t xml:space="preserve">Person Level Integrated Data Asset </w:t>
      </w:r>
      <w:r>
        <w:t xml:space="preserve">– would be required to establish a causal relationship between the CCCFR grant and workforce participation. </w:t>
      </w:r>
    </w:p>
    <w:p w14:paraId="5B19E308" w14:textId="10FEE286" w:rsidR="00411A90" w:rsidRDefault="00A319EE" w:rsidP="0026165B">
      <w:pPr>
        <w:pStyle w:val="Heading2"/>
        <w:spacing w:after="240"/>
      </w:pPr>
      <w:bookmarkStart w:id="283" w:name="_Toc158993760"/>
      <w:bookmarkStart w:id="284" w:name="_Toc170227407"/>
      <w:r>
        <w:t>Awareness and understanding</w:t>
      </w:r>
      <w:bookmarkEnd w:id="235"/>
      <w:bookmarkEnd w:id="283"/>
      <w:bookmarkEnd w:id="284"/>
    </w:p>
    <w:tbl>
      <w:tblPr>
        <w:tblStyle w:val="TableGrid"/>
        <w:tblW w:w="0" w:type="auto"/>
        <w:tblInd w:w="97" w:type="dxa"/>
        <w:shd w:val="clear" w:color="auto" w:fill="DFF0F9" w:themeFill="accent3" w:themeFillTint="33"/>
        <w:tblCellMar>
          <w:top w:w="85" w:type="dxa"/>
          <w:left w:w="227" w:type="dxa"/>
          <w:bottom w:w="85" w:type="dxa"/>
          <w:right w:w="113" w:type="dxa"/>
        </w:tblCellMar>
        <w:tblLook w:val="04A0" w:firstRow="1" w:lastRow="0" w:firstColumn="1" w:lastColumn="0" w:noHBand="0" w:noVBand="1"/>
      </w:tblPr>
      <w:tblGrid>
        <w:gridCol w:w="8809"/>
      </w:tblGrid>
      <w:tr w:rsidR="009574AC" w:rsidRPr="00BD1248" w14:paraId="114E2996" w14:textId="77777777" w:rsidTr="00B4745B">
        <w:trPr>
          <w:cnfStyle w:val="100000000000" w:firstRow="1" w:lastRow="0" w:firstColumn="0" w:lastColumn="0" w:oddVBand="0" w:evenVBand="0" w:oddHBand="0" w:evenHBand="0" w:firstRowFirstColumn="0" w:firstRowLastColumn="0" w:lastRowFirstColumn="0" w:lastRowLastColumn="0"/>
          <w:cantSplit/>
        </w:trPr>
        <w:tc>
          <w:tcPr>
            <w:tcW w:w="8809" w:type="dxa"/>
            <w:shd w:val="clear" w:color="auto" w:fill="DFF0F9" w:themeFill="accent3" w:themeFillTint="33"/>
          </w:tcPr>
          <w:p w14:paraId="28AC9E33" w14:textId="209DCAD1" w:rsidR="009574AC" w:rsidRDefault="009574AC">
            <w:pPr>
              <w:spacing w:after="120"/>
              <w:rPr>
                <w:b/>
                <w:bCs/>
                <w:i/>
                <w:iCs/>
              </w:rPr>
            </w:pPr>
            <w:r w:rsidRPr="00B95090">
              <w:rPr>
                <w:b/>
                <w:bCs/>
                <w:i/>
                <w:iCs/>
              </w:rPr>
              <w:t>Key research questio</w:t>
            </w:r>
            <w:r>
              <w:rPr>
                <w:b/>
                <w:bCs/>
                <w:i/>
                <w:iCs/>
              </w:rPr>
              <w:t>n</w:t>
            </w:r>
          </w:p>
          <w:p w14:paraId="35D6ECFB" w14:textId="15F84114" w:rsidR="009574AC" w:rsidRPr="009574AC" w:rsidRDefault="009574AC" w:rsidP="009574AC">
            <w:r w:rsidRPr="00B95090">
              <w:rPr>
                <w:i/>
                <w:iCs/>
              </w:rPr>
              <w:t>To what extent are the CCCFR grant’s objectives and intent understood by relevant stakeholders, including governments, services, families, and the broader community?</w:t>
            </w:r>
          </w:p>
        </w:tc>
      </w:tr>
    </w:tbl>
    <w:p w14:paraId="67279952" w14:textId="77777777" w:rsidR="007F7A51" w:rsidRPr="007F7A51" w:rsidRDefault="007F7A51" w:rsidP="007F7A51"/>
    <w:tbl>
      <w:tblPr>
        <w:tblStyle w:val="TableGrid"/>
        <w:tblW w:w="0" w:type="auto"/>
        <w:tblInd w:w="60" w:type="dxa"/>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8966"/>
      </w:tblGrid>
      <w:tr w:rsidR="00A02AF5" w14:paraId="3FB9F9D4" w14:textId="77777777" w:rsidTr="00AC1387">
        <w:trPr>
          <w:cnfStyle w:val="100000000000" w:firstRow="1" w:lastRow="0" w:firstColumn="0" w:lastColumn="0" w:oddVBand="0" w:evenVBand="0" w:oddHBand="0" w:evenHBand="0" w:firstRowFirstColumn="0" w:firstRowLastColumn="0" w:lastRowFirstColumn="0" w:lastRowLastColumn="0"/>
          <w:cantSplit/>
        </w:trPr>
        <w:tc>
          <w:tcPr>
            <w:tcW w:w="8966" w:type="dxa"/>
            <w:shd w:val="clear" w:color="auto" w:fill="E7F5CF" w:themeFill="accent1" w:themeFillTint="33"/>
          </w:tcPr>
          <w:p w14:paraId="2B3804FB" w14:textId="3D3CCD53" w:rsidR="00B95090" w:rsidRPr="009E424E" w:rsidRDefault="00B95090">
            <w:pPr>
              <w:spacing w:after="120"/>
              <w:rPr>
                <w:b/>
                <w:bCs/>
              </w:rPr>
            </w:pPr>
            <w:bookmarkStart w:id="285" w:name="_Hlk152918690"/>
            <w:r w:rsidRPr="009E424E">
              <w:rPr>
                <w:b/>
                <w:bCs/>
              </w:rPr>
              <w:t xml:space="preserve">Review finding </w:t>
            </w:r>
            <w:r w:rsidR="00141886">
              <w:rPr>
                <w:b/>
                <w:bCs/>
              </w:rPr>
              <w:t>6</w:t>
            </w:r>
          </w:p>
          <w:p w14:paraId="1F23E94D" w14:textId="15A00407" w:rsidR="007F6FEC" w:rsidRPr="00FE33A0" w:rsidRDefault="005D1CAB" w:rsidP="00FE33A0">
            <w:pPr>
              <w:spacing w:before="120" w:after="120"/>
            </w:pPr>
            <w:r>
              <w:t xml:space="preserve">Relevant stakeholders </w:t>
            </w:r>
            <w:r w:rsidR="00983BBD">
              <w:t xml:space="preserve">have limited </w:t>
            </w:r>
            <w:r w:rsidR="008B4892">
              <w:t>understanding</w:t>
            </w:r>
            <w:r w:rsidR="00983BBD">
              <w:t xml:space="preserve"> of the stated objectives of the CCCFR</w:t>
            </w:r>
            <w:r w:rsidR="00702E02">
              <w:t xml:space="preserve"> grant</w:t>
            </w:r>
            <w:r w:rsidR="00C25185">
              <w:t>,</w:t>
            </w:r>
            <w:r w:rsidR="00350EF3">
              <w:t xml:space="preserve"> </w:t>
            </w:r>
            <w:r w:rsidR="008A7C04">
              <w:t xml:space="preserve">due to </w:t>
            </w:r>
            <w:r w:rsidR="001A5F14">
              <w:t xml:space="preserve">lack of clarity </w:t>
            </w:r>
            <w:r w:rsidR="00E34CF1">
              <w:t>around the grant’s intention</w:t>
            </w:r>
            <w:r w:rsidR="00F5768B">
              <w:t xml:space="preserve">. This has affected the ability to communicate the grant’s objectives </w:t>
            </w:r>
            <w:r w:rsidR="00ED2648">
              <w:t>effectively</w:t>
            </w:r>
            <w:r w:rsidR="00F5768B">
              <w:t>.</w:t>
            </w:r>
            <w:r w:rsidR="002E497C">
              <w:t xml:space="preserve"> </w:t>
            </w:r>
            <w:bookmarkEnd w:id="285"/>
          </w:p>
        </w:tc>
      </w:tr>
    </w:tbl>
    <w:p w14:paraId="7640BD97" w14:textId="58949A4F" w:rsidR="00570F20" w:rsidRDefault="00570F20" w:rsidP="00C81B54">
      <w:pPr>
        <w:spacing w:before="170"/>
        <w:rPr>
          <w:b/>
          <w:bCs/>
        </w:rPr>
      </w:pPr>
      <w:r w:rsidRPr="00C81B54">
        <w:rPr>
          <w:b/>
          <w:bCs/>
        </w:rPr>
        <w:lastRenderedPageBreak/>
        <w:t>Supporting evidence</w:t>
      </w:r>
      <w:r w:rsidR="009C2E97" w:rsidRPr="00C81B54">
        <w:rPr>
          <w:b/>
          <w:bCs/>
        </w:rPr>
        <w:t xml:space="preserve"> </w:t>
      </w:r>
      <w:r w:rsidR="004B210D" w:rsidRPr="00C81B54">
        <w:rPr>
          <w:b/>
          <w:bCs/>
        </w:rPr>
        <w:t xml:space="preserve">for this finding is </w:t>
      </w:r>
      <w:r w:rsidR="0016474B" w:rsidRPr="00C81B54">
        <w:rPr>
          <w:b/>
          <w:bCs/>
        </w:rPr>
        <w:t xml:space="preserve">drawn from </w:t>
      </w:r>
      <w:r w:rsidR="00D84568" w:rsidRPr="00C81B54">
        <w:rPr>
          <w:b/>
          <w:bCs/>
        </w:rPr>
        <w:t xml:space="preserve">consultations </w:t>
      </w:r>
      <w:r w:rsidR="009921BC">
        <w:rPr>
          <w:b/>
          <w:bCs/>
        </w:rPr>
        <w:t>and document review</w:t>
      </w:r>
      <w:r w:rsidR="00C81B54" w:rsidRPr="00C81B54">
        <w:rPr>
          <w:b/>
          <w:bCs/>
        </w:rPr>
        <w:t>.</w:t>
      </w:r>
    </w:p>
    <w:p w14:paraId="7027BB30" w14:textId="25A132AF" w:rsidR="00D71592" w:rsidRDefault="001966DC" w:rsidP="00ED2648">
      <w:pPr>
        <w:pStyle w:val="Contacttext"/>
        <w:spacing w:before="170" w:after="170"/>
      </w:pPr>
      <w:r>
        <w:t>The stated objectives of the CCCFR grant are</w:t>
      </w:r>
      <w:r w:rsidR="00BB7261">
        <w:t xml:space="preserve"> to</w:t>
      </w:r>
      <w:r>
        <w:t>:</w:t>
      </w:r>
    </w:p>
    <w:p w14:paraId="6F0C82A6" w14:textId="24E28F77" w:rsidR="00D37897" w:rsidRDefault="003E41C9" w:rsidP="00B70738">
      <w:pPr>
        <w:pStyle w:val="ListBullet"/>
      </w:pPr>
      <w:r>
        <w:t>i</w:t>
      </w:r>
      <w:r w:rsidR="00D37897">
        <w:t>mprove early childhood development outcomes for vulnerable and disadvantaged children</w:t>
      </w:r>
    </w:p>
    <w:p w14:paraId="41A11BA2" w14:textId="6C0F1072" w:rsidR="001966DC" w:rsidRDefault="003E41C9" w:rsidP="00B70738">
      <w:pPr>
        <w:pStyle w:val="ListBullet"/>
      </w:pPr>
      <w:r>
        <w:t>i</w:t>
      </w:r>
      <w:r w:rsidR="00D37897">
        <w:t>ncrease workforce participation by vulnerable and disadvantaged families.</w:t>
      </w:r>
    </w:p>
    <w:p w14:paraId="02430FF6" w14:textId="1DFCDF7A" w:rsidR="00D37897" w:rsidRDefault="006C5A0E" w:rsidP="00D37897">
      <w:pPr>
        <w:pStyle w:val="Contacttext"/>
        <w:spacing w:before="170" w:after="170"/>
        <w:rPr>
          <w:i/>
          <w:iCs/>
        </w:rPr>
      </w:pPr>
      <w:r>
        <w:rPr>
          <w:i/>
          <w:iCs/>
        </w:rPr>
        <w:t xml:space="preserve">See section </w:t>
      </w:r>
      <w:r w:rsidR="005C117C">
        <w:rPr>
          <w:i/>
          <w:iCs/>
        </w:rPr>
        <w:fldChar w:fldCharType="begin"/>
      </w:r>
      <w:r w:rsidR="005C117C">
        <w:rPr>
          <w:i/>
          <w:iCs/>
        </w:rPr>
        <w:instrText xml:space="preserve"> REF _Ref152656447 \r \h </w:instrText>
      </w:r>
      <w:r w:rsidR="005C117C">
        <w:rPr>
          <w:i/>
          <w:iCs/>
        </w:rPr>
      </w:r>
      <w:r w:rsidR="005C117C">
        <w:rPr>
          <w:i/>
          <w:iCs/>
        </w:rPr>
        <w:fldChar w:fldCharType="separate"/>
      </w:r>
      <w:r w:rsidR="00D300D0">
        <w:rPr>
          <w:i/>
          <w:iCs/>
        </w:rPr>
        <w:t>2.2</w:t>
      </w:r>
      <w:r w:rsidR="005C117C">
        <w:rPr>
          <w:i/>
          <w:iCs/>
        </w:rPr>
        <w:fldChar w:fldCharType="end"/>
      </w:r>
      <w:r w:rsidR="005C117C">
        <w:rPr>
          <w:i/>
          <w:iCs/>
        </w:rPr>
        <w:t xml:space="preserve"> for more detail on the CCCFR </w:t>
      </w:r>
      <w:r w:rsidR="00130771">
        <w:rPr>
          <w:i/>
          <w:iCs/>
        </w:rPr>
        <w:t>g</w:t>
      </w:r>
      <w:r w:rsidR="005C117C">
        <w:rPr>
          <w:i/>
          <w:iCs/>
        </w:rPr>
        <w:t xml:space="preserve">rant’s objectives and intent. </w:t>
      </w:r>
    </w:p>
    <w:p w14:paraId="4540F9AA" w14:textId="7891A4CB" w:rsidR="00445113" w:rsidRPr="00AB48C8" w:rsidRDefault="00B70738" w:rsidP="00D37897">
      <w:pPr>
        <w:pStyle w:val="Contacttext"/>
        <w:spacing w:before="170" w:after="170"/>
      </w:pPr>
      <w:r>
        <w:t>The relationship between the two identified objectives is a</w:t>
      </w:r>
      <w:r w:rsidR="00B8504E">
        <w:t xml:space="preserve"> source of misunderstanding on the CCCFR grant objectives. </w:t>
      </w:r>
      <w:r w:rsidR="00AB48C8">
        <w:t xml:space="preserve">Some stakeholders </w:t>
      </w:r>
      <w:r w:rsidR="00727F37">
        <w:t>see</w:t>
      </w:r>
      <w:r w:rsidR="00AB48C8">
        <w:t xml:space="preserve"> these as </w:t>
      </w:r>
      <w:r w:rsidR="00AB48C8">
        <w:rPr>
          <w:i/>
          <w:iCs/>
        </w:rPr>
        <w:t xml:space="preserve">parallel </w:t>
      </w:r>
      <w:r w:rsidR="00AB48C8">
        <w:t xml:space="preserve">objectives </w:t>
      </w:r>
      <w:r w:rsidR="00C4017D">
        <w:t>i.e.</w:t>
      </w:r>
      <w:r w:rsidR="00A27DD3">
        <w:t>,</w:t>
      </w:r>
      <w:r w:rsidR="00C4017D">
        <w:t xml:space="preserve"> the CCCFR grant pursues these both equally and simultaneously. </w:t>
      </w:r>
      <w:r w:rsidR="00727F37">
        <w:t>Others perceive that the</w:t>
      </w:r>
      <w:r w:rsidR="00936CAD">
        <w:t xml:space="preserve"> objectives</w:t>
      </w:r>
      <w:r w:rsidR="00727F37">
        <w:t xml:space="preserve"> are </w:t>
      </w:r>
      <w:r w:rsidR="00A27DD3">
        <w:t xml:space="preserve">contingent on each other, </w:t>
      </w:r>
      <w:r w:rsidR="00E15BA7">
        <w:t xml:space="preserve">linking the two objectives </w:t>
      </w:r>
      <w:r w:rsidR="00936CAD">
        <w:t>by interpreting</w:t>
      </w:r>
      <w:r w:rsidR="007229BF">
        <w:t xml:space="preserve"> that</w:t>
      </w:r>
      <w:r w:rsidR="00E15BA7">
        <w:t xml:space="preserve"> children of working parents</w:t>
      </w:r>
      <w:r w:rsidR="007229BF">
        <w:t xml:space="preserve"> are the focus of the CCCFR grant, as opposed to all children who may be experiencing vulnerability and disadvantage. This view </w:t>
      </w:r>
      <w:r w:rsidR="006B3ECE">
        <w:t>was closely linked to policy design features such as the activity test and gap fees, which strengthen</w:t>
      </w:r>
      <w:r w:rsidR="002A5456">
        <w:t>ed</w:t>
      </w:r>
      <w:r w:rsidR="006B3ECE">
        <w:t xml:space="preserve"> th</w:t>
      </w:r>
      <w:r w:rsidR="003A3654">
        <w:t>is interpretation.</w:t>
      </w:r>
    </w:p>
    <w:p w14:paraId="305F0110" w14:textId="485ABEB3" w:rsidR="00E846A6" w:rsidRDefault="003A3654" w:rsidP="00D37897">
      <w:pPr>
        <w:pStyle w:val="Contacttext"/>
        <w:spacing w:before="170" w:after="170"/>
      </w:pPr>
      <w:r>
        <w:t>In addition</w:t>
      </w:r>
      <w:r w:rsidR="00D42F3E">
        <w:t xml:space="preserve">, the review </w:t>
      </w:r>
      <w:r w:rsidR="00C311C0">
        <w:t>found</w:t>
      </w:r>
      <w:r w:rsidR="00D42F3E">
        <w:t xml:space="preserve"> that </w:t>
      </w:r>
      <w:r w:rsidR="00BF68B5">
        <w:t xml:space="preserve">relevant stakeholders are likely to identify </w:t>
      </w:r>
      <w:r w:rsidR="007F59A1">
        <w:t>a variety of additional</w:t>
      </w:r>
      <w:r w:rsidR="00154E57">
        <w:t xml:space="preserve"> intentions </w:t>
      </w:r>
      <w:r w:rsidR="00535B71">
        <w:t>associated with the CCCFR grant. These intentions</w:t>
      </w:r>
      <w:r w:rsidR="00130771">
        <w:t>, while not explicitly included in the stated objectives, are often rooted in the CCCFR grant’s history</w:t>
      </w:r>
      <w:r w:rsidR="004710CF">
        <w:t xml:space="preserve">, or aligned to other </w:t>
      </w:r>
      <w:r w:rsidR="003627B2">
        <w:t xml:space="preserve">government policy. </w:t>
      </w:r>
    </w:p>
    <w:p w14:paraId="084B2B0F" w14:textId="3FA33CBF" w:rsidR="00361791" w:rsidRDefault="00EC4D14" w:rsidP="00D37897">
      <w:pPr>
        <w:pStyle w:val="Contacttext"/>
        <w:spacing w:before="170" w:after="170"/>
      </w:pPr>
      <w:r>
        <w:t>B</w:t>
      </w:r>
      <w:r w:rsidR="00182713">
        <w:t>roader stakeholders, consider</w:t>
      </w:r>
      <w:r w:rsidR="00361791">
        <w:t>ing</w:t>
      </w:r>
      <w:r w:rsidR="00182713">
        <w:t xml:space="preserve"> the grant at a macro level, </w:t>
      </w:r>
      <w:r w:rsidR="003810DC">
        <w:t>variously understand</w:t>
      </w:r>
      <w:r w:rsidR="00BF572A">
        <w:t xml:space="preserve"> the CCCFR grant as</w:t>
      </w:r>
      <w:r w:rsidR="00361791">
        <w:t>:</w:t>
      </w:r>
    </w:p>
    <w:p w14:paraId="67304872" w14:textId="5C651857" w:rsidR="00361791" w:rsidRDefault="003810DC" w:rsidP="00361791">
      <w:pPr>
        <w:pStyle w:val="ListBullet"/>
      </w:pPr>
      <w:r>
        <w:t>a</w:t>
      </w:r>
      <w:r w:rsidR="00BF572A">
        <w:t xml:space="preserve"> mechanism to support </w:t>
      </w:r>
      <w:r w:rsidR="00EF555E">
        <w:t xml:space="preserve">Aboriginal and Torres Strait Islander </w:t>
      </w:r>
      <w:r w:rsidR="00BF572A">
        <w:t>participation in child care</w:t>
      </w:r>
    </w:p>
    <w:p w14:paraId="32895695" w14:textId="638E1C38" w:rsidR="00361791" w:rsidRDefault="003810DC" w:rsidP="00361791">
      <w:pPr>
        <w:pStyle w:val="ListBullet"/>
      </w:pPr>
      <w:r>
        <w:t>a</w:t>
      </w:r>
      <w:r w:rsidR="00EF555E">
        <w:t xml:space="preserve"> support to ensure viability of ECEC provision in thin </w:t>
      </w:r>
      <w:r w:rsidR="00285845">
        <w:t>or deficient</w:t>
      </w:r>
      <w:r w:rsidR="00EF555E">
        <w:t xml:space="preserve"> markets</w:t>
      </w:r>
    </w:p>
    <w:p w14:paraId="693A4D80" w14:textId="1524FD62" w:rsidR="00361791" w:rsidRDefault="003810DC" w:rsidP="00361791">
      <w:pPr>
        <w:pStyle w:val="ListBullet"/>
      </w:pPr>
      <w:r>
        <w:t>a</w:t>
      </w:r>
      <w:r w:rsidR="00EF555E">
        <w:t xml:space="preserve"> </w:t>
      </w:r>
      <w:r w:rsidR="00C50978">
        <w:t>vehicle to support delivery in rural, remote</w:t>
      </w:r>
      <w:r w:rsidR="00285845">
        <w:t>,</w:t>
      </w:r>
      <w:r w:rsidR="00C50978">
        <w:t xml:space="preserve"> and very remote areas. </w:t>
      </w:r>
    </w:p>
    <w:p w14:paraId="0736D18C" w14:textId="306035CB" w:rsidR="005C117C" w:rsidRDefault="002B617D" w:rsidP="00D37897">
      <w:pPr>
        <w:pStyle w:val="Contacttext"/>
        <w:spacing w:before="170" w:after="170"/>
      </w:pPr>
      <w:r>
        <w:t>The</w:t>
      </w:r>
      <w:r w:rsidR="00C50978">
        <w:t xml:space="preserve"> three </w:t>
      </w:r>
      <w:r w:rsidR="00D10D7B">
        <w:t xml:space="preserve">purposes are </w:t>
      </w:r>
      <w:r w:rsidR="00E44B0F">
        <w:t>distinct</w:t>
      </w:r>
      <w:r w:rsidR="00361791">
        <w:t xml:space="preserve"> and</w:t>
      </w:r>
      <w:r>
        <w:t xml:space="preserve"> related</w:t>
      </w:r>
      <w:r w:rsidR="00022D81">
        <w:t xml:space="preserve">, in that rural and remote areas are more likely to also be considered a thin market for ECEC provision, and </w:t>
      </w:r>
      <w:r w:rsidR="006D22AE">
        <w:t xml:space="preserve">locations with a high proportion of Aboriginal and Torres Strait Islander peoples are more likely to be remote. That is to say, </w:t>
      </w:r>
      <w:r w:rsidR="00D40C05">
        <w:t xml:space="preserve">a CCCFR service may be supporting Aboriginal and Torres Strait Islander participation in child care, in a thin market, in a remote and rural area. Equally, </w:t>
      </w:r>
      <w:r w:rsidR="00141746">
        <w:t xml:space="preserve">only one of these, or none, </w:t>
      </w:r>
      <w:r>
        <w:t xml:space="preserve">may apply to a </w:t>
      </w:r>
      <w:r w:rsidR="00141746">
        <w:t>CCCFR</w:t>
      </w:r>
      <w:r>
        <w:t xml:space="preserve"> service.</w:t>
      </w:r>
      <w:r w:rsidR="006500A3">
        <w:t xml:space="preserve"> </w:t>
      </w:r>
      <w:r w:rsidR="00571C6A">
        <w:t xml:space="preserve">Within these interpretations of the grant’s objectives and intention were </w:t>
      </w:r>
      <w:r w:rsidR="006500A3">
        <w:t xml:space="preserve">varied perspectives on the kinds of support the grant offered, ranging from purely financial to providing additional support </w:t>
      </w:r>
      <w:r w:rsidR="00606D6C">
        <w:t>for services to uplift quality (primarily through regulation)</w:t>
      </w:r>
      <w:r w:rsidR="0093408E">
        <w:t xml:space="preserve">. This likely reflects the </w:t>
      </w:r>
      <w:r w:rsidR="00D71445">
        <w:t xml:space="preserve">identified needs of services and communities, discussed at more length in </w:t>
      </w:r>
      <w:r w:rsidR="00E77A70" w:rsidRPr="00F737A7">
        <w:t>s</w:t>
      </w:r>
      <w:r w:rsidR="00D71445" w:rsidRPr="00F737A7">
        <w:t xml:space="preserve">ection </w:t>
      </w:r>
      <w:r w:rsidR="00D71445" w:rsidRPr="00F737A7">
        <w:fldChar w:fldCharType="begin"/>
      </w:r>
      <w:r w:rsidR="00D71445" w:rsidRPr="00F737A7">
        <w:instrText xml:space="preserve"> REF _Ref152664728 \r \h </w:instrText>
      </w:r>
      <w:r w:rsidR="00974366" w:rsidRPr="00F737A7">
        <w:instrText xml:space="preserve"> \* MERGEFORMAT </w:instrText>
      </w:r>
      <w:r w:rsidR="00D71445" w:rsidRPr="00F737A7">
        <w:fldChar w:fldCharType="separate"/>
      </w:r>
      <w:r w:rsidR="00D300D0">
        <w:t>5.4</w:t>
      </w:r>
      <w:r w:rsidR="00D71445" w:rsidRPr="00F737A7">
        <w:fldChar w:fldCharType="end"/>
      </w:r>
      <w:r w:rsidR="00D71445">
        <w:t xml:space="preserve">. </w:t>
      </w:r>
      <w:r w:rsidR="006E6F80">
        <w:t xml:space="preserve">It </w:t>
      </w:r>
      <w:r w:rsidR="00E77A70">
        <w:t xml:space="preserve">may </w:t>
      </w:r>
      <w:r w:rsidR="006E6F80">
        <w:t xml:space="preserve">also reflect </w:t>
      </w:r>
      <w:r w:rsidR="003D7935">
        <w:t>a</w:t>
      </w:r>
      <w:r w:rsidR="006E6F80">
        <w:t xml:space="preserve"> </w:t>
      </w:r>
      <w:r w:rsidR="004C1851">
        <w:t>perceived</w:t>
      </w:r>
      <w:r w:rsidR="001B0630">
        <w:t xml:space="preserve"> association with the BBF objectives and</w:t>
      </w:r>
      <w:r w:rsidR="003D7935">
        <w:t>/or</w:t>
      </w:r>
      <w:r w:rsidR="001B0630">
        <w:t xml:space="preserve"> the CCCFR expansion objectives. </w:t>
      </w:r>
    </w:p>
    <w:p w14:paraId="12052BE6" w14:textId="0FD16343" w:rsidR="00E013B1" w:rsidRDefault="00E3201A" w:rsidP="00D37897">
      <w:pPr>
        <w:pStyle w:val="Contacttext"/>
        <w:spacing w:before="170" w:after="170"/>
      </w:pPr>
      <w:r>
        <w:t>CCCFR s</w:t>
      </w:r>
      <w:r w:rsidR="000D43BA">
        <w:t xml:space="preserve">ervices and providers </w:t>
      </w:r>
      <w:r w:rsidR="00890B0E">
        <w:t>identif</w:t>
      </w:r>
      <w:r w:rsidR="00B44E62">
        <w:t>y</w:t>
      </w:r>
      <w:r w:rsidR="00890B0E">
        <w:t xml:space="preserve"> additional </w:t>
      </w:r>
      <w:r w:rsidR="00B46899">
        <w:t xml:space="preserve">perceived </w:t>
      </w:r>
      <w:r w:rsidR="00890B0E">
        <w:t>objectives at the service (micro) level</w:t>
      </w:r>
      <w:r w:rsidR="00B46899">
        <w:t xml:space="preserve">. These mostly </w:t>
      </w:r>
      <w:r w:rsidR="006E6F80">
        <w:t xml:space="preserve">correspond to </w:t>
      </w:r>
      <w:r w:rsidR="009A32CE">
        <w:t>two</w:t>
      </w:r>
      <w:r w:rsidR="006E6F80">
        <w:t xml:space="preserve"> of the initial objectives </w:t>
      </w:r>
      <w:r w:rsidR="00994437">
        <w:t xml:space="preserve">communicated to services in the </w:t>
      </w:r>
      <w:r w:rsidR="009845D0">
        <w:t>grant opportunity guidelines in 2017</w:t>
      </w:r>
      <w:r w:rsidR="009A32CE">
        <w:t xml:space="preserve">: </w:t>
      </w:r>
    </w:p>
    <w:p w14:paraId="1A308920" w14:textId="0FB97A8A" w:rsidR="009A32CE" w:rsidRDefault="00BB1B94" w:rsidP="00B70738">
      <w:pPr>
        <w:pStyle w:val="ListBullet"/>
      </w:pPr>
      <w:r>
        <w:t>e</w:t>
      </w:r>
      <w:r w:rsidR="009A32CE">
        <w:t>nsure continuity of child care services during and beyond any period of transition</w:t>
      </w:r>
    </w:p>
    <w:p w14:paraId="5D54BE58" w14:textId="394BE59D" w:rsidR="009A32CE" w:rsidRDefault="00BB1B94" w:rsidP="00B70738">
      <w:pPr>
        <w:pStyle w:val="ListBullet"/>
      </w:pPr>
      <w:r>
        <w:t>s</w:t>
      </w:r>
      <w:r w:rsidR="009A32CE">
        <w:t>upport eligible child care services to build capacity and operate sustainably under the new child care system.</w:t>
      </w:r>
      <w:r w:rsidR="00C46A1D">
        <w:rPr>
          <w:rStyle w:val="FootnoteReference"/>
        </w:rPr>
        <w:footnoteReference w:id="104"/>
      </w:r>
      <w:r w:rsidR="009A32CE">
        <w:t xml:space="preserve"> </w:t>
      </w:r>
    </w:p>
    <w:p w14:paraId="245558AC" w14:textId="77777777" w:rsidR="009A32CE" w:rsidRDefault="009A32CE" w:rsidP="002A0332">
      <w:pPr>
        <w:pStyle w:val="ListBullet"/>
        <w:numPr>
          <w:ilvl w:val="0"/>
          <w:numId w:val="0"/>
        </w:numPr>
        <w:ind w:left="340" w:hanging="340"/>
      </w:pPr>
    </w:p>
    <w:p w14:paraId="45B04BE2" w14:textId="2F14AC21" w:rsidR="008F343C" w:rsidRPr="005C117C" w:rsidRDefault="00861562" w:rsidP="006B0178">
      <w:r>
        <w:t xml:space="preserve">Some </w:t>
      </w:r>
      <w:r w:rsidR="00E3201A">
        <w:t xml:space="preserve">CCCFR </w:t>
      </w:r>
      <w:r>
        <w:t>services fe</w:t>
      </w:r>
      <w:r w:rsidR="00B26CCC">
        <w:t>el</w:t>
      </w:r>
      <w:r>
        <w:t xml:space="preserve"> that there had initially been a </w:t>
      </w:r>
      <w:r w:rsidR="00D36CC5">
        <w:t xml:space="preserve">drive towards </w:t>
      </w:r>
      <w:r w:rsidR="00435EA3">
        <w:t>whole scale transition to the new child care system</w:t>
      </w:r>
      <w:r w:rsidR="000B75AB">
        <w:t xml:space="preserve"> (i.e.</w:t>
      </w:r>
      <w:r w:rsidR="001A26BE">
        <w:t>,</w:t>
      </w:r>
      <w:r w:rsidR="000B75AB">
        <w:t xml:space="preserve"> without </w:t>
      </w:r>
      <w:r w:rsidR="00684732">
        <w:t xml:space="preserve">the </w:t>
      </w:r>
      <w:r w:rsidR="00A22C9B">
        <w:t xml:space="preserve">ongoing support of the </w:t>
      </w:r>
      <w:r w:rsidR="00684732">
        <w:t>CCCFR grant), which ha</w:t>
      </w:r>
      <w:r w:rsidR="00827DC1">
        <w:t>s</w:t>
      </w:r>
      <w:r w:rsidR="00684732">
        <w:t xml:space="preserve"> become less </w:t>
      </w:r>
      <w:r w:rsidR="00C700B9">
        <w:t xml:space="preserve">explicit over time. </w:t>
      </w:r>
      <w:r w:rsidR="00827DC1">
        <w:t>A number of services suggested</w:t>
      </w:r>
      <w:r w:rsidR="00E452A1">
        <w:t xml:space="preserve"> that the CCCFR grant </w:t>
      </w:r>
      <w:r w:rsidR="00643F2A">
        <w:t>focused</w:t>
      </w:r>
      <w:r w:rsidR="00E452A1">
        <w:t xml:space="preserve"> on </w:t>
      </w:r>
      <w:r w:rsidR="00361207">
        <w:t>transitioning</w:t>
      </w:r>
      <w:r w:rsidR="001260B9">
        <w:t xml:space="preserve"> services into not only a mainstream system, but </w:t>
      </w:r>
      <w:r w:rsidR="00933D65">
        <w:t xml:space="preserve">to a service which </w:t>
      </w:r>
      <w:r w:rsidR="000A681E">
        <w:t xml:space="preserve">needs to prioritise financial viability </w:t>
      </w:r>
      <w:r w:rsidR="00057A3B">
        <w:t>to a greater extent</w:t>
      </w:r>
      <w:r w:rsidR="00AF7DDC">
        <w:t xml:space="preserve">, at a cost of deprioritisng child outcomes. </w:t>
      </w:r>
      <w:r w:rsidR="001260B9">
        <w:t xml:space="preserve"> </w:t>
      </w:r>
      <w:r w:rsidR="004F4156">
        <w:t xml:space="preserve"> </w:t>
      </w:r>
      <w:r w:rsidR="006C485D">
        <w:t>.</w:t>
      </w:r>
      <w:r w:rsidR="002E497C">
        <w:t xml:space="preserve"> </w:t>
      </w:r>
      <w:r w:rsidR="00974FCE">
        <w:t xml:space="preserve"> </w:t>
      </w:r>
    </w:p>
    <w:p w14:paraId="1E26E399" w14:textId="6785E982" w:rsidR="006B7644" w:rsidRDefault="00BA0DE3" w:rsidP="006B0178">
      <w:r>
        <w:t>Communit</w:t>
      </w:r>
      <w:r w:rsidR="008048B6">
        <w:t>ies</w:t>
      </w:r>
      <w:r>
        <w:t xml:space="preserve"> and families </w:t>
      </w:r>
      <w:r w:rsidR="00621768">
        <w:t>were not asked about the mechanisms of the CCCFR grant</w:t>
      </w:r>
      <w:r w:rsidR="0031036E">
        <w:t xml:space="preserve">, but about their experiences with the service in their community. </w:t>
      </w:r>
      <w:r w:rsidR="00092DB6">
        <w:t>In general,</w:t>
      </w:r>
      <w:r w:rsidR="002F308B">
        <w:t xml:space="preserve"> communities and families are </w:t>
      </w:r>
      <w:r w:rsidR="002F308B">
        <w:lastRenderedPageBreak/>
        <w:t>not expected to have strong awareness of th</w:t>
      </w:r>
      <w:r w:rsidR="00BD65F0">
        <w:t xml:space="preserve">e funding mechanisms of services. </w:t>
      </w:r>
      <w:r w:rsidR="00092DB6">
        <w:t xml:space="preserve">However, the review finds that </w:t>
      </w:r>
      <w:r w:rsidR="009213A5">
        <w:t>the responsibility to communicate changes during the transition fell largely to service</w:t>
      </w:r>
      <w:r w:rsidR="00EB3975">
        <w:t xml:space="preserve">s, with some support from the Department and PwC. </w:t>
      </w:r>
      <w:r w:rsidR="0037708F">
        <w:t>CCCFR</w:t>
      </w:r>
      <w:r w:rsidR="00B64CC6">
        <w:t xml:space="preserve"> Program Officers report that it</w:t>
      </w:r>
      <w:r w:rsidR="00C8728E">
        <w:t xml:space="preserve"> is likely that </w:t>
      </w:r>
      <w:r w:rsidR="00721FDC">
        <w:t xml:space="preserve">many communities were unaware of </w:t>
      </w:r>
      <w:r w:rsidR="00F22C91">
        <w:t xml:space="preserve">the stated objectives of the CCCFR, </w:t>
      </w:r>
      <w:r w:rsidR="004A051C">
        <w:t>or</w:t>
      </w:r>
      <w:r w:rsidR="0089195C">
        <w:t xml:space="preserve"> the motivati</w:t>
      </w:r>
      <w:r w:rsidR="004A051C">
        <w:t>ng principles</w:t>
      </w:r>
      <w:r w:rsidR="0089195C">
        <w:t xml:space="preserve"> for transition. </w:t>
      </w:r>
    </w:p>
    <w:p w14:paraId="68110569" w14:textId="72A48718" w:rsidR="00BB7261" w:rsidRPr="006B7644" w:rsidRDefault="00BD65F0" w:rsidP="006B0178">
      <w:pPr>
        <w:rPr>
          <w:i/>
          <w:iCs/>
        </w:rPr>
      </w:pPr>
      <w:r w:rsidRPr="006B7644">
        <w:rPr>
          <w:i/>
          <w:iCs/>
        </w:rPr>
        <w:t xml:space="preserve">While families spoke about child development outcomes and workforce participation, this is </w:t>
      </w:r>
      <w:r w:rsidR="00FE60AF" w:rsidRPr="006B7644">
        <w:rPr>
          <w:i/>
          <w:iCs/>
        </w:rPr>
        <w:t xml:space="preserve">discussed in </w:t>
      </w:r>
      <w:r w:rsidR="00BC1445" w:rsidRPr="00F737A7">
        <w:rPr>
          <w:i/>
        </w:rPr>
        <w:t>s</w:t>
      </w:r>
      <w:r w:rsidR="00FE60AF" w:rsidRPr="00F737A7">
        <w:rPr>
          <w:i/>
        </w:rPr>
        <w:t xml:space="preserve">ection </w:t>
      </w:r>
      <w:r w:rsidR="00FE60AF" w:rsidRPr="00F737A7">
        <w:rPr>
          <w:i/>
        </w:rPr>
        <w:fldChar w:fldCharType="begin"/>
      </w:r>
      <w:r w:rsidR="00FE60AF" w:rsidRPr="00F737A7">
        <w:rPr>
          <w:i/>
        </w:rPr>
        <w:instrText xml:space="preserve"> REF _Ref152664728 \r \h </w:instrText>
      </w:r>
      <w:r w:rsidR="006B7644" w:rsidRPr="00F737A7">
        <w:rPr>
          <w:i/>
        </w:rPr>
        <w:instrText xml:space="preserve"> \* MERGEFORMAT </w:instrText>
      </w:r>
      <w:r w:rsidR="00FE60AF" w:rsidRPr="00F737A7">
        <w:rPr>
          <w:i/>
        </w:rPr>
      </w:r>
      <w:r w:rsidR="00FE60AF" w:rsidRPr="00F737A7">
        <w:rPr>
          <w:i/>
        </w:rPr>
        <w:fldChar w:fldCharType="separate"/>
      </w:r>
      <w:r w:rsidR="00D300D0">
        <w:rPr>
          <w:i/>
        </w:rPr>
        <w:t>5.4</w:t>
      </w:r>
      <w:r w:rsidR="00FE60AF" w:rsidRPr="00F737A7">
        <w:rPr>
          <w:i/>
        </w:rPr>
        <w:fldChar w:fldCharType="end"/>
      </w:r>
      <w:r w:rsidR="00FE60AF" w:rsidRPr="00F737A7">
        <w:rPr>
          <w:i/>
        </w:rPr>
        <w:t>.</w:t>
      </w:r>
      <w:r w:rsidR="00FE60AF" w:rsidRPr="006B7644">
        <w:rPr>
          <w:i/>
          <w:iCs/>
        </w:rPr>
        <w:t xml:space="preserve"> </w:t>
      </w:r>
    </w:p>
    <w:p w14:paraId="477A6EA0" w14:textId="0137CF8B" w:rsidR="00116363" w:rsidRDefault="004972F1" w:rsidP="00F10D15">
      <w:r>
        <w:t xml:space="preserve">Documentation around the CCCFR grant’s objectives </w:t>
      </w:r>
      <w:r w:rsidR="00247FA2">
        <w:t xml:space="preserve">indicates further sources of misunderstanding. </w:t>
      </w:r>
      <w:r w:rsidR="00206710">
        <w:t xml:space="preserve">The initial objectives shared with services as part of the grant opportunity guidelines in 2017 are repeated in the </w:t>
      </w:r>
      <w:r w:rsidR="003A6251" w:rsidRPr="003A6251">
        <w:rPr>
          <w:i/>
          <w:iCs/>
        </w:rPr>
        <w:t>Guide for Grant Recipients</w:t>
      </w:r>
      <w:r w:rsidR="003A6251">
        <w:rPr>
          <w:i/>
          <w:iCs/>
        </w:rPr>
        <w:t xml:space="preserve"> </w:t>
      </w:r>
      <w:r w:rsidR="003A6251">
        <w:t xml:space="preserve">(created </w:t>
      </w:r>
      <w:r w:rsidR="003A6251" w:rsidRPr="003A6251">
        <w:t>29 June 2018</w:t>
      </w:r>
      <w:r w:rsidR="003A6251">
        <w:t xml:space="preserve"> and modified </w:t>
      </w:r>
      <w:r w:rsidR="00845808" w:rsidRPr="00845808">
        <w:t>1 August 2022</w:t>
      </w:r>
      <w:r w:rsidR="00845808">
        <w:t>).</w:t>
      </w:r>
      <w:r w:rsidR="00845808">
        <w:rPr>
          <w:rStyle w:val="FootnoteReference"/>
        </w:rPr>
        <w:footnoteReference w:id="105"/>
      </w:r>
      <w:r w:rsidR="00845808">
        <w:t xml:space="preserve"> </w:t>
      </w:r>
      <w:r w:rsidR="00BE0DD8">
        <w:t xml:space="preserve">The guide introduction alludes towards the grant’s generalised intent, stating </w:t>
      </w:r>
      <w:r w:rsidR="00D1147F">
        <w:t>“</w:t>
      </w:r>
      <w:r w:rsidR="00BE0DD8">
        <w:t xml:space="preserve">[the CCCFR grant] supports services to address barriers in child care participation, particularly targeting disadvantaged and vulnerable families and </w:t>
      </w:r>
      <w:r w:rsidR="676D55AF">
        <w:t>communities</w:t>
      </w:r>
      <w:r w:rsidR="00D1147F">
        <w:t>”</w:t>
      </w:r>
      <w:r w:rsidR="676D55AF">
        <w:t>.</w:t>
      </w:r>
      <w:r w:rsidR="002E497C">
        <w:t xml:space="preserve"> </w:t>
      </w:r>
      <w:r w:rsidR="00BE0DD8">
        <w:t>However, t</w:t>
      </w:r>
      <w:r w:rsidR="00652F80">
        <w:t xml:space="preserve">here is no </w:t>
      </w:r>
      <w:r w:rsidR="00520E3A">
        <w:t xml:space="preserve">reference to the CCCFR grant’s </w:t>
      </w:r>
      <w:r w:rsidR="00520E3A" w:rsidRPr="00CD38C6">
        <w:rPr>
          <w:b/>
          <w:bCs/>
        </w:rPr>
        <w:t>stated</w:t>
      </w:r>
      <w:r w:rsidR="00520E3A">
        <w:t xml:space="preserve"> objectives, or to supporting workforce participation</w:t>
      </w:r>
      <w:r w:rsidR="005D6242">
        <w:t xml:space="preserve"> in the guide</w:t>
      </w:r>
      <w:r w:rsidR="00520E3A">
        <w:t>.</w:t>
      </w:r>
      <w:r w:rsidR="002E497C">
        <w:t xml:space="preserve"> </w:t>
      </w:r>
      <w:r w:rsidR="00DF6585">
        <w:t xml:space="preserve">The </w:t>
      </w:r>
      <w:r w:rsidR="00BD2B6F">
        <w:t xml:space="preserve">use of both the initial objectives and the stated objectives in various communications around the grant </w:t>
      </w:r>
      <w:r w:rsidR="00116363">
        <w:t xml:space="preserve">has likely contributed to misunderstandings of the grant’s intent. </w:t>
      </w:r>
    </w:p>
    <w:p w14:paraId="7EBB0721" w14:textId="75765872" w:rsidR="00116363" w:rsidRPr="00AC2795" w:rsidRDefault="000F6426" w:rsidP="00CD38C6">
      <w:pPr>
        <w:pStyle w:val="CaptionTable"/>
      </w:pPr>
      <w:bookmarkStart w:id="286" w:name="_Toc158997967"/>
      <w:bookmarkStart w:id="287" w:name="_Toc167130713"/>
      <w:r w:rsidRPr="00AC2795">
        <w:t>: CCCFR grant objectives</w:t>
      </w:r>
      <w:bookmarkEnd w:id="286"/>
      <w:bookmarkEnd w:id="287"/>
    </w:p>
    <w:tbl>
      <w:tblPr>
        <w:tblStyle w:val="Deloittetable"/>
        <w:tblW w:w="9072" w:type="dxa"/>
        <w:tblLook w:val="04A0" w:firstRow="1" w:lastRow="0" w:firstColumn="1" w:lastColumn="0" w:noHBand="0" w:noVBand="1"/>
      </w:tblPr>
      <w:tblGrid>
        <w:gridCol w:w="4425"/>
        <w:gridCol w:w="4647"/>
      </w:tblGrid>
      <w:tr w:rsidR="00116363" w14:paraId="7D091D30" w14:textId="77777777" w:rsidTr="001C655F">
        <w:trPr>
          <w:cnfStyle w:val="100000000000" w:firstRow="1" w:lastRow="0" w:firstColumn="0" w:lastColumn="0" w:oddVBand="0" w:evenVBand="0" w:oddHBand="0" w:evenHBand="0" w:firstRowFirstColumn="0" w:firstRowLastColumn="0" w:lastRowFirstColumn="0" w:lastRowLastColumn="0"/>
          <w:trHeight w:val="428"/>
        </w:trPr>
        <w:tc>
          <w:tcPr>
            <w:tcW w:w="0" w:type="dxa"/>
          </w:tcPr>
          <w:p w14:paraId="2DC7C843" w14:textId="1D0BD8B6" w:rsidR="00116363" w:rsidRPr="00CD38C6" w:rsidRDefault="000F6426" w:rsidP="00AC2795">
            <w:pPr>
              <w:spacing w:before="120"/>
              <w:rPr>
                <w:b/>
              </w:rPr>
            </w:pPr>
            <w:r w:rsidRPr="00CD38C6">
              <w:rPr>
                <w:b/>
              </w:rPr>
              <w:t>CCCFR grant stated objectives</w:t>
            </w:r>
          </w:p>
        </w:tc>
        <w:tc>
          <w:tcPr>
            <w:tcW w:w="0" w:type="dxa"/>
          </w:tcPr>
          <w:p w14:paraId="645A7360" w14:textId="35313435" w:rsidR="00116363" w:rsidRPr="00CD38C6" w:rsidRDefault="000F6426" w:rsidP="00AC2795">
            <w:pPr>
              <w:spacing w:before="120"/>
              <w:rPr>
                <w:b/>
              </w:rPr>
            </w:pPr>
            <w:r w:rsidRPr="00CD38C6">
              <w:rPr>
                <w:b/>
              </w:rPr>
              <w:t>CCCFR grant initial objectives</w:t>
            </w:r>
            <w:r w:rsidRPr="00CD38C6">
              <w:rPr>
                <w:rStyle w:val="FootnoteReference"/>
                <w:b/>
              </w:rPr>
              <w:footnoteReference w:id="106"/>
            </w:r>
          </w:p>
        </w:tc>
      </w:tr>
      <w:tr w:rsidR="00116363" w14:paraId="57768ADB" w14:textId="77777777" w:rsidTr="001C655F">
        <w:trPr>
          <w:trHeight w:val="1441"/>
        </w:trPr>
        <w:tc>
          <w:tcPr>
            <w:tcW w:w="0" w:type="dxa"/>
          </w:tcPr>
          <w:p w14:paraId="2F1C55E8" w14:textId="77777777" w:rsidR="00741ABA" w:rsidRDefault="4922333B" w:rsidP="00741ABA">
            <w:pPr>
              <w:pStyle w:val="ListBullet"/>
            </w:pPr>
            <w:r>
              <w:t>improve early childhood development outcomes for vulnerable and disadvantaged children</w:t>
            </w:r>
          </w:p>
          <w:p w14:paraId="6D187288" w14:textId="77777777" w:rsidR="00741ABA" w:rsidRDefault="4922333B" w:rsidP="00741ABA">
            <w:pPr>
              <w:pStyle w:val="ListBullet"/>
            </w:pPr>
            <w:r>
              <w:t>increase workforce participation by vulnerable and disadvantaged families.</w:t>
            </w:r>
          </w:p>
          <w:p w14:paraId="61B1A92E" w14:textId="77777777" w:rsidR="00116363" w:rsidRDefault="00116363" w:rsidP="00F10D15"/>
        </w:tc>
        <w:tc>
          <w:tcPr>
            <w:tcW w:w="0" w:type="dxa"/>
          </w:tcPr>
          <w:p w14:paraId="6040C2FF" w14:textId="77777777" w:rsidR="00741ABA" w:rsidRDefault="00741ABA" w:rsidP="00171325">
            <w:pPr>
              <w:pStyle w:val="ListParagraph"/>
              <w:numPr>
                <w:ilvl w:val="0"/>
                <w:numId w:val="37"/>
              </w:numPr>
              <w:ind w:left="360"/>
            </w:pPr>
            <w:r>
              <w:t>ensure continuity of child care services</w:t>
            </w:r>
          </w:p>
          <w:p w14:paraId="0DCDE496" w14:textId="01A95E58" w:rsidR="00741ABA" w:rsidRDefault="00741ABA" w:rsidP="00171325">
            <w:pPr>
              <w:pStyle w:val="ListParagraph"/>
              <w:numPr>
                <w:ilvl w:val="0"/>
                <w:numId w:val="37"/>
              </w:numPr>
              <w:ind w:left="360"/>
            </w:pPr>
            <w:r>
              <w:t>reduce barriers to accessing child care, particularly in disadvantaged, and vulnerable families and communities</w:t>
            </w:r>
          </w:p>
          <w:p w14:paraId="77B43588" w14:textId="2AF1B7BA" w:rsidR="00116363" w:rsidRDefault="00741ABA" w:rsidP="00171325">
            <w:pPr>
              <w:pStyle w:val="ListParagraph"/>
              <w:numPr>
                <w:ilvl w:val="0"/>
                <w:numId w:val="37"/>
              </w:numPr>
              <w:ind w:left="360"/>
            </w:pPr>
            <w:r>
              <w:t>increase Indigenous children’s participation in child care.</w:t>
            </w:r>
          </w:p>
        </w:tc>
      </w:tr>
    </w:tbl>
    <w:p w14:paraId="56454AF8" w14:textId="0828E9FD" w:rsidR="00BD554F" w:rsidRPr="004972F1" w:rsidRDefault="00520E3A" w:rsidP="00AC2795">
      <w:pPr>
        <w:spacing w:before="240"/>
      </w:pPr>
      <w:r>
        <w:t xml:space="preserve">Furthermore, </w:t>
      </w:r>
      <w:r w:rsidR="00AA23ED">
        <w:t>C</w:t>
      </w:r>
      <w:r w:rsidR="006C0A02">
        <w:t>o</w:t>
      </w:r>
      <w:r w:rsidR="00B00199">
        <w:t xml:space="preserve">mpliance and Operations </w:t>
      </w:r>
      <w:r w:rsidR="009079D7">
        <w:t>Report</w:t>
      </w:r>
      <w:r w:rsidR="00B00199">
        <w:t xml:space="preserve">s, which services are required to </w:t>
      </w:r>
      <w:r w:rsidR="00107D23">
        <w:t>complete annually as part of their grant agreements, include measures which relate to t</w:t>
      </w:r>
      <w:r w:rsidR="00247FA2">
        <w:t>he</w:t>
      </w:r>
      <w:r>
        <w:t>se</w:t>
      </w:r>
      <w:r w:rsidR="00247FA2">
        <w:t xml:space="preserve"> initial objectives</w:t>
      </w:r>
      <w:r w:rsidR="00107D23">
        <w:t xml:space="preserve">. For instance, the 2018/2019 Compliance and Operations </w:t>
      </w:r>
      <w:r w:rsidR="009079D7">
        <w:t>Report</w:t>
      </w:r>
      <w:r w:rsidR="008C6932">
        <w:t xml:space="preserve"> specifically asks about Indigenous participation and transition to the new child care system. It does not </w:t>
      </w:r>
      <w:r w:rsidR="00C73B25">
        <w:t>include measures for other kinds of vulnerable and disadvantaged children who may be attending the service</w:t>
      </w:r>
      <w:r w:rsidR="00A94CD2">
        <w:t xml:space="preserve">, beyond whether or not the service is collaborating with other services and identifying </w:t>
      </w:r>
      <w:r w:rsidR="00842CFD">
        <w:t>and addressing barriers to attendance by vulnerable and disadvantaged children.</w:t>
      </w:r>
      <w:r w:rsidR="002E497C">
        <w:t xml:space="preserve">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861122" w14:paraId="4B8F5ED4" w14:textId="77777777" w:rsidTr="00AC138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24ECE002" w14:textId="4D59E60F" w:rsidR="00861122" w:rsidRPr="009E424E" w:rsidRDefault="00861122">
            <w:pPr>
              <w:spacing w:after="120"/>
              <w:rPr>
                <w:b/>
                <w:bCs/>
              </w:rPr>
            </w:pPr>
            <w:r w:rsidRPr="009E424E">
              <w:rPr>
                <w:b/>
                <w:bCs/>
              </w:rPr>
              <w:t xml:space="preserve">Review finding </w:t>
            </w:r>
            <w:r w:rsidR="00141886">
              <w:rPr>
                <w:b/>
                <w:bCs/>
              </w:rPr>
              <w:t>7</w:t>
            </w:r>
          </w:p>
          <w:p w14:paraId="612E62C1" w14:textId="49F68615" w:rsidR="00861122" w:rsidRPr="00FE33A0" w:rsidRDefault="00CB4B81" w:rsidP="00FE33A0">
            <w:pPr>
              <w:spacing w:before="120" w:after="120"/>
            </w:pPr>
            <w:r w:rsidRPr="00CB4B81">
              <w:t>The terms ‘vulnerability and disadvantage’ are not well understood</w:t>
            </w:r>
            <w:r w:rsidR="00FD46D7" w:rsidRPr="00FD46D7">
              <w:t xml:space="preserve"> across a range of stakeholders</w:t>
            </w:r>
            <w:r w:rsidRPr="00CB4B81">
              <w:t>, and there is no consistent definition. The terms are often not used by services as they can have a deficit framing that stigmatises individuals, family and whole community.</w:t>
            </w:r>
          </w:p>
        </w:tc>
      </w:tr>
    </w:tbl>
    <w:p w14:paraId="7CB25FB1" w14:textId="77777777" w:rsidR="001A3A39" w:rsidRDefault="001A3A39" w:rsidP="001A3A39">
      <w:pPr>
        <w:spacing w:before="170"/>
        <w:rPr>
          <w:b/>
          <w:bCs/>
        </w:rPr>
      </w:pPr>
      <w:r w:rsidRPr="00C81B54">
        <w:rPr>
          <w:b/>
          <w:bCs/>
        </w:rPr>
        <w:t>Supporting evidence for this finding is drawn from consultations and the CCCFR service survey.</w:t>
      </w:r>
    </w:p>
    <w:p w14:paraId="24F6F28F" w14:textId="0EF80862" w:rsidR="00A8409B" w:rsidRPr="00826178" w:rsidRDefault="00282D30" w:rsidP="00445AD4">
      <w:pPr>
        <w:pStyle w:val="Contacttext"/>
        <w:spacing w:before="170" w:after="170"/>
      </w:pPr>
      <w:r>
        <w:t>Stakeholders ha</w:t>
      </w:r>
      <w:r w:rsidR="004C377A">
        <w:t>ve</w:t>
      </w:r>
      <w:r>
        <w:t xml:space="preserve"> varied definitions for and interpretations of the terms ‘vulnerability and disadvantage’. </w:t>
      </w:r>
      <w:r w:rsidR="00AA6CDC" w:rsidRPr="00826178">
        <w:t xml:space="preserve">In addition, some community demographics were referred to which may fall under </w:t>
      </w:r>
      <w:r w:rsidR="00AA6CDC" w:rsidRPr="00826178">
        <w:lastRenderedPageBreak/>
        <w:t>some definitions of vulnerability and disadvantage, without services’ explicitly framing these as such.</w:t>
      </w:r>
      <w:r w:rsidR="00AA6CDC" w:rsidRPr="00826178">
        <w:rPr>
          <w:rStyle w:val="FootnoteReference"/>
        </w:rPr>
        <w:footnoteReference w:id="107"/>
      </w:r>
      <w:r w:rsidR="00AA6CDC" w:rsidRPr="00826178">
        <w:t xml:space="preserve"> Nearly all services spoke about the unique needs of their community, often in contrast to ‘mainstream’ child care services. </w:t>
      </w:r>
    </w:p>
    <w:p w14:paraId="4566BF90" w14:textId="19197812" w:rsidR="0012685D" w:rsidRPr="00826178" w:rsidRDefault="00AA6CDC" w:rsidP="00445AD4">
      <w:pPr>
        <w:pStyle w:val="Contacttext"/>
        <w:spacing w:before="170" w:after="170"/>
      </w:pPr>
      <w:r w:rsidRPr="00826178">
        <w:t>Signifiers of vulnerability and disadvantage spoken about included families experiencing financial hardship (often extreme), mental health issues, intergenerational trauma, systemic racism, government reactions to “transience” (i.e.</w:t>
      </w:r>
      <w:r w:rsidR="0069357B">
        <w:t>,</w:t>
      </w:r>
      <w:r w:rsidRPr="00826178">
        <w:t xml:space="preserve"> children who move between communities with family for cultural obligations), children with disabilities or complex/additional needs and insufficient supports, remote and isolated communities, overcrowded housing, families with substance misuse issues, families with low levels of education, families with English as a second language, children being impacted by family violence, children being removed by child protection, children in out of home care, and migrant or refugee families</w:t>
      </w:r>
      <w:r w:rsidR="005E09E9" w:rsidRPr="00826178">
        <w:t xml:space="preserve"> (for more detail, see </w:t>
      </w:r>
      <w:r w:rsidR="00ED3D7E">
        <w:rPr>
          <w:highlight w:val="yellow"/>
        </w:rPr>
        <w:fldChar w:fldCharType="begin"/>
      </w:r>
      <w:r w:rsidR="00ED3D7E">
        <w:instrText xml:space="preserve"> REF _Ref153461670 \r \h </w:instrText>
      </w:r>
      <w:r w:rsidR="00ED3D7E">
        <w:rPr>
          <w:highlight w:val="yellow"/>
        </w:rPr>
      </w:r>
      <w:r w:rsidR="00ED3D7E">
        <w:rPr>
          <w:highlight w:val="yellow"/>
        </w:rPr>
        <w:fldChar w:fldCharType="separate"/>
      </w:r>
      <w:r w:rsidR="00D300D0">
        <w:t>Appendix A</w:t>
      </w:r>
      <w:r w:rsidR="00ED3D7E">
        <w:rPr>
          <w:highlight w:val="yellow"/>
        </w:rPr>
        <w:fldChar w:fldCharType="end"/>
      </w:r>
      <w:r w:rsidR="005D6242" w:rsidRPr="00ED3D7E">
        <w:t>).</w:t>
      </w:r>
      <w:r w:rsidR="002E497C">
        <w:t xml:space="preserve"> </w:t>
      </w:r>
    </w:p>
    <w:p w14:paraId="0510805F" w14:textId="0CB89282" w:rsidR="009A6AE0" w:rsidRDefault="00EC46E7" w:rsidP="008F33F7">
      <w:pPr>
        <w:pStyle w:val="CaptionFigure"/>
      </w:pPr>
      <w:bookmarkStart w:id="288" w:name="_Toc158997990"/>
      <w:bookmarkStart w:id="289" w:name="_Toc170228792"/>
      <w:r>
        <w:t xml:space="preserve">: </w:t>
      </w:r>
      <w:r w:rsidR="00D90B7F">
        <w:t xml:space="preserve">Most frequent words </w:t>
      </w:r>
      <w:r w:rsidR="00445C2C">
        <w:t xml:space="preserve">used in response to survey question: </w:t>
      </w:r>
      <w:r w:rsidR="00521211">
        <w:t>‘</w:t>
      </w:r>
      <w:r w:rsidR="00521211" w:rsidRPr="00521211">
        <w:t>What kinds of vulnerability and disadvantage do children and families experience where you operate?</w:t>
      </w:r>
      <w:r w:rsidR="00521211">
        <w:t>’</w:t>
      </w:r>
      <w:bookmarkEnd w:id="288"/>
      <w:bookmarkEnd w:id="289"/>
      <w:r w:rsidR="00AA6CDC" w:rsidRPr="00AA6CDC">
        <w:t xml:space="preserve"> </w:t>
      </w:r>
    </w:p>
    <w:p w14:paraId="08B66DFB" w14:textId="0E163589" w:rsidR="00683695" w:rsidRDefault="00683695" w:rsidP="002A0332">
      <w:pPr>
        <w:pStyle w:val="ListBullet"/>
        <w:numPr>
          <w:ilvl w:val="0"/>
          <w:numId w:val="0"/>
        </w:numPr>
        <w:ind w:left="340"/>
      </w:pPr>
      <w:r>
        <w:rPr>
          <w:noProof/>
        </w:rPr>
        <w:drawing>
          <wp:inline distT="0" distB="0" distL="0" distR="0" wp14:anchorId="0050133D" wp14:editId="5243C2D1">
            <wp:extent cx="4560941" cy="2447925"/>
            <wp:effectExtent l="0" t="0" r="0" b="0"/>
            <wp:docPr id="16" name="Picture 16" descr="Word cloud illustration indicating the most frequent words included in survey responses when asked 'What kinds of vulnerability and disadvantage do children and families experience where you operate?'. The most frequent words are children, families an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ord cloud illustration indicating the most frequent words included in survey responses when asked 'What kinds of vulnerability and disadvantage do children and families experience where you operate?'. The most frequent words are children, families and services."/>
                    <pic:cNvPicPr/>
                  </pic:nvPicPr>
                  <pic:blipFill rotWithShape="1">
                    <a:blip r:embed="rId83" cstate="print">
                      <a:extLst>
                        <a:ext uri="{28A0092B-C50C-407E-A947-70E740481C1C}">
                          <a14:useLocalDpi xmlns:a14="http://schemas.microsoft.com/office/drawing/2010/main" val="0"/>
                        </a:ext>
                      </a:extLst>
                    </a:blip>
                    <a:srcRect/>
                    <a:stretch/>
                  </pic:blipFill>
                  <pic:spPr bwMode="auto">
                    <a:xfrm>
                      <a:off x="0" y="0"/>
                      <a:ext cx="4568826" cy="2452157"/>
                    </a:xfrm>
                    <a:prstGeom prst="rect">
                      <a:avLst/>
                    </a:prstGeom>
                    <a:ln>
                      <a:noFill/>
                    </a:ln>
                    <a:extLst>
                      <a:ext uri="{53640926-AAD7-44D8-BBD7-CCE9431645EC}">
                        <a14:shadowObscured xmlns:a14="http://schemas.microsoft.com/office/drawing/2010/main"/>
                      </a:ext>
                    </a:extLst>
                  </pic:spPr>
                </pic:pic>
              </a:graphicData>
            </a:graphic>
          </wp:inline>
        </w:drawing>
      </w:r>
    </w:p>
    <w:p w14:paraId="4192A2E5" w14:textId="4A196AA7" w:rsidR="009A6AE0" w:rsidRDefault="009206CE" w:rsidP="009206CE">
      <w:pPr>
        <w:pStyle w:val="Source"/>
      </w:pPr>
      <w:r>
        <w:t xml:space="preserve">Source: </w:t>
      </w:r>
      <w:r w:rsidR="00087647">
        <w:t>CCCFR Service Survey, Deloitte Access Economics (2023)</w:t>
      </w:r>
    </w:p>
    <w:p w14:paraId="63496605" w14:textId="6F121268" w:rsidR="00CC06E8" w:rsidRDefault="00CC06E8" w:rsidP="00CC06E8">
      <w:r>
        <w:t xml:space="preserve">However, the review finds that the deficit framing </w:t>
      </w:r>
      <w:r w:rsidR="0026738E">
        <w:t xml:space="preserve">of vulnerability and disadvantage </w:t>
      </w:r>
      <w:r w:rsidR="000C0755">
        <w:t xml:space="preserve">provides an additional challenge to </w:t>
      </w:r>
      <w:r w:rsidR="00BD4119">
        <w:t xml:space="preserve">communicating the objectives clearly. </w:t>
      </w:r>
      <w:r w:rsidR="004E27FA">
        <w:t xml:space="preserve">Some services </w:t>
      </w:r>
      <w:r w:rsidR="004022C8">
        <w:t>explain that i</w:t>
      </w:r>
      <w:r w:rsidR="00A31895">
        <w:t xml:space="preserve">dentifying </w:t>
      </w:r>
      <w:r w:rsidR="00965C90">
        <w:t>families and communities as vulnerable and disadvantaged can be inapp</w:t>
      </w:r>
      <w:r w:rsidR="004022C8">
        <w:t>ropriate</w:t>
      </w:r>
      <w:r w:rsidR="00177079">
        <w:t xml:space="preserve">, and that they prefer a strengths-based approach. </w:t>
      </w:r>
    </w:p>
    <w:p w14:paraId="3E1D9009" w14:textId="4D8A6974" w:rsidR="00C816E1" w:rsidRPr="00CC06E8" w:rsidRDefault="00C816E1" w:rsidP="00CC06E8">
      <w:r>
        <w:t>This is particularly the case for Aboriginal and Torres Strait Islander services and communities</w:t>
      </w:r>
      <w:r w:rsidR="00096396">
        <w:t>, which are identified in the grant only through intersections with vulnerabilities</w:t>
      </w:r>
      <w:r w:rsidR="00707BE9">
        <w:t xml:space="preserve">. </w:t>
      </w:r>
      <w:r w:rsidR="00A64884">
        <w:t xml:space="preserve">This means that the distinct needs and models of child care of Aboriginal and Torres Strait Islander communities are not explicitly considered in the objectives. This has cascading effects over other elements of policy design, implementation, </w:t>
      </w:r>
      <w:r w:rsidR="00C17FF3">
        <w:t>administration</w:t>
      </w:r>
      <w:r w:rsidR="007B3C9E">
        <w:t>,</w:t>
      </w:r>
      <w:r w:rsidR="00C17FF3">
        <w:t xml:space="preserve"> and resourcing</w:t>
      </w:r>
      <w:r w:rsidR="00A64884">
        <w:t>.</w:t>
      </w:r>
    </w:p>
    <w:p w14:paraId="6D41AC44" w14:textId="47DB9D86" w:rsidR="005D6242" w:rsidRPr="00CC06E8" w:rsidRDefault="00CB716D" w:rsidP="00CC06E8">
      <w:r>
        <w:lastRenderedPageBreak/>
        <w:t xml:space="preserve">In addition, </w:t>
      </w:r>
      <w:r w:rsidR="00ED6278">
        <w:t xml:space="preserve">the lack of clarity on how to determine vulnerability and disadvantage has implications for how best to </w:t>
      </w:r>
      <w:r w:rsidR="002F3F6E">
        <w:t xml:space="preserve">design or apply the grant – the grant </w:t>
      </w:r>
      <w:r w:rsidR="00FE79C6">
        <w:t xml:space="preserve">is restricted to a certain subset of services, rather than directly </w:t>
      </w:r>
      <w:r w:rsidR="00A56279">
        <w:t xml:space="preserve">aligned with this </w:t>
      </w:r>
      <w:r w:rsidR="00A073A0">
        <w:t xml:space="preserve">‘vulnerability and disadvantage’ </w:t>
      </w:r>
      <w:r w:rsidR="00A56279">
        <w:t xml:space="preserve">measure. This is further discussed in </w:t>
      </w:r>
      <w:r w:rsidR="00A073A0" w:rsidRPr="00AE6F36">
        <w:t>Chapter</w:t>
      </w:r>
      <w:r w:rsidR="00A56279" w:rsidRPr="00AE6F36">
        <w:t xml:space="preserve"> </w:t>
      </w:r>
      <w:r w:rsidR="00A56279" w:rsidRPr="00AE6F36">
        <w:fldChar w:fldCharType="begin"/>
      </w:r>
      <w:r w:rsidR="00A56279" w:rsidRPr="00AE6F36">
        <w:instrText xml:space="preserve"> REF _Ref152873153 \r \h </w:instrText>
      </w:r>
      <w:r w:rsidR="00D12A84" w:rsidRPr="00AE6F36">
        <w:instrText xml:space="preserve"> \* MERGEFORMAT </w:instrText>
      </w:r>
      <w:r w:rsidR="00A56279" w:rsidRPr="00AE6F36">
        <w:fldChar w:fldCharType="separate"/>
      </w:r>
      <w:r w:rsidR="00D300D0">
        <w:t>6</w:t>
      </w:r>
      <w:r w:rsidR="00A56279" w:rsidRPr="00AE6F36">
        <w:fldChar w:fldCharType="end"/>
      </w:r>
      <w:r w:rsidR="00A56279" w:rsidRPr="00AE6F36">
        <w:t>.</w:t>
      </w:r>
      <w:r w:rsidR="002E497C">
        <w:t xml:space="preserve"> </w:t>
      </w:r>
    </w:p>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3F07C9" w14:paraId="1D60F204"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5B724528" w14:textId="4B466B9A" w:rsidR="003F07C9" w:rsidRPr="00CD38C6" w:rsidRDefault="003F07C9">
            <w:pPr>
              <w:spacing w:after="120"/>
              <w:rPr>
                <w:b/>
                <w:bCs/>
              </w:rPr>
            </w:pPr>
            <w:r w:rsidRPr="4470D6F5">
              <w:rPr>
                <w:b/>
                <w:bCs/>
              </w:rPr>
              <w:t>Box 5.</w:t>
            </w:r>
            <w:r>
              <w:rPr>
                <w:b/>
                <w:bCs/>
              </w:rPr>
              <w:t>3</w:t>
            </w:r>
            <w:r w:rsidRPr="4470D6F5">
              <w:rPr>
                <w:b/>
                <w:bCs/>
              </w:rPr>
              <w:t>: What are deficit-framing and strength-based approaches?</w:t>
            </w:r>
            <w:r>
              <w:rPr>
                <w:rStyle w:val="FootnoteReference"/>
              </w:rPr>
              <w:footnoteReference w:id="108"/>
            </w:r>
          </w:p>
          <w:p w14:paraId="11690679" w14:textId="77777777" w:rsidR="003F07C9" w:rsidRDefault="003F07C9" w:rsidP="003F07C9">
            <w:r w:rsidRPr="00CD38C6">
              <w:t xml:space="preserve">Deficit-framing positions </w:t>
            </w:r>
            <w:r>
              <w:t>individuals</w:t>
            </w:r>
            <w:r w:rsidRPr="00CD38C6">
              <w:t xml:space="preserve"> or communities in relation to what they lack</w:t>
            </w:r>
            <w:r>
              <w:t>; people</w:t>
            </w:r>
            <w:r w:rsidRPr="00CD38C6">
              <w:t xml:space="preserve"> </w:t>
            </w:r>
            <w:r>
              <w:t>are</w:t>
            </w:r>
            <w:r w:rsidRPr="00CD38C6">
              <w:t xml:space="preserve"> defined by an absence or failure. </w:t>
            </w:r>
            <w:r>
              <w:t xml:space="preserve">Deficit-framing often designates responsibility for this lack with specific individuals or communities, rather than looking at the broader systemic barriers that may have led to these gaps. Deficit framing can also lead to individuals and communities being stigmatised or blamed for circumstances outside of their control. </w:t>
            </w:r>
          </w:p>
          <w:p w14:paraId="79891C2A" w14:textId="77777777" w:rsidR="003F07C9" w:rsidRDefault="003F07C9" w:rsidP="003F07C9">
            <w:pPr>
              <w:spacing w:before="170"/>
            </w:pPr>
            <w:r>
              <w:t xml:space="preserve">Historically, Aboriginal and Torres Strait Islander communities have been subject to deficit framing in much of Australia’s policy discourse, particularly in areas of education and health. This discourse is understood to have contributed to the persistent gap between outcomes for Indigenous and non-Indigenous people. Many policy environments are now shifting away from </w:t>
            </w:r>
            <w:r w:rsidRPr="003F07C9">
              <w:t>deficit-framing towards strength-based approaches, which focuses on identifying the knowledge, skills and attributes that individuals and communities hold to support achieving their goals and aspirations.</w:t>
            </w:r>
            <w:r>
              <w:t xml:space="preserve"> </w:t>
            </w:r>
          </w:p>
          <w:p w14:paraId="3C86E08A" w14:textId="41F57959" w:rsidR="003F07C9" w:rsidRPr="00F625F9" w:rsidRDefault="003F07C9" w:rsidP="003F07C9">
            <w:pPr>
              <w:spacing w:before="170"/>
            </w:pPr>
            <w:r w:rsidRPr="003F07C9">
              <w:t>It is important to note that strength-based framing does not intend to minimise or ignore the gaps that exist, but rather to embed a more supportive and collaborative approach to addressing</w:t>
            </w:r>
            <w:r>
              <w:t xml:space="preserve"> them.</w:t>
            </w:r>
            <w:r w:rsidR="002E497C">
              <w:t xml:space="preserve"> </w:t>
            </w:r>
          </w:p>
        </w:tc>
      </w:tr>
    </w:tbl>
    <w:p w14:paraId="7475CF24" w14:textId="64FBB4E4" w:rsidR="00977788" w:rsidRPr="007F5DD4" w:rsidRDefault="00F91F20" w:rsidP="00283F1B">
      <w:pPr>
        <w:pStyle w:val="Heading2"/>
        <w:spacing w:after="240"/>
      </w:pPr>
      <w:bookmarkStart w:id="290" w:name="_Ref152745967"/>
      <w:bookmarkStart w:id="291" w:name="_Toc158993761"/>
      <w:bookmarkStart w:id="292" w:name="_Toc170227408"/>
      <w:r>
        <w:t>Alignment</w:t>
      </w:r>
      <w:r w:rsidR="001D75BB" w:rsidRPr="001D75BB">
        <w:t xml:space="preserve"> with </w:t>
      </w:r>
      <w:r w:rsidR="00335F57">
        <w:t>Australian Government</w:t>
      </w:r>
      <w:r w:rsidR="001D75BB" w:rsidRPr="001D75BB">
        <w:t xml:space="preserve"> strategic objectives</w:t>
      </w:r>
      <w:bookmarkEnd w:id="290"/>
      <w:bookmarkEnd w:id="291"/>
      <w:bookmarkEnd w:id="292"/>
    </w:p>
    <w:tbl>
      <w:tblPr>
        <w:tblStyle w:val="TableGrid"/>
        <w:tblW w:w="9214" w:type="dxa"/>
        <w:tblBorders>
          <w:left w:val="double" w:sz="12" w:space="0" w:color="012169" w:themeColor="accent4"/>
        </w:tblBorders>
        <w:shd w:val="clear" w:color="auto" w:fill="DFF0F9" w:themeFill="accent3" w:themeFillTint="33"/>
        <w:tblCellMar>
          <w:top w:w="85" w:type="dxa"/>
          <w:left w:w="227" w:type="dxa"/>
          <w:bottom w:w="85" w:type="dxa"/>
          <w:right w:w="113" w:type="dxa"/>
        </w:tblCellMar>
        <w:tblLook w:val="04A0" w:firstRow="1" w:lastRow="0" w:firstColumn="1" w:lastColumn="0" w:noHBand="0" w:noVBand="1"/>
      </w:tblPr>
      <w:tblGrid>
        <w:gridCol w:w="9214"/>
      </w:tblGrid>
      <w:tr w:rsidR="00B97B0F" w:rsidRPr="00BD1248" w14:paraId="1453B838" w14:textId="77777777" w:rsidTr="00B52D9F">
        <w:trPr>
          <w:cnfStyle w:val="100000000000" w:firstRow="1" w:lastRow="0" w:firstColumn="0" w:lastColumn="0" w:oddVBand="0" w:evenVBand="0" w:oddHBand="0" w:evenHBand="0" w:firstRowFirstColumn="0" w:firstRowLastColumn="0" w:lastRowFirstColumn="0" w:lastRowLastColumn="0"/>
          <w:cantSplit/>
        </w:trPr>
        <w:tc>
          <w:tcPr>
            <w:tcW w:w="9214" w:type="dxa"/>
            <w:shd w:val="clear" w:color="auto" w:fill="DFF0F9" w:themeFill="accent3" w:themeFillTint="33"/>
          </w:tcPr>
          <w:p w14:paraId="3076B65E" w14:textId="77777777" w:rsidR="00AE6F36" w:rsidRDefault="00AE6F36">
            <w:pPr>
              <w:spacing w:after="120"/>
              <w:rPr>
                <w:b/>
                <w:bCs/>
                <w:i/>
                <w:iCs/>
              </w:rPr>
            </w:pPr>
            <w:r w:rsidRPr="00B95090">
              <w:rPr>
                <w:b/>
                <w:bCs/>
                <w:i/>
                <w:iCs/>
              </w:rPr>
              <w:t>Key research questio</w:t>
            </w:r>
            <w:r>
              <w:rPr>
                <w:b/>
                <w:bCs/>
                <w:i/>
                <w:iCs/>
              </w:rPr>
              <w:t>ns</w:t>
            </w:r>
          </w:p>
          <w:p w14:paraId="10AAA866" w14:textId="77777777" w:rsidR="00AE6F36" w:rsidRDefault="00AE6F36" w:rsidP="00AE6F36">
            <w:pPr>
              <w:rPr>
                <w:i/>
                <w:iCs/>
              </w:rPr>
            </w:pPr>
            <w:r w:rsidRPr="0001678A">
              <w:rPr>
                <w:i/>
                <w:iCs/>
              </w:rPr>
              <w:t>How well do the objectives and intent of the CCCFR grant align with the strategic objectives of the Australian Government?</w:t>
            </w:r>
          </w:p>
          <w:p w14:paraId="363B19A6" w14:textId="7E0AF983" w:rsidR="00AE6F36" w:rsidRPr="00D611B7" w:rsidRDefault="00AE6F36" w:rsidP="00AE6F36">
            <w:pPr>
              <w:spacing w:before="120" w:after="120"/>
              <w:rPr>
                <w:i/>
              </w:rPr>
            </w:pPr>
            <w:r w:rsidRPr="00162F72">
              <w:rPr>
                <w:i/>
                <w:iCs/>
              </w:rPr>
              <w:t xml:space="preserve">To what extent does the CCCFR grant in its current form address Closing the Gap targets, including ensuring early childhood education and care is culturally appropriate for </w:t>
            </w:r>
            <w:r>
              <w:rPr>
                <w:i/>
                <w:iCs/>
              </w:rPr>
              <w:t>Aboriginal and Torres Strait Islander</w:t>
            </w:r>
            <w:r w:rsidRPr="00162F72">
              <w:rPr>
                <w:i/>
                <w:iCs/>
              </w:rPr>
              <w:t xml:space="preserve"> communities?</w:t>
            </w:r>
          </w:p>
        </w:tc>
      </w:tr>
    </w:tbl>
    <w:p w14:paraId="5F6467A6" w14:textId="77777777" w:rsidR="00AE6F36" w:rsidRDefault="00AE6F36" w:rsidP="00AE6F36"/>
    <w:tbl>
      <w:tblPr>
        <w:tblStyle w:val="TableGrid"/>
        <w:tblW w:w="9214" w:type="dxa"/>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214"/>
      </w:tblGrid>
      <w:tr w:rsidR="00CB4138" w14:paraId="2A636020" w14:textId="77777777" w:rsidTr="00B52D9F">
        <w:trPr>
          <w:cnfStyle w:val="100000000000" w:firstRow="1" w:lastRow="0" w:firstColumn="0" w:lastColumn="0" w:oddVBand="0" w:evenVBand="0" w:oddHBand="0" w:evenHBand="0" w:firstRowFirstColumn="0" w:firstRowLastColumn="0" w:lastRowFirstColumn="0" w:lastRowLastColumn="0"/>
          <w:cantSplit/>
        </w:trPr>
        <w:tc>
          <w:tcPr>
            <w:tcW w:w="9214" w:type="dxa"/>
            <w:shd w:val="clear" w:color="auto" w:fill="E7F5CF" w:themeFill="accent1" w:themeFillTint="33"/>
          </w:tcPr>
          <w:p w14:paraId="21BCCBA6" w14:textId="2802F7F8" w:rsidR="00335F57" w:rsidRPr="009E424E" w:rsidRDefault="00335F57">
            <w:pPr>
              <w:spacing w:after="120"/>
              <w:rPr>
                <w:b/>
                <w:bCs/>
              </w:rPr>
            </w:pPr>
            <w:r w:rsidRPr="009E424E">
              <w:rPr>
                <w:b/>
                <w:bCs/>
              </w:rPr>
              <w:t xml:space="preserve">Review finding </w:t>
            </w:r>
            <w:r w:rsidR="00141886">
              <w:rPr>
                <w:b/>
                <w:bCs/>
              </w:rPr>
              <w:t>8</w:t>
            </w:r>
          </w:p>
          <w:p w14:paraId="5FB7D496" w14:textId="09C02C39" w:rsidR="00335F57" w:rsidRPr="00F83FC1" w:rsidRDefault="00CB4B81" w:rsidP="00F83FC1">
            <w:pPr>
              <w:spacing w:before="120" w:after="120"/>
            </w:pPr>
            <w:r w:rsidRPr="00CB4B81">
              <w:t xml:space="preserve">A shifting </w:t>
            </w:r>
            <w:r w:rsidR="00581A19">
              <w:t>ECEC</w:t>
            </w:r>
            <w:r w:rsidRPr="00CB4B81">
              <w:t xml:space="preserve"> policy landscape is creating uncertainty and potential divergences between the objectives and intent of the CCCFR grant and contemporary policy directions.</w:t>
            </w:r>
          </w:p>
        </w:tc>
      </w:tr>
    </w:tbl>
    <w:p w14:paraId="00B28E73" w14:textId="3E70296B" w:rsidR="00FE757B" w:rsidRDefault="002354EF" w:rsidP="00AE6F36">
      <w:pPr>
        <w:spacing w:before="170"/>
      </w:pPr>
      <w:r w:rsidRPr="00C81B54">
        <w:rPr>
          <w:b/>
          <w:bCs/>
        </w:rPr>
        <w:t xml:space="preserve">Supporting evidence for this finding is drawn from </w:t>
      </w:r>
      <w:r w:rsidR="007A64A8">
        <w:rPr>
          <w:b/>
          <w:bCs/>
        </w:rPr>
        <w:t>desktop research</w:t>
      </w:r>
      <w:r w:rsidR="007D6289">
        <w:rPr>
          <w:b/>
          <w:bCs/>
        </w:rPr>
        <w:t xml:space="preserve"> and consultations</w:t>
      </w:r>
      <w:r w:rsidRPr="00C81B54">
        <w:rPr>
          <w:b/>
          <w:bCs/>
        </w:rPr>
        <w:t>.</w:t>
      </w:r>
    </w:p>
    <w:p w14:paraId="758EC75E" w14:textId="2CD10CA0" w:rsidR="00AF2179" w:rsidRDefault="000F2935" w:rsidP="00633E9D">
      <w:r>
        <w:t xml:space="preserve">One of </w:t>
      </w:r>
      <w:r w:rsidR="006D4C15">
        <w:t>the</w:t>
      </w:r>
      <w:r>
        <w:t xml:space="preserve"> </w:t>
      </w:r>
      <w:r w:rsidR="00E7545D">
        <w:t xml:space="preserve">most relevant </w:t>
      </w:r>
      <w:r w:rsidR="00872A16">
        <w:t>articulations of</w:t>
      </w:r>
      <w:r w:rsidR="006D4C15">
        <w:t xml:space="preserve"> policy direction</w:t>
      </w:r>
      <w:r w:rsidR="00872A16">
        <w:t xml:space="preserve"> and strategic intent </w:t>
      </w:r>
      <w:r w:rsidR="00E87680">
        <w:t xml:space="preserve">will be </w:t>
      </w:r>
      <w:r w:rsidR="006D4C15">
        <w:t>the National Vision for Early Childhood Education and Care (the Vision)</w:t>
      </w:r>
      <w:r w:rsidR="00E87680">
        <w:t>, which is currently in draft</w:t>
      </w:r>
      <w:r w:rsidR="006D4C15">
        <w:t xml:space="preserve">. </w:t>
      </w:r>
      <w:r w:rsidR="002E1FE2">
        <w:t>All Australian governments, through</w:t>
      </w:r>
      <w:r w:rsidR="002E1FE2" w:rsidRPr="002E1FE2">
        <w:t xml:space="preserve"> education and early years ministers</w:t>
      </w:r>
      <w:r w:rsidR="002E1FE2">
        <w:t xml:space="preserve">, have developed </w:t>
      </w:r>
      <w:r w:rsidR="00E87680">
        <w:t>the</w:t>
      </w:r>
      <w:r w:rsidR="002E1FE2">
        <w:t xml:space="preserve"> draft</w:t>
      </w:r>
      <w:r w:rsidR="002E1FE2" w:rsidRPr="002E1FE2">
        <w:t xml:space="preserve"> national, long-term vision to shape and drive reform of the ECEC sector.</w:t>
      </w:r>
      <w:r w:rsidR="002D5221">
        <w:t xml:space="preserve"> </w:t>
      </w:r>
      <w:r w:rsidR="00FA43DA">
        <w:t>The Vision is intended to</w:t>
      </w:r>
      <w:r w:rsidR="00D465B8">
        <w:t xml:space="preserve"> p</w:t>
      </w:r>
      <w:r w:rsidR="00D465B8" w:rsidRPr="00D465B8">
        <w:t>rovide a broad strategic intent that will encompass all other activities in the sector</w:t>
      </w:r>
      <w:r w:rsidR="00D465B8">
        <w:t>,</w:t>
      </w:r>
      <w:r w:rsidR="00AF2179">
        <w:t xml:space="preserve"> summarised below:</w:t>
      </w:r>
    </w:p>
    <w:p w14:paraId="45A15B0D" w14:textId="5B3A47D2" w:rsidR="001D1ACC" w:rsidRDefault="000B4144" w:rsidP="00633E9D">
      <w:pPr>
        <w:pStyle w:val="ListBullet"/>
      </w:pPr>
      <w:r>
        <w:t>i</w:t>
      </w:r>
      <w:r w:rsidR="005079C0">
        <w:t>ncreases</w:t>
      </w:r>
      <w:r w:rsidR="003C3987">
        <w:t xml:space="preserve"> to CCS</w:t>
      </w:r>
      <w:r w:rsidR="005079C0">
        <w:t xml:space="preserve"> (implemented 2023)</w:t>
      </w:r>
    </w:p>
    <w:p w14:paraId="4FA4852E" w14:textId="339F77EE" w:rsidR="001D1ACC" w:rsidRDefault="000B4144" w:rsidP="00633E9D">
      <w:pPr>
        <w:pStyle w:val="ListBullet"/>
      </w:pPr>
      <w:r>
        <w:lastRenderedPageBreak/>
        <w:t>d</w:t>
      </w:r>
      <w:r w:rsidR="003C3987">
        <w:t>eveloping an Early Years Strategy</w:t>
      </w:r>
      <w:r w:rsidR="005079C0">
        <w:t xml:space="preserve"> (</w:t>
      </w:r>
      <w:r w:rsidR="00AF2179">
        <w:t>consultation on the draft is ongoing)</w:t>
      </w:r>
      <w:r w:rsidR="008420C6">
        <w:rPr>
          <w:rStyle w:val="FootnoteReference"/>
        </w:rPr>
        <w:footnoteReference w:id="109"/>
      </w:r>
    </w:p>
    <w:p w14:paraId="6028644A" w14:textId="13E04146" w:rsidR="001D1ACC" w:rsidRDefault="008420C6" w:rsidP="00633E9D">
      <w:pPr>
        <w:pStyle w:val="ListBullet"/>
      </w:pPr>
      <w:r>
        <w:t xml:space="preserve">the </w:t>
      </w:r>
      <w:r w:rsidR="003C3987">
        <w:t>Productivity Commission review of the sector</w:t>
      </w:r>
      <w:r w:rsidR="00AF2179">
        <w:t xml:space="preserve"> </w:t>
      </w:r>
      <w:r w:rsidR="00E87680">
        <w:t>(</w:t>
      </w:r>
      <w:r w:rsidR="00D966A7">
        <w:t>a draft report was released 23 November 2023)</w:t>
      </w:r>
    </w:p>
    <w:p w14:paraId="13927952" w14:textId="1094EEE2" w:rsidR="001D1ACC" w:rsidRDefault="008420C6" w:rsidP="00633E9D">
      <w:pPr>
        <w:pStyle w:val="ListBullet"/>
      </w:pPr>
      <w:r>
        <w:t xml:space="preserve">the </w:t>
      </w:r>
      <w:r w:rsidR="003C3987">
        <w:t>ACCC inquiry</w:t>
      </w:r>
      <w:r w:rsidR="00D966A7">
        <w:t xml:space="preserve"> (the final report was released 29 January 2024)</w:t>
      </w:r>
    </w:p>
    <w:p w14:paraId="077D14B1" w14:textId="6C1E333C" w:rsidR="001D1ACC" w:rsidRDefault="00BA20CF" w:rsidP="00633E9D">
      <w:pPr>
        <w:pStyle w:val="ListBullet"/>
      </w:pPr>
      <w:r>
        <w:t>r</w:t>
      </w:r>
      <w:r w:rsidR="003C3987">
        <w:t>eforms under the Preschool Reform Agreement</w:t>
      </w:r>
      <w:r w:rsidR="00D966A7">
        <w:t xml:space="preserve"> </w:t>
      </w:r>
      <w:r w:rsidR="009739F3">
        <w:t>(the agreement runs from 2022 to 2025)</w:t>
      </w:r>
    </w:p>
    <w:p w14:paraId="6874EF05" w14:textId="6E133119" w:rsidR="001D1ACC" w:rsidRDefault="00BA20CF" w:rsidP="00633E9D">
      <w:pPr>
        <w:pStyle w:val="ListBullet"/>
      </w:pPr>
      <w:r>
        <w:t>v</w:t>
      </w:r>
      <w:r w:rsidR="005079C0">
        <w:t>arious state and territory government reforms and initiative</w:t>
      </w:r>
      <w:r w:rsidR="00E87680">
        <w:t>s</w:t>
      </w:r>
      <w:r w:rsidR="009739F3">
        <w:t xml:space="preserve"> (including two years of preschool and additional hours in the year before school</w:t>
      </w:r>
      <w:r w:rsidR="001E0C4E">
        <w:t>, at various stages of design and implementation</w:t>
      </w:r>
      <w:r w:rsidR="009739F3">
        <w:t>)</w:t>
      </w:r>
    </w:p>
    <w:p w14:paraId="0F6F851B" w14:textId="7138336A" w:rsidR="00D15BB6" w:rsidRDefault="008420C6" w:rsidP="00633E9D">
      <w:pPr>
        <w:pStyle w:val="ListBullet"/>
      </w:pPr>
      <w:r>
        <w:t xml:space="preserve">the </w:t>
      </w:r>
      <w:r w:rsidR="005079C0">
        <w:t>Closing the Gap Early Childhood Care and Development Policy Partnership (ECPP) (further discussed below</w:t>
      </w:r>
      <w:r w:rsidR="001D1ACC">
        <w:t xml:space="preserve"> under </w:t>
      </w:r>
      <w:r w:rsidR="00902A1E">
        <w:t>r</w:t>
      </w:r>
      <w:r w:rsidR="001D1ACC">
        <w:t>eview finding 9</w:t>
      </w:r>
      <w:r w:rsidR="005079C0">
        <w:t>).</w:t>
      </w:r>
      <w:r w:rsidR="002E497C">
        <w:t xml:space="preserve"> </w:t>
      </w:r>
    </w:p>
    <w:p w14:paraId="0A0AAC0E" w14:textId="77777777" w:rsidR="00653BAE" w:rsidRDefault="00653BAE" w:rsidP="002B2382">
      <w:pPr>
        <w:pStyle w:val="ListBullet"/>
        <w:numPr>
          <w:ilvl w:val="0"/>
          <w:numId w:val="0"/>
        </w:numPr>
        <w:ind w:left="1080"/>
      </w:pPr>
    </w:p>
    <w:p w14:paraId="76C262B9" w14:textId="77777777" w:rsidR="00DD6ECA" w:rsidRDefault="00653BAE" w:rsidP="00DD6ECA">
      <w:r>
        <w:t xml:space="preserve">While the Vision remains in draft and various other policy reviews and initiatives are yet to be finalised, it is not possible to definitively determine the CCCFR grant’s alignment to the Australian Government’s strategic objectives. </w:t>
      </w:r>
      <w:r w:rsidR="00DD6ECA">
        <w:t>However, some contemporary policy directions have been identified as relevant to the CCCFR grant objectives and intent, including:</w:t>
      </w:r>
    </w:p>
    <w:p w14:paraId="1A5257AF" w14:textId="11335BF6" w:rsidR="00DD6ECA" w:rsidRDefault="00CF4168" w:rsidP="00DD6ECA">
      <w:pPr>
        <w:pStyle w:val="ListBullet"/>
      </w:pPr>
      <w:r>
        <w:t>c</w:t>
      </w:r>
      <w:r w:rsidR="00DD6ECA">
        <w:t xml:space="preserve">ommitments to ensuring that children </w:t>
      </w:r>
      <w:r w:rsidR="00EC3EA9">
        <w:t>can</w:t>
      </w:r>
      <w:r w:rsidR="00DD6ECA">
        <w:t xml:space="preserve"> access ECEC whatever their background, or the circumstances of their parents.</w:t>
      </w:r>
      <w:r w:rsidR="00DD6ECA">
        <w:rPr>
          <w:rStyle w:val="FootnoteReference"/>
        </w:rPr>
        <w:footnoteReference w:id="110"/>
      </w:r>
      <w:r w:rsidR="00DD6ECA">
        <w:t xml:space="preserve"> This includes a focus on making sure ECEC is affordable</w:t>
      </w:r>
      <w:r w:rsidR="00DD6ECA">
        <w:rPr>
          <w:rStyle w:val="FootnoteReference"/>
        </w:rPr>
        <w:footnoteReference w:id="111"/>
      </w:r>
      <w:r w:rsidR="00DD6ECA">
        <w:t xml:space="preserve"> </w:t>
      </w:r>
    </w:p>
    <w:p w14:paraId="63FA8D71" w14:textId="27CAF63F" w:rsidR="00DD6ECA" w:rsidRDefault="00CF4168" w:rsidP="00DD6ECA">
      <w:pPr>
        <w:pStyle w:val="ListBullet"/>
      </w:pPr>
      <w:r>
        <w:t>t</w:t>
      </w:r>
      <w:r w:rsidR="00DD6ECA">
        <w:t>he importance of culturally inclusive ECEC, and particularly culturally inclusive services and programs for Aboriginal and Torres Strait Islander children and their families</w:t>
      </w:r>
      <w:r w:rsidR="00DD6ECA">
        <w:rPr>
          <w:rStyle w:val="FootnoteReference"/>
        </w:rPr>
        <w:footnoteReference w:id="112"/>
      </w:r>
    </w:p>
    <w:p w14:paraId="1E112316" w14:textId="3055983E" w:rsidR="00DD6ECA" w:rsidRDefault="00DD6ECA" w:rsidP="00902A1E">
      <w:pPr>
        <w:pStyle w:val="ListBullet2"/>
      </w:pPr>
      <w:r>
        <w:t>The role of the community controlled sector in providing culturally inclusive ECEC for Aboriginal and Torres Strait Islander children and their families</w:t>
      </w:r>
      <w:r>
        <w:rPr>
          <w:rStyle w:val="FootnoteReference"/>
        </w:rPr>
        <w:footnoteReference w:id="113"/>
      </w:r>
    </w:p>
    <w:p w14:paraId="127BC036" w14:textId="46EA58F8" w:rsidR="00DD6ECA" w:rsidRDefault="00CF4168" w:rsidP="00DD6ECA">
      <w:pPr>
        <w:pStyle w:val="ListBullet"/>
      </w:pPr>
      <w:r>
        <w:t>r</w:t>
      </w:r>
      <w:r w:rsidR="00DD6ECA">
        <w:t>ecognition of the roles that place-based and community centred approaches have on ECEC provision, participation, and successful outcomes</w:t>
      </w:r>
      <w:r w:rsidR="00DD6ECA">
        <w:rPr>
          <w:rStyle w:val="FootnoteReference"/>
        </w:rPr>
        <w:footnoteReference w:id="114"/>
      </w:r>
    </w:p>
    <w:p w14:paraId="38BE8B7C" w14:textId="2763EAA0" w:rsidR="004B2C90" w:rsidRDefault="00CF4168" w:rsidP="00DD6ECA">
      <w:pPr>
        <w:pStyle w:val="ListBullet"/>
      </w:pPr>
      <w:r>
        <w:t>g</w:t>
      </w:r>
      <w:r w:rsidR="00DD6ECA">
        <w:t>rowing support for supply-side funding, in recognition of some of the failures of the mainstream child care funding model, particularly in thin markets.</w:t>
      </w:r>
      <w:r w:rsidR="00DD6ECA">
        <w:rPr>
          <w:rStyle w:val="FootnoteReference"/>
        </w:rPr>
        <w:footnoteReference w:id="115"/>
      </w:r>
      <w:r w:rsidR="002E497C">
        <w:t xml:space="preserve"> </w:t>
      </w:r>
      <w:r w:rsidR="00DD6ECA">
        <w:t xml:space="preserve"> </w:t>
      </w:r>
    </w:p>
    <w:p w14:paraId="0A41E33A" w14:textId="29F72EE1" w:rsidR="005079C0" w:rsidRDefault="005079C0" w:rsidP="00CD38C6">
      <w:pPr>
        <w:pStyle w:val="NoSpacing"/>
      </w:pPr>
    </w:p>
    <w:p w14:paraId="58DCCB73" w14:textId="52DEFC1A" w:rsidR="00526F01" w:rsidRDefault="00BB41CE" w:rsidP="00633E9D">
      <w:r>
        <w:t xml:space="preserve">At a high level, </w:t>
      </w:r>
      <w:r w:rsidR="00A26BBC">
        <w:t>the CCCFR grant objectives and intent</w:t>
      </w:r>
      <w:r w:rsidR="00767702">
        <w:t xml:space="preserve"> remain</w:t>
      </w:r>
      <w:r w:rsidR="00A26BBC">
        <w:t xml:space="preserve"> align</w:t>
      </w:r>
      <w:r w:rsidR="00767702">
        <w:t>ed</w:t>
      </w:r>
      <w:r w:rsidR="00A26BBC">
        <w:t xml:space="preserve"> with the strategic objectives of the Australian </w:t>
      </w:r>
      <w:r w:rsidR="009F42E6">
        <w:t>G</w:t>
      </w:r>
      <w:r w:rsidR="00A26BBC">
        <w:t>overnment</w:t>
      </w:r>
      <w:r w:rsidR="005A6FDC">
        <w:t>; that is</w:t>
      </w:r>
      <w:r w:rsidR="0041287A">
        <w:t>, intentions</w:t>
      </w:r>
      <w:r w:rsidR="005A6FDC">
        <w:t xml:space="preserve"> to improve child development outcomes</w:t>
      </w:r>
      <w:r w:rsidR="007C7F88">
        <w:t xml:space="preserve"> for children </w:t>
      </w:r>
      <w:r w:rsidR="008D0432">
        <w:t xml:space="preserve">(including those </w:t>
      </w:r>
      <w:r w:rsidR="007C7F88">
        <w:t>experiencing vulnerability and disadvantage</w:t>
      </w:r>
      <w:r w:rsidR="008D0432">
        <w:t>)</w:t>
      </w:r>
      <w:r w:rsidR="005A6FDC">
        <w:t xml:space="preserve"> and</w:t>
      </w:r>
      <w:r w:rsidR="007C7F88">
        <w:t xml:space="preserve"> to</w:t>
      </w:r>
      <w:r w:rsidR="005A6FDC">
        <w:t xml:space="preserve"> support wo</w:t>
      </w:r>
      <w:r w:rsidR="004B2C90">
        <w:t>r</w:t>
      </w:r>
      <w:r w:rsidR="005A6FDC">
        <w:t xml:space="preserve">kforce participation </w:t>
      </w:r>
      <w:r w:rsidR="007C7F88">
        <w:t xml:space="preserve">for families </w:t>
      </w:r>
      <w:r w:rsidR="008D0432">
        <w:t>(including those</w:t>
      </w:r>
      <w:r w:rsidR="007C7F88">
        <w:t xml:space="preserve"> </w:t>
      </w:r>
      <w:r w:rsidR="00323DEF">
        <w:t>experiencing vulnerability and disadvantage</w:t>
      </w:r>
      <w:r w:rsidR="005A6FDC">
        <w:t>)</w:t>
      </w:r>
      <w:r w:rsidR="0041287A">
        <w:t xml:space="preserve"> are still </w:t>
      </w:r>
      <w:r w:rsidR="0041287A">
        <w:lastRenderedPageBreak/>
        <w:t>held</w:t>
      </w:r>
      <w:r w:rsidR="00A26BBC">
        <w:t xml:space="preserve">. </w:t>
      </w:r>
      <w:r w:rsidR="0050681E">
        <w:t xml:space="preserve">However, </w:t>
      </w:r>
      <w:r w:rsidR="0057471E">
        <w:t>contemporary,</w:t>
      </w:r>
      <w:r w:rsidR="00767702">
        <w:t xml:space="preserve"> and emerging</w:t>
      </w:r>
      <w:r w:rsidR="00E9436B">
        <w:t xml:space="preserve"> policy directions indicate growing divergences with the </w:t>
      </w:r>
      <w:r w:rsidR="00444167">
        <w:t xml:space="preserve">relative </w:t>
      </w:r>
      <w:r w:rsidR="00444167" w:rsidRPr="00CD38C6">
        <w:rPr>
          <w:i/>
          <w:iCs/>
        </w:rPr>
        <w:t>weighting</w:t>
      </w:r>
      <w:r w:rsidR="00444167">
        <w:t xml:space="preserve"> of the </w:t>
      </w:r>
      <w:r w:rsidR="003B6F8D">
        <w:t>objectives</w:t>
      </w:r>
      <w:r w:rsidR="005102E8">
        <w:t xml:space="preserve"> and </w:t>
      </w:r>
      <w:r w:rsidR="00444167" w:rsidRPr="00CD38C6">
        <w:rPr>
          <w:i/>
          <w:iCs/>
        </w:rPr>
        <w:t>how</w:t>
      </w:r>
      <w:r w:rsidR="00444167">
        <w:t xml:space="preserve"> they should be achieved</w:t>
      </w:r>
      <w:r w:rsidR="00215100">
        <w:t xml:space="preserve">. </w:t>
      </w:r>
    </w:p>
    <w:p w14:paraId="178338B1" w14:textId="77777777" w:rsidR="009C2DDF" w:rsidRDefault="00FA138C" w:rsidP="00367382">
      <w:r>
        <w:t xml:space="preserve">The </w:t>
      </w:r>
      <w:r w:rsidR="004D110F">
        <w:rPr>
          <w:i/>
          <w:iCs/>
        </w:rPr>
        <w:t xml:space="preserve">weighting </w:t>
      </w:r>
      <w:r w:rsidR="004D110F">
        <w:t xml:space="preserve">of the objectives </w:t>
      </w:r>
      <w:r w:rsidR="00B93BCD">
        <w:t xml:space="preserve">refers to the balance between child development outcomes and workforce participation in communities that may be experiencing vulnerability and disadvantage, including for Aboriginal and Torres Strait Islander families. </w:t>
      </w:r>
      <w:r w:rsidR="00B068CB">
        <w:t xml:space="preserve">There is growing appetite for universal access to ECEC for children, </w:t>
      </w:r>
      <w:r w:rsidR="0052022D">
        <w:t xml:space="preserve">regardless of their parent/carer’s </w:t>
      </w:r>
      <w:r w:rsidR="00A1294E">
        <w:t>participation in the workforce</w:t>
      </w:r>
      <w:r w:rsidR="00F946B7">
        <w:t>, signalled by the Productivity Commission’s terms of reference</w:t>
      </w:r>
      <w:r w:rsidR="004B2C90">
        <w:t xml:space="preserve"> to investigate universal access to ECEC. </w:t>
      </w:r>
    </w:p>
    <w:p w14:paraId="0381CE6C" w14:textId="0B7D5E0D" w:rsidR="00B93BCD" w:rsidRDefault="00944FCA" w:rsidP="00367382">
      <w:r>
        <w:t xml:space="preserve">Several stakeholders spoke to a growing recognition in government policy that </w:t>
      </w:r>
      <w:r w:rsidR="00F77A97">
        <w:t xml:space="preserve">for children experiencing vulnerability and disadvantage, poorer development outcomes may be compounded by linking access to ECEC with parental workforce participation under the activity test. The relaxing of the activity test for Aboriginal and Torres Strait Islander children was given as an example of this. </w:t>
      </w:r>
      <w:r w:rsidR="00682C50">
        <w:t xml:space="preserve">This was also spoken about for families living in remote or very remote areas, </w:t>
      </w:r>
      <w:r w:rsidR="008C5D87">
        <w:t>who might otherwise not be experiencing disadvantage</w:t>
      </w:r>
      <w:r w:rsidR="00EB1037">
        <w:t xml:space="preserve">. In these circumstances, </w:t>
      </w:r>
      <w:r w:rsidR="00AC0A55">
        <w:t xml:space="preserve">services </w:t>
      </w:r>
      <w:r w:rsidR="00716B5C">
        <w:t xml:space="preserve">which may be either infrequent </w:t>
      </w:r>
      <w:r w:rsidR="00EC7E52">
        <w:t>(</w:t>
      </w:r>
      <w:r w:rsidR="00DE0C07">
        <w:t xml:space="preserve">mobile services </w:t>
      </w:r>
      <w:r w:rsidR="00D473E3">
        <w:t xml:space="preserve">usually rotate the sites they visit) </w:t>
      </w:r>
      <w:r w:rsidR="00716B5C">
        <w:t xml:space="preserve">or </w:t>
      </w:r>
      <w:r w:rsidR="00EC7E52">
        <w:t>very far away</w:t>
      </w:r>
      <w:r w:rsidR="00D473E3">
        <w:t>,</w:t>
      </w:r>
      <w:r w:rsidR="00EC7E52">
        <w:t xml:space="preserve"> </w:t>
      </w:r>
      <w:r w:rsidR="00AC0A55">
        <w:t>mean</w:t>
      </w:r>
      <w:r w:rsidR="00D473E3">
        <w:t>ing</w:t>
      </w:r>
      <w:r w:rsidR="00AC0A55">
        <w:t xml:space="preserve"> that it is not practical to use ECEC services as child care in order to wor</w:t>
      </w:r>
      <w:r w:rsidR="000E76CC">
        <w:t xml:space="preserve">k. In these instances, child development outcomes including school readiness, are the primary purpose of these services, with some additional benefits for families </w:t>
      </w:r>
      <w:r w:rsidR="000E76CC" w:rsidRPr="009C5ADC">
        <w:t xml:space="preserve">(see </w:t>
      </w:r>
      <w:r w:rsidR="009C5ADC" w:rsidRPr="009C5ADC">
        <w:t>s</w:t>
      </w:r>
      <w:r w:rsidR="009359DE" w:rsidRPr="009C5ADC">
        <w:t xml:space="preserve">ection </w:t>
      </w:r>
      <w:r w:rsidR="009C5ADC" w:rsidRPr="009C5ADC">
        <w:fldChar w:fldCharType="begin"/>
      </w:r>
      <w:r w:rsidR="009C5ADC" w:rsidRPr="009C5ADC">
        <w:instrText xml:space="preserve"> REF _Ref152664728 \r \h </w:instrText>
      </w:r>
      <w:r w:rsidR="009C5ADC">
        <w:instrText xml:space="preserve"> \* MERGEFORMAT </w:instrText>
      </w:r>
      <w:r w:rsidR="009C5ADC" w:rsidRPr="009C5ADC">
        <w:fldChar w:fldCharType="separate"/>
      </w:r>
      <w:r w:rsidR="00D300D0">
        <w:t>5.4</w:t>
      </w:r>
      <w:r w:rsidR="009C5ADC" w:rsidRPr="009C5ADC">
        <w:fldChar w:fldCharType="end"/>
      </w:r>
      <w:r w:rsidR="009359DE" w:rsidRPr="009C5ADC">
        <w:t>).</w:t>
      </w:r>
      <w:r w:rsidR="009359DE">
        <w:t xml:space="preserve"> </w:t>
      </w:r>
      <w:r w:rsidR="00A042DD">
        <w:t>While at a</w:t>
      </w:r>
      <w:r w:rsidR="00B2063E">
        <w:t>n overarching strategic policy level, the</w:t>
      </w:r>
      <w:r w:rsidR="005506F8">
        <w:t xml:space="preserve"> Australian Government </w:t>
      </w:r>
      <w:r w:rsidR="007A2F05">
        <w:t xml:space="preserve">has a dual focus on early childhood development outcomes and workforce participation, </w:t>
      </w:r>
      <w:r w:rsidR="00627B3B">
        <w:t xml:space="preserve">when considering cohorts experiencing vulnerability and disadvantage, such as those served by the CCCFR, </w:t>
      </w:r>
      <w:r w:rsidR="00AF24E5">
        <w:t xml:space="preserve">there is </w:t>
      </w:r>
      <w:r w:rsidR="00FE67AF">
        <w:t>a growing</w:t>
      </w:r>
      <w:r w:rsidR="00AF24E5">
        <w:t xml:space="preserve"> </w:t>
      </w:r>
      <w:r w:rsidR="003D6314">
        <w:t xml:space="preserve">recognition of the primacy </w:t>
      </w:r>
      <w:r w:rsidR="00B05469">
        <w:t xml:space="preserve">of child development outcomes. </w:t>
      </w:r>
      <w:r w:rsidR="00AD3DF9">
        <w:t>This is not explicit in the CCCFR objectives</w:t>
      </w:r>
      <w:r w:rsidR="00AB5DDD">
        <w:t>.</w:t>
      </w:r>
      <w:r w:rsidR="002E497C">
        <w:t xml:space="preserve"> </w:t>
      </w:r>
    </w:p>
    <w:p w14:paraId="64D20F2F" w14:textId="77777777" w:rsidR="005406F8" w:rsidRDefault="00437413" w:rsidP="007F4959">
      <w:r>
        <w:t>Another</w:t>
      </w:r>
      <w:r w:rsidR="00DF1A0A">
        <w:t xml:space="preserve"> potential</w:t>
      </w:r>
      <w:r w:rsidR="00526F01">
        <w:t xml:space="preserve"> divergence</w:t>
      </w:r>
      <w:r>
        <w:t xml:space="preserve"> from the Australian Government’s strategic </w:t>
      </w:r>
      <w:r w:rsidR="001150EA">
        <w:t>objectives</w:t>
      </w:r>
      <w:r w:rsidR="003B6F8D">
        <w:t xml:space="preserve"> </w:t>
      </w:r>
      <w:r w:rsidR="00526F01">
        <w:t xml:space="preserve">is </w:t>
      </w:r>
      <w:r w:rsidR="007D6C86">
        <w:t xml:space="preserve">the intent to bring </w:t>
      </w:r>
      <w:r w:rsidR="0050625A">
        <w:t xml:space="preserve">CCCFR </w:t>
      </w:r>
      <w:r w:rsidR="003934DD">
        <w:t xml:space="preserve">services under mainstream funding models, </w:t>
      </w:r>
      <w:r w:rsidR="00526F01">
        <w:t xml:space="preserve">which </w:t>
      </w:r>
      <w:r w:rsidR="00AA393A">
        <w:t>are</w:t>
      </w:r>
      <w:r w:rsidR="00526F01">
        <w:t xml:space="preserve"> increasingly recognised </w:t>
      </w:r>
      <w:r w:rsidR="00AA393A">
        <w:t>as insufficient for services operating in thin/remote markets</w:t>
      </w:r>
      <w:r w:rsidR="006D314E">
        <w:t>,</w:t>
      </w:r>
      <w:r w:rsidR="00AA393A">
        <w:t xml:space="preserve"> serving children and families experiencing disadvantage</w:t>
      </w:r>
      <w:r w:rsidR="005E6C5E">
        <w:t xml:space="preserve"> and vulnerability</w:t>
      </w:r>
      <w:r w:rsidR="00AA393A">
        <w:t xml:space="preserve">, or who are less likely </w:t>
      </w:r>
      <w:r w:rsidR="00280034">
        <w:t xml:space="preserve">to access ECEC. </w:t>
      </w:r>
      <w:r w:rsidR="00DF1A0A">
        <w:t xml:space="preserve">Both the Productivity Commission and ACCC Inquiry find that government should </w:t>
      </w:r>
      <w:r w:rsidR="001150EA">
        <w:t>provide</w:t>
      </w:r>
      <w:r w:rsidR="00DF1A0A">
        <w:t xml:space="preserve"> supply side </w:t>
      </w:r>
      <w:r w:rsidR="001150EA">
        <w:t xml:space="preserve">or block </w:t>
      </w:r>
      <w:r w:rsidR="00DF1A0A">
        <w:t xml:space="preserve">funding </w:t>
      </w:r>
      <w:r w:rsidR="001150EA">
        <w:t>to ensure viability</w:t>
      </w:r>
      <w:r w:rsidR="001637A8">
        <w:t xml:space="preserve"> (the Productivity Commission report remains in draft at the time of this report)</w:t>
      </w:r>
      <w:r w:rsidR="001150EA">
        <w:t xml:space="preserve">. This </w:t>
      </w:r>
      <w:r w:rsidR="00247C42">
        <w:t>contradicts</w:t>
      </w:r>
      <w:r w:rsidR="001150EA">
        <w:t xml:space="preserve"> </w:t>
      </w:r>
      <w:r w:rsidR="003D08D0">
        <w:t>an intention for the</w:t>
      </w:r>
      <w:r w:rsidR="001150EA">
        <w:t xml:space="preserve"> </w:t>
      </w:r>
      <w:r w:rsidR="009F5712">
        <w:t>CCCFR grant</w:t>
      </w:r>
      <w:r w:rsidR="001150EA">
        <w:t xml:space="preserve"> that services should become sustainable under CCS/ACCS and fee income, </w:t>
      </w:r>
      <w:r w:rsidR="00AB5DDD">
        <w:t>i.e.,</w:t>
      </w:r>
      <w:r w:rsidR="001150EA">
        <w:t xml:space="preserve"> without</w:t>
      </w:r>
      <w:r w:rsidR="004064B9">
        <w:t xml:space="preserve"> receiving</w:t>
      </w:r>
      <w:r w:rsidR="001150EA">
        <w:t xml:space="preserve"> the CCCFR grant</w:t>
      </w:r>
      <w:r w:rsidR="00A23068">
        <w:t xml:space="preserve"> or other </w:t>
      </w:r>
      <w:r w:rsidR="001637A8">
        <w:t>additional funding</w:t>
      </w:r>
      <w:r w:rsidR="001150EA">
        <w:t>.</w:t>
      </w:r>
      <w:r w:rsidR="00280034">
        <w:t xml:space="preserve"> </w:t>
      </w:r>
      <w:r w:rsidR="001637A8">
        <w:t xml:space="preserve">The </w:t>
      </w:r>
      <w:r w:rsidR="008E6C00">
        <w:t>outcomes</w:t>
      </w:r>
      <w:r w:rsidR="001637A8">
        <w:t xml:space="preserve"> of t</w:t>
      </w:r>
      <w:r w:rsidR="008E6C00">
        <w:t xml:space="preserve">he ACCC Inquiry and Productivity Commission report should therefore be considered in determining the future direction of the grant, per the recommendations 1-4. </w:t>
      </w:r>
    </w:p>
    <w:p w14:paraId="1AE64CD3" w14:textId="50B49FA6" w:rsidR="00F52F4C" w:rsidRDefault="00842246" w:rsidP="007F4959">
      <w:r>
        <w:t xml:space="preserve">CCCFR services are not the </w:t>
      </w:r>
      <w:r w:rsidR="009708F7">
        <w:t xml:space="preserve">only services to face </w:t>
      </w:r>
      <w:r w:rsidR="00F74911">
        <w:t xml:space="preserve">challenges </w:t>
      </w:r>
      <w:r w:rsidR="00595AE9">
        <w:t xml:space="preserve">operating </w:t>
      </w:r>
      <w:r w:rsidR="0062345A">
        <w:t xml:space="preserve">under the mainstream funding system, </w:t>
      </w:r>
      <w:r w:rsidR="005F5FB7">
        <w:t>and</w:t>
      </w:r>
      <w:r w:rsidR="00AC6A41">
        <w:t>, further,</w:t>
      </w:r>
      <w:r w:rsidR="005F5FB7">
        <w:t xml:space="preserve"> there are many areas of Australia, particularly in remote and very remote areas, which do not have access to </w:t>
      </w:r>
      <w:r w:rsidR="00904EDA">
        <w:t>child care services</w:t>
      </w:r>
      <w:r w:rsidR="00DB6245">
        <w:t xml:space="preserve"> due to </w:t>
      </w:r>
      <w:r w:rsidR="00203FC7">
        <w:t xml:space="preserve">viability issues. </w:t>
      </w:r>
      <w:r w:rsidR="00786236">
        <w:t>As a restricte</w:t>
      </w:r>
      <w:r w:rsidR="00655A55">
        <w:t>d, or closed,</w:t>
      </w:r>
      <w:r w:rsidR="00786236">
        <w:t xml:space="preserve"> grant</w:t>
      </w:r>
      <w:r w:rsidR="00655A55">
        <w:t xml:space="preserve">, the CCCFR grant is </w:t>
      </w:r>
      <w:r w:rsidR="008A0B88">
        <w:t xml:space="preserve">confined to only certain, existing, services </w:t>
      </w:r>
      <w:r w:rsidR="002400AD">
        <w:t xml:space="preserve">which have historically been </w:t>
      </w:r>
      <w:r w:rsidR="007D6A53">
        <w:t>aligned to</w:t>
      </w:r>
      <w:r w:rsidR="00D3432E">
        <w:t xml:space="preserve"> a child care delivery profile, although in some cases this was a loose alignment.</w:t>
      </w:r>
      <w:r w:rsidR="00C52316">
        <w:t xml:space="preserve"> As a </w:t>
      </w:r>
      <w:r w:rsidR="008D600E">
        <w:t>result</w:t>
      </w:r>
      <w:r w:rsidR="00ED4781">
        <w:t>,</w:t>
      </w:r>
      <w:r w:rsidR="008D600E">
        <w:t xml:space="preserve"> the extent to which the grant is able to respond to n</w:t>
      </w:r>
      <w:r w:rsidR="006856DB">
        <w:t>ational need is constrained</w:t>
      </w:r>
      <w:r w:rsidR="00145B4E">
        <w:t xml:space="preserve"> (discussed further in chapter </w:t>
      </w:r>
      <w:r w:rsidR="00145B4E">
        <w:fldChar w:fldCharType="begin"/>
      </w:r>
      <w:r w:rsidR="00145B4E">
        <w:instrText xml:space="preserve"> REF _Ref152873153 \r \h </w:instrText>
      </w:r>
      <w:r w:rsidR="00145B4E">
        <w:fldChar w:fldCharType="separate"/>
      </w:r>
      <w:r w:rsidR="00D300D0">
        <w:t>6</w:t>
      </w:r>
      <w:r w:rsidR="00145B4E">
        <w:fldChar w:fldCharType="end"/>
      </w:r>
      <w:r w:rsidR="00145B4E">
        <w:t xml:space="preserve">). </w:t>
      </w:r>
    </w:p>
    <w:p w14:paraId="57059B17" w14:textId="1419649E" w:rsidR="00F5118A" w:rsidRDefault="000E50D0" w:rsidP="007F4959">
      <w:r>
        <w:t>In its present state</w:t>
      </w:r>
      <w:r w:rsidR="00661528">
        <w:t>,</w:t>
      </w:r>
      <w:r w:rsidR="00B1505A">
        <w:t xml:space="preserve"> the CCCFR grant </w:t>
      </w:r>
      <w:r w:rsidR="009D2722">
        <w:t>focus</w:t>
      </w:r>
      <w:r>
        <w:t>es</w:t>
      </w:r>
      <w:r w:rsidR="009D2722">
        <w:t xml:space="preserve"> on </w:t>
      </w:r>
      <w:r w:rsidR="000C191B">
        <w:t>ensuring continuity and sustainability of existing services</w:t>
      </w:r>
      <w:r w:rsidR="00434A57">
        <w:t xml:space="preserve"> </w:t>
      </w:r>
      <w:r>
        <w:t>to achieve its objectives</w:t>
      </w:r>
      <w:r w:rsidR="00D9749D">
        <w:t xml:space="preserve">. </w:t>
      </w:r>
      <w:r w:rsidR="00F9063A">
        <w:t xml:space="preserve">This raises </w:t>
      </w:r>
      <w:r w:rsidR="00CE1CBF">
        <w:t xml:space="preserve">a </w:t>
      </w:r>
      <w:r w:rsidR="008C3B39">
        <w:t xml:space="preserve">much broader consideration related to the Australian </w:t>
      </w:r>
      <w:r w:rsidR="00FA67FC">
        <w:t>G</w:t>
      </w:r>
      <w:r w:rsidR="008C3B39">
        <w:t>overnment’s role as a steward of the child care system</w:t>
      </w:r>
      <w:r w:rsidR="00FA67FC">
        <w:t xml:space="preserve">. </w:t>
      </w:r>
      <w:r w:rsidR="00982D7F">
        <w:t xml:space="preserve">If the Government’s </w:t>
      </w:r>
      <w:r w:rsidR="007E63DB">
        <w:t>strategic role is to ensure continuity of service delivery, per the initial stated obj</w:t>
      </w:r>
      <w:r w:rsidR="00B134CC">
        <w:t>e</w:t>
      </w:r>
      <w:r w:rsidR="007E63DB">
        <w:t>ctives,</w:t>
      </w:r>
      <w:r w:rsidR="002C0AFA">
        <w:t xml:space="preserve"> the restricted nature of CCCFR is </w:t>
      </w:r>
      <w:r w:rsidR="00361A32">
        <w:t>well aligned</w:t>
      </w:r>
      <w:r w:rsidR="009C1207">
        <w:t>.</w:t>
      </w:r>
      <w:r w:rsidR="00D8254B">
        <w:t xml:space="preserve"> </w:t>
      </w:r>
      <w:r w:rsidR="00B134CC">
        <w:t xml:space="preserve">If it is to </w:t>
      </w:r>
      <w:r w:rsidR="004C011A">
        <w:t xml:space="preserve">distribute funding </w:t>
      </w:r>
      <w:r w:rsidR="00BC5131">
        <w:t>to best achieve workforce participation and child development outcomes</w:t>
      </w:r>
      <w:r w:rsidR="003F095C">
        <w:t xml:space="preserve"> for communities experiencing vulnerability and disadvantage</w:t>
      </w:r>
      <w:r w:rsidR="00BC5131">
        <w:t xml:space="preserve">, </w:t>
      </w:r>
      <w:r w:rsidR="006C0DA1">
        <w:t>i</w:t>
      </w:r>
      <w:r w:rsidR="00205CB4">
        <w:t xml:space="preserve">t is appropriate to consider whether </w:t>
      </w:r>
      <w:r w:rsidR="006138EA">
        <w:t xml:space="preserve">funding </w:t>
      </w:r>
      <w:r w:rsidR="006156E9">
        <w:t>currently allocated to</w:t>
      </w:r>
      <w:r w:rsidR="00205CB4">
        <w:t xml:space="preserve"> services with low utilisation and low engagement </w:t>
      </w:r>
      <w:r w:rsidR="007C6A4E">
        <w:t xml:space="preserve">could be more efficiently used </w:t>
      </w:r>
      <w:r w:rsidR="00DF070A">
        <w:t>by other services or in other communities</w:t>
      </w:r>
      <w:r w:rsidR="007C6A4E">
        <w:t>.</w:t>
      </w:r>
      <w:r w:rsidR="001F546E">
        <w:rPr>
          <w:rStyle w:val="FootnoteReference"/>
        </w:rPr>
        <w:footnoteReference w:id="116"/>
      </w:r>
      <w:r w:rsidR="00DF070A">
        <w:t xml:space="preserve"> </w:t>
      </w:r>
      <w:r w:rsidR="00063EFE">
        <w:t xml:space="preserve">However, </w:t>
      </w:r>
      <w:r w:rsidR="005062D1">
        <w:t xml:space="preserve">given the Australian </w:t>
      </w:r>
      <w:r w:rsidR="0056479B">
        <w:t>G</w:t>
      </w:r>
      <w:r w:rsidR="005062D1">
        <w:t xml:space="preserve">overnment’s stated commitment to universal ECEC, removing grant funding </w:t>
      </w:r>
      <w:r w:rsidR="005062D1">
        <w:lastRenderedPageBreak/>
        <w:t xml:space="preserve">from existing services, where there is demonstrated reliance on the grant, would be misaligned to Government policy.   </w:t>
      </w:r>
    </w:p>
    <w:p w14:paraId="2C3ACBE2" w14:textId="39223A93" w:rsidR="0009471F" w:rsidRDefault="00FF016E" w:rsidP="00FF016E">
      <w:r>
        <w:t xml:space="preserve">In considering </w:t>
      </w:r>
      <w:r w:rsidRPr="00CD38C6">
        <w:rPr>
          <w:i/>
          <w:iCs/>
        </w:rPr>
        <w:t>how</w:t>
      </w:r>
      <w:r>
        <w:t xml:space="preserve"> the CCCFR grant achieves its objectives, </w:t>
      </w:r>
      <w:r w:rsidR="006D1A62">
        <w:t xml:space="preserve">one </w:t>
      </w:r>
      <w:r w:rsidR="006600C6">
        <w:t xml:space="preserve">aspect which could have greater alignment to contemporary </w:t>
      </w:r>
      <w:r w:rsidR="00E71D64">
        <w:t xml:space="preserve">policy </w:t>
      </w:r>
      <w:r w:rsidR="006E7CED">
        <w:t>considerations is partnerships across portfolios.</w:t>
      </w:r>
      <w:r>
        <w:t xml:space="preserve"> </w:t>
      </w:r>
      <w:r w:rsidR="00DB7FCE">
        <w:t xml:space="preserve">The Early Years Strategy </w:t>
      </w:r>
      <w:r w:rsidR="00196BCA">
        <w:t>discussion paper includes a key consideration o</w:t>
      </w:r>
      <w:r w:rsidR="00317275">
        <w:t>f</w:t>
      </w:r>
      <w:r w:rsidR="00196BCA">
        <w:t xml:space="preserve"> breaking down silos </w:t>
      </w:r>
      <w:r w:rsidR="00E9664B">
        <w:t>across portfolios.</w:t>
      </w:r>
      <w:r w:rsidR="004C7084">
        <w:rPr>
          <w:rStyle w:val="FootnoteReference"/>
        </w:rPr>
        <w:footnoteReference w:id="117"/>
      </w:r>
      <w:r w:rsidR="00E9664B">
        <w:t xml:space="preserve"> </w:t>
      </w:r>
      <w:r w:rsidR="00E27A94">
        <w:t xml:space="preserve">It recognises that </w:t>
      </w:r>
      <w:r>
        <w:t>the Australian Government has a range of strategies, initiatives and reforms that interact with the early years</w:t>
      </w:r>
      <w:r w:rsidR="00B557E5">
        <w:t xml:space="preserve">. </w:t>
      </w:r>
      <w:r w:rsidR="001A2605">
        <w:t xml:space="preserve">For example, in addition to </w:t>
      </w:r>
      <w:r w:rsidR="00B753A0">
        <w:t xml:space="preserve">the </w:t>
      </w:r>
      <w:r w:rsidR="001A2605">
        <w:t>Department</w:t>
      </w:r>
      <w:r w:rsidR="00B753A0">
        <w:t>’s</w:t>
      </w:r>
      <w:r w:rsidR="001A2605">
        <w:t xml:space="preserve"> strategic objectives, there are strong intersections between the CCCFR grant objectives and a range of Department of Social Services initiatives.</w:t>
      </w:r>
      <w:r w:rsidR="001A2605">
        <w:rPr>
          <w:rStyle w:val="FootnoteReference"/>
        </w:rPr>
        <w:footnoteReference w:id="118"/>
      </w:r>
      <w:r w:rsidR="001A2605">
        <w:t xml:space="preserve"> This includes the </w:t>
      </w:r>
      <w:r w:rsidR="001A2605" w:rsidRPr="008D0432">
        <w:t xml:space="preserve">2023–24 </w:t>
      </w:r>
      <w:r w:rsidR="001A2605">
        <w:t>‘entrenched disadvantage package’, with $200</w:t>
      </w:r>
      <w:r w:rsidR="001A2605" w:rsidRPr="008D0432">
        <w:t xml:space="preserve"> million </w:t>
      </w:r>
      <w:r w:rsidR="001A2605">
        <w:t>supporting initiatives</w:t>
      </w:r>
      <w:r w:rsidR="001A2605" w:rsidRPr="008D0432">
        <w:t xml:space="preserve"> to target entrenched community disadvantage. Th</w:t>
      </w:r>
      <w:r w:rsidR="001A2605">
        <w:t>e</w:t>
      </w:r>
      <w:r w:rsidR="001A2605" w:rsidRPr="008D0432">
        <w:t xml:space="preserve"> package has a strong focus on intergenerational disadvantage</w:t>
      </w:r>
      <w:r w:rsidR="001A2605">
        <w:t>, community or ‘for purpose’ led programs</w:t>
      </w:r>
      <w:r w:rsidR="001A2605" w:rsidRPr="008D0432">
        <w:t xml:space="preserve"> and </w:t>
      </w:r>
      <w:r w:rsidR="001A2605">
        <w:t>services,</w:t>
      </w:r>
      <w:r w:rsidR="001A2605" w:rsidRPr="008D0432">
        <w:t xml:space="preserve"> and </w:t>
      </w:r>
      <w:r w:rsidR="001A2605">
        <w:t>a place-based partnership approach</w:t>
      </w:r>
      <w:r w:rsidR="001A2605" w:rsidRPr="008D0432">
        <w:t xml:space="preserve">. </w:t>
      </w:r>
    </w:p>
    <w:p w14:paraId="2E823A38" w14:textId="77777777" w:rsidR="001B7E36" w:rsidRDefault="0008094E" w:rsidP="00CD38C6">
      <w:pPr>
        <w:pStyle w:val="NoSpacing"/>
      </w:pPr>
      <w:r>
        <w:t xml:space="preserve">There is an opportunity to redesign and redefine the objectives </w:t>
      </w:r>
      <w:r w:rsidR="00B14CF5">
        <w:t xml:space="preserve">and intent of the CCCFR grant in line with </w:t>
      </w:r>
      <w:r w:rsidR="00156DFC">
        <w:t>contemporary policy directions. This may also include principles</w:t>
      </w:r>
      <w:r w:rsidR="00C875D5">
        <w:t xml:space="preserve"> of </w:t>
      </w:r>
      <w:r w:rsidR="00C875D5" w:rsidRPr="00840399">
        <w:t>how</w:t>
      </w:r>
      <w:r w:rsidR="00C875D5">
        <w:t xml:space="preserve"> the CCCFR grant intends to achieve its objective</w:t>
      </w:r>
      <w:r w:rsidR="00B21088">
        <w:t>s</w:t>
      </w:r>
      <w:r w:rsidR="00DD3599">
        <w:t>.</w:t>
      </w:r>
      <w:r w:rsidR="00BB0D6F">
        <w:t xml:space="preserve"> </w:t>
      </w:r>
    </w:p>
    <w:p w14:paraId="1A91FFC1" w14:textId="77777777" w:rsidR="001B7E36" w:rsidRDefault="001B7E36" w:rsidP="00CD38C6">
      <w:pPr>
        <w:pStyle w:val="NoSpacing"/>
      </w:pPr>
    </w:p>
    <w:p w14:paraId="7E6BD537" w14:textId="62DCED50" w:rsidR="00415730" w:rsidRDefault="00623A5F" w:rsidP="00CD38C6">
      <w:pPr>
        <w:pStyle w:val="NoSpacing"/>
      </w:pPr>
      <w:r w:rsidRPr="009C5ADC">
        <w:t xml:space="preserve">Chapter </w:t>
      </w:r>
      <w:r w:rsidR="00BE02DB" w:rsidRPr="009C5ADC">
        <w:fldChar w:fldCharType="begin"/>
      </w:r>
      <w:r w:rsidR="00BE02DB" w:rsidRPr="009C5ADC">
        <w:instrText xml:space="preserve"> REF _Ref152873153 \r \h </w:instrText>
      </w:r>
      <w:r w:rsidR="008B7677" w:rsidRPr="009C5ADC">
        <w:instrText xml:space="preserve"> \* MERGEFORMAT </w:instrText>
      </w:r>
      <w:r w:rsidR="00BE02DB" w:rsidRPr="009C5ADC">
        <w:fldChar w:fldCharType="separate"/>
      </w:r>
      <w:r w:rsidR="00D300D0">
        <w:t>6</w:t>
      </w:r>
      <w:r w:rsidR="00BE02DB" w:rsidRPr="009C5ADC">
        <w:fldChar w:fldCharType="end"/>
      </w:r>
      <w:r>
        <w:t xml:space="preserve">: </w:t>
      </w:r>
      <w:r w:rsidR="00BE02DB">
        <w:fldChar w:fldCharType="begin"/>
      </w:r>
      <w:r w:rsidR="00BE02DB">
        <w:instrText xml:space="preserve"> REF _Ref152873153 \h </w:instrText>
      </w:r>
      <w:r w:rsidR="008B7677">
        <w:instrText xml:space="preserve"> \* MERGEFORMAT </w:instrText>
      </w:r>
      <w:r w:rsidR="00BE02DB">
        <w:fldChar w:fldCharType="separate"/>
      </w:r>
      <w:r w:rsidR="00D300D0" w:rsidRPr="003549F9">
        <w:t xml:space="preserve">Policy and funding </w:t>
      </w:r>
      <w:r w:rsidR="00D300D0">
        <w:t>design</w:t>
      </w:r>
      <w:r w:rsidR="00BE02DB">
        <w:fldChar w:fldCharType="end"/>
      </w:r>
      <w:r>
        <w:t xml:space="preserve"> and </w:t>
      </w:r>
      <w:r w:rsidRPr="009C5ADC">
        <w:t xml:space="preserve">Chapter </w:t>
      </w:r>
      <w:r w:rsidRPr="009C5ADC">
        <w:fldChar w:fldCharType="begin"/>
      </w:r>
      <w:r w:rsidRPr="009C5ADC">
        <w:instrText xml:space="preserve"> REF _Ref152783004 \w \h </w:instrText>
      </w:r>
      <w:r w:rsidR="008B7677" w:rsidRPr="009C5ADC">
        <w:instrText xml:space="preserve"> \* MERGEFORMAT </w:instrText>
      </w:r>
      <w:r w:rsidRPr="009C5ADC">
        <w:fldChar w:fldCharType="separate"/>
      </w:r>
      <w:r w:rsidR="00D300D0">
        <w:t>9</w:t>
      </w:r>
      <w:r w:rsidRPr="009C5ADC">
        <w:fldChar w:fldCharType="end"/>
      </w:r>
      <w:r w:rsidRPr="009C5ADC">
        <w:t>:</w:t>
      </w:r>
      <w:r>
        <w:t xml:space="preserve"> </w:t>
      </w:r>
      <w:r>
        <w:fldChar w:fldCharType="begin"/>
      </w:r>
      <w:r>
        <w:instrText xml:space="preserve"> REF _Ref152783004 \h </w:instrText>
      </w:r>
      <w:r w:rsidR="008B7677">
        <w:instrText xml:space="preserve"> \* MERGEFORMAT </w:instrText>
      </w:r>
      <w:r>
        <w:fldChar w:fldCharType="separate"/>
      </w:r>
      <w:r w:rsidR="00D300D0">
        <w:t>Future grant design</w:t>
      </w:r>
      <w:r>
        <w:fldChar w:fldCharType="end"/>
      </w:r>
      <w:r w:rsidR="00DD3599" w:rsidDel="00BE02DB">
        <w:t xml:space="preserve"> </w:t>
      </w:r>
      <w:r>
        <w:t xml:space="preserve">explore in greater detail how to mitigate against changes in policy, which may affect service viability and sustainability. This includes the risks of a grants-based funding mechanism rather than a dedicated funding line with ongoing, recurrent and </w:t>
      </w:r>
      <w:r w:rsidR="00F8627C">
        <w:t>formula-based</w:t>
      </w:r>
      <w:r>
        <w:t xml:space="preserve"> funding determinations.</w:t>
      </w:r>
      <w:r w:rsidR="002E497C">
        <w:t xml:space="preserve"> </w:t>
      </w:r>
    </w:p>
    <w:p w14:paraId="204D1283" w14:textId="77777777" w:rsidR="00EE1124" w:rsidRDefault="00EE1124" w:rsidP="00CD38C6">
      <w:pPr>
        <w:pStyle w:val="NoSpacing"/>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8733BF" w14:paraId="6AB8B7FC" w14:textId="77777777" w:rsidTr="00AC138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6133B797" w14:textId="5B7BF675" w:rsidR="008733BF" w:rsidRPr="009E424E" w:rsidRDefault="008733BF">
            <w:pPr>
              <w:spacing w:after="120"/>
              <w:rPr>
                <w:b/>
                <w:bCs/>
              </w:rPr>
            </w:pPr>
            <w:r w:rsidRPr="009E424E">
              <w:rPr>
                <w:b/>
                <w:bCs/>
              </w:rPr>
              <w:t xml:space="preserve">Review finding </w:t>
            </w:r>
            <w:r w:rsidR="00566701">
              <w:rPr>
                <w:b/>
                <w:bCs/>
              </w:rPr>
              <w:t>9</w:t>
            </w:r>
          </w:p>
          <w:p w14:paraId="4785952D" w14:textId="5E39AB60" w:rsidR="008733BF" w:rsidRPr="00F83FC1" w:rsidRDefault="008733BF" w:rsidP="00F83FC1">
            <w:pPr>
              <w:spacing w:after="120"/>
            </w:pPr>
            <w:r w:rsidRPr="008733BF">
              <w:t xml:space="preserve">There is no explicit alignment to Closing the Gap </w:t>
            </w:r>
            <w:r w:rsidR="001C4FE4">
              <w:t>outcomes, targets and priority reforms</w:t>
            </w:r>
            <w:r>
              <w:t>.</w:t>
            </w:r>
            <w:r w:rsidR="003F317E">
              <w:t xml:space="preserve"> </w:t>
            </w:r>
            <w:r w:rsidR="003F317E" w:rsidRPr="003F317E">
              <w:t>The degree of implicit alignment varies.</w:t>
            </w:r>
            <w:r w:rsidR="001C4FE4">
              <w:t xml:space="preserve"> </w:t>
            </w:r>
          </w:p>
        </w:tc>
      </w:tr>
    </w:tbl>
    <w:p w14:paraId="06DFA5F9" w14:textId="77777777" w:rsidR="008733BF" w:rsidRPr="00826178" w:rsidRDefault="008733BF" w:rsidP="008733BF">
      <w:pPr>
        <w:spacing w:before="170"/>
        <w:rPr>
          <w:b/>
        </w:rPr>
      </w:pPr>
      <w:r w:rsidRPr="00826178">
        <w:rPr>
          <w:b/>
        </w:rPr>
        <w:t>Supporting evidence for this finding is drawn from desktop research.</w:t>
      </w:r>
    </w:p>
    <w:p w14:paraId="62B2C017" w14:textId="4E38F653" w:rsidR="00AF2CB8" w:rsidRPr="00826178" w:rsidRDefault="00AF2CB8" w:rsidP="00CD38C6">
      <w:r w:rsidRPr="00826178">
        <w:t>The National Agreement on Closing the Gap includes two specific targets in relation to Aboriginal and Torres Strait Islander children</w:t>
      </w:r>
      <w:r w:rsidR="001F0293" w:rsidRPr="00826178">
        <w:t>’s</w:t>
      </w:r>
      <w:r w:rsidRPr="00826178">
        <w:t xml:space="preserve"> engagement with ECEC. These align to one of the CCCFR initial objectives to: </w:t>
      </w:r>
      <w:r w:rsidRPr="00826178">
        <w:rPr>
          <w:i/>
        </w:rPr>
        <w:t>Support services to increase participation by Indigenous children</w:t>
      </w:r>
      <w:r w:rsidRPr="00826178">
        <w:t xml:space="preserve">. The most relevant Closing the Gap </w:t>
      </w:r>
      <w:r w:rsidR="001E274F" w:rsidRPr="00826178">
        <w:t xml:space="preserve">outcomes and </w:t>
      </w:r>
      <w:r w:rsidRPr="00826178">
        <w:t>targets are:</w:t>
      </w:r>
    </w:p>
    <w:p w14:paraId="50F847A8" w14:textId="3D076902" w:rsidR="00E37238" w:rsidRPr="002A0332" w:rsidRDefault="002940EC" w:rsidP="002B2382">
      <w:pPr>
        <w:pStyle w:val="ListBullet"/>
        <w:numPr>
          <w:ilvl w:val="0"/>
          <w:numId w:val="0"/>
        </w:numPr>
        <w:rPr>
          <w:b/>
        </w:rPr>
      </w:pPr>
      <w:r w:rsidRPr="00826178">
        <w:rPr>
          <w:b/>
        </w:rPr>
        <w:t xml:space="preserve">Outcome 3: </w:t>
      </w:r>
      <w:r w:rsidRPr="00E37238">
        <w:rPr>
          <w:b/>
        </w:rPr>
        <w:t>Aboriginal and Torres Strait Islander children are engaged in high quality, culturally appropriate early childhood education in their early years.</w:t>
      </w:r>
    </w:p>
    <w:p w14:paraId="7E801ED9" w14:textId="1814806F" w:rsidR="00AF2CB8" w:rsidRPr="00826178" w:rsidRDefault="00AF2CB8" w:rsidP="00CD38C6">
      <w:pPr>
        <w:pStyle w:val="ListBullet"/>
        <w:ind w:left="720"/>
      </w:pPr>
      <w:r w:rsidRPr="2B91AEFB">
        <w:rPr>
          <w:b/>
          <w:bCs/>
        </w:rPr>
        <w:t>Target</w:t>
      </w:r>
      <w:r>
        <w:t>: By 2025, increase the proportion of Aboriginal and Torres Strait Islander children enrolled in YBFS early childhood education to 95 per cent.</w:t>
      </w:r>
    </w:p>
    <w:p w14:paraId="3E6FAE77" w14:textId="4CF6BDE3" w:rsidR="002940EC" w:rsidRPr="00826178" w:rsidRDefault="002940EC" w:rsidP="002A0332">
      <w:pPr>
        <w:pStyle w:val="ListBullet"/>
        <w:numPr>
          <w:ilvl w:val="0"/>
          <w:numId w:val="0"/>
        </w:numPr>
      </w:pPr>
    </w:p>
    <w:p w14:paraId="74E9CD6E" w14:textId="733188DD" w:rsidR="00E37238" w:rsidRPr="002A0332" w:rsidRDefault="002940EC" w:rsidP="002B2382">
      <w:pPr>
        <w:pStyle w:val="ListBullet"/>
        <w:numPr>
          <w:ilvl w:val="0"/>
          <w:numId w:val="0"/>
        </w:numPr>
        <w:ind w:left="20"/>
        <w:rPr>
          <w:b/>
        </w:rPr>
      </w:pPr>
      <w:r w:rsidRPr="00826178">
        <w:rPr>
          <w:b/>
        </w:rPr>
        <w:t xml:space="preserve">Outcome </w:t>
      </w:r>
      <w:r w:rsidRPr="00E01CD0">
        <w:rPr>
          <w:b/>
        </w:rPr>
        <w:t>4:</w:t>
      </w:r>
      <w:r w:rsidR="002A71A0" w:rsidRPr="00E01CD0">
        <w:rPr>
          <w:b/>
        </w:rPr>
        <w:t xml:space="preserve"> Aboriginal and Torres Strait Islander children thrive in their early years.</w:t>
      </w:r>
    </w:p>
    <w:p w14:paraId="142C6BA3" w14:textId="591B55E1" w:rsidR="00AF2CB8" w:rsidRPr="00826178" w:rsidRDefault="002940EC" w:rsidP="00CD38C6">
      <w:pPr>
        <w:pStyle w:val="ListBullet"/>
        <w:ind w:left="720"/>
      </w:pPr>
      <w:r w:rsidRPr="2B91AEFB">
        <w:rPr>
          <w:b/>
          <w:bCs/>
        </w:rPr>
        <w:t>Target</w:t>
      </w:r>
      <w:r w:rsidR="00AF2CB8">
        <w:t>: By 2031, increase the proportion of Aboriginal and Torres Strait Islander children assessed as developmentally on track in all five domains of the AEDC to 55 per cent.</w:t>
      </w:r>
    </w:p>
    <w:p w14:paraId="4AEBD4AF" w14:textId="77777777" w:rsidR="00AF2CB8" w:rsidRPr="00826178" w:rsidRDefault="00AF2CB8" w:rsidP="002A0332">
      <w:pPr>
        <w:pStyle w:val="ListBullet"/>
        <w:numPr>
          <w:ilvl w:val="0"/>
          <w:numId w:val="0"/>
        </w:numPr>
        <w:ind w:left="340" w:hanging="340"/>
      </w:pPr>
    </w:p>
    <w:p w14:paraId="2D1D3DC6" w14:textId="08BA6EE9" w:rsidR="00AF2CB8" w:rsidRPr="00826178" w:rsidRDefault="00AF2CB8" w:rsidP="00C55C78">
      <w:r w:rsidRPr="00826178">
        <w:t>The target to increase the proportion of Aboriginal and Torres Strait Islander children enrolled in early childhood education in the year before formal schooling to 95</w:t>
      </w:r>
      <w:r w:rsidR="007F4CE1">
        <w:t xml:space="preserve"> per cent</w:t>
      </w:r>
      <w:r w:rsidRPr="00826178">
        <w:t xml:space="preserve"> by 2025 was achieved in 2021. However, this should be seen amid a growing focus on preschool attendance and outcomes, recognising that enrolment does not always translate into attendance, and that both of these are enablers for the ultimate objective, which is stronger developmental outcomes for children. 2022 ABS figures show that although 20,778 </w:t>
      </w:r>
      <w:r w:rsidR="00EC1C68" w:rsidRPr="00826178">
        <w:t xml:space="preserve">Aboriginal and Torres Strait Islander </w:t>
      </w:r>
      <w:r w:rsidRPr="00826178">
        <w:t xml:space="preserve">children were enrolled for 600 hours or more of preschool, around a quarter of those children did not attend for the full 600 hours (it is reported that 15,081 </w:t>
      </w:r>
      <w:r w:rsidR="00EC1C68" w:rsidRPr="00826178">
        <w:t xml:space="preserve">Aboriginal and Torres Strait Islander </w:t>
      </w:r>
      <w:r w:rsidRPr="00826178">
        <w:t>children attended for 600 hours or more of preschool).</w:t>
      </w:r>
      <w:r w:rsidR="002E497C">
        <w:t xml:space="preserve"> </w:t>
      </w:r>
      <w:r w:rsidRPr="00826178">
        <w:t xml:space="preserve">The difference between enrolment and </w:t>
      </w:r>
      <w:r w:rsidRPr="00826178">
        <w:lastRenderedPageBreak/>
        <w:t xml:space="preserve">attendance is recognised to disproportionately affect children who are </w:t>
      </w:r>
      <w:r w:rsidR="00EC1C68" w:rsidRPr="00826178">
        <w:t>Aboriginal and Torres Strait Islander</w:t>
      </w:r>
      <w:r w:rsidRPr="00826178">
        <w:t xml:space="preserve">, live in remote or very remote settings, or who might otherwise be experiencing vulnerability or disadvantage. </w:t>
      </w:r>
    </w:p>
    <w:p w14:paraId="52C15E6D" w14:textId="509E3B42" w:rsidR="003B5C7B" w:rsidRDefault="00AF2CB8" w:rsidP="002B2382">
      <w:pPr>
        <w:pStyle w:val="ListBullet"/>
        <w:numPr>
          <w:ilvl w:val="0"/>
          <w:numId w:val="0"/>
        </w:numPr>
      </w:pPr>
      <w:r w:rsidRPr="00826178">
        <w:t xml:space="preserve">The target to </w:t>
      </w:r>
      <w:r w:rsidR="00C612A0">
        <w:t>i</w:t>
      </w:r>
      <w:r w:rsidR="00F627A3">
        <w:t>ncrease</w:t>
      </w:r>
      <w:r w:rsidRPr="00826178">
        <w:t xml:space="preserve"> the proportion of Aboriginal and Torres Strait Islander children assessed as developmentally on track in all five domains of the AEDC to 55 per cent has fallen behind from 35.2 per cent in 2018 to 34.3 per cent in 2021.</w:t>
      </w:r>
      <w:r w:rsidR="002E497C">
        <w:t xml:space="preserve"> </w:t>
      </w:r>
      <w:r w:rsidRPr="00826178">
        <w:t>There is strong evidence linking attending high quality ECEC programs to improved developmental outcomes for children aged 0-5 in the Australian context, which is in line with international findings and best practice.</w:t>
      </w:r>
      <w:r w:rsidR="002E497C">
        <w:t xml:space="preserve"> </w:t>
      </w:r>
      <w:r w:rsidRPr="00826178">
        <w:t xml:space="preserve">This means that a focusing on increasing attendance of </w:t>
      </w:r>
      <w:r w:rsidR="007220B0" w:rsidRPr="00826178">
        <w:t xml:space="preserve">Aboriginal and Torres Strait Islander </w:t>
      </w:r>
      <w:r w:rsidRPr="00826178">
        <w:t>children in both preschool/kindergarten, alongside other ECEC services with proven links to improving developmental outcomes, would align CCCFR objectives and intended outcomes with Closing the Gap targets.</w:t>
      </w:r>
    </w:p>
    <w:p w14:paraId="23739F53" w14:textId="312E99AB" w:rsidR="00013EF9" w:rsidRPr="002B2382" w:rsidRDefault="00195A7A" w:rsidP="002B2382">
      <w:pPr>
        <w:pStyle w:val="ListBullet"/>
        <w:numPr>
          <w:ilvl w:val="0"/>
          <w:numId w:val="0"/>
        </w:numPr>
        <w:spacing w:after="120"/>
        <w:contextualSpacing w:val="0"/>
        <w:rPr>
          <w:i/>
        </w:rPr>
      </w:pPr>
      <w:r w:rsidRPr="002F3CF0">
        <w:rPr>
          <w:i/>
        </w:rPr>
        <w:t xml:space="preserve">See section </w:t>
      </w:r>
      <w:r w:rsidRPr="002F3CF0">
        <w:rPr>
          <w:i/>
          <w:iCs/>
        </w:rPr>
        <w:fldChar w:fldCharType="begin"/>
      </w:r>
      <w:r w:rsidRPr="002F3CF0">
        <w:rPr>
          <w:i/>
          <w:iCs/>
        </w:rPr>
        <w:instrText xml:space="preserve"> REF _Ref153351190 \w \h </w:instrText>
      </w:r>
      <w:r w:rsidR="002F05F2" w:rsidRPr="002F3CF0">
        <w:rPr>
          <w:i/>
          <w:iCs/>
        </w:rPr>
        <w:instrText xml:space="preserve"> \* MERGEFORMAT </w:instrText>
      </w:r>
      <w:r w:rsidRPr="002F3CF0">
        <w:rPr>
          <w:i/>
          <w:iCs/>
        </w:rPr>
      </w:r>
      <w:r w:rsidRPr="002F3CF0">
        <w:rPr>
          <w:i/>
          <w:iCs/>
        </w:rPr>
        <w:fldChar w:fldCharType="separate"/>
      </w:r>
      <w:r w:rsidR="00D300D0">
        <w:rPr>
          <w:i/>
          <w:iCs/>
        </w:rPr>
        <w:t>5.1</w:t>
      </w:r>
      <w:r w:rsidRPr="002F3CF0">
        <w:rPr>
          <w:i/>
          <w:iCs/>
        </w:rPr>
        <w:fldChar w:fldCharType="end"/>
      </w:r>
      <w:r>
        <w:rPr>
          <w:i/>
          <w:iCs/>
        </w:rPr>
        <w:t xml:space="preserve"> for further detail on the </w:t>
      </w:r>
      <w:r w:rsidR="00C25C1D">
        <w:rPr>
          <w:i/>
          <w:iCs/>
        </w:rPr>
        <w:t xml:space="preserve">enrolment and development outcomes for Aboriginal and Torres Strait Islander children at CCCFR services. </w:t>
      </w:r>
    </w:p>
    <w:p w14:paraId="24713A6F" w14:textId="5D9A66E3" w:rsidR="00853126" w:rsidRPr="00826178" w:rsidRDefault="00AF2CB8" w:rsidP="002B2382">
      <w:pPr>
        <w:pStyle w:val="ListBullet"/>
        <w:numPr>
          <w:ilvl w:val="0"/>
          <w:numId w:val="0"/>
        </w:numPr>
      </w:pPr>
      <w:r w:rsidRPr="00826178">
        <w:t>The National Agreement on Closing the Gap also includes a target relevant to</w:t>
      </w:r>
      <w:r w:rsidR="001C708F" w:rsidRPr="00826178">
        <w:t xml:space="preserve"> one of the</w:t>
      </w:r>
      <w:r w:rsidRPr="00826178">
        <w:t xml:space="preserve"> CCCFR </w:t>
      </w:r>
      <w:r w:rsidR="001C708F" w:rsidRPr="00826178">
        <w:t>grant objectives</w:t>
      </w:r>
      <w:r w:rsidR="00367579" w:rsidRPr="00826178">
        <w:t xml:space="preserve"> to: i</w:t>
      </w:r>
      <w:r w:rsidRPr="00826178">
        <w:t>ncrease workforce participation by vulnerable and disadvantaged families</w:t>
      </w:r>
      <w:r w:rsidR="00367579" w:rsidRPr="00826178">
        <w:t xml:space="preserve">. </w:t>
      </w:r>
      <w:r w:rsidR="00786F5D" w:rsidRPr="00826178">
        <w:t xml:space="preserve">This is </w:t>
      </w:r>
      <w:r w:rsidRPr="00826178">
        <w:t xml:space="preserve">where the definition of vulnerability is seen to intersect with Indigeneity under social vulnerability – ‘e.g., marginalisation and barriers to social and cultural inclusion and connectedness’. </w:t>
      </w:r>
      <w:r w:rsidR="00853126" w:rsidRPr="00826178">
        <w:t>Th</w:t>
      </w:r>
      <w:r w:rsidR="00ED399B">
        <w:t>is</w:t>
      </w:r>
      <w:r w:rsidR="00853126" w:rsidRPr="00826178">
        <w:t xml:space="preserve"> is relevant to a C</w:t>
      </w:r>
      <w:r w:rsidRPr="00826178">
        <w:t xml:space="preserve">losing the Gap </w:t>
      </w:r>
      <w:r w:rsidR="00853126" w:rsidRPr="00826178">
        <w:t>o</w:t>
      </w:r>
      <w:r w:rsidRPr="00826178">
        <w:t>utcome</w:t>
      </w:r>
      <w:r w:rsidR="00853126" w:rsidRPr="00826178">
        <w:t>:</w:t>
      </w:r>
    </w:p>
    <w:p w14:paraId="284C526A" w14:textId="77777777" w:rsidR="006138B7" w:rsidRPr="00826178" w:rsidRDefault="00853126" w:rsidP="00EC44A8">
      <w:pPr>
        <w:pStyle w:val="ListBullet"/>
        <w:ind w:left="357"/>
      </w:pPr>
      <w:r w:rsidRPr="2B91AEFB">
        <w:rPr>
          <w:b/>
          <w:bCs/>
        </w:rPr>
        <w:t xml:space="preserve">Outcome </w:t>
      </w:r>
      <w:r w:rsidR="00AF2CB8" w:rsidRPr="2B91AEFB">
        <w:rPr>
          <w:b/>
          <w:bCs/>
        </w:rPr>
        <w:t>8</w:t>
      </w:r>
      <w:r w:rsidR="006138B7" w:rsidRPr="2B91AEFB">
        <w:rPr>
          <w:b/>
          <w:bCs/>
        </w:rPr>
        <w:t>:</w:t>
      </w:r>
      <w:r w:rsidR="00AF2CB8">
        <w:t xml:space="preserve"> Strong economic participation and development of people and their communities</w:t>
      </w:r>
    </w:p>
    <w:p w14:paraId="6FCE4FD6" w14:textId="1F326254" w:rsidR="00350ADF" w:rsidRPr="00826178" w:rsidRDefault="006138B7" w:rsidP="00171325">
      <w:pPr>
        <w:pStyle w:val="ListBullet"/>
        <w:numPr>
          <w:ilvl w:val="1"/>
          <w:numId w:val="2"/>
        </w:numPr>
      </w:pPr>
      <w:r w:rsidRPr="001311E6">
        <w:rPr>
          <w:b/>
        </w:rPr>
        <w:t>T</w:t>
      </w:r>
      <w:r w:rsidR="00AF2CB8" w:rsidRPr="001311E6">
        <w:rPr>
          <w:b/>
        </w:rPr>
        <w:t>arget</w:t>
      </w:r>
      <w:r w:rsidRPr="001311E6">
        <w:rPr>
          <w:b/>
        </w:rPr>
        <w:t>:</w:t>
      </w:r>
      <w:r w:rsidRPr="00826178">
        <w:t xml:space="preserve"> </w:t>
      </w:r>
      <w:r w:rsidR="00AF2CB8" w:rsidRPr="00826178">
        <w:t xml:space="preserve">62 per cent employment for Aboriginal and Torres Strait Islander people aged 25-64, by 2031. </w:t>
      </w:r>
    </w:p>
    <w:p w14:paraId="32714B9A" w14:textId="77777777" w:rsidR="00350ADF" w:rsidRDefault="00350ADF" w:rsidP="003B5C7B">
      <w:pPr>
        <w:pStyle w:val="ListBullet"/>
        <w:numPr>
          <w:ilvl w:val="0"/>
          <w:numId w:val="0"/>
        </w:numPr>
        <w:ind w:left="340" w:hanging="340"/>
        <w:rPr>
          <w:highlight w:val="lightGray"/>
        </w:rPr>
      </w:pPr>
    </w:p>
    <w:p w14:paraId="46FA4057" w14:textId="12928BE0" w:rsidR="009D5D92" w:rsidRDefault="00EE17D7" w:rsidP="00A64686">
      <w:r>
        <w:t xml:space="preserve">The National Agreement on </w:t>
      </w:r>
      <w:r w:rsidR="00931531">
        <w:t xml:space="preserve">Closing the Gap </w:t>
      </w:r>
      <w:r w:rsidR="00F23276">
        <w:t xml:space="preserve">has also been </w:t>
      </w:r>
      <w:r>
        <w:t>buil</w:t>
      </w:r>
      <w:r w:rsidR="00433FB0">
        <w:t>t</w:t>
      </w:r>
      <w:r>
        <w:t xml:space="preserve"> around four priority reform areas: </w:t>
      </w:r>
    </w:p>
    <w:p w14:paraId="0A2F30DE" w14:textId="6CA70771" w:rsidR="00EE17D7" w:rsidRDefault="00EE17D7" w:rsidP="00CD38C6">
      <w:pPr>
        <w:pStyle w:val="ListBullet"/>
      </w:pPr>
      <w:r>
        <w:t>Formal Partnerships and Shared Decision Making</w:t>
      </w:r>
    </w:p>
    <w:p w14:paraId="3E4726CB" w14:textId="13340869" w:rsidR="00EE17D7" w:rsidRDefault="00433FB0" w:rsidP="00CD38C6">
      <w:pPr>
        <w:pStyle w:val="ListBullet"/>
      </w:pPr>
      <w:r>
        <w:t>Building the Community-Controlled Sector</w:t>
      </w:r>
    </w:p>
    <w:p w14:paraId="21EEE95C" w14:textId="48E8390D" w:rsidR="00433FB0" w:rsidRDefault="00433FB0" w:rsidP="00CD38C6">
      <w:pPr>
        <w:pStyle w:val="ListBullet"/>
      </w:pPr>
      <w:r>
        <w:t>Transforming Government Organisations</w:t>
      </w:r>
    </w:p>
    <w:p w14:paraId="59D53BBE" w14:textId="10E229CF" w:rsidR="00433FB0" w:rsidRDefault="00433FB0" w:rsidP="00CD38C6">
      <w:pPr>
        <w:pStyle w:val="ListBullet"/>
      </w:pPr>
      <w:r>
        <w:t>Shared Access to Data and Information at a Regional Level</w:t>
      </w:r>
      <w:r w:rsidR="005347FE">
        <w:t>.</w:t>
      </w:r>
    </w:p>
    <w:p w14:paraId="31699C48" w14:textId="77777777" w:rsidR="00811B0D" w:rsidRDefault="00811B0D" w:rsidP="00811B0D">
      <w:pPr>
        <w:pStyle w:val="ListBullet"/>
        <w:numPr>
          <w:ilvl w:val="0"/>
          <w:numId w:val="0"/>
        </w:numPr>
        <w:ind w:left="340" w:hanging="340"/>
      </w:pPr>
    </w:p>
    <w:p w14:paraId="5357E771" w14:textId="0AAF8949" w:rsidR="00433FB0" w:rsidRDefault="00F13880" w:rsidP="00CD38C6">
      <w:r>
        <w:t>The Productivity Commission</w:t>
      </w:r>
      <w:r w:rsidR="0088173A">
        <w:t xml:space="preserve">’s Review of the National Agreement on Closing the Gap </w:t>
      </w:r>
      <w:r w:rsidR="009D0AEC">
        <w:t xml:space="preserve">finds that </w:t>
      </w:r>
      <w:r w:rsidR="00FA51A4">
        <w:t>t</w:t>
      </w:r>
      <w:r w:rsidR="00FA51A4" w:rsidRPr="00FA51A4">
        <w:t>he Agreement’s reforms have not been prioritised by governments</w:t>
      </w:r>
      <w:r w:rsidR="00FA51A4">
        <w:t xml:space="preserve"> with only pockets of good practice. The report suggests that actions to close the gap have focused on ‘what’ rather than ‘how’ or ‘why’, with little attention to diversity of regional need.</w:t>
      </w:r>
      <w:r w:rsidR="00B95A8E">
        <w:rPr>
          <w:rStyle w:val="FootnoteReference"/>
        </w:rPr>
        <w:footnoteReference w:id="119"/>
      </w:r>
    </w:p>
    <w:p w14:paraId="342181F2" w14:textId="39029B5E" w:rsidR="003738C2" w:rsidRDefault="00236073" w:rsidP="00A64686">
      <w:r>
        <w:t xml:space="preserve">In accordance </w:t>
      </w:r>
      <w:r w:rsidR="008B0D97">
        <w:t>with these findings at a national level, v</w:t>
      </w:r>
      <w:r w:rsidR="00F448FF">
        <w:t>arious elements of the CCCFR grant can be seen as not aligned, or weakly aligned, to the</w:t>
      </w:r>
      <w:r w:rsidR="00120C49">
        <w:t xml:space="preserve"> Closing the Gap</w:t>
      </w:r>
      <w:r w:rsidR="00F448FF">
        <w:t xml:space="preserve"> priority reform areas. </w:t>
      </w:r>
    </w:p>
    <w:p w14:paraId="194C5D8F" w14:textId="7721E99A" w:rsidR="00B7678F" w:rsidRDefault="003753AF" w:rsidP="000E6CB2">
      <w:r>
        <w:t xml:space="preserve">In regard to </w:t>
      </w:r>
      <w:r w:rsidRPr="003738C2">
        <w:rPr>
          <w:b/>
          <w:bCs/>
        </w:rPr>
        <w:t>formal partnerships</w:t>
      </w:r>
      <w:r>
        <w:t xml:space="preserve"> (at a policy and place-based level), and shared decision making</w:t>
      </w:r>
      <w:r w:rsidR="002465B2">
        <w:t>, there has been limited opportunity</w:t>
      </w:r>
      <w:r w:rsidR="00975821">
        <w:t>, in design or practical implementation,</w:t>
      </w:r>
      <w:r w:rsidR="002465B2">
        <w:t xml:space="preserve"> for services, communities or organisations to work in partnership </w:t>
      </w:r>
      <w:r w:rsidR="001F1646">
        <w:t>regarding the CCCFR grant and its objectives</w:t>
      </w:r>
      <w:r w:rsidR="00975821">
        <w:t xml:space="preserve">. </w:t>
      </w:r>
      <w:r w:rsidR="003738C2">
        <w:t xml:space="preserve">This </w:t>
      </w:r>
      <w:r w:rsidR="00316893">
        <w:t>includes ensuring that partners</w:t>
      </w:r>
      <w:r w:rsidR="00FD5EBF">
        <w:t xml:space="preserve"> </w:t>
      </w:r>
      <w:r w:rsidR="00316893">
        <w:t>have access to data and information</w:t>
      </w:r>
      <w:r w:rsidR="00560280">
        <w:t xml:space="preserve">. </w:t>
      </w:r>
      <w:r w:rsidR="004E358B">
        <w:t xml:space="preserve">There is also no evidence of </w:t>
      </w:r>
      <w:r w:rsidR="007E4270">
        <w:t xml:space="preserve">additional </w:t>
      </w:r>
      <w:r w:rsidR="004E358B">
        <w:t>funding for Aboriginal and Torres Strait Islander services</w:t>
      </w:r>
      <w:r w:rsidR="00C76015">
        <w:t xml:space="preserve"> or </w:t>
      </w:r>
      <w:r w:rsidR="004E358B">
        <w:t xml:space="preserve">providers </w:t>
      </w:r>
      <w:r w:rsidR="00C76015">
        <w:t xml:space="preserve">to engage with relevant groups from affected communities, </w:t>
      </w:r>
      <w:r w:rsidR="00791354">
        <w:t xml:space="preserve">which the National Agreement on Closing the Gap notes as </w:t>
      </w:r>
      <w:r w:rsidR="00791354" w:rsidRPr="00791354">
        <w:t>including but not limited to Elders, Traditional Owners and Native Title Holders.</w:t>
      </w:r>
      <w:r w:rsidR="002E497C">
        <w:t xml:space="preserve"> </w:t>
      </w:r>
      <w:r w:rsidR="006A148D">
        <w:t>It is unclear the extent to which funding has been used to create formal partnerships at a place</w:t>
      </w:r>
      <w:r w:rsidR="00ED0E6D">
        <w:t>-</w:t>
      </w:r>
      <w:r w:rsidR="006A148D">
        <w:t xml:space="preserve">based level. </w:t>
      </w:r>
      <w:r w:rsidR="007E4270">
        <w:t>Although grant guidelines state that funding may be used for ‘</w:t>
      </w:r>
      <w:r w:rsidR="000E6CB2">
        <w:t xml:space="preserve">other activities to increase </w:t>
      </w:r>
      <w:r w:rsidR="006A4CB1">
        <w:t>Aboriginal and Torres Strait Islander</w:t>
      </w:r>
      <w:r w:rsidR="000E6CB2">
        <w:t xml:space="preserve"> children’s participation in early education and child care including activities that have been identified by the </w:t>
      </w:r>
      <w:r w:rsidR="0041798E">
        <w:t>D</w:t>
      </w:r>
      <w:r w:rsidR="000E6CB2">
        <w:t xml:space="preserve">epartment as eligible activities for that service’, </w:t>
      </w:r>
      <w:r w:rsidR="007A4550">
        <w:t xml:space="preserve">budget based planning tools </w:t>
      </w:r>
      <w:r w:rsidR="00F33343">
        <w:t>refer to: community outreach worker; family liaison worker; playgroup to increase Indigenous children’s ECEC participation; transport to increase Indigenous children’s ECEC participation; other project that increases Indigenous children’s ECEC participation</w:t>
      </w:r>
      <w:r w:rsidR="000D5F16">
        <w:t xml:space="preserve">. </w:t>
      </w:r>
      <w:r w:rsidR="007755FF">
        <w:t xml:space="preserve">At a policy level, </w:t>
      </w:r>
      <w:r w:rsidR="009471B2" w:rsidRPr="009471B2">
        <w:t xml:space="preserve">the </w:t>
      </w:r>
      <w:r w:rsidR="00131905">
        <w:t>ECPP</w:t>
      </w:r>
      <w:r w:rsidR="006A4CB1">
        <w:t xml:space="preserve"> </w:t>
      </w:r>
      <w:r w:rsidR="00644A75">
        <w:t>is the primary</w:t>
      </w:r>
      <w:r w:rsidR="00FC4126">
        <w:t xml:space="preserve"> formal partnership between the Department and </w:t>
      </w:r>
      <w:r w:rsidR="00FC4126">
        <w:lastRenderedPageBreak/>
        <w:t>Aboriginal and Torres Strait Islander peoples</w:t>
      </w:r>
      <w:r w:rsidR="00131905">
        <w:t xml:space="preserve">. The ECPP first met in 2022, and therefore did not have input into the </w:t>
      </w:r>
      <w:r w:rsidR="00EE385B">
        <w:t>design of the CCCFR grant</w:t>
      </w:r>
      <w:r w:rsidR="00B41BA7">
        <w:t>.</w:t>
      </w:r>
      <w:r w:rsidR="002E497C">
        <w:t xml:space="preserve"> </w:t>
      </w:r>
    </w:p>
    <w:p w14:paraId="527727A0" w14:textId="69508617" w:rsidR="005C03B8" w:rsidRDefault="00B7678F" w:rsidP="00A41394">
      <w:r w:rsidRPr="00B7678F">
        <w:rPr>
          <w:b/>
          <w:bCs/>
        </w:rPr>
        <w:t>Building the community-controlled sector</w:t>
      </w:r>
      <w:r>
        <w:rPr>
          <w:b/>
          <w:bCs/>
        </w:rPr>
        <w:t xml:space="preserve"> </w:t>
      </w:r>
      <w:r>
        <w:t>i</w:t>
      </w:r>
      <w:r w:rsidR="00786A17">
        <w:t>s</w:t>
      </w:r>
      <w:r>
        <w:t xml:space="preserve"> increasingly noted as a </w:t>
      </w:r>
      <w:r w:rsidR="00473D2B">
        <w:t>key enabler of child development outcomes</w:t>
      </w:r>
      <w:r w:rsidR="00153083">
        <w:t xml:space="preserve">, through </w:t>
      </w:r>
      <w:r w:rsidR="00CB4D30">
        <w:t xml:space="preserve">Aboriginal and Torres Strait Islander </w:t>
      </w:r>
      <w:r w:rsidR="00CB7DA2">
        <w:t>controlled organisations</w:t>
      </w:r>
      <w:r w:rsidR="00F67E55">
        <w:t>. It leads to further strong outcomes by supporting self-determination</w:t>
      </w:r>
      <w:r w:rsidR="00BA0DB5">
        <w:t xml:space="preserve"> at a community level. While in principle the CCCFR grant was intended to build capacity and investment in services, including ACCOs, </w:t>
      </w:r>
      <w:r w:rsidR="00292BB7">
        <w:t xml:space="preserve">the objectives and design do not </w:t>
      </w:r>
      <w:r w:rsidR="00B073CB">
        <w:t xml:space="preserve">explicitly determine that differentiated support should be offered to ACCOs. Moreover, 45(d) </w:t>
      </w:r>
      <w:r w:rsidR="5D53E15B">
        <w:t>of the National Agreement on Closing the Gap</w:t>
      </w:r>
      <w:r w:rsidR="00B073CB">
        <w:t xml:space="preserve"> </w:t>
      </w:r>
      <w:r w:rsidR="38603977">
        <w:t>has the agreement</w:t>
      </w:r>
      <w:r w:rsidR="00837A50">
        <w:t xml:space="preserve"> that elements of a strong sector also include</w:t>
      </w:r>
      <w:r w:rsidR="005C03B8">
        <w:t>:</w:t>
      </w:r>
    </w:p>
    <w:p w14:paraId="6CF2E193" w14:textId="41EF013F" w:rsidR="000A0490" w:rsidRDefault="007537C1" w:rsidP="00A41394">
      <w:pPr>
        <w:pStyle w:val="ListBullet"/>
      </w:pPr>
      <w:r>
        <w:t>a</w:t>
      </w:r>
      <w:r w:rsidR="005B2A98">
        <w:t xml:space="preserve"> dedicated Aboriginal and Torres Strait Islander workforce with wage parit</w:t>
      </w:r>
      <w:r w:rsidR="00BB76AE">
        <w:t>y (to the non</w:t>
      </w:r>
      <w:r w:rsidR="00BA0A36">
        <w:t>-</w:t>
      </w:r>
      <w:r w:rsidR="00BB76AE">
        <w:t>community-controlled sector)</w:t>
      </w:r>
    </w:p>
    <w:p w14:paraId="3CCF961D" w14:textId="384CFF37" w:rsidR="005C03B8" w:rsidRDefault="005C03B8" w:rsidP="00A41394">
      <w:pPr>
        <w:pStyle w:val="ListBullet2"/>
      </w:pPr>
      <w:r>
        <w:t xml:space="preserve">Many CCCFR services and </w:t>
      </w:r>
      <w:r w:rsidRPr="00A41394">
        <w:t>provide</w:t>
      </w:r>
      <w:r w:rsidR="00BA0A36">
        <w:t>rs</w:t>
      </w:r>
      <w:r>
        <w:t xml:space="preserve"> consulted with as part of this review spoke to </w:t>
      </w:r>
      <w:r w:rsidR="00842BBD">
        <w:t xml:space="preserve">funding constraints which affect their ability to offer wages commensurate with </w:t>
      </w:r>
      <w:r w:rsidR="00354C1D">
        <w:t>a) for profit providers, and b) the quality of their staff, and ability to deliver high quality care. For Aboriginal and Torres Strait Islander services, this include</w:t>
      </w:r>
      <w:r w:rsidR="00BA0A36">
        <w:t>s</w:t>
      </w:r>
      <w:r w:rsidR="00354C1D">
        <w:t xml:space="preserve"> </w:t>
      </w:r>
      <w:r w:rsidR="00617857">
        <w:t>additional requirements such as trauma informed caring practices, and community liaison duties</w:t>
      </w:r>
      <w:r w:rsidR="000A0490">
        <w:t xml:space="preserve"> above and beyond what might be expected in other services. </w:t>
      </w:r>
    </w:p>
    <w:p w14:paraId="6FA18835" w14:textId="2097B8AD" w:rsidR="000A0490" w:rsidRDefault="007537C1" w:rsidP="00BA0A36">
      <w:pPr>
        <w:pStyle w:val="ListBullet"/>
      </w:pPr>
      <w:r>
        <w:t>t</w:t>
      </w:r>
      <w:r w:rsidR="005C03B8">
        <w:t>h</w:t>
      </w:r>
      <w:r w:rsidR="00BB76AE">
        <w:t xml:space="preserve">at </w:t>
      </w:r>
      <w:r w:rsidR="005C03B8">
        <w:t>community controlled organisations have a dedicated</w:t>
      </w:r>
      <w:r w:rsidR="00B56046">
        <w:t>, reliable and consistent</w:t>
      </w:r>
      <w:r w:rsidR="005C03B8">
        <w:t xml:space="preserve"> funding model</w:t>
      </w:r>
      <w:r w:rsidR="002E497C">
        <w:t xml:space="preserve"> </w:t>
      </w:r>
      <w:r w:rsidR="00BA0DB5">
        <w:t xml:space="preserve"> </w:t>
      </w:r>
    </w:p>
    <w:p w14:paraId="2B402428" w14:textId="5134FD91" w:rsidR="00B7678F" w:rsidRDefault="000A0490" w:rsidP="00BA0A36">
      <w:pPr>
        <w:pStyle w:val="ListBullet2"/>
      </w:pPr>
      <w:r>
        <w:t xml:space="preserve">There is no dedicated funding </w:t>
      </w:r>
      <w:r w:rsidR="001C7CF3">
        <w:t xml:space="preserve">formula or determination </w:t>
      </w:r>
      <w:r>
        <w:t>for ACCOs within the CCCFR grant</w:t>
      </w:r>
      <w:r w:rsidR="00B56046">
        <w:t xml:space="preserve">. </w:t>
      </w:r>
    </w:p>
    <w:p w14:paraId="4A65E8AC" w14:textId="77777777" w:rsidR="00B413DE" w:rsidRDefault="00B413DE" w:rsidP="00B23531">
      <w:pPr>
        <w:pStyle w:val="ListBullet2"/>
        <w:numPr>
          <w:ilvl w:val="0"/>
          <w:numId w:val="0"/>
        </w:numPr>
        <w:ind w:left="700"/>
      </w:pPr>
    </w:p>
    <w:p w14:paraId="32509398" w14:textId="346A4BD5" w:rsidR="007B39F2" w:rsidRDefault="00B413DE" w:rsidP="00A64686">
      <w:r>
        <w:rPr>
          <w:b/>
          <w:bCs/>
        </w:rPr>
        <w:t xml:space="preserve">Transforming government organisations </w:t>
      </w:r>
      <w:r>
        <w:t xml:space="preserve">includes relevant elements such as embedding and practicing meaningful cultural safety, </w:t>
      </w:r>
      <w:r w:rsidR="00CD2E3F">
        <w:t xml:space="preserve">supporting Aboriginal and Torres Strait Islander cultures, </w:t>
      </w:r>
      <w:r w:rsidR="000E65A5">
        <w:t>and improving engagement with Aboriginal and Torres Strait Islander people.</w:t>
      </w:r>
      <w:r w:rsidR="009D478A">
        <w:t xml:space="preserve"> In practice many of these elements are largely the purview of the </w:t>
      </w:r>
      <w:r w:rsidR="138B432B">
        <w:t xml:space="preserve">CCCFR </w:t>
      </w:r>
      <w:r w:rsidR="009D478A">
        <w:t>P</w:t>
      </w:r>
      <w:r w:rsidR="00BA0A36">
        <w:t xml:space="preserve">rogram </w:t>
      </w:r>
      <w:r w:rsidR="009D478A">
        <w:t>O</w:t>
      </w:r>
      <w:r w:rsidR="00BA0A36">
        <w:t>fficer</w:t>
      </w:r>
      <w:r w:rsidR="009D478A">
        <w:t>s</w:t>
      </w:r>
      <w:r w:rsidR="00F345E3">
        <w:t>, but the</w:t>
      </w:r>
      <w:r w:rsidR="00092742">
        <w:t xml:space="preserve">re is little </w:t>
      </w:r>
      <w:r w:rsidR="00F345E3">
        <w:t>explicit professional development and ongoing support in these areas</w:t>
      </w:r>
      <w:r w:rsidR="00092742">
        <w:t>. In addition,</w:t>
      </w:r>
      <w:r w:rsidR="00F345E3">
        <w:t xml:space="preserve"> </w:t>
      </w:r>
      <w:r w:rsidR="00B21922">
        <w:t xml:space="preserve">limited funding </w:t>
      </w:r>
      <w:r w:rsidR="00092742">
        <w:t xml:space="preserve">for </w:t>
      </w:r>
      <w:r w:rsidR="087B9F17">
        <w:t xml:space="preserve">CCCFR </w:t>
      </w:r>
      <w:r w:rsidR="00BA0A36">
        <w:t>Program Officers</w:t>
      </w:r>
      <w:r w:rsidR="00092742">
        <w:t xml:space="preserve"> to</w:t>
      </w:r>
      <w:r w:rsidR="00B21922">
        <w:t xml:space="preserve"> visit ACCOs and Aboriginal and Torres Strait Islander services, to build relationships, </w:t>
      </w:r>
      <w:r w:rsidR="009500B8">
        <w:t xml:space="preserve">and to engage in the ways </w:t>
      </w:r>
      <w:r w:rsidR="00092742">
        <w:t>services would like to be engaged with, has affected</w:t>
      </w:r>
      <w:r w:rsidR="00F05A8E">
        <w:t xml:space="preserve"> genuine application of this principle. </w:t>
      </w:r>
    </w:p>
    <w:p w14:paraId="281C72E2" w14:textId="1F88776D" w:rsidR="00566701" w:rsidRDefault="006F131F" w:rsidP="003F29E9">
      <w:r>
        <w:t xml:space="preserve">Lack of consistent data collection has impeded the CCCFR grant’s ability to support </w:t>
      </w:r>
      <w:r w:rsidR="0024149D" w:rsidRPr="0024149D">
        <w:rPr>
          <w:b/>
          <w:bCs/>
        </w:rPr>
        <w:t>shared access to data and information</w:t>
      </w:r>
      <w:r w:rsidR="0024149D">
        <w:t xml:space="preserve">. </w:t>
      </w:r>
      <w:r w:rsidR="003D1CDA" w:rsidRPr="00E92FB8">
        <w:t>A</w:t>
      </w:r>
      <w:r w:rsidR="003226DD" w:rsidRPr="00E92FB8">
        <w:t>CCOs</w:t>
      </w:r>
      <w:r w:rsidR="00ED3901" w:rsidRPr="00E92FB8">
        <w:t xml:space="preserve"> </w:t>
      </w:r>
      <w:r w:rsidR="003D1CDA" w:rsidRPr="00E92FB8">
        <w:t>report a deficit</w:t>
      </w:r>
      <w:r w:rsidR="003226DD" w:rsidRPr="00E92FB8">
        <w:t xml:space="preserve"> in information sharing </w:t>
      </w:r>
      <w:r w:rsidR="00506939" w:rsidRPr="00E92FB8">
        <w:t>as it pertains to their financial information</w:t>
      </w:r>
      <w:r w:rsidR="008D68B4">
        <w:t xml:space="preserve">, for example through </w:t>
      </w:r>
      <w:r w:rsidR="00877041">
        <w:t>access to aggregated Departmental reporting on CCCFR services (such as funding ranges, etc)</w:t>
      </w:r>
      <w:r w:rsidR="00402F7F" w:rsidRPr="00E92FB8">
        <w:t xml:space="preserve">. While they are required to report </w:t>
      </w:r>
      <w:r w:rsidR="00B70D63" w:rsidRPr="00E92FB8">
        <w:t>to the Department all forms of grant funding supp</w:t>
      </w:r>
      <w:r w:rsidR="00DD03EE" w:rsidRPr="00E92FB8">
        <w:t xml:space="preserve">lementary to their CCCFR income, </w:t>
      </w:r>
      <w:r w:rsidR="009D73E6" w:rsidRPr="00E92FB8">
        <w:t xml:space="preserve">they do not feel this transparency is </w:t>
      </w:r>
      <w:r w:rsidR="00946AF4" w:rsidRPr="00E92FB8">
        <w:t>reciprocated.</w:t>
      </w:r>
      <w:r w:rsidR="00506939">
        <w:t xml:space="preserve"> </w:t>
      </w:r>
      <w:r w:rsidR="00AB00D5" w:rsidRPr="00AB00D5">
        <w:t>For example, services might like to know how much funding they receive relative to other services or how much other services</w:t>
      </w:r>
      <w:r w:rsidR="00490FA8">
        <w:t>’</w:t>
      </w:r>
      <w:r w:rsidR="00AB00D5" w:rsidRPr="00AB00D5">
        <w:t xml:space="preserve"> incomes are reliant on CCCFR grant </w:t>
      </w:r>
      <w:r w:rsidR="00CE2F97">
        <w:t>compared to</w:t>
      </w:r>
      <w:r w:rsidR="00AB00D5" w:rsidRPr="00AB00D5">
        <w:t xml:space="preserve"> other income</w:t>
      </w:r>
      <w:r w:rsidR="00CE2F97">
        <w:t>.</w:t>
      </w:r>
      <w:r w:rsidR="002E497C">
        <w:t xml:space="preserve">  </w:t>
      </w:r>
      <w:r w:rsidR="003F29E9">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566701" w14:paraId="72F124C4" w14:textId="77777777" w:rsidTr="00AC138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38AEE381" w14:textId="03B74DFC" w:rsidR="00566701" w:rsidRPr="009E424E" w:rsidRDefault="00566701" w:rsidP="00566701">
            <w:pPr>
              <w:spacing w:after="120"/>
              <w:rPr>
                <w:b/>
                <w:bCs/>
              </w:rPr>
            </w:pPr>
            <w:r w:rsidRPr="009E424E">
              <w:rPr>
                <w:b/>
                <w:bCs/>
              </w:rPr>
              <w:t xml:space="preserve">Review finding </w:t>
            </w:r>
            <w:r>
              <w:rPr>
                <w:b/>
                <w:bCs/>
              </w:rPr>
              <w:t>10</w:t>
            </w:r>
          </w:p>
          <w:p w14:paraId="3A0F2AFE" w14:textId="5313226D" w:rsidR="00566701" w:rsidRPr="00FE33A0" w:rsidRDefault="00BF0F20" w:rsidP="00FE33A0">
            <w:pPr>
              <w:pStyle w:val="HTMLAddress"/>
              <w:rPr>
                <w:i w:val="0"/>
                <w:iCs w:val="0"/>
              </w:rPr>
            </w:pPr>
            <w:r w:rsidRPr="00D50F60">
              <w:rPr>
                <w:i w:val="0"/>
                <w:iCs w:val="0"/>
              </w:rPr>
              <w:t xml:space="preserve">Aboriginal and Torres Strait Islander families and communities feel strongly that their CCCFR service is delivering culturally appropriate care for their children, however services do not feel that the CCCFR grant is </w:t>
            </w:r>
            <w:r>
              <w:rPr>
                <w:i w:val="0"/>
                <w:iCs w:val="0"/>
              </w:rPr>
              <w:t>sufficient to maintain the levels of care that are required by their communities</w:t>
            </w:r>
            <w:r w:rsidR="007C5637">
              <w:rPr>
                <w:i w:val="0"/>
                <w:iCs w:val="0"/>
              </w:rPr>
              <w:t xml:space="preserve"> to achieve </w:t>
            </w:r>
            <w:r w:rsidR="00ED3FD7">
              <w:rPr>
                <w:i w:val="0"/>
                <w:iCs w:val="0"/>
              </w:rPr>
              <w:t>strong development outcomes for children</w:t>
            </w:r>
            <w:r w:rsidR="00821978">
              <w:rPr>
                <w:i w:val="0"/>
                <w:iCs w:val="0"/>
              </w:rPr>
              <w:t>, or to sufficiently address barriers to participating in ECEC</w:t>
            </w:r>
            <w:r w:rsidRPr="00D50F60">
              <w:rPr>
                <w:i w:val="0"/>
                <w:iCs w:val="0"/>
              </w:rPr>
              <w:t>.</w:t>
            </w:r>
            <w:r w:rsidR="002E497C">
              <w:rPr>
                <w:i w:val="0"/>
                <w:iCs w:val="0"/>
              </w:rPr>
              <w:t xml:space="preserve">    </w:t>
            </w:r>
          </w:p>
        </w:tc>
      </w:tr>
    </w:tbl>
    <w:p w14:paraId="52249B16" w14:textId="405B2172" w:rsidR="00195361" w:rsidRPr="00FC719C" w:rsidRDefault="00195361" w:rsidP="00FC719C">
      <w:pPr>
        <w:spacing w:before="170"/>
        <w:rPr>
          <w:b/>
        </w:rPr>
      </w:pPr>
      <w:r w:rsidRPr="00826178">
        <w:rPr>
          <w:b/>
        </w:rPr>
        <w:t xml:space="preserve">Supporting evidence for this finding is drawn from </w:t>
      </w:r>
      <w:r>
        <w:rPr>
          <w:b/>
        </w:rPr>
        <w:t>consultations with families, communities</w:t>
      </w:r>
      <w:r w:rsidR="00BF0F20">
        <w:rPr>
          <w:b/>
        </w:rPr>
        <w:t>,</w:t>
      </w:r>
      <w:r>
        <w:rPr>
          <w:b/>
        </w:rPr>
        <w:t xml:space="preserve"> and services</w:t>
      </w:r>
      <w:r w:rsidRPr="00826178">
        <w:rPr>
          <w:b/>
        </w:rPr>
        <w:t>.</w:t>
      </w:r>
    </w:p>
    <w:p w14:paraId="15DDC3E2" w14:textId="5E46F5B7" w:rsidR="009A4A71" w:rsidRDefault="00195361" w:rsidP="00A64686">
      <w:r>
        <w:t>In Aboriginal and Torres Strait Islander communities</w:t>
      </w:r>
      <w:r w:rsidR="00FC719C">
        <w:t xml:space="preserve">, parents, kinship carers and other community members </w:t>
      </w:r>
      <w:r w:rsidR="00C55BC2">
        <w:t>reflect</w:t>
      </w:r>
      <w:r w:rsidR="00CE510A">
        <w:t xml:space="preserve"> their confidence in </w:t>
      </w:r>
      <w:r w:rsidR="00ED3957">
        <w:t xml:space="preserve">the ability of the CCCFR service to </w:t>
      </w:r>
      <w:r w:rsidR="00C1699A">
        <w:t xml:space="preserve">deliver culturally appropriate care </w:t>
      </w:r>
      <w:r w:rsidR="003213A4">
        <w:t xml:space="preserve">to their children. The primary reason for </w:t>
      </w:r>
      <w:r w:rsidR="00F7238E">
        <w:t xml:space="preserve">this confidence </w:t>
      </w:r>
      <w:r w:rsidR="00C55BC2">
        <w:t>is</w:t>
      </w:r>
      <w:r w:rsidR="00F7238E">
        <w:t xml:space="preserve"> that the majority of educators were local women from their own communities. </w:t>
      </w:r>
    </w:p>
    <w:p w14:paraId="17371340" w14:textId="779486DB" w:rsidR="00352D2A" w:rsidRPr="002B5516" w:rsidRDefault="00352D2A" w:rsidP="00A64686">
      <w:pPr>
        <w:rPr>
          <w:color w:val="26890D"/>
        </w:rPr>
      </w:pPr>
      <w:r w:rsidRPr="002B5516">
        <w:rPr>
          <w:color w:val="26890D"/>
        </w:rPr>
        <w:lastRenderedPageBreak/>
        <w:t>“it’s a really big advantage for us. Especially fr</w:t>
      </w:r>
      <w:r w:rsidR="007C36D5" w:rsidRPr="002B5516">
        <w:rPr>
          <w:color w:val="26890D"/>
        </w:rPr>
        <w:t>om</w:t>
      </w:r>
      <w:r w:rsidRPr="002B5516">
        <w:rPr>
          <w:color w:val="26890D"/>
        </w:rPr>
        <w:t xml:space="preserve"> an Indigenous background. It is run by local people for local people.”</w:t>
      </w:r>
      <w:r w:rsidR="00EB540E" w:rsidRPr="002B5516">
        <w:rPr>
          <w:b/>
          <w:color w:val="26890D"/>
        </w:rPr>
        <w:t xml:space="preserve">- </w:t>
      </w:r>
      <w:r w:rsidR="00856AB6" w:rsidRPr="002B5516">
        <w:rPr>
          <w:b/>
          <w:color w:val="26890D"/>
        </w:rPr>
        <w:t>M</w:t>
      </w:r>
      <w:r w:rsidR="56D495AF" w:rsidRPr="002B5516">
        <w:rPr>
          <w:b/>
          <w:color w:val="26890D"/>
        </w:rPr>
        <w:t xml:space="preserve">other </w:t>
      </w:r>
    </w:p>
    <w:p w14:paraId="7F191E80" w14:textId="02D9D377" w:rsidR="009B35F2" w:rsidRDefault="0018269A" w:rsidP="00A64686">
      <w:r>
        <w:t>Service</w:t>
      </w:r>
      <w:r w:rsidR="00BB2FD2">
        <w:t xml:space="preserve"> directors and educators</w:t>
      </w:r>
      <w:r>
        <w:t xml:space="preserve"> </w:t>
      </w:r>
      <w:r w:rsidR="00C55BC2">
        <w:t>speak</w:t>
      </w:r>
      <w:r>
        <w:t xml:space="preserve"> </w:t>
      </w:r>
      <w:r w:rsidR="005F75D4">
        <w:t xml:space="preserve">of </w:t>
      </w:r>
      <w:r w:rsidR="009B35F2">
        <w:t xml:space="preserve">the many facets of cultural responsibility that </w:t>
      </w:r>
      <w:r w:rsidR="00BB2FD2">
        <w:t>come into their</w:t>
      </w:r>
      <w:r w:rsidR="00331F7A">
        <w:t xml:space="preserve"> </w:t>
      </w:r>
      <w:r w:rsidR="00E14FA6">
        <w:t>roles</w:t>
      </w:r>
      <w:r w:rsidR="00331F7A">
        <w:t xml:space="preserve">. </w:t>
      </w:r>
      <w:r w:rsidR="00E04BD5">
        <w:t xml:space="preserve">Providing culturally appropriate </w:t>
      </w:r>
      <w:r w:rsidR="00E51312">
        <w:t xml:space="preserve">ECEC </w:t>
      </w:r>
      <w:r w:rsidR="006A08B4">
        <w:t>to the children enrolled in their service mean</w:t>
      </w:r>
      <w:r w:rsidR="00C55BC2">
        <w:t>s</w:t>
      </w:r>
      <w:r w:rsidR="006A08B4">
        <w:t xml:space="preserve"> not just looking after those children</w:t>
      </w:r>
      <w:r w:rsidR="000E3E10">
        <w:t xml:space="preserve"> as the</w:t>
      </w:r>
      <w:r w:rsidR="00967EB6">
        <w:t>y</w:t>
      </w:r>
      <w:r w:rsidR="000E3E10">
        <w:t xml:space="preserve"> </w:t>
      </w:r>
      <w:r w:rsidR="00C55BC2">
        <w:t>come</w:t>
      </w:r>
      <w:r w:rsidR="000E3E10">
        <w:t xml:space="preserve"> into the centre</w:t>
      </w:r>
      <w:r w:rsidR="006A08B4">
        <w:t xml:space="preserve">, but </w:t>
      </w:r>
      <w:r w:rsidR="00E14FA6">
        <w:t>making sure the</w:t>
      </w:r>
      <w:r w:rsidR="00967EB6">
        <w:t xml:space="preserve"> families and communities </w:t>
      </w:r>
      <w:r w:rsidR="00C55BC2">
        <w:t>are</w:t>
      </w:r>
      <w:r w:rsidR="00967EB6">
        <w:t xml:space="preserve"> </w:t>
      </w:r>
      <w:r w:rsidR="00690CC2">
        <w:t xml:space="preserve">fully </w:t>
      </w:r>
      <w:r w:rsidR="00967EB6">
        <w:t xml:space="preserve">supported </w:t>
      </w:r>
      <w:r w:rsidR="00690CC2">
        <w:t>too</w:t>
      </w:r>
      <w:r w:rsidR="003A2844">
        <w:t>.</w:t>
      </w:r>
      <w:r w:rsidR="002E497C">
        <w:t xml:space="preserve"> </w:t>
      </w:r>
    </w:p>
    <w:p w14:paraId="2A266859" w14:textId="4F75C8B5" w:rsidR="007C0ABF" w:rsidRDefault="007C0ABF" w:rsidP="007C0ABF">
      <w:pPr>
        <w:rPr>
          <w:color w:val="86BC25" w:themeColor="accent1"/>
        </w:rPr>
      </w:pPr>
      <w:r w:rsidRPr="00604E1E">
        <w:t xml:space="preserve">In very remote and Aboriginal </w:t>
      </w:r>
      <w:r w:rsidR="00604E1E">
        <w:t xml:space="preserve">and Torres Strait Islander </w:t>
      </w:r>
      <w:r w:rsidRPr="00604E1E">
        <w:t>communities child</w:t>
      </w:r>
      <w:r w:rsidR="00604E1E">
        <w:t xml:space="preserve"> </w:t>
      </w:r>
      <w:r w:rsidRPr="00604E1E">
        <w:t xml:space="preserve">care services often fill gaps in </w:t>
      </w:r>
      <w:r w:rsidR="00C55BC2">
        <w:t xml:space="preserve">other </w:t>
      </w:r>
      <w:r w:rsidRPr="00604E1E">
        <w:t xml:space="preserve">service delivery either due to lack of supply or where lack of culturally safe and appropriate delivery leads to a similar gap in delivery. Where outcomes are not being met by other services, CCCFR funded services often describe expanding their ‘scope’ to fill the gap and ensure families </w:t>
      </w:r>
      <w:r w:rsidR="00581F2F">
        <w:t>are</w:t>
      </w:r>
      <w:r w:rsidRPr="00604E1E">
        <w:t xml:space="preserve"> not missing out. This </w:t>
      </w:r>
      <w:r w:rsidR="00581F2F">
        <w:t>is</w:t>
      </w:r>
      <w:r w:rsidRPr="00604E1E">
        <w:t xml:space="preserve"> in line with their core principles</w:t>
      </w:r>
      <w:r w:rsidR="003B64D7">
        <w:t xml:space="preserve"> and cultural frameworks</w:t>
      </w:r>
      <w:r w:rsidRPr="00604E1E">
        <w:t>, but often not in line with (and therefore, met by) their funding agreements.</w:t>
      </w:r>
      <w:r w:rsidR="002E497C">
        <w:t xml:space="preserve"> </w:t>
      </w:r>
      <w:r w:rsidR="00337114">
        <w:t xml:space="preserve"> </w:t>
      </w:r>
    </w:p>
    <w:p w14:paraId="04778885" w14:textId="0DF6C894" w:rsidR="000A2B1F" w:rsidRPr="00CC516C" w:rsidRDefault="000A2B1F" w:rsidP="007C0ABF">
      <w:pPr>
        <w:rPr>
          <w:color w:val="ED8B00"/>
        </w:rPr>
      </w:pPr>
      <w:r>
        <w:t xml:space="preserve">Services reflect that in order to deliver culturally appropriate care, </w:t>
      </w:r>
      <w:r w:rsidR="004B6F22">
        <w:t xml:space="preserve">they </w:t>
      </w:r>
      <w:r w:rsidR="00B02F03">
        <w:t>need</w:t>
      </w:r>
      <w:r w:rsidR="004B6F22">
        <w:t xml:space="preserve"> to find ways to fill the</w:t>
      </w:r>
      <w:r w:rsidR="00B02F03">
        <w:t>se</w:t>
      </w:r>
      <w:r w:rsidR="004B6F22">
        <w:t xml:space="preserve"> funding gaps. Sometimes this mean</w:t>
      </w:r>
      <w:r w:rsidR="00B02F03">
        <w:t>s</w:t>
      </w:r>
      <w:r w:rsidR="004B6F22">
        <w:t xml:space="preserve"> additional volunteer hours</w:t>
      </w:r>
      <w:r w:rsidR="00E06318">
        <w:t xml:space="preserve"> by those in roles</w:t>
      </w:r>
      <w:r w:rsidR="004B6F22">
        <w:t xml:space="preserve"> (above and beyond those </w:t>
      </w:r>
      <w:r w:rsidR="00E06318">
        <w:t xml:space="preserve">additional </w:t>
      </w:r>
      <w:r w:rsidR="004B6F22">
        <w:t xml:space="preserve">required to maintain the </w:t>
      </w:r>
      <w:r w:rsidR="00E06318">
        <w:t>basic operations of the service)</w:t>
      </w:r>
      <w:r w:rsidR="00080F9E">
        <w:t>. At</w:t>
      </w:r>
      <w:r w:rsidR="00E06318">
        <w:t xml:space="preserve"> other times financial support </w:t>
      </w:r>
      <w:r w:rsidR="00080F9E">
        <w:t>is</w:t>
      </w:r>
      <w:r w:rsidR="006D06A1">
        <w:t xml:space="preserve"> sought through </w:t>
      </w:r>
      <w:r w:rsidR="00F11258">
        <w:t>additional</w:t>
      </w:r>
      <w:r w:rsidR="00F635C6">
        <w:t xml:space="preserve"> government grants </w:t>
      </w:r>
      <w:r w:rsidR="0085500C">
        <w:t>(such as through the states and territories or the NIAA)</w:t>
      </w:r>
      <w:r w:rsidR="00080F9E">
        <w:t>, where these exist</w:t>
      </w:r>
      <w:r w:rsidR="00F11258">
        <w:t xml:space="preserve">. </w:t>
      </w:r>
      <w:r w:rsidR="00ED6F4C">
        <w:t xml:space="preserve">Aboriginal and Torres Strait Islander </w:t>
      </w:r>
      <w:r w:rsidR="0085500C">
        <w:t>peak bodies and philan</w:t>
      </w:r>
      <w:r w:rsidR="00F11258">
        <w:t>thropic</w:t>
      </w:r>
      <w:r w:rsidR="0085500C">
        <w:t xml:space="preserve"> </w:t>
      </w:r>
      <w:r w:rsidR="00F11258">
        <w:t xml:space="preserve">organisations </w:t>
      </w:r>
      <w:r w:rsidR="00CC516C">
        <w:t>are</w:t>
      </w:r>
      <w:r w:rsidR="00F11258">
        <w:t xml:space="preserve"> also drawn on to help provide resources</w:t>
      </w:r>
      <w:r w:rsidR="00AE52FC">
        <w:t xml:space="preserve"> and funds</w:t>
      </w:r>
      <w:r w:rsidR="00F11258">
        <w:t xml:space="preserve"> to deliver culturally informed care. </w:t>
      </w:r>
      <w:r w:rsidR="00CC516C" w:rsidRPr="00113A8A">
        <w:t xml:space="preserve">However, the time taken and expertise needed to </w:t>
      </w:r>
      <w:r w:rsidR="005B4151" w:rsidRPr="00113A8A">
        <w:t xml:space="preserve">source </w:t>
      </w:r>
      <w:r w:rsidR="00896451" w:rsidRPr="00113A8A">
        <w:t xml:space="preserve">and secure these funds can take away from time </w:t>
      </w:r>
      <w:r w:rsidR="003F189B" w:rsidRPr="00113A8A">
        <w:t>spent supporting staff to deliver care.</w:t>
      </w:r>
    </w:p>
    <w:p w14:paraId="5E4BB071" w14:textId="6F0AD553" w:rsidR="00CF24DC" w:rsidRDefault="005C44D4" w:rsidP="00CF24DC">
      <w:pPr>
        <w:rPr>
          <w:color w:val="000000" w:themeColor="text1"/>
          <w:lang w:val="en-US"/>
        </w:rPr>
      </w:pPr>
      <w:r w:rsidRPr="00EB44B2">
        <w:t xml:space="preserve">Many council-run services </w:t>
      </w:r>
      <w:r w:rsidR="00CF24DC" w:rsidRPr="00EB44B2">
        <w:t xml:space="preserve">operating in Aboriginal and Torres Strait Islander communities </w:t>
      </w:r>
      <w:r w:rsidR="00CF24DC" w:rsidRPr="00EB44B2">
        <w:rPr>
          <w:color w:val="000000" w:themeColor="text1"/>
          <w:lang w:val="en-US"/>
        </w:rPr>
        <w:t>express the importance of investing in additional cultural programs and activities</w:t>
      </w:r>
      <w:r w:rsidR="00113A8A" w:rsidRPr="00EB44B2">
        <w:rPr>
          <w:color w:val="000000" w:themeColor="text1"/>
          <w:lang w:val="en-US"/>
        </w:rPr>
        <w:t>,</w:t>
      </w:r>
      <w:r w:rsidR="00CF24DC" w:rsidRPr="00EB44B2">
        <w:rPr>
          <w:color w:val="000000" w:themeColor="text1"/>
          <w:lang w:val="en-US"/>
        </w:rPr>
        <w:t xml:space="preserve"> but they </w:t>
      </w:r>
      <w:r w:rsidR="003F189B">
        <w:rPr>
          <w:color w:val="000000" w:themeColor="text1"/>
          <w:lang w:val="en-US"/>
        </w:rPr>
        <w:t>are</w:t>
      </w:r>
      <w:r w:rsidR="00CF24DC" w:rsidRPr="00EB44B2">
        <w:rPr>
          <w:color w:val="000000" w:themeColor="text1"/>
          <w:lang w:val="en-US"/>
        </w:rPr>
        <w:t xml:space="preserve"> challenged by the lack of funding and lack of options in the funding model to support these. Such initiatives include</w:t>
      </w:r>
      <w:r w:rsidR="00D67D39">
        <w:rPr>
          <w:color w:val="000000" w:themeColor="text1"/>
          <w:lang w:val="en-US"/>
        </w:rPr>
        <w:t>:</w:t>
      </w:r>
      <w:r w:rsidR="00CF24DC" w:rsidRPr="00EB44B2">
        <w:rPr>
          <w:color w:val="000000" w:themeColor="text1"/>
          <w:lang w:val="en-US"/>
        </w:rPr>
        <w:t xml:space="preserve"> the establishment of a cultural advisory group that would require funding for a secretariat and fees for the Elders to attend and contribute</w:t>
      </w:r>
      <w:r w:rsidR="00D67D39">
        <w:rPr>
          <w:color w:val="000000" w:themeColor="text1"/>
          <w:lang w:val="en-US"/>
        </w:rPr>
        <w:t>;</w:t>
      </w:r>
      <w:r w:rsidR="00CF24DC" w:rsidRPr="00EB44B2">
        <w:rPr>
          <w:color w:val="000000" w:themeColor="text1"/>
          <w:lang w:val="en-US"/>
        </w:rPr>
        <w:t xml:space="preserve"> support to stage events during culturally significant days such as NAIDOC week and Aboriginal and Torres Strait Islander Children’s Day</w:t>
      </w:r>
      <w:r w:rsidR="00D67D39">
        <w:rPr>
          <w:color w:val="000000" w:themeColor="text1"/>
          <w:lang w:val="en-US"/>
        </w:rPr>
        <w:t>;</w:t>
      </w:r>
      <w:r w:rsidR="00CF24DC" w:rsidRPr="00EB44B2">
        <w:rPr>
          <w:color w:val="000000" w:themeColor="text1"/>
          <w:lang w:val="en-US"/>
        </w:rPr>
        <w:t xml:space="preserve"> and support to develop additional literacy resources in the local languages of the communities.</w:t>
      </w:r>
      <w:r w:rsidR="002E497C">
        <w:rPr>
          <w:color w:val="000000" w:themeColor="text1"/>
          <w:lang w:val="en-US"/>
        </w:rPr>
        <w:t xml:space="preserve"> </w:t>
      </w:r>
      <w:r w:rsidR="00CF24DC" w:rsidRPr="00EB44B2">
        <w:rPr>
          <w:color w:val="000000" w:themeColor="text1"/>
          <w:lang w:val="en-US"/>
        </w:rPr>
        <w:t xml:space="preserve"> </w:t>
      </w:r>
    </w:p>
    <w:p w14:paraId="4E65FBA3" w14:textId="72500311" w:rsidR="009B5B9A" w:rsidRDefault="00A94063" w:rsidP="00C859AE">
      <w:pPr>
        <w:rPr>
          <w:color w:val="000000" w:themeColor="text1"/>
          <w:lang w:val="en-US"/>
        </w:rPr>
      </w:pPr>
      <w:r>
        <w:rPr>
          <w:color w:val="000000" w:themeColor="text1"/>
          <w:lang w:val="en-US"/>
        </w:rPr>
        <w:t>For services that had a diversity of enrolments amongst Aboriginal and Torres Strait Islander and non-</w:t>
      </w:r>
      <w:r w:rsidR="008F7F0D" w:rsidRPr="008F7F0D">
        <w:rPr>
          <w:color w:val="000000" w:themeColor="text1"/>
          <w:lang w:val="en-US"/>
        </w:rPr>
        <w:t>Aboriginal and Torres Strait Islander</w:t>
      </w:r>
      <w:r>
        <w:rPr>
          <w:color w:val="000000" w:themeColor="text1"/>
          <w:lang w:val="en-US"/>
        </w:rPr>
        <w:t xml:space="preserve"> children, they </w:t>
      </w:r>
      <w:r w:rsidR="008D12F0">
        <w:rPr>
          <w:color w:val="000000" w:themeColor="text1"/>
          <w:lang w:val="en-US"/>
        </w:rPr>
        <w:t>reflect</w:t>
      </w:r>
      <w:r>
        <w:rPr>
          <w:color w:val="000000" w:themeColor="text1"/>
          <w:lang w:val="en-US"/>
        </w:rPr>
        <w:t xml:space="preserve"> that </w:t>
      </w:r>
      <w:r w:rsidR="00475B30">
        <w:rPr>
          <w:color w:val="000000" w:themeColor="text1"/>
          <w:lang w:val="en-US"/>
        </w:rPr>
        <w:t>for children to get the full benefit of</w:t>
      </w:r>
      <w:r>
        <w:rPr>
          <w:color w:val="000000" w:themeColor="text1"/>
          <w:lang w:val="en-US"/>
        </w:rPr>
        <w:t xml:space="preserve"> </w:t>
      </w:r>
      <w:r w:rsidRPr="009B5B9A">
        <w:rPr>
          <w:color w:val="000000" w:themeColor="text1"/>
          <w:lang w:val="en-US"/>
        </w:rPr>
        <w:t xml:space="preserve">culturally-informed </w:t>
      </w:r>
      <w:r w:rsidR="00221188" w:rsidRPr="009B5B9A">
        <w:rPr>
          <w:color w:val="000000" w:themeColor="text1"/>
          <w:lang w:val="en-US"/>
        </w:rPr>
        <w:t>car</w:t>
      </w:r>
      <w:r w:rsidR="009B5B9A" w:rsidRPr="009B5B9A">
        <w:rPr>
          <w:color w:val="000000" w:themeColor="text1"/>
          <w:lang w:val="en-US"/>
        </w:rPr>
        <w:t xml:space="preserve">e, it </w:t>
      </w:r>
      <w:r w:rsidR="008D12F0">
        <w:rPr>
          <w:color w:val="000000" w:themeColor="text1"/>
          <w:lang w:val="en-US"/>
        </w:rPr>
        <w:t>is</w:t>
      </w:r>
      <w:r w:rsidR="009B5B9A" w:rsidRPr="009B5B9A">
        <w:rPr>
          <w:color w:val="000000" w:themeColor="text1"/>
          <w:lang w:val="en-US"/>
        </w:rPr>
        <w:t xml:space="preserve"> important to </w:t>
      </w:r>
      <w:r w:rsidR="00475B30" w:rsidRPr="009B5B9A">
        <w:rPr>
          <w:color w:val="000000" w:themeColor="text1"/>
          <w:lang w:val="en-US"/>
        </w:rPr>
        <w:t>hav</w:t>
      </w:r>
      <w:r w:rsidR="009B5B9A" w:rsidRPr="009B5B9A">
        <w:rPr>
          <w:color w:val="000000" w:themeColor="text1"/>
          <w:lang w:val="en-US"/>
        </w:rPr>
        <w:t>e</w:t>
      </w:r>
      <w:r w:rsidR="00475B30" w:rsidRPr="009B5B9A">
        <w:rPr>
          <w:color w:val="000000" w:themeColor="text1"/>
          <w:lang w:val="en-US"/>
        </w:rPr>
        <w:t xml:space="preserve"> a majority of Aboriginal and Torres Strait Islander children enrolled</w:t>
      </w:r>
      <w:r w:rsidR="00510730">
        <w:rPr>
          <w:color w:val="000000" w:themeColor="text1"/>
          <w:lang w:val="en-US"/>
        </w:rPr>
        <w:t>, and that this</w:t>
      </w:r>
      <w:r w:rsidR="00510730">
        <w:rPr>
          <w:color w:val="ED8B00"/>
          <w:lang w:val="en-US"/>
        </w:rPr>
        <w:t xml:space="preserve"> </w:t>
      </w:r>
      <w:r w:rsidR="00D920CC" w:rsidRPr="00113A8A">
        <w:rPr>
          <w:lang w:val="en-US"/>
        </w:rPr>
        <w:t>is not explicitly</w:t>
      </w:r>
      <w:r w:rsidR="00510730" w:rsidRPr="00113A8A">
        <w:rPr>
          <w:lang w:val="en-US"/>
        </w:rPr>
        <w:t xml:space="preserve"> </w:t>
      </w:r>
      <w:r w:rsidR="00510730">
        <w:rPr>
          <w:color w:val="000000" w:themeColor="text1"/>
          <w:lang w:val="en-US"/>
        </w:rPr>
        <w:t>supported under the CCCFR grant</w:t>
      </w:r>
      <w:r w:rsidR="00475B30" w:rsidRPr="009B5B9A">
        <w:rPr>
          <w:color w:val="000000" w:themeColor="text1"/>
          <w:lang w:val="en-US"/>
        </w:rPr>
        <w:t>.</w:t>
      </w:r>
      <w:r w:rsidR="009B5B9A" w:rsidRPr="009B5B9A">
        <w:rPr>
          <w:color w:val="000000" w:themeColor="text1"/>
          <w:lang w:val="en-US"/>
        </w:rPr>
        <w:t xml:space="preserve"> </w:t>
      </w:r>
    </w:p>
    <w:p w14:paraId="0611785D" w14:textId="09410B65" w:rsidR="00C859AE" w:rsidRPr="009B5B9A" w:rsidRDefault="009B5B9A" w:rsidP="00C859AE">
      <w:pPr>
        <w:rPr>
          <w:color w:val="000000" w:themeColor="text1"/>
          <w:lang w:val="en-US"/>
        </w:rPr>
      </w:pPr>
      <w:r w:rsidRPr="009B5B9A">
        <w:rPr>
          <w:color w:val="000000" w:themeColor="text1"/>
          <w:lang w:val="en-US"/>
        </w:rPr>
        <w:t>S</w:t>
      </w:r>
      <w:r w:rsidR="00C859AE" w:rsidRPr="009B5B9A">
        <w:t xml:space="preserve">ome services </w:t>
      </w:r>
      <w:r w:rsidR="0E8E39F2">
        <w:t>reflect</w:t>
      </w:r>
      <w:r w:rsidR="00C859AE" w:rsidRPr="009B5B9A">
        <w:t xml:space="preserve"> that under the CCCFR grant, there are </w:t>
      </w:r>
      <w:r w:rsidR="00C859AE" w:rsidRPr="009B5B9A">
        <w:rPr>
          <w:b/>
        </w:rPr>
        <w:t>fewer</w:t>
      </w:r>
      <w:r w:rsidR="00C859AE" w:rsidRPr="009B5B9A">
        <w:t xml:space="preserve"> Aboriginal and Torres Strait Islander children and families using the service than under their former funding model delivery.</w:t>
      </w:r>
      <w:r w:rsidR="00F72D9D">
        <w:rPr>
          <w:rStyle w:val="FootnoteReference"/>
        </w:rPr>
        <w:footnoteReference w:id="120"/>
      </w:r>
      <w:r w:rsidR="00C859AE" w:rsidRPr="009B5B9A">
        <w:t xml:space="preserve"> </w:t>
      </w:r>
      <w:r w:rsidR="00B860C8">
        <w:t xml:space="preserve">It is not possible to quantify this </w:t>
      </w:r>
      <w:r w:rsidR="007C2C15">
        <w:t>reliably due to inconsistent data collection systems across the transition – i.e.</w:t>
      </w:r>
      <w:r w:rsidR="008F7F0D">
        <w:t>,</w:t>
      </w:r>
      <w:r w:rsidR="007C2C15">
        <w:t xml:space="preserve"> </w:t>
      </w:r>
      <w:r w:rsidR="009B4896">
        <w:t xml:space="preserve">there is no CCS data </w:t>
      </w:r>
      <w:r w:rsidR="002E2A0D">
        <w:t xml:space="preserve">available from before the CCCFR grant. </w:t>
      </w:r>
      <w:r w:rsidR="00C859AE" w:rsidRPr="009B5B9A">
        <w:t xml:space="preserve">There are a number of factors attributed to </w:t>
      </w:r>
      <w:r w:rsidR="002016F9">
        <w:t>the reported decline of Aboriginal and Torres Strait Islander child attendance</w:t>
      </w:r>
      <w:r w:rsidR="00C859AE" w:rsidRPr="009B5B9A">
        <w:t>, including the introduction of fees, the introduction of CCS and the associated activity test and the need to navigate Centrelink</w:t>
      </w:r>
      <w:r w:rsidR="00510730">
        <w:t xml:space="preserve">. </w:t>
      </w:r>
      <w:r w:rsidR="00C859AE" w:rsidRPr="009B5B9A">
        <w:t>In one instance, a service felt that their own objective, to provide care for Aboriginal children, was impacted by the funding model</w:t>
      </w:r>
      <w:r w:rsidR="00A913A4">
        <w:t>:</w:t>
      </w:r>
      <w:r w:rsidR="007160B5">
        <w:rPr>
          <w:iCs/>
        </w:rPr>
        <w:t xml:space="preserve"> </w:t>
      </w:r>
    </w:p>
    <w:p w14:paraId="3394DA31" w14:textId="3A52348F" w:rsidR="00822AE4" w:rsidRPr="002B5516" w:rsidRDefault="00822AE4" w:rsidP="00A64686">
      <w:pPr>
        <w:spacing w:after="240" w:line="200" w:lineRule="atLeast"/>
        <w:contextualSpacing/>
        <w:rPr>
          <w:color w:val="26890D"/>
        </w:rPr>
      </w:pPr>
      <w:r w:rsidRPr="002B5516">
        <w:rPr>
          <w:color w:val="26890D"/>
        </w:rPr>
        <w:t>“[We were set up] by local Aboriginal Elders for Aboriginal children, as years have gone on we now cater to all children. We have 40</w:t>
      </w:r>
      <w:r w:rsidR="007F4CE1" w:rsidRPr="002B5516">
        <w:rPr>
          <w:color w:val="26890D"/>
        </w:rPr>
        <w:t xml:space="preserve"> per cent</w:t>
      </w:r>
      <w:r w:rsidRPr="002B5516">
        <w:rPr>
          <w:color w:val="26890D"/>
        </w:rPr>
        <w:t xml:space="preserve"> Indigenous enrolments this has decreased since the change in the model. The reason for this is there</w:t>
      </w:r>
      <w:r w:rsidR="00F627A3" w:rsidRPr="002B5516">
        <w:rPr>
          <w:color w:val="26890D"/>
        </w:rPr>
        <w:t>’</w:t>
      </w:r>
      <w:r w:rsidRPr="002B5516">
        <w:rPr>
          <w:color w:val="26890D"/>
        </w:rPr>
        <w:t>s more requirements to access care that is the subsidy, Centrelink, higher fees. Fees increased due to a decrease in funding not affordable for all families, so we need non-Aboriginal families to cover costs.”</w:t>
      </w:r>
    </w:p>
    <w:p w14:paraId="45A29587" w14:textId="77777777" w:rsidR="00250E7B" w:rsidRPr="002B5516" w:rsidRDefault="00250E7B" w:rsidP="00A64686">
      <w:pPr>
        <w:spacing w:after="240" w:line="200" w:lineRule="atLeast"/>
        <w:contextualSpacing/>
        <w:rPr>
          <w:color w:val="26890D"/>
        </w:rPr>
      </w:pPr>
    </w:p>
    <w:p w14:paraId="3FBEA62B" w14:textId="22D96DD5" w:rsidR="00250E7B" w:rsidRPr="00A64686" w:rsidRDefault="00250E7B" w:rsidP="00916E8D">
      <w:r w:rsidRPr="2A996E96">
        <w:t xml:space="preserve">Services are required to </w:t>
      </w:r>
      <w:r w:rsidR="00E36400" w:rsidRPr="2A996E96">
        <w:t>accommodate children regardless of background</w:t>
      </w:r>
      <w:r w:rsidR="007A02DE" w:rsidRPr="2A996E96">
        <w:t xml:space="preserve"> under the Disability Discrimination Act</w:t>
      </w:r>
      <w:r w:rsidR="004B7F0E" w:rsidRPr="00CD38C6">
        <w:rPr>
          <w:rStyle w:val="FootnoteReference"/>
        </w:rPr>
        <w:footnoteReference w:id="121"/>
      </w:r>
      <w:r w:rsidR="007A02DE" w:rsidRPr="2A996E96">
        <w:t xml:space="preserve"> and the Racial Discrimination Act</w:t>
      </w:r>
      <w:r w:rsidR="00E36400" w:rsidRPr="2A996E96">
        <w:t xml:space="preserve">, therefore Aboriginal and Torres Strait </w:t>
      </w:r>
      <w:r w:rsidR="00E36400" w:rsidRPr="2A996E96">
        <w:lastRenderedPageBreak/>
        <w:t xml:space="preserve">Islander services cannot </w:t>
      </w:r>
      <w:r w:rsidR="002E59DB" w:rsidRPr="2A996E96">
        <w:t xml:space="preserve">distinguish between </w:t>
      </w:r>
      <w:r w:rsidR="00B410E5" w:rsidRPr="2A996E96">
        <w:t xml:space="preserve">Aboriginal and Torres Strait Islander children and others. This </w:t>
      </w:r>
      <w:r w:rsidR="002D4C37" w:rsidRPr="2A996E96">
        <w:t>can be challenging to provide culturally competent care</w:t>
      </w:r>
      <w:r w:rsidR="00A913A4" w:rsidRPr="2A996E96">
        <w:t xml:space="preserve">. </w:t>
      </w:r>
    </w:p>
    <w:p w14:paraId="77227FCE" w14:textId="4825853B" w:rsidR="00033660" w:rsidRPr="00033660" w:rsidRDefault="00033660" w:rsidP="00033660">
      <w:pPr>
        <w:rPr>
          <w:lang w:val="en-US"/>
        </w:rPr>
      </w:pPr>
      <w:r w:rsidRPr="5325854D">
        <w:rPr>
          <w:lang w:val="en-US"/>
        </w:rPr>
        <w:t xml:space="preserve">While some of the activities identified above go beyond </w:t>
      </w:r>
      <w:r w:rsidR="00532423" w:rsidRPr="5325854D">
        <w:rPr>
          <w:lang w:val="en-US"/>
        </w:rPr>
        <w:t xml:space="preserve">a </w:t>
      </w:r>
      <w:r w:rsidR="007C2F6C" w:rsidRPr="5325854D">
        <w:rPr>
          <w:lang w:val="en-US"/>
        </w:rPr>
        <w:t>culturally</w:t>
      </w:r>
      <w:r w:rsidR="00F44117" w:rsidRPr="5325854D">
        <w:rPr>
          <w:lang w:val="en-US"/>
        </w:rPr>
        <w:t>-</w:t>
      </w:r>
      <w:r w:rsidR="007C2F6C" w:rsidRPr="5325854D">
        <w:rPr>
          <w:lang w:val="en-US"/>
        </w:rPr>
        <w:t>narrow</w:t>
      </w:r>
      <w:r w:rsidR="00800831" w:rsidRPr="5325854D">
        <w:rPr>
          <w:lang w:val="en-US"/>
        </w:rPr>
        <w:t xml:space="preserve"> </w:t>
      </w:r>
      <w:r w:rsidRPr="5325854D">
        <w:rPr>
          <w:lang w:val="en-US"/>
        </w:rPr>
        <w:t xml:space="preserve">understanding </w:t>
      </w:r>
      <w:r w:rsidR="00F44117" w:rsidRPr="5325854D">
        <w:rPr>
          <w:lang w:val="en-US"/>
        </w:rPr>
        <w:t>and</w:t>
      </w:r>
      <w:r w:rsidRPr="5325854D">
        <w:rPr>
          <w:lang w:val="en-US"/>
        </w:rPr>
        <w:t xml:space="preserve"> definition of child care, they are aligned directly to the overarching </w:t>
      </w:r>
      <w:r w:rsidR="008E6D31" w:rsidRPr="5325854D">
        <w:rPr>
          <w:lang w:val="en-US"/>
        </w:rPr>
        <w:t xml:space="preserve">mainstream </w:t>
      </w:r>
      <w:r w:rsidRPr="5325854D">
        <w:rPr>
          <w:lang w:val="en-US"/>
        </w:rPr>
        <w:t>objective of improving child development outcomes, through an indirect mechanism of addressing barriers to par</w:t>
      </w:r>
      <w:r w:rsidR="00DA26E1" w:rsidRPr="5325854D">
        <w:rPr>
          <w:lang w:val="en-US"/>
        </w:rPr>
        <w:t>ticipation</w:t>
      </w:r>
      <w:r w:rsidRPr="5325854D">
        <w:rPr>
          <w:lang w:val="en-US"/>
        </w:rPr>
        <w:t xml:space="preserve"> and access. Many of these activities were funded under previous funding models, wh</w:t>
      </w:r>
      <w:r w:rsidR="008E72AD" w:rsidRPr="5325854D">
        <w:rPr>
          <w:lang w:val="en-US"/>
        </w:rPr>
        <w:t xml:space="preserve">ere services </w:t>
      </w:r>
      <w:r w:rsidR="00454346" w:rsidRPr="5325854D">
        <w:rPr>
          <w:lang w:val="en-US"/>
        </w:rPr>
        <w:t>complementary to</w:t>
      </w:r>
      <w:r w:rsidR="008E72AD" w:rsidRPr="5325854D">
        <w:rPr>
          <w:lang w:val="en-US"/>
        </w:rPr>
        <w:t xml:space="preserve"> child care were permitted and funded</w:t>
      </w:r>
      <w:r w:rsidR="009E42F5" w:rsidRPr="5325854D">
        <w:rPr>
          <w:lang w:val="en-US"/>
        </w:rPr>
        <w:t xml:space="preserve"> under the </w:t>
      </w:r>
      <w:r w:rsidR="00C74DE5" w:rsidRPr="5325854D">
        <w:rPr>
          <w:lang w:val="en-US"/>
        </w:rPr>
        <w:t>expectation</w:t>
      </w:r>
      <w:r w:rsidR="009E42F5" w:rsidRPr="5325854D">
        <w:rPr>
          <w:lang w:val="en-US"/>
        </w:rPr>
        <w:t xml:space="preserve"> that they would </w:t>
      </w:r>
      <w:r w:rsidR="00B874D6" w:rsidRPr="5325854D">
        <w:rPr>
          <w:lang w:val="en-US"/>
        </w:rPr>
        <w:t>ultimately support child development outcomes</w:t>
      </w:r>
      <w:r w:rsidRPr="5325854D">
        <w:rPr>
          <w:lang w:val="en-US"/>
        </w:rPr>
        <w:t>. There remains uncertainty around the extent to which the CCCFR grant should fund such activities in order to improve development outcomes for children</w:t>
      </w:r>
      <w:r w:rsidR="007A1DBC" w:rsidRPr="5325854D">
        <w:rPr>
          <w:lang w:val="en-US"/>
        </w:rPr>
        <w:t>,</w:t>
      </w:r>
      <w:r w:rsidR="00116B9B" w:rsidRPr="5325854D">
        <w:rPr>
          <w:lang w:val="en-US"/>
        </w:rPr>
        <w:t xml:space="preserve"> and the degree to which </w:t>
      </w:r>
      <w:r w:rsidR="00A30B7A" w:rsidRPr="5325854D">
        <w:rPr>
          <w:lang w:val="en-US"/>
        </w:rPr>
        <w:t>these decisions should be culturally-informed</w:t>
      </w:r>
      <w:r w:rsidRPr="5325854D">
        <w:rPr>
          <w:lang w:val="en-US"/>
        </w:rPr>
        <w:t xml:space="preserve">.  </w:t>
      </w:r>
      <w:r w:rsidR="006C5D12" w:rsidRPr="5325854D">
        <w:rPr>
          <w:lang w:val="en-US"/>
        </w:rPr>
        <w:t xml:space="preserve">In the absence of </w:t>
      </w:r>
      <w:r w:rsidR="001B63B2" w:rsidRPr="5325854D">
        <w:rPr>
          <w:lang w:val="en-US"/>
        </w:rPr>
        <w:t>a dedicated funding model for the community controlled sector</w:t>
      </w:r>
      <w:r w:rsidR="00B93DAC" w:rsidRPr="5325854D">
        <w:rPr>
          <w:lang w:val="en-US"/>
        </w:rPr>
        <w:t xml:space="preserve"> in line with the Closing the Gap priority reform, the CCCFR grant is relied on </w:t>
      </w:r>
      <w:r w:rsidR="00894BDC" w:rsidRPr="5325854D">
        <w:rPr>
          <w:lang w:val="en-US"/>
        </w:rPr>
        <w:t xml:space="preserve">to </w:t>
      </w:r>
      <w:r w:rsidR="009F19D9" w:rsidRPr="5325854D">
        <w:rPr>
          <w:lang w:val="en-US"/>
        </w:rPr>
        <w:t>fund many</w:t>
      </w:r>
      <w:r w:rsidR="00894BDC" w:rsidRPr="5325854D">
        <w:rPr>
          <w:lang w:val="en-US"/>
        </w:rPr>
        <w:t xml:space="preserve"> </w:t>
      </w:r>
      <w:r w:rsidR="009F19D9" w:rsidRPr="5325854D">
        <w:rPr>
          <w:lang w:val="en-US"/>
        </w:rPr>
        <w:t>aspects of culturally competent care</w:t>
      </w:r>
      <w:r w:rsidR="001F2C08" w:rsidRPr="5325854D">
        <w:rPr>
          <w:lang w:val="en-US"/>
        </w:rPr>
        <w:t xml:space="preserve">. However, </w:t>
      </w:r>
      <w:r w:rsidR="00D6026A" w:rsidRPr="5325854D">
        <w:rPr>
          <w:lang w:val="en-US"/>
        </w:rPr>
        <w:t>for many Aboriginal</w:t>
      </w:r>
      <w:r w:rsidR="00DA26E1" w:rsidRPr="5325854D">
        <w:rPr>
          <w:lang w:val="en-US"/>
        </w:rPr>
        <w:t xml:space="preserve"> and/or Torres Strait Islander</w:t>
      </w:r>
      <w:r w:rsidR="00D6026A" w:rsidRPr="5325854D">
        <w:rPr>
          <w:lang w:val="en-US"/>
        </w:rPr>
        <w:t xml:space="preserve"> services</w:t>
      </w:r>
      <w:r w:rsidR="00DA26E1" w:rsidRPr="5325854D">
        <w:rPr>
          <w:lang w:val="en-US"/>
        </w:rPr>
        <w:t>,</w:t>
      </w:r>
      <w:r w:rsidR="001F2C08" w:rsidRPr="5325854D">
        <w:rPr>
          <w:lang w:val="en-US"/>
        </w:rPr>
        <w:t xml:space="preserve"> the CCCFR grant</w:t>
      </w:r>
      <w:r w:rsidR="00D6026A" w:rsidRPr="5325854D">
        <w:rPr>
          <w:lang w:val="en-US"/>
        </w:rPr>
        <w:t xml:space="preserve"> </w:t>
      </w:r>
      <w:r w:rsidR="009F19D9" w:rsidRPr="5325854D">
        <w:rPr>
          <w:lang w:val="en-US"/>
        </w:rPr>
        <w:t xml:space="preserve">is </w:t>
      </w:r>
      <w:r w:rsidR="001F2C08" w:rsidRPr="5325854D">
        <w:rPr>
          <w:lang w:val="en-US"/>
        </w:rPr>
        <w:t>inadequate in funding and design</w:t>
      </w:r>
      <w:r w:rsidR="009F19D9" w:rsidRPr="5325854D">
        <w:rPr>
          <w:lang w:val="en-US"/>
        </w:rPr>
        <w:t xml:space="preserve"> to i) fully fund all aspects of culturally competent care</w:t>
      </w:r>
      <w:r w:rsidR="00D6026A" w:rsidRPr="5325854D">
        <w:rPr>
          <w:lang w:val="en-US"/>
        </w:rPr>
        <w:t xml:space="preserve">; </w:t>
      </w:r>
      <w:r w:rsidR="009F19D9" w:rsidRPr="5325854D">
        <w:rPr>
          <w:lang w:val="en-US"/>
        </w:rPr>
        <w:t xml:space="preserve">ii) </w:t>
      </w:r>
      <w:r w:rsidR="00D6026A" w:rsidRPr="5325854D">
        <w:rPr>
          <w:lang w:val="en-US"/>
        </w:rPr>
        <w:t xml:space="preserve">fully fund </w:t>
      </w:r>
      <w:r w:rsidR="001F2C08" w:rsidRPr="5325854D">
        <w:rPr>
          <w:lang w:val="en-US"/>
        </w:rPr>
        <w:t xml:space="preserve">all activities to address barriers to participation in child care; </w:t>
      </w:r>
      <w:r w:rsidR="00DA26E1" w:rsidRPr="5325854D">
        <w:rPr>
          <w:lang w:val="en-US"/>
        </w:rPr>
        <w:t xml:space="preserve">and </w:t>
      </w:r>
      <w:r w:rsidR="001F2C08" w:rsidRPr="5325854D">
        <w:rPr>
          <w:lang w:val="en-US"/>
        </w:rPr>
        <w:t xml:space="preserve">iii) </w:t>
      </w:r>
      <w:r w:rsidR="00F94979" w:rsidRPr="5325854D">
        <w:rPr>
          <w:lang w:val="en-US"/>
        </w:rPr>
        <w:t xml:space="preserve">provide needed support to improve workforce participation. </w:t>
      </w:r>
      <w:r w:rsidR="009F19D9" w:rsidRPr="5325854D">
        <w:rPr>
          <w:lang w:val="en-US"/>
        </w:rPr>
        <w:t xml:space="preserve"> </w:t>
      </w:r>
      <w:r w:rsidR="00894BDC" w:rsidRPr="5325854D">
        <w:rPr>
          <w:lang w:val="en-US"/>
        </w:rPr>
        <w:t xml:space="preserve"> </w:t>
      </w:r>
    </w:p>
    <w:p w14:paraId="1C64E5C7" w14:textId="1FF0A8DA" w:rsidR="00274B63" w:rsidRDefault="007370BE" w:rsidP="00DD0F1C">
      <w:pPr>
        <w:pStyle w:val="Heading2"/>
        <w:spacing w:after="240"/>
      </w:pPr>
      <w:bookmarkStart w:id="293" w:name="_Ref152664728"/>
      <w:bookmarkStart w:id="294" w:name="_Toc158993762"/>
      <w:bookmarkStart w:id="295" w:name="_Toc170227409"/>
      <w:r>
        <w:t xml:space="preserve">Alignment with </w:t>
      </w:r>
      <w:r w:rsidR="00DD0F1C">
        <w:t>service, family and community needs and expectations</w:t>
      </w:r>
      <w:bookmarkEnd w:id="293"/>
      <w:bookmarkEnd w:id="294"/>
      <w:bookmarkEnd w:id="295"/>
    </w:p>
    <w:tbl>
      <w:tblPr>
        <w:tblStyle w:val="TableGrid"/>
        <w:tblW w:w="9072" w:type="dxa"/>
        <w:tblBorders>
          <w:left w:val="double" w:sz="12" w:space="0" w:color="012169" w:themeColor="accent4"/>
        </w:tblBorders>
        <w:shd w:val="clear" w:color="auto" w:fill="DFF0F9" w:themeFill="accent3" w:themeFillTint="33"/>
        <w:tblCellMar>
          <w:top w:w="85" w:type="dxa"/>
          <w:left w:w="227" w:type="dxa"/>
          <w:bottom w:w="85" w:type="dxa"/>
          <w:right w:w="113" w:type="dxa"/>
        </w:tblCellMar>
        <w:tblLook w:val="04A0" w:firstRow="1" w:lastRow="0" w:firstColumn="1" w:lastColumn="0" w:noHBand="0" w:noVBand="1"/>
      </w:tblPr>
      <w:tblGrid>
        <w:gridCol w:w="9072"/>
      </w:tblGrid>
      <w:tr w:rsidR="00B97B0F" w:rsidRPr="00BD1248" w14:paraId="789EB4AF" w14:textId="77777777" w:rsidTr="001C655F">
        <w:trPr>
          <w:cnfStyle w:val="100000000000" w:firstRow="1" w:lastRow="0" w:firstColumn="0" w:lastColumn="0" w:oddVBand="0" w:evenVBand="0" w:oddHBand="0" w:evenHBand="0" w:firstRowFirstColumn="0" w:firstRowLastColumn="0" w:lastRowFirstColumn="0" w:lastRowLastColumn="0"/>
          <w:cantSplit/>
        </w:trPr>
        <w:tc>
          <w:tcPr>
            <w:tcW w:w="9072" w:type="dxa"/>
            <w:shd w:val="clear" w:color="auto" w:fill="DFF0F9" w:themeFill="accent3" w:themeFillTint="33"/>
          </w:tcPr>
          <w:p w14:paraId="3395773A" w14:textId="65530DC6" w:rsidR="00841585" w:rsidRDefault="00841585">
            <w:pPr>
              <w:spacing w:after="120"/>
              <w:rPr>
                <w:b/>
                <w:bCs/>
                <w:i/>
                <w:iCs/>
              </w:rPr>
            </w:pPr>
            <w:r w:rsidRPr="00B95090">
              <w:rPr>
                <w:b/>
                <w:bCs/>
                <w:i/>
                <w:iCs/>
              </w:rPr>
              <w:t>Key research questio</w:t>
            </w:r>
            <w:r>
              <w:rPr>
                <w:b/>
                <w:bCs/>
                <w:i/>
                <w:iCs/>
              </w:rPr>
              <w:t>n</w:t>
            </w:r>
          </w:p>
          <w:p w14:paraId="452D5EE8" w14:textId="0B1C3045" w:rsidR="00841585" w:rsidRPr="00D611B7" w:rsidRDefault="00841585">
            <w:pPr>
              <w:spacing w:before="120" w:after="120"/>
              <w:rPr>
                <w:i/>
              </w:rPr>
            </w:pPr>
            <w:r w:rsidRPr="0001678A">
              <w:rPr>
                <w:i/>
                <w:iCs/>
              </w:rPr>
              <w:t xml:space="preserve">How well do the objectives and intent of the CCCFR </w:t>
            </w:r>
            <w:r w:rsidR="00B4745B" w:rsidRPr="00DE74FA">
              <w:rPr>
                <w:i/>
                <w:iCs/>
              </w:rPr>
              <w:t xml:space="preserve">non-competitive </w:t>
            </w:r>
            <w:r w:rsidRPr="0001678A">
              <w:rPr>
                <w:i/>
                <w:iCs/>
              </w:rPr>
              <w:t xml:space="preserve">grant align with the </w:t>
            </w:r>
            <w:r w:rsidR="00B4745B" w:rsidRPr="00DE74FA">
              <w:rPr>
                <w:i/>
                <w:iCs/>
              </w:rPr>
              <w:t>current needs and expectations</w:t>
            </w:r>
            <w:r w:rsidRPr="0001678A">
              <w:rPr>
                <w:i/>
                <w:iCs/>
              </w:rPr>
              <w:t xml:space="preserve"> of </w:t>
            </w:r>
            <w:r w:rsidRPr="00162F72">
              <w:rPr>
                <w:i/>
                <w:iCs/>
              </w:rPr>
              <w:t xml:space="preserve">CCCFR </w:t>
            </w:r>
            <w:r w:rsidR="00B4745B" w:rsidRPr="00DE74FA">
              <w:rPr>
                <w:i/>
                <w:iCs/>
              </w:rPr>
              <w:t>services, families</w:t>
            </w:r>
            <w:r>
              <w:rPr>
                <w:i/>
                <w:iCs/>
              </w:rPr>
              <w:t xml:space="preserve"> and </w:t>
            </w:r>
            <w:r w:rsidRPr="00162F72">
              <w:rPr>
                <w:i/>
                <w:iCs/>
              </w:rPr>
              <w:t>communities?</w:t>
            </w:r>
          </w:p>
        </w:tc>
      </w:tr>
    </w:tbl>
    <w:p w14:paraId="7FF171B9" w14:textId="77777777" w:rsidR="00841585" w:rsidRPr="00841585" w:rsidRDefault="00841585" w:rsidP="00841585"/>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637592" w14:paraId="1F856C52" w14:textId="77777777" w:rsidTr="00AC138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75748C59" w14:textId="2744AFBC" w:rsidR="00637592" w:rsidRPr="009E424E" w:rsidRDefault="00637592">
            <w:pPr>
              <w:spacing w:after="120"/>
              <w:rPr>
                <w:b/>
                <w:bCs/>
              </w:rPr>
            </w:pPr>
            <w:r w:rsidRPr="009E424E">
              <w:rPr>
                <w:b/>
                <w:bCs/>
              </w:rPr>
              <w:t xml:space="preserve">Review finding </w:t>
            </w:r>
            <w:r w:rsidR="00566701">
              <w:rPr>
                <w:b/>
                <w:bCs/>
              </w:rPr>
              <w:t>11</w:t>
            </w:r>
          </w:p>
          <w:p w14:paraId="10BF8CB3" w14:textId="4D3DB6EE" w:rsidR="00637592" w:rsidRPr="00FE33A0" w:rsidRDefault="00AA1291" w:rsidP="00FE33A0">
            <w:pPr>
              <w:spacing w:after="120"/>
            </w:pPr>
            <w:r>
              <w:t>Service, family and community v</w:t>
            </w:r>
            <w:r w:rsidR="007A5E3E" w:rsidRPr="007A5E3E">
              <w:t xml:space="preserve">iews towards the stated </w:t>
            </w:r>
            <w:r>
              <w:t xml:space="preserve">CCCFR </w:t>
            </w:r>
            <w:r w:rsidR="007A5E3E" w:rsidRPr="007A5E3E">
              <w:t>objectives vary, with strong support for the objectives of improving early childhood development outcomes, but more mixed views toward the objective of increasing workforce participation</w:t>
            </w:r>
            <w:r w:rsidR="00637592">
              <w:t>.</w:t>
            </w:r>
          </w:p>
        </w:tc>
      </w:tr>
    </w:tbl>
    <w:p w14:paraId="455B36F9" w14:textId="77777777" w:rsidR="00637592" w:rsidRDefault="00637592" w:rsidP="00637592">
      <w:pPr>
        <w:spacing w:before="170"/>
        <w:rPr>
          <w:b/>
          <w:bCs/>
        </w:rPr>
      </w:pPr>
      <w:r w:rsidRPr="00C81B54">
        <w:rPr>
          <w:b/>
          <w:bCs/>
        </w:rPr>
        <w:t>Supporting evidence for this finding is drawn from consultations and the CCCFR service survey.</w:t>
      </w:r>
    </w:p>
    <w:p w14:paraId="3C987DAD" w14:textId="07DA1E44" w:rsidR="00C646D5" w:rsidRPr="006B7E37" w:rsidRDefault="006B7E37" w:rsidP="00C646D5">
      <w:pPr>
        <w:spacing w:before="170"/>
      </w:pPr>
      <w:r>
        <w:t xml:space="preserve">Across the range of stakeholders consulted with as part of this review, there </w:t>
      </w:r>
      <w:r w:rsidR="00AD6228">
        <w:t>is</w:t>
      </w:r>
      <w:r>
        <w:t xml:space="preserve"> strong support for the objective of improving early childhood development outcomes</w:t>
      </w:r>
      <w:r w:rsidR="00512793">
        <w:t xml:space="preserve"> for children</w:t>
      </w:r>
      <w:r>
        <w:t xml:space="preserve"> </w:t>
      </w:r>
      <w:r w:rsidR="00821DEF">
        <w:t xml:space="preserve">experiencing vulnerability and disadvantage. As discussed in </w:t>
      </w:r>
      <w:r w:rsidR="005255A2">
        <w:t>s</w:t>
      </w:r>
      <w:r w:rsidR="00821DEF">
        <w:t xml:space="preserve">ection </w:t>
      </w:r>
      <w:r w:rsidR="00441031" w:rsidRPr="00441031">
        <w:t>2.4</w:t>
      </w:r>
      <w:r w:rsidR="000C133C" w:rsidRPr="00441031">
        <w:t>,</w:t>
      </w:r>
      <w:r w:rsidR="000C133C">
        <w:t xml:space="preserve"> the</w:t>
      </w:r>
      <w:r w:rsidR="0067177B">
        <w:t xml:space="preserve"> interpretations of </w:t>
      </w:r>
      <w:r w:rsidR="00AD6228">
        <w:t>vulnerability and disadvantage vary</w:t>
      </w:r>
      <w:r w:rsidR="004A1E85">
        <w:t xml:space="preserve">, </w:t>
      </w:r>
      <w:r w:rsidR="00B4162E">
        <w:t>and the deficit</w:t>
      </w:r>
      <w:r w:rsidR="00255C18">
        <w:t>-</w:t>
      </w:r>
      <w:r w:rsidR="00B4162E">
        <w:t xml:space="preserve">based </w:t>
      </w:r>
      <w:r w:rsidR="00255C18">
        <w:t>framing</w:t>
      </w:r>
      <w:r w:rsidR="00AD6228">
        <w:t xml:space="preserve"> </w:t>
      </w:r>
      <w:r w:rsidR="002C4ED6" w:rsidRPr="002046FE">
        <w:t>complicates</w:t>
      </w:r>
      <w:r w:rsidR="002C4ED6">
        <w:t xml:space="preserve"> </w:t>
      </w:r>
      <w:r w:rsidR="00925EF2">
        <w:t xml:space="preserve">discussions around this objective. </w:t>
      </w:r>
      <w:r w:rsidR="00D81E28">
        <w:t>Nevertheless</w:t>
      </w:r>
      <w:r w:rsidR="00925EF2">
        <w:t xml:space="preserve">, 100 per cent of services </w:t>
      </w:r>
      <w:r w:rsidR="002172C1">
        <w:t xml:space="preserve">responding to the CCCFR service survey </w:t>
      </w:r>
      <w:r w:rsidR="00E447A6">
        <w:t>reported that ‘</w:t>
      </w:r>
      <w:r w:rsidR="00E447A6" w:rsidRPr="00E447A6">
        <w:t>Improving early childhood development outcomes for children who may be experiencing vulnerability and/or disadvantage</w:t>
      </w:r>
      <w:r w:rsidR="00E447A6">
        <w:t>’ was one of the main ways that they support their community.</w:t>
      </w:r>
      <w:r w:rsidR="00E447A6">
        <w:rPr>
          <w:rStyle w:val="FootnoteReference"/>
        </w:rPr>
        <w:footnoteReference w:id="122"/>
      </w:r>
    </w:p>
    <w:p w14:paraId="3E1774ED" w14:textId="7EB7250B" w:rsidR="00D37A1F" w:rsidRPr="002B5516" w:rsidRDefault="00D37A1F" w:rsidP="00D37A1F">
      <w:pPr>
        <w:rPr>
          <w:color w:val="26890D"/>
        </w:rPr>
      </w:pPr>
      <w:r w:rsidRPr="002B5516">
        <w:rPr>
          <w:color w:val="26890D"/>
        </w:rPr>
        <w:t>“</w:t>
      </w:r>
      <w:r w:rsidR="00D97EF8" w:rsidRPr="002B5516">
        <w:rPr>
          <w:color w:val="26890D"/>
        </w:rPr>
        <w:t>O</w:t>
      </w:r>
      <w:r w:rsidRPr="002B5516">
        <w:rPr>
          <w:color w:val="26890D"/>
        </w:rPr>
        <w:t>ur main thing is like for children to be safe here and nurtured and that have that sense of belonging because although obviously you know play based learning and all that sort of stuff comes into it, children aren</w:t>
      </w:r>
      <w:r w:rsidR="00F627A3" w:rsidRPr="002B5516">
        <w:rPr>
          <w:color w:val="26890D"/>
        </w:rPr>
        <w:t>’</w:t>
      </w:r>
      <w:r w:rsidRPr="002B5516">
        <w:rPr>
          <w:color w:val="26890D"/>
        </w:rPr>
        <w:t>t going to get the most out of that and thrive off that if they haven</w:t>
      </w:r>
      <w:r w:rsidR="00F627A3" w:rsidRPr="002B5516">
        <w:rPr>
          <w:color w:val="26890D"/>
        </w:rPr>
        <w:t>’</w:t>
      </w:r>
      <w:r w:rsidRPr="002B5516">
        <w:rPr>
          <w:color w:val="26890D"/>
        </w:rPr>
        <w:t>t got the basic needs being met. You know, like that feeling of security and feeling safe.”</w:t>
      </w:r>
    </w:p>
    <w:p w14:paraId="708381C2" w14:textId="4FB52192" w:rsidR="00F94B97" w:rsidRPr="0015634F" w:rsidRDefault="00664343" w:rsidP="00664343">
      <w:r w:rsidRPr="0015634F">
        <w:t>Services spoke of varying mechanisms to achieve development outcomes generally,</w:t>
      </w:r>
      <w:r w:rsidRPr="0015634F">
        <w:rPr>
          <w:rStyle w:val="FootnoteReference"/>
        </w:rPr>
        <w:footnoteReference w:id="123"/>
      </w:r>
      <w:r w:rsidRPr="0015634F">
        <w:t xml:space="preserve"> often mentioning specialist and wrap-around supports, making referrals to other health and wellbeing supports, and liaising with both other services and families to build capability and improve developmental outcomes. For Aboriginal </w:t>
      </w:r>
      <w:r w:rsidR="2379EEDD" w:rsidRPr="0015634F">
        <w:t>and Torres Strait Islander</w:t>
      </w:r>
      <w:r w:rsidRPr="0015634F">
        <w:t xml:space="preserve"> Community Controlled </w:t>
      </w:r>
      <w:r w:rsidRPr="0015634F">
        <w:lastRenderedPageBreak/>
        <w:t xml:space="preserve">Organisations, these broader holistic supports formed part of the cultural framework that leads the approach to their services. </w:t>
      </w:r>
      <w:r w:rsidR="00C4135F">
        <w:t xml:space="preserve">For remote and very remote services, </w:t>
      </w:r>
      <w:r w:rsidR="0077435B">
        <w:t>referrals and other supports can be even more critical</w:t>
      </w:r>
      <w:r w:rsidR="002033F4">
        <w:t xml:space="preserve">, </w:t>
      </w:r>
      <w:r w:rsidR="00DE7387">
        <w:t xml:space="preserve">as </w:t>
      </w:r>
      <w:r w:rsidR="00B4740B">
        <w:t xml:space="preserve">children might not be able to access these without the CCCFR service facilitating it. </w:t>
      </w:r>
      <w:r w:rsidR="0018585A">
        <w:t>At the same time</w:t>
      </w:r>
      <w:r w:rsidR="00B4740B">
        <w:t>, often</w:t>
      </w:r>
      <w:r w:rsidR="0018585A">
        <w:t xml:space="preserve"> remote and very remote</w:t>
      </w:r>
      <w:r w:rsidR="00B4740B">
        <w:t xml:space="preserve"> services’ ability to make appropriate referrals is limited by </w:t>
      </w:r>
      <w:r w:rsidR="0018585A">
        <w:t>low availability</w:t>
      </w:r>
      <w:r w:rsidR="00F94B97">
        <w:t xml:space="preserve"> or proximity</w:t>
      </w:r>
      <w:r w:rsidR="0018585A">
        <w:t xml:space="preserve"> of other services.</w:t>
      </w:r>
    </w:p>
    <w:p w14:paraId="1F2C6F1E" w14:textId="4915153B" w:rsidR="00664343" w:rsidRPr="006B7E37" w:rsidRDefault="00664343" w:rsidP="00664343">
      <w:pPr>
        <w:spacing w:before="170"/>
      </w:pPr>
      <w:r w:rsidRPr="0015634F">
        <w:t>While identified development outcomes broadly correlate with those of the AEDC, Early Years Learning Framework, and Framework for School Age Care in Australia, other specific outcomes were sometimes raised by services. These relate to the needs of specific children and families, and/or more broadly to community need</w:t>
      </w:r>
      <w:r>
        <w:t xml:space="preserve"> (see </w:t>
      </w:r>
      <w:r w:rsidR="004357D7">
        <w:t>Appendix A</w:t>
      </w:r>
      <w:r w:rsidR="00521A36">
        <w:t xml:space="preserve"> for more detail). </w:t>
      </w:r>
      <w:r w:rsidR="003B612C" w:rsidRPr="00F858B2">
        <w:t>For Aboriginal and Torres Strait Islander children, the role of culture – both being connected to culture</w:t>
      </w:r>
      <w:r w:rsidR="005E18BC" w:rsidRPr="00F858B2">
        <w:t xml:space="preserve"> and</w:t>
      </w:r>
      <w:r w:rsidR="003B612C" w:rsidRPr="00F858B2">
        <w:t xml:space="preserve"> being culturally safe – is </w:t>
      </w:r>
      <w:r w:rsidR="005E18BC" w:rsidRPr="00F858B2">
        <w:t xml:space="preserve">imperative in achieving strong developmental outcomes. </w:t>
      </w:r>
    </w:p>
    <w:p w14:paraId="292F4AFC" w14:textId="0E506047" w:rsidR="001A6FBC" w:rsidRDefault="001A6FBC" w:rsidP="001A6FBC">
      <w:r>
        <w:t>I</w:t>
      </w:r>
      <w:r w:rsidRPr="00C4135F">
        <w:t xml:space="preserve">n many cases services note that the mechanisms by which they could </w:t>
      </w:r>
      <w:r w:rsidRPr="00C4135F">
        <w:rPr>
          <w:i/>
          <w:iCs/>
        </w:rPr>
        <w:t xml:space="preserve">best </w:t>
      </w:r>
      <w:r w:rsidRPr="00C4135F">
        <w:t xml:space="preserve">improve development outcomes for children are not adequately supported by the grant. This </w:t>
      </w:r>
      <w:r w:rsidR="00917A85">
        <w:t>is</w:t>
      </w:r>
      <w:r w:rsidRPr="00C4135F">
        <w:t xml:space="preserve"> further explored in reflections in the following sections. In addition to noting where grant settings or design could be more effective, services often have nuanced understandings of development outcomes and how to achieve them, many of which were seen as not supported by the grant at all. For instance, many providers spoke to their historical successes delivering playgroups, which are not supported by the grant.</w:t>
      </w:r>
      <w:r w:rsidR="00E8454A">
        <w:t xml:space="preserve"> </w:t>
      </w:r>
      <w:r w:rsidR="001C1C8F">
        <w:t xml:space="preserve">This is because </w:t>
      </w:r>
      <w:r w:rsidR="001C1C8F" w:rsidRPr="001C1C8F">
        <w:t>playgroups are not deemed as child care and the grant, in its current form, can only support the delivery of child care</w:t>
      </w:r>
      <w:r w:rsidR="001C1C8F">
        <w:t xml:space="preserve">. </w:t>
      </w:r>
    </w:p>
    <w:p w14:paraId="5114CB2F" w14:textId="7B27EFFC" w:rsidR="00F17E46" w:rsidRDefault="00F17E46" w:rsidP="001A6FBC">
      <w:r w:rsidRPr="002B5516">
        <w:rPr>
          <w:color w:val="26890D"/>
        </w:rPr>
        <w:t>“Staff will send children home with extra food or wash their clothes in the centre washing machine. Staff provide holistic care to children, and this reduces the pressure on families to constantly seek out additional services and supports. This in turn, fosters a peaceful, low-stress environment within the home.”</w:t>
      </w:r>
    </w:p>
    <w:p w14:paraId="37098531" w14:textId="4EE39A7B" w:rsidR="00666205" w:rsidRPr="00666205" w:rsidRDefault="005F3FF5" w:rsidP="00666205">
      <w:r w:rsidRPr="00666205">
        <w:t>There were more mixed views towards the objective of increasing workforce participation</w:t>
      </w:r>
      <w:r w:rsidR="00666205" w:rsidRPr="001C655F">
        <w:t>.</w:t>
      </w:r>
      <w:r w:rsidR="00666205" w:rsidRPr="00666205">
        <w:rPr>
          <w:b/>
        </w:rPr>
        <w:t xml:space="preserve"> </w:t>
      </w:r>
      <w:r w:rsidR="00F55BB0">
        <w:rPr>
          <w:bCs/>
        </w:rPr>
        <w:t xml:space="preserve">For some </w:t>
      </w:r>
      <w:r w:rsidR="007B3737">
        <w:rPr>
          <w:bCs/>
        </w:rPr>
        <w:t xml:space="preserve">services, enabling workforce participation is seen to meet the needs of their communities </w:t>
      </w:r>
      <w:r w:rsidR="00733182">
        <w:rPr>
          <w:bCs/>
        </w:rPr>
        <w:t xml:space="preserve">well. </w:t>
      </w:r>
      <w:r w:rsidR="00ED642D">
        <w:rPr>
          <w:bCs/>
        </w:rPr>
        <w:t>The ways that</w:t>
      </w:r>
      <w:r w:rsidR="00ED642D" w:rsidRPr="00666205">
        <w:t xml:space="preserve"> services </w:t>
      </w:r>
      <w:r w:rsidR="00937637">
        <w:rPr>
          <w:bCs/>
        </w:rPr>
        <w:t>e</w:t>
      </w:r>
      <w:r w:rsidR="00ED642D">
        <w:t>nabl</w:t>
      </w:r>
      <w:r w:rsidR="00937637">
        <w:t>e</w:t>
      </w:r>
      <w:r w:rsidR="00ED642D">
        <w:t xml:space="preserve"> workforce </w:t>
      </w:r>
      <w:r w:rsidR="00937637">
        <w:t xml:space="preserve">participation vary. In some cases </w:t>
      </w:r>
      <w:r w:rsidR="005D5362">
        <w:t xml:space="preserve">the mechanism </w:t>
      </w:r>
      <w:r w:rsidR="00666205" w:rsidRPr="00666205">
        <w:t>is straightforward – the service cares for children while the parent(s) or carer(s) are working. For other services, the mechanisms are more complex, for instance enabling the parent/carer to study at the co-located educational facility, in order to gain the skills to join the workforce. Another example is child</w:t>
      </w:r>
      <w:r w:rsidR="00C03FB1">
        <w:t xml:space="preserve"> </w:t>
      </w:r>
      <w:r w:rsidR="00666205" w:rsidRPr="00666205">
        <w:t xml:space="preserve">care enabling mothers to participate in an alcohol and other drug rehabilitation program, as a critical step to (re)joining the workforce. </w:t>
      </w:r>
    </w:p>
    <w:p w14:paraId="19286686" w14:textId="6B56F5F7" w:rsidR="00666205" w:rsidRPr="00666205" w:rsidRDefault="00666205" w:rsidP="00666205">
      <w:r w:rsidRPr="00666205">
        <w:t xml:space="preserve">Other services, in particular ACCOs as well as other services operating in Aboriginal and Torres Strait Islander communities, felt very strongly that this objective of workforce participation was inappropriate and, in some cases, services felt it was counter to the </w:t>
      </w:r>
      <w:r w:rsidR="0079780E">
        <w:t>objective</w:t>
      </w:r>
      <w:r w:rsidRPr="00666205">
        <w:t xml:space="preserve"> of</w:t>
      </w:r>
      <w:r w:rsidR="0079780E">
        <w:t xml:space="preserve"> improved</w:t>
      </w:r>
      <w:r w:rsidRPr="00666205">
        <w:t xml:space="preserve"> child development</w:t>
      </w:r>
      <w:r w:rsidR="0079780E">
        <w:t xml:space="preserve"> outcomes</w:t>
      </w:r>
      <w:r w:rsidRPr="00666205">
        <w:t xml:space="preserve">. </w:t>
      </w:r>
      <w:r w:rsidR="00D07A6F" w:rsidRPr="00D07A6F">
        <w:t xml:space="preserve">Children of parents and carers who are unable to work are often in situations of compounded vulnerability and disadvantage, and most likely to benefit from </w:t>
      </w:r>
      <w:r w:rsidR="00C52044" w:rsidRPr="00C52044">
        <w:t>support</w:t>
      </w:r>
      <w:r w:rsidR="00D07A6F" w:rsidRPr="00D07A6F">
        <w:t>, which may be in the form of child care, or the other wraparound supports that CCCFR grant recipients aim to provide.</w:t>
      </w:r>
    </w:p>
    <w:p w14:paraId="3DF1ED62" w14:textId="526A1103" w:rsidR="00666205" w:rsidRPr="00666205" w:rsidRDefault="00666205" w:rsidP="00666205">
      <w:pPr>
        <w:rPr>
          <w:b/>
        </w:rPr>
      </w:pPr>
      <w:r w:rsidRPr="00666205">
        <w:t xml:space="preserve">For many services in very remote Aboriginal communities, the </w:t>
      </w:r>
      <w:r w:rsidR="00A2474A">
        <w:t>CCCFR</w:t>
      </w:r>
      <w:r w:rsidRPr="00666205">
        <w:t xml:space="preserve"> service itself was seen as a key source of local employment. In areas with very few services or businesses, child</w:t>
      </w:r>
      <w:r w:rsidR="00A2474A">
        <w:t xml:space="preserve"> </w:t>
      </w:r>
      <w:r w:rsidRPr="00666205">
        <w:t>care may be one of the few opportunities for employment and training available to local women.</w:t>
      </w:r>
      <w:r w:rsidR="002E497C">
        <w:t xml:space="preserve"> </w:t>
      </w:r>
    </w:p>
    <w:p w14:paraId="052CA61E" w14:textId="531501B1" w:rsidR="00666205" w:rsidRPr="00666205" w:rsidRDefault="00666205" w:rsidP="00666205">
      <w:pPr>
        <w:pStyle w:val="NoSpacing"/>
      </w:pPr>
      <w:r w:rsidRPr="00666205">
        <w:t>For other services, particularly those in areas of low local employment and employment opportunities, enabling workforce participation is seen as largely out of their hands. Services spoke to challenges within the broader system which mean that local community members are not participating in the workforce</w:t>
      </w:r>
      <w:r w:rsidR="00082573" w:rsidRPr="00666205">
        <w:t xml:space="preserve"> and</w:t>
      </w:r>
      <w:r w:rsidRPr="00666205">
        <w:t xml:space="preserve"> explained that child</w:t>
      </w:r>
      <w:r w:rsidR="00C03FB1">
        <w:t xml:space="preserve"> </w:t>
      </w:r>
      <w:r w:rsidRPr="00666205">
        <w:t xml:space="preserve">care is neither a limiting factor, nor an enabler of employment. </w:t>
      </w:r>
    </w:p>
    <w:p w14:paraId="74103570" w14:textId="77777777" w:rsidR="00050E2F" w:rsidRDefault="00050E2F" w:rsidP="00666205">
      <w:pPr>
        <w:pStyle w:val="NoSpacing"/>
      </w:pPr>
    </w:p>
    <w:p w14:paraId="570D499D" w14:textId="50D4D535" w:rsidR="00050E2F" w:rsidRPr="002B5516" w:rsidRDefault="00050E2F" w:rsidP="00050E2F">
      <w:pPr>
        <w:spacing w:after="0" w:line="200" w:lineRule="atLeast"/>
        <w:contextualSpacing/>
        <w:rPr>
          <w:color w:val="26890D"/>
        </w:rPr>
      </w:pPr>
      <w:r w:rsidRPr="002B5516">
        <w:rPr>
          <w:color w:val="26890D"/>
        </w:rPr>
        <w:t>“The level of poverty here is hard to understand until you see it. There are very few jobs here</w:t>
      </w:r>
      <w:r w:rsidR="006D683B" w:rsidRPr="002B5516">
        <w:rPr>
          <w:color w:val="26890D"/>
        </w:rPr>
        <w:t>.</w:t>
      </w:r>
      <w:r w:rsidRPr="002B5516">
        <w:rPr>
          <w:color w:val="26890D"/>
        </w:rPr>
        <w:t>”</w:t>
      </w:r>
    </w:p>
    <w:p w14:paraId="1CED7463" w14:textId="77777777" w:rsidR="00666205" w:rsidRPr="00666205" w:rsidRDefault="00666205" w:rsidP="00666205">
      <w:pPr>
        <w:pStyle w:val="NoSpacing"/>
      </w:pPr>
    </w:p>
    <w:p w14:paraId="45B7C810" w14:textId="21C95AAF" w:rsidR="00ED74F4" w:rsidRDefault="00666205" w:rsidP="00666205">
      <w:pPr>
        <w:pStyle w:val="NoSpacing"/>
      </w:pPr>
      <w:r w:rsidRPr="00666205">
        <w:t xml:space="preserve">However, this is not a binary distinction, and </w:t>
      </w:r>
      <w:r w:rsidR="00605287">
        <w:t>with</w:t>
      </w:r>
      <w:r w:rsidRPr="00666205">
        <w:t>in some of these services, child</w:t>
      </w:r>
      <w:r w:rsidR="00605287">
        <w:t xml:space="preserve"> </w:t>
      </w:r>
      <w:r w:rsidRPr="00666205">
        <w:t xml:space="preserve">care may enable some parents or family members to work, often in other local services which are critical for </w:t>
      </w:r>
      <w:r w:rsidR="00E50A06">
        <w:t xml:space="preserve">the local </w:t>
      </w:r>
      <w:r w:rsidR="00E50A06" w:rsidRPr="00DD47E2">
        <w:t>economy and community.</w:t>
      </w:r>
      <w:r w:rsidRPr="00DD47E2">
        <w:t xml:space="preserve"> </w:t>
      </w:r>
      <w:r w:rsidR="00681476" w:rsidRPr="00DD47E2">
        <w:t xml:space="preserve">In these instances, </w:t>
      </w:r>
      <w:r w:rsidR="00CD47D4" w:rsidRPr="00DD47E2">
        <w:t>child care can be a critical factor in supporting not only workforce participation, but larger economic benefits. For inst</w:t>
      </w:r>
      <w:r w:rsidR="005E56BD" w:rsidRPr="00DD47E2">
        <w:t xml:space="preserve">ance, some stakeholders </w:t>
      </w:r>
      <w:r w:rsidR="005E56BD" w:rsidRPr="00DD47E2">
        <w:lastRenderedPageBreak/>
        <w:t xml:space="preserve">reflected that quality child care services are critical to enable some workers to move to regional or remote areas, and to retain them. </w:t>
      </w:r>
      <w:r w:rsidR="00FF440B" w:rsidRPr="00DD47E2">
        <w:t xml:space="preserve">The productivity effects </w:t>
      </w:r>
      <w:r w:rsidR="00817F5F" w:rsidRPr="00DD47E2">
        <w:t xml:space="preserve">and economic benefits </w:t>
      </w:r>
      <w:r w:rsidR="00FF440B" w:rsidRPr="00DD47E2">
        <w:t xml:space="preserve">of child care can </w:t>
      </w:r>
      <w:r w:rsidR="00817F5F" w:rsidRPr="00DD47E2">
        <w:t>have a ripple effect throughout communities, particularly in remote areas.</w:t>
      </w:r>
      <w:r w:rsidR="00817F5F">
        <w:t xml:space="preserve"> </w:t>
      </w:r>
    </w:p>
    <w:p w14:paraId="451A3C45" w14:textId="77777777" w:rsidR="00ED74F4" w:rsidRDefault="00ED74F4" w:rsidP="00666205">
      <w:pPr>
        <w:pStyle w:val="NoSpacing"/>
      </w:pPr>
    </w:p>
    <w:p w14:paraId="3986D8CB" w14:textId="1E28B8E4" w:rsidR="00ED74F4" w:rsidRPr="002B5516" w:rsidRDefault="00ED74F4" w:rsidP="006D6D15">
      <w:pPr>
        <w:spacing w:after="0" w:line="200" w:lineRule="atLeast"/>
        <w:contextualSpacing/>
        <w:rPr>
          <w:color w:val="26890D"/>
        </w:rPr>
      </w:pPr>
      <w:r w:rsidRPr="002B5516">
        <w:rPr>
          <w:color w:val="26890D"/>
        </w:rPr>
        <w:t xml:space="preserve">“The key vulnerability is that our service is the only childcare service available to local families... That is one of the disadvantages of living in a small rural community. Private service providers, whether that be early childhood providers or any other provider / business, are not interested in operating in small communities </w:t>
      </w:r>
      <w:r w:rsidR="00E425CB" w:rsidRPr="002B5516">
        <w:rPr>
          <w:color w:val="26890D"/>
        </w:rPr>
        <w:t>…</w:t>
      </w:r>
      <w:r w:rsidRPr="002B5516">
        <w:rPr>
          <w:color w:val="26890D"/>
        </w:rPr>
        <w:t xml:space="preserve">the economics are not attractive. Towns like </w:t>
      </w:r>
      <w:r w:rsidR="00E425CB" w:rsidRPr="002B5516">
        <w:rPr>
          <w:color w:val="26890D"/>
        </w:rPr>
        <w:t xml:space="preserve">[Town name] </w:t>
      </w:r>
      <w:r w:rsidRPr="002B5516">
        <w:rPr>
          <w:color w:val="26890D"/>
        </w:rPr>
        <w:t xml:space="preserve"> are struggling to retain young families in the face of climate change where summers are becoming increasingly hot and a decline in services within the town such as medical services, banks, retail etc. All of these factors are putting pressure on young families with many making the decision to relocate to larger regional centres where access to services is easier to obtain.</w:t>
      </w:r>
      <w:r w:rsidR="006D6D15" w:rsidRPr="002B5516">
        <w:rPr>
          <w:color w:val="26890D"/>
        </w:rPr>
        <w:t>”</w:t>
      </w:r>
    </w:p>
    <w:p w14:paraId="1FB309BF" w14:textId="77777777" w:rsidR="00666205" w:rsidRPr="00666205" w:rsidRDefault="00666205" w:rsidP="00666205">
      <w:pPr>
        <w:pStyle w:val="NoSpacing"/>
      </w:pPr>
    </w:p>
    <w:p w14:paraId="32899D09" w14:textId="77777777" w:rsidR="00666205" w:rsidRPr="00666205" w:rsidRDefault="00666205" w:rsidP="00666205">
      <w:r w:rsidRPr="00666205">
        <w:t xml:space="preserve">For some mobile services, the service itself may not be able to fully support workforce participation due to only visiting communities on particular days. The likelihood of finding work patterns or shifts which align to the specific hours and days of the mobile service is small, especially in the regional and remote communities where these services tend to operate. </w:t>
      </w:r>
    </w:p>
    <w:p w14:paraId="21CC76A7" w14:textId="4B81EC9F" w:rsidR="001A2E7C" w:rsidRPr="0081209C" w:rsidRDefault="001A2E7C" w:rsidP="001A2E7C">
      <w:r w:rsidRPr="0081209C">
        <w:t xml:space="preserve">Due to the nature of the CCCFR grant as a closed grant with pre-determined eligible services, and reflecting on previously delivered funding arrangements through BBF, some stakeholders see the closed nature of the CCCFR </w:t>
      </w:r>
      <w:r w:rsidR="00F66E30">
        <w:t xml:space="preserve">grant </w:t>
      </w:r>
      <w:r w:rsidRPr="0081209C">
        <w:t>as an inherent barrier to delivering on both objectives of the CCCFR grant. In other words, while the grant’s objectives are guided by aims of supporting child outcomes and increasing access to employment for families, the inability for new services to be deemed as eligible or suitable for CCCFR funding limits the grant’s ability to address emerging areas of vulnerability and/or disadvantage in communities across Australia.</w:t>
      </w:r>
    </w:p>
    <w:p w14:paraId="5D773DDA" w14:textId="21735C51" w:rsidR="001560EB" w:rsidRDefault="001560EB" w:rsidP="001A2E7C">
      <w:pPr>
        <w:rPr>
          <w:i/>
          <w:iCs/>
        </w:rPr>
      </w:pPr>
      <w:r>
        <w:rPr>
          <w:i/>
          <w:iCs/>
        </w:rPr>
        <w:t xml:space="preserve">Note: </w:t>
      </w:r>
      <w:r w:rsidR="00680E8E">
        <w:rPr>
          <w:i/>
          <w:iCs/>
        </w:rPr>
        <w:t xml:space="preserve">The CCCF has two funding streams eligible for new services </w:t>
      </w:r>
      <w:r w:rsidR="0057501C">
        <w:rPr>
          <w:i/>
          <w:iCs/>
        </w:rPr>
        <w:t>in areas of vulnerability and disadvantage</w:t>
      </w:r>
      <w:r w:rsidR="001B0B24">
        <w:rPr>
          <w:i/>
          <w:iCs/>
        </w:rPr>
        <w:t>:</w:t>
      </w:r>
    </w:p>
    <w:p w14:paraId="7AA63F6A" w14:textId="4D1328DF" w:rsidR="001B0B24" w:rsidRPr="00CD38C6" w:rsidRDefault="00055066" w:rsidP="004602AE">
      <w:pPr>
        <w:pStyle w:val="ListBullet"/>
        <w:rPr>
          <w:i/>
          <w:iCs/>
        </w:rPr>
      </w:pPr>
      <w:r w:rsidRPr="2B91AEFB">
        <w:rPr>
          <w:b/>
          <w:bCs/>
          <w:i/>
          <w:iCs/>
        </w:rPr>
        <w:t>Restricted grant</w:t>
      </w:r>
      <w:r w:rsidR="0018350D" w:rsidRPr="2B91AEFB">
        <w:rPr>
          <w:b/>
          <w:bCs/>
          <w:i/>
          <w:iCs/>
        </w:rPr>
        <w:t xml:space="preserve"> expansion</w:t>
      </w:r>
      <w:r w:rsidRPr="2B91AEFB">
        <w:rPr>
          <w:b/>
          <w:bCs/>
          <w:i/>
          <w:iCs/>
        </w:rPr>
        <w:t>: Closing the Gap</w:t>
      </w:r>
      <w:r w:rsidR="007B22EF" w:rsidRPr="2B91AEFB">
        <w:rPr>
          <w:i/>
          <w:iCs/>
        </w:rPr>
        <w:t xml:space="preserve"> - The grant is for new early childhood education and care services in mainly remote locations. The focus is to increase participation rates of Aboriginal and Torres Strait Islander children in early childhood education and care.</w:t>
      </w:r>
      <w:r w:rsidR="0018350D" w:rsidRPr="2B91AEFB">
        <w:rPr>
          <w:rStyle w:val="FootnoteReference"/>
          <w:i/>
          <w:iCs/>
        </w:rPr>
        <w:footnoteReference w:id="124"/>
      </w:r>
    </w:p>
    <w:p w14:paraId="0739247E" w14:textId="77777777" w:rsidR="00A9728D" w:rsidRPr="00CD38C6" w:rsidRDefault="00C657FE" w:rsidP="00A9728D">
      <w:pPr>
        <w:pStyle w:val="ListBullet"/>
        <w:rPr>
          <w:i/>
          <w:iCs/>
        </w:rPr>
      </w:pPr>
      <w:r w:rsidRPr="2B91AEFB">
        <w:rPr>
          <w:b/>
          <w:bCs/>
          <w:i/>
          <w:iCs/>
        </w:rPr>
        <w:t xml:space="preserve">Limited supply grant - </w:t>
      </w:r>
      <w:r w:rsidR="00A9728D" w:rsidRPr="2B91AEFB">
        <w:rPr>
          <w:i/>
          <w:iCs/>
        </w:rPr>
        <w:t>The limited supply grant helps Child Care Subsidy-approved providers wanting to set up new early childhood education and care services. Grants are for establishing new Centre Based Day Care and Family Day Care services:</w:t>
      </w:r>
    </w:p>
    <w:p w14:paraId="3639BD55" w14:textId="77777777" w:rsidR="00A9728D" w:rsidRPr="00CD38C6" w:rsidRDefault="00A9728D" w:rsidP="00CD38C6">
      <w:pPr>
        <w:pStyle w:val="ListBullet2"/>
        <w:rPr>
          <w:i/>
          <w:iCs/>
        </w:rPr>
      </w:pPr>
      <w:r w:rsidRPr="00CD38C6">
        <w:rPr>
          <w:i/>
          <w:iCs/>
        </w:rPr>
        <w:t>in areas experiencing disadvantage in regional and remote Australia</w:t>
      </w:r>
    </w:p>
    <w:p w14:paraId="60212B43" w14:textId="77777777" w:rsidR="00A9728D" w:rsidRPr="00CD38C6" w:rsidRDefault="00A9728D" w:rsidP="00CD38C6">
      <w:pPr>
        <w:pStyle w:val="ListBullet2"/>
        <w:rPr>
          <w:i/>
          <w:iCs/>
        </w:rPr>
      </w:pPr>
      <w:r w:rsidRPr="00CD38C6">
        <w:rPr>
          <w:i/>
          <w:iCs/>
        </w:rPr>
        <w:t>where there are no or limited similar services.</w:t>
      </w:r>
    </w:p>
    <w:p w14:paraId="3EA7F9BF" w14:textId="73858AD2" w:rsidR="007B22EF" w:rsidRDefault="007B22EF" w:rsidP="0044588C">
      <w:pPr>
        <w:pStyle w:val="ListBullet"/>
        <w:numPr>
          <w:ilvl w:val="0"/>
          <w:numId w:val="0"/>
        </w:numPr>
        <w:ind w:left="340" w:hanging="340"/>
        <w:rPr>
          <w:b/>
          <w:bCs/>
        </w:rPr>
      </w:pPr>
    </w:p>
    <w:p w14:paraId="613F109A" w14:textId="51DC776C" w:rsidR="00A26E36" w:rsidRDefault="00870EB9" w:rsidP="001A2E7C">
      <w:r w:rsidRPr="00CD38C6">
        <w:rPr>
          <w:i/>
          <w:iCs/>
        </w:rPr>
        <w:t xml:space="preserve">These grants are the primary mechanisms by which the Department currently addresses new or emerging areas of vulnerability and/or disadvantage. </w:t>
      </w:r>
      <w:r w:rsidR="00A26E36" w:rsidRPr="00A26E36">
        <w:t xml:space="preserve">Some stakeholders with </w:t>
      </w:r>
      <w:r w:rsidR="008C1610">
        <w:t>deep</w:t>
      </w:r>
      <w:r w:rsidR="008C1610" w:rsidRPr="00A26E36">
        <w:t xml:space="preserve"> </w:t>
      </w:r>
      <w:r w:rsidR="00A26E36" w:rsidRPr="00A26E36">
        <w:t xml:space="preserve">knowledge of CCCFR grant delivery </w:t>
      </w:r>
      <w:r w:rsidR="0028044D">
        <w:t>suggested</w:t>
      </w:r>
      <w:r w:rsidR="00A26E36" w:rsidRPr="00A26E36">
        <w:t xml:space="preserve"> some services may no longer serve demographics aligned to the grant’s intentions. These include areas where the market has matured, or where the local population has changed over time.</w:t>
      </w:r>
    </w:p>
    <w:p w14:paraId="7EF43D3A" w14:textId="77777777" w:rsidR="007609C6" w:rsidRDefault="005062D1" w:rsidP="001A2E7C">
      <w:r>
        <w:t>A limited number of CCCFR services (</w:t>
      </w:r>
      <w:r w:rsidRPr="00E638DA">
        <w:t xml:space="preserve">n=10) have low average utilisation, defined here as less than 10 per cent of available hours </w:t>
      </w:r>
      <w:r w:rsidR="00A11B55" w:rsidRPr="00E638DA">
        <w:t>utilised</w:t>
      </w:r>
      <w:r w:rsidRPr="00E638DA">
        <w:t>.</w:t>
      </w:r>
      <w:r w:rsidRPr="00E638DA">
        <w:rPr>
          <w:rStyle w:val="FootnoteReference"/>
        </w:rPr>
        <w:footnoteReference w:id="125"/>
      </w:r>
      <w:r w:rsidRPr="00E638DA">
        <w:t xml:space="preserve"> </w:t>
      </w:r>
      <w:r w:rsidR="00BB5270" w:rsidRPr="00E638DA">
        <w:t>There are</w:t>
      </w:r>
      <w:r w:rsidR="00BB5270">
        <w:t xml:space="preserve"> a number of potential reasons for low utilisation</w:t>
      </w:r>
      <w:r w:rsidR="00297505">
        <w:t xml:space="preserve">, including </w:t>
      </w:r>
      <w:r w:rsidR="00326154">
        <w:t xml:space="preserve">staffing issues, </w:t>
      </w:r>
      <w:r w:rsidR="00700059">
        <w:t xml:space="preserve">community barriers to access, individual barriers to access, </w:t>
      </w:r>
      <w:r w:rsidR="00297505">
        <w:t>Sorry Business</w:t>
      </w:r>
      <w:r w:rsidR="00326154">
        <w:t xml:space="preserve"> affecting the time a service can be operational</w:t>
      </w:r>
      <w:r w:rsidR="00A816C6">
        <w:t>, and small</w:t>
      </w:r>
      <w:r w:rsidR="00D030F7">
        <w:t xml:space="preserve">er local populations of children </w:t>
      </w:r>
      <w:r w:rsidR="00C55DA5">
        <w:t>meaning fluctuations in demand</w:t>
      </w:r>
      <w:r w:rsidR="00700059">
        <w:t>.</w:t>
      </w:r>
      <w:r w:rsidR="00D96A9C">
        <w:t xml:space="preserve"> It </w:t>
      </w:r>
      <w:r w:rsidR="007D4482">
        <w:t xml:space="preserve">is likely </w:t>
      </w:r>
      <w:r w:rsidR="00D96A9C">
        <w:t xml:space="preserve">that CCS data does not provide </w:t>
      </w:r>
      <w:r w:rsidR="00606F50">
        <w:t>a true reflection of utilisation</w:t>
      </w:r>
      <w:r w:rsidR="009104B1">
        <w:t>, especially given the known challenges for CCCFR services to access CCS.</w:t>
      </w:r>
      <w:r w:rsidR="00700059">
        <w:t xml:space="preserve"> </w:t>
      </w:r>
    </w:p>
    <w:p w14:paraId="0DF95E35" w14:textId="2D35C5A9" w:rsidR="005062D1" w:rsidRPr="0081209C" w:rsidRDefault="00133F1F" w:rsidP="001A2E7C">
      <w:r>
        <w:t xml:space="preserve">However, it may </w:t>
      </w:r>
      <w:r w:rsidR="007609C6">
        <w:t xml:space="preserve">also </w:t>
      </w:r>
      <w:r>
        <w:t xml:space="preserve">be that the service </w:t>
      </w:r>
      <w:r w:rsidR="00D96A9C">
        <w:t>provided is not well aligned with community need and</w:t>
      </w:r>
      <w:r w:rsidR="00054423">
        <w:t xml:space="preserve"> that this</w:t>
      </w:r>
      <w:r w:rsidR="00D96A9C">
        <w:t xml:space="preserve"> is demonstrated through engagement. </w:t>
      </w:r>
      <w:r w:rsidR="00054423">
        <w:t xml:space="preserve">The review recommendations provide a basis </w:t>
      </w:r>
      <w:r w:rsidR="007609C6">
        <w:t>up</w:t>
      </w:r>
      <w:r w:rsidR="00054423">
        <w:t xml:space="preserve">on which to strengthen engagement, </w:t>
      </w:r>
      <w:r w:rsidR="006E6F4C">
        <w:t xml:space="preserve">through additional support to </w:t>
      </w:r>
      <w:r w:rsidR="007609C6">
        <w:t>providers</w:t>
      </w:r>
      <w:r w:rsidR="006E6F4C">
        <w:t>.</w:t>
      </w:r>
      <w:r w:rsidR="00326034">
        <w:t xml:space="preserve"> However it also reco</w:t>
      </w:r>
      <w:r w:rsidR="009043AD">
        <w:t>gn</w:t>
      </w:r>
      <w:r w:rsidR="00326034">
        <w:t xml:space="preserve">ises that </w:t>
      </w:r>
      <w:r w:rsidR="007B79C7">
        <w:t xml:space="preserve">services should be tailored to their community needs, and that for some </w:t>
      </w:r>
      <w:r w:rsidR="009029D7">
        <w:t>individual CCCFR services, this might best be achieved through a non-child care mechanism</w:t>
      </w:r>
      <w:r w:rsidR="00751D0A">
        <w:t xml:space="preserve"> (such as a supported playgroup</w:t>
      </w:r>
      <w:r w:rsidR="00FF1F0B">
        <w:t>)</w:t>
      </w:r>
      <w:r w:rsidR="007C4085">
        <w:t xml:space="preserve">. </w:t>
      </w:r>
      <w:r w:rsidR="003B7431">
        <w:t xml:space="preserve">The decision framework for individual services suggests that where any </w:t>
      </w:r>
      <w:r w:rsidR="003B7431">
        <w:lastRenderedPageBreak/>
        <w:t>service</w:t>
      </w:r>
      <w:r w:rsidR="00590FE6">
        <w:t xml:space="preserve"> best aligns with </w:t>
      </w:r>
      <w:r w:rsidR="0052221B">
        <w:t xml:space="preserve">a policy responsibility outside of the Department of Education, it should be supported to transition away from the CCCFR grant. </w:t>
      </w:r>
      <w:r w:rsidR="00EF0542">
        <w:t xml:space="preserve">For other low-utilisation services, </w:t>
      </w:r>
      <w:r w:rsidR="009043AD">
        <w:t xml:space="preserve">the strengthened grant should further help them to build engagement and reduce barriers to access.  </w:t>
      </w:r>
      <w:r w:rsidR="002F02D9">
        <w:t xml:space="preserve">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A34214" w14:paraId="58961CCF" w14:textId="77777777" w:rsidTr="00AC138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6063BB25" w14:textId="739116EB" w:rsidR="00A34214" w:rsidRPr="009E424E" w:rsidRDefault="00A34214">
            <w:pPr>
              <w:spacing w:after="120"/>
              <w:rPr>
                <w:b/>
                <w:bCs/>
              </w:rPr>
            </w:pPr>
            <w:r w:rsidRPr="009E424E">
              <w:rPr>
                <w:b/>
                <w:bCs/>
              </w:rPr>
              <w:t xml:space="preserve">Review finding </w:t>
            </w:r>
            <w:r w:rsidR="00FE33A0">
              <w:rPr>
                <w:b/>
                <w:bCs/>
              </w:rPr>
              <w:t>12</w:t>
            </w:r>
          </w:p>
          <w:p w14:paraId="00D077F2" w14:textId="4BED2A30" w:rsidR="00A34214" w:rsidRPr="00FE33A0" w:rsidRDefault="0081209C" w:rsidP="00FE33A0">
            <w:pPr>
              <w:spacing w:after="120"/>
            </w:pPr>
            <w:r>
              <w:t>There</w:t>
            </w:r>
            <w:r w:rsidR="00A34214">
              <w:t xml:space="preserve"> are </w:t>
            </w:r>
            <w:r w:rsidR="001A6FBC">
              <w:t xml:space="preserve">community, family, and child </w:t>
            </w:r>
            <w:r w:rsidR="00A34214">
              <w:t xml:space="preserve">needs and expectations for </w:t>
            </w:r>
            <w:r w:rsidR="003046D5">
              <w:t>many</w:t>
            </w:r>
            <w:r w:rsidR="00A34214">
              <w:t xml:space="preserve"> CCCFR services which go beyond mainstream needs of child care</w:t>
            </w:r>
            <w:r w:rsidR="006F3FBE">
              <w:t>.</w:t>
            </w:r>
            <w:r w:rsidR="001A6FBC">
              <w:t xml:space="preserve"> CCCFR services often try to fulfil these needs. </w:t>
            </w:r>
          </w:p>
        </w:tc>
      </w:tr>
    </w:tbl>
    <w:p w14:paraId="25E157B8" w14:textId="77777777" w:rsidR="006F3FBE" w:rsidRPr="00C81B54" w:rsidRDefault="006F3FBE" w:rsidP="006F3FBE">
      <w:pPr>
        <w:spacing w:before="170"/>
        <w:rPr>
          <w:b/>
          <w:bCs/>
        </w:rPr>
      </w:pPr>
      <w:r w:rsidRPr="00C81B54">
        <w:rPr>
          <w:b/>
          <w:bCs/>
        </w:rPr>
        <w:t>Supporting evidence for this finding is drawn from consultations and the CCCFR service survey.</w:t>
      </w:r>
    </w:p>
    <w:p w14:paraId="738F4936" w14:textId="181B1CCA" w:rsidR="001A6FBC" w:rsidRPr="00666205" w:rsidRDefault="003046D5" w:rsidP="00B510C4">
      <w:pPr>
        <w:pStyle w:val="ListBullet"/>
        <w:numPr>
          <w:ilvl w:val="0"/>
          <w:numId w:val="0"/>
        </w:numPr>
      </w:pPr>
      <w:r>
        <w:t xml:space="preserve">CCCFR services are often also not just a space for children and educators, but for families and communities. </w:t>
      </w:r>
      <w:r w:rsidR="001A6FBC" w:rsidRPr="2B91AEFB">
        <w:t xml:space="preserve">Regardless of whether </w:t>
      </w:r>
      <w:r w:rsidRPr="2B91AEFB">
        <w:t>the CCCFR service</w:t>
      </w:r>
      <w:r w:rsidR="001A6FBC" w:rsidRPr="2B91AEFB">
        <w:t xml:space="preserve"> facilitates family workforce participation, services and families identified broader benefits for </w:t>
      </w:r>
      <w:r w:rsidRPr="2B91AEFB">
        <w:t xml:space="preserve">children and </w:t>
      </w:r>
      <w:r w:rsidR="001A6FBC" w:rsidRPr="2B91AEFB">
        <w:t xml:space="preserve">families </w:t>
      </w:r>
      <w:r w:rsidRPr="2B91AEFB">
        <w:t>of</w:t>
      </w:r>
      <w:r w:rsidR="001A6FBC" w:rsidRPr="2B91AEFB">
        <w:t xml:space="preserve"> children attending the service.</w:t>
      </w:r>
      <w:r w:rsidR="001A6FBC" w:rsidRPr="00666205">
        <w:t xml:space="preserve"> These include linking families with other services or support, providing connection and social interaction. </w:t>
      </w:r>
      <w:r w:rsidR="00804D11">
        <w:t xml:space="preserve">Over </w:t>
      </w:r>
      <w:r w:rsidR="00E9754C">
        <w:t>40</w:t>
      </w:r>
      <w:r w:rsidR="0050472B" w:rsidRPr="0050472B">
        <w:t xml:space="preserve"> per cent</w:t>
      </w:r>
      <w:r w:rsidR="0050472B">
        <w:t xml:space="preserve"> </w:t>
      </w:r>
      <w:r w:rsidR="001A6FBC">
        <w:t xml:space="preserve">of services report that they offer cultural programs, 21 per cent that they offer adult education and training, and </w:t>
      </w:r>
      <w:r>
        <w:t>26 per cent that they offer nutrition programs or a food bank.</w:t>
      </w:r>
      <w:r>
        <w:rPr>
          <w:rStyle w:val="FootnoteReference"/>
        </w:rPr>
        <w:footnoteReference w:id="126"/>
      </w:r>
      <w:r>
        <w:t xml:space="preserve"> So</w:t>
      </w:r>
      <w:r w:rsidRPr="00666205">
        <w:t>me services</w:t>
      </w:r>
      <w:r>
        <w:t xml:space="preserve"> </w:t>
      </w:r>
      <w:r w:rsidRPr="00666205">
        <w:t>help to build parental capacity, and provide practical resources and support such as food, nappies, and washing clothes and bathing children.</w:t>
      </w:r>
    </w:p>
    <w:p w14:paraId="63C723F1" w14:textId="77777777" w:rsidR="000D4174" w:rsidRDefault="000D4174" w:rsidP="0044588C">
      <w:pPr>
        <w:pStyle w:val="ListBullet"/>
        <w:numPr>
          <w:ilvl w:val="0"/>
          <w:numId w:val="0"/>
        </w:numPr>
      </w:pPr>
    </w:p>
    <w:p w14:paraId="1DB98D7B" w14:textId="484BC2E1" w:rsidR="000D4174" w:rsidRPr="002B5516" w:rsidRDefault="000D4174" w:rsidP="000D4174">
      <w:pPr>
        <w:spacing w:after="0" w:line="200" w:lineRule="atLeast"/>
        <w:contextualSpacing/>
        <w:rPr>
          <w:color w:val="26890D"/>
        </w:rPr>
      </w:pPr>
      <w:r w:rsidRPr="002B5516">
        <w:rPr>
          <w:color w:val="26890D"/>
        </w:rPr>
        <w:t>“We need to remember that our services operate to meet the needs of a community and if our children did not attend our services, they would be unlikely to access early childhood education.”</w:t>
      </w:r>
    </w:p>
    <w:p w14:paraId="5AF88CA2" w14:textId="77777777" w:rsidR="001A6FBC" w:rsidRPr="00666205" w:rsidRDefault="001A6FBC" w:rsidP="001A6FBC">
      <w:pPr>
        <w:pStyle w:val="NoSpacing"/>
      </w:pPr>
    </w:p>
    <w:p w14:paraId="3CE8C771" w14:textId="77777777" w:rsidR="003A2272" w:rsidRDefault="001A6FBC" w:rsidP="000F0750">
      <w:pPr>
        <w:pStyle w:val="NoSpacing"/>
      </w:pPr>
      <w:r w:rsidRPr="00666205">
        <w:t xml:space="preserve">These additional services, particularly when delivered to families experiencing complex and acute vulnerability and disadvantage, can cause significant additional workload and vicarious trauma for service staff. Services spoke to their need to train their staff in delivering high quality and appropriate education and care for children with high levels of need, but also to burnout experienced by their additional responsibilities to their community. </w:t>
      </w:r>
      <w:r w:rsidR="00FC111A" w:rsidRPr="00FC111A">
        <w:t>This is especially acute for many Aboriginal and Torres Strait Islander service staff where vicarious trauma is compounded by personal experiences of trauma.</w:t>
      </w:r>
      <w:r w:rsidR="00FC111A">
        <w:t xml:space="preserve"> </w:t>
      </w:r>
      <w:r w:rsidR="000F0750">
        <w:t>For Aboriginal and Torres Strait Islander families and communities, there is a need for culturally competent, responsive, and safe care</w:t>
      </w:r>
      <w:r w:rsidR="41BF44EF">
        <w:t xml:space="preserve"> that is led by ACCOs or other Aboriginal and Torres Strait Islander peoples</w:t>
      </w:r>
      <w:r w:rsidR="000F0750">
        <w:t xml:space="preserve">. </w:t>
      </w:r>
    </w:p>
    <w:p w14:paraId="1EF1E7FA" w14:textId="77777777" w:rsidR="00F768C4" w:rsidRDefault="00F768C4" w:rsidP="000F0750">
      <w:pPr>
        <w:pStyle w:val="NoSpacing"/>
      </w:pPr>
    </w:p>
    <w:p w14:paraId="4A2673F4" w14:textId="35E1BA68" w:rsidR="00F768C4" w:rsidRDefault="00F768C4" w:rsidP="000F0750">
      <w:pPr>
        <w:pStyle w:val="NoSpacing"/>
      </w:pPr>
      <w:r>
        <w:t xml:space="preserve">Drawing together the evidence outlined in section </w:t>
      </w:r>
      <w:r>
        <w:fldChar w:fldCharType="begin"/>
      </w:r>
      <w:r>
        <w:instrText xml:space="preserve"> REF _Ref152664728 \r \h </w:instrText>
      </w:r>
      <w:r>
        <w:fldChar w:fldCharType="separate"/>
      </w:r>
      <w:r w:rsidR="00D300D0">
        <w:t>5.4</w:t>
      </w:r>
      <w:r>
        <w:fldChar w:fldCharType="end"/>
      </w:r>
      <w:r>
        <w:t xml:space="preserve">, </w:t>
      </w:r>
      <w:r w:rsidR="00E8717A">
        <w:t xml:space="preserve">the extent to which CCCFR objectives align with service, family and community needs and expectations is shown in </w:t>
      </w:r>
      <w:r w:rsidR="00E8717A">
        <w:fldChar w:fldCharType="begin"/>
      </w:r>
      <w:r w:rsidR="00E8717A">
        <w:instrText xml:space="preserve"> REF _Ref167121421 \r \h </w:instrText>
      </w:r>
      <w:r w:rsidR="00E8717A">
        <w:fldChar w:fldCharType="separate"/>
      </w:r>
      <w:r w:rsidR="00D300D0">
        <w:t>Figure 5.2</w:t>
      </w:r>
      <w:r w:rsidR="00E8717A">
        <w:fldChar w:fldCharType="end"/>
      </w:r>
      <w:r w:rsidR="00E8717A">
        <w:t xml:space="preserve">. </w:t>
      </w:r>
      <w:r w:rsidR="00787414">
        <w:t xml:space="preserve">It highlights that </w:t>
      </w:r>
      <w:r w:rsidR="00B171B8">
        <w:t xml:space="preserve">the CCCFR grant funds </w:t>
      </w:r>
      <w:r w:rsidR="00057332">
        <w:t xml:space="preserve">only </w:t>
      </w:r>
      <w:r w:rsidR="00B171B8">
        <w:t xml:space="preserve">a selection of activities that </w:t>
      </w:r>
      <w:r w:rsidR="000A37E3">
        <w:t>can help achieve the broad CCCFR objectives</w:t>
      </w:r>
      <w:r w:rsidR="00162D56">
        <w:t xml:space="preserve"> – </w:t>
      </w:r>
      <w:r w:rsidR="00BC1B4A">
        <w:t xml:space="preserve">despite </w:t>
      </w:r>
      <w:r w:rsidR="004538A2">
        <w:t>CCCFR services and communities sometimes desiring a larger span of activities, particularly in communities that have complex needs.</w:t>
      </w:r>
      <w:r w:rsidR="00057332">
        <w:t xml:space="preserve"> </w:t>
      </w:r>
      <w:r w:rsidR="001579E8">
        <w:t xml:space="preserve"> </w:t>
      </w:r>
    </w:p>
    <w:p w14:paraId="24CD43D3" w14:textId="77777777" w:rsidR="00F768C4" w:rsidRDefault="00F768C4" w:rsidP="000F0750">
      <w:pPr>
        <w:pStyle w:val="NoSpacing"/>
      </w:pPr>
    </w:p>
    <w:p w14:paraId="10DB456B" w14:textId="77777777" w:rsidR="00F768C4" w:rsidRDefault="00F768C4" w:rsidP="000F0750">
      <w:pPr>
        <w:pStyle w:val="NoSpacing"/>
      </w:pPr>
    </w:p>
    <w:p w14:paraId="2073DD0F" w14:textId="77777777" w:rsidR="00F768C4" w:rsidRDefault="00F768C4" w:rsidP="000F0750">
      <w:pPr>
        <w:pStyle w:val="NoSpacing"/>
      </w:pPr>
    </w:p>
    <w:p w14:paraId="694961CA" w14:textId="4A25F3DC" w:rsidR="00F768C4" w:rsidRDefault="00F768C4" w:rsidP="000F0750">
      <w:pPr>
        <w:pStyle w:val="NoSpacing"/>
        <w:sectPr w:rsidR="00F768C4" w:rsidSect="005F043A">
          <w:pgSz w:w="11906" w:h="16838" w:code="9"/>
          <w:pgMar w:top="1440" w:right="1440" w:bottom="1440" w:left="1440" w:header="680" w:footer="425" w:gutter="0"/>
          <w:cols w:space="284"/>
          <w:docGrid w:linePitch="360"/>
        </w:sectPr>
      </w:pPr>
    </w:p>
    <w:p w14:paraId="1AE6C945" w14:textId="41776947" w:rsidR="003A2272" w:rsidRDefault="00EF7CDA" w:rsidP="00EF7CDA">
      <w:pPr>
        <w:pStyle w:val="CaptionFigure"/>
      </w:pPr>
      <w:bookmarkStart w:id="296" w:name="_Ref167121421"/>
      <w:bookmarkStart w:id="297" w:name="_Toc170228793"/>
      <w:r>
        <w:lastRenderedPageBreak/>
        <w:t xml:space="preserve">: </w:t>
      </w:r>
      <w:r w:rsidR="00F80016">
        <w:t>Overview</w:t>
      </w:r>
      <w:r w:rsidR="00683826">
        <w:t xml:space="preserve"> of CCCFR objectives and </w:t>
      </w:r>
      <w:r>
        <w:t>alignment with service, family and community needs and expectations</w:t>
      </w:r>
      <w:bookmarkEnd w:id="296"/>
      <w:bookmarkEnd w:id="297"/>
    </w:p>
    <w:p w14:paraId="4173757F" w14:textId="4AEAD652" w:rsidR="00EF7CDA" w:rsidRDefault="00252FF0" w:rsidP="00EF7CDA">
      <w:r>
        <w:t>Illustrative diagram showing the CCCFR grant objectives and alignment to service, family and community needs and expectations.</w:t>
      </w:r>
      <w:r w:rsidR="00431795" w:rsidRPr="00431795">
        <w:rPr>
          <w:noProof/>
        </w:rPr>
        <w:drawing>
          <wp:inline distT="0" distB="0" distL="0" distR="0" wp14:anchorId="03035850" wp14:editId="2ACEC12E">
            <wp:extent cx="8275320" cy="4583174"/>
            <wp:effectExtent l="0" t="0" r="0" b="8255"/>
            <wp:docPr id="838388550" name="Picture 838388550" descr="Illustrative diagram showing the CCCFR grant objectives and alignment to service, family and community needs and expec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50" name="Picture 838388550" descr="Illustrative diagram showing the CCCFR grant objectives and alignment to service, family and community needs and expectation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294636" cy="4593872"/>
                    </a:xfrm>
                    <a:prstGeom prst="rect">
                      <a:avLst/>
                    </a:prstGeom>
                    <a:noFill/>
                    <a:ln>
                      <a:noFill/>
                    </a:ln>
                  </pic:spPr>
                </pic:pic>
              </a:graphicData>
            </a:graphic>
          </wp:inline>
        </w:drawing>
      </w:r>
    </w:p>
    <w:p w14:paraId="12AE1F58" w14:textId="7AA2D56F" w:rsidR="00EF7CDA" w:rsidRDefault="00EF7CDA" w:rsidP="00EF7CDA">
      <w:pPr>
        <w:pStyle w:val="Source"/>
      </w:pPr>
      <w:r>
        <w:t>Source: Deloitte Access Economics (2024)</w:t>
      </w:r>
    </w:p>
    <w:p w14:paraId="27C48791" w14:textId="77777777" w:rsidR="00EF7CDA" w:rsidRDefault="00EF7CDA" w:rsidP="00EF7CDA"/>
    <w:p w14:paraId="22C4104B" w14:textId="77777777" w:rsidR="003A2272" w:rsidRDefault="003A2272" w:rsidP="00EF7CDA">
      <w:pPr>
        <w:sectPr w:rsidR="003A2272" w:rsidSect="00EF7CDA">
          <w:headerReference w:type="default" r:id="rId85"/>
          <w:footerReference w:type="default" r:id="rId86"/>
          <w:headerReference w:type="first" r:id="rId87"/>
          <w:footerReference w:type="first" r:id="rId88"/>
          <w:pgSz w:w="16838" w:h="11906" w:orient="landscape" w:code="9"/>
          <w:pgMar w:top="1440" w:right="4281" w:bottom="1440" w:left="1440" w:header="680" w:footer="425" w:gutter="0"/>
          <w:cols w:space="284"/>
          <w:docGrid w:linePitch="360"/>
        </w:sectPr>
      </w:pPr>
    </w:p>
    <w:p w14:paraId="0587038D" w14:textId="51E75B59" w:rsidR="00CF41E6" w:rsidRPr="003549F9" w:rsidRDefault="00D130A8" w:rsidP="00A253B7">
      <w:pPr>
        <w:pStyle w:val="Heading1"/>
      </w:pPr>
      <w:bookmarkStart w:id="298" w:name="_Ref152873153"/>
      <w:bookmarkStart w:id="299" w:name="_Toc158993763"/>
      <w:bookmarkStart w:id="300" w:name="_Toc170227410"/>
      <w:r w:rsidRPr="003549F9">
        <w:lastRenderedPageBreak/>
        <w:t xml:space="preserve">Policy and funding </w:t>
      </w:r>
      <w:r w:rsidR="006B7E45">
        <w:t>design</w:t>
      </w:r>
      <w:bookmarkEnd w:id="298"/>
      <w:bookmarkEnd w:id="299"/>
      <w:bookmarkEnd w:id="300"/>
    </w:p>
    <w:p w14:paraId="3402B0A1" w14:textId="7962CA4F" w:rsidR="00605AAE" w:rsidRPr="006B7E45" w:rsidRDefault="00A94C09" w:rsidP="00605AAE">
      <w:pPr>
        <w:rPr>
          <w:sz w:val="28"/>
          <w:szCs w:val="28"/>
        </w:rPr>
      </w:pPr>
      <w:r w:rsidRPr="006B7E45">
        <w:rPr>
          <w:sz w:val="28"/>
          <w:szCs w:val="28"/>
        </w:rPr>
        <w:t xml:space="preserve">This </w:t>
      </w:r>
      <w:r w:rsidR="0089315F">
        <w:rPr>
          <w:sz w:val="28"/>
          <w:szCs w:val="28"/>
        </w:rPr>
        <w:t>chapter</w:t>
      </w:r>
      <w:r w:rsidRPr="006B7E45">
        <w:rPr>
          <w:sz w:val="28"/>
          <w:szCs w:val="28"/>
        </w:rPr>
        <w:t xml:space="preserve"> outlines the </w:t>
      </w:r>
      <w:r w:rsidR="0017515B" w:rsidRPr="006B7E45">
        <w:rPr>
          <w:sz w:val="28"/>
          <w:szCs w:val="28"/>
        </w:rPr>
        <w:t>design of the CCCFR grant</w:t>
      </w:r>
      <w:r w:rsidR="00A40C4D">
        <w:rPr>
          <w:sz w:val="28"/>
          <w:szCs w:val="28"/>
        </w:rPr>
        <w:t xml:space="preserve"> and its alignment</w:t>
      </w:r>
      <w:r w:rsidR="0017515B" w:rsidRPr="006B7E45">
        <w:rPr>
          <w:sz w:val="28"/>
          <w:szCs w:val="28"/>
        </w:rPr>
        <w:t xml:space="preserve"> </w:t>
      </w:r>
      <w:r w:rsidR="00A40C4D">
        <w:rPr>
          <w:sz w:val="28"/>
          <w:szCs w:val="28"/>
        </w:rPr>
        <w:t xml:space="preserve">in </w:t>
      </w:r>
      <w:r w:rsidR="006C36EF" w:rsidRPr="006B7E45">
        <w:rPr>
          <w:sz w:val="28"/>
          <w:szCs w:val="28"/>
        </w:rPr>
        <w:t>achieving the grant</w:t>
      </w:r>
      <w:r w:rsidR="004D07B9">
        <w:rPr>
          <w:sz w:val="28"/>
          <w:szCs w:val="28"/>
        </w:rPr>
        <w:t>’</w:t>
      </w:r>
      <w:r w:rsidR="006C36EF" w:rsidRPr="006B7E45">
        <w:rPr>
          <w:sz w:val="28"/>
          <w:szCs w:val="28"/>
        </w:rPr>
        <w:t>s intended outcomes</w:t>
      </w:r>
      <w:r w:rsidR="00A40C4D">
        <w:rPr>
          <w:sz w:val="28"/>
          <w:szCs w:val="28"/>
        </w:rPr>
        <w:t xml:space="preserve">. </w:t>
      </w:r>
      <w:r w:rsidR="009B386B">
        <w:rPr>
          <w:sz w:val="28"/>
          <w:szCs w:val="28"/>
        </w:rPr>
        <w:t xml:space="preserve">This chapter also </w:t>
      </w:r>
      <w:r w:rsidR="00885458">
        <w:rPr>
          <w:sz w:val="28"/>
          <w:szCs w:val="28"/>
        </w:rPr>
        <w:t>investigates</w:t>
      </w:r>
      <w:r w:rsidR="009B386B">
        <w:rPr>
          <w:sz w:val="28"/>
          <w:szCs w:val="28"/>
        </w:rPr>
        <w:t xml:space="preserve"> </w:t>
      </w:r>
      <w:r w:rsidR="00434E0A" w:rsidRPr="006B7E45">
        <w:rPr>
          <w:sz w:val="28"/>
          <w:szCs w:val="28"/>
        </w:rPr>
        <w:t xml:space="preserve">similar </w:t>
      </w:r>
      <w:r w:rsidR="00470020" w:rsidRPr="006B7E45">
        <w:rPr>
          <w:sz w:val="28"/>
          <w:szCs w:val="28"/>
        </w:rPr>
        <w:t xml:space="preserve">funding </w:t>
      </w:r>
      <w:r w:rsidR="006B7E45" w:rsidRPr="006B7E45">
        <w:rPr>
          <w:sz w:val="28"/>
          <w:szCs w:val="28"/>
        </w:rPr>
        <w:t>instruments</w:t>
      </w:r>
      <w:r w:rsidR="00470020" w:rsidRPr="006B7E45">
        <w:rPr>
          <w:sz w:val="28"/>
          <w:szCs w:val="28"/>
        </w:rPr>
        <w:t xml:space="preserve"> domestically and abroad, and whether there are any alternative funding </w:t>
      </w:r>
      <w:r w:rsidR="00FC0963" w:rsidRPr="006B7E45">
        <w:rPr>
          <w:sz w:val="28"/>
          <w:szCs w:val="28"/>
        </w:rPr>
        <w:t xml:space="preserve">models that would be more appropriate </w:t>
      </w:r>
      <w:r w:rsidR="006B7E45" w:rsidRPr="006B7E45">
        <w:rPr>
          <w:sz w:val="28"/>
          <w:szCs w:val="28"/>
        </w:rPr>
        <w:t>to</w:t>
      </w:r>
      <w:r w:rsidR="00FC0963" w:rsidRPr="006B7E45">
        <w:rPr>
          <w:sz w:val="28"/>
          <w:szCs w:val="28"/>
        </w:rPr>
        <w:t xml:space="preserve"> meet the </w:t>
      </w:r>
      <w:r w:rsidR="006B7E45" w:rsidRPr="006B7E45">
        <w:rPr>
          <w:sz w:val="28"/>
          <w:szCs w:val="28"/>
        </w:rPr>
        <w:t xml:space="preserve">grant objectives, as </w:t>
      </w:r>
      <w:r w:rsidR="004D07B9">
        <w:rPr>
          <w:sz w:val="28"/>
          <w:szCs w:val="28"/>
        </w:rPr>
        <w:t>they stand</w:t>
      </w:r>
      <w:r w:rsidR="006B7E45" w:rsidRPr="006B7E45">
        <w:rPr>
          <w:sz w:val="28"/>
          <w:szCs w:val="28"/>
        </w:rPr>
        <w:t xml:space="preserve">. </w:t>
      </w:r>
    </w:p>
    <w:p w14:paraId="294C1814" w14:textId="010A46A9" w:rsidR="00C33F10" w:rsidRDefault="00C158F5" w:rsidP="00894231">
      <w:pPr>
        <w:pStyle w:val="Heading2"/>
        <w:spacing w:after="240"/>
      </w:pPr>
      <w:bookmarkStart w:id="301" w:name="_Ref153363326"/>
      <w:bookmarkStart w:id="302" w:name="_Toc158993764"/>
      <w:bookmarkStart w:id="303" w:name="_Toc170227411"/>
      <w:r>
        <w:t>Efficacy</w:t>
      </w:r>
      <w:r w:rsidR="00260F5D">
        <w:t xml:space="preserve"> of </w:t>
      </w:r>
      <w:r w:rsidR="002119F9">
        <w:t xml:space="preserve">current funding </w:t>
      </w:r>
      <w:r w:rsidR="00625434">
        <w:t>design</w:t>
      </w:r>
      <w:r w:rsidR="006811FB">
        <w:t xml:space="preserve"> in supporting </w:t>
      </w:r>
      <w:r w:rsidR="00DB45DE">
        <w:t>outcomes</w:t>
      </w:r>
      <w:bookmarkEnd w:id="301"/>
      <w:bookmarkEnd w:id="302"/>
      <w:bookmarkEnd w:id="303"/>
    </w:p>
    <w:tbl>
      <w:tblPr>
        <w:tblStyle w:val="TableGrid"/>
        <w:tblW w:w="0" w:type="auto"/>
        <w:tblInd w:w="45" w:type="dxa"/>
        <w:tblBorders>
          <w:left w:val="double" w:sz="12" w:space="0" w:color="012169" w:themeColor="accent4"/>
        </w:tblBorders>
        <w:tblCellMar>
          <w:top w:w="85" w:type="dxa"/>
          <w:left w:w="227" w:type="dxa"/>
          <w:bottom w:w="85" w:type="dxa"/>
          <w:right w:w="113" w:type="dxa"/>
        </w:tblCellMar>
        <w:tblLook w:val="04A0" w:firstRow="1" w:lastRow="0" w:firstColumn="1" w:lastColumn="0" w:noHBand="0" w:noVBand="1"/>
      </w:tblPr>
      <w:tblGrid>
        <w:gridCol w:w="8886"/>
      </w:tblGrid>
      <w:tr w:rsidR="00B97B0F" w:rsidRPr="00BD1248" w14:paraId="612F3DE5" w14:textId="77777777" w:rsidTr="001C655F">
        <w:trPr>
          <w:cnfStyle w:val="100000000000" w:firstRow="1" w:lastRow="0" w:firstColumn="0" w:lastColumn="0" w:oddVBand="0" w:evenVBand="0" w:oddHBand="0" w:evenHBand="0" w:firstRowFirstColumn="0" w:firstRowLastColumn="0" w:lastRowFirstColumn="0" w:lastRowLastColumn="0"/>
          <w:cantSplit/>
        </w:trPr>
        <w:tc>
          <w:tcPr>
            <w:tcW w:w="8886" w:type="dxa"/>
            <w:shd w:val="clear" w:color="auto" w:fill="DFF0F9" w:themeFill="accent3" w:themeFillTint="33"/>
          </w:tcPr>
          <w:p w14:paraId="483AECA1" w14:textId="77777777" w:rsidR="00923134" w:rsidRDefault="00923134">
            <w:pPr>
              <w:spacing w:after="120"/>
              <w:rPr>
                <w:b/>
                <w:bCs/>
                <w:i/>
                <w:iCs/>
              </w:rPr>
            </w:pPr>
            <w:r w:rsidRPr="00B95090">
              <w:rPr>
                <w:b/>
                <w:bCs/>
                <w:i/>
                <w:iCs/>
              </w:rPr>
              <w:t>Key research questio</w:t>
            </w:r>
            <w:r>
              <w:rPr>
                <w:b/>
                <w:bCs/>
                <w:i/>
                <w:iCs/>
              </w:rPr>
              <w:t>ns</w:t>
            </w:r>
          </w:p>
          <w:p w14:paraId="751A864D" w14:textId="77777777" w:rsidR="00923134" w:rsidRDefault="00923134" w:rsidP="00923134">
            <w:pPr>
              <w:rPr>
                <w:i/>
                <w:iCs/>
              </w:rPr>
            </w:pPr>
            <w:r w:rsidRPr="00DE74FA">
              <w:rPr>
                <w:i/>
                <w:iCs/>
              </w:rPr>
              <w:t xml:space="preserve">How </w:t>
            </w:r>
            <w:r w:rsidRPr="007319E8">
              <w:rPr>
                <w:i/>
                <w:iCs/>
              </w:rPr>
              <w:t>effectively does the current grant design align with the intended outcomes of the CCCFR grant?</w:t>
            </w:r>
          </w:p>
          <w:p w14:paraId="722DC6C4" w14:textId="159F27EB" w:rsidR="00923134" w:rsidRPr="00D611B7" w:rsidRDefault="00923134" w:rsidP="00923134">
            <w:pPr>
              <w:spacing w:before="120" w:after="120"/>
              <w:rPr>
                <w:i/>
              </w:rPr>
            </w:pPr>
            <w:r>
              <w:rPr>
                <w:i/>
                <w:iCs/>
              </w:rPr>
              <w:t xml:space="preserve">Are </w:t>
            </w:r>
            <w:r w:rsidRPr="00FD2DA4">
              <w:rPr>
                <w:i/>
                <w:iCs/>
              </w:rPr>
              <w:t>there any gaps or inconsistencies in the current funding design mechanisms that result in barriers to achieving the intended grant outcomes?</w:t>
            </w:r>
          </w:p>
        </w:tc>
      </w:tr>
    </w:tbl>
    <w:p w14:paraId="38E4A14E" w14:textId="77777777" w:rsidR="00890A53" w:rsidRDefault="00890A53" w:rsidP="00890A53"/>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FE6BF7" w14:paraId="6E19A21E" w14:textId="77777777" w:rsidTr="00923134">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4E1D8392" w14:textId="2FD435BE" w:rsidR="00AE2658" w:rsidRPr="009E424E" w:rsidRDefault="00AE2658">
            <w:pPr>
              <w:spacing w:after="120"/>
              <w:rPr>
                <w:b/>
                <w:bCs/>
              </w:rPr>
            </w:pPr>
            <w:r w:rsidRPr="009E424E">
              <w:rPr>
                <w:b/>
                <w:bCs/>
              </w:rPr>
              <w:t xml:space="preserve">Review finding </w:t>
            </w:r>
            <w:r w:rsidR="009901D6">
              <w:rPr>
                <w:b/>
                <w:bCs/>
              </w:rPr>
              <w:t>13</w:t>
            </w:r>
          </w:p>
          <w:p w14:paraId="78624C64" w14:textId="0C012C9B" w:rsidR="00AE2658" w:rsidRPr="009C5F49" w:rsidRDefault="000F1DEF" w:rsidP="009C5F49">
            <w:r w:rsidRPr="000F1DEF">
              <w:t xml:space="preserve">The review has not identified a formal articulation of the grant design with respect to (1) recipient eligibility criteria and its rationale and (2) the funding allocation – or grant size determination – methodology. These features appear </w:t>
            </w:r>
            <w:r w:rsidR="008D0E2E">
              <w:t xml:space="preserve">to be </w:t>
            </w:r>
            <w:r w:rsidRPr="000F1DEF">
              <w:t>very much historical artifacts</w:t>
            </w:r>
            <w:r w:rsidR="0034160B">
              <w:t>.</w:t>
            </w:r>
            <w:r w:rsidR="00AE2658">
              <w:t xml:space="preserve"> </w:t>
            </w:r>
          </w:p>
        </w:tc>
      </w:tr>
    </w:tbl>
    <w:p w14:paraId="686D5A99" w14:textId="42D63F7F" w:rsidR="00AE2658" w:rsidRPr="00C81B54" w:rsidRDefault="00AE2658" w:rsidP="00AE2658">
      <w:pPr>
        <w:spacing w:before="170"/>
        <w:rPr>
          <w:b/>
          <w:bCs/>
        </w:rPr>
      </w:pPr>
      <w:r w:rsidRPr="00C81B54">
        <w:rPr>
          <w:b/>
          <w:bCs/>
        </w:rPr>
        <w:t xml:space="preserve">Supporting evidence for this finding is drawn from consultations and </w:t>
      </w:r>
      <w:r w:rsidR="00590933">
        <w:rPr>
          <w:b/>
          <w:bCs/>
        </w:rPr>
        <w:t>document analysis</w:t>
      </w:r>
      <w:r w:rsidRPr="00C81B54">
        <w:rPr>
          <w:b/>
          <w:bCs/>
        </w:rPr>
        <w:t>.</w:t>
      </w:r>
    </w:p>
    <w:p w14:paraId="5C2A5956" w14:textId="40A6FBCA" w:rsidR="007D5F37" w:rsidRPr="007D5F37" w:rsidRDefault="00DB1FAF" w:rsidP="00171325">
      <w:pPr>
        <w:pStyle w:val="ListParagraph"/>
        <w:numPr>
          <w:ilvl w:val="0"/>
          <w:numId w:val="35"/>
        </w:numPr>
        <w:rPr>
          <w:i/>
          <w:iCs/>
        </w:rPr>
      </w:pPr>
      <w:r>
        <w:rPr>
          <w:i/>
          <w:iCs/>
        </w:rPr>
        <w:t>R</w:t>
      </w:r>
      <w:r w:rsidR="007D5F37" w:rsidRPr="007D5F37">
        <w:rPr>
          <w:i/>
          <w:iCs/>
        </w:rPr>
        <w:t>ecipient eligibility criteria and its rationale</w:t>
      </w:r>
    </w:p>
    <w:p w14:paraId="725A78C8" w14:textId="64EDC00C" w:rsidR="008F7CBC" w:rsidRDefault="00C81191" w:rsidP="008A7B18">
      <w:r>
        <w:t xml:space="preserve">As outlined in </w:t>
      </w:r>
      <w:r w:rsidR="000B1462">
        <w:t>s</w:t>
      </w:r>
      <w:r>
        <w:t xml:space="preserve">ection </w:t>
      </w:r>
      <w:r w:rsidR="006B710D">
        <w:fldChar w:fldCharType="begin"/>
      </w:r>
      <w:r w:rsidR="006B710D">
        <w:instrText xml:space="preserve"> REF _Ref153374903 \r \h </w:instrText>
      </w:r>
      <w:r w:rsidR="006B710D">
        <w:fldChar w:fldCharType="separate"/>
      </w:r>
      <w:r w:rsidR="00D300D0">
        <w:t>2.3</w:t>
      </w:r>
      <w:r w:rsidR="006B710D">
        <w:fldChar w:fldCharType="end"/>
      </w:r>
      <w:r>
        <w:t xml:space="preserve">, the CCCFR grant is </w:t>
      </w:r>
      <w:r w:rsidR="0000340F">
        <w:t xml:space="preserve">a restricted, non-competitive grant. At the time of its inception in 2018 following the introduction of the new CCS in 2017, </w:t>
      </w:r>
      <w:r w:rsidR="008F7CBC">
        <w:t xml:space="preserve">the </w:t>
      </w:r>
      <w:r w:rsidR="00C35A2D">
        <w:t xml:space="preserve">Department released the </w:t>
      </w:r>
      <w:r w:rsidR="00C35A2D" w:rsidRPr="00C35A2D">
        <w:rPr>
          <w:i/>
          <w:iCs/>
        </w:rPr>
        <w:t>Community Child Care Fund – Restricted non-competitive grant opportunity (for specified services) guidelines</w:t>
      </w:r>
      <w:r w:rsidR="008B0A5C">
        <w:rPr>
          <w:i/>
          <w:iCs/>
        </w:rPr>
        <w:t xml:space="preserve"> </w:t>
      </w:r>
      <w:r w:rsidR="008B0A5C">
        <w:t xml:space="preserve">(the 2017 </w:t>
      </w:r>
      <w:r w:rsidR="00FF6B4D">
        <w:t>g</w:t>
      </w:r>
      <w:r w:rsidR="008B0A5C">
        <w:t>uidelines)</w:t>
      </w:r>
      <w:r w:rsidR="00C35A2D">
        <w:t>.</w:t>
      </w:r>
      <w:r w:rsidR="00C35A2D">
        <w:rPr>
          <w:rStyle w:val="FootnoteReference"/>
        </w:rPr>
        <w:footnoteReference w:id="127"/>
      </w:r>
    </w:p>
    <w:p w14:paraId="2B5193A2" w14:textId="4A70516F" w:rsidR="00DD50EA" w:rsidRDefault="007A1E74" w:rsidP="008A7B18">
      <w:r w:rsidRPr="007A1E74">
        <w:t xml:space="preserve">Based on the 2017 </w:t>
      </w:r>
      <w:r w:rsidR="00FF6B4D">
        <w:t>g</w:t>
      </w:r>
      <w:r w:rsidRPr="007A1E74">
        <w:t xml:space="preserve">uidelines, </w:t>
      </w:r>
      <w:r w:rsidR="680B07F8" w:rsidRPr="007A1E74">
        <w:t>select</w:t>
      </w:r>
      <w:r w:rsidRPr="007A1E74">
        <w:t xml:space="preserve"> </w:t>
      </w:r>
      <w:r w:rsidR="004B2CB2">
        <w:t xml:space="preserve">services that were </w:t>
      </w:r>
      <w:r w:rsidRPr="007A1E74">
        <w:t xml:space="preserve">eligible </w:t>
      </w:r>
      <w:r w:rsidR="004B2CB2">
        <w:t>to apply were determined by the Department, and available for view on their website. It was noted</w:t>
      </w:r>
      <w:r w:rsidR="00DD50EA">
        <w:t xml:space="preserve"> that all services under the former BBF models were invited to apply. </w:t>
      </w:r>
      <w:r w:rsidR="41033518">
        <w:t xml:space="preserve">All NFFOCC services that sat within the Department’s Community Support Program and the IAS services who were former BBF services within the Department of Prime Minister and Cabinet, were provided with their “deeming letter” advising that they were considered a child care service and eligible to apply for a CCCFR </w:t>
      </w:r>
      <w:r w:rsidR="003D56B2">
        <w:t>g</w:t>
      </w:r>
      <w:r w:rsidR="41033518">
        <w:t>rant. This was consistent with the opportunity afforded all former BBF services. At this time the providers completed applications including the financial forecasting tool and offered transition support through P</w:t>
      </w:r>
      <w:r w:rsidR="00753BA0">
        <w:t>wC</w:t>
      </w:r>
      <w:r w:rsidR="41033518">
        <w:t>.</w:t>
      </w:r>
      <w:r w:rsidR="005056D7">
        <w:rPr>
          <w:rStyle w:val="FootnoteReference"/>
        </w:rPr>
        <w:footnoteReference w:id="128"/>
      </w:r>
      <w:r w:rsidR="006C3E20">
        <w:t xml:space="preserve"> </w:t>
      </w:r>
    </w:p>
    <w:p w14:paraId="0DDE7280" w14:textId="10F993F8" w:rsidR="00390074" w:rsidRDefault="00390074" w:rsidP="008A7B18">
      <w:r>
        <w:lastRenderedPageBreak/>
        <w:t xml:space="preserve">In essence, </w:t>
      </w:r>
      <w:r w:rsidR="00F70C17">
        <w:t>the eligibility criteria set out for the CCCFR grant</w:t>
      </w:r>
      <w:r>
        <w:t xml:space="preserve"> </w:t>
      </w:r>
      <w:r w:rsidR="006658B2">
        <w:t>was that f</w:t>
      </w:r>
      <w:r w:rsidR="00C4792C">
        <w:t xml:space="preserve">ormer BBF, NFFOCC and IAS services were </w:t>
      </w:r>
      <w:r w:rsidR="00270911">
        <w:t>provided the opportunity to apply</w:t>
      </w:r>
      <w:r w:rsidR="008D315A">
        <w:t xml:space="preserve">. </w:t>
      </w:r>
    </w:p>
    <w:p w14:paraId="2E6120BF" w14:textId="3B432397" w:rsidR="00CA2BE9" w:rsidRDefault="00BB4C5C" w:rsidP="008A7B18">
      <w:r>
        <w:t>As</w:t>
      </w:r>
      <w:r w:rsidR="008B17A0">
        <w:t xml:space="preserve"> part of the 2017 </w:t>
      </w:r>
      <w:r w:rsidR="00FF6B4D">
        <w:t>g</w:t>
      </w:r>
      <w:r w:rsidR="008B17A0">
        <w:t xml:space="preserve">uidelines, </w:t>
      </w:r>
      <w:r>
        <w:t>a</w:t>
      </w:r>
      <w:r w:rsidR="00812DA3">
        <w:t xml:space="preserve">n assessment </w:t>
      </w:r>
      <w:r w:rsidR="008A10FF">
        <w:t>criterion</w:t>
      </w:r>
      <w:r w:rsidR="008B17A0">
        <w:t xml:space="preserve"> was </w:t>
      </w:r>
      <w:r w:rsidR="00FE501E">
        <w:t>outlined as part of the grant selection process</w:t>
      </w:r>
      <w:r w:rsidR="001A0E66">
        <w:t>:</w:t>
      </w:r>
      <w:r w:rsidR="00B72CA0">
        <w:t xml:space="preserve"> </w:t>
      </w:r>
      <w:r w:rsidR="71C6D72E">
        <w:t xml:space="preserve">the select </w:t>
      </w:r>
      <w:r w:rsidR="00B72CA0">
        <w:t xml:space="preserve">services </w:t>
      </w:r>
      <w:r w:rsidR="008A10FF">
        <w:t xml:space="preserve">were required to outline how they </w:t>
      </w:r>
      <w:r w:rsidR="00B72CA0">
        <w:t xml:space="preserve">plan to </w:t>
      </w:r>
      <w:r w:rsidR="00CE0F1C">
        <w:t xml:space="preserve">achieve greater viability under the new child care system, and </w:t>
      </w:r>
      <w:r w:rsidR="00E35142">
        <w:t>their plans to measure their success against the plan.</w:t>
      </w:r>
      <w:r w:rsidR="00B72CA0">
        <w:t xml:space="preserve"> </w:t>
      </w:r>
      <w:r w:rsidR="00BC2943">
        <w:t xml:space="preserve">No further detail was provided within the 2017 </w:t>
      </w:r>
      <w:r w:rsidR="00FF6B4D">
        <w:t>g</w:t>
      </w:r>
      <w:r w:rsidR="00BC2943">
        <w:t xml:space="preserve">uidelines or any other documentation as to how </w:t>
      </w:r>
      <w:r w:rsidR="4999DCB1">
        <w:t xml:space="preserve">the select </w:t>
      </w:r>
      <w:r w:rsidR="00BC2943">
        <w:t xml:space="preserve">services would be assessed against </w:t>
      </w:r>
      <w:r w:rsidR="008A1A99">
        <w:t>these criteria</w:t>
      </w:r>
      <w:r w:rsidR="00BC2943">
        <w:t xml:space="preserve"> </w:t>
      </w:r>
      <w:r w:rsidR="008A1A99">
        <w:t xml:space="preserve">and the rationale behind </w:t>
      </w:r>
      <w:r w:rsidR="007960EA">
        <w:t xml:space="preserve">these </w:t>
      </w:r>
      <w:r w:rsidR="008A1A99">
        <w:t xml:space="preserve">assessments. </w:t>
      </w:r>
    </w:p>
    <w:p w14:paraId="4711AA42" w14:textId="6AE209AC" w:rsidR="007D5F37" w:rsidRPr="007D5F37" w:rsidRDefault="007D5F37" w:rsidP="008A7B18">
      <w:pPr>
        <w:rPr>
          <w:i/>
          <w:iCs/>
        </w:rPr>
      </w:pPr>
      <w:r w:rsidRPr="007D5F37">
        <w:rPr>
          <w:i/>
          <w:iCs/>
        </w:rPr>
        <w:t xml:space="preserve">(2) </w:t>
      </w:r>
      <w:r w:rsidR="006B248F">
        <w:rPr>
          <w:i/>
          <w:iCs/>
        </w:rPr>
        <w:t>T</w:t>
      </w:r>
      <w:r w:rsidRPr="007D5F37">
        <w:rPr>
          <w:i/>
          <w:iCs/>
        </w:rPr>
        <w:t>he funding allocation</w:t>
      </w:r>
    </w:p>
    <w:p w14:paraId="195C8D56" w14:textId="62739291" w:rsidR="008D315A" w:rsidRDefault="00493F2F" w:rsidP="008A7B18">
      <w:r>
        <w:t xml:space="preserve">PwC assisted </w:t>
      </w:r>
      <w:r w:rsidR="00BE2EA4">
        <w:t xml:space="preserve">the Department </w:t>
      </w:r>
      <w:r>
        <w:t xml:space="preserve">with the transition of </w:t>
      </w:r>
      <w:r w:rsidR="00030979">
        <w:t xml:space="preserve">services from former funding models </w:t>
      </w:r>
      <w:r w:rsidR="00BE2EA4">
        <w:t>(BBF, NFFOCC and IAS) on</w:t>
      </w:r>
      <w:r w:rsidR="00030979">
        <w:t xml:space="preserve">to the </w:t>
      </w:r>
      <w:r w:rsidR="00843246">
        <w:t xml:space="preserve">CCCFR grant. </w:t>
      </w:r>
      <w:r w:rsidR="00276E0E">
        <w:t xml:space="preserve">As part of this transition, </w:t>
      </w:r>
      <w:r w:rsidR="004507A4">
        <w:t xml:space="preserve">PwC prepared individual </w:t>
      </w:r>
      <w:r w:rsidR="004507A4" w:rsidRPr="004507A4">
        <w:t>Transition Reports and Financial and Operational Analysis Tools</w:t>
      </w:r>
      <w:r w:rsidR="004507A4">
        <w:t xml:space="preserve"> for each service. </w:t>
      </w:r>
      <w:r w:rsidR="00EE1917">
        <w:t xml:space="preserve">It was noted in the 2017 </w:t>
      </w:r>
      <w:r w:rsidR="00FF6B4D">
        <w:t>g</w:t>
      </w:r>
      <w:r w:rsidR="00EE1917">
        <w:t xml:space="preserve">uidelines that the CCCFR funding </w:t>
      </w:r>
      <w:r w:rsidR="00F51183">
        <w:t xml:space="preserve">is informed by the </w:t>
      </w:r>
      <w:r w:rsidR="00835878">
        <w:t xml:space="preserve">Transition Reports and the Financial and Operational Analysis Tools. </w:t>
      </w:r>
    </w:p>
    <w:p w14:paraId="2234DE15" w14:textId="3C7066E0" w:rsidR="00DE301A" w:rsidRDefault="00DE301A" w:rsidP="008A7B18">
      <w:r>
        <w:t xml:space="preserve">The 2017 </w:t>
      </w:r>
      <w:r w:rsidR="00FF6B4D">
        <w:t>g</w:t>
      </w:r>
      <w:r>
        <w:t xml:space="preserve">uidelines further </w:t>
      </w:r>
      <w:r w:rsidR="00C350B4">
        <w:t>detail</w:t>
      </w:r>
      <w:r>
        <w:t xml:space="preserve"> </w:t>
      </w:r>
      <w:r w:rsidR="00234A9F">
        <w:t>additional factors</w:t>
      </w:r>
      <w:r w:rsidR="008F16A6">
        <w:t xml:space="preserve"> </w:t>
      </w:r>
      <w:r w:rsidR="003D6A3C">
        <w:t>informing the CCCFR funding determination, including</w:t>
      </w:r>
      <w:r w:rsidR="00953E7F">
        <w:t>:</w:t>
      </w:r>
      <w:r w:rsidR="003D6A3C">
        <w:rPr>
          <w:rStyle w:val="FootnoteReference"/>
        </w:rPr>
        <w:footnoteReference w:id="129"/>
      </w:r>
      <w:r w:rsidR="003D6A3C">
        <w:t xml:space="preserve"> </w:t>
      </w:r>
    </w:p>
    <w:p w14:paraId="760179F4" w14:textId="77777777" w:rsidR="003D6A3C" w:rsidRDefault="003D6A3C" w:rsidP="003D6A3C">
      <w:pPr>
        <w:pStyle w:val="ListBullet"/>
      </w:pPr>
      <w:r>
        <w:t>completed application form, in particular responses to the assessment criteria</w:t>
      </w:r>
    </w:p>
    <w:p w14:paraId="73EF6BB6" w14:textId="69BB60DF" w:rsidR="003D6A3C" w:rsidRPr="003D6A3C" w:rsidRDefault="003D6A3C" w:rsidP="003D6A3C">
      <w:pPr>
        <w:pStyle w:val="ListBullet"/>
      </w:pPr>
      <w:r>
        <w:t xml:space="preserve">past service data collected by the </w:t>
      </w:r>
      <w:r w:rsidR="00B42B78">
        <w:t>D</w:t>
      </w:r>
      <w:r>
        <w:t xml:space="preserve">epartment, including acquittal and attendance data </w:t>
      </w:r>
    </w:p>
    <w:p w14:paraId="430408FF" w14:textId="29D4EF2A" w:rsidR="003D6A3C" w:rsidRPr="003D6A3C" w:rsidRDefault="003D6A3C" w:rsidP="003D6A3C">
      <w:pPr>
        <w:pStyle w:val="ListBullet"/>
      </w:pPr>
      <w:r>
        <w:t>other information about service operations may also be considered, such as:</w:t>
      </w:r>
    </w:p>
    <w:p w14:paraId="10948485" w14:textId="77777777" w:rsidR="003D6A3C" w:rsidRDefault="003D6A3C" w:rsidP="00B42B78">
      <w:pPr>
        <w:pStyle w:val="ListBullet2"/>
      </w:pPr>
      <w:r w:rsidRPr="003D6A3C">
        <w:t>service type</w:t>
      </w:r>
    </w:p>
    <w:p w14:paraId="21DBE975" w14:textId="2CACA54E" w:rsidR="003D6A3C" w:rsidRPr="003D6A3C" w:rsidRDefault="003D6A3C" w:rsidP="00B42B78">
      <w:pPr>
        <w:pStyle w:val="ListBullet2"/>
      </w:pPr>
      <w:r w:rsidRPr="003D6A3C">
        <w:t>remoteness of the service</w:t>
      </w:r>
    </w:p>
    <w:p w14:paraId="0C980373" w14:textId="3851A7A1" w:rsidR="003D6A3C" w:rsidRPr="003D6A3C" w:rsidRDefault="003D6A3C" w:rsidP="00B42B78">
      <w:pPr>
        <w:pStyle w:val="ListBullet2"/>
      </w:pPr>
      <w:r w:rsidRPr="003D6A3C">
        <w:t>child care numbers</w:t>
      </w:r>
    </w:p>
    <w:p w14:paraId="3EC9135E" w14:textId="0C6D6BD0" w:rsidR="003D6A3C" w:rsidRDefault="003D6A3C" w:rsidP="00B42B78">
      <w:pPr>
        <w:pStyle w:val="ListBullet2"/>
      </w:pPr>
      <w:r w:rsidRPr="003D6A3C">
        <w:t>operating hours.</w:t>
      </w:r>
    </w:p>
    <w:p w14:paraId="2BB9D186" w14:textId="77777777" w:rsidR="00BA6766" w:rsidRDefault="00BA6766" w:rsidP="0044588C">
      <w:pPr>
        <w:pStyle w:val="ListBullet"/>
        <w:numPr>
          <w:ilvl w:val="0"/>
          <w:numId w:val="0"/>
        </w:numPr>
        <w:ind w:left="340" w:hanging="340"/>
      </w:pPr>
    </w:p>
    <w:p w14:paraId="7B366A6B" w14:textId="77777777" w:rsidR="00D05BAF" w:rsidRPr="007D0821" w:rsidRDefault="00897F4B" w:rsidP="00881E92">
      <w:r>
        <w:t xml:space="preserve">Within the PwC transition reports, there </w:t>
      </w:r>
      <w:r w:rsidR="00D66C1E">
        <w:t>i</w:t>
      </w:r>
      <w:r>
        <w:t xml:space="preserve">s a ‘transition assessment’ undertaken for each service, meaning services were assessed on how well they </w:t>
      </w:r>
      <w:r w:rsidR="00192F24">
        <w:t>would be</w:t>
      </w:r>
      <w:r>
        <w:t xml:space="preserve"> able to transition fully onto the CCS. In these reports, there was also a funding summary, outlining how much the service received from </w:t>
      </w:r>
      <w:r w:rsidR="00453093">
        <w:t>their former funding model</w:t>
      </w:r>
      <w:r w:rsidR="00453093" w:rsidRPr="007D0821">
        <w:t xml:space="preserve">, </w:t>
      </w:r>
      <w:r w:rsidR="00ED0408" w:rsidRPr="007D0821">
        <w:t>fees, and any</w:t>
      </w:r>
      <w:r w:rsidRPr="007D0821">
        <w:t xml:space="preserve"> other funding sources. </w:t>
      </w:r>
    </w:p>
    <w:p w14:paraId="07F39F7B" w14:textId="75D90E3E" w:rsidR="00285131" w:rsidRDefault="00617893" w:rsidP="00881E92">
      <w:r w:rsidRPr="007D0821">
        <w:t>Within the service reports provided, t</w:t>
      </w:r>
      <w:r w:rsidR="00897F4B" w:rsidRPr="007D0821">
        <w:t>here was no indication as to what the future funding should be under the CCCFR grant, nor was there a</w:t>
      </w:r>
      <w:r w:rsidR="00192411">
        <w:t>n indication as to the</w:t>
      </w:r>
      <w:r w:rsidR="00897F4B" w:rsidRPr="007D0821">
        <w:t xml:space="preserve"> funding formula used, or at least published within these reports. </w:t>
      </w:r>
      <w:r w:rsidR="005E40B7">
        <w:t xml:space="preserve">However, the </w:t>
      </w:r>
      <w:r w:rsidR="00542891">
        <w:t xml:space="preserve">reports </w:t>
      </w:r>
      <w:r w:rsidR="00192411">
        <w:t xml:space="preserve">did </w:t>
      </w:r>
      <w:r w:rsidR="00542891">
        <w:t xml:space="preserve">provide a </w:t>
      </w:r>
      <w:r w:rsidR="00B227A4">
        <w:t>break-even</w:t>
      </w:r>
      <w:r w:rsidR="00542891">
        <w:t xml:space="preserve"> analysis </w:t>
      </w:r>
      <w:r w:rsidR="00CB52BD">
        <w:t>and analysis o</w:t>
      </w:r>
      <w:r w:rsidR="007847CE">
        <w:t>f</w:t>
      </w:r>
      <w:r w:rsidR="00CB52BD">
        <w:t xml:space="preserve"> the services</w:t>
      </w:r>
      <w:r w:rsidR="00A720A5">
        <w:t>’</w:t>
      </w:r>
      <w:r w:rsidR="00CB52BD">
        <w:t xml:space="preserve"> </w:t>
      </w:r>
      <w:r w:rsidR="007847CE">
        <w:t xml:space="preserve">likely </w:t>
      </w:r>
      <w:r w:rsidR="00CB52BD">
        <w:t xml:space="preserve">financial viability under the new CCS system. </w:t>
      </w:r>
      <w:r w:rsidR="00F02A16">
        <w:t>N</w:t>
      </w:r>
      <w:r w:rsidR="00D82924" w:rsidRPr="007D0821">
        <w:t xml:space="preserve">o further documentation was available to inform </w:t>
      </w:r>
      <w:r w:rsidR="002A5E48" w:rsidRPr="007D0821">
        <w:t xml:space="preserve">this review as to what extent there were loadings or </w:t>
      </w:r>
      <w:r w:rsidR="00A8328F" w:rsidRPr="007D0821">
        <w:t>other funding methodology applied to</w:t>
      </w:r>
      <w:r w:rsidR="00D82924" w:rsidRPr="007D0821">
        <w:t xml:space="preserve"> </w:t>
      </w:r>
      <w:r w:rsidR="00687870" w:rsidRPr="007D0821">
        <w:t xml:space="preserve">various </w:t>
      </w:r>
      <w:r w:rsidR="003F58FA" w:rsidRPr="007D0821">
        <w:t xml:space="preserve">service </w:t>
      </w:r>
      <w:r w:rsidR="00687870" w:rsidRPr="007D0821">
        <w:t>characteristics</w:t>
      </w:r>
      <w:r w:rsidR="003F58FA" w:rsidRPr="007D0821">
        <w:t xml:space="preserve"> </w:t>
      </w:r>
      <w:r w:rsidR="00687870" w:rsidRPr="007D0821">
        <w:t>under additional factors above.</w:t>
      </w:r>
      <w:r w:rsidR="003F58FA" w:rsidRPr="007D0821">
        <w:t xml:space="preserve"> </w:t>
      </w:r>
    </w:p>
    <w:p w14:paraId="2CACEFA2" w14:textId="56604596" w:rsidR="00881E92" w:rsidRPr="00881E92" w:rsidRDefault="003300D0" w:rsidP="00881E92">
      <w:r>
        <w:t xml:space="preserve">However, </w:t>
      </w:r>
      <w:r w:rsidR="007A32BC">
        <w:t xml:space="preserve">based on consultations, it is understood that </w:t>
      </w:r>
      <w:r w:rsidR="00A26FC0">
        <w:t xml:space="preserve">the CCCFR grant amount is </w:t>
      </w:r>
      <w:r w:rsidR="002D77EF">
        <w:t xml:space="preserve">largely based off former funding amounts.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590933" w14:paraId="08139954" w14:textId="77777777" w:rsidTr="00A54F59">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6FCA0CBC" w14:textId="675EE2B5" w:rsidR="00590933" w:rsidRPr="009E424E" w:rsidRDefault="00590933">
            <w:pPr>
              <w:spacing w:after="120"/>
              <w:rPr>
                <w:b/>
                <w:bCs/>
              </w:rPr>
            </w:pPr>
            <w:r w:rsidRPr="009E424E">
              <w:rPr>
                <w:b/>
                <w:bCs/>
              </w:rPr>
              <w:t xml:space="preserve">Review finding </w:t>
            </w:r>
            <w:r w:rsidR="00B20B71">
              <w:rPr>
                <w:b/>
                <w:bCs/>
              </w:rPr>
              <w:t>14</w:t>
            </w:r>
          </w:p>
          <w:p w14:paraId="7667D2EC" w14:textId="7D488DAC" w:rsidR="00590933" w:rsidRPr="009C5F49" w:rsidRDefault="00442107" w:rsidP="009C5F49">
            <w:r w:rsidRPr="0006753B">
              <w:t>Mechanisms through which the CCCFR grant strives to support workforce participation, beyond supporting the financial viability of child</w:t>
            </w:r>
            <w:r w:rsidR="00C03FB1">
              <w:t xml:space="preserve"> </w:t>
            </w:r>
            <w:r w:rsidRPr="0006753B">
              <w:t xml:space="preserve">care provision and beyond the mechanisms of the CCS, are not </w:t>
            </w:r>
            <w:r>
              <w:t>identifiable</w:t>
            </w:r>
            <w:r w:rsidRPr="0006753B">
              <w:t>.</w:t>
            </w:r>
          </w:p>
        </w:tc>
      </w:tr>
    </w:tbl>
    <w:p w14:paraId="79BCEAE6" w14:textId="44C5FDFC" w:rsidR="009831F1" w:rsidRPr="00C81B54" w:rsidRDefault="009831F1" w:rsidP="009831F1">
      <w:pPr>
        <w:spacing w:before="170"/>
        <w:rPr>
          <w:b/>
          <w:bCs/>
        </w:rPr>
      </w:pPr>
      <w:r w:rsidRPr="00C81B54">
        <w:rPr>
          <w:b/>
          <w:bCs/>
        </w:rPr>
        <w:t>Supporting evidence for this finding is drawn from consultations</w:t>
      </w:r>
      <w:r w:rsidR="007A5D88">
        <w:rPr>
          <w:b/>
          <w:bCs/>
        </w:rPr>
        <w:t>,</w:t>
      </w:r>
      <w:r w:rsidRPr="00C81B54">
        <w:rPr>
          <w:b/>
          <w:bCs/>
        </w:rPr>
        <w:t xml:space="preserve"> </w:t>
      </w:r>
      <w:r>
        <w:rPr>
          <w:b/>
          <w:bCs/>
        </w:rPr>
        <w:t>document analysis</w:t>
      </w:r>
      <w:r w:rsidR="007A5D88">
        <w:rPr>
          <w:b/>
          <w:bCs/>
        </w:rPr>
        <w:t xml:space="preserve"> and data analysis</w:t>
      </w:r>
      <w:r w:rsidRPr="00C81B54">
        <w:rPr>
          <w:b/>
          <w:bCs/>
        </w:rPr>
        <w:t>.</w:t>
      </w:r>
    </w:p>
    <w:p w14:paraId="37FD73A1" w14:textId="4074049C" w:rsidR="000C060B" w:rsidRDefault="00CB0E2B" w:rsidP="007D0704">
      <w:r>
        <w:lastRenderedPageBreak/>
        <w:t xml:space="preserve">While the CCCFR grant intends to </w:t>
      </w:r>
      <w:r w:rsidR="0071133E">
        <w:t>improve early childhood development outcomes for vulnerable and disadvantaged children</w:t>
      </w:r>
      <w:r w:rsidR="007D0704">
        <w:t xml:space="preserve">, and </w:t>
      </w:r>
      <w:r w:rsidR="005C7228">
        <w:t>to</w:t>
      </w:r>
      <w:r w:rsidR="007D0704">
        <w:t xml:space="preserve"> </w:t>
      </w:r>
      <w:r w:rsidR="0071133E">
        <w:t>increase workforce participation by vulnerable and disadvantaged familie</w:t>
      </w:r>
      <w:r w:rsidR="007D0704">
        <w:t xml:space="preserve">s, there </w:t>
      </w:r>
      <w:r w:rsidR="00657BEF">
        <w:t xml:space="preserve">is no formal articulation as to how </w:t>
      </w:r>
      <w:r w:rsidR="00167E72">
        <w:t xml:space="preserve">the CCCFR grant would achieve this. </w:t>
      </w:r>
    </w:p>
    <w:p w14:paraId="7332BB07" w14:textId="24D7BD46" w:rsidR="003779A1" w:rsidRDefault="00B60B05" w:rsidP="007D0704">
      <w:r>
        <w:t xml:space="preserve">As discussed in </w:t>
      </w:r>
      <w:r w:rsidR="008E571A">
        <w:t>s</w:t>
      </w:r>
      <w:r>
        <w:t xml:space="preserve">ection </w:t>
      </w:r>
      <w:r w:rsidR="00CE712B">
        <w:fldChar w:fldCharType="begin"/>
      </w:r>
      <w:r w:rsidR="00CE712B">
        <w:instrText xml:space="preserve"> REF _Ref152917425 \r \h </w:instrText>
      </w:r>
      <w:r w:rsidR="00CE712B">
        <w:fldChar w:fldCharType="separate"/>
      </w:r>
      <w:r w:rsidR="00D300D0">
        <w:t>5.1</w:t>
      </w:r>
      <w:r w:rsidR="00CE712B">
        <w:fldChar w:fldCharType="end"/>
      </w:r>
      <w:r>
        <w:t xml:space="preserve">, </w:t>
      </w:r>
      <w:r w:rsidR="00CE712B">
        <w:t xml:space="preserve">the target cohort(s) under the term </w:t>
      </w:r>
      <w:r w:rsidR="002057C7">
        <w:t>‘</w:t>
      </w:r>
      <w:r w:rsidR="00CE712B">
        <w:t>vulnerable and disadvantaged</w:t>
      </w:r>
      <w:r w:rsidR="002057C7">
        <w:t>’</w:t>
      </w:r>
      <w:r w:rsidR="00CE712B">
        <w:t xml:space="preserve"> is not </w:t>
      </w:r>
      <w:r w:rsidR="00CE3AE4">
        <w:t>outlined</w:t>
      </w:r>
      <w:r w:rsidR="005D28AB">
        <w:t xml:space="preserve">, </w:t>
      </w:r>
      <w:r w:rsidR="00E92260">
        <w:t xml:space="preserve">and subsequently, </w:t>
      </w:r>
      <w:r w:rsidR="002057C7">
        <w:t>neither</w:t>
      </w:r>
      <w:r w:rsidR="003779A1">
        <w:t xml:space="preserve"> is</w:t>
      </w:r>
      <w:r w:rsidR="00E92260">
        <w:t xml:space="preserve"> how the CCCFR grant </w:t>
      </w:r>
      <w:r w:rsidR="008E571A">
        <w:t>can</w:t>
      </w:r>
      <w:r w:rsidR="00E92260">
        <w:t xml:space="preserve"> improve the development outcomes of this group</w:t>
      </w:r>
      <w:r w:rsidR="00CE712B">
        <w:t>.</w:t>
      </w:r>
    </w:p>
    <w:p w14:paraId="5B5F5483" w14:textId="714E4736" w:rsidR="00B60B05" w:rsidRDefault="003779A1" w:rsidP="007D0704">
      <w:r>
        <w:t>Whil</w:t>
      </w:r>
      <w:r w:rsidR="00B44528">
        <w:t>e</w:t>
      </w:r>
      <w:r>
        <w:t xml:space="preserve"> the linkages between the CCCFR grant and </w:t>
      </w:r>
      <w:r w:rsidR="00D51BB6">
        <w:t xml:space="preserve">early </w:t>
      </w:r>
      <w:r w:rsidR="004A5777">
        <w:t xml:space="preserve">childhood development outcomes </w:t>
      </w:r>
      <w:r w:rsidR="00D51BB6">
        <w:t>are</w:t>
      </w:r>
      <w:r w:rsidR="004A5777">
        <w:t xml:space="preserve"> undefined, </w:t>
      </w:r>
      <w:r w:rsidR="0958A802">
        <w:t xml:space="preserve">CCCFR </w:t>
      </w:r>
      <w:r w:rsidR="0089476A">
        <w:t>services report that the grant amount has supported th</w:t>
      </w:r>
      <w:r w:rsidR="00EA493A">
        <w:t>is objective in several ways</w:t>
      </w:r>
      <w:r w:rsidR="00E67CBD">
        <w:t xml:space="preserve">. These are </w:t>
      </w:r>
      <w:r w:rsidR="006E0522">
        <w:t>aggregated into three broad categories</w:t>
      </w:r>
      <w:r w:rsidR="00E67CBD">
        <w:t>:</w:t>
      </w:r>
      <w:r w:rsidR="002E497C">
        <w:t xml:space="preserve">  </w:t>
      </w:r>
      <w:r w:rsidR="00CE712B">
        <w:t xml:space="preserve"> </w:t>
      </w:r>
    </w:p>
    <w:p w14:paraId="5D958781" w14:textId="51F0E112" w:rsidR="00C50023" w:rsidRDefault="005D0B47" w:rsidP="00C50023">
      <w:pPr>
        <w:pStyle w:val="ListBullet"/>
      </w:pPr>
      <w:r>
        <w:t>t</w:t>
      </w:r>
      <w:r w:rsidR="00C50023">
        <w:t>he CCCFR grant supports the financial viability of their service</w:t>
      </w:r>
      <w:r w:rsidR="00C479E7">
        <w:t>,</w:t>
      </w:r>
      <w:r w:rsidR="00C50023">
        <w:t xml:space="preserve"> and without the grant these </w:t>
      </w:r>
      <w:r w:rsidR="48A79B3B">
        <w:t xml:space="preserve">CCCFR </w:t>
      </w:r>
      <w:r w:rsidR="00C50023">
        <w:t>services could not continue. In thin markets, or the absence of other suitable child care, this makes the difference between children being able to access any formal child care or not.</w:t>
      </w:r>
    </w:p>
    <w:p w14:paraId="4C7C58B9" w14:textId="20F74FE6" w:rsidR="00C50023" w:rsidRDefault="005D0B47" w:rsidP="00C50023">
      <w:pPr>
        <w:pStyle w:val="ListBullet"/>
      </w:pPr>
      <w:r>
        <w:t>t</w:t>
      </w:r>
      <w:r w:rsidR="00C50023">
        <w:t xml:space="preserve">he CCCFR grant enables </w:t>
      </w:r>
      <w:r w:rsidR="10785958">
        <w:t xml:space="preserve">CCCFR </w:t>
      </w:r>
      <w:r w:rsidR="00C50023">
        <w:t xml:space="preserve">services to improve the quality of their service, leading to better outcomes for children attending. </w:t>
      </w:r>
    </w:p>
    <w:p w14:paraId="3B1952AD" w14:textId="4AC0F4A9" w:rsidR="006E0522" w:rsidRDefault="005D0B47" w:rsidP="00F013D7">
      <w:pPr>
        <w:pStyle w:val="ListBullet"/>
      </w:pPr>
      <w:r>
        <w:t>t</w:t>
      </w:r>
      <w:r w:rsidR="00C50023">
        <w:t xml:space="preserve">he CCCFR grant makes it cheaper for families to use their service (in comparison to subsiding on CCS alone, which would lead to higher, potentially unaffordable fees). This improves access and participation, and therefore enables developmental outcomes. </w:t>
      </w:r>
    </w:p>
    <w:p w14:paraId="15594D38" w14:textId="77777777" w:rsidR="00F013D7" w:rsidRDefault="00F013D7" w:rsidP="0044588C">
      <w:pPr>
        <w:pStyle w:val="ListBullet"/>
        <w:numPr>
          <w:ilvl w:val="0"/>
          <w:numId w:val="0"/>
        </w:numPr>
        <w:ind w:left="340" w:hanging="340"/>
      </w:pPr>
    </w:p>
    <w:p w14:paraId="255C4C19" w14:textId="77777777" w:rsidR="00670C3F" w:rsidRDefault="006B3415" w:rsidP="006B3415">
      <w:r>
        <w:t>Similarly for the second objective,</w:t>
      </w:r>
      <w:r w:rsidR="00C20C80" w:rsidRPr="00C20C80">
        <w:t xml:space="preserve"> the linking mechanism between the CCCFR grant and workforce outcomes was not explicitly stated</w:t>
      </w:r>
      <w:r>
        <w:t>. However, for the purposes of this review, a</w:t>
      </w:r>
      <w:r w:rsidR="00C20C80" w:rsidRPr="00C20C80">
        <w:t xml:space="preserve"> regression analysis </w:t>
      </w:r>
      <w:r>
        <w:t xml:space="preserve">was performed to </w:t>
      </w:r>
      <w:r w:rsidR="00670C3F">
        <w:t xml:space="preserve">determine if there is a relationship between the CCCFR funding amount and the local unemployment rate. </w:t>
      </w:r>
    </w:p>
    <w:p w14:paraId="15F509F0" w14:textId="1E6B5FA2" w:rsidR="00C20C80" w:rsidRPr="00C20C80" w:rsidRDefault="007F4075" w:rsidP="00C660B2">
      <w:r>
        <w:t xml:space="preserve">The regression analysis </w:t>
      </w:r>
      <w:r w:rsidR="008F5502">
        <w:t>demonstrate</w:t>
      </w:r>
      <w:r w:rsidR="00C85669">
        <w:t>s</w:t>
      </w:r>
      <w:r w:rsidR="008F5502">
        <w:t xml:space="preserve"> that</w:t>
      </w:r>
      <w:r w:rsidR="00C85669">
        <w:t xml:space="preserve"> there is a statistically significant link</w:t>
      </w:r>
      <w:r w:rsidR="00435B4E">
        <w:rPr>
          <w:rStyle w:val="FootnoteReference"/>
        </w:rPr>
        <w:footnoteReference w:id="130"/>
      </w:r>
      <w:r w:rsidR="00C85669">
        <w:t xml:space="preserve"> between</w:t>
      </w:r>
      <w:r w:rsidR="00C20C80" w:rsidRPr="00C20C80">
        <w:t xml:space="preserve"> higher unemployment rates within the local CCCFR service area </w:t>
      </w:r>
      <w:r w:rsidR="00C85669">
        <w:t>and</w:t>
      </w:r>
      <w:r w:rsidR="00C20C80" w:rsidRPr="00C20C80">
        <w:t xml:space="preserve"> higher CCCFR funding</w:t>
      </w:r>
      <w:r w:rsidR="00FE6E71">
        <w:t xml:space="preserve"> </w:t>
      </w:r>
      <w:r w:rsidR="00FE6E71" w:rsidRPr="009E1731">
        <w:t>(</w:t>
      </w:r>
      <w:r w:rsidR="00FE6E71" w:rsidRPr="009E1731">
        <w:fldChar w:fldCharType="begin"/>
      </w:r>
      <w:r w:rsidR="00FE6E71" w:rsidRPr="009E1731">
        <w:instrText xml:space="preserve"> REF _Ref152931259 \r \h </w:instrText>
      </w:r>
      <w:r w:rsidR="0021127F" w:rsidRPr="009E1731">
        <w:instrText xml:space="preserve"> \* MERGEFORMAT </w:instrText>
      </w:r>
      <w:r w:rsidR="00FE6E71" w:rsidRPr="009E1731">
        <w:fldChar w:fldCharType="separate"/>
      </w:r>
      <w:r w:rsidR="00D300D0">
        <w:t>Chart 6.1</w:t>
      </w:r>
      <w:r w:rsidR="00FE6E71" w:rsidRPr="009E1731">
        <w:fldChar w:fldCharType="end"/>
      </w:r>
      <w:r w:rsidR="00FE6E71" w:rsidRPr="009E1731">
        <w:t>)</w:t>
      </w:r>
      <w:r w:rsidR="00C20C80" w:rsidRPr="009E1731">
        <w:t>.</w:t>
      </w:r>
      <w:r w:rsidR="00C20C80" w:rsidRPr="00C20C80">
        <w:t xml:space="preserve"> </w:t>
      </w:r>
      <w:r w:rsidR="00C85669">
        <w:t xml:space="preserve">Noting the relationship is not causal, as </w:t>
      </w:r>
      <w:r w:rsidR="00206789">
        <w:t xml:space="preserve">the regression did not control for variables. </w:t>
      </w:r>
    </w:p>
    <w:p w14:paraId="351CDA62" w14:textId="0DBB3A7D" w:rsidR="008F5502" w:rsidRPr="009E1731" w:rsidRDefault="008F5502" w:rsidP="008F5502">
      <w:pPr>
        <w:pStyle w:val="CaptionChart"/>
      </w:pPr>
      <w:bookmarkStart w:id="304" w:name="_Ref152931259"/>
      <w:bookmarkStart w:id="305" w:name="_Toc158997939"/>
      <w:bookmarkStart w:id="306" w:name="_Toc167130558"/>
      <w:r w:rsidRPr="009E1731">
        <w:t>: Local SA2 unemployment rate and average CCCFR funding</w:t>
      </w:r>
      <w:bookmarkEnd w:id="304"/>
      <w:bookmarkEnd w:id="305"/>
      <w:bookmarkEnd w:id="306"/>
    </w:p>
    <w:p w14:paraId="3B403540" w14:textId="1A1439E2" w:rsidR="001B0956" w:rsidRPr="001B0956" w:rsidRDefault="00893169" w:rsidP="001B0956">
      <w:r w:rsidRPr="00893169">
        <w:rPr>
          <w:noProof/>
        </w:rPr>
        <w:drawing>
          <wp:inline distT="0" distB="0" distL="0" distR="0" wp14:anchorId="2584589D" wp14:editId="7737412C">
            <wp:extent cx="4572000" cy="2743200"/>
            <wp:effectExtent l="0" t="0" r="0" b="0"/>
            <wp:docPr id="838388547" name="Picture 838388547" descr="Scatter plot chart including the unemployment rate with the amount of CCCFR funding in each region (SA2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47" name="Picture 838388547" descr="Scatter plot chart including the unemployment rate with the amount of CCCFR funding in each region (SA2 level)."/>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7FECC31A" w14:textId="4629AEC5" w:rsidR="008F5502" w:rsidRPr="008F5502" w:rsidRDefault="008F5502" w:rsidP="006B3415">
      <w:pPr>
        <w:rPr>
          <w:sz w:val="14"/>
          <w:szCs w:val="14"/>
        </w:rPr>
      </w:pPr>
      <w:r w:rsidRPr="008F5502">
        <w:rPr>
          <w:sz w:val="14"/>
          <w:szCs w:val="14"/>
        </w:rPr>
        <w:t>Source: Deloitte Access Economics analysis using ABS data and CCCFR financial acquittal data.</w:t>
      </w:r>
    </w:p>
    <w:p w14:paraId="17C24B81" w14:textId="68D3CBFD" w:rsidR="00BA6766" w:rsidRDefault="00C84F86" w:rsidP="001634D0">
      <w:r>
        <w:t>This analysis suggests that previous f</w:t>
      </w:r>
      <w:r w:rsidR="00705F2D">
        <w:t xml:space="preserve">undings models would have, to some degree, </w:t>
      </w:r>
      <w:r w:rsidR="001634D0" w:rsidRPr="001634D0">
        <w:t>account</w:t>
      </w:r>
      <w:r w:rsidR="001634D0">
        <w:t>ed</w:t>
      </w:r>
      <w:r w:rsidR="001634D0" w:rsidRPr="001634D0">
        <w:t xml:space="preserve"> for the challenges of gaining employment in certain areas (typically rural and remote areas and ‘thin markets’).</w:t>
      </w:r>
      <w:r w:rsidR="001634D0">
        <w:t xml:space="preserve"> </w:t>
      </w:r>
    </w:p>
    <w:p w14:paraId="65C426D0" w14:textId="6A4CB237" w:rsidR="00DB416D" w:rsidRPr="00A04977" w:rsidRDefault="00DB416D" w:rsidP="00DB416D">
      <w:pPr>
        <w:spacing w:before="120"/>
      </w:pPr>
      <w:r w:rsidRPr="00C82EFA">
        <w:lastRenderedPageBreak/>
        <w:t>Stakeholders</w:t>
      </w:r>
      <w:r>
        <w:t xml:space="preserve"> </w:t>
      </w:r>
      <w:r w:rsidR="00C82EFA">
        <w:t>echoed similar sentiments,</w:t>
      </w:r>
      <w:r w:rsidRPr="00C82EFA">
        <w:t xml:space="preserve"> not</w:t>
      </w:r>
      <w:r w:rsidR="00C82EFA">
        <w:t>ing</w:t>
      </w:r>
      <w:r w:rsidRPr="00A04977">
        <w:t xml:space="preserve"> a lack of ongoing measures to determine performance against the grant’s stated objectives and intent. More specifically, some stakeholders note that the annual budget and acquittal process within the current grant design limits the </w:t>
      </w:r>
      <w:r w:rsidRPr="00F13118">
        <w:t xml:space="preserve">Department’s ability to drive improvements and outcomes across a number of domains, such as increasing participation and broader child education and developmental outcomes. </w:t>
      </w:r>
    </w:p>
    <w:p w14:paraId="3111E47D" w14:textId="0532DBEF" w:rsidR="00AF3DB0" w:rsidRPr="0016411F" w:rsidRDefault="00DB416D" w:rsidP="00AF3DB0">
      <w:pPr>
        <w:spacing w:before="120"/>
      </w:pPr>
      <w:r w:rsidRPr="00A04977">
        <w:t xml:space="preserve">However, it is important to note that nearly all stakeholders who point to a lack of outcomes measures within the grant design emphasise that </w:t>
      </w:r>
      <w:r w:rsidR="00686CDF">
        <w:t>including</w:t>
      </w:r>
      <w:r w:rsidRPr="00A04977">
        <w:t xml:space="preserve"> </w:t>
      </w:r>
      <w:r w:rsidR="00686CDF">
        <w:t>such</w:t>
      </w:r>
      <w:r w:rsidRPr="00A04977">
        <w:t xml:space="preserve"> measures would support </w:t>
      </w:r>
      <w:r w:rsidR="6258DE41">
        <w:t xml:space="preserve">CCCFR </w:t>
      </w:r>
      <w:r w:rsidRPr="00A04977">
        <w:t>services in communicating the benefits of ECEC and the work they currently do</w:t>
      </w:r>
      <w:r w:rsidR="0015279B">
        <w:t xml:space="preserve"> (</w:t>
      </w:r>
      <w:r w:rsidRPr="00A04977">
        <w:t xml:space="preserve">rather than </w:t>
      </w:r>
      <w:r w:rsidR="00F64803" w:rsidRPr="0016411F">
        <w:t>providing</w:t>
      </w:r>
      <w:r w:rsidRPr="0016411F">
        <w:t xml:space="preserve"> a </w:t>
      </w:r>
      <w:r w:rsidR="00F64803" w:rsidRPr="0016411F">
        <w:t>mechanism through which to</w:t>
      </w:r>
      <w:r w:rsidR="0015279B" w:rsidRPr="0016411F">
        <w:t xml:space="preserve"> </w:t>
      </w:r>
      <w:r w:rsidR="00960D15" w:rsidRPr="0016411F">
        <w:t xml:space="preserve">reprimand </w:t>
      </w:r>
      <w:r w:rsidR="08AD8A8D" w:rsidRPr="0016411F">
        <w:t xml:space="preserve">CCCFR </w:t>
      </w:r>
      <w:r w:rsidR="00960D15" w:rsidRPr="0016411F">
        <w:t xml:space="preserve">services </w:t>
      </w:r>
      <w:r w:rsidR="00F64803" w:rsidRPr="0016411F">
        <w:t>for</w:t>
      </w:r>
      <w:r w:rsidR="000C10EC" w:rsidRPr="0016411F">
        <w:t xml:space="preserve"> not</w:t>
      </w:r>
      <w:r w:rsidR="00960D15" w:rsidRPr="0016411F">
        <w:t xml:space="preserve"> achiev</w:t>
      </w:r>
      <w:r w:rsidR="00F64803" w:rsidRPr="0016411F">
        <w:t>ing</w:t>
      </w:r>
      <w:r w:rsidR="00960D15" w:rsidRPr="0016411F">
        <w:t xml:space="preserve"> them)</w:t>
      </w:r>
      <w:r w:rsidR="005F2BCE" w:rsidRPr="0016411F">
        <w:t>.</w:t>
      </w:r>
    </w:p>
    <w:p w14:paraId="25BA1A50" w14:textId="692E1417" w:rsidR="006E3AC4" w:rsidRPr="0016411F" w:rsidRDefault="00F706BE" w:rsidP="006E3AC4">
      <w:pPr>
        <w:spacing w:before="120"/>
        <w:rPr>
          <w:b/>
          <w:bCs/>
        </w:rPr>
      </w:pPr>
      <w:r>
        <w:rPr>
          <w:b/>
          <w:bCs/>
        </w:rPr>
        <w:t xml:space="preserve">The </w:t>
      </w:r>
      <w:r w:rsidR="0016411F" w:rsidRPr="0016411F">
        <w:rPr>
          <w:b/>
          <w:bCs/>
        </w:rPr>
        <w:t>CCCFR grant and the activity test</w:t>
      </w:r>
    </w:p>
    <w:p w14:paraId="6F903950" w14:textId="1B351820" w:rsidR="006E3AC4" w:rsidRPr="006E3AC4" w:rsidRDefault="006E3AC4" w:rsidP="006E3AC4">
      <w:pPr>
        <w:spacing w:before="120"/>
        <w:rPr>
          <w:highlight w:val="yellow"/>
        </w:rPr>
      </w:pPr>
      <w:r w:rsidRPr="00024A4F">
        <w:t xml:space="preserve">As discussed, the CCCFR grant is intended to support services in disadvantaged and vulnerable communities. An intention of the </w:t>
      </w:r>
      <w:r w:rsidR="00E22C82" w:rsidRPr="00024A4F">
        <w:t xml:space="preserve">CCCFR </w:t>
      </w:r>
      <w:r w:rsidRPr="00024A4F">
        <w:t xml:space="preserve">grant was also to improve services ability to encourage families to sign up for the CCS. The activity test is a critical component </w:t>
      </w:r>
      <w:r w:rsidR="00E22C82" w:rsidRPr="00024A4F">
        <w:t>to CCS eligibility</w:t>
      </w:r>
      <w:r w:rsidR="005134DB" w:rsidRPr="00024A4F">
        <w:t xml:space="preserve">, where families need to evidence employment (voluntary or paid), or study to </w:t>
      </w:r>
      <w:r w:rsidR="009E2129" w:rsidRPr="00024A4F">
        <w:t xml:space="preserve">receive the subsidy. </w:t>
      </w:r>
    </w:p>
    <w:p w14:paraId="0AF3B27E" w14:textId="24A67F7C" w:rsidR="006E3AC4" w:rsidRPr="00C9476A" w:rsidRDefault="006D3782" w:rsidP="006E3AC4">
      <w:pPr>
        <w:spacing w:before="120"/>
      </w:pPr>
      <w:r w:rsidRPr="00C9476A">
        <w:t xml:space="preserve">The activity test is applicable to all families, bar Aboriginal and Torres Strait Islander families since 10 July 2023. Therefore, the </w:t>
      </w:r>
      <w:r w:rsidR="00570782" w:rsidRPr="00C9476A">
        <w:t>activity test has</w:t>
      </w:r>
      <w:r w:rsidR="00C9476A">
        <w:t xml:space="preserve"> effectively</w:t>
      </w:r>
      <w:r w:rsidR="00570782" w:rsidRPr="00C9476A">
        <w:t xml:space="preserve"> been in practice for all families for the</w:t>
      </w:r>
      <w:r w:rsidR="00DB3E39" w:rsidRPr="00C9476A">
        <w:t xml:space="preserve"> life of the grant. </w:t>
      </w:r>
    </w:p>
    <w:p w14:paraId="74B29B51" w14:textId="43D38F87" w:rsidR="006E3AC4" w:rsidRPr="0016411F" w:rsidRDefault="006E3AC4" w:rsidP="006E3AC4">
      <w:pPr>
        <w:spacing w:before="120"/>
      </w:pPr>
      <w:r w:rsidRPr="0016411F">
        <w:t xml:space="preserve">This poses a significant barrier for families in vulnerable and disadvantaged communities who wish for their child to attend a CCCFR service, as the ACCC Childcare inquiry has noted that the activity test is an identified barrier to CCS eligibility </w:t>
      </w:r>
      <w:r w:rsidR="009E5491">
        <w:t>with</w:t>
      </w:r>
      <w:r w:rsidRPr="0016411F">
        <w:t>in these communities.</w:t>
      </w:r>
      <w:r w:rsidR="00132274">
        <w:rPr>
          <w:rStyle w:val="FootnoteReference"/>
        </w:rPr>
        <w:footnoteReference w:id="131"/>
      </w:r>
      <w:r w:rsidRPr="0016411F">
        <w:t xml:space="preserve"> Therefore, </w:t>
      </w:r>
      <w:r w:rsidR="002A0481">
        <w:t xml:space="preserve">requiring </w:t>
      </w:r>
      <w:r w:rsidR="006C6822">
        <w:t xml:space="preserve">families to </w:t>
      </w:r>
      <w:r w:rsidR="006F4E77">
        <w:t xml:space="preserve">apply for the CCS to attend a CCCFR service </w:t>
      </w:r>
      <w:r w:rsidR="00105A08">
        <w:t>compromises</w:t>
      </w:r>
      <w:r w:rsidR="006F4E77">
        <w:t xml:space="preserve"> </w:t>
      </w:r>
      <w:r w:rsidRPr="0016411F">
        <w:t xml:space="preserve">the intent of the CCCFR grant </w:t>
      </w:r>
      <w:r w:rsidR="006F4E77">
        <w:t>to support</w:t>
      </w:r>
      <w:r w:rsidR="004A53F0">
        <w:t xml:space="preserve"> access to child care for</w:t>
      </w:r>
      <w:r w:rsidR="006F4E77" w:rsidRPr="0016411F">
        <w:t xml:space="preserve"> </w:t>
      </w:r>
      <w:r w:rsidRPr="0016411F">
        <w:t xml:space="preserve">vulnerable and disadvantaged families. </w:t>
      </w:r>
    </w:p>
    <w:p w14:paraId="02FD5ACE" w14:textId="60DAB883" w:rsidR="006E3AC4" w:rsidRPr="0016411F" w:rsidRDefault="006E3AC4" w:rsidP="006E3AC4">
      <w:pPr>
        <w:spacing w:before="120"/>
      </w:pPr>
      <w:r w:rsidRPr="0016411F">
        <w:t>The ACCC Childcare inquiry discussed that parents or guardians experiencing disadvantage find it difficult to engage in work or study for a variety of reasons and circumstances.</w:t>
      </w:r>
      <w:r w:rsidR="00492440">
        <w:rPr>
          <w:rStyle w:val="FootnoteReference"/>
        </w:rPr>
        <w:footnoteReference w:id="132"/>
      </w:r>
      <w:r w:rsidRPr="0016411F">
        <w:t xml:space="preserve"> In the CCCFR stakeholder consultaitons, this has been revealed as:</w:t>
      </w:r>
    </w:p>
    <w:p w14:paraId="4C91455C" w14:textId="0B48F4FC" w:rsidR="006E3AC4" w:rsidRPr="0016411F" w:rsidRDefault="006E3AC4" w:rsidP="006E3AC4">
      <w:pPr>
        <w:pStyle w:val="ListBullet"/>
      </w:pPr>
      <w:r w:rsidRPr="0016411F">
        <w:t>challenges in securing employment for people in rural and remote communities,</w:t>
      </w:r>
    </w:p>
    <w:p w14:paraId="7C1EC0EC" w14:textId="08EB2B53" w:rsidR="006E3AC4" w:rsidRPr="0016411F" w:rsidRDefault="006E3AC4" w:rsidP="006E3AC4">
      <w:pPr>
        <w:pStyle w:val="ListBullet"/>
      </w:pPr>
      <w:r w:rsidRPr="0016411F">
        <w:tab/>
        <w:t>language barriers for families from culturally and linguistically diverse backgrounds, especially refugee and migrant families,</w:t>
      </w:r>
    </w:p>
    <w:p w14:paraId="42DC2129" w14:textId="40E9BAB9" w:rsidR="006E3AC4" w:rsidRPr="0016411F" w:rsidRDefault="006E3AC4" w:rsidP="006E3AC4">
      <w:pPr>
        <w:pStyle w:val="ListBullet"/>
      </w:pPr>
      <w:r w:rsidRPr="0016411F">
        <w:tab/>
        <w:t xml:space="preserve">ongoing impacts of intergenerational trauma when engaging with government services for Aboriginal and Torres Strait Islander families. </w:t>
      </w:r>
    </w:p>
    <w:p w14:paraId="62ABC759" w14:textId="77777777" w:rsidR="006E3AC4" w:rsidRPr="0016411F" w:rsidRDefault="006E3AC4" w:rsidP="006E3AC4">
      <w:pPr>
        <w:spacing w:before="120"/>
      </w:pPr>
      <w:r w:rsidRPr="0016411F">
        <w:t xml:space="preserve">Therefore, while the CCCFR grant funding is intended to make child care more affordable for vulnerable and disadvantaged families, the current symbiotic nature between CCS eligibility and the CCCFR grant funding cannot be disregarded, and is a critical factor in the affordability and accessibility of these services for families.  </w:t>
      </w:r>
    </w:p>
    <w:p w14:paraId="37BA0CFE" w14:textId="00E61CEA" w:rsidR="006E3AC4" w:rsidRDefault="006E3AC4" w:rsidP="006E3AC4">
      <w:pPr>
        <w:spacing w:before="120"/>
      </w:pPr>
      <w:r w:rsidRPr="0016411F">
        <w:t>Services Australia did not provide sufficient information in consultation to further add to this discussion.</w:t>
      </w:r>
      <w:r>
        <w:t xml:space="preserve">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AF3DB0" w14:paraId="0ED12B11" w14:textId="77777777" w:rsidTr="00A54F59">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0D0972FB" w14:textId="2C2D7A32" w:rsidR="00AF3DB0" w:rsidRPr="009E424E" w:rsidRDefault="00AF3DB0" w:rsidP="00AF3DB0">
            <w:pPr>
              <w:spacing w:after="120"/>
              <w:rPr>
                <w:b/>
                <w:bCs/>
              </w:rPr>
            </w:pPr>
            <w:r w:rsidRPr="009E424E">
              <w:rPr>
                <w:b/>
                <w:bCs/>
              </w:rPr>
              <w:t xml:space="preserve">Review finding </w:t>
            </w:r>
            <w:r w:rsidR="00EE69CD">
              <w:rPr>
                <w:b/>
                <w:bCs/>
              </w:rPr>
              <w:t>15</w:t>
            </w:r>
          </w:p>
          <w:p w14:paraId="36CDC37C" w14:textId="0B66D36F" w:rsidR="00AF3DB0" w:rsidRPr="009C5F49" w:rsidRDefault="003632F0" w:rsidP="009C5F49">
            <w:r>
              <w:t xml:space="preserve">There was no program logic or other documented grant design </w:t>
            </w:r>
            <w:r w:rsidR="00ED3A9E">
              <w:t>identified during the review</w:t>
            </w:r>
            <w:r>
              <w:t>, which set out the intended relationships between the grant, the activities it is intended to support and the stated objectives.</w:t>
            </w:r>
          </w:p>
        </w:tc>
      </w:tr>
    </w:tbl>
    <w:p w14:paraId="04C6CE1F" w14:textId="5CA52E35" w:rsidR="00226337" w:rsidRPr="00C81B54" w:rsidRDefault="00226337" w:rsidP="00226337">
      <w:pPr>
        <w:spacing w:before="170"/>
        <w:rPr>
          <w:b/>
          <w:bCs/>
        </w:rPr>
      </w:pPr>
      <w:r w:rsidRPr="00C81B54">
        <w:rPr>
          <w:b/>
          <w:bCs/>
        </w:rPr>
        <w:t>Supporting evidence for this finding is drawn from consultations</w:t>
      </w:r>
      <w:r>
        <w:rPr>
          <w:b/>
          <w:bCs/>
        </w:rPr>
        <w:t xml:space="preserve"> and</w:t>
      </w:r>
      <w:r w:rsidRPr="00C81B54">
        <w:rPr>
          <w:b/>
          <w:bCs/>
        </w:rPr>
        <w:t xml:space="preserve"> </w:t>
      </w:r>
      <w:r>
        <w:rPr>
          <w:b/>
          <w:bCs/>
        </w:rPr>
        <w:t>document analysis</w:t>
      </w:r>
      <w:r w:rsidRPr="00C81B54">
        <w:rPr>
          <w:b/>
          <w:bCs/>
        </w:rPr>
        <w:t>.</w:t>
      </w:r>
    </w:p>
    <w:p w14:paraId="3466536F" w14:textId="7D17B10E" w:rsidR="00E076E0" w:rsidRDefault="00582FFD" w:rsidP="00AF7CC8">
      <w:r>
        <w:lastRenderedPageBreak/>
        <w:t>T</w:t>
      </w:r>
      <w:r w:rsidR="0090779F">
        <w:t xml:space="preserve">his review has developed a program logic model </w:t>
      </w:r>
      <w:r w:rsidR="00512D2C">
        <w:t>through consultation with the Department and CCCFR Program Officers</w:t>
      </w:r>
      <w:r w:rsidR="0090779F">
        <w:t xml:space="preserve"> </w:t>
      </w:r>
      <w:r w:rsidR="009358B4">
        <w:t xml:space="preserve">to </w:t>
      </w:r>
      <w:r w:rsidR="008013EA">
        <w:t xml:space="preserve">describe the </w:t>
      </w:r>
      <w:r w:rsidR="00512D2C">
        <w:t xml:space="preserve">intended </w:t>
      </w:r>
      <w:r w:rsidR="008013EA">
        <w:t xml:space="preserve">pathways </w:t>
      </w:r>
      <w:r w:rsidR="00512D2C">
        <w:t>through</w:t>
      </w:r>
      <w:r w:rsidR="008013EA">
        <w:t xml:space="preserve"> which</w:t>
      </w:r>
      <w:r w:rsidR="009004CC">
        <w:t xml:space="preserve"> </w:t>
      </w:r>
      <w:r w:rsidR="009358B4">
        <w:t xml:space="preserve">the </w:t>
      </w:r>
      <w:r w:rsidR="00B952F0">
        <w:t xml:space="preserve">CCCFR grant </w:t>
      </w:r>
      <w:r w:rsidR="00D520B3">
        <w:t>objectives are linked</w:t>
      </w:r>
      <w:r w:rsidR="00083941">
        <w:t xml:space="preserve"> to it</w:t>
      </w:r>
      <w:r w:rsidR="00B7729D">
        <w:t>s</w:t>
      </w:r>
      <w:r w:rsidR="00083941">
        <w:t xml:space="preserve"> </w:t>
      </w:r>
      <w:r w:rsidR="00D520B3">
        <w:t xml:space="preserve">inputs, activities, and </w:t>
      </w:r>
      <w:r w:rsidR="00083941">
        <w:t>outcomes</w:t>
      </w:r>
      <w:r w:rsidR="00D62D4D">
        <w:t xml:space="preserve"> </w:t>
      </w:r>
      <w:r w:rsidR="00D520B3">
        <w:t xml:space="preserve">over time </w:t>
      </w:r>
      <w:r w:rsidR="00D62D4D">
        <w:t xml:space="preserve">– see </w:t>
      </w:r>
      <w:r w:rsidR="00D62D4D">
        <w:fldChar w:fldCharType="begin"/>
      </w:r>
      <w:r w:rsidR="00D62D4D">
        <w:instrText xml:space="preserve"> REF _Ref152919355 \r \h </w:instrText>
      </w:r>
      <w:r w:rsidR="00AF7CC8">
        <w:instrText xml:space="preserve"> \* MERGEFORMAT </w:instrText>
      </w:r>
      <w:r w:rsidR="00D62D4D">
        <w:fldChar w:fldCharType="separate"/>
      </w:r>
      <w:r w:rsidR="00D300D0">
        <w:t>Figure 6.1</w:t>
      </w:r>
      <w:r w:rsidR="00D62D4D">
        <w:fldChar w:fldCharType="end"/>
      </w:r>
      <w:r w:rsidR="00083941">
        <w:t xml:space="preserve">. This program logic model </w:t>
      </w:r>
      <w:r w:rsidR="003F0934">
        <w:t>illustrates</w:t>
      </w:r>
      <w:r w:rsidR="00083941">
        <w:t xml:space="preserve"> the</w:t>
      </w:r>
      <w:r w:rsidR="007355E9">
        <w:t xml:space="preserve"> </w:t>
      </w:r>
      <w:r w:rsidR="00A77027">
        <w:t>relationship between</w:t>
      </w:r>
      <w:r w:rsidR="00BE4A46">
        <w:t xml:space="preserve"> the </w:t>
      </w:r>
      <w:r w:rsidR="00A77027">
        <w:t>inputs</w:t>
      </w:r>
      <w:r w:rsidR="00BE4A46">
        <w:t xml:space="preserve">, activities and </w:t>
      </w:r>
      <w:r w:rsidR="0090328B">
        <w:t xml:space="preserve">intended effects which </w:t>
      </w:r>
      <w:r w:rsidR="001E644A">
        <w:t xml:space="preserve">can </w:t>
      </w:r>
      <w:r w:rsidR="0090328B">
        <w:t>lead to the grant</w:t>
      </w:r>
      <w:r w:rsidR="007355E9">
        <w:t xml:space="preserve"> outcomes. </w:t>
      </w:r>
    </w:p>
    <w:p w14:paraId="68EF62DF" w14:textId="34D20841" w:rsidR="00391912" w:rsidRDefault="007446A2" w:rsidP="00AF7CC8">
      <w:r>
        <w:t xml:space="preserve">The program logic was developed </w:t>
      </w:r>
      <w:r w:rsidR="004162C9">
        <w:t>using the findings of the document review around the CCCFR grant guidelines</w:t>
      </w:r>
      <w:r w:rsidR="00D7430D">
        <w:t>, consultations with the Department and consultations with the CCCFR Program Officers</w:t>
      </w:r>
      <w:r w:rsidR="001069A7">
        <w:t xml:space="preserve">. It was tested and validated through </w:t>
      </w:r>
      <w:r w:rsidR="00421D02">
        <w:t>two</w:t>
      </w:r>
      <w:r w:rsidR="001069A7">
        <w:t xml:space="preserve"> further workshops with the Department and the CCCFR Program Officers. The program logic was developed as a component of the review, given th</w:t>
      </w:r>
      <w:r w:rsidR="00371967">
        <w:t xml:space="preserve">at no program logic </w:t>
      </w:r>
      <w:r w:rsidR="00DE7D5B">
        <w:t>could be provided as an input or source to the review. It was therefore developed retrospectively to map a collective understanding of how the grant’s design relates to the grant’s objectives</w:t>
      </w:r>
      <w:r w:rsidR="00B73313">
        <w:t xml:space="preserve">. </w:t>
      </w:r>
    </w:p>
    <w:p w14:paraId="0BD82087" w14:textId="5BB9E72D" w:rsidR="007446A2" w:rsidRDefault="00B73313" w:rsidP="00AF7CC8">
      <w:r>
        <w:t xml:space="preserve">As part of the process of developing and testing the program logic, a number of </w:t>
      </w:r>
      <w:r w:rsidR="00583B65">
        <w:t xml:space="preserve">features were identified that show areas where the logic is </w:t>
      </w:r>
      <w:r w:rsidR="00DE6573">
        <w:t>at least partially false. These are discussed in other areas of this review.</w:t>
      </w:r>
      <w:r w:rsidR="002E497C">
        <w:t xml:space="preserve"> </w:t>
      </w:r>
      <w:r w:rsidR="00371967">
        <w:t xml:space="preserve"> </w:t>
      </w:r>
    </w:p>
    <w:p w14:paraId="62116AE9" w14:textId="36B4B374" w:rsidR="003B14C0" w:rsidRDefault="00F65D67" w:rsidP="003B14C0">
      <w:r>
        <w:t xml:space="preserve">In development of the program logic, there is a case to be made </w:t>
      </w:r>
      <w:r w:rsidR="00F34453">
        <w:t xml:space="preserve">to </w:t>
      </w:r>
      <w:r w:rsidR="00531DB3">
        <w:t xml:space="preserve">develop a </w:t>
      </w:r>
      <w:r w:rsidR="00533B7B">
        <w:t xml:space="preserve">congruent </w:t>
      </w:r>
      <w:r w:rsidR="0054212E">
        <w:t xml:space="preserve">data collection tool </w:t>
      </w:r>
      <w:r w:rsidR="001B7B5D">
        <w:t xml:space="preserve">to monitor and track </w:t>
      </w:r>
      <w:r w:rsidR="003F5FE2">
        <w:t xml:space="preserve">individual </w:t>
      </w:r>
      <w:r w:rsidR="001B7B5D">
        <w:t>elements of the program logic model such as the inputs, activities and outputs.</w:t>
      </w:r>
      <w:r w:rsidR="001E2E9F">
        <w:t xml:space="preserve"> </w:t>
      </w:r>
      <w:r w:rsidR="003B14C0">
        <w:t>The data collection tool corresponding to each element will serve a distinct purpose, as outlined below:</w:t>
      </w:r>
    </w:p>
    <w:p w14:paraId="513F5FC5" w14:textId="3EA68A8F" w:rsidR="003B14C0" w:rsidRDefault="003B14C0" w:rsidP="003B14C0">
      <w:pPr>
        <w:pStyle w:val="ListBullet"/>
      </w:pPr>
      <w:r w:rsidRPr="2B91AEFB">
        <w:rPr>
          <w:b/>
          <w:bCs/>
        </w:rPr>
        <w:t>Inputs</w:t>
      </w:r>
      <w:r>
        <w:t xml:space="preserve">: </w:t>
      </w:r>
      <w:r w:rsidR="00294D8A">
        <w:t xml:space="preserve">Monitoring of the inputs such as funding and workforce </w:t>
      </w:r>
      <w:r w:rsidR="00013E41">
        <w:t>can assist with the</w:t>
      </w:r>
      <w:r w:rsidR="00402848">
        <w:t xml:space="preserve"> assessment of how well th</w:t>
      </w:r>
      <w:r w:rsidR="00A84533">
        <w:t xml:space="preserve">e resources have been allocated, and whether </w:t>
      </w:r>
      <w:r w:rsidR="006626AE">
        <w:t xml:space="preserve">the allocation is in line with expectations. For example, </w:t>
      </w:r>
      <w:r w:rsidR="00022E0F">
        <w:t>is a CCCFR service able to hire and retain adequate staff for the students enrolled</w:t>
      </w:r>
      <w:r w:rsidR="00851C7E">
        <w:t xml:space="preserve"> in line with ACE</w:t>
      </w:r>
      <w:r w:rsidR="002322D6">
        <w:t>CQA educator to child ratios</w:t>
      </w:r>
      <w:r w:rsidR="00022E0F">
        <w:t>.</w:t>
      </w:r>
    </w:p>
    <w:p w14:paraId="4E676932" w14:textId="251ECCF6" w:rsidR="00C77B82" w:rsidRDefault="7EB92D73" w:rsidP="00C77B82">
      <w:pPr>
        <w:pStyle w:val="ListBullet"/>
      </w:pPr>
      <w:r w:rsidRPr="10989987">
        <w:rPr>
          <w:b/>
          <w:bCs/>
        </w:rPr>
        <w:t>Activities</w:t>
      </w:r>
      <w:r w:rsidR="003B14C0">
        <w:t>:</w:t>
      </w:r>
      <w:r w:rsidR="00B73FAB">
        <w:t xml:space="preserve"> </w:t>
      </w:r>
      <w:r w:rsidR="0058784A">
        <w:t xml:space="preserve">Monitoring of the </w:t>
      </w:r>
      <w:r w:rsidR="00C40FCB">
        <w:t>actions</w:t>
      </w:r>
      <w:r w:rsidR="0058784A">
        <w:t xml:space="preserve"> undertaken as part of the program </w:t>
      </w:r>
      <w:r w:rsidR="00465BA0">
        <w:t xml:space="preserve">can assist in </w:t>
      </w:r>
      <w:r w:rsidR="00C40FCB">
        <w:t>determining the</w:t>
      </w:r>
      <w:r w:rsidR="00DD2CE1">
        <w:t xml:space="preserve"> progress</w:t>
      </w:r>
      <w:r w:rsidR="005670C4">
        <w:t xml:space="preserve"> </w:t>
      </w:r>
      <w:r w:rsidR="00C40FCB">
        <w:t>of CCCFR services</w:t>
      </w:r>
      <w:r w:rsidR="00DD2CE1">
        <w:t xml:space="preserve"> towards meeting the </w:t>
      </w:r>
      <w:r w:rsidR="4115052D">
        <w:t>objectives</w:t>
      </w:r>
      <w:r w:rsidR="00DE7040">
        <w:t xml:space="preserve"> of the grant. </w:t>
      </w:r>
      <w:r w:rsidR="00B73FAB">
        <w:t>Activities</w:t>
      </w:r>
      <w:r w:rsidR="00DE7040">
        <w:t xml:space="preserve"> in this instance</w:t>
      </w:r>
      <w:r w:rsidR="00B73FAB">
        <w:t xml:space="preserve"> can be measure</w:t>
      </w:r>
      <w:r w:rsidR="3A1D8799">
        <w:t>d</w:t>
      </w:r>
      <w:r w:rsidR="00B73FAB">
        <w:t xml:space="preserve"> by</w:t>
      </w:r>
      <w:r w:rsidR="00DE7040">
        <w:t xml:space="preserve"> </w:t>
      </w:r>
      <w:r w:rsidR="2AC046A0">
        <w:t>its</w:t>
      </w:r>
      <w:r w:rsidR="00DE7040">
        <w:t xml:space="preserve"> corresponding</w:t>
      </w:r>
      <w:r w:rsidR="00B73FAB">
        <w:t xml:space="preserve"> outputs. </w:t>
      </w:r>
    </w:p>
    <w:p w14:paraId="5B33B003" w14:textId="77777777" w:rsidR="00C77B82" w:rsidRDefault="00C77B82" w:rsidP="00C77B82">
      <w:pPr>
        <w:pStyle w:val="ListBullet"/>
        <w:numPr>
          <w:ilvl w:val="0"/>
          <w:numId w:val="0"/>
        </w:numPr>
        <w:ind w:left="340"/>
      </w:pPr>
    </w:p>
    <w:p w14:paraId="57136653" w14:textId="4480C713" w:rsidR="00C77B82" w:rsidRDefault="00A90BAD" w:rsidP="00C77B82">
      <w:r>
        <w:t>The development of the monitoring tools acts as a</w:t>
      </w:r>
      <w:r w:rsidR="524A9038">
        <w:t>n</w:t>
      </w:r>
      <w:r>
        <w:t xml:space="preserve"> </w:t>
      </w:r>
      <w:r w:rsidR="00EE33E1">
        <w:t xml:space="preserve">accountability mechanism in determining the effectiveness of the CCCFR grant. </w:t>
      </w:r>
      <w:r w:rsidR="00F71A47">
        <w:t>Any further reviews or evaluations of the CCCFR grant ca</w:t>
      </w:r>
      <w:r w:rsidR="008A3428">
        <w:t>n leverage the data collect</w:t>
      </w:r>
      <w:r w:rsidR="003476E9">
        <w:t>ed</w:t>
      </w:r>
      <w:r w:rsidR="008A3428">
        <w:t xml:space="preserve"> </w:t>
      </w:r>
      <w:r w:rsidR="00D55397">
        <w:t xml:space="preserve">to determine </w:t>
      </w:r>
      <w:r>
        <w:t xml:space="preserve">the </w:t>
      </w:r>
      <w:r w:rsidR="365BF591">
        <w:t>effectiveness</w:t>
      </w:r>
      <w:r>
        <w:t xml:space="preserve"> of </w:t>
      </w:r>
      <w:r w:rsidR="00F459ED">
        <w:t>the Department</w:t>
      </w:r>
      <w:r w:rsidR="00963300">
        <w:t xml:space="preserve"> and </w:t>
      </w:r>
      <w:r w:rsidR="00F459ED">
        <w:t xml:space="preserve">CCCFR services </w:t>
      </w:r>
      <w:r w:rsidR="00963300">
        <w:t xml:space="preserve">in </w:t>
      </w:r>
      <w:r w:rsidR="003F2777">
        <w:t>achieving the a</w:t>
      </w:r>
      <w:r w:rsidR="001859B6">
        <w:t xml:space="preserve">ims and objectives of the CCCFR grant. </w:t>
      </w:r>
    </w:p>
    <w:p w14:paraId="58A67FFD" w14:textId="4938DAA1" w:rsidR="00EE0D76" w:rsidRDefault="00EE0D76" w:rsidP="003727AE">
      <w:r>
        <w:t>Key considerations in developing data collection tool</w:t>
      </w:r>
      <w:r w:rsidR="00F1043C">
        <w:t xml:space="preserve"> and reporting metrics</w:t>
      </w:r>
      <w:r>
        <w:t xml:space="preserve"> include:</w:t>
      </w:r>
    </w:p>
    <w:p w14:paraId="1AF12D3D" w14:textId="5D5CFB37" w:rsidR="00BF1FFB" w:rsidRDefault="00B506FD" w:rsidP="004214BB">
      <w:pPr>
        <w:pStyle w:val="ListBullet"/>
      </w:pPr>
      <w:r w:rsidRPr="10989987">
        <w:rPr>
          <w:b/>
          <w:bCs/>
        </w:rPr>
        <w:t>Clearly outline and state the purpose of t</w:t>
      </w:r>
      <w:r w:rsidR="003D4297" w:rsidRPr="10989987">
        <w:rPr>
          <w:b/>
          <w:bCs/>
        </w:rPr>
        <w:t>he data collect</w:t>
      </w:r>
      <w:r w:rsidR="1A0748E9" w:rsidRPr="10989987">
        <w:rPr>
          <w:b/>
          <w:bCs/>
        </w:rPr>
        <w:t>ion</w:t>
      </w:r>
      <w:r w:rsidR="003D4297" w:rsidRPr="10989987">
        <w:rPr>
          <w:b/>
          <w:bCs/>
        </w:rPr>
        <w:t xml:space="preserve"> tool.</w:t>
      </w:r>
      <w:r w:rsidR="003D4297">
        <w:t xml:space="preserve"> </w:t>
      </w:r>
      <w:r w:rsidR="009941B8">
        <w:t>It is important for the Department to strictly outline and communicate the purpose of the data collection tool(s) to CCCFR services and program officers</w:t>
      </w:r>
      <w:r w:rsidR="00933F23">
        <w:t>. This ensures clarity in purpose, and generates stakeholder buy in. Stakeholder buy in is important</w:t>
      </w:r>
      <w:r w:rsidR="009941B8">
        <w:t xml:space="preserve"> as additional data collection requirements will place added burden for those responsible.</w:t>
      </w:r>
    </w:p>
    <w:p w14:paraId="0374E9BE" w14:textId="39769899" w:rsidR="00EE0D76" w:rsidRDefault="00BF1FFB" w:rsidP="004214BB">
      <w:pPr>
        <w:pStyle w:val="ListBullet"/>
      </w:pPr>
      <w:r w:rsidRPr="2B91AEFB">
        <w:rPr>
          <w:b/>
          <w:bCs/>
        </w:rPr>
        <w:t xml:space="preserve">Assign responsibility and </w:t>
      </w:r>
      <w:r w:rsidR="00897ECC" w:rsidRPr="2B91AEFB">
        <w:rPr>
          <w:b/>
          <w:bCs/>
        </w:rPr>
        <w:t>ownership</w:t>
      </w:r>
      <w:r w:rsidRPr="2B91AEFB">
        <w:rPr>
          <w:b/>
          <w:bCs/>
        </w:rPr>
        <w:t>.</w:t>
      </w:r>
      <w:r w:rsidR="00897ECC" w:rsidRPr="2B91AEFB">
        <w:rPr>
          <w:b/>
          <w:bCs/>
        </w:rPr>
        <w:t xml:space="preserve"> </w:t>
      </w:r>
      <w:r w:rsidR="00897ECC">
        <w:t xml:space="preserve">Authority and ownership of key data reporting requirements are </w:t>
      </w:r>
      <w:r w:rsidR="008671B2">
        <w:t xml:space="preserve">needed to </w:t>
      </w:r>
      <w:r w:rsidR="004175AC">
        <w:t xml:space="preserve">ensure data is </w:t>
      </w:r>
      <w:r w:rsidR="006E58B7">
        <w:t xml:space="preserve">being </w:t>
      </w:r>
      <w:r w:rsidR="004175AC">
        <w:t>responsibly collected</w:t>
      </w:r>
      <w:r w:rsidR="00116CE4">
        <w:t>.</w:t>
      </w:r>
    </w:p>
    <w:p w14:paraId="251C095D" w14:textId="70BC6664" w:rsidR="00616A8F" w:rsidRDefault="001536A7" w:rsidP="001536A7">
      <w:pPr>
        <w:pStyle w:val="ListBullet"/>
      </w:pPr>
      <w:r w:rsidRPr="2B91AEFB">
        <w:rPr>
          <w:b/>
          <w:bCs/>
        </w:rPr>
        <w:t>Data collection instruments must be accessible to use</w:t>
      </w:r>
      <w:r w:rsidR="0092685F">
        <w:t>. The methiod in which the data is being collected needs to</w:t>
      </w:r>
      <w:r w:rsidR="00D90B76">
        <w:t xml:space="preserve"> simultaneously</w:t>
      </w:r>
      <w:r w:rsidR="0092685F">
        <w:t xml:space="preserve"> be</w:t>
      </w:r>
      <w:r w:rsidR="00D90B76">
        <w:t xml:space="preserve"> easy to use for d</w:t>
      </w:r>
      <w:r w:rsidR="00616A8F">
        <w:t>ata inputs, and in a format that is</w:t>
      </w:r>
      <w:r w:rsidR="007A0225">
        <w:t xml:space="preserve"> consistent</w:t>
      </w:r>
      <w:r w:rsidR="00F044CB">
        <w:t xml:space="preserve"> and</w:t>
      </w:r>
      <w:r w:rsidR="00616A8F">
        <w:t xml:space="preserve"> easy to analyse </w:t>
      </w:r>
      <w:r w:rsidR="00F044CB">
        <w:t>for reporting purposes</w:t>
      </w:r>
      <w:r w:rsidR="00616A8F">
        <w:t xml:space="preserve"> (i.e., during evaluations and reviews).</w:t>
      </w:r>
    </w:p>
    <w:p w14:paraId="34ED7E26" w14:textId="21CBDE4E" w:rsidR="00204800" w:rsidRPr="003727AE" w:rsidRDefault="0092685F" w:rsidP="00616A8F">
      <w:pPr>
        <w:pStyle w:val="ListBullet"/>
        <w:numPr>
          <w:ilvl w:val="0"/>
          <w:numId w:val="0"/>
        </w:numPr>
        <w:ind w:left="340"/>
        <w:sectPr w:rsidR="00204800" w:rsidRPr="003727AE" w:rsidSect="005F043A">
          <w:headerReference w:type="default" r:id="rId90"/>
          <w:footerReference w:type="default" r:id="rId91"/>
          <w:pgSz w:w="11906" w:h="16838" w:code="9"/>
          <w:pgMar w:top="1440" w:right="1440" w:bottom="1440" w:left="1440" w:header="680" w:footer="425" w:gutter="0"/>
          <w:cols w:space="284"/>
          <w:docGrid w:linePitch="360"/>
        </w:sectPr>
      </w:pPr>
      <w:r>
        <w:t xml:space="preserve"> </w:t>
      </w:r>
    </w:p>
    <w:p w14:paraId="33075E27" w14:textId="121DEFAE" w:rsidR="00B25ABB" w:rsidRPr="009E1731" w:rsidRDefault="00B25ABB" w:rsidP="00B25ABB">
      <w:pPr>
        <w:pStyle w:val="CaptionFigure"/>
      </w:pPr>
      <w:bookmarkStart w:id="307" w:name="_Ref152919355"/>
      <w:bookmarkStart w:id="308" w:name="_Toc158997991"/>
      <w:bookmarkStart w:id="309" w:name="_Toc170228794"/>
      <w:r w:rsidRPr="009E1731">
        <w:lastRenderedPageBreak/>
        <w:t>: Program logic model</w:t>
      </w:r>
      <w:bookmarkEnd w:id="307"/>
      <w:bookmarkEnd w:id="308"/>
      <w:bookmarkEnd w:id="309"/>
    </w:p>
    <w:p w14:paraId="75706497" w14:textId="232D4A49" w:rsidR="00B25ABB" w:rsidRPr="00B25ABB" w:rsidRDefault="00A31642" w:rsidP="00B25ABB">
      <w:r w:rsidRPr="00A31642">
        <w:rPr>
          <w:noProof/>
        </w:rPr>
        <w:drawing>
          <wp:inline distT="0" distB="0" distL="0" distR="0" wp14:anchorId="2E320963" wp14:editId="796ABCBF">
            <wp:extent cx="8863330" cy="4986020"/>
            <wp:effectExtent l="0" t="0" r="0" b="5080"/>
            <wp:docPr id="838388574" name="Picture 838388574" descr="Illustration of program logic model for CCCFR g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74" name="Picture 838388574" descr="Illustration of program logic model for CCCFR gran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863330" cy="4986020"/>
                    </a:xfrm>
                    <a:prstGeom prst="rect">
                      <a:avLst/>
                    </a:prstGeom>
                    <a:noFill/>
                    <a:ln>
                      <a:noFill/>
                    </a:ln>
                  </pic:spPr>
                </pic:pic>
              </a:graphicData>
            </a:graphic>
          </wp:inline>
        </w:drawing>
      </w:r>
    </w:p>
    <w:p w14:paraId="644ADB1F" w14:textId="6776C385" w:rsidR="00E076E0" w:rsidRPr="007A5D88" w:rsidRDefault="00A31642" w:rsidP="00CE1A6F">
      <w:pPr>
        <w:rPr>
          <w:sz w:val="14"/>
          <w:szCs w:val="14"/>
        </w:rPr>
        <w:sectPr w:rsidR="00E076E0" w:rsidRPr="007A5D88" w:rsidSect="00E076E0">
          <w:pgSz w:w="16838" w:h="11906" w:orient="landscape" w:code="9"/>
          <w:pgMar w:top="1440" w:right="1440" w:bottom="1440" w:left="1440" w:header="680" w:footer="425" w:gutter="0"/>
          <w:cols w:space="284"/>
          <w:docGrid w:linePitch="360"/>
        </w:sectPr>
      </w:pPr>
      <w:r w:rsidRPr="007A5D88">
        <w:rPr>
          <w:sz w:val="14"/>
          <w:szCs w:val="14"/>
        </w:rPr>
        <w:t xml:space="preserve">Source: </w:t>
      </w:r>
      <w:r w:rsidR="006B1444">
        <w:rPr>
          <w:sz w:val="14"/>
          <w:szCs w:val="14"/>
        </w:rPr>
        <w:t>T</w:t>
      </w:r>
      <w:r w:rsidRPr="007A5D88">
        <w:rPr>
          <w:sz w:val="14"/>
          <w:szCs w:val="14"/>
        </w:rPr>
        <w:t xml:space="preserve">his was developed by Deloitte Access Economics in consultation with </w:t>
      </w:r>
      <w:r w:rsidR="00094565">
        <w:rPr>
          <w:sz w:val="14"/>
          <w:szCs w:val="14"/>
        </w:rPr>
        <w:t>CCCFR Program Officers</w:t>
      </w:r>
      <w:r w:rsidR="005560B6" w:rsidRPr="007A5D88">
        <w:rPr>
          <w:sz w:val="14"/>
          <w:szCs w:val="14"/>
        </w:rPr>
        <w:t xml:space="preserve">, and Department staff. </w:t>
      </w:r>
      <w:r w:rsidR="00B25ABB" w:rsidRPr="007A5D88">
        <w:rPr>
          <w:sz w:val="14"/>
          <w:szCs w:val="14"/>
        </w:rPr>
        <w:tab/>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36F9B" w14:paraId="685C7FFD" w14:textId="77777777" w:rsidTr="00A54F59">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203B2C1F" w14:textId="39E06C41" w:rsidR="00136F9B" w:rsidRPr="009E424E" w:rsidRDefault="00136F9B">
            <w:pPr>
              <w:spacing w:after="120"/>
              <w:rPr>
                <w:b/>
                <w:bCs/>
              </w:rPr>
            </w:pPr>
            <w:r w:rsidRPr="009E424E">
              <w:rPr>
                <w:b/>
                <w:bCs/>
              </w:rPr>
              <w:lastRenderedPageBreak/>
              <w:t xml:space="preserve">Review finding </w:t>
            </w:r>
            <w:r w:rsidR="00B75906">
              <w:rPr>
                <w:b/>
                <w:bCs/>
              </w:rPr>
              <w:t>16</w:t>
            </w:r>
          </w:p>
          <w:p w14:paraId="5685DC2D" w14:textId="22EB05F0" w:rsidR="00136F9B" w:rsidRPr="009C5F49" w:rsidRDefault="001F3727" w:rsidP="009C5F49">
            <w:pPr>
              <w:spacing w:before="120" w:after="120"/>
            </w:pPr>
            <w:r w:rsidRPr="001F3727">
              <w:t xml:space="preserve">There are gaps in understanding among </w:t>
            </w:r>
            <w:r w:rsidR="00B2460F" w:rsidRPr="00B2460F">
              <w:t xml:space="preserve">CCCFR </w:t>
            </w:r>
            <w:r w:rsidRPr="001F3727">
              <w:t xml:space="preserve">services </w:t>
            </w:r>
            <w:r w:rsidR="00B2460F" w:rsidRPr="00B2460F">
              <w:t xml:space="preserve">(e.g., among Directors of CCCFR services) </w:t>
            </w:r>
            <w:r w:rsidRPr="001F3727">
              <w:t xml:space="preserve">regarding how and for what purpose the </w:t>
            </w:r>
            <w:r w:rsidR="00575BDB">
              <w:t xml:space="preserve">CCCFR grant </w:t>
            </w:r>
            <w:r w:rsidRPr="001F3727">
              <w:t>funding can be spent.</w:t>
            </w:r>
          </w:p>
        </w:tc>
      </w:tr>
    </w:tbl>
    <w:p w14:paraId="202703EC" w14:textId="7EC60C8A" w:rsidR="00136F9B" w:rsidRPr="00C81B54" w:rsidRDefault="00136F9B" w:rsidP="00136F9B">
      <w:pPr>
        <w:spacing w:before="170"/>
        <w:rPr>
          <w:b/>
          <w:bCs/>
        </w:rPr>
      </w:pPr>
      <w:r w:rsidRPr="00C81B54">
        <w:rPr>
          <w:b/>
          <w:bCs/>
        </w:rPr>
        <w:t>Supporting evidence for this finding is drawn from consultations</w:t>
      </w:r>
      <w:r w:rsidR="0054133F">
        <w:rPr>
          <w:b/>
          <w:bCs/>
        </w:rPr>
        <w:t xml:space="preserve">, </w:t>
      </w:r>
      <w:r w:rsidR="00EA36F2">
        <w:rPr>
          <w:b/>
          <w:bCs/>
        </w:rPr>
        <w:t>the</w:t>
      </w:r>
      <w:r w:rsidR="00F93920">
        <w:rPr>
          <w:b/>
          <w:bCs/>
        </w:rPr>
        <w:t xml:space="preserve"> CCCFR service</w:t>
      </w:r>
      <w:r w:rsidR="00EA36F2">
        <w:rPr>
          <w:b/>
          <w:bCs/>
        </w:rPr>
        <w:t xml:space="preserve"> survey, </w:t>
      </w:r>
      <w:r w:rsidRPr="00C81B54">
        <w:rPr>
          <w:b/>
          <w:bCs/>
        </w:rPr>
        <w:t xml:space="preserve">and </w:t>
      </w:r>
      <w:r>
        <w:rPr>
          <w:b/>
          <w:bCs/>
        </w:rPr>
        <w:t>document analysis</w:t>
      </w:r>
      <w:r w:rsidRPr="00C81B54">
        <w:rPr>
          <w:b/>
          <w:bCs/>
        </w:rPr>
        <w:t>.</w:t>
      </w:r>
    </w:p>
    <w:p w14:paraId="1085C9E0" w14:textId="02C9F204" w:rsidR="00F7000A" w:rsidRDefault="00776915" w:rsidP="00136F9B">
      <w:pPr>
        <w:spacing w:before="170"/>
      </w:pPr>
      <w:r>
        <w:t xml:space="preserve">The 2017 </w:t>
      </w:r>
      <w:r w:rsidR="000075D3">
        <w:t>G</w:t>
      </w:r>
      <w:r>
        <w:t>uidelines outlined a set of grant activities that the CCCFR grant funding may be used for</w:t>
      </w:r>
      <w:r w:rsidR="00F7000A">
        <w:t xml:space="preserve">, </w:t>
      </w:r>
      <w:r>
        <w:t>such as</w:t>
      </w:r>
      <w:r w:rsidR="00BE2412">
        <w:t>:</w:t>
      </w:r>
      <w:r w:rsidR="00F7000A">
        <w:rPr>
          <w:rStyle w:val="FootnoteReference"/>
        </w:rPr>
        <w:footnoteReference w:id="133"/>
      </w:r>
    </w:p>
    <w:p w14:paraId="69218134" w14:textId="316F7B3D" w:rsidR="00F7000A" w:rsidRDefault="00BD05C7" w:rsidP="00F7000A">
      <w:pPr>
        <w:pStyle w:val="ListBullet"/>
      </w:pPr>
      <w:r>
        <w:t>improving service viability and sustainability</w:t>
      </w:r>
    </w:p>
    <w:p w14:paraId="7FAE79EE" w14:textId="16B795E6" w:rsidR="00F7000A" w:rsidRDefault="00783F67" w:rsidP="00F7000A">
      <w:pPr>
        <w:pStyle w:val="ListBullet"/>
      </w:pPr>
      <w:r>
        <w:t>addressing community level barriers to child care participation</w:t>
      </w:r>
    </w:p>
    <w:p w14:paraId="0D3E7DDF" w14:textId="064BA9EC" w:rsidR="00F7000A" w:rsidRDefault="00783F67" w:rsidP="00F7000A">
      <w:pPr>
        <w:pStyle w:val="ListBullet"/>
      </w:pPr>
      <w:r>
        <w:t>capital works necessary for the service to operate sustainably under the new child care system</w:t>
      </w:r>
    </w:p>
    <w:p w14:paraId="6DE55788" w14:textId="512AAA7C" w:rsidR="00F7000A" w:rsidRPr="00AD61DD" w:rsidRDefault="00F7000A" w:rsidP="00F024B6">
      <w:pPr>
        <w:pStyle w:val="ListBullet"/>
      </w:pPr>
      <w:r>
        <w:t xml:space="preserve">other activities to increase Indigenous children’s participation in early education and child care including activities that have been identified by the </w:t>
      </w:r>
      <w:r w:rsidR="00446047">
        <w:t>D</w:t>
      </w:r>
      <w:r>
        <w:t>epartment as eligible activities for that service</w:t>
      </w:r>
      <w:r w:rsidR="00783F67">
        <w:t>.</w:t>
      </w:r>
    </w:p>
    <w:p w14:paraId="2E2E4363" w14:textId="155A9768" w:rsidR="0040784A" w:rsidRDefault="00446047" w:rsidP="00F024B6">
      <w:r>
        <w:t>The CCCFR s</w:t>
      </w:r>
      <w:r w:rsidR="00353B87">
        <w:t>ervice survey</w:t>
      </w:r>
      <w:r w:rsidR="0028193C">
        <w:t xml:space="preserve"> re</w:t>
      </w:r>
      <w:r w:rsidR="009111C5">
        <w:t>veal</w:t>
      </w:r>
      <w:r>
        <w:t>s</w:t>
      </w:r>
      <w:r w:rsidR="0028193C">
        <w:t xml:space="preserve"> that </w:t>
      </w:r>
      <w:r w:rsidR="007F5D92">
        <w:t xml:space="preserve">the </w:t>
      </w:r>
      <w:r w:rsidR="00DC6A49">
        <w:t xml:space="preserve">funding does not </w:t>
      </w:r>
      <w:r w:rsidR="00685A86">
        <w:t xml:space="preserve">typically </w:t>
      </w:r>
      <w:r w:rsidR="00DC6A49">
        <w:t>cover</w:t>
      </w:r>
      <w:r w:rsidR="007F5D92">
        <w:t xml:space="preserve"> additional activities that are required given the unique co</w:t>
      </w:r>
      <w:r w:rsidR="00353B87">
        <w:t xml:space="preserve">mmunity </w:t>
      </w:r>
      <w:r w:rsidR="007F5D92">
        <w:t xml:space="preserve">context </w:t>
      </w:r>
      <w:r w:rsidR="00353B87">
        <w:t xml:space="preserve">in which </w:t>
      </w:r>
      <w:r w:rsidR="00F34427">
        <w:t>most</w:t>
      </w:r>
      <w:r w:rsidR="00353B87">
        <w:t xml:space="preserve"> CCCFR services operat</w:t>
      </w:r>
      <w:r w:rsidR="00F34427">
        <w:t>e</w:t>
      </w:r>
      <w:r w:rsidR="00353B87">
        <w:t>.</w:t>
      </w:r>
      <w:r w:rsidR="007F5D92">
        <w:t xml:space="preserve"> </w:t>
      </w:r>
      <w:r w:rsidR="003B17EB">
        <w:t xml:space="preserve">For example, in rural and remote areas where workforce shortages are exacerbated, service providers expressed their desire </w:t>
      </w:r>
      <w:r w:rsidR="0040784A">
        <w:t>to invest more heavily in attracting and retaining staff</w:t>
      </w:r>
      <w:r w:rsidR="00B41B91">
        <w:t xml:space="preserve"> when asked about how </w:t>
      </w:r>
      <w:r w:rsidR="00D354E1">
        <w:t>the CCCFR funding can be improved</w:t>
      </w:r>
      <w:r w:rsidR="0040784A">
        <w:t>:</w:t>
      </w:r>
    </w:p>
    <w:p w14:paraId="55C7F898" w14:textId="3E7F184C" w:rsidR="0076701F" w:rsidRPr="002B5516" w:rsidRDefault="0076701F" w:rsidP="00F024B6">
      <w:pPr>
        <w:rPr>
          <w:i/>
          <w:iCs/>
          <w:color w:val="26890D"/>
        </w:rPr>
      </w:pPr>
      <w:r w:rsidRPr="002B5516">
        <w:rPr>
          <w:i/>
          <w:iCs/>
          <w:color w:val="26890D"/>
        </w:rPr>
        <w:t>“Better recruitment packages to attract and retain qualified staff. RTOs travelling to communities to deliver Certificate III and Diploma in Early Childhood training. Recognition that fees (including CCS/ACCS application) for service model isn</w:t>
      </w:r>
      <w:r w:rsidR="00F627A3" w:rsidRPr="002B5516">
        <w:rPr>
          <w:i/>
          <w:iCs/>
          <w:color w:val="26890D"/>
        </w:rPr>
        <w:t>’</w:t>
      </w:r>
      <w:r w:rsidRPr="002B5516">
        <w:rPr>
          <w:i/>
          <w:iCs/>
          <w:color w:val="26890D"/>
        </w:rPr>
        <w:t>t appropriate for this community.”</w:t>
      </w:r>
    </w:p>
    <w:p w14:paraId="28AB4652" w14:textId="5CDFCFDA" w:rsidR="007923EA" w:rsidRPr="002B5516" w:rsidRDefault="0076701F" w:rsidP="00F024B6">
      <w:pPr>
        <w:rPr>
          <w:i/>
          <w:color w:val="26890D"/>
        </w:rPr>
      </w:pPr>
      <w:r w:rsidRPr="002B5516">
        <w:rPr>
          <w:i/>
          <w:iCs/>
          <w:color w:val="26890D"/>
        </w:rPr>
        <w:t>“</w:t>
      </w:r>
      <w:r w:rsidR="0040784A" w:rsidRPr="002B5516">
        <w:rPr>
          <w:i/>
          <w:color w:val="26890D"/>
        </w:rPr>
        <w:t>Lack of accommodation and housing prevent us to employ staff in a long</w:t>
      </w:r>
      <w:r w:rsidR="00B32E32" w:rsidRPr="002B5516">
        <w:rPr>
          <w:i/>
          <w:color w:val="26890D"/>
        </w:rPr>
        <w:t>-</w:t>
      </w:r>
      <w:r w:rsidR="0040784A" w:rsidRPr="002B5516">
        <w:rPr>
          <w:i/>
          <w:color w:val="26890D"/>
        </w:rPr>
        <w:t>term arrangement due to lack space, high cost on rent and cost on travelling as well</w:t>
      </w:r>
      <w:r w:rsidR="0040784A" w:rsidRPr="002B5516">
        <w:rPr>
          <w:i/>
          <w:iCs/>
          <w:color w:val="26890D"/>
        </w:rPr>
        <w:t>.</w:t>
      </w:r>
      <w:r w:rsidRPr="002B5516">
        <w:rPr>
          <w:i/>
          <w:iCs/>
          <w:color w:val="26890D"/>
        </w:rPr>
        <w:t>”</w:t>
      </w:r>
    </w:p>
    <w:p w14:paraId="51CB081D" w14:textId="70E19E97" w:rsidR="001C5C85" w:rsidRDefault="00157417" w:rsidP="00F024B6">
      <w:r>
        <w:t xml:space="preserve">Funding adequacy is explored in more detail in </w:t>
      </w:r>
      <w:r w:rsidRPr="009E1731">
        <w:t xml:space="preserve">section </w:t>
      </w:r>
      <w:r w:rsidR="00F72FF0" w:rsidRPr="009E1731">
        <w:fldChar w:fldCharType="begin"/>
      </w:r>
      <w:r w:rsidR="00F72FF0" w:rsidRPr="009E1731">
        <w:instrText xml:space="preserve"> REF _Ref152931717 \r \h </w:instrText>
      </w:r>
      <w:r w:rsidR="0021127F" w:rsidRPr="009E1731">
        <w:instrText xml:space="preserve"> \* MERGEFORMAT </w:instrText>
      </w:r>
      <w:r w:rsidR="00F72FF0" w:rsidRPr="009E1731">
        <w:fldChar w:fldCharType="separate"/>
      </w:r>
      <w:r w:rsidR="00D300D0">
        <w:t>8.1</w:t>
      </w:r>
      <w:r w:rsidR="00F72FF0" w:rsidRPr="009E1731">
        <w:fldChar w:fldCharType="end"/>
      </w:r>
      <w:r w:rsidR="00F72FF0" w:rsidRPr="009E1731">
        <w:t>.</w:t>
      </w:r>
    </w:p>
    <w:p w14:paraId="37F13416" w14:textId="16C73EAE" w:rsidR="00D0092C" w:rsidRDefault="00BA6091" w:rsidP="00F024B6">
      <w:r>
        <w:t xml:space="preserve">Further, there is a discrepancy in </w:t>
      </w:r>
      <w:r w:rsidR="00F72FF0">
        <w:t xml:space="preserve">service </w:t>
      </w:r>
      <w:r>
        <w:t xml:space="preserve">understanding </w:t>
      </w:r>
      <w:r w:rsidR="00F72FF0">
        <w:t>about</w:t>
      </w:r>
      <w:r>
        <w:t xml:space="preserve"> </w:t>
      </w:r>
      <w:r w:rsidR="0098532F">
        <w:t>how they</w:t>
      </w:r>
      <w:r w:rsidR="00FC69B0">
        <w:t xml:space="preserve"> can spend their </w:t>
      </w:r>
      <w:r w:rsidR="00F55925">
        <w:t>CCCFR funding</w:t>
      </w:r>
      <w:r w:rsidR="00DE358B">
        <w:t xml:space="preserve"> and the</w:t>
      </w:r>
      <w:r w:rsidR="001B6D69">
        <w:t>ir</w:t>
      </w:r>
      <w:r w:rsidR="00DE358B">
        <w:t xml:space="preserve"> </w:t>
      </w:r>
      <w:r w:rsidR="00B41608">
        <w:t>subsequent reporting requirements</w:t>
      </w:r>
      <w:r w:rsidR="00F55925">
        <w:t>.</w:t>
      </w:r>
      <w:r w:rsidR="00B41608">
        <w:t xml:space="preserve"> Some</w:t>
      </w:r>
      <w:r w:rsidR="7B6A8F68">
        <w:t xml:space="preserve"> CCCFR</w:t>
      </w:r>
      <w:r w:rsidR="00B41608">
        <w:t xml:space="preserve"> services </w:t>
      </w:r>
      <w:r w:rsidR="00F72FF0">
        <w:t>state</w:t>
      </w:r>
      <w:r w:rsidR="00B41608">
        <w:t xml:space="preserve"> that they </w:t>
      </w:r>
      <w:r w:rsidR="008813C1">
        <w:t xml:space="preserve">are unable to </w:t>
      </w:r>
      <w:r w:rsidR="00AB562B">
        <w:t xml:space="preserve">report a budget deficit, </w:t>
      </w:r>
      <w:r w:rsidR="00626488">
        <w:t xml:space="preserve">even in instances when they </w:t>
      </w:r>
      <w:r w:rsidR="008C2686">
        <w:t>have spent more than their allocation</w:t>
      </w:r>
      <w:r w:rsidR="00626488">
        <w:t xml:space="preserve">. </w:t>
      </w:r>
      <w:r w:rsidR="00D23DDE">
        <w:t xml:space="preserve">Whereas other </w:t>
      </w:r>
      <w:r w:rsidR="48DC2DF4">
        <w:t>CCCFR</w:t>
      </w:r>
      <w:r w:rsidR="00D23DDE">
        <w:t xml:space="preserve"> services have no knowledge of this </w:t>
      </w:r>
      <w:r w:rsidR="00497662">
        <w:t xml:space="preserve">protocol and </w:t>
      </w:r>
      <w:r w:rsidR="00215335">
        <w:t xml:space="preserve">record their financials as they stand. </w:t>
      </w:r>
      <w:r w:rsidR="005A544C">
        <w:t xml:space="preserve">Further consultation has </w:t>
      </w:r>
      <w:r w:rsidR="00E5658F">
        <w:t xml:space="preserve">determined that not being able to report a budget deficit is a </w:t>
      </w:r>
      <w:r w:rsidR="00F72FF0">
        <w:t>historical</w:t>
      </w:r>
      <w:r w:rsidR="00E5658F">
        <w:t xml:space="preserve"> practice that was removed</w:t>
      </w:r>
      <w:r w:rsidR="006268E3">
        <w:t xml:space="preserve"> </w:t>
      </w:r>
      <w:r w:rsidR="008B6B25">
        <w:t>after the introduction of the CCCFR grant</w:t>
      </w:r>
      <w:r w:rsidR="006D4545">
        <w:t>.</w:t>
      </w:r>
      <w:r w:rsidR="000F5055">
        <w:t xml:space="preserve"> </w:t>
      </w:r>
      <w:r w:rsidR="002143E4" w:rsidRPr="002143E4">
        <w:t xml:space="preserve">This suggests a lack of clear communication to </w:t>
      </w:r>
      <w:r w:rsidR="6F8FDB3A">
        <w:t xml:space="preserve">CCCFR </w:t>
      </w:r>
      <w:r w:rsidR="002143E4" w:rsidRPr="002143E4">
        <w:t>services about this change in practice.</w:t>
      </w:r>
    </w:p>
    <w:p w14:paraId="11C41DFF" w14:textId="17DCDCAB" w:rsidR="007156C6" w:rsidRDefault="00005C1F" w:rsidP="00F024B6">
      <w:r>
        <w:t xml:space="preserve">This </w:t>
      </w:r>
      <w:r w:rsidR="006D4545">
        <w:t xml:space="preserve">enduring </w:t>
      </w:r>
      <w:r w:rsidR="009A32DB">
        <w:t xml:space="preserve">gap in understanding is echoed in the </w:t>
      </w:r>
      <w:r w:rsidR="008665C6">
        <w:t>service</w:t>
      </w:r>
      <w:r w:rsidR="009A32DB">
        <w:t xml:space="preserve"> survey</w:t>
      </w:r>
      <w:r w:rsidR="008665C6">
        <w:t>.</w:t>
      </w:r>
      <w:r w:rsidR="009A32DB">
        <w:t xml:space="preserve"> </w:t>
      </w:r>
      <w:r w:rsidR="008665C6">
        <w:t>W</w:t>
      </w:r>
      <w:r w:rsidR="009A32DB">
        <w:t xml:space="preserve">hen </w:t>
      </w:r>
      <w:r w:rsidR="4B577A2E">
        <w:t>CCCFR</w:t>
      </w:r>
      <w:r w:rsidR="009A32DB">
        <w:t xml:space="preserve"> </w:t>
      </w:r>
      <w:r w:rsidR="008665C6">
        <w:t>services</w:t>
      </w:r>
      <w:r w:rsidR="009A32DB">
        <w:t xml:space="preserve"> were asked ‘</w:t>
      </w:r>
      <w:r w:rsidR="00D40379" w:rsidRPr="00D40379">
        <w:t xml:space="preserve">Are there costs not recorded in your </w:t>
      </w:r>
      <w:r w:rsidR="006D4545" w:rsidRPr="00D40379">
        <w:t>budget-based</w:t>
      </w:r>
      <w:r w:rsidR="00D40379" w:rsidRPr="00D40379">
        <w:t xml:space="preserve"> planning tool or financial acquittal data?</w:t>
      </w:r>
      <w:r w:rsidR="00D40379">
        <w:t xml:space="preserve">’, </w:t>
      </w:r>
      <w:r w:rsidR="007C7C5D" w:rsidRPr="001B6D69">
        <w:rPr>
          <w:b/>
          <w:bCs/>
        </w:rPr>
        <w:t>11</w:t>
      </w:r>
      <w:r w:rsidR="007F4CE1">
        <w:rPr>
          <w:b/>
          <w:bCs/>
        </w:rPr>
        <w:t xml:space="preserve"> </w:t>
      </w:r>
      <w:r w:rsidR="007F4CE1" w:rsidRPr="007F4CE1">
        <w:rPr>
          <w:b/>
          <w:bCs/>
        </w:rPr>
        <w:t>per cent</w:t>
      </w:r>
      <w:r w:rsidR="007C7C5D">
        <w:t xml:space="preserve"> responded </w:t>
      </w:r>
      <w:r w:rsidR="007C7C5D" w:rsidRPr="001B6D69">
        <w:rPr>
          <w:i/>
          <w:iCs/>
        </w:rPr>
        <w:t>Yes</w:t>
      </w:r>
      <w:r w:rsidR="007C7C5D">
        <w:t xml:space="preserve">, </w:t>
      </w:r>
      <w:r w:rsidR="001B6D69" w:rsidRPr="001B6D69">
        <w:rPr>
          <w:b/>
          <w:bCs/>
        </w:rPr>
        <w:t>56</w:t>
      </w:r>
      <w:r w:rsidR="007F4CE1">
        <w:rPr>
          <w:b/>
          <w:bCs/>
        </w:rPr>
        <w:t xml:space="preserve"> </w:t>
      </w:r>
      <w:r w:rsidR="007F4CE1" w:rsidRPr="007F4CE1">
        <w:rPr>
          <w:b/>
          <w:bCs/>
        </w:rPr>
        <w:t>per cent</w:t>
      </w:r>
      <w:r w:rsidR="001B6D69">
        <w:t xml:space="preserve"> responded </w:t>
      </w:r>
      <w:r w:rsidR="001B6D69" w:rsidRPr="001B6D69">
        <w:rPr>
          <w:i/>
          <w:iCs/>
        </w:rPr>
        <w:t>Maybe</w:t>
      </w:r>
      <w:r w:rsidR="001B6D69">
        <w:t xml:space="preserve">, and </w:t>
      </w:r>
      <w:r w:rsidR="001B6D69" w:rsidRPr="001B6D69">
        <w:rPr>
          <w:b/>
          <w:bCs/>
        </w:rPr>
        <w:t>33</w:t>
      </w:r>
      <w:r w:rsidR="007F4CE1">
        <w:rPr>
          <w:b/>
          <w:bCs/>
        </w:rPr>
        <w:t xml:space="preserve"> </w:t>
      </w:r>
      <w:r w:rsidR="007F4CE1" w:rsidRPr="007F4CE1">
        <w:rPr>
          <w:b/>
          <w:bCs/>
        </w:rPr>
        <w:t>per cent</w:t>
      </w:r>
      <w:r w:rsidR="001B6D69">
        <w:t xml:space="preserve"> responded </w:t>
      </w:r>
      <w:r w:rsidR="001B6D69" w:rsidRPr="001B6D69">
        <w:rPr>
          <w:i/>
          <w:iCs/>
        </w:rPr>
        <w:t>No</w:t>
      </w:r>
      <w:r w:rsidR="001B6D69">
        <w:t xml:space="preserve">. </w:t>
      </w:r>
      <w:r w:rsidR="00944831">
        <w:t xml:space="preserve">This response highlights </w:t>
      </w:r>
      <w:r w:rsidR="00711777">
        <w:t xml:space="preserve">a need for </w:t>
      </w:r>
      <w:r w:rsidR="00B7559F">
        <w:t xml:space="preserve">(1) </w:t>
      </w:r>
      <w:r w:rsidR="00934463">
        <w:t xml:space="preserve">a more prescriptive set of </w:t>
      </w:r>
      <w:r w:rsidR="005163BA">
        <w:t xml:space="preserve">grant activities </w:t>
      </w:r>
      <w:r w:rsidR="00316FEC">
        <w:t>to</w:t>
      </w:r>
      <w:r w:rsidR="005163BA">
        <w:t xml:space="preserve"> which funding can be spent,</w:t>
      </w:r>
      <w:r w:rsidR="00934463">
        <w:t xml:space="preserve"> and </w:t>
      </w:r>
      <w:r w:rsidR="00015EB8">
        <w:t>how funding should be recorded</w:t>
      </w:r>
      <w:r w:rsidR="005163BA">
        <w:t xml:space="preserve">, and (2) </w:t>
      </w:r>
      <w:r w:rsidR="008406C6">
        <w:t xml:space="preserve">improved communication channels in which information is shared, ensuring all services and </w:t>
      </w:r>
      <w:r w:rsidR="008665C6">
        <w:t>P</w:t>
      </w:r>
      <w:r w:rsidR="008406C6">
        <w:t xml:space="preserve">rogram </w:t>
      </w:r>
      <w:r w:rsidR="008665C6">
        <w:t>O</w:t>
      </w:r>
      <w:r w:rsidR="008406C6">
        <w:t xml:space="preserve">fficers are </w:t>
      </w:r>
      <w:r w:rsidR="008665C6">
        <w:t>aware of</w:t>
      </w:r>
      <w:r w:rsidR="008406C6">
        <w:t xml:space="preserve"> </w:t>
      </w:r>
      <w:r w:rsidR="00711777">
        <w:t xml:space="preserve">current spending and recording requirements. </w:t>
      </w:r>
    </w:p>
    <w:p w14:paraId="72D7A969" w14:textId="046D928D" w:rsidR="0021388E" w:rsidRDefault="3886FE64" w:rsidP="0021388E">
      <w:r>
        <w:t>CCCFR s</w:t>
      </w:r>
      <w:r w:rsidR="0021388E">
        <w:t>ervices also report that they generally do not understand the processes and support they can receive via the CCCFR grant. Although services reflect that they have a clear understanding of their requirements to deliver quality child</w:t>
      </w:r>
      <w:r w:rsidR="00C03FB1">
        <w:t xml:space="preserve"> </w:t>
      </w:r>
      <w:r w:rsidR="0021388E">
        <w:t xml:space="preserve">care to improve early childhood development outcomes, their understanding of additional support available through the CCCFR grant is less clear. Services </w:t>
      </w:r>
      <w:r w:rsidR="0021388E">
        <w:lastRenderedPageBreak/>
        <w:t xml:space="preserve">note that they heavily rely on the </w:t>
      </w:r>
      <w:r w:rsidR="02F68927">
        <w:t xml:space="preserve">CCCFR </w:t>
      </w:r>
      <w:r w:rsidR="0021388E">
        <w:t xml:space="preserve">Program Officers to provide information relating to additional funding and grant applications. </w:t>
      </w:r>
    </w:p>
    <w:p w14:paraId="30537EB0" w14:textId="01FB9ADA" w:rsidR="0021388E" w:rsidRPr="002B5516" w:rsidRDefault="0021388E" w:rsidP="00F024B6">
      <w:pPr>
        <w:rPr>
          <w:i/>
          <w:iCs/>
          <w:color w:val="26890D"/>
        </w:rPr>
      </w:pPr>
      <w:r w:rsidRPr="002B5516">
        <w:rPr>
          <w:i/>
          <w:iCs/>
          <w:color w:val="26890D"/>
        </w:rPr>
        <w:t>“Not enough clarity as to what we can spend funds on…food safety supervisor for example, we don’t know if we have to go through other funding grants…consumes time applying for funding when it would be easier to take it out of CCCFR bucket.”</w:t>
      </w:r>
    </w:p>
    <w:p w14:paraId="2963FFC5" w14:textId="611BB7D6" w:rsidR="00C33F10" w:rsidRDefault="00134591" w:rsidP="001D5415">
      <w:pPr>
        <w:pStyle w:val="Heading2"/>
        <w:spacing w:after="240"/>
      </w:pPr>
      <w:bookmarkStart w:id="310" w:name="_Ref153271082"/>
      <w:bookmarkStart w:id="311" w:name="_Toc158993765"/>
      <w:bookmarkStart w:id="312" w:name="_Toc170227412"/>
      <w:r>
        <w:t>Alignment to</w:t>
      </w:r>
      <w:r w:rsidR="00B11F32" w:rsidRPr="00B11F32">
        <w:t xml:space="preserve"> other relevant policy and grant settings</w:t>
      </w:r>
      <w:bookmarkEnd w:id="310"/>
      <w:bookmarkEnd w:id="311"/>
      <w:bookmarkEnd w:id="312"/>
    </w:p>
    <w:tbl>
      <w:tblPr>
        <w:tblStyle w:val="TableGrid"/>
        <w:tblW w:w="9027" w:type="dxa"/>
        <w:tblInd w:w="45" w:type="dxa"/>
        <w:tblBorders>
          <w:left w:val="double" w:sz="12" w:space="0" w:color="012169" w:themeColor="accent4"/>
        </w:tblBorders>
        <w:tblCellMar>
          <w:top w:w="85" w:type="dxa"/>
          <w:left w:w="227" w:type="dxa"/>
          <w:bottom w:w="85" w:type="dxa"/>
          <w:right w:w="113" w:type="dxa"/>
        </w:tblCellMar>
        <w:tblLook w:val="04A0" w:firstRow="1" w:lastRow="0" w:firstColumn="1" w:lastColumn="0" w:noHBand="0" w:noVBand="1"/>
      </w:tblPr>
      <w:tblGrid>
        <w:gridCol w:w="9027"/>
      </w:tblGrid>
      <w:tr w:rsidR="00B97B0F" w:rsidRPr="00BD1248" w14:paraId="134935F5" w14:textId="77777777" w:rsidTr="001C655F">
        <w:trPr>
          <w:cnfStyle w:val="100000000000" w:firstRow="1" w:lastRow="0" w:firstColumn="0" w:lastColumn="0" w:oddVBand="0" w:evenVBand="0" w:oddHBand="0" w:evenHBand="0" w:firstRowFirstColumn="0" w:firstRowLastColumn="0" w:lastRowFirstColumn="0" w:lastRowLastColumn="0"/>
          <w:cantSplit/>
        </w:trPr>
        <w:tc>
          <w:tcPr>
            <w:tcW w:w="9027" w:type="dxa"/>
            <w:shd w:val="clear" w:color="auto" w:fill="DFF0F9" w:themeFill="accent3" w:themeFillTint="33"/>
          </w:tcPr>
          <w:p w14:paraId="6E71EA80" w14:textId="11BC1F3D" w:rsidR="009E1731" w:rsidRDefault="009E1731">
            <w:pPr>
              <w:spacing w:after="120"/>
              <w:rPr>
                <w:b/>
                <w:bCs/>
                <w:i/>
                <w:iCs/>
              </w:rPr>
            </w:pPr>
            <w:r w:rsidRPr="00B95090">
              <w:rPr>
                <w:b/>
                <w:bCs/>
                <w:i/>
                <w:iCs/>
              </w:rPr>
              <w:t>Key research questio</w:t>
            </w:r>
            <w:r>
              <w:rPr>
                <w:b/>
                <w:bCs/>
                <w:i/>
                <w:iCs/>
              </w:rPr>
              <w:t>n</w:t>
            </w:r>
          </w:p>
          <w:p w14:paraId="5413B665" w14:textId="0BE600DF" w:rsidR="009E1731" w:rsidRPr="00D611B7" w:rsidRDefault="009E1731">
            <w:pPr>
              <w:spacing w:before="120" w:after="120"/>
              <w:rPr>
                <w:i/>
              </w:rPr>
            </w:pPr>
            <w:r>
              <w:rPr>
                <w:i/>
                <w:iCs/>
              </w:rPr>
              <w:t>To what</w:t>
            </w:r>
            <w:r w:rsidRPr="00DE74FA">
              <w:rPr>
                <w:i/>
                <w:iCs/>
              </w:rPr>
              <w:t xml:space="preserve"> </w:t>
            </w:r>
            <w:r w:rsidRPr="00134591">
              <w:rPr>
                <w:i/>
                <w:iCs/>
              </w:rPr>
              <w:t>extent does this funding approach align to experiences in other relevant policy and grant settings, including evidence captured from research and comparative grants abroad</w:t>
            </w:r>
            <w:r>
              <w:rPr>
                <w:i/>
                <w:iCs/>
              </w:rPr>
              <w:t>?</w:t>
            </w:r>
          </w:p>
        </w:tc>
      </w:tr>
    </w:tbl>
    <w:p w14:paraId="60F41C9D" w14:textId="77777777" w:rsidR="009E1731" w:rsidRPr="009E1731" w:rsidRDefault="009E1731" w:rsidP="009E1731"/>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D1ACC" w14:paraId="52EE2A88" w14:textId="77777777" w:rsidTr="00A54F59">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3191344B" w14:textId="0772273E" w:rsidR="00DB413D" w:rsidRPr="009E424E" w:rsidRDefault="00DB413D">
            <w:pPr>
              <w:spacing w:after="120"/>
              <w:rPr>
                <w:b/>
                <w:bCs/>
              </w:rPr>
            </w:pPr>
            <w:r w:rsidRPr="009E424E">
              <w:rPr>
                <w:b/>
                <w:bCs/>
              </w:rPr>
              <w:t xml:space="preserve">Review finding </w:t>
            </w:r>
            <w:r w:rsidR="00FF6986">
              <w:rPr>
                <w:b/>
                <w:bCs/>
              </w:rPr>
              <w:t>17</w:t>
            </w:r>
          </w:p>
          <w:p w14:paraId="6ED74139" w14:textId="3EB0B0DB" w:rsidR="00DB413D" w:rsidRPr="009C5F49" w:rsidRDefault="0044592B" w:rsidP="009C5F49">
            <w:pPr>
              <w:spacing w:before="120" w:after="120"/>
            </w:pPr>
            <w:r w:rsidRPr="0044592B">
              <w:t>There are multiple instances of intersection and overlap between the purpose and intended objectives of the CCCFR grant and other programs and funding provided by state governments and philanthropic organisations.</w:t>
            </w:r>
          </w:p>
        </w:tc>
      </w:tr>
    </w:tbl>
    <w:p w14:paraId="24987F23" w14:textId="4B7F4727" w:rsidR="00DB413D" w:rsidRPr="00C81B54" w:rsidRDefault="00DB413D" w:rsidP="00DB413D">
      <w:pPr>
        <w:spacing w:before="170"/>
        <w:rPr>
          <w:b/>
          <w:bCs/>
        </w:rPr>
      </w:pPr>
      <w:r w:rsidRPr="00C81B54">
        <w:rPr>
          <w:b/>
          <w:bCs/>
        </w:rPr>
        <w:t xml:space="preserve">Supporting evidence for this finding is drawn from </w:t>
      </w:r>
      <w:r>
        <w:rPr>
          <w:b/>
          <w:bCs/>
        </w:rPr>
        <w:t xml:space="preserve">desktop research and </w:t>
      </w:r>
      <w:r w:rsidRPr="00C81B54">
        <w:rPr>
          <w:b/>
          <w:bCs/>
        </w:rPr>
        <w:t>consultations.</w:t>
      </w:r>
    </w:p>
    <w:p w14:paraId="7215BB3C" w14:textId="7619FF9F" w:rsidR="00F06123" w:rsidRDefault="0046607C" w:rsidP="00685414">
      <w:r>
        <w:t>Within Australia, there are a series of pr</w:t>
      </w:r>
      <w:r w:rsidR="00ED0872">
        <w:t>ograms and grants that are adjacent to the CCCFR grant</w:t>
      </w:r>
      <w:r w:rsidR="00CF77C8">
        <w:t xml:space="preserve">, both in terms of </w:t>
      </w:r>
      <w:r w:rsidR="00A15B23">
        <w:t xml:space="preserve">their target cohort, and </w:t>
      </w:r>
      <w:r w:rsidR="002D170A">
        <w:t xml:space="preserve">the outcomes it intends to achieve. </w:t>
      </w:r>
      <w:r w:rsidR="00522531">
        <w:t>This review outline</w:t>
      </w:r>
      <w:r w:rsidR="0075306B">
        <w:t>s</w:t>
      </w:r>
      <w:r w:rsidR="00522531">
        <w:t xml:space="preserve"> three </w:t>
      </w:r>
      <w:r w:rsidR="00EB642A">
        <w:t>key programs, delivered by state/</w:t>
      </w:r>
      <w:r w:rsidR="00385E1D">
        <w:t>territory</w:t>
      </w:r>
      <w:r w:rsidR="00EB642A">
        <w:t xml:space="preserve"> </w:t>
      </w:r>
      <w:r w:rsidR="00385E1D">
        <w:t xml:space="preserve">government </w:t>
      </w:r>
      <w:r w:rsidR="00EB642A">
        <w:t>and philanthr</w:t>
      </w:r>
      <w:r w:rsidR="00385E1D">
        <w:t>opic organisations</w:t>
      </w:r>
      <w:r w:rsidR="0075306B">
        <w:t>,</w:t>
      </w:r>
      <w:r w:rsidR="00F06123">
        <w:t xml:space="preserve"> below</w:t>
      </w:r>
      <w:r w:rsidR="00BB5E90">
        <w:t>.</w:t>
      </w:r>
    </w:p>
    <w:p w14:paraId="21274CD8" w14:textId="17636397" w:rsidR="000A15E1" w:rsidRPr="00811E4B" w:rsidRDefault="000A15E1" w:rsidP="00811E4B">
      <w:pPr>
        <w:spacing w:after="0"/>
        <w:rPr>
          <w:b/>
          <w:color w:val="012169"/>
        </w:rPr>
      </w:pPr>
      <w:r w:rsidRPr="00811E4B">
        <w:rPr>
          <w:b/>
          <w:color w:val="012169"/>
        </w:rPr>
        <w:t xml:space="preserve">Strengthening Early </w:t>
      </w:r>
      <w:r w:rsidR="0075306B">
        <w:rPr>
          <w:b/>
          <w:color w:val="012169"/>
        </w:rPr>
        <w:t>Y</w:t>
      </w:r>
      <w:r w:rsidRPr="00811E4B">
        <w:rPr>
          <w:b/>
          <w:color w:val="012169"/>
        </w:rPr>
        <w:t>ears program</w:t>
      </w:r>
    </w:p>
    <w:p w14:paraId="53DAA3F7" w14:textId="761EA987" w:rsidR="00685414" w:rsidRDefault="00F06123" w:rsidP="00685414">
      <w:r>
        <w:t>The</w:t>
      </w:r>
      <w:r w:rsidR="00BB5E90">
        <w:t xml:space="preserve"> </w:t>
      </w:r>
      <w:r w:rsidRPr="000A15E1">
        <w:t>Strengthening Early Years program</w:t>
      </w:r>
      <w:r w:rsidR="004D6457" w:rsidRPr="000A15E1">
        <w:t xml:space="preserve">, </w:t>
      </w:r>
      <w:r w:rsidR="004D6457" w:rsidRPr="004D6457">
        <w:t xml:space="preserve">delivered by </w:t>
      </w:r>
      <w:r w:rsidR="00BC7969">
        <w:t xml:space="preserve">the </w:t>
      </w:r>
      <w:r w:rsidR="004D6457" w:rsidRPr="004D6457">
        <w:t>Paul Ramsey Foundation</w:t>
      </w:r>
      <w:r w:rsidRPr="00F06123">
        <w:t xml:space="preserve"> (</w:t>
      </w:r>
      <w:r w:rsidR="00005BC7">
        <w:t xml:space="preserve">a </w:t>
      </w:r>
      <w:r w:rsidR="00BC7969">
        <w:t>p</w:t>
      </w:r>
      <w:r w:rsidRPr="00F06123">
        <w:t>hilanthropic organisation)</w:t>
      </w:r>
      <w:r w:rsidR="004D6457" w:rsidRPr="004D6457">
        <w:t xml:space="preserve"> is a program available to community organisations working with families and children in the prenatal to two-year-old age range to ensure that every child can thrive upon school entry. It aims to support children in their critical development phase and parents in caring for their child.</w:t>
      </w:r>
      <w:r w:rsidR="004D6457">
        <w:rPr>
          <w:rStyle w:val="FootnoteReference"/>
        </w:rPr>
        <w:footnoteReference w:id="134"/>
      </w:r>
      <w:r w:rsidR="003718F7">
        <w:t xml:space="preserve"> </w:t>
      </w:r>
    </w:p>
    <w:p w14:paraId="2FB0E651" w14:textId="289CDFDB" w:rsidR="003718F7" w:rsidRDefault="003718F7" w:rsidP="005378F3">
      <w:r>
        <w:t xml:space="preserve">The program </w:t>
      </w:r>
      <w:r w:rsidR="001856FC">
        <w:t xml:space="preserve">is an open grant, with two types of funding </w:t>
      </w:r>
      <w:r w:rsidR="00A41E90">
        <w:t xml:space="preserve">available, $250,000 and $750,000. Funding can be provided for up to five years. </w:t>
      </w:r>
      <w:r w:rsidR="005378F3">
        <w:t>Funding can go towards establishing and/or delivery of programs, building the evidence base of effective programs, targeted capacity building, and the design and delivery of innovative practice.</w:t>
      </w:r>
      <w:r w:rsidR="005378F3">
        <w:rPr>
          <w:rStyle w:val="FootnoteReference"/>
        </w:rPr>
        <w:footnoteReference w:id="135"/>
      </w:r>
    </w:p>
    <w:p w14:paraId="0E9B9E3E" w14:textId="28D7E7B0" w:rsidR="00673A4D" w:rsidRPr="00673A4D" w:rsidRDefault="00673A4D" w:rsidP="00685414">
      <w:pPr>
        <w:rPr>
          <w:i/>
          <w:iCs/>
        </w:rPr>
      </w:pPr>
      <w:r w:rsidRPr="00673A4D">
        <w:rPr>
          <w:i/>
          <w:iCs/>
        </w:rPr>
        <w:t xml:space="preserve">Similarities to </w:t>
      </w:r>
      <w:r w:rsidR="006D2F3B">
        <w:rPr>
          <w:i/>
          <w:iCs/>
        </w:rPr>
        <w:t>the</w:t>
      </w:r>
      <w:r w:rsidRPr="00673A4D">
        <w:rPr>
          <w:i/>
          <w:iCs/>
        </w:rPr>
        <w:t xml:space="preserve"> CCCFR grant: </w:t>
      </w:r>
    </w:p>
    <w:p w14:paraId="1C7F6735" w14:textId="19B1E5AD" w:rsidR="00673A4D" w:rsidRDefault="00673A4D" w:rsidP="00673A4D">
      <w:pPr>
        <w:pStyle w:val="ListBullet"/>
      </w:pPr>
      <w:r>
        <w:tab/>
      </w:r>
      <w:r w:rsidR="009414CB">
        <w:t>p</w:t>
      </w:r>
      <w:r w:rsidR="00DB771D">
        <w:t xml:space="preserve">rogram is targeting </w:t>
      </w:r>
      <w:r w:rsidR="00997B97">
        <w:t xml:space="preserve">a similar cohort of children (two-year age range), </w:t>
      </w:r>
      <w:r w:rsidR="008F6850">
        <w:t>albeit</w:t>
      </w:r>
      <w:r w:rsidR="00997B97">
        <w:t xml:space="preserve"> the age range for the Strengthening Early </w:t>
      </w:r>
      <w:r w:rsidR="00356C6E">
        <w:t>Y</w:t>
      </w:r>
      <w:r w:rsidR="00997B97">
        <w:t>ears program is more targeted</w:t>
      </w:r>
    </w:p>
    <w:p w14:paraId="307F2FF8" w14:textId="58C4DAD7" w:rsidR="00F86928" w:rsidRDefault="009414CB" w:rsidP="00673A4D">
      <w:pPr>
        <w:pStyle w:val="ListBullet"/>
      </w:pPr>
      <w:r>
        <w:t>s</w:t>
      </w:r>
      <w:r w:rsidR="00F86928">
        <w:t>imilar funding duration.</w:t>
      </w:r>
    </w:p>
    <w:p w14:paraId="34E5E4F2" w14:textId="77777777" w:rsidR="00997B97" w:rsidRDefault="00997B97" w:rsidP="00B14B49">
      <w:pPr>
        <w:pStyle w:val="ListBullet"/>
        <w:numPr>
          <w:ilvl w:val="0"/>
          <w:numId w:val="0"/>
        </w:numPr>
        <w:ind w:left="357"/>
      </w:pPr>
    </w:p>
    <w:p w14:paraId="398AAF22" w14:textId="6423C4CB" w:rsidR="000A15E1" w:rsidRPr="00811E4B" w:rsidRDefault="000A15E1" w:rsidP="00811E4B">
      <w:pPr>
        <w:spacing w:after="0"/>
        <w:rPr>
          <w:b/>
          <w:color w:val="012169"/>
        </w:rPr>
      </w:pPr>
      <w:r w:rsidRPr="00811E4B">
        <w:rPr>
          <w:b/>
          <w:color w:val="012169"/>
        </w:rPr>
        <w:t>Quality and Participation grants program</w:t>
      </w:r>
    </w:p>
    <w:p w14:paraId="30257C96" w14:textId="76401750" w:rsidR="00A41E90" w:rsidRDefault="00A41E90" w:rsidP="00A41E90">
      <w:r w:rsidRPr="000A15E1">
        <w:t>The Quality and Participation grants program</w:t>
      </w:r>
      <w:r>
        <w:t xml:space="preserve"> is delivered by the New South Wales </w:t>
      </w:r>
      <w:r w:rsidR="00356C6E">
        <w:t>G</w:t>
      </w:r>
      <w:r>
        <w:t xml:space="preserve">overnment. </w:t>
      </w:r>
      <w:r w:rsidRPr="00A41E90">
        <w:t xml:space="preserve">This program aims to support the participation of children experiencing vulnerability and disadvantage in ECEC, by delivering targeted initiatives and support for Aboriginal children and children from low-income families (category 1), improve quality learning environments (category </w:t>
      </w:r>
      <w:r w:rsidRPr="00A41E90">
        <w:lastRenderedPageBreak/>
        <w:t>2), and support implementation initiatives to meet the requirements under the Preschool Reform Agreement (category 3).</w:t>
      </w:r>
      <w:r w:rsidR="0063524E">
        <w:rPr>
          <w:rStyle w:val="FootnoteReference"/>
        </w:rPr>
        <w:footnoteReference w:id="136"/>
      </w:r>
    </w:p>
    <w:p w14:paraId="3A4315E7" w14:textId="42E88FCC" w:rsidR="00BB5E90" w:rsidRDefault="00A41E90" w:rsidP="00A41E90">
      <w:r>
        <w:t xml:space="preserve">This is a restricted competitive selective grant, provided through </w:t>
      </w:r>
      <w:r w:rsidR="003A3B14">
        <w:t>block-based</w:t>
      </w:r>
      <w:r>
        <w:t xml:space="preserve"> funding in a one off payment. Successful applicants can receive u</w:t>
      </w:r>
      <w:r w:rsidRPr="006A354A">
        <w:t>p to $15,000 for Category 1 and 2, and $2,500 for category 3</w:t>
      </w:r>
      <w:r>
        <w:t>.</w:t>
      </w:r>
      <w:r w:rsidR="008F6850">
        <w:rPr>
          <w:rStyle w:val="FootnoteReference"/>
        </w:rPr>
        <w:footnoteReference w:id="137"/>
      </w:r>
      <w:r>
        <w:t xml:space="preserve"> </w:t>
      </w:r>
    </w:p>
    <w:p w14:paraId="18B648DB" w14:textId="475A922E" w:rsidR="008F6850" w:rsidRPr="00673A4D" w:rsidRDefault="008F6850" w:rsidP="008F6850">
      <w:pPr>
        <w:rPr>
          <w:i/>
          <w:iCs/>
        </w:rPr>
      </w:pPr>
      <w:r w:rsidRPr="00673A4D">
        <w:rPr>
          <w:i/>
          <w:iCs/>
        </w:rPr>
        <w:t xml:space="preserve">Similarities to </w:t>
      </w:r>
      <w:r w:rsidR="006D2F3B">
        <w:rPr>
          <w:i/>
          <w:iCs/>
        </w:rPr>
        <w:t>the</w:t>
      </w:r>
      <w:r w:rsidRPr="00673A4D">
        <w:rPr>
          <w:i/>
          <w:iCs/>
        </w:rPr>
        <w:t xml:space="preserve"> CCCFR grant: </w:t>
      </w:r>
    </w:p>
    <w:p w14:paraId="18F48354" w14:textId="57C2B628" w:rsidR="008F6850" w:rsidRDefault="005D4213" w:rsidP="008F6850">
      <w:pPr>
        <w:pStyle w:val="ListBullet"/>
      </w:pPr>
      <w:r>
        <w:t>i</w:t>
      </w:r>
      <w:r w:rsidR="00390430">
        <w:t>dentical grant type, that is</w:t>
      </w:r>
      <w:r w:rsidR="00084909">
        <w:t xml:space="preserve">, a restrictive </w:t>
      </w:r>
      <w:r w:rsidR="00004B65">
        <w:t>selective grant</w:t>
      </w:r>
    </w:p>
    <w:p w14:paraId="6E9201F2" w14:textId="2EE67053" w:rsidR="00004B65" w:rsidRDefault="005D4213" w:rsidP="008F6850">
      <w:pPr>
        <w:pStyle w:val="ListBullet"/>
      </w:pPr>
      <w:r>
        <w:t>s</w:t>
      </w:r>
      <w:r w:rsidR="007E47D3">
        <w:t xml:space="preserve">imilar </w:t>
      </w:r>
      <w:r w:rsidR="00041571">
        <w:t xml:space="preserve">target cohort. Both the CCCFR </w:t>
      </w:r>
      <w:r w:rsidR="00A445B0">
        <w:t>grant,</w:t>
      </w:r>
      <w:r w:rsidR="00041571">
        <w:t xml:space="preserve"> and the Quality and Participation grants program</w:t>
      </w:r>
      <w:r w:rsidR="002D4294">
        <w:t>,</w:t>
      </w:r>
      <w:r w:rsidR="00041571">
        <w:t xml:space="preserve"> </w:t>
      </w:r>
      <w:r w:rsidR="002429A1">
        <w:t xml:space="preserve">seek to </w:t>
      </w:r>
      <w:r w:rsidR="00AF4FF0">
        <w:t xml:space="preserve">target children experiencing vulnerability and disadvantage, with </w:t>
      </w:r>
      <w:r w:rsidR="00A445B0">
        <w:t>the Quality and Participation grants programs placing focus</w:t>
      </w:r>
      <w:r w:rsidR="00AF4FF0">
        <w:t xml:space="preserve"> on </w:t>
      </w:r>
      <w:r w:rsidR="00A445B0">
        <w:t>Aboriginal children and children from low-income families</w:t>
      </w:r>
    </w:p>
    <w:p w14:paraId="45529F0B" w14:textId="596FE3F6" w:rsidR="007617FB" w:rsidRDefault="005D4213" w:rsidP="008F6850">
      <w:pPr>
        <w:pStyle w:val="ListBullet"/>
      </w:pPr>
      <w:r>
        <w:t>e</w:t>
      </w:r>
      <w:r w:rsidR="007617FB">
        <w:t xml:space="preserve">ligible service types are similar to those </w:t>
      </w:r>
      <w:r w:rsidR="00D71624">
        <w:t>that</w:t>
      </w:r>
      <w:r w:rsidR="007617FB">
        <w:t xml:space="preserve"> receive the CCCFR grant, including LDC, not-for-</w:t>
      </w:r>
      <w:r w:rsidR="00164400">
        <w:t>profit</w:t>
      </w:r>
      <w:r w:rsidR="007617FB">
        <w:t xml:space="preserve"> </w:t>
      </w:r>
      <w:r w:rsidR="00164400">
        <w:t>community</w:t>
      </w:r>
      <w:r w:rsidR="000F5C07">
        <w:t xml:space="preserve"> preschool</w:t>
      </w:r>
      <w:r w:rsidR="00164400">
        <w:t xml:space="preserve"> (</w:t>
      </w:r>
      <w:r w:rsidR="0077644A">
        <w:t>centre-based or mobile)</w:t>
      </w:r>
      <w:r w:rsidR="000F5C07">
        <w:t xml:space="preserve">, </w:t>
      </w:r>
      <w:r w:rsidR="00B43F5C">
        <w:t>and</w:t>
      </w:r>
      <w:r w:rsidR="00E46EB7">
        <w:t xml:space="preserve"> Multifunctional </w:t>
      </w:r>
      <w:r w:rsidR="00023F2D">
        <w:t>Aboriginal Children’s Service (MACS)</w:t>
      </w:r>
      <w:r w:rsidR="00B43F5C">
        <w:t xml:space="preserve">. </w:t>
      </w:r>
    </w:p>
    <w:p w14:paraId="2B74AF0F" w14:textId="19FD708E" w:rsidR="000A15E1" w:rsidRPr="00811E4B" w:rsidRDefault="0021127F" w:rsidP="00811E4B">
      <w:pPr>
        <w:spacing w:after="0"/>
        <w:rPr>
          <w:b/>
          <w:color w:val="012169"/>
        </w:rPr>
      </w:pPr>
      <w:r>
        <w:rPr>
          <w:b/>
          <w:color w:val="012169"/>
        </w:rPr>
        <w:br/>
      </w:r>
      <w:r w:rsidR="000A15E1" w:rsidRPr="00811E4B">
        <w:rPr>
          <w:b/>
          <w:color w:val="012169"/>
        </w:rPr>
        <w:t>Access to Early Learning</w:t>
      </w:r>
    </w:p>
    <w:p w14:paraId="5DD715A7" w14:textId="3B7331F5" w:rsidR="00A41E90" w:rsidRDefault="00A41E90" w:rsidP="00A41E90">
      <w:r>
        <w:t xml:space="preserve">The </w:t>
      </w:r>
      <w:r w:rsidRPr="000A15E1">
        <w:t>Access to Early Learning</w:t>
      </w:r>
      <w:r w:rsidRPr="00A41E90">
        <w:t xml:space="preserve"> </w:t>
      </w:r>
      <w:r w:rsidR="00D71624">
        <w:t>program</w:t>
      </w:r>
      <w:r w:rsidRPr="000A15E1">
        <w:t xml:space="preserve"> is delivered by the Victorian Government. This is an early intervention program for children</w:t>
      </w:r>
      <w:r w:rsidRPr="00A41E90">
        <w:t xml:space="preserve"> from families with complex needs to engage in a quality kindergarten program.</w:t>
      </w:r>
      <w:r w:rsidR="00D02FBD">
        <w:t xml:space="preserve"> This program </w:t>
      </w:r>
      <w:r w:rsidR="00717A0B">
        <w:t>ensures</w:t>
      </w:r>
      <w:r w:rsidR="00D02FBD">
        <w:t xml:space="preserve"> targeted funding is provided </w:t>
      </w:r>
      <w:r w:rsidR="002C3DAD">
        <w:t xml:space="preserve">so that </w:t>
      </w:r>
      <w:r w:rsidR="00D02FBD">
        <w:t>individual children receive access to degree qualified facilitators.</w:t>
      </w:r>
      <w:r w:rsidR="009A29A7">
        <w:rPr>
          <w:rStyle w:val="FootnoteReference"/>
        </w:rPr>
        <w:footnoteReference w:id="138"/>
      </w:r>
    </w:p>
    <w:p w14:paraId="55B07825" w14:textId="567E0D1D" w:rsidR="00D02FBD" w:rsidRPr="00673A4D" w:rsidRDefault="00D02FBD" w:rsidP="00D02FBD">
      <w:pPr>
        <w:rPr>
          <w:i/>
          <w:iCs/>
        </w:rPr>
      </w:pPr>
      <w:r w:rsidRPr="00673A4D">
        <w:rPr>
          <w:i/>
          <w:iCs/>
        </w:rPr>
        <w:t xml:space="preserve">Similarities to </w:t>
      </w:r>
      <w:r w:rsidR="006D2F3B">
        <w:rPr>
          <w:i/>
          <w:iCs/>
        </w:rPr>
        <w:t xml:space="preserve">the </w:t>
      </w:r>
      <w:r w:rsidRPr="00673A4D">
        <w:rPr>
          <w:i/>
          <w:iCs/>
        </w:rPr>
        <w:t xml:space="preserve">CCCFR grant: </w:t>
      </w:r>
    </w:p>
    <w:p w14:paraId="2EDCD335" w14:textId="34893CF8" w:rsidR="00DB1A12" w:rsidRDefault="005D4213" w:rsidP="00032C44">
      <w:pPr>
        <w:pStyle w:val="ListBullet"/>
      </w:pPr>
      <w:r>
        <w:t>s</w:t>
      </w:r>
      <w:r w:rsidR="0077129C">
        <w:t xml:space="preserve">imilar target cohort, Access to Early Learning focuses on vulnerable three-year-old children with complex needs. </w:t>
      </w:r>
    </w:p>
    <w:p w14:paraId="02C4A0D6" w14:textId="70C837E0" w:rsidR="00DA1564" w:rsidRPr="00DA1564" w:rsidRDefault="005F0D1B" w:rsidP="009A1F96">
      <w:pPr>
        <w:rPr>
          <w:b/>
          <w:bCs/>
        </w:rPr>
      </w:pPr>
      <w:r>
        <w:br/>
      </w:r>
      <w:r w:rsidR="00DA1564" w:rsidRPr="00DA1564">
        <w:rPr>
          <w:b/>
          <w:bCs/>
        </w:rPr>
        <w:t>Reflections for the CCCFR grant</w:t>
      </w:r>
    </w:p>
    <w:p w14:paraId="26335A0C" w14:textId="3150C5E5" w:rsidR="0044592B" w:rsidRDefault="00C41C32" w:rsidP="009A1F96">
      <w:r>
        <w:t xml:space="preserve">The three </w:t>
      </w:r>
      <w:r w:rsidR="000D37C3">
        <w:t xml:space="preserve">programs/grants outlined above </w:t>
      </w:r>
      <w:r w:rsidR="0071584F">
        <w:t xml:space="preserve">highlight </w:t>
      </w:r>
      <w:r w:rsidR="00616394">
        <w:t xml:space="preserve">the </w:t>
      </w:r>
      <w:r w:rsidR="00E21EDB">
        <w:t xml:space="preserve">degree of overlap that currently exists within the ECEC system nationally. It is important to note that there are </w:t>
      </w:r>
      <w:r w:rsidR="00CA5945">
        <w:t>considerably</w:t>
      </w:r>
      <w:r w:rsidR="00E21EDB">
        <w:t xml:space="preserve"> more</w:t>
      </w:r>
      <w:r w:rsidR="00CA5945">
        <w:t xml:space="preserve"> programs/grants that </w:t>
      </w:r>
      <w:r w:rsidR="0086778B">
        <w:t xml:space="preserve">share the same purpose, objectives and target cohort. </w:t>
      </w:r>
      <w:r w:rsidR="00836CB0">
        <w:t xml:space="preserve">This </w:t>
      </w:r>
      <w:r w:rsidR="00513651">
        <w:t>suggests</w:t>
      </w:r>
      <w:r w:rsidR="00FF0769">
        <w:t xml:space="preserve"> the </w:t>
      </w:r>
      <w:r w:rsidR="00513651">
        <w:t>importance of</w:t>
      </w:r>
      <w:r w:rsidR="00FF0769">
        <w:t xml:space="preserve"> the </w:t>
      </w:r>
      <w:r w:rsidR="002014DB">
        <w:t>Department</w:t>
      </w:r>
      <w:r w:rsidR="00FF0769">
        <w:t xml:space="preserve"> gain</w:t>
      </w:r>
      <w:r w:rsidR="00513651">
        <w:t>ing</w:t>
      </w:r>
      <w:r w:rsidR="00FF0769">
        <w:t xml:space="preserve"> a better understanding of current ECEC market gaps </w:t>
      </w:r>
      <w:r w:rsidR="00B32873">
        <w:t>that</w:t>
      </w:r>
      <w:r w:rsidR="00FF0769">
        <w:t xml:space="preserve"> the</w:t>
      </w:r>
      <w:r w:rsidR="002014DB">
        <w:t xml:space="preserve"> CCCFR grant can</w:t>
      </w:r>
      <w:r w:rsidR="009E6695">
        <w:t xml:space="preserve"> more deliberately</w:t>
      </w:r>
      <w:r w:rsidR="002014DB">
        <w:t xml:space="preserve"> address. </w:t>
      </w:r>
    </w:p>
    <w:p w14:paraId="6DC7E8FE" w14:textId="25B0E406" w:rsidR="001D030C" w:rsidRDefault="001D030C" w:rsidP="009A1F96">
      <w:r>
        <w:t xml:space="preserve">As discussed in </w:t>
      </w:r>
      <w:r w:rsidR="006B5B04">
        <w:t>S</w:t>
      </w:r>
      <w:r>
        <w:t xml:space="preserve">ection </w:t>
      </w:r>
      <w:r w:rsidR="006B5B04">
        <w:t>5.1</w:t>
      </w:r>
      <w:r>
        <w:t>, the</w:t>
      </w:r>
      <w:r w:rsidR="00220FE5">
        <w:t xml:space="preserve">re is scope for greater clarity and specicifity in what the CCCFR grant </w:t>
      </w:r>
      <w:r w:rsidR="005D5821">
        <w:t>objectives are</w:t>
      </w:r>
      <w:r w:rsidR="00DB47F8">
        <w:t xml:space="preserve">. This needs to be </w:t>
      </w:r>
      <w:r w:rsidR="006B5B04">
        <w:t xml:space="preserve">a </w:t>
      </w:r>
      <w:r w:rsidR="00DB47F8">
        <w:t>shared</w:t>
      </w:r>
      <w:r w:rsidR="006B5B04">
        <w:t xml:space="preserve"> understanding</w:t>
      </w:r>
      <w:r w:rsidR="00D77F00">
        <w:t xml:space="preserve"> </w:t>
      </w:r>
      <w:r w:rsidR="00DB47F8">
        <w:t>with</w:t>
      </w:r>
      <w:r w:rsidR="00D77F00">
        <w:t>in</w:t>
      </w:r>
      <w:r w:rsidR="00DB47F8">
        <w:t xml:space="preserve"> various government forums to</w:t>
      </w:r>
      <w:r w:rsidR="00D77F00">
        <w:t xml:space="preserve"> e</w:t>
      </w:r>
      <w:r w:rsidR="0037793B">
        <w:t>n</w:t>
      </w:r>
      <w:r w:rsidR="00D77F00">
        <w:t>sure there is a collective under</w:t>
      </w:r>
      <w:r w:rsidR="0037793B">
        <w:t>st</w:t>
      </w:r>
      <w:r w:rsidR="00D77F00">
        <w:t>an</w:t>
      </w:r>
      <w:r w:rsidR="0037793B">
        <w:t>d</w:t>
      </w:r>
      <w:r w:rsidR="00D77F00">
        <w:t xml:space="preserve">ing between states and the federal governbement </w:t>
      </w:r>
      <w:r w:rsidR="0037793B">
        <w:t xml:space="preserve">in </w:t>
      </w:r>
      <w:r w:rsidR="00D77F00">
        <w:t>what the</w:t>
      </w:r>
      <w:r w:rsidR="000B218E">
        <w:t xml:space="preserve"> CCCFR grant</w:t>
      </w:r>
      <w:r w:rsidR="00D12FB2">
        <w:t xml:space="preserve"> (along with other grants and programs)</w:t>
      </w:r>
      <w:r w:rsidR="000B218E">
        <w:t xml:space="preserve"> is trying to achieve within the ECEC landscape, and in what ways is it complementary and additive in the system. </w:t>
      </w:r>
      <w:r w:rsidR="00365E04">
        <w:t xml:space="preserve"> </w:t>
      </w:r>
    </w:p>
    <w:tbl>
      <w:tblPr>
        <w:tblStyle w:val="TableGrid"/>
        <w:tblW w:w="0" w:type="auto"/>
        <w:tblInd w:w="60" w:type="dxa"/>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8966"/>
      </w:tblGrid>
      <w:tr w:rsidR="0044592B" w14:paraId="25C089FC" w14:textId="77777777" w:rsidTr="009A1F96">
        <w:trPr>
          <w:cnfStyle w:val="100000000000" w:firstRow="1" w:lastRow="0" w:firstColumn="0" w:lastColumn="0" w:oddVBand="0" w:evenVBand="0" w:oddHBand="0" w:evenHBand="0" w:firstRowFirstColumn="0" w:firstRowLastColumn="0" w:lastRowFirstColumn="0" w:lastRowLastColumn="0"/>
          <w:cantSplit/>
        </w:trPr>
        <w:tc>
          <w:tcPr>
            <w:tcW w:w="8966" w:type="dxa"/>
            <w:shd w:val="clear" w:color="auto" w:fill="E7F5CF" w:themeFill="accent1" w:themeFillTint="33"/>
          </w:tcPr>
          <w:p w14:paraId="17935004" w14:textId="345B8263" w:rsidR="0044592B" w:rsidRPr="009E424E" w:rsidRDefault="0044592B">
            <w:pPr>
              <w:spacing w:after="120"/>
              <w:rPr>
                <w:b/>
                <w:bCs/>
              </w:rPr>
            </w:pPr>
            <w:r w:rsidRPr="009E424E">
              <w:rPr>
                <w:b/>
                <w:bCs/>
              </w:rPr>
              <w:t xml:space="preserve">Review finding </w:t>
            </w:r>
            <w:r w:rsidR="00CF409D">
              <w:rPr>
                <w:b/>
                <w:bCs/>
              </w:rPr>
              <w:t>18</w:t>
            </w:r>
          </w:p>
          <w:p w14:paraId="5F42EE65" w14:textId="3330875E" w:rsidR="0044592B" w:rsidRPr="009C5F49" w:rsidRDefault="00EE64DA" w:rsidP="009C5F49">
            <w:pPr>
              <w:spacing w:before="120" w:after="120"/>
            </w:pPr>
            <w:r>
              <w:t xml:space="preserve">There are </w:t>
            </w:r>
            <w:r w:rsidR="0058019F">
              <w:t>elements of the</w:t>
            </w:r>
            <w:r>
              <w:t xml:space="preserve"> </w:t>
            </w:r>
            <w:r w:rsidR="002A2DD1">
              <w:t xml:space="preserve">current </w:t>
            </w:r>
            <w:r w:rsidR="00E5088D">
              <w:t xml:space="preserve">CCCFR </w:t>
            </w:r>
            <w:r w:rsidR="008D7968">
              <w:t>grant design</w:t>
            </w:r>
            <w:r w:rsidR="00E5088D">
              <w:t xml:space="preserve"> </w:t>
            </w:r>
            <w:r w:rsidR="0058019F">
              <w:t>that can</w:t>
            </w:r>
            <w:r w:rsidR="00E5088D">
              <w:t xml:space="preserve"> be </w:t>
            </w:r>
            <w:r w:rsidR="00820AA3">
              <w:t>improved</w:t>
            </w:r>
            <w:r w:rsidR="00E5088D">
              <w:t xml:space="preserve">, by </w:t>
            </w:r>
            <w:r w:rsidR="000355A4">
              <w:t xml:space="preserve">learning from </w:t>
            </w:r>
            <w:r w:rsidR="00330272">
              <w:t>adjacent programs</w:t>
            </w:r>
            <w:r w:rsidR="0081076B">
              <w:t>/grants</w:t>
            </w:r>
            <w:r w:rsidR="007358D4" w:rsidRPr="007358D4">
              <w:t>, both</w:t>
            </w:r>
            <w:r w:rsidR="0058019F">
              <w:t xml:space="preserve"> locally and internationally</w:t>
            </w:r>
            <w:r w:rsidR="00330272">
              <w:t>.</w:t>
            </w:r>
          </w:p>
        </w:tc>
      </w:tr>
    </w:tbl>
    <w:p w14:paraId="20901C68" w14:textId="4A4203CF" w:rsidR="007C361D" w:rsidRDefault="009A396B" w:rsidP="00330272">
      <w:pPr>
        <w:spacing w:before="120" w:after="120"/>
      </w:pPr>
      <w:r>
        <w:t xml:space="preserve">As discussed above, there are many adjacent programs and grants that seek to achieve the same objectives </w:t>
      </w:r>
      <w:r w:rsidR="00CF22D6">
        <w:t>and/</w:t>
      </w:r>
      <w:r>
        <w:t xml:space="preserve">or </w:t>
      </w:r>
      <w:r w:rsidR="00FB2B56">
        <w:t>focus on</w:t>
      </w:r>
      <w:r>
        <w:t xml:space="preserve"> the </w:t>
      </w:r>
      <w:r w:rsidR="00FB2B56">
        <w:t>same target cohort (broadly).</w:t>
      </w:r>
      <w:r>
        <w:t xml:space="preserve"> </w:t>
      </w:r>
      <w:r w:rsidR="00BE11B7">
        <w:t xml:space="preserve">In instances where </w:t>
      </w:r>
      <w:r w:rsidR="00656D31">
        <w:t>there are examples of similar programs achieving their objectives</w:t>
      </w:r>
      <w:r w:rsidR="00AA2849">
        <w:t xml:space="preserve"> well</w:t>
      </w:r>
      <w:r w:rsidR="00656D31">
        <w:t xml:space="preserve">, it is important to take </w:t>
      </w:r>
      <w:r w:rsidR="009B150C">
        <w:t xml:space="preserve">their learnings and apply them to the CCCFR grant. </w:t>
      </w:r>
    </w:p>
    <w:p w14:paraId="56B1CA96" w14:textId="7B7D062A" w:rsidR="001A4CE9" w:rsidRDefault="001A4CE9" w:rsidP="00330272">
      <w:pPr>
        <w:spacing w:before="120" w:after="120"/>
      </w:pPr>
      <w:r>
        <w:lastRenderedPageBreak/>
        <w:t>A</w:t>
      </w:r>
      <w:r w:rsidR="00043304">
        <w:t>n</w:t>
      </w:r>
      <w:r w:rsidR="009B150C">
        <w:t xml:space="preserve"> overseas</w:t>
      </w:r>
      <w:r>
        <w:t xml:space="preserve"> program that is most in alignment to the CCCFR grant is the </w:t>
      </w:r>
      <w:r w:rsidR="00D1021D">
        <w:t xml:space="preserve">United States Head Start </w:t>
      </w:r>
      <w:r w:rsidR="00D1021D" w:rsidRPr="00D1021D">
        <w:t xml:space="preserve">and the </w:t>
      </w:r>
      <w:r w:rsidRPr="00D1021D">
        <w:t>New Zealand Annual Top up for Isolated services.</w:t>
      </w:r>
    </w:p>
    <w:p w14:paraId="0D0559C9" w14:textId="6C6E3E1A" w:rsidR="001E18CA" w:rsidRDefault="00ED3936" w:rsidP="00330272">
      <w:pPr>
        <w:spacing w:before="120" w:after="120"/>
        <w:rPr>
          <w:b/>
          <w:bCs/>
          <w:color w:val="012169"/>
        </w:rPr>
      </w:pPr>
      <w:r>
        <w:rPr>
          <w:b/>
          <w:bCs/>
          <w:color w:val="012169"/>
        </w:rPr>
        <w:t xml:space="preserve">Head Start, United States of America </w:t>
      </w:r>
    </w:p>
    <w:p w14:paraId="52DE04E7" w14:textId="0FF4BF74" w:rsidR="00C4016A" w:rsidRDefault="005800EA" w:rsidP="00330272">
      <w:pPr>
        <w:spacing w:before="120" w:after="120"/>
        <w:rPr>
          <w:lang w:eastAsia="en-AU"/>
        </w:rPr>
      </w:pPr>
      <w:r>
        <w:t xml:space="preserve">Head Start is </w:t>
      </w:r>
      <w:r w:rsidR="66110857">
        <w:t>a</w:t>
      </w:r>
      <w:r>
        <w:t xml:space="preserve"> </w:t>
      </w:r>
      <w:r w:rsidR="006062A7">
        <w:t xml:space="preserve">holistic </w:t>
      </w:r>
      <w:r>
        <w:rPr>
          <w:lang w:eastAsia="en-AU"/>
        </w:rPr>
        <w:t>program</w:t>
      </w:r>
      <w:r w:rsidRPr="00761732">
        <w:rPr>
          <w:lang w:eastAsia="en-AU"/>
        </w:rPr>
        <w:t xml:space="preserve"> support</w:t>
      </w:r>
      <w:r w:rsidR="006062A7">
        <w:rPr>
          <w:lang w:eastAsia="en-AU"/>
        </w:rPr>
        <w:t>ing</w:t>
      </w:r>
      <w:r w:rsidRPr="00761732">
        <w:rPr>
          <w:lang w:eastAsia="en-AU"/>
        </w:rPr>
        <w:t xml:space="preserve"> children's growth from birth to age </w:t>
      </w:r>
      <w:r w:rsidR="005D4213">
        <w:rPr>
          <w:lang w:eastAsia="en-AU"/>
        </w:rPr>
        <w:t>five</w:t>
      </w:r>
      <w:r w:rsidRPr="00761732">
        <w:rPr>
          <w:lang w:eastAsia="en-AU"/>
        </w:rPr>
        <w:t xml:space="preserve"> through services c</w:t>
      </w:r>
      <w:r>
        <w:rPr>
          <w:lang w:eastAsia="en-AU"/>
        </w:rPr>
        <w:t>entred</w:t>
      </w:r>
      <w:r w:rsidRPr="00761732">
        <w:rPr>
          <w:lang w:eastAsia="en-AU"/>
        </w:rPr>
        <w:t xml:space="preserve"> around early learning and development, health, and family well-being. Head Start staff actively engage </w:t>
      </w:r>
      <w:r w:rsidR="00D078A8" w:rsidRPr="00761732">
        <w:rPr>
          <w:lang w:eastAsia="en-AU"/>
        </w:rPr>
        <w:t>parents and</w:t>
      </w:r>
      <w:r w:rsidR="006062A7">
        <w:rPr>
          <w:lang w:eastAsia="en-AU"/>
        </w:rPr>
        <w:t xml:space="preserve"> </w:t>
      </w:r>
      <w:r w:rsidRPr="00761732">
        <w:rPr>
          <w:lang w:eastAsia="en-AU"/>
        </w:rPr>
        <w:t>recogni</w:t>
      </w:r>
      <w:r w:rsidR="006062A7">
        <w:rPr>
          <w:lang w:eastAsia="en-AU"/>
        </w:rPr>
        <w:t>se</w:t>
      </w:r>
      <w:r w:rsidRPr="00761732">
        <w:rPr>
          <w:lang w:eastAsia="en-AU"/>
        </w:rPr>
        <w:t xml:space="preserve"> family participation throughout the program as key to strong child outcomes</w:t>
      </w:r>
      <w:r w:rsidR="006062A7">
        <w:rPr>
          <w:lang w:eastAsia="en-AU"/>
        </w:rPr>
        <w:t>.</w:t>
      </w:r>
      <w:r w:rsidR="00C4016A" w:rsidRPr="00C4016A">
        <w:rPr>
          <w:lang w:eastAsia="en-AU"/>
        </w:rPr>
        <w:t xml:space="preserve"> </w:t>
      </w:r>
      <w:r w:rsidR="00C4016A">
        <w:rPr>
          <w:lang w:eastAsia="en-AU"/>
        </w:rPr>
        <w:t>The p</w:t>
      </w:r>
      <w:r w:rsidR="00C4016A" w:rsidRPr="00EF14C6">
        <w:rPr>
          <w:lang w:eastAsia="en-AU"/>
        </w:rPr>
        <w:t>rogram</w:t>
      </w:r>
      <w:r w:rsidR="00C4016A">
        <w:rPr>
          <w:lang w:eastAsia="en-AU"/>
        </w:rPr>
        <w:t xml:space="preserve"> </w:t>
      </w:r>
      <w:r w:rsidR="00C4016A" w:rsidRPr="00EF14C6">
        <w:rPr>
          <w:lang w:eastAsia="en-AU"/>
        </w:rPr>
        <w:t>deliver</w:t>
      </w:r>
      <w:r w:rsidR="00C4016A">
        <w:rPr>
          <w:lang w:eastAsia="en-AU"/>
        </w:rPr>
        <w:t>s</w:t>
      </w:r>
      <w:r w:rsidR="00C4016A" w:rsidRPr="00EF14C6">
        <w:rPr>
          <w:lang w:eastAsia="en-AU"/>
        </w:rPr>
        <w:t xml:space="preserve"> child development services in centre-based, home-based, or family child care settings. These programs are run by local non-profit organi</w:t>
      </w:r>
      <w:r w:rsidR="00C4016A">
        <w:rPr>
          <w:lang w:eastAsia="en-AU"/>
        </w:rPr>
        <w:t>s</w:t>
      </w:r>
      <w:r w:rsidR="00C4016A" w:rsidRPr="00EF14C6">
        <w:rPr>
          <w:lang w:eastAsia="en-AU"/>
        </w:rPr>
        <w:t>ations, community action agencies, and school districts</w:t>
      </w:r>
      <w:r w:rsidR="00C4016A">
        <w:rPr>
          <w:lang w:eastAsia="en-AU"/>
        </w:rPr>
        <w:t>.</w:t>
      </w:r>
      <w:r w:rsidR="006062A7">
        <w:rPr>
          <w:rStyle w:val="FootnoteReference"/>
          <w:lang w:eastAsia="en-AU"/>
        </w:rPr>
        <w:footnoteReference w:id="139"/>
      </w:r>
    </w:p>
    <w:p w14:paraId="70146814" w14:textId="752B2435" w:rsidR="00D36CC1" w:rsidRDefault="00C85124" w:rsidP="00330272">
      <w:pPr>
        <w:spacing w:before="120" w:after="120"/>
        <w:rPr>
          <w:lang w:eastAsia="en-AU"/>
        </w:rPr>
      </w:pPr>
      <w:r>
        <w:rPr>
          <w:lang w:eastAsia="en-AU"/>
        </w:rPr>
        <w:t xml:space="preserve">Head </w:t>
      </w:r>
      <w:r w:rsidR="0035733F">
        <w:rPr>
          <w:lang w:eastAsia="en-AU"/>
        </w:rPr>
        <w:t>Start is a federally funded model, more formally classified as a federal to local model</w:t>
      </w:r>
      <w:r w:rsidR="00EF14C6" w:rsidRPr="00EF14C6">
        <w:rPr>
          <w:lang w:eastAsia="en-AU"/>
        </w:rPr>
        <w:t>.</w:t>
      </w:r>
      <w:r w:rsidR="0035733F">
        <w:rPr>
          <w:lang w:eastAsia="en-AU"/>
        </w:rPr>
        <w:t xml:space="preserve"> </w:t>
      </w:r>
      <w:r w:rsidR="000B4067" w:rsidRPr="000B4067">
        <w:rPr>
          <w:lang w:eastAsia="en-AU"/>
        </w:rPr>
        <w:t xml:space="preserve">That is, the federal government funds local Head Start programs through the US Department of Health and Human Services. This model allows local leaders to create a Head Start experience that is responsive to the unique and specific needs of their community. </w:t>
      </w:r>
    </w:p>
    <w:p w14:paraId="5D96F67F" w14:textId="03C31A3A" w:rsidR="001E18CA" w:rsidRDefault="009F0952" w:rsidP="00330272">
      <w:pPr>
        <w:spacing w:before="120" w:after="120"/>
        <w:rPr>
          <w:lang w:eastAsia="en-AU"/>
        </w:rPr>
      </w:pPr>
      <w:r w:rsidRPr="009F0952">
        <w:rPr>
          <w:lang w:eastAsia="en-AU"/>
        </w:rPr>
        <w:t>Head Start grants</w:t>
      </w:r>
      <w:r w:rsidR="00D36CC1">
        <w:rPr>
          <w:lang w:eastAsia="en-AU"/>
        </w:rPr>
        <w:t xml:space="preserve"> are calculated</w:t>
      </w:r>
      <w:r w:rsidRPr="009F0952">
        <w:rPr>
          <w:lang w:eastAsia="en-AU"/>
        </w:rPr>
        <w:t xml:space="preserve"> based on a formula, however, it differs from other similar grants as the US Congress allows federal agencies to use their own discretion to award funds, rather than purely </w:t>
      </w:r>
      <w:r w:rsidR="001E5402" w:rsidRPr="009F0952">
        <w:rPr>
          <w:lang w:eastAsia="en-AU"/>
        </w:rPr>
        <w:t>using</w:t>
      </w:r>
      <w:r w:rsidRPr="009F0952">
        <w:rPr>
          <w:lang w:eastAsia="en-AU"/>
        </w:rPr>
        <w:t xml:space="preserve"> the defined formula</w:t>
      </w:r>
      <w:r w:rsidR="002A10F4">
        <w:rPr>
          <w:lang w:eastAsia="en-AU"/>
        </w:rPr>
        <w:t>.</w:t>
      </w:r>
      <w:r w:rsidR="00DE2C33">
        <w:rPr>
          <w:lang w:eastAsia="en-AU"/>
        </w:rPr>
        <w:t xml:space="preserve"> </w:t>
      </w:r>
      <w:r w:rsidR="00DE2C33" w:rsidRPr="001341A5">
        <w:rPr>
          <w:lang w:eastAsia="en-AU"/>
        </w:rPr>
        <w:t>That said, Congress provides</w:t>
      </w:r>
      <w:r w:rsidR="00DE2C33">
        <w:rPr>
          <w:lang w:eastAsia="en-AU"/>
        </w:rPr>
        <w:t xml:space="preserve"> </w:t>
      </w:r>
      <w:r w:rsidR="00DE2C33" w:rsidRPr="001341A5">
        <w:rPr>
          <w:lang w:eastAsia="en-AU"/>
        </w:rPr>
        <w:t>a primary formula framework that includes a number of set-asides before</w:t>
      </w:r>
      <w:r w:rsidR="00DE2C33">
        <w:rPr>
          <w:lang w:eastAsia="en-AU"/>
        </w:rPr>
        <w:t xml:space="preserve"> </w:t>
      </w:r>
      <w:r w:rsidR="00DE2C33" w:rsidRPr="001341A5">
        <w:rPr>
          <w:lang w:eastAsia="en-AU"/>
        </w:rPr>
        <w:t>geographic allotment—a provision set to a fixed base year, an</w:t>
      </w:r>
      <w:r w:rsidR="00DE2C33">
        <w:rPr>
          <w:lang w:eastAsia="en-AU"/>
        </w:rPr>
        <w:t xml:space="preserve"> </w:t>
      </w:r>
      <w:r w:rsidR="00DE2C33" w:rsidRPr="001341A5">
        <w:rPr>
          <w:lang w:eastAsia="en-AU"/>
        </w:rPr>
        <w:t xml:space="preserve">inflation adjustment, and </w:t>
      </w:r>
      <w:r w:rsidR="00F77ECD">
        <w:rPr>
          <w:lang w:eastAsia="en-AU"/>
        </w:rPr>
        <w:t>further funding</w:t>
      </w:r>
      <w:r w:rsidR="00DE2C33" w:rsidRPr="001341A5">
        <w:rPr>
          <w:lang w:eastAsia="en-AU"/>
        </w:rPr>
        <w:t xml:space="preserve"> based on child poverty counts.</w:t>
      </w:r>
      <w:r w:rsidR="00F77ECD">
        <w:rPr>
          <w:rStyle w:val="FootnoteReference"/>
          <w:lang w:eastAsia="en-AU"/>
        </w:rPr>
        <w:footnoteReference w:id="140"/>
      </w:r>
      <w:r w:rsidR="002A10F4">
        <w:rPr>
          <w:lang w:eastAsia="en-AU"/>
        </w:rPr>
        <w:t xml:space="preserve"> </w:t>
      </w:r>
      <w:r w:rsidR="000B4067" w:rsidRPr="000B4067">
        <w:rPr>
          <w:lang w:eastAsia="en-AU"/>
        </w:rPr>
        <w:t>Many</w:t>
      </w:r>
      <w:r w:rsidR="00952833">
        <w:rPr>
          <w:lang w:eastAsia="en-AU"/>
        </w:rPr>
        <w:t xml:space="preserve"> Head Start</w:t>
      </w:r>
      <w:r w:rsidR="000B4067" w:rsidRPr="000B4067">
        <w:rPr>
          <w:lang w:eastAsia="en-AU"/>
        </w:rPr>
        <w:t xml:space="preserve"> programs combine funding from federal, state, and local sources to maximi</w:t>
      </w:r>
      <w:r w:rsidR="000B4067">
        <w:rPr>
          <w:lang w:eastAsia="en-AU"/>
        </w:rPr>
        <w:t>s</w:t>
      </w:r>
      <w:r w:rsidR="000B4067" w:rsidRPr="000B4067">
        <w:rPr>
          <w:lang w:eastAsia="en-AU"/>
        </w:rPr>
        <w:t>e service delivery and continuity.</w:t>
      </w:r>
      <w:r w:rsidR="004C3D7A">
        <w:rPr>
          <w:rStyle w:val="FootnoteReference"/>
          <w:lang w:eastAsia="en-AU"/>
        </w:rPr>
        <w:footnoteReference w:id="141"/>
      </w:r>
    </w:p>
    <w:p w14:paraId="5AA91775" w14:textId="2D7B0908" w:rsidR="00530CBB" w:rsidRDefault="00952833" w:rsidP="00330272">
      <w:pPr>
        <w:spacing w:before="120" w:after="120"/>
        <w:rPr>
          <w:lang w:eastAsia="en-AU"/>
        </w:rPr>
      </w:pPr>
      <w:r>
        <w:t>Further</w:t>
      </w:r>
      <w:r w:rsidR="001D4174">
        <w:t>more</w:t>
      </w:r>
      <w:r>
        <w:t>, some Head Start</w:t>
      </w:r>
      <w:r w:rsidR="00530CBB">
        <w:t xml:space="preserve"> grantees use a financial software system (Sage MAS 200) to provide accounting functionality, including tracking and reporting expenses from multiple funding streams. While not all grantees utilise this system, it streamlines the process of recording and storing data.</w:t>
      </w:r>
    </w:p>
    <w:p w14:paraId="753B202D" w14:textId="5E523DDD" w:rsidR="00D078A8" w:rsidRPr="00CD38C6" w:rsidRDefault="00D4284D" w:rsidP="00330272">
      <w:pPr>
        <w:spacing w:before="120" w:after="120"/>
        <w:rPr>
          <w:i/>
          <w:iCs/>
        </w:rPr>
      </w:pPr>
      <w:r w:rsidRPr="00CD38C6">
        <w:rPr>
          <w:i/>
          <w:iCs/>
        </w:rPr>
        <w:t>Learnings for</w:t>
      </w:r>
      <w:r>
        <w:rPr>
          <w:i/>
          <w:iCs/>
        </w:rPr>
        <w:t xml:space="preserve"> </w:t>
      </w:r>
      <w:r w:rsidR="006D2F3B">
        <w:rPr>
          <w:i/>
          <w:iCs/>
        </w:rPr>
        <w:t>the</w:t>
      </w:r>
      <w:r w:rsidRPr="00CD38C6">
        <w:rPr>
          <w:i/>
          <w:iCs/>
        </w:rPr>
        <w:t xml:space="preserve"> CCCFR grant</w:t>
      </w:r>
      <w:r w:rsidR="00390077">
        <w:rPr>
          <w:i/>
          <w:iCs/>
        </w:rPr>
        <w:t>:</w:t>
      </w:r>
    </w:p>
    <w:p w14:paraId="4A4EDDE1" w14:textId="3B6171F3" w:rsidR="00D1021D" w:rsidRDefault="005D4213">
      <w:pPr>
        <w:pStyle w:val="ListBullet"/>
      </w:pPr>
      <w:r>
        <w:t>t</w:t>
      </w:r>
      <w:r w:rsidR="00D1021D">
        <w:t xml:space="preserve">he CCCFR grant would benefit from a </w:t>
      </w:r>
      <w:r w:rsidR="004B4956">
        <w:t>real time</w:t>
      </w:r>
      <w:r w:rsidR="00D1021D">
        <w:t xml:space="preserve"> data storing system. This would allow for more completeness in data recording for the purpose of analysing the financial health of services and determining future funding. </w:t>
      </w:r>
    </w:p>
    <w:p w14:paraId="2ED3E406" w14:textId="77777777" w:rsidR="00C22063" w:rsidRDefault="00C22063" w:rsidP="00C22063">
      <w:pPr>
        <w:pStyle w:val="ListBullet"/>
        <w:numPr>
          <w:ilvl w:val="0"/>
          <w:numId w:val="0"/>
        </w:numPr>
        <w:ind w:left="340" w:hanging="340"/>
      </w:pPr>
    </w:p>
    <w:p w14:paraId="76635AFC" w14:textId="3BD770EF" w:rsidR="00DD7F48" w:rsidRPr="00CD38C6" w:rsidRDefault="00631A72" w:rsidP="00CD38C6">
      <w:pPr>
        <w:rPr>
          <w:b/>
          <w:color w:val="012169" w:themeColor="accent4"/>
        </w:rPr>
      </w:pPr>
      <w:r w:rsidRPr="00CD38C6">
        <w:rPr>
          <w:b/>
          <w:color w:val="012169" w:themeColor="accent4"/>
        </w:rPr>
        <w:t>Aboriginal Head Start in Urban and Northern Communities Program, Canada</w:t>
      </w:r>
    </w:p>
    <w:p w14:paraId="0E2D62BC" w14:textId="5AF11A66" w:rsidR="004D43FB" w:rsidRDefault="00412C5E" w:rsidP="00CD38C6">
      <w:r>
        <w:rPr>
          <w:lang w:eastAsia="en-AU"/>
        </w:rPr>
        <w:t xml:space="preserve">The Aboriginal Head Start in </w:t>
      </w:r>
      <w:r w:rsidR="008E3174">
        <w:rPr>
          <w:lang w:eastAsia="en-AU"/>
        </w:rPr>
        <w:t>U</w:t>
      </w:r>
      <w:r w:rsidR="59D72A25" w:rsidRPr="2A996E96">
        <w:rPr>
          <w:lang w:eastAsia="en-AU"/>
        </w:rPr>
        <w:t>rban</w:t>
      </w:r>
      <w:r>
        <w:rPr>
          <w:lang w:eastAsia="en-AU"/>
        </w:rPr>
        <w:t xml:space="preserve"> and Northern Communities (AHSUNC) Program is </w:t>
      </w:r>
      <w:r>
        <w:t xml:space="preserve">an early childhood development program run by local Indigenous community organisations </w:t>
      </w:r>
      <w:r>
        <w:rPr>
          <w:lang w:eastAsia="en-AU"/>
        </w:rPr>
        <w:t>funded by the Public Health Agency of Canada</w:t>
      </w:r>
      <w:r w:rsidR="00C8744D">
        <w:rPr>
          <w:lang w:eastAsia="en-AU"/>
        </w:rPr>
        <w:t xml:space="preserve"> (PHAC)</w:t>
      </w:r>
      <w:r>
        <w:rPr>
          <w:lang w:eastAsia="en-AU"/>
        </w:rPr>
        <w:t>.</w:t>
      </w:r>
      <w:r>
        <w:rPr>
          <w:rStyle w:val="FootnoteReference"/>
          <w:lang w:eastAsia="en-AU"/>
        </w:rPr>
        <w:footnoteReference w:id="142"/>
      </w:r>
      <w:r>
        <w:rPr>
          <w:lang w:eastAsia="en-AU"/>
        </w:rPr>
        <w:t xml:space="preserve"> </w:t>
      </w:r>
      <w:r>
        <w:t xml:space="preserve">AHSUNC supports the spiritual, emotional, mental, physical and social wellbeing of </w:t>
      </w:r>
      <w:r w:rsidR="008E3BAA" w:rsidRPr="008E3BAA">
        <w:t>Aboriginal and Torres Strait Islander</w:t>
      </w:r>
      <w:r w:rsidR="008E3BAA">
        <w:t>s</w:t>
      </w:r>
      <w:r>
        <w:t>, Métis and Inuit children and families in a holistic way through its six core components of Culture and Language, Education, Health Promotion, Nutrition, Social Support, and Parental and Family Involvement.</w:t>
      </w:r>
      <w:r>
        <w:rPr>
          <w:rStyle w:val="FootnoteReference"/>
        </w:rPr>
        <w:footnoteReference w:id="143"/>
      </w:r>
    </w:p>
    <w:p w14:paraId="571C8382" w14:textId="3354D323" w:rsidR="00A54127" w:rsidRDefault="00A54127" w:rsidP="00CD38C6">
      <w:r>
        <w:t>The AHSUNC Program spent nearly $36</w:t>
      </w:r>
      <w:r w:rsidR="003D1C9B">
        <w:t xml:space="preserve"> million</w:t>
      </w:r>
      <w:r>
        <w:t xml:space="preserve"> annually from ongoing funds, mostly in contribution funding to the 133 local AHSUNC sites. Annually, AHSUNC serves </w:t>
      </w:r>
      <w:r w:rsidR="00402A4A">
        <w:t xml:space="preserve">up </w:t>
      </w:r>
      <w:r>
        <w:t xml:space="preserve">to 4,300 young Indigenous </w:t>
      </w:r>
      <w:r>
        <w:lastRenderedPageBreak/>
        <w:t>children and their families living in off-reserve/off-territory and northern communities across Canada, from large urban areas to remote settlements.</w:t>
      </w:r>
      <w:r>
        <w:rPr>
          <w:rStyle w:val="FootnoteReference"/>
        </w:rPr>
        <w:footnoteReference w:id="144"/>
      </w:r>
      <w:r w:rsidR="005A39CE">
        <w:t xml:space="preserve"> </w:t>
      </w:r>
    </w:p>
    <w:p w14:paraId="4182B794" w14:textId="66A6C724" w:rsidR="00A022D1" w:rsidRDefault="007A7F69" w:rsidP="00796ECE">
      <w:r>
        <w:t xml:space="preserve">The funding determination is not publicly available, however, </w:t>
      </w:r>
      <w:r w:rsidR="000E36D5">
        <w:t xml:space="preserve">a 2022 evaluation of </w:t>
      </w:r>
      <w:r w:rsidR="00C36F3C">
        <w:t xml:space="preserve">PHAC’s core contribution funding to the AHSUNC Program has </w:t>
      </w:r>
      <w:r w:rsidR="000E36D5">
        <w:t>determined that funding has</w:t>
      </w:r>
      <w:r w:rsidR="00C36F3C">
        <w:t xml:space="preserve"> not increased since FY2003, despite the rising costs of site operations.</w:t>
      </w:r>
      <w:r w:rsidR="000E36D5">
        <w:rPr>
          <w:rStyle w:val="FootnoteReference"/>
        </w:rPr>
        <w:footnoteReference w:id="145"/>
      </w:r>
      <w:r w:rsidR="00C36F3C">
        <w:t xml:space="preserve"> Sta</w:t>
      </w:r>
      <w:r w:rsidR="00796ECE">
        <w:t>tic</w:t>
      </w:r>
      <w:r w:rsidR="00C36F3C">
        <w:t xml:space="preserve"> funding has resulted in negative</w:t>
      </w:r>
      <w:r w:rsidR="00D34D16">
        <w:t xml:space="preserve"> </w:t>
      </w:r>
      <w:r w:rsidR="00C36F3C">
        <w:t>impacts on sites, particularly in their ability to recruit and retain staff</w:t>
      </w:r>
      <w:r w:rsidR="00D34D16">
        <w:t>.</w:t>
      </w:r>
      <w:r w:rsidR="00796ECE">
        <w:rPr>
          <w:rStyle w:val="FootnoteReference"/>
        </w:rPr>
        <w:footnoteReference w:id="146"/>
      </w:r>
      <w:r w:rsidR="00D34D16">
        <w:t xml:space="preserve"> </w:t>
      </w:r>
      <w:r w:rsidR="00A022D1">
        <w:rPr>
          <w:lang w:eastAsia="en-AU"/>
        </w:rPr>
        <w:t xml:space="preserve">In </w:t>
      </w:r>
      <w:r w:rsidR="000E36D5">
        <w:rPr>
          <w:lang w:eastAsia="en-AU"/>
        </w:rPr>
        <w:t>the same</w:t>
      </w:r>
      <w:r w:rsidR="00A022D1">
        <w:rPr>
          <w:lang w:eastAsia="en-AU"/>
        </w:rPr>
        <w:t xml:space="preserve"> evaluation of AHSUNC, </w:t>
      </w:r>
      <w:r w:rsidR="00A022D1">
        <w:t>key informants reported they would like more long-term and stable funding that meets basic needs, rather than short-term project-based funding.</w:t>
      </w:r>
      <w:r w:rsidR="00A022D1">
        <w:rPr>
          <w:rStyle w:val="FootnoteReference"/>
        </w:rPr>
        <w:footnoteReference w:id="147"/>
      </w:r>
      <w:r w:rsidR="00FF2CC5">
        <w:t xml:space="preserve"> This sentiment echoes </w:t>
      </w:r>
      <w:r w:rsidR="00733652">
        <w:t>that of the CCCFR service</w:t>
      </w:r>
      <w:r w:rsidR="00C72155">
        <w:t xml:space="preserve"> stakeholders. </w:t>
      </w:r>
    </w:p>
    <w:p w14:paraId="369F2324" w14:textId="77022628" w:rsidR="00280DB6" w:rsidRDefault="00D322C5" w:rsidP="002B5444">
      <w:r>
        <w:t xml:space="preserve">Two </w:t>
      </w:r>
      <w:r w:rsidR="00A53A48">
        <w:t>recommended</w:t>
      </w:r>
      <w:r>
        <w:t xml:space="preserve"> action plans </w:t>
      </w:r>
      <w:r w:rsidR="002B5444">
        <w:t xml:space="preserve">relating to sustainable funding </w:t>
      </w:r>
      <w:r>
        <w:t>from the 2022 evaluation report</w:t>
      </w:r>
      <w:r w:rsidR="00280DB6">
        <w:t xml:space="preserve"> are:</w:t>
      </w:r>
      <w:r w:rsidR="00593B9A">
        <w:rPr>
          <w:rStyle w:val="FootnoteReference"/>
        </w:rPr>
        <w:footnoteReference w:id="148"/>
      </w:r>
    </w:p>
    <w:p w14:paraId="76905EBA" w14:textId="374479DA" w:rsidR="00280DB6" w:rsidRDefault="00611428" w:rsidP="00593B9A">
      <w:pPr>
        <w:pStyle w:val="ListBullet"/>
      </w:pPr>
      <w:r>
        <w:t>e</w:t>
      </w:r>
      <w:r w:rsidR="009F2DB5">
        <w:t>ngage with AHSUNC recipients, the NAHSC, other federal departments and PHAC staff at the national and regional levels to identify ways to make contribution agreement administration more flexible and less burdensome</w:t>
      </w:r>
    </w:p>
    <w:p w14:paraId="3573423F" w14:textId="723761ED" w:rsidR="00796C6C" w:rsidRDefault="00611428" w:rsidP="00CD38C6">
      <w:pPr>
        <w:pStyle w:val="ListBullet"/>
        <w:rPr>
          <w:lang w:eastAsia="en-AU"/>
        </w:rPr>
      </w:pPr>
      <w:r>
        <w:t>e</w:t>
      </w:r>
      <w:r w:rsidR="002B5444">
        <w:t>ngage with the NAHSC, Centre for Grants and Contributions and PHAC staff at the national and regional level to develop a modified PHAC Risk-Based Monitoring Strategy for Indigenous recipient organisations with the goal of providing increased flexibility and reduced burden.</w:t>
      </w:r>
    </w:p>
    <w:p w14:paraId="05DD665F" w14:textId="05B0014E" w:rsidR="005B6AF9" w:rsidRDefault="003E3D14" w:rsidP="004A1870">
      <w:pPr>
        <w:spacing w:before="240" w:line="276" w:lineRule="auto"/>
        <w:rPr>
          <w:i/>
          <w:iCs/>
        </w:rPr>
      </w:pPr>
      <w:r w:rsidRPr="00CD38C6">
        <w:rPr>
          <w:i/>
          <w:iCs/>
        </w:rPr>
        <w:t>Learnings for</w:t>
      </w:r>
      <w:r w:rsidRPr="00B56A74">
        <w:rPr>
          <w:i/>
          <w:iCs/>
        </w:rPr>
        <w:t xml:space="preserve"> </w:t>
      </w:r>
      <w:r w:rsidR="006D2F3B">
        <w:rPr>
          <w:i/>
          <w:iCs/>
        </w:rPr>
        <w:t>the</w:t>
      </w:r>
      <w:r w:rsidRPr="00CD38C6">
        <w:rPr>
          <w:i/>
          <w:iCs/>
        </w:rPr>
        <w:t xml:space="preserve"> CCCFR grant</w:t>
      </w:r>
      <w:r w:rsidR="00390077">
        <w:rPr>
          <w:i/>
          <w:iCs/>
        </w:rPr>
        <w:t>:</w:t>
      </w:r>
    </w:p>
    <w:p w14:paraId="646DBAB7" w14:textId="1CBF0BDD" w:rsidR="00312623" w:rsidRDefault="00611428" w:rsidP="00DC697A">
      <w:pPr>
        <w:pStyle w:val="ListBullet"/>
      </w:pPr>
      <w:r>
        <w:t>t</w:t>
      </w:r>
      <w:r w:rsidR="006D3DC4">
        <w:t>oo little informati</w:t>
      </w:r>
      <w:r w:rsidR="00C70A4C">
        <w:t>on</w:t>
      </w:r>
      <w:r w:rsidR="006D3DC4">
        <w:t xml:space="preserve"> is available to make inferences on how CCCFR </w:t>
      </w:r>
      <w:r w:rsidR="00001BE6">
        <w:t>grant,</w:t>
      </w:r>
      <w:r w:rsidR="006D3DC4">
        <w:t xml:space="preserve"> and funding decisions may </w:t>
      </w:r>
      <w:r w:rsidR="00C70A4C">
        <w:t>benefit from emulating the AHSUNC funding model</w:t>
      </w:r>
    </w:p>
    <w:p w14:paraId="3AA31022" w14:textId="1A5835FD" w:rsidR="00DF3741" w:rsidRDefault="00611428" w:rsidP="00DC697A">
      <w:pPr>
        <w:pStyle w:val="ListBullet"/>
      </w:pPr>
      <w:r>
        <w:t>f</w:t>
      </w:r>
      <w:r w:rsidR="007C0567">
        <w:t xml:space="preserve">rom a program perspective, CCCFR services </w:t>
      </w:r>
      <w:r w:rsidR="00DB4E3A">
        <w:t>may be able to</w:t>
      </w:r>
      <w:r w:rsidR="008E51D1">
        <w:t xml:space="preserve"> better meet community needs </w:t>
      </w:r>
      <w:r w:rsidR="00595E7E">
        <w:t>through a more</w:t>
      </w:r>
      <w:r w:rsidR="00BF7178">
        <w:t xml:space="preserve"> defined </w:t>
      </w:r>
      <w:r w:rsidR="00312623">
        <w:t xml:space="preserve">and consistent </w:t>
      </w:r>
      <w:r w:rsidR="00BF7178">
        <w:t>set of program offerings</w:t>
      </w:r>
      <w:r w:rsidR="00312623">
        <w:t xml:space="preserve"> across all services. </w:t>
      </w:r>
    </w:p>
    <w:p w14:paraId="4E0DDF57" w14:textId="1D97DE3E" w:rsidR="001A4CE9" w:rsidRPr="001A4CE9" w:rsidRDefault="001A4CE9" w:rsidP="00CD38C6">
      <w:pPr>
        <w:spacing w:before="120"/>
        <w:rPr>
          <w:b/>
          <w:bCs/>
          <w:color w:val="012169"/>
        </w:rPr>
      </w:pPr>
      <w:r w:rsidRPr="001A4CE9">
        <w:rPr>
          <w:b/>
          <w:bCs/>
          <w:color w:val="012169"/>
        </w:rPr>
        <w:t>Annual Top up for Isolated services</w:t>
      </w:r>
      <w:r w:rsidR="00ED3936">
        <w:rPr>
          <w:b/>
          <w:bCs/>
          <w:color w:val="012169"/>
        </w:rPr>
        <w:t xml:space="preserve">, New Zealand </w:t>
      </w:r>
    </w:p>
    <w:p w14:paraId="5E3EA9AF" w14:textId="1CE59976" w:rsidR="001A4CE9" w:rsidRPr="00DD3CB6" w:rsidRDefault="00AB62DB" w:rsidP="00531189">
      <w:r>
        <w:t>The Annual Top up for Isolated services is</w:t>
      </w:r>
      <w:r w:rsidR="00001BE6">
        <w:t xml:space="preserve"> an</w:t>
      </w:r>
      <w:r>
        <w:t xml:space="preserve"> </w:t>
      </w:r>
      <w:r w:rsidR="00642541">
        <w:t xml:space="preserve">additional funding provided by the New Zealand </w:t>
      </w:r>
      <w:r w:rsidR="00EE700F">
        <w:t>G</w:t>
      </w:r>
      <w:r w:rsidR="00642541">
        <w:t>overnment to assist small, licensed services in isolated areas to maintain access to early child</w:t>
      </w:r>
      <w:r w:rsidR="00C03FB1">
        <w:t xml:space="preserve"> </w:t>
      </w:r>
      <w:r w:rsidR="00642541">
        <w:t>care education.</w:t>
      </w:r>
      <w:r w:rsidR="002D42FB">
        <w:t xml:space="preserve"> </w:t>
      </w:r>
      <w:r w:rsidR="00A94643">
        <w:t>Under</w:t>
      </w:r>
      <w:r w:rsidR="009F6CB2">
        <w:t xml:space="preserve"> this model</w:t>
      </w:r>
      <w:r w:rsidR="00A94643">
        <w:t>,</w:t>
      </w:r>
      <w:r w:rsidR="009F6CB2">
        <w:t xml:space="preserve"> the funding target</w:t>
      </w:r>
      <w:r w:rsidR="00EE700F">
        <w:t>s</w:t>
      </w:r>
      <w:r w:rsidR="009F6CB2">
        <w:t xml:space="preserve"> specific services, rather than a specific cohort that attends the services. </w:t>
      </w:r>
      <w:r w:rsidR="00FD413B">
        <w:t>Services are also not required to apply for the funding</w:t>
      </w:r>
      <w:r w:rsidR="005A56BF">
        <w:t>. R</w:t>
      </w:r>
      <w:r w:rsidR="00FD413B">
        <w:t>ather</w:t>
      </w:r>
      <w:r w:rsidR="005A56BF">
        <w:t>,</w:t>
      </w:r>
      <w:r w:rsidR="00FD413B">
        <w:t xml:space="preserve"> services are deemed as eligible to receive funding from the New Zealand Government based on </w:t>
      </w:r>
      <w:r w:rsidR="005A13C0">
        <w:t xml:space="preserve">the services </w:t>
      </w:r>
      <w:r w:rsidR="005A56BF" w:rsidRPr="005A56BF">
        <w:t>Isolation Indices and funding data</w:t>
      </w:r>
      <w:r w:rsidR="005A13C0">
        <w:t xml:space="preserve">. </w:t>
      </w:r>
      <w:r w:rsidR="005A56BF">
        <w:t xml:space="preserve">The </w:t>
      </w:r>
      <w:r w:rsidR="005A56BF" w:rsidRPr="00DD3CB6">
        <w:t xml:space="preserve">Isolation Index is a statistical index that rates a service’s relative </w:t>
      </w:r>
      <w:r w:rsidR="005A13C0" w:rsidRPr="00DD3CB6">
        <w:t xml:space="preserve">isolation </w:t>
      </w:r>
      <w:r w:rsidR="005A56BF" w:rsidRPr="00DD3CB6">
        <w:t>according to its distance in kilometres from services of three different population sizes.</w:t>
      </w:r>
      <w:r w:rsidR="00BC2998" w:rsidRPr="00DD3CB6">
        <w:t xml:space="preserve"> Eligible services </w:t>
      </w:r>
      <w:r w:rsidR="00EE700F" w:rsidRPr="00DD3CB6">
        <w:t>receive</w:t>
      </w:r>
      <w:r w:rsidR="00BC2998" w:rsidRPr="00DD3CB6">
        <w:t xml:space="preserve"> a top up of funding of either $15,000 or $20,000.</w:t>
      </w:r>
      <w:r w:rsidR="00BC2998">
        <w:rPr>
          <w:rStyle w:val="FootnoteReference"/>
        </w:rPr>
        <w:footnoteReference w:id="149"/>
      </w:r>
    </w:p>
    <w:p w14:paraId="5D569ECB" w14:textId="1C9E1419" w:rsidR="00D4284D" w:rsidRPr="00CD38C6" w:rsidRDefault="00D4284D" w:rsidP="00531189">
      <w:pPr>
        <w:rPr>
          <w:i/>
          <w:iCs/>
        </w:rPr>
      </w:pPr>
      <w:r w:rsidRPr="00CD38C6">
        <w:rPr>
          <w:i/>
          <w:iCs/>
        </w:rPr>
        <w:t>Learnings for</w:t>
      </w:r>
      <w:r>
        <w:rPr>
          <w:i/>
          <w:iCs/>
        </w:rPr>
        <w:t xml:space="preserve"> </w:t>
      </w:r>
      <w:r w:rsidR="006D2F3B">
        <w:rPr>
          <w:i/>
          <w:iCs/>
        </w:rPr>
        <w:t>the</w:t>
      </w:r>
      <w:r w:rsidRPr="00CD38C6">
        <w:rPr>
          <w:i/>
          <w:iCs/>
        </w:rPr>
        <w:t xml:space="preserve"> CCCFR grant</w:t>
      </w:r>
      <w:r w:rsidR="00460E9F">
        <w:rPr>
          <w:i/>
          <w:iCs/>
        </w:rPr>
        <w:t>:</w:t>
      </w:r>
    </w:p>
    <w:p w14:paraId="044B47F3" w14:textId="5A7F9E81" w:rsidR="00C844B4" w:rsidRPr="00DD3CB6" w:rsidRDefault="00611428" w:rsidP="00531189">
      <w:pPr>
        <w:pStyle w:val="ListBullet"/>
      </w:pPr>
      <w:r>
        <w:t>t</w:t>
      </w:r>
      <w:r w:rsidR="00DE56D2">
        <w:t xml:space="preserve">he New Zealand approach indicates that a more comprehensive, data-driven approach to funding allocation is achievable for </w:t>
      </w:r>
      <w:r w:rsidR="000259C2">
        <w:t>services similar in context to CCCFR services.</w:t>
      </w:r>
      <w:r w:rsidR="006B55D1">
        <w:br/>
      </w:r>
    </w:p>
    <w:p w14:paraId="0B73BE44" w14:textId="2826DF56" w:rsidR="00582199" w:rsidRDefault="00582199" w:rsidP="00531189">
      <w:pPr>
        <w:rPr>
          <w:lang w:val="da-DK"/>
        </w:rPr>
      </w:pPr>
      <w:r w:rsidRPr="00DD3CB6">
        <w:t xml:space="preserve">As discussed </w:t>
      </w:r>
      <w:r w:rsidR="00BD1CCB" w:rsidRPr="00DD3CB6">
        <w:t>above</w:t>
      </w:r>
      <w:r w:rsidRPr="00DD3CB6">
        <w:t xml:space="preserve">, </w:t>
      </w:r>
      <w:r w:rsidR="00BD1CCB" w:rsidRPr="00DD3CB6">
        <w:t xml:space="preserve">there are several </w:t>
      </w:r>
      <w:r w:rsidR="00820FDE" w:rsidRPr="00DD3CB6">
        <w:t>programs/</w:t>
      </w:r>
      <w:r w:rsidR="00BD1CCB" w:rsidRPr="00DD3CB6">
        <w:t xml:space="preserve">grants nationally that align to the CCCFR from an objectives and target cohort perspective. </w:t>
      </w:r>
      <w:r w:rsidR="00820FDE" w:rsidRPr="00DD3CB6">
        <w:t xml:space="preserve">These programs/grants have carved a more </w:t>
      </w:r>
      <w:r w:rsidR="00EA19C2" w:rsidRPr="00DD3CB6">
        <w:t xml:space="preserve">descriptive </w:t>
      </w:r>
      <w:r w:rsidR="005F4BC7" w:rsidRPr="00DD3CB6">
        <w:t>set of eligibility criteria and target cohort</w:t>
      </w:r>
      <w:r w:rsidR="00F7500C" w:rsidRPr="00DD3CB6">
        <w:t xml:space="preserve">. For example, the </w:t>
      </w:r>
      <w:r w:rsidR="0048269A" w:rsidRPr="00DD3CB6">
        <w:t xml:space="preserve">NSW Quality and Participation grants </w:t>
      </w:r>
      <w:r w:rsidR="0048269A" w:rsidRPr="00DD3CB6">
        <w:lastRenderedPageBreak/>
        <w:t>program</w:t>
      </w:r>
      <w:r w:rsidR="005725DB" w:rsidRPr="00DD3CB6">
        <w:t xml:space="preserve"> has a </w:t>
      </w:r>
      <w:r w:rsidR="00C76E8F" w:rsidRPr="00DD3CB6">
        <w:t>more robust</w:t>
      </w:r>
      <w:r w:rsidR="005725DB" w:rsidRPr="00DD3CB6">
        <w:t xml:space="preserve"> eligibility criteria for </w:t>
      </w:r>
      <w:r w:rsidR="002D4795" w:rsidRPr="00DD3CB6">
        <w:t>services</w:t>
      </w:r>
      <w:r w:rsidR="005725DB" w:rsidRPr="00DD3CB6">
        <w:t xml:space="preserve"> who wish to</w:t>
      </w:r>
      <w:r w:rsidR="009E6959" w:rsidRPr="00DD3CB6">
        <w:t xml:space="preserve"> apply and</w:t>
      </w:r>
      <w:r w:rsidR="005725DB" w:rsidRPr="00DD3CB6">
        <w:t xml:space="preserve"> </w:t>
      </w:r>
      <w:r w:rsidR="00C76E8F" w:rsidRPr="00DD3CB6">
        <w:t xml:space="preserve">be in receipt of the funding. </w:t>
      </w:r>
      <w:r w:rsidR="0056596E">
        <w:rPr>
          <w:lang w:val="da-DK"/>
        </w:rPr>
        <w:t>As part of their criteria, the service mus</w:t>
      </w:r>
      <w:r w:rsidR="00BF3A0F">
        <w:rPr>
          <w:lang w:val="da-DK"/>
        </w:rPr>
        <w:t>t be</w:t>
      </w:r>
      <w:r w:rsidR="00176813">
        <w:rPr>
          <w:rStyle w:val="FootnoteReference"/>
        </w:rPr>
        <w:footnoteReference w:id="150"/>
      </w:r>
      <w:r w:rsidR="00BF3A0F">
        <w:rPr>
          <w:lang w:val="da-DK"/>
        </w:rPr>
        <w:t>:</w:t>
      </w:r>
    </w:p>
    <w:p w14:paraId="5B4AACB2" w14:textId="6D96A3D4" w:rsidR="00F87FAF" w:rsidRDefault="00F537FA" w:rsidP="0097712B">
      <w:pPr>
        <w:pStyle w:val="ListBullet"/>
        <w:rPr>
          <w:lang w:val="da-DK"/>
        </w:rPr>
      </w:pPr>
      <w:r w:rsidRPr="2B91AEFB">
        <w:rPr>
          <w:lang w:val="da-DK"/>
        </w:rPr>
        <w:t>operating in NSW</w:t>
      </w:r>
    </w:p>
    <w:p w14:paraId="76142197" w14:textId="464B821B" w:rsidR="00F537FA" w:rsidRPr="00DD3CB6" w:rsidRDefault="00EA27D0" w:rsidP="0097712B">
      <w:pPr>
        <w:pStyle w:val="ListBullet"/>
      </w:pPr>
      <w:r>
        <w:t>be a not-for-profit centre-based community preschool</w:t>
      </w:r>
    </w:p>
    <w:p w14:paraId="5F67B90A" w14:textId="552579F2" w:rsidR="00EA27D0" w:rsidRDefault="00EA27D0" w:rsidP="0097712B">
      <w:pPr>
        <w:pStyle w:val="ListBullet"/>
        <w:rPr>
          <w:lang w:val="da-DK"/>
        </w:rPr>
      </w:pPr>
      <w:r w:rsidRPr="2B91AEFB">
        <w:rPr>
          <w:lang w:val="da-DK"/>
        </w:rPr>
        <w:t>be an Aboriginal community preschool</w:t>
      </w:r>
    </w:p>
    <w:p w14:paraId="6EFF59D0" w14:textId="7652A674" w:rsidR="00EA27D0" w:rsidRPr="00DD3CB6" w:rsidRDefault="00EA27D0" w:rsidP="0097712B">
      <w:pPr>
        <w:pStyle w:val="ListBullet"/>
      </w:pPr>
      <w:r>
        <w:t xml:space="preserve">have an ARIA+ </w:t>
      </w:r>
      <w:r w:rsidR="002D4795">
        <w:t>classification</w:t>
      </w:r>
      <w:r>
        <w:t xml:space="preserve"> of </w:t>
      </w:r>
      <w:r w:rsidR="005D710C">
        <w:t>Inner Regional, Outer Regional, Remote or Very Remote</w:t>
      </w:r>
    </w:p>
    <w:p w14:paraId="5B285497" w14:textId="5BC8AF08" w:rsidR="005D710C" w:rsidRPr="00DD3CB6" w:rsidRDefault="00625C2A" w:rsidP="0097712B">
      <w:pPr>
        <w:pStyle w:val="ListBullet"/>
      </w:pPr>
      <w:r>
        <w:t xml:space="preserve">not currently </w:t>
      </w:r>
      <w:r w:rsidR="007D393F">
        <w:t xml:space="preserve">receiving </w:t>
      </w:r>
      <w:r>
        <w:t>funding for the same transport initiative through the Closing the Gap Community and Place Gaps Program offered through Aboriginal Affairs NSW, Indigenous Advancement Strategy</w:t>
      </w:r>
      <w:r w:rsidR="00360140">
        <w:t>,</w:t>
      </w:r>
      <w:r>
        <w:t xml:space="preserve"> or other funding source.</w:t>
      </w:r>
    </w:p>
    <w:p w14:paraId="347A02E0" w14:textId="77777777" w:rsidR="0074481B" w:rsidRPr="00DD3CB6" w:rsidRDefault="0074481B" w:rsidP="0044588C">
      <w:pPr>
        <w:pStyle w:val="ListBullet"/>
        <w:numPr>
          <w:ilvl w:val="0"/>
          <w:numId w:val="0"/>
        </w:numPr>
      </w:pPr>
    </w:p>
    <w:p w14:paraId="051613A5" w14:textId="784EEE14" w:rsidR="00625C2A" w:rsidRPr="00DD3CB6" w:rsidRDefault="0074481B" w:rsidP="001055C9">
      <w:r w:rsidRPr="00DD3CB6">
        <w:t xml:space="preserve">The </w:t>
      </w:r>
      <w:r w:rsidR="003605A2" w:rsidRPr="00DD3CB6">
        <w:t>types of services eligible</w:t>
      </w:r>
      <w:r w:rsidRPr="00DD3CB6">
        <w:t xml:space="preserve"> to apply for the NSW Quality and Participation grants program is similar to that of the CCCFR grant</w:t>
      </w:r>
      <w:r w:rsidR="00983B64" w:rsidRPr="00DD3CB6">
        <w:t>, h</w:t>
      </w:r>
      <w:r w:rsidRPr="00DD3CB6">
        <w:t xml:space="preserve">owever, </w:t>
      </w:r>
      <w:r w:rsidR="00983B64" w:rsidRPr="00DD3CB6">
        <w:t>they have better specified</w:t>
      </w:r>
      <w:r w:rsidR="003605A2" w:rsidRPr="00DD3CB6">
        <w:t xml:space="preserve"> and outlined</w:t>
      </w:r>
      <w:r w:rsidR="00983B64" w:rsidRPr="00DD3CB6">
        <w:t xml:space="preserve"> the profile of </w:t>
      </w:r>
      <w:r w:rsidR="003605A2" w:rsidRPr="00DD3CB6">
        <w:t xml:space="preserve">these </w:t>
      </w:r>
      <w:r w:rsidR="00983B64" w:rsidRPr="00DD3CB6">
        <w:t>services</w:t>
      </w:r>
      <w:r w:rsidR="003605A2" w:rsidRPr="00DD3CB6">
        <w:t xml:space="preserve"> in a </w:t>
      </w:r>
      <w:r w:rsidR="00A80E37" w:rsidRPr="00DD3CB6">
        <w:t xml:space="preserve">targeted, </w:t>
      </w:r>
      <w:r w:rsidR="00F07C5D" w:rsidRPr="00DD3CB6">
        <w:t>and deliberate manner.</w:t>
      </w:r>
      <w:r w:rsidR="002E497C">
        <w:t xml:space="preserve"> </w:t>
      </w:r>
    </w:p>
    <w:p w14:paraId="77F2AA13" w14:textId="3382E63E" w:rsidR="00B13C3E" w:rsidRPr="00366F48" w:rsidRDefault="009678AA" w:rsidP="00D141F9">
      <w:r>
        <w:t xml:space="preserve">This approach </w:t>
      </w:r>
      <w:r w:rsidR="002D4102">
        <w:t xml:space="preserve">suggests that </w:t>
      </w:r>
      <w:r w:rsidR="0071601A">
        <w:t>clearer and more detailed</w:t>
      </w:r>
      <w:r w:rsidR="00436DA5">
        <w:t xml:space="preserve"> eligibility criteria can be </w:t>
      </w:r>
      <w:r w:rsidR="00C47BE8">
        <w:t xml:space="preserve">developed </w:t>
      </w:r>
      <w:r w:rsidR="004E1752">
        <w:t xml:space="preserve">for </w:t>
      </w:r>
      <w:r w:rsidR="004E1752" w:rsidRPr="00366F48">
        <w:t>funding programs with a similar context to the CCCFR</w:t>
      </w:r>
      <w:r w:rsidR="008C419A" w:rsidRPr="00366F48">
        <w:t xml:space="preserve">. </w:t>
      </w:r>
    </w:p>
    <w:p w14:paraId="06EE4623" w14:textId="5859F552" w:rsidR="00B13C3E" w:rsidRPr="00366F48" w:rsidRDefault="00FB1528" w:rsidP="00D141F9">
      <w:pPr>
        <w:rPr>
          <w:b/>
        </w:rPr>
      </w:pPr>
      <w:r>
        <w:rPr>
          <w:b/>
        </w:rPr>
        <w:t>ACCC commentary on i</w:t>
      </w:r>
      <w:r w:rsidR="00366F48">
        <w:rPr>
          <w:b/>
        </w:rPr>
        <w:t xml:space="preserve">nternational comparisons </w:t>
      </w:r>
    </w:p>
    <w:p w14:paraId="619A7BA0" w14:textId="4517D53A" w:rsidR="00366F48" w:rsidRPr="00366F48" w:rsidRDefault="00894727" w:rsidP="00D141F9">
      <w:r w:rsidRPr="00366F48">
        <w:t>The ACCC Childcare Inquiry final report has reviewed price regulation reforms in</w:t>
      </w:r>
      <w:r w:rsidR="00434929" w:rsidRPr="00366F48">
        <w:t xml:space="preserve"> </w:t>
      </w:r>
      <w:r w:rsidR="00CE1034" w:rsidRPr="00366F48">
        <w:t>various</w:t>
      </w:r>
      <w:r w:rsidR="00434929" w:rsidRPr="00366F48">
        <w:t xml:space="preserve"> countries </w:t>
      </w:r>
      <w:r w:rsidR="00654472" w:rsidRPr="00366F48">
        <w:t xml:space="preserve">where the child care market is similar to that of Australia, </w:t>
      </w:r>
      <w:r w:rsidR="003B09A2" w:rsidRPr="00366F48">
        <w:t>including</w:t>
      </w:r>
      <w:r w:rsidR="00434929" w:rsidRPr="00366F48">
        <w:t xml:space="preserve"> the United Kingdom</w:t>
      </w:r>
      <w:r w:rsidR="00654472" w:rsidRPr="00366F48">
        <w:t xml:space="preserve">, </w:t>
      </w:r>
      <w:r w:rsidR="00434929" w:rsidRPr="00366F48">
        <w:t xml:space="preserve">Ireland, the Netherlands, the United States of </w:t>
      </w:r>
      <w:r w:rsidR="00A619ED" w:rsidRPr="00366F48">
        <w:t>America</w:t>
      </w:r>
      <w:r w:rsidR="00434929" w:rsidRPr="00366F48">
        <w:t>, Canada</w:t>
      </w:r>
      <w:r w:rsidR="0008062D">
        <w:t>,</w:t>
      </w:r>
      <w:r w:rsidR="00434929" w:rsidRPr="00366F48">
        <w:t xml:space="preserve"> New Zealand and Sweden</w:t>
      </w:r>
      <w:r w:rsidR="00654472" w:rsidRPr="00366F48">
        <w:t xml:space="preserve">. </w:t>
      </w:r>
      <w:r w:rsidR="000A1BD7">
        <w:t>A key takeaway in the report is that</w:t>
      </w:r>
      <w:r w:rsidR="00A56B62">
        <w:t xml:space="preserve"> childcare costs in Australia </w:t>
      </w:r>
      <w:r w:rsidR="0046454E">
        <w:t>are</w:t>
      </w:r>
      <w:r w:rsidR="00A56B62">
        <w:t xml:space="preserve"> relatively less affordable compared to </w:t>
      </w:r>
      <w:r w:rsidR="00F632E6">
        <w:t xml:space="preserve">other many OECD countries, and gross fees have increased faster </w:t>
      </w:r>
      <w:r w:rsidR="00E823CE">
        <w:t>than in other nations</w:t>
      </w:r>
      <w:r w:rsidR="00F632E6">
        <w:t xml:space="preserve">. </w:t>
      </w:r>
      <w:r w:rsidR="00E55FA4" w:rsidRPr="00366F48">
        <w:t xml:space="preserve">The report </w:t>
      </w:r>
      <w:r w:rsidR="00F632E6">
        <w:t>explain</w:t>
      </w:r>
      <w:r w:rsidR="0098750E">
        <w:t>s</w:t>
      </w:r>
      <w:r w:rsidR="00F632E6">
        <w:t xml:space="preserve"> </w:t>
      </w:r>
      <w:r w:rsidR="007C6C4C">
        <w:t xml:space="preserve">the </w:t>
      </w:r>
      <w:r w:rsidR="00F632E6">
        <w:t>reason</w:t>
      </w:r>
      <w:r w:rsidR="00C71582">
        <w:t>s</w:t>
      </w:r>
      <w:r w:rsidR="00F632E6">
        <w:t xml:space="preserve"> behind this</w:t>
      </w:r>
      <w:r w:rsidR="00D071AA">
        <w:t xml:space="preserve"> is</w:t>
      </w:r>
      <w:r w:rsidR="00F632E6">
        <w:t xml:space="preserve"> </w:t>
      </w:r>
      <w:r w:rsidR="00E55FA4" w:rsidRPr="00366F48">
        <w:t xml:space="preserve">that international counterparts </w:t>
      </w:r>
      <w:r w:rsidR="00B975C2" w:rsidRPr="00366F48">
        <w:t xml:space="preserve">employ </w:t>
      </w:r>
      <w:r w:rsidR="0098750E">
        <w:t xml:space="preserve">more </w:t>
      </w:r>
      <w:r w:rsidR="00B975C2" w:rsidRPr="00366F48">
        <w:t>diverse</w:t>
      </w:r>
      <w:r w:rsidR="00E55FA4" w:rsidRPr="00366F48">
        <w:t xml:space="preserve"> </w:t>
      </w:r>
      <w:r w:rsidR="00763F39" w:rsidRPr="00366F48">
        <w:t xml:space="preserve">mechanisms to implement </w:t>
      </w:r>
      <w:r w:rsidR="00A619ED" w:rsidRPr="00366F48">
        <w:t>price</w:t>
      </w:r>
      <w:r w:rsidR="00763F39" w:rsidRPr="00366F48">
        <w:t xml:space="preserve"> control and </w:t>
      </w:r>
      <w:r w:rsidR="00366F48" w:rsidRPr="00366F48">
        <w:t xml:space="preserve">are trending towards </w:t>
      </w:r>
      <w:r w:rsidR="00763F39" w:rsidRPr="00366F48">
        <w:t>supply-side funding</w:t>
      </w:r>
      <w:r w:rsidR="00B81F5A" w:rsidRPr="00366F48">
        <w:t>.</w:t>
      </w:r>
      <w:r w:rsidR="006370DA">
        <w:rPr>
          <w:rStyle w:val="FootnoteReference"/>
        </w:rPr>
        <w:footnoteReference w:id="151"/>
      </w:r>
      <w:r w:rsidR="00B81F5A" w:rsidRPr="00366F48">
        <w:t xml:space="preserve"> </w:t>
      </w:r>
    </w:p>
    <w:p w14:paraId="7625F44E" w14:textId="77777777" w:rsidR="00AF7592" w:rsidRDefault="0008062D" w:rsidP="00D141F9">
      <w:r w:rsidRPr="0008062D">
        <w:t xml:space="preserve">Supply side funding is </w:t>
      </w:r>
      <w:r w:rsidR="00B969F2">
        <w:t>intended to cover the c</w:t>
      </w:r>
      <w:r w:rsidR="001E7191">
        <w:t xml:space="preserve">ost of providing child care </w:t>
      </w:r>
      <w:r w:rsidR="00451F91">
        <w:t xml:space="preserve">for a provider, this </w:t>
      </w:r>
      <w:r w:rsidR="00141B51">
        <w:t xml:space="preserve">can be achieved through direct public provision, </w:t>
      </w:r>
      <w:r w:rsidR="00CC7E52">
        <w:t xml:space="preserve">capital or operating subsidies. </w:t>
      </w:r>
      <w:r w:rsidR="008954B3">
        <w:t xml:space="preserve">This is in contrast to demand side subsidies, where funding is provided to cover </w:t>
      </w:r>
      <w:r w:rsidR="00CD6BE9">
        <w:t>the charge for a service</w:t>
      </w:r>
      <w:r w:rsidR="00B81064">
        <w:t xml:space="preserve"> (the CCS is falls under this category).</w:t>
      </w:r>
      <w:r w:rsidRPr="0008062D">
        <w:t xml:space="preserve"> </w:t>
      </w:r>
    </w:p>
    <w:p w14:paraId="79A5C5F3" w14:textId="77777777" w:rsidR="001D3A4B" w:rsidRDefault="0008062D" w:rsidP="0031578D">
      <w:r w:rsidRPr="0008062D">
        <w:t>In the context of Australia</w:t>
      </w:r>
      <w:r w:rsidR="00531C9F">
        <w:t xml:space="preserve">, </w:t>
      </w:r>
      <w:r w:rsidR="008F4E87">
        <w:t>the current CCS (demand</w:t>
      </w:r>
      <w:r w:rsidR="00531C9F">
        <w:t xml:space="preserve"> side </w:t>
      </w:r>
      <w:r w:rsidR="008F4E87">
        <w:t xml:space="preserve">subsidy) </w:t>
      </w:r>
      <w:r w:rsidR="00421E89">
        <w:t>incentivises the market to supply child care services in areas with greatest deman</w:t>
      </w:r>
      <w:r w:rsidR="00533520">
        <w:t xml:space="preserve">d and willingness or capacity. </w:t>
      </w:r>
      <w:r w:rsidR="00D958DD">
        <w:t xml:space="preserve">Therefore, </w:t>
      </w:r>
      <w:r w:rsidR="00D958DD" w:rsidRPr="00847B47">
        <w:t xml:space="preserve">childcare services in underserved </w:t>
      </w:r>
      <w:r w:rsidR="001D6F24">
        <w:t xml:space="preserve">and thin </w:t>
      </w:r>
      <w:r w:rsidR="00D958DD" w:rsidRPr="00847B47">
        <w:t xml:space="preserve">markets may face </w:t>
      </w:r>
      <w:r w:rsidR="00AC3509">
        <w:t xml:space="preserve">challenges and </w:t>
      </w:r>
      <w:r w:rsidR="00D958DD" w:rsidRPr="00847B47">
        <w:t>additional operational costs associated with providing ECEC on a per child basis.</w:t>
      </w:r>
      <w:r w:rsidR="00533520">
        <w:rPr>
          <w:rStyle w:val="FootnoteReference"/>
        </w:rPr>
        <w:footnoteReference w:id="152"/>
      </w:r>
      <w:r w:rsidR="001D6F24">
        <w:t xml:space="preserve"> </w:t>
      </w:r>
      <w:r w:rsidR="002E10E7">
        <w:t xml:space="preserve">Supply side funding in this instance would </w:t>
      </w:r>
      <w:r w:rsidR="008A3865">
        <w:t>ensure there is supply in thin markets and areas experiencing disad</w:t>
      </w:r>
      <w:r w:rsidR="00825D33">
        <w:t>vantage, to lower the costs of running a service</w:t>
      </w:r>
      <w:r w:rsidR="00301E84">
        <w:t xml:space="preserve">. </w:t>
      </w:r>
    </w:p>
    <w:p w14:paraId="481A18E7" w14:textId="0D8D1D32" w:rsidR="00221E85" w:rsidRPr="000E7A0F" w:rsidRDefault="00443C09" w:rsidP="0031578D">
      <w:r>
        <w:t xml:space="preserve">The CCCFR grant </w:t>
      </w:r>
      <w:r w:rsidR="00585A41">
        <w:t xml:space="preserve">supports </w:t>
      </w:r>
      <w:r w:rsidR="00F47254">
        <w:t>services in disadvantaged and vulnerable communtiies, many of which are in underserved and thin markets</w:t>
      </w:r>
      <w:r w:rsidR="000F7731">
        <w:t xml:space="preserve">. While the CCCFR </w:t>
      </w:r>
      <w:r w:rsidR="005B31EE">
        <w:t xml:space="preserve">grant </w:t>
      </w:r>
      <w:r w:rsidR="000F7731">
        <w:t>is not e</w:t>
      </w:r>
      <w:r w:rsidR="00C6665C">
        <w:t xml:space="preserve">xclusively </w:t>
      </w:r>
      <w:r w:rsidR="00C02BBE">
        <w:t xml:space="preserve">servicing providers in thin markets, it does act as a </w:t>
      </w:r>
      <w:r w:rsidR="00312303">
        <w:t xml:space="preserve">supply side subsidy by way of reducing overall operational and capital costs, irreispective of child care enrolement numbers. </w:t>
      </w:r>
      <w:r w:rsidR="00221E85" w:rsidRPr="00847B47">
        <w:t xml:space="preserve"> </w:t>
      </w:r>
    </w:p>
    <w:p w14:paraId="46049492" w14:textId="1793F43A" w:rsidR="00B7306D" w:rsidRDefault="00B7306D" w:rsidP="00D141F9"/>
    <w:p w14:paraId="3874A507" w14:textId="38D9B0A2" w:rsidR="009B664A" w:rsidRDefault="00C9061D" w:rsidP="00222E83">
      <w:pPr>
        <w:pStyle w:val="Heading2"/>
        <w:spacing w:after="240"/>
      </w:pPr>
      <w:bookmarkStart w:id="313" w:name="_Toc158993766"/>
      <w:bookmarkStart w:id="314" w:name="_Toc170227413"/>
      <w:r>
        <w:lastRenderedPageBreak/>
        <w:t>Alternative approaches to funding</w:t>
      </w:r>
      <w:bookmarkEnd w:id="313"/>
      <w:bookmarkEnd w:id="314"/>
    </w:p>
    <w:tbl>
      <w:tblPr>
        <w:tblStyle w:val="TableGrid"/>
        <w:tblW w:w="9027" w:type="dxa"/>
        <w:tblInd w:w="45" w:type="dxa"/>
        <w:tblBorders>
          <w:left w:val="double" w:sz="12" w:space="0" w:color="012169" w:themeColor="accent4"/>
        </w:tblBorders>
        <w:tblCellMar>
          <w:top w:w="85" w:type="dxa"/>
          <w:left w:w="227" w:type="dxa"/>
          <w:bottom w:w="85" w:type="dxa"/>
          <w:right w:w="113" w:type="dxa"/>
        </w:tblCellMar>
        <w:tblLook w:val="04A0" w:firstRow="1" w:lastRow="0" w:firstColumn="1" w:lastColumn="0" w:noHBand="0" w:noVBand="1"/>
      </w:tblPr>
      <w:tblGrid>
        <w:gridCol w:w="9027"/>
      </w:tblGrid>
      <w:tr w:rsidR="00B97B0F" w:rsidRPr="00BD1248" w14:paraId="4EEFF7C8" w14:textId="77777777" w:rsidTr="001C655F">
        <w:trPr>
          <w:cnfStyle w:val="100000000000" w:firstRow="1" w:lastRow="0" w:firstColumn="0" w:lastColumn="0" w:oddVBand="0" w:evenVBand="0" w:oddHBand="0" w:evenHBand="0" w:firstRowFirstColumn="0" w:firstRowLastColumn="0" w:lastRowFirstColumn="0" w:lastRowLastColumn="0"/>
          <w:cantSplit/>
        </w:trPr>
        <w:tc>
          <w:tcPr>
            <w:tcW w:w="9027" w:type="dxa"/>
            <w:shd w:val="clear" w:color="auto" w:fill="DFF0F9" w:themeFill="accent3" w:themeFillTint="33"/>
          </w:tcPr>
          <w:p w14:paraId="3B06BDA6" w14:textId="77777777" w:rsidR="008A5480" w:rsidRDefault="008A5480">
            <w:pPr>
              <w:spacing w:after="120"/>
              <w:rPr>
                <w:b/>
                <w:bCs/>
                <w:i/>
                <w:iCs/>
              </w:rPr>
            </w:pPr>
            <w:r w:rsidRPr="00B95090">
              <w:rPr>
                <w:b/>
                <w:bCs/>
                <w:i/>
                <w:iCs/>
              </w:rPr>
              <w:t>Key research questio</w:t>
            </w:r>
            <w:r>
              <w:rPr>
                <w:b/>
                <w:bCs/>
                <w:i/>
                <w:iCs/>
              </w:rPr>
              <w:t>ns</w:t>
            </w:r>
          </w:p>
          <w:p w14:paraId="76FBECCC" w14:textId="77777777" w:rsidR="008A5480" w:rsidRPr="000E7885" w:rsidRDefault="008A5480" w:rsidP="008A5480">
            <w:pPr>
              <w:rPr>
                <w:i/>
                <w:iCs/>
              </w:rPr>
            </w:pPr>
            <w:r w:rsidRPr="000E7885">
              <w:rPr>
                <w:i/>
                <w:iCs/>
              </w:rPr>
              <w:t>Would alternative funding approaches be better suited to achieve the intended outcomes of the CCCFR grant?</w:t>
            </w:r>
          </w:p>
          <w:p w14:paraId="4752CF85" w14:textId="39B84B17" w:rsidR="008A5480" w:rsidRPr="00D611B7" w:rsidRDefault="008A5480" w:rsidP="008A5480">
            <w:pPr>
              <w:spacing w:before="120" w:after="120"/>
              <w:rPr>
                <w:i/>
              </w:rPr>
            </w:pPr>
            <w:r w:rsidRPr="000E7885">
              <w:rPr>
                <w:i/>
                <w:iCs/>
              </w:rPr>
              <w:t>To what extent could funding be revised to improve effectiveness and efficiency?</w:t>
            </w:r>
          </w:p>
        </w:tc>
      </w:tr>
    </w:tbl>
    <w:p w14:paraId="402B8437" w14:textId="77777777" w:rsidR="008A5480" w:rsidRPr="008A5480" w:rsidRDefault="008A5480" w:rsidP="00D500F1">
      <w:pPr>
        <w:spacing w:after="120"/>
      </w:pPr>
    </w:p>
    <w:tbl>
      <w:tblPr>
        <w:tblStyle w:val="TableGrid"/>
        <w:tblW w:w="9026" w:type="dxa"/>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2D7FB1" w14:paraId="1CD0DF64" w14:textId="77777777" w:rsidTr="008A5480">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30B6724B" w14:textId="3060BAC2" w:rsidR="002D7FB1" w:rsidRPr="009E424E" w:rsidRDefault="002D7FB1">
            <w:pPr>
              <w:spacing w:after="120"/>
              <w:rPr>
                <w:b/>
                <w:bCs/>
              </w:rPr>
            </w:pPr>
            <w:r w:rsidRPr="009E424E">
              <w:rPr>
                <w:b/>
                <w:bCs/>
              </w:rPr>
              <w:t xml:space="preserve">Review finding </w:t>
            </w:r>
            <w:r w:rsidR="00AC4605">
              <w:rPr>
                <w:b/>
                <w:bCs/>
              </w:rPr>
              <w:t>19</w:t>
            </w:r>
          </w:p>
          <w:p w14:paraId="02F219B5" w14:textId="3873A65D" w:rsidR="002D7FB1" w:rsidRPr="009C5F49" w:rsidRDefault="001804F8" w:rsidP="009C5F49">
            <w:pPr>
              <w:spacing w:before="120" w:after="120"/>
              <w:rPr>
                <w:highlight w:val="yellow"/>
              </w:rPr>
            </w:pPr>
            <w:r w:rsidRPr="001804F8">
              <w:t>CCCFR grant funding is not intentionally responsive or adaptive to the current or evolving needs of community; it is largely a function of historical factors.</w:t>
            </w:r>
          </w:p>
        </w:tc>
      </w:tr>
    </w:tbl>
    <w:p w14:paraId="4BC810FB" w14:textId="77777777" w:rsidR="001D328D" w:rsidRPr="001D328D" w:rsidRDefault="001D328D" w:rsidP="001D328D">
      <w:pPr>
        <w:spacing w:before="170"/>
        <w:rPr>
          <w:b/>
          <w:bCs/>
        </w:rPr>
      </w:pPr>
      <w:r w:rsidRPr="001D328D">
        <w:rPr>
          <w:b/>
          <w:bCs/>
        </w:rPr>
        <w:t>Supporting evidence for this finding is drawn from desktop research and consultations.</w:t>
      </w:r>
    </w:p>
    <w:p w14:paraId="0BEDA77B" w14:textId="5524C29B" w:rsidR="00C934BA" w:rsidRDefault="00C934BA" w:rsidP="00C934BA">
      <w:r>
        <w:t>In addition to the perceived limitations in how the CCCFR grant can be used</w:t>
      </w:r>
      <w:r w:rsidR="0016253A">
        <w:t xml:space="preserve"> </w:t>
      </w:r>
      <w:r w:rsidR="0016253A" w:rsidRPr="008A5480">
        <w:t xml:space="preserve">(see </w:t>
      </w:r>
      <w:r w:rsidR="005A1EF2" w:rsidRPr="008A5480">
        <w:t>s</w:t>
      </w:r>
      <w:r w:rsidR="0016253A" w:rsidRPr="008A5480">
        <w:t xml:space="preserve">ection </w:t>
      </w:r>
      <w:r w:rsidR="005B7716" w:rsidRPr="008A5480">
        <w:fldChar w:fldCharType="begin"/>
      </w:r>
      <w:r w:rsidR="005B7716" w:rsidRPr="008A5480">
        <w:instrText xml:space="preserve"> REF _Ref153363326 \r \h </w:instrText>
      </w:r>
      <w:r w:rsidR="00DC74D7" w:rsidRPr="008A5480">
        <w:instrText xml:space="preserve"> \* MERGEFORMAT </w:instrText>
      </w:r>
      <w:r w:rsidR="005B7716" w:rsidRPr="008A5480">
        <w:fldChar w:fldCharType="separate"/>
      </w:r>
      <w:r w:rsidR="00D300D0">
        <w:t>6.1</w:t>
      </w:r>
      <w:r w:rsidR="005B7716" w:rsidRPr="008A5480">
        <w:fldChar w:fldCharType="end"/>
      </w:r>
      <w:r w:rsidR="0016253A" w:rsidRPr="008A5480">
        <w:t>)</w:t>
      </w:r>
      <w:r w:rsidRPr="008A5480">
        <w:t>,</w:t>
      </w:r>
      <w:r>
        <w:t xml:space="preserve"> s</w:t>
      </w:r>
      <w:r w:rsidRPr="00D63A85">
        <w:t>ome services reflect that the CCCFR grant, which was based on legacy funding and designed as a transition mechanism to the CCS, has not evolved in line with changing family and community needs across Australia</w:t>
      </w:r>
      <w:r>
        <w:t>.</w:t>
      </w:r>
    </w:p>
    <w:p w14:paraId="373EC85D" w14:textId="5E590A4D" w:rsidR="00C934BA" w:rsidRDefault="00C934BA" w:rsidP="00C934BA">
      <w:r w:rsidRPr="00BE561E">
        <w:t>As discussed, there was no initial long-term view of the CCCFR grant. Therefore, the 2017 transition to the grant from other models</w:t>
      </w:r>
      <w:r>
        <w:t xml:space="preserve"> </w:t>
      </w:r>
      <w:r w:rsidRPr="00BE561E">
        <w:t>was based on legacy funding arrangements. While this may have suited the needs of services at the time, services report that the landscape of child</w:t>
      </w:r>
      <w:r w:rsidR="00C155BC">
        <w:t xml:space="preserve"> </w:t>
      </w:r>
      <w:r w:rsidRPr="00BE561E">
        <w:t>care has drastically changed since the transition. This is due to two factors: (1) the design of the CCS, and its barriers to access for some families in rural and remote communities</w:t>
      </w:r>
      <w:r w:rsidR="00E9201A">
        <w:t xml:space="preserve">, Aboriginal and Torres Strait Islander families, and </w:t>
      </w:r>
      <w:r w:rsidR="007855AF">
        <w:t>vulnerable families</w:t>
      </w:r>
      <w:r w:rsidRPr="00BE561E">
        <w:t>; and (2) the changing needs of families in these communities. The need for CCCFR services has reportedly increased in some areas, however some services state that the fun</w:t>
      </w:r>
      <w:r>
        <w:t>ding model is not designed to be malleable to a</w:t>
      </w:r>
      <w:r w:rsidRPr="00BE561E">
        <w:t xml:space="preserve">ddress </w:t>
      </w:r>
      <w:r>
        <w:t xml:space="preserve">changing </w:t>
      </w:r>
      <w:r w:rsidRPr="00BE561E">
        <w:t>needs</w:t>
      </w:r>
      <w:r>
        <w:t>:</w:t>
      </w:r>
    </w:p>
    <w:p w14:paraId="7E9977D7" w14:textId="345281C1" w:rsidR="00C934BA" w:rsidRPr="002B5516" w:rsidRDefault="00F627A3" w:rsidP="00C934BA">
      <w:pPr>
        <w:rPr>
          <w:i/>
          <w:iCs/>
          <w:color w:val="26890D"/>
        </w:rPr>
      </w:pPr>
      <w:r w:rsidRPr="002B5516">
        <w:rPr>
          <w:i/>
          <w:iCs/>
          <w:color w:val="26890D"/>
        </w:rPr>
        <w:t>“</w:t>
      </w:r>
      <w:r w:rsidR="00C934BA" w:rsidRPr="002B5516">
        <w:rPr>
          <w:i/>
          <w:iCs/>
          <w:color w:val="26890D"/>
        </w:rPr>
        <w:t xml:space="preserve">We have this funding because we have had it historically. But there are other services /programs that are same as ours. If the criteria is to increase opportunities for children, they would do it by having more services. It is one program. But no funding. There is a huge need. The grant is restricted </w:t>
      </w:r>
      <w:r w:rsidRPr="002B5516">
        <w:rPr>
          <w:i/>
          <w:iCs/>
          <w:color w:val="26890D"/>
        </w:rPr>
        <w:t>–</w:t>
      </w:r>
      <w:r w:rsidR="00C934BA" w:rsidRPr="002B5516">
        <w:rPr>
          <w:i/>
          <w:iCs/>
          <w:color w:val="26890D"/>
        </w:rPr>
        <w:t xml:space="preserve"> closed. But these are places that need the money</w:t>
      </w:r>
      <w:r w:rsidRPr="002B5516">
        <w:rPr>
          <w:i/>
          <w:iCs/>
          <w:color w:val="26890D"/>
        </w:rPr>
        <w:t>”</w:t>
      </w:r>
      <w:r w:rsidR="00C934BA" w:rsidRPr="002B5516">
        <w:rPr>
          <w:i/>
          <w:iCs/>
          <w:color w:val="26890D"/>
        </w:rPr>
        <w:t>.</w:t>
      </w:r>
    </w:p>
    <w:p w14:paraId="60976E10" w14:textId="5C48A9FF" w:rsidR="00C934BA" w:rsidRPr="002B5516" w:rsidRDefault="00C934BA" w:rsidP="00C934BA">
      <w:pPr>
        <w:rPr>
          <w:i/>
          <w:iCs/>
          <w:color w:val="26890D"/>
        </w:rPr>
      </w:pPr>
      <w:r w:rsidRPr="002B5516">
        <w:rPr>
          <w:i/>
          <w:iCs/>
          <w:color w:val="26890D"/>
        </w:rPr>
        <w:tab/>
        <w:t>“If new design for services, still one size fits all. I have 10 communities, but they are all different. So, a wish for us to not be looked at us 10 services all get one grant. One community needs something different to another even they we</w:t>
      </w:r>
      <w:r w:rsidR="00F627A3" w:rsidRPr="002B5516">
        <w:rPr>
          <w:i/>
          <w:iCs/>
          <w:color w:val="26890D"/>
        </w:rPr>
        <w:t>’</w:t>
      </w:r>
      <w:r w:rsidRPr="002B5516">
        <w:rPr>
          <w:i/>
          <w:iCs/>
          <w:color w:val="26890D"/>
        </w:rPr>
        <w:t>re provider for both”.</w:t>
      </w:r>
    </w:p>
    <w:p w14:paraId="6369F38D" w14:textId="37065394" w:rsidR="00671B0A" w:rsidRPr="00671B0A" w:rsidRDefault="00671B0A" w:rsidP="00671B0A">
      <w:r w:rsidRPr="00671B0A">
        <w:t xml:space="preserve">Further, some services reflect that contrasting demographic groups within their local community can create challenges in terms of meeting the range of need. For example, some services report that there are two broad cohorts of residents within their community: one is transient to the area (i.e., temporary workers such as teachers/nurses/police with children); the second are local and are more likely to experience social and economic vulnerabilities. The price point at which these two cohorts can enrol their children to CCCFR services vary considerably. </w:t>
      </w:r>
      <w:r w:rsidR="004F0462">
        <w:t xml:space="preserve">The current design of the CCCFR funding is not adaptive </w:t>
      </w:r>
      <w:r w:rsidR="006A1E97">
        <w:t xml:space="preserve">to </w:t>
      </w:r>
      <w:r w:rsidR="00734480">
        <w:t>variations within community.</w:t>
      </w:r>
    </w:p>
    <w:p w14:paraId="7C91A095" w14:textId="3082FE95" w:rsidR="007B29B1" w:rsidRDefault="00A64052" w:rsidP="00671B0A">
      <w:r>
        <w:t>A</w:t>
      </w:r>
      <w:r w:rsidR="00623D3A">
        <w:t xml:space="preserve">n especially vulnerable </w:t>
      </w:r>
      <w:r w:rsidR="0018574F">
        <w:t>cohort of</w:t>
      </w:r>
      <w:r w:rsidR="00623D3A">
        <w:t xml:space="preserve"> children </w:t>
      </w:r>
      <w:r w:rsidR="0018574F">
        <w:t xml:space="preserve">are those with disability </w:t>
      </w:r>
      <w:r w:rsidR="00E12260">
        <w:t>and/or additional barriers to learning or development.</w:t>
      </w:r>
      <w:r w:rsidR="00623D3A">
        <w:t xml:space="preserve"> </w:t>
      </w:r>
      <w:r w:rsidR="00F87459">
        <w:t>No data was available on the proportion of children in CCCFR services w</w:t>
      </w:r>
      <w:r w:rsidR="000464D9">
        <w:t>ith additional needs</w:t>
      </w:r>
      <w:r w:rsidR="00920B00">
        <w:t>. However</w:t>
      </w:r>
      <w:r w:rsidR="00226FBF">
        <w:t xml:space="preserve">, </w:t>
      </w:r>
      <w:r w:rsidR="007B3654">
        <w:t xml:space="preserve">there are indeed children within communities </w:t>
      </w:r>
      <w:r w:rsidR="00075239">
        <w:t xml:space="preserve">with disability that require </w:t>
      </w:r>
      <w:r w:rsidR="0057771D">
        <w:t>early childhood education</w:t>
      </w:r>
      <w:r w:rsidR="003C0039">
        <w:t xml:space="preserve"> and care</w:t>
      </w:r>
      <w:r w:rsidR="0057771D">
        <w:t>.</w:t>
      </w:r>
      <w:r w:rsidR="003C0039">
        <w:t xml:space="preserve"> </w:t>
      </w:r>
      <w:r w:rsidR="002C3B43">
        <w:t xml:space="preserve">The most recent </w:t>
      </w:r>
      <w:r w:rsidR="008E53E8">
        <w:t>disability data in Australia from 2015 indicate</w:t>
      </w:r>
      <w:r w:rsidR="00E40BF4">
        <w:t>s</w:t>
      </w:r>
      <w:r w:rsidR="008E53E8">
        <w:t xml:space="preserve"> that </w:t>
      </w:r>
      <w:r w:rsidR="00D2748F">
        <w:t>7.4</w:t>
      </w:r>
      <w:r w:rsidR="007F4CE1">
        <w:t xml:space="preserve"> per cent</w:t>
      </w:r>
      <w:r w:rsidR="00D2748F">
        <w:t xml:space="preserve"> of children had some level of disability.</w:t>
      </w:r>
      <w:r w:rsidR="003E1443">
        <w:rPr>
          <w:rStyle w:val="FootnoteReference"/>
        </w:rPr>
        <w:footnoteReference w:id="153"/>
      </w:r>
      <w:r w:rsidR="00D2748F">
        <w:t xml:space="preserve"> </w:t>
      </w:r>
      <w:r w:rsidR="0046291F">
        <w:t xml:space="preserve">The proportion of children with a severe disability was </w:t>
      </w:r>
      <w:r w:rsidR="00D40104">
        <w:t>highest</w:t>
      </w:r>
      <w:r w:rsidR="0046291F">
        <w:t xml:space="preserve"> in inner regional areas (5.4</w:t>
      </w:r>
      <w:r w:rsidR="007F4CE1">
        <w:t xml:space="preserve"> per cent</w:t>
      </w:r>
      <w:r w:rsidR="0046291F">
        <w:t>) and a</w:t>
      </w:r>
      <w:r w:rsidR="0025020B">
        <w:t xml:space="preserve">mong low-income </w:t>
      </w:r>
      <w:r w:rsidR="0025020B">
        <w:lastRenderedPageBreak/>
        <w:t>house</w:t>
      </w:r>
      <w:r w:rsidR="00D40104">
        <w:t>holds (5.2</w:t>
      </w:r>
      <w:r w:rsidR="007F4CE1">
        <w:t xml:space="preserve"> per cent</w:t>
      </w:r>
      <w:r w:rsidR="00D40104">
        <w:t>)</w:t>
      </w:r>
      <w:r w:rsidR="00B142CF">
        <w:t>,</w:t>
      </w:r>
      <w:r w:rsidR="00502EA1">
        <w:rPr>
          <w:rStyle w:val="FootnoteReference"/>
        </w:rPr>
        <w:footnoteReference w:id="154"/>
      </w:r>
      <w:r w:rsidR="00D40104">
        <w:t xml:space="preserve"> of which, </w:t>
      </w:r>
      <w:r w:rsidR="003E1443">
        <w:t>largely reflects the demographic of communities in which CCCFR services are located.</w:t>
      </w:r>
      <w:r w:rsidR="002E497C">
        <w:t xml:space="preserve"> </w:t>
      </w:r>
    </w:p>
    <w:p w14:paraId="518A8417" w14:textId="5E80C82F" w:rsidR="00D5167E" w:rsidRDefault="0068095E" w:rsidP="00671B0A">
      <w:r>
        <w:t>Inclusion supports</w:t>
      </w:r>
      <w:r w:rsidR="005D4560">
        <w:t xml:space="preserve"> such as </w:t>
      </w:r>
      <w:r>
        <w:t xml:space="preserve">those offered under </w:t>
      </w:r>
      <w:r w:rsidR="005D4560">
        <w:t xml:space="preserve">the </w:t>
      </w:r>
      <w:r w:rsidR="009E1712">
        <w:t>ISP and individualised supports</w:t>
      </w:r>
      <w:r w:rsidR="00E40BF4">
        <w:t xml:space="preserve"> offered through </w:t>
      </w:r>
      <w:r w:rsidR="009E1712">
        <w:t xml:space="preserve">the NDIS are available for services and families </w:t>
      </w:r>
      <w:r w:rsidR="00BA749A">
        <w:t xml:space="preserve">(respectively) </w:t>
      </w:r>
      <w:r w:rsidR="009E1712">
        <w:t>to</w:t>
      </w:r>
      <w:r w:rsidR="00BA749A">
        <w:t xml:space="preserve"> support children with disability.</w:t>
      </w:r>
      <w:r w:rsidR="00322AE2">
        <w:t xml:space="preserve"> Further, under ISP, support is also provided to children </w:t>
      </w:r>
      <w:r w:rsidR="00791F33">
        <w:t xml:space="preserve">classified as having </w:t>
      </w:r>
      <w:r w:rsidR="00322AE2">
        <w:t>‘additional needs’</w:t>
      </w:r>
      <w:r w:rsidR="00C242CD">
        <w:t xml:space="preserve">, defined as those not only with a disability, </w:t>
      </w:r>
      <w:r w:rsidR="000759A5">
        <w:t>but also challenging behaviours (including trauma-related).</w:t>
      </w:r>
      <w:r w:rsidR="0064053F">
        <w:rPr>
          <w:rStyle w:val="FootnoteReference"/>
        </w:rPr>
        <w:footnoteReference w:id="155"/>
      </w:r>
      <w:r w:rsidR="00322AE2">
        <w:t xml:space="preserve"> </w:t>
      </w:r>
      <w:r w:rsidR="00847987">
        <w:t>The</w:t>
      </w:r>
      <w:r w:rsidR="007E65D9">
        <w:t xml:space="preserve"> </w:t>
      </w:r>
      <w:r w:rsidR="001C606E">
        <w:t>proportion of</w:t>
      </w:r>
      <w:r w:rsidR="007E65D9">
        <w:t xml:space="preserve"> </w:t>
      </w:r>
      <w:r w:rsidR="00F934E0">
        <w:t>CCCFR</w:t>
      </w:r>
      <w:r w:rsidR="007E65D9">
        <w:t xml:space="preserve"> services</w:t>
      </w:r>
      <w:r w:rsidR="00C671DD">
        <w:t>, as well as the families attending these services that</w:t>
      </w:r>
      <w:r w:rsidR="00780851">
        <w:t xml:space="preserve"> </w:t>
      </w:r>
      <w:r w:rsidR="007E65D9">
        <w:t>utilise ISP and NDIS</w:t>
      </w:r>
      <w:r w:rsidR="00C671DD">
        <w:t>,</w:t>
      </w:r>
      <w:r w:rsidR="007E65D9">
        <w:t xml:space="preserve"> needs to be </w:t>
      </w:r>
      <w:r w:rsidR="002F2B10">
        <w:t xml:space="preserve">further </w:t>
      </w:r>
      <w:r w:rsidR="007E65D9">
        <w:t xml:space="preserve">explored. </w:t>
      </w:r>
      <w:r w:rsidR="00847987">
        <w:t xml:space="preserve">However, </w:t>
      </w:r>
      <w:r w:rsidR="001C606E">
        <w:t>stakeholder consultations reveal that s</w:t>
      </w:r>
      <w:r w:rsidR="00AF188C">
        <w:t xml:space="preserve">ome services </w:t>
      </w:r>
      <w:r w:rsidR="001C606E">
        <w:t xml:space="preserve">do utilise </w:t>
      </w:r>
      <w:r w:rsidR="00C30848">
        <w:t>ISP/NDIS</w:t>
      </w:r>
      <w:r w:rsidR="00985944">
        <w:t xml:space="preserve"> </w:t>
      </w:r>
      <w:r w:rsidR="008B1C12">
        <w:t>–</w:t>
      </w:r>
      <w:r w:rsidR="00985944">
        <w:t xml:space="preserve"> </w:t>
      </w:r>
      <w:r w:rsidR="001E61B4">
        <w:t>for example, one service has a</w:t>
      </w:r>
      <w:r w:rsidR="00985944">
        <w:t xml:space="preserve"> partnership with </w:t>
      </w:r>
      <w:r w:rsidR="00985944" w:rsidRPr="00985944">
        <w:t>Action Ability Australia to provide speech therapy and occupational therapy</w:t>
      </w:r>
      <w:r w:rsidR="001E61B4">
        <w:t xml:space="preserve"> to children</w:t>
      </w:r>
      <w:r w:rsidR="00985944" w:rsidRPr="00985944">
        <w:t xml:space="preserve"> through </w:t>
      </w:r>
      <w:r w:rsidR="00985944">
        <w:t xml:space="preserve">the </w:t>
      </w:r>
      <w:r w:rsidR="00985944" w:rsidRPr="00985944">
        <w:t>NDIS</w:t>
      </w:r>
      <w:r w:rsidR="00985944">
        <w:t>.</w:t>
      </w:r>
    </w:p>
    <w:p w14:paraId="3F43851E" w14:textId="07E86C15" w:rsidR="00B142CF" w:rsidRPr="00CD38C6" w:rsidRDefault="001C606E" w:rsidP="00671B0A">
      <w:r>
        <w:t>I</w:t>
      </w:r>
      <w:r w:rsidR="00B0570A">
        <w:t xml:space="preserve">rrespective of whether </w:t>
      </w:r>
      <w:r w:rsidR="00325DA1">
        <w:t xml:space="preserve">services/families </w:t>
      </w:r>
      <w:r w:rsidR="00847987">
        <w:t xml:space="preserve">are </w:t>
      </w:r>
      <w:r w:rsidR="00325DA1">
        <w:t>utilising</w:t>
      </w:r>
      <w:r w:rsidR="00B0570A">
        <w:t xml:space="preserve"> </w:t>
      </w:r>
      <w:r w:rsidR="006319F7">
        <w:t>ISP</w:t>
      </w:r>
      <w:r w:rsidR="00325DA1">
        <w:t>/</w:t>
      </w:r>
      <w:r w:rsidR="006319F7">
        <w:t>NDIS</w:t>
      </w:r>
      <w:r w:rsidR="00847987">
        <w:t xml:space="preserve">, </w:t>
      </w:r>
      <w:r w:rsidR="006319F7">
        <w:t>a</w:t>
      </w:r>
      <w:r w:rsidR="00847987">
        <w:t xml:space="preserve"> </w:t>
      </w:r>
      <w:r w:rsidR="005B064B">
        <w:t xml:space="preserve">key </w:t>
      </w:r>
      <w:r w:rsidR="006319F7">
        <w:t>challenge</w:t>
      </w:r>
      <w:r w:rsidR="00416A47">
        <w:t xml:space="preserve"> </w:t>
      </w:r>
      <w:r w:rsidR="005B064B">
        <w:t xml:space="preserve">for CCCFR </w:t>
      </w:r>
      <w:r w:rsidR="00855748">
        <w:t>is the capacity to meet</w:t>
      </w:r>
      <w:r w:rsidR="00B2234A">
        <w:t xml:space="preserve"> the required staff to child ratios</w:t>
      </w:r>
      <w:r w:rsidR="00C671DD">
        <w:t xml:space="preserve"> and maintain adequate supervision of children at all times</w:t>
      </w:r>
      <w:r w:rsidR="001E1042">
        <w:t xml:space="preserve">. This </w:t>
      </w:r>
      <w:r w:rsidR="00016C08">
        <w:t xml:space="preserve">issue is present </w:t>
      </w:r>
      <w:r w:rsidR="00BE0929">
        <w:t>even with t</w:t>
      </w:r>
      <w:r w:rsidR="001E1042">
        <w:t>he additional educator subsidy</w:t>
      </w:r>
      <w:r w:rsidR="00016C08">
        <w:t xml:space="preserve"> available to CCCFR services</w:t>
      </w:r>
      <w:r w:rsidR="001E1042">
        <w:t xml:space="preserve"> </w:t>
      </w:r>
      <w:r w:rsidR="00045B96">
        <w:t>utilising</w:t>
      </w:r>
      <w:r w:rsidR="001E1042">
        <w:t xml:space="preserve"> ISP, </w:t>
      </w:r>
      <w:r w:rsidR="004A09CA">
        <w:t>given existing workforce shortages in the community</w:t>
      </w:r>
      <w:r w:rsidR="00E01A85">
        <w:t xml:space="preserve"> (see quotes below)</w:t>
      </w:r>
      <w:r w:rsidR="005946ED">
        <w:t xml:space="preserve">. </w:t>
      </w:r>
      <w:r w:rsidR="00C671DD">
        <w:t xml:space="preserve">Maintaining adequate supervision in line </w:t>
      </w:r>
      <w:r w:rsidR="000568D2">
        <w:t>with expectations under</w:t>
      </w:r>
      <w:r w:rsidR="00C671DD">
        <w:t xml:space="preserve"> the </w:t>
      </w:r>
      <w:r w:rsidR="000568D2">
        <w:t>NQF</w:t>
      </w:r>
      <w:r w:rsidR="00C671DD">
        <w:t xml:space="preserve"> can be more challenging when</w:t>
      </w:r>
      <w:r w:rsidR="000568D2">
        <w:t xml:space="preserve"> caring for</w:t>
      </w:r>
      <w:r w:rsidR="00C671DD">
        <w:t xml:space="preserve"> children with disability or </w:t>
      </w:r>
      <w:r w:rsidR="00A52E43">
        <w:t>additional needs</w:t>
      </w:r>
      <w:r w:rsidR="000568D2">
        <w:t xml:space="preserve">, as </w:t>
      </w:r>
      <w:r w:rsidR="006B4A2D">
        <w:t>incr</w:t>
      </w:r>
      <w:r w:rsidR="006C5FCC">
        <w:t xml:space="preserve">eased </w:t>
      </w:r>
      <w:r w:rsidR="000568D2">
        <w:t xml:space="preserve">educator-to-child </w:t>
      </w:r>
      <w:r w:rsidR="006C5FCC">
        <w:t xml:space="preserve">engagement </w:t>
      </w:r>
      <w:r w:rsidR="000568D2">
        <w:t xml:space="preserve">is likely </w:t>
      </w:r>
      <w:r w:rsidR="006C5FCC">
        <w:t xml:space="preserve">needed to ensure </w:t>
      </w:r>
      <w:r w:rsidR="000568D2">
        <w:t>meaningful inclusion and participation in the program</w:t>
      </w:r>
      <w:r w:rsidR="00A52E43">
        <w:t>,</w:t>
      </w:r>
      <w:r w:rsidR="000568D2">
        <w:t xml:space="preserve"> potentially impacting on the supervision of other children</w:t>
      </w:r>
      <w:r w:rsidR="00E01A85">
        <w:t>.</w:t>
      </w:r>
      <w:r w:rsidR="002659F9">
        <w:rPr>
          <w:rStyle w:val="FootnoteReference"/>
        </w:rPr>
        <w:footnoteReference w:id="156"/>
      </w:r>
      <w:r w:rsidR="002E497C">
        <w:t xml:space="preserve"> </w:t>
      </w:r>
      <w:r w:rsidR="005B064B">
        <w:t xml:space="preserve"> </w:t>
      </w:r>
    </w:p>
    <w:p w14:paraId="76F7FB07" w14:textId="3EA21B20" w:rsidR="00BB0256" w:rsidRPr="002B5516" w:rsidRDefault="00BB0256" w:rsidP="00671B0A">
      <w:pPr>
        <w:rPr>
          <w:i/>
          <w:color w:val="26890D"/>
        </w:rPr>
      </w:pPr>
      <w:r w:rsidRPr="002B5516">
        <w:rPr>
          <w:i/>
          <w:iCs/>
          <w:color w:val="26890D"/>
        </w:rPr>
        <w:t xml:space="preserve">“Enrolments have </w:t>
      </w:r>
      <w:r w:rsidR="00C252F2" w:rsidRPr="002B5516">
        <w:rPr>
          <w:i/>
          <w:iCs/>
          <w:color w:val="26890D"/>
        </w:rPr>
        <w:t>dropped,</w:t>
      </w:r>
      <w:r w:rsidRPr="002B5516">
        <w:rPr>
          <w:i/>
          <w:iCs/>
          <w:color w:val="26890D"/>
        </w:rPr>
        <w:t xml:space="preserve"> and we can’t build back up because we don’t have staff to meet ratios”.</w:t>
      </w:r>
    </w:p>
    <w:p w14:paraId="2B3094B0" w14:textId="0AC24C85" w:rsidR="005B6CF0" w:rsidRPr="002B5516" w:rsidRDefault="005B6CF0" w:rsidP="00671B0A">
      <w:pPr>
        <w:rPr>
          <w:i/>
          <w:iCs/>
          <w:color w:val="26890D"/>
        </w:rPr>
      </w:pPr>
      <w:r w:rsidRPr="002B5516">
        <w:rPr>
          <w:i/>
          <w:color w:val="26890D"/>
        </w:rPr>
        <w:t>“Attracting staff and upholding ratios is our biggest issue”.</w:t>
      </w:r>
    </w:p>
    <w:p w14:paraId="2C663880" w14:textId="58F6E4CE" w:rsidR="00C934BA" w:rsidRDefault="00C934BA" w:rsidP="00C934BA">
      <w:r>
        <w:t xml:space="preserve">While </w:t>
      </w:r>
      <w:r w:rsidR="008E7018">
        <w:t>the original</w:t>
      </w:r>
      <w:r>
        <w:t xml:space="preserve"> design of the grant can be attribut</w:t>
      </w:r>
      <w:r w:rsidR="008E7018">
        <w:t>ed</w:t>
      </w:r>
      <w:r>
        <w:t xml:space="preserve"> to the fact that services on the CCCFR grant were to transition fully on CCS over time, there was no policy or plan in place </w:t>
      </w:r>
      <w:r w:rsidR="00C43E0A">
        <w:t>to support</w:t>
      </w:r>
      <w:r>
        <w:t xml:space="preserve"> services </w:t>
      </w:r>
      <w:r w:rsidR="00F42B8B">
        <w:t xml:space="preserve">to </w:t>
      </w:r>
      <w:r w:rsidR="00C43E0A">
        <w:t>make this transition</w:t>
      </w:r>
      <w:r>
        <w:t xml:space="preserve">. Rather, as outlined in the 2017 guidelines, as part of the application process for the CCCFR grant, services were required to write and implement a transition plan themselves. There are many issues which arise with this, </w:t>
      </w:r>
      <w:r w:rsidR="00A3727D">
        <w:t xml:space="preserve">such as </w:t>
      </w:r>
      <w:r>
        <w:t xml:space="preserve">(1) </w:t>
      </w:r>
      <w:r w:rsidR="00A3727D">
        <w:t xml:space="preserve">it </w:t>
      </w:r>
      <w:r>
        <w:t xml:space="preserve">requires </w:t>
      </w:r>
      <w:r w:rsidR="00A3727D">
        <w:t>a</w:t>
      </w:r>
      <w:r>
        <w:t xml:space="preserve"> good understanding of the new system, (2) </w:t>
      </w:r>
      <w:r w:rsidR="00A3727D">
        <w:t xml:space="preserve">it places additional </w:t>
      </w:r>
      <w:r>
        <w:t>admin</w:t>
      </w:r>
      <w:r w:rsidR="00A3727D">
        <w:t>istrative</w:t>
      </w:r>
      <w:r>
        <w:t xml:space="preserve"> </w:t>
      </w:r>
      <w:r w:rsidR="00A3727D">
        <w:t>burden on</w:t>
      </w:r>
      <w:r>
        <w:t xml:space="preserve"> services. </w:t>
      </w:r>
    </w:p>
    <w:p w14:paraId="13DFE987" w14:textId="644AD1B0" w:rsidR="001804F8" w:rsidRDefault="00C934BA" w:rsidP="00556184">
      <w:r>
        <w:t xml:space="preserve">Therefore, a CCCFR grant allocation based off historical funding amounts, compounding with its rigid design, has </w:t>
      </w:r>
      <w:r w:rsidR="00297412">
        <w:t xml:space="preserve">– in practice – </w:t>
      </w:r>
      <w:r>
        <w:t xml:space="preserve">led to an </w:t>
      </w:r>
      <w:r w:rsidR="00DD1D9F">
        <w:t>outdated</w:t>
      </w:r>
      <w:r>
        <w:t xml:space="preserve"> and inflexible funding model that has often not met the needs of </w:t>
      </w:r>
      <w:r w:rsidR="00C2013E">
        <w:t>local families and communities</w:t>
      </w:r>
      <w:r>
        <w:t xml:space="preserve">.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804F8" w14:paraId="007226D0" w14:textId="77777777" w:rsidTr="00556184">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5CEE1CDF" w14:textId="3AE1492A" w:rsidR="001804F8" w:rsidRPr="009E424E" w:rsidRDefault="001804F8">
            <w:pPr>
              <w:spacing w:after="120"/>
              <w:rPr>
                <w:b/>
                <w:bCs/>
              </w:rPr>
            </w:pPr>
            <w:r w:rsidRPr="009E424E">
              <w:rPr>
                <w:b/>
                <w:bCs/>
              </w:rPr>
              <w:t xml:space="preserve">Review finding </w:t>
            </w:r>
            <w:r w:rsidR="00EF249C">
              <w:rPr>
                <w:b/>
                <w:bCs/>
              </w:rPr>
              <w:t>20</w:t>
            </w:r>
          </w:p>
          <w:p w14:paraId="000FFD39" w14:textId="78084425" w:rsidR="001804F8" w:rsidRPr="009C5F49" w:rsidRDefault="00517256" w:rsidP="009C5F49">
            <w:pPr>
              <w:spacing w:after="120"/>
            </w:pPr>
            <w:r w:rsidRPr="00517256">
              <w:t>CCCFR services</w:t>
            </w:r>
            <w:r w:rsidR="00E5096D" w:rsidRPr="00E5096D">
              <w:t xml:space="preserve"> are seeking greater assurance in continuity of funding and greater flexibility in determining how funding meets the</w:t>
            </w:r>
            <w:r w:rsidR="00EE67DB">
              <w:t xml:space="preserve"> ECEC</w:t>
            </w:r>
            <w:r w:rsidR="00E5096D" w:rsidRPr="00E5096D">
              <w:t xml:space="preserve"> needs of their community.</w:t>
            </w:r>
          </w:p>
        </w:tc>
      </w:tr>
    </w:tbl>
    <w:p w14:paraId="3647A865" w14:textId="116DA66C" w:rsidR="001804F8" w:rsidRPr="001D328D" w:rsidRDefault="001804F8" w:rsidP="001804F8">
      <w:pPr>
        <w:spacing w:before="170"/>
        <w:rPr>
          <w:b/>
          <w:bCs/>
        </w:rPr>
      </w:pPr>
      <w:r w:rsidRPr="001D328D">
        <w:rPr>
          <w:b/>
          <w:bCs/>
        </w:rPr>
        <w:t xml:space="preserve">Supporting evidence for this finding is drawn from </w:t>
      </w:r>
      <w:r w:rsidR="00EE1DF0">
        <w:rPr>
          <w:b/>
          <w:bCs/>
        </w:rPr>
        <w:t xml:space="preserve">desktop research and </w:t>
      </w:r>
      <w:r w:rsidRPr="001D328D">
        <w:rPr>
          <w:b/>
          <w:bCs/>
        </w:rPr>
        <w:t>consultations.</w:t>
      </w:r>
    </w:p>
    <w:p w14:paraId="53FD03CA" w14:textId="6F4C1073" w:rsidR="00AC09FE" w:rsidRDefault="00EE3310" w:rsidP="00EE3310">
      <w:r>
        <w:t>T</w:t>
      </w:r>
      <w:r w:rsidR="00AC09FE">
        <w:t xml:space="preserve">he grant is most aligned with programmatic funding, which is where funding amounts are made available and allocated for a specific purpose and timeframe. In the case of </w:t>
      </w:r>
      <w:r w:rsidR="002C244E">
        <w:t xml:space="preserve">the </w:t>
      </w:r>
      <w:r w:rsidR="00AC09FE">
        <w:t>CCCFR</w:t>
      </w:r>
      <w:r w:rsidR="002C244E">
        <w:t xml:space="preserve"> grant</w:t>
      </w:r>
      <w:r w:rsidR="00AC09FE">
        <w:t>, it was allocated with the intention of the grant eventually ceas</w:t>
      </w:r>
      <w:r w:rsidR="0086141A">
        <w:t>ing</w:t>
      </w:r>
      <w:r w:rsidR="00AC09FE">
        <w:t xml:space="preserve"> as services fully transition onto </w:t>
      </w:r>
      <w:r w:rsidR="00E37C6B">
        <w:t xml:space="preserve">the </w:t>
      </w:r>
      <w:r w:rsidR="00AC09FE">
        <w:t xml:space="preserve">CCS. </w:t>
      </w:r>
    </w:p>
    <w:p w14:paraId="38686611" w14:textId="34788091" w:rsidR="00CF4419" w:rsidRDefault="00D848E2" w:rsidP="00CF4419">
      <w:r>
        <w:t xml:space="preserve">While the funding for the grant is ongoing, the </w:t>
      </w:r>
      <w:r w:rsidR="00545411">
        <w:t>grant agreement</w:t>
      </w:r>
      <w:r w:rsidR="00CF12D4">
        <w:t>s</w:t>
      </w:r>
      <w:r w:rsidR="00545411">
        <w:t xml:space="preserve"> between the Department and CCCFR services</w:t>
      </w:r>
      <w:r w:rsidR="00CC3E1E">
        <w:t xml:space="preserve"> was </w:t>
      </w:r>
      <w:r w:rsidR="00392D07">
        <w:t xml:space="preserve">previously </w:t>
      </w:r>
      <w:r w:rsidR="00CC3E1E">
        <w:t>five years, and recently extended to seven. This</w:t>
      </w:r>
      <w:r w:rsidR="00AC09FE">
        <w:t xml:space="preserve"> has created </w:t>
      </w:r>
      <w:r w:rsidR="00392D07">
        <w:t xml:space="preserve">long term </w:t>
      </w:r>
      <w:r w:rsidR="00AC09FE">
        <w:t>funding uncertainty for services who heavily rely on the grant.</w:t>
      </w:r>
      <w:r w:rsidR="00CF4419" w:rsidRPr="00CF4419">
        <w:t xml:space="preserve"> </w:t>
      </w:r>
      <w:r w:rsidR="003D2A5D">
        <w:t>This reveals that t</w:t>
      </w:r>
      <w:r w:rsidR="00C24DDB">
        <w:t xml:space="preserve">here is an </w:t>
      </w:r>
      <w:r w:rsidR="00C24DDB">
        <w:lastRenderedPageBreak/>
        <w:t>opportunity for t</w:t>
      </w:r>
      <w:r w:rsidR="001461FC">
        <w:t xml:space="preserve">he Department to </w:t>
      </w:r>
      <w:r w:rsidR="00257E15">
        <w:t>consult and explore with services</w:t>
      </w:r>
      <w:r w:rsidR="00D21F9E">
        <w:t xml:space="preserve"> to</w:t>
      </w:r>
      <w:r w:rsidR="00257E15">
        <w:t xml:space="preserve"> determine </w:t>
      </w:r>
      <w:r w:rsidR="00B264C1">
        <w:t>the level of continuity in funding that</w:t>
      </w:r>
      <w:r w:rsidR="003D2A5D">
        <w:t xml:space="preserve"> best</w:t>
      </w:r>
      <w:r w:rsidR="00B264C1">
        <w:t xml:space="preserve"> </w:t>
      </w:r>
      <w:r w:rsidR="003D2A5D">
        <w:t>suits</w:t>
      </w:r>
      <w:r w:rsidR="00B264C1">
        <w:t xml:space="preserve"> their financial planning needs</w:t>
      </w:r>
      <w:r w:rsidR="008A061C">
        <w:t>.</w:t>
      </w:r>
      <w:r w:rsidR="00B264C1">
        <w:t xml:space="preserve"> </w:t>
      </w:r>
      <w:r w:rsidR="00DC0B06">
        <w:t xml:space="preserve">Services are also seeking for greater flexibility in funding allocation, in meeting the needs of community: </w:t>
      </w:r>
    </w:p>
    <w:p w14:paraId="1D29855E" w14:textId="6AAE7027" w:rsidR="001804F8" w:rsidRPr="002B5516" w:rsidRDefault="00CF4419" w:rsidP="00D500F1">
      <w:pPr>
        <w:spacing w:after="120"/>
        <w:rPr>
          <w:i/>
          <w:iCs/>
          <w:color w:val="26890D"/>
        </w:rPr>
      </w:pPr>
      <w:r w:rsidRPr="002B5516">
        <w:rPr>
          <w:i/>
          <w:iCs/>
          <w:color w:val="26890D"/>
        </w:rPr>
        <w:t xml:space="preserve">“The review should consider the flexibility of service provision remote, staffing challenges, training and transient nature of remote residents </w:t>
      </w:r>
      <w:r w:rsidR="00F627A3" w:rsidRPr="002B5516">
        <w:rPr>
          <w:i/>
          <w:iCs/>
          <w:color w:val="26890D"/>
        </w:rPr>
        <w:t>–</w:t>
      </w:r>
      <w:r w:rsidRPr="002B5516">
        <w:rPr>
          <w:i/>
          <w:iCs/>
          <w:color w:val="26890D"/>
        </w:rPr>
        <w:t xml:space="preserve"> the review should consider early learning programs as there is an age group of kids that are not catered for by this program”.</w:t>
      </w:r>
    </w:p>
    <w:p w14:paraId="7B51D0A3" w14:textId="10C590BE" w:rsidR="00A04977" w:rsidRPr="00A04977" w:rsidRDefault="00C93D3D" w:rsidP="00CF4419">
      <w:r>
        <w:t xml:space="preserve">Barriers to </w:t>
      </w:r>
      <w:r w:rsidR="00045DBD">
        <w:t>supporting</w:t>
      </w:r>
      <w:r>
        <w:t xml:space="preserve"> funding flexibility include a lack o</w:t>
      </w:r>
      <w:r w:rsidR="00234216">
        <w:t xml:space="preserve">f a funding formula (see </w:t>
      </w:r>
      <w:r w:rsidR="00C41FB2">
        <w:t>s</w:t>
      </w:r>
      <w:r w:rsidR="00234216">
        <w:t xml:space="preserve">ection </w:t>
      </w:r>
      <w:r w:rsidR="008F7B46">
        <w:fldChar w:fldCharType="begin"/>
      </w:r>
      <w:r w:rsidR="008F7B46">
        <w:instrText xml:space="preserve"> REF _Ref153363326 \r \h </w:instrText>
      </w:r>
      <w:r w:rsidR="008F7B46">
        <w:fldChar w:fldCharType="separate"/>
      </w:r>
      <w:r w:rsidR="00D300D0">
        <w:t>6.1</w:t>
      </w:r>
      <w:r w:rsidR="008F7B46">
        <w:fldChar w:fldCharType="end"/>
      </w:r>
      <w:r w:rsidR="00234216">
        <w:t xml:space="preserve">), as well as a lack of outcomes or performance measures within the grant design. One mechanism to ensure that funding is flexible to changing needs over time is having a </w:t>
      </w:r>
      <w:r w:rsidR="00264977">
        <w:t xml:space="preserve">vehicle to determine </w:t>
      </w:r>
      <w:r w:rsidR="00D626B9">
        <w:t>communities</w:t>
      </w:r>
      <w:r w:rsidR="00C636D0">
        <w:t>’</w:t>
      </w:r>
      <w:r w:rsidR="00D626B9">
        <w:t xml:space="preserve"> </w:t>
      </w:r>
      <w:r w:rsidR="00264977">
        <w:t xml:space="preserve">changing needs, </w:t>
      </w:r>
      <w:r w:rsidR="00D626B9">
        <w:t xml:space="preserve">to better </w:t>
      </w:r>
      <w:r w:rsidR="00D32476">
        <w:t xml:space="preserve">refine </w:t>
      </w:r>
      <w:r w:rsidR="00D626B9" w:rsidRPr="00ED1862">
        <w:t>future funding</w:t>
      </w:r>
      <w:r w:rsidR="00D32476">
        <w:t xml:space="preserve"> allocation. </w:t>
      </w:r>
    </w:p>
    <w:p w14:paraId="1D808B3A" w14:textId="541FF9FF" w:rsidR="00F81681" w:rsidRPr="002B5516" w:rsidRDefault="00F81681" w:rsidP="00D500F1">
      <w:pPr>
        <w:spacing w:after="120"/>
        <w:rPr>
          <w:i/>
          <w:iCs/>
          <w:color w:val="26890D"/>
        </w:rPr>
      </w:pPr>
      <w:r w:rsidRPr="002B5516">
        <w:rPr>
          <w:i/>
          <w:iCs/>
          <w:color w:val="26890D"/>
        </w:rPr>
        <w:t>“There’s long day cares, the mobiles, and even vacation and OSHC in there – and in one sense, they all require their own performance measures. These performance measures require really good data and that’s something this program doesn’t seem to have ever really had”</w:t>
      </w:r>
      <w:r w:rsidR="00AD248C" w:rsidRPr="002B5516">
        <w:rPr>
          <w:i/>
          <w:iCs/>
          <w:color w:val="26890D"/>
        </w:rPr>
        <w:t>.</w:t>
      </w:r>
    </w:p>
    <w:p w14:paraId="1281E1A6" w14:textId="69C68CF7" w:rsidR="00D61E10" w:rsidRDefault="00721C83" w:rsidP="00D500F1">
      <w:pPr>
        <w:spacing w:after="120"/>
      </w:pPr>
      <w:r w:rsidRPr="00721C83">
        <w:t xml:space="preserve">Further, for many services, </w:t>
      </w:r>
      <w:r>
        <w:t xml:space="preserve">CCCFR grant funding and CCS/ACCS funding is their </w:t>
      </w:r>
      <w:r w:rsidR="00E50F14">
        <w:t xml:space="preserve">predominant </w:t>
      </w:r>
      <w:r w:rsidR="005118F4">
        <w:t xml:space="preserve">source of funding. </w:t>
      </w:r>
      <w:r w:rsidR="00646536">
        <w:t xml:space="preserve">While services </w:t>
      </w:r>
      <w:r w:rsidR="00E8291A">
        <w:t>can</w:t>
      </w:r>
      <w:r w:rsidR="00646536">
        <w:t xml:space="preserve"> apply for further funding through</w:t>
      </w:r>
      <w:r w:rsidR="00B0727D">
        <w:t xml:space="preserve"> other federal, </w:t>
      </w:r>
      <w:r w:rsidR="00646536">
        <w:t>state</w:t>
      </w:r>
      <w:r w:rsidR="00B0727D">
        <w:t xml:space="preserve"> and/or </w:t>
      </w:r>
      <w:r w:rsidR="00646536">
        <w:t>local government</w:t>
      </w:r>
      <w:r w:rsidR="00B0727D">
        <w:t xml:space="preserve"> grants/programs – many are unaware of what is available</w:t>
      </w:r>
      <w:r w:rsidR="00826F70">
        <w:t xml:space="preserve">, or do not have the additional time to dedicate to applying and managing additional funding streams. </w:t>
      </w:r>
      <w:r w:rsidR="009802BE">
        <w:t>There is also a heavy reliance on</w:t>
      </w:r>
      <w:r w:rsidR="29220A7F">
        <w:t xml:space="preserve"> </w:t>
      </w:r>
      <w:r w:rsidR="18426848">
        <w:t>the CCCFR</w:t>
      </w:r>
      <w:r w:rsidR="009802BE">
        <w:t xml:space="preserve"> Program Officers to inform CCCFR services of additional funding and grant applications. </w:t>
      </w:r>
    </w:p>
    <w:p w14:paraId="4A19E45D" w14:textId="18ED225D" w:rsidR="004B6E85" w:rsidRPr="002B5516" w:rsidRDefault="00944A3B" w:rsidP="00BA6795">
      <w:pPr>
        <w:rPr>
          <w:i/>
          <w:iCs/>
          <w:color w:val="26890D"/>
        </w:rPr>
      </w:pPr>
      <w:r w:rsidRPr="002B5516">
        <w:rPr>
          <w:i/>
          <w:iCs/>
          <w:color w:val="26890D"/>
        </w:rPr>
        <w:t>“Unless people tell us – they don’t know what type of funding the child</w:t>
      </w:r>
      <w:r w:rsidR="00C155BC" w:rsidRPr="002B5516">
        <w:rPr>
          <w:i/>
          <w:iCs/>
          <w:color w:val="26890D"/>
        </w:rPr>
        <w:t xml:space="preserve"> </w:t>
      </w:r>
      <w:r w:rsidRPr="002B5516">
        <w:rPr>
          <w:i/>
          <w:iCs/>
          <w:color w:val="26890D"/>
        </w:rPr>
        <w:t>care could get”.</w:t>
      </w:r>
      <w:r w:rsidR="00214952" w:rsidRPr="002B5516">
        <w:rPr>
          <w:i/>
          <w:iCs/>
          <w:color w:val="26890D"/>
        </w:rPr>
        <w:t xml:space="preserve"> </w:t>
      </w:r>
    </w:p>
    <w:p w14:paraId="645FD7CE" w14:textId="7A619D6D" w:rsidR="00BA6795" w:rsidRDefault="003C6C01" w:rsidP="00BA6795">
      <w:r>
        <w:t>The</w:t>
      </w:r>
      <w:r w:rsidR="00FE10D1">
        <w:t xml:space="preserve"> CCCFR grant funding conditions </w:t>
      </w:r>
      <w:r w:rsidR="00165B73">
        <w:t>are</w:t>
      </w:r>
      <w:r w:rsidR="007F05BD">
        <w:t xml:space="preserve"> particularly challenging to navigate for Aboriginal and Torres Strait Islander communities. </w:t>
      </w:r>
      <w:r w:rsidR="00BA5DFB">
        <w:t xml:space="preserve">In addition to the </w:t>
      </w:r>
      <w:r w:rsidR="004E2EA4">
        <w:t xml:space="preserve">CCCFR grant being inflexible to changing needs, </w:t>
      </w:r>
      <w:r w:rsidR="005372C5">
        <w:t xml:space="preserve">services operating in </w:t>
      </w:r>
      <w:r w:rsidR="004E2EA4">
        <w:t>Aboriginal and Torres Strait Islander</w:t>
      </w:r>
      <w:r w:rsidR="005372C5">
        <w:t xml:space="preserve"> communities </w:t>
      </w:r>
      <w:r w:rsidR="001D54CF">
        <w:t>have voiced</w:t>
      </w:r>
      <w:r w:rsidR="005372C5">
        <w:t xml:space="preserve"> that the standard model of child care </w:t>
      </w:r>
      <w:r w:rsidR="00763114">
        <w:t xml:space="preserve">deeply contrasts with how their community perceives child care and how they would like </w:t>
      </w:r>
      <w:r w:rsidR="00E90E79">
        <w:t>child care to be delivered</w:t>
      </w:r>
      <w:r w:rsidR="0035016C">
        <w:t xml:space="preserve"> – to which, the CCCFR grant is not </w:t>
      </w:r>
      <w:r w:rsidR="00914AB6">
        <w:t>intentionally</w:t>
      </w:r>
      <w:r w:rsidR="0035016C">
        <w:t xml:space="preserve"> designed to adapt to. </w:t>
      </w:r>
    </w:p>
    <w:p w14:paraId="18A89F89" w14:textId="772D95EB" w:rsidR="00E269E9" w:rsidRDefault="005F0161" w:rsidP="00BA6795">
      <w:r>
        <w:t xml:space="preserve">To assit </w:t>
      </w:r>
      <w:r w:rsidR="001C46DC">
        <w:t>CCCFR services</w:t>
      </w:r>
      <w:r>
        <w:t xml:space="preserve"> to become more adaptable to the differing needs of Aboriginal and Torres Strait Islander communities, t</w:t>
      </w:r>
      <w:r w:rsidR="009A075E">
        <w:t>here is sc</w:t>
      </w:r>
      <w:r w:rsidR="00793173">
        <w:t xml:space="preserve">ope for </w:t>
      </w:r>
      <w:r w:rsidR="00252C51">
        <w:t xml:space="preserve">Aboriginal and Torres Strait Islanders community members to be </w:t>
      </w:r>
      <w:r w:rsidR="003E5C4D">
        <w:t xml:space="preserve">included in conversations around </w:t>
      </w:r>
      <w:r>
        <w:t xml:space="preserve">how </w:t>
      </w:r>
      <w:r w:rsidR="003E5C4D">
        <w:t xml:space="preserve">CCCFR services </w:t>
      </w:r>
      <w:r>
        <w:t>are delivered.</w:t>
      </w:r>
      <w:r w:rsidR="00125724">
        <w:t xml:space="preserve"> Following this, perspectives of the community members need to be </w:t>
      </w:r>
      <w:r w:rsidR="00D21788">
        <w:t>acknowledged and incorporated in service delivery</w:t>
      </w:r>
      <w:r w:rsidR="007F1226">
        <w:t xml:space="preserve">, where possible. </w:t>
      </w:r>
    </w:p>
    <w:p w14:paraId="0F357422" w14:textId="2E2E7987" w:rsidR="00BA6795" w:rsidRPr="00721C83" w:rsidRDefault="00A65D98" w:rsidP="00BA6795">
      <w:r>
        <w:t xml:space="preserve">There are many forms of disadvantage experienced by Aboriginal and Torres Strait Islander </w:t>
      </w:r>
      <w:r w:rsidR="00745407">
        <w:t xml:space="preserve">children and their families. This, in part, is </w:t>
      </w:r>
      <w:r w:rsidR="007B72B8">
        <w:t xml:space="preserve">a result of the remoteness </w:t>
      </w:r>
      <w:r w:rsidR="00C16F7F">
        <w:t>of their communities</w:t>
      </w:r>
      <w:r w:rsidR="00D53F8B">
        <w:t xml:space="preserve">. This review acknowledges that other minority groups (migrants, refugees, single </w:t>
      </w:r>
      <w:r w:rsidR="007720D0">
        <w:t>parents</w:t>
      </w:r>
      <w:r w:rsidR="00D53F8B">
        <w:t xml:space="preserve"> etc) may also experience disadvantage</w:t>
      </w:r>
      <w:r w:rsidR="00D15F5C">
        <w:t xml:space="preserve">. However, </w:t>
      </w:r>
      <w:r w:rsidR="00F0459F">
        <w:t xml:space="preserve">the extent to which this review is able to shed light on </w:t>
      </w:r>
      <w:r w:rsidR="00A50C39">
        <w:t>how CCCFR grant funding</w:t>
      </w:r>
      <w:r w:rsidR="00823D71">
        <w:t xml:space="preserve"> guidelines</w:t>
      </w:r>
      <w:r w:rsidR="00A50C39">
        <w:t xml:space="preserve"> ha</w:t>
      </w:r>
      <w:r w:rsidR="00AA466E">
        <w:t>ve</w:t>
      </w:r>
      <w:r w:rsidR="00A50C39">
        <w:t xml:space="preserve"> been able to meet their needs </w:t>
      </w:r>
      <w:r w:rsidR="00823D71">
        <w:t>wa</w:t>
      </w:r>
      <w:r w:rsidR="008A7E4C">
        <w:t>s unable to be determined</w:t>
      </w:r>
      <w:r w:rsidR="00823D71">
        <w:t xml:space="preserve"> through consultations</w:t>
      </w:r>
      <w:r w:rsidR="008A7E4C">
        <w:t xml:space="preserve">. This </w:t>
      </w:r>
      <w:r w:rsidR="007C5640">
        <w:t>can be attributed to the fact that</w:t>
      </w:r>
      <w:r w:rsidR="008A7E4C">
        <w:t xml:space="preserve"> </w:t>
      </w:r>
      <w:r w:rsidR="0038456A">
        <w:t xml:space="preserve">the </w:t>
      </w:r>
      <w:r w:rsidR="00977D10">
        <w:t>communities of other groups are not as concentrated</w:t>
      </w:r>
      <w:r w:rsidR="00C717CB">
        <w:t xml:space="preserve"> in remote areas</w:t>
      </w:r>
      <w:r w:rsidR="002F0473">
        <w:t xml:space="preserve">, </w:t>
      </w:r>
      <w:r w:rsidR="00FB5884">
        <w:t xml:space="preserve">and </w:t>
      </w:r>
      <w:r w:rsidR="00CE345B">
        <w:t xml:space="preserve">not at scale to </w:t>
      </w:r>
      <w:r w:rsidR="00AA466E">
        <w:t>draw robust conclusions</w:t>
      </w:r>
      <w:r w:rsidR="00CE345B">
        <w:t>.</w:t>
      </w:r>
      <w:r w:rsidR="002E497C">
        <w:t xml:space="preserve"> </w:t>
      </w:r>
    </w:p>
    <w:p w14:paraId="4FA7D16E" w14:textId="396F05F4" w:rsidR="00D130A8" w:rsidRPr="003549F9" w:rsidRDefault="00D130A8" w:rsidP="00A253B7">
      <w:pPr>
        <w:pStyle w:val="Heading1"/>
      </w:pPr>
      <w:bookmarkStart w:id="315" w:name="_Ref152873464"/>
      <w:bookmarkStart w:id="316" w:name="_Toc158993767"/>
      <w:bookmarkStart w:id="317" w:name="_Toc170227414"/>
      <w:r w:rsidRPr="003549F9">
        <w:lastRenderedPageBreak/>
        <w:t>Administration, governance and compliance</w:t>
      </w:r>
      <w:bookmarkEnd w:id="315"/>
      <w:bookmarkEnd w:id="316"/>
      <w:bookmarkEnd w:id="317"/>
    </w:p>
    <w:p w14:paraId="551801CA" w14:textId="4245E5DB" w:rsidR="007E0FCC" w:rsidRDefault="007E0FCC" w:rsidP="008F76FC">
      <w:pPr>
        <w:pStyle w:val="Sectionintro"/>
      </w:pPr>
      <w:r>
        <w:t xml:space="preserve">This </w:t>
      </w:r>
      <w:r w:rsidR="008F76FC">
        <w:t>chapter</w:t>
      </w:r>
      <w:r>
        <w:t xml:space="preserve"> considers the role and functions of the Department </w:t>
      </w:r>
      <w:r w:rsidR="003276C8">
        <w:t>in</w:t>
      </w:r>
      <w:r>
        <w:t xml:space="preserve"> provid</w:t>
      </w:r>
      <w:r w:rsidR="003276C8">
        <w:t>ing</w:t>
      </w:r>
      <w:r>
        <w:t xml:space="preserve"> funding to</w:t>
      </w:r>
      <w:r w:rsidR="003276C8">
        <w:t xml:space="preserve"> </w:t>
      </w:r>
      <w:r>
        <w:t>grant recipients, broader governance arrangements surrounding CCCFR</w:t>
      </w:r>
      <w:r w:rsidR="00205F77">
        <w:t xml:space="preserve"> </w:t>
      </w:r>
      <w:r>
        <w:t>services,</w:t>
      </w:r>
      <w:r w:rsidR="004A6B99">
        <w:t xml:space="preserve"> current </w:t>
      </w:r>
      <w:r w:rsidR="0063058A">
        <w:t xml:space="preserve">and future regulatory </w:t>
      </w:r>
      <w:r>
        <w:t>requirements, and the extent to which grant</w:t>
      </w:r>
      <w:r w:rsidR="0063058A">
        <w:t xml:space="preserve"> arrangements</w:t>
      </w:r>
      <w:r>
        <w:t xml:space="preserve"> </w:t>
      </w:r>
      <w:r w:rsidR="009A0A2A">
        <w:t>support</w:t>
      </w:r>
      <w:r>
        <w:t xml:space="preserve"> governance and</w:t>
      </w:r>
      <w:r w:rsidR="0063058A">
        <w:t xml:space="preserve"> leadership in services</w:t>
      </w:r>
      <w:r>
        <w:t>.</w:t>
      </w:r>
    </w:p>
    <w:p w14:paraId="51AC0EEF" w14:textId="13069F9E" w:rsidR="009461E4" w:rsidRDefault="007E0FCC" w:rsidP="007719A6">
      <w:pPr>
        <w:pStyle w:val="Heading2"/>
        <w:spacing w:after="170"/>
      </w:pPr>
      <w:bookmarkStart w:id="318" w:name="_Ref158969796"/>
      <w:bookmarkStart w:id="319" w:name="_Toc158993768"/>
      <w:bookmarkStart w:id="320" w:name="_Toc170227415"/>
      <w:r>
        <w:t xml:space="preserve">CCCFR grant </w:t>
      </w:r>
      <w:r w:rsidR="00540632">
        <w:t>administration and governance</w:t>
      </w:r>
      <w:bookmarkEnd w:id="318"/>
      <w:bookmarkEnd w:id="319"/>
      <w:bookmarkEnd w:id="320"/>
    </w:p>
    <w:tbl>
      <w:tblPr>
        <w:tblStyle w:val="TableGrid"/>
        <w:tblW w:w="0" w:type="auto"/>
        <w:tblBorders>
          <w:left w:val="double" w:sz="12" w:space="0" w:color="012169" w:themeColor="accent4"/>
        </w:tblBorders>
        <w:tblCellMar>
          <w:top w:w="85" w:type="dxa"/>
          <w:left w:w="227" w:type="dxa"/>
          <w:bottom w:w="85" w:type="dxa"/>
          <w:right w:w="113" w:type="dxa"/>
        </w:tblCellMar>
        <w:tblLook w:val="04A0" w:firstRow="1" w:lastRow="0" w:firstColumn="1" w:lastColumn="0" w:noHBand="0" w:noVBand="1"/>
      </w:tblPr>
      <w:tblGrid>
        <w:gridCol w:w="8931"/>
      </w:tblGrid>
      <w:tr w:rsidR="00B97B0F" w:rsidRPr="00BD1248" w14:paraId="0AD65768" w14:textId="77777777" w:rsidTr="007D25BC">
        <w:trPr>
          <w:cnfStyle w:val="100000000000" w:firstRow="1" w:lastRow="0" w:firstColumn="0" w:lastColumn="0" w:oddVBand="0" w:evenVBand="0" w:oddHBand="0" w:evenHBand="0" w:firstRowFirstColumn="0" w:firstRowLastColumn="0" w:lastRowFirstColumn="0" w:lastRowLastColumn="0"/>
          <w:cantSplit/>
        </w:trPr>
        <w:tc>
          <w:tcPr>
            <w:tcW w:w="8931" w:type="dxa"/>
            <w:shd w:val="clear" w:color="auto" w:fill="DFF0F9" w:themeFill="accent3" w:themeFillTint="33"/>
          </w:tcPr>
          <w:p w14:paraId="22A25E8F" w14:textId="77777777" w:rsidR="00D500F1" w:rsidRDefault="00D500F1">
            <w:pPr>
              <w:spacing w:after="120"/>
              <w:rPr>
                <w:b/>
                <w:bCs/>
                <w:i/>
                <w:iCs/>
              </w:rPr>
            </w:pPr>
            <w:r w:rsidRPr="00B95090">
              <w:rPr>
                <w:b/>
                <w:bCs/>
                <w:i/>
                <w:iCs/>
              </w:rPr>
              <w:t>Key research questio</w:t>
            </w:r>
            <w:r>
              <w:rPr>
                <w:b/>
                <w:bCs/>
                <w:i/>
                <w:iCs/>
              </w:rPr>
              <w:t>ns</w:t>
            </w:r>
          </w:p>
          <w:p w14:paraId="4A4AAFD1" w14:textId="77777777" w:rsidR="00D500F1" w:rsidRDefault="00D500F1" w:rsidP="00D500F1">
            <w:pPr>
              <w:rPr>
                <w:i/>
                <w:iCs/>
              </w:rPr>
            </w:pPr>
            <w:r w:rsidRPr="00DE74FA">
              <w:rPr>
                <w:i/>
                <w:iCs/>
              </w:rPr>
              <w:t>How</w:t>
            </w:r>
            <w:r w:rsidRPr="009461E4">
              <w:rPr>
                <w:i/>
                <w:iCs/>
              </w:rPr>
              <w:t xml:space="preserve"> is the CCCFR grant governed and administered in its current format?</w:t>
            </w:r>
          </w:p>
          <w:p w14:paraId="0AF59809" w14:textId="2E47CCDB" w:rsidR="00D500F1" w:rsidRPr="00D611B7" w:rsidRDefault="00D500F1" w:rsidP="00D500F1">
            <w:pPr>
              <w:spacing w:before="120" w:after="120"/>
              <w:rPr>
                <w:i/>
              </w:rPr>
            </w:pPr>
            <w:r w:rsidRPr="0001253E">
              <w:rPr>
                <w:i/>
                <w:iCs/>
              </w:rPr>
              <w:t>Are clear roles and responsibilities assigned to various stakeholders involved in CCCFR grant administration and governance?</w:t>
            </w:r>
          </w:p>
        </w:tc>
      </w:tr>
    </w:tbl>
    <w:p w14:paraId="340E26EF" w14:textId="77777777" w:rsidR="00D500F1" w:rsidRDefault="00D500F1" w:rsidP="00D500F1"/>
    <w:tbl>
      <w:tblPr>
        <w:tblStyle w:val="TableGrid"/>
        <w:tblW w:w="0" w:type="auto"/>
        <w:shd w:val="clear" w:color="auto" w:fill="E7F5CF" w:themeFill="accent1" w:themeFillTint="33"/>
        <w:tblCellMar>
          <w:top w:w="85" w:type="dxa"/>
          <w:left w:w="113" w:type="dxa"/>
          <w:bottom w:w="85" w:type="dxa"/>
          <w:right w:w="113" w:type="dxa"/>
        </w:tblCellMar>
        <w:tblLook w:val="04A0" w:firstRow="1" w:lastRow="0" w:firstColumn="1" w:lastColumn="0" w:noHBand="0" w:noVBand="1"/>
      </w:tblPr>
      <w:tblGrid>
        <w:gridCol w:w="9026"/>
      </w:tblGrid>
      <w:tr w:rsidR="007733BD" w14:paraId="6DD11217"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604CA8E3" w14:textId="79BD3A7C" w:rsidR="007733BD" w:rsidRPr="009E424E" w:rsidRDefault="007733BD">
            <w:pPr>
              <w:spacing w:after="120"/>
              <w:rPr>
                <w:b/>
                <w:bCs/>
              </w:rPr>
            </w:pPr>
            <w:r w:rsidRPr="009E424E">
              <w:rPr>
                <w:b/>
                <w:bCs/>
              </w:rPr>
              <w:t xml:space="preserve">Review finding </w:t>
            </w:r>
            <w:r w:rsidR="00C2100D">
              <w:rPr>
                <w:b/>
                <w:bCs/>
              </w:rPr>
              <w:t>21</w:t>
            </w:r>
          </w:p>
          <w:p w14:paraId="00D45BC4" w14:textId="604BA1C0" w:rsidR="007733BD" w:rsidRPr="00C94912" w:rsidRDefault="1CEF55C6" w:rsidP="00C94912">
            <w:pPr>
              <w:spacing w:before="120" w:after="120"/>
            </w:pPr>
            <w:r>
              <w:t xml:space="preserve">CCCFR </w:t>
            </w:r>
            <w:r w:rsidR="00190A08" w:rsidRPr="00E01997">
              <w:t xml:space="preserve">Program Officers are the primary </w:t>
            </w:r>
            <w:r w:rsidR="00190A08">
              <w:t xml:space="preserve">point of contact and </w:t>
            </w:r>
            <w:r w:rsidR="00190A08" w:rsidRPr="00E01997">
              <w:t xml:space="preserve">support for </w:t>
            </w:r>
            <w:r w:rsidR="00F627A3" w:rsidRPr="008A6066">
              <w:t>m</w:t>
            </w:r>
            <w:r w:rsidR="00F627A3">
              <w:t xml:space="preserve">ost </w:t>
            </w:r>
            <w:r w:rsidR="00190A08" w:rsidRPr="00E01997">
              <w:t xml:space="preserve">CCCFR services, both for the grant and broader areas of service governance, quality, and business support outside the scope of the grant. </w:t>
            </w:r>
          </w:p>
        </w:tc>
      </w:tr>
    </w:tbl>
    <w:p w14:paraId="08AFFCCA" w14:textId="77777777" w:rsidR="007733BD" w:rsidRPr="00C81B54" w:rsidRDefault="007733BD" w:rsidP="007733BD">
      <w:pPr>
        <w:spacing w:before="170"/>
        <w:rPr>
          <w:b/>
          <w:bCs/>
        </w:rPr>
      </w:pPr>
      <w:r w:rsidRPr="00C81B54">
        <w:rPr>
          <w:b/>
          <w:bCs/>
        </w:rPr>
        <w:t xml:space="preserve">Supporting evidence for this finding is drawn from </w:t>
      </w:r>
      <w:r>
        <w:rPr>
          <w:b/>
          <w:bCs/>
        </w:rPr>
        <w:t xml:space="preserve">desktop research, </w:t>
      </w:r>
      <w:r w:rsidRPr="00C81B54">
        <w:rPr>
          <w:b/>
          <w:bCs/>
        </w:rPr>
        <w:t>consultations</w:t>
      </w:r>
      <w:r>
        <w:rPr>
          <w:b/>
          <w:bCs/>
        </w:rPr>
        <w:t>, CCCFR service survey</w:t>
      </w:r>
      <w:r w:rsidRPr="00C81B54">
        <w:rPr>
          <w:b/>
          <w:bCs/>
        </w:rPr>
        <w:t xml:space="preserve"> and </w:t>
      </w:r>
      <w:r>
        <w:rPr>
          <w:b/>
          <w:bCs/>
        </w:rPr>
        <w:t>document analysis</w:t>
      </w:r>
      <w:r w:rsidRPr="00C81B54">
        <w:rPr>
          <w:b/>
          <w:bCs/>
        </w:rPr>
        <w:t>.</w:t>
      </w:r>
    </w:p>
    <w:p w14:paraId="60DBDE84" w14:textId="75016861" w:rsidR="00D71A88" w:rsidRDefault="008A58A6" w:rsidP="00D71A88">
      <w:r>
        <w:t>T</w:t>
      </w:r>
      <w:r w:rsidR="00D71A88">
        <w:t>he CCCFR</w:t>
      </w:r>
      <w:r w:rsidR="00095D5C">
        <w:t xml:space="preserve"> grant is administered by the Department. </w:t>
      </w:r>
      <w:r w:rsidR="00D71A88">
        <w:t xml:space="preserve">Within the Department, day-to-day responsibility for administration and governance of the CCCFR grant is undertaken by the </w:t>
      </w:r>
      <w:r w:rsidR="00725581">
        <w:t>‘C</w:t>
      </w:r>
      <w:r w:rsidR="00D71A88">
        <w:t>CCFR team</w:t>
      </w:r>
      <w:r w:rsidR="00725581">
        <w:t>’</w:t>
      </w:r>
      <w:r w:rsidR="00D71A88">
        <w:t>, of which most</w:t>
      </w:r>
      <w:r w:rsidR="00725581">
        <w:t xml:space="preserve"> staff</w:t>
      </w:r>
      <w:r w:rsidR="00D71A88">
        <w:t xml:space="preserve"> are CCCFR </w:t>
      </w:r>
      <w:r w:rsidR="6BF16437">
        <w:t xml:space="preserve">Program </w:t>
      </w:r>
      <w:r w:rsidR="00D71A88">
        <w:t>Officers.</w:t>
      </w:r>
    </w:p>
    <w:p w14:paraId="0A36CB97" w14:textId="7FDB5095" w:rsidR="005E1AA5" w:rsidRDefault="00725581" w:rsidP="009461E4">
      <w:r>
        <w:t xml:space="preserve">CCCFR </w:t>
      </w:r>
      <w:r w:rsidR="00D71A88">
        <w:t>P</w:t>
      </w:r>
      <w:r w:rsidR="00443A21">
        <w:t xml:space="preserve">rogram Officers undertake a wide range of </w:t>
      </w:r>
      <w:r w:rsidR="00F20753">
        <w:t xml:space="preserve">daily tasks and activities, both in relation to </w:t>
      </w:r>
      <w:r w:rsidR="003462FF">
        <w:t>internally facing</w:t>
      </w:r>
      <w:r w:rsidR="0052532D">
        <w:t xml:space="preserve"> grant</w:t>
      </w:r>
      <w:r w:rsidR="00F20753">
        <w:t xml:space="preserve"> administration</w:t>
      </w:r>
      <w:r w:rsidR="0052532D">
        <w:t xml:space="preserve"> and policy advice</w:t>
      </w:r>
      <w:r w:rsidR="00F20753">
        <w:t xml:space="preserve">, as well as </w:t>
      </w:r>
      <w:r w:rsidR="0052532D">
        <w:t>external-facing support and engagement with CCCFR services.</w:t>
      </w:r>
    </w:p>
    <w:p w14:paraId="6135B427" w14:textId="0CEB4216" w:rsidR="0052532D" w:rsidRDefault="002B14C6" w:rsidP="009461E4">
      <w:r>
        <w:t xml:space="preserve">To inform early analysis, the </w:t>
      </w:r>
      <w:r w:rsidR="00725581">
        <w:t>Department provided</w:t>
      </w:r>
      <w:r>
        <w:t xml:space="preserve"> </w:t>
      </w:r>
      <w:r w:rsidR="00BC112D">
        <w:t xml:space="preserve">a list of identified </w:t>
      </w:r>
      <w:r w:rsidR="00060ED7">
        <w:t xml:space="preserve">roles and responsibilities for CCCFR Program Officers under </w:t>
      </w:r>
      <w:r w:rsidR="00BC112D">
        <w:t xml:space="preserve">the </w:t>
      </w:r>
      <w:r w:rsidR="00060ED7">
        <w:t>current grant arrangements</w:t>
      </w:r>
      <w:r w:rsidR="00BC112D">
        <w:t>,</w:t>
      </w:r>
      <w:r w:rsidR="00823EC0">
        <w:t xml:space="preserve"> </w:t>
      </w:r>
      <w:r w:rsidR="004A6B99">
        <w:t xml:space="preserve">as </w:t>
      </w:r>
      <w:r w:rsidR="00725581">
        <w:t>outlined</w:t>
      </w:r>
      <w:r w:rsidR="00BC112D">
        <w:t xml:space="preserve"> </w:t>
      </w:r>
      <w:r w:rsidR="004A6B99">
        <w:t xml:space="preserve">in </w:t>
      </w:r>
      <w:r w:rsidR="004A6B99" w:rsidRPr="00C92F87">
        <w:fldChar w:fldCharType="begin"/>
      </w:r>
      <w:r w:rsidR="004A6B99" w:rsidRPr="00C92F87">
        <w:instrText xml:space="preserve"> REF _Ref158039492 \r \h </w:instrText>
      </w:r>
      <w:r w:rsidR="009B2555" w:rsidRPr="00C92F87">
        <w:instrText xml:space="preserve"> \* MERGEFORMAT </w:instrText>
      </w:r>
      <w:r w:rsidR="004A6B99" w:rsidRPr="00C92F87">
        <w:fldChar w:fldCharType="separate"/>
      </w:r>
      <w:r w:rsidR="00D300D0">
        <w:t>Table 7.1</w:t>
      </w:r>
      <w:r w:rsidR="004A6B99" w:rsidRPr="00C92F87">
        <w:fldChar w:fldCharType="end"/>
      </w:r>
      <w:r w:rsidR="004A6B99">
        <w:t xml:space="preserve"> </w:t>
      </w:r>
      <w:r w:rsidR="00BC112D">
        <w:t>below</w:t>
      </w:r>
      <w:r w:rsidR="00060ED7">
        <w:t>.</w:t>
      </w:r>
    </w:p>
    <w:p w14:paraId="1633F2EC" w14:textId="77777777" w:rsidR="00631241" w:rsidRDefault="00631241">
      <w:pPr>
        <w:spacing w:after="0"/>
      </w:pPr>
      <w:r>
        <w:br w:type="page"/>
      </w:r>
    </w:p>
    <w:p w14:paraId="7E9FDEDE" w14:textId="33DC3DCF" w:rsidR="000678F6" w:rsidRPr="00C92F87" w:rsidRDefault="000678F6" w:rsidP="005B43BB">
      <w:pPr>
        <w:pStyle w:val="CaptionTable"/>
      </w:pPr>
      <w:bookmarkStart w:id="321" w:name="_Ref158039492"/>
      <w:bookmarkStart w:id="322" w:name="_Toc158997968"/>
      <w:bookmarkStart w:id="323" w:name="_Toc167130714"/>
      <w:r w:rsidRPr="00C92F87">
        <w:lastRenderedPageBreak/>
        <w:t>: CCCFR Program Officer roles and responsibilities</w:t>
      </w:r>
      <w:bookmarkEnd w:id="321"/>
      <w:bookmarkEnd w:id="322"/>
      <w:bookmarkEnd w:id="323"/>
    </w:p>
    <w:tbl>
      <w:tblPr>
        <w:tblStyle w:val="Deloittetable"/>
        <w:tblW w:w="0" w:type="auto"/>
        <w:tblLayout w:type="fixed"/>
        <w:tblLook w:val="04A0" w:firstRow="1" w:lastRow="0" w:firstColumn="1" w:lastColumn="0" w:noHBand="0" w:noVBand="1"/>
      </w:tblPr>
      <w:tblGrid>
        <w:gridCol w:w="2410"/>
        <w:gridCol w:w="6616"/>
      </w:tblGrid>
      <w:tr w:rsidR="00765A48" w:rsidRPr="003462FF" w14:paraId="50ECDDF1" w14:textId="77777777" w:rsidTr="00DD47E2">
        <w:trPr>
          <w:cnfStyle w:val="100000000000" w:firstRow="1" w:lastRow="0" w:firstColumn="0" w:lastColumn="0" w:oddVBand="0" w:evenVBand="0" w:oddHBand="0" w:evenHBand="0" w:firstRowFirstColumn="0" w:firstRowLastColumn="0" w:lastRowFirstColumn="0" w:lastRowLastColumn="0"/>
        </w:trPr>
        <w:tc>
          <w:tcPr>
            <w:tcW w:w="2410" w:type="dxa"/>
          </w:tcPr>
          <w:p w14:paraId="6848FBAF" w14:textId="1152D55C" w:rsidR="00765A48" w:rsidRPr="001C655F" w:rsidRDefault="00D71A88" w:rsidP="00631241">
            <w:pPr>
              <w:spacing w:after="0"/>
              <w:rPr>
                <w:rFonts w:asciiTheme="majorHAnsi" w:hAnsiTheme="majorHAnsi"/>
                <w:b/>
              </w:rPr>
            </w:pPr>
            <w:r w:rsidRPr="001C655F">
              <w:rPr>
                <w:rFonts w:asciiTheme="majorHAnsi" w:hAnsiTheme="majorHAnsi"/>
                <w:b/>
              </w:rPr>
              <w:t>Theme</w:t>
            </w:r>
          </w:p>
        </w:tc>
        <w:tc>
          <w:tcPr>
            <w:tcW w:w="6616" w:type="dxa"/>
          </w:tcPr>
          <w:p w14:paraId="52EC5E5C" w14:textId="18A9812E" w:rsidR="00765A48" w:rsidRPr="001C655F" w:rsidRDefault="00D71A88" w:rsidP="00631241">
            <w:pPr>
              <w:spacing w:after="0"/>
              <w:rPr>
                <w:rFonts w:asciiTheme="majorHAnsi" w:hAnsiTheme="majorHAnsi"/>
                <w:b/>
              </w:rPr>
            </w:pPr>
            <w:r w:rsidRPr="001C655F">
              <w:rPr>
                <w:rFonts w:asciiTheme="majorHAnsi" w:hAnsiTheme="majorHAnsi"/>
                <w:b/>
              </w:rPr>
              <w:t>Responsibility</w:t>
            </w:r>
          </w:p>
        </w:tc>
      </w:tr>
      <w:tr w:rsidR="00765A48" w:rsidRPr="003462FF" w14:paraId="7C88F9DE" w14:textId="77777777" w:rsidTr="00DD47E2">
        <w:tc>
          <w:tcPr>
            <w:tcW w:w="2410" w:type="dxa"/>
          </w:tcPr>
          <w:p w14:paraId="2A0B3D52" w14:textId="5BD5F501" w:rsidR="00765A48" w:rsidRPr="003462FF" w:rsidRDefault="00915B53" w:rsidP="009461E4">
            <w:pPr>
              <w:rPr>
                <w:rFonts w:asciiTheme="majorHAnsi" w:hAnsiTheme="majorHAnsi"/>
              </w:rPr>
            </w:pPr>
            <w:r w:rsidRPr="003462FF">
              <w:rPr>
                <w:rFonts w:asciiTheme="majorHAnsi" w:hAnsiTheme="majorHAnsi"/>
              </w:rPr>
              <w:t xml:space="preserve">Grants </w:t>
            </w:r>
            <w:r w:rsidR="00D75018" w:rsidRPr="003462FF">
              <w:rPr>
                <w:rFonts w:asciiTheme="majorHAnsi" w:hAnsiTheme="majorHAnsi"/>
              </w:rPr>
              <w:t>management</w:t>
            </w:r>
          </w:p>
        </w:tc>
        <w:tc>
          <w:tcPr>
            <w:tcW w:w="6616" w:type="dxa"/>
          </w:tcPr>
          <w:p w14:paraId="6077499D" w14:textId="77777777" w:rsidR="00FD4175" w:rsidRPr="001C655F" w:rsidRDefault="57A6F7BE" w:rsidP="007808EA">
            <w:pPr>
              <w:pStyle w:val="ListBullet"/>
            </w:pPr>
            <w:r w:rsidRPr="001C655F">
              <w:rPr>
                <w:sz w:val="18"/>
                <w:szCs w:val="18"/>
              </w:rPr>
              <w:t>GPS administration</w:t>
            </w:r>
          </w:p>
          <w:p w14:paraId="5B4FF5FB" w14:textId="77777777" w:rsidR="00FD4175" w:rsidRPr="001C655F" w:rsidRDefault="57A6F7BE" w:rsidP="007808EA">
            <w:pPr>
              <w:pStyle w:val="ListBullet"/>
            </w:pPr>
            <w:r w:rsidRPr="001C655F">
              <w:rPr>
                <w:sz w:val="18"/>
                <w:szCs w:val="18"/>
              </w:rPr>
              <w:t xml:space="preserve">Grants reporting </w:t>
            </w:r>
          </w:p>
          <w:p w14:paraId="259C983E" w14:textId="77777777" w:rsidR="00FD4175" w:rsidRPr="001C655F" w:rsidRDefault="57A6F7BE" w:rsidP="007808EA">
            <w:pPr>
              <w:pStyle w:val="ListBullet"/>
            </w:pPr>
            <w:r w:rsidRPr="001C655F">
              <w:rPr>
                <w:sz w:val="18"/>
                <w:szCs w:val="18"/>
              </w:rPr>
              <w:t>Assessing/accepting milestone reports</w:t>
            </w:r>
          </w:p>
          <w:p w14:paraId="0389583F" w14:textId="77777777" w:rsidR="00FD4175" w:rsidRPr="001C655F" w:rsidRDefault="57A6F7BE" w:rsidP="007808EA">
            <w:pPr>
              <w:pStyle w:val="ListBullet"/>
            </w:pPr>
            <w:r w:rsidRPr="001C655F">
              <w:rPr>
                <w:sz w:val="18"/>
                <w:szCs w:val="18"/>
              </w:rPr>
              <w:t>Desktop financial analysis</w:t>
            </w:r>
          </w:p>
          <w:p w14:paraId="470B1492" w14:textId="77777777" w:rsidR="00FD4175" w:rsidRPr="001C655F" w:rsidRDefault="57A6F7BE" w:rsidP="007808EA">
            <w:pPr>
              <w:pStyle w:val="ListBullet"/>
            </w:pPr>
            <w:r w:rsidRPr="001C655F">
              <w:rPr>
                <w:sz w:val="18"/>
                <w:szCs w:val="18"/>
              </w:rPr>
              <w:t>Debt recovery</w:t>
            </w:r>
          </w:p>
          <w:p w14:paraId="0F20FAE9" w14:textId="77777777" w:rsidR="00FD4175" w:rsidRPr="001C655F" w:rsidRDefault="57A6F7BE" w:rsidP="007808EA">
            <w:pPr>
              <w:pStyle w:val="ListBullet"/>
            </w:pPr>
            <w:r w:rsidRPr="001C655F">
              <w:rPr>
                <w:sz w:val="18"/>
                <w:szCs w:val="18"/>
              </w:rPr>
              <w:t>Managing risk/s</w:t>
            </w:r>
          </w:p>
          <w:p w14:paraId="7F467643" w14:textId="77777777" w:rsidR="00FD4175" w:rsidRPr="001C655F" w:rsidRDefault="57A6F7BE" w:rsidP="007808EA">
            <w:pPr>
              <w:pStyle w:val="ListBullet"/>
            </w:pPr>
            <w:r w:rsidRPr="001C655F">
              <w:rPr>
                <w:sz w:val="18"/>
                <w:szCs w:val="18"/>
              </w:rPr>
              <w:t>Drafting funding agreements, Deed of Variation, Deed of termination and novation</w:t>
            </w:r>
          </w:p>
          <w:p w14:paraId="4D33DC54" w14:textId="77777777" w:rsidR="00FD4175" w:rsidRPr="001C655F" w:rsidRDefault="57A6F7BE" w:rsidP="007808EA">
            <w:pPr>
              <w:pStyle w:val="ListBullet"/>
            </w:pPr>
            <w:r w:rsidRPr="001C655F">
              <w:rPr>
                <w:sz w:val="18"/>
                <w:szCs w:val="18"/>
              </w:rPr>
              <w:t>Manage tender processes for new providers</w:t>
            </w:r>
          </w:p>
          <w:p w14:paraId="5998633F" w14:textId="77777777" w:rsidR="00FD4175" w:rsidRPr="001C655F" w:rsidRDefault="57A6F7BE" w:rsidP="007808EA">
            <w:pPr>
              <w:pStyle w:val="ListBullet"/>
            </w:pPr>
            <w:r w:rsidRPr="001C655F">
              <w:rPr>
                <w:sz w:val="18"/>
                <w:szCs w:val="18"/>
              </w:rPr>
              <w:t>Assessment/negotiation/recommendation of additional funding requests</w:t>
            </w:r>
          </w:p>
          <w:p w14:paraId="462454D5" w14:textId="77777777" w:rsidR="00FD4175" w:rsidRPr="001C655F" w:rsidRDefault="57A6F7BE" w:rsidP="007808EA">
            <w:pPr>
              <w:pStyle w:val="ListBullet"/>
            </w:pPr>
            <w:r w:rsidRPr="001C655F">
              <w:rPr>
                <w:sz w:val="18"/>
                <w:szCs w:val="18"/>
              </w:rPr>
              <w:t>Serious incidents management</w:t>
            </w:r>
          </w:p>
          <w:p w14:paraId="7AD74D43" w14:textId="77777777" w:rsidR="00FD4175" w:rsidRPr="001C655F" w:rsidRDefault="57A6F7BE" w:rsidP="007808EA">
            <w:pPr>
              <w:pStyle w:val="ListBullet"/>
            </w:pPr>
            <w:r w:rsidRPr="001C655F">
              <w:rPr>
                <w:sz w:val="18"/>
                <w:szCs w:val="18"/>
              </w:rPr>
              <w:t>Mobile service venue management</w:t>
            </w:r>
          </w:p>
          <w:p w14:paraId="30BBF409" w14:textId="77777777" w:rsidR="00FD4175" w:rsidRPr="001C655F" w:rsidRDefault="57A6F7BE" w:rsidP="007808EA">
            <w:pPr>
              <w:pStyle w:val="ListBullet"/>
            </w:pPr>
            <w:r w:rsidRPr="001C655F">
              <w:rPr>
                <w:sz w:val="18"/>
                <w:szCs w:val="18"/>
              </w:rPr>
              <w:t>Temporary closures management</w:t>
            </w:r>
          </w:p>
          <w:p w14:paraId="0C3C334E" w14:textId="244F93F3" w:rsidR="00765A48" w:rsidRPr="001C655F" w:rsidRDefault="57A6F7BE" w:rsidP="007808EA">
            <w:pPr>
              <w:pStyle w:val="ListBullet"/>
            </w:pPr>
            <w:r w:rsidRPr="001C655F">
              <w:rPr>
                <w:sz w:val="18"/>
                <w:szCs w:val="18"/>
              </w:rPr>
              <w:t>Ensure all records are filed and kept in line with departmental policy</w:t>
            </w:r>
            <w:r w:rsidR="4925022A">
              <w:t>.</w:t>
            </w:r>
          </w:p>
        </w:tc>
      </w:tr>
      <w:tr w:rsidR="00765A48" w:rsidRPr="003462FF" w14:paraId="1CAA2A4B" w14:textId="77777777" w:rsidTr="00DD47E2">
        <w:tc>
          <w:tcPr>
            <w:tcW w:w="2410" w:type="dxa"/>
          </w:tcPr>
          <w:p w14:paraId="2DE6C53E" w14:textId="166BAA07" w:rsidR="00765A48" w:rsidRPr="003462FF" w:rsidRDefault="00DA4CD0" w:rsidP="009461E4">
            <w:pPr>
              <w:rPr>
                <w:rFonts w:asciiTheme="majorHAnsi" w:hAnsiTheme="majorHAnsi"/>
              </w:rPr>
            </w:pPr>
            <w:r w:rsidRPr="003462FF">
              <w:rPr>
                <w:rFonts w:asciiTheme="majorHAnsi" w:hAnsiTheme="majorHAnsi"/>
              </w:rPr>
              <w:t>Executive communication</w:t>
            </w:r>
          </w:p>
        </w:tc>
        <w:tc>
          <w:tcPr>
            <w:tcW w:w="6616" w:type="dxa"/>
          </w:tcPr>
          <w:p w14:paraId="55C04FA2" w14:textId="77777777" w:rsidR="00D73D3F" w:rsidRPr="001C655F" w:rsidRDefault="47B7FA88" w:rsidP="007808EA">
            <w:pPr>
              <w:pStyle w:val="ListBullet"/>
            </w:pPr>
            <w:r w:rsidRPr="001C655F">
              <w:rPr>
                <w:sz w:val="18"/>
                <w:szCs w:val="18"/>
              </w:rPr>
              <w:t>Minutes to Executives on recommendations for additional funding</w:t>
            </w:r>
          </w:p>
          <w:p w14:paraId="4DBBD723" w14:textId="77777777" w:rsidR="00D73D3F" w:rsidRPr="001C655F" w:rsidRDefault="47B7FA88" w:rsidP="007808EA">
            <w:pPr>
              <w:pStyle w:val="ListBullet"/>
            </w:pPr>
            <w:r w:rsidRPr="001C655F">
              <w:rPr>
                <w:sz w:val="18"/>
                <w:szCs w:val="18"/>
              </w:rPr>
              <w:t>Provide briefing notes for the Minister/senior executive</w:t>
            </w:r>
          </w:p>
          <w:p w14:paraId="09299E4A" w14:textId="1BEBA1E7" w:rsidR="00765A48" w:rsidRPr="001C655F" w:rsidRDefault="47B7FA88" w:rsidP="007808EA">
            <w:pPr>
              <w:pStyle w:val="ListBullet"/>
            </w:pPr>
            <w:r w:rsidRPr="001C655F">
              <w:rPr>
                <w:sz w:val="18"/>
                <w:szCs w:val="18"/>
              </w:rPr>
              <w:t>Correspondence to the Director and Assistant Secretary as required</w:t>
            </w:r>
            <w:r w:rsidR="4925022A">
              <w:t>.</w:t>
            </w:r>
          </w:p>
        </w:tc>
      </w:tr>
      <w:tr w:rsidR="00765A48" w:rsidRPr="003462FF" w14:paraId="7BF6ACF8" w14:textId="77777777" w:rsidTr="00DD47E2">
        <w:tc>
          <w:tcPr>
            <w:tcW w:w="2410" w:type="dxa"/>
          </w:tcPr>
          <w:p w14:paraId="47253592" w14:textId="54BBF516" w:rsidR="00765A48" w:rsidRPr="003462FF" w:rsidRDefault="00D73D3F" w:rsidP="009461E4">
            <w:pPr>
              <w:rPr>
                <w:rFonts w:asciiTheme="majorHAnsi" w:hAnsiTheme="majorHAnsi"/>
              </w:rPr>
            </w:pPr>
            <w:r w:rsidRPr="003462FF">
              <w:rPr>
                <w:rFonts w:asciiTheme="majorHAnsi" w:hAnsiTheme="majorHAnsi"/>
              </w:rPr>
              <w:t>Procurement</w:t>
            </w:r>
          </w:p>
        </w:tc>
        <w:tc>
          <w:tcPr>
            <w:tcW w:w="6616" w:type="dxa"/>
          </w:tcPr>
          <w:p w14:paraId="153A4314" w14:textId="77777777" w:rsidR="00D35EE1" w:rsidRPr="001C655F" w:rsidRDefault="4CCAE1F8" w:rsidP="007808EA">
            <w:pPr>
              <w:pStyle w:val="ListBullet"/>
            </w:pPr>
            <w:r w:rsidRPr="001C655F">
              <w:rPr>
                <w:sz w:val="18"/>
                <w:szCs w:val="18"/>
              </w:rPr>
              <w:t>Contract Management</w:t>
            </w:r>
          </w:p>
          <w:p w14:paraId="772C0A30" w14:textId="77777777" w:rsidR="00D35EE1" w:rsidRPr="001C655F" w:rsidRDefault="4CCAE1F8" w:rsidP="007808EA">
            <w:pPr>
              <w:pStyle w:val="ListBullet"/>
            </w:pPr>
            <w:r w:rsidRPr="001C655F">
              <w:rPr>
                <w:sz w:val="18"/>
                <w:szCs w:val="18"/>
              </w:rPr>
              <w:t>Hub administration</w:t>
            </w:r>
          </w:p>
          <w:p w14:paraId="7984EFF6" w14:textId="39AEDF7A" w:rsidR="00765A48" w:rsidRPr="001C655F" w:rsidRDefault="4CCAE1F8" w:rsidP="007808EA">
            <w:pPr>
              <w:pStyle w:val="ListBullet"/>
            </w:pPr>
            <w:r w:rsidRPr="001C655F">
              <w:rPr>
                <w:sz w:val="18"/>
                <w:szCs w:val="18"/>
              </w:rPr>
              <w:t>Manage CCCFR tender processes and assist with other ad hoc tender processes as required</w:t>
            </w:r>
            <w:r w:rsidR="4925022A">
              <w:t>.</w:t>
            </w:r>
          </w:p>
        </w:tc>
      </w:tr>
      <w:tr w:rsidR="00765A48" w:rsidRPr="003462FF" w14:paraId="2C40FE7B" w14:textId="77777777" w:rsidTr="00DD47E2">
        <w:tc>
          <w:tcPr>
            <w:tcW w:w="2410" w:type="dxa"/>
          </w:tcPr>
          <w:p w14:paraId="4156A8FE" w14:textId="15D0E590" w:rsidR="00765A48" w:rsidRPr="003462FF" w:rsidRDefault="00AD15E6" w:rsidP="009461E4">
            <w:pPr>
              <w:rPr>
                <w:rFonts w:asciiTheme="majorHAnsi" w:hAnsiTheme="majorHAnsi"/>
              </w:rPr>
            </w:pPr>
            <w:r w:rsidRPr="003462FF">
              <w:rPr>
                <w:rFonts w:asciiTheme="majorHAnsi" w:hAnsiTheme="majorHAnsi"/>
              </w:rPr>
              <w:t>Internal and external stakeholder engagement</w:t>
            </w:r>
          </w:p>
        </w:tc>
        <w:tc>
          <w:tcPr>
            <w:tcW w:w="6616" w:type="dxa"/>
          </w:tcPr>
          <w:p w14:paraId="039554AE" w14:textId="77777777" w:rsidR="00DF3503" w:rsidRPr="001C655F" w:rsidRDefault="5E728CA2" w:rsidP="007808EA">
            <w:pPr>
              <w:pStyle w:val="ListBullet"/>
            </w:pPr>
            <w:r w:rsidRPr="001C655F">
              <w:rPr>
                <w:sz w:val="18"/>
                <w:szCs w:val="18"/>
              </w:rPr>
              <w:t>Provide local CCCFR service/community intelligence to other sections of the Department</w:t>
            </w:r>
          </w:p>
          <w:p w14:paraId="12DE36AF" w14:textId="77777777" w:rsidR="00DF3503" w:rsidRPr="001C655F" w:rsidRDefault="5E728CA2" w:rsidP="007808EA">
            <w:pPr>
              <w:pStyle w:val="ListBullet"/>
            </w:pPr>
            <w:r w:rsidRPr="001C655F">
              <w:rPr>
                <w:sz w:val="18"/>
                <w:szCs w:val="18"/>
              </w:rPr>
              <w:t>Collaborate and engage with state and territory regulators, ACECQA and peak bodies</w:t>
            </w:r>
          </w:p>
          <w:p w14:paraId="71E4A1A2" w14:textId="77777777" w:rsidR="00DF3503" w:rsidRPr="001C655F" w:rsidRDefault="5E728CA2" w:rsidP="007808EA">
            <w:pPr>
              <w:pStyle w:val="ListBullet"/>
            </w:pPr>
            <w:r w:rsidRPr="001C655F">
              <w:rPr>
                <w:sz w:val="18"/>
                <w:szCs w:val="18"/>
              </w:rPr>
              <w:t>Provide data when requested</w:t>
            </w:r>
          </w:p>
          <w:p w14:paraId="6B19BE6A" w14:textId="16310B36" w:rsidR="00DF3503" w:rsidRPr="001C655F" w:rsidRDefault="5E728CA2" w:rsidP="007808EA">
            <w:pPr>
              <w:pStyle w:val="ListBullet"/>
            </w:pPr>
            <w:r w:rsidRPr="001C655F">
              <w:rPr>
                <w:sz w:val="18"/>
                <w:szCs w:val="18"/>
              </w:rPr>
              <w:t xml:space="preserve">Provide </w:t>
            </w:r>
            <w:r w:rsidR="653B74D6" w:rsidRPr="001C655F">
              <w:rPr>
                <w:sz w:val="18"/>
                <w:szCs w:val="18"/>
              </w:rPr>
              <w:t>grant</w:t>
            </w:r>
            <w:r w:rsidRPr="001C655F">
              <w:rPr>
                <w:sz w:val="18"/>
                <w:szCs w:val="18"/>
              </w:rPr>
              <w:t xml:space="preserve"> advice</w:t>
            </w:r>
          </w:p>
          <w:p w14:paraId="38466B44" w14:textId="3BEBFD6E" w:rsidR="00FF578C" w:rsidRPr="001C655F" w:rsidRDefault="6E08BE5E" w:rsidP="007808EA">
            <w:pPr>
              <w:pStyle w:val="ListBullet"/>
            </w:pPr>
            <w:r w:rsidRPr="001C655F">
              <w:rPr>
                <w:sz w:val="18"/>
                <w:szCs w:val="18"/>
              </w:rPr>
              <w:t>Problem solving</w:t>
            </w:r>
          </w:p>
          <w:p w14:paraId="55AAD095" w14:textId="77777777" w:rsidR="00DF3503" w:rsidRPr="001C655F" w:rsidRDefault="5E728CA2" w:rsidP="007808EA">
            <w:pPr>
              <w:pStyle w:val="ListBullet"/>
            </w:pPr>
            <w:r w:rsidRPr="001C655F">
              <w:rPr>
                <w:sz w:val="18"/>
                <w:szCs w:val="18"/>
              </w:rPr>
              <w:t xml:space="preserve">Manage service complaints in out of scope services </w:t>
            </w:r>
          </w:p>
          <w:p w14:paraId="1510C983" w14:textId="58AB1DDB" w:rsidR="00DF3503" w:rsidRPr="001C655F" w:rsidRDefault="5E728CA2" w:rsidP="007808EA">
            <w:pPr>
              <w:pStyle w:val="ListBullet"/>
            </w:pPr>
            <w:r w:rsidRPr="001C655F">
              <w:rPr>
                <w:sz w:val="18"/>
                <w:szCs w:val="18"/>
              </w:rPr>
              <w:t xml:space="preserve">Communicate the </w:t>
            </w:r>
            <w:r w:rsidR="00807E8F" w:rsidRPr="001C655F">
              <w:rPr>
                <w:sz w:val="18"/>
                <w:szCs w:val="18"/>
              </w:rPr>
              <w:t>D</w:t>
            </w:r>
            <w:r w:rsidRPr="001C655F">
              <w:rPr>
                <w:sz w:val="18"/>
                <w:szCs w:val="18"/>
              </w:rPr>
              <w:t>epartment’s expectations and regulative requirements to services</w:t>
            </w:r>
          </w:p>
          <w:p w14:paraId="5D3F76FC" w14:textId="0F847D5C" w:rsidR="0011703F" w:rsidRPr="001C655F" w:rsidRDefault="6A6EFCD7" w:rsidP="007808EA">
            <w:pPr>
              <w:pStyle w:val="ListBullet"/>
            </w:pPr>
            <w:r w:rsidRPr="001C655F">
              <w:rPr>
                <w:sz w:val="18"/>
                <w:szCs w:val="18"/>
              </w:rPr>
              <w:t>Interpreting legislation and regulations</w:t>
            </w:r>
          </w:p>
          <w:p w14:paraId="400F50DA" w14:textId="77777777" w:rsidR="00DF3503" w:rsidRPr="001C655F" w:rsidRDefault="5E728CA2" w:rsidP="007808EA">
            <w:pPr>
              <w:pStyle w:val="ListBullet"/>
            </w:pPr>
            <w:r w:rsidRPr="001C655F">
              <w:rPr>
                <w:sz w:val="18"/>
                <w:szCs w:val="18"/>
              </w:rPr>
              <w:t xml:space="preserve">Monitor compliance with Minister’s rules for services not approved under National Law </w:t>
            </w:r>
          </w:p>
          <w:p w14:paraId="269D7FC2" w14:textId="2A8B637A" w:rsidR="00DF3503" w:rsidRPr="001C655F" w:rsidRDefault="00DF3503" w:rsidP="007808EA">
            <w:pPr>
              <w:pStyle w:val="ListBullet2"/>
            </w:pPr>
            <w:r w:rsidRPr="001C655F">
              <w:rPr>
                <w:sz w:val="18"/>
              </w:rPr>
              <w:t>Undertake non-compliance processes if needed</w:t>
            </w:r>
            <w:r w:rsidR="005D2B20" w:rsidRPr="005D2B20">
              <w:t>.</w:t>
            </w:r>
          </w:p>
          <w:p w14:paraId="033AF0AD" w14:textId="77777777" w:rsidR="00DF3503" w:rsidRPr="001C655F" w:rsidRDefault="5E728CA2" w:rsidP="007808EA">
            <w:pPr>
              <w:pStyle w:val="ListBullet"/>
            </w:pPr>
            <w:r w:rsidRPr="001C655F">
              <w:rPr>
                <w:sz w:val="18"/>
                <w:szCs w:val="18"/>
              </w:rPr>
              <w:t>Make referrals to other agencies/areas as appropriate</w:t>
            </w:r>
          </w:p>
          <w:p w14:paraId="072FBCFF" w14:textId="77777777" w:rsidR="00DF3503" w:rsidRPr="001C655F" w:rsidRDefault="5E728CA2" w:rsidP="007808EA">
            <w:pPr>
              <w:pStyle w:val="ListBullet"/>
            </w:pPr>
            <w:r w:rsidRPr="001C655F">
              <w:rPr>
                <w:sz w:val="18"/>
                <w:szCs w:val="18"/>
              </w:rPr>
              <w:t>Building the capacity of the ECEC sector</w:t>
            </w:r>
          </w:p>
          <w:p w14:paraId="4D723331" w14:textId="5B867A3F" w:rsidR="00DF3503" w:rsidRPr="001C655F" w:rsidRDefault="00DF3503" w:rsidP="007808EA">
            <w:pPr>
              <w:pStyle w:val="ListBullet2"/>
            </w:pPr>
            <w:r w:rsidRPr="001C655F">
              <w:rPr>
                <w:sz w:val="18"/>
              </w:rPr>
              <w:t>Encourage FAL compliance in our services</w:t>
            </w:r>
            <w:r w:rsidR="005D2B20" w:rsidRPr="005D2B20">
              <w:t>.</w:t>
            </w:r>
          </w:p>
          <w:p w14:paraId="3122C43F" w14:textId="510C99CE" w:rsidR="00DF3503" w:rsidRPr="001C655F" w:rsidRDefault="00DF3503" w:rsidP="007808EA">
            <w:pPr>
              <w:pStyle w:val="ListBullet2"/>
            </w:pPr>
            <w:r w:rsidRPr="001C655F">
              <w:rPr>
                <w:sz w:val="18"/>
              </w:rPr>
              <w:t>Communicate and engage with board members, directors, educators and community members</w:t>
            </w:r>
            <w:r w:rsidR="005D2B20" w:rsidRPr="005D2B20">
              <w:t>.</w:t>
            </w:r>
          </w:p>
          <w:p w14:paraId="1DCF6D32" w14:textId="6B754249" w:rsidR="00DF3503" w:rsidRPr="001C655F" w:rsidRDefault="00DF3503" w:rsidP="007808EA">
            <w:pPr>
              <w:pStyle w:val="ListBullet2"/>
            </w:pPr>
            <w:r w:rsidRPr="001C655F">
              <w:rPr>
                <w:sz w:val="18"/>
              </w:rPr>
              <w:t>participating and engage in forums</w:t>
            </w:r>
            <w:r w:rsidR="005D2B20" w:rsidRPr="005D2B20">
              <w:t>.</w:t>
            </w:r>
          </w:p>
          <w:p w14:paraId="399CD581" w14:textId="0C7CCB2E" w:rsidR="00DF3503" w:rsidRPr="001C655F" w:rsidRDefault="00DF3503" w:rsidP="007808EA">
            <w:pPr>
              <w:pStyle w:val="ListBullet2"/>
            </w:pPr>
            <w:r w:rsidRPr="001C655F">
              <w:rPr>
                <w:sz w:val="18"/>
              </w:rPr>
              <w:t>Encourage safe practices in CCCFR services, especially in out of scope services</w:t>
            </w:r>
            <w:r w:rsidR="005D2B20" w:rsidRPr="005D2B20">
              <w:t>.</w:t>
            </w:r>
          </w:p>
          <w:p w14:paraId="349DFEB4" w14:textId="04C02CE2" w:rsidR="00765A48" w:rsidRPr="001C655F" w:rsidRDefault="00DF3503" w:rsidP="007808EA">
            <w:pPr>
              <w:pStyle w:val="ListBullet2"/>
            </w:pPr>
            <w:r w:rsidRPr="001C655F">
              <w:rPr>
                <w:rStyle w:val="cf01"/>
                <w:rFonts w:asciiTheme="majorHAnsi" w:hAnsiTheme="majorHAnsi"/>
                <w:sz w:val="17"/>
              </w:rPr>
              <w:t xml:space="preserve">Educate and encourage providers/services to access tools, guidelines, templates, handbook, PRODA from the </w:t>
            </w:r>
            <w:r w:rsidR="003B4838" w:rsidRPr="001C655F">
              <w:rPr>
                <w:rStyle w:val="cf01"/>
                <w:rFonts w:asciiTheme="majorHAnsi" w:hAnsiTheme="majorHAnsi"/>
                <w:sz w:val="17"/>
              </w:rPr>
              <w:t>D</w:t>
            </w:r>
            <w:r w:rsidR="73005372" w:rsidRPr="001C655F">
              <w:rPr>
                <w:rStyle w:val="cf01"/>
                <w:rFonts w:asciiTheme="majorHAnsi" w:hAnsiTheme="majorHAnsi"/>
                <w:sz w:val="17"/>
              </w:rPr>
              <w:t>epartment’s</w:t>
            </w:r>
            <w:r w:rsidRPr="001C655F">
              <w:rPr>
                <w:rStyle w:val="cf01"/>
                <w:rFonts w:asciiTheme="majorHAnsi" w:hAnsiTheme="majorHAnsi"/>
                <w:sz w:val="17"/>
              </w:rPr>
              <w:t xml:space="preserve"> website</w:t>
            </w:r>
            <w:r w:rsidR="005D2B20" w:rsidRPr="005D2B20">
              <w:rPr>
                <w:rStyle w:val="cf01"/>
                <w:rFonts w:asciiTheme="majorHAnsi" w:hAnsiTheme="majorHAnsi" w:cstheme="minorBidi"/>
                <w:sz w:val="17"/>
                <w:szCs w:val="17"/>
              </w:rPr>
              <w:t>.</w:t>
            </w:r>
          </w:p>
        </w:tc>
      </w:tr>
      <w:tr w:rsidR="00765A48" w:rsidRPr="003462FF" w14:paraId="055DF95E" w14:textId="77777777" w:rsidTr="00DD47E2">
        <w:tc>
          <w:tcPr>
            <w:tcW w:w="2410" w:type="dxa"/>
          </w:tcPr>
          <w:p w14:paraId="546F8C46" w14:textId="2A3E19D6" w:rsidR="00765A48" w:rsidRPr="003462FF" w:rsidRDefault="00C846E2" w:rsidP="009461E4">
            <w:pPr>
              <w:rPr>
                <w:rFonts w:asciiTheme="majorHAnsi" w:hAnsiTheme="majorHAnsi"/>
              </w:rPr>
            </w:pPr>
            <w:r w:rsidRPr="003462FF">
              <w:rPr>
                <w:rFonts w:asciiTheme="majorHAnsi" w:hAnsiTheme="majorHAnsi"/>
              </w:rPr>
              <w:t>Policy</w:t>
            </w:r>
          </w:p>
        </w:tc>
        <w:tc>
          <w:tcPr>
            <w:tcW w:w="6616" w:type="dxa"/>
          </w:tcPr>
          <w:p w14:paraId="06CA63D8" w14:textId="77777777" w:rsidR="00C846E2" w:rsidRPr="001C655F" w:rsidRDefault="0601DA3A" w:rsidP="007808EA">
            <w:pPr>
              <w:pStyle w:val="ListBullet"/>
            </w:pPr>
            <w:r w:rsidRPr="001C655F">
              <w:rPr>
                <w:sz w:val="18"/>
                <w:szCs w:val="18"/>
              </w:rPr>
              <w:t>Provide assistance, feedback and recommendation for the CCCFR review</w:t>
            </w:r>
          </w:p>
          <w:p w14:paraId="1D651A8E" w14:textId="77777777" w:rsidR="00C846E2" w:rsidRPr="001C655F" w:rsidRDefault="0601DA3A" w:rsidP="007808EA">
            <w:pPr>
              <w:pStyle w:val="ListBullet"/>
            </w:pPr>
            <w:r w:rsidRPr="001C655F">
              <w:rPr>
                <w:sz w:val="18"/>
                <w:szCs w:val="18"/>
              </w:rPr>
              <w:t>Influence wider ECEC policy</w:t>
            </w:r>
          </w:p>
          <w:p w14:paraId="4AB87F32" w14:textId="59CD9D57" w:rsidR="00C846E2" w:rsidRPr="001C655F" w:rsidRDefault="0601DA3A" w:rsidP="007808EA">
            <w:pPr>
              <w:pStyle w:val="ListBullet"/>
            </w:pPr>
            <w:r w:rsidRPr="001C655F">
              <w:rPr>
                <w:sz w:val="18"/>
                <w:szCs w:val="18"/>
              </w:rPr>
              <w:lastRenderedPageBreak/>
              <w:t>Raise</w:t>
            </w:r>
            <w:r w:rsidR="00B92226" w:rsidRPr="001C655F">
              <w:rPr>
                <w:sz w:val="18"/>
                <w:szCs w:val="18"/>
              </w:rPr>
              <w:t xml:space="preserve"> grant</w:t>
            </w:r>
            <w:r w:rsidRPr="001C655F">
              <w:rPr>
                <w:sz w:val="18"/>
                <w:szCs w:val="18"/>
              </w:rPr>
              <w:t>/policy concerns and escalate where appropriate</w:t>
            </w:r>
          </w:p>
          <w:p w14:paraId="22F47131" w14:textId="77777777" w:rsidR="00C846E2" w:rsidRPr="001C655F" w:rsidRDefault="0601DA3A" w:rsidP="007808EA">
            <w:pPr>
              <w:pStyle w:val="ListBullet"/>
            </w:pPr>
            <w:r w:rsidRPr="001C655F">
              <w:rPr>
                <w:sz w:val="18"/>
                <w:szCs w:val="18"/>
              </w:rPr>
              <w:t>Maintain CCCFR operations and services guides</w:t>
            </w:r>
          </w:p>
          <w:p w14:paraId="5665403B" w14:textId="407408E6" w:rsidR="00765A48" w:rsidRPr="001C655F" w:rsidRDefault="0601DA3A" w:rsidP="007808EA">
            <w:pPr>
              <w:pStyle w:val="ListBullet"/>
            </w:pPr>
            <w:r w:rsidRPr="001C655F">
              <w:rPr>
                <w:sz w:val="18"/>
                <w:szCs w:val="18"/>
              </w:rPr>
              <w:t>Creating and updating templates as needed</w:t>
            </w:r>
            <w:r w:rsidR="4925022A">
              <w:t>.</w:t>
            </w:r>
          </w:p>
        </w:tc>
      </w:tr>
      <w:tr w:rsidR="00765A48" w:rsidRPr="003462FF" w14:paraId="5E6577DE" w14:textId="77777777" w:rsidTr="00DD47E2">
        <w:tc>
          <w:tcPr>
            <w:tcW w:w="2410" w:type="dxa"/>
          </w:tcPr>
          <w:p w14:paraId="01344E23" w14:textId="06D924F4" w:rsidR="00765A48" w:rsidRPr="003462FF" w:rsidRDefault="00891A76" w:rsidP="009461E4">
            <w:pPr>
              <w:rPr>
                <w:rFonts w:asciiTheme="majorHAnsi" w:hAnsiTheme="majorHAnsi"/>
              </w:rPr>
            </w:pPr>
            <w:r w:rsidRPr="003462FF">
              <w:rPr>
                <w:rFonts w:asciiTheme="majorHAnsi" w:hAnsiTheme="majorHAnsi"/>
              </w:rPr>
              <w:lastRenderedPageBreak/>
              <w:t>Infrastructure and leasing</w:t>
            </w:r>
          </w:p>
        </w:tc>
        <w:tc>
          <w:tcPr>
            <w:tcW w:w="6616" w:type="dxa"/>
          </w:tcPr>
          <w:p w14:paraId="48CCDECA" w14:textId="3D93A83C" w:rsidR="00891A76" w:rsidRPr="001C655F" w:rsidRDefault="2A50084B" w:rsidP="007808EA">
            <w:pPr>
              <w:pStyle w:val="ListBullet"/>
            </w:pPr>
            <w:r w:rsidRPr="001C655F">
              <w:rPr>
                <w:sz w:val="18"/>
                <w:szCs w:val="18"/>
              </w:rPr>
              <w:t xml:space="preserve">Manage </w:t>
            </w:r>
            <w:r w:rsidR="5A7B6317" w:rsidRPr="001C655F">
              <w:rPr>
                <w:sz w:val="18"/>
                <w:szCs w:val="18"/>
              </w:rPr>
              <w:t>D</w:t>
            </w:r>
            <w:r w:rsidRPr="001C655F">
              <w:rPr>
                <w:sz w:val="18"/>
                <w:szCs w:val="18"/>
              </w:rPr>
              <w:t>epartmental leasing arrangements</w:t>
            </w:r>
          </w:p>
          <w:p w14:paraId="768BCC99" w14:textId="77777777" w:rsidR="00891A76" w:rsidRPr="001C655F" w:rsidRDefault="2A50084B" w:rsidP="007808EA">
            <w:pPr>
              <w:pStyle w:val="ListBullet"/>
            </w:pPr>
            <w:r w:rsidRPr="001C655F">
              <w:rPr>
                <w:sz w:val="18"/>
                <w:szCs w:val="18"/>
              </w:rPr>
              <w:t>Negotiation and managing the MOU’s on leasing</w:t>
            </w:r>
          </w:p>
          <w:p w14:paraId="6C35109A" w14:textId="2E8F7C31" w:rsidR="00891A76" w:rsidRPr="001C655F" w:rsidRDefault="2A50084B" w:rsidP="007808EA">
            <w:pPr>
              <w:pStyle w:val="ListBullet"/>
            </w:pPr>
            <w:r w:rsidRPr="001C655F">
              <w:rPr>
                <w:sz w:val="18"/>
                <w:szCs w:val="18"/>
              </w:rPr>
              <w:t xml:space="preserve">Manage the repairs and maintenance in buildings the </w:t>
            </w:r>
            <w:r w:rsidR="00807E8F" w:rsidRPr="001C655F">
              <w:rPr>
                <w:sz w:val="18"/>
                <w:szCs w:val="18"/>
              </w:rPr>
              <w:t>D</w:t>
            </w:r>
            <w:r w:rsidRPr="001C655F">
              <w:rPr>
                <w:sz w:val="18"/>
                <w:szCs w:val="18"/>
              </w:rPr>
              <w:t>epartment owns</w:t>
            </w:r>
          </w:p>
          <w:p w14:paraId="4ACACA12" w14:textId="77777777" w:rsidR="00891A76" w:rsidRPr="001C655F" w:rsidRDefault="2A50084B" w:rsidP="007808EA">
            <w:pPr>
              <w:pStyle w:val="ListBullet"/>
            </w:pPr>
            <w:r w:rsidRPr="001C655F">
              <w:rPr>
                <w:sz w:val="18"/>
                <w:szCs w:val="18"/>
              </w:rPr>
              <w:t>Internal and external stakeholder engagement</w:t>
            </w:r>
          </w:p>
          <w:p w14:paraId="4EA65707" w14:textId="3E8647A1" w:rsidR="00765A48" w:rsidRPr="001C655F" w:rsidRDefault="2A50084B" w:rsidP="007808EA">
            <w:pPr>
              <w:pStyle w:val="ListBullet"/>
            </w:pPr>
            <w:r w:rsidRPr="001C655F">
              <w:rPr>
                <w:sz w:val="18"/>
                <w:szCs w:val="18"/>
              </w:rPr>
              <w:t>Ensure all ComCover requirements and reporting are met</w:t>
            </w:r>
            <w:r w:rsidR="4925022A">
              <w:t>.</w:t>
            </w:r>
          </w:p>
        </w:tc>
      </w:tr>
      <w:tr w:rsidR="007A1274" w:rsidRPr="003462FF" w14:paraId="74162AE3" w14:textId="77777777" w:rsidTr="00DD47E2">
        <w:tc>
          <w:tcPr>
            <w:tcW w:w="2410" w:type="dxa"/>
          </w:tcPr>
          <w:p w14:paraId="044275C5" w14:textId="6CB91FFE" w:rsidR="007A1274" w:rsidRPr="003462FF" w:rsidRDefault="007A1274" w:rsidP="009461E4">
            <w:pPr>
              <w:rPr>
                <w:rFonts w:asciiTheme="majorHAnsi" w:hAnsiTheme="majorHAnsi"/>
              </w:rPr>
            </w:pPr>
            <w:r w:rsidRPr="003462FF">
              <w:rPr>
                <w:rFonts w:asciiTheme="majorHAnsi" w:hAnsiTheme="majorHAnsi"/>
              </w:rPr>
              <w:t>Internal leadership</w:t>
            </w:r>
          </w:p>
        </w:tc>
        <w:tc>
          <w:tcPr>
            <w:tcW w:w="6616" w:type="dxa"/>
          </w:tcPr>
          <w:p w14:paraId="53C2CAA3" w14:textId="43318892" w:rsidR="007A1274" w:rsidRPr="001C655F" w:rsidRDefault="007A1274" w:rsidP="007808EA">
            <w:pPr>
              <w:pStyle w:val="ListBullet"/>
            </w:pPr>
            <w:r w:rsidRPr="001C655F">
              <w:rPr>
                <w:sz w:val="18"/>
                <w:szCs w:val="18"/>
              </w:rPr>
              <w:t xml:space="preserve">Supporting, managing and mentoring </w:t>
            </w:r>
            <w:r w:rsidR="54D059FE" w:rsidRPr="001C655F">
              <w:rPr>
                <w:sz w:val="18"/>
                <w:szCs w:val="18"/>
              </w:rPr>
              <w:t>other</w:t>
            </w:r>
            <w:r w:rsidRPr="001C655F">
              <w:rPr>
                <w:sz w:val="18"/>
                <w:szCs w:val="18"/>
              </w:rPr>
              <w:t xml:space="preserve"> staff</w:t>
            </w:r>
          </w:p>
          <w:p w14:paraId="04ACCBE1" w14:textId="4076D0CB" w:rsidR="007A1274" w:rsidRPr="001C655F" w:rsidRDefault="0DBD50AD" w:rsidP="007808EA">
            <w:pPr>
              <w:pStyle w:val="ListBullet"/>
            </w:pPr>
            <w:r w:rsidRPr="001C655F">
              <w:rPr>
                <w:sz w:val="18"/>
                <w:szCs w:val="18"/>
              </w:rPr>
              <w:t>Acting in higher positions when required</w:t>
            </w:r>
            <w:r w:rsidR="4925022A">
              <w:t>.</w:t>
            </w:r>
          </w:p>
        </w:tc>
      </w:tr>
    </w:tbl>
    <w:p w14:paraId="2FC32635" w14:textId="68437D1A" w:rsidR="00254BD0" w:rsidRPr="007A1274" w:rsidRDefault="007A1274" w:rsidP="005B43BB">
      <w:pPr>
        <w:pStyle w:val="Source"/>
        <w:rPr>
          <w:i/>
        </w:rPr>
      </w:pPr>
      <w:r w:rsidRPr="007A1274">
        <w:t>Source: Australian Department of Education (2023)</w:t>
      </w:r>
      <w:r w:rsidR="000F591A">
        <w:t>.</w:t>
      </w:r>
    </w:p>
    <w:p w14:paraId="63B08767" w14:textId="0C0DBD51" w:rsidR="00C206BD" w:rsidRDefault="007E3CD8" w:rsidP="00BE0801">
      <w:r w:rsidRPr="007E3CD8">
        <w:t>As noted in</w:t>
      </w:r>
      <w:r w:rsidR="00302084">
        <w:t xml:space="preserve"> the table above</w:t>
      </w:r>
      <w:r w:rsidRPr="007E3CD8">
        <w:t>, CCCFR Program Officers</w:t>
      </w:r>
      <w:r w:rsidR="00BE0801">
        <w:t xml:space="preserve"> are </w:t>
      </w:r>
      <w:r w:rsidR="000814FD">
        <w:t xml:space="preserve">responsible for a broad scope of </w:t>
      </w:r>
      <w:r w:rsidR="00302084">
        <w:t xml:space="preserve">tasks </w:t>
      </w:r>
      <w:r w:rsidR="00BE0801">
        <w:t xml:space="preserve">and responsibilities in regard to </w:t>
      </w:r>
      <w:r w:rsidR="000814FD">
        <w:t xml:space="preserve">both administration of the </w:t>
      </w:r>
      <w:r w:rsidR="00BE0801">
        <w:t>CCCFR grant</w:t>
      </w:r>
      <w:r w:rsidR="000814FD">
        <w:t xml:space="preserve"> itself, as well as </w:t>
      </w:r>
      <w:r w:rsidR="00BE0801">
        <w:t xml:space="preserve">providing ongoing support and engagement </w:t>
      </w:r>
      <w:r w:rsidR="000814FD">
        <w:t>with</w:t>
      </w:r>
      <w:r w:rsidR="00BE0801">
        <w:t xml:space="preserve"> CCCFR services</w:t>
      </w:r>
      <w:r w:rsidR="000814FD">
        <w:t xml:space="preserve"> to support ongoing access to ECEC for families </w:t>
      </w:r>
      <w:r w:rsidR="006608F5">
        <w:t xml:space="preserve">and children </w:t>
      </w:r>
      <w:r w:rsidR="000814FD">
        <w:t xml:space="preserve">in </w:t>
      </w:r>
      <w:r w:rsidR="008C6EA5">
        <w:t>those communities.</w:t>
      </w:r>
    </w:p>
    <w:p w14:paraId="1EB3CF2E" w14:textId="66C6C9C7" w:rsidR="009E4176" w:rsidRDefault="006608F5" w:rsidP="005E0BFB">
      <w:r>
        <w:t xml:space="preserve">Consultation with CCCFR services identified </w:t>
      </w:r>
      <w:r w:rsidR="5A834842">
        <w:t xml:space="preserve">CCCFR </w:t>
      </w:r>
      <w:r>
        <w:t xml:space="preserve">Program Officers as a key point of contact for services, with the majority of services noting that their relevant Program Officer was their first </w:t>
      </w:r>
      <w:r w:rsidR="009E4176">
        <w:t>point of call when faced with a question in relation to the grant or broader service management.</w:t>
      </w:r>
    </w:p>
    <w:p w14:paraId="6F0A90DA" w14:textId="50FB1062" w:rsidR="000D3A73" w:rsidRDefault="009E4176" w:rsidP="005E0BFB">
      <w:r>
        <w:t xml:space="preserve">Analysis of survey responses from the </w:t>
      </w:r>
      <w:r w:rsidR="000F591A">
        <w:t xml:space="preserve">CCCFR </w:t>
      </w:r>
      <w:r>
        <w:t xml:space="preserve">service survey indicate a similar trend, with </w:t>
      </w:r>
      <w:r w:rsidR="007D57EC">
        <w:t>a majority of respondents</w:t>
      </w:r>
      <w:r>
        <w:t xml:space="preserve"> </w:t>
      </w:r>
      <w:r w:rsidR="0017097F">
        <w:t xml:space="preserve">indicating that they would reach out to their Program Officer </w:t>
      </w:r>
      <w:r w:rsidR="00E83F26">
        <w:t>around queries relating to</w:t>
      </w:r>
      <w:r w:rsidR="000D3A73">
        <w:t>:</w:t>
      </w:r>
    </w:p>
    <w:p w14:paraId="77003FD5" w14:textId="0D8CA199" w:rsidR="000D3A73" w:rsidRPr="00631ABE" w:rsidRDefault="000D3A73" w:rsidP="00631ABE">
      <w:pPr>
        <w:pStyle w:val="ListBullet"/>
      </w:pPr>
      <w:r>
        <w:t>CCCFR gran</w:t>
      </w:r>
      <w:r w:rsidR="005E0BFB">
        <w:t>t</w:t>
      </w:r>
      <w:r>
        <w:t xml:space="preserve"> conditions (100</w:t>
      </w:r>
      <w:r w:rsidR="007F4CE1">
        <w:t xml:space="preserve"> per cent</w:t>
      </w:r>
      <w:r>
        <w:t>)</w:t>
      </w:r>
    </w:p>
    <w:p w14:paraId="528E8BEB" w14:textId="67201AFC" w:rsidR="009E4176" w:rsidRPr="00631ABE" w:rsidRDefault="00840988" w:rsidP="00631ABE">
      <w:pPr>
        <w:pStyle w:val="ListBullet"/>
      </w:pPr>
      <w:r>
        <w:t>a</w:t>
      </w:r>
      <w:r w:rsidR="000D3A73">
        <w:t>dministering the CCS and/or obligations under the Family Assistance Law (69</w:t>
      </w:r>
      <w:r w:rsidR="007F4CE1">
        <w:t xml:space="preserve"> per cent</w:t>
      </w:r>
      <w:r w:rsidR="000D3A73">
        <w:t>)</w:t>
      </w:r>
    </w:p>
    <w:p w14:paraId="2E288FE0" w14:textId="55B81C6C" w:rsidR="00840988" w:rsidRPr="00631ABE" w:rsidRDefault="00840988" w:rsidP="00631ABE">
      <w:pPr>
        <w:pStyle w:val="ListBullet"/>
      </w:pPr>
      <w:r>
        <w:t>their services’ ability to transition to the National Quality Framework (62</w:t>
      </w:r>
      <w:r w:rsidR="007F4CE1">
        <w:t xml:space="preserve"> per cent</w:t>
      </w:r>
      <w:r>
        <w:t>)</w:t>
      </w:r>
    </w:p>
    <w:p w14:paraId="2C530714" w14:textId="646DB194" w:rsidR="00E83F26" w:rsidRPr="00631ABE" w:rsidRDefault="005E0BFB" w:rsidP="00631ABE">
      <w:pPr>
        <w:pStyle w:val="ListBullet"/>
      </w:pPr>
      <w:r>
        <w:t>s</w:t>
      </w:r>
      <w:r w:rsidR="00E83F26">
        <w:t>ervice leadership and governance (56</w:t>
      </w:r>
      <w:r w:rsidR="007F4CE1">
        <w:t xml:space="preserve"> per cent</w:t>
      </w:r>
      <w:r w:rsidR="00E83F26">
        <w:t>)</w:t>
      </w:r>
      <w:r w:rsidR="007D57EC">
        <w:t>.</w:t>
      </w:r>
    </w:p>
    <w:p w14:paraId="1354F8B3" w14:textId="77777777" w:rsidR="00B453E5" w:rsidRDefault="00B453E5" w:rsidP="00B14B49">
      <w:pPr>
        <w:pStyle w:val="ListBullet"/>
        <w:numPr>
          <w:ilvl w:val="0"/>
          <w:numId w:val="0"/>
        </w:numPr>
        <w:ind w:left="357"/>
      </w:pPr>
    </w:p>
    <w:p w14:paraId="37AC84B1" w14:textId="65BA19EA" w:rsidR="00B453E5" w:rsidRDefault="00772DC9" w:rsidP="005E0BFB">
      <w:r>
        <w:t>A tally of all responses collected</w:t>
      </w:r>
      <w:r w:rsidR="00265476">
        <w:t xml:space="preserve"> across </w:t>
      </w:r>
      <w:r w:rsidR="00342D11">
        <w:t xml:space="preserve">the nine survey questions </w:t>
      </w:r>
      <w:r w:rsidR="00222585">
        <w:t xml:space="preserve">relating to accessing support also </w:t>
      </w:r>
      <w:r>
        <w:t>indicates</w:t>
      </w:r>
      <w:r w:rsidR="00222585">
        <w:t xml:space="preserve"> that </w:t>
      </w:r>
      <w:r w:rsidR="00D82489">
        <w:t xml:space="preserve">Program Officers are </w:t>
      </w:r>
      <w:r>
        <w:t>a core source</w:t>
      </w:r>
      <w:r w:rsidR="00DD1033">
        <w:t xml:space="preserve"> of advice for CCCFR services</w:t>
      </w:r>
      <w:r w:rsidR="000F591A">
        <w:t xml:space="preserve"> </w:t>
      </w:r>
      <w:r w:rsidR="000F591A" w:rsidRPr="00C92F87">
        <w:t>(</w:t>
      </w:r>
      <w:r w:rsidR="000F591A" w:rsidRPr="00C92F87">
        <w:fldChar w:fldCharType="begin"/>
      </w:r>
      <w:r w:rsidR="000F591A" w:rsidRPr="00C92F87">
        <w:instrText xml:space="preserve"> REF _Ref153370914 \r \h </w:instrText>
      </w:r>
      <w:r w:rsidR="009B2555" w:rsidRPr="00C92F87">
        <w:instrText xml:space="preserve"> \* MERGEFORMAT </w:instrText>
      </w:r>
      <w:r w:rsidR="000F591A" w:rsidRPr="00C92F87">
        <w:fldChar w:fldCharType="separate"/>
      </w:r>
      <w:r w:rsidR="00D300D0">
        <w:t>Table 7.2</w:t>
      </w:r>
      <w:r w:rsidR="000F591A" w:rsidRPr="00C92F87">
        <w:fldChar w:fldCharType="end"/>
      </w:r>
      <w:r w:rsidR="00D63717" w:rsidRPr="00C92F87">
        <w:t>)</w:t>
      </w:r>
      <w:r w:rsidR="00DD1033" w:rsidRPr="00C92F87">
        <w:t>.</w:t>
      </w:r>
    </w:p>
    <w:p w14:paraId="110B0588" w14:textId="401FD7D5" w:rsidR="00772DC9" w:rsidRPr="00C92F87" w:rsidRDefault="00772DC9" w:rsidP="000F591A">
      <w:pPr>
        <w:pStyle w:val="CaptionTable"/>
      </w:pPr>
      <w:bookmarkStart w:id="324" w:name="_Ref153370914"/>
      <w:bookmarkStart w:id="325" w:name="_Toc158997969"/>
      <w:bookmarkStart w:id="326" w:name="_Toc167130715"/>
      <w:r w:rsidRPr="00C92F87">
        <w:t xml:space="preserve">: Cumulative responses to </w:t>
      </w:r>
      <w:r w:rsidR="00D63717" w:rsidRPr="00C92F87">
        <w:t xml:space="preserve">CCCFR service survey </w:t>
      </w:r>
      <w:r w:rsidRPr="00C92F87">
        <w:t>questions around accessing support</w:t>
      </w:r>
      <w:bookmarkEnd w:id="324"/>
      <w:bookmarkEnd w:id="325"/>
      <w:bookmarkEnd w:id="326"/>
    </w:p>
    <w:tbl>
      <w:tblPr>
        <w:tblStyle w:val="Deloittetable"/>
        <w:tblW w:w="6096" w:type="dxa"/>
        <w:tblLook w:val="04A0" w:firstRow="1" w:lastRow="0" w:firstColumn="1" w:lastColumn="0" w:noHBand="0" w:noVBand="1"/>
      </w:tblPr>
      <w:tblGrid>
        <w:gridCol w:w="3297"/>
        <w:gridCol w:w="2831"/>
      </w:tblGrid>
      <w:tr w:rsidR="00F25356" w14:paraId="32D0E87A" w14:textId="77777777" w:rsidTr="00DD47E2">
        <w:trPr>
          <w:cnfStyle w:val="100000000000" w:firstRow="1" w:lastRow="0" w:firstColumn="0" w:lastColumn="0" w:oddVBand="0" w:evenVBand="0" w:oddHBand="0" w:evenHBand="0" w:firstRowFirstColumn="0" w:firstRowLastColumn="0" w:lastRowFirstColumn="0" w:lastRowLastColumn="0"/>
          <w:trHeight w:val="348"/>
        </w:trPr>
        <w:tc>
          <w:tcPr>
            <w:tcW w:w="3281" w:type="dxa"/>
          </w:tcPr>
          <w:p w14:paraId="16F91217" w14:textId="48BC1C30" w:rsidR="00401D62" w:rsidRPr="001C655F" w:rsidRDefault="00772DC9" w:rsidP="00B14B49">
            <w:pPr>
              <w:pStyle w:val="ListBullet"/>
              <w:numPr>
                <w:ilvl w:val="0"/>
                <w:numId w:val="0"/>
              </w:numPr>
              <w:spacing w:before="60" w:after="60"/>
              <w:ind w:left="340" w:hanging="340"/>
              <w:rPr>
                <w:b/>
              </w:rPr>
            </w:pPr>
            <w:r w:rsidRPr="001C655F">
              <w:rPr>
                <w:b/>
              </w:rPr>
              <w:t>Contact for support</w:t>
            </w:r>
          </w:p>
        </w:tc>
        <w:tc>
          <w:tcPr>
            <w:tcW w:w="2815" w:type="dxa"/>
          </w:tcPr>
          <w:p w14:paraId="6C37C6C2" w14:textId="141F1339" w:rsidR="00401D62" w:rsidRPr="001C655F" w:rsidRDefault="00772DC9" w:rsidP="00B14B49">
            <w:pPr>
              <w:pStyle w:val="ListBullet"/>
              <w:numPr>
                <w:ilvl w:val="0"/>
                <w:numId w:val="0"/>
              </w:numPr>
              <w:spacing w:before="120" w:after="60"/>
              <w:ind w:left="340" w:hanging="340"/>
              <w:rPr>
                <w:b/>
              </w:rPr>
            </w:pPr>
            <w:r w:rsidRPr="001C655F">
              <w:rPr>
                <w:b/>
              </w:rPr>
              <w:t>Number of total responses</w:t>
            </w:r>
          </w:p>
        </w:tc>
      </w:tr>
      <w:tr w:rsidR="00814A4E" w:rsidRPr="00401D62" w14:paraId="702E111E" w14:textId="77777777" w:rsidTr="00DD47E2">
        <w:trPr>
          <w:trHeight w:val="230"/>
        </w:trPr>
        <w:tc>
          <w:tcPr>
            <w:tcW w:w="3281" w:type="dxa"/>
            <w:noWrap/>
            <w:hideMark/>
          </w:tcPr>
          <w:p w14:paraId="3611B20D" w14:textId="1906F230" w:rsidR="00401D62" w:rsidRPr="001C655F" w:rsidRDefault="00401D62" w:rsidP="000F591A">
            <w:pPr>
              <w:spacing w:before="60" w:after="60"/>
              <w:rPr>
                <w:b/>
                <w:color w:val="000000"/>
              </w:rPr>
            </w:pPr>
            <w:r w:rsidRPr="00065B14">
              <w:rPr>
                <w:color w:val="000000"/>
              </w:rPr>
              <w:t xml:space="preserve">CCCFR </w:t>
            </w:r>
            <w:r w:rsidR="00772DC9" w:rsidRPr="00065B14">
              <w:rPr>
                <w:color w:val="000000"/>
              </w:rPr>
              <w:t>P</w:t>
            </w:r>
            <w:r w:rsidRPr="00065B14">
              <w:rPr>
                <w:color w:val="000000"/>
              </w:rPr>
              <w:t xml:space="preserve">rogram </w:t>
            </w:r>
            <w:r w:rsidR="00772DC9" w:rsidRPr="00065B14">
              <w:rPr>
                <w:color w:val="000000"/>
              </w:rPr>
              <w:t>O</w:t>
            </w:r>
            <w:r w:rsidRPr="00065B14">
              <w:rPr>
                <w:color w:val="000000"/>
              </w:rPr>
              <w:t>fficer</w:t>
            </w:r>
          </w:p>
        </w:tc>
        <w:tc>
          <w:tcPr>
            <w:tcW w:w="2815" w:type="dxa"/>
            <w:noWrap/>
            <w:hideMark/>
          </w:tcPr>
          <w:p w14:paraId="5FE85C69" w14:textId="77777777" w:rsidR="00401D62" w:rsidRPr="00401D62" w:rsidRDefault="00401D62" w:rsidP="000F591A">
            <w:pPr>
              <w:spacing w:before="60" w:after="60"/>
              <w:rPr>
                <w:rFonts w:eastAsia="Times New Roman" w:cs="Times New Roman"/>
                <w:color w:val="000000"/>
                <w:lang w:eastAsia="en-AU"/>
              </w:rPr>
            </w:pPr>
            <w:r w:rsidRPr="00401D62">
              <w:rPr>
                <w:rFonts w:eastAsia="Times New Roman" w:cs="Times New Roman"/>
                <w:color w:val="000000"/>
                <w:lang w:eastAsia="en-AU"/>
              </w:rPr>
              <w:t>162</w:t>
            </w:r>
          </w:p>
        </w:tc>
      </w:tr>
      <w:tr w:rsidR="00814A4E" w:rsidRPr="00401D62" w14:paraId="1418DCDE" w14:textId="77777777" w:rsidTr="00DD47E2">
        <w:trPr>
          <w:trHeight w:val="230"/>
        </w:trPr>
        <w:tc>
          <w:tcPr>
            <w:tcW w:w="3281" w:type="dxa"/>
            <w:noWrap/>
          </w:tcPr>
          <w:p w14:paraId="6B0DD27C" w14:textId="06CD34F2" w:rsidR="00772DC9" w:rsidRPr="001C655F" w:rsidRDefault="00772DC9" w:rsidP="000F591A">
            <w:pPr>
              <w:spacing w:before="60" w:after="60"/>
              <w:rPr>
                <w:b/>
                <w:color w:val="000000"/>
              </w:rPr>
            </w:pPr>
            <w:r w:rsidRPr="00065B14">
              <w:rPr>
                <w:color w:val="000000"/>
              </w:rPr>
              <w:t>Local regulatory authority</w:t>
            </w:r>
          </w:p>
        </w:tc>
        <w:tc>
          <w:tcPr>
            <w:tcW w:w="2815" w:type="dxa"/>
            <w:noWrap/>
          </w:tcPr>
          <w:p w14:paraId="0C50D570" w14:textId="0974E429" w:rsidR="00772DC9" w:rsidRPr="00401D62" w:rsidRDefault="00772DC9" w:rsidP="000F591A">
            <w:pPr>
              <w:spacing w:before="60" w:after="60"/>
              <w:rPr>
                <w:rFonts w:eastAsia="Times New Roman" w:cs="Times New Roman"/>
                <w:color w:val="000000"/>
                <w:lang w:eastAsia="en-AU"/>
              </w:rPr>
            </w:pPr>
            <w:r w:rsidRPr="00401D62">
              <w:rPr>
                <w:rFonts w:eastAsia="Times New Roman" w:cs="Times New Roman"/>
                <w:color w:val="000000"/>
                <w:lang w:eastAsia="en-AU"/>
              </w:rPr>
              <w:t>108</w:t>
            </w:r>
          </w:p>
        </w:tc>
      </w:tr>
      <w:tr w:rsidR="00814A4E" w:rsidRPr="00401D62" w14:paraId="15BE8144" w14:textId="77777777" w:rsidTr="00DD47E2">
        <w:trPr>
          <w:trHeight w:val="230"/>
        </w:trPr>
        <w:tc>
          <w:tcPr>
            <w:tcW w:w="3281" w:type="dxa"/>
            <w:noWrap/>
          </w:tcPr>
          <w:p w14:paraId="5BDF1C9C" w14:textId="012F8CC8" w:rsidR="00772DC9" w:rsidRPr="001C655F" w:rsidRDefault="00772DC9" w:rsidP="000F591A">
            <w:pPr>
              <w:spacing w:before="60" w:after="60"/>
              <w:rPr>
                <w:b/>
                <w:color w:val="000000"/>
              </w:rPr>
            </w:pPr>
            <w:r w:rsidRPr="00065B14">
              <w:rPr>
                <w:color w:val="000000"/>
              </w:rPr>
              <w:t>Advice from community or families</w:t>
            </w:r>
          </w:p>
        </w:tc>
        <w:tc>
          <w:tcPr>
            <w:tcW w:w="2815" w:type="dxa"/>
            <w:noWrap/>
          </w:tcPr>
          <w:p w14:paraId="19596683" w14:textId="18387780" w:rsidR="00772DC9" w:rsidRPr="00401D62" w:rsidRDefault="00772DC9" w:rsidP="000F591A">
            <w:pPr>
              <w:spacing w:before="60" w:after="60"/>
              <w:rPr>
                <w:rFonts w:eastAsia="Times New Roman" w:cs="Times New Roman"/>
                <w:color w:val="000000"/>
                <w:lang w:eastAsia="en-AU"/>
              </w:rPr>
            </w:pPr>
            <w:r w:rsidRPr="00401D62">
              <w:rPr>
                <w:rFonts w:eastAsia="Times New Roman" w:cs="Times New Roman"/>
                <w:color w:val="000000"/>
                <w:lang w:eastAsia="en-AU"/>
              </w:rPr>
              <w:t>100</w:t>
            </w:r>
          </w:p>
        </w:tc>
      </w:tr>
      <w:tr w:rsidR="00814A4E" w:rsidRPr="00401D62" w14:paraId="36A3B800" w14:textId="77777777" w:rsidTr="00DD47E2">
        <w:trPr>
          <w:trHeight w:val="230"/>
        </w:trPr>
        <w:tc>
          <w:tcPr>
            <w:tcW w:w="3281" w:type="dxa"/>
            <w:noWrap/>
          </w:tcPr>
          <w:p w14:paraId="61501D77" w14:textId="2E5595B8" w:rsidR="00772DC9" w:rsidRPr="001C655F" w:rsidRDefault="00772DC9" w:rsidP="000F591A">
            <w:pPr>
              <w:spacing w:before="60" w:after="60"/>
              <w:rPr>
                <w:b/>
                <w:color w:val="000000"/>
              </w:rPr>
            </w:pPr>
            <w:r w:rsidRPr="00065B14">
              <w:rPr>
                <w:color w:val="000000"/>
              </w:rPr>
              <w:t>Inclusion support agency</w:t>
            </w:r>
          </w:p>
        </w:tc>
        <w:tc>
          <w:tcPr>
            <w:tcW w:w="2815" w:type="dxa"/>
            <w:noWrap/>
          </w:tcPr>
          <w:p w14:paraId="59874D0C" w14:textId="245D8FDC" w:rsidR="00772DC9" w:rsidRPr="00401D62" w:rsidRDefault="00772DC9" w:rsidP="000F591A">
            <w:pPr>
              <w:spacing w:before="60" w:after="60"/>
              <w:rPr>
                <w:rFonts w:eastAsia="Times New Roman" w:cs="Times New Roman"/>
                <w:color w:val="000000"/>
                <w:lang w:eastAsia="en-AU"/>
              </w:rPr>
            </w:pPr>
            <w:r w:rsidRPr="00401D62">
              <w:rPr>
                <w:rFonts w:eastAsia="Times New Roman" w:cs="Times New Roman"/>
                <w:color w:val="000000"/>
                <w:lang w:eastAsia="en-AU"/>
              </w:rPr>
              <w:t>70</w:t>
            </w:r>
          </w:p>
        </w:tc>
      </w:tr>
      <w:tr w:rsidR="00814A4E" w:rsidRPr="00401D62" w14:paraId="1C4D2FDD" w14:textId="77777777" w:rsidTr="00DD47E2">
        <w:trPr>
          <w:trHeight w:val="230"/>
        </w:trPr>
        <w:tc>
          <w:tcPr>
            <w:tcW w:w="3281" w:type="dxa"/>
            <w:noWrap/>
          </w:tcPr>
          <w:p w14:paraId="04F912E2" w14:textId="3B5B5B1D" w:rsidR="00772DC9" w:rsidRPr="001C655F" w:rsidRDefault="00772DC9" w:rsidP="000F591A">
            <w:pPr>
              <w:spacing w:before="60" w:after="60"/>
              <w:rPr>
                <w:b/>
                <w:color w:val="000000"/>
              </w:rPr>
            </w:pPr>
            <w:r w:rsidRPr="00065B14">
              <w:rPr>
                <w:color w:val="000000"/>
              </w:rPr>
              <w:t>Child protection agency</w:t>
            </w:r>
          </w:p>
        </w:tc>
        <w:tc>
          <w:tcPr>
            <w:tcW w:w="2815" w:type="dxa"/>
            <w:noWrap/>
          </w:tcPr>
          <w:p w14:paraId="62561AC0" w14:textId="3AC32C52" w:rsidR="00772DC9" w:rsidRPr="00401D62" w:rsidRDefault="00772DC9" w:rsidP="000F591A">
            <w:pPr>
              <w:spacing w:before="60" w:after="60"/>
              <w:rPr>
                <w:rFonts w:eastAsia="Times New Roman" w:cs="Times New Roman"/>
                <w:color w:val="000000"/>
                <w:lang w:eastAsia="en-AU"/>
              </w:rPr>
            </w:pPr>
            <w:r w:rsidRPr="00401D62">
              <w:rPr>
                <w:rFonts w:eastAsia="Times New Roman" w:cs="Times New Roman"/>
                <w:color w:val="000000"/>
                <w:lang w:eastAsia="en-AU"/>
              </w:rPr>
              <w:t>53</w:t>
            </w:r>
          </w:p>
        </w:tc>
      </w:tr>
      <w:tr w:rsidR="00814A4E" w:rsidRPr="00401D62" w14:paraId="058B6E7C" w14:textId="77777777" w:rsidTr="00DD47E2">
        <w:trPr>
          <w:trHeight w:val="230"/>
        </w:trPr>
        <w:tc>
          <w:tcPr>
            <w:tcW w:w="3281" w:type="dxa"/>
            <w:noWrap/>
            <w:hideMark/>
          </w:tcPr>
          <w:p w14:paraId="32539819" w14:textId="77777777" w:rsidR="00772DC9" w:rsidRPr="001C655F" w:rsidRDefault="00772DC9" w:rsidP="000F591A">
            <w:pPr>
              <w:spacing w:before="60" w:after="60"/>
              <w:rPr>
                <w:b/>
                <w:color w:val="000000"/>
              </w:rPr>
            </w:pPr>
            <w:r w:rsidRPr="00065B14">
              <w:rPr>
                <w:color w:val="000000"/>
              </w:rPr>
              <w:t>Internet</w:t>
            </w:r>
          </w:p>
        </w:tc>
        <w:tc>
          <w:tcPr>
            <w:tcW w:w="2815" w:type="dxa"/>
            <w:noWrap/>
            <w:hideMark/>
          </w:tcPr>
          <w:p w14:paraId="4BFEB5A6" w14:textId="77777777" w:rsidR="00772DC9" w:rsidRPr="00401D62" w:rsidRDefault="00772DC9" w:rsidP="000F591A">
            <w:pPr>
              <w:spacing w:before="60" w:after="60"/>
              <w:rPr>
                <w:rFonts w:eastAsia="Times New Roman" w:cs="Times New Roman"/>
                <w:color w:val="000000"/>
                <w:lang w:eastAsia="en-AU"/>
              </w:rPr>
            </w:pPr>
            <w:r w:rsidRPr="00401D62">
              <w:rPr>
                <w:rFonts w:eastAsia="Times New Roman" w:cs="Times New Roman"/>
                <w:color w:val="000000"/>
                <w:lang w:eastAsia="en-AU"/>
              </w:rPr>
              <w:t>44</w:t>
            </w:r>
          </w:p>
        </w:tc>
      </w:tr>
      <w:tr w:rsidR="00814A4E" w:rsidRPr="00401D62" w14:paraId="2E4F8E85" w14:textId="77777777" w:rsidTr="00DD47E2">
        <w:trPr>
          <w:trHeight w:val="230"/>
        </w:trPr>
        <w:tc>
          <w:tcPr>
            <w:tcW w:w="3281" w:type="dxa"/>
            <w:noWrap/>
          </w:tcPr>
          <w:p w14:paraId="54B18D9E" w14:textId="013153EE" w:rsidR="00772DC9" w:rsidRPr="001C655F" w:rsidRDefault="00772DC9" w:rsidP="000F591A">
            <w:pPr>
              <w:spacing w:before="60" w:after="60"/>
              <w:rPr>
                <w:b/>
                <w:color w:val="000000"/>
              </w:rPr>
            </w:pPr>
            <w:r w:rsidRPr="00065B14">
              <w:rPr>
                <w:color w:val="000000"/>
              </w:rPr>
              <w:t>Other</w:t>
            </w:r>
          </w:p>
        </w:tc>
        <w:tc>
          <w:tcPr>
            <w:tcW w:w="2815" w:type="dxa"/>
            <w:noWrap/>
          </w:tcPr>
          <w:p w14:paraId="3A92D704" w14:textId="5C6D8DB4" w:rsidR="00772DC9" w:rsidRPr="00401D62" w:rsidRDefault="00772DC9" w:rsidP="000F591A">
            <w:pPr>
              <w:spacing w:before="60" w:after="60"/>
              <w:rPr>
                <w:rFonts w:eastAsia="Times New Roman" w:cs="Times New Roman"/>
                <w:color w:val="000000"/>
                <w:lang w:eastAsia="en-AU"/>
              </w:rPr>
            </w:pPr>
            <w:r w:rsidRPr="00401D62">
              <w:rPr>
                <w:rFonts w:eastAsia="Times New Roman" w:cs="Times New Roman"/>
                <w:color w:val="000000"/>
                <w:lang w:eastAsia="en-AU"/>
              </w:rPr>
              <w:t>42</w:t>
            </w:r>
          </w:p>
        </w:tc>
      </w:tr>
      <w:tr w:rsidR="00814A4E" w:rsidRPr="00401D62" w14:paraId="3A9B8BAD" w14:textId="77777777" w:rsidTr="00DD47E2">
        <w:trPr>
          <w:trHeight w:val="230"/>
        </w:trPr>
        <w:tc>
          <w:tcPr>
            <w:tcW w:w="3281" w:type="dxa"/>
            <w:noWrap/>
          </w:tcPr>
          <w:p w14:paraId="3D1B4488" w14:textId="5E4EEF83" w:rsidR="00772DC9" w:rsidRPr="001C655F" w:rsidRDefault="00772DC9" w:rsidP="000F591A">
            <w:pPr>
              <w:spacing w:before="60" w:after="60"/>
              <w:rPr>
                <w:b/>
                <w:color w:val="000000"/>
              </w:rPr>
            </w:pPr>
            <w:r w:rsidRPr="00065B14">
              <w:rPr>
                <w:color w:val="000000"/>
              </w:rPr>
              <w:t>Unsure</w:t>
            </w:r>
          </w:p>
        </w:tc>
        <w:tc>
          <w:tcPr>
            <w:tcW w:w="2815" w:type="dxa"/>
            <w:noWrap/>
          </w:tcPr>
          <w:p w14:paraId="5A20E26E" w14:textId="1547601D" w:rsidR="00772DC9" w:rsidRPr="00401D62" w:rsidRDefault="00772DC9" w:rsidP="000F591A">
            <w:pPr>
              <w:spacing w:before="60" w:after="60"/>
              <w:rPr>
                <w:rFonts w:eastAsia="Times New Roman" w:cs="Times New Roman"/>
                <w:color w:val="000000"/>
                <w:lang w:eastAsia="en-AU"/>
              </w:rPr>
            </w:pPr>
            <w:r w:rsidRPr="00401D62">
              <w:rPr>
                <w:rFonts w:eastAsia="Times New Roman" w:cs="Times New Roman"/>
                <w:color w:val="000000"/>
                <w:lang w:eastAsia="en-AU"/>
              </w:rPr>
              <w:t>1</w:t>
            </w:r>
          </w:p>
        </w:tc>
      </w:tr>
      <w:tr w:rsidR="00814A4E" w:rsidRPr="00401D62" w14:paraId="776A1E1B" w14:textId="77777777" w:rsidTr="00DD47E2">
        <w:trPr>
          <w:trHeight w:val="230"/>
        </w:trPr>
        <w:tc>
          <w:tcPr>
            <w:tcW w:w="3281" w:type="dxa"/>
            <w:noWrap/>
          </w:tcPr>
          <w:p w14:paraId="7C4A2D08" w14:textId="19163221" w:rsidR="00772DC9" w:rsidRPr="001C655F" w:rsidRDefault="00772DC9" w:rsidP="000F591A">
            <w:pPr>
              <w:spacing w:before="60" w:after="60"/>
              <w:rPr>
                <w:b/>
                <w:color w:val="000000"/>
              </w:rPr>
            </w:pPr>
            <w:r w:rsidRPr="00065B14">
              <w:rPr>
                <w:color w:val="000000"/>
              </w:rPr>
              <w:t>ACECQA</w:t>
            </w:r>
          </w:p>
        </w:tc>
        <w:tc>
          <w:tcPr>
            <w:tcW w:w="2815" w:type="dxa"/>
            <w:noWrap/>
          </w:tcPr>
          <w:p w14:paraId="44AE8D28" w14:textId="038DD35D" w:rsidR="00772DC9" w:rsidRPr="00401D62" w:rsidRDefault="00772DC9" w:rsidP="000F591A">
            <w:pPr>
              <w:spacing w:before="60" w:after="60"/>
              <w:rPr>
                <w:rFonts w:eastAsia="Times New Roman" w:cs="Times New Roman"/>
                <w:color w:val="000000"/>
                <w:lang w:eastAsia="en-AU"/>
              </w:rPr>
            </w:pPr>
            <w:r w:rsidRPr="00401D62">
              <w:rPr>
                <w:rFonts w:eastAsia="Times New Roman" w:cs="Times New Roman"/>
                <w:color w:val="000000"/>
                <w:lang w:eastAsia="en-AU"/>
              </w:rPr>
              <w:t>0</w:t>
            </w:r>
          </w:p>
        </w:tc>
      </w:tr>
    </w:tbl>
    <w:p w14:paraId="2B5051A5" w14:textId="5A8CD7E6" w:rsidR="00DD1033" w:rsidRDefault="00772DC9" w:rsidP="000F591A">
      <w:pPr>
        <w:pStyle w:val="Source"/>
      </w:pPr>
      <w:r>
        <w:lastRenderedPageBreak/>
        <w:t>Source: Deloitte Access Economics (2023)</w:t>
      </w:r>
      <w:r w:rsidR="000F591A">
        <w:t>.</w:t>
      </w:r>
    </w:p>
    <w:p w14:paraId="2CA2D9FE" w14:textId="77777777" w:rsidR="00E33B37" w:rsidRDefault="00B95FBA" w:rsidP="00FB3A9B">
      <w:r>
        <w:t>These findings are consistent with consultation findings from Program Officer and broader Department stakeholders, who note that CCCFR services often seek advice and resources in relation to areas outside the scope of CCCFR grant administration.</w:t>
      </w:r>
    </w:p>
    <w:p w14:paraId="604C4996" w14:textId="21C3FC75" w:rsidR="00E96815" w:rsidRDefault="00E96815" w:rsidP="00FB3A9B">
      <w:r>
        <w:t>Given the history of the grant and the context of CCCFR services,</w:t>
      </w:r>
      <w:r w:rsidR="009978A2">
        <w:t xml:space="preserve"> it is unsurprising that</w:t>
      </w:r>
      <w:r w:rsidR="00615080">
        <w:t xml:space="preserve"> </w:t>
      </w:r>
      <w:r w:rsidR="009978A2">
        <w:t xml:space="preserve">Program Officers are seen as a key source of support and guidance. This is </w:t>
      </w:r>
      <w:r w:rsidR="00D8312C">
        <w:t>likely due to</w:t>
      </w:r>
      <w:r w:rsidR="009978A2">
        <w:t>:</w:t>
      </w:r>
    </w:p>
    <w:p w14:paraId="4D6DE40A" w14:textId="10FC15BB" w:rsidR="009978A2" w:rsidRPr="00FF0B18" w:rsidRDefault="009978A2" w:rsidP="00FF0B18">
      <w:pPr>
        <w:pStyle w:val="ListBullet"/>
      </w:pPr>
      <w:r>
        <w:t>many CCCFR services not</w:t>
      </w:r>
      <w:r w:rsidR="00FF0B18">
        <w:t xml:space="preserve"> being</w:t>
      </w:r>
      <w:r>
        <w:t xml:space="preserve"> regulated under the NQF</w:t>
      </w:r>
      <w:r w:rsidR="00692B4E">
        <w:t xml:space="preserve"> or residual legislation, and therefore </w:t>
      </w:r>
      <w:r w:rsidR="00CF0908">
        <w:t xml:space="preserve">may </w:t>
      </w:r>
      <w:r w:rsidR="00E43955">
        <w:t>have</w:t>
      </w:r>
      <w:r w:rsidR="00CF0908">
        <w:t xml:space="preserve"> </w:t>
      </w:r>
      <w:r w:rsidR="00486E8E">
        <w:t>limited or no</w:t>
      </w:r>
      <w:r w:rsidR="00CF0908">
        <w:t xml:space="preserve"> engagement with the</w:t>
      </w:r>
      <w:r w:rsidR="00486E8E">
        <w:t xml:space="preserve"> </w:t>
      </w:r>
      <w:r w:rsidR="00CF0908">
        <w:t>regulatory authority</w:t>
      </w:r>
      <w:r w:rsidR="00486E8E">
        <w:t xml:space="preserve"> in their jurisdiction</w:t>
      </w:r>
    </w:p>
    <w:p w14:paraId="17390392" w14:textId="4B6894DE" w:rsidR="00DB4823" w:rsidRPr="00FF0B18" w:rsidRDefault="00B6327F" w:rsidP="00FF0B18">
      <w:pPr>
        <w:pStyle w:val="ListBullet"/>
      </w:pPr>
      <w:r>
        <w:t>the former</w:t>
      </w:r>
      <w:r w:rsidR="000E7FE2">
        <w:t xml:space="preserve"> Indigenous Professional Support Units (IPSU)</w:t>
      </w:r>
      <w:r>
        <w:t>, which provided resources and support around inclusion and broader quality uplift</w:t>
      </w:r>
      <w:r w:rsidR="000E7FE2">
        <w:t xml:space="preserve"> </w:t>
      </w:r>
      <w:r w:rsidR="00A36BF0">
        <w:t>being no longer</w:t>
      </w:r>
      <w:r w:rsidR="00795EBF">
        <w:t xml:space="preserve"> </w:t>
      </w:r>
      <w:r w:rsidR="008949E2">
        <w:t>available</w:t>
      </w:r>
      <w:r w:rsidR="00795EBF">
        <w:t>,</w:t>
      </w:r>
      <w:r w:rsidR="0057670F">
        <w:t xml:space="preserve"> following </w:t>
      </w:r>
      <w:r w:rsidR="00615080">
        <w:t>the cessation of the former Inclusion and Professional Support Program (IPSP)</w:t>
      </w:r>
    </w:p>
    <w:p w14:paraId="10AA55FD" w14:textId="77777777" w:rsidR="00CF0908" w:rsidRDefault="00054BBC" w:rsidP="00FF0B18">
      <w:pPr>
        <w:pStyle w:val="ListBullet"/>
      </w:pPr>
      <w:r>
        <w:t>limited access to professional development and supports in regional, rural and remote areas where CCCFR services are operating.</w:t>
      </w:r>
    </w:p>
    <w:p w14:paraId="6D521F45" w14:textId="3CC946B5" w:rsidR="00E96815" w:rsidRDefault="3F751190" w:rsidP="00DF3AD1">
      <w:pPr>
        <w:spacing w:before="170"/>
      </w:pPr>
      <w:r w:rsidRPr="006053AE">
        <w:t>Some ACCO services noted that they sought tailored support through SNAICC’s Early Years Program</w:t>
      </w:r>
      <w:r w:rsidR="4642A87C" w:rsidRPr="006053AE">
        <w:t xml:space="preserve"> (available in NSW, Victoria and WA)</w:t>
      </w:r>
      <w:r w:rsidRPr="006053AE">
        <w:t xml:space="preserve"> in relation</w:t>
      </w:r>
      <w:r w:rsidR="4A520BAD" w:rsidRPr="006053AE">
        <w:t xml:space="preserve"> to </w:t>
      </w:r>
      <w:r w:rsidR="622F3E35" w:rsidRPr="006053AE">
        <w:t xml:space="preserve">certain </w:t>
      </w:r>
      <w:r w:rsidR="4A520BAD" w:rsidRPr="006053AE">
        <w:t xml:space="preserve">issues </w:t>
      </w:r>
      <w:r w:rsidR="635A5018" w:rsidRPr="006053AE">
        <w:t xml:space="preserve">prior to </w:t>
      </w:r>
      <w:r w:rsidR="4A520BAD" w:rsidRPr="006053AE">
        <w:t>engaging with their Program Officer. This</w:t>
      </w:r>
      <w:r w:rsidR="064CD582" w:rsidRPr="006053AE">
        <w:t xml:space="preserve"> finding emphasises the</w:t>
      </w:r>
      <w:r w:rsidR="2ACD714F" w:rsidRPr="006053AE">
        <w:t xml:space="preserve"> importance of establishing </w:t>
      </w:r>
      <w:r w:rsidR="1A8C9BCA" w:rsidRPr="006053AE">
        <w:t xml:space="preserve">a </w:t>
      </w:r>
      <w:r w:rsidR="2ACD714F" w:rsidRPr="006053AE">
        <w:t>comprehensive suite of supports and resources across governments, peak bodies and sector organisations</w:t>
      </w:r>
      <w:r w:rsidR="0F661D25" w:rsidRPr="006053AE">
        <w:t>, noting the diversity of the ECEC sector and unique context of each service.</w:t>
      </w:r>
    </w:p>
    <w:p w14:paraId="7BF02FE2" w14:textId="52A346E8" w:rsidR="003E13EA" w:rsidRDefault="003E13EA" w:rsidP="00B14B49">
      <w:pPr>
        <w:pStyle w:val="ListBullet"/>
        <w:numPr>
          <w:ilvl w:val="0"/>
          <w:numId w:val="0"/>
        </w:numPr>
        <w:ind w:left="340" w:hanging="340"/>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01253E" w14:paraId="48259EE7" w14:textId="77777777" w:rsidTr="00556184">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cPr>
          <w:p w14:paraId="33DD1733" w14:textId="488A875B" w:rsidR="0001253E" w:rsidRPr="009E424E" w:rsidRDefault="0001253E">
            <w:pPr>
              <w:spacing w:after="120"/>
              <w:rPr>
                <w:b/>
                <w:bCs/>
              </w:rPr>
            </w:pPr>
            <w:r w:rsidRPr="009E424E">
              <w:rPr>
                <w:b/>
                <w:bCs/>
              </w:rPr>
              <w:t xml:space="preserve">Review finding </w:t>
            </w:r>
            <w:r w:rsidR="00C2100D">
              <w:rPr>
                <w:b/>
                <w:bCs/>
              </w:rPr>
              <w:t>22</w:t>
            </w:r>
          </w:p>
          <w:p w14:paraId="1506FD06" w14:textId="78952099" w:rsidR="0001253E" w:rsidRPr="003332C7" w:rsidRDefault="00FE30FD" w:rsidP="003332C7">
            <w:pPr>
              <w:spacing w:before="120" w:after="120"/>
              <w:rPr>
                <w:i/>
                <w:sz w:val="16"/>
                <w:szCs w:val="16"/>
                <w:highlight w:val="yellow"/>
              </w:rPr>
            </w:pPr>
            <w:r w:rsidRPr="00FE30FD">
              <w:t>A lack of clarity around roles and responsibilities has meant that Program Officers are undertaking tasks beyond traditional grants administration roles, with limited or no additional training to support CCCFR services with broader queries in relation to operations, such as infrastructure and asset maintenance.</w:t>
            </w:r>
          </w:p>
        </w:tc>
      </w:tr>
    </w:tbl>
    <w:p w14:paraId="06489352" w14:textId="1757DF07" w:rsidR="00660A9D" w:rsidRPr="00C81B54" w:rsidRDefault="00660A9D" w:rsidP="00660A9D">
      <w:pPr>
        <w:spacing w:before="170"/>
        <w:rPr>
          <w:b/>
          <w:bCs/>
        </w:rPr>
      </w:pPr>
      <w:r w:rsidRPr="00C81B54">
        <w:rPr>
          <w:b/>
          <w:bCs/>
        </w:rPr>
        <w:t xml:space="preserve">Supporting evidence for </w:t>
      </w:r>
      <w:r w:rsidR="003332C7">
        <w:rPr>
          <w:b/>
          <w:bCs/>
        </w:rPr>
        <w:t>these findings</w:t>
      </w:r>
      <w:r w:rsidRPr="00C81B54">
        <w:rPr>
          <w:b/>
          <w:bCs/>
        </w:rPr>
        <w:t xml:space="preserve"> is drawn from</w:t>
      </w:r>
      <w:r>
        <w:rPr>
          <w:b/>
          <w:bCs/>
        </w:rPr>
        <w:t xml:space="preserve"> </w:t>
      </w:r>
      <w:r w:rsidRPr="00C81B54">
        <w:rPr>
          <w:b/>
          <w:bCs/>
        </w:rPr>
        <w:t>consultations</w:t>
      </w:r>
      <w:r>
        <w:rPr>
          <w:b/>
          <w:bCs/>
        </w:rPr>
        <w:t xml:space="preserve"> and document analysis.</w:t>
      </w:r>
    </w:p>
    <w:p w14:paraId="1F81F2A8" w14:textId="14979864" w:rsidR="00660A9D" w:rsidRDefault="00E64BDB" w:rsidP="0001253E">
      <w:pPr>
        <w:spacing w:before="170"/>
      </w:pPr>
      <w:r w:rsidRPr="00E64BDB">
        <w:t xml:space="preserve">Consultation with both Department staff and CCCFR services identified current limitations in meeting the resourcing and support required to adequately </w:t>
      </w:r>
      <w:r w:rsidR="00B2743C">
        <w:t>address</w:t>
      </w:r>
      <w:r w:rsidRPr="00E64BDB">
        <w:t xml:space="preserve"> the needs of CCCFR services.</w:t>
      </w:r>
    </w:p>
    <w:p w14:paraId="2CE7B6CF" w14:textId="21D693CB" w:rsidR="00E33B37" w:rsidRDefault="00CE7162" w:rsidP="0001253E">
      <w:pPr>
        <w:spacing w:before="170"/>
      </w:pPr>
      <w:r>
        <w:t>Feedback from CCCFR services indicate</w:t>
      </w:r>
      <w:r w:rsidR="00B2743C">
        <w:t>s</w:t>
      </w:r>
      <w:r>
        <w:t xml:space="preserve"> that Program Officers have strong knowledge </w:t>
      </w:r>
      <w:r w:rsidR="00F11A48">
        <w:t xml:space="preserve">of </w:t>
      </w:r>
      <w:r w:rsidR="00D22D48">
        <w:t xml:space="preserve">grant requirements and expectations of services under the FAL. </w:t>
      </w:r>
      <w:r w:rsidR="003B1880">
        <w:t xml:space="preserve">Consultations with Program Officers highlight the same depth of knowledge in relation to services’ funding obligations, with </w:t>
      </w:r>
      <w:r w:rsidR="00D62437">
        <w:t xml:space="preserve">Program </w:t>
      </w:r>
      <w:r w:rsidR="003B1880">
        <w:t xml:space="preserve">Officers providing examples of ways in which they support CCCFR services to continue </w:t>
      </w:r>
      <w:r w:rsidR="004E4C4B">
        <w:t>to meet their obligations under the FAL when administering the CCS.</w:t>
      </w:r>
    </w:p>
    <w:p w14:paraId="707A3458" w14:textId="46DC0307" w:rsidR="00E64BDB" w:rsidRDefault="004E4C4B" w:rsidP="0001253E">
      <w:pPr>
        <w:spacing w:before="170"/>
      </w:pPr>
      <w:r>
        <w:t>However, despite this rich knowledge of the CCCFR grant requirements and the broader funding landscape</w:t>
      </w:r>
      <w:r w:rsidR="00E64BDB">
        <w:t xml:space="preserve">, </w:t>
      </w:r>
      <w:r w:rsidR="000674ED">
        <w:t xml:space="preserve">some CCCFR services note </w:t>
      </w:r>
      <w:r>
        <w:t xml:space="preserve">that their Program Officer </w:t>
      </w:r>
      <w:r w:rsidR="002D73DD">
        <w:t>i</w:t>
      </w:r>
      <w:r>
        <w:t>s limited</w:t>
      </w:r>
      <w:r w:rsidR="000674ED">
        <w:t xml:space="preserve"> in the level of knowledge th</w:t>
      </w:r>
      <w:r>
        <w:t xml:space="preserve">ey </w:t>
      </w:r>
      <w:r w:rsidR="002D73DD">
        <w:t>can</w:t>
      </w:r>
      <w:r>
        <w:t xml:space="preserve"> provide around broader areas of </w:t>
      </w:r>
      <w:r w:rsidR="004463DE">
        <w:t>child care and service governance, such as financial management or meeting expectations under the National Law and Regulations. H</w:t>
      </w:r>
      <w:r w:rsidR="000674ED">
        <w:t xml:space="preserve">owever, in nearly all cases, it was noted that their Program Officer would seek further guidance and be able to refer the service to a more appropriate </w:t>
      </w:r>
      <w:r w:rsidR="00B90C22">
        <w:t>contact for guidance.</w:t>
      </w:r>
      <w:r w:rsidR="004463DE">
        <w:t xml:space="preserve"> </w:t>
      </w:r>
      <w:r w:rsidR="009B01D6">
        <w:t>Th</w:t>
      </w:r>
      <w:r w:rsidR="00917CAD">
        <w:t xml:space="preserve">ese limitations </w:t>
      </w:r>
      <w:r w:rsidR="00540EF2">
        <w:t>a</w:t>
      </w:r>
      <w:r w:rsidR="00917CAD">
        <w:t>re echoed by</w:t>
      </w:r>
      <w:r w:rsidR="009B01D6">
        <w:t xml:space="preserve"> Program Officers, who note challenges around providing advice to services on areas of which they ha</w:t>
      </w:r>
      <w:r w:rsidR="0076259A">
        <w:t>ve</w:t>
      </w:r>
      <w:r w:rsidR="009B01D6">
        <w:t xml:space="preserve"> limited knowledge, such as guidance around infrastructure and assets management.</w:t>
      </w:r>
    </w:p>
    <w:tbl>
      <w:tblPr>
        <w:tblStyle w:val="TableGrid"/>
        <w:tblpPr w:leftFromText="180" w:rightFromText="180" w:vertAnchor="text" w:tblpY="52"/>
        <w:tblW w:w="0" w:type="auto"/>
        <w:tblCellMar>
          <w:top w:w="113" w:type="dxa"/>
          <w:left w:w="113" w:type="dxa"/>
          <w:bottom w:w="113" w:type="dxa"/>
          <w:right w:w="113" w:type="dxa"/>
        </w:tblCellMar>
        <w:tblLook w:val="04A0" w:firstRow="1" w:lastRow="0" w:firstColumn="1" w:lastColumn="0" w:noHBand="0" w:noVBand="1"/>
      </w:tblPr>
      <w:tblGrid>
        <w:gridCol w:w="9026"/>
      </w:tblGrid>
      <w:tr w:rsidR="00071AF2" w14:paraId="2D84143F" w14:textId="77777777" w:rsidTr="00556184">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1CB055E9" w14:textId="6EED09C9" w:rsidR="00071AF2" w:rsidRPr="009E424E" w:rsidRDefault="00071AF2" w:rsidP="00071AF2">
            <w:pPr>
              <w:spacing w:after="120"/>
              <w:rPr>
                <w:b/>
                <w:bCs/>
              </w:rPr>
            </w:pPr>
            <w:r w:rsidRPr="008A6066">
              <w:rPr>
                <w:b/>
              </w:rPr>
              <w:t>Review finding 23</w:t>
            </w:r>
          </w:p>
          <w:p w14:paraId="33DC826B" w14:textId="2F9D3E15" w:rsidR="00071AF2" w:rsidRDefault="003B2406" w:rsidP="00071AF2">
            <w:pPr>
              <w:spacing w:before="170"/>
              <w:rPr>
                <w:b/>
                <w:bCs/>
              </w:rPr>
            </w:pPr>
            <w:r w:rsidRPr="003B2406">
              <w:t>To remain sustainable, CCCFR services require specialist support that is outside of the scope of roles and responsibilities of the Program Officers and is not systematically provided to CCCFR services through other government or non-government bodies.</w:t>
            </w:r>
          </w:p>
        </w:tc>
      </w:tr>
    </w:tbl>
    <w:p w14:paraId="4C6C84BF" w14:textId="70921F39" w:rsidR="00E775B2" w:rsidRDefault="0063112C" w:rsidP="0001253E">
      <w:pPr>
        <w:spacing w:before="170"/>
      </w:pPr>
      <w:r>
        <w:lastRenderedPageBreak/>
        <w:t xml:space="preserve">In administering the CCCFR grant, the Department provides a range of additional supports to CCCFR services, including </w:t>
      </w:r>
      <w:r w:rsidR="003C49B4">
        <w:t xml:space="preserve">training through </w:t>
      </w:r>
      <w:r w:rsidR="003C49B4" w:rsidRPr="003C49B4">
        <w:rPr>
          <w:i/>
          <w:iCs/>
        </w:rPr>
        <w:t>ACECQA’s Quality and Safety Training Package</w:t>
      </w:r>
      <w:r w:rsidR="003C49B4">
        <w:t xml:space="preserve"> and ongoing business support through BDO.</w:t>
      </w:r>
      <w:r w:rsidR="00710914">
        <w:t xml:space="preserve"> However, these are perceived to be relatively limited in </w:t>
      </w:r>
      <w:r w:rsidR="00E10A7E">
        <w:t xml:space="preserve">their </w:t>
      </w:r>
      <w:r w:rsidR="00A46AA0">
        <w:t>intent</w:t>
      </w:r>
      <w:r w:rsidR="00E10A7E">
        <w:t xml:space="preserve"> and not </w:t>
      </w:r>
      <w:r w:rsidR="00A46AA0">
        <w:t>as flexible or responsive to day-to-day queries or concerns faced by services.</w:t>
      </w:r>
      <w:r w:rsidR="00071AF2">
        <w:t xml:space="preserve"> </w:t>
      </w:r>
      <w:r w:rsidR="003E7EF6">
        <w:br/>
      </w:r>
      <w:r w:rsidR="003E7EF6">
        <w:br/>
      </w:r>
      <w:r w:rsidR="00071AF2">
        <w:t xml:space="preserve">Current resources and training </w:t>
      </w:r>
      <w:r w:rsidR="00D47F14">
        <w:t>delivered for</w:t>
      </w:r>
      <w:r w:rsidR="00071AF2">
        <w:t xml:space="preserve"> regulated services under the NQF, such as the Quality Support Program (QSP) delivered by ACECQA </w:t>
      </w:r>
      <w:r w:rsidR="00D47F14">
        <w:t>in NSW</w:t>
      </w:r>
      <w:r w:rsidR="00071AF2">
        <w:t>,</w:t>
      </w:r>
      <w:r w:rsidR="00D47F14">
        <w:t xml:space="preserve"> </w:t>
      </w:r>
      <w:r w:rsidR="003E7EF6">
        <w:t xml:space="preserve">provider governance </w:t>
      </w:r>
      <w:r w:rsidR="00D47F14">
        <w:t>training delivered by peak bodies such as Community Early Learning Australia (CELA),</w:t>
      </w:r>
      <w:r w:rsidR="00D47F14">
        <w:rPr>
          <w:rStyle w:val="FootnoteReference"/>
        </w:rPr>
        <w:footnoteReference w:id="157"/>
      </w:r>
      <w:r w:rsidR="003E7EF6">
        <w:t xml:space="preserve"> and resources from state and territory regulatory authorities provide </w:t>
      </w:r>
      <w:r w:rsidR="006C364F">
        <w:t>NQF-</w:t>
      </w:r>
      <w:r w:rsidR="00037458">
        <w:t>regulated services with broader access to training and development compared to CCCFR services</w:t>
      </w:r>
      <w:r w:rsidR="006C364F">
        <w:t>.</w:t>
      </w:r>
    </w:p>
    <w:p w14:paraId="1A66D7BA" w14:textId="6E6720A9" w:rsidR="00E775B2" w:rsidRDefault="006C364F" w:rsidP="66E6A2B2">
      <w:pPr>
        <w:spacing w:before="170"/>
        <w:rPr>
          <w:rFonts w:eastAsia="Verdana" w:cs="Verdana"/>
        </w:rPr>
      </w:pPr>
      <w:r w:rsidRPr="006053AE">
        <w:t>In addition, findings outlined in Domain 1 indicate that</w:t>
      </w:r>
      <w:r w:rsidR="00037458" w:rsidRPr="006053AE">
        <w:t xml:space="preserve"> many </w:t>
      </w:r>
      <w:r w:rsidRPr="006053AE">
        <w:t xml:space="preserve">CCCFR services provide </w:t>
      </w:r>
      <w:r w:rsidR="00C80879" w:rsidRPr="006053AE">
        <w:t xml:space="preserve">support to families and </w:t>
      </w:r>
      <w:r w:rsidR="00037458" w:rsidRPr="006053AE">
        <w:t xml:space="preserve">the </w:t>
      </w:r>
      <w:r w:rsidR="00C80879" w:rsidRPr="006053AE">
        <w:t xml:space="preserve">broader community, recognising the </w:t>
      </w:r>
      <w:r w:rsidR="0034273D" w:rsidRPr="006053AE">
        <w:t>importance</w:t>
      </w:r>
      <w:r w:rsidR="00C80879" w:rsidRPr="006053AE">
        <w:t xml:space="preserve"> of community </w:t>
      </w:r>
      <w:r w:rsidR="0034273D" w:rsidRPr="006053AE">
        <w:t>wellbeing and its impact on</w:t>
      </w:r>
      <w:r w:rsidR="00C80879" w:rsidRPr="006053AE">
        <w:t xml:space="preserve"> child outcomes</w:t>
      </w:r>
      <w:r w:rsidR="001818C3" w:rsidRPr="006053AE">
        <w:t xml:space="preserve"> and access to early childhood education and care</w:t>
      </w:r>
      <w:r w:rsidR="0034273D" w:rsidRPr="006053AE">
        <w:t xml:space="preserve">. </w:t>
      </w:r>
    </w:p>
    <w:p w14:paraId="3476FB42" w14:textId="4653AF80" w:rsidR="00E775B2" w:rsidRPr="006053AE" w:rsidRDefault="2C13DC86" w:rsidP="0001253E">
      <w:pPr>
        <w:spacing w:before="170"/>
      </w:pPr>
      <w:r w:rsidRPr="006053AE">
        <w:t>These supports are re</w:t>
      </w:r>
      <w:r w:rsidR="1DB1E731" w:rsidRPr="006053AE">
        <w:t>sponsive to</w:t>
      </w:r>
      <w:r w:rsidRPr="006053AE">
        <w:t xml:space="preserve"> the </w:t>
      </w:r>
      <w:r w:rsidR="55F25782" w:rsidRPr="006053AE">
        <w:t>original outcomes of the CCCFR grant, including addressing “</w:t>
      </w:r>
      <w:r w:rsidR="6FE4E012" w:rsidRPr="006053AE">
        <w:t>community</w:t>
      </w:r>
      <w:r w:rsidR="55F25782" w:rsidRPr="006053AE">
        <w:t xml:space="preserve"> level </w:t>
      </w:r>
      <w:r w:rsidR="00384F5F" w:rsidRPr="006053AE">
        <w:t>barriers</w:t>
      </w:r>
      <w:r w:rsidR="55F25782" w:rsidRPr="006053AE">
        <w:t xml:space="preserve"> to child care participation”.</w:t>
      </w:r>
      <w:r w:rsidR="006C364F" w:rsidRPr="00384F5F">
        <w:rPr>
          <w:rFonts w:eastAsia="Verdana" w:cs="Verdana"/>
          <w:vertAlign w:val="superscript"/>
        </w:rPr>
        <w:footnoteReference w:id="158"/>
      </w:r>
      <w:r w:rsidR="006053AE" w:rsidRPr="006053AE">
        <w:t xml:space="preserve"> </w:t>
      </w:r>
      <w:r w:rsidR="0034273D" w:rsidRPr="006053AE">
        <w:t xml:space="preserve">To meet </w:t>
      </w:r>
      <w:r w:rsidR="001818C3" w:rsidRPr="006053AE">
        <w:t>these community-level barriers and</w:t>
      </w:r>
      <w:r w:rsidR="0034273D" w:rsidRPr="006053AE">
        <w:t xml:space="preserve"> needs, services spoke of additional training needs in community skills development, targeted cultural awareness training, and trauma-informed training.</w:t>
      </w:r>
    </w:p>
    <w:p w14:paraId="4127AB13" w14:textId="0DA1419A" w:rsidR="00071AF2" w:rsidRDefault="00216271" w:rsidP="0001253E">
      <w:pPr>
        <w:spacing w:before="170"/>
      </w:pPr>
      <w:r>
        <w:t>In addition to current supports</w:t>
      </w:r>
      <w:r w:rsidR="00E5471D">
        <w:t xml:space="preserve">, there may be considerable value in exploring whether resources provided by state and territory governments, regulatory authorities, peak bodies (such as CELA, </w:t>
      </w:r>
      <w:r w:rsidR="00933742">
        <w:t xml:space="preserve">ECA </w:t>
      </w:r>
      <w:r w:rsidR="00E5471D">
        <w:t>or SNAICC)</w:t>
      </w:r>
      <w:r w:rsidR="00933742">
        <w:t xml:space="preserve"> can be made accessible and responsive the needs and context of CCCFR services through a targeted approach to driving quality uplift.</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9F14F1" w14:paraId="2826B4E6" w14:textId="77777777" w:rsidTr="00556184">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cPr>
          <w:p w14:paraId="00008C5F" w14:textId="5EE9FE8F" w:rsidR="009F14F1" w:rsidRPr="009E424E" w:rsidRDefault="009F14F1">
            <w:pPr>
              <w:spacing w:after="120"/>
              <w:rPr>
                <w:b/>
                <w:bCs/>
              </w:rPr>
            </w:pPr>
            <w:r w:rsidRPr="008A6066">
              <w:rPr>
                <w:b/>
              </w:rPr>
              <w:t xml:space="preserve">Review finding </w:t>
            </w:r>
            <w:r w:rsidR="00267815" w:rsidRPr="008A6066">
              <w:rPr>
                <w:b/>
              </w:rPr>
              <w:t>24</w:t>
            </w:r>
          </w:p>
          <w:p w14:paraId="4E0EC84B" w14:textId="163E7BD7" w:rsidR="009F14F1" w:rsidRPr="003332C7" w:rsidRDefault="003B2406" w:rsidP="003332C7">
            <w:pPr>
              <w:spacing w:before="170"/>
            </w:pPr>
            <w:r w:rsidRPr="003B2406">
              <w:t>Changes to the Department’s governance model over time has impacted the ability of Program Officers to visit CCCFR services in person, which both CCCFR services and Program Officers cite as a limitation to providing effective support.</w:t>
            </w:r>
          </w:p>
        </w:tc>
      </w:tr>
    </w:tbl>
    <w:p w14:paraId="664DE7F2" w14:textId="70B9C524" w:rsidR="0001253E" w:rsidRPr="00C81B54" w:rsidRDefault="0001253E" w:rsidP="0001253E">
      <w:pPr>
        <w:spacing w:before="170"/>
        <w:rPr>
          <w:b/>
          <w:bCs/>
        </w:rPr>
      </w:pPr>
      <w:r w:rsidRPr="00C81B54">
        <w:rPr>
          <w:b/>
          <w:bCs/>
        </w:rPr>
        <w:t>Supporting evidence for this finding is drawn from consultations.</w:t>
      </w:r>
    </w:p>
    <w:p w14:paraId="2318DCF7" w14:textId="5222C28C" w:rsidR="00C90818" w:rsidRDefault="00E778B8" w:rsidP="00D7512E">
      <w:r>
        <w:t>Since 2017</w:t>
      </w:r>
      <w:r w:rsidR="003A317C">
        <w:t>, o</w:t>
      </w:r>
      <w:r w:rsidR="00343AD2">
        <w:t xml:space="preserve">rganisational changes </w:t>
      </w:r>
      <w:r w:rsidR="003A317C">
        <w:t>within</w:t>
      </w:r>
      <w:r w:rsidR="00343AD2">
        <w:t xml:space="preserve"> the Department </w:t>
      </w:r>
      <w:r w:rsidR="003C4F50">
        <w:t>have</w:t>
      </w:r>
      <w:r w:rsidR="003A317C">
        <w:t xml:space="preserve"> resulted</w:t>
      </w:r>
      <w:r w:rsidR="00B77AC3">
        <w:t xml:space="preserve"> in the</w:t>
      </w:r>
      <w:r w:rsidR="003A317C">
        <w:t xml:space="preserve"> delivery of grant and administrative</w:t>
      </w:r>
      <w:r w:rsidR="00AF2EAB">
        <w:t xml:space="preserve"> support from state and territory-specific </w:t>
      </w:r>
      <w:r w:rsidR="00FC31ED">
        <w:t xml:space="preserve">officers </w:t>
      </w:r>
      <w:r w:rsidR="003A317C">
        <w:t>shift</w:t>
      </w:r>
      <w:r w:rsidR="00ED04D3">
        <w:t>ing</w:t>
      </w:r>
      <w:r w:rsidR="003A317C">
        <w:t xml:space="preserve"> </w:t>
      </w:r>
      <w:r w:rsidR="00FC31ED">
        <w:t>to a national team of CCCFR Program Officers</w:t>
      </w:r>
      <w:r w:rsidR="005B58BC">
        <w:t xml:space="preserve">. These roles are delivered virtually, enabling Program Officers to work </w:t>
      </w:r>
      <w:r w:rsidR="00C90818">
        <w:t>in any region across Australia.</w:t>
      </w:r>
    </w:p>
    <w:p w14:paraId="76528D81" w14:textId="5DF50758" w:rsidR="00C90818" w:rsidRDefault="0010085F" w:rsidP="00D7512E">
      <w:r>
        <w:t xml:space="preserve">Given the </w:t>
      </w:r>
      <w:r w:rsidR="002B7359">
        <w:t>number</w:t>
      </w:r>
      <w:r>
        <w:t xml:space="preserve"> of services receiving </w:t>
      </w:r>
      <w:r w:rsidR="002B7359">
        <w:t xml:space="preserve">support through </w:t>
      </w:r>
      <w:r>
        <w:t xml:space="preserve">the grant, Program Officers are allocated </w:t>
      </w:r>
      <w:r w:rsidR="00592BF2">
        <w:t xml:space="preserve">several services </w:t>
      </w:r>
      <w:r w:rsidR="00C90818">
        <w:t xml:space="preserve">to support, often across multiple jurisdictions. Engagement with services is </w:t>
      </w:r>
      <w:r w:rsidR="00853C67">
        <w:t>primarily</w:t>
      </w:r>
      <w:r w:rsidR="00C90818">
        <w:t xml:space="preserve"> through </w:t>
      </w:r>
      <w:r w:rsidR="00853C67">
        <w:t xml:space="preserve">emails and telephone calls, however </w:t>
      </w:r>
      <w:r w:rsidR="003253ED">
        <w:t xml:space="preserve">in certain </w:t>
      </w:r>
      <w:r w:rsidR="6CA95F4D">
        <w:t xml:space="preserve">limited </w:t>
      </w:r>
      <w:r w:rsidR="003253ED">
        <w:t xml:space="preserve">circumstances Program Officers have visited </w:t>
      </w:r>
      <w:r w:rsidR="0059476C">
        <w:t xml:space="preserve">services on an ad-hoc basis, such as </w:t>
      </w:r>
      <w:r w:rsidR="000E3E6D">
        <w:t xml:space="preserve">during a services’ opening day or </w:t>
      </w:r>
      <w:r w:rsidR="00E2594B">
        <w:t>other important events.</w:t>
      </w:r>
    </w:p>
    <w:p w14:paraId="4592508A" w14:textId="567F5141" w:rsidR="00936682" w:rsidRDefault="00031767" w:rsidP="00D7512E">
      <w:r>
        <w:t>Within survey responses and consultation</w:t>
      </w:r>
      <w:r w:rsidR="009F3BD8">
        <w:t>s</w:t>
      </w:r>
      <w:r>
        <w:t>,</w:t>
      </w:r>
      <w:r w:rsidR="00E2594B">
        <w:t xml:space="preserve"> </w:t>
      </w:r>
      <w:r w:rsidR="00C46F5B">
        <w:t>nearly all</w:t>
      </w:r>
      <w:r w:rsidR="000638AC">
        <w:t xml:space="preserve"> </w:t>
      </w:r>
      <w:r w:rsidR="00E2594B">
        <w:t xml:space="preserve">services </w:t>
      </w:r>
      <w:r w:rsidR="00A73853">
        <w:t xml:space="preserve">emphasised </w:t>
      </w:r>
      <w:r w:rsidR="00C46F5B">
        <w:t>the</w:t>
      </w:r>
      <w:r w:rsidR="00350812">
        <w:t xml:space="preserve"> positive,</w:t>
      </w:r>
      <w:r w:rsidR="00C46F5B">
        <w:t xml:space="preserve"> </w:t>
      </w:r>
      <w:r w:rsidR="007D393F">
        <w:t>immeasurable</w:t>
      </w:r>
      <w:r w:rsidR="00350812">
        <w:t xml:space="preserve"> </w:t>
      </w:r>
      <w:r w:rsidR="00C46F5B" w:rsidRPr="00C46F5B">
        <w:t>value</w:t>
      </w:r>
      <w:r w:rsidR="00C46F5B">
        <w:t xml:space="preserve"> of their relationship with their Program Officer</w:t>
      </w:r>
      <w:r>
        <w:t xml:space="preserve">. However, services commonly noted that they would </w:t>
      </w:r>
      <w:r w:rsidR="00116092">
        <w:t>appreciate increased face-to-face engagement with their Program Officer</w:t>
      </w:r>
      <w:r w:rsidR="00731BD6">
        <w:t xml:space="preserve"> within their local community</w:t>
      </w:r>
      <w:r w:rsidR="00936682">
        <w:t>. Services noted that having Program Officers visit the service would allow for greater understanding around their service and community context, and would support them to work with the Program Officer in identifying and addressing areas for growth.</w:t>
      </w:r>
    </w:p>
    <w:p w14:paraId="40A128C5" w14:textId="6D5D1755" w:rsidR="00CE0B81" w:rsidRDefault="009A5AAD" w:rsidP="00D7512E">
      <w:r>
        <w:t>Consultations with Program Officers</w:t>
      </w:r>
      <w:r w:rsidR="00A17A65">
        <w:t xml:space="preserve"> and broader Department staff</w:t>
      </w:r>
      <w:r>
        <w:t xml:space="preserve"> also </w:t>
      </w:r>
      <w:r w:rsidR="008814A2">
        <w:t>suggested benefits in enabling</w:t>
      </w:r>
      <w:r w:rsidR="00A17A65">
        <w:t xml:space="preserve"> </w:t>
      </w:r>
      <w:r w:rsidR="008814A2">
        <w:t>travel and face-to-face engagement between CCCFR services and their respective Program Officer on an ongoing basis</w:t>
      </w:r>
      <w:r w:rsidR="00C41AA9">
        <w:t xml:space="preserve">, in particular to </w:t>
      </w:r>
      <w:r w:rsidR="00A55FEC">
        <w:t xml:space="preserve">increase </w:t>
      </w:r>
      <w:r w:rsidR="0085178A">
        <w:t>communication</w:t>
      </w:r>
      <w:r w:rsidR="00A55FEC">
        <w:t xml:space="preserve"> with key staff and</w:t>
      </w:r>
      <w:r w:rsidR="0085178A">
        <w:t xml:space="preserve"> </w:t>
      </w:r>
      <w:r w:rsidR="0085178A">
        <w:lastRenderedPageBreak/>
        <w:t xml:space="preserve">further develop rapport with service staff and local community. This was noted as particularly relevant for services in rural and remote </w:t>
      </w:r>
      <w:r w:rsidR="007D393F">
        <w:t xml:space="preserve">areas </w:t>
      </w:r>
      <w:r w:rsidR="001847CB">
        <w:t xml:space="preserve">more likely to experience technological barriers to accessing broader </w:t>
      </w:r>
      <w:r w:rsidR="00EE3442">
        <w:t>guidance and supports.</w:t>
      </w:r>
    </w:p>
    <w:p w14:paraId="161DC9E7" w14:textId="7F39A4B3" w:rsidR="00601DBE" w:rsidRDefault="00344D28" w:rsidP="00D7512E">
      <w:r>
        <w:t xml:space="preserve">In </w:t>
      </w:r>
      <w:r w:rsidR="00D54F66">
        <w:t>identifying further</w:t>
      </w:r>
      <w:r>
        <w:t xml:space="preserve"> opportunities for face-to-face visits by Program Officers, the Department</w:t>
      </w:r>
      <w:r w:rsidR="00D54F66">
        <w:t xml:space="preserve"> may wish to consider </w:t>
      </w:r>
      <w:r w:rsidR="004D45F9">
        <w:t xml:space="preserve">a </w:t>
      </w:r>
      <w:r w:rsidR="00DD3562">
        <w:t>targeted</w:t>
      </w:r>
      <w:r w:rsidR="004D45F9">
        <w:t xml:space="preserve"> approach </w:t>
      </w:r>
      <w:r w:rsidR="00AA45E2">
        <w:t xml:space="preserve">to </w:t>
      </w:r>
      <w:r w:rsidR="00A56406">
        <w:t xml:space="preserve">PO travel, </w:t>
      </w:r>
      <w:r w:rsidR="00E4706C">
        <w:t xml:space="preserve">such as </w:t>
      </w:r>
      <w:r w:rsidR="00382492">
        <w:t xml:space="preserve">focussing on </w:t>
      </w:r>
      <w:r w:rsidR="009A0A2A">
        <w:t xml:space="preserve">services </w:t>
      </w:r>
      <w:r w:rsidR="00F21036">
        <w:t xml:space="preserve">that </w:t>
      </w:r>
      <w:r w:rsidR="009A0A2A">
        <w:t xml:space="preserve">have expressed </w:t>
      </w:r>
      <w:r w:rsidR="00F21036">
        <w:t xml:space="preserve">an </w:t>
      </w:r>
      <w:r w:rsidR="009A0A2A">
        <w:t xml:space="preserve">interest for </w:t>
      </w:r>
      <w:r w:rsidR="00F21036">
        <w:t>direct face-to-face engagement with their PO</w:t>
      </w:r>
      <w:r w:rsidR="00382492">
        <w:t>.</w:t>
      </w:r>
      <w:r w:rsidR="00E4706C">
        <w:t xml:space="preserve"> </w:t>
      </w:r>
      <w:r w:rsidR="00B640FC">
        <w:t>Noting financial and logistical complexit</w:t>
      </w:r>
      <w:r w:rsidR="009A0A2A">
        <w:t>ies</w:t>
      </w:r>
      <w:r w:rsidR="00B640FC">
        <w:t xml:space="preserve"> of visiting many CCCFR</w:t>
      </w:r>
      <w:r w:rsidR="009A0A2A">
        <w:t xml:space="preserve"> services</w:t>
      </w:r>
      <w:r w:rsidR="00B640FC">
        <w:t>, particularly in rural and remote settings, adopting a</w:t>
      </w:r>
      <w:r w:rsidR="00E4706C">
        <w:t xml:space="preserve"> targeted</w:t>
      </w:r>
      <w:r w:rsidR="00B640FC">
        <w:t xml:space="preserve"> </w:t>
      </w:r>
      <w:r w:rsidR="00E4706C">
        <w:t>approach</w:t>
      </w:r>
      <w:r w:rsidR="00B640FC">
        <w:t xml:space="preserve"> to face-to-face visits may </w:t>
      </w:r>
      <w:r w:rsidR="00601DBE">
        <w:t>have a positive effect on quality uplift and services’ overall engagement with the grant.</w:t>
      </w:r>
    </w:p>
    <w:p w14:paraId="6A4A45B4" w14:textId="65DD7DDC" w:rsidR="007E0FCC" w:rsidRDefault="00EB20EB" w:rsidP="00D7512E">
      <w:r>
        <w:t xml:space="preserve">Services situated in </w:t>
      </w:r>
      <w:r w:rsidR="00DD18D7">
        <w:t>Western Australia</w:t>
      </w:r>
      <w:r>
        <w:t xml:space="preserve"> also felt that the lack of </w:t>
      </w:r>
      <w:r w:rsidR="007A6585">
        <w:t xml:space="preserve">a </w:t>
      </w:r>
      <w:r>
        <w:t xml:space="preserve">Program Officer situated in their jurisdiction impacted their access and supports offered under the grant, and that </w:t>
      </w:r>
      <w:r w:rsidR="00DD18D7">
        <w:t xml:space="preserve">having a Program Officer from </w:t>
      </w:r>
      <w:r w:rsidR="007A6585">
        <w:t>Western Australia</w:t>
      </w:r>
      <w:r w:rsidR="00DD18D7">
        <w:t xml:space="preserve"> would allow for deeper </w:t>
      </w:r>
      <w:r w:rsidR="00C5385A">
        <w:t>awareness</w:t>
      </w:r>
      <w:r w:rsidR="00DD18D7">
        <w:t xml:space="preserve"> </w:t>
      </w:r>
      <w:r w:rsidR="00C5385A">
        <w:t>and knowledge around their service and communities.</w:t>
      </w:r>
    </w:p>
    <w:p w14:paraId="3E61099F" w14:textId="4677119C" w:rsidR="007E0FCC" w:rsidRPr="003549F9" w:rsidRDefault="0018644C" w:rsidP="0018644C">
      <w:pPr>
        <w:pStyle w:val="Heading2"/>
        <w:spacing w:after="240"/>
      </w:pPr>
      <w:bookmarkStart w:id="327" w:name="_Toc158993769"/>
      <w:bookmarkStart w:id="328" w:name="_Toc170227416"/>
      <w:r>
        <w:t>CCCFR grant</w:t>
      </w:r>
      <w:r w:rsidR="007E0FCC" w:rsidRPr="00EF339A">
        <w:t xml:space="preserve"> monitoring and reporting</w:t>
      </w:r>
      <w:bookmarkEnd w:id="327"/>
      <w:bookmarkEnd w:id="328"/>
      <w:r w:rsidR="007E0FCC" w:rsidRPr="00EF339A">
        <w:t xml:space="preserve"> </w:t>
      </w:r>
    </w:p>
    <w:tbl>
      <w:tblPr>
        <w:tblStyle w:val="TableGrid"/>
        <w:tblW w:w="0" w:type="auto"/>
        <w:tblBorders>
          <w:left w:val="double" w:sz="12" w:space="0" w:color="012169" w:themeColor="accent4"/>
        </w:tblBorders>
        <w:tblCellMar>
          <w:top w:w="85" w:type="dxa"/>
          <w:left w:w="227" w:type="dxa"/>
          <w:bottom w:w="85" w:type="dxa"/>
          <w:right w:w="113" w:type="dxa"/>
        </w:tblCellMar>
        <w:tblLook w:val="04A0" w:firstRow="1" w:lastRow="0" w:firstColumn="1" w:lastColumn="0" w:noHBand="0" w:noVBand="1"/>
      </w:tblPr>
      <w:tblGrid>
        <w:gridCol w:w="8931"/>
      </w:tblGrid>
      <w:tr w:rsidR="00B97B0F" w:rsidRPr="00BD1248" w14:paraId="13C9DE6E" w14:textId="77777777" w:rsidTr="00982354">
        <w:trPr>
          <w:cnfStyle w:val="100000000000" w:firstRow="1" w:lastRow="0" w:firstColumn="0" w:lastColumn="0" w:oddVBand="0" w:evenVBand="0" w:oddHBand="0" w:evenHBand="0" w:firstRowFirstColumn="0" w:firstRowLastColumn="0" w:lastRowFirstColumn="0" w:lastRowLastColumn="0"/>
          <w:cantSplit/>
        </w:trPr>
        <w:tc>
          <w:tcPr>
            <w:tcW w:w="8931" w:type="dxa"/>
            <w:shd w:val="clear" w:color="auto" w:fill="DFF0F9" w:themeFill="accent3" w:themeFillTint="33"/>
          </w:tcPr>
          <w:p w14:paraId="72D831C8" w14:textId="4266DD87" w:rsidR="006A3E02" w:rsidRDefault="006A3E02">
            <w:pPr>
              <w:spacing w:after="120"/>
              <w:rPr>
                <w:b/>
                <w:bCs/>
                <w:i/>
                <w:iCs/>
              </w:rPr>
            </w:pPr>
            <w:r w:rsidRPr="00B95090">
              <w:rPr>
                <w:b/>
                <w:bCs/>
                <w:i/>
                <w:iCs/>
              </w:rPr>
              <w:t>Key research questio</w:t>
            </w:r>
            <w:r>
              <w:rPr>
                <w:b/>
                <w:bCs/>
                <w:i/>
                <w:iCs/>
              </w:rPr>
              <w:t>n</w:t>
            </w:r>
          </w:p>
          <w:p w14:paraId="6BEA3A42" w14:textId="4854B4EF" w:rsidR="006A3E02" w:rsidRPr="00D611B7" w:rsidRDefault="006A3E02">
            <w:pPr>
              <w:spacing w:before="120" w:after="120"/>
              <w:rPr>
                <w:i/>
              </w:rPr>
            </w:pPr>
            <w:r>
              <w:rPr>
                <w:i/>
                <w:iCs/>
              </w:rPr>
              <w:t>What</w:t>
            </w:r>
            <w:r w:rsidRPr="009461E4">
              <w:rPr>
                <w:i/>
                <w:iCs/>
              </w:rPr>
              <w:t xml:space="preserve"> </w:t>
            </w:r>
            <w:r w:rsidRPr="0018644C">
              <w:rPr>
                <w:i/>
                <w:iCs/>
              </w:rPr>
              <w:t>are current monitoring and reporting processes to ensure compliance with CCCFR grant expectations?</w:t>
            </w:r>
          </w:p>
        </w:tc>
      </w:tr>
    </w:tbl>
    <w:p w14:paraId="352F0E97" w14:textId="77777777" w:rsidR="006A3E02" w:rsidRPr="006A3E02" w:rsidRDefault="006A3E02" w:rsidP="006A3E02"/>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8644C" w14:paraId="578AB64D" w14:textId="77777777" w:rsidTr="00556184">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cPr>
          <w:p w14:paraId="4F126CEC" w14:textId="2C830B14" w:rsidR="0018644C" w:rsidRPr="009E424E" w:rsidRDefault="0018644C">
            <w:pPr>
              <w:spacing w:after="120"/>
              <w:rPr>
                <w:b/>
                <w:bCs/>
              </w:rPr>
            </w:pPr>
            <w:r w:rsidRPr="009E424E">
              <w:rPr>
                <w:b/>
                <w:bCs/>
              </w:rPr>
              <w:t xml:space="preserve">Review finding </w:t>
            </w:r>
            <w:r w:rsidR="00CF6097">
              <w:rPr>
                <w:b/>
                <w:bCs/>
              </w:rPr>
              <w:t>25</w:t>
            </w:r>
          </w:p>
          <w:p w14:paraId="69E37EF7" w14:textId="2A1F46B3" w:rsidR="0018644C" w:rsidRPr="003332C7" w:rsidRDefault="003B2406" w:rsidP="003332C7">
            <w:pPr>
              <w:spacing w:before="120" w:after="120"/>
            </w:pPr>
            <w:r w:rsidRPr="003B2406">
              <w:t>Despite annual reporting obligations for CCCFR services under the grant, there is limited evidence to indicate that these materials are being used to inform ongoing access to grant funding and broader quality uplift.</w:t>
            </w:r>
          </w:p>
        </w:tc>
      </w:tr>
    </w:tbl>
    <w:p w14:paraId="4A61ADC7" w14:textId="77777777" w:rsidR="00F56937" w:rsidRPr="00C81B54" w:rsidRDefault="00F56937" w:rsidP="00F56937">
      <w:pPr>
        <w:spacing w:before="170"/>
        <w:rPr>
          <w:b/>
          <w:bCs/>
        </w:rPr>
      </w:pPr>
      <w:r w:rsidRPr="00C81B54">
        <w:rPr>
          <w:b/>
          <w:bCs/>
        </w:rPr>
        <w:t xml:space="preserve">Supporting evidence for this finding is drawn from consultations and </w:t>
      </w:r>
      <w:r>
        <w:rPr>
          <w:b/>
          <w:bCs/>
        </w:rPr>
        <w:t>document analysis</w:t>
      </w:r>
      <w:r w:rsidRPr="00C81B54">
        <w:rPr>
          <w:b/>
          <w:bCs/>
        </w:rPr>
        <w:t>.</w:t>
      </w:r>
    </w:p>
    <w:p w14:paraId="1E694F17" w14:textId="70094012" w:rsidR="00DD556E" w:rsidRDefault="007B1EE3" w:rsidP="00F977D1">
      <w:r>
        <w:t>Within the original Grant Guidelines released in July 2017,</w:t>
      </w:r>
      <w:r w:rsidR="009504BE">
        <w:t xml:space="preserve"> detail around </w:t>
      </w:r>
      <w:r w:rsidR="007D1D0B">
        <w:t>monitoring and performance reporting noted that “r</w:t>
      </w:r>
      <w:r>
        <w:t>ecipients will need to collect data that measures how the activity contributes to the CCCF outcomes and objectives</w:t>
      </w:r>
      <w:r w:rsidR="007D1D0B">
        <w:t>”</w:t>
      </w:r>
      <w:r>
        <w:t>.</w:t>
      </w:r>
      <w:r w:rsidR="007D1D0B">
        <w:rPr>
          <w:rStyle w:val="FootnoteReference"/>
        </w:rPr>
        <w:footnoteReference w:id="159"/>
      </w:r>
      <w:r w:rsidR="00164B8A">
        <w:t xml:space="preserve"> Furthermore, the initial guidelines noted that </w:t>
      </w:r>
      <w:r w:rsidR="00C3033C">
        <w:t>through</w:t>
      </w:r>
      <w:r w:rsidR="008225C3">
        <w:t xml:space="preserve"> services </w:t>
      </w:r>
      <w:r w:rsidR="00C74880">
        <w:t>“</w:t>
      </w:r>
      <w:r w:rsidR="00C3033C">
        <w:t>complying</w:t>
      </w:r>
      <w:r w:rsidR="008225C3">
        <w:t xml:space="preserve"> </w:t>
      </w:r>
      <w:r w:rsidR="00C3033C">
        <w:t>with record keeping, reporting and acquittal requirements set out through the grant agreement</w:t>
      </w:r>
      <w:r w:rsidR="00C74880">
        <w:t>”</w:t>
      </w:r>
      <w:r w:rsidR="00C3033C">
        <w:t xml:space="preserve">, </w:t>
      </w:r>
      <w:r w:rsidR="00C74880">
        <w:t>the Department would be responsible for</w:t>
      </w:r>
      <w:r w:rsidR="009D7A2C">
        <w:t xml:space="preserve"> evaluating “the</w:t>
      </w:r>
      <w:r w:rsidR="00C3033C">
        <w:t xml:space="preserve"> grant recipient’s performance against progress on milestones as set out in the grant agreement schedule</w:t>
      </w:r>
      <w:r w:rsidR="009D7A2C">
        <w:t>”</w:t>
      </w:r>
      <w:r w:rsidR="00C3033C">
        <w:t>.</w:t>
      </w:r>
      <w:r w:rsidR="009D7A2C">
        <w:rPr>
          <w:rStyle w:val="FootnoteReference"/>
        </w:rPr>
        <w:footnoteReference w:id="160"/>
      </w:r>
      <w:r w:rsidR="004A3E84">
        <w:t xml:space="preserve"> </w:t>
      </w:r>
      <w:r w:rsidR="00F558CB">
        <w:t xml:space="preserve">In addition </w:t>
      </w:r>
      <w:r w:rsidR="00AF0C00">
        <w:t>the Guide for Grant Recipients also notes that services must also “</w:t>
      </w:r>
      <w:r w:rsidR="00F558CB" w:rsidRPr="00F558CB">
        <w:t>meet all grant agreement requirements including submitting milestone reports on time</w:t>
      </w:r>
      <w:r w:rsidR="00D763A6">
        <w:t>”</w:t>
      </w:r>
      <w:r w:rsidR="00F558CB">
        <w:rPr>
          <w:rStyle w:val="FootnoteReference"/>
        </w:rPr>
        <w:footnoteReference w:id="161"/>
      </w:r>
      <w:r w:rsidR="00477FD7">
        <w:t xml:space="preserve"> </w:t>
      </w:r>
      <w:r w:rsidR="00891B8F">
        <w:t>in order to receive ongoing funding under the grant.</w:t>
      </w:r>
    </w:p>
    <w:p w14:paraId="667AA005" w14:textId="0238435E" w:rsidR="00373777" w:rsidRDefault="00CB5F04" w:rsidP="00F977D1">
      <w:r>
        <w:t>As previously</w:t>
      </w:r>
      <w:r w:rsidR="00373777">
        <w:t xml:space="preserve"> noted in this report</w:t>
      </w:r>
      <w:r>
        <w:t xml:space="preserve">, CCCFR services are required to submit </w:t>
      </w:r>
      <w:r w:rsidR="00373777">
        <w:t xml:space="preserve">the </w:t>
      </w:r>
      <w:r w:rsidR="003D44E5">
        <w:t xml:space="preserve">financial and compliance-related </w:t>
      </w:r>
      <w:r w:rsidR="00373777">
        <w:t xml:space="preserve">reports </w:t>
      </w:r>
      <w:r w:rsidR="00A57549">
        <w:t xml:space="preserve">annually </w:t>
      </w:r>
      <w:r w:rsidR="00373777">
        <w:t>in line with the following deadlines:</w:t>
      </w:r>
    </w:p>
    <w:p w14:paraId="4548AAEB" w14:textId="48F5FF04" w:rsidR="003973C4" w:rsidRPr="00FC4164" w:rsidRDefault="00DE0C2E" w:rsidP="00FC4164">
      <w:pPr>
        <w:pStyle w:val="ListBullet"/>
      </w:pPr>
      <w:r>
        <w:t>Activity budget – 31 July</w:t>
      </w:r>
    </w:p>
    <w:p w14:paraId="3AA88D8E" w14:textId="55980D25" w:rsidR="00373777" w:rsidRPr="00FC4164" w:rsidRDefault="003973C4" w:rsidP="00FC4164">
      <w:pPr>
        <w:pStyle w:val="ListBullet"/>
      </w:pPr>
      <w:r>
        <w:t>Minor Capital Project Work Plan (if applicable) – 31 July</w:t>
      </w:r>
    </w:p>
    <w:p w14:paraId="570CC751" w14:textId="449B23A9" w:rsidR="003973C4" w:rsidRPr="00FC4164" w:rsidRDefault="003973C4" w:rsidP="00FC4164">
      <w:pPr>
        <w:pStyle w:val="ListBullet"/>
      </w:pPr>
      <w:r>
        <w:t>Compliance and Operations Report – 31 March</w:t>
      </w:r>
    </w:p>
    <w:p w14:paraId="3BD2EFC3" w14:textId="60D2FCE8" w:rsidR="00A57549" w:rsidRDefault="003973C4" w:rsidP="00FC4164">
      <w:pPr>
        <w:pStyle w:val="ListBullet"/>
      </w:pPr>
      <w:r>
        <w:t>Financial Report – 31 October</w:t>
      </w:r>
      <w:r w:rsidR="00A57549">
        <w:t>.</w:t>
      </w:r>
    </w:p>
    <w:p w14:paraId="1D7AFF61" w14:textId="77777777" w:rsidR="00891B8F" w:rsidRDefault="00891B8F" w:rsidP="00B14B49">
      <w:pPr>
        <w:pStyle w:val="ListBullet"/>
        <w:numPr>
          <w:ilvl w:val="0"/>
          <w:numId w:val="0"/>
        </w:numPr>
        <w:ind w:left="357"/>
      </w:pPr>
    </w:p>
    <w:p w14:paraId="13A4111C" w14:textId="77777777" w:rsidR="00020395" w:rsidRDefault="00D4407E" w:rsidP="00FC4164">
      <w:r>
        <w:lastRenderedPageBreak/>
        <w:t xml:space="preserve">In addition, </w:t>
      </w:r>
      <w:r w:rsidR="003F7D49">
        <w:t>services are notified through correspondence that submitted Compliance and Operations Reports</w:t>
      </w:r>
      <w:r w:rsidR="005B38C5">
        <w:t xml:space="preserve"> </w:t>
      </w:r>
      <w:r w:rsidR="00A00086">
        <w:t>must be considered as adequate by the relevant Program Office</w:t>
      </w:r>
      <w:r w:rsidR="003F7D49">
        <w:t>r</w:t>
      </w:r>
      <w:r w:rsidR="00A00086">
        <w:t xml:space="preserve"> before </w:t>
      </w:r>
      <w:r w:rsidR="00423470">
        <w:t xml:space="preserve">further </w:t>
      </w:r>
      <w:r w:rsidR="00A00086">
        <w:t xml:space="preserve">payments </w:t>
      </w:r>
      <w:r w:rsidR="00423470">
        <w:t xml:space="preserve">can be </w:t>
      </w:r>
      <w:r w:rsidR="003F7D49">
        <w:t>released</w:t>
      </w:r>
      <w:r w:rsidR="00423470">
        <w:t xml:space="preserve"> under the CCCFR grant</w:t>
      </w:r>
      <w:r w:rsidR="00423470">
        <w:rPr>
          <w:rStyle w:val="FootnoteReference"/>
        </w:rPr>
        <w:footnoteReference w:id="162"/>
      </w:r>
      <w:r w:rsidR="00423470">
        <w:t>.</w:t>
      </w:r>
    </w:p>
    <w:p w14:paraId="6FB46ADC" w14:textId="4920A83E" w:rsidR="002C2BEE" w:rsidRDefault="002C2BEE" w:rsidP="00FC4164">
      <w:r>
        <w:t>D</w:t>
      </w:r>
      <w:r w:rsidR="00020395">
        <w:t xml:space="preserve">espite </w:t>
      </w:r>
      <w:r w:rsidR="00551ADF">
        <w:t>these clear reporting processes in place, consultation with Program Officers and broader Departmental staff indicate</w:t>
      </w:r>
      <w:r w:rsidR="00E2308C">
        <w:t>s</w:t>
      </w:r>
      <w:r w:rsidR="00551ADF">
        <w:t xml:space="preserve"> that further </w:t>
      </w:r>
      <w:r w:rsidR="001875BE">
        <w:t>analysis of reporting data could be undertaken in line with the broader objectives and intended outcomes of the grant.</w:t>
      </w:r>
      <w:r w:rsidR="00F324FC">
        <w:t xml:space="preserve"> Identified challenges which</w:t>
      </w:r>
      <w:r w:rsidR="00742CED">
        <w:t xml:space="preserve"> </w:t>
      </w:r>
      <w:r w:rsidR="00F324FC">
        <w:t xml:space="preserve">impede this ongoing analysis include a lack </w:t>
      </w:r>
      <w:r w:rsidR="007864CB">
        <w:t xml:space="preserve">of dedicated information </w:t>
      </w:r>
      <w:r w:rsidR="00FE032A">
        <w:t>data collection, management and reporting</w:t>
      </w:r>
      <w:r w:rsidR="007864CB">
        <w:t xml:space="preserve"> system for the grant,</w:t>
      </w:r>
      <w:r w:rsidR="00C94EB4">
        <w:t xml:space="preserve"> </w:t>
      </w:r>
      <w:r w:rsidR="00742CED">
        <w:t>as well as</w:t>
      </w:r>
      <w:r w:rsidR="00C94EB4">
        <w:t xml:space="preserve"> </w:t>
      </w:r>
      <w:r w:rsidR="00742CED">
        <w:t>the training and resources required to adopt ongoing grant reporting and analysis, ultimately reducing resources made available through the grant to CCCFR services.</w:t>
      </w:r>
    </w:p>
    <w:p w14:paraId="491464F5" w14:textId="059B9A36" w:rsidR="00811BA0" w:rsidRDefault="002C2BEE" w:rsidP="00FC4164">
      <w:r>
        <w:t xml:space="preserve">Furthermore, </w:t>
      </w:r>
      <w:r w:rsidR="008F3E02">
        <w:t>while the guidelines and Guide</w:t>
      </w:r>
      <w:r w:rsidR="00390E97">
        <w:t xml:space="preserve"> to Grant </w:t>
      </w:r>
      <w:r w:rsidR="00F5543D">
        <w:t>Recipients</w:t>
      </w:r>
      <w:r w:rsidR="00390E97">
        <w:t xml:space="preserve"> note that services must</w:t>
      </w:r>
      <w:r w:rsidR="00EC230C">
        <w:t xml:space="preserve"> meet the reporting milestones as indicated above, an analysis of </w:t>
      </w:r>
      <w:r w:rsidR="00BD1397">
        <w:t xml:space="preserve">metadata associated with Compliance and Operation </w:t>
      </w:r>
      <w:r w:rsidR="00F5543D">
        <w:t>Report submissions indicate</w:t>
      </w:r>
      <w:r w:rsidR="00811BA0">
        <w:t>s</w:t>
      </w:r>
      <w:r w:rsidR="00F5543D">
        <w:t xml:space="preserve"> that </w:t>
      </w:r>
      <w:r w:rsidR="00811BA0">
        <w:t xml:space="preserve">the majority of CCCFR services did not meet this deadline, with some services submitting their reporting documents almost two months following the </w:t>
      </w:r>
      <w:r w:rsidR="00C656FC">
        <w:t>reporting milestone of 31 March 2023</w:t>
      </w:r>
      <w:r w:rsidR="00A03D38">
        <w:t xml:space="preserve"> </w:t>
      </w:r>
      <w:r w:rsidR="00A03D38" w:rsidRPr="00A57B6C">
        <w:t>(</w:t>
      </w:r>
      <w:r w:rsidR="00A03D38" w:rsidRPr="00A57B6C">
        <w:fldChar w:fldCharType="begin"/>
      </w:r>
      <w:r w:rsidR="00A03D38" w:rsidRPr="00A57B6C">
        <w:instrText xml:space="preserve"> REF _Ref153373883 \r \h </w:instrText>
      </w:r>
      <w:r w:rsidR="009B2555" w:rsidRPr="00A57B6C">
        <w:instrText xml:space="preserve"> \* MERGEFORMAT </w:instrText>
      </w:r>
      <w:r w:rsidR="00A03D38" w:rsidRPr="00A57B6C">
        <w:fldChar w:fldCharType="separate"/>
      </w:r>
      <w:r w:rsidR="00D300D0">
        <w:t>Chart 7.1</w:t>
      </w:r>
      <w:r w:rsidR="00A03D38" w:rsidRPr="00A57B6C">
        <w:fldChar w:fldCharType="end"/>
      </w:r>
      <w:r w:rsidR="00A03D38" w:rsidRPr="00A57B6C">
        <w:t>)</w:t>
      </w:r>
      <w:r w:rsidR="00F5543D" w:rsidRPr="00A57B6C">
        <w:t>.</w:t>
      </w:r>
    </w:p>
    <w:p w14:paraId="7BF51068" w14:textId="2838501B" w:rsidR="004E0F83" w:rsidRPr="00A57B6C" w:rsidRDefault="00A03D38" w:rsidP="00A03D38">
      <w:pPr>
        <w:pStyle w:val="CaptionChart"/>
      </w:pPr>
      <w:bookmarkStart w:id="329" w:name="_Ref153373883"/>
      <w:bookmarkStart w:id="330" w:name="_Toc158997940"/>
      <w:bookmarkStart w:id="331" w:name="_Toc167130559"/>
      <w:r w:rsidRPr="00A57B6C">
        <w:t xml:space="preserve">: </w:t>
      </w:r>
      <w:r w:rsidR="00811BA0" w:rsidRPr="00A57B6C">
        <w:t>Histography of 2023 Compliance and Operations Report submissions</w:t>
      </w:r>
      <w:bookmarkEnd w:id="329"/>
      <w:bookmarkEnd w:id="330"/>
      <w:bookmarkEnd w:id="331"/>
    </w:p>
    <w:p w14:paraId="121BD437" w14:textId="34480B6B" w:rsidR="00AA6C26" w:rsidRPr="00AA7252" w:rsidRDefault="00AA6C26" w:rsidP="00B14B49">
      <w:pPr>
        <w:pStyle w:val="ListBullet"/>
        <w:numPr>
          <w:ilvl w:val="0"/>
          <w:numId w:val="0"/>
        </w:numPr>
        <w:ind w:left="357"/>
        <w:rPr>
          <w:b/>
        </w:rPr>
      </w:pPr>
      <w:r w:rsidRPr="00AA6C26">
        <w:rPr>
          <w:noProof/>
        </w:rPr>
        <w:drawing>
          <wp:inline distT="0" distB="0" distL="0" distR="0" wp14:anchorId="336195E8" wp14:editId="757C1298">
            <wp:extent cx="4572000" cy="2881630"/>
            <wp:effectExtent l="0" t="0" r="0" b="0"/>
            <wp:docPr id="62" name="Picture 62" descr="Chart showing the number of CCCFR Compliance and Operations Reports submitted to Program Officers per day across 15 March 2023 to 23 Ma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 showing the number of CCCFR Compliance and Operations Reports submitted to Program Officers per day across 15 March 2023 to 23 May 202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72000" cy="2881630"/>
                    </a:xfrm>
                    <a:prstGeom prst="rect">
                      <a:avLst/>
                    </a:prstGeom>
                    <a:noFill/>
                    <a:ln>
                      <a:noFill/>
                    </a:ln>
                  </pic:spPr>
                </pic:pic>
              </a:graphicData>
            </a:graphic>
          </wp:inline>
        </w:drawing>
      </w:r>
    </w:p>
    <w:p w14:paraId="52F3DCCE" w14:textId="7F0AB346" w:rsidR="005943DF" w:rsidRPr="00811BA0" w:rsidRDefault="00811BA0" w:rsidP="00A03D38">
      <w:pPr>
        <w:pStyle w:val="Source"/>
      </w:pPr>
      <w:r w:rsidRPr="00811BA0">
        <w:t>Source: Deloitte Access Economics (2023)</w:t>
      </w:r>
      <w:r w:rsidR="00A03D38">
        <w:t>.</w:t>
      </w:r>
    </w:p>
    <w:p w14:paraId="01C9D960" w14:textId="77777777" w:rsidR="00C26368" w:rsidRDefault="00C656FC" w:rsidP="000F615F">
      <w:r>
        <w:t xml:space="preserve">However, </w:t>
      </w:r>
      <w:r w:rsidR="001C5B92">
        <w:t>while many services did not meet the reporting milestone as indicated</w:t>
      </w:r>
      <w:r w:rsidR="001A6C97">
        <w:t xml:space="preserve"> within services’ obligations in the grant guidelines and Guide to Grant Recipients,</w:t>
      </w:r>
      <w:r w:rsidR="00682D22">
        <w:t xml:space="preserve"> there is no evidence to suggest that their ongoing access to grant funding has been impacted</w:t>
      </w:r>
      <w:r w:rsidR="00DF4CEF">
        <w:t>.</w:t>
      </w:r>
      <w:r w:rsidR="00C26368">
        <w:t xml:space="preserve"> </w:t>
      </w:r>
    </w:p>
    <w:p w14:paraId="071E6BF7" w14:textId="5FFA0A91" w:rsidR="006B55BF" w:rsidRDefault="00C26368" w:rsidP="000F615F">
      <w:r>
        <w:t>More broadly, there is limited detail within grant documentation</w:t>
      </w:r>
      <w:r w:rsidR="00045635">
        <w:t xml:space="preserve"> or guidance</w:t>
      </w:r>
      <w:r>
        <w:t xml:space="preserve"> around </w:t>
      </w:r>
      <w:r w:rsidR="00045635">
        <w:t>the extent to which non-compliance with reporting and broader grant obligations will impact eligibility of funding on an ongoing basis.</w:t>
      </w:r>
    </w:p>
    <w:tbl>
      <w:tblPr>
        <w:tblStyle w:val="TableGrid"/>
        <w:tblW w:w="0" w:type="auto"/>
        <w:shd w:val="clear" w:color="auto" w:fill="E7F5CF"/>
        <w:tblCellMar>
          <w:top w:w="113" w:type="dxa"/>
          <w:left w:w="113" w:type="dxa"/>
          <w:bottom w:w="113" w:type="dxa"/>
          <w:right w:w="113" w:type="dxa"/>
        </w:tblCellMar>
        <w:tblLook w:val="04A0" w:firstRow="1" w:lastRow="0" w:firstColumn="1" w:lastColumn="0" w:noHBand="0" w:noVBand="1"/>
      </w:tblPr>
      <w:tblGrid>
        <w:gridCol w:w="9026"/>
      </w:tblGrid>
      <w:tr w:rsidR="003D69A9" w14:paraId="36475688" w14:textId="77777777" w:rsidTr="00556184">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cPr>
          <w:p w14:paraId="1C0D99CB" w14:textId="218182A5" w:rsidR="003D69A9" w:rsidRPr="009E424E" w:rsidRDefault="003D69A9" w:rsidP="003D69A9">
            <w:pPr>
              <w:spacing w:after="120"/>
              <w:rPr>
                <w:b/>
                <w:bCs/>
              </w:rPr>
            </w:pPr>
            <w:r w:rsidRPr="009E424E">
              <w:rPr>
                <w:b/>
                <w:bCs/>
              </w:rPr>
              <w:t xml:space="preserve">Review finding </w:t>
            </w:r>
            <w:r w:rsidR="003E6BE6">
              <w:rPr>
                <w:b/>
                <w:bCs/>
              </w:rPr>
              <w:t>26</w:t>
            </w:r>
          </w:p>
          <w:p w14:paraId="05EB7DD7" w14:textId="03567F84" w:rsidR="003D69A9" w:rsidRPr="00E54CB1" w:rsidRDefault="003B2406" w:rsidP="00E54CB1">
            <w:pPr>
              <w:spacing w:before="170"/>
            </w:pPr>
            <w:r w:rsidRPr="003B2406">
              <w:t>The Department adopts a responsive, risk-based approach to monitoring and reporting with CCCFR services, supporting CCCFR services to meet their compliance obligations in a non-</w:t>
            </w:r>
            <w:r w:rsidRPr="003B2406">
              <w:lastRenderedPageBreak/>
              <w:t>punitive manner, while still undertaking enforcement actions where significant risks to children’s health and safety have been identified.</w:t>
            </w:r>
          </w:p>
        </w:tc>
      </w:tr>
    </w:tbl>
    <w:p w14:paraId="36A7841D" w14:textId="4AD57DA5" w:rsidR="00F56937" w:rsidRPr="00C81B54" w:rsidRDefault="002D037A" w:rsidP="00F56937">
      <w:pPr>
        <w:spacing w:before="170"/>
        <w:rPr>
          <w:b/>
          <w:bCs/>
        </w:rPr>
      </w:pPr>
      <w:r w:rsidRPr="00C81B54">
        <w:rPr>
          <w:b/>
          <w:bCs/>
        </w:rPr>
        <w:lastRenderedPageBreak/>
        <w:t xml:space="preserve">Supporting evidence for this finding is drawn from </w:t>
      </w:r>
      <w:r>
        <w:rPr>
          <w:b/>
          <w:bCs/>
        </w:rPr>
        <w:t xml:space="preserve">consultations and literature </w:t>
      </w:r>
      <w:r w:rsidR="0041374F">
        <w:rPr>
          <w:b/>
          <w:bCs/>
        </w:rPr>
        <w:t>analysis</w:t>
      </w:r>
      <w:r w:rsidR="00F56937" w:rsidRPr="00C81B54">
        <w:rPr>
          <w:b/>
          <w:bCs/>
        </w:rPr>
        <w:t>.</w:t>
      </w:r>
    </w:p>
    <w:p w14:paraId="257152E9" w14:textId="39729E51" w:rsidR="0010372B" w:rsidRDefault="007763D4" w:rsidP="00FD71BB">
      <w:r>
        <w:t xml:space="preserve">In addition to </w:t>
      </w:r>
      <w:r w:rsidR="00BC1BE2">
        <w:t xml:space="preserve">the Department’s flexibility around reporting guidelines, as outlined above, </w:t>
      </w:r>
      <w:r w:rsidR="00C92BE4">
        <w:t>consultation with Program Officers and broader Department staff indicate</w:t>
      </w:r>
      <w:r w:rsidR="0078093C">
        <w:t>s</w:t>
      </w:r>
      <w:r w:rsidR="00C92BE4">
        <w:t xml:space="preserve"> that the Department </w:t>
      </w:r>
      <w:r w:rsidR="00B21ADE">
        <w:t xml:space="preserve">adopts a flexible, risk-based approach </w:t>
      </w:r>
      <w:r w:rsidR="00DB6517">
        <w:t xml:space="preserve">in addressing </w:t>
      </w:r>
      <w:r w:rsidR="009C010A">
        <w:t xml:space="preserve">areas </w:t>
      </w:r>
      <w:r w:rsidR="005D32A5">
        <w:t>of potential non-compliance with grant conditions and/or the Minister’s Rules.</w:t>
      </w:r>
    </w:p>
    <w:p w14:paraId="4A8BDC7A" w14:textId="768FFF55" w:rsidR="0010372B" w:rsidRDefault="000C3789" w:rsidP="00FD71BB">
      <w:r>
        <w:t xml:space="preserve">While not formally adopted by the </w:t>
      </w:r>
      <w:r w:rsidR="0078093C">
        <w:t>D</w:t>
      </w:r>
      <w:r>
        <w:t>epartment, this flexible approach to grants administration is reflective of contemporary theory of ‘responsive regulation’,</w:t>
      </w:r>
      <w:r w:rsidR="005C025B" w:rsidRPr="2A996E96">
        <w:rPr>
          <w:rStyle w:val="FootnoteReference"/>
        </w:rPr>
        <w:footnoteReference w:id="163"/>
      </w:r>
      <w:r>
        <w:t xml:space="preserve"> an approach adopted by </w:t>
      </w:r>
      <w:r w:rsidR="00E04CAD">
        <w:t xml:space="preserve">numerous </w:t>
      </w:r>
      <w:r w:rsidR="00D83C50">
        <w:t xml:space="preserve">Australian </w:t>
      </w:r>
      <w:r w:rsidR="00E04CAD">
        <w:t xml:space="preserve">early childhood and broader </w:t>
      </w:r>
      <w:r>
        <w:t>regulators which emphasises</w:t>
      </w:r>
      <w:r w:rsidRPr="2A996E96">
        <w:t xml:space="preserve"> a flexible, deliberative approach to regulation.</w:t>
      </w:r>
      <w:r w:rsidR="001B4ACF" w:rsidRPr="2A996E96">
        <w:t xml:space="preserve"> Examples of Australian </w:t>
      </w:r>
      <w:r w:rsidR="00515434" w:rsidRPr="2A996E96">
        <w:t>adoptions of responsive regulatory theory</w:t>
      </w:r>
      <w:r w:rsidR="001B4ACF" w:rsidRPr="2A996E96">
        <w:t xml:space="preserve"> include the NSW Regulatory Authority, ACECQA, Q</w:t>
      </w:r>
      <w:r w:rsidR="00275D79" w:rsidRPr="2A996E96">
        <w:t>ueensland</w:t>
      </w:r>
      <w:r w:rsidR="001B4ACF" w:rsidRPr="2A996E96">
        <w:t xml:space="preserve"> Fair Trading</w:t>
      </w:r>
      <w:r w:rsidR="00A6251D" w:rsidRPr="2A996E96">
        <w:t xml:space="preserve"> and </w:t>
      </w:r>
      <w:r w:rsidR="001B4ACF" w:rsidRPr="2A996E96">
        <w:t xml:space="preserve">the Australian </w:t>
      </w:r>
      <w:r w:rsidR="00A6251D" w:rsidRPr="2A996E96">
        <w:t xml:space="preserve">Government’s </w:t>
      </w:r>
      <w:r w:rsidR="001B4ACF" w:rsidRPr="2A996E96">
        <w:t>Aged Care Quality and Safety Commission.</w:t>
      </w:r>
      <w:r w:rsidR="00D83C50" w:rsidRPr="2A996E96">
        <w:rPr>
          <w:rStyle w:val="FootnoteReference"/>
        </w:rPr>
        <w:footnoteReference w:id="164"/>
      </w:r>
      <w:r w:rsidR="00D83C50" w:rsidRPr="2A996E96">
        <w:rPr>
          <w:vertAlign w:val="superscript"/>
        </w:rPr>
        <w:t>,</w:t>
      </w:r>
      <w:r w:rsidR="00D83C50" w:rsidRPr="2A996E96">
        <w:rPr>
          <w:rStyle w:val="FootnoteReference"/>
        </w:rPr>
        <w:footnoteReference w:id="165"/>
      </w:r>
      <w:r w:rsidR="00B339F1" w:rsidRPr="2A996E96">
        <w:rPr>
          <w:vertAlign w:val="superscript"/>
        </w:rPr>
        <w:t>,</w:t>
      </w:r>
      <w:r w:rsidR="00B339F1" w:rsidRPr="2A996E96">
        <w:rPr>
          <w:rStyle w:val="FootnoteReference"/>
        </w:rPr>
        <w:footnoteReference w:id="166"/>
      </w:r>
      <w:r w:rsidR="00062107" w:rsidRPr="2A996E96">
        <w:rPr>
          <w:vertAlign w:val="superscript"/>
        </w:rPr>
        <w:t>,</w:t>
      </w:r>
      <w:r w:rsidR="00062107" w:rsidRPr="2A996E96">
        <w:rPr>
          <w:rStyle w:val="FootnoteReference"/>
        </w:rPr>
        <w:footnoteReference w:id="167"/>
      </w:r>
    </w:p>
    <w:p w14:paraId="5B8DC19F" w14:textId="746B8EC2" w:rsidR="002F4C48" w:rsidRDefault="002F4C48" w:rsidP="00FD71BB">
      <w:pPr>
        <w:rPr>
          <w:szCs w:val="17"/>
        </w:rPr>
      </w:pPr>
      <w:r w:rsidRPr="2A996E96">
        <w:t xml:space="preserve">The regulatory pyramid, a core component of this approach, emphasises </w:t>
      </w:r>
      <w:r w:rsidR="00EC1726" w:rsidRPr="2A996E96">
        <w:t>the use of less coercive, less interventionist</w:t>
      </w:r>
      <w:r w:rsidR="00EC1726">
        <w:rPr>
          <w:szCs w:val="17"/>
        </w:rPr>
        <w:t xml:space="preserve"> </w:t>
      </w:r>
      <w:r w:rsidR="0011200B" w:rsidRPr="2A996E96">
        <w:t xml:space="preserve">measures </w:t>
      </w:r>
      <w:r w:rsidR="00405C99" w:rsidRPr="2A996E96">
        <w:t>for those at the bottom of the pyramid – those willing and able to engage with their regulatory obligations. However,</w:t>
      </w:r>
      <w:r w:rsidR="00B47890" w:rsidRPr="2A996E96">
        <w:t xml:space="preserve"> if an individual or </w:t>
      </w:r>
      <w:r w:rsidR="00B24BEC" w:rsidRPr="2A996E96">
        <w:t>organisation’s</w:t>
      </w:r>
      <w:r w:rsidR="00B47890" w:rsidRPr="2A996E96">
        <w:t xml:space="preserve"> behaviour indicates that they are </w:t>
      </w:r>
      <w:r w:rsidR="00B24BEC" w:rsidRPr="2A996E96">
        <w:t xml:space="preserve">engaging in deliberate non-compliance, then more stringent enforcement measures should be adopted – representing </w:t>
      </w:r>
      <w:r w:rsidR="00CF068F" w:rsidRPr="2A996E96">
        <w:t>the top of the pyramid.</w:t>
      </w:r>
      <w:r w:rsidR="00C92EC3">
        <w:rPr>
          <w:szCs w:val="17"/>
        </w:rPr>
        <w:t xml:space="preserve"> </w:t>
      </w:r>
      <w:r w:rsidR="0092580E" w:rsidRPr="2A996E96">
        <w:t xml:space="preserve">As the pyramid </w:t>
      </w:r>
      <w:r w:rsidR="00890F4B" w:rsidRPr="2A996E96">
        <w:t>is designed to escalate regulatory responses based on the severity and nature of the issue</w:t>
      </w:r>
      <w:r w:rsidR="00890F4B">
        <w:rPr>
          <w:szCs w:val="17"/>
        </w:rPr>
        <w:t xml:space="preserve">, </w:t>
      </w:r>
      <w:r w:rsidR="006438E6" w:rsidRPr="2A996E96">
        <w:t>serious incidents such as risk to the health and safety of a child would require immediate intervention.</w:t>
      </w:r>
      <w:r w:rsidR="006438E6" w:rsidRPr="2A996E96">
        <w:rPr>
          <w:rStyle w:val="FootnoteReference"/>
        </w:rPr>
        <w:footnoteReference w:id="168"/>
      </w:r>
    </w:p>
    <w:p w14:paraId="51EF3BA9" w14:textId="3E1F83A3" w:rsidR="00DB71D6" w:rsidRDefault="007F3A2E" w:rsidP="00FD71BB">
      <w:pPr>
        <w:rPr>
          <w:szCs w:val="17"/>
        </w:rPr>
      </w:pPr>
      <w:r>
        <w:rPr>
          <w:szCs w:val="17"/>
        </w:rPr>
        <w:t xml:space="preserve">During consultations, Program Officers and broader Departmental staff emphasised the importance of supporting CCCFR </w:t>
      </w:r>
      <w:r w:rsidR="00D91C57">
        <w:rPr>
          <w:szCs w:val="17"/>
        </w:rPr>
        <w:t xml:space="preserve">services </w:t>
      </w:r>
      <w:r>
        <w:rPr>
          <w:szCs w:val="17"/>
        </w:rPr>
        <w:t xml:space="preserve">in meeting their legislative obligations and conditions </w:t>
      </w:r>
      <w:r w:rsidR="00DB71D6">
        <w:rPr>
          <w:szCs w:val="17"/>
        </w:rPr>
        <w:t>under the grant. In practice, this included:</w:t>
      </w:r>
    </w:p>
    <w:p w14:paraId="480802C6" w14:textId="6170722B" w:rsidR="00515434" w:rsidRDefault="00DB71D6" w:rsidP="00D91C57">
      <w:pPr>
        <w:pStyle w:val="ListBullet"/>
      </w:pPr>
      <w:r>
        <w:t>reviewing and providing feedback on submitted documentation, such as</w:t>
      </w:r>
      <w:r w:rsidR="0099120A">
        <w:t xml:space="preserve"> documents provided as part of the</w:t>
      </w:r>
      <w:r>
        <w:t xml:space="preserve"> Compliance and Operations Reports and providing opportunities for re-submission</w:t>
      </w:r>
    </w:p>
    <w:p w14:paraId="37CCBC86" w14:textId="77777777" w:rsidR="00AF021A" w:rsidRDefault="00DB71D6" w:rsidP="00D91C57">
      <w:pPr>
        <w:pStyle w:val="ListBullet"/>
      </w:pPr>
      <w:r>
        <w:t xml:space="preserve">flexibility and follow-up with services </w:t>
      </w:r>
      <w:r w:rsidR="00AF021A">
        <w:t>when unable to meet grant milestones</w:t>
      </w:r>
    </w:p>
    <w:p w14:paraId="4AF2CF52" w14:textId="7F169E9B" w:rsidR="00DB71D6" w:rsidRPr="00DB71D6" w:rsidRDefault="00AF021A" w:rsidP="00D91C57">
      <w:pPr>
        <w:pStyle w:val="ListBullet"/>
      </w:pPr>
      <w:r>
        <w:t xml:space="preserve">enabling professional development and supports to support services in meeting grant and legislative obligations, including through </w:t>
      </w:r>
      <w:r w:rsidR="00026853">
        <w:t>partnerships</w:t>
      </w:r>
      <w:r>
        <w:t xml:space="preserve"> with ACECQA and state and territories.</w:t>
      </w:r>
      <w:r w:rsidR="00DB71D6">
        <w:t xml:space="preserve"> </w:t>
      </w:r>
    </w:p>
    <w:p w14:paraId="782D6E13" w14:textId="77777777" w:rsidR="00D91C57" w:rsidRDefault="00D91C57" w:rsidP="00D91C57">
      <w:pPr>
        <w:spacing w:after="0"/>
      </w:pPr>
    </w:p>
    <w:p w14:paraId="5FD595D8" w14:textId="6CD47956" w:rsidR="006A2768" w:rsidRDefault="00AF021A" w:rsidP="00D91C57">
      <w:r>
        <w:t>This flexibility adopted by the Department to grant recipients recognises the context of CCCFR services, many of which may face significant barriers in meeting grant obligations due to short staffing, technological issues, barriers to accessing supports due to geographical isolation</w:t>
      </w:r>
      <w:r w:rsidR="00026853">
        <w:t xml:space="preserve"> and limited knowledge of the NQF.</w:t>
      </w:r>
      <w:r w:rsidR="005C2515">
        <w:t xml:space="preserve"> </w:t>
      </w:r>
    </w:p>
    <w:p w14:paraId="2303ECA9" w14:textId="4378F197" w:rsidR="005C2515" w:rsidRDefault="005C2515" w:rsidP="00D91C57">
      <w:r>
        <w:t xml:space="preserve">This responsive approach in </w:t>
      </w:r>
      <w:r w:rsidR="0042165D">
        <w:t>providing support to services in meeting their compliance obligations is reflective of ‘good regulatory practice’ as outlined by ACECQA.</w:t>
      </w:r>
      <w:r w:rsidR="0042165D" w:rsidRPr="2A996E96">
        <w:rPr>
          <w:rStyle w:val="FootnoteReference"/>
        </w:rPr>
        <w:footnoteReference w:id="169"/>
      </w:r>
      <w:r w:rsidR="00491ED4">
        <w:t xml:space="preserve"> Specifically, </w:t>
      </w:r>
      <w:r w:rsidR="00A5748E">
        <w:t>ACECQA note</w:t>
      </w:r>
      <w:r w:rsidR="00877E93">
        <w:t xml:space="preserve"> that </w:t>
      </w:r>
      <w:r w:rsidR="00A5748E">
        <w:lastRenderedPageBreak/>
        <w:t>good regulatio</w:t>
      </w:r>
      <w:r w:rsidR="008D46B5">
        <w:t>n must be outcomes-</w:t>
      </w:r>
      <w:r w:rsidR="00BF5FCB">
        <w:t xml:space="preserve">focussed and promote </w:t>
      </w:r>
      <w:r w:rsidR="00EB09B0">
        <w:t>increased quality outcomes</w:t>
      </w:r>
      <w:r w:rsidR="006A2768">
        <w:t>, including needing to “</w:t>
      </w:r>
      <w:r w:rsidR="006A2768" w:rsidRPr="006A2768">
        <w:t>be flexible and innovative, achieving the best regulatory outcome in the particular circumstances of each case</w:t>
      </w:r>
      <w:r w:rsidR="006A2768">
        <w:t>”</w:t>
      </w:r>
      <w:r w:rsidR="006A2768" w:rsidRPr="006A2768">
        <w:t>.</w:t>
      </w:r>
      <w:r w:rsidR="006A2768" w:rsidRPr="2A996E96">
        <w:rPr>
          <w:rStyle w:val="FootnoteReference"/>
        </w:rPr>
        <w:footnoteReference w:id="170"/>
      </w:r>
      <w:r w:rsidR="006A2768">
        <w:t xml:space="preserve"> This is particularly relevant for CCCFR services</w:t>
      </w:r>
      <w:r w:rsidR="003E1949">
        <w:t xml:space="preserve"> in rural and remote “thin market” communities,</w:t>
      </w:r>
      <w:r w:rsidR="0098384F">
        <w:t xml:space="preserve"> that </w:t>
      </w:r>
      <w:r w:rsidR="003E1949">
        <w:t>may experience increased risks of service closure due to financial or business viability issues.</w:t>
      </w:r>
    </w:p>
    <w:p w14:paraId="790BA7F8" w14:textId="359293E9" w:rsidR="006A2768" w:rsidRDefault="003E1949" w:rsidP="00D91C57">
      <w:r>
        <w:t xml:space="preserve">An adapted version of the regulatory pyramid </w:t>
      </w:r>
      <w:r w:rsidR="00160E6F">
        <w:t xml:space="preserve">for the CCCFR grant is shown in </w:t>
      </w:r>
      <w:r w:rsidR="00160E6F" w:rsidRPr="00631241">
        <w:fldChar w:fldCharType="begin"/>
      </w:r>
      <w:r w:rsidR="00160E6F" w:rsidRPr="00631241">
        <w:instrText xml:space="preserve"> REF _Ref153374476 \r \h </w:instrText>
      </w:r>
      <w:r w:rsidR="00486B3C" w:rsidRPr="00631241">
        <w:instrText xml:space="preserve"> \* MERGEFORMAT </w:instrText>
      </w:r>
      <w:r w:rsidR="00160E6F" w:rsidRPr="00631241">
        <w:fldChar w:fldCharType="separate"/>
      </w:r>
      <w:r w:rsidR="00D300D0">
        <w:t>Figure 7.1</w:t>
      </w:r>
      <w:r w:rsidR="00160E6F" w:rsidRPr="00631241">
        <w:fldChar w:fldCharType="end"/>
      </w:r>
      <w:r w:rsidR="006141D9" w:rsidRPr="00631241">
        <w:t>.</w:t>
      </w:r>
    </w:p>
    <w:p w14:paraId="5A045C08" w14:textId="3C8C83E4" w:rsidR="00026853" w:rsidRPr="00631241" w:rsidRDefault="00AA6DAD" w:rsidP="00AA6DAD">
      <w:pPr>
        <w:pStyle w:val="CaptionFigure"/>
      </w:pPr>
      <w:bookmarkStart w:id="332" w:name="_Ref153374476"/>
      <w:bookmarkStart w:id="333" w:name="_Toc158997992"/>
      <w:bookmarkStart w:id="334" w:name="_Toc170228795"/>
      <w:r w:rsidRPr="00631241">
        <w:t xml:space="preserve">: </w:t>
      </w:r>
      <w:r w:rsidR="00026853" w:rsidRPr="00631241">
        <w:t xml:space="preserve">An adapted version of the regulatory </w:t>
      </w:r>
      <w:r w:rsidRPr="00631241">
        <w:t>pyramid</w:t>
      </w:r>
      <w:bookmarkEnd w:id="332"/>
      <w:bookmarkEnd w:id="333"/>
      <w:bookmarkEnd w:id="334"/>
    </w:p>
    <w:p w14:paraId="5BA180D5" w14:textId="3FF08626" w:rsidR="0010372B" w:rsidRDefault="006018D0" w:rsidP="00B14B49">
      <w:pPr>
        <w:pStyle w:val="ListBullet"/>
        <w:numPr>
          <w:ilvl w:val="0"/>
          <w:numId w:val="0"/>
        </w:numPr>
        <w:ind w:left="357"/>
      </w:pPr>
      <w:r w:rsidRPr="006018D0">
        <w:rPr>
          <w:noProof/>
        </w:rPr>
        <w:drawing>
          <wp:inline distT="0" distB="0" distL="0" distR="0" wp14:anchorId="5A1FC05C" wp14:editId="6BF0B408">
            <wp:extent cx="5495133" cy="3148717"/>
            <wp:effectExtent l="0" t="0" r="0" b="0"/>
            <wp:docPr id="30" name="Picture 30" descr="Illustration of regulatory pyramid adapted for Department of Education engagement with CCCF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llustration of regulatory pyramid adapted for Department of Education engagement with CCCFR services"/>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416" r="665"/>
                    <a:stretch/>
                  </pic:blipFill>
                  <pic:spPr bwMode="auto">
                    <a:xfrm>
                      <a:off x="0" y="0"/>
                      <a:ext cx="5528128" cy="3167623"/>
                    </a:xfrm>
                    <a:prstGeom prst="rect">
                      <a:avLst/>
                    </a:prstGeom>
                    <a:noFill/>
                    <a:ln>
                      <a:noFill/>
                    </a:ln>
                    <a:extLst>
                      <a:ext uri="{53640926-AAD7-44D8-BBD7-CCE9431645EC}">
                        <a14:shadowObscured xmlns:a14="http://schemas.microsoft.com/office/drawing/2010/main"/>
                      </a:ext>
                    </a:extLst>
                  </pic:spPr>
                </pic:pic>
              </a:graphicData>
            </a:graphic>
          </wp:inline>
        </w:drawing>
      </w:r>
    </w:p>
    <w:p w14:paraId="405D2208" w14:textId="56974EE3" w:rsidR="006141D9" w:rsidRPr="0006710D" w:rsidRDefault="0006710D" w:rsidP="00AA6DAD">
      <w:pPr>
        <w:pStyle w:val="Source"/>
      </w:pPr>
      <w:r w:rsidRPr="0006710D">
        <w:t>Source: Deloitte Access Economics (2023)</w:t>
      </w:r>
      <w:r w:rsidR="00405151">
        <w:t>.</w:t>
      </w:r>
    </w:p>
    <w:p w14:paraId="11BED916" w14:textId="3B4D316F" w:rsidR="00E84104" w:rsidRPr="00160E6F" w:rsidRDefault="006141D9" w:rsidP="00160E6F">
      <w:r w:rsidRPr="006141D9">
        <w:t xml:space="preserve">It is important to note that </w:t>
      </w:r>
      <w:r>
        <w:t xml:space="preserve">while the Department adopts </w:t>
      </w:r>
      <w:r w:rsidRPr="006141D9">
        <w:t xml:space="preserve">a </w:t>
      </w:r>
      <w:r>
        <w:t>responsive</w:t>
      </w:r>
      <w:r w:rsidRPr="006141D9">
        <w:t xml:space="preserve"> approach to supporting services </w:t>
      </w:r>
      <w:r w:rsidR="00160E6F">
        <w:t xml:space="preserve">to </w:t>
      </w:r>
      <w:r w:rsidRPr="006141D9">
        <w:t>meet grant and legislative obligations</w:t>
      </w:r>
      <w:r>
        <w:t xml:space="preserve">, Departmental staff indicate that </w:t>
      </w:r>
      <w:r w:rsidR="00EC02FE">
        <w:t>they</w:t>
      </w:r>
      <w:r w:rsidR="00C8369A">
        <w:t xml:space="preserve"> </w:t>
      </w:r>
      <w:r w:rsidR="00204FD5">
        <w:t>adopt firmer, more punitive interventions in</w:t>
      </w:r>
      <w:r w:rsidR="00C8369A">
        <w:t xml:space="preserve"> areas of significant concern, such as </w:t>
      </w:r>
      <w:r w:rsidR="00455ECA">
        <w:t>serious reportable incidents or identified</w:t>
      </w:r>
      <w:r w:rsidR="00C8369A">
        <w:t xml:space="preserve"> risks of to the health</w:t>
      </w:r>
      <w:r>
        <w:t xml:space="preserve"> and </w:t>
      </w:r>
      <w:r w:rsidR="00C8369A">
        <w:t>safety of children</w:t>
      </w:r>
      <w:r w:rsidR="00204FD5">
        <w:t>.</w:t>
      </w:r>
      <w:r w:rsidR="00C8369A">
        <w:t xml:space="preserve"> </w:t>
      </w:r>
    </w:p>
    <w:p w14:paraId="642302B8" w14:textId="09A2C41D" w:rsidR="007E0FCC" w:rsidRPr="003549F9" w:rsidRDefault="004B13A6" w:rsidP="008C65C7">
      <w:pPr>
        <w:pStyle w:val="Heading2"/>
        <w:spacing w:after="240"/>
      </w:pPr>
      <w:bookmarkStart w:id="335" w:name="_Toc158993770"/>
      <w:bookmarkStart w:id="336" w:name="_Toc170227417"/>
      <w:r>
        <w:t xml:space="preserve">Expected barriers to meeting </w:t>
      </w:r>
      <w:r w:rsidR="00786BD3">
        <w:t xml:space="preserve">the </w:t>
      </w:r>
      <w:r w:rsidR="00D1496F">
        <w:t xml:space="preserve">National Quality Framework </w:t>
      </w:r>
      <w:r w:rsidR="00786BD3">
        <w:t xml:space="preserve">and </w:t>
      </w:r>
      <w:r w:rsidR="00D1496F">
        <w:t xml:space="preserve">Family Assistance Law </w:t>
      </w:r>
      <w:r>
        <w:t>obligations</w:t>
      </w:r>
      <w:bookmarkEnd w:id="335"/>
      <w:bookmarkEnd w:id="336"/>
    </w:p>
    <w:tbl>
      <w:tblPr>
        <w:tblStyle w:val="TableGrid"/>
        <w:tblW w:w="0" w:type="auto"/>
        <w:shd w:val="clear" w:color="auto" w:fill="DFF0F9" w:themeFill="accent3" w:themeFillTint="33"/>
        <w:tblCellMar>
          <w:top w:w="113" w:type="dxa"/>
          <w:left w:w="113" w:type="dxa"/>
          <w:bottom w:w="113" w:type="dxa"/>
          <w:right w:w="113" w:type="dxa"/>
        </w:tblCellMar>
        <w:tblLook w:val="04A0" w:firstRow="1" w:lastRow="0" w:firstColumn="1" w:lastColumn="0" w:noHBand="0" w:noVBand="1"/>
      </w:tblPr>
      <w:tblGrid>
        <w:gridCol w:w="8966"/>
      </w:tblGrid>
      <w:tr w:rsidR="00AF49F2" w:rsidRPr="00BD1248" w14:paraId="0049750E" w14:textId="77777777" w:rsidTr="00631241">
        <w:trPr>
          <w:cnfStyle w:val="100000000000" w:firstRow="1" w:lastRow="0" w:firstColumn="0" w:lastColumn="0" w:oddVBand="0" w:evenVBand="0" w:oddHBand="0" w:evenHBand="0" w:firstRowFirstColumn="0" w:firstRowLastColumn="0" w:lastRowFirstColumn="0" w:lastRowLastColumn="0"/>
          <w:cantSplit/>
        </w:trPr>
        <w:tc>
          <w:tcPr>
            <w:tcW w:w="8966" w:type="dxa"/>
            <w:shd w:val="clear" w:color="auto" w:fill="DFF0F9" w:themeFill="accent3" w:themeFillTint="33"/>
          </w:tcPr>
          <w:p w14:paraId="43876D52" w14:textId="3338D56F" w:rsidR="00CB0DC0" w:rsidRDefault="00CB0DC0">
            <w:pPr>
              <w:spacing w:after="120"/>
              <w:rPr>
                <w:b/>
                <w:bCs/>
                <w:i/>
                <w:iCs/>
              </w:rPr>
            </w:pPr>
            <w:r w:rsidRPr="00B95090">
              <w:rPr>
                <w:b/>
                <w:bCs/>
                <w:i/>
                <w:iCs/>
              </w:rPr>
              <w:t>Key research questio</w:t>
            </w:r>
            <w:r>
              <w:rPr>
                <w:b/>
                <w:bCs/>
                <w:i/>
                <w:iCs/>
              </w:rPr>
              <w:t>n</w:t>
            </w:r>
          </w:p>
          <w:p w14:paraId="3D79AF5E" w14:textId="66037504" w:rsidR="00CB0DC0" w:rsidRPr="0001253E" w:rsidRDefault="00CB0DC0">
            <w:pPr>
              <w:rPr>
                <w:i/>
                <w:iCs/>
              </w:rPr>
            </w:pPr>
            <w:r>
              <w:rPr>
                <w:i/>
                <w:iCs/>
              </w:rPr>
              <w:t>What</w:t>
            </w:r>
            <w:r w:rsidRPr="009461E4">
              <w:rPr>
                <w:i/>
                <w:iCs/>
              </w:rPr>
              <w:t xml:space="preserve"> </w:t>
            </w:r>
            <w:r w:rsidRPr="00CB0DC0">
              <w:rPr>
                <w:i/>
                <w:iCs/>
              </w:rPr>
              <w:t>are the expected barriers, if any, for CCCFR services to enable regulatory compliance with the National Quality Framework (NQF) and to administer the CCS under the Family Assistance Law (FAL)?</w:t>
            </w:r>
          </w:p>
        </w:tc>
      </w:tr>
    </w:tbl>
    <w:p w14:paraId="3BA8826C" w14:textId="0FFACDF8" w:rsidR="002A7E10" w:rsidRDefault="00A20EFE" w:rsidP="002A7E10">
      <w:r>
        <w:br/>
      </w:r>
      <w:r w:rsidR="002A7E10" w:rsidRPr="008E4A07">
        <w:t xml:space="preserve">As described in initial grant </w:t>
      </w:r>
      <w:r w:rsidR="002A7E10">
        <w:t>documentation</w:t>
      </w:r>
      <w:r w:rsidR="002A7E10" w:rsidRPr="008E4A07">
        <w:t xml:space="preserve"> </w:t>
      </w:r>
      <w:r w:rsidR="002A7E10">
        <w:t>from 2017</w:t>
      </w:r>
      <w:r w:rsidR="002A7E10" w:rsidRPr="008E4A07">
        <w:t xml:space="preserve">, the </w:t>
      </w:r>
      <w:r w:rsidR="002A7E10">
        <w:t xml:space="preserve">CCCFR grant was originally intended to support child care services to transition to the new child care system. Specifically, this meant achieving financial sustainability though revenue collected through </w:t>
      </w:r>
      <w:r w:rsidR="0000114D">
        <w:t xml:space="preserve">the </w:t>
      </w:r>
      <w:r w:rsidR="002A7E10">
        <w:t>CCS rather than remaining reliant on grant funding, as well as increasing services’ capacity and capability to be regulated under the NQF.</w:t>
      </w:r>
    </w:p>
    <w:p w14:paraId="4AA04180" w14:textId="00727B50" w:rsidR="002A7E10" w:rsidRDefault="002A7E10" w:rsidP="002A7E10">
      <w:r>
        <w:lastRenderedPageBreak/>
        <w:t>However, while this original intent sought for services to transition towards CCS-driven financial sustainability and regulation under the NQF, many CCCFR grant recipients are assumed to face barriers to meeting provider and service obligations under the FAL</w:t>
      </w:r>
      <w:r w:rsidR="001763C5">
        <w:t xml:space="preserve"> </w:t>
      </w:r>
      <w:r>
        <w:t>and the NQF.</w:t>
      </w:r>
    </w:p>
    <w:p w14:paraId="00FDA44B" w14:textId="07D001C5" w:rsidR="002A7E10" w:rsidRDefault="002A7E10" w:rsidP="002A7E10">
      <w:r>
        <w:t>Through interviews with service staff and providers, analysis of service documentation, review of broader literature and consultation with wider stakeholders, several key barriers have been identified which are expected to impact CCCFR services’ ability to meet obligations under the NQF and the FAL.</w:t>
      </w:r>
    </w:p>
    <w:p w14:paraId="6C0CA8CD" w14:textId="02D56C43" w:rsidR="00B265AD" w:rsidRDefault="003C389F" w:rsidP="002A7E10">
      <w:r>
        <w:t>Important to note</w:t>
      </w:r>
      <w:r w:rsidR="00417F82">
        <w:t>,</w:t>
      </w:r>
      <w:r w:rsidR="00B265AD">
        <w:t xml:space="preserve"> barriers articulated in this chapter are in addition to broader legislative limitations for many CCCFR services with being ‘out of scope’ (excluded from the definition of education and care service) as discussed in </w:t>
      </w:r>
      <w:r w:rsidR="00B265AD" w:rsidRPr="00810018">
        <w:t xml:space="preserve">section </w:t>
      </w:r>
      <w:r w:rsidR="00530AEF" w:rsidRPr="00810018">
        <w:fldChar w:fldCharType="begin"/>
      </w:r>
      <w:r w:rsidR="00530AEF" w:rsidRPr="00810018">
        <w:instrText xml:space="preserve"> REF _Ref166771701 \r \h </w:instrText>
      </w:r>
      <w:r w:rsidR="00810018">
        <w:instrText xml:space="preserve"> \* MERGEFORMAT </w:instrText>
      </w:r>
      <w:r w:rsidR="00530AEF" w:rsidRPr="00810018">
        <w:fldChar w:fldCharType="separate"/>
      </w:r>
      <w:r w:rsidR="00D300D0">
        <w:t>2.3.3.3</w:t>
      </w:r>
      <w:r w:rsidR="00530AEF" w:rsidRPr="00810018">
        <w:fldChar w:fldCharType="end"/>
      </w:r>
      <w:r w:rsidR="00530AEF">
        <w:t xml:space="preserve"> </w:t>
      </w:r>
      <w:r w:rsidR="00B265AD">
        <w:t xml:space="preserve">of this report. </w:t>
      </w:r>
    </w:p>
    <w:p w14:paraId="2D7651DD" w14:textId="2E3BA2AD" w:rsidR="003C389F" w:rsidRPr="00732AAF" w:rsidRDefault="00B265AD" w:rsidP="002A7E10">
      <w:r>
        <w:t>B</w:t>
      </w:r>
      <w:r w:rsidR="00417F82">
        <w:t xml:space="preserve">arriers to NQF compliance noted across this review </w:t>
      </w:r>
      <w:r w:rsidR="00B52C56">
        <w:t xml:space="preserve">are reflective of both </w:t>
      </w:r>
      <w:r w:rsidR="00A30072" w:rsidRPr="00303EB5">
        <w:rPr>
          <w:b/>
          <w:bCs/>
        </w:rPr>
        <w:t xml:space="preserve">service-specific </w:t>
      </w:r>
      <w:r w:rsidR="00BD5AB4" w:rsidRPr="00303EB5">
        <w:rPr>
          <w:b/>
          <w:bCs/>
        </w:rPr>
        <w:t>compliance issues</w:t>
      </w:r>
      <w:r w:rsidR="00BD5AB4">
        <w:t xml:space="preserve">, as well as </w:t>
      </w:r>
      <w:r w:rsidR="00BD5AB4" w:rsidRPr="00303EB5">
        <w:rPr>
          <w:b/>
          <w:bCs/>
        </w:rPr>
        <w:t xml:space="preserve">broader </w:t>
      </w:r>
      <w:r w:rsidR="00BD2804" w:rsidRPr="00303EB5">
        <w:rPr>
          <w:b/>
          <w:bCs/>
        </w:rPr>
        <w:t>systemic challenges</w:t>
      </w:r>
      <w:r w:rsidR="00BD2804">
        <w:t xml:space="preserve"> impacting CCCFR services’ </w:t>
      </w:r>
      <w:r w:rsidR="00A20EFE">
        <w:t>capacity</w:t>
      </w:r>
      <w:r w:rsidR="00BD2804">
        <w:t xml:space="preserve"> to meet legislative and regulatory obligations. </w:t>
      </w:r>
      <w:r w:rsidR="00303EB5">
        <w:t xml:space="preserve">This distinction has been outlined </w:t>
      </w:r>
      <w:r w:rsidR="001410D5">
        <w:rPr>
          <w:rFonts w:eastAsia="Verdana" w:cs="Times New Roman"/>
        </w:rPr>
        <w:t xml:space="preserve">within the analysis </w:t>
      </w:r>
      <w:r w:rsidR="00303EB5" w:rsidRPr="002E1654">
        <w:rPr>
          <w:rFonts w:eastAsia="Verdana" w:cs="Times New Roman"/>
        </w:rPr>
        <w:t>below.</w:t>
      </w:r>
    </w:p>
    <w:p w14:paraId="1D948E17" w14:textId="5C989421" w:rsidR="002A7E10" w:rsidRDefault="00BD2804" w:rsidP="00171325">
      <w:pPr>
        <w:pStyle w:val="Heading31"/>
        <w:numPr>
          <w:ilvl w:val="2"/>
          <w:numId w:val="1"/>
        </w:numPr>
        <w:spacing w:after="170"/>
        <w:ind w:left="0" w:firstLine="0"/>
      </w:pPr>
      <w:r>
        <w:t>Service-specific</w:t>
      </w:r>
      <w:r w:rsidR="002A7E10" w:rsidRPr="005C7F19">
        <w:t xml:space="preserve"> barriers to </w:t>
      </w:r>
      <w:r w:rsidR="002A7E10">
        <w:t>meeting provider obligations under the Family Assistance Law</w:t>
      </w:r>
    </w:p>
    <w:tbl>
      <w:tblPr>
        <w:tblStyle w:val="TableGrid"/>
        <w:tblW w:w="0" w:type="auto"/>
        <w:tblCellMar>
          <w:top w:w="113" w:type="dxa"/>
          <w:left w:w="113" w:type="dxa"/>
          <w:bottom w:w="113" w:type="dxa"/>
          <w:right w:w="113" w:type="dxa"/>
        </w:tblCellMar>
        <w:tblLook w:val="04A0" w:firstRow="1" w:lastRow="0" w:firstColumn="1" w:lastColumn="0" w:noHBand="0" w:noVBand="1"/>
      </w:tblPr>
      <w:tblGrid>
        <w:gridCol w:w="9026"/>
      </w:tblGrid>
      <w:tr w:rsidR="00F56937" w14:paraId="52A33135" w14:textId="77777777" w:rsidTr="00556184">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cPr>
          <w:p w14:paraId="6DB0F2A4" w14:textId="36320179" w:rsidR="00F56937" w:rsidRPr="009E424E" w:rsidRDefault="00F56937" w:rsidP="00F56937">
            <w:pPr>
              <w:spacing w:after="120"/>
              <w:rPr>
                <w:b/>
                <w:bCs/>
              </w:rPr>
            </w:pPr>
            <w:r w:rsidRPr="009E424E">
              <w:rPr>
                <w:b/>
                <w:bCs/>
              </w:rPr>
              <w:t xml:space="preserve">Review finding </w:t>
            </w:r>
            <w:r w:rsidR="008304BA">
              <w:rPr>
                <w:b/>
                <w:bCs/>
              </w:rPr>
              <w:t>2</w:t>
            </w:r>
            <w:r w:rsidR="006B1438">
              <w:rPr>
                <w:b/>
                <w:bCs/>
              </w:rPr>
              <w:t>7</w:t>
            </w:r>
          </w:p>
          <w:p w14:paraId="77F6D054" w14:textId="13E0A0E1" w:rsidR="00F56937" w:rsidRDefault="003B2406" w:rsidP="00E54CB1">
            <w:r w:rsidRPr="003B2406">
              <w:t>CCCFR services have highlighted challenges in meeting provider obligations under the Family Assistance Law (FAL), in particular around approved provider and person with management or control (PMC) obligations, collecting gap fees, exceeding allowable absences and broader challenges around collecting CCS information from families.</w:t>
            </w:r>
          </w:p>
        </w:tc>
      </w:tr>
    </w:tbl>
    <w:p w14:paraId="2DB1CBD5" w14:textId="3845398E" w:rsidR="00A20EFE" w:rsidRPr="002E1654" w:rsidRDefault="00A20EFE" w:rsidP="00A20EFE">
      <w:pPr>
        <w:spacing w:before="170"/>
        <w:rPr>
          <w:b/>
        </w:rPr>
      </w:pPr>
      <w:r w:rsidRPr="00C81B54">
        <w:rPr>
          <w:b/>
          <w:bCs/>
        </w:rPr>
        <w:t xml:space="preserve">Supporting evidence for this finding is drawn from consultations and </w:t>
      </w:r>
      <w:r>
        <w:rPr>
          <w:b/>
          <w:bCs/>
        </w:rPr>
        <w:t>document analysis</w:t>
      </w:r>
      <w:r w:rsidRPr="00C81B54">
        <w:rPr>
          <w:b/>
          <w:bCs/>
        </w:rPr>
        <w:t>.</w:t>
      </w:r>
    </w:p>
    <w:p w14:paraId="671BCEB6" w14:textId="420A75E0" w:rsidR="002A7E10" w:rsidRDefault="002A7E10" w:rsidP="00D64F01">
      <w:r>
        <w:t>To administer the CCS</w:t>
      </w:r>
      <w:r w:rsidR="006378A8">
        <w:t xml:space="preserve"> </w:t>
      </w:r>
      <w:r>
        <w:t>on behalf of families, child care services are required to meet certain obligations under the FAL. These include:</w:t>
      </w:r>
    </w:p>
    <w:p w14:paraId="30D616F7" w14:textId="5A57235E" w:rsidR="002A7E10" w:rsidRDefault="002A7E10" w:rsidP="00D64F01">
      <w:pPr>
        <w:pStyle w:val="ListBullet"/>
      </w:pPr>
      <w:r w:rsidRPr="00332E82">
        <w:rPr>
          <w:b/>
          <w:bCs/>
        </w:rPr>
        <w:t xml:space="preserve">meeting </w:t>
      </w:r>
      <w:r w:rsidR="00842203">
        <w:rPr>
          <w:b/>
          <w:bCs/>
        </w:rPr>
        <w:t>requirements to</w:t>
      </w:r>
      <w:r w:rsidRPr="00332E82">
        <w:rPr>
          <w:b/>
          <w:bCs/>
        </w:rPr>
        <w:t xml:space="preserve"> </w:t>
      </w:r>
      <w:r w:rsidR="00C57398">
        <w:rPr>
          <w:b/>
          <w:bCs/>
        </w:rPr>
        <w:t xml:space="preserve">receive </w:t>
      </w:r>
      <w:r w:rsidR="00A20EFE">
        <w:rPr>
          <w:b/>
          <w:bCs/>
        </w:rPr>
        <w:t>p</w:t>
      </w:r>
      <w:r w:rsidR="00A20EFE" w:rsidRPr="00332E82">
        <w:rPr>
          <w:b/>
          <w:bCs/>
        </w:rPr>
        <w:t>rovider</w:t>
      </w:r>
      <w:r w:rsidRPr="00332E82">
        <w:rPr>
          <w:b/>
          <w:bCs/>
        </w:rPr>
        <w:t xml:space="preserve"> approval</w:t>
      </w:r>
      <w:r>
        <w:t>, including being deemed as fit and proper to handle CCS funding,</w:t>
      </w:r>
      <w:r w:rsidRPr="002E1654">
        <w:rPr>
          <w:rFonts w:eastAsia="Verdana" w:cs="Times New Roman"/>
          <w:vertAlign w:val="superscript"/>
        </w:rPr>
        <w:footnoteReference w:id="171"/>
      </w:r>
      <w:r>
        <w:t xml:space="preserve"> ensuring that staff have mandatory background checks and Working with Children Checks (WWCC)</w:t>
      </w:r>
    </w:p>
    <w:p w14:paraId="203BC0AC" w14:textId="2658DAC2" w:rsidR="002A7E10" w:rsidRDefault="002A7E10" w:rsidP="00D64F01">
      <w:pPr>
        <w:pStyle w:val="ListBullet"/>
      </w:pPr>
      <w:r w:rsidRPr="00343452">
        <w:rPr>
          <w:b/>
          <w:bCs/>
        </w:rPr>
        <w:t>ongoing reporting and financial management obligations</w:t>
      </w:r>
      <w:r>
        <w:t xml:space="preserve">, including inputting child-level enrolment and attendance data into CCSS, seeking relevant information from families (such as a Tax File Number), notifying the Department when </w:t>
      </w:r>
      <w:r w:rsidR="00470AEB">
        <w:t xml:space="preserve">there is a </w:t>
      </w:r>
      <w:r>
        <w:t>chan</w:t>
      </w:r>
      <w:r w:rsidR="00D64F01">
        <w:t>g</w:t>
      </w:r>
      <w:r>
        <w:t>e of circumstances, ensuring families make a co-contribution to their child care fees,</w:t>
      </w:r>
      <w:r w:rsidRPr="002E1654">
        <w:rPr>
          <w:rFonts w:eastAsia="Verdana" w:cs="Times New Roman"/>
          <w:vertAlign w:val="superscript"/>
        </w:rPr>
        <w:footnoteReference w:id="172"/>
      </w:r>
      <w:r>
        <w:t xml:space="preserve"> and ensuring gap fees are paid electronically</w:t>
      </w:r>
      <w:r w:rsidR="006378A8">
        <w:t>.</w:t>
      </w:r>
      <w:r w:rsidRPr="002E1654">
        <w:rPr>
          <w:rFonts w:eastAsia="Verdana" w:cs="Times New Roman"/>
          <w:vertAlign w:val="superscript"/>
        </w:rPr>
        <w:footnoteReference w:id="173"/>
      </w:r>
    </w:p>
    <w:p w14:paraId="58AC0560" w14:textId="77777777" w:rsidR="00D64F01" w:rsidRDefault="00D64F01" w:rsidP="00B14B49">
      <w:pPr>
        <w:pStyle w:val="ListBullet"/>
        <w:numPr>
          <w:ilvl w:val="0"/>
          <w:numId w:val="0"/>
        </w:numPr>
        <w:ind w:left="357"/>
      </w:pPr>
    </w:p>
    <w:p w14:paraId="2F5B5024" w14:textId="77777777" w:rsidR="002A7E10" w:rsidRDefault="002A7E10" w:rsidP="00D64F01">
      <w:r>
        <w:t>Through consultation with services, government agencies, peak bodies and broader stakeholders, the following list of barriers to FAL compliance were identified as commonly experienced by CCCFR services.</w:t>
      </w:r>
    </w:p>
    <w:p w14:paraId="56D3F0B8" w14:textId="03545E43" w:rsidR="001410D5" w:rsidRDefault="001410D5" w:rsidP="004102A2">
      <w:pPr>
        <w:pStyle w:val="Heading4un-numbered"/>
        <w:rPr>
          <w:rFonts w:eastAsia="Verdana"/>
        </w:rPr>
      </w:pPr>
      <w:r w:rsidRPr="002E1654">
        <w:rPr>
          <w:rFonts w:eastAsia="Verdana"/>
        </w:rPr>
        <w:t xml:space="preserve">Suitability of person with management </w:t>
      </w:r>
      <w:r w:rsidR="00D92D00">
        <w:rPr>
          <w:rFonts w:eastAsia="Verdana"/>
        </w:rPr>
        <w:t>or</w:t>
      </w:r>
      <w:r w:rsidRPr="002E1654">
        <w:rPr>
          <w:rFonts w:eastAsia="Verdana"/>
        </w:rPr>
        <w:t xml:space="preserve"> control (PMC)</w:t>
      </w:r>
    </w:p>
    <w:p w14:paraId="1BC6A2D4" w14:textId="56B0D25B" w:rsidR="001410D5" w:rsidRDefault="001410D5" w:rsidP="001410D5">
      <w:r>
        <w:t>I</w:t>
      </w:r>
      <w:r w:rsidRPr="00BE3629">
        <w:t>ndividual</w:t>
      </w:r>
      <w:r>
        <w:t>s</w:t>
      </w:r>
      <w:r w:rsidRPr="00BE3629">
        <w:t xml:space="preserve"> or entit</w:t>
      </w:r>
      <w:r>
        <w:t>ies perceived to have</w:t>
      </w:r>
      <w:r w:rsidRPr="00BE3629">
        <w:t xml:space="preserve"> legal </w:t>
      </w:r>
      <w:r>
        <w:t xml:space="preserve">or organisational </w:t>
      </w:r>
      <w:r w:rsidRPr="00BE3629">
        <w:t xml:space="preserve">responsibility and </w:t>
      </w:r>
      <w:r>
        <w:t>authority over decisions guiding the child care provider are automatically deemed p</w:t>
      </w:r>
      <w:r w:rsidRPr="00BE3629">
        <w:t>ersons</w:t>
      </w:r>
      <w:r>
        <w:t xml:space="preserve"> with management or control (PMC) under the FAL.</w:t>
      </w:r>
      <w:r>
        <w:rPr>
          <w:rStyle w:val="FootnoteReference"/>
        </w:rPr>
        <w:footnoteReference w:id="174"/>
      </w:r>
      <w:r>
        <w:t xml:space="preserve"> Recognising the wide brea</w:t>
      </w:r>
      <w:r w:rsidR="00D92D00">
        <w:t>d</w:t>
      </w:r>
      <w:r>
        <w:t xml:space="preserve">th of management structures within </w:t>
      </w:r>
      <w:r>
        <w:lastRenderedPageBreak/>
        <w:t xml:space="preserve">the ECEC sector, PMCs can encompass a wide range of individuals, including board members, service directors, or </w:t>
      </w:r>
      <w:r w:rsidRPr="003225DA">
        <w:t xml:space="preserve">partners or members of </w:t>
      </w:r>
      <w:r>
        <w:t>an</w:t>
      </w:r>
      <w:r w:rsidRPr="003225DA">
        <w:t xml:space="preserve"> organisation's governing body</w:t>
      </w:r>
      <w:r>
        <w:t>.</w:t>
      </w:r>
      <w:r>
        <w:rPr>
          <w:rStyle w:val="FootnoteReference"/>
        </w:rPr>
        <w:footnoteReference w:id="175"/>
      </w:r>
      <w:r>
        <w:t xml:space="preserve"> </w:t>
      </w:r>
    </w:p>
    <w:p w14:paraId="2E616CA5" w14:textId="7411CA81" w:rsidR="001410D5" w:rsidRDefault="001410D5" w:rsidP="001410D5">
      <w:r>
        <w:t>For Indigenous corporations, the Department notes that this may include “people on the board who are directors or executives” and “senior managers who have the authority to make executive decisions in relation to the child care service”, such as “chief executive officers, chief financial officers, chief counsel/legal officers, regional managers and managing directors”.</w:t>
      </w:r>
      <w:r>
        <w:rPr>
          <w:rStyle w:val="FootnoteReference"/>
        </w:rPr>
        <w:footnoteReference w:id="176"/>
      </w:r>
    </w:p>
    <w:p w14:paraId="6A91B04F" w14:textId="09FD3E89" w:rsidR="001410D5" w:rsidRDefault="001410D5" w:rsidP="001410D5">
      <w:r>
        <w:t xml:space="preserve">Approved providers under the FAL are responsible for ensuring all PMCs are identified in the CCSS, including ensuring that all PMCs: </w:t>
      </w:r>
    </w:p>
    <w:p w14:paraId="7225B3A4" w14:textId="77777777" w:rsidR="001410D5" w:rsidRPr="00FD5A85" w:rsidRDefault="001410D5" w:rsidP="00FD5A85">
      <w:pPr>
        <w:pStyle w:val="ListBullet"/>
        <w:rPr>
          <w:i/>
          <w:iCs/>
        </w:rPr>
      </w:pPr>
      <w:r w:rsidRPr="2B91AEFB">
        <w:rPr>
          <w:i/>
          <w:iCs/>
        </w:rPr>
        <w:t>“have an individual PRODA account</w:t>
      </w:r>
    </w:p>
    <w:p w14:paraId="2B699ED4" w14:textId="77777777" w:rsidR="001410D5" w:rsidRPr="00FD5A85" w:rsidRDefault="001410D5" w:rsidP="00FD5A85">
      <w:pPr>
        <w:pStyle w:val="ListBullet"/>
        <w:rPr>
          <w:i/>
          <w:iCs/>
        </w:rPr>
      </w:pPr>
      <w:r w:rsidRPr="2B91AEFB">
        <w:rPr>
          <w:i/>
          <w:iCs/>
        </w:rPr>
        <w:t>be linked to the provider in CCSS</w:t>
      </w:r>
    </w:p>
    <w:p w14:paraId="0DFEF56C" w14:textId="77777777" w:rsidR="001410D5" w:rsidRPr="00FD5A85" w:rsidRDefault="001410D5" w:rsidP="00FD5A85">
      <w:pPr>
        <w:pStyle w:val="ListBullet"/>
        <w:rPr>
          <w:i/>
          <w:iCs/>
        </w:rPr>
      </w:pPr>
      <w:r w:rsidRPr="2B91AEFB">
        <w:rPr>
          <w:i/>
          <w:iCs/>
        </w:rPr>
        <w:t>keep their information up to date and correct in CCSS</w:t>
      </w:r>
    </w:p>
    <w:p w14:paraId="0919F1E0" w14:textId="77261A59" w:rsidR="001410D5" w:rsidRPr="00FD5A85" w:rsidRDefault="001410D5" w:rsidP="00FD5A85">
      <w:pPr>
        <w:pStyle w:val="ListBullet"/>
        <w:rPr>
          <w:i/>
          <w:iCs/>
        </w:rPr>
      </w:pPr>
      <w:r w:rsidRPr="2B91AEFB">
        <w:rPr>
          <w:i/>
          <w:iCs/>
        </w:rPr>
        <w:t xml:space="preserve">notify the </w:t>
      </w:r>
      <w:r w:rsidR="00A219E2" w:rsidRPr="2B91AEFB">
        <w:rPr>
          <w:i/>
          <w:iCs/>
        </w:rPr>
        <w:t>D</w:t>
      </w:r>
      <w:r w:rsidRPr="2B91AEFB">
        <w:rPr>
          <w:i/>
          <w:iCs/>
        </w:rPr>
        <w:t>epartment when they join or leave an approved provider or service</w:t>
      </w:r>
    </w:p>
    <w:p w14:paraId="4360D659" w14:textId="77777777" w:rsidR="001410D5" w:rsidRPr="00FD5A85" w:rsidRDefault="001410D5" w:rsidP="00FD5A85">
      <w:pPr>
        <w:pStyle w:val="ListBullet"/>
        <w:rPr>
          <w:i/>
          <w:iCs/>
        </w:rPr>
      </w:pPr>
      <w:r w:rsidRPr="2B91AEFB">
        <w:rPr>
          <w:i/>
          <w:iCs/>
        </w:rPr>
        <w:t>be considered fit and proper by us</w:t>
      </w:r>
    </w:p>
    <w:p w14:paraId="750BE21B" w14:textId="77777777" w:rsidR="001410D5" w:rsidRPr="00FD5A85" w:rsidRDefault="001410D5" w:rsidP="00FD5A85">
      <w:pPr>
        <w:pStyle w:val="ListBullet"/>
        <w:rPr>
          <w:i/>
          <w:iCs/>
        </w:rPr>
      </w:pPr>
      <w:r w:rsidRPr="2B91AEFB">
        <w:rPr>
          <w:i/>
          <w:iCs/>
        </w:rPr>
        <w:t>have all necessary background checks</w:t>
      </w:r>
    </w:p>
    <w:p w14:paraId="63EE147A" w14:textId="7161F834" w:rsidR="001410D5" w:rsidRPr="00FD5A85" w:rsidRDefault="001410D5" w:rsidP="00FD5A85">
      <w:pPr>
        <w:pStyle w:val="ListBullet"/>
        <w:rPr>
          <w:i/>
          <w:iCs/>
        </w:rPr>
      </w:pPr>
      <w:r w:rsidRPr="2B91AEFB">
        <w:rPr>
          <w:i/>
          <w:iCs/>
        </w:rPr>
        <w:t xml:space="preserve">provide evidence of background checks to the </w:t>
      </w:r>
      <w:r w:rsidR="00A219E2" w:rsidRPr="2B91AEFB">
        <w:rPr>
          <w:i/>
          <w:iCs/>
        </w:rPr>
        <w:t>D</w:t>
      </w:r>
      <w:r w:rsidRPr="2B91AEFB">
        <w:rPr>
          <w:i/>
          <w:iCs/>
        </w:rPr>
        <w:t>epartment when asked.”</w:t>
      </w:r>
      <w:r w:rsidRPr="2B91AEFB">
        <w:rPr>
          <w:rStyle w:val="FootnoteReference"/>
          <w:i/>
          <w:iCs/>
        </w:rPr>
        <w:footnoteReference w:id="177"/>
      </w:r>
    </w:p>
    <w:p w14:paraId="12ACC255" w14:textId="77777777" w:rsidR="00E54CB1" w:rsidRPr="00FD5A85" w:rsidRDefault="00E54CB1" w:rsidP="00B14B49">
      <w:pPr>
        <w:pStyle w:val="ListBullet"/>
        <w:numPr>
          <w:ilvl w:val="0"/>
          <w:numId w:val="0"/>
        </w:numPr>
        <w:ind w:left="357"/>
        <w:rPr>
          <w:i/>
          <w:iCs/>
        </w:rPr>
      </w:pPr>
    </w:p>
    <w:p w14:paraId="3F947119" w14:textId="4E6985DF" w:rsidR="001410D5" w:rsidRDefault="001410D5" w:rsidP="00FD5A85">
      <w:r>
        <w:t>Consultation with Departmental and broader stakeholders, including state and territory governments and regulatory authorities, point to challenges in relation to adequate identification and collection of evidence in relation to PMCs by CCCFR services.</w:t>
      </w:r>
    </w:p>
    <w:p w14:paraId="3CC3B1AF" w14:textId="4141A284" w:rsidR="001410D5" w:rsidRDefault="001410D5" w:rsidP="00FD5A85">
      <w:r>
        <w:t>Specific issues identified through consultation include:</w:t>
      </w:r>
    </w:p>
    <w:p w14:paraId="3A846C1A" w14:textId="23A1B5C1" w:rsidR="001410D5" w:rsidRDefault="001410D5" w:rsidP="00FD5A85">
      <w:pPr>
        <w:pStyle w:val="ListBullet"/>
      </w:pPr>
      <w:r>
        <w:t>board members and individuals with oversight over the approved provider not being updated in CCS</w:t>
      </w:r>
      <w:r w:rsidR="003969B2">
        <w:t>S in a tim</w:t>
      </w:r>
      <w:r w:rsidR="007D5F4C">
        <w:t>ely manner</w:t>
      </w:r>
      <w:r>
        <w:t>, including updating CCSS when changes in PMCs occur</w:t>
      </w:r>
    </w:p>
    <w:p w14:paraId="05340002" w14:textId="77777777" w:rsidR="001410D5" w:rsidRDefault="001410D5" w:rsidP="00FD5A85">
      <w:pPr>
        <w:pStyle w:val="ListBullet"/>
      </w:pPr>
      <w:r>
        <w:t>hesitancy by providers to record when a PMC receives an adverse background check in a timely manner</w:t>
      </w:r>
    </w:p>
    <w:p w14:paraId="36F1090B" w14:textId="79122B60" w:rsidR="001410D5" w:rsidRDefault="001410D5" w:rsidP="00FD5A85">
      <w:pPr>
        <w:pStyle w:val="ListBullet"/>
      </w:pPr>
      <w:r>
        <w:t>broader reporting in relation to provider and/or service contact details, name, hours and changes in care arrangements and operations in a timely manner.</w:t>
      </w:r>
    </w:p>
    <w:p w14:paraId="34D9CE2C" w14:textId="77777777" w:rsidR="00FD5A85" w:rsidRDefault="00FD5A85" w:rsidP="00B14B49">
      <w:pPr>
        <w:pStyle w:val="ListBullet"/>
        <w:numPr>
          <w:ilvl w:val="0"/>
          <w:numId w:val="0"/>
        </w:numPr>
        <w:ind w:left="357"/>
      </w:pPr>
    </w:p>
    <w:p w14:paraId="57F4CD4D" w14:textId="3F0826E8" w:rsidR="001410D5" w:rsidRDefault="001410D5" w:rsidP="007D5F4C">
      <w:pPr>
        <w:pStyle w:val="Heading4un-numbered"/>
      </w:pPr>
      <w:r>
        <w:t>Taking all reasonable steps to collect gap fees</w:t>
      </w:r>
    </w:p>
    <w:p w14:paraId="6574E8CC" w14:textId="5354D16E" w:rsidR="001410D5" w:rsidRDefault="001410D5" w:rsidP="001410D5">
      <w:r>
        <w:t>To receive the CCS, families are expected to provide a co-contribution payment towards the education and care in addition to revenue provided to the service through the CCS</w:t>
      </w:r>
      <w:r w:rsidR="00FA2EEE">
        <w:t>.</w:t>
      </w:r>
      <w:r>
        <w:rPr>
          <w:rStyle w:val="FootnoteReference"/>
        </w:rPr>
        <w:footnoteReference w:id="178"/>
      </w:r>
      <w:r>
        <w:t xml:space="preserve"> This co-contribution is often referred to as a “gap fee”.</w:t>
      </w:r>
    </w:p>
    <w:p w14:paraId="5113D48B" w14:textId="77F3439F" w:rsidR="001410D5" w:rsidRDefault="001410D5" w:rsidP="001410D5">
      <w:r>
        <w:t>As an approved provider under the FAL, services are required to “take all reasonable steps” to collect the gap fee payment from all families receiving CCS at the service</w:t>
      </w:r>
      <w:r w:rsidR="00C61BB9">
        <w:t>.</w:t>
      </w:r>
      <w:r>
        <w:rPr>
          <w:rStyle w:val="FootnoteReference"/>
        </w:rPr>
        <w:footnoteReference w:id="179"/>
      </w:r>
      <w:r>
        <w:t xml:space="preserve"> The Department provides guidance online around how services can ensure they are taking all reasonable steps, including:</w:t>
      </w:r>
    </w:p>
    <w:p w14:paraId="00CDAAB2" w14:textId="77777777" w:rsidR="001410D5" w:rsidRDefault="001410D5" w:rsidP="007D5F4C">
      <w:pPr>
        <w:pStyle w:val="ListBullet"/>
      </w:pPr>
      <w:r>
        <w:t>maintaining clear policies and procedures around fee payment</w:t>
      </w:r>
    </w:p>
    <w:p w14:paraId="6D1A2C1A" w14:textId="77777777" w:rsidR="001410D5" w:rsidRDefault="001410D5" w:rsidP="007D5F4C">
      <w:pPr>
        <w:pStyle w:val="ListBullet"/>
      </w:pPr>
      <w:r>
        <w:t>providing clear advice to families around fees and payment options</w:t>
      </w:r>
    </w:p>
    <w:p w14:paraId="201ADF8E" w14:textId="77777777" w:rsidR="001410D5" w:rsidRDefault="001410D5" w:rsidP="007D5F4C">
      <w:pPr>
        <w:pStyle w:val="ListBullet"/>
      </w:pPr>
      <w:r>
        <w:t>maintaining oversight over families’ payments, including monitoring gap fees on a regular basis.</w:t>
      </w:r>
      <w:r>
        <w:rPr>
          <w:rStyle w:val="FootnoteReference"/>
        </w:rPr>
        <w:footnoteReference w:id="180"/>
      </w:r>
    </w:p>
    <w:p w14:paraId="42C80A2C" w14:textId="77777777" w:rsidR="007D5F4C" w:rsidRDefault="007D5F4C" w:rsidP="00B14B49">
      <w:pPr>
        <w:pStyle w:val="ListBullet"/>
        <w:numPr>
          <w:ilvl w:val="0"/>
          <w:numId w:val="0"/>
        </w:numPr>
        <w:ind w:left="340"/>
      </w:pPr>
    </w:p>
    <w:p w14:paraId="41FEFE36" w14:textId="77777777" w:rsidR="001410D5" w:rsidRDefault="001410D5" w:rsidP="001410D5">
      <w:r>
        <w:lastRenderedPageBreak/>
        <w:t>In addition, the Department includes guidance on other safeguards that services may consider to</w:t>
      </w:r>
      <w:r w:rsidR="007D5F4C">
        <w:t xml:space="preserve"> </w:t>
      </w:r>
      <w:r>
        <w:t xml:space="preserve">ensure gap fees are collected, including: </w:t>
      </w:r>
    </w:p>
    <w:p w14:paraId="6E6B3D39" w14:textId="77777777" w:rsidR="001410D5" w:rsidRDefault="001410D5" w:rsidP="007D5F4C">
      <w:pPr>
        <w:pStyle w:val="ListBullet"/>
      </w:pPr>
      <w:r>
        <w:t>requiring families to pay bonds</w:t>
      </w:r>
    </w:p>
    <w:p w14:paraId="2318AB38" w14:textId="77777777" w:rsidR="001410D5" w:rsidRDefault="001410D5" w:rsidP="007D5F4C">
      <w:pPr>
        <w:pStyle w:val="ListBullet"/>
      </w:pPr>
      <w:r>
        <w:t>imposing late payment or direct debit default fees</w:t>
      </w:r>
    </w:p>
    <w:p w14:paraId="046D5266" w14:textId="77777777" w:rsidR="001410D5" w:rsidRDefault="001410D5" w:rsidP="007D5F4C">
      <w:pPr>
        <w:pStyle w:val="ListBullet"/>
      </w:pPr>
      <w:r>
        <w:t>following up debts with families in a timely manner</w:t>
      </w:r>
    </w:p>
    <w:p w14:paraId="70FEB85E" w14:textId="77777777" w:rsidR="001410D5" w:rsidRDefault="001410D5" w:rsidP="007D5F4C">
      <w:pPr>
        <w:pStyle w:val="ListBullet"/>
      </w:pPr>
      <w:r>
        <w:t>providing families with advice in writing about amounts overdue and consequences of non-payment</w:t>
      </w:r>
    </w:p>
    <w:p w14:paraId="76F3D985" w14:textId="77777777" w:rsidR="001410D5" w:rsidRDefault="001410D5" w:rsidP="007D5F4C">
      <w:pPr>
        <w:pStyle w:val="ListBullet"/>
      </w:pPr>
      <w:r>
        <w:t>implementing payment plans to help families manage a debt over time.</w:t>
      </w:r>
      <w:r>
        <w:rPr>
          <w:rStyle w:val="FootnoteReference"/>
        </w:rPr>
        <w:footnoteReference w:id="181"/>
      </w:r>
    </w:p>
    <w:p w14:paraId="313A94A9" w14:textId="77777777" w:rsidR="007D5F4C" w:rsidRDefault="007D5F4C" w:rsidP="00B14B49">
      <w:pPr>
        <w:pStyle w:val="ListBullet"/>
        <w:numPr>
          <w:ilvl w:val="0"/>
          <w:numId w:val="0"/>
        </w:numPr>
        <w:ind w:left="340"/>
      </w:pPr>
    </w:p>
    <w:p w14:paraId="03ECA866" w14:textId="77777777" w:rsidR="001410D5" w:rsidRDefault="001410D5" w:rsidP="001410D5">
      <w:r>
        <w:t xml:space="preserve">During consultations, many CCCFR services raised concerns around challenges in collecting gap fees from families. These concerns were largely in relation to fears of impacting the financial circumstances of families, particularly considering cost-of-living pressures and broader financial challenges in regional, remote and areas of socio-economic disadvantage. </w:t>
      </w:r>
    </w:p>
    <w:p w14:paraId="290505E2" w14:textId="25695E68" w:rsidR="001410D5" w:rsidRDefault="001410D5" w:rsidP="001410D5">
      <w:r>
        <w:t>When discussing child care accessibility, one peak organisation noted that the requirement for families to pay a gap fee would not only act as a barrier to ECEC, but would further exacerbate socio-economic inequity and was antagonistic to the intent of the CCCFR grant’s objectives of supporting vulnerable and disadvantaged communities.</w:t>
      </w:r>
      <w:r w:rsidR="0084318B">
        <w:t xml:space="preserve"> For ACCOs, </w:t>
      </w:r>
      <w:r w:rsidR="00E9759D">
        <w:t>there are additional</w:t>
      </w:r>
      <w:r w:rsidR="001A2822">
        <w:t xml:space="preserve"> </w:t>
      </w:r>
      <w:r w:rsidR="00E9759D">
        <w:t xml:space="preserve">complexities around </w:t>
      </w:r>
      <w:r w:rsidR="000A6E5B">
        <w:t>collecting</w:t>
      </w:r>
      <w:r w:rsidR="00BA23C4">
        <w:t xml:space="preserve"> gap fees from families, which can contradict </w:t>
      </w:r>
      <w:r w:rsidR="00B624BD">
        <w:t xml:space="preserve">cultural protocols around </w:t>
      </w:r>
      <w:r w:rsidR="00764A3E" w:rsidRPr="00764A3E">
        <w:t>kinship, exchange and sharing</w:t>
      </w:r>
      <w:r w:rsidR="00764A3E">
        <w:t xml:space="preserve"> with community</w:t>
      </w:r>
      <w:r w:rsidR="00D45109">
        <w:t>.</w:t>
      </w:r>
      <w:r w:rsidR="00D45109">
        <w:rPr>
          <w:rStyle w:val="FootnoteReference"/>
        </w:rPr>
        <w:footnoteReference w:id="182"/>
      </w:r>
    </w:p>
    <w:p w14:paraId="3841D658" w14:textId="32C906E5" w:rsidR="7BA540C4" w:rsidRDefault="63AFD9BC" w:rsidP="5758AEB3">
      <w:r>
        <w:t>Consultations with services and Departmental staff highlighted that</w:t>
      </w:r>
      <w:r w:rsidR="61A51A99">
        <w:t>,</w:t>
      </w:r>
      <w:r>
        <w:t xml:space="preserve"> </w:t>
      </w:r>
      <w:r w:rsidR="5E694A68">
        <w:t xml:space="preserve">in some circumstances, </w:t>
      </w:r>
      <w:r w:rsidR="54214CAA">
        <w:t xml:space="preserve">CCCFR services will </w:t>
      </w:r>
      <w:r>
        <w:t>provide education and care to children</w:t>
      </w:r>
      <w:r w:rsidR="1B7345A0">
        <w:t xml:space="preserve"> without receiving revenue through CCS or gap fees. This is often due to families </w:t>
      </w:r>
      <w:r w:rsidR="4A88E2B4">
        <w:t xml:space="preserve">not </w:t>
      </w:r>
      <w:r w:rsidR="1B7345A0">
        <w:t>provid</w:t>
      </w:r>
      <w:r w:rsidR="79840747">
        <w:t>ing</w:t>
      </w:r>
      <w:r w:rsidR="1B7345A0">
        <w:t xml:space="preserve"> the necessary</w:t>
      </w:r>
      <w:r w:rsidR="3F284253">
        <w:t xml:space="preserve"> information</w:t>
      </w:r>
      <w:r w:rsidR="25337C76">
        <w:t xml:space="preserve"> from Services Australia</w:t>
      </w:r>
      <w:r w:rsidR="5F29C5A6">
        <w:t xml:space="preserve"> </w:t>
      </w:r>
      <w:r w:rsidR="1B7345A0">
        <w:t>to administer the CCS on their behalf</w:t>
      </w:r>
      <w:r w:rsidR="5E387820">
        <w:t>.</w:t>
      </w:r>
      <w:r w:rsidR="283BC1D6">
        <w:t xml:space="preserve"> This circumstance may occur when a family has agreed </w:t>
      </w:r>
      <w:r w:rsidR="4017CEC0">
        <w:t>with the service to provide this information, however</w:t>
      </w:r>
      <w:r w:rsidR="009A0B64">
        <w:t>,</w:t>
      </w:r>
      <w:r w:rsidR="4017CEC0">
        <w:t xml:space="preserve"> later is unable to produce these details.</w:t>
      </w:r>
      <w:r w:rsidR="5A0822EB">
        <w:t xml:space="preserve"> </w:t>
      </w:r>
    </w:p>
    <w:p w14:paraId="20606ECC" w14:textId="3A6AC8A7" w:rsidR="7BA540C4" w:rsidRDefault="4017CEC0" w:rsidP="5758AEB3">
      <w:r>
        <w:t>In these circumstances, Program Officers and the broader CCCFR team have worked with services to address barriers for families</w:t>
      </w:r>
      <w:r w:rsidR="6938B243">
        <w:t xml:space="preserve"> with the Child Care System and Services Australia</w:t>
      </w:r>
      <w:r>
        <w:t xml:space="preserve">, </w:t>
      </w:r>
      <w:r w:rsidR="5D4614AB">
        <w:t>as well as</w:t>
      </w:r>
      <w:r>
        <w:t xml:space="preserve"> supporting the service in taking all reasonable steps to </w:t>
      </w:r>
      <w:r w:rsidR="7285DD5C">
        <w:t>collect this information</w:t>
      </w:r>
      <w:r w:rsidR="23E3350D">
        <w:t xml:space="preserve"> to receive CCS revenue.</w:t>
      </w:r>
      <w:r w:rsidR="3C7A4A22">
        <w:t xml:space="preserve"> This may include enrolling a child through a ‘relevant arrangement’</w:t>
      </w:r>
      <w:r w:rsidR="5992798B">
        <w:t xml:space="preserve"> in which limited information is required to be collected from the parent or child, however no CCS is received.</w:t>
      </w:r>
    </w:p>
    <w:p w14:paraId="2218B349" w14:textId="4022E578" w:rsidR="7BA540C4" w:rsidRDefault="2224B073" w:rsidP="5758AEB3">
      <w:r>
        <w:t>I</w:t>
      </w:r>
      <w:r w:rsidR="23E3350D">
        <w:t xml:space="preserve">f a service is unable to collect the relevant information to </w:t>
      </w:r>
      <w:r w:rsidR="228293F9">
        <w:t>administer</w:t>
      </w:r>
      <w:r w:rsidR="23E3350D">
        <w:t xml:space="preserve"> the CCS on behalf of a family for a session of care, the service would </w:t>
      </w:r>
      <w:r w:rsidR="17171987">
        <w:t xml:space="preserve">likely </w:t>
      </w:r>
      <w:r w:rsidR="23E3350D">
        <w:t xml:space="preserve">absorb the cost of the care within their existing </w:t>
      </w:r>
      <w:r w:rsidR="0856D35A">
        <w:t>resources</w:t>
      </w:r>
      <w:r w:rsidR="23E3350D">
        <w:t>.</w:t>
      </w:r>
      <w:r w:rsidR="3F6AD93C">
        <w:t xml:space="preserve"> </w:t>
      </w:r>
      <w:r w:rsidR="3386B444">
        <w:t xml:space="preserve">Considering this, </w:t>
      </w:r>
      <w:r w:rsidR="00B92226">
        <w:t>P</w:t>
      </w:r>
      <w:r w:rsidR="3F6AD93C">
        <w:t xml:space="preserve">rogram Officers and the Department emphasise the importance of working with families to support CCS enrolment to </w:t>
      </w:r>
      <w:r w:rsidR="5896A4D2">
        <w:t>maximise the service’s overall</w:t>
      </w:r>
      <w:r w:rsidR="3F6AD93C">
        <w:t xml:space="preserve"> revenue</w:t>
      </w:r>
      <w:r w:rsidR="5896A4D2">
        <w:t xml:space="preserve"> for a session of care</w:t>
      </w:r>
      <w:r w:rsidR="3F6AD93C">
        <w:t>.</w:t>
      </w:r>
    </w:p>
    <w:p w14:paraId="4EC5BB63" w14:textId="095F03B5" w:rsidR="7BA540C4" w:rsidRDefault="4C2065B1" w:rsidP="5758AEB3">
      <w:r>
        <w:t>In considering the grant’s</w:t>
      </w:r>
      <w:r w:rsidR="41D3EC01">
        <w:t xml:space="preserve"> various roles in</w:t>
      </w:r>
      <w:r>
        <w:t xml:space="preserve"> increasing access and participation of children in ECEC</w:t>
      </w:r>
      <w:r w:rsidR="54FF1166">
        <w:t xml:space="preserve">, supporting services to transition </w:t>
      </w:r>
      <w:r w:rsidR="64B883E5">
        <w:t>to the Child Care System under</w:t>
      </w:r>
      <w:r w:rsidR="54FF1166">
        <w:t xml:space="preserve"> the FAL</w:t>
      </w:r>
      <w:r>
        <w:t xml:space="preserve">, as well as supporting the financial viability of CCCFR services, there is scope for considering how </w:t>
      </w:r>
      <w:r w:rsidR="2C4903E6">
        <w:t xml:space="preserve">relevant arrangements could be adjusted in a future policy environment to enable per-child funding to support their care, either through the CCS or in the form </w:t>
      </w:r>
      <w:r w:rsidR="140EB903">
        <w:t xml:space="preserve">of </w:t>
      </w:r>
      <w:r w:rsidR="2C4903E6">
        <w:t xml:space="preserve">evidence to </w:t>
      </w:r>
      <w:r w:rsidR="0BA68DF0">
        <w:t xml:space="preserve">determine </w:t>
      </w:r>
      <w:r w:rsidR="2C4903E6">
        <w:t>additional supply-side funding.</w:t>
      </w:r>
    </w:p>
    <w:p w14:paraId="231C7C4F" w14:textId="2259BE57" w:rsidR="001410D5" w:rsidRDefault="001410D5" w:rsidP="008573F5">
      <w:pPr>
        <w:pStyle w:val="Heading4un-numbered"/>
      </w:pPr>
      <w:r>
        <w:t>Family eligibility and the collection of relevant CCS documentation</w:t>
      </w:r>
    </w:p>
    <w:p w14:paraId="16D9AD2E" w14:textId="77777777" w:rsidR="001410D5" w:rsidRDefault="001410D5" w:rsidP="001410D5">
      <w:r>
        <w:t>Under the FAL, services can administer the CCS on behalf of eligible families. Broadly, to be eligible for the CCS, families must:</w:t>
      </w:r>
    </w:p>
    <w:p w14:paraId="37D58651" w14:textId="77777777" w:rsidR="001410D5" w:rsidRDefault="001410D5" w:rsidP="008573F5">
      <w:pPr>
        <w:pStyle w:val="ListBullet"/>
      </w:pPr>
      <w:r>
        <w:t>be applying for “a child 13 or younger who's not attending secondary school, unless an exemption applies</w:t>
      </w:r>
    </w:p>
    <w:p w14:paraId="158EABA4" w14:textId="77777777" w:rsidR="001410D5" w:rsidRDefault="001410D5" w:rsidP="008573F5">
      <w:pPr>
        <w:pStyle w:val="ListBullet"/>
      </w:pPr>
      <w:r>
        <w:t>access child care by an approved provider under the FAL</w:t>
      </w:r>
    </w:p>
    <w:p w14:paraId="1D5B80BB" w14:textId="77777777" w:rsidR="001410D5" w:rsidRDefault="001410D5" w:rsidP="008573F5">
      <w:pPr>
        <w:pStyle w:val="ListBullet"/>
      </w:pPr>
      <w:r>
        <w:t>be responsible for paying child care fees</w:t>
      </w:r>
    </w:p>
    <w:p w14:paraId="5A664AB7" w14:textId="77777777" w:rsidR="001410D5" w:rsidRDefault="001410D5" w:rsidP="008573F5">
      <w:pPr>
        <w:pStyle w:val="ListBullet"/>
      </w:pPr>
      <w:r>
        <w:lastRenderedPageBreak/>
        <w:t>meet residency and immunisation requirements”.</w:t>
      </w:r>
      <w:r>
        <w:rPr>
          <w:rStyle w:val="FootnoteReference"/>
        </w:rPr>
        <w:footnoteReference w:id="183"/>
      </w:r>
    </w:p>
    <w:p w14:paraId="72536C7F" w14:textId="77777777" w:rsidR="008573F5" w:rsidRDefault="008573F5" w:rsidP="00B14B49">
      <w:pPr>
        <w:pStyle w:val="ListBullet"/>
        <w:numPr>
          <w:ilvl w:val="0"/>
          <w:numId w:val="0"/>
        </w:numPr>
        <w:ind w:left="340"/>
      </w:pPr>
    </w:p>
    <w:p w14:paraId="214D44F2" w14:textId="22A688F7" w:rsidR="001410D5" w:rsidRDefault="001410D5" w:rsidP="008514F3">
      <w:r>
        <w:t xml:space="preserve">Payments for the CCS and ACCS are administered by Services Australia </w:t>
      </w:r>
      <w:r w:rsidRPr="00DA01BA">
        <w:rPr>
          <w:i/>
          <w:iCs/>
        </w:rPr>
        <w:t>(formerly Centrelink)</w:t>
      </w:r>
      <w:r>
        <w:rPr>
          <w:i/>
          <w:iCs/>
        </w:rPr>
        <w:t xml:space="preserve">. </w:t>
      </w:r>
      <w:r>
        <w:t>As defined under the FAL, “i</w:t>
      </w:r>
      <w:r w:rsidRPr="003E4916">
        <w:t>ndividuals must first make a claim for CCS to become eligible and entitled to the subsidy</w:t>
      </w:r>
      <w:r>
        <w:t>”</w:t>
      </w:r>
      <w:r w:rsidR="00356E39">
        <w:t>.</w:t>
      </w:r>
      <w:r>
        <w:rPr>
          <w:rStyle w:val="FootnoteReference"/>
        </w:rPr>
        <w:footnoteReference w:id="184"/>
      </w:r>
      <w:r>
        <w:t xml:space="preserve"> As such, families seeking to receive the CCS must apply through Services Australia, including holding a Centrelink Customer Reference Number (CRN) and providing relevant documentation to satisfy the application process</w:t>
      </w:r>
      <w:r w:rsidR="00BA2E11">
        <w:t>.</w:t>
      </w:r>
      <w:r>
        <w:rPr>
          <w:rStyle w:val="FootnoteReference"/>
        </w:rPr>
        <w:footnoteReference w:id="185"/>
      </w:r>
      <w:r w:rsidR="008514F3">
        <w:t xml:space="preserve"> This is consistent with findings from</w:t>
      </w:r>
      <w:r w:rsidR="00C075EB">
        <w:t xml:space="preserve"> the </w:t>
      </w:r>
      <w:r w:rsidR="0052765E">
        <w:t>2021</w:t>
      </w:r>
      <w:r w:rsidR="00C075EB">
        <w:t xml:space="preserve"> evaluation of the </w:t>
      </w:r>
      <w:r w:rsidR="0052765E">
        <w:t>Child Care Package undertaken by AIFS, which pointed to administrative burdens as a key barrier to accessing child care</w:t>
      </w:r>
      <w:r w:rsidR="000E4244">
        <w:t>.</w:t>
      </w:r>
      <w:r w:rsidR="000E4244">
        <w:rPr>
          <w:rStyle w:val="FootnoteReference"/>
        </w:rPr>
        <w:footnoteReference w:id="186"/>
      </w:r>
    </w:p>
    <w:p w14:paraId="2C5AB20F" w14:textId="0C05A12F" w:rsidR="001410D5" w:rsidRDefault="001410D5" w:rsidP="001410D5">
      <w:r>
        <w:t>Consultation with CCCFR services identified ongoing challenges in relation to collecting details of families’ CCS arrangement</w:t>
      </w:r>
      <w:r w:rsidR="00BA2E11">
        <w:t>s</w:t>
      </w:r>
      <w:r>
        <w:t xml:space="preserve"> and eligibility, in particular the CRN to collect the payment on the family’s behalf.</w:t>
      </w:r>
    </w:p>
    <w:p w14:paraId="2E6DC17E" w14:textId="77777777" w:rsidR="001410D5" w:rsidRDefault="001410D5" w:rsidP="001410D5">
      <w:r>
        <w:t>More specifically, services noted that families often experienced several barriers in accessing the subsidy and broader government payments, such as:</w:t>
      </w:r>
    </w:p>
    <w:p w14:paraId="43A4C2A9" w14:textId="77777777" w:rsidR="001410D5" w:rsidRDefault="001410D5" w:rsidP="00BA2E11">
      <w:pPr>
        <w:pStyle w:val="ListBullet"/>
      </w:pPr>
      <w:r w:rsidRPr="2B91AEFB">
        <w:rPr>
          <w:b/>
          <w:bCs/>
        </w:rPr>
        <w:t>perceived administrative complexity</w:t>
      </w:r>
      <w:r>
        <w:t xml:space="preserve"> by families in applying for payments through Services Australia</w:t>
      </w:r>
    </w:p>
    <w:p w14:paraId="22CC969A" w14:textId="2844EDE2" w:rsidR="001410D5" w:rsidRDefault="001410D5" w:rsidP="00BA2E11">
      <w:pPr>
        <w:pStyle w:val="ListBullet"/>
      </w:pPr>
      <w:r w:rsidRPr="2B91AEFB">
        <w:rPr>
          <w:b/>
          <w:bCs/>
        </w:rPr>
        <w:t>movement of famil</w:t>
      </w:r>
      <w:r w:rsidR="00BA2E11" w:rsidRPr="2B91AEFB">
        <w:rPr>
          <w:b/>
          <w:bCs/>
        </w:rPr>
        <w:t>ies</w:t>
      </w:r>
      <w:r w:rsidRPr="2B91AEFB">
        <w:rPr>
          <w:b/>
          <w:bCs/>
        </w:rPr>
        <w:t xml:space="preserve"> across locations</w:t>
      </w:r>
      <w:r>
        <w:t xml:space="preserve">, with the change in service/s being accessed resulting in suspension of CCS payments and requiring a new application </w:t>
      </w:r>
    </w:p>
    <w:p w14:paraId="1DBA572E" w14:textId="77777777" w:rsidR="001410D5" w:rsidRDefault="001410D5" w:rsidP="00BA2E11">
      <w:pPr>
        <w:pStyle w:val="ListBullet"/>
      </w:pPr>
      <w:r w:rsidRPr="2B91AEFB">
        <w:rPr>
          <w:b/>
          <w:bCs/>
        </w:rPr>
        <w:t>limited access to online, telephone or a service centre</w:t>
      </w:r>
      <w:r>
        <w:t>, particularly in relation to communities in regional and remote locations.</w:t>
      </w:r>
    </w:p>
    <w:p w14:paraId="460E7909" w14:textId="77777777" w:rsidR="00BA2E11" w:rsidRDefault="00BA2E11" w:rsidP="00B14B49">
      <w:pPr>
        <w:pStyle w:val="ListBullet"/>
        <w:numPr>
          <w:ilvl w:val="0"/>
          <w:numId w:val="0"/>
        </w:numPr>
        <w:ind w:left="340"/>
      </w:pPr>
    </w:p>
    <w:p w14:paraId="10AF5342" w14:textId="2E065294" w:rsidR="001410D5" w:rsidRDefault="001410D5" w:rsidP="001410D5">
      <w:r>
        <w:t>During consultation, Services Australia highlighted several targeted initiatives being delivered to ensure increased access for regional and remote areas, in particular the continued rollout of remote servicing teams (dedicated staff) and remote service centres (buses) in identified areas with reduced access to a traditional Service Centre.</w:t>
      </w:r>
      <w:r w:rsidR="00861C02">
        <w:t xml:space="preserve"> However</w:t>
      </w:r>
      <w:r w:rsidR="001B2A7F">
        <w:t>,</w:t>
      </w:r>
      <w:r w:rsidR="00861C02">
        <w:t xml:space="preserve"> </w:t>
      </w:r>
      <w:r w:rsidR="00C74845">
        <w:t>the detail of these initiatives was not able to be</w:t>
      </w:r>
      <w:r w:rsidR="001B2A7F">
        <w:t xml:space="preserve"> shared with the </w:t>
      </w:r>
      <w:r w:rsidR="00085ECC">
        <w:t>r</w:t>
      </w:r>
      <w:r w:rsidR="001B2A7F">
        <w:t>eview team an</w:t>
      </w:r>
      <w:r w:rsidR="00697430">
        <w:t xml:space="preserve">d thus the </w:t>
      </w:r>
      <w:r w:rsidR="001F5511">
        <w:t xml:space="preserve">breadth and </w:t>
      </w:r>
      <w:r w:rsidR="00697430">
        <w:t xml:space="preserve">impact of such measures could not be assessed. </w:t>
      </w:r>
      <w:r w:rsidR="00EA766F">
        <w:t xml:space="preserve">During the stakeholder consultation processs, it was frequently observed </w:t>
      </w:r>
      <w:r w:rsidR="001F5511">
        <w:t>by both families and service providers</w:t>
      </w:r>
      <w:r w:rsidR="00EA766F">
        <w:t xml:space="preserve"> </w:t>
      </w:r>
      <w:r w:rsidR="00FB2FF0">
        <w:t>that the outreach of Services Australia was insufficient when it came to meeting their</w:t>
      </w:r>
      <w:r w:rsidR="00A7252E">
        <w:t xml:space="preserve"> communications and engagement needs</w:t>
      </w:r>
      <w:r w:rsidR="00FB2FF0">
        <w:t xml:space="preserve">. </w:t>
      </w:r>
      <w:r w:rsidR="00EA766F">
        <w:t xml:space="preserve"> </w:t>
      </w:r>
      <w:r w:rsidR="001F5511">
        <w:t xml:space="preserve"> </w:t>
      </w:r>
      <w:r w:rsidR="00697430">
        <w:t xml:space="preserve"> </w:t>
      </w:r>
      <w:r w:rsidR="00C74845">
        <w:t xml:space="preserve"> </w:t>
      </w:r>
    </w:p>
    <w:p w14:paraId="3119D2C2" w14:textId="77777777" w:rsidR="001410D5" w:rsidRDefault="001410D5" w:rsidP="001410D5">
      <w:r>
        <w:t xml:space="preserve">Critically, services, peak bodies and state and territory governments all raised the </w:t>
      </w:r>
      <w:r w:rsidRPr="00CD52EB">
        <w:rPr>
          <w:b/>
          <w:bCs/>
        </w:rPr>
        <w:t>ongoing impacts of intergenerational trauma when engaging with government services</w:t>
      </w:r>
      <w:r>
        <w:t xml:space="preserve"> as a key barrier to families’ engagement with Services Australia. </w:t>
      </w:r>
    </w:p>
    <w:p w14:paraId="4FDD7AD1" w14:textId="77777777" w:rsidR="001410D5" w:rsidRDefault="001410D5" w:rsidP="001410D5">
      <w:r>
        <w:t>This feedback is consistent with broader policy and public health research around individual and community experiences of intergenerational trauma for Aboriginal and Torres Strait Islander peoples in Australia, often emphasising the importance of culturally responsive and community-led approaches to delivering services to ensure cultural safety and provide space for healing and self-determination.</w:t>
      </w:r>
      <w:r w:rsidRPr="003A2005">
        <w:rPr>
          <w:rStyle w:val="FootnoteReference"/>
        </w:rPr>
        <w:footnoteReference w:id="187"/>
      </w:r>
      <w:r w:rsidRPr="003A2005">
        <w:rPr>
          <w:vertAlign w:val="superscript"/>
        </w:rPr>
        <w:t>,</w:t>
      </w:r>
      <w:r w:rsidRPr="003A2005">
        <w:rPr>
          <w:rStyle w:val="FootnoteReference"/>
        </w:rPr>
        <w:footnoteReference w:id="188"/>
      </w:r>
      <w:r w:rsidRPr="003A2005">
        <w:rPr>
          <w:vertAlign w:val="superscript"/>
        </w:rPr>
        <w:t>,</w:t>
      </w:r>
      <w:r w:rsidRPr="003A2005">
        <w:rPr>
          <w:rStyle w:val="FootnoteReference"/>
        </w:rPr>
        <w:footnoteReference w:id="189"/>
      </w:r>
      <w:r w:rsidRPr="003A2005">
        <w:rPr>
          <w:vertAlign w:val="superscript"/>
        </w:rPr>
        <w:t>,</w:t>
      </w:r>
      <w:r w:rsidRPr="003A2005">
        <w:rPr>
          <w:rStyle w:val="FootnoteReference"/>
        </w:rPr>
        <w:footnoteReference w:id="190"/>
      </w:r>
    </w:p>
    <w:p w14:paraId="19C7C8FD" w14:textId="77777777" w:rsidR="003A2005" w:rsidRDefault="001410D5" w:rsidP="003A2005">
      <w:pPr>
        <w:pStyle w:val="Heading4un-numbered"/>
      </w:pPr>
      <w:r>
        <w:lastRenderedPageBreak/>
        <w:t>Exceeding allowable absences</w:t>
      </w:r>
    </w:p>
    <w:p w14:paraId="452A29E9" w14:textId="77777777" w:rsidR="001410D5" w:rsidRDefault="001410D5" w:rsidP="003A2005">
      <w:r>
        <w:t>As stipulated under the FAL, services are allowed to collect CCS revenue on behalf of a family for up to 42 days a year when a child is absent from a service.</w:t>
      </w:r>
      <w:r>
        <w:rPr>
          <w:rStyle w:val="FootnoteReference"/>
        </w:rPr>
        <w:footnoteReference w:id="191"/>
      </w:r>
      <w:r>
        <w:t xml:space="preserve"> As subsidy payments are only made when a child attends child care, these “allowable absences” across the year provide flexibility to families and ensure financial support to the service if a child does not attend their expected session of care.</w:t>
      </w:r>
    </w:p>
    <w:p w14:paraId="7D96B578" w14:textId="77777777" w:rsidR="001410D5" w:rsidRDefault="001410D5" w:rsidP="003A2005">
      <w:r>
        <w:t>However, several services noted challenges in relation to families exceeding their allowable absences. Two examples identified through consultations were:</w:t>
      </w:r>
    </w:p>
    <w:p w14:paraId="19BCB707" w14:textId="112B528A" w:rsidR="001410D5" w:rsidRPr="00437934" w:rsidRDefault="001410D5" w:rsidP="00C07F8C">
      <w:pPr>
        <w:pStyle w:val="ListBullet"/>
      </w:pPr>
      <w:r>
        <w:t>a centre-based CCCFR service operating on a school site to provide child care to support parents to complete high school qualifications. Given the structure of the school year and the sizeable distances of parents to the service, many families would hit their allowable absences by the middle of the year. This resulted in the service incurring a loss over the subsequent school holiday breaks, as they did not want to charge parents the full fee in absence of the CCS</w:t>
      </w:r>
    </w:p>
    <w:p w14:paraId="77C659E3" w14:textId="77777777" w:rsidR="001410D5" w:rsidRPr="00437934" w:rsidRDefault="001410D5" w:rsidP="00C07F8C">
      <w:pPr>
        <w:pStyle w:val="ListBullet"/>
      </w:pPr>
      <w:r>
        <w:t>a service noting that several families were known to be absent on a regular basis due to broader family impacts associated with vulnerability and/or disadvantage.</w:t>
      </w:r>
    </w:p>
    <w:p w14:paraId="6B3D2F46" w14:textId="77777777" w:rsidR="00C07F8C" w:rsidRPr="00E13D63" w:rsidRDefault="00C07F8C" w:rsidP="00B14B49">
      <w:pPr>
        <w:pStyle w:val="ListBullet"/>
        <w:numPr>
          <w:ilvl w:val="0"/>
          <w:numId w:val="0"/>
        </w:numPr>
        <w:ind w:left="340"/>
      </w:pPr>
    </w:p>
    <w:p w14:paraId="0F734B36" w14:textId="77777777" w:rsidR="001410D5" w:rsidRDefault="001410D5" w:rsidP="007A4882">
      <w:pPr>
        <w:pStyle w:val="Heading4un-numbered"/>
      </w:pPr>
      <w:r>
        <w:t>Impacts of family movement on CCS-related revenue</w:t>
      </w:r>
    </w:p>
    <w:p w14:paraId="5518FFE7" w14:textId="2618066D" w:rsidR="001410D5" w:rsidRDefault="001410D5" w:rsidP="001410D5">
      <w:r>
        <w:t>During consultation, several services raised issues around how eligibility for</w:t>
      </w:r>
      <w:r w:rsidR="00437934">
        <w:t xml:space="preserve"> the</w:t>
      </w:r>
      <w:r>
        <w:t xml:space="preserve"> CCS applied to a particular service and the lack of portability of child care eligibility to other services. This was particularly relevant when discussing patterns of movement by families</w:t>
      </w:r>
      <w:r w:rsidRPr="00274AF7">
        <w:t xml:space="preserve"> across community to meet family and cultural responsibilities and </w:t>
      </w:r>
      <w:r>
        <w:t>broader o</w:t>
      </w:r>
      <w:r w:rsidRPr="00274AF7">
        <w:t>bligations</w:t>
      </w:r>
      <w:r>
        <w:t>.</w:t>
      </w:r>
    </w:p>
    <w:p w14:paraId="3B1E1DFB" w14:textId="39004AA2" w:rsidR="001410D5" w:rsidRDefault="001410D5" w:rsidP="001410D5">
      <w:r>
        <w:t xml:space="preserve">While a service may be able to apply up to 42 allowable absences while the child is away from the service, this may only financially support services during shorter-term absences. As discussed </w:t>
      </w:r>
      <w:r w:rsidR="00150EBF">
        <w:t>above</w:t>
      </w:r>
      <w:r>
        <w:t xml:space="preserve">, family movement across services to support a child’s ongoing access to education and care requires a new CCS application when seeking to enrol the child at the new service. </w:t>
      </w:r>
    </w:p>
    <w:p w14:paraId="3FAC5D83" w14:textId="697F19D8" w:rsidR="009E31AB" w:rsidRDefault="001410D5" w:rsidP="002A7E10">
      <w:r>
        <w:t xml:space="preserve">Broadly, the service-specific application process for </w:t>
      </w:r>
      <w:r w:rsidR="00150EBF">
        <w:t xml:space="preserve">the </w:t>
      </w:r>
      <w:r>
        <w:t xml:space="preserve">CCS is assumed to result in additional financial uncertainty for CCCFR services while the child is not present at the service during periods of movement, as well as additional administrative burdens for families through applying for </w:t>
      </w:r>
      <w:r w:rsidR="00150EBF">
        <w:t xml:space="preserve">the </w:t>
      </w:r>
      <w:r>
        <w:t>CCS when seeking care at a service during periods of travel.</w:t>
      </w:r>
    </w:p>
    <w:p w14:paraId="39F7E042" w14:textId="3F42867D" w:rsidR="0056325B" w:rsidRDefault="00BD2804" w:rsidP="0056325B">
      <w:pPr>
        <w:pStyle w:val="Heading3"/>
      </w:pPr>
      <w:r>
        <w:t>Service-specific</w:t>
      </w:r>
      <w:r w:rsidR="0056325B" w:rsidRPr="005C7F19">
        <w:t xml:space="preserve"> barriers to compliance with the National Quality Framework</w:t>
      </w:r>
      <w:r w:rsidR="00F56937">
        <w:br/>
      </w:r>
    </w:p>
    <w:tbl>
      <w:tblPr>
        <w:tblStyle w:val="TableGrid"/>
        <w:tblW w:w="0" w:type="auto"/>
        <w:shd w:val="clear" w:color="auto" w:fill="E7F5CF"/>
        <w:tblCellMar>
          <w:top w:w="113" w:type="dxa"/>
          <w:left w:w="113" w:type="dxa"/>
          <w:bottom w:w="113" w:type="dxa"/>
          <w:right w:w="113" w:type="dxa"/>
        </w:tblCellMar>
        <w:tblLook w:val="04A0" w:firstRow="1" w:lastRow="0" w:firstColumn="1" w:lastColumn="0" w:noHBand="0" w:noVBand="1"/>
      </w:tblPr>
      <w:tblGrid>
        <w:gridCol w:w="9026"/>
      </w:tblGrid>
      <w:tr w:rsidR="00A20EFE" w14:paraId="3DDDAD40" w14:textId="77777777" w:rsidTr="00556184">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cPr>
          <w:p w14:paraId="614DF9D6" w14:textId="376F5460" w:rsidR="00A20EFE" w:rsidRPr="009E424E" w:rsidRDefault="00A20EFE">
            <w:pPr>
              <w:spacing w:after="120"/>
              <w:rPr>
                <w:b/>
                <w:bCs/>
              </w:rPr>
            </w:pPr>
            <w:r w:rsidRPr="009E424E">
              <w:rPr>
                <w:b/>
                <w:bCs/>
              </w:rPr>
              <w:t xml:space="preserve">Review finding </w:t>
            </w:r>
            <w:r w:rsidR="00A40D52">
              <w:rPr>
                <w:b/>
                <w:bCs/>
              </w:rPr>
              <w:t>2</w:t>
            </w:r>
            <w:r w:rsidR="00AE2D39">
              <w:rPr>
                <w:b/>
                <w:bCs/>
              </w:rPr>
              <w:t>8</w:t>
            </w:r>
          </w:p>
          <w:p w14:paraId="6740D950" w14:textId="563E72BB" w:rsidR="00A20EFE" w:rsidRPr="00E54CB1" w:rsidRDefault="003B2406" w:rsidP="00E54CB1">
            <w:pPr>
              <w:spacing w:before="170"/>
            </w:pPr>
            <w:r w:rsidRPr="003B2406">
              <w:t>Some CCCFR services are expected to face significant barriers to meeting the National Law and Regulations, in particular around meeting workforce and infrastructure requirements.</w:t>
            </w:r>
          </w:p>
        </w:tc>
      </w:tr>
    </w:tbl>
    <w:p w14:paraId="2B42199B" w14:textId="133F26E7" w:rsidR="007B29B6" w:rsidRDefault="002927F3" w:rsidP="007B29B6">
      <w:pPr>
        <w:rPr>
          <w:b/>
          <w:bCs/>
        </w:rPr>
      </w:pPr>
      <w:r>
        <w:br/>
      </w:r>
      <w:r w:rsidR="00F56937" w:rsidRPr="00411E28">
        <w:rPr>
          <w:b/>
          <w:bCs/>
        </w:rPr>
        <w:t xml:space="preserve">Supporting evidence for this finding is drawn from consultations, </w:t>
      </w:r>
      <w:r w:rsidR="006500B4">
        <w:rPr>
          <w:b/>
          <w:bCs/>
        </w:rPr>
        <w:t xml:space="preserve">CCCFR service </w:t>
      </w:r>
      <w:r w:rsidR="00F56937" w:rsidRPr="00411E28">
        <w:rPr>
          <w:b/>
          <w:bCs/>
        </w:rPr>
        <w:t>survey and document analysis</w:t>
      </w:r>
    </w:p>
    <w:p w14:paraId="74CBC9A0" w14:textId="65CFCD28" w:rsidR="004F05D9" w:rsidRDefault="004F05D9" w:rsidP="005D6666">
      <w:pPr>
        <w:rPr>
          <w:rFonts w:eastAsia="MingLiU" w:cs="Times New Roman"/>
        </w:rPr>
      </w:pPr>
      <w:r>
        <w:rPr>
          <w:rFonts w:eastAsia="MingLiU" w:cs="Times New Roman"/>
        </w:rPr>
        <w:t xml:space="preserve">The review sought feedback from services, peak bodies, state and territory governments and regulatory authorities around CCCFR services’ ability to transition to the NQF and expected barriers to meeting service and provider requirements under the National Law and Regulations. </w:t>
      </w:r>
    </w:p>
    <w:p w14:paraId="37901B8A" w14:textId="77777777" w:rsidR="005D6666" w:rsidRDefault="004F05D9" w:rsidP="005D6666">
      <w:r>
        <w:t>In considering services who had not yet transitioned to the NQF, three key areas were identified as significant barriers to transition.</w:t>
      </w:r>
    </w:p>
    <w:p w14:paraId="0F9F2DF6" w14:textId="5FE5954F" w:rsidR="004F05D9" w:rsidRDefault="004F05D9" w:rsidP="007A4882">
      <w:pPr>
        <w:pStyle w:val="Heading4un-numbered"/>
      </w:pPr>
      <w:r>
        <w:t>Meeting workforce requirements under the NQF</w:t>
      </w:r>
    </w:p>
    <w:p w14:paraId="68B2F7C7" w14:textId="55DD661A" w:rsidR="004F05D9" w:rsidRDefault="004F05D9" w:rsidP="004F05D9">
      <w:r>
        <w:t>Like the broader ECEC sector, CCCFR</w:t>
      </w:r>
      <w:r w:rsidR="006C1ED6">
        <w:t xml:space="preserve"> services</w:t>
      </w:r>
      <w:r>
        <w:t xml:space="preserve"> noted significant challenges around attracting and retaining qualified educators. This issue of workforce shortages, however, was seen as </w:t>
      </w:r>
      <w:r>
        <w:lastRenderedPageBreak/>
        <w:t>exacerbated for CCCFR services working in regional and remote locations due to limited local workforce talent and a lack of financial resourcing and/or local accommodation to attract qualified early childhood educators.</w:t>
      </w:r>
    </w:p>
    <w:p w14:paraId="34D87D16" w14:textId="77777777" w:rsidR="004F05D9" w:rsidRDefault="004F05D9" w:rsidP="004F05D9">
      <w:r>
        <w:t xml:space="preserve">Some services noted that while they could currently maintain adequate supervision of children in their care, qualification requirements under the NQF would negatively impact the number of staff they could employ at their service. </w:t>
      </w:r>
    </w:p>
    <w:p w14:paraId="70438F21" w14:textId="69E13755" w:rsidR="004F05D9" w:rsidRPr="00231163" w:rsidRDefault="004F05D9" w:rsidP="004F05D9">
      <w:r>
        <w:t xml:space="preserve">For example, while </w:t>
      </w:r>
      <w:r w:rsidRPr="00581AC9">
        <w:rPr>
          <w:i/>
          <w:iCs/>
        </w:rPr>
        <w:t>regulation 126</w:t>
      </w:r>
      <w:r>
        <w:rPr>
          <w:i/>
          <w:iCs/>
        </w:rPr>
        <w:t xml:space="preserve"> </w:t>
      </w:r>
      <w:r>
        <w:t xml:space="preserve">of the National Regulations provides services with some flexibility by allowing an educator to be “actively working towards” </w:t>
      </w:r>
      <w:r w:rsidRPr="00C61025">
        <w:t>a Certificate 3</w:t>
      </w:r>
      <w:r w:rsidR="0050283A" w:rsidRPr="00C61025">
        <w:t>-</w:t>
      </w:r>
      <w:r w:rsidRPr="00C61025">
        <w:t>level ECEC qualification while employed at the service, a lack of local, accessible training provid</w:t>
      </w:r>
      <w:r>
        <w:t>ers in regional and remote locations significantly impacts services to employ staff through this pathway</w:t>
      </w:r>
      <w:r w:rsidR="00DC43A1">
        <w:t>.</w:t>
      </w:r>
      <w:r>
        <w:rPr>
          <w:rStyle w:val="FootnoteReference"/>
        </w:rPr>
        <w:footnoteReference w:id="192"/>
      </w:r>
      <w:r>
        <w:t xml:space="preserve"> </w:t>
      </w:r>
    </w:p>
    <w:p w14:paraId="4E579AD3" w14:textId="41251FE3" w:rsidR="004F05D9" w:rsidRDefault="004F05D9" w:rsidP="007A4882">
      <w:pPr>
        <w:pStyle w:val="Heading4un-numbered"/>
      </w:pPr>
      <w:r>
        <w:t>Meeting infrastructure and space requirements</w:t>
      </w:r>
    </w:p>
    <w:p w14:paraId="11DB6E64" w14:textId="77777777" w:rsidR="004F05D9" w:rsidRDefault="004F05D9" w:rsidP="004F05D9">
      <w:r>
        <w:t xml:space="preserve">During consultation, services and regulatory authorities raised a lack of adequate infrastructure as a significant barrier for services to meet requirements under the National Law and Regulations. </w:t>
      </w:r>
    </w:p>
    <w:p w14:paraId="2A26AEB9" w14:textId="77777777" w:rsidR="004F05D9" w:rsidRDefault="004F05D9" w:rsidP="004F05D9">
      <w:r>
        <w:t>More specifically, a regulatory authority noted specific challenges in relation to the design of buildings being used by CCCFR services, noting that some services would require significant infrastructure investment to address aspects such as removing doors and walls to increase supervision and expanding floor space to meet space requirements.</w:t>
      </w:r>
    </w:p>
    <w:p w14:paraId="2909B21F" w14:textId="30CA989A" w:rsidR="004F05D9" w:rsidRDefault="004F05D9" w:rsidP="004F05D9">
      <w:r>
        <w:t xml:space="preserve">As such, CCCFR services are expected to face barriers in meeting </w:t>
      </w:r>
      <w:r w:rsidR="0017753E">
        <w:t>a range of</w:t>
      </w:r>
      <w:r>
        <w:t xml:space="preserve"> requirements under the National Law and Regulations</w:t>
      </w:r>
      <w:r w:rsidR="0017753E">
        <w:t xml:space="preserve">, as shown in </w:t>
      </w:r>
      <w:r w:rsidR="0017753E" w:rsidRPr="006613EA">
        <w:fldChar w:fldCharType="begin"/>
      </w:r>
      <w:r w:rsidR="0017753E" w:rsidRPr="006613EA">
        <w:instrText xml:space="preserve"> REF _Ref153376456 \r \h </w:instrText>
      </w:r>
      <w:r w:rsidR="00486B3C" w:rsidRPr="006613EA">
        <w:instrText xml:space="preserve"> \* MERGEFORMAT </w:instrText>
      </w:r>
      <w:r w:rsidR="0017753E" w:rsidRPr="006613EA">
        <w:fldChar w:fldCharType="separate"/>
      </w:r>
      <w:r w:rsidR="00D300D0">
        <w:t>Table 7.3</w:t>
      </w:r>
      <w:r w:rsidR="0017753E" w:rsidRPr="006613EA">
        <w:fldChar w:fldCharType="end"/>
      </w:r>
      <w:r w:rsidR="00A927DB" w:rsidRPr="006613EA">
        <w:t>.</w:t>
      </w:r>
    </w:p>
    <w:p w14:paraId="658EA244" w14:textId="6EA4D266" w:rsidR="00A927DB" w:rsidRPr="006613EA" w:rsidRDefault="009D3BA6" w:rsidP="001233A0">
      <w:pPr>
        <w:pStyle w:val="CaptionTable"/>
      </w:pPr>
      <w:bookmarkStart w:id="337" w:name="_Ref153376456"/>
      <w:bookmarkStart w:id="338" w:name="_Toc158997970"/>
      <w:bookmarkStart w:id="339" w:name="_Toc167130716"/>
      <w:r w:rsidRPr="006613EA">
        <w:t xml:space="preserve">: </w:t>
      </w:r>
      <w:r w:rsidR="004C465D" w:rsidRPr="006613EA">
        <w:t>I</w:t>
      </w:r>
      <w:r w:rsidR="00FE5F8B" w:rsidRPr="006613EA">
        <w:t>nfrastructure-related regulatory requirements</w:t>
      </w:r>
      <w:bookmarkEnd w:id="337"/>
      <w:bookmarkEnd w:id="338"/>
      <w:bookmarkEnd w:id="339"/>
    </w:p>
    <w:tbl>
      <w:tblPr>
        <w:tblStyle w:val="Deloittetable"/>
        <w:tblW w:w="8931" w:type="dxa"/>
        <w:tblLook w:val="04A0" w:firstRow="1" w:lastRow="0" w:firstColumn="1" w:lastColumn="0" w:noHBand="0" w:noVBand="1"/>
      </w:tblPr>
      <w:tblGrid>
        <w:gridCol w:w="1473"/>
        <w:gridCol w:w="3385"/>
        <w:gridCol w:w="4073"/>
      </w:tblGrid>
      <w:tr w:rsidR="000F431C" w14:paraId="1C1BAADE" w14:textId="77777777" w:rsidTr="003F2DBA">
        <w:trPr>
          <w:cnfStyle w:val="100000000000" w:firstRow="1" w:lastRow="0" w:firstColumn="0" w:lastColumn="0" w:oddVBand="0" w:evenVBand="0" w:oddHBand="0" w:evenHBand="0" w:firstRowFirstColumn="0" w:firstRowLastColumn="0" w:lastRowFirstColumn="0" w:lastRowLastColumn="0"/>
        </w:trPr>
        <w:tc>
          <w:tcPr>
            <w:tcW w:w="4858" w:type="dxa"/>
            <w:gridSpan w:val="2"/>
          </w:tcPr>
          <w:p w14:paraId="74030A9A" w14:textId="2BE6F94E" w:rsidR="000F431C" w:rsidRPr="001C655F" w:rsidRDefault="000F431C">
            <w:pPr>
              <w:rPr>
                <w:b/>
              </w:rPr>
            </w:pPr>
            <w:r w:rsidRPr="001C655F">
              <w:rPr>
                <w:b/>
              </w:rPr>
              <w:t>Relevant section/regulation</w:t>
            </w:r>
          </w:p>
        </w:tc>
        <w:tc>
          <w:tcPr>
            <w:tcW w:w="4073" w:type="dxa"/>
          </w:tcPr>
          <w:p w14:paraId="33BAB0C1" w14:textId="77777777" w:rsidR="000F431C" w:rsidRPr="001C655F" w:rsidRDefault="000F431C">
            <w:pPr>
              <w:rPr>
                <w:b/>
              </w:rPr>
            </w:pPr>
            <w:r w:rsidRPr="001C655F">
              <w:rPr>
                <w:b/>
              </w:rPr>
              <w:t xml:space="preserve">Relevant section </w:t>
            </w:r>
          </w:p>
        </w:tc>
      </w:tr>
      <w:tr w:rsidR="00814A4E" w14:paraId="7CAF6428" w14:textId="77777777" w:rsidTr="00D87635">
        <w:tc>
          <w:tcPr>
            <w:tcW w:w="1473" w:type="dxa"/>
          </w:tcPr>
          <w:p w14:paraId="6C76B673" w14:textId="77777777" w:rsidR="004F05D9" w:rsidRPr="001C655F" w:rsidRDefault="004F05D9">
            <w:pPr>
              <w:rPr>
                <w:b/>
              </w:rPr>
            </w:pPr>
            <w:r w:rsidRPr="001C655F">
              <w:rPr>
                <w:b/>
              </w:rPr>
              <w:t>r103</w:t>
            </w:r>
          </w:p>
        </w:tc>
        <w:tc>
          <w:tcPr>
            <w:tcW w:w="3385" w:type="dxa"/>
          </w:tcPr>
          <w:p w14:paraId="214255A3" w14:textId="77777777" w:rsidR="004F05D9" w:rsidRDefault="004F05D9">
            <w:r w:rsidRPr="001C5DB9">
              <w:t>Premises, furniture and equipment to be safe, clean and in good repair</w:t>
            </w:r>
          </w:p>
        </w:tc>
        <w:tc>
          <w:tcPr>
            <w:tcW w:w="4073" w:type="dxa"/>
          </w:tcPr>
          <w:p w14:paraId="08DC0B6F" w14:textId="77777777" w:rsidR="004F05D9" w:rsidRPr="001C655F" w:rsidRDefault="004F05D9">
            <w:pPr>
              <w:spacing w:after="0"/>
              <w:rPr>
                <w:i/>
                <w:lang w:val="en-GB"/>
              </w:rPr>
            </w:pPr>
            <w:r w:rsidRPr="001C655F">
              <w:rPr>
                <w:i/>
                <w:sz w:val="18"/>
                <w:lang w:val="en-GB"/>
              </w:rPr>
              <w:t>“</w:t>
            </w:r>
            <w:r w:rsidRPr="001C655F">
              <w:rPr>
                <w:i/>
                <w:sz w:val="18"/>
              </w:rPr>
              <w:t xml:space="preserve"> (1) </w:t>
            </w:r>
            <w:r w:rsidRPr="001C655F">
              <w:rPr>
                <w:i/>
                <w:sz w:val="18"/>
                <w:lang w:val="en-GB"/>
              </w:rPr>
              <w:t>The approved provider of an education and care service must ensure that the education and care service premises and all equipment and furniture used in providing the education and care service are safe, clean and in good repair.”</w:t>
            </w:r>
          </w:p>
        </w:tc>
      </w:tr>
      <w:tr w:rsidR="00814A4E" w14:paraId="6BCCC577" w14:textId="77777777" w:rsidTr="00D87635">
        <w:tc>
          <w:tcPr>
            <w:tcW w:w="1473" w:type="dxa"/>
          </w:tcPr>
          <w:p w14:paraId="6FA253A1" w14:textId="77777777" w:rsidR="004F05D9" w:rsidRPr="001C655F" w:rsidRDefault="004F05D9">
            <w:pPr>
              <w:rPr>
                <w:b/>
              </w:rPr>
            </w:pPr>
            <w:r w:rsidRPr="001C655F">
              <w:rPr>
                <w:b/>
              </w:rPr>
              <w:t>r104</w:t>
            </w:r>
          </w:p>
        </w:tc>
        <w:tc>
          <w:tcPr>
            <w:tcW w:w="3385" w:type="dxa"/>
          </w:tcPr>
          <w:p w14:paraId="416F467E" w14:textId="77777777" w:rsidR="004F05D9" w:rsidRDefault="004F05D9">
            <w:r w:rsidRPr="0053081C">
              <w:t>Fencing</w:t>
            </w:r>
          </w:p>
        </w:tc>
        <w:tc>
          <w:tcPr>
            <w:tcW w:w="4073" w:type="dxa"/>
          </w:tcPr>
          <w:p w14:paraId="64F0251D" w14:textId="77777777" w:rsidR="004F05D9" w:rsidRPr="001C655F" w:rsidRDefault="004F05D9">
            <w:pPr>
              <w:rPr>
                <w:i/>
              </w:rPr>
            </w:pPr>
            <w:r w:rsidRPr="001C655F">
              <w:rPr>
                <w:i/>
                <w:sz w:val="18"/>
              </w:rPr>
              <w:t>“(1) The approved provider of an education and care service must ensure that any outdoor space used by children at the education and care service premises is enclosed by a fence or barrier that is of a height and design that children preschool age or under cannot go through, over or under it.”</w:t>
            </w:r>
          </w:p>
        </w:tc>
      </w:tr>
      <w:tr w:rsidR="00814A4E" w14:paraId="4A4682DB" w14:textId="77777777" w:rsidTr="00D87635">
        <w:tc>
          <w:tcPr>
            <w:tcW w:w="1473" w:type="dxa"/>
          </w:tcPr>
          <w:p w14:paraId="29C050B5" w14:textId="77777777" w:rsidR="004F05D9" w:rsidRPr="001C655F" w:rsidRDefault="004F05D9">
            <w:pPr>
              <w:rPr>
                <w:b/>
              </w:rPr>
            </w:pPr>
            <w:r w:rsidRPr="001C655F">
              <w:rPr>
                <w:b/>
              </w:rPr>
              <w:t>r105</w:t>
            </w:r>
          </w:p>
        </w:tc>
        <w:tc>
          <w:tcPr>
            <w:tcW w:w="3385" w:type="dxa"/>
          </w:tcPr>
          <w:p w14:paraId="51E4E793" w14:textId="77777777" w:rsidR="004F05D9" w:rsidRDefault="004F05D9">
            <w:r w:rsidRPr="0053081C">
              <w:t>Furniture, materials and equipment</w:t>
            </w:r>
          </w:p>
        </w:tc>
        <w:tc>
          <w:tcPr>
            <w:tcW w:w="4073" w:type="dxa"/>
          </w:tcPr>
          <w:p w14:paraId="5594D89B" w14:textId="77777777" w:rsidR="004F05D9" w:rsidRPr="001C655F" w:rsidRDefault="004F05D9">
            <w:pPr>
              <w:spacing w:after="160" w:line="259" w:lineRule="auto"/>
              <w:rPr>
                <w:i/>
              </w:rPr>
            </w:pPr>
            <w:r w:rsidRPr="001C655F">
              <w:rPr>
                <w:i/>
                <w:sz w:val="18"/>
                <w:lang w:val="en-GB"/>
              </w:rPr>
              <w:t>“</w:t>
            </w:r>
            <w:r w:rsidRPr="001C655F">
              <w:rPr>
                <w:i/>
                <w:sz w:val="18"/>
              </w:rPr>
              <w:t xml:space="preserve">(1) </w:t>
            </w:r>
            <w:r w:rsidRPr="001C655F">
              <w:rPr>
                <w:i/>
                <w:sz w:val="18"/>
                <w:lang w:val="en-GB"/>
              </w:rPr>
              <w:t>The approved provider of an education and care service must ensure that each child being educated and cared for by the education and care service has access to sufficient furniture, materials and developmentally appropriate equipment suitable for the education and care of that child.”</w:t>
            </w:r>
          </w:p>
        </w:tc>
      </w:tr>
      <w:tr w:rsidR="00814A4E" w14:paraId="30DFA965" w14:textId="77777777" w:rsidTr="00D87635">
        <w:tc>
          <w:tcPr>
            <w:tcW w:w="1473" w:type="dxa"/>
          </w:tcPr>
          <w:p w14:paraId="0E16EF84" w14:textId="77777777" w:rsidR="004F05D9" w:rsidRPr="001C655F" w:rsidRDefault="004F05D9">
            <w:pPr>
              <w:rPr>
                <w:b/>
              </w:rPr>
            </w:pPr>
            <w:r w:rsidRPr="001C655F">
              <w:rPr>
                <w:b/>
              </w:rPr>
              <w:lastRenderedPageBreak/>
              <w:t>r106</w:t>
            </w:r>
          </w:p>
        </w:tc>
        <w:tc>
          <w:tcPr>
            <w:tcW w:w="3385" w:type="dxa"/>
          </w:tcPr>
          <w:p w14:paraId="20EF5A45" w14:textId="77777777" w:rsidR="004F05D9" w:rsidRDefault="004F05D9">
            <w:r>
              <w:t>Laundry and hygiene facilities</w:t>
            </w:r>
          </w:p>
        </w:tc>
        <w:tc>
          <w:tcPr>
            <w:tcW w:w="4073" w:type="dxa"/>
          </w:tcPr>
          <w:p w14:paraId="1966CF34" w14:textId="77777777" w:rsidR="004F05D9" w:rsidRPr="001C655F" w:rsidRDefault="004F05D9">
            <w:pPr>
              <w:rPr>
                <w:i/>
              </w:rPr>
            </w:pPr>
            <w:r w:rsidRPr="001C655F">
              <w:rPr>
                <w:i/>
                <w:sz w:val="18"/>
              </w:rPr>
              <w:t>“(1) The approved provider of an education and care service must ensure that the service has--</w:t>
            </w:r>
          </w:p>
          <w:p w14:paraId="1827B1F8" w14:textId="77777777" w:rsidR="004F05D9" w:rsidRPr="001C655F" w:rsidRDefault="004F05D9">
            <w:pPr>
              <w:rPr>
                <w:i/>
              </w:rPr>
            </w:pPr>
            <w:r w:rsidRPr="001C655F">
              <w:rPr>
                <w:i/>
                <w:sz w:val="18"/>
              </w:rPr>
              <w:t>(a) laundry facilities or access to laundry facilities; or</w:t>
            </w:r>
          </w:p>
          <w:p w14:paraId="45E333C9" w14:textId="77777777" w:rsidR="004F05D9" w:rsidRPr="001C655F" w:rsidRDefault="004F05D9">
            <w:pPr>
              <w:rPr>
                <w:i/>
              </w:rPr>
            </w:pPr>
            <w:r w:rsidRPr="001C655F">
              <w:rPr>
                <w:i/>
                <w:sz w:val="18"/>
              </w:rPr>
              <w:t>(b) other arrangements for dealing with soiled clothing, nappies and linen, including hygienic facilities for storage prior to their disposal or laundering--</w:t>
            </w:r>
          </w:p>
          <w:p w14:paraId="384684CE" w14:textId="77777777" w:rsidR="004F05D9" w:rsidRPr="001C655F" w:rsidRDefault="004F05D9">
            <w:pPr>
              <w:rPr>
                <w:i/>
              </w:rPr>
            </w:pPr>
            <w:r w:rsidRPr="001C655F">
              <w:rPr>
                <w:i/>
                <w:sz w:val="18"/>
              </w:rPr>
              <w:t>that are adequate and appropriate for the needs of the service.</w:t>
            </w:r>
          </w:p>
          <w:p w14:paraId="0461A410" w14:textId="77777777" w:rsidR="004F05D9" w:rsidRPr="001C655F" w:rsidRDefault="004F05D9">
            <w:pPr>
              <w:rPr>
                <w:i/>
              </w:rPr>
            </w:pPr>
            <w:r w:rsidRPr="001C655F">
              <w:rPr>
                <w:i/>
                <w:sz w:val="18"/>
              </w:rPr>
              <w:t>(2) The approved provider of the service must ensure that laundry and hygienic facilities are located and maintained in a way that does not pose a risk to children.”</w:t>
            </w:r>
          </w:p>
        </w:tc>
      </w:tr>
      <w:tr w:rsidR="00814A4E" w14:paraId="6B3DCEEC" w14:textId="77777777" w:rsidTr="00D87635">
        <w:tc>
          <w:tcPr>
            <w:tcW w:w="1473" w:type="dxa"/>
          </w:tcPr>
          <w:p w14:paraId="0F724848" w14:textId="77777777" w:rsidR="004F05D9" w:rsidRPr="001C655F" w:rsidRDefault="004F05D9">
            <w:pPr>
              <w:rPr>
                <w:b/>
              </w:rPr>
            </w:pPr>
            <w:r w:rsidRPr="001C655F">
              <w:rPr>
                <w:b/>
              </w:rPr>
              <w:t>r107</w:t>
            </w:r>
          </w:p>
        </w:tc>
        <w:tc>
          <w:tcPr>
            <w:tcW w:w="3385" w:type="dxa"/>
          </w:tcPr>
          <w:p w14:paraId="2E4BBBAA" w14:textId="77777777" w:rsidR="004F05D9" w:rsidRDefault="004F05D9">
            <w:r w:rsidRPr="001D636F">
              <w:t>Space requirements--indoor space</w:t>
            </w:r>
          </w:p>
        </w:tc>
        <w:tc>
          <w:tcPr>
            <w:tcW w:w="4073" w:type="dxa"/>
          </w:tcPr>
          <w:p w14:paraId="2A6B2381" w14:textId="77777777" w:rsidR="004F05D9" w:rsidRPr="001C655F" w:rsidRDefault="004F05D9">
            <w:pPr>
              <w:rPr>
                <w:i/>
              </w:rPr>
            </w:pPr>
            <w:r w:rsidRPr="001C655F">
              <w:rPr>
                <w:i/>
                <w:sz w:val="18"/>
              </w:rPr>
              <w:t>“The approved provider of an education and care service must ensure that, for each child being educated and cared for by the service, the education and care service premises has at least 3.25 square metres of unencumbered indoor space.”</w:t>
            </w:r>
          </w:p>
        </w:tc>
      </w:tr>
      <w:tr w:rsidR="00814A4E" w14:paraId="03555643" w14:textId="77777777" w:rsidTr="00D87635">
        <w:tc>
          <w:tcPr>
            <w:tcW w:w="1473" w:type="dxa"/>
          </w:tcPr>
          <w:p w14:paraId="3D382361" w14:textId="77777777" w:rsidR="004F05D9" w:rsidRPr="001C655F" w:rsidRDefault="004F05D9">
            <w:pPr>
              <w:rPr>
                <w:b/>
              </w:rPr>
            </w:pPr>
            <w:r w:rsidRPr="001C655F">
              <w:rPr>
                <w:b/>
              </w:rPr>
              <w:t>r115</w:t>
            </w:r>
          </w:p>
        </w:tc>
        <w:tc>
          <w:tcPr>
            <w:tcW w:w="3385" w:type="dxa"/>
          </w:tcPr>
          <w:p w14:paraId="2DB20C97" w14:textId="77777777" w:rsidR="004F05D9" w:rsidRDefault="004F05D9">
            <w:r w:rsidRPr="001F44F8">
              <w:t>Premises designed to facilitate supervision</w:t>
            </w:r>
          </w:p>
        </w:tc>
        <w:tc>
          <w:tcPr>
            <w:tcW w:w="4073" w:type="dxa"/>
          </w:tcPr>
          <w:p w14:paraId="2299DA38" w14:textId="77777777" w:rsidR="004F05D9" w:rsidRPr="001C655F" w:rsidRDefault="004F05D9">
            <w:pPr>
              <w:spacing w:after="160" w:line="259" w:lineRule="auto"/>
              <w:rPr>
                <w:i/>
              </w:rPr>
            </w:pPr>
            <w:r w:rsidRPr="001C655F">
              <w:rPr>
                <w:i/>
                <w:sz w:val="18"/>
              </w:rPr>
              <w:t>“</w:t>
            </w:r>
            <w:r w:rsidRPr="001C655F">
              <w:rPr>
                <w:i/>
                <w:sz w:val="18"/>
                <w:lang w:val="en-GB"/>
              </w:rPr>
              <w:t>The approved provider of a centre-based service must ensure that the education and care service premises (including toilets and nappy change facilities) are designed and maintained in a way that facilitates supervision of children at all times that they are being educated and cared for by the service, having regard to the need to maintain the rights and dignity of the children.</w:t>
            </w:r>
            <w:r w:rsidRPr="001C655F">
              <w:rPr>
                <w:i/>
                <w:sz w:val="18"/>
              </w:rPr>
              <w:t>”</w:t>
            </w:r>
          </w:p>
        </w:tc>
      </w:tr>
      <w:tr w:rsidR="00814A4E" w14:paraId="4CA730B1" w14:textId="77777777" w:rsidTr="00D87635">
        <w:tc>
          <w:tcPr>
            <w:tcW w:w="1473" w:type="dxa"/>
          </w:tcPr>
          <w:p w14:paraId="7BDAF97D" w14:textId="77777777" w:rsidR="004F05D9" w:rsidRPr="001C655F" w:rsidRDefault="004F05D9">
            <w:pPr>
              <w:rPr>
                <w:b/>
              </w:rPr>
            </w:pPr>
            <w:r w:rsidRPr="001C655F">
              <w:rPr>
                <w:b/>
              </w:rPr>
              <w:t>s165</w:t>
            </w:r>
          </w:p>
        </w:tc>
        <w:tc>
          <w:tcPr>
            <w:tcW w:w="3385" w:type="dxa"/>
          </w:tcPr>
          <w:p w14:paraId="1AA2369D" w14:textId="77777777" w:rsidR="004F05D9" w:rsidRDefault="004F05D9">
            <w:r w:rsidRPr="00ED6299">
              <w:t>Offence to inadequately supervise children</w:t>
            </w:r>
          </w:p>
        </w:tc>
        <w:tc>
          <w:tcPr>
            <w:tcW w:w="4073" w:type="dxa"/>
          </w:tcPr>
          <w:p w14:paraId="5C15D55D" w14:textId="77777777" w:rsidR="004F05D9" w:rsidRPr="001C655F" w:rsidRDefault="004F05D9">
            <w:pPr>
              <w:rPr>
                <w:i/>
              </w:rPr>
            </w:pPr>
            <w:r w:rsidRPr="001C655F">
              <w:rPr>
                <w:i/>
                <w:sz w:val="18"/>
              </w:rPr>
              <w:t>“(1) The approved provider of an education and care service must ensure that all children being educated and cared for by the service are adequately supervised at all times that the children are in the care of that service.”</w:t>
            </w:r>
          </w:p>
        </w:tc>
      </w:tr>
      <w:tr w:rsidR="00814A4E" w14:paraId="33D8A036" w14:textId="77777777" w:rsidTr="00D87635">
        <w:tc>
          <w:tcPr>
            <w:tcW w:w="1473" w:type="dxa"/>
          </w:tcPr>
          <w:p w14:paraId="4503E352" w14:textId="77777777" w:rsidR="004F05D9" w:rsidRPr="001C655F" w:rsidRDefault="004F05D9">
            <w:pPr>
              <w:rPr>
                <w:b/>
              </w:rPr>
            </w:pPr>
            <w:r w:rsidRPr="001C655F">
              <w:rPr>
                <w:b/>
              </w:rPr>
              <w:t>s167</w:t>
            </w:r>
          </w:p>
        </w:tc>
        <w:tc>
          <w:tcPr>
            <w:tcW w:w="3385" w:type="dxa"/>
          </w:tcPr>
          <w:p w14:paraId="4134A5A5" w14:textId="77777777" w:rsidR="004F05D9" w:rsidRDefault="004F05D9">
            <w:r>
              <w:t>Offence relating to protection of children from harm and hazards</w:t>
            </w:r>
          </w:p>
        </w:tc>
        <w:tc>
          <w:tcPr>
            <w:tcW w:w="4073" w:type="dxa"/>
          </w:tcPr>
          <w:p w14:paraId="1BC37127" w14:textId="77777777" w:rsidR="004F05D9" w:rsidRPr="001C655F" w:rsidRDefault="004F05D9">
            <w:pPr>
              <w:rPr>
                <w:i/>
              </w:rPr>
            </w:pPr>
            <w:r w:rsidRPr="001C655F">
              <w:rPr>
                <w:i/>
                <w:sz w:val="18"/>
              </w:rPr>
              <w:t>“(1) The approved provider of an education and care service must ensure that every reasonable precaution is taken to protect children being educated and cared for by the service from harm and from any hazard likely to cause injury.”</w:t>
            </w:r>
          </w:p>
        </w:tc>
      </w:tr>
    </w:tbl>
    <w:p w14:paraId="246FEA0B" w14:textId="77777777" w:rsidR="004F05D9" w:rsidRDefault="004F05D9" w:rsidP="00411E28">
      <w:pPr>
        <w:pStyle w:val="NoSpacing"/>
        <w:rPr>
          <w:highlight w:val="cyan"/>
        </w:rPr>
      </w:pPr>
    </w:p>
    <w:p w14:paraId="7885E523" w14:textId="00149C49" w:rsidR="00B469E7" w:rsidRDefault="00711B45" w:rsidP="00711B45">
      <w:r w:rsidRPr="00FF40EE">
        <w:t xml:space="preserve">In addition to the above, </w:t>
      </w:r>
      <w:r w:rsidR="00FF40EE">
        <w:t xml:space="preserve">many mobile services currently funded through the CCCFR grant would face significant challenges in meeting relevant </w:t>
      </w:r>
      <w:r w:rsidR="008A3A97">
        <w:t xml:space="preserve">service requirements in relation to </w:t>
      </w:r>
      <w:r w:rsidR="00624B5A">
        <w:t xml:space="preserve">the </w:t>
      </w:r>
      <w:r w:rsidR="008A3A97">
        <w:t xml:space="preserve">physical environment, noting </w:t>
      </w:r>
      <w:r w:rsidR="00CD6E7C">
        <w:t>that these services often lack meaningful autonomy over the spaces in which they use (e.g.</w:t>
      </w:r>
      <w:r w:rsidR="00882E26">
        <w:t>,</w:t>
      </w:r>
      <w:r w:rsidR="00CD6E7C">
        <w:t xml:space="preserve"> </w:t>
      </w:r>
      <w:r w:rsidR="006A7312">
        <w:t xml:space="preserve">operating from a local community hall). </w:t>
      </w:r>
    </w:p>
    <w:p w14:paraId="65347C78" w14:textId="1CF9D9A4" w:rsidR="00711B45" w:rsidRPr="00FF40EE" w:rsidRDefault="006A7312" w:rsidP="00711B45">
      <w:r>
        <w:lastRenderedPageBreak/>
        <w:t xml:space="preserve">In addition, </w:t>
      </w:r>
      <w:r w:rsidR="00F83484">
        <w:t>while some states such as NSW have brought mobile services in line with the NQF through residual legislation,</w:t>
      </w:r>
      <w:r w:rsidR="00F83484">
        <w:rPr>
          <w:rStyle w:val="FootnoteReference"/>
        </w:rPr>
        <w:footnoteReference w:id="193"/>
      </w:r>
      <w:r w:rsidR="00B469E7">
        <w:t xml:space="preserve"> mobile services are still </w:t>
      </w:r>
      <w:r w:rsidR="0034687D">
        <w:t>formally</w:t>
      </w:r>
      <w:r w:rsidR="00B469E7">
        <w:t xml:space="preserve"> considered ‘out of scope’ of the NQF</w:t>
      </w:r>
      <w:r w:rsidR="0034687D">
        <w:t xml:space="preserve"> under the National Law and Regulations</w:t>
      </w:r>
      <w:r w:rsidR="00B87360">
        <w:t xml:space="preserve"> (as previously discussed in section </w:t>
      </w:r>
      <w:r w:rsidR="007A6F6D">
        <w:t>2.3.3)</w:t>
      </w:r>
      <w:r w:rsidR="0034687D">
        <w:t>.</w:t>
      </w:r>
      <w:r w:rsidR="0034687D">
        <w:rPr>
          <w:rStyle w:val="FootnoteReference"/>
        </w:rPr>
        <w:footnoteReference w:id="194"/>
      </w:r>
    </w:p>
    <w:p w14:paraId="1CADFB50" w14:textId="77777777" w:rsidR="00407120" w:rsidRDefault="00407120" w:rsidP="00685111">
      <w:pPr>
        <w:pStyle w:val="Heading4un-numbered"/>
      </w:pPr>
      <w:r>
        <w:t>Meeting provider and PMC obligations under the NQF</w:t>
      </w:r>
    </w:p>
    <w:p w14:paraId="598EF7F7" w14:textId="6B21BCF4" w:rsidR="00407120" w:rsidRDefault="00407120" w:rsidP="00407120">
      <w:r>
        <w:t>As discussed in relation to meeting provider obligations under the FAL, broader stakeholders identified potential barriers for CCCFR services in meeting provider governance aspects of the National Law and Regulations.</w:t>
      </w:r>
    </w:p>
    <w:p w14:paraId="5CCB98A5" w14:textId="13B75F78" w:rsidR="00407120" w:rsidRDefault="00407120" w:rsidP="00407120">
      <w:r>
        <w:t>Under section 12 of the National Law, provider approval may only be granted if the relevant state or territory regulatory authority is satisfied that the applicant (provider), as well as all identified PMC are “fit and proper” as determined by the regulatory authority.</w:t>
      </w:r>
      <w:r>
        <w:rPr>
          <w:rStyle w:val="FootnoteReference"/>
        </w:rPr>
        <w:footnoteReference w:id="195"/>
      </w:r>
      <w:r>
        <w:t xml:space="preserve"> </w:t>
      </w:r>
    </w:p>
    <w:p w14:paraId="09ABCA96" w14:textId="77777777" w:rsidR="00407120" w:rsidRDefault="00407120" w:rsidP="00407120">
      <w:r>
        <w:t>In addition, sections 14 and 15 provide regulatory authorities with the powers to seek information from applicants when assessing applications for approval, including requiring individuals to undertake an assessment of their knowledge of the NQF as part of the application process.</w:t>
      </w:r>
      <w:r>
        <w:rPr>
          <w:rStyle w:val="FootnoteReference"/>
        </w:rPr>
        <w:footnoteReference w:id="196"/>
      </w:r>
    </w:p>
    <w:p w14:paraId="1E878B66" w14:textId="31BC5F48" w:rsidR="00407120" w:rsidRDefault="00407120" w:rsidP="00407120">
      <w:pPr>
        <w:spacing w:after="160" w:line="259" w:lineRule="auto"/>
      </w:pPr>
      <w:r>
        <w:t xml:space="preserve">This fitness and propriety assessment enables regulatory authorities </w:t>
      </w:r>
      <w:r w:rsidRPr="00AC582E">
        <w:rPr>
          <w:i/>
          <w:iCs/>
        </w:rPr>
        <w:t>(i.e.</w:t>
      </w:r>
      <w:r w:rsidR="00FC24E4">
        <w:rPr>
          <w:i/>
          <w:iCs/>
        </w:rPr>
        <w:t>,</w:t>
      </w:r>
      <w:r w:rsidRPr="00AC582E">
        <w:rPr>
          <w:i/>
          <w:iCs/>
        </w:rPr>
        <w:t xml:space="preserve"> state and territory governments)</w:t>
      </w:r>
      <w:r>
        <w:t xml:space="preserve"> to consider, and in some cases refuse, an application if concerns arise prior to children attending a service. However, as transitioning to the NQF is assumed to require providers to formally apply for provider approval, ongoing challenges identified through consultation around adequately indicating and engaging PMCs may impact services’ ability to sufficiently meet application requirements set by regulatory authorities.</w:t>
      </w:r>
    </w:p>
    <w:p w14:paraId="4393C18B" w14:textId="604998E4" w:rsidR="008B7ED1" w:rsidRDefault="008B7ED1" w:rsidP="001A45AD">
      <w:pPr>
        <w:pStyle w:val="Heading4un-numbered"/>
      </w:pPr>
      <w:r>
        <w:t>Identified service-level barriers to compliance across the sector</w:t>
      </w:r>
    </w:p>
    <w:p w14:paraId="7D044443" w14:textId="741C0E6B" w:rsidR="00EF17D5" w:rsidRDefault="00EF17D5" w:rsidP="00411E28">
      <w:pPr>
        <w:rPr>
          <w:rFonts w:eastAsia="MingLiU" w:cs="Times New Roman"/>
        </w:rPr>
      </w:pPr>
      <w:r w:rsidRPr="00D3786F">
        <w:rPr>
          <w:rFonts w:eastAsia="MingLiU" w:cs="Times New Roman"/>
        </w:rPr>
        <w:t xml:space="preserve">In </w:t>
      </w:r>
      <w:r w:rsidRPr="001A45AD">
        <w:t xml:space="preserve">considering service-level barriers to compliance with the NQF, this review also considered summarised whole-of-sector data from the NQF Snapshot, published by ACECQA in October 2023. </w:t>
      </w:r>
      <w:r w:rsidRPr="001A45AD">
        <w:br/>
      </w:r>
      <w:r w:rsidRPr="001A45AD">
        <w:br/>
        <w:t>Accord</w:t>
      </w:r>
      <w:r>
        <w:rPr>
          <w:rFonts w:eastAsia="MingLiU" w:cs="Times New Roman"/>
        </w:rPr>
        <w:t>ing to the Q3 2023 report, services currently regulated under the NQF were most likely to not meet the following ten elements of the NQS.</w:t>
      </w:r>
    </w:p>
    <w:p w14:paraId="27BBB507" w14:textId="2B2DD991" w:rsidR="00EF17D5" w:rsidRPr="006613EA" w:rsidRDefault="001A45AD" w:rsidP="001A45AD">
      <w:pPr>
        <w:pStyle w:val="CaptionTable"/>
        <w:rPr>
          <w:rFonts w:eastAsia="MingLiU"/>
        </w:rPr>
      </w:pPr>
      <w:bookmarkStart w:id="340" w:name="_Toc158997971"/>
      <w:bookmarkStart w:id="341" w:name="_Toc167130717"/>
      <w:r w:rsidRPr="006613EA">
        <w:rPr>
          <w:rFonts w:eastAsia="MingLiU"/>
        </w:rPr>
        <w:t xml:space="preserve">: </w:t>
      </w:r>
      <w:r w:rsidR="00EF17D5" w:rsidRPr="006613EA">
        <w:rPr>
          <w:rFonts w:eastAsia="MingLiU"/>
        </w:rPr>
        <w:t>Elements most not met under NQS (as of Q3 2023)</w:t>
      </w:r>
      <w:bookmarkEnd w:id="340"/>
      <w:bookmarkEnd w:id="341"/>
    </w:p>
    <w:tbl>
      <w:tblPr>
        <w:tblStyle w:val="Deloittetable"/>
        <w:tblW w:w="9214" w:type="dxa"/>
        <w:tblLook w:val="04A0" w:firstRow="1" w:lastRow="0" w:firstColumn="1" w:lastColumn="0" w:noHBand="0" w:noVBand="1"/>
      </w:tblPr>
      <w:tblGrid>
        <w:gridCol w:w="1276"/>
        <w:gridCol w:w="6379"/>
        <w:gridCol w:w="1559"/>
      </w:tblGrid>
      <w:tr w:rsidR="00EF17D5" w14:paraId="6F59F350" w14:textId="77777777" w:rsidTr="00810018">
        <w:trPr>
          <w:cnfStyle w:val="100000000000" w:firstRow="1" w:lastRow="0" w:firstColumn="0" w:lastColumn="0" w:oddVBand="0" w:evenVBand="0" w:oddHBand="0" w:evenHBand="0" w:firstRowFirstColumn="0" w:firstRowLastColumn="0" w:lastRowFirstColumn="0" w:lastRowLastColumn="0"/>
        </w:trPr>
        <w:tc>
          <w:tcPr>
            <w:tcW w:w="1276" w:type="dxa"/>
          </w:tcPr>
          <w:p w14:paraId="671C9C97" w14:textId="77777777" w:rsidR="00EF17D5" w:rsidRPr="001C655F" w:rsidRDefault="00EF17D5" w:rsidP="00065B14">
            <w:pPr>
              <w:keepNext/>
              <w:keepLines/>
              <w:spacing w:after="0"/>
              <w:outlineLvl w:val="2"/>
              <w:rPr>
                <w:b/>
              </w:rPr>
            </w:pPr>
            <w:r w:rsidRPr="001C655F">
              <w:rPr>
                <w:b/>
              </w:rPr>
              <w:t>Element</w:t>
            </w:r>
          </w:p>
        </w:tc>
        <w:tc>
          <w:tcPr>
            <w:tcW w:w="6379" w:type="dxa"/>
          </w:tcPr>
          <w:p w14:paraId="4FB03EE5" w14:textId="77777777" w:rsidR="00EF17D5" w:rsidRPr="001C655F" w:rsidRDefault="00EF17D5" w:rsidP="00065B14">
            <w:pPr>
              <w:keepNext/>
              <w:keepLines/>
              <w:spacing w:after="0"/>
              <w:outlineLvl w:val="2"/>
              <w:rPr>
                <w:b/>
              </w:rPr>
            </w:pPr>
          </w:p>
        </w:tc>
        <w:tc>
          <w:tcPr>
            <w:tcW w:w="1559" w:type="dxa"/>
          </w:tcPr>
          <w:p w14:paraId="3769C291" w14:textId="77777777" w:rsidR="00EF17D5" w:rsidRPr="001C655F" w:rsidRDefault="00EF17D5" w:rsidP="00065B14">
            <w:pPr>
              <w:keepNext/>
              <w:keepLines/>
              <w:spacing w:after="0"/>
              <w:outlineLvl w:val="2"/>
              <w:rPr>
                <w:b/>
              </w:rPr>
            </w:pPr>
            <w:r w:rsidRPr="001C655F">
              <w:rPr>
                <w:b/>
              </w:rPr>
              <w:t>% not met</w:t>
            </w:r>
          </w:p>
        </w:tc>
      </w:tr>
      <w:tr w:rsidR="00EF17D5" w14:paraId="3F664B69" w14:textId="77777777" w:rsidTr="00810018">
        <w:tc>
          <w:tcPr>
            <w:tcW w:w="1276" w:type="dxa"/>
          </w:tcPr>
          <w:p w14:paraId="68D83E91" w14:textId="77777777" w:rsidR="00EF17D5" w:rsidRPr="001C655F" w:rsidRDefault="00EF17D5" w:rsidP="00065B14">
            <w:pPr>
              <w:keepNext/>
              <w:keepLines/>
              <w:spacing w:after="0"/>
              <w:outlineLvl w:val="2"/>
              <w:rPr>
                <w:b/>
              </w:rPr>
            </w:pPr>
            <w:r w:rsidRPr="001C655F">
              <w:rPr>
                <w:b/>
              </w:rPr>
              <w:t>1.3.1</w:t>
            </w:r>
          </w:p>
        </w:tc>
        <w:tc>
          <w:tcPr>
            <w:tcW w:w="6379" w:type="dxa"/>
          </w:tcPr>
          <w:p w14:paraId="4AE54047" w14:textId="77777777" w:rsidR="00EF17D5" w:rsidRDefault="00EF17D5" w:rsidP="00065B14">
            <w:pPr>
              <w:keepNext/>
              <w:keepLines/>
              <w:spacing w:after="0"/>
              <w:outlineLvl w:val="2"/>
              <w:rPr>
                <w:rFonts w:eastAsia="MingLiU" w:cs="Times New Roman"/>
              </w:rPr>
            </w:pPr>
            <w:r>
              <w:rPr>
                <w:rFonts w:eastAsia="MingLiU" w:cs="Times New Roman"/>
              </w:rPr>
              <w:t>Assessment and planning cycle</w:t>
            </w:r>
          </w:p>
        </w:tc>
        <w:tc>
          <w:tcPr>
            <w:tcW w:w="1559" w:type="dxa"/>
          </w:tcPr>
          <w:p w14:paraId="57DFCA72" w14:textId="77777777" w:rsidR="00EF17D5" w:rsidRDefault="00EF17D5" w:rsidP="00065B14">
            <w:pPr>
              <w:keepNext/>
              <w:keepLines/>
              <w:spacing w:after="0"/>
              <w:outlineLvl w:val="2"/>
              <w:rPr>
                <w:rFonts w:eastAsia="MingLiU" w:cs="Times New Roman"/>
              </w:rPr>
            </w:pPr>
            <w:r>
              <w:rPr>
                <w:rFonts w:eastAsia="MingLiU" w:cs="Times New Roman"/>
              </w:rPr>
              <w:t>5.7</w:t>
            </w:r>
          </w:p>
        </w:tc>
      </w:tr>
      <w:tr w:rsidR="00EF17D5" w14:paraId="692C2D21" w14:textId="77777777" w:rsidTr="00810018">
        <w:tc>
          <w:tcPr>
            <w:tcW w:w="1276" w:type="dxa"/>
          </w:tcPr>
          <w:p w14:paraId="5267C65F" w14:textId="77777777" w:rsidR="00EF17D5" w:rsidRPr="001C655F" w:rsidRDefault="00EF17D5" w:rsidP="00065B14">
            <w:pPr>
              <w:keepNext/>
              <w:keepLines/>
              <w:spacing w:after="0"/>
              <w:outlineLvl w:val="2"/>
              <w:rPr>
                <w:b/>
              </w:rPr>
            </w:pPr>
            <w:r w:rsidRPr="001C655F">
              <w:rPr>
                <w:b/>
              </w:rPr>
              <w:t>1.3.2</w:t>
            </w:r>
          </w:p>
        </w:tc>
        <w:tc>
          <w:tcPr>
            <w:tcW w:w="6379" w:type="dxa"/>
          </w:tcPr>
          <w:p w14:paraId="7232126F" w14:textId="77777777" w:rsidR="00EF17D5" w:rsidRDefault="00EF17D5" w:rsidP="00065B14">
            <w:pPr>
              <w:keepNext/>
              <w:keepLines/>
              <w:spacing w:after="0"/>
              <w:outlineLvl w:val="2"/>
              <w:rPr>
                <w:rFonts w:eastAsia="MingLiU" w:cs="Times New Roman"/>
              </w:rPr>
            </w:pPr>
            <w:r>
              <w:rPr>
                <w:rFonts w:eastAsia="MingLiU" w:cs="Times New Roman"/>
              </w:rPr>
              <w:t>Critical reflection</w:t>
            </w:r>
          </w:p>
        </w:tc>
        <w:tc>
          <w:tcPr>
            <w:tcW w:w="1559" w:type="dxa"/>
          </w:tcPr>
          <w:p w14:paraId="05FA2A0F" w14:textId="77777777" w:rsidR="00EF17D5" w:rsidRDefault="00EF17D5" w:rsidP="00065B14">
            <w:pPr>
              <w:keepNext/>
              <w:keepLines/>
              <w:spacing w:after="0"/>
              <w:outlineLvl w:val="2"/>
              <w:rPr>
                <w:rFonts w:eastAsia="MingLiU" w:cs="Times New Roman"/>
              </w:rPr>
            </w:pPr>
            <w:r>
              <w:rPr>
                <w:rFonts w:eastAsia="MingLiU" w:cs="Times New Roman"/>
              </w:rPr>
              <w:t>5.6</w:t>
            </w:r>
          </w:p>
        </w:tc>
      </w:tr>
      <w:tr w:rsidR="00EF17D5" w14:paraId="617F60CF" w14:textId="77777777" w:rsidTr="00810018">
        <w:tc>
          <w:tcPr>
            <w:tcW w:w="1276" w:type="dxa"/>
          </w:tcPr>
          <w:p w14:paraId="5ECC4738" w14:textId="77777777" w:rsidR="00EF17D5" w:rsidRPr="001C655F" w:rsidRDefault="00EF17D5" w:rsidP="00065B14">
            <w:pPr>
              <w:keepNext/>
              <w:keepLines/>
              <w:spacing w:after="0"/>
              <w:outlineLvl w:val="2"/>
              <w:rPr>
                <w:b/>
              </w:rPr>
            </w:pPr>
            <w:r w:rsidRPr="001C655F">
              <w:rPr>
                <w:b/>
              </w:rPr>
              <w:t>7.1.2</w:t>
            </w:r>
          </w:p>
        </w:tc>
        <w:tc>
          <w:tcPr>
            <w:tcW w:w="6379" w:type="dxa"/>
          </w:tcPr>
          <w:p w14:paraId="5DD50F53" w14:textId="77777777" w:rsidR="00EF17D5" w:rsidRDefault="00EF17D5" w:rsidP="00065B14">
            <w:pPr>
              <w:keepNext/>
              <w:keepLines/>
              <w:spacing w:after="0"/>
              <w:outlineLvl w:val="2"/>
              <w:rPr>
                <w:rFonts w:eastAsia="MingLiU" w:cs="Times New Roman"/>
              </w:rPr>
            </w:pPr>
            <w:r>
              <w:rPr>
                <w:rFonts w:eastAsia="MingLiU" w:cs="Times New Roman"/>
              </w:rPr>
              <w:t>Management systems</w:t>
            </w:r>
          </w:p>
        </w:tc>
        <w:tc>
          <w:tcPr>
            <w:tcW w:w="1559" w:type="dxa"/>
          </w:tcPr>
          <w:p w14:paraId="51B9D724" w14:textId="77777777" w:rsidR="00EF17D5" w:rsidRDefault="00EF17D5" w:rsidP="00065B14">
            <w:pPr>
              <w:keepNext/>
              <w:keepLines/>
              <w:spacing w:after="0"/>
              <w:outlineLvl w:val="2"/>
              <w:rPr>
                <w:rFonts w:eastAsia="MingLiU" w:cs="Times New Roman"/>
              </w:rPr>
            </w:pPr>
            <w:r>
              <w:rPr>
                <w:rFonts w:eastAsia="MingLiU" w:cs="Times New Roman"/>
              </w:rPr>
              <w:t>4.6</w:t>
            </w:r>
          </w:p>
        </w:tc>
      </w:tr>
      <w:tr w:rsidR="00EF17D5" w14:paraId="132A8A60" w14:textId="77777777" w:rsidTr="00810018">
        <w:tc>
          <w:tcPr>
            <w:tcW w:w="1276" w:type="dxa"/>
          </w:tcPr>
          <w:p w14:paraId="6EB1D224" w14:textId="77777777" w:rsidR="00EF17D5" w:rsidRPr="001C655F" w:rsidRDefault="00EF17D5" w:rsidP="00065B14">
            <w:pPr>
              <w:keepNext/>
              <w:keepLines/>
              <w:spacing w:after="0"/>
              <w:outlineLvl w:val="2"/>
              <w:rPr>
                <w:b/>
              </w:rPr>
            </w:pPr>
            <w:r w:rsidRPr="001C655F">
              <w:rPr>
                <w:b/>
              </w:rPr>
              <w:t>7.2.2</w:t>
            </w:r>
          </w:p>
        </w:tc>
        <w:tc>
          <w:tcPr>
            <w:tcW w:w="6379" w:type="dxa"/>
          </w:tcPr>
          <w:p w14:paraId="36D7B354" w14:textId="77777777" w:rsidR="00EF17D5" w:rsidRDefault="00EF17D5" w:rsidP="00065B14">
            <w:pPr>
              <w:keepNext/>
              <w:keepLines/>
              <w:spacing w:after="0"/>
              <w:outlineLvl w:val="2"/>
              <w:rPr>
                <w:rFonts w:eastAsia="MingLiU" w:cs="Times New Roman"/>
              </w:rPr>
            </w:pPr>
            <w:r>
              <w:rPr>
                <w:rFonts w:eastAsia="MingLiU" w:cs="Times New Roman"/>
              </w:rPr>
              <w:t>Educational leadership</w:t>
            </w:r>
          </w:p>
        </w:tc>
        <w:tc>
          <w:tcPr>
            <w:tcW w:w="1559" w:type="dxa"/>
          </w:tcPr>
          <w:p w14:paraId="0C0767EC" w14:textId="77777777" w:rsidR="00EF17D5" w:rsidRDefault="00EF17D5" w:rsidP="00065B14">
            <w:pPr>
              <w:keepNext/>
              <w:keepLines/>
              <w:spacing w:after="0"/>
              <w:outlineLvl w:val="2"/>
              <w:rPr>
                <w:rFonts w:eastAsia="MingLiU" w:cs="Times New Roman"/>
              </w:rPr>
            </w:pPr>
            <w:r>
              <w:rPr>
                <w:rFonts w:eastAsia="MingLiU" w:cs="Times New Roman"/>
              </w:rPr>
              <w:t>4.0</w:t>
            </w:r>
          </w:p>
        </w:tc>
      </w:tr>
      <w:tr w:rsidR="00EF17D5" w14:paraId="747C7185" w14:textId="77777777" w:rsidTr="00810018">
        <w:tc>
          <w:tcPr>
            <w:tcW w:w="1276" w:type="dxa"/>
          </w:tcPr>
          <w:p w14:paraId="620B3CD8" w14:textId="77777777" w:rsidR="00EF17D5" w:rsidRPr="001C655F" w:rsidRDefault="00EF17D5" w:rsidP="00065B14">
            <w:pPr>
              <w:keepNext/>
              <w:keepLines/>
              <w:spacing w:after="0"/>
              <w:outlineLvl w:val="2"/>
              <w:rPr>
                <w:b/>
              </w:rPr>
            </w:pPr>
            <w:r w:rsidRPr="001C655F">
              <w:rPr>
                <w:b/>
              </w:rPr>
              <w:t>2.1.2</w:t>
            </w:r>
          </w:p>
        </w:tc>
        <w:tc>
          <w:tcPr>
            <w:tcW w:w="6379" w:type="dxa"/>
          </w:tcPr>
          <w:p w14:paraId="642A1E9B" w14:textId="77777777" w:rsidR="00EF17D5" w:rsidRDefault="00EF17D5" w:rsidP="00065B14">
            <w:pPr>
              <w:keepNext/>
              <w:keepLines/>
              <w:spacing w:after="0"/>
              <w:outlineLvl w:val="2"/>
              <w:rPr>
                <w:rFonts w:eastAsia="MingLiU" w:cs="Times New Roman"/>
              </w:rPr>
            </w:pPr>
            <w:r>
              <w:rPr>
                <w:rFonts w:eastAsia="MingLiU" w:cs="Times New Roman"/>
              </w:rPr>
              <w:t>Health practices and procedures</w:t>
            </w:r>
          </w:p>
        </w:tc>
        <w:tc>
          <w:tcPr>
            <w:tcW w:w="1559" w:type="dxa"/>
          </w:tcPr>
          <w:p w14:paraId="3EE50EFA" w14:textId="77777777" w:rsidR="00EF17D5" w:rsidRDefault="00EF17D5" w:rsidP="00065B14">
            <w:pPr>
              <w:keepNext/>
              <w:keepLines/>
              <w:spacing w:after="0"/>
              <w:outlineLvl w:val="2"/>
              <w:rPr>
                <w:rFonts w:eastAsia="MingLiU" w:cs="Times New Roman"/>
              </w:rPr>
            </w:pPr>
            <w:r>
              <w:rPr>
                <w:rFonts w:eastAsia="MingLiU" w:cs="Times New Roman"/>
              </w:rPr>
              <w:t>3.9</w:t>
            </w:r>
          </w:p>
        </w:tc>
      </w:tr>
      <w:tr w:rsidR="00EF17D5" w14:paraId="78328436" w14:textId="77777777" w:rsidTr="00810018">
        <w:tc>
          <w:tcPr>
            <w:tcW w:w="1276" w:type="dxa"/>
          </w:tcPr>
          <w:p w14:paraId="651C0050" w14:textId="77777777" w:rsidR="00EF17D5" w:rsidRPr="001C655F" w:rsidRDefault="00EF17D5" w:rsidP="00065B14">
            <w:pPr>
              <w:keepNext/>
              <w:keepLines/>
              <w:spacing w:after="0"/>
              <w:outlineLvl w:val="2"/>
              <w:rPr>
                <w:b/>
              </w:rPr>
            </w:pPr>
            <w:r w:rsidRPr="001C655F">
              <w:rPr>
                <w:b/>
              </w:rPr>
              <w:t>2.2.1</w:t>
            </w:r>
          </w:p>
        </w:tc>
        <w:tc>
          <w:tcPr>
            <w:tcW w:w="6379" w:type="dxa"/>
          </w:tcPr>
          <w:p w14:paraId="7E44E6C8" w14:textId="77777777" w:rsidR="00EF17D5" w:rsidRDefault="00EF17D5" w:rsidP="00065B14">
            <w:pPr>
              <w:keepNext/>
              <w:keepLines/>
              <w:spacing w:after="0"/>
              <w:outlineLvl w:val="2"/>
              <w:rPr>
                <w:rFonts w:eastAsia="MingLiU" w:cs="Times New Roman"/>
              </w:rPr>
            </w:pPr>
            <w:r>
              <w:rPr>
                <w:rFonts w:eastAsia="MingLiU" w:cs="Times New Roman"/>
              </w:rPr>
              <w:t>Supervision</w:t>
            </w:r>
          </w:p>
        </w:tc>
        <w:tc>
          <w:tcPr>
            <w:tcW w:w="1559" w:type="dxa"/>
          </w:tcPr>
          <w:p w14:paraId="3456922C" w14:textId="77777777" w:rsidR="00EF17D5" w:rsidRDefault="00EF17D5" w:rsidP="00065B14">
            <w:pPr>
              <w:keepNext/>
              <w:keepLines/>
              <w:spacing w:after="0"/>
              <w:outlineLvl w:val="2"/>
              <w:rPr>
                <w:rFonts w:eastAsia="MingLiU" w:cs="Times New Roman"/>
              </w:rPr>
            </w:pPr>
            <w:r>
              <w:rPr>
                <w:rFonts w:eastAsia="MingLiU" w:cs="Times New Roman"/>
              </w:rPr>
              <w:t>3.8</w:t>
            </w:r>
          </w:p>
        </w:tc>
      </w:tr>
      <w:tr w:rsidR="00EF17D5" w14:paraId="00285813" w14:textId="77777777" w:rsidTr="00810018">
        <w:tc>
          <w:tcPr>
            <w:tcW w:w="1276" w:type="dxa"/>
          </w:tcPr>
          <w:p w14:paraId="450710D7" w14:textId="77777777" w:rsidR="00EF17D5" w:rsidRPr="001C655F" w:rsidRDefault="00EF17D5" w:rsidP="00065B14">
            <w:pPr>
              <w:keepNext/>
              <w:keepLines/>
              <w:spacing w:after="0"/>
              <w:outlineLvl w:val="2"/>
              <w:rPr>
                <w:b/>
              </w:rPr>
            </w:pPr>
            <w:r w:rsidRPr="001C655F">
              <w:rPr>
                <w:b/>
              </w:rPr>
              <w:t>7.2.3</w:t>
            </w:r>
          </w:p>
        </w:tc>
        <w:tc>
          <w:tcPr>
            <w:tcW w:w="6379" w:type="dxa"/>
          </w:tcPr>
          <w:p w14:paraId="3B1DE072" w14:textId="77777777" w:rsidR="00EF17D5" w:rsidRDefault="00EF17D5" w:rsidP="00065B14">
            <w:pPr>
              <w:keepNext/>
              <w:keepLines/>
              <w:spacing w:after="0"/>
              <w:outlineLvl w:val="2"/>
              <w:rPr>
                <w:rFonts w:eastAsia="MingLiU" w:cs="Times New Roman"/>
              </w:rPr>
            </w:pPr>
            <w:r>
              <w:rPr>
                <w:rFonts w:eastAsia="MingLiU" w:cs="Times New Roman"/>
              </w:rPr>
              <w:t xml:space="preserve">Development of professionals </w:t>
            </w:r>
          </w:p>
        </w:tc>
        <w:tc>
          <w:tcPr>
            <w:tcW w:w="1559" w:type="dxa"/>
          </w:tcPr>
          <w:p w14:paraId="0438552D" w14:textId="77777777" w:rsidR="00EF17D5" w:rsidRDefault="00EF17D5" w:rsidP="00065B14">
            <w:pPr>
              <w:keepNext/>
              <w:keepLines/>
              <w:spacing w:after="0"/>
              <w:outlineLvl w:val="2"/>
              <w:rPr>
                <w:rFonts w:eastAsia="MingLiU" w:cs="Times New Roman"/>
              </w:rPr>
            </w:pPr>
            <w:r>
              <w:rPr>
                <w:rFonts w:eastAsia="MingLiU" w:cs="Times New Roman"/>
              </w:rPr>
              <w:t>3.5</w:t>
            </w:r>
          </w:p>
        </w:tc>
      </w:tr>
      <w:tr w:rsidR="00EF17D5" w14:paraId="58959CF5" w14:textId="77777777" w:rsidTr="00810018">
        <w:tc>
          <w:tcPr>
            <w:tcW w:w="1276" w:type="dxa"/>
          </w:tcPr>
          <w:p w14:paraId="26C77146" w14:textId="77777777" w:rsidR="00EF17D5" w:rsidRPr="001C655F" w:rsidRDefault="00EF17D5" w:rsidP="00065B14">
            <w:pPr>
              <w:keepNext/>
              <w:keepLines/>
              <w:spacing w:after="0"/>
              <w:outlineLvl w:val="2"/>
              <w:rPr>
                <w:b/>
              </w:rPr>
            </w:pPr>
            <w:r w:rsidRPr="001C655F">
              <w:rPr>
                <w:b/>
              </w:rPr>
              <w:t>1.1.3</w:t>
            </w:r>
          </w:p>
        </w:tc>
        <w:tc>
          <w:tcPr>
            <w:tcW w:w="6379" w:type="dxa"/>
          </w:tcPr>
          <w:p w14:paraId="4C514FE4" w14:textId="5B875DB6" w:rsidR="00EF17D5" w:rsidRDefault="00EF17D5" w:rsidP="00065B14">
            <w:pPr>
              <w:keepNext/>
              <w:keepLines/>
              <w:spacing w:after="0"/>
              <w:outlineLvl w:val="2"/>
              <w:rPr>
                <w:rFonts w:eastAsia="MingLiU" w:cs="Times New Roman"/>
              </w:rPr>
            </w:pPr>
            <w:r>
              <w:rPr>
                <w:rFonts w:eastAsia="MingLiU" w:cs="Times New Roman"/>
              </w:rPr>
              <w:t xml:space="preserve">Program learning </w:t>
            </w:r>
            <w:r w:rsidR="00247D46">
              <w:rPr>
                <w:rFonts w:eastAsia="MingLiU" w:cs="Times New Roman"/>
              </w:rPr>
              <w:t>opportunities</w:t>
            </w:r>
            <w:r>
              <w:rPr>
                <w:rFonts w:eastAsia="MingLiU" w:cs="Times New Roman"/>
                <w:lang w:val="en-GB"/>
              </w:rPr>
              <w:t>s</w:t>
            </w:r>
            <w:r>
              <w:rPr>
                <w:rFonts w:eastAsia="MingLiU" w:cs="Times New Roman"/>
              </w:rPr>
              <w:t xml:space="preserve"> </w:t>
            </w:r>
          </w:p>
        </w:tc>
        <w:tc>
          <w:tcPr>
            <w:tcW w:w="1559" w:type="dxa"/>
          </w:tcPr>
          <w:p w14:paraId="6672AE4D" w14:textId="77777777" w:rsidR="00EF17D5" w:rsidRDefault="00EF17D5" w:rsidP="00065B14">
            <w:pPr>
              <w:keepNext/>
              <w:keepLines/>
              <w:spacing w:after="0"/>
              <w:outlineLvl w:val="2"/>
              <w:rPr>
                <w:rFonts w:eastAsia="MingLiU" w:cs="Times New Roman"/>
              </w:rPr>
            </w:pPr>
            <w:r>
              <w:rPr>
                <w:rFonts w:eastAsia="MingLiU" w:cs="Times New Roman"/>
              </w:rPr>
              <w:t>2.9</w:t>
            </w:r>
          </w:p>
        </w:tc>
      </w:tr>
      <w:tr w:rsidR="00EF17D5" w14:paraId="5BBFC6E1" w14:textId="77777777" w:rsidTr="00810018">
        <w:tc>
          <w:tcPr>
            <w:tcW w:w="1276" w:type="dxa"/>
          </w:tcPr>
          <w:p w14:paraId="7EB34CCD" w14:textId="77777777" w:rsidR="00EF17D5" w:rsidRPr="001C655F" w:rsidRDefault="00EF17D5" w:rsidP="00065B14">
            <w:pPr>
              <w:keepNext/>
              <w:keepLines/>
              <w:spacing w:after="0"/>
              <w:outlineLvl w:val="2"/>
              <w:rPr>
                <w:b/>
              </w:rPr>
            </w:pPr>
            <w:r w:rsidRPr="001C655F">
              <w:rPr>
                <w:b/>
              </w:rPr>
              <w:t>2.2.2</w:t>
            </w:r>
          </w:p>
        </w:tc>
        <w:tc>
          <w:tcPr>
            <w:tcW w:w="6379" w:type="dxa"/>
          </w:tcPr>
          <w:p w14:paraId="3F964098" w14:textId="77777777" w:rsidR="00EF17D5" w:rsidRDefault="00EF17D5" w:rsidP="00065B14">
            <w:pPr>
              <w:keepNext/>
              <w:keepLines/>
              <w:spacing w:after="0"/>
              <w:outlineLvl w:val="2"/>
              <w:rPr>
                <w:rFonts w:eastAsia="MingLiU" w:cs="Times New Roman"/>
              </w:rPr>
            </w:pPr>
            <w:r>
              <w:rPr>
                <w:rFonts w:eastAsia="MingLiU" w:cs="Times New Roman"/>
              </w:rPr>
              <w:t>Incident and emergency management</w:t>
            </w:r>
          </w:p>
        </w:tc>
        <w:tc>
          <w:tcPr>
            <w:tcW w:w="1559" w:type="dxa"/>
          </w:tcPr>
          <w:p w14:paraId="0238E542" w14:textId="77777777" w:rsidR="00EF17D5" w:rsidRDefault="00EF17D5" w:rsidP="00065B14">
            <w:pPr>
              <w:keepNext/>
              <w:keepLines/>
              <w:spacing w:after="0"/>
              <w:outlineLvl w:val="2"/>
              <w:rPr>
                <w:rFonts w:eastAsia="MingLiU" w:cs="Times New Roman"/>
              </w:rPr>
            </w:pPr>
            <w:r>
              <w:rPr>
                <w:rFonts w:eastAsia="MingLiU" w:cs="Times New Roman"/>
              </w:rPr>
              <w:t>2.6</w:t>
            </w:r>
          </w:p>
        </w:tc>
      </w:tr>
      <w:tr w:rsidR="00EF17D5" w14:paraId="0D4CF317" w14:textId="77777777" w:rsidTr="00810018">
        <w:tc>
          <w:tcPr>
            <w:tcW w:w="1276" w:type="dxa"/>
          </w:tcPr>
          <w:p w14:paraId="673D7E87" w14:textId="77777777" w:rsidR="00EF17D5" w:rsidRPr="001C655F" w:rsidRDefault="00EF17D5" w:rsidP="00065B14">
            <w:pPr>
              <w:keepNext/>
              <w:keepLines/>
              <w:spacing w:after="0"/>
              <w:outlineLvl w:val="2"/>
              <w:rPr>
                <w:b/>
              </w:rPr>
            </w:pPr>
            <w:r w:rsidRPr="001C655F">
              <w:rPr>
                <w:b/>
              </w:rPr>
              <w:t>4.1.1</w:t>
            </w:r>
          </w:p>
        </w:tc>
        <w:tc>
          <w:tcPr>
            <w:tcW w:w="6379" w:type="dxa"/>
          </w:tcPr>
          <w:p w14:paraId="3D2BFB40" w14:textId="77777777" w:rsidR="00EF17D5" w:rsidRDefault="00EF17D5" w:rsidP="00065B14">
            <w:pPr>
              <w:keepNext/>
              <w:keepLines/>
              <w:spacing w:after="0"/>
              <w:outlineLvl w:val="2"/>
              <w:rPr>
                <w:rFonts w:eastAsia="MingLiU" w:cs="Times New Roman"/>
              </w:rPr>
            </w:pPr>
            <w:r>
              <w:rPr>
                <w:rFonts w:eastAsia="MingLiU" w:cs="Times New Roman"/>
              </w:rPr>
              <w:t>Organisation of educators</w:t>
            </w:r>
          </w:p>
        </w:tc>
        <w:tc>
          <w:tcPr>
            <w:tcW w:w="1559" w:type="dxa"/>
          </w:tcPr>
          <w:p w14:paraId="5B52A9E7" w14:textId="77777777" w:rsidR="00EF17D5" w:rsidRDefault="00EF17D5" w:rsidP="00065B14">
            <w:pPr>
              <w:keepNext/>
              <w:keepLines/>
              <w:spacing w:after="0"/>
              <w:outlineLvl w:val="2"/>
              <w:rPr>
                <w:rFonts w:eastAsia="MingLiU" w:cs="Times New Roman"/>
              </w:rPr>
            </w:pPr>
            <w:r>
              <w:rPr>
                <w:rFonts w:eastAsia="MingLiU" w:cs="Times New Roman"/>
              </w:rPr>
              <w:t>2.3</w:t>
            </w:r>
          </w:p>
        </w:tc>
      </w:tr>
    </w:tbl>
    <w:p w14:paraId="5C16699C" w14:textId="77777777" w:rsidR="00EF17D5" w:rsidRPr="00F6672B" w:rsidRDefault="00EF17D5" w:rsidP="007B29B6">
      <w:pPr>
        <w:pStyle w:val="Source"/>
      </w:pPr>
      <w:r w:rsidRPr="00F6672B">
        <w:t>Source: Deloitte Access Economics (table adapted from ACECQA’s NQF Snapshot Q3 2023)</w:t>
      </w:r>
    </w:p>
    <w:p w14:paraId="670B8A80" w14:textId="11BD4FBD" w:rsidR="004F05D9" w:rsidRPr="00514F6E" w:rsidRDefault="00EF17D5" w:rsidP="007B29B6">
      <w:pPr>
        <w:rPr>
          <w:rFonts w:eastAsia="MingLiU" w:cs="Times New Roman"/>
        </w:rPr>
      </w:pPr>
      <w:r>
        <w:rPr>
          <w:rFonts w:eastAsia="MingLiU" w:cs="Times New Roman"/>
        </w:rPr>
        <w:t xml:space="preserve">Recognising services within the context of the current early childhood sector, as well as broader challenges facing services in relation to attracting and retaining qualified early childhood educators </w:t>
      </w:r>
      <w:r>
        <w:rPr>
          <w:rFonts w:eastAsia="MingLiU" w:cs="Times New Roman"/>
        </w:rPr>
        <w:lastRenderedPageBreak/>
        <w:t>and staff, it is assumed that CCCFR services would face similar challenges if transitioned to the NQF.</w:t>
      </w:r>
    </w:p>
    <w:p w14:paraId="30ADF0C9" w14:textId="4FD89F84" w:rsidR="00F56937" w:rsidRDefault="0056325B" w:rsidP="001A3CFC">
      <w:pPr>
        <w:pStyle w:val="Heading3"/>
        <w:spacing w:after="170"/>
      </w:pPr>
      <w:r>
        <w:t xml:space="preserve">Broader, systemic barriers to </w:t>
      </w:r>
      <w:r w:rsidR="00E2171E">
        <w:t xml:space="preserve">meeting the </w:t>
      </w:r>
      <w:r w:rsidR="00B7529C">
        <w:t>National Quality Standard</w:t>
      </w:r>
    </w:p>
    <w:tbl>
      <w:tblPr>
        <w:tblStyle w:val="TableGrid"/>
        <w:tblW w:w="0" w:type="auto"/>
        <w:shd w:val="clear" w:color="auto" w:fill="E7F5CF"/>
        <w:tblCellMar>
          <w:top w:w="113" w:type="dxa"/>
          <w:left w:w="113" w:type="dxa"/>
          <w:bottom w:w="113" w:type="dxa"/>
          <w:right w:w="113" w:type="dxa"/>
        </w:tblCellMar>
        <w:tblLook w:val="04A0" w:firstRow="1" w:lastRow="0" w:firstColumn="1" w:lastColumn="0" w:noHBand="0" w:noVBand="1"/>
      </w:tblPr>
      <w:tblGrid>
        <w:gridCol w:w="9026"/>
      </w:tblGrid>
      <w:tr w:rsidR="00F56937" w14:paraId="0BB95D04" w14:textId="77777777" w:rsidTr="00556184">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cPr>
          <w:p w14:paraId="5841A836" w14:textId="4504C369" w:rsidR="00F56937" w:rsidRPr="009E424E" w:rsidRDefault="00F56937" w:rsidP="00F56937">
            <w:pPr>
              <w:spacing w:after="120"/>
              <w:rPr>
                <w:b/>
                <w:bCs/>
              </w:rPr>
            </w:pPr>
            <w:r w:rsidRPr="009E424E">
              <w:rPr>
                <w:b/>
                <w:bCs/>
              </w:rPr>
              <w:t xml:space="preserve">Review finding </w:t>
            </w:r>
            <w:r w:rsidR="00AE2D39">
              <w:rPr>
                <w:b/>
                <w:bCs/>
              </w:rPr>
              <w:t>29</w:t>
            </w:r>
          </w:p>
          <w:p w14:paraId="283B730C" w14:textId="30498EB8" w:rsidR="00F56937" w:rsidRDefault="003B2406" w:rsidP="00E54CB1">
            <w:pPr>
              <w:spacing w:after="120"/>
            </w:pPr>
            <w:r w:rsidRPr="003B2406">
              <w:t>While there is mixed evidence within current research, CCCFR services may face broader, systemic barriers to achieving the National Quality Standard (NQS) and broader requirements under the National Law and Regulations (NQF).</w:t>
            </w:r>
          </w:p>
        </w:tc>
      </w:tr>
    </w:tbl>
    <w:p w14:paraId="33F2B5E9" w14:textId="3F4FC5F3" w:rsidR="000C3E93" w:rsidRPr="007B29B6" w:rsidRDefault="000C3E93" w:rsidP="007B29B6">
      <w:pPr>
        <w:rPr>
          <w:rFonts w:eastAsia="MingLiU" w:cs="Times New Roman"/>
          <w:b/>
        </w:rPr>
      </w:pPr>
      <w:r>
        <w:br/>
      </w:r>
      <w:r w:rsidRPr="00C81B54">
        <w:rPr>
          <w:b/>
          <w:bCs/>
        </w:rPr>
        <w:t>Supporting evidence for this finding is drawn from consultations</w:t>
      </w:r>
      <w:r>
        <w:rPr>
          <w:b/>
          <w:bCs/>
        </w:rPr>
        <w:t xml:space="preserve"> and literature analysis </w:t>
      </w:r>
    </w:p>
    <w:p w14:paraId="04878831" w14:textId="2A1B4B2C" w:rsidR="007405DF" w:rsidRDefault="00C17B57" w:rsidP="009B2791">
      <w:r>
        <w:t xml:space="preserve">While CCCFR services </w:t>
      </w:r>
      <w:r w:rsidR="005B588F">
        <w:t xml:space="preserve">may address service-level barriers to meeting requirements under the National Law and Regulations, </w:t>
      </w:r>
      <w:r w:rsidR="00016DD1">
        <w:t>current</w:t>
      </w:r>
      <w:r w:rsidR="005B588F">
        <w:t xml:space="preserve"> ECEC </w:t>
      </w:r>
      <w:r w:rsidR="00016DD1">
        <w:t xml:space="preserve">research </w:t>
      </w:r>
      <w:r w:rsidR="005B588F">
        <w:t xml:space="preserve">in Australia </w:t>
      </w:r>
      <w:r w:rsidR="00016DD1">
        <w:t>and abroad</w:t>
      </w:r>
      <w:r w:rsidR="005B588F">
        <w:t xml:space="preserve"> indicates that services may be affected by broader, systemic barriers to </w:t>
      </w:r>
      <w:r w:rsidR="00016DD1">
        <w:t>quality.</w:t>
      </w:r>
      <w:r w:rsidR="007405DF">
        <w:t xml:space="preserve"> Within the context of </w:t>
      </w:r>
      <w:r w:rsidR="00016DD1">
        <w:t>the CCCFR grant, two potential barriers have been noted below.</w:t>
      </w:r>
    </w:p>
    <w:p w14:paraId="2FDDC153" w14:textId="61D13012" w:rsidR="00016DD1" w:rsidRDefault="00016DD1" w:rsidP="001F543F">
      <w:pPr>
        <w:pStyle w:val="Heading4un-numbered"/>
      </w:pPr>
      <w:r>
        <w:t xml:space="preserve">Degree of </w:t>
      </w:r>
      <w:r w:rsidR="00AC72FD">
        <w:t>geographical isolation</w:t>
      </w:r>
      <w:r>
        <w:t xml:space="preserve"> </w:t>
      </w:r>
    </w:p>
    <w:p w14:paraId="4C8C945D" w14:textId="1FA2D5E8" w:rsidR="00016DD1" w:rsidRDefault="007E451D" w:rsidP="009B2791">
      <w:r>
        <w:t>T</w:t>
      </w:r>
      <w:r w:rsidR="00C30E73">
        <w:t xml:space="preserve">here is mixed evidence </w:t>
      </w:r>
      <w:r>
        <w:t xml:space="preserve">within current Australian ECEC research </w:t>
      </w:r>
      <w:r w:rsidR="00C30E73">
        <w:t xml:space="preserve">around the effect to which geographic isolation (i.e. regional and remote settings) impacts services’ ability to meet </w:t>
      </w:r>
      <w:r w:rsidR="00B7529C">
        <w:t>the NQS.</w:t>
      </w:r>
    </w:p>
    <w:p w14:paraId="7E2F02C1" w14:textId="43EE1E8B" w:rsidR="007E451D" w:rsidRPr="00B7529C" w:rsidRDefault="004926F0" w:rsidP="009B2791">
      <w:r>
        <w:t xml:space="preserve">In undertaking research around structures and systems influencing quality in Australian ECEC, Harrison et al. </w:t>
      </w:r>
      <w:r w:rsidR="00AC72FD">
        <w:t xml:space="preserve">determined that state/territory jurisdiction, </w:t>
      </w:r>
      <w:r w:rsidR="00860863">
        <w:t>socio-economic status of the local community</w:t>
      </w:r>
      <w:r w:rsidR="00AC72FD">
        <w:t xml:space="preserve">, the type and size of provider, and the size of the service impacted its ability to improve quality </w:t>
      </w:r>
      <w:r w:rsidR="004B596F">
        <w:t>in line with the</w:t>
      </w:r>
      <w:r w:rsidR="001F543F">
        <w:t xml:space="preserve"> </w:t>
      </w:r>
      <w:r w:rsidR="004B596F">
        <w:t>NQS</w:t>
      </w:r>
      <w:r w:rsidR="00AC72FD">
        <w:t>.</w:t>
      </w:r>
      <w:r w:rsidR="00EA2167">
        <w:rPr>
          <w:rStyle w:val="FootnoteReference"/>
        </w:rPr>
        <w:footnoteReference w:id="197"/>
      </w:r>
      <w:r w:rsidR="004B596F">
        <w:t xml:space="preserve"> </w:t>
      </w:r>
      <w:r w:rsidR="00902544">
        <w:t>T</w:t>
      </w:r>
      <w:r w:rsidR="00941696">
        <w:t>he study extended on previous research by Thorpe et al.</w:t>
      </w:r>
      <w:r w:rsidR="00941696">
        <w:rPr>
          <w:rStyle w:val="FootnoteReference"/>
        </w:rPr>
        <w:footnoteReference w:id="198"/>
      </w:r>
      <w:r w:rsidR="00941696">
        <w:t>, which</w:t>
      </w:r>
      <w:r w:rsidR="004B596F">
        <w:t xml:space="preserve"> also</w:t>
      </w:r>
      <w:r w:rsidR="00941696">
        <w:t xml:space="preserve"> reported little variance in </w:t>
      </w:r>
      <w:r w:rsidR="004B596F">
        <w:t>Quality Rating</w:t>
      </w:r>
      <w:r w:rsidR="00941696">
        <w:t xml:space="preserve"> awarded</w:t>
      </w:r>
      <w:r w:rsidR="004B596F">
        <w:t xml:space="preserve"> to services</w:t>
      </w:r>
      <w:r w:rsidR="00941696">
        <w:t xml:space="preserve"> across metropolitan, regional and remote settings.</w:t>
      </w:r>
      <w:r w:rsidR="00693A3A">
        <w:t xml:space="preserve"> However, </w:t>
      </w:r>
      <w:r w:rsidR="00EB6F61">
        <w:t>when discussing their findings, the authors highlighted</w:t>
      </w:r>
      <w:r w:rsidR="00693A3A">
        <w:t xml:space="preserve"> that </w:t>
      </w:r>
      <w:r w:rsidR="008311FD">
        <w:t>services</w:t>
      </w:r>
      <w:r w:rsidR="00F86B9E">
        <w:t xml:space="preserve"> operated by larger providers</w:t>
      </w:r>
      <w:r w:rsidR="008311FD">
        <w:t xml:space="preserve"> were likely to improve from working </w:t>
      </w:r>
      <w:r w:rsidR="008311FD" w:rsidRPr="00B7529C">
        <w:t xml:space="preserve">Towards NQS to Exceeding than </w:t>
      </w:r>
      <w:r w:rsidR="00F86B9E" w:rsidRPr="00B7529C">
        <w:t>single, standalone services</w:t>
      </w:r>
      <w:r w:rsidR="008855F6" w:rsidRPr="00B7529C">
        <w:t xml:space="preserve"> due to economies of scale and access to broader resources.</w:t>
      </w:r>
      <w:r w:rsidR="001C50E2" w:rsidRPr="00B7529C">
        <w:rPr>
          <w:rStyle w:val="FootnoteReference"/>
        </w:rPr>
        <w:footnoteReference w:id="199"/>
      </w:r>
      <w:r w:rsidR="008855F6" w:rsidRPr="00B7529C">
        <w:t xml:space="preserve"> Acknowledging that</w:t>
      </w:r>
      <w:r w:rsidR="00F86B9E" w:rsidRPr="00B7529C">
        <w:t xml:space="preserve"> the majority of CCCFR services </w:t>
      </w:r>
      <w:r w:rsidR="008855F6" w:rsidRPr="00B7529C">
        <w:t>are</w:t>
      </w:r>
      <w:r w:rsidR="00F86B9E" w:rsidRPr="00B7529C">
        <w:t xml:space="preserve"> standalone </w:t>
      </w:r>
      <w:r w:rsidR="008855F6" w:rsidRPr="00B7529C">
        <w:t>settings,</w:t>
      </w:r>
      <w:r w:rsidR="00F86B9E" w:rsidRPr="00B7529C">
        <w:t xml:space="preserve"> </w:t>
      </w:r>
      <w:r w:rsidR="001C50E2" w:rsidRPr="00B7529C">
        <w:t>this finding may indicate underlying inequities associated with quality uplift and meeting the NQS.</w:t>
      </w:r>
    </w:p>
    <w:p w14:paraId="228F6FC4" w14:textId="1350DCFB" w:rsidR="00902544" w:rsidRDefault="00545CEF" w:rsidP="009B2791">
      <w:r>
        <w:t>In line with studies from the United States and China indicated the degree of urbanisation as a factor impacting service quality,</w:t>
      </w:r>
      <w:r w:rsidR="00514645">
        <w:t xml:space="preserve"> data provided through the National Workforce Strategy indicates that services in </w:t>
      </w:r>
      <w:r w:rsidR="00A35D71">
        <w:t xml:space="preserve">remote and very remote Australia are more likely to be rated as Working Towards the NQS than </w:t>
      </w:r>
      <w:r w:rsidR="00556BE3">
        <w:t>metropolitan services, particularly for standalone services</w:t>
      </w:r>
      <w:r w:rsidR="00FB27BA">
        <w:t xml:space="preserve"> </w:t>
      </w:r>
      <w:r w:rsidR="00FB27BA" w:rsidRPr="006613EA">
        <w:t>(</w:t>
      </w:r>
      <w:r w:rsidR="00FB27BA" w:rsidRPr="006613EA">
        <w:fldChar w:fldCharType="begin"/>
      </w:r>
      <w:r w:rsidR="00FB27BA" w:rsidRPr="006613EA">
        <w:instrText xml:space="preserve"> REF _Ref153380037 \r \h </w:instrText>
      </w:r>
      <w:r w:rsidR="00486B3C" w:rsidRPr="006613EA">
        <w:instrText xml:space="preserve"> \* MERGEFORMAT </w:instrText>
      </w:r>
      <w:r w:rsidR="00FB27BA" w:rsidRPr="006613EA">
        <w:fldChar w:fldCharType="separate"/>
      </w:r>
      <w:r w:rsidR="00D300D0">
        <w:t>Chart 7.2</w:t>
      </w:r>
      <w:r w:rsidR="00FB27BA" w:rsidRPr="006613EA">
        <w:fldChar w:fldCharType="end"/>
      </w:r>
      <w:r w:rsidR="00FB27BA" w:rsidRPr="006613EA">
        <w:t>)</w:t>
      </w:r>
      <w:r w:rsidR="00556BE3" w:rsidRPr="006613EA">
        <w:t>.</w:t>
      </w:r>
      <w:r w:rsidR="00556BE3" w:rsidRPr="006613EA">
        <w:rPr>
          <w:rStyle w:val="FootnoteReference"/>
        </w:rPr>
        <w:footnoteReference w:id="200"/>
      </w:r>
    </w:p>
    <w:p w14:paraId="3C4AAC51" w14:textId="7FDD9750" w:rsidR="00CE1E60" w:rsidRPr="006613EA" w:rsidRDefault="00CE1E60" w:rsidP="00CE1E60">
      <w:pPr>
        <w:pStyle w:val="CaptionChart"/>
      </w:pPr>
      <w:bookmarkStart w:id="342" w:name="_Ref153380037"/>
      <w:bookmarkStart w:id="343" w:name="_Toc158997941"/>
      <w:bookmarkStart w:id="344" w:name="_Toc167130560"/>
      <w:r w:rsidRPr="006613EA">
        <w:lastRenderedPageBreak/>
        <w:t xml:space="preserve">: </w:t>
      </w:r>
      <w:r w:rsidR="00C75720" w:rsidRPr="006613EA">
        <w:t>Proportion of services rated working towards NQS</w:t>
      </w:r>
      <w:bookmarkEnd w:id="342"/>
      <w:bookmarkEnd w:id="343"/>
      <w:bookmarkEnd w:id="344"/>
    </w:p>
    <w:p w14:paraId="6A70E428" w14:textId="3B680068" w:rsidR="00C72153" w:rsidRPr="00C72153" w:rsidRDefault="00925807" w:rsidP="00C72153">
      <w:r w:rsidRPr="00925807">
        <w:rPr>
          <w:noProof/>
        </w:rPr>
        <w:drawing>
          <wp:inline distT="0" distB="0" distL="0" distR="0" wp14:anchorId="672C0834" wp14:editId="1A41C676">
            <wp:extent cx="4595854" cy="3061261"/>
            <wp:effectExtent l="0" t="0" r="0" b="0"/>
            <wp:docPr id="55" name="Picture 55" descr="Chart showing the percentage of services rated working towards the NQS across different regions, comparing single-service provider services and multi-service provid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showing the percentage of services rated working towards the NQS across different regions, comparing single-service provider services and multi-service provider services"/>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97285" cy="3062214"/>
                    </a:xfrm>
                    <a:prstGeom prst="rect">
                      <a:avLst/>
                    </a:prstGeom>
                    <a:noFill/>
                    <a:ln>
                      <a:noFill/>
                    </a:ln>
                  </pic:spPr>
                </pic:pic>
              </a:graphicData>
            </a:graphic>
          </wp:inline>
        </w:drawing>
      </w:r>
    </w:p>
    <w:p w14:paraId="4CE23509" w14:textId="055679A0" w:rsidR="00C75720" w:rsidRPr="002B5516" w:rsidRDefault="00C75720" w:rsidP="009B2791">
      <w:pPr>
        <w:rPr>
          <w:color w:val="57595C" w:themeColor="accent6" w:themeShade="BF"/>
          <w:sz w:val="16"/>
          <w:szCs w:val="16"/>
        </w:rPr>
      </w:pPr>
      <w:r w:rsidRPr="002B5516">
        <w:rPr>
          <w:color w:val="57595C" w:themeColor="accent6" w:themeShade="BF"/>
          <w:sz w:val="16"/>
          <w:szCs w:val="16"/>
        </w:rPr>
        <w:t>Source: ACECQA, NQF Snapshot as of 30 September 2019</w:t>
      </w:r>
    </w:p>
    <w:p w14:paraId="4D286707" w14:textId="0481EA3C" w:rsidR="00B7529C" w:rsidRPr="00B7529C" w:rsidRDefault="0009602A" w:rsidP="00AC72FD">
      <w:r>
        <w:t>During interviews for</w:t>
      </w:r>
      <w:r w:rsidR="00EF74F8">
        <w:t xml:space="preserve"> the research project</w:t>
      </w:r>
      <w:r w:rsidR="00D34917">
        <w:t xml:space="preserve"> </w:t>
      </w:r>
      <w:r w:rsidR="00D34917" w:rsidRPr="00B7529C">
        <w:t>into</w:t>
      </w:r>
      <w:r>
        <w:t xml:space="preserve"> highly-rated</w:t>
      </w:r>
      <w:r w:rsidR="00D34917" w:rsidRPr="00B7529C">
        <w:t xml:space="preserve"> LDC services</w:t>
      </w:r>
      <w:r w:rsidR="00EF74F8">
        <w:t>,</w:t>
      </w:r>
      <w:r w:rsidR="003D5875" w:rsidRPr="00B7529C">
        <w:t xml:space="preserve"> a service director at a service in a rural remote town in the N</w:t>
      </w:r>
      <w:r w:rsidR="00FB27BA">
        <w:t xml:space="preserve">orthern </w:t>
      </w:r>
      <w:r w:rsidR="003D5875" w:rsidRPr="00B7529C">
        <w:t>T</w:t>
      </w:r>
      <w:r w:rsidR="00FB27BA">
        <w:t>erritory</w:t>
      </w:r>
      <w:r w:rsidR="003D5875" w:rsidRPr="00B7529C">
        <w:t xml:space="preserve"> noted</w:t>
      </w:r>
      <w:r w:rsidR="006067BA" w:rsidRPr="00B7529C">
        <w:t xml:space="preserve"> </w:t>
      </w:r>
      <w:r w:rsidR="00E63904" w:rsidRPr="00B7529C">
        <w:t>“</w:t>
      </w:r>
      <w:r w:rsidR="00EF74F8" w:rsidRPr="00B7529C">
        <w:t xml:space="preserve">that the assessment and rating process and </w:t>
      </w:r>
      <w:r w:rsidR="00E63904" w:rsidRPr="00B7529C">
        <w:t>the seven quality standards of the NQS do not consider the significant community issues that are prominent in remote areas of the Northern Territory that impact the quality of a service”</w:t>
      </w:r>
      <w:r w:rsidR="00B7576B" w:rsidRPr="00B7529C">
        <w:t>.</w:t>
      </w:r>
      <w:r w:rsidR="00E63904" w:rsidRPr="00B7529C">
        <w:rPr>
          <w:rStyle w:val="FootnoteReference"/>
        </w:rPr>
        <w:footnoteReference w:id="201"/>
      </w:r>
      <w:r w:rsidR="00D74211" w:rsidRPr="00B7529C">
        <w:t xml:space="preserve"> Furthermore, the</w:t>
      </w:r>
      <w:r w:rsidR="005D09DF" w:rsidRPr="00B7529C">
        <w:t xml:space="preserve"> service</w:t>
      </w:r>
      <w:r w:rsidR="00D74211" w:rsidRPr="00B7529C">
        <w:t xml:space="preserve"> director </w:t>
      </w:r>
      <w:r w:rsidR="002516AA" w:rsidRPr="00B7529C">
        <w:t xml:space="preserve">noted she was aware of services in remote communities where there was limited literacy </w:t>
      </w:r>
      <w:r w:rsidR="005D09DF" w:rsidRPr="00B7529C">
        <w:t>and proficiency in English, and argued that</w:t>
      </w:r>
      <w:r w:rsidR="000A4A5B" w:rsidRPr="00B7529C">
        <w:t xml:space="preserve"> documentation and evidence requirements as part of the assessment and rating (A&amp;R) </w:t>
      </w:r>
      <w:r w:rsidR="000C00F4" w:rsidRPr="00B7529C">
        <w:t xml:space="preserve">were </w:t>
      </w:r>
      <w:r w:rsidR="005246B5" w:rsidRPr="00B7529C">
        <w:t>incongruent</w:t>
      </w:r>
      <w:r w:rsidR="000C00F4" w:rsidRPr="00B7529C">
        <w:t xml:space="preserve"> with </w:t>
      </w:r>
      <w:r w:rsidR="005246B5" w:rsidRPr="00B7529C">
        <w:t>services’ engagement with families</w:t>
      </w:r>
      <w:r w:rsidR="000A4A5B" w:rsidRPr="00B7529C">
        <w:t xml:space="preserve"> </w:t>
      </w:r>
      <w:r w:rsidR="00D20C8A" w:rsidRPr="00B7529C">
        <w:t>and local community</w:t>
      </w:r>
      <w:r w:rsidR="00F718C9">
        <w:t>.</w:t>
      </w:r>
      <w:r w:rsidR="00D20C8A" w:rsidRPr="00B7529C">
        <w:rPr>
          <w:rStyle w:val="FootnoteReference"/>
        </w:rPr>
        <w:footnoteReference w:id="202"/>
      </w:r>
      <w:r w:rsidR="00B12129" w:rsidRPr="00B7529C">
        <w:t xml:space="preserve"> </w:t>
      </w:r>
    </w:p>
    <w:p w14:paraId="1C620D16" w14:textId="0703A0FE" w:rsidR="00D27397" w:rsidRPr="00B7529C" w:rsidRDefault="00B964BD" w:rsidP="00AC72FD">
      <w:r>
        <w:t>A</w:t>
      </w:r>
      <w:r w:rsidR="000C7D6A">
        <w:t xml:space="preserve">nother </w:t>
      </w:r>
      <w:r w:rsidR="00D27397">
        <w:t>interviewee</w:t>
      </w:r>
      <w:r>
        <w:t xml:space="preserve"> </w:t>
      </w:r>
      <w:r w:rsidR="00982F2A" w:rsidRPr="00B7529C">
        <w:t xml:space="preserve">as </w:t>
      </w:r>
      <w:r>
        <w:t>part of the research</w:t>
      </w:r>
      <w:r w:rsidR="000C7D6A" w:rsidRPr="00B7529C">
        <w:t xml:space="preserve"> </w:t>
      </w:r>
      <w:r w:rsidR="00423C33" w:rsidRPr="00B7529C">
        <w:t>emphasised that regional and remote services are disadvantaged in the assessment and rating process, in part</w:t>
      </w:r>
      <w:r w:rsidR="00294CA8" w:rsidRPr="00B7529C">
        <w:t xml:space="preserve">icular around meeting </w:t>
      </w:r>
      <w:r w:rsidR="00D27397" w:rsidRPr="00B7529C">
        <w:t>staffing-related elements of the NQS</w:t>
      </w:r>
      <w:r w:rsidR="002D0E9C">
        <w:t>.</w:t>
      </w:r>
      <w:r w:rsidR="00D27397" w:rsidRPr="00B7529C">
        <w:rPr>
          <w:rStyle w:val="FootnoteReference"/>
        </w:rPr>
        <w:footnoteReference w:id="203"/>
      </w:r>
      <w:r w:rsidR="006A09B3" w:rsidRPr="00B7529C">
        <w:t xml:space="preserve"> This assumption was guided by the belief that</w:t>
      </w:r>
      <w:r w:rsidR="00FC43AE" w:rsidRPr="00B7529C">
        <w:t xml:space="preserve"> having</w:t>
      </w:r>
      <w:r w:rsidR="006A09B3" w:rsidRPr="00B7529C">
        <w:t xml:space="preserve"> ‘high-quality staff’ </w:t>
      </w:r>
      <w:r w:rsidR="00943E84" w:rsidRPr="00B7529C">
        <w:t xml:space="preserve">was </w:t>
      </w:r>
      <w:r w:rsidR="00FC43AE" w:rsidRPr="00B7529C">
        <w:t xml:space="preserve">driven by the </w:t>
      </w:r>
      <w:r w:rsidR="009B0CE7" w:rsidRPr="00B7529C">
        <w:t>attraction and retention of qualified early childhood educators and staff</w:t>
      </w:r>
      <w:r w:rsidR="00943E84" w:rsidRPr="00B7529C">
        <w:t xml:space="preserve">, </w:t>
      </w:r>
      <w:r w:rsidR="00FC43AE" w:rsidRPr="00B7529C">
        <w:t xml:space="preserve">and that this was </w:t>
      </w:r>
      <w:r w:rsidR="00943E84" w:rsidRPr="00B7529C">
        <w:t xml:space="preserve">more challenging </w:t>
      </w:r>
      <w:r w:rsidR="00C13E83" w:rsidRPr="00B7529C">
        <w:t xml:space="preserve">for services </w:t>
      </w:r>
      <w:r w:rsidR="00943E84" w:rsidRPr="00B7529C">
        <w:t>in regional, rural and remote areas.</w:t>
      </w:r>
    </w:p>
    <w:p w14:paraId="483FF1C7" w14:textId="5D982442" w:rsidR="00E84104" w:rsidRDefault="00E84104" w:rsidP="00EB3ECB">
      <w:pPr>
        <w:pStyle w:val="Heading4un-numbered"/>
      </w:pPr>
      <w:r>
        <w:t>Cultural responsiveness of the National Quality Framework</w:t>
      </w:r>
    </w:p>
    <w:p w14:paraId="0CCA63C6" w14:textId="3143F5A9" w:rsidR="002D3842" w:rsidRDefault="002373F8" w:rsidP="009B2791">
      <w:r w:rsidRPr="002373F8">
        <w:t xml:space="preserve">Recent changes to the </w:t>
      </w:r>
      <w:r w:rsidR="00540F49">
        <w:t>NQF</w:t>
      </w:r>
      <w:r w:rsidRPr="002373F8">
        <w:t xml:space="preserve">, in particular through </w:t>
      </w:r>
      <w:r w:rsidR="002A5F26">
        <w:t xml:space="preserve">revisions to the </w:t>
      </w:r>
      <w:r w:rsidRPr="002373F8">
        <w:t>Early Years Learning Framework (EYLF 2.0)</w:t>
      </w:r>
      <w:r w:rsidR="00CE287D">
        <w:t>, have emphasised the importance of inclusion</w:t>
      </w:r>
      <w:r w:rsidR="007F3A39">
        <w:t xml:space="preserve">, </w:t>
      </w:r>
      <w:r w:rsidR="00CE287D">
        <w:t xml:space="preserve">cultural </w:t>
      </w:r>
      <w:r w:rsidR="007F3A39">
        <w:t>responsiveness and an increased focus on</w:t>
      </w:r>
      <w:r w:rsidR="002D3842">
        <w:t xml:space="preserve"> Aboriginal and Torres Strait Islander peoples</w:t>
      </w:r>
      <w:r w:rsidR="00057115">
        <w:t>’</w:t>
      </w:r>
      <w:r w:rsidR="007F3A39">
        <w:t xml:space="preserve"> perspectives within </w:t>
      </w:r>
      <w:r w:rsidR="002A5F26">
        <w:t>the Australian ECEC sector.</w:t>
      </w:r>
    </w:p>
    <w:p w14:paraId="1C6D7FCB" w14:textId="60447F53" w:rsidR="000C3E93" w:rsidRDefault="00B1774C" w:rsidP="00704904">
      <w:r>
        <w:t>Consultations</w:t>
      </w:r>
      <w:r w:rsidR="000C3E93">
        <w:t xml:space="preserve"> for </w:t>
      </w:r>
      <w:r w:rsidR="009F67F8">
        <w:t>this</w:t>
      </w:r>
      <w:r w:rsidR="000C3E93">
        <w:t xml:space="preserve"> review identified </w:t>
      </w:r>
      <w:r w:rsidR="006D6CB7">
        <w:t>several</w:t>
      </w:r>
      <w:r w:rsidR="000C3E93">
        <w:t xml:space="preserve"> initiatives being undertaken by ACECQA, in collaboration with state and territory regulatory authorities, to increase </w:t>
      </w:r>
      <w:r>
        <w:t>the cultural responsiveness of the regulatory system. These have included</w:t>
      </w:r>
      <w:r w:rsidR="006D6CB7">
        <w:t xml:space="preserve"> </w:t>
      </w:r>
      <w:r w:rsidR="0048655C">
        <w:t xml:space="preserve">delivering national resources </w:t>
      </w:r>
      <w:r w:rsidR="002E0F29">
        <w:t xml:space="preserve">around </w:t>
      </w:r>
      <w:r w:rsidR="00704904">
        <w:t xml:space="preserve">partnering with </w:t>
      </w:r>
      <w:r w:rsidR="00B37FC6">
        <w:t xml:space="preserve">Aboriginal and Torres Strait Islander communities and </w:t>
      </w:r>
      <w:r w:rsidR="00704904">
        <w:t>embedding perspectives within practice,</w:t>
      </w:r>
      <w:r w:rsidR="00865A1F">
        <w:rPr>
          <w:rStyle w:val="FootnoteReference"/>
        </w:rPr>
        <w:footnoteReference w:id="204"/>
      </w:r>
      <w:r w:rsidR="00704904">
        <w:t xml:space="preserve"> </w:t>
      </w:r>
      <w:r w:rsidR="00865A1F">
        <w:t>ongoing work in relation to the Sector Str</w:t>
      </w:r>
      <w:r w:rsidR="001A300F">
        <w:t xml:space="preserve">engthening Plan in partnership with SNAICC, and </w:t>
      </w:r>
      <w:r w:rsidR="00F81305">
        <w:t xml:space="preserve">updates </w:t>
      </w:r>
      <w:r w:rsidR="00F81305">
        <w:lastRenderedPageBreak/>
        <w:t>to training delivered to Authorised Officers of state and territory regulatory authorities</w:t>
      </w:r>
      <w:r w:rsidR="008F2F8F">
        <w:t xml:space="preserve"> to</w:t>
      </w:r>
      <w:r w:rsidR="002551C0">
        <w:t xml:space="preserve"> emphasise the importance of cultural responsiveness</w:t>
      </w:r>
      <w:r w:rsidR="0005172E">
        <w:t>.</w:t>
      </w:r>
      <w:r w:rsidR="008F2F8F">
        <w:t xml:space="preserve"> </w:t>
      </w:r>
      <w:r w:rsidR="00F81305">
        <w:rPr>
          <w:rStyle w:val="FootnoteReference"/>
        </w:rPr>
        <w:footnoteReference w:id="205"/>
      </w:r>
      <w:r w:rsidR="00F81305">
        <w:t xml:space="preserve"> </w:t>
      </w:r>
    </w:p>
    <w:p w14:paraId="42BDF05B" w14:textId="100A39F8" w:rsidR="00EB714C" w:rsidRDefault="0005172E" w:rsidP="00704904">
      <w:r>
        <w:t xml:space="preserve">In addition, states </w:t>
      </w:r>
      <w:r w:rsidR="00B33A1D">
        <w:t xml:space="preserve">are currently developing </w:t>
      </w:r>
      <w:r w:rsidR="00C27737">
        <w:t xml:space="preserve">resources to ensure services are </w:t>
      </w:r>
      <w:r w:rsidR="00C27737" w:rsidRPr="00C27737">
        <w:t>culturally safe and responsive.</w:t>
      </w:r>
      <w:r w:rsidR="00C27737">
        <w:t xml:space="preserve"> </w:t>
      </w:r>
      <w:r w:rsidR="00CB0198">
        <w:t>In commitment to its First Steps Aboriginal ECEC strategy, NSW is currently</w:t>
      </w:r>
      <w:r w:rsidR="00F76841">
        <w:t xml:space="preserve"> developing</w:t>
      </w:r>
      <w:r w:rsidR="00CB0198">
        <w:t xml:space="preserve"> </w:t>
      </w:r>
      <w:r w:rsidR="00F25D14">
        <w:t>a Cultural Safety Framework</w:t>
      </w:r>
      <w:r w:rsidR="00F76841">
        <w:t>,</w:t>
      </w:r>
      <w:r w:rsidR="00F25D14">
        <w:t xml:space="preserve"> intended to </w:t>
      </w:r>
      <w:r w:rsidR="00F60E0F">
        <w:t xml:space="preserve">guide and uplift </w:t>
      </w:r>
      <w:r w:rsidR="00F76841">
        <w:t>the</w:t>
      </w:r>
      <w:r w:rsidR="00F60E0F">
        <w:t xml:space="preserve"> </w:t>
      </w:r>
      <w:r w:rsidR="00F76841">
        <w:t xml:space="preserve">cultural </w:t>
      </w:r>
      <w:r w:rsidR="001B2619">
        <w:t>responsiveness</w:t>
      </w:r>
      <w:r w:rsidR="00F76841">
        <w:t xml:space="preserve"> of the sector.</w:t>
      </w:r>
      <w:r w:rsidR="00EB714C">
        <w:rPr>
          <w:rStyle w:val="FootnoteReference"/>
        </w:rPr>
        <w:footnoteReference w:id="206"/>
      </w:r>
    </w:p>
    <w:p w14:paraId="45DC4B4C" w14:textId="49170C1E" w:rsidR="008E6599" w:rsidRDefault="00224C52" w:rsidP="008C5A34">
      <w:r>
        <w:t>Within its draft report</w:t>
      </w:r>
      <w:r w:rsidR="00D25EC3">
        <w:t xml:space="preserve">, the </w:t>
      </w:r>
      <w:r w:rsidR="005073AB">
        <w:t>Productivity</w:t>
      </w:r>
      <w:r w:rsidR="00D25EC3">
        <w:t xml:space="preserve"> Commission identified cultural </w:t>
      </w:r>
      <w:r w:rsidR="005073AB">
        <w:t xml:space="preserve">safety as a priority </w:t>
      </w:r>
      <w:r w:rsidR="008C5A34">
        <w:t>for supporting a universal ECEC system, noting that inquiry participants raised concerns that cultural competence and safety is not adequately reflected in the NQF.</w:t>
      </w:r>
      <w:r w:rsidR="008C5A34">
        <w:rPr>
          <w:rStyle w:val="FootnoteReference"/>
        </w:rPr>
        <w:footnoteReference w:id="207"/>
      </w:r>
      <w:r w:rsidR="007E76B6">
        <w:t xml:space="preserve"> </w:t>
      </w:r>
    </w:p>
    <w:p w14:paraId="45FEFB23" w14:textId="115894A7" w:rsidR="00276908" w:rsidRDefault="00EA660F" w:rsidP="008C5A34">
      <w:r>
        <w:t>In</w:t>
      </w:r>
      <w:r w:rsidR="00B24E4A">
        <w:t xml:space="preserve"> its submission to the Productivity Commission inquiry, SNAICC </w:t>
      </w:r>
      <w:r>
        <w:t xml:space="preserve">emphasised that </w:t>
      </w:r>
      <w:r w:rsidR="00EF47A9">
        <w:t xml:space="preserve">government should develop </w:t>
      </w:r>
      <w:r w:rsidR="00F1537F">
        <w:t>a unique quality framework</w:t>
      </w:r>
      <w:r w:rsidR="00765ADA">
        <w:t xml:space="preserve"> and regulatory standards for Aboriginal and Torres Strait Islander services</w:t>
      </w:r>
      <w:r w:rsidR="005A6E7D">
        <w:t xml:space="preserve"> in partnership with ACCOs.</w:t>
      </w:r>
      <w:r w:rsidR="005A6E7D">
        <w:rPr>
          <w:rStyle w:val="FootnoteReference"/>
        </w:rPr>
        <w:footnoteReference w:id="208"/>
      </w:r>
      <w:r w:rsidR="00D8218F">
        <w:t xml:space="preserve"> </w:t>
      </w:r>
      <w:r w:rsidR="006B0A22">
        <w:t>This is due to the NQF being seen as not delivering optimal outcomes for Aboriginal and Torres Strait Islander children due to</w:t>
      </w:r>
      <w:r w:rsidR="00276908">
        <w:t>:</w:t>
      </w:r>
    </w:p>
    <w:p w14:paraId="764CA877" w14:textId="60FBCDC1" w:rsidR="007E76B6" w:rsidRDefault="00D8218F" w:rsidP="00245087">
      <w:pPr>
        <w:pStyle w:val="ListBullet"/>
      </w:pPr>
      <w:r>
        <w:t xml:space="preserve">the </w:t>
      </w:r>
      <w:r w:rsidR="00276908">
        <w:t>specific integrated service context of ACCOs which may not be suitably regulated under an ECEC-</w:t>
      </w:r>
      <w:r w:rsidR="00685ECE">
        <w:t>specific</w:t>
      </w:r>
      <w:r w:rsidR="00276908">
        <w:t xml:space="preserve"> </w:t>
      </w:r>
      <w:r w:rsidR="006B0A22">
        <w:t>framework</w:t>
      </w:r>
    </w:p>
    <w:p w14:paraId="4618296A" w14:textId="7CAD8904" w:rsidR="00276908" w:rsidRDefault="006B0A22" w:rsidP="00245087">
      <w:pPr>
        <w:pStyle w:val="ListBullet"/>
      </w:pPr>
      <w:r>
        <w:t xml:space="preserve">a lack of explicit </w:t>
      </w:r>
      <w:r w:rsidR="00423ACD">
        <w:t xml:space="preserve">provision in the NQF </w:t>
      </w:r>
      <w:r w:rsidR="00E76BBD">
        <w:t>and NQS around the implementation and assessment of</w:t>
      </w:r>
      <w:r w:rsidR="00423ACD">
        <w:t xml:space="preserve"> cultural competence and safety </w:t>
      </w:r>
      <w:r w:rsidR="00E76BBD">
        <w:t>in services</w:t>
      </w:r>
    </w:p>
    <w:p w14:paraId="43F8B9DA" w14:textId="3E5A2574" w:rsidR="00235570" w:rsidRDefault="00E76BBD" w:rsidP="00245087">
      <w:pPr>
        <w:pStyle w:val="ListBullet"/>
      </w:pPr>
      <w:r>
        <w:t>a lack of</w:t>
      </w:r>
      <w:r w:rsidR="00F07A57">
        <w:t xml:space="preserve"> explicit requirement for ECEC services to embed </w:t>
      </w:r>
      <w:r w:rsidR="00423A88">
        <w:t xml:space="preserve">Aboriginal and Torres Strait Islander </w:t>
      </w:r>
      <w:r w:rsidR="00F07A57">
        <w:t>culture into their curriculum</w:t>
      </w:r>
    </w:p>
    <w:p w14:paraId="0D9DBB27" w14:textId="266B5DF3" w:rsidR="00AB6BE2" w:rsidRDefault="00AB6BE2" w:rsidP="00245087">
      <w:pPr>
        <w:pStyle w:val="ListBullet"/>
      </w:pPr>
      <w:r>
        <w:t xml:space="preserve">a lack of acknowledgement around the importance of wrap-around family supports </w:t>
      </w:r>
      <w:r w:rsidR="00B57966">
        <w:t>in early years settings and the positive impacts on social determinants of wellbeing.</w:t>
      </w:r>
      <w:r w:rsidR="00B57966">
        <w:rPr>
          <w:rStyle w:val="FootnoteReference"/>
        </w:rPr>
        <w:footnoteReference w:id="209"/>
      </w:r>
    </w:p>
    <w:p w14:paraId="3F89A4AF" w14:textId="77777777" w:rsidR="00245087" w:rsidRDefault="00245087" w:rsidP="0030449C">
      <w:pPr>
        <w:pStyle w:val="ListBullet"/>
        <w:numPr>
          <w:ilvl w:val="0"/>
          <w:numId w:val="0"/>
        </w:numPr>
        <w:ind w:left="340"/>
      </w:pPr>
    </w:p>
    <w:p w14:paraId="714406D8" w14:textId="02A678F4" w:rsidR="003A7E47" w:rsidRPr="005755CE" w:rsidRDefault="003A7E47" w:rsidP="0030449C">
      <w:r w:rsidRPr="005755CE">
        <w:t xml:space="preserve">This recommendation around </w:t>
      </w:r>
      <w:r w:rsidR="004E0EE8" w:rsidRPr="005755CE">
        <w:t>exploring opportunities for an alternative quality framework</w:t>
      </w:r>
      <w:r w:rsidR="00BB0A7C" w:rsidRPr="005755CE">
        <w:t xml:space="preserve"> for Aboriginal and Torres Strait Islander services and communities is consistent with broader feedback provided by </w:t>
      </w:r>
      <w:r w:rsidR="00145DE1" w:rsidRPr="005755CE">
        <w:t>Aboriginal community organisations across</w:t>
      </w:r>
      <w:r w:rsidR="00BB0A7C" w:rsidRPr="005755CE">
        <w:t xml:space="preserve"> </w:t>
      </w:r>
      <w:r w:rsidR="009A64AC" w:rsidRPr="005755CE">
        <w:t>other early years reviews.</w:t>
      </w:r>
    </w:p>
    <w:p w14:paraId="334894C8" w14:textId="77777777" w:rsidR="00E90464" w:rsidRPr="005755CE" w:rsidRDefault="009A64AC" w:rsidP="0030449C">
      <w:r w:rsidRPr="005755CE">
        <w:t xml:space="preserve">In its submission to the Early Years Strategy, </w:t>
      </w:r>
      <w:r w:rsidR="00775857" w:rsidRPr="005755CE">
        <w:t>the Victorian Aboriginal Child Care Agency (VACCA)</w:t>
      </w:r>
      <w:r w:rsidR="00383B18" w:rsidRPr="005755CE">
        <w:t xml:space="preserve"> notes that self-determination is critical to address </w:t>
      </w:r>
      <w:r w:rsidR="00A3022A" w:rsidRPr="005755CE">
        <w:t xml:space="preserve">disadvantage </w:t>
      </w:r>
      <w:r w:rsidR="009338AE" w:rsidRPr="005755CE">
        <w:t>for Aboriginal people</w:t>
      </w:r>
      <w:r w:rsidR="00937E59" w:rsidRPr="005755CE">
        <w:t xml:space="preserve"> and calls for </w:t>
      </w:r>
      <w:r w:rsidR="00F11809" w:rsidRPr="005755CE">
        <w:t>a stronger adherence to principles of self-determination within legislative and policy framework</w:t>
      </w:r>
      <w:r w:rsidR="00204993" w:rsidRPr="005755CE">
        <w:t>s to improve outcomes for Aboriginal children</w:t>
      </w:r>
      <w:r w:rsidR="00F11809" w:rsidRPr="005755CE">
        <w:t xml:space="preserve"> and </w:t>
      </w:r>
      <w:r w:rsidR="00204993" w:rsidRPr="005755CE">
        <w:t>communities.</w:t>
      </w:r>
      <w:r w:rsidR="00204993" w:rsidRPr="005755CE">
        <w:rPr>
          <w:rStyle w:val="FootnoteReference"/>
        </w:rPr>
        <w:footnoteReference w:id="210"/>
      </w:r>
      <w:r w:rsidR="009B095C" w:rsidRPr="005755CE">
        <w:t xml:space="preserve"> VACCA also notes that in the future early years system, governments and services should “</w:t>
      </w:r>
      <w:r w:rsidR="009F71F9" w:rsidRPr="005755CE">
        <w:t>support the leadership role of Aboriginal communities and organisations in the planning, delivery, evaluation, and measurement of services delivered to Aboriginal people”, as well as “creating a legislative environment which recognises the inherent right of Aboriginal peoples to care for and raise their children”.</w:t>
      </w:r>
      <w:r w:rsidR="009F71F9" w:rsidRPr="005755CE">
        <w:rPr>
          <w:rStyle w:val="FootnoteReference"/>
        </w:rPr>
        <w:footnoteReference w:id="211"/>
      </w:r>
      <w:r w:rsidR="00053887" w:rsidRPr="005755CE">
        <w:t xml:space="preserve"> </w:t>
      </w:r>
    </w:p>
    <w:p w14:paraId="4D643334" w14:textId="21A3ABA3" w:rsidR="009A64AC" w:rsidRPr="005755CE" w:rsidRDefault="00053887" w:rsidP="0030449C">
      <w:r w:rsidRPr="005755CE">
        <w:t xml:space="preserve">The critical importance of Aboriginal self-determination </w:t>
      </w:r>
      <w:r w:rsidR="00531D9A" w:rsidRPr="005755CE">
        <w:t xml:space="preserve">and local decision-making </w:t>
      </w:r>
      <w:r w:rsidRPr="005755CE">
        <w:t xml:space="preserve">is reflected across other submissions to the Early Years Strategy, including from the </w:t>
      </w:r>
      <w:r w:rsidR="00934523" w:rsidRPr="005755CE">
        <w:t>Victorian Aboriginal Community Controlled Health Organisation (VACCHO),</w:t>
      </w:r>
      <w:r w:rsidR="001A5A2B" w:rsidRPr="005755CE">
        <w:rPr>
          <w:rStyle w:val="FootnoteReference"/>
        </w:rPr>
        <w:footnoteReference w:id="212"/>
      </w:r>
      <w:r w:rsidR="002E497C">
        <w:t xml:space="preserve"> </w:t>
      </w:r>
      <w:r w:rsidR="00531D9A" w:rsidRPr="005755CE">
        <w:t>the National Aboriginal Comm</w:t>
      </w:r>
      <w:r w:rsidR="00801A1B" w:rsidRPr="005755CE">
        <w:t xml:space="preserve">unity </w:t>
      </w:r>
      <w:r w:rsidR="00801A1B" w:rsidRPr="005755CE">
        <w:lastRenderedPageBreak/>
        <w:t>Controlled Health Organisation (NACCHO),</w:t>
      </w:r>
      <w:r w:rsidR="00801A1B" w:rsidRPr="005755CE">
        <w:rPr>
          <w:rStyle w:val="FootnoteReference"/>
        </w:rPr>
        <w:footnoteReference w:id="213"/>
      </w:r>
      <w:r w:rsidR="00801A1B" w:rsidRPr="005755CE">
        <w:t xml:space="preserve"> </w:t>
      </w:r>
      <w:r w:rsidR="00434363" w:rsidRPr="005755CE">
        <w:t xml:space="preserve">and </w:t>
      </w:r>
      <w:r w:rsidR="00FD348E" w:rsidRPr="005755CE">
        <w:t>Empowered Communities East Kimberley (ECEK)</w:t>
      </w:r>
      <w:r w:rsidR="00434363" w:rsidRPr="005755CE">
        <w:t>.</w:t>
      </w:r>
      <w:r w:rsidR="00FD348E" w:rsidRPr="005755CE">
        <w:rPr>
          <w:rStyle w:val="FootnoteReference"/>
        </w:rPr>
        <w:footnoteReference w:id="214"/>
      </w:r>
    </w:p>
    <w:p w14:paraId="7781D7B3" w14:textId="76E8823C" w:rsidR="008721E5" w:rsidRPr="005755CE" w:rsidRDefault="00E90464" w:rsidP="0030449C">
      <w:r w:rsidRPr="005755CE">
        <w:t xml:space="preserve">Further, </w:t>
      </w:r>
      <w:r w:rsidR="009A0DED" w:rsidRPr="005755CE">
        <w:t>an emphasis on</w:t>
      </w:r>
      <w:r w:rsidR="009D1F37" w:rsidRPr="005755CE">
        <w:t xml:space="preserve"> </w:t>
      </w:r>
      <w:r w:rsidRPr="005755CE">
        <w:t>shared</w:t>
      </w:r>
      <w:r w:rsidR="008721E5" w:rsidRPr="005755CE">
        <w:t xml:space="preserve"> </w:t>
      </w:r>
      <w:r w:rsidRPr="005755CE">
        <w:t xml:space="preserve">decision </w:t>
      </w:r>
      <w:r w:rsidR="00410C74" w:rsidRPr="005755CE">
        <w:t>making</w:t>
      </w:r>
      <w:r w:rsidR="009A0DED" w:rsidRPr="005755CE">
        <w:t xml:space="preserve"> as outlined</w:t>
      </w:r>
      <w:r w:rsidR="00410C74" w:rsidRPr="005755CE">
        <w:t xml:space="preserve"> through Goal 5 of the National Aboriginal and Torres Strait Islander Early Childhood Strategy</w:t>
      </w:r>
      <w:r w:rsidR="00410C74" w:rsidRPr="005755CE">
        <w:rPr>
          <w:rStyle w:val="FootnoteReference"/>
        </w:rPr>
        <w:footnoteReference w:id="215"/>
      </w:r>
      <w:r w:rsidR="009A0DED" w:rsidRPr="005755CE">
        <w:t xml:space="preserve"> and Priority Reform 1 under the National Agreement on Closing the Gap</w:t>
      </w:r>
      <w:r w:rsidR="009A0DED" w:rsidRPr="005755CE">
        <w:rPr>
          <w:rStyle w:val="FootnoteReference"/>
        </w:rPr>
        <w:footnoteReference w:id="216"/>
      </w:r>
      <w:r w:rsidR="009A0DED" w:rsidRPr="005755CE">
        <w:t xml:space="preserve"> highlight the commitment of Australian governments towards </w:t>
      </w:r>
      <w:r w:rsidR="009B1342" w:rsidRPr="005755CE">
        <w:t xml:space="preserve">improving equity and life outcomes for Aboriginal and Torres Strait Islander peoples. </w:t>
      </w:r>
    </w:p>
    <w:p w14:paraId="276D8001" w14:textId="4CFBDD88" w:rsidR="00E90464" w:rsidRDefault="009B1342" w:rsidP="0030449C">
      <w:r w:rsidRPr="005755CE">
        <w:t xml:space="preserve">However, </w:t>
      </w:r>
      <w:r w:rsidR="008721E5" w:rsidRPr="005755CE">
        <w:t xml:space="preserve">findings from </w:t>
      </w:r>
      <w:r w:rsidRPr="005755CE">
        <w:t>the Productivity Commission’s review of the National Agreement on Closing the Gap</w:t>
      </w:r>
      <w:r w:rsidR="009A0DED" w:rsidRPr="005755CE">
        <w:t xml:space="preserve"> </w:t>
      </w:r>
      <w:r w:rsidR="00B467AF" w:rsidRPr="005755CE">
        <w:t>ha</w:t>
      </w:r>
      <w:r w:rsidR="00CF7D23" w:rsidRPr="005755CE">
        <w:t>ve</w:t>
      </w:r>
      <w:r w:rsidR="00B467AF" w:rsidRPr="005755CE">
        <w:t xml:space="preserve"> </w:t>
      </w:r>
      <w:r w:rsidR="008721E5" w:rsidRPr="005755CE">
        <w:t xml:space="preserve">pointed to challenges in meaningfully achieving shared decision making, noting </w:t>
      </w:r>
      <w:r w:rsidR="003854B6" w:rsidRPr="005755CE">
        <w:t xml:space="preserve">that partnerships with peak bodies and communities often do not lead to changes in </w:t>
      </w:r>
      <w:r w:rsidR="009F712D" w:rsidRPr="005755CE">
        <w:t>government policy making or broader delivery.</w:t>
      </w:r>
      <w:r w:rsidR="009F712D" w:rsidRPr="005755CE">
        <w:rPr>
          <w:rStyle w:val="FootnoteReference"/>
        </w:rPr>
        <w:footnoteReference w:id="217"/>
      </w:r>
      <w:r w:rsidR="009F712D" w:rsidRPr="005755CE">
        <w:t xml:space="preserve"> In its final report, the </w:t>
      </w:r>
      <w:r w:rsidR="00BB1069" w:rsidRPr="005755CE">
        <w:t>Productivity Commission recommends that governments share power around dec</w:t>
      </w:r>
      <w:r w:rsidR="00F44DE5" w:rsidRPr="005755CE">
        <w:t>isions affecting Aboriginal and Torres Strait Islander peoples, including</w:t>
      </w:r>
      <w:r w:rsidR="00F15102" w:rsidRPr="005755CE">
        <w:t xml:space="preserve"> broadening the definition of Priority Reform 1 (shared decision-making) </w:t>
      </w:r>
      <w:r w:rsidR="009C1B2E" w:rsidRPr="005755CE">
        <w:t>to recognise the ultimate goal of self-determination and efforts to achieve self-determination beyond partnerships and place-based initiatives.</w:t>
      </w:r>
    </w:p>
    <w:p w14:paraId="1CE86615" w14:textId="28E2BC07" w:rsidR="004476D6" w:rsidRPr="009B2791" w:rsidRDefault="00E76BBD" w:rsidP="009B2791">
      <w:r>
        <w:t>Consultat</w:t>
      </w:r>
      <w:r w:rsidR="008977B5">
        <w:t xml:space="preserve">ion with a number of government agencies for the CCCFR review noted barriers to regulating ACCOs within the current National Law and Regulations, with one state government suggesting that an alternative </w:t>
      </w:r>
      <w:r w:rsidR="00AB6BE2">
        <w:t xml:space="preserve">‘service type’ </w:t>
      </w:r>
      <w:r w:rsidR="00B57966">
        <w:t>could be considered within the current NQF to support services which deliver integrated offerings, such as ACCOs.</w:t>
      </w:r>
    </w:p>
    <w:p w14:paraId="7ECAB95C" w14:textId="38BC635B" w:rsidR="308A67E8" w:rsidRPr="00380A9C" w:rsidRDefault="159478FB" w:rsidP="415E8EAD">
      <w:r w:rsidRPr="00380A9C">
        <w:t>In addition to the opportunities outlined above</w:t>
      </w:r>
      <w:r w:rsidR="308A67E8" w:rsidRPr="00380A9C">
        <w:t xml:space="preserve">, </w:t>
      </w:r>
      <w:r w:rsidR="38D749FB" w:rsidRPr="00380A9C">
        <w:t>consideration could be made around the potential policy and funding levers available to governments</w:t>
      </w:r>
      <w:r w:rsidR="17BBBB59" w:rsidRPr="00380A9C">
        <w:t xml:space="preserve"> to</w:t>
      </w:r>
      <w:r w:rsidR="308A67E8" w:rsidRPr="00380A9C">
        <w:t xml:space="preserve"> support self-determination and self-governance as part of a culturally responsive early years sector</w:t>
      </w:r>
      <w:r w:rsidR="38D749FB" w:rsidRPr="00380A9C">
        <w:t>. These could include:</w:t>
      </w:r>
    </w:p>
    <w:p w14:paraId="0154B743" w14:textId="1D94969E" w:rsidR="5BEC26EC" w:rsidRPr="00380A9C" w:rsidRDefault="5BEC26EC" w:rsidP="0030449C">
      <w:pPr>
        <w:pStyle w:val="ListBullet"/>
      </w:pPr>
      <w:r w:rsidRPr="00380A9C">
        <w:t>establishing an early childhood funding model for ACCO ECEC services, aligned to broader government commitments and strategies</w:t>
      </w:r>
      <w:r w:rsidR="43B1179D" w:rsidRPr="00380A9C">
        <w:t xml:space="preserve"> such as the Sector Strengthening Plan: Early Childhood Care and Development</w:t>
      </w:r>
      <w:r w:rsidR="49DF4891" w:rsidRPr="00380A9C">
        <w:t>,</w:t>
      </w:r>
      <w:r w:rsidRPr="00380A9C">
        <w:rPr>
          <w:rStyle w:val="FootnoteReference"/>
        </w:rPr>
        <w:footnoteReference w:id="218"/>
      </w:r>
      <w:r w:rsidR="3EE226B6" w:rsidRPr="00380A9C">
        <w:t xml:space="preserve"> as well as </w:t>
      </w:r>
      <w:r w:rsidR="4BDBD8BA" w:rsidRPr="00380A9C">
        <w:t xml:space="preserve">recommendations from the ACCC </w:t>
      </w:r>
      <w:r w:rsidR="43CF43EF" w:rsidRPr="00380A9C">
        <w:t>child care price inquiry</w:t>
      </w:r>
      <w:r w:rsidRPr="00380A9C">
        <w:rPr>
          <w:rStyle w:val="FootnoteReference"/>
        </w:rPr>
        <w:footnoteReference w:id="219"/>
      </w:r>
      <w:r w:rsidR="45F2CB22" w:rsidRPr="00380A9C">
        <w:t xml:space="preserve"> and </w:t>
      </w:r>
      <w:r w:rsidR="00B57B1E" w:rsidRPr="00380A9C">
        <w:t xml:space="preserve">draft recommendations noted through </w:t>
      </w:r>
      <w:r w:rsidR="45F2CB22" w:rsidRPr="00380A9C">
        <w:t xml:space="preserve">the </w:t>
      </w:r>
      <w:r w:rsidR="33BED658" w:rsidRPr="00380A9C">
        <w:t>Productivity Commission</w:t>
      </w:r>
      <w:r w:rsidR="00B25949" w:rsidRPr="00380A9C">
        <w:t>’s</w:t>
      </w:r>
      <w:r w:rsidR="33BED658" w:rsidRPr="00380A9C">
        <w:t xml:space="preserve"> inquiry into ECEC</w:t>
      </w:r>
      <w:r w:rsidRPr="00380A9C">
        <w:rPr>
          <w:rStyle w:val="FootnoteReference"/>
        </w:rPr>
        <w:footnoteReference w:id="220"/>
      </w:r>
    </w:p>
    <w:p w14:paraId="64DBE66D" w14:textId="25374FCA" w:rsidR="33BED658" w:rsidRDefault="0E7ABBCF" w:rsidP="00416EA8">
      <w:pPr>
        <w:pStyle w:val="ListParagraph"/>
        <w:numPr>
          <w:ilvl w:val="0"/>
          <w:numId w:val="44"/>
        </w:numPr>
      </w:pPr>
      <w:r w:rsidRPr="00380A9C">
        <w:t>d</w:t>
      </w:r>
      <w:r w:rsidR="53892F33" w:rsidRPr="00380A9C">
        <w:t>eveloping a First Nations-designed and led Learning Framework, in line with academic research on culturally responsive pedagogies</w:t>
      </w:r>
      <w:r w:rsidR="748375A2" w:rsidRPr="00380A9C">
        <w:t>.</w:t>
      </w:r>
      <w:r w:rsidR="53892F33" w:rsidRPr="00380A9C">
        <w:rPr>
          <w:rStyle w:val="FootnoteReference"/>
        </w:rPr>
        <w:footnoteReference w:id="221"/>
      </w:r>
      <w:r w:rsidR="53892F33" w:rsidRPr="00380A9C">
        <w:rPr>
          <w:rStyle w:val="FootnoteReference"/>
        </w:rPr>
        <w:footnoteReference w:id="222"/>
      </w:r>
    </w:p>
    <w:p w14:paraId="360B8FF0" w14:textId="60958D81" w:rsidR="006F4A44" w:rsidRDefault="006F4A44" w:rsidP="00D50708">
      <w:pPr>
        <w:pStyle w:val="Heading2"/>
        <w:spacing w:after="170"/>
      </w:pPr>
      <w:bookmarkStart w:id="345" w:name="_Toc158993771"/>
      <w:bookmarkStart w:id="346" w:name="_Toc170227418"/>
      <w:r>
        <w:lastRenderedPageBreak/>
        <w:t xml:space="preserve">Service </w:t>
      </w:r>
      <w:r w:rsidRPr="00540F49">
        <w:t>compliance</w:t>
      </w:r>
      <w:r>
        <w:t xml:space="preserve"> with the Minister</w:t>
      </w:r>
      <w:r w:rsidR="00595024">
        <w:t>’</w:t>
      </w:r>
      <w:r w:rsidR="00E70698">
        <w:t>s Rules</w:t>
      </w:r>
      <w:bookmarkEnd w:id="345"/>
      <w:bookmarkEnd w:id="346"/>
    </w:p>
    <w:tbl>
      <w:tblPr>
        <w:tblStyle w:val="TableGrid"/>
        <w:tblW w:w="0" w:type="auto"/>
        <w:shd w:val="clear" w:color="auto" w:fill="DFF0F9" w:themeFill="accent3" w:themeFillTint="33"/>
        <w:tblCellMar>
          <w:top w:w="113" w:type="dxa"/>
          <w:left w:w="113" w:type="dxa"/>
          <w:bottom w:w="113" w:type="dxa"/>
          <w:right w:w="113" w:type="dxa"/>
        </w:tblCellMar>
        <w:tblLook w:val="04A0" w:firstRow="1" w:lastRow="0" w:firstColumn="1" w:lastColumn="0" w:noHBand="0" w:noVBand="1"/>
      </w:tblPr>
      <w:tblGrid>
        <w:gridCol w:w="8966"/>
      </w:tblGrid>
      <w:tr w:rsidR="00AF49F2" w:rsidRPr="00BD1248" w14:paraId="51533536" w14:textId="77777777" w:rsidTr="00E73494">
        <w:trPr>
          <w:cnfStyle w:val="100000000000" w:firstRow="1" w:lastRow="0" w:firstColumn="0" w:lastColumn="0" w:oddVBand="0" w:evenVBand="0" w:oddHBand="0" w:evenHBand="0" w:firstRowFirstColumn="0" w:firstRowLastColumn="0" w:lastRowFirstColumn="0" w:lastRowLastColumn="0"/>
          <w:cantSplit/>
        </w:trPr>
        <w:tc>
          <w:tcPr>
            <w:tcW w:w="8966" w:type="dxa"/>
            <w:shd w:val="clear" w:color="auto" w:fill="DFF0F9" w:themeFill="accent3" w:themeFillTint="33"/>
          </w:tcPr>
          <w:p w14:paraId="749DC84B" w14:textId="3F8A2EF9" w:rsidR="006F4A44" w:rsidRDefault="006F4A44">
            <w:pPr>
              <w:spacing w:after="120"/>
              <w:rPr>
                <w:b/>
                <w:bCs/>
                <w:i/>
                <w:iCs/>
              </w:rPr>
            </w:pPr>
            <w:r w:rsidRPr="00B95090">
              <w:rPr>
                <w:b/>
                <w:bCs/>
                <w:i/>
                <w:iCs/>
              </w:rPr>
              <w:t>Key research questio</w:t>
            </w:r>
            <w:r>
              <w:rPr>
                <w:b/>
                <w:bCs/>
                <w:i/>
                <w:iCs/>
              </w:rPr>
              <w:t>n</w:t>
            </w:r>
          </w:p>
          <w:p w14:paraId="6419EAD7" w14:textId="2B00F6CC" w:rsidR="006F4A44" w:rsidRPr="0001253E" w:rsidRDefault="00E70698">
            <w:pPr>
              <w:rPr>
                <w:i/>
                <w:iCs/>
              </w:rPr>
            </w:pPr>
            <w:r>
              <w:rPr>
                <w:i/>
                <w:iCs/>
              </w:rPr>
              <w:t>To</w:t>
            </w:r>
            <w:r w:rsidR="006F4A44" w:rsidRPr="009461E4">
              <w:rPr>
                <w:i/>
                <w:iCs/>
              </w:rPr>
              <w:t xml:space="preserve"> </w:t>
            </w:r>
            <w:r w:rsidRPr="00E70698">
              <w:rPr>
                <w:i/>
                <w:iCs/>
              </w:rPr>
              <w:t>what extent are</w:t>
            </w:r>
            <w:r>
              <w:rPr>
                <w:i/>
                <w:iCs/>
              </w:rPr>
              <w:t xml:space="preserve"> </w:t>
            </w:r>
            <w:r w:rsidRPr="00E70698">
              <w:rPr>
                <w:i/>
                <w:iCs/>
              </w:rPr>
              <w:t>services receiving the CCCFR grant compliant with the Minister</w:t>
            </w:r>
            <w:r w:rsidR="00595024">
              <w:rPr>
                <w:i/>
                <w:iCs/>
              </w:rPr>
              <w:t>’</w:t>
            </w:r>
            <w:r w:rsidRPr="00E70698">
              <w:rPr>
                <w:i/>
                <w:iCs/>
              </w:rPr>
              <w:t>s Rules</w:t>
            </w:r>
            <w:r w:rsidRPr="00321367">
              <w:t>?</w:t>
            </w:r>
          </w:p>
        </w:tc>
      </w:tr>
    </w:tbl>
    <w:p w14:paraId="5B835DEE" w14:textId="67F1009B" w:rsidR="00940B87" w:rsidRDefault="005C6A47" w:rsidP="00E54CB1">
      <w:pPr>
        <w:spacing w:before="170"/>
      </w:pPr>
      <w:r>
        <w:t>To understand the extent to which relevant CCCFR services</w:t>
      </w:r>
      <w:r w:rsidR="00824240">
        <w:rPr>
          <w:rStyle w:val="FootnoteReference"/>
        </w:rPr>
        <w:footnoteReference w:id="223"/>
      </w:r>
      <w:r>
        <w:t xml:space="preserve"> are compliant with the Minister’s Rules, this review undertook a Multi-Criteria Analysis (MCA)</w:t>
      </w:r>
      <w:r w:rsidR="00940B87">
        <w:t xml:space="preserve"> of service documentation </w:t>
      </w:r>
      <w:r w:rsidR="00616981">
        <w:t>submitted through</w:t>
      </w:r>
      <w:r w:rsidR="00940B87">
        <w:t xml:space="preserve"> Compliance and Operations </w:t>
      </w:r>
      <w:r w:rsidR="009079D7">
        <w:t>Report</w:t>
      </w:r>
      <w:r w:rsidR="00940B87">
        <w:t>s in early-2023.</w:t>
      </w:r>
    </w:p>
    <w:p w14:paraId="730A2874" w14:textId="187959D8" w:rsidR="00B124C7" w:rsidRDefault="00B124C7" w:rsidP="00B124C7">
      <w:r>
        <w:t xml:space="preserve">Relevant Compliance and Operations </w:t>
      </w:r>
      <w:r w:rsidR="009079D7">
        <w:t>Report</w:t>
      </w:r>
      <w:r>
        <w:t xml:space="preserve"> materials included for analysis are:</w:t>
      </w:r>
    </w:p>
    <w:p w14:paraId="67BEF249" w14:textId="5F03EFBE" w:rsidR="00B124C7" w:rsidRDefault="00B124C7" w:rsidP="00416EA8">
      <w:pPr>
        <w:pStyle w:val="ListBullet"/>
        <w:numPr>
          <w:ilvl w:val="0"/>
          <w:numId w:val="44"/>
        </w:numPr>
      </w:pPr>
      <w:r>
        <w:t xml:space="preserve">text responses provided for Compliance and Operations </w:t>
      </w:r>
      <w:r w:rsidR="009079D7">
        <w:t>Report</w:t>
      </w:r>
      <w:r>
        <w:t xml:space="preserve">s </w:t>
      </w:r>
    </w:p>
    <w:p w14:paraId="2361B602" w14:textId="77777777" w:rsidR="00B124C7" w:rsidRDefault="00B124C7" w:rsidP="00416EA8">
      <w:pPr>
        <w:pStyle w:val="ListBullet"/>
        <w:numPr>
          <w:ilvl w:val="0"/>
          <w:numId w:val="44"/>
        </w:numPr>
      </w:pPr>
      <w:r>
        <w:t>uploaded evidence of Educational Program</w:t>
      </w:r>
    </w:p>
    <w:p w14:paraId="76903C3F" w14:textId="77777777" w:rsidR="00B124C7" w:rsidRDefault="00B124C7" w:rsidP="00416EA8">
      <w:pPr>
        <w:pStyle w:val="ListBullet"/>
        <w:numPr>
          <w:ilvl w:val="0"/>
          <w:numId w:val="44"/>
        </w:numPr>
      </w:pPr>
      <w:r>
        <w:t>uploaded serious incident policy</w:t>
      </w:r>
    </w:p>
    <w:p w14:paraId="16642EB5" w14:textId="77777777" w:rsidR="00B124C7" w:rsidRDefault="00B124C7" w:rsidP="00416EA8">
      <w:pPr>
        <w:pStyle w:val="ListBullet"/>
        <w:numPr>
          <w:ilvl w:val="0"/>
          <w:numId w:val="44"/>
        </w:numPr>
      </w:pPr>
      <w:r>
        <w:t>uploaded workers compensation insurance documentation</w:t>
      </w:r>
    </w:p>
    <w:p w14:paraId="1C6085EF" w14:textId="77777777" w:rsidR="00B124C7" w:rsidRDefault="00B124C7" w:rsidP="00416EA8">
      <w:pPr>
        <w:pStyle w:val="ListBullet"/>
        <w:numPr>
          <w:ilvl w:val="0"/>
          <w:numId w:val="44"/>
        </w:numPr>
      </w:pPr>
      <w:r>
        <w:t>uploaded public liability insurance certificate</w:t>
      </w:r>
    </w:p>
    <w:p w14:paraId="3D61FBEB" w14:textId="3DFEF3CC" w:rsidR="00B124C7" w:rsidRDefault="00B124C7" w:rsidP="00416EA8">
      <w:pPr>
        <w:pStyle w:val="ListBullet"/>
        <w:numPr>
          <w:ilvl w:val="0"/>
          <w:numId w:val="44"/>
        </w:numPr>
      </w:pPr>
      <w:r>
        <w:t>uploaded Quality Improvement Plan (QIP).</w:t>
      </w:r>
    </w:p>
    <w:p w14:paraId="09442DB3" w14:textId="77777777" w:rsidR="001A01A5" w:rsidRDefault="001A01A5" w:rsidP="0030449C">
      <w:pPr>
        <w:pStyle w:val="ListBullet"/>
        <w:numPr>
          <w:ilvl w:val="0"/>
          <w:numId w:val="0"/>
        </w:numPr>
        <w:ind w:left="340"/>
      </w:pPr>
    </w:p>
    <w:tbl>
      <w:tblPr>
        <w:tblStyle w:val="TableGrid"/>
        <w:tblpPr w:leftFromText="180" w:rightFromText="180" w:vertAnchor="text" w:horzAnchor="margin" w:tblpY="7"/>
        <w:tblW w:w="0" w:type="auto"/>
        <w:shd w:val="clear" w:color="auto" w:fill="F1E6D3"/>
        <w:tblCellMar>
          <w:top w:w="57" w:type="dxa"/>
          <w:left w:w="57" w:type="dxa"/>
          <w:bottom w:w="57" w:type="dxa"/>
          <w:right w:w="57" w:type="dxa"/>
        </w:tblCellMar>
        <w:tblLook w:val="04A0" w:firstRow="1" w:lastRow="0" w:firstColumn="1" w:lastColumn="0" w:noHBand="0" w:noVBand="1"/>
      </w:tblPr>
      <w:tblGrid>
        <w:gridCol w:w="9026"/>
      </w:tblGrid>
      <w:tr w:rsidR="00B124C7" w14:paraId="5EF9974F" w14:textId="77777777" w:rsidTr="001A01A5">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F1E6D3"/>
          </w:tcPr>
          <w:p w14:paraId="6719AC73" w14:textId="77777777" w:rsidR="00B124C7" w:rsidRDefault="00B124C7" w:rsidP="00B124C7">
            <w:r w:rsidRPr="001B30D3">
              <w:rPr>
                <w:b/>
                <w:bCs/>
              </w:rPr>
              <w:t>Note:</w:t>
            </w:r>
            <w:r>
              <w:t xml:space="preserve"> while analysis of relevant documentation and supplementary interviews can provide evidence to infer compliance with the Minister’s Rules, observational evidence to assess practice during key periods would increase certainty of findings, such as observing a service’s response to a serious incident or risk of harm or hazard to a child in real time. However, considering the practical limitations associated with this approach, observation has not been included as part of this analysis.</w:t>
            </w:r>
          </w:p>
        </w:tc>
      </w:tr>
    </w:tbl>
    <w:p w14:paraId="17A7CC33" w14:textId="3F257EAE" w:rsidR="007C5196" w:rsidRDefault="007C5196" w:rsidP="006F4A44">
      <w:r>
        <w:br/>
        <w:t>Following a preliminary evaluation of Minister’s Rules obligations, key themes for analysis were identified</w:t>
      </w:r>
      <w:r w:rsidR="00AB5A43">
        <w:t xml:space="preserve"> by the review team</w:t>
      </w:r>
      <w:r>
        <w:t>. These have been included in the table below.</w:t>
      </w:r>
    </w:p>
    <w:p w14:paraId="3D8DAE73" w14:textId="6C2F8D13" w:rsidR="005B08FB" w:rsidRDefault="007C5196" w:rsidP="00FF586E">
      <w:pPr>
        <w:pStyle w:val="CaptionTable"/>
      </w:pPr>
      <w:bookmarkStart w:id="347" w:name="_Toc158997972"/>
      <w:bookmarkStart w:id="348" w:name="_Toc167130718"/>
      <w:r w:rsidRPr="00FF586E">
        <w:t>: Theme and indicators for Multi-Criteria Analysis (MCA)</w:t>
      </w:r>
      <w:bookmarkEnd w:id="347"/>
      <w:bookmarkEnd w:id="348"/>
    </w:p>
    <w:tbl>
      <w:tblPr>
        <w:tblStyle w:val="Deloittetable"/>
        <w:tblW w:w="9498" w:type="dxa"/>
        <w:tblLook w:val="04A0" w:firstRow="1" w:lastRow="0" w:firstColumn="1" w:lastColumn="0" w:noHBand="0" w:noVBand="1"/>
      </w:tblPr>
      <w:tblGrid>
        <w:gridCol w:w="1985"/>
        <w:gridCol w:w="7513"/>
      </w:tblGrid>
      <w:tr w:rsidR="003A1960" w14:paraId="502EDF34" w14:textId="77777777" w:rsidTr="00810018">
        <w:trPr>
          <w:cnfStyle w:val="100000000000" w:firstRow="1" w:lastRow="0" w:firstColumn="0" w:lastColumn="0" w:oddVBand="0" w:evenVBand="0" w:oddHBand="0" w:evenHBand="0" w:firstRowFirstColumn="0" w:firstRowLastColumn="0" w:lastRowFirstColumn="0" w:lastRowLastColumn="0"/>
        </w:trPr>
        <w:tc>
          <w:tcPr>
            <w:tcW w:w="1985" w:type="dxa"/>
          </w:tcPr>
          <w:p w14:paraId="3DB9C832" w14:textId="30E5F415" w:rsidR="003A1960" w:rsidRPr="001C655F" w:rsidRDefault="00B124C7" w:rsidP="006F4A44">
            <w:pPr>
              <w:rPr>
                <w:b/>
              </w:rPr>
            </w:pPr>
            <w:r w:rsidRPr="001C655F">
              <w:rPr>
                <w:b/>
              </w:rPr>
              <w:t>Theme</w:t>
            </w:r>
          </w:p>
        </w:tc>
        <w:tc>
          <w:tcPr>
            <w:tcW w:w="7513" w:type="dxa"/>
          </w:tcPr>
          <w:p w14:paraId="1B420E64" w14:textId="098D47FA" w:rsidR="003A1960" w:rsidRPr="001C655F" w:rsidRDefault="001B148B" w:rsidP="006F4A44">
            <w:pPr>
              <w:rPr>
                <w:b/>
              </w:rPr>
            </w:pPr>
            <w:r w:rsidRPr="001C655F">
              <w:rPr>
                <w:b/>
              </w:rPr>
              <w:t>Indicators</w:t>
            </w:r>
          </w:p>
        </w:tc>
      </w:tr>
      <w:tr w:rsidR="003A1960" w14:paraId="00783D5E" w14:textId="77777777" w:rsidTr="00810018">
        <w:tc>
          <w:tcPr>
            <w:tcW w:w="1985" w:type="dxa"/>
          </w:tcPr>
          <w:p w14:paraId="3135B5AB" w14:textId="3B5153B2" w:rsidR="003A1960" w:rsidRPr="001C655F" w:rsidRDefault="00002C4C" w:rsidP="006F4A44">
            <w:pPr>
              <w:rPr>
                <w:b/>
              </w:rPr>
            </w:pPr>
            <w:r w:rsidRPr="001C655F">
              <w:rPr>
                <w:b/>
              </w:rPr>
              <w:t>T</w:t>
            </w:r>
            <w:r w:rsidR="003A17DA" w:rsidRPr="001C655F">
              <w:rPr>
                <w:b/>
              </w:rPr>
              <w:t>ailored, individual educational program</w:t>
            </w:r>
          </w:p>
        </w:tc>
        <w:tc>
          <w:tcPr>
            <w:tcW w:w="7513" w:type="dxa"/>
          </w:tcPr>
          <w:p w14:paraId="740350EA" w14:textId="266E1DD4" w:rsidR="008C456F" w:rsidRPr="00B124C7" w:rsidRDefault="001F32AE" w:rsidP="00171325">
            <w:pPr>
              <w:pStyle w:val="ListParagraph"/>
              <w:numPr>
                <w:ilvl w:val="0"/>
                <w:numId w:val="19"/>
              </w:numPr>
              <w:spacing w:before="40" w:after="40"/>
              <w:ind w:left="357" w:hanging="357"/>
              <w:contextualSpacing w:val="0"/>
            </w:pPr>
            <w:r w:rsidRPr="00B124C7">
              <w:t>R</w:t>
            </w:r>
            <w:r w:rsidR="008C456F" w:rsidRPr="00B124C7">
              <w:t>esponse to</w:t>
            </w:r>
            <w:r w:rsidR="008C456F" w:rsidRPr="00B124C7">
              <w:rPr>
                <w:i/>
                <w:iCs/>
              </w:rPr>
              <w:t xml:space="preserve"> “</w:t>
            </w:r>
            <w:r w:rsidR="002D6662" w:rsidRPr="00B124C7">
              <w:rPr>
                <w:i/>
                <w:iCs/>
              </w:rPr>
              <w:t>Our service has developed and implemented an educational program</w:t>
            </w:r>
            <w:r w:rsidR="008C456F" w:rsidRPr="00B124C7">
              <w:rPr>
                <w:i/>
                <w:iCs/>
              </w:rPr>
              <w:t>”</w:t>
            </w:r>
          </w:p>
          <w:p w14:paraId="1A4835A0" w14:textId="38BADED5" w:rsidR="003A1960" w:rsidRPr="00B124C7" w:rsidRDefault="001B148B" w:rsidP="00171325">
            <w:pPr>
              <w:pStyle w:val="ListParagraph"/>
              <w:numPr>
                <w:ilvl w:val="0"/>
                <w:numId w:val="19"/>
              </w:numPr>
              <w:spacing w:before="40" w:after="40"/>
              <w:ind w:left="357" w:hanging="357"/>
              <w:contextualSpacing w:val="0"/>
            </w:pPr>
            <w:r w:rsidRPr="00B124C7">
              <w:t>Evidence of educational program</w:t>
            </w:r>
          </w:p>
          <w:p w14:paraId="7C16FFE0" w14:textId="77777777" w:rsidR="001B148B" w:rsidRPr="00B124C7" w:rsidRDefault="001B148B" w:rsidP="00171325">
            <w:pPr>
              <w:pStyle w:val="ListParagraph"/>
              <w:numPr>
                <w:ilvl w:val="0"/>
                <w:numId w:val="19"/>
              </w:numPr>
              <w:spacing w:before="40" w:after="40"/>
              <w:ind w:left="357" w:hanging="357"/>
              <w:contextualSpacing w:val="0"/>
            </w:pPr>
            <w:r w:rsidRPr="00B124C7">
              <w:t>Indication of individualised/</w:t>
            </w:r>
            <w:r w:rsidR="00815312" w:rsidRPr="00B124C7">
              <w:t>child-level approaches within program</w:t>
            </w:r>
          </w:p>
          <w:p w14:paraId="4F248909" w14:textId="77777777" w:rsidR="00815312" w:rsidRPr="00B124C7" w:rsidRDefault="00815312" w:rsidP="00171325">
            <w:pPr>
              <w:pStyle w:val="ListParagraph"/>
              <w:numPr>
                <w:ilvl w:val="0"/>
                <w:numId w:val="19"/>
              </w:numPr>
              <w:spacing w:before="40" w:after="40"/>
              <w:ind w:left="357" w:hanging="357"/>
              <w:contextualSpacing w:val="0"/>
            </w:pPr>
            <w:r w:rsidRPr="00B124C7">
              <w:t>Indication or reference to cultural identity within Educational Program</w:t>
            </w:r>
          </w:p>
          <w:p w14:paraId="620CD466" w14:textId="1ECB2D9B" w:rsidR="00815312" w:rsidRPr="00B124C7" w:rsidRDefault="00815312" w:rsidP="00171325">
            <w:pPr>
              <w:pStyle w:val="ListParagraph"/>
              <w:numPr>
                <w:ilvl w:val="0"/>
                <w:numId w:val="19"/>
              </w:numPr>
              <w:spacing w:before="40" w:after="40"/>
              <w:ind w:left="357" w:hanging="357"/>
              <w:contextualSpacing w:val="0"/>
            </w:pPr>
            <w:r w:rsidRPr="00B124C7">
              <w:t>Indication or reference of assessment and planning cycle (or similar) reflection of child learning and development</w:t>
            </w:r>
          </w:p>
          <w:p w14:paraId="74872A8C" w14:textId="78EF318A" w:rsidR="00815312" w:rsidRPr="00B124C7" w:rsidRDefault="001F32AE" w:rsidP="00171325">
            <w:pPr>
              <w:pStyle w:val="ListParagraph"/>
              <w:numPr>
                <w:ilvl w:val="0"/>
                <w:numId w:val="19"/>
              </w:numPr>
              <w:spacing w:before="40" w:after="40"/>
              <w:ind w:left="357" w:hanging="357"/>
              <w:contextualSpacing w:val="0"/>
            </w:pPr>
            <w:r w:rsidRPr="00B124C7">
              <w:t>Response</w:t>
            </w:r>
            <w:r w:rsidR="008C456F" w:rsidRPr="00B124C7">
              <w:t xml:space="preserve"> to </w:t>
            </w:r>
            <w:r w:rsidR="008C456F" w:rsidRPr="00B124C7">
              <w:rPr>
                <w:i/>
                <w:iCs/>
              </w:rPr>
              <w:t>"Our educational program includes activities that acknowledge and strengthen the cultural identity of children in our care."</w:t>
            </w:r>
          </w:p>
        </w:tc>
      </w:tr>
      <w:tr w:rsidR="003A1960" w14:paraId="57E2A31D" w14:textId="77777777" w:rsidTr="00810018">
        <w:tc>
          <w:tcPr>
            <w:tcW w:w="1985" w:type="dxa"/>
          </w:tcPr>
          <w:p w14:paraId="1FD6E00B" w14:textId="0F19FD87" w:rsidR="003A1960" w:rsidRPr="001C655F" w:rsidRDefault="00002C4C" w:rsidP="006F4A44">
            <w:pPr>
              <w:rPr>
                <w:b/>
              </w:rPr>
            </w:pPr>
            <w:r w:rsidRPr="001C655F">
              <w:rPr>
                <w:b/>
              </w:rPr>
              <w:t>C</w:t>
            </w:r>
            <w:r w:rsidR="003A17DA" w:rsidRPr="001C655F">
              <w:rPr>
                <w:b/>
              </w:rPr>
              <w:t>hild</w:t>
            </w:r>
            <w:r w:rsidR="002D0A54" w:rsidRPr="001C655F">
              <w:rPr>
                <w:b/>
              </w:rPr>
              <w:t xml:space="preserve"> health, safety and wellbeing</w:t>
            </w:r>
          </w:p>
        </w:tc>
        <w:tc>
          <w:tcPr>
            <w:tcW w:w="7513" w:type="dxa"/>
          </w:tcPr>
          <w:p w14:paraId="236B8CA8" w14:textId="5B7CB511" w:rsidR="001F32AE" w:rsidRPr="00B124C7" w:rsidRDefault="001F32AE" w:rsidP="00171325">
            <w:pPr>
              <w:pStyle w:val="ListParagraph"/>
              <w:numPr>
                <w:ilvl w:val="0"/>
                <w:numId w:val="20"/>
              </w:numPr>
              <w:spacing w:before="40" w:after="40"/>
              <w:ind w:left="357" w:hanging="357"/>
              <w:contextualSpacing w:val="0"/>
            </w:pPr>
            <w:r w:rsidRPr="00B124C7">
              <w:t>Response to</w:t>
            </w:r>
            <w:r w:rsidRPr="00B124C7">
              <w:rPr>
                <w:i/>
                <w:iCs/>
              </w:rPr>
              <w:t xml:space="preserve"> “</w:t>
            </w:r>
            <w:r w:rsidR="002908B8" w:rsidRPr="00B124C7">
              <w:rPr>
                <w:i/>
                <w:iCs/>
              </w:rPr>
              <w:t xml:space="preserve">Our service always has adequate </w:t>
            </w:r>
            <w:r w:rsidR="00B124C7" w:rsidRPr="00B124C7">
              <w:rPr>
                <w:i/>
                <w:iCs/>
              </w:rPr>
              <w:t>staffing levels to ensure all areas of the service are always supervised by a staff member (both inside and outside)</w:t>
            </w:r>
            <w:r w:rsidRPr="00B124C7">
              <w:rPr>
                <w:i/>
                <w:iCs/>
              </w:rPr>
              <w:t>”</w:t>
            </w:r>
          </w:p>
          <w:p w14:paraId="07EAF349" w14:textId="3122E9AE" w:rsidR="003A1960" w:rsidRPr="00B124C7" w:rsidRDefault="00223611" w:rsidP="00171325">
            <w:pPr>
              <w:pStyle w:val="ListParagraph"/>
              <w:numPr>
                <w:ilvl w:val="0"/>
                <w:numId w:val="20"/>
              </w:numPr>
              <w:spacing w:before="40" w:after="40"/>
              <w:ind w:left="357" w:hanging="357"/>
              <w:contextualSpacing w:val="0"/>
            </w:pPr>
            <w:r w:rsidRPr="00B124C7">
              <w:t>Evidence of adequate Working with Childrens Checks (WWCC) for service staff</w:t>
            </w:r>
          </w:p>
          <w:p w14:paraId="390A7CA5" w14:textId="277E5E5C" w:rsidR="00223611" w:rsidRPr="00B124C7" w:rsidRDefault="001F32AE" w:rsidP="00171325">
            <w:pPr>
              <w:pStyle w:val="ListParagraph"/>
              <w:numPr>
                <w:ilvl w:val="0"/>
                <w:numId w:val="20"/>
              </w:numPr>
              <w:spacing w:before="40" w:after="40"/>
              <w:ind w:left="357" w:hanging="357"/>
              <w:contextualSpacing w:val="0"/>
            </w:pPr>
            <w:r w:rsidRPr="00B124C7">
              <w:t>Re</w:t>
            </w:r>
            <w:r w:rsidR="00AA3422" w:rsidRPr="00B124C7">
              <w:t xml:space="preserve">sponse </w:t>
            </w:r>
            <w:r w:rsidR="00AA3422" w:rsidRPr="00B124C7">
              <w:rPr>
                <w:i/>
                <w:iCs/>
              </w:rPr>
              <w:t>to "Our service ensures the environment is safe for children, so they are protected from harm or injury. This includes daily safety checks and ensuring all dangerous and sharp items are locked away from children."</w:t>
            </w:r>
          </w:p>
          <w:p w14:paraId="68DEAAE4" w14:textId="770693FB" w:rsidR="00AA3422" w:rsidRPr="00B124C7" w:rsidRDefault="001F32AE" w:rsidP="00171325">
            <w:pPr>
              <w:pStyle w:val="ListParagraph"/>
              <w:numPr>
                <w:ilvl w:val="0"/>
                <w:numId w:val="20"/>
              </w:numPr>
              <w:spacing w:before="40" w:after="40"/>
              <w:ind w:left="357" w:hanging="357"/>
              <w:contextualSpacing w:val="0"/>
            </w:pPr>
            <w:r w:rsidRPr="00B124C7">
              <w:t>Response</w:t>
            </w:r>
            <w:r w:rsidR="00AA3422" w:rsidRPr="00B124C7">
              <w:t xml:space="preserve"> around awareness and implementation of National Principles for Child Safe Organisations</w:t>
            </w:r>
          </w:p>
          <w:p w14:paraId="2B612F25" w14:textId="77777777" w:rsidR="00AA3422" w:rsidRPr="00B124C7" w:rsidRDefault="00AA3422" w:rsidP="00171325">
            <w:pPr>
              <w:pStyle w:val="ListParagraph"/>
              <w:numPr>
                <w:ilvl w:val="0"/>
                <w:numId w:val="20"/>
              </w:numPr>
              <w:spacing w:before="40" w:after="40"/>
              <w:ind w:left="357" w:hanging="357"/>
              <w:contextualSpacing w:val="0"/>
            </w:pPr>
            <w:r w:rsidRPr="00B124C7">
              <w:lastRenderedPageBreak/>
              <w:t>Number of serious incidents (in previous year)</w:t>
            </w:r>
          </w:p>
          <w:p w14:paraId="115DD5E0" w14:textId="42B440E8" w:rsidR="001F32AE" w:rsidRPr="00B124C7" w:rsidRDefault="001F32AE" w:rsidP="00171325">
            <w:pPr>
              <w:pStyle w:val="ListParagraph"/>
              <w:numPr>
                <w:ilvl w:val="0"/>
                <w:numId w:val="20"/>
              </w:numPr>
              <w:spacing w:before="40" w:after="40"/>
              <w:ind w:left="357" w:hanging="357"/>
              <w:contextualSpacing w:val="0"/>
            </w:pPr>
            <w:r w:rsidRPr="00B124C7">
              <w:t xml:space="preserve">Response to </w:t>
            </w:r>
            <w:r w:rsidRPr="00B124C7">
              <w:rPr>
                <w:i/>
                <w:iCs/>
              </w:rPr>
              <w:t>“We have at least one staff member who holds a current first aid certificate…”</w:t>
            </w:r>
          </w:p>
        </w:tc>
      </w:tr>
      <w:tr w:rsidR="003A1960" w14:paraId="5177E985" w14:textId="77777777" w:rsidTr="00810018">
        <w:tc>
          <w:tcPr>
            <w:tcW w:w="1985" w:type="dxa"/>
          </w:tcPr>
          <w:p w14:paraId="2C988297" w14:textId="42EACDE4" w:rsidR="003A1960" w:rsidRPr="001C655F" w:rsidRDefault="00002C4C" w:rsidP="006F4A44">
            <w:pPr>
              <w:rPr>
                <w:b/>
              </w:rPr>
            </w:pPr>
            <w:r w:rsidRPr="001C655F">
              <w:rPr>
                <w:b/>
              </w:rPr>
              <w:lastRenderedPageBreak/>
              <w:t>Arrangements to manage serious incidents</w:t>
            </w:r>
          </w:p>
        </w:tc>
        <w:tc>
          <w:tcPr>
            <w:tcW w:w="7513" w:type="dxa"/>
          </w:tcPr>
          <w:p w14:paraId="57EF6B21" w14:textId="358B0111" w:rsidR="007B645A" w:rsidRDefault="00F71CB9" w:rsidP="00171325">
            <w:pPr>
              <w:pStyle w:val="ListParagraph"/>
              <w:numPr>
                <w:ilvl w:val="0"/>
                <w:numId w:val="21"/>
              </w:numPr>
              <w:spacing w:before="40" w:after="40"/>
              <w:ind w:left="357" w:hanging="357"/>
              <w:contextualSpacing w:val="0"/>
            </w:pPr>
            <w:r>
              <w:t xml:space="preserve">Evidence of </w:t>
            </w:r>
            <w:r w:rsidR="007B645A">
              <w:t>relevant Serious Incident Procedure</w:t>
            </w:r>
          </w:p>
          <w:p w14:paraId="71D69DFD" w14:textId="2EB3DEBC" w:rsidR="003A1960" w:rsidRDefault="007B645A" w:rsidP="00171325">
            <w:pPr>
              <w:pStyle w:val="ListParagraph"/>
              <w:numPr>
                <w:ilvl w:val="0"/>
                <w:numId w:val="21"/>
              </w:numPr>
              <w:spacing w:before="40" w:after="40"/>
              <w:ind w:left="357" w:hanging="357"/>
              <w:contextualSpacing w:val="0"/>
            </w:pPr>
            <w:r>
              <w:t>Reference to relevant reporting obligations</w:t>
            </w:r>
          </w:p>
        </w:tc>
      </w:tr>
      <w:tr w:rsidR="003A1960" w14:paraId="2878F31B" w14:textId="77777777" w:rsidTr="00810018">
        <w:tc>
          <w:tcPr>
            <w:tcW w:w="1985" w:type="dxa"/>
          </w:tcPr>
          <w:p w14:paraId="004681D7" w14:textId="7D86905E" w:rsidR="003A1960" w:rsidRPr="001C655F" w:rsidRDefault="00891114" w:rsidP="006F4A44">
            <w:pPr>
              <w:rPr>
                <w:b/>
              </w:rPr>
            </w:pPr>
            <w:r w:rsidRPr="001C655F">
              <w:rPr>
                <w:b/>
              </w:rPr>
              <w:t>Insurances</w:t>
            </w:r>
          </w:p>
        </w:tc>
        <w:tc>
          <w:tcPr>
            <w:tcW w:w="7513" w:type="dxa"/>
          </w:tcPr>
          <w:p w14:paraId="032D2368" w14:textId="77777777" w:rsidR="003A1960" w:rsidRDefault="00FF06D3" w:rsidP="00171325">
            <w:pPr>
              <w:pStyle w:val="ListParagraph"/>
              <w:numPr>
                <w:ilvl w:val="0"/>
                <w:numId w:val="22"/>
              </w:numPr>
              <w:spacing w:before="40" w:after="40"/>
              <w:ind w:left="357" w:hanging="357"/>
              <w:contextualSpacing w:val="0"/>
            </w:pPr>
            <w:r>
              <w:t>Evidence of Workers Compensation Certificate</w:t>
            </w:r>
          </w:p>
          <w:p w14:paraId="2BEFC583" w14:textId="736DBDD6" w:rsidR="00FF06D3" w:rsidRDefault="00FF06D3" w:rsidP="00171325">
            <w:pPr>
              <w:pStyle w:val="ListParagraph"/>
              <w:numPr>
                <w:ilvl w:val="0"/>
                <w:numId w:val="22"/>
              </w:numPr>
              <w:spacing w:before="40" w:after="40"/>
              <w:ind w:left="357" w:hanging="357"/>
              <w:contextualSpacing w:val="0"/>
            </w:pPr>
            <w:r>
              <w:t>Evidence of Public Liability Insurance Certificate</w:t>
            </w:r>
          </w:p>
        </w:tc>
      </w:tr>
      <w:tr w:rsidR="00002C4C" w14:paraId="464008AE" w14:textId="77777777" w:rsidTr="00810018">
        <w:tc>
          <w:tcPr>
            <w:tcW w:w="1985" w:type="dxa"/>
          </w:tcPr>
          <w:p w14:paraId="7FA2F226" w14:textId="5B27551C" w:rsidR="00002C4C" w:rsidRPr="001C655F" w:rsidRDefault="00002C4C" w:rsidP="006F4A44">
            <w:pPr>
              <w:rPr>
                <w:b/>
              </w:rPr>
            </w:pPr>
            <w:r w:rsidRPr="001C655F">
              <w:rPr>
                <w:b/>
              </w:rPr>
              <w:t>Maintai</w:t>
            </w:r>
            <w:r w:rsidR="00891114" w:rsidRPr="001C655F">
              <w:rPr>
                <w:b/>
              </w:rPr>
              <w:t>ning a</w:t>
            </w:r>
            <w:r w:rsidRPr="001C655F">
              <w:rPr>
                <w:b/>
              </w:rPr>
              <w:t xml:space="preserve"> Quality Improvement Plan (QIP)</w:t>
            </w:r>
          </w:p>
        </w:tc>
        <w:tc>
          <w:tcPr>
            <w:tcW w:w="7513" w:type="dxa"/>
          </w:tcPr>
          <w:p w14:paraId="31920BA2" w14:textId="4343FA7E" w:rsidR="00002C4C" w:rsidRDefault="00FF06D3" w:rsidP="00171325">
            <w:pPr>
              <w:pStyle w:val="ListParagraph"/>
              <w:numPr>
                <w:ilvl w:val="0"/>
                <w:numId w:val="23"/>
              </w:numPr>
              <w:spacing w:before="40" w:after="40"/>
              <w:ind w:left="357" w:hanging="357"/>
              <w:contextualSpacing w:val="0"/>
            </w:pPr>
            <w:r>
              <w:t>Evidence of QIP</w:t>
            </w:r>
          </w:p>
          <w:p w14:paraId="2BFFB499" w14:textId="77777777" w:rsidR="00FF06D3" w:rsidRDefault="001C33F6" w:rsidP="00171325">
            <w:pPr>
              <w:pStyle w:val="ListParagraph"/>
              <w:numPr>
                <w:ilvl w:val="0"/>
                <w:numId w:val="23"/>
              </w:numPr>
              <w:spacing w:before="40" w:after="40"/>
              <w:ind w:left="357" w:hanging="357"/>
              <w:contextualSpacing w:val="0"/>
            </w:pPr>
            <w:r>
              <w:t>Identified areas of improvement identified across all seven (7) Quality Areas</w:t>
            </w:r>
          </w:p>
          <w:p w14:paraId="29308A8D" w14:textId="3AA87101" w:rsidR="001C33F6" w:rsidRDefault="003E69CD" w:rsidP="00171325">
            <w:pPr>
              <w:pStyle w:val="ListParagraph"/>
              <w:numPr>
                <w:ilvl w:val="0"/>
                <w:numId w:val="23"/>
              </w:numPr>
              <w:spacing w:before="40" w:after="40"/>
              <w:ind w:left="357" w:hanging="357"/>
              <w:contextualSpacing w:val="0"/>
            </w:pPr>
            <w:r>
              <w:t>Response indicating</w:t>
            </w:r>
            <w:r w:rsidR="004E3986">
              <w:t xml:space="preserve"> assessment of QIP</w:t>
            </w:r>
            <w:r>
              <w:t xml:space="preserve"> made</w:t>
            </w:r>
            <w:r w:rsidR="004E3986">
              <w:t xml:space="preserve"> on annual basis </w:t>
            </w:r>
          </w:p>
        </w:tc>
      </w:tr>
    </w:tbl>
    <w:p w14:paraId="3083AA67" w14:textId="05D66742" w:rsidR="0074062F" w:rsidRPr="007C5196" w:rsidRDefault="007C5196" w:rsidP="00657BFE">
      <w:pPr>
        <w:pStyle w:val="Source"/>
      </w:pPr>
      <w:r w:rsidRPr="007C5196">
        <w:t>Source: Deloitte Access Economics (2023)</w:t>
      </w:r>
      <w:r w:rsidR="00657BFE">
        <w:t>.</w:t>
      </w:r>
    </w:p>
    <w:p w14:paraId="7A20C1D8" w14:textId="78F8E5BD" w:rsidR="0007682E" w:rsidRDefault="00940B87" w:rsidP="006F4A44">
      <w:r>
        <w:t xml:space="preserve">Further detail around the </w:t>
      </w:r>
      <w:r w:rsidR="003064B4">
        <w:t xml:space="preserve">approach to </w:t>
      </w:r>
      <w:r w:rsidR="001016E1">
        <w:t>undertaking the</w:t>
      </w:r>
      <w:r w:rsidR="003064B4">
        <w:t xml:space="preserve"> MCA </w:t>
      </w:r>
      <w:r w:rsidR="001016E1">
        <w:t>for this review</w:t>
      </w:r>
      <w:r w:rsidR="007C5196">
        <w:t xml:space="preserve"> </w:t>
      </w:r>
      <w:r w:rsidR="0074062F">
        <w:t xml:space="preserve">has </w:t>
      </w:r>
      <w:r w:rsidR="003064B4">
        <w:t>been included at</w:t>
      </w:r>
      <w:r w:rsidR="00823EC0">
        <w:t xml:space="preserve"> </w:t>
      </w:r>
      <w:r w:rsidR="00E54CB1" w:rsidRPr="00E73494">
        <w:fldChar w:fldCharType="begin"/>
      </w:r>
      <w:r w:rsidR="00E54CB1" w:rsidRPr="00E73494">
        <w:instrText xml:space="preserve"> REF _Ref153450633 \r \h </w:instrText>
      </w:r>
      <w:r w:rsidR="00486B3C" w:rsidRPr="00E73494">
        <w:instrText xml:space="preserve"> \* MERGEFORMAT </w:instrText>
      </w:r>
      <w:r w:rsidR="00E54CB1" w:rsidRPr="00E73494">
        <w:fldChar w:fldCharType="separate"/>
      </w:r>
      <w:r w:rsidR="00D300D0">
        <w:t>Appendix H</w:t>
      </w:r>
      <w:r w:rsidR="00E54CB1" w:rsidRPr="00E73494">
        <w:fldChar w:fldCharType="end"/>
      </w:r>
      <w:r w:rsidR="00E54CB1" w:rsidRPr="00E73494">
        <w:t>.</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6F4A44" w14:paraId="3DEB15AC" w14:textId="77777777" w:rsidTr="00556184">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cPr>
          <w:p w14:paraId="63768756" w14:textId="6646DB9F" w:rsidR="006F4A44" w:rsidRPr="009E424E" w:rsidRDefault="006F4A44">
            <w:pPr>
              <w:spacing w:after="120"/>
              <w:rPr>
                <w:b/>
                <w:bCs/>
              </w:rPr>
            </w:pPr>
            <w:r w:rsidRPr="009E424E">
              <w:rPr>
                <w:b/>
                <w:bCs/>
              </w:rPr>
              <w:t xml:space="preserve">Review finding </w:t>
            </w:r>
            <w:r w:rsidR="00930A37">
              <w:rPr>
                <w:b/>
                <w:bCs/>
              </w:rPr>
              <w:t>3</w:t>
            </w:r>
            <w:r w:rsidR="00AE2D39">
              <w:rPr>
                <w:b/>
                <w:bCs/>
              </w:rPr>
              <w:t>0</w:t>
            </w:r>
          </w:p>
          <w:p w14:paraId="18638B7E" w14:textId="12DD5AA6" w:rsidR="006F4A44" w:rsidRPr="00E54CB1" w:rsidRDefault="00460096" w:rsidP="00E54CB1">
            <w:pPr>
              <w:spacing w:before="120" w:after="120"/>
            </w:pPr>
            <w:r w:rsidRPr="00460096">
              <w:t>Analysis of Compliance and Operations Reports indicates varying capability and capacity across CCCFR services to prepare planning and governance documentation in line with the Minister’s Rules.</w:t>
            </w:r>
            <w:r w:rsidR="00930A37">
              <w:t xml:space="preserve"> </w:t>
            </w:r>
          </w:p>
        </w:tc>
      </w:tr>
    </w:tbl>
    <w:p w14:paraId="27ADF1BA" w14:textId="486FE0B1" w:rsidR="005E3A0C" w:rsidRDefault="00E80168" w:rsidP="00E81E55">
      <w:pPr>
        <w:pStyle w:val="Subject"/>
        <w:spacing w:before="170" w:after="170"/>
      </w:pPr>
      <w:r w:rsidRPr="00E81E55">
        <w:rPr>
          <w:rFonts w:eastAsia="Verdana" w:cs="Times New Roman"/>
        </w:rPr>
        <w:t xml:space="preserve">Supporting evidence for this finding is drawn from </w:t>
      </w:r>
      <w:r w:rsidRPr="008A6066">
        <w:rPr>
          <w:rFonts w:eastAsia="Verdana" w:cs="Times New Roman"/>
        </w:rPr>
        <w:t>MCA through service responses and documentation.</w:t>
      </w:r>
    </w:p>
    <w:p w14:paraId="1AA6E30B" w14:textId="32DC66D4" w:rsidR="00367FCC" w:rsidRDefault="005E3A0C" w:rsidP="005D6058">
      <w:r w:rsidRPr="005527CC">
        <w:t>Analysis</w:t>
      </w:r>
      <w:r w:rsidR="00AF4B93" w:rsidRPr="005527CC">
        <w:t xml:space="preserve"> of submitted materials from Compliance and Operations </w:t>
      </w:r>
      <w:r w:rsidR="009079D7">
        <w:t>Report</w:t>
      </w:r>
      <w:r w:rsidR="00AF4B93" w:rsidRPr="005527CC">
        <w:t>s indicate</w:t>
      </w:r>
      <w:r w:rsidR="005D6058">
        <w:t>s</w:t>
      </w:r>
      <w:r w:rsidR="005527CC" w:rsidRPr="005527CC">
        <w:t xml:space="preserve"> varying documentation submitted by services</w:t>
      </w:r>
      <w:r w:rsidR="005527CC">
        <w:t xml:space="preserve">, both in terms of scope of material and the format of the submitted documents. Furthermore, when assessed against </w:t>
      </w:r>
      <w:r w:rsidR="00255301">
        <w:t xml:space="preserve">through the MCA </w:t>
      </w:r>
      <w:r w:rsidR="00255301" w:rsidRPr="00E54CB1">
        <w:t xml:space="preserve">(outlined in </w:t>
      </w:r>
      <w:r w:rsidR="00E54CB1" w:rsidRPr="00E54CB1">
        <w:fldChar w:fldCharType="begin"/>
      </w:r>
      <w:r w:rsidR="00E54CB1" w:rsidRPr="00E54CB1">
        <w:instrText xml:space="preserve"> REF _Ref153450633 \r \h </w:instrText>
      </w:r>
      <w:r w:rsidR="00E54CB1">
        <w:instrText xml:space="preserve"> \* MERGEFORMAT </w:instrText>
      </w:r>
      <w:r w:rsidR="00E54CB1" w:rsidRPr="00E54CB1">
        <w:fldChar w:fldCharType="separate"/>
      </w:r>
      <w:r w:rsidR="00D300D0">
        <w:t>Appendix H</w:t>
      </w:r>
      <w:r w:rsidR="00E54CB1" w:rsidRPr="00E54CB1">
        <w:fldChar w:fldCharType="end"/>
      </w:r>
      <w:r w:rsidR="00255301" w:rsidRPr="00E54CB1">
        <w:t>),</w:t>
      </w:r>
      <w:r w:rsidR="00255301">
        <w:t xml:space="preserve"> there </w:t>
      </w:r>
      <w:r w:rsidR="007F6824">
        <w:t>i</w:t>
      </w:r>
      <w:r w:rsidR="00255301">
        <w:t xml:space="preserve">s a distinct variance in the </w:t>
      </w:r>
      <w:r w:rsidR="00367FCC">
        <w:t>extent to which CCCFR services me</w:t>
      </w:r>
      <w:r w:rsidR="007F6824">
        <w:t>e</w:t>
      </w:r>
      <w:r w:rsidR="00367FCC">
        <w:t>t the underlying objectives of the Minister’s Rules.</w:t>
      </w:r>
    </w:p>
    <w:p w14:paraId="411BA087" w14:textId="5984A6FD" w:rsidR="005B78A3" w:rsidRDefault="007F6824" w:rsidP="005D6058">
      <w:r>
        <w:fldChar w:fldCharType="begin"/>
      </w:r>
      <w:r>
        <w:instrText xml:space="preserve"> REF _Ref153380631 \r \h  \* MERGEFORMAT </w:instrText>
      </w:r>
      <w:r>
        <w:fldChar w:fldCharType="separate"/>
      </w:r>
      <w:r w:rsidR="00D300D0">
        <w:t>Table 7.6</w:t>
      </w:r>
      <w:r>
        <w:fldChar w:fldCharType="end"/>
      </w:r>
      <w:r>
        <w:t xml:space="preserve"> </w:t>
      </w:r>
      <w:r w:rsidR="0087461B">
        <w:t xml:space="preserve">below </w:t>
      </w:r>
      <w:r>
        <w:t xml:space="preserve">provides </w:t>
      </w:r>
      <w:r w:rsidR="00367FCC" w:rsidRPr="0080609C">
        <w:t xml:space="preserve">a </w:t>
      </w:r>
      <w:r w:rsidR="005B78A3" w:rsidRPr="0080609C">
        <w:t>summary of the range of assessments under the MCA.</w:t>
      </w:r>
    </w:p>
    <w:p w14:paraId="58C448DE" w14:textId="31BD8D92" w:rsidR="007C5196" w:rsidRPr="0080609C" w:rsidRDefault="005B78A3" w:rsidP="007F6824">
      <w:pPr>
        <w:pStyle w:val="CaptionTable"/>
      </w:pPr>
      <w:bookmarkStart w:id="349" w:name="_Toc163566691"/>
      <w:bookmarkStart w:id="350" w:name="_Toc163566692"/>
      <w:bookmarkStart w:id="351" w:name="_Ref153380631"/>
      <w:bookmarkStart w:id="352" w:name="_Toc158997973"/>
      <w:bookmarkStart w:id="353" w:name="_Toc167130719"/>
      <w:bookmarkEnd w:id="349"/>
      <w:bookmarkEnd w:id="350"/>
      <w:r w:rsidRPr="0080609C">
        <w:t>: MCA outcome</w:t>
      </w:r>
      <w:r w:rsidR="00E204DB" w:rsidRPr="0080609C">
        <w:t>s</w:t>
      </w:r>
      <w:r w:rsidRPr="0080609C">
        <w:t xml:space="preserve"> for CCCFR services across </w:t>
      </w:r>
      <w:r w:rsidR="00E204DB" w:rsidRPr="0080609C">
        <w:t>identified themes</w:t>
      </w:r>
      <w:bookmarkEnd w:id="351"/>
      <w:bookmarkEnd w:id="352"/>
      <w:bookmarkEnd w:id="353"/>
    </w:p>
    <w:tbl>
      <w:tblPr>
        <w:tblStyle w:val="Deloittetable"/>
        <w:tblW w:w="9498" w:type="dxa"/>
        <w:tblLook w:val="04A0" w:firstRow="1" w:lastRow="0" w:firstColumn="1" w:lastColumn="0" w:noHBand="0" w:noVBand="1"/>
      </w:tblPr>
      <w:tblGrid>
        <w:gridCol w:w="2127"/>
        <w:gridCol w:w="2551"/>
        <w:gridCol w:w="1843"/>
        <w:gridCol w:w="2977"/>
      </w:tblGrid>
      <w:tr w:rsidR="00732E39" w14:paraId="005AA433" w14:textId="6AEB24C1" w:rsidTr="00810018">
        <w:trPr>
          <w:cnfStyle w:val="100000000000" w:firstRow="1" w:lastRow="0" w:firstColumn="0" w:lastColumn="0" w:oddVBand="0" w:evenVBand="0" w:oddHBand="0" w:evenHBand="0" w:firstRowFirstColumn="0" w:firstRowLastColumn="0" w:lastRowFirstColumn="0" w:lastRowLastColumn="0"/>
          <w:trHeight w:val="368"/>
        </w:trPr>
        <w:tc>
          <w:tcPr>
            <w:tcW w:w="2127" w:type="dxa"/>
          </w:tcPr>
          <w:p w14:paraId="1C89E0D8" w14:textId="77777777" w:rsidR="00732E39" w:rsidRPr="001C655F" w:rsidRDefault="00732E39">
            <w:pPr>
              <w:rPr>
                <w:b/>
              </w:rPr>
            </w:pPr>
            <w:r w:rsidRPr="001C655F">
              <w:rPr>
                <w:b/>
              </w:rPr>
              <w:t>Theme</w:t>
            </w:r>
          </w:p>
        </w:tc>
        <w:tc>
          <w:tcPr>
            <w:tcW w:w="2551" w:type="dxa"/>
          </w:tcPr>
          <w:p w14:paraId="7083838D" w14:textId="7782F4EC" w:rsidR="00732E39" w:rsidRPr="001C655F" w:rsidRDefault="00732E39">
            <w:pPr>
              <w:rPr>
                <w:b/>
              </w:rPr>
            </w:pPr>
            <w:r w:rsidRPr="001C655F">
              <w:rPr>
                <w:b/>
              </w:rPr>
              <w:t xml:space="preserve">Lowest </w:t>
            </w:r>
            <w:r w:rsidR="002A796C" w:rsidRPr="001C655F">
              <w:rPr>
                <w:b/>
              </w:rPr>
              <w:t xml:space="preserve">weighted </w:t>
            </w:r>
            <w:r w:rsidRPr="001C655F">
              <w:rPr>
                <w:b/>
              </w:rPr>
              <w:t>score</w:t>
            </w:r>
          </w:p>
        </w:tc>
        <w:tc>
          <w:tcPr>
            <w:tcW w:w="1843" w:type="dxa"/>
          </w:tcPr>
          <w:p w14:paraId="6C55F2D5" w14:textId="5B90316D" w:rsidR="00732E39" w:rsidRPr="001C655F" w:rsidRDefault="00297018" w:rsidP="001C655F">
            <w:pPr>
              <w:jc w:val="center"/>
              <w:rPr>
                <w:b/>
              </w:rPr>
            </w:pPr>
            <w:r w:rsidRPr="001C655F">
              <w:rPr>
                <w:b/>
              </w:rPr>
              <w:t>Mean</w:t>
            </w:r>
            <w:r w:rsidR="00732E39" w:rsidRPr="001C655F">
              <w:rPr>
                <w:b/>
              </w:rPr>
              <w:t xml:space="preserve"> </w:t>
            </w:r>
            <w:r w:rsidR="002A796C" w:rsidRPr="001C655F">
              <w:rPr>
                <w:b/>
              </w:rPr>
              <w:t xml:space="preserve">weighted </w:t>
            </w:r>
            <w:r w:rsidR="00732E39" w:rsidRPr="001C655F">
              <w:rPr>
                <w:b/>
              </w:rPr>
              <w:t>score</w:t>
            </w:r>
          </w:p>
        </w:tc>
        <w:tc>
          <w:tcPr>
            <w:tcW w:w="2977" w:type="dxa"/>
          </w:tcPr>
          <w:p w14:paraId="2AE19957" w14:textId="6BA4F7B9" w:rsidR="00732E39" w:rsidRPr="001C655F" w:rsidRDefault="00732E39">
            <w:pPr>
              <w:rPr>
                <w:b/>
              </w:rPr>
            </w:pPr>
            <w:r w:rsidRPr="001C655F">
              <w:rPr>
                <w:b/>
              </w:rPr>
              <w:t xml:space="preserve">Highest </w:t>
            </w:r>
            <w:r w:rsidR="002A796C" w:rsidRPr="001C655F">
              <w:rPr>
                <w:b/>
              </w:rPr>
              <w:t xml:space="preserve">weighted </w:t>
            </w:r>
            <w:r w:rsidRPr="001C655F">
              <w:rPr>
                <w:b/>
              </w:rPr>
              <w:t>score</w:t>
            </w:r>
          </w:p>
        </w:tc>
      </w:tr>
      <w:tr w:rsidR="00732E39" w14:paraId="5DE564C5" w14:textId="2A2A6728" w:rsidTr="00810018">
        <w:trPr>
          <w:trHeight w:val="987"/>
        </w:trPr>
        <w:tc>
          <w:tcPr>
            <w:tcW w:w="2127" w:type="dxa"/>
          </w:tcPr>
          <w:p w14:paraId="3059E244" w14:textId="77777777" w:rsidR="00732E39" w:rsidRPr="001C655F" w:rsidRDefault="00732E39">
            <w:pPr>
              <w:rPr>
                <w:b/>
              </w:rPr>
            </w:pPr>
            <w:r w:rsidRPr="001C655F">
              <w:rPr>
                <w:b/>
              </w:rPr>
              <w:t>Tailored, individual educational program</w:t>
            </w:r>
          </w:p>
        </w:tc>
        <w:tc>
          <w:tcPr>
            <w:tcW w:w="2551" w:type="dxa"/>
          </w:tcPr>
          <w:p w14:paraId="1369D38C" w14:textId="7C273BA4" w:rsidR="00732E39" w:rsidRPr="004E6A55" w:rsidRDefault="002A796C" w:rsidP="00732E39">
            <w:pPr>
              <w:spacing w:before="40" w:after="40"/>
              <w:rPr>
                <w:i/>
              </w:rPr>
            </w:pPr>
            <w:r w:rsidRPr="004E6A55">
              <w:rPr>
                <w:b/>
              </w:rPr>
              <w:t>0.0</w:t>
            </w:r>
            <w:r w:rsidR="004E6A55" w:rsidRPr="004E6A55">
              <w:rPr>
                <w:b/>
              </w:rPr>
              <w:t>0</w:t>
            </w:r>
            <w:r w:rsidRPr="004E6A55">
              <w:t xml:space="preserve"> </w:t>
            </w:r>
            <w:r w:rsidRPr="004E6A55">
              <w:rPr>
                <w:i/>
              </w:rPr>
              <w:t>(</w:t>
            </w:r>
            <w:r w:rsidR="005E5087" w:rsidRPr="004E6A55">
              <w:rPr>
                <w:i/>
              </w:rPr>
              <w:t xml:space="preserve">service </w:t>
            </w:r>
            <w:r w:rsidR="000D5395">
              <w:rPr>
                <w:i/>
              </w:rPr>
              <w:t>closed – did</w:t>
            </w:r>
            <w:r w:rsidR="005E5087" w:rsidRPr="004E6A55">
              <w:rPr>
                <w:i/>
              </w:rPr>
              <w:t xml:space="preserve"> not </w:t>
            </w:r>
            <w:r w:rsidR="004E6A55" w:rsidRPr="004E6A55">
              <w:rPr>
                <w:i/>
              </w:rPr>
              <w:t>provide evidence of</w:t>
            </w:r>
            <w:r w:rsidRPr="004E6A55">
              <w:rPr>
                <w:i/>
              </w:rPr>
              <w:t xml:space="preserve"> educational program)</w:t>
            </w:r>
          </w:p>
        </w:tc>
        <w:tc>
          <w:tcPr>
            <w:tcW w:w="1843" w:type="dxa"/>
          </w:tcPr>
          <w:p w14:paraId="6A9570AB" w14:textId="3498E08F" w:rsidR="00732E39" w:rsidRPr="004E6A55" w:rsidRDefault="00297018" w:rsidP="001C655F">
            <w:pPr>
              <w:spacing w:before="40" w:after="40"/>
              <w:jc w:val="center"/>
              <w:rPr>
                <w:b/>
              </w:rPr>
            </w:pPr>
            <w:r w:rsidRPr="004E6A55">
              <w:rPr>
                <w:b/>
              </w:rPr>
              <w:t>0.</w:t>
            </w:r>
            <w:r w:rsidR="004E6A55" w:rsidRPr="004E6A55">
              <w:rPr>
                <w:b/>
              </w:rPr>
              <w:t>7</w:t>
            </w:r>
            <w:r w:rsidR="00C0262E">
              <w:rPr>
                <w:b/>
              </w:rPr>
              <w:t>73</w:t>
            </w:r>
          </w:p>
        </w:tc>
        <w:tc>
          <w:tcPr>
            <w:tcW w:w="2977" w:type="dxa"/>
          </w:tcPr>
          <w:p w14:paraId="67CB98C6" w14:textId="180AFE51" w:rsidR="00732E39" w:rsidRPr="004E6A55" w:rsidRDefault="00C02FA7" w:rsidP="00732E39">
            <w:pPr>
              <w:spacing w:before="40" w:after="40"/>
              <w:rPr>
                <w:i/>
              </w:rPr>
            </w:pPr>
            <w:r w:rsidRPr="004E6A55">
              <w:rPr>
                <w:b/>
              </w:rPr>
              <w:t>1.0</w:t>
            </w:r>
            <w:r w:rsidRPr="004E6A55">
              <w:t xml:space="preserve"> </w:t>
            </w:r>
            <w:r w:rsidRPr="004E6A55">
              <w:rPr>
                <w:i/>
              </w:rPr>
              <w:t>(</w:t>
            </w:r>
            <w:r w:rsidR="005E5087" w:rsidRPr="004E6A55">
              <w:rPr>
                <w:i/>
              </w:rPr>
              <w:t>comprehensive</w:t>
            </w:r>
            <w:r w:rsidR="000646B9" w:rsidRPr="004E6A55">
              <w:rPr>
                <w:i/>
              </w:rPr>
              <w:t xml:space="preserve"> evidence of</w:t>
            </w:r>
            <w:r w:rsidR="005E5087" w:rsidRPr="004E6A55">
              <w:rPr>
                <w:i/>
              </w:rPr>
              <w:t xml:space="preserve"> </w:t>
            </w:r>
            <w:r w:rsidRPr="004E6A55">
              <w:rPr>
                <w:i/>
              </w:rPr>
              <w:t>educational program</w:t>
            </w:r>
            <w:r w:rsidR="005E5087" w:rsidRPr="004E6A55">
              <w:rPr>
                <w:i/>
              </w:rPr>
              <w:t>/</w:t>
            </w:r>
            <w:r w:rsidRPr="004E6A55">
              <w:rPr>
                <w:i/>
              </w:rPr>
              <w:t>policy</w:t>
            </w:r>
            <w:r w:rsidR="005E5087" w:rsidRPr="004E6A55">
              <w:rPr>
                <w:i/>
              </w:rPr>
              <w:t>)</w:t>
            </w:r>
          </w:p>
        </w:tc>
      </w:tr>
      <w:tr w:rsidR="00732E39" w14:paraId="382E989A" w14:textId="3F28DDA8" w:rsidTr="00810018">
        <w:trPr>
          <w:trHeight w:val="785"/>
        </w:trPr>
        <w:tc>
          <w:tcPr>
            <w:tcW w:w="2127" w:type="dxa"/>
          </w:tcPr>
          <w:p w14:paraId="4457BB46" w14:textId="77777777" w:rsidR="00732E39" w:rsidRPr="001C655F" w:rsidRDefault="00732E39" w:rsidP="00732E39">
            <w:pPr>
              <w:rPr>
                <w:b/>
              </w:rPr>
            </w:pPr>
            <w:r w:rsidRPr="001C655F">
              <w:rPr>
                <w:b/>
              </w:rPr>
              <w:t>Child health, safety and wellbeing</w:t>
            </w:r>
          </w:p>
        </w:tc>
        <w:tc>
          <w:tcPr>
            <w:tcW w:w="2551" w:type="dxa"/>
          </w:tcPr>
          <w:p w14:paraId="314B7E07" w14:textId="4097962F" w:rsidR="00732E39" w:rsidRPr="004E6A55" w:rsidRDefault="00B317B4" w:rsidP="00732E39">
            <w:pPr>
              <w:spacing w:before="40" w:after="40"/>
              <w:rPr>
                <w:i/>
              </w:rPr>
            </w:pPr>
            <w:r w:rsidRPr="004E6A55">
              <w:rPr>
                <w:b/>
              </w:rPr>
              <w:t>0.</w:t>
            </w:r>
            <w:r w:rsidR="004E6A55" w:rsidRPr="004E6A55">
              <w:rPr>
                <w:b/>
              </w:rPr>
              <w:t>4</w:t>
            </w:r>
            <w:r w:rsidR="00D622E5" w:rsidRPr="004E6A55">
              <w:t xml:space="preserve"> </w:t>
            </w:r>
            <w:r w:rsidR="00D622E5" w:rsidRPr="004E6A55">
              <w:rPr>
                <w:i/>
              </w:rPr>
              <w:t>(</w:t>
            </w:r>
            <w:r w:rsidR="00AE117C" w:rsidRPr="004E6A55">
              <w:rPr>
                <w:i/>
              </w:rPr>
              <w:t xml:space="preserve">staffing issues </w:t>
            </w:r>
            <w:r w:rsidR="002D08F4" w:rsidRPr="004E6A55">
              <w:rPr>
                <w:i/>
              </w:rPr>
              <w:t>and unaware of National Child Safe Principles)</w:t>
            </w:r>
          </w:p>
        </w:tc>
        <w:tc>
          <w:tcPr>
            <w:tcW w:w="1843" w:type="dxa"/>
          </w:tcPr>
          <w:p w14:paraId="25EABB66" w14:textId="56E41E4E" w:rsidR="00732E39" w:rsidRPr="004E6A55" w:rsidRDefault="0028066C" w:rsidP="001C655F">
            <w:pPr>
              <w:spacing w:before="40" w:after="40"/>
              <w:jc w:val="center"/>
              <w:rPr>
                <w:b/>
              </w:rPr>
            </w:pPr>
            <w:r w:rsidRPr="004E6A55">
              <w:rPr>
                <w:b/>
              </w:rPr>
              <w:t>0.</w:t>
            </w:r>
            <w:r w:rsidRPr="0087461B">
              <w:rPr>
                <w:b/>
              </w:rPr>
              <w:t>9</w:t>
            </w:r>
            <w:r w:rsidR="004E6A55" w:rsidRPr="0087461B">
              <w:rPr>
                <w:b/>
              </w:rPr>
              <w:t>4</w:t>
            </w:r>
            <w:r w:rsidR="00C0262E">
              <w:rPr>
                <w:b/>
              </w:rPr>
              <w:t>0</w:t>
            </w:r>
          </w:p>
        </w:tc>
        <w:tc>
          <w:tcPr>
            <w:tcW w:w="2977" w:type="dxa"/>
          </w:tcPr>
          <w:p w14:paraId="21F48DFC" w14:textId="2CC822E6" w:rsidR="00732E39" w:rsidRPr="004E6A55" w:rsidRDefault="00B317B4" w:rsidP="00732E39">
            <w:pPr>
              <w:spacing w:before="40" w:after="40"/>
            </w:pPr>
            <w:r w:rsidRPr="004E6A55">
              <w:rPr>
                <w:b/>
              </w:rPr>
              <w:t>1.0</w:t>
            </w:r>
            <w:r w:rsidR="002D08F4" w:rsidRPr="004E6A55">
              <w:t xml:space="preserve"> </w:t>
            </w:r>
            <w:r w:rsidR="002D08F4" w:rsidRPr="004E6A55">
              <w:rPr>
                <w:i/>
              </w:rPr>
              <w:t>(strong governance</w:t>
            </w:r>
            <w:r w:rsidR="006A2F3A" w:rsidRPr="004E6A55">
              <w:rPr>
                <w:i/>
              </w:rPr>
              <w:t>, planning and awareness of issues relating to child health and safety)</w:t>
            </w:r>
            <w:r w:rsidR="002D08F4">
              <w:t xml:space="preserve"> </w:t>
            </w:r>
          </w:p>
        </w:tc>
      </w:tr>
      <w:tr w:rsidR="00732E39" w14:paraId="5D2F3F29" w14:textId="7BFDA5C6" w:rsidTr="00810018">
        <w:trPr>
          <w:trHeight w:val="987"/>
        </w:trPr>
        <w:tc>
          <w:tcPr>
            <w:tcW w:w="2127" w:type="dxa"/>
          </w:tcPr>
          <w:p w14:paraId="6EA11F6A" w14:textId="77777777" w:rsidR="00732E39" w:rsidRPr="001C655F" w:rsidRDefault="00732E39" w:rsidP="00732E39">
            <w:pPr>
              <w:rPr>
                <w:b/>
              </w:rPr>
            </w:pPr>
            <w:r w:rsidRPr="001C655F">
              <w:rPr>
                <w:b/>
              </w:rPr>
              <w:lastRenderedPageBreak/>
              <w:t>Arrangements to manage serious incidents</w:t>
            </w:r>
          </w:p>
        </w:tc>
        <w:tc>
          <w:tcPr>
            <w:tcW w:w="2551" w:type="dxa"/>
          </w:tcPr>
          <w:p w14:paraId="2BD6740F" w14:textId="1B6E320F" w:rsidR="00732E39" w:rsidRPr="0087461B" w:rsidRDefault="00034C3B" w:rsidP="00732E39">
            <w:pPr>
              <w:spacing w:before="40" w:after="40"/>
              <w:rPr>
                <w:i/>
              </w:rPr>
            </w:pPr>
            <w:r w:rsidRPr="0087461B">
              <w:rPr>
                <w:b/>
              </w:rPr>
              <w:t>0.0</w:t>
            </w:r>
            <w:r w:rsidRPr="0087461B">
              <w:t xml:space="preserve"> </w:t>
            </w:r>
            <w:r w:rsidRPr="0087461B">
              <w:rPr>
                <w:i/>
              </w:rPr>
              <w:t>(service did not upload a serious incident procedure</w:t>
            </w:r>
            <w:r w:rsidR="00B63A1B" w:rsidRPr="0087461B">
              <w:rPr>
                <w:i/>
              </w:rPr>
              <w:t xml:space="preserve"> or other</w:t>
            </w:r>
            <w:r w:rsidR="001F7835" w:rsidRPr="0087461B">
              <w:rPr>
                <w:i/>
              </w:rPr>
              <w:t xml:space="preserve"> relevant</w:t>
            </w:r>
            <w:r w:rsidR="00B63A1B" w:rsidRPr="0087461B">
              <w:rPr>
                <w:i/>
              </w:rPr>
              <w:t xml:space="preserve"> evidence</w:t>
            </w:r>
            <w:r w:rsidRPr="0087461B">
              <w:rPr>
                <w:i/>
              </w:rPr>
              <w:t>)</w:t>
            </w:r>
          </w:p>
        </w:tc>
        <w:tc>
          <w:tcPr>
            <w:tcW w:w="1843" w:type="dxa"/>
          </w:tcPr>
          <w:p w14:paraId="1F5D96E1" w14:textId="5725CEC2" w:rsidR="00732E39" w:rsidRPr="0087461B" w:rsidRDefault="00034C3B" w:rsidP="001C655F">
            <w:pPr>
              <w:pStyle w:val="Subject"/>
              <w:spacing w:before="40" w:after="40"/>
              <w:jc w:val="center"/>
            </w:pPr>
            <w:r w:rsidRPr="0087461B">
              <w:t>0.</w:t>
            </w:r>
            <w:r w:rsidR="0087461B" w:rsidRPr="0087461B">
              <w:t>7</w:t>
            </w:r>
            <w:r w:rsidR="00430FF9">
              <w:t>44</w:t>
            </w:r>
          </w:p>
        </w:tc>
        <w:tc>
          <w:tcPr>
            <w:tcW w:w="2977" w:type="dxa"/>
          </w:tcPr>
          <w:p w14:paraId="672E0B83" w14:textId="0A78F1C4" w:rsidR="00732E39" w:rsidRPr="00A4471F" w:rsidRDefault="00034C3B" w:rsidP="00732E39">
            <w:pPr>
              <w:spacing w:before="40" w:after="40"/>
              <w:rPr>
                <w:i/>
              </w:rPr>
            </w:pPr>
            <w:r w:rsidRPr="00A4471F">
              <w:rPr>
                <w:b/>
              </w:rPr>
              <w:t>1.0</w:t>
            </w:r>
            <w:r w:rsidRPr="00A4471F">
              <w:t xml:space="preserve"> </w:t>
            </w:r>
            <w:r w:rsidRPr="00A4471F">
              <w:rPr>
                <w:i/>
              </w:rPr>
              <w:t>(comprehensive serious incident procedure, including reporting obligations under Minister’s Rules)</w:t>
            </w:r>
          </w:p>
        </w:tc>
      </w:tr>
      <w:tr w:rsidR="00732E39" w14:paraId="1988E615" w14:textId="4C6A777A" w:rsidTr="00810018">
        <w:trPr>
          <w:trHeight w:val="368"/>
        </w:trPr>
        <w:tc>
          <w:tcPr>
            <w:tcW w:w="2127" w:type="dxa"/>
          </w:tcPr>
          <w:p w14:paraId="7896EE52" w14:textId="77777777" w:rsidR="00732E39" w:rsidRPr="001C655F" w:rsidRDefault="00732E39" w:rsidP="00732E39">
            <w:pPr>
              <w:rPr>
                <w:b/>
              </w:rPr>
            </w:pPr>
            <w:r w:rsidRPr="001C655F">
              <w:rPr>
                <w:b/>
              </w:rPr>
              <w:t>Insurances</w:t>
            </w:r>
          </w:p>
        </w:tc>
        <w:tc>
          <w:tcPr>
            <w:tcW w:w="2551" w:type="dxa"/>
          </w:tcPr>
          <w:p w14:paraId="5E6D1343" w14:textId="63FAF587" w:rsidR="00732E39" w:rsidRPr="00A4471F" w:rsidRDefault="006E691F" w:rsidP="00732E39">
            <w:pPr>
              <w:spacing w:before="40" w:after="40"/>
              <w:rPr>
                <w:i/>
              </w:rPr>
            </w:pPr>
            <w:r w:rsidRPr="00A4471F">
              <w:rPr>
                <w:b/>
              </w:rPr>
              <w:t>0.0</w:t>
            </w:r>
            <w:r w:rsidRPr="00A4471F">
              <w:t xml:space="preserve"> </w:t>
            </w:r>
            <w:r w:rsidRPr="00A4471F">
              <w:rPr>
                <w:i/>
              </w:rPr>
              <w:t xml:space="preserve">(service </w:t>
            </w:r>
            <w:r w:rsidR="002F3ED2" w:rsidRPr="00A4471F">
              <w:rPr>
                <w:i/>
              </w:rPr>
              <w:t xml:space="preserve">noted “N/A” </w:t>
            </w:r>
            <w:r w:rsidRPr="00A4471F">
              <w:rPr>
                <w:i/>
              </w:rPr>
              <w:t>did not upload workers compensation and public liability documentation)</w:t>
            </w:r>
          </w:p>
        </w:tc>
        <w:tc>
          <w:tcPr>
            <w:tcW w:w="1843" w:type="dxa"/>
          </w:tcPr>
          <w:p w14:paraId="040EDEF3" w14:textId="49A0E93F" w:rsidR="00732E39" w:rsidRPr="00A4471F" w:rsidRDefault="000646B9" w:rsidP="001C655F">
            <w:pPr>
              <w:spacing w:before="40" w:after="40"/>
              <w:jc w:val="center"/>
              <w:rPr>
                <w:b/>
              </w:rPr>
            </w:pPr>
            <w:r w:rsidRPr="00A4471F">
              <w:rPr>
                <w:b/>
              </w:rPr>
              <w:t>0.9</w:t>
            </w:r>
            <w:r w:rsidR="00A4471F" w:rsidRPr="00A4471F">
              <w:rPr>
                <w:b/>
              </w:rPr>
              <w:t>83</w:t>
            </w:r>
          </w:p>
        </w:tc>
        <w:tc>
          <w:tcPr>
            <w:tcW w:w="2977" w:type="dxa"/>
          </w:tcPr>
          <w:p w14:paraId="0C86AADA" w14:textId="7CA3C594" w:rsidR="00732E39" w:rsidRPr="00A4471F" w:rsidRDefault="009E2AD0" w:rsidP="00732E39">
            <w:pPr>
              <w:spacing w:before="40" w:after="40"/>
              <w:rPr>
                <w:i/>
              </w:rPr>
            </w:pPr>
            <w:r w:rsidRPr="00A4471F">
              <w:rPr>
                <w:b/>
              </w:rPr>
              <w:t>1.0</w:t>
            </w:r>
            <w:r w:rsidRPr="00A4471F">
              <w:t xml:space="preserve"> </w:t>
            </w:r>
            <w:r w:rsidRPr="00A4471F">
              <w:rPr>
                <w:i/>
              </w:rPr>
              <w:t>(workers compensation and public liability documentation uploaded and adequate)</w:t>
            </w:r>
          </w:p>
        </w:tc>
      </w:tr>
      <w:tr w:rsidR="00732E39" w14:paraId="44E1C115" w14:textId="2D7B2B05" w:rsidTr="00810018">
        <w:trPr>
          <w:trHeight w:val="987"/>
        </w:trPr>
        <w:tc>
          <w:tcPr>
            <w:tcW w:w="2127" w:type="dxa"/>
          </w:tcPr>
          <w:p w14:paraId="33EF66F5" w14:textId="77777777" w:rsidR="00732E39" w:rsidRPr="001C655F" w:rsidRDefault="00732E39" w:rsidP="00732E39">
            <w:pPr>
              <w:rPr>
                <w:b/>
              </w:rPr>
            </w:pPr>
            <w:r w:rsidRPr="001C655F">
              <w:rPr>
                <w:b/>
              </w:rPr>
              <w:t>Maintaining a Quality Improvement Plan (QIP)</w:t>
            </w:r>
          </w:p>
        </w:tc>
        <w:tc>
          <w:tcPr>
            <w:tcW w:w="2551" w:type="dxa"/>
          </w:tcPr>
          <w:p w14:paraId="1B0FB6BA" w14:textId="23F9F2E8" w:rsidR="00732E39" w:rsidRPr="004807DD" w:rsidRDefault="007A7063" w:rsidP="00732E39">
            <w:pPr>
              <w:spacing w:before="40" w:after="40"/>
              <w:rPr>
                <w:i/>
              </w:rPr>
            </w:pPr>
            <w:r w:rsidRPr="004807DD">
              <w:rPr>
                <w:b/>
              </w:rPr>
              <w:t>0.0</w:t>
            </w:r>
            <w:r w:rsidRPr="004807DD">
              <w:t xml:space="preserve"> </w:t>
            </w:r>
            <w:r w:rsidRPr="004807DD">
              <w:rPr>
                <w:i/>
              </w:rPr>
              <w:t>(service closed - did not submit QIP and unaware of requirement to review and update)</w:t>
            </w:r>
          </w:p>
        </w:tc>
        <w:tc>
          <w:tcPr>
            <w:tcW w:w="1843" w:type="dxa"/>
          </w:tcPr>
          <w:p w14:paraId="08EB008C" w14:textId="47D9311F" w:rsidR="00732E39" w:rsidRPr="004807DD" w:rsidRDefault="00D67B2C" w:rsidP="001C655F">
            <w:pPr>
              <w:spacing w:before="40" w:after="40"/>
              <w:jc w:val="center"/>
              <w:rPr>
                <w:b/>
              </w:rPr>
            </w:pPr>
            <w:r w:rsidRPr="004807DD">
              <w:rPr>
                <w:b/>
              </w:rPr>
              <w:t>0.9</w:t>
            </w:r>
            <w:r w:rsidR="00430FF9">
              <w:rPr>
                <w:b/>
              </w:rPr>
              <w:t>78</w:t>
            </w:r>
          </w:p>
        </w:tc>
        <w:tc>
          <w:tcPr>
            <w:tcW w:w="2977" w:type="dxa"/>
          </w:tcPr>
          <w:p w14:paraId="0390360F" w14:textId="14E7D0CF" w:rsidR="00732E39" w:rsidRPr="004807DD" w:rsidRDefault="00823EC0" w:rsidP="00732E39">
            <w:pPr>
              <w:spacing w:before="40" w:after="40"/>
              <w:rPr>
                <w:i/>
              </w:rPr>
            </w:pPr>
            <w:r w:rsidRPr="004807DD">
              <w:rPr>
                <w:b/>
              </w:rPr>
              <w:t>1.0</w:t>
            </w:r>
            <w:r w:rsidRPr="004807DD">
              <w:t xml:space="preserve"> </w:t>
            </w:r>
            <w:r w:rsidRPr="004807DD">
              <w:rPr>
                <w:i/>
              </w:rPr>
              <w:t xml:space="preserve">(QIP uploaded, </w:t>
            </w:r>
            <w:r w:rsidR="00D67B2C" w:rsidRPr="004807DD">
              <w:rPr>
                <w:i/>
              </w:rPr>
              <w:t xml:space="preserve">noting </w:t>
            </w:r>
            <w:r w:rsidRPr="004807DD">
              <w:rPr>
                <w:i/>
              </w:rPr>
              <w:t>assessment across all 7 QAs and annual review)</w:t>
            </w:r>
          </w:p>
        </w:tc>
      </w:tr>
      <w:tr w:rsidR="00D67B2C" w14:paraId="44D7DDDC" w14:textId="77777777" w:rsidTr="00810018">
        <w:trPr>
          <w:trHeight w:val="987"/>
        </w:trPr>
        <w:tc>
          <w:tcPr>
            <w:tcW w:w="2127" w:type="dxa"/>
          </w:tcPr>
          <w:p w14:paraId="07F686CA" w14:textId="1687BA69" w:rsidR="00D67B2C" w:rsidRPr="001C655F" w:rsidRDefault="00D67B2C" w:rsidP="00732E39">
            <w:pPr>
              <w:rPr>
                <w:b/>
              </w:rPr>
            </w:pPr>
            <w:r w:rsidRPr="001C655F">
              <w:rPr>
                <w:b/>
              </w:rPr>
              <w:t>Overall assessment</w:t>
            </w:r>
          </w:p>
        </w:tc>
        <w:tc>
          <w:tcPr>
            <w:tcW w:w="2551" w:type="dxa"/>
          </w:tcPr>
          <w:p w14:paraId="179D9B06" w14:textId="284E6814" w:rsidR="00D67B2C" w:rsidRPr="004807DD" w:rsidRDefault="009435F1" w:rsidP="00732E39">
            <w:pPr>
              <w:spacing w:before="40" w:after="40"/>
              <w:rPr>
                <w:b/>
              </w:rPr>
            </w:pPr>
            <w:r w:rsidRPr="004807DD">
              <w:rPr>
                <w:b/>
              </w:rPr>
              <w:t>0.3</w:t>
            </w:r>
            <w:r w:rsidR="004807DD" w:rsidRPr="004807DD">
              <w:rPr>
                <w:b/>
              </w:rPr>
              <w:t>5</w:t>
            </w:r>
            <w:r w:rsidRPr="004807DD">
              <w:rPr>
                <w:b/>
              </w:rPr>
              <w:t xml:space="preserve"> </w:t>
            </w:r>
            <w:r w:rsidRPr="004807DD">
              <w:rPr>
                <w:i/>
              </w:rPr>
              <w:t>(service closed at time of reporting, limited documentation submitted)</w:t>
            </w:r>
          </w:p>
        </w:tc>
        <w:tc>
          <w:tcPr>
            <w:tcW w:w="1843" w:type="dxa"/>
          </w:tcPr>
          <w:p w14:paraId="1450EC08" w14:textId="508299E7" w:rsidR="00D67B2C" w:rsidRPr="004807DD" w:rsidRDefault="008433E0" w:rsidP="001C655F">
            <w:pPr>
              <w:spacing w:before="40" w:after="40"/>
              <w:jc w:val="center"/>
              <w:rPr>
                <w:b/>
              </w:rPr>
            </w:pPr>
            <w:r w:rsidRPr="004807DD">
              <w:rPr>
                <w:b/>
              </w:rPr>
              <w:t>0.</w:t>
            </w:r>
            <w:r w:rsidR="004807DD" w:rsidRPr="004807DD">
              <w:rPr>
                <w:b/>
              </w:rPr>
              <w:t>8</w:t>
            </w:r>
            <w:r w:rsidR="00430FF9">
              <w:rPr>
                <w:b/>
              </w:rPr>
              <w:t>85</w:t>
            </w:r>
          </w:p>
        </w:tc>
        <w:tc>
          <w:tcPr>
            <w:tcW w:w="2977" w:type="dxa"/>
          </w:tcPr>
          <w:p w14:paraId="7F7BA0E1" w14:textId="5AD0073E" w:rsidR="00D67B2C" w:rsidRPr="004807DD" w:rsidRDefault="004807DD" w:rsidP="00732E39">
            <w:pPr>
              <w:spacing w:before="40" w:after="40"/>
              <w:rPr>
                <w:b/>
              </w:rPr>
            </w:pPr>
            <w:r w:rsidRPr="004807DD">
              <w:rPr>
                <w:b/>
                <w:iCs/>
              </w:rPr>
              <w:t>1.</w:t>
            </w:r>
            <w:r w:rsidR="009435F1" w:rsidRPr="004807DD">
              <w:rPr>
                <w:b/>
              </w:rPr>
              <w:t xml:space="preserve">0 </w:t>
            </w:r>
            <w:r w:rsidR="009435F1" w:rsidRPr="004807DD">
              <w:t>(</w:t>
            </w:r>
            <w:r w:rsidR="009435F1" w:rsidRPr="004807DD">
              <w:rPr>
                <w:i/>
              </w:rPr>
              <w:t>all documentation provided</w:t>
            </w:r>
            <w:r w:rsidR="008433E0" w:rsidRPr="004807DD">
              <w:rPr>
                <w:i/>
              </w:rPr>
              <w:t xml:space="preserve">, responses indicate </w:t>
            </w:r>
            <w:r w:rsidR="000D5395">
              <w:rPr>
                <w:i/>
              </w:rPr>
              <w:t>alignment with expectations under Minister’s Rules)</w:t>
            </w:r>
          </w:p>
        </w:tc>
      </w:tr>
    </w:tbl>
    <w:p w14:paraId="430E7421" w14:textId="023E1255" w:rsidR="00732E39" w:rsidRDefault="00E204DB" w:rsidP="00356682">
      <w:pPr>
        <w:pStyle w:val="Source"/>
      </w:pPr>
      <w:r w:rsidRPr="00E204DB">
        <w:t>Source: Deloitte Access Economics (2023)</w:t>
      </w:r>
      <w:r w:rsidR="00356682">
        <w:t>.</w:t>
      </w:r>
    </w:p>
    <w:p w14:paraId="7E1604C9" w14:textId="53B614C4" w:rsidR="00FA4CFE" w:rsidRDefault="00FA4CFE" w:rsidP="00356682">
      <w:r>
        <w:t xml:space="preserve">While all CCCFR services are expected to comply with the same documentation requirements to satisfy the Compliance and Operations </w:t>
      </w:r>
      <w:r w:rsidR="009079D7">
        <w:t>Report</w:t>
      </w:r>
      <w:r>
        <w:t>s, some reasons for this variance may be:</w:t>
      </w:r>
    </w:p>
    <w:p w14:paraId="7D59D8C3" w14:textId="4C34BC39" w:rsidR="00FA4CFE" w:rsidRDefault="00D079BB" w:rsidP="00356682">
      <w:pPr>
        <w:pStyle w:val="ListBullet"/>
      </w:pPr>
      <w:r>
        <w:t>d</w:t>
      </w:r>
      <w:r w:rsidR="00FA4CFE">
        <w:t xml:space="preserve">ifferences in service-level governance and leadership in relation to educational planning and </w:t>
      </w:r>
      <w:r w:rsidR="000F3580">
        <w:t>practice</w:t>
      </w:r>
    </w:p>
    <w:p w14:paraId="5E136FA9" w14:textId="1E786907" w:rsidR="000F3580" w:rsidRDefault="000F3580" w:rsidP="00356682">
      <w:pPr>
        <w:pStyle w:val="ListBullet"/>
      </w:pPr>
      <w:r>
        <w:t>varying access to professional development, training and resources, particularly for services in regional and remote locations</w:t>
      </w:r>
    </w:p>
    <w:p w14:paraId="258FC07A" w14:textId="6989267F" w:rsidR="000F3580" w:rsidRDefault="000F3580" w:rsidP="00356682">
      <w:pPr>
        <w:pStyle w:val="ListBullet"/>
      </w:pPr>
      <w:r>
        <w:t xml:space="preserve">varying awareness and understanding of grant obligations, </w:t>
      </w:r>
      <w:r w:rsidR="00374A24">
        <w:t>including obligations under the Minister’s Rules and the FAL</w:t>
      </w:r>
    </w:p>
    <w:p w14:paraId="6E061D44" w14:textId="58AA95AC" w:rsidR="00374A24" w:rsidRDefault="00374A24" w:rsidP="00356682">
      <w:pPr>
        <w:pStyle w:val="ListBullet"/>
      </w:pPr>
      <w:r>
        <w:t>varying resourcing at the service to collect documentation (i.e.</w:t>
      </w:r>
      <w:r w:rsidR="008238F2">
        <w:t>,</w:t>
      </w:r>
      <w:r>
        <w:t xml:space="preserve"> staffing and time)</w:t>
      </w:r>
    </w:p>
    <w:p w14:paraId="2F16E302" w14:textId="10D77F97" w:rsidR="00D079BB" w:rsidRDefault="00374A24" w:rsidP="00356682">
      <w:pPr>
        <w:pStyle w:val="ListBullet"/>
      </w:pPr>
      <w:r>
        <w:t>service</w:t>
      </w:r>
      <w:r w:rsidR="0052514F">
        <w:t>s’ philosophy and/or care type</w:t>
      </w:r>
      <w:r w:rsidR="00D079BB">
        <w:t>, including prior to transition to CCCFR grant.</w:t>
      </w:r>
    </w:p>
    <w:p w14:paraId="4D99576F" w14:textId="77777777" w:rsidR="008C44D8" w:rsidRDefault="008C44D8" w:rsidP="0030449C">
      <w:pPr>
        <w:pStyle w:val="ListBullet"/>
        <w:numPr>
          <w:ilvl w:val="0"/>
          <w:numId w:val="0"/>
        </w:numPr>
        <w:ind w:left="357"/>
      </w:pPr>
    </w:p>
    <w:p w14:paraId="1419613D" w14:textId="38BD246C" w:rsidR="003B6075" w:rsidRDefault="003B6075" w:rsidP="0030449C">
      <w:r>
        <w:t xml:space="preserve">In addition, some services were reported to be closed at the time of reporting, and as such, </w:t>
      </w:r>
      <w:r w:rsidR="009A4D3E">
        <w:t xml:space="preserve">did not submit </w:t>
      </w:r>
      <w:r w:rsidR="00155AD6">
        <w:t>full documentation in line with the Compliance and Operations Report. Noting the role of Program Officers in supporting services through the reporting process, it is assumed that these services were exempted from providing full documentation for the analysed reporting cycle (FY22-23).</w:t>
      </w:r>
    </w:p>
    <w:p w14:paraId="54A97369" w14:textId="54BAA8EC" w:rsidR="009D48E8" w:rsidRDefault="00ED2ABC" w:rsidP="0030449C">
      <w:r>
        <w:t>CCCFR services</w:t>
      </w:r>
      <w:r w:rsidR="00311ADD">
        <w:t xml:space="preserve"> were less likely to provide </w:t>
      </w:r>
      <w:r>
        <w:t xml:space="preserve">evidence of </w:t>
      </w:r>
      <w:r w:rsidR="00311ADD">
        <w:t>an</w:t>
      </w:r>
      <w:r>
        <w:t xml:space="preserve"> </w:t>
      </w:r>
      <w:r w:rsidR="00311ADD">
        <w:t xml:space="preserve">adequate </w:t>
      </w:r>
      <w:r>
        <w:t xml:space="preserve">serious incident procedure </w:t>
      </w:r>
      <w:r w:rsidR="00311ADD">
        <w:t xml:space="preserve">when compared to other </w:t>
      </w:r>
      <w:r w:rsidR="009D48E8">
        <w:t>required</w:t>
      </w:r>
      <w:r w:rsidR="00311ADD">
        <w:t xml:space="preserve"> documents. This was largely due to inaccurate reporting obligations noted on documentation</w:t>
      </w:r>
      <w:r w:rsidR="003B34DE">
        <w:t xml:space="preserve">, in particular omitting that the service was required to notify the CCCFR team (Department of Education) within 24 hours, in addition to their relevant state or territory regulatory authority. However, in some cases, services uploaded incorrect documentation (such as an ‘absence of care policy’), and in the case of two services, uploaded screenshots </w:t>
      </w:r>
      <w:r w:rsidR="00BB0BF9">
        <w:t>of reporting portals or forms</w:t>
      </w:r>
      <w:r w:rsidR="003B34DE">
        <w:t xml:space="preserve"> directly from </w:t>
      </w:r>
      <w:r w:rsidR="00BB0BF9">
        <w:t>Department websites.</w:t>
      </w:r>
    </w:p>
    <w:p w14:paraId="5837657B" w14:textId="7DA04691" w:rsidR="009D48E8" w:rsidRDefault="009D48E8" w:rsidP="0030449C">
      <w:r>
        <w:t>By contrast, almost every CCCFR service provided adequate workers compensation and public liability insurance</w:t>
      </w:r>
      <w:r w:rsidR="00BF7297">
        <w:t xml:space="preserve"> (with the exception of one service).</w:t>
      </w:r>
    </w:p>
    <w:p w14:paraId="46ECDA1B" w14:textId="77777777" w:rsidR="00D079BB" w:rsidRPr="00D079BB" w:rsidRDefault="00D079BB" w:rsidP="0030449C">
      <w:pPr>
        <w:pStyle w:val="ListBullet"/>
        <w:numPr>
          <w:ilvl w:val="0"/>
          <w:numId w:val="0"/>
        </w:numPr>
        <w:ind w:left="357"/>
      </w:pPr>
    </w:p>
    <w:tbl>
      <w:tblPr>
        <w:tblStyle w:val="TableGrid"/>
        <w:tblW w:w="0" w:type="auto"/>
        <w:shd w:val="clear" w:color="auto" w:fill="E7F5CF"/>
        <w:tblCellMar>
          <w:top w:w="113" w:type="dxa"/>
          <w:left w:w="113" w:type="dxa"/>
          <w:bottom w:w="113" w:type="dxa"/>
          <w:right w:w="113" w:type="dxa"/>
        </w:tblCellMar>
        <w:tblLook w:val="04A0" w:firstRow="1" w:lastRow="0" w:firstColumn="1" w:lastColumn="0" w:noHBand="0" w:noVBand="1"/>
      </w:tblPr>
      <w:tblGrid>
        <w:gridCol w:w="9026"/>
      </w:tblGrid>
      <w:tr w:rsidR="000A0D47" w14:paraId="1B63CC2F" w14:textId="77777777" w:rsidTr="00556184">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cPr>
          <w:p w14:paraId="55865466" w14:textId="6BBD8E62" w:rsidR="000A0D47" w:rsidRPr="009E424E" w:rsidRDefault="000A0D47" w:rsidP="000A0D47">
            <w:pPr>
              <w:spacing w:after="120"/>
              <w:rPr>
                <w:b/>
                <w:bCs/>
              </w:rPr>
            </w:pPr>
            <w:r w:rsidRPr="009E424E">
              <w:rPr>
                <w:b/>
                <w:bCs/>
              </w:rPr>
              <w:t xml:space="preserve">Review finding </w:t>
            </w:r>
            <w:r w:rsidR="00731D19">
              <w:rPr>
                <w:b/>
                <w:bCs/>
              </w:rPr>
              <w:t>3</w:t>
            </w:r>
            <w:r w:rsidR="00515319">
              <w:rPr>
                <w:b/>
                <w:bCs/>
              </w:rPr>
              <w:t>1</w:t>
            </w:r>
          </w:p>
          <w:p w14:paraId="6E1AF632" w14:textId="173D88C4" w:rsidR="000A0D47" w:rsidRPr="00E54CB1" w:rsidRDefault="00460096" w:rsidP="00E54CB1">
            <w:pPr>
              <w:spacing w:before="170"/>
            </w:pPr>
            <w:r w:rsidRPr="00460096">
              <w:t>Broader workforce challenges have impacted several rural and remote CCCFR services’ ability to meet obligations under the Minister’s Rules, specifically around ensuring effective supervision and meeting First Aid obligations.</w:t>
            </w:r>
          </w:p>
        </w:tc>
      </w:tr>
    </w:tbl>
    <w:p w14:paraId="1AACDB19" w14:textId="0ADFB6E5" w:rsidR="00BB13B8" w:rsidRPr="0004668C" w:rsidRDefault="00BB13B8" w:rsidP="00BB13B8">
      <w:pPr>
        <w:spacing w:before="170"/>
        <w:rPr>
          <w:rFonts w:eastAsia="Verdana" w:cs="Times New Roman"/>
          <w:b/>
          <w:bCs/>
        </w:rPr>
      </w:pPr>
      <w:r w:rsidRPr="0004668C">
        <w:rPr>
          <w:rFonts w:eastAsia="Verdana" w:cs="Times New Roman"/>
          <w:b/>
          <w:bCs/>
        </w:rPr>
        <w:lastRenderedPageBreak/>
        <w:t xml:space="preserve">Supporting evidence for this finding is drawn from </w:t>
      </w:r>
      <w:r>
        <w:rPr>
          <w:rFonts w:eastAsia="Verdana" w:cs="Times New Roman"/>
          <w:b/>
          <w:bCs/>
        </w:rPr>
        <w:t xml:space="preserve">the MCA, </w:t>
      </w:r>
      <w:r w:rsidRPr="0004668C">
        <w:rPr>
          <w:rFonts w:eastAsia="Verdana" w:cs="Times New Roman"/>
          <w:b/>
          <w:bCs/>
        </w:rPr>
        <w:t>consultations</w:t>
      </w:r>
      <w:r>
        <w:rPr>
          <w:rFonts w:eastAsia="Verdana" w:cs="Times New Roman"/>
          <w:b/>
          <w:bCs/>
        </w:rPr>
        <w:t xml:space="preserve"> and broader regulatory </w:t>
      </w:r>
      <w:r w:rsidR="00A7473E">
        <w:rPr>
          <w:rFonts w:eastAsia="Verdana" w:cs="Times New Roman"/>
          <w:b/>
          <w:bCs/>
        </w:rPr>
        <w:t>analysis</w:t>
      </w:r>
      <w:r w:rsidRPr="0004668C">
        <w:rPr>
          <w:rFonts w:eastAsia="Verdana" w:cs="Times New Roman"/>
          <w:b/>
          <w:bCs/>
        </w:rPr>
        <w:t>.</w:t>
      </w:r>
    </w:p>
    <w:p w14:paraId="11A03F93" w14:textId="531BA392" w:rsidR="007C5196" w:rsidRPr="00A9549A" w:rsidRDefault="00BB13B8" w:rsidP="001A7D14">
      <w:r w:rsidRPr="00A9549A">
        <w:t xml:space="preserve">Services’ responses to Compliance and Operations </w:t>
      </w:r>
      <w:r w:rsidR="009079D7">
        <w:t>Report</w:t>
      </w:r>
      <w:r w:rsidRPr="00A9549A">
        <w:t xml:space="preserve">s </w:t>
      </w:r>
      <w:r w:rsidR="001754B8" w:rsidRPr="00A9549A">
        <w:t xml:space="preserve">identified common barriers to meeting specific workforce requirements, </w:t>
      </w:r>
      <w:r w:rsidR="00CD1907" w:rsidRPr="00A9549A">
        <w:t xml:space="preserve">particularly </w:t>
      </w:r>
      <w:r w:rsidR="001754B8" w:rsidRPr="00A9549A">
        <w:t>around meeting adequate supervision and First Aid requirements on an ongoing basis.</w:t>
      </w:r>
    </w:p>
    <w:p w14:paraId="3A3F1732" w14:textId="47D69510" w:rsidR="00BB13B8" w:rsidRPr="00A9549A" w:rsidRDefault="002D6C76" w:rsidP="001A7D14">
      <w:r w:rsidRPr="00A9549A">
        <w:t xml:space="preserve">When asked </w:t>
      </w:r>
      <w:r w:rsidR="005319A1" w:rsidRPr="00A9549A">
        <w:t xml:space="preserve">around any circumstances which may have “prevented the provision of adequate supervision of children ensuring they were protected from harm and hazard”, 33 services noted challenges associated with </w:t>
      </w:r>
      <w:r w:rsidR="00CD1907" w:rsidRPr="00A9549A">
        <w:t xml:space="preserve">maintaining adequate staffing </w:t>
      </w:r>
      <w:r w:rsidR="00B16A47" w:rsidRPr="00A9549A">
        <w:t xml:space="preserve">at their service to ensure adequate supervision. More specifically, service responses </w:t>
      </w:r>
      <w:r w:rsidR="008024F0" w:rsidRPr="00A9549A">
        <w:t xml:space="preserve">broadly </w:t>
      </w:r>
      <w:r w:rsidR="009B1860" w:rsidRPr="00A9549A">
        <w:t>align</w:t>
      </w:r>
      <w:r w:rsidR="008024F0" w:rsidRPr="00A9549A">
        <w:t xml:space="preserve"> to the following themes:</w:t>
      </w:r>
    </w:p>
    <w:p w14:paraId="417993B3" w14:textId="6D605FB0" w:rsidR="008024F0" w:rsidRPr="00A9549A" w:rsidRDefault="00AB039A" w:rsidP="001A7D14">
      <w:pPr>
        <w:pStyle w:val="ListBullet"/>
        <w:rPr>
          <w:szCs w:val="18"/>
        </w:rPr>
      </w:pPr>
      <w:r>
        <w:t xml:space="preserve">cancelling </w:t>
      </w:r>
      <w:r w:rsidR="00333E8C">
        <w:t xml:space="preserve">child care sessions </w:t>
      </w:r>
      <w:r w:rsidR="008978D0">
        <w:t xml:space="preserve">when staff </w:t>
      </w:r>
      <w:r w:rsidR="001A7D14">
        <w:t>are</w:t>
      </w:r>
      <w:r w:rsidR="008978D0">
        <w:t xml:space="preserve"> absen</w:t>
      </w:r>
      <w:r w:rsidR="001A7D14">
        <w:t>t</w:t>
      </w:r>
      <w:r w:rsidR="00DD7601">
        <w:t>,</w:t>
      </w:r>
      <w:r w:rsidR="008978D0">
        <w:t xml:space="preserve"> </w:t>
      </w:r>
      <w:r w:rsidR="002F05F0">
        <w:t>as</w:t>
      </w:r>
      <w:r w:rsidR="008978D0">
        <w:t xml:space="preserve"> </w:t>
      </w:r>
      <w:r w:rsidR="00DD7601">
        <w:t xml:space="preserve">they are </w:t>
      </w:r>
      <w:r w:rsidR="008978D0">
        <w:t xml:space="preserve">unable to </w:t>
      </w:r>
      <w:r w:rsidR="00604A72">
        <w:t>provide</w:t>
      </w:r>
      <w:r w:rsidR="008978D0">
        <w:t xml:space="preserve"> adequate supervision</w:t>
      </w:r>
    </w:p>
    <w:p w14:paraId="3A07174C" w14:textId="2543E53D" w:rsidR="002F05F0" w:rsidRPr="00A9549A" w:rsidRDefault="00E70B19" w:rsidP="001A7D14">
      <w:pPr>
        <w:pStyle w:val="ListBullet"/>
        <w:rPr>
          <w:szCs w:val="18"/>
        </w:rPr>
      </w:pPr>
      <w:r>
        <w:t>services</w:t>
      </w:r>
      <w:r w:rsidR="00DD7601">
        <w:t>’</w:t>
      </w:r>
      <w:r>
        <w:t xml:space="preserve"> </w:t>
      </w:r>
      <w:r w:rsidR="00FF6D7C">
        <w:t>reliance on labour hire</w:t>
      </w:r>
      <w:r w:rsidR="00DD4F2B">
        <w:t>/relief</w:t>
      </w:r>
      <w:r w:rsidR="00FF6D7C">
        <w:t xml:space="preserve"> staff </w:t>
      </w:r>
      <w:r>
        <w:t xml:space="preserve">during staff absences, impacting </w:t>
      </w:r>
      <w:r w:rsidR="00DD7601">
        <w:t xml:space="preserve">the </w:t>
      </w:r>
      <w:r w:rsidR="00AE2A5E">
        <w:t>ability for service</w:t>
      </w:r>
      <w:r w:rsidR="00604A72">
        <w:t>s</w:t>
      </w:r>
      <w:r w:rsidR="00AE2A5E">
        <w:t xml:space="preserve"> to meet supervision due to limited knowledge of educator service policies and physical environment </w:t>
      </w:r>
    </w:p>
    <w:p w14:paraId="6A2AE365" w14:textId="65B1E590" w:rsidR="00AE2A5E" w:rsidRPr="00A9549A" w:rsidRDefault="00DD4F2B" w:rsidP="001A7D14">
      <w:pPr>
        <w:pStyle w:val="ListBullet"/>
        <w:rPr>
          <w:szCs w:val="18"/>
        </w:rPr>
      </w:pPr>
      <w:r>
        <w:t>short, unexpected</w:t>
      </w:r>
      <w:r w:rsidR="00FA6C35">
        <w:t xml:space="preserve"> periods of </w:t>
      </w:r>
      <w:r w:rsidR="00623CC7">
        <w:t xml:space="preserve">inadequate supervision </w:t>
      </w:r>
      <w:r w:rsidR="00583780">
        <w:t xml:space="preserve">between identifying staff absence and </w:t>
      </w:r>
      <w:r w:rsidR="00623CC7">
        <w:t xml:space="preserve">waiting for </w:t>
      </w:r>
      <w:r w:rsidR="00604A72">
        <w:t xml:space="preserve">the </w:t>
      </w:r>
      <w:r>
        <w:t>relief staff member</w:t>
      </w:r>
      <w:r w:rsidR="00583780">
        <w:t xml:space="preserve"> to arrive</w:t>
      </w:r>
    </w:p>
    <w:p w14:paraId="0A3A1D99" w14:textId="0F7AFE5F" w:rsidR="00583780" w:rsidRPr="00A9549A" w:rsidRDefault="00583780" w:rsidP="001A7D14">
      <w:pPr>
        <w:pStyle w:val="ListBullet"/>
        <w:rPr>
          <w:szCs w:val="18"/>
        </w:rPr>
      </w:pPr>
      <w:r>
        <w:t xml:space="preserve">ongoing </w:t>
      </w:r>
      <w:r w:rsidR="00DD4F2B">
        <w:t>workforce</w:t>
      </w:r>
      <w:r>
        <w:t xml:space="preserve"> challenges </w:t>
      </w:r>
      <w:r w:rsidR="00E1092E">
        <w:t xml:space="preserve">around access to adequate </w:t>
      </w:r>
      <w:r>
        <w:t>professional development and training</w:t>
      </w:r>
      <w:r w:rsidR="00E1092E">
        <w:t>, notably d</w:t>
      </w:r>
      <w:r w:rsidR="005A2EA8">
        <w:t xml:space="preserve">ue to COVID-19 and </w:t>
      </w:r>
      <w:r w:rsidR="00E1092E">
        <w:t xml:space="preserve">limited </w:t>
      </w:r>
      <w:r w:rsidR="005A2EA8">
        <w:t>access to professional trainers in rural and remote locations</w:t>
      </w:r>
    </w:p>
    <w:p w14:paraId="70470157" w14:textId="4C7F2E4F" w:rsidR="000A0D47" w:rsidRPr="00A9549A" w:rsidRDefault="00847F52" w:rsidP="001A7D14">
      <w:pPr>
        <w:pStyle w:val="ListBullet"/>
        <w:rPr>
          <w:szCs w:val="18"/>
        </w:rPr>
      </w:pPr>
      <w:r>
        <w:t xml:space="preserve">adopting an “under the roof ratio” </w:t>
      </w:r>
      <w:r w:rsidR="00730677">
        <w:t>(</w:t>
      </w:r>
      <w:r w:rsidR="00EE046B">
        <w:t xml:space="preserve">counting all educators at the service for ratio, rather than those engaging with children) </w:t>
      </w:r>
      <w:r>
        <w:t>during periods of limited staffing to ensure continuity of care.</w:t>
      </w:r>
      <w:r>
        <w:br/>
      </w:r>
    </w:p>
    <w:p w14:paraId="56AA4835" w14:textId="4AECC84C" w:rsidR="00E95B5A" w:rsidRPr="00A9549A" w:rsidRDefault="00E95B5A" w:rsidP="00680051">
      <w:r w:rsidRPr="00A9549A">
        <w:t xml:space="preserve">Similarly, </w:t>
      </w:r>
      <w:r w:rsidR="0097282D" w:rsidRPr="00A9549A">
        <w:t>five</w:t>
      </w:r>
      <w:r w:rsidRPr="00A9549A">
        <w:t xml:space="preserve"> </w:t>
      </w:r>
      <w:r w:rsidR="0097282D" w:rsidRPr="00A9549A">
        <w:t>CCCFR</w:t>
      </w:r>
      <w:r w:rsidRPr="00A9549A">
        <w:t xml:space="preserve"> services </w:t>
      </w:r>
      <w:r w:rsidR="0097282D" w:rsidRPr="00A9549A">
        <w:t>noted challenges</w:t>
      </w:r>
      <w:r w:rsidR="00527115" w:rsidRPr="00A9549A">
        <w:t xml:space="preserve"> in ensuring at least one staff member held a current first aid certificate </w:t>
      </w:r>
      <w:r w:rsidR="008002C5" w:rsidRPr="00A9549A">
        <w:t>whenever a child</w:t>
      </w:r>
      <w:r w:rsidR="00527115" w:rsidRPr="00A9549A">
        <w:t xml:space="preserve"> was </w:t>
      </w:r>
      <w:r w:rsidR="008002C5" w:rsidRPr="00A9549A">
        <w:t xml:space="preserve">in </w:t>
      </w:r>
      <w:r w:rsidR="00527115" w:rsidRPr="00A9549A">
        <w:t>care</w:t>
      </w:r>
      <w:r w:rsidR="008002C5" w:rsidRPr="00A9549A">
        <w:t>, a requirement under the Minister’s Rules</w:t>
      </w:r>
      <w:r w:rsidR="00527115" w:rsidRPr="00A9549A">
        <w:t xml:space="preserve">. Within their responses, </w:t>
      </w:r>
      <w:r w:rsidR="0097282D" w:rsidRPr="00A9549A">
        <w:t xml:space="preserve">these </w:t>
      </w:r>
      <w:r w:rsidR="00527115" w:rsidRPr="00A9549A">
        <w:t xml:space="preserve">services </w:t>
      </w:r>
      <w:r w:rsidR="0097282D" w:rsidRPr="00A9549A">
        <w:t>pointed to</w:t>
      </w:r>
      <w:r w:rsidR="00527115" w:rsidRPr="00A9549A">
        <w:t xml:space="preserve"> </w:t>
      </w:r>
      <w:r w:rsidR="008002C5" w:rsidRPr="00A9549A">
        <w:t xml:space="preserve">lack of access to First Aid training in rural and remote settings, noting that they were proactively seeking ways to address this gap. </w:t>
      </w:r>
    </w:p>
    <w:p w14:paraId="54D7C125" w14:textId="61ABA6B2" w:rsidR="006753D2" w:rsidRPr="00A9549A" w:rsidRDefault="006753D2" w:rsidP="00680051">
      <w:r w:rsidRPr="00A9549A">
        <w:t xml:space="preserve">Consultations with CCCFR services indicated similar findings, with services in rural and remote settings identifying staffing as a key challenge in meeting </w:t>
      </w:r>
      <w:r w:rsidR="00AB502E" w:rsidRPr="00A9549A">
        <w:t>expectations under the grant and Minister’s Rules to provide “high quality child care” and ensure children are adequately supervised during sessions of care.</w:t>
      </w:r>
    </w:p>
    <w:p w14:paraId="65749680" w14:textId="0EC9B731" w:rsidR="008002C5" w:rsidRPr="00A9549A" w:rsidRDefault="00F029F4" w:rsidP="00680051">
      <w:r w:rsidRPr="00A9549A">
        <w:t xml:space="preserve">These </w:t>
      </w:r>
      <w:r w:rsidR="00AB502E" w:rsidRPr="00A9549A">
        <w:t>insights</w:t>
      </w:r>
      <w:r w:rsidRPr="00A9549A">
        <w:t xml:space="preserve"> </w:t>
      </w:r>
      <w:r w:rsidR="00AB502E" w:rsidRPr="00A9549A">
        <w:t xml:space="preserve">through the MCA and service consultations </w:t>
      </w:r>
      <w:r w:rsidRPr="00A9549A">
        <w:t xml:space="preserve">are consistent with </w:t>
      </w:r>
      <w:r w:rsidR="00AB502E" w:rsidRPr="00A9549A">
        <w:t xml:space="preserve">data from the </w:t>
      </w:r>
      <w:r w:rsidR="00AB502E" w:rsidRPr="00A9549A">
        <w:rPr>
          <w:i/>
        </w:rPr>
        <w:t xml:space="preserve">National </w:t>
      </w:r>
      <w:r w:rsidR="0046103D" w:rsidRPr="00A9549A">
        <w:rPr>
          <w:i/>
        </w:rPr>
        <w:t xml:space="preserve">Children’s Education and Care </w:t>
      </w:r>
      <w:r w:rsidR="00AB502E" w:rsidRPr="00A9549A">
        <w:rPr>
          <w:i/>
        </w:rPr>
        <w:t>Workforce Strategy</w:t>
      </w:r>
      <w:r w:rsidR="0046103D" w:rsidRPr="00A9549A">
        <w:rPr>
          <w:i/>
        </w:rPr>
        <w:t xml:space="preserve"> (2022-2031), </w:t>
      </w:r>
      <w:r w:rsidR="0046103D" w:rsidRPr="00A9549A">
        <w:t>which indicates that</w:t>
      </w:r>
      <w:r w:rsidR="002243AA" w:rsidRPr="00A9549A">
        <w:t xml:space="preserve"> </w:t>
      </w:r>
      <w:r w:rsidR="00543780" w:rsidRPr="00A9549A">
        <w:t xml:space="preserve">a higher proportion of </w:t>
      </w:r>
      <w:r w:rsidR="002243AA" w:rsidRPr="00A9549A">
        <w:t xml:space="preserve">services in </w:t>
      </w:r>
      <w:r w:rsidR="00543780" w:rsidRPr="00A9549A">
        <w:t>remote</w:t>
      </w:r>
      <w:r w:rsidR="00702D1F" w:rsidRPr="00A9549A">
        <w:t xml:space="preserve"> (13.4</w:t>
      </w:r>
      <w:r w:rsidR="00D97EF8">
        <w:t xml:space="preserve"> per cent</w:t>
      </w:r>
      <w:r w:rsidR="00702D1F" w:rsidRPr="00A9549A">
        <w:t>)</w:t>
      </w:r>
      <w:r w:rsidR="00C42DFA" w:rsidRPr="00A9549A">
        <w:t>, outer remote</w:t>
      </w:r>
      <w:r w:rsidR="00702D1F" w:rsidRPr="00A9549A">
        <w:t xml:space="preserve"> (8.8</w:t>
      </w:r>
      <w:r w:rsidR="00D97EF8" w:rsidRPr="00D97EF8">
        <w:t xml:space="preserve"> </w:t>
      </w:r>
      <w:r w:rsidR="00D97EF8">
        <w:t>per cent</w:t>
      </w:r>
      <w:r w:rsidR="00702D1F" w:rsidRPr="00A9549A">
        <w:t>)</w:t>
      </w:r>
      <w:r w:rsidR="00C42DFA" w:rsidRPr="00A9549A">
        <w:t>,</w:t>
      </w:r>
      <w:r w:rsidR="00032B59" w:rsidRPr="00A9549A">
        <w:t xml:space="preserve"> </w:t>
      </w:r>
      <w:r w:rsidR="00543780" w:rsidRPr="00A9549A">
        <w:t>and very remote Australia</w:t>
      </w:r>
      <w:r w:rsidR="00702D1F" w:rsidRPr="00A9549A">
        <w:t xml:space="preserve"> (12.0</w:t>
      </w:r>
      <w:r w:rsidR="00D97EF8">
        <w:t xml:space="preserve"> per cent</w:t>
      </w:r>
      <w:r w:rsidR="00702D1F" w:rsidRPr="00A9549A">
        <w:t>)</w:t>
      </w:r>
      <w:r w:rsidR="006323D1" w:rsidRPr="00A9549A">
        <w:t xml:space="preserve"> </w:t>
      </w:r>
      <w:r w:rsidR="00C06E28" w:rsidRPr="00A9549A">
        <w:t>had</w:t>
      </w:r>
      <w:r w:rsidR="006323D1" w:rsidRPr="00A9549A">
        <w:t xml:space="preserve"> a temporary staffing waiver in place compared to services in metropolitan areas</w:t>
      </w:r>
      <w:r w:rsidR="00702D1F" w:rsidRPr="00A9549A">
        <w:t xml:space="preserve"> (4.3</w:t>
      </w:r>
      <w:r w:rsidR="00D97EF8">
        <w:t xml:space="preserve"> per cent</w:t>
      </w:r>
      <w:r w:rsidR="00702D1F" w:rsidRPr="00A9549A">
        <w:t>)</w:t>
      </w:r>
      <w:r w:rsidR="00C06E28" w:rsidRPr="00A9549A">
        <w:t xml:space="preserve"> as of September 2017</w:t>
      </w:r>
      <w:r w:rsidR="00C42DFA" w:rsidRPr="00A9549A">
        <w:t>.</w:t>
      </w:r>
      <w:r w:rsidR="00C42DFA" w:rsidRPr="00A9549A">
        <w:rPr>
          <w:rStyle w:val="FootnoteReference"/>
        </w:rPr>
        <w:footnoteReference w:id="224"/>
      </w:r>
      <w:r w:rsidR="00C06E28" w:rsidRPr="00A9549A">
        <w:t xml:space="preserve"> </w:t>
      </w:r>
    </w:p>
    <w:p w14:paraId="02FAC1EB" w14:textId="7F8260AC" w:rsidR="00884DC3" w:rsidRPr="00A9549A" w:rsidRDefault="00614912" w:rsidP="00680051">
      <w:r w:rsidRPr="00A9549A">
        <w:t xml:space="preserve">More recent whole-of-sector data from 2022 indicates an upward trend around the proportion of services with a staffing waiver, increasing from approximately </w:t>
      </w:r>
      <w:r w:rsidR="007932A8" w:rsidRPr="00A9549A">
        <w:t>4</w:t>
      </w:r>
      <w:r w:rsidR="00D97EF8">
        <w:t xml:space="preserve"> per cent</w:t>
      </w:r>
      <w:r w:rsidRPr="00A9549A">
        <w:t xml:space="preserve"> in 2017 </w:t>
      </w:r>
      <w:r w:rsidR="007932A8" w:rsidRPr="00A9549A">
        <w:t>to 8.5</w:t>
      </w:r>
      <w:r w:rsidR="00D97EF8">
        <w:t xml:space="preserve"> per cent</w:t>
      </w:r>
      <w:r w:rsidR="007932A8" w:rsidRPr="00A9549A">
        <w:t xml:space="preserve"> in July 2022.</w:t>
      </w:r>
      <w:r w:rsidR="007932A8" w:rsidRPr="00A9549A">
        <w:rPr>
          <w:rStyle w:val="FootnoteReference"/>
        </w:rPr>
        <w:footnoteReference w:id="225"/>
      </w:r>
      <w:r w:rsidR="007932A8" w:rsidRPr="00A9549A">
        <w:t xml:space="preserve"> These trends point to increasing challenges faced by services in meeting staffing requirements under the National Law and Regulations during a period </w:t>
      </w:r>
      <w:r w:rsidR="00884DC3" w:rsidRPr="00A9549A">
        <w:t>of significant workforce shortages in the ECEC sector.</w:t>
      </w:r>
      <w:r w:rsidR="003A1BD6" w:rsidRPr="00A9549A">
        <w:t xml:space="preserve"> </w:t>
      </w:r>
      <w:r w:rsidR="00A13AB9" w:rsidRPr="00A9549A">
        <w:t>Similarly</w:t>
      </w:r>
      <w:r w:rsidR="003A1BD6" w:rsidRPr="00A9549A">
        <w:t xml:space="preserve">, </w:t>
      </w:r>
      <w:r w:rsidR="0075344C" w:rsidRPr="00A9549A">
        <w:t xml:space="preserve">findings from analysis and consultation </w:t>
      </w:r>
      <w:r w:rsidR="00A13AB9" w:rsidRPr="00A9549A">
        <w:t xml:space="preserve">has shown that </w:t>
      </w:r>
      <w:r w:rsidR="003A1BD6" w:rsidRPr="00A9549A">
        <w:t xml:space="preserve">staffing </w:t>
      </w:r>
      <w:r w:rsidR="00A13AB9" w:rsidRPr="00A9549A">
        <w:t>shortages have impacted services in meeting obligations under the Minister’s Rules.</w:t>
      </w:r>
    </w:p>
    <w:p w14:paraId="67088C31" w14:textId="77777777" w:rsidR="00EE046B" w:rsidRPr="00EE046B" w:rsidRDefault="00EE046B" w:rsidP="00EE046B">
      <w:pPr>
        <w:pStyle w:val="Deloitteaddress"/>
      </w:pPr>
    </w:p>
    <w:tbl>
      <w:tblPr>
        <w:tblStyle w:val="TableGrid"/>
        <w:tblW w:w="0" w:type="auto"/>
        <w:shd w:val="clear" w:color="auto" w:fill="E7F5CF"/>
        <w:tblCellMar>
          <w:top w:w="113" w:type="dxa"/>
          <w:left w:w="113" w:type="dxa"/>
          <w:bottom w:w="113" w:type="dxa"/>
          <w:right w:w="113" w:type="dxa"/>
        </w:tblCellMar>
        <w:tblLook w:val="04A0" w:firstRow="1" w:lastRow="0" w:firstColumn="1" w:lastColumn="0" w:noHBand="0" w:noVBand="1"/>
      </w:tblPr>
      <w:tblGrid>
        <w:gridCol w:w="9026"/>
      </w:tblGrid>
      <w:tr w:rsidR="00AD3251" w14:paraId="61D028BE" w14:textId="77777777" w:rsidTr="00556184">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cPr>
          <w:p w14:paraId="7EC600F2" w14:textId="620C2B0D" w:rsidR="00AD3251" w:rsidRPr="009E424E" w:rsidRDefault="00AD3251" w:rsidP="00AD3251">
            <w:pPr>
              <w:spacing w:after="120"/>
              <w:rPr>
                <w:b/>
                <w:bCs/>
              </w:rPr>
            </w:pPr>
            <w:r w:rsidRPr="009E424E">
              <w:rPr>
                <w:b/>
                <w:bCs/>
              </w:rPr>
              <w:t xml:space="preserve">Review finding </w:t>
            </w:r>
            <w:r w:rsidR="003F6AE8">
              <w:rPr>
                <w:b/>
                <w:bCs/>
              </w:rPr>
              <w:t>3</w:t>
            </w:r>
            <w:r w:rsidR="00515319">
              <w:rPr>
                <w:b/>
                <w:bCs/>
              </w:rPr>
              <w:t>2</w:t>
            </w:r>
          </w:p>
          <w:p w14:paraId="52820A40" w14:textId="0BF97F9E" w:rsidR="00AD3251" w:rsidRPr="00E54CB1" w:rsidRDefault="00460096" w:rsidP="00E54CB1">
            <w:pPr>
              <w:spacing w:before="170"/>
            </w:pPr>
            <w:r w:rsidRPr="00460096">
              <w:t>While the Minister’s Rules (section 49(9) of the FAL) prescribes obligations for CCCFR services not regulated under the NQF, certain obligations are subjective and open to interpretation, in particular criteria for the delivery of “high quality child care”.</w:t>
            </w:r>
          </w:p>
        </w:tc>
      </w:tr>
    </w:tbl>
    <w:p w14:paraId="7199CE64" w14:textId="2D21998C" w:rsidR="00BB13B8" w:rsidRPr="0004668C" w:rsidRDefault="00BB13B8" w:rsidP="00BB13B8">
      <w:pPr>
        <w:spacing w:before="170"/>
        <w:rPr>
          <w:rFonts w:eastAsia="Verdana" w:cs="Times New Roman"/>
          <w:b/>
          <w:bCs/>
        </w:rPr>
      </w:pPr>
      <w:r w:rsidRPr="0004668C">
        <w:rPr>
          <w:rFonts w:eastAsia="Verdana" w:cs="Times New Roman"/>
          <w:b/>
          <w:bCs/>
        </w:rPr>
        <w:lastRenderedPageBreak/>
        <w:t>Supporting evidence for this finding is drawn from consultations</w:t>
      </w:r>
      <w:r>
        <w:rPr>
          <w:rFonts w:eastAsia="Verdana" w:cs="Times New Roman"/>
          <w:b/>
          <w:bCs/>
        </w:rPr>
        <w:t>, MCA and broader legislative analysis</w:t>
      </w:r>
      <w:r w:rsidRPr="0004668C">
        <w:rPr>
          <w:rFonts w:eastAsia="Verdana" w:cs="Times New Roman"/>
          <w:b/>
          <w:bCs/>
        </w:rPr>
        <w:t>.</w:t>
      </w:r>
    </w:p>
    <w:p w14:paraId="04806B05" w14:textId="47C3AA48" w:rsidR="00B65457" w:rsidRPr="00660A9D" w:rsidRDefault="009A570A" w:rsidP="004A301C">
      <w:r>
        <w:t>S</w:t>
      </w:r>
      <w:r w:rsidR="00242D57">
        <w:t>ervices</w:t>
      </w:r>
      <w:r w:rsidR="00EE17CD" w:rsidRPr="001A6E0F">
        <w:t xml:space="preserve"> regulated under the NQF </w:t>
      </w:r>
      <w:r w:rsidR="00AD61C6">
        <w:t>can</w:t>
      </w:r>
      <w:r w:rsidR="00242D57">
        <w:t xml:space="preserve"> access a range of training, guidance and online resources from state </w:t>
      </w:r>
      <w:r>
        <w:t>and territory governments, ACECQA and peak organisations around meeting expectations of the NQS and requirements under the National Law and Regulations.</w:t>
      </w:r>
    </w:p>
    <w:p w14:paraId="1BA5CA9D" w14:textId="5E5EF545" w:rsidR="007C5196" w:rsidRDefault="00447AEE" w:rsidP="004A301C">
      <w:r>
        <w:t xml:space="preserve">As an example, the ‘Guide to the NQF’ is published by ACECQA and updated on a regular basis, acting as a </w:t>
      </w:r>
      <w:r w:rsidR="00D01850">
        <w:t xml:space="preserve">key source of </w:t>
      </w:r>
      <w:r w:rsidR="00055169">
        <w:t>guidance</w:t>
      </w:r>
      <w:r w:rsidR="00D01850">
        <w:t xml:space="preserve"> for services around </w:t>
      </w:r>
      <w:r w:rsidR="00055169">
        <w:t xml:space="preserve">elements under the NQS, how these apply to service practice and governance, and forms of evidence which regulatory authorities may consider </w:t>
      </w:r>
      <w:r w:rsidR="006D7E61">
        <w:t>during the assessment and rating process.</w:t>
      </w:r>
      <w:r w:rsidR="006D7E61">
        <w:rPr>
          <w:rStyle w:val="FootnoteReference"/>
        </w:rPr>
        <w:footnoteReference w:id="226"/>
      </w:r>
      <w:r w:rsidR="00055169">
        <w:t xml:space="preserve"> </w:t>
      </w:r>
    </w:p>
    <w:p w14:paraId="4B3CE8A5" w14:textId="1B0917B0" w:rsidR="004E196F" w:rsidRDefault="00113C64" w:rsidP="004A301C">
      <w:r>
        <w:t>However, while</w:t>
      </w:r>
      <w:r w:rsidR="00607785">
        <w:t xml:space="preserve"> the majority of section 49 of </w:t>
      </w:r>
      <w:r>
        <w:t>the Minister’s Rules reflect</w:t>
      </w:r>
      <w:r w:rsidR="00607785">
        <w:t>s requirements</w:t>
      </w:r>
      <w:r>
        <w:t xml:space="preserve"> of the National Law and Regulatio</w:t>
      </w:r>
      <w:r w:rsidR="00643233">
        <w:t>n</w:t>
      </w:r>
      <w:r w:rsidR="00A164C3">
        <w:t>s</w:t>
      </w:r>
      <w:r w:rsidR="00643233">
        <w:t xml:space="preserve">, such as developing and implementing </w:t>
      </w:r>
      <w:r>
        <w:t>an educational program,</w:t>
      </w:r>
      <w:r w:rsidR="00643233">
        <w:t xml:space="preserve"> ensuring children are protected </w:t>
      </w:r>
      <w:r w:rsidR="006C0DBB">
        <w:t xml:space="preserve">from harm and hazard, and </w:t>
      </w:r>
      <w:r w:rsidR="004A24AB">
        <w:t>proactively maintaining a QIP,</w:t>
      </w:r>
      <w:r w:rsidR="008C2F3E">
        <w:t xml:space="preserve"> there is limited detail within the </w:t>
      </w:r>
      <w:r w:rsidR="00211B64">
        <w:t>CCCFR grant g</w:t>
      </w:r>
      <w:r w:rsidR="00A81BFA">
        <w:t>uidelines</w:t>
      </w:r>
      <w:r w:rsidR="00CF683D">
        <w:rPr>
          <w:rStyle w:val="FootnoteReference"/>
        </w:rPr>
        <w:footnoteReference w:id="227"/>
      </w:r>
      <w:r w:rsidR="00A81BFA">
        <w:t xml:space="preserve"> or the </w:t>
      </w:r>
      <w:r w:rsidR="001A5BAA">
        <w:t xml:space="preserve">Minister’s Rules </w:t>
      </w:r>
      <w:r w:rsidR="00A81BFA">
        <w:t xml:space="preserve">itself around the prescribed detail or format of service documentation to meet </w:t>
      </w:r>
      <w:r w:rsidR="00DD5ADB">
        <w:t>the obligations</w:t>
      </w:r>
      <w:r w:rsidR="00607785">
        <w:t xml:space="preserve"> under the Minister’s Rules</w:t>
      </w:r>
      <w:r w:rsidR="00E47F6D">
        <w:t>.</w:t>
      </w:r>
      <w:r w:rsidR="00211B64">
        <w:rPr>
          <w:rStyle w:val="FootnoteReference"/>
        </w:rPr>
        <w:footnoteReference w:id="228"/>
      </w:r>
    </w:p>
    <w:p w14:paraId="342DFAEF" w14:textId="26CC2CEE" w:rsidR="0028429E" w:rsidRDefault="0028429E" w:rsidP="0028429E">
      <w:r>
        <w:t xml:space="preserve">Analysis of service documentation through the MCA pointed to educational programming as </w:t>
      </w:r>
      <w:r w:rsidR="005433A2">
        <w:t xml:space="preserve">a </w:t>
      </w:r>
      <w:r>
        <w:t xml:space="preserve">key area of development for many CCCFR services, as well as </w:t>
      </w:r>
      <w:r w:rsidRPr="000A0D47">
        <w:t xml:space="preserve">capability and </w:t>
      </w:r>
      <w:r>
        <w:t>capacity across CCCFR services</w:t>
      </w:r>
      <w:r w:rsidRPr="000A0D47">
        <w:t xml:space="preserve"> to prepare planning and governance documentati</w:t>
      </w:r>
      <w:r>
        <w:t>on.</w:t>
      </w:r>
    </w:p>
    <w:p w14:paraId="59C4FE9F" w14:textId="51EFCF42" w:rsidR="00EE258E" w:rsidRDefault="008939EC" w:rsidP="005C681A">
      <w:pPr>
        <w:rPr>
          <w:i/>
          <w:iCs/>
        </w:rPr>
      </w:pPr>
      <w:r>
        <w:t>T</w:t>
      </w:r>
      <w:r w:rsidR="002E1EF9">
        <w:t xml:space="preserve">he Minister’s Rules </w:t>
      </w:r>
      <w:r w:rsidR="0028429E">
        <w:t>includes two components</w:t>
      </w:r>
      <w:r w:rsidR="0001470C">
        <w:t xml:space="preserve"> </w:t>
      </w:r>
      <w:r w:rsidR="008B0FC3">
        <w:t>required to be delivered within service programming</w:t>
      </w:r>
      <w:r w:rsidR="002E1EF9">
        <w:t>:</w:t>
      </w:r>
      <w:r w:rsidR="002E497C">
        <w:t xml:space="preserve"> </w:t>
      </w:r>
      <w:r w:rsidR="00496552">
        <w:rPr>
          <w:i/>
          <w:iCs/>
        </w:rPr>
        <w:t xml:space="preserve"> </w:t>
      </w:r>
    </w:p>
    <w:p w14:paraId="610269F2" w14:textId="77777777" w:rsidR="00EE258E" w:rsidRPr="00EE258E" w:rsidRDefault="007862A0" w:rsidP="00171325">
      <w:pPr>
        <w:pStyle w:val="ListParagraph"/>
        <w:numPr>
          <w:ilvl w:val="0"/>
          <w:numId w:val="25"/>
        </w:numPr>
        <w:rPr>
          <w:i/>
          <w:iCs/>
        </w:rPr>
      </w:pPr>
      <w:r w:rsidRPr="00EE258E">
        <w:rPr>
          <w:i/>
          <w:iCs/>
        </w:rPr>
        <w:t>“provide a tailored, individual education program based on each child’s knowledge, ideas, culture, abilities and interests; and</w:t>
      </w:r>
    </w:p>
    <w:p w14:paraId="2214576B" w14:textId="28D89B0B" w:rsidR="002E1EF9" w:rsidRPr="002E1EF9" w:rsidRDefault="00B2139D" w:rsidP="00171325">
      <w:pPr>
        <w:pStyle w:val="ListParagraph"/>
        <w:numPr>
          <w:ilvl w:val="0"/>
          <w:numId w:val="25"/>
        </w:numPr>
        <w:rPr>
          <w:i/>
          <w:iCs/>
        </w:rPr>
      </w:pPr>
      <w:r w:rsidRPr="002E1EF9">
        <w:rPr>
          <w:i/>
          <w:iCs/>
          <w:color w:val="000000"/>
          <w:shd w:val="clear" w:color="auto" w:fill="FFFFFF"/>
        </w:rPr>
        <w:t>develop a program that acknowledges and strengthens the cultural identity of children to whom care is provided at the service</w:t>
      </w:r>
      <w:r w:rsidR="002E1EF9">
        <w:rPr>
          <w:i/>
          <w:iCs/>
          <w:color w:val="000000"/>
          <w:shd w:val="clear" w:color="auto" w:fill="FFFFFF"/>
        </w:rPr>
        <w:t>.</w:t>
      </w:r>
      <w:r w:rsidR="00EE258E">
        <w:rPr>
          <w:rStyle w:val="FootnoteReference"/>
          <w:i/>
          <w:iCs/>
          <w:color w:val="000000"/>
          <w:shd w:val="clear" w:color="auto" w:fill="FFFFFF"/>
        </w:rPr>
        <w:footnoteReference w:id="229"/>
      </w:r>
    </w:p>
    <w:p w14:paraId="111DE4F9" w14:textId="79210EAC" w:rsidR="002F410D" w:rsidRDefault="00EA1630" w:rsidP="00EA1630">
      <w:r>
        <w:t>D</w:t>
      </w:r>
      <w:r w:rsidR="002760C9">
        <w:t xml:space="preserve">espite </w:t>
      </w:r>
      <w:r w:rsidR="00534DC6">
        <w:t xml:space="preserve">the majority of CCCFR services being required to </w:t>
      </w:r>
      <w:r w:rsidR="00923E40">
        <w:t>provide evidence of compliance</w:t>
      </w:r>
      <w:r w:rsidR="00534DC6">
        <w:t xml:space="preserve"> with </w:t>
      </w:r>
      <w:r w:rsidR="00A07984">
        <w:t>Minister’s Rules to continue to receive grant funding,</w:t>
      </w:r>
      <w:r w:rsidR="00923E40">
        <w:t xml:space="preserve"> there </w:t>
      </w:r>
      <w:r w:rsidR="00DE7461">
        <w:t xml:space="preserve">is no </w:t>
      </w:r>
      <w:r w:rsidR="008B0FC3">
        <w:t>further</w:t>
      </w:r>
      <w:r w:rsidR="00DE7461">
        <w:t xml:space="preserve"> guidance around what constitutes, and </w:t>
      </w:r>
      <w:r w:rsidR="00F03126">
        <w:t>what is deemed as</w:t>
      </w:r>
      <w:r w:rsidR="008B0FC3">
        <w:t xml:space="preserve"> acceptable</w:t>
      </w:r>
      <w:r>
        <w:t>,</w:t>
      </w:r>
      <w:r w:rsidR="008B0FC3">
        <w:t xml:space="preserve"> evidence of an </w:t>
      </w:r>
      <w:r w:rsidR="00DE7461">
        <w:t>educational program</w:t>
      </w:r>
      <w:r w:rsidR="008B0FC3">
        <w:t xml:space="preserve"> for the purposes of meeting obligations under the Minister’s Rules</w:t>
      </w:r>
      <w:r w:rsidR="00A10CB8">
        <w:t xml:space="preserve"> or </w:t>
      </w:r>
      <w:r w:rsidR="00E51ABF">
        <w:t>t</w:t>
      </w:r>
      <w:r w:rsidR="00A10CB8">
        <w:t>he CCCFR grant</w:t>
      </w:r>
      <w:r w:rsidR="008B0FC3">
        <w:t>.</w:t>
      </w:r>
      <w:r w:rsidR="003251D8">
        <w:t xml:space="preserve"> The </w:t>
      </w:r>
      <w:r w:rsidR="00851CE6" w:rsidRPr="00851CE6">
        <w:rPr>
          <w:i/>
          <w:iCs/>
        </w:rPr>
        <w:t xml:space="preserve">2023 Compliance and Operations Report </w:t>
      </w:r>
      <w:r w:rsidR="003251D8" w:rsidRPr="00851CE6">
        <w:rPr>
          <w:i/>
          <w:iCs/>
        </w:rPr>
        <w:t xml:space="preserve">User Guide </w:t>
      </w:r>
      <w:r w:rsidR="003251D8">
        <w:t xml:space="preserve">provided to CCCFR services also omits </w:t>
      </w:r>
      <w:r w:rsidR="00851CE6">
        <w:t>guidance around the scope</w:t>
      </w:r>
      <w:r w:rsidR="002360D4">
        <w:t xml:space="preserve"> of evidence expected to be provided</w:t>
      </w:r>
      <w:r w:rsidR="00851CE6">
        <w:t xml:space="preserve"> </w:t>
      </w:r>
      <w:r w:rsidR="00E51ABF">
        <w:t>through</w:t>
      </w:r>
      <w:r w:rsidR="00851CE6">
        <w:t xml:space="preserve"> documentation.</w:t>
      </w:r>
      <w:r w:rsidR="00851CE6">
        <w:rPr>
          <w:rStyle w:val="FootnoteReference"/>
        </w:rPr>
        <w:footnoteReference w:id="230"/>
      </w:r>
      <w:r w:rsidR="002360D4">
        <w:t xml:space="preserve"> </w:t>
      </w:r>
    </w:p>
    <w:p w14:paraId="56BF86E7" w14:textId="0CA00B97" w:rsidR="00797F36" w:rsidRDefault="003F7234" w:rsidP="00EA1630">
      <w:r>
        <w:t>A</w:t>
      </w:r>
      <w:r w:rsidR="00345E15">
        <w:t>mbiguity around the</w:t>
      </w:r>
      <w:r w:rsidR="00A10CB8">
        <w:t xml:space="preserve"> </w:t>
      </w:r>
      <w:r w:rsidR="00345E15">
        <w:t>currency of service documentation</w:t>
      </w:r>
      <w:r w:rsidR="00726BC0">
        <w:t xml:space="preserve"> </w:t>
      </w:r>
      <w:r w:rsidR="00635F2C">
        <w:t xml:space="preserve">was </w:t>
      </w:r>
      <w:r w:rsidR="00A10CB8">
        <w:t xml:space="preserve">also raised </w:t>
      </w:r>
      <w:r w:rsidR="00693902">
        <w:t>in</w:t>
      </w:r>
      <w:r w:rsidR="00635F2C">
        <w:t xml:space="preserve"> consultations </w:t>
      </w:r>
      <w:r w:rsidR="00810144">
        <w:t xml:space="preserve">with </w:t>
      </w:r>
      <w:r w:rsidR="001744C2">
        <w:t xml:space="preserve">the </w:t>
      </w:r>
      <w:r w:rsidR="00810144">
        <w:t xml:space="preserve">Department and broader stakeholders, </w:t>
      </w:r>
      <w:r w:rsidR="00693902">
        <w:t>commenting</w:t>
      </w:r>
      <w:r w:rsidR="00C81944">
        <w:t xml:space="preserve"> </w:t>
      </w:r>
      <w:r w:rsidR="00344940">
        <w:t>that</w:t>
      </w:r>
      <w:r w:rsidR="00C0364F">
        <w:t xml:space="preserve"> </w:t>
      </w:r>
      <w:r w:rsidR="006274B4">
        <w:t>references to</w:t>
      </w:r>
      <w:r w:rsidR="002E0D55">
        <w:t xml:space="preserve"> “high quality child care”</w:t>
      </w:r>
      <w:r w:rsidR="006274B4">
        <w:t xml:space="preserve"> within the grant guidelines</w:t>
      </w:r>
      <w:r w:rsidR="00693902">
        <w:t xml:space="preserve"> and the Minister’s Rules</w:t>
      </w:r>
      <w:r w:rsidR="002E0D55">
        <w:t xml:space="preserve"> </w:t>
      </w:r>
      <w:r w:rsidR="00EF4955">
        <w:t>were</w:t>
      </w:r>
      <w:r w:rsidR="00046813">
        <w:t xml:space="preserve"> broad and difficult to define across </w:t>
      </w:r>
      <w:r w:rsidR="00693902">
        <w:t xml:space="preserve">the </w:t>
      </w:r>
      <w:r w:rsidR="00046813">
        <w:t>differing service contexts</w:t>
      </w:r>
      <w:r w:rsidR="00693902">
        <w:t xml:space="preserve"> within the grant.</w:t>
      </w:r>
      <w:r w:rsidR="00AC2634">
        <w:t xml:space="preserve"> </w:t>
      </w:r>
    </w:p>
    <w:p w14:paraId="4E286125" w14:textId="77777777" w:rsidR="0085473B" w:rsidRDefault="00797F36" w:rsidP="00EA1630">
      <w:r>
        <w:t>There are also competing interpretations of “high quality child care” within Departmental documenta</w:t>
      </w:r>
      <w:r w:rsidR="00DE7D30">
        <w:t>tion</w:t>
      </w:r>
      <w:r w:rsidR="00D63C8E">
        <w:t xml:space="preserve"> and</w:t>
      </w:r>
      <w:r w:rsidR="00A12827">
        <w:t xml:space="preserve"> expectations under the</w:t>
      </w:r>
      <w:r w:rsidR="00D63C8E">
        <w:t xml:space="preserve"> Minister’s Rules</w:t>
      </w:r>
      <w:r w:rsidR="00DE7D30">
        <w:t xml:space="preserve">. </w:t>
      </w:r>
    </w:p>
    <w:p w14:paraId="3E0019D4" w14:textId="5C4BFCF6" w:rsidR="00EF3633" w:rsidRDefault="00DE7D30" w:rsidP="00EA1630">
      <w:r>
        <w:t>For example, the summary report of the Compliance and Operations Reports for 2021-22</w:t>
      </w:r>
      <w:r w:rsidR="00385398">
        <w:t xml:space="preserve"> includes </w:t>
      </w:r>
      <w:r w:rsidR="004163A2">
        <w:t xml:space="preserve">a brief section on </w:t>
      </w:r>
      <w:r w:rsidR="004163A2" w:rsidRPr="00AC53D0">
        <w:rPr>
          <w:i/>
          <w:iCs/>
        </w:rPr>
        <w:t xml:space="preserve">“What is high quality </w:t>
      </w:r>
      <w:r w:rsidR="000C2087" w:rsidRPr="00AC53D0">
        <w:rPr>
          <w:i/>
          <w:iCs/>
        </w:rPr>
        <w:t>child</w:t>
      </w:r>
      <w:r w:rsidR="00C155BC">
        <w:rPr>
          <w:i/>
          <w:iCs/>
        </w:rPr>
        <w:t xml:space="preserve"> </w:t>
      </w:r>
      <w:r w:rsidR="000C2087" w:rsidRPr="00AC53D0">
        <w:rPr>
          <w:i/>
          <w:iCs/>
        </w:rPr>
        <w:t>care</w:t>
      </w:r>
      <w:r w:rsidR="004163A2" w:rsidRPr="00AC53D0">
        <w:rPr>
          <w:i/>
          <w:iCs/>
        </w:rPr>
        <w:t>?”</w:t>
      </w:r>
      <w:r w:rsidR="004163A2">
        <w:t>, including reference to</w:t>
      </w:r>
      <w:r w:rsidR="00395751">
        <w:t xml:space="preserve"> </w:t>
      </w:r>
      <w:r w:rsidR="00385398">
        <w:t xml:space="preserve">“seven elements of </w:t>
      </w:r>
      <w:r w:rsidR="00385398">
        <w:lastRenderedPageBreak/>
        <w:t>high-quality care”</w:t>
      </w:r>
      <w:r w:rsidR="00395751">
        <w:t xml:space="preserve"> hyperlink</w:t>
      </w:r>
      <w:r w:rsidR="004163A2">
        <w:t>ed</w:t>
      </w:r>
      <w:r w:rsidR="00395751">
        <w:t xml:space="preserve"> to the NQS</w:t>
      </w:r>
      <w:r w:rsidR="004163A2">
        <w:t xml:space="preserve"> on the ACECQA website</w:t>
      </w:r>
      <w:r w:rsidR="00395751">
        <w:rPr>
          <w:rStyle w:val="FootnoteReference"/>
        </w:rPr>
        <w:footnoteReference w:id="231"/>
      </w:r>
      <w:r w:rsidR="00395751">
        <w:t>.</w:t>
      </w:r>
      <w:r w:rsidR="0085473B">
        <w:t xml:space="preserve"> However, the definition of </w:t>
      </w:r>
      <w:r w:rsidR="007C22AC">
        <w:t>‘</w:t>
      </w:r>
      <w:r w:rsidR="0085473B">
        <w:t>high quality child care</w:t>
      </w:r>
      <w:r w:rsidR="007C22AC">
        <w:t>’</w:t>
      </w:r>
      <w:r w:rsidR="0085473B">
        <w:t xml:space="preserve"> under the Minister’s Rules does not </w:t>
      </w:r>
      <w:r w:rsidR="00F14A5C">
        <w:t>reference the NQS</w:t>
      </w:r>
      <w:r w:rsidR="007C22AC">
        <w:t xml:space="preserve">, rather a differing set of </w:t>
      </w:r>
      <w:r w:rsidR="00EF3633">
        <w:t>service obligations.</w:t>
      </w:r>
      <w:r w:rsidR="00C80F9F">
        <w:rPr>
          <w:rStyle w:val="FootnoteReference"/>
        </w:rPr>
        <w:footnoteReference w:id="232"/>
      </w:r>
      <w:r w:rsidR="00EF3633">
        <w:t xml:space="preserve"> </w:t>
      </w:r>
    </w:p>
    <w:tbl>
      <w:tblPr>
        <w:tblStyle w:val="TableGrid"/>
        <w:tblW w:w="0" w:type="auto"/>
        <w:shd w:val="clear" w:color="auto" w:fill="E7F5CF"/>
        <w:tblCellMar>
          <w:top w:w="113" w:type="dxa"/>
          <w:left w:w="113" w:type="dxa"/>
          <w:bottom w:w="113" w:type="dxa"/>
          <w:right w:w="113" w:type="dxa"/>
        </w:tblCellMar>
        <w:tblLook w:val="04A0" w:firstRow="1" w:lastRow="0" w:firstColumn="1" w:lastColumn="0" w:noHBand="0" w:noVBand="1"/>
      </w:tblPr>
      <w:tblGrid>
        <w:gridCol w:w="9026"/>
      </w:tblGrid>
      <w:tr w:rsidR="0041061A" w:rsidRPr="00B4708E" w14:paraId="05508558" w14:textId="77777777" w:rsidTr="2B91AEFB">
        <w:trPr>
          <w:cnfStyle w:val="100000000000" w:firstRow="1" w:lastRow="0" w:firstColumn="0" w:lastColumn="0" w:oddVBand="0" w:evenVBand="0" w:oddHBand="0" w:evenHBand="0" w:firstRowFirstColumn="0" w:firstRowLastColumn="0" w:lastRowFirstColumn="0" w:lastRowLastColumn="0"/>
          <w:trHeight w:val="1262"/>
        </w:trPr>
        <w:tc>
          <w:tcPr>
            <w:tcW w:w="9026" w:type="dxa"/>
            <w:shd w:val="clear" w:color="auto" w:fill="E7F5CF" w:themeFill="accent1" w:themeFillTint="33"/>
          </w:tcPr>
          <w:p w14:paraId="14B89337" w14:textId="07DC8FD5" w:rsidR="0041061A" w:rsidRPr="00983BA8" w:rsidRDefault="0041061A" w:rsidP="0041061A">
            <w:pPr>
              <w:spacing w:after="120"/>
              <w:rPr>
                <w:b/>
              </w:rPr>
            </w:pPr>
            <w:r w:rsidRPr="00983BA8">
              <w:rPr>
                <w:b/>
              </w:rPr>
              <w:t xml:space="preserve">Review finding </w:t>
            </w:r>
            <w:r w:rsidR="00515319">
              <w:rPr>
                <w:b/>
              </w:rPr>
              <w:t>33</w:t>
            </w:r>
          </w:p>
          <w:p w14:paraId="12B6AE7C" w14:textId="754C9DA8" w:rsidR="0041061A" w:rsidRPr="00CA3305" w:rsidRDefault="5FEFB6A5" w:rsidP="0080609C">
            <w:pPr>
              <w:pStyle w:val="ListBullet"/>
            </w:pPr>
            <w:r>
              <w:t>A lack of prescribed criteria for service documentation for the Compliance and Operations Reports has resulted in significantly varying documents submitted by CCCFR services, especially in relation to evidence of an educational program.</w:t>
            </w:r>
          </w:p>
        </w:tc>
      </w:tr>
    </w:tbl>
    <w:p w14:paraId="416C5277" w14:textId="5E94E64C" w:rsidR="00D67D7D" w:rsidRPr="00983BA8" w:rsidRDefault="00797F36" w:rsidP="00563234">
      <w:pPr>
        <w:pStyle w:val="ListBullet"/>
        <w:numPr>
          <w:ilvl w:val="0"/>
          <w:numId w:val="0"/>
        </w:numPr>
      </w:pPr>
      <w:r w:rsidRPr="00983BA8">
        <w:t>R</w:t>
      </w:r>
      <w:r w:rsidR="00607B69" w:rsidRPr="00983BA8">
        <w:t xml:space="preserve">eview of </w:t>
      </w:r>
      <w:r w:rsidR="00F02E73" w:rsidRPr="00983BA8">
        <w:t xml:space="preserve">internal </w:t>
      </w:r>
      <w:r w:rsidR="00607B69" w:rsidRPr="00983BA8">
        <w:t xml:space="preserve">Program Officer </w:t>
      </w:r>
      <w:r w:rsidR="00F02E73" w:rsidRPr="00983BA8">
        <w:t>checklists</w:t>
      </w:r>
      <w:r w:rsidR="00607B69" w:rsidRPr="00983BA8">
        <w:t xml:space="preserve"> used to </w:t>
      </w:r>
      <w:r w:rsidR="00126F8B" w:rsidRPr="00983BA8">
        <w:t>assess</w:t>
      </w:r>
      <w:r w:rsidR="00CE08CD" w:rsidRPr="00983BA8">
        <w:t xml:space="preserve"> </w:t>
      </w:r>
      <w:r w:rsidR="00267DB4" w:rsidRPr="00983BA8">
        <w:t xml:space="preserve">services’ </w:t>
      </w:r>
      <w:r w:rsidR="00126F8B" w:rsidRPr="00983BA8">
        <w:t>Compliance and Operations Report</w:t>
      </w:r>
      <w:r w:rsidR="00CE08CD" w:rsidRPr="00983BA8">
        <w:t>s</w:t>
      </w:r>
      <w:r w:rsidR="00126F8B" w:rsidRPr="00983BA8">
        <w:t xml:space="preserve"> </w:t>
      </w:r>
      <w:r w:rsidR="00267DB4" w:rsidRPr="00983BA8">
        <w:t xml:space="preserve">has </w:t>
      </w:r>
      <w:r w:rsidR="00390435" w:rsidRPr="00983BA8">
        <w:t>further emphasised</w:t>
      </w:r>
      <w:r w:rsidR="005F10F5" w:rsidRPr="00983BA8">
        <w:t xml:space="preserve"> </w:t>
      </w:r>
      <w:r w:rsidR="00E44269" w:rsidRPr="00983BA8">
        <w:t xml:space="preserve">a lack of clear </w:t>
      </w:r>
      <w:r w:rsidR="00D67D7D" w:rsidRPr="00983BA8">
        <w:t>standards</w:t>
      </w:r>
      <w:r w:rsidR="00964484" w:rsidRPr="00983BA8">
        <w:t xml:space="preserve"> in relation to </w:t>
      </w:r>
      <w:r w:rsidR="00D67D7D" w:rsidRPr="00983BA8">
        <w:t>service documentation submitted to the Department.</w:t>
      </w:r>
      <w:r w:rsidR="00894D69" w:rsidRPr="00983BA8">
        <w:t xml:space="preserve"> </w:t>
      </w:r>
      <w:r w:rsidR="0082513B">
        <w:t xml:space="preserve">For example, while Program Officers are responsible for confirming that CCCFR services have provided relevant documents </w:t>
      </w:r>
      <w:r w:rsidR="004A6B86">
        <w:t xml:space="preserve">as requested </w:t>
      </w:r>
      <w:r w:rsidR="0082513B">
        <w:t>in line with the Compliance and Operations Report</w:t>
      </w:r>
      <w:r w:rsidR="004A6B86">
        <w:t xml:space="preserve"> survey, the Officers are not expected to assess the quality of the</w:t>
      </w:r>
      <w:r w:rsidR="00296867">
        <w:t xml:space="preserve"> planning or practice outlined in the documents, such as a regulatory authority would undertake in line with the NQ</w:t>
      </w:r>
      <w:r w:rsidR="003C2F9A">
        <w:t>S</w:t>
      </w:r>
      <w:r w:rsidR="00296867">
        <w:t>.</w:t>
      </w:r>
      <w:r w:rsidR="00296867">
        <w:br/>
      </w:r>
    </w:p>
    <w:p w14:paraId="0377FE66" w14:textId="04F06605" w:rsidR="00A76AC9" w:rsidRPr="00983BA8" w:rsidRDefault="0046746E" w:rsidP="00F102F2">
      <w:r w:rsidRPr="00983BA8">
        <w:t>In considering the education</w:t>
      </w:r>
      <w:r w:rsidR="00296867">
        <w:t>al</w:t>
      </w:r>
      <w:r w:rsidRPr="00983BA8">
        <w:t xml:space="preserve"> program uploaded through the report</w:t>
      </w:r>
      <w:r w:rsidRPr="00983BA8">
        <w:rPr>
          <w:i/>
        </w:rPr>
        <w:t xml:space="preserve">, </w:t>
      </w:r>
      <w:r w:rsidRPr="00983BA8">
        <w:t>the Checklist is more specific</w:t>
      </w:r>
      <w:r w:rsidR="00E86CDD" w:rsidRPr="00983BA8">
        <w:t>, yet flexible, noting documentation could include:</w:t>
      </w:r>
    </w:p>
    <w:p w14:paraId="4AB87A7B" w14:textId="0B02C8C9" w:rsidR="00D6646B" w:rsidRPr="00983BA8" w:rsidRDefault="00E86CDD" w:rsidP="00B4708E">
      <w:pPr>
        <w:pStyle w:val="ListBullet"/>
      </w:pPr>
      <w:r>
        <w:t>education policy</w:t>
      </w:r>
    </w:p>
    <w:p w14:paraId="2D494872" w14:textId="010BD147" w:rsidR="00E86CDD" w:rsidRPr="00983BA8" w:rsidRDefault="00E86CDD" w:rsidP="00B4708E">
      <w:pPr>
        <w:pStyle w:val="ListBullet"/>
      </w:pPr>
      <w:r>
        <w:t>weekly program</w:t>
      </w:r>
    </w:p>
    <w:p w14:paraId="64BAEDB1" w14:textId="3372564F" w:rsidR="00E86CDD" w:rsidRPr="00983BA8" w:rsidRDefault="00E86CDD" w:rsidP="00B4708E">
      <w:pPr>
        <w:pStyle w:val="ListBullet"/>
      </w:pPr>
      <w:r w:rsidRPr="00983BA8">
        <w:t>supporting documentation (if applicable</w:t>
      </w:r>
      <w:r>
        <w:t>)</w:t>
      </w:r>
      <w:r w:rsidR="005A171C">
        <w:t>.</w:t>
      </w:r>
      <w:r w:rsidRPr="008A6066">
        <w:rPr>
          <w:rStyle w:val="FootnoteReference"/>
        </w:rPr>
        <w:footnoteReference w:id="233"/>
      </w:r>
    </w:p>
    <w:p w14:paraId="16D882AD" w14:textId="77777777" w:rsidR="00E86CDD" w:rsidRPr="00983BA8" w:rsidRDefault="00E86CDD" w:rsidP="00563234">
      <w:pPr>
        <w:pStyle w:val="ListBullet"/>
        <w:numPr>
          <w:ilvl w:val="0"/>
          <w:numId w:val="0"/>
        </w:numPr>
      </w:pPr>
    </w:p>
    <w:p w14:paraId="7D90E904" w14:textId="3235280B" w:rsidR="00E86CDD" w:rsidRDefault="005A171C" w:rsidP="00563234">
      <w:pPr>
        <w:pStyle w:val="ListBullet"/>
        <w:numPr>
          <w:ilvl w:val="0"/>
          <w:numId w:val="0"/>
        </w:numPr>
        <w:rPr>
          <w:i/>
          <w:iCs/>
        </w:rPr>
      </w:pPr>
      <w:r w:rsidRPr="00983BA8">
        <w:t>T</w:t>
      </w:r>
      <w:r w:rsidR="00E86CDD" w:rsidRPr="00983BA8">
        <w:t xml:space="preserve">he checklist </w:t>
      </w:r>
      <w:r w:rsidR="00B03923" w:rsidRPr="00983BA8">
        <w:t xml:space="preserve">does not include any further detail or guidance for Program Officers to </w:t>
      </w:r>
      <w:r w:rsidR="00BC48F1" w:rsidRPr="00983BA8">
        <w:t xml:space="preserve">assess </w:t>
      </w:r>
      <w:r w:rsidRPr="00983BA8">
        <w:t xml:space="preserve">the quality of the </w:t>
      </w:r>
      <w:r w:rsidR="00AC2634" w:rsidRPr="00983BA8">
        <w:t>educational program submitted, such as whether the documentation meets CCCFR services’ obligations under the Minister’s Rules.</w:t>
      </w:r>
    </w:p>
    <w:p w14:paraId="1E55C21E" w14:textId="5B656940" w:rsidR="00665E3F" w:rsidRDefault="00665E3F" w:rsidP="00F102F2">
      <w:pPr>
        <w:pStyle w:val="Heading2"/>
        <w:spacing w:after="170"/>
      </w:pPr>
      <w:bookmarkStart w:id="354" w:name="_Toc158993772"/>
      <w:bookmarkStart w:id="355" w:name="_Toc170227419"/>
      <w:r>
        <w:t>Impact on service governance and leadership</w:t>
      </w:r>
      <w:bookmarkEnd w:id="354"/>
      <w:bookmarkEnd w:id="355"/>
    </w:p>
    <w:tbl>
      <w:tblPr>
        <w:tblStyle w:val="TableGrid"/>
        <w:tblW w:w="0" w:type="auto"/>
        <w:shd w:val="clear" w:color="auto" w:fill="DFF0F9" w:themeFill="accent3" w:themeFillTint="33"/>
        <w:tblCellMar>
          <w:top w:w="85" w:type="dxa"/>
          <w:left w:w="227" w:type="dxa"/>
          <w:bottom w:w="85" w:type="dxa"/>
          <w:right w:w="113" w:type="dxa"/>
        </w:tblCellMar>
        <w:tblLook w:val="04A0" w:firstRow="1" w:lastRow="0" w:firstColumn="1" w:lastColumn="0" w:noHBand="0" w:noVBand="1"/>
      </w:tblPr>
      <w:tblGrid>
        <w:gridCol w:w="8906"/>
      </w:tblGrid>
      <w:tr w:rsidR="0080609C" w:rsidRPr="00BD1248" w14:paraId="6EC58798" w14:textId="77777777" w:rsidTr="0080609C">
        <w:trPr>
          <w:cnfStyle w:val="100000000000" w:firstRow="1" w:lastRow="0" w:firstColumn="0" w:lastColumn="0" w:oddVBand="0" w:evenVBand="0" w:oddHBand="0" w:evenHBand="0" w:firstRowFirstColumn="0" w:firstRowLastColumn="0" w:lastRowFirstColumn="0" w:lastRowLastColumn="0"/>
          <w:cantSplit/>
        </w:trPr>
        <w:tc>
          <w:tcPr>
            <w:tcW w:w="8906" w:type="dxa"/>
            <w:shd w:val="clear" w:color="auto" w:fill="DFF0F9" w:themeFill="accent3" w:themeFillTint="33"/>
          </w:tcPr>
          <w:p w14:paraId="1E44E548" w14:textId="77777777" w:rsidR="0080609C" w:rsidRDefault="0080609C">
            <w:pPr>
              <w:spacing w:after="120"/>
              <w:rPr>
                <w:b/>
                <w:bCs/>
                <w:i/>
                <w:iCs/>
              </w:rPr>
            </w:pPr>
            <w:r w:rsidRPr="00B95090">
              <w:rPr>
                <w:b/>
                <w:bCs/>
                <w:i/>
                <w:iCs/>
              </w:rPr>
              <w:t>Key research questio</w:t>
            </w:r>
            <w:r>
              <w:rPr>
                <w:b/>
                <w:bCs/>
                <w:i/>
                <w:iCs/>
              </w:rPr>
              <w:t>n</w:t>
            </w:r>
          </w:p>
          <w:p w14:paraId="541CC52F" w14:textId="329BB5CE" w:rsidR="0080609C" w:rsidRPr="009574AC" w:rsidRDefault="0080609C">
            <w:r w:rsidRPr="00665E3F">
              <w:rPr>
                <w:i/>
                <w:iCs/>
              </w:rPr>
              <w:t>To what extent do the current CCCFR grant arrangements affect governance and leadership of services, in particular in relation to expectations of the broader Australian ECEC sector (i.e. expectations under the FAL and NQF)?</w:t>
            </w:r>
          </w:p>
        </w:tc>
      </w:tr>
    </w:tbl>
    <w:p w14:paraId="4CCEC7B2" w14:textId="1EE7629A" w:rsidR="0080609C" w:rsidRPr="0080609C" w:rsidRDefault="0080609C" w:rsidP="0080609C"/>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665E3F" w14:paraId="099EE3C2" w14:textId="77777777" w:rsidTr="00556184">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2A18965D" w14:textId="5A9C3EBB" w:rsidR="00665E3F" w:rsidRPr="009E424E" w:rsidRDefault="00665E3F">
            <w:pPr>
              <w:spacing w:after="120"/>
              <w:rPr>
                <w:b/>
                <w:bCs/>
              </w:rPr>
            </w:pPr>
            <w:r w:rsidRPr="009E424E">
              <w:rPr>
                <w:b/>
                <w:bCs/>
              </w:rPr>
              <w:t xml:space="preserve">Review finding </w:t>
            </w:r>
            <w:r w:rsidR="00F102F2">
              <w:rPr>
                <w:b/>
                <w:bCs/>
              </w:rPr>
              <w:t>34</w:t>
            </w:r>
          </w:p>
          <w:p w14:paraId="08719CF4" w14:textId="69D029DD" w:rsidR="00665E3F" w:rsidRPr="00CA3305" w:rsidRDefault="00460096" w:rsidP="00CA3305">
            <w:pPr>
              <w:spacing w:before="120" w:after="120"/>
            </w:pPr>
            <w:r w:rsidRPr="00460096">
              <w:t>While the grant enables a range of professional development and training, and ongoing business supports for CCCFR services, it is unclear whether these efforts are targeted towards those within leadership and/or management positions, such as PMCs or Approved Providers.</w:t>
            </w:r>
          </w:p>
        </w:tc>
      </w:tr>
    </w:tbl>
    <w:p w14:paraId="2F9435E9" w14:textId="77777777" w:rsidR="00665E3F" w:rsidRPr="00C81B54" w:rsidRDefault="00665E3F" w:rsidP="00665E3F">
      <w:pPr>
        <w:spacing w:before="170"/>
        <w:rPr>
          <w:b/>
          <w:bCs/>
        </w:rPr>
      </w:pPr>
      <w:r w:rsidRPr="00C81B54">
        <w:rPr>
          <w:b/>
          <w:bCs/>
        </w:rPr>
        <w:t xml:space="preserve">Supporting evidence for this finding is drawn from consultations and </w:t>
      </w:r>
      <w:r>
        <w:rPr>
          <w:b/>
          <w:bCs/>
        </w:rPr>
        <w:t>document analysis</w:t>
      </w:r>
      <w:r w:rsidRPr="00C81B54">
        <w:rPr>
          <w:b/>
          <w:bCs/>
        </w:rPr>
        <w:t>.</w:t>
      </w:r>
    </w:p>
    <w:p w14:paraId="71C1ECB4" w14:textId="14C0759C" w:rsidR="00862BD5" w:rsidRDefault="00862BD5" w:rsidP="007B29B6">
      <w:pPr>
        <w:rPr>
          <w:color w:val="000000" w:themeColor="text1"/>
        </w:rPr>
      </w:pPr>
      <w:r w:rsidRPr="00740CFB">
        <w:rPr>
          <w:color w:val="000000" w:themeColor="text1"/>
        </w:rPr>
        <w:t>As</w:t>
      </w:r>
      <w:r w:rsidR="007C1EA6">
        <w:rPr>
          <w:color w:val="000000" w:themeColor="text1"/>
        </w:rPr>
        <w:t xml:space="preserve"> part of the broader administration and supports offered to grant recipients, CCCFR </w:t>
      </w:r>
      <w:r w:rsidRPr="00740CFB">
        <w:rPr>
          <w:color w:val="000000" w:themeColor="text1"/>
        </w:rPr>
        <w:t>services are able to access professional development and business supports</w:t>
      </w:r>
      <w:r w:rsidR="007C1EA6">
        <w:rPr>
          <w:color w:val="000000" w:themeColor="text1"/>
        </w:rPr>
        <w:t xml:space="preserve"> arranged by the Department.</w:t>
      </w:r>
    </w:p>
    <w:p w14:paraId="77CC0043" w14:textId="4630775F" w:rsidR="007C1EA6" w:rsidRDefault="007C1EA6" w:rsidP="007B29B6">
      <w:pPr>
        <w:rPr>
          <w:color w:val="000000" w:themeColor="text1"/>
        </w:rPr>
      </w:pPr>
      <w:r>
        <w:rPr>
          <w:color w:val="000000" w:themeColor="text1"/>
        </w:rPr>
        <w:t>In recent years, this has included:</w:t>
      </w:r>
    </w:p>
    <w:p w14:paraId="638785CB" w14:textId="08CAC19B" w:rsidR="00F40DF9" w:rsidRPr="00EC42C1" w:rsidRDefault="00DA4149" w:rsidP="00EC42C1">
      <w:pPr>
        <w:pStyle w:val="ListBullet"/>
        <w:rPr>
          <w:b/>
        </w:rPr>
      </w:pPr>
      <w:r w:rsidRPr="2B91AEFB">
        <w:rPr>
          <w:b/>
          <w:bCs/>
        </w:rPr>
        <w:t>two phases of the</w:t>
      </w:r>
      <w:r w:rsidR="007C1EA6" w:rsidRPr="2B91AEFB">
        <w:rPr>
          <w:b/>
          <w:bCs/>
        </w:rPr>
        <w:t xml:space="preserve"> </w:t>
      </w:r>
      <w:r w:rsidR="007C1EA6" w:rsidRPr="2B91AEFB">
        <w:rPr>
          <w:b/>
          <w:bCs/>
          <w:i/>
          <w:iCs/>
        </w:rPr>
        <w:t>Safety and Quality Training Package</w:t>
      </w:r>
      <w:r w:rsidR="007C1EA6" w:rsidRPr="2B91AEFB">
        <w:rPr>
          <w:b/>
          <w:bCs/>
        </w:rPr>
        <w:t xml:space="preserve">, delivered </w:t>
      </w:r>
      <w:r w:rsidR="005A78CA" w:rsidRPr="2B91AEFB">
        <w:rPr>
          <w:b/>
          <w:bCs/>
        </w:rPr>
        <w:t xml:space="preserve">by </w:t>
      </w:r>
      <w:r w:rsidR="007C1EA6" w:rsidRPr="2B91AEFB">
        <w:rPr>
          <w:b/>
          <w:bCs/>
        </w:rPr>
        <w:t>ACECQA</w:t>
      </w:r>
      <w:r w:rsidR="005A78CA" w:rsidRPr="2B91AEFB">
        <w:rPr>
          <w:b/>
          <w:bCs/>
        </w:rPr>
        <w:t xml:space="preserve"> </w:t>
      </w:r>
    </w:p>
    <w:p w14:paraId="7A889775" w14:textId="3B743F9B" w:rsidR="00BF3322" w:rsidRPr="00771935" w:rsidRDefault="005A78CA" w:rsidP="00EC42C1">
      <w:pPr>
        <w:pStyle w:val="ListBullet2"/>
      </w:pPr>
      <w:r w:rsidRPr="00771935">
        <w:lastRenderedPageBreak/>
        <w:t xml:space="preserve">Phase 1 </w:t>
      </w:r>
      <w:r w:rsidR="009A51B7" w:rsidRPr="00771935">
        <w:t xml:space="preserve">(from 2021) </w:t>
      </w:r>
      <w:r w:rsidRPr="00771935">
        <w:t xml:space="preserve">of the package involved </w:t>
      </w:r>
      <w:r w:rsidR="00F40DF9" w:rsidRPr="00771935">
        <w:t>several</w:t>
      </w:r>
      <w:r w:rsidRPr="00771935">
        <w:t xml:space="preserve"> </w:t>
      </w:r>
      <w:r w:rsidR="00BF3322" w:rsidRPr="00771935">
        <w:t xml:space="preserve">online webinars and eModules available to </w:t>
      </w:r>
      <w:r w:rsidR="00B57CDA" w:rsidRPr="00771935">
        <w:t xml:space="preserve">all </w:t>
      </w:r>
      <w:r w:rsidR="00BF3322" w:rsidRPr="00771935">
        <w:t>CCCFR services</w:t>
      </w:r>
      <w:r w:rsidR="006D572E" w:rsidRPr="00771935">
        <w:t>, as well as workbooks focussed</w:t>
      </w:r>
      <w:r w:rsidR="00DA4149" w:rsidRPr="00771935">
        <w:t xml:space="preserve"> on ensuring</w:t>
      </w:r>
      <w:r w:rsidR="006D572E" w:rsidRPr="00771935">
        <w:t xml:space="preserve"> </w:t>
      </w:r>
      <w:r w:rsidR="00DA4149" w:rsidRPr="00771935">
        <w:t>adequate supervision</w:t>
      </w:r>
      <w:r w:rsidR="009A51B7" w:rsidRPr="00771935">
        <w:t>, supporting child safety</w:t>
      </w:r>
      <w:r w:rsidR="00DA4149" w:rsidRPr="00771935">
        <w:t xml:space="preserve"> and responding to risks of harm and hazard</w:t>
      </w:r>
    </w:p>
    <w:p w14:paraId="7AD46FAD" w14:textId="557C0430" w:rsidR="00E424B8" w:rsidRDefault="009A51B7" w:rsidP="00EC42C1">
      <w:pPr>
        <w:pStyle w:val="ListBullet2"/>
      </w:pPr>
      <w:r w:rsidRPr="00771935">
        <w:t>Phase 2 (from 2022)</w:t>
      </w:r>
      <w:r w:rsidR="0068241A" w:rsidRPr="00771935">
        <w:t xml:space="preserve"> of the package</w:t>
      </w:r>
      <w:r w:rsidR="000700A2" w:rsidRPr="00771935">
        <w:t xml:space="preserve"> has been provided to </w:t>
      </w:r>
      <w:r w:rsidR="00E73385" w:rsidRPr="00771935">
        <w:t>CCCFR services that are</w:t>
      </w:r>
      <w:r w:rsidR="000700A2" w:rsidRPr="00771935">
        <w:t xml:space="preserve"> </w:t>
      </w:r>
      <w:r w:rsidR="00E73385" w:rsidRPr="00771935">
        <w:t>not regulated under the</w:t>
      </w:r>
      <w:r w:rsidR="00E73385">
        <w:t xml:space="preserve"> NQF or residual legislation, and provides one-on-one remote </w:t>
      </w:r>
      <w:r w:rsidR="00771935" w:rsidRPr="00771935">
        <w:t xml:space="preserve">a two-day face to face </w:t>
      </w:r>
      <w:r w:rsidR="00771935">
        <w:t>workshop, and in some cases</w:t>
      </w:r>
      <w:r w:rsidR="00771935" w:rsidRPr="00771935">
        <w:t>, a service visit</w:t>
      </w:r>
      <w:r w:rsidR="00771935">
        <w:t>.</w:t>
      </w:r>
      <w:r w:rsidR="00771935">
        <w:rPr>
          <w:rStyle w:val="FootnoteReference"/>
          <w:color w:val="000000" w:themeColor="text1"/>
        </w:rPr>
        <w:footnoteReference w:id="234"/>
      </w:r>
      <w:r w:rsidR="005E698A">
        <w:t xml:space="preserve"> In addition, online Community of Practice sessions were made available to Phase 2 participants.</w:t>
      </w:r>
    </w:p>
    <w:p w14:paraId="3DC85A10" w14:textId="491835CB" w:rsidR="00852BF3" w:rsidRDefault="00852BF3" w:rsidP="00EC42C1">
      <w:pPr>
        <w:pStyle w:val="ListBullet"/>
      </w:pPr>
      <w:r w:rsidRPr="2B91AEFB">
        <w:rPr>
          <w:b/>
          <w:bCs/>
        </w:rPr>
        <w:t>business suppor</w:t>
      </w:r>
      <w:r w:rsidR="007D6C56" w:rsidRPr="2B91AEFB">
        <w:rPr>
          <w:b/>
          <w:bCs/>
        </w:rPr>
        <w:t>t through BDO</w:t>
      </w:r>
      <w:r>
        <w:t xml:space="preserve">, available to all </w:t>
      </w:r>
      <w:r w:rsidR="007D6C56">
        <w:t xml:space="preserve">eligible </w:t>
      </w:r>
      <w:r w:rsidR="00BA5892">
        <w:t>CCCF grant recipients upon reques</w:t>
      </w:r>
      <w:r w:rsidR="007D6C56">
        <w:t>t</w:t>
      </w:r>
    </w:p>
    <w:p w14:paraId="17521061" w14:textId="14B76619" w:rsidR="00BA5892" w:rsidRDefault="00BA5892" w:rsidP="00EC42C1">
      <w:pPr>
        <w:pStyle w:val="ListBullet2"/>
      </w:pPr>
      <w:r>
        <w:t xml:space="preserve">CCCF business support provided </w:t>
      </w:r>
      <w:r w:rsidR="00770EFA">
        <w:t>through BDO is intended to support services to identify areas to support financial viability and sustainability, including identifying potential cost drivers and savings.</w:t>
      </w:r>
      <w:r w:rsidR="00770EFA">
        <w:rPr>
          <w:rStyle w:val="FootnoteReference"/>
          <w:color w:val="000000" w:themeColor="text1"/>
        </w:rPr>
        <w:footnoteReference w:id="235"/>
      </w:r>
    </w:p>
    <w:p w14:paraId="2D144F77" w14:textId="22E1BCEE" w:rsidR="00264F5D" w:rsidRDefault="00D9089C" w:rsidP="008412CB">
      <w:r>
        <w:br/>
        <w:t>In addition to these supports, the Department</w:t>
      </w:r>
      <w:r w:rsidR="004B20C8">
        <w:t>,</w:t>
      </w:r>
      <w:r>
        <w:t xml:space="preserve"> </w:t>
      </w:r>
      <w:r w:rsidR="004B20C8">
        <w:t xml:space="preserve">through the CCCFR project team, </w:t>
      </w:r>
      <w:r>
        <w:t xml:space="preserve">has </w:t>
      </w:r>
      <w:r w:rsidR="004B20C8">
        <w:t>partnered</w:t>
      </w:r>
      <w:r>
        <w:t xml:space="preserve"> with state and territories to deliver </w:t>
      </w:r>
      <w:r w:rsidR="00B8052D">
        <w:t xml:space="preserve">coordinated guidance and </w:t>
      </w:r>
      <w:r w:rsidR="004B20C8">
        <w:t xml:space="preserve">supports to meet the needs of </w:t>
      </w:r>
      <w:r w:rsidR="00695DEC">
        <w:t>services in different jurisdictions.</w:t>
      </w:r>
    </w:p>
    <w:p w14:paraId="6C9707C8" w14:textId="40D49306" w:rsidR="00A40BEB" w:rsidRDefault="00EA6EC1" w:rsidP="007B29B6">
      <w:r w:rsidRPr="00E105D7">
        <w:t xml:space="preserve">During </w:t>
      </w:r>
      <w:r w:rsidR="00B12088">
        <w:t xml:space="preserve">consultations, </w:t>
      </w:r>
      <w:r w:rsidRPr="00E105D7">
        <w:t xml:space="preserve">services, Department staff and broader stakeholders </w:t>
      </w:r>
      <w:r w:rsidR="00A60895">
        <w:t>raised similar comments around difficulties in engaging</w:t>
      </w:r>
      <w:r w:rsidR="00BD0D66">
        <w:t xml:space="preserve"> </w:t>
      </w:r>
      <w:r w:rsidR="00A60895">
        <w:t xml:space="preserve">PMC and those at a provider level to support service governance and quality uplift. </w:t>
      </w:r>
      <w:r w:rsidR="0078094C">
        <w:t xml:space="preserve">More </w:t>
      </w:r>
      <w:r w:rsidR="009803C5">
        <w:t>specifically, a</w:t>
      </w:r>
      <w:r w:rsidR="0078094C">
        <w:t xml:space="preserve"> number of service-level staff noted challenges in communicating service needs and/or obligations with</w:t>
      </w:r>
      <w:r w:rsidR="003A0D03">
        <w:t xml:space="preserve"> </w:t>
      </w:r>
      <w:r w:rsidR="0078094C">
        <w:t>those</w:t>
      </w:r>
      <w:r w:rsidR="003152B9">
        <w:t xml:space="preserve"> </w:t>
      </w:r>
      <w:r w:rsidR="0078094C">
        <w:t xml:space="preserve">on boards or committees </w:t>
      </w:r>
      <w:r w:rsidR="009803C5">
        <w:t>(e.g.</w:t>
      </w:r>
      <w:r w:rsidR="00BB36CB">
        <w:t>,</w:t>
      </w:r>
      <w:r w:rsidR="009803C5">
        <w:t xml:space="preserve"> staff in </w:t>
      </w:r>
      <w:r w:rsidR="0078094C">
        <w:t>local council</w:t>
      </w:r>
      <w:r w:rsidR="009803C5">
        <w:t>s</w:t>
      </w:r>
      <w:r w:rsidR="0078094C">
        <w:t>) with limited knowledge or engagement with the service on a day-to-day basis.</w:t>
      </w:r>
      <w:r w:rsidR="009803C5">
        <w:t xml:space="preserve"> </w:t>
      </w:r>
    </w:p>
    <w:p w14:paraId="108AE431" w14:textId="6E206A33" w:rsidR="00EA6EC1" w:rsidRDefault="009803C5" w:rsidP="007B29B6">
      <w:r>
        <w:t>Consultation with peak bodies and broader stakeholders emphasised the importance of engaging with</w:t>
      </w:r>
      <w:r w:rsidR="00A40BEB">
        <w:t xml:space="preserve"> PMCs and</w:t>
      </w:r>
      <w:r>
        <w:t xml:space="preserve"> </w:t>
      </w:r>
      <w:r w:rsidR="002B22D5">
        <w:t xml:space="preserve">senior leaders </w:t>
      </w:r>
      <w:r w:rsidR="00B253FE">
        <w:t xml:space="preserve">within </w:t>
      </w:r>
      <w:r w:rsidR="00A40BEB">
        <w:t>ECEC services and providers to ensure that training was most effective in driving lasting, organisational change.</w:t>
      </w:r>
    </w:p>
    <w:p w14:paraId="2FE48FCF" w14:textId="7E50FA31" w:rsidR="00E50EB7" w:rsidRDefault="00A40BEB" w:rsidP="007B29B6">
      <w:r>
        <w:t xml:space="preserve">However, the evaluation report from </w:t>
      </w:r>
      <w:r w:rsidRPr="00A40BEB">
        <w:t>the Safety and Quality Training Package</w:t>
      </w:r>
      <w:r w:rsidR="005F1BF2">
        <w:t xml:space="preserve"> does not </w:t>
      </w:r>
      <w:r w:rsidR="00103923">
        <w:t>provide information around the primary role/s of</w:t>
      </w:r>
      <w:r w:rsidR="000B68DF">
        <w:t xml:space="preserve"> training participants, and the scope of </w:t>
      </w:r>
      <w:r>
        <w:t xml:space="preserve">business support on offer through BDO </w:t>
      </w:r>
      <w:r w:rsidR="00D24478">
        <w:t xml:space="preserve">does not explicitly </w:t>
      </w:r>
      <w:r w:rsidR="00E50EB7">
        <w:t>request participation from providers.</w:t>
      </w:r>
      <w:r w:rsidR="394BDCFF">
        <w:t xml:space="preserve"> In considering future professional development and training in relation to service governance and financial mana</w:t>
      </w:r>
      <w:r w:rsidR="17DAA384">
        <w:t xml:space="preserve">gement, consideration </w:t>
      </w:r>
      <w:r w:rsidR="7106CBC7">
        <w:t xml:space="preserve">should </w:t>
      </w:r>
      <w:r w:rsidR="17DAA384">
        <w:t xml:space="preserve">be made on a case-by-case basis </w:t>
      </w:r>
      <w:r w:rsidR="311C99A8">
        <w:t xml:space="preserve">around the </w:t>
      </w:r>
      <w:r w:rsidR="17DAA384">
        <w:t>types of support</w:t>
      </w:r>
      <w:r w:rsidR="3E1EB9C7">
        <w:t>s</w:t>
      </w:r>
      <w:r w:rsidR="17DAA384">
        <w:t xml:space="preserve"> </w:t>
      </w:r>
      <w:r w:rsidR="21C5E541">
        <w:t>provided</w:t>
      </w:r>
      <w:r w:rsidR="17DAA384">
        <w:t xml:space="preserve">, </w:t>
      </w:r>
      <w:r w:rsidR="688E8D6C">
        <w:t xml:space="preserve">ensuring that they are responsive to </w:t>
      </w:r>
      <w:r w:rsidR="17DAA384">
        <w:t xml:space="preserve">the </w:t>
      </w:r>
      <w:r w:rsidR="4AEDA7AE">
        <w:t xml:space="preserve">existing skills, </w:t>
      </w:r>
      <w:r w:rsidR="17DAA384">
        <w:t>capacity</w:t>
      </w:r>
      <w:r w:rsidR="4FFE87DC">
        <w:t xml:space="preserve"> and willingness</w:t>
      </w:r>
      <w:r w:rsidR="17DAA384">
        <w:t xml:space="preserve"> of </w:t>
      </w:r>
      <w:r w:rsidR="62DFB4CC">
        <w:t xml:space="preserve">PMCs in undertaking </w:t>
      </w:r>
      <w:r w:rsidR="1BD27DF2">
        <w:t xml:space="preserve">their </w:t>
      </w:r>
      <w:r w:rsidR="62DFB4CC">
        <w:t xml:space="preserve">role </w:t>
      </w:r>
      <w:r w:rsidR="0E2E6469">
        <w:t>in ensuring the compliance and ongoing viability of the service.</w:t>
      </w:r>
    </w:p>
    <w:p w14:paraId="05C1F5A3" w14:textId="6EC6DC0F" w:rsidR="00454D49" w:rsidRPr="00E50EB7" w:rsidRDefault="00E50EB7" w:rsidP="007B29B6">
      <w:r>
        <w:t xml:space="preserve">In considering the scope of current professional development and business support, </w:t>
      </w:r>
      <w:r w:rsidR="001476BA">
        <w:t>as well as</w:t>
      </w:r>
      <w:r w:rsidR="002131AE">
        <w:t xml:space="preserve"> feedback from services, governments and peak bodies through consultations, further consideration could be made to targeted</w:t>
      </w:r>
      <w:r w:rsidR="00180072">
        <w:t xml:space="preserve"> approaches to</w:t>
      </w:r>
      <w:r w:rsidR="00A9549A">
        <w:t xml:space="preserve"> delivering</w:t>
      </w:r>
      <w:r w:rsidR="00180072">
        <w:t xml:space="preserve"> </w:t>
      </w:r>
      <w:r w:rsidR="00A9549A">
        <w:t xml:space="preserve">leadership and governance-focussed </w:t>
      </w:r>
      <w:r w:rsidR="00180072">
        <w:t xml:space="preserve">professional development and training for those within </w:t>
      </w:r>
      <w:r w:rsidR="00A9549A">
        <w:t>the provider level of CCCFR services.</w:t>
      </w:r>
    </w:p>
    <w:p w14:paraId="120F36BF" w14:textId="1E443341" w:rsidR="00D130A8" w:rsidRPr="003549F9" w:rsidRDefault="00D130A8" w:rsidP="00A253B7">
      <w:pPr>
        <w:pStyle w:val="Heading1"/>
      </w:pPr>
      <w:bookmarkStart w:id="356" w:name="_Ref152874184"/>
      <w:bookmarkStart w:id="357" w:name="_Toc158993773"/>
      <w:bookmarkStart w:id="358" w:name="_Toc170227420"/>
      <w:r w:rsidRPr="003549F9">
        <w:lastRenderedPageBreak/>
        <w:t>Resourcing and financial sustainability</w:t>
      </w:r>
      <w:bookmarkEnd w:id="356"/>
      <w:bookmarkEnd w:id="357"/>
      <w:bookmarkEnd w:id="358"/>
    </w:p>
    <w:p w14:paraId="47120203" w14:textId="3BE7BDD4" w:rsidR="002E210B" w:rsidRPr="002E210B" w:rsidRDefault="002E210B" w:rsidP="001D74E7">
      <w:pPr>
        <w:pStyle w:val="Sectionintro"/>
      </w:pPr>
      <w:r>
        <w:t xml:space="preserve">This chapter considers the </w:t>
      </w:r>
      <w:r w:rsidR="007E3126">
        <w:t xml:space="preserve">relationship between funding, cost and need, including </w:t>
      </w:r>
      <w:r w:rsidR="00E45747">
        <w:t xml:space="preserve">funding adequacy and its responsiveness to current and future need. </w:t>
      </w:r>
      <w:r w:rsidR="001D74E7">
        <w:t xml:space="preserve">It also examines the </w:t>
      </w:r>
      <w:r w:rsidR="001D74E7" w:rsidRPr="001D74E7">
        <w:t>financial sustainability of CCCFR services, leasing arrangements and infrastructure funding.</w:t>
      </w:r>
    </w:p>
    <w:p w14:paraId="1B837523" w14:textId="58722AA6" w:rsidR="00AE7003" w:rsidRDefault="00AD30EA" w:rsidP="004C205F">
      <w:pPr>
        <w:pStyle w:val="Heading2"/>
        <w:spacing w:after="170"/>
      </w:pPr>
      <w:bookmarkStart w:id="359" w:name="_Ref152931717"/>
      <w:bookmarkStart w:id="360" w:name="_Toc158993774"/>
      <w:bookmarkStart w:id="361" w:name="_Toc170227421"/>
      <w:r>
        <w:t xml:space="preserve">The relationship </w:t>
      </w:r>
      <w:r w:rsidR="00D56DD4">
        <w:t>between funding, cost and need</w:t>
      </w:r>
      <w:bookmarkEnd w:id="359"/>
      <w:bookmarkEnd w:id="360"/>
      <w:bookmarkEnd w:id="361"/>
      <w:r w:rsidR="00D56DD4">
        <w:t xml:space="preserve"> </w:t>
      </w:r>
    </w:p>
    <w:tbl>
      <w:tblPr>
        <w:tblStyle w:val="TableGrid"/>
        <w:tblW w:w="0" w:type="auto"/>
        <w:shd w:val="clear" w:color="auto" w:fill="DFF0F9" w:themeFill="accent3" w:themeFillTint="33"/>
        <w:tblCellMar>
          <w:top w:w="85" w:type="dxa"/>
          <w:left w:w="227" w:type="dxa"/>
          <w:bottom w:w="85" w:type="dxa"/>
          <w:right w:w="113" w:type="dxa"/>
        </w:tblCellMar>
        <w:tblLook w:val="04A0" w:firstRow="1" w:lastRow="0" w:firstColumn="1" w:lastColumn="0" w:noHBand="0" w:noVBand="1"/>
      </w:tblPr>
      <w:tblGrid>
        <w:gridCol w:w="8906"/>
      </w:tblGrid>
      <w:tr w:rsidR="00AF49F2" w:rsidRPr="00BD1248" w14:paraId="005FA44D" w14:textId="77777777" w:rsidTr="00B67665">
        <w:trPr>
          <w:cnfStyle w:val="100000000000" w:firstRow="1" w:lastRow="0" w:firstColumn="0" w:lastColumn="0" w:oddVBand="0" w:evenVBand="0" w:oddHBand="0" w:evenHBand="0" w:firstRowFirstColumn="0" w:firstRowLastColumn="0" w:lastRowFirstColumn="0" w:lastRowLastColumn="0"/>
          <w:cantSplit/>
        </w:trPr>
        <w:tc>
          <w:tcPr>
            <w:tcW w:w="8906" w:type="dxa"/>
            <w:shd w:val="clear" w:color="auto" w:fill="DFF0F9" w:themeFill="accent3" w:themeFillTint="33"/>
          </w:tcPr>
          <w:p w14:paraId="1D318879" w14:textId="7D40FCDD" w:rsidR="00AE7003" w:rsidRDefault="00AE7003">
            <w:pPr>
              <w:spacing w:after="120"/>
              <w:rPr>
                <w:b/>
                <w:bCs/>
                <w:i/>
                <w:iCs/>
              </w:rPr>
            </w:pPr>
            <w:r w:rsidRPr="00B95090">
              <w:rPr>
                <w:b/>
                <w:bCs/>
                <w:i/>
                <w:iCs/>
              </w:rPr>
              <w:t>Key research questio</w:t>
            </w:r>
            <w:r>
              <w:rPr>
                <w:b/>
                <w:bCs/>
                <w:i/>
                <w:iCs/>
              </w:rPr>
              <w:t>n</w:t>
            </w:r>
            <w:r w:rsidR="00026A41">
              <w:rPr>
                <w:b/>
                <w:bCs/>
                <w:i/>
                <w:iCs/>
              </w:rPr>
              <w:t>s</w:t>
            </w:r>
          </w:p>
          <w:p w14:paraId="7F995450" w14:textId="3DF8626E" w:rsidR="00AE7003" w:rsidRDefault="00AE7003" w:rsidP="00AE7003">
            <w:pPr>
              <w:rPr>
                <w:i/>
                <w:iCs/>
              </w:rPr>
            </w:pPr>
            <w:r w:rsidRPr="00AE7003">
              <w:rPr>
                <w:i/>
                <w:iCs/>
              </w:rPr>
              <w:t>Is current funding adequate to meet CCCFR grant objectives and support the provision of high quality ECEC?</w:t>
            </w:r>
          </w:p>
          <w:p w14:paraId="7D9A524E" w14:textId="420F8793" w:rsidR="00026A41" w:rsidRDefault="00026A41" w:rsidP="00026A41">
            <w:pPr>
              <w:rPr>
                <w:i/>
                <w:iCs/>
              </w:rPr>
            </w:pPr>
            <w:r w:rsidRPr="00026A41">
              <w:rPr>
                <w:i/>
                <w:iCs/>
              </w:rPr>
              <w:t>Is current funding adequate to cover the current activity delivered through CCCFR services?</w:t>
            </w:r>
          </w:p>
          <w:p w14:paraId="104D4BBF" w14:textId="15CE7AC5" w:rsidR="00F63B92" w:rsidRPr="009574AC" w:rsidRDefault="008E0838" w:rsidP="00026A41">
            <w:r w:rsidRPr="008E0838">
              <w:rPr>
                <w:i/>
                <w:iCs/>
              </w:rPr>
              <w:t>T</w:t>
            </w:r>
            <w:r w:rsidR="00A57F55">
              <w:rPr>
                <w:i/>
                <w:iCs/>
              </w:rPr>
              <w:t>o</w:t>
            </w:r>
            <w:r w:rsidRPr="008E0838">
              <w:rPr>
                <w:i/>
                <w:iCs/>
              </w:rPr>
              <w:t xml:space="preserve"> what extent does the CCCFR grant allocate and distribute funding across different child care services to address varying needs and demands?</w:t>
            </w:r>
          </w:p>
        </w:tc>
      </w:tr>
    </w:tbl>
    <w:p w14:paraId="702EBD24" w14:textId="77777777" w:rsidR="00AE7003" w:rsidRDefault="00AE7003" w:rsidP="000E4F92">
      <w:pPr>
        <w:spacing w:after="0"/>
      </w:pPr>
    </w:p>
    <w:p w14:paraId="3A6A6CD0" w14:textId="219EFD64" w:rsidR="008762CE" w:rsidRDefault="00561029" w:rsidP="008762CE">
      <w:pPr>
        <w:pStyle w:val="Heading3"/>
      </w:pPr>
      <w:r>
        <w:t xml:space="preserve">The </w:t>
      </w:r>
      <w:r w:rsidR="008762CE">
        <w:t xml:space="preserve">relationship between funding and </w:t>
      </w:r>
      <w:r w:rsidR="000A0183">
        <w:t xml:space="preserve">current service delivery costs </w:t>
      </w:r>
    </w:p>
    <w:p w14:paraId="46E2C7FB" w14:textId="045F9266" w:rsidR="00F973C8" w:rsidRPr="00F5185D" w:rsidRDefault="00F973C8" w:rsidP="000E4F92">
      <w:pPr>
        <w:spacing w:after="0"/>
        <w:rPr>
          <w:b/>
          <w:bCs/>
        </w:rPr>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F973C8" w14:paraId="4C89478F" w14:textId="77777777" w:rsidTr="00784FCF">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051EC89F" w14:textId="63CE6292" w:rsidR="00F973C8" w:rsidRPr="009E424E" w:rsidRDefault="00F973C8">
            <w:pPr>
              <w:spacing w:after="120"/>
              <w:rPr>
                <w:b/>
                <w:bCs/>
              </w:rPr>
            </w:pPr>
            <w:r w:rsidRPr="009E424E">
              <w:rPr>
                <w:b/>
                <w:bCs/>
              </w:rPr>
              <w:t xml:space="preserve">Review finding </w:t>
            </w:r>
            <w:r w:rsidR="00990593">
              <w:rPr>
                <w:b/>
                <w:bCs/>
              </w:rPr>
              <w:t>35</w:t>
            </w:r>
          </w:p>
          <w:p w14:paraId="58E7B7F6" w14:textId="6132822E" w:rsidR="00F973C8" w:rsidRPr="00CA3305" w:rsidRDefault="00F973C8" w:rsidP="00CA3305">
            <w:r>
              <w:t xml:space="preserve">Analysis of the financial adequacy of the resources provided under the CCCFR grant is hampered by the uncertainty that exists in relation to the grant’s purpose and intent </w:t>
            </w:r>
            <w:r w:rsidRPr="00E611B1">
              <w:t xml:space="preserve">(see findings </w:t>
            </w:r>
            <w:r w:rsidR="0052543B" w:rsidRPr="00E611B1">
              <w:t>6</w:t>
            </w:r>
            <w:r w:rsidRPr="00E611B1">
              <w:t xml:space="preserve">, </w:t>
            </w:r>
            <w:r w:rsidR="0052543B" w:rsidRPr="00E611B1">
              <w:t>7</w:t>
            </w:r>
            <w:r w:rsidRPr="00E611B1">
              <w:t>)</w:t>
            </w:r>
          </w:p>
        </w:tc>
      </w:tr>
    </w:tbl>
    <w:p w14:paraId="7A8CFC53" w14:textId="77777777" w:rsidR="00F973C8" w:rsidRDefault="00F973C8" w:rsidP="00F973C8">
      <w:pPr>
        <w:spacing w:after="0"/>
        <w:rPr>
          <w:color w:val="767171" w:themeColor="background2" w:themeShade="80"/>
          <w:sz w:val="16"/>
          <w:szCs w:val="16"/>
          <w:highlight w:val="cyan"/>
        </w:rPr>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F973C8" w14:paraId="63ED5555" w14:textId="77777777" w:rsidTr="00784FCF">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0DB8E86D" w14:textId="7DF4ECD3" w:rsidR="00F973C8" w:rsidRPr="009E424E" w:rsidRDefault="00F973C8">
            <w:pPr>
              <w:spacing w:after="120"/>
              <w:rPr>
                <w:b/>
                <w:bCs/>
              </w:rPr>
            </w:pPr>
            <w:r w:rsidRPr="009E424E">
              <w:rPr>
                <w:b/>
                <w:bCs/>
              </w:rPr>
              <w:t xml:space="preserve">Review finding </w:t>
            </w:r>
            <w:r w:rsidR="00990593">
              <w:rPr>
                <w:b/>
                <w:bCs/>
              </w:rPr>
              <w:t>36</w:t>
            </w:r>
          </w:p>
          <w:p w14:paraId="281FB847" w14:textId="3BE4C139" w:rsidR="00F973C8" w:rsidRPr="00CA3305" w:rsidRDefault="00F973C8" w:rsidP="00CA3305">
            <w:r>
              <w:t xml:space="preserve">Notwithstanding finding </w:t>
            </w:r>
            <w:r w:rsidR="00990593">
              <w:t>35</w:t>
            </w:r>
            <w:r>
              <w:t xml:space="preserve">, there would appear only a limited relationship between the funding CCCFR services receive from the </w:t>
            </w:r>
            <w:r w:rsidR="00AA6CC0">
              <w:t>Australian</w:t>
            </w:r>
            <w:r>
              <w:t xml:space="preserve"> Government and cost of meeting the need services face, as it manifests from both service and community characteristics. </w:t>
            </w:r>
          </w:p>
        </w:tc>
      </w:tr>
    </w:tbl>
    <w:p w14:paraId="60967E00" w14:textId="23CB5255" w:rsidR="00F973C8" w:rsidRPr="00EF331D" w:rsidRDefault="00F973C8" w:rsidP="00F973C8">
      <w:pPr>
        <w:spacing w:before="170"/>
        <w:rPr>
          <w:b/>
          <w:bCs/>
        </w:rPr>
      </w:pPr>
      <w:r w:rsidRPr="00EF331D">
        <w:rPr>
          <w:b/>
          <w:bCs/>
        </w:rPr>
        <w:t>Supporting evidence for this finding is drawn from consultations</w:t>
      </w:r>
      <w:r>
        <w:rPr>
          <w:b/>
          <w:bCs/>
        </w:rPr>
        <w:t>, survey data</w:t>
      </w:r>
      <w:r w:rsidRPr="00EF331D">
        <w:rPr>
          <w:b/>
          <w:bCs/>
        </w:rPr>
        <w:t xml:space="preserve"> and financial data</w:t>
      </w:r>
      <w:r w:rsidR="0023419D">
        <w:rPr>
          <w:b/>
          <w:bCs/>
        </w:rPr>
        <w:t xml:space="preserve"> analysis</w:t>
      </w:r>
      <w:r w:rsidRPr="00EF331D">
        <w:rPr>
          <w:b/>
          <w:bCs/>
        </w:rPr>
        <w:t>.</w:t>
      </w:r>
    </w:p>
    <w:p w14:paraId="48479E95" w14:textId="1A6461ED" w:rsidR="00561029" w:rsidRDefault="00561029" w:rsidP="00AE7003">
      <w:r>
        <w:t>The funding th</w:t>
      </w:r>
      <w:r w:rsidR="00EA0482">
        <w:t>at</w:t>
      </w:r>
      <w:r>
        <w:t xml:space="preserve"> CCCFR</w:t>
      </w:r>
      <w:r w:rsidR="00071CFF">
        <w:t xml:space="preserve"> services receive </w:t>
      </w:r>
      <w:r w:rsidR="00F973C8">
        <w:t xml:space="preserve">from the Australian Government </w:t>
      </w:r>
      <w:r w:rsidR="00071CFF">
        <w:t xml:space="preserve">is </w:t>
      </w:r>
      <w:r w:rsidR="0001562E">
        <w:t>a combination of grant funding and CCS revenue</w:t>
      </w:r>
      <w:r w:rsidR="00447358">
        <w:t xml:space="preserve"> and fees</w:t>
      </w:r>
      <w:r w:rsidR="0001562E">
        <w:t>.</w:t>
      </w:r>
      <w:r w:rsidR="002E497C">
        <w:t xml:space="preserve"> </w:t>
      </w:r>
      <w:r w:rsidR="0001562E">
        <w:t xml:space="preserve">Relative reliance on these </w:t>
      </w:r>
      <w:r w:rsidR="007F479F">
        <w:t xml:space="preserve">three </w:t>
      </w:r>
      <w:r w:rsidR="0001562E">
        <w:t>funding streams varies</w:t>
      </w:r>
      <w:r w:rsidR="0025216E">
        <w:t xml:space="preserve"> (see Chart 8.1)</w:t>
      </w:r>
      <w:r w:rsidR="0001562E">
        <w:t>.</w:t>
      </w:r>
      <w:r w:rsidR="002E497C">
        <w:t xml:space="preserve"> </w:t>
      </w:r>
      <w:r w:rsidR="00BB17EC">
        <w:t xml:space="preserve">At one end of the </w:t>
      </w:r>
      <w:r w:rsidR="00A56F10">
        <w:t>spectrum</w:t>
      </w:r>
      <w:r w:rsidR="00BB17EC">
        <w:t xml:space="preserve"> there are services that rely exclusively on </w:t>
      </w:r>
      <w:r w:rsidR="00A56F10">
        <w:t>the CCCFR grant.</w:t>
      </w:r>
      <w:r w:rsidR="002E497C">
        <w:t xml:space="preserve"> </w:t>
      </w:r>
      <w:r w:rsidR="00A56F10">
        <w:t xml:space="preserve">At the other end there are services for whom the CCCFR grant represents a relatively small share of their Australian Government funding, with </w:t>
      </w:r>
      <w:r w:rsidR="00497002">
        <w:t>CCS revenue the primary source.</w:t>
      </w:r>
      <w:r w:rsidR="002E497C">
        <w:t xml:space="preserve"> </w:t>
      </w:r>
      <w:r w:rsidR="00414BA4">
        <w:t xml:space="preserve">Within these two broad revenue categories are </w:t>
      </w:r>
      <w:r w:rsidR="00073EDE">
        <w:t>sub-categories.</w:t>
      </w:r>
      <w:r w:rsidR="002E497C">
        <w:t xml:space="preserve"> </w:t>
      </w:r>
      <w:r w:rsidR="000C6991">
        <w:t xml:space="preserve">Grant revenue is comprised the base grant and supplementary grant and </w:t>
      </w:r>
      <w:r w:rsidR="00C64941">
        <w:t xml:space="preserve">alongside CCS is ACCS. </w:t>
      </w:r>
    </w:p>
    <w:p w14:paraId="1EF2F790" w14:textId="1A068B2B" w:rsidR="00EA339E" w:rsidRPr="00B65B31" w:rsidRDefault="00EA339E" w:rsidP="00EA339E">
      <w:pPr>
        <w:pStyle w:val="CaptionChart"/>
      </w:pPr>
      <w:bookmarkStart w:id="362" w:name="_Toc158997942"/>
      <w:bookmarkStart w:id="363" w:name="_Toc167130561"/>
      <w:r w:rsidRPr="00B65B31">
        <w:t xml:space="preserve">: </w:t>
      </w:r>
      <w:r w:rsidR="00DA7D94" w:rsidRPr="00B65B31">
        <w:t>CCCFR service income source(s)</w:t>
      </w:r>
      <w:bookmarkEnd w:id="362"/>
      <w:bookmarkEnd w:id="363"/>
    </w:p>
    <w:p w14:paraId="54BA481D" w14:textId="77777777" w:rsidR="0073407D" w:rsidRDefault="0073407D" w:rsidP="00AE7003">
      <w:pPr>
        <w:rPr>
          <w:noProof/>
        </w:rPr>
      </w:pPr>
    </w:p>
    <w:p w14:paraId="5959D5F1" w14:textId="2FBF30A7" w:rsidR="00965039" w:rsidRDefault="00B321FB" w:rsidP="00AE7003">
      <w:r w:rsidRPr="00B321FB">
        <w:rPr>
          <w:noProof/>
        </w:rPr>
        <w:lastRenderedPageBreak/>
        <w:drawing>
          <wp:inline distT="0" distB="0" distL="0" distR="0" wp14:anchorId="643DADD7" wp14:editId="2F248644">
            <wp:extent cx="5731510" cy="2344420"/>
            <wp:effectExtent l="0" t="0" r="2540" b="0"/>
            <wp:docPr id="27" name="Picture 27" descr="Chart showing the distribution of all CCCFR services when considering revenue from the CCCFR grant compared to CCS/ACCS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howing the distribution of all CCCFR services when considering revenue from the CCCFR grant compared to CCS/ACCS revenu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1510" cy="2344420"/>
                    </a:xfrm>
                    <a:prstGeom prst="rect">
                      <a:avLst/>
                    </a:prstGeom>
                    <a:noFill/>
                    <a:ln>
                      <a:noFill/>
                    </a:ln>
                  </pic:spPr>
                </pic:pic>
              </a:graphicData>
            </a:graphic>
          </wp:inline>
        </w:drawing>
      </w:r>
    </w:p>
    <w:p w14:paraId="6E85929D" w14:textId="702A4E33" w:rsidR="1A51E74F" w:rsidRDefault="009B18BF" w:rsidP="1A51E74F">
      <w:r w:rsidRPr="009B18BF">
        <w:rPr>
          <w:noProof/>
        </w:rPr>
        <w:drawing>
          <wp:inline distT="0" distB="0" distL="0" distR="0" wp14:anchorId="14F8C96C" wp14:editId="2FED99FC">
            <wp:extent cx="5731510" cy="1765935"/>
            <wp:effectExtent l="0" t="0" r="2540" b="5715"/>
            <wp:docPr id="33" name="Picture 33" descr="Chart showing the amount of revenue received by each CCCFR service from the CCCFR grant and CCS/ACCS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showing the amount of revenue received by each CCCFR service from the CCCFR grant and CCS/ACCS revenu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1510" cy="1765935"/>
                    </a:xfrm>
                    <a:prstGeom prst="rect">
                      <a:avLst/>
                    </a:prstGeom>
                    <a:noFill/>
                    <a:ln>
                      <a:noFill/>
                    </a:ln>
                  </pic:spPr>
                </pic:pic>
              </a:graphicData>
            </a:graphic>
          </wp:inline>
        </w:drawing>
      </w:r>
    </w:p>
    <w:p w14:paraId="7D4227F3" w14:textId="0FC0CC62" w:rsidR="008B2FEA" w:rsidRDefault="008B2FEA" w:rsidP="00EA339E">
      <w:r w:rsidRPr="00EF331D">
        <w:rPr>
          <w:color w:val="767171" w:themeColor="background2" w:themeShade="80"/>
          <w:sz w:val="16"/>
          <w:szCs w:val="16"/>
        </w:rPr>
        <w:t>Source: Deloitte Access Economics</w:t>
      </w:r>
      <w:r>
        <w:rPr>
          <w:color w:val="767171" w:themeColor="background2" w:themeShade="80"/>
          <w:sz w:val="16"/>
          <w:szCs w:val="16"/>
        </w:rPr>
        <w:t>’ analysis of administrative data</w:t>
      </w:r>
      <w:r w:rsidR="0048408B">
        <w:rPr>
          <w:color w:val="767171" w:themeColor="background2" w:themeShade="80"/>
          <w:sz w:val="16"/>
          <w:szCs w:val="16"/>
        </w:rPr>
        <w:t>. Total income includes: CCCFR sustainability funding (excluding capital funding), CCS/ACCS funding, fee income, State/Territory and Local government funding, fundraising and philanthropic sources.</w:t>
      </w:r>
    </w:p>
    <w:p w14:paraId="68D99E35" w14:textId="2F179ECF" w:rsidR="005853B7" w:rsidRDefault="00033CEE" w:rsidP="008B2FEA">
      <w:pPr>
        <w:spacing w:before="240"/>
      </w:pPr>
      <w:r w:rsidRPr="001E2E71">
        <w:t xml:space="preserve">The grant component </w:t>
      </w:r>
      <w:r w:rsidR="0094781B" w:rsidRPr="001E2E71">
        <w:t>is a historical artifact</w:t>
      </w:r>
      <w:r w:rsidR="001D4880" w:rsidRPr="001E2E71">
        <w:t xml:space="preserve">, with grant values having been determined based largely on historical factors when the </w:t>
      </w:r>
      <w:r w:rsidR="00021999">
        <w:t>g</w:t>
      </w:r>
      <w:r w:rsidR="001D4880" w:rsidRPr="001E2E71">
        <w:t>rant was established.</w:t>
      </w:r>
      <w:r w:rsidR="002E497C">
        <w:t xml:space="preserve"> </w:t>
      </w:r>
      <w:r w:rsidR="001E2E71">
        <w:t xml:space="preserve">The </w:t>
      </w:r>
      <w:r w:rsidR="00A33AEF">
        <w:t xml:space="preserve">grant determination </w:t>
      </w:r>
      <w:r w:rsidR="001E2E71">
        <w:t xml:space="preserve">process saw </w:t>
      </w:r>
      <w:r w:rsidR="00EA145C">
        <w:t xml:space="preserve">services submit a financial plan </w:t>
      </w:r>
      <w:r w:rsidR="00F70A1F">
        <w:t>that reflected current operations and expectations for the future.</w:t>
      </w:r>
      <w:r w:rsidR="00EC1DA1">
        <w:t xml:space="preserve"> Grant values were then determined in light of this.</w:t>
      </w:r>
      <w:r w:rsidR="002E497C">
        <w:t xml:space="preserve"> </w:t>
      </w:r>
      <w:r w:rsidR="00FE27A0">
        <w:t xml:space="preserve">The relationship between costs and grant values has not been systematically monitored in a way that would </w:t>
      </w:r>
      <w:r w:rsidR="003D0EFA">
        <w:t>allow divergences between the two to be identified and addressed.</w:t>
      </w:r>
      <w:r w:rsidR="002E497C">
        <w:t xml:space="preserve"> </w:t>
      </w:r>
      <w:r w:rsidR="00400F36">
        <w:t xml:space="preserve">It is not unexpected, therefore, that in the face of considerable change in local service delivery context over the last five years, that </w:t>
      </w:r>
      <w:r w:rsidR="00BB4D41">
        <w:t xml:space="preserve">levels of correlation between cost and funding would be low. </w:t>
      </w:r>
    </w:p>
    <w:p w14:paraId="5A0D287E" w14:textId="19BEE7B7" w:rsidR="00105E60" w:rsidRDefault="00105E60" w:rsidP="008B2FEA">
      <w:pPr>
        <w:spacing w:before="240"/>
      </w:pPr>
      <w:r>
        <w:t xml:space="preserve">This is confirmed </w:t>
      </w:r>
      <w:r w:rsidR="000C114C">
        <w:t>by the survey findings which reveal that 2</w:t>
      </w:r>
      <w:r w:rsidR="00BB1E14">
        <w:t>2</w:t>
      </w:r>
      <w:r w:rsidR="00D97EF8">
        <w:t xml:space="preserve"> per cent</w:t>
      </w:r>
      <w:r w:rsidR="000C114C">
        <w:t xml:space="preserve"> of</w:t>
      </w:r>
      <w:r w:rsidR="003255C1">
        <w:t xml:space="preserve"> total</w:t>
      </w:r>
      <w:r w:rsidR="000C114C">
        <w:t xml:space="preserve"> respondents </w:t>
      </w:r>
      <w:r w:rsidR="0065173B">
        <w:t>– and</w:t>
      </w:r>
      <w:r w:rsidR="00253346">
        <w:t>,</w:t>
      </w:r>
      <w:r w:rsidR="0065173B">
        <w:t xml:space="preserve"> </w:t>
      </w:r>
      <w:r w:rsidR="008C426F">
        <w:t xml:space="preserve">within the total, </w:t>
      </w:r>
      <w:r w:rsidR="00472E09">
        <w:t>13</w:t>
      </w:r>
      <w:r w:rsidR="00D97EF8">
        <w:t xml:space="preserve"> per cent</w:t>
      </w:r>
      <w:r w:rsidR="00472E09">
        <w:t xml:space="preserve"> of </w:t>
      </w:r>
      <w:r w:rsidR="001A0B7D">
        <w:t>the</w:t>
      </w:r>
      <w:r w:rsidR="0065173B">
        <w:t xml:space="preserve"> </w:t>
      </w:r>
      <w:r w:rsidR="00DF0831" w:rsidRPr="00DF0831">
        <w:t xml:space="preserve">Aboriginal and Torres Strait </w:t>
      </w:r>
      <w:r w:rsidR="008C426F">
        <w:t>Islander</w:t>
      </w:r>
      <w:r w:rsidR="001A0B7D">
        <w:t xml:space="preserve"> respondents </w:t>
      </w:r>
      <w:r w:rsidR="0065173B">
        <w:t xml:space="preserve">– </w:t>
      </w:r>
      <w:r w:rsidR="000C114C">
        <w:t>believe the funding they receive is sufficient to meet the CCCFR grant objectives and support the provision of high quality child care</w:t>
      </w:r>
      <w:r w:rsidR="00484BB7">
        <w:t xml:space="preserve">, </w:t>
      </w:r>
      <w:r w:rsidR="00484BB7" w:rsidRPr="00026874">
        <w:t xml:space="preserve">but </w:t>
      </w:r>
      <w:r w:rsidR="00326F02" w:rsidRPr="00026874">
        <w:t>4</w:t>
      </w:r>
      <w:r w:rsidR="00BB1E14">
        <w:t>2</w:t>
      </w:r>
      <w:r w:rsidR="00D97EF8">
        <w:t xml:space="preserve"> per cent</w:t>
      </w:r>
      <w:r w:rsidR="00326F02" w:rsidRPr="00026874">
        <w:t xml:space="preserve"> </w:t>
      </w:r>
      <w:r w:rsidR="00BB3A56" w:rsidRPr="00026874">
        <w:t>do</w:t>
      </w:r>
      <w:r w:rsidR="00326F02">
        <w:t xml:space="preserve"> not</w:t>
      </w:r>
      <w:r w:rsidR="0065173B">
        <w:t xml:space="preserve"> (see </w:t>
      </w:r>
      <w:r w:rsidR="00F312A4">
        <w:fldChar w:fldCharType="begin"/>
      </w:r>
      <w:r w:rsidR="00F312A4">
        <w:instrText xml:space="preserve"> REF _Ref153459411 \r \h </w:instrText>
      </w:r>
      <w:r w:rsidR="00F312A4">
        <w:fldChar w:fldCharType="separate"/>
      </w:r>
      <w:r w:rsidR="00D300D0">
        <w:t>Chart 8.2</w:t>
      </w:r>
      <w:r w:rsidR="00F312A4">
        <w:fldChar w:fldCharType="end"/>
      </w:r>
      <w:r w:rsidR="00F656D1">
        <w:t>)</w:t>
      </w:r>
      <w:r w:rsidR="000C114C">
        <w:t>.</w:t>
      </w:r>
      <w:r w:rsidR="00820113">
        <w:t xml:space="preserve"> That’s to say, 2</w:t>
      </w:r>
      <w:r w:rsidR="002217BD">
        <w:t>2</w:t>
      </w:r>
      <w:r w:rsidR="00D97EF8">
        <w:t xml:space="preserve"> per cent</w:t>
      </w:r>
      <w:r w:rsidR="00820113">
        <w:t xml:space="preserve"> of </w:t>
      </w:r>
      <w:r w:rsidR="001C27F9">
        <w:t>all</w:t>
      </w:r>
      <w:r w:rsidR="00820113">
        <w:t xml:space="preserve"> services who responded to the survey believe the v</w:t>
      </w:r>
      <w:r w:rsidR="0099702B">
        <w:t xml:space="preserve">alue of the grant they receive </w:t>
      </w:r>
      <w:r w:rsidR="001934FC">
        <w:t xml:space="preserve">assists to </w:t>
      </w:r>
      <w:r w:rsidR="0099702B">
        <w:t>meet the cost of providing high quality child care</w:t>
      </w:r>
      <w:r w:rsidR="002A3A7B">
        <w:t>, and a further 4</w:t>
      </w:r>
      <w:r w:rsidR="002217BD">
        <w:t>2</w:t>
      </w:r>
      <w:r w:rsidR="00D97EF8">
        <w:t xml:space="preserve"> per cent</w:t>
      </w:r>
      <w:r w:rsidR="002A3A7B">
        <w:t xml:space="preserve"> </w:t>
      </w:r>
      <w:r w:rsidR="00FF3617">
        <w:t xml:space="preserve">somewhat </w:t>
      </w:r>
      <w:r w:rsidR="00EB1A06">
        <w:t>suggest the grant is more or less sufficient</w:t>
      </w:r>
      <w:r w:rsidR="0099702B">
        <w:t xml:space="preserve">. </w:t>
      </w:r>
    </w:p>
    <w:p w14:paraId="419EA182" w14:textId="6A344587" w:rsidR="00D25CAA" w:rsidRPr="00B65B31" w:rsidRDefault="00D25CAA" w:rsidP="00D25CAA">
      <w:pPr>
        <w:pStyle w:val="CaptionChart"/>
      </w:pPr>
      <w:bookmarkStart w:id="364" w:name="_Ref153459411"/>
      <w:bookmarkStart w:id="365" w:name="_Toc158997943"/>
      <w:bookmarkStart w:id="366" w:name="_Toc167130562"/>
      <w:r w:rsidRPr="00B65B31">
        <w:lastRenderedPageBreak/>
        <w:t>: Responses to ‘Is the grant amount you receive enough to meet the CCCFR grant objectives and support the provision of high-quality child</w:t>
      </w:r>
      <w:r w:rsidR="00C155BC" w:rsidRPr="00B65B31">
        <w:t xml:space="preserve"> </w:t>
      </w:r>
      <w:r w:rsidRPr="00B65B31">
        <w:t>care?’</w:t>
      </w:r>
      <w:bookmarkEnd w:id="364"/>
      <w:bookmarkEnd w:id="365"/>
      <w:bookmarkEnd w:id="366"/>
    </w:p>
    <w:p w14:paraId="7BE72A34" w14:textId="2206ECA5" w:rsidR="00BB1E14" w:rsidRPr="00BB1E14" w:rsidRDefault="00BB1E14" w:rsidP="00CD38C6">
      <w:r w:rsidRPr="00BB1E14">
        <w:rPr>
          <w:noProof/>
        </w:rPr>
        <w:drawing>
          <wp:inline distT="0" distB="0" distL="0" distR="0" wp14:anchorId="68B03488" wp14:editId="0356B177">
            <wp:extent cx="4139231" cy="2506339"/>
            <wp:effectExtent l="0" t="0" r="0" b="8890"/>
            <wp:docPr id="838388546" name="Picture 838388546" descr="Poll chart showing answers from survey respondents to 'Is the grant amount you receive enough to meet the CCCFR grant objectives and support the provision of high-quality child care?’. 22% responded yes, 42% responded no, 8% responded unsure and 28% responded somew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46" name="Picture 838388546" descr="Poll chart showing answers from survey respondents to 'Is the grant amount you receive enough to meet the CCCFR grant objectives and support the provision of high-quality child care?’. 22% responded yes, 42% responded no, 8% responded unsure and 28% responded somewha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46032" cy="2510457"/>
                    </a:xfrm>
                    <a:prstGeom prst="rect">
                      <a:avLst/>
                    </a:prstGeom>
                    <a:noFill/>
                    <a:ln>
                      <a:noFill/>
                    </a:ln>
                  </pic:spPr>
                </pic:pic>
              </a:graphicData>
            </a:graphic>
          </wp:inline>
        </w:drawing>
      </w:r>
    </w:p>
    <w:p w14:paraId="00DEC9FE" w14:textId="2E840235" w:rsidR="00D25CAA" w:rsidRPr="00EF331D" w:rsidRDefault="00D25CAA" w:rsidP="00D25CAA">
      <w:pPr>
        <w:spacing w:after="0"/>
        <w:rPr>
          <w:color w:val="767171" w:themeColor="background2" w:themeShade="80"/>
          <w:sz w:val="16"/>
          <w:szCs w:val="16"/>
        </w:rPr>
      </w:pPr>
      <w:r w:rsidRPr="00EF331D">
        <w:rPr>
          <w:color w:val="767171" w:themeColor="background2" w:themeShade="80"/>
          <w:sz w:val="16"/>
          <w:szCs w:val="16"/>
        </w:rPr>
        <w:t>Source: Deloitte Access Economics survey analysis, survey respondents n=3</w:t>
      </w:r>
      <w:r w:rsidR="00AC2F89">
        <w:rPr>
          <w:color w:val="767171" w:themeColor="background2" w:themeShade="80"/>
          <w:sz w:val="16"/>
          <w:szCs w:val="16"/>
        </w:rPr>
        <w:t>6</w:t>
      </w:r>
      <w:r w:rsidRPr="00EF331D">
        <w:rPr>
          <w:color w:val="767171" w:themeColor="background2" w:themeShade="80"/>
          <w:sz w:val="16"/>
          <w:szCs w:val="16"/>
        </w:rPr>
        <w:t>.</w:t>
      </w:r>
    </w:p>
    <w:p w14:paraId="568CA0FB" w14:textId="77777777" w:rsidR="008762CE" w:rsidRDefault="008762CE" w:rsidP="001E2E71"/>
    <w:p w14:paraId="4C25CFDE" w14:textId="77777777" w:rsidR="008C3625" w:rsidRPr="00EF331D" w:rsidRDefault="008C3625" w:rsidP="008C3625">
      <w:r w:rsidRPr="00EF331D">
        <w:t xml:space="preserve">Of the respondents that do not think the CCCFR grant amount is sufficient to meet the grant objectives, most report that the grant does not provide the support needed to attract and retain staff: </w:t>
      </w:r>
    </w:p>
    <w:p w14:paraId="61A45409" w14:textId="642D6725" w:rsidR="008C3625" w:rsidRPr="009A69E5" w:rsidRDefault="008C3625" w:rsidP="008C3625">
      <w:pPr>
        <w:rPr>
          <w:color w:val="007CB0"/>
        </w:rPr>
      </w:pPr>
      <w:r w:rsidRPr="009A69E5">
        <w:rPr>
          <w:color w:val="007CB0"/>
        </w:rPr>
        <w:t>“It is nearly impossible to attract and retain staff for remote communities. Buildings and facilities are not suitable to run as child</w:t>
      </w:r>
      <w:r w:rsidR="003A0C58" w:rsidRPr="009A69E5">
        <w:rPr>
          <w:color w:val="007CB0"/>
        </w:rPr>
        <w:t xml:space="preserve"> </w:t>
      </w:r>
      <w:r w:rsidRPr="009A69E5">
        <w:rPr>
          <w:color w:val="007CB0"/>
        </w:rPr>
        <w:t xml:space="preserve">care facilities”. </w:t>
      </w:r>
    </w:p>
    <w:p w14:paraId="7838B5AF" w14:textId="77777777" w:rsidR="008C3625" w:rsidRPr="009A69E5" w:rsidRDefault="008C3625" w:rsidP="008C3625">
      <w:pPr>
        <w:rPr>
          <w:color w:val="007CB0"/>
        </w:rPr>
      </w:pPr>
      <w:r w:rsidRPr="009A69E5">
        <w:rPr>
          <w:color w:val="007CB0"/>
        </w:rPr>
        <w:t xml:space="preserve">“Main issues are maintenance and repairs of facilities are very expensive, training of staff is very difficult”. </w:t>
      </w:r>
    </w:p>
    <w:p w14:paraId="329EE14D" w14:textId="77777777" w:rsidR="008C3625" w:rsidRPr="009A69E5" w:rsidRDefault="008C3625" w:rsidP="008C3625">
      <w:pPr>
        <w:rPr>
          <w:color w:val="007CB0"/>
        </w:rPr>
      </w:pPr>
      <w:r w:rsidRPr="009A69E5">
        <w:rPr>
          <w:color w:val="007CB0"/>
        </w:rPr>
        <w:t xml:space="preserve">“Our outgoings are very high as we need to pay our staff above award wages to bring them here and to keep them here. We would not be able to operate our service if we did not have the qualified staff”. </w:t>
      </w:r>
    </w:p>
    <w:p w14:paraId="094F0CE6" w14:textId="19556F5E" w:rsidR="00A97FD1" w:rsidRDefault="00A97FD1" w:rsidP="00A97FD1">
      <w:r>
        <w:t xml:space="preserve">When it comes to the CCS component, rates of subsidy are benchmarked against a reference price. The degree to which this reference price provides an appropriate benchmark to delivery costs in the CCCFR context varies, but in the majority of cases it is not a suitable benchmark given the </w:t>
      </w:r>
      <w:r w:rsidR="003C3630">
        <w:t xml:space="preserve">significant </w:t>
      </w:r>
      <w:r>
        <w:t xml:space="preserve">cost premium that remote delivery confronts. </w:t>
      </w:r>
    </w:p>
    <w:p w14:paraId="1F9DA12E" w14:textId="700E6DFB" w:rsidR="00C56735" w:rsidRPr="00C56735" w:rsidRDefault="00C56735" w:rsidP="00C56735">
      <w:r w:rsidRPr="00C56735">
        <w:t xml:space="preserve">Staffing is unanimously stated to be a significant cost driver for services – and also a significant challenge. Although workforce challenges are experienced across the entire ECEC sector, CCCFR services </w:t>
      </w:r>
      <w:r>
        <w:t xml:space="preserve">commonly </w:t>
      </w:r>
      <w:r w:rsidRPr="00C56735">
        <w:t>reflect</w:t>
      </w:r>
      <w:r>
        <w:t xml:space="preserve"> that</w:t>
      </w:r>
      <w:r w:rsidRPr="00C56735">
        <w:t xml:space="preserve"> they experience these challenges more acutely. Child care centres in remote and very remote communities spoke of the experiences of social isolation, lack of services and infrastructure, safety concerns and vicarious trauma as impediments to recruiting and retaining staff, in particular, highly qualified staff from outside of community. Not all services said they had sufficient funding to offer incentives such as above award wages, but even where services offer incentives to potential candidates, these challenges reportedly persist.</w:t>
      </w:r>
    </w:p>
    <w:p w14:paraId="149EA143" w14:textId="0D74F76B" w:rsidR="006607FA" w:rsidRDefault="006607FA" w:rsidP="00C56735">
      <w:r>
        <w:t xml:space="preserve">The impact of location on cost is evident from the CCCFR financial acquittal data. </w:t>
      </w:r>
      <w:r w:rsidRPr="006607FA">
        <w:t xml:space="preserve">When comparing services of a similar scale of delivery, unit delivery costs are significantly higher for remote areas relative to urban areas. While delivery costs are higher for regional areas compared to urban areas, they are relatively similar. This in part reflects higher wages </w:t>
      </w:r>
      <w:r>
        <w:t>educators in</w:t>
      </w:r>
      <w:r w:rsidRPr="006607FA">
        <w:t xml:space="preserve"> remote areas.</w:t>
      </w:r>
    </w:p>
    <w:p w14:paraId="1CA481E5" w14:textId="77777777" w:rsidR="006607FA" w:rsidRPr="006607FA" w:rsidRDefault="006607FA" w:rsidP="006607FA"/>
    <w:p w14:paraId="6E17E4A9" w14:textId="77777777" w:rsidR="006607FA" w:rsidRPr="006607FA" w:rsidRDefault="006607FA" w:rsidP="006607FA">
      <w:pPr>
        <w:pStyle w:val="CaptionChart"/>
      </w:pPr>
      <w:bookmarkStart w:id="367" w:name="_Toc158997944"/>
      <w:bookmarkStart w:id="368" w:name="_Toc167130563"/>
      <w:r w:rsidRPr="006607FA">
        <w:lastRenderedPageBreak/>
        <w:t>: Relationship between unit costs and remoteness</w:t>
      </w:r>
      <w:bookmarkEnd w:id="367"/>
      <w:bookmarkEnd w:id="368"/>
    </w:p>
    <w:p w14:paraId="25AC299F" w14:textId="77777777" w:rsidR="006607FA" w:rsidRPr="006607FA" w:rsidRDefault="006607FA" w:rsidP="006607FA">
      <w:r w:rsidRPr="006607FA">
        <w:rPr>
          <w:noProof/>
        </w:rPr>
        <w:drawing>
          <wp:inline distT="0" distB="0" distL="0" distR="0" wp14:anchorId="2CD583CB" wp14:editId="1FDDBA0F">
            <wp:extent cx="4675505" cy="2820670"/>
            <wp:effectExtent l="0" t="0" r="0" b="0"/>
            <wp:docPr id="838388606" name="Picture 838388606" descr="Bar chart showing the comparative cost of delivering child care per hour for small, medium and large CCCFR services across urban, regional and remote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606" name="Picture 838388606" descr="Bar chart showing the comparative cost of delivering child care per hour for small, medium and large CCCFR services across urban, regional and remote settings."/>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675505" cy="2820670"/>
                    </a:xfrm>
                    <a:prstGeom prst="rect">
                      <a:avLst/>
                    </a:prstGeom>
                    <a:noFill/>
                    <a:ln>
                      <a:noFill/>
                    </a:ln>
                  </pic:spPr>
                </pic:pic>
              </a:graphicData>
            </a:graphic>
          </wp:inline>
        </w:drawing>
      </w:r>
    </w:p>
    <w:p w14:paraId="58C586E9" w14:textId="77777777" w:rsidR="006607FA" w:rsidRPr="006607FA" w:rsidRDefault="006607FA" w:rsidP="006607FA">
      <w:pPr>
        <w:spacing w:after="0"/>
        <w:rPr>
          <w:color w:val="767171" w:themeColor="background2" w:themeShade="80"/>
          <w:sz w:val="14"/>
          <w:szCs w:val="14"/>
        </w:rPr>
      </w:pPr>
      <w:r w:rsidRPr="006607FA">
        <w:rPr>
          <w:color w:val="767171" w:themeColor="background2" w:themeShade="80"/>
          <w:sz w:val="14"/>
          <w:szCs w:val="14"/>
        </w:rPr>
        <w:t>Source: Financial acquittal data, and CCS data. Charged hours refers to total hours for which fees are charged for the week. Children may not attend for all charged hours, and hours attended by children not in the CCS system is not captured.</w:t>
      </w:r>
    </w:p>
    <w:p w14:paraId="540D4889" w14:textId="77777777" w:rsidR="006607FA" w:rsidRPr="00C56735" w:rsidRDefault="006607FA" w:rsidP="00C56735"/>
    <w:p w14:paraId="42277E6C" w14:textId="57121567" w:rsidR="00645373" w:rsidRDefault="00C56735" w:rsidP="00C56735">
      <w:r w:rsidRPr="00C56735">
        <w:t xml:space="preserve">Other cost drivers reported by services vary, depending on the characteristics of the service. For example: transport is noted to be a cost driver for remotely located services; administration is a lower cost driver for services who are able to share overheads with an overarching provider. For some services, site costs may be lower due to peppercorn rent or gumnut agreements. For services which own their buildings, depreciation is not included in the CCCFR budgeting tool, and may lead to discrepancies between services’ accounting practices and </w:t>
      </w:r>
      <w:r w:rsidR="00736642">
        <w:t xml:space="preserve">actual capital </w:t>
      </w:r>
      <w:r w:rsidRPr="00C56735">
        <w:t xml:space="preserve">needs, and what they report to the Department. </w:t>
      </w:r>
    </w:p>
    <w:p w14:paraId="4539BBA8" w14:textId="759B7607" w:rsidR="008762CE" w:rsidRDefault="008762CE" w:rsidP="001E2E71">
      <w:pPr>
        <w:pStyle w:val="Heading3"/>
      </w:pPr>
      <w:r>
        <w:t>The relationship between funding and need</w:t>
      </w:r>
    </w:p>
    <w:p w14:paraId="028FB4EB" w14:textId="4A74B8B6" w:rsidR="001E2E71" w:rsidRPr="005E68DB" w:rsidRDefault="00DE1B8A" w:rsidP="009D22D8">
      <w:pPr>
        <w:spacing w:before="120"/>
      </w:pPr>
      <w:r>
        <w:t xml:space="preserve">In the context of CCCFR, the concept of need refers to the </w:t>
      </w:r>
      <w:r w:rsidR="00F55C5A">
        <w:t xml:space="preserve">way in which, for a given policy objective or service-delivery </w:t>
      </w:r>
      <w:r w:rsidR="00B35AC0">
        <w:t xml:space="preserve">model, funding recognises the varying levels of need that characterise the communities in which services operate. </w:t>
      </w:r>
      <w:r w:rsidR="005E68DB" w:rsidRPr="005E68DB">
        <w:t xml:space="preserve">In </w:t>
      </w:r>
      <w:r w:rsidR="005E68DB">
        <w:t xml:space="preserve">examining the degree to which current funding </w:t>
      </w:r>
      <w:r w:rsidR="00A3699C">
        <w:t xml:space="preserve">aligns with need </w:t>
      </w:r>
      <w:r w:rsidR="00FF0F5F" w:rsidRPr="00FF0F5F">
        <w:t>there are a number of considerations which must be taken into account.</w:t>
      </w:r>
      <w:r w:rsidR="002E497C">
        <w:t xml:space="preserve"> </w:t>
      </w:r>
      <w:r w:rsidR="00FF0F5F">
        <w:t xml:space="preserve">The first is the relationship between funding and </w:t>
      </w:r>
      <w:r w:rsidR="00E34282">
        <w:t>community size – as a large community means that, all else the same, the aggregate level of need is greater.</w:t>
      </w:r>
      <w:r w:rsidR="002E497C">
        <w:t xml:space="preserve"> </w:t>
      </w:r>
      <w:r w:rsidR="00A6546A">
        <w:t>With grant values hav</w:t>
      </w:r>
      <w:r w:rsidR="008733A8">
        <w:t>ing</w:t>
      </w:r>
      <w:r w:rsidR="00A6546A">
        <w:t xml:space="preserve"> their origins in historical considerations </w:t>
      </w:r>
      <w:r w:rsidR="00E0177C">
        <w:t xml:space="preserve">and the review process offering limited scope to adjust values in accordance with </w:t>
      </w:r>
      <w:r w:rsidR="00306B42">
        <w:t>demographic shifts, there are limited ways in which the design and administration of the grant allows it to respond to changes in aggregate need.</w:t>
      </w:r>
      <w:r w:rsidR="002E497C">
        <w:t xml:space="preserve"> </w:t>
      </w:r>
      <w:r w:rsidR="00306B42">
        <w:t xml:space="preserve">To the extent that </w:t>
      </w:r>
      <w:r w:rsidR="004C55EC">
        <w:t xml:space="preserve">the CCS is a demand-driven subsidy there is a natural </w:t>
      </w:r>
      <w:r w:rsidR="00E7418D">
        <w:t>scaling of funding in accordance with use.</w:t>
      </w:r>
      <w:r w:rsidR="002E497C">
        <w:t xml:space="preserve"> </w:t>
      </w:r>
      <w:r w:rsidR="00E7418D">
        <w:t xml:space="preserve">However, use does not always correlate well with need and, as other aspects of this review have demonstrated, families face a range of barriers in </w:t>
      </w:r>
      <w:r w:rsidR="001C0FF8">
        <w:t xml:space="preserve">engaging with the systems and processes through which CCS </w:t>
      </w:r>
      <w:r w:rsidR="006A180D">
        <w:t xml:space="preserve">(and ACCS) </w:t>
      </w:r>
      <w:r w:rsidR="001C0FF8">
        <w:t>is accessed.</w:t>
      </w:r>
      <w:r w:rsidR="002E497C">
        <w:t xml:space="preserve"> </w:t>
      </w:r>
      <w:r w:rsidR="001C0FF8">
        <w:t xml:space="preserve">There is clear evidence that </w:t>
      </w:r>
      <w:r w:rsidR="00700E6D">
        <w:t xml:space="preserve">in many cases </w:t>
      </w:r>
      <w:r w:rsidR="00A15240">
        <w:t xml:space="preserve">use is a poor indicator of need. </w:t>
      </w:r>
    </w:p>
    <w:p w14:paraId="72D5BBBE" w14:textId="37E579CD" w:rsidR="005C5A8A" w:rsidRDefault="00A15240" w:rsidP="00DD7D95">
      <w:r>
        <w:t xml:space="preserve">Need must also be viewed through the </w:t>
      </w:r>
      <w:r w:rsidR="001C777E">
        <w:t>lens</w:t>
      </w:r>
      <w:r>
        <w:t xml:space="preserve"> of </w:t>
      </w:r>
      <w:r w:rsidR="00231924">
        <w:t xml:space="preserve">(i) </w:t>
      </w:r>
      <w:r w:rsidR="00BD09E9">
        <w:t>need that manifests as a result of the service delivery context</w:t>
      </w:r>
      <w:r w:rsidR="00231924">
        <w:t>;</w:t>
      </w:r>
      <w:r w:rsidR="00BD09E9">
        <w:t xml:space="preserve"> and </w:t>
      </w:r>
      <w:r w:rsidR="00231924">
        <w:t>(ii)</w:t>
      </w:r>
      <w:r w:rsidR="00BD09E9">
        <w:t xml:space="preserve"> need that manifests as a result of </w:t>
      </w:r>
      <w:r w:rsidR="001C777E">
        <w:t>the characteristics of children and families.</w:t>
      </w:r>
      <w:r w:rsidR="002E497C">
        <w:t xml:space="preserve"> </w:t>
      </w:r>
      <w:r w:rsidR="001C777E">
        <w:t>I</w:t>
      </w:r>
      <w:r w:rsidR="00DE0C7C">
        <w:t>n relation to the former, it</w:t>
      </w:r>
      <w:r w:rsidR="001C777E">
        <w:t xml:space="preserve"> is well established that CCCFR services operate in some of the most remote locations in Australia. Costs differentials in these contexts are multiples of </w:t>
      </w:r>
      <w:r w:rsidR="00CB16F4">
        <w:t xml:space="preserve">metropolitan or regional locations, with </w:t>
      </w:r>
      <w:r w:rsidR="00857D8D">
        <w:t xml:space="preserve">all inputs </w:t>
      </w:r>
      <w:r w:rsidR="001D5F30">
        <w:t xml:space="preserve">affected </w:t>
      </w:r>
      <w:r w:rsidR="00857D8D">
        <w:t xml:space="preserve">– be that staff, utilities, </w:t>
      </w:r>
      <w:r w:rsidR="001D5F30">
        <w:t>equipment or consumables.</w:t>
      </w:r>
      <w:r w:rsidR="002E497C">
        <w:t xml:space="preserve"> </w:t>
      </w:r>
    </w:p>
    <w:p w14:paraId="7311ABB7" w14:textId="3F8F4C50" w:rsidR="001F5E7D" w:rsidRDefault="00AE118A" w:rsidP="00FF0F5F">
      <w:r>
        <w:t>E</w:t>
      </w:r>
      <w:r w:rsidR="009200CF">
        <w:t xml:space="preserve">xamples that were heard during the consultations of </w:t>
      </w:r>
      <w:r>
        <w:t xml:space="preserve">excessive </w:t>
      </w:r>
      <w:r w:rsidR="009200CF">
        <w:t xml:space="preserve">costs </w:t>
      </w:r>
      <w:r w:rsidR="00CF01CF">
        <w:t xml:space="preserve">in </w:t>
      </w:r>
      <w:r>
        <w:t>service delivery in remote communities included</w:t>
      </w:r>
      <w:r w:rsidR="00030A85">
        <w:t xml:space="preserve"> $27 for a small pack of kimbies (nappies)</w:t>
      </w:r>
      <w:r w:rsidR="00F50B77">
        <w:t xml:space="preserve"> and $40 for a head of broccoli. </w:t>
      </w:r>
      <w:r w:rsidR="001F5E7D">
        <w:t xml:space="preserve">A 2020 report </w:t>
      </w:r>
      <w:r w:rsidR="001D5895">
        <w:t>on</w:t>
      </w:r>
      <w:r w:rsidR="001F5E7D">
        <w:t xml:space="preserve"> f</w:t>
      </w:r>
      <w:r w:rsidR="001F5E7D" w:rsidRPr="001F5E7D">
        <w:t>ood pricing and food security in remote Indigenous communities</w:t>
      </w:r>
      <w:r w:rsidR="001D5895">
        <w:t xml:space="preserve"> by </w:t>
      </w:r>
      <w:r w:rsidR="00F24748">
        <w:t xml:space="preserve">the </w:t>
      </w:r>
      <w:r w:rsidR="001D5895" w:rsidRPr="001D5895">
        <w:t xml:space="preserve">House of </w:t>
      </w:r>
      <w:r w:rsidR="001D5895" w:rsidRPr="001D5895">
        <w:lastRenderedPageBreak/>
        <w:t>Representatives Standing Committee on Indigenous Affairs</w:t>
      </w:r>
      <w:r w:rsidR="007A0157">
        <w:t xml:space="preserve"> found that</w:t>
      </w:r>
      <w:r w:rsidR="00AB1E5E">
        <w:t xml:space="preserve"> </w:t>
      </w:r>
      <w:r w:rsidR="00AB1E5E" w:rsidRPr="00AB1E5E">
        <w:t>the cost of purchasing food is considerably higher for remote Aboriginal and Torres Strait Islander communities than for people living in larger population centres in urban and regional Australia.</w:t>
      </w:r>
    </w:p>
    <w:p w14:paraId="7B930FE6" w14:textId="44AA436D" w:rsidR="009200CF" w:rsidRDefault="00FB3D7E" w:rsidP="00FF0F5F">
      <w:r>
        <w:t xml:space="preserve">Bringing </w:t>
      </w:r>
      <w:r w:rsidR="000B2519">
        <w:t xml:space="preserve">tradespeople into remote communities to undertake necessary </w:t>
      </w:r>
      <w:r w:rsidR="006E6F98">
        <w:t xml:space="preserve">specialist </w:t>
      </w:r>
      <w:r w:rsidR="000B2519">
        <w:t xml:space="preserve">repairs to infrastructure was also reported by services to be </w:t>
      </w:r>
      <w:r w:rsidR="007E1A2B">
        <w:t>30-40</w:t>
      </w:r>
      <w:r w:rsidR="00D97EF8">
        <w:t xml:space="preserve"> per cent</w:t>
      </w:r>
      <w:r w:rsidR="007E1A2B">
        <w:t xml:space="preserve"> higher than</w:t>
      </w:r>
      <w:r w:rsidR="006E6F98">
        <w:t xml:space="preserve"> employing a local person. </w:t>
      </w:r>
      <w:r w:rsidR="001D5895">
        <w:t>One service reported receiving</w:t>
      </w:r>
      <w:r w:rsidR="006E6F98">
        <w:t xml:space="preserve"> </w:t>
      </w:r>
      <w:r w:rsidR="001D5895">
        <w:t>a quote of $32,000 to replace a single air-conditioning unit.</w:t>
      </w:r>
      <w:r w:rsidR="007E1A2B">
        <w:t xml:space="preserve"> </w:t>
      </w:r>
    </w:p>
    <w:p w14:paraId="46B21AB3" w14:textId="0550A2CB" w:rsidR="005C5A8A" w:rsidRDefault="00DE0C7C" w:rsidP="00FF0F5F">
      <w:r>
        <w:t>I</w:t>
      </w:r>
      <w:r w:rsidR="005C5A8A">
        <w:t>n relation to the latter, it</w:t>
      </w:r>
      <w:r>
        <w:t xml:space="preserve"> is well established that CCCFR services operate in communities that face some of the highest levels of need in the country, resulting from the array of vulnerability and disadvantage that they face.</w:t>
      </w:r>
      <w:r w:rsidR="002E497C">
        <w:t xml:space="preserve"> </w:t>
      </w:r>
      <w:r w:rsidR="00EB65D1">
        <w:t xml:space="preserve">This can be seen in </w:t>
      </w:r>
      <w:r w:rsidR="00C22C01">
        <w:t xml:space="preserve">analysis </w:t>
      </w:r>
      <w:r w:rsidR="00EB65D1">
        <w:t>that</w:t>
      </w:r>
      <w:r w:rsidR="00DD7D95">
        <w:t>, when ranked by SEIFA, 35 of the bottom 250 SA2s have at least one CCCFR service</w:t>
      </w:r>
      <w:r w:rsidR="00EB65D1">
        <w:t xml:space="preserve">. </w:t>
      </w:r>
      <w:r w:rsidR="005C5A8A" w:rsidRPr="005C5A8A">
        <w:t>Need also includes cultural needs that must be met by culturally responsive ECEC for Aboriginal and Torres Strait Islander children</w:t>
      </w:r>
      <w:r w:rsidR="005C5A8A">
        <w:t>.</w:t>
      </w:r>
    </w:p>
    <w:p w14:paraId="2108DB82" w14:textId="7642B3DB" w:rsidR="00453691" w:rsidRDefault="00BD6848" w:rsidP="00FF0F5F">
      <w:r>
        <w:t>The role of the CCCFR in responding to this need</w:t>
      </w:r>
      <w:r w:rsidR="00B9323E">
        <w:t xml:space="preserve"> must be considered with regard to the purpose</w:t>
      </w:r>
      <w:r>
        <w:t xml:space="preserve"> and </w:t>
      </w:r>
      <w:r w:rsidR="00B9323E">
        <w:t>objectives of the grant.</w:t>
      </w:r>
      <w:r w:rsidR="002E497C">
        <w:t xml:space="preserve"> </w:t>
      </w:r>
      <w:r w:rsidR="00B9323E">
        <w:t xml:space="preserve">So too must the </w:t>
      </w:r>
      <w:r w:rsidR="00C02377">
        <w:t>adequacy and appropriateness of current funding.</w:t>
      </w:r>
      <w:r w:rsidR="002E497C">
        <w:t xml:space="preserve"> </w:t>
      </w:r>
      <w:r w:rsidR="00C02377">
        <w:t xml:space="preserve">In this regard, the grant is </w:t>
      </w:r>
      <w:r w:rsidR="005E01AA">
        <w:t>intended to support</w:t>
      </w:r>
      <w:r w:rsidR="00BB47B4">
        <w:t xml:space="preserve"> (</w:t>
      </w:r>
      <w:r w:rsidR="00901DFC" w:rsidRPr="00901DFC">
        <w:t>in combination with income from the CCS system and fees</w:t>
      </w:r>
      <w:r w:rsidR="00901DFC">
        <w:t>)</w:t>
      </w:r>
      <w:r w:rsidR="005E01AA">
        <w:t xml:space="preserve"> the provision</w:t>
      </w:r>
      <w:r w:rsidR="00C02377">
        <w:t xml:space="preserve"> of </w:t>
      </w:r>
      <w:r w:rsidR="005E01AA">
        <w:t xml:space="preserve">activities directly related to the delivery of </w:t>
      </w:r>
      <w:r w:rsidR="00C02377">
        <w:t xml:space="preserve">child care. </w:t>
      </w:r>
      <w:r w:rsidR="00926A74">
        <w:t xml:space="preserve">That being the case, </w:t>
      </w:r>
      <w:r w:rsidR="00C55A4F">
        <w:t xml:space="preserve">a funding approach that recognises and responds to need is one </w:t>
      </w:r>
      <w:r w:rsidR="00C01184">
        <w:t xml:space="preserve">under which per-unit funding levels – in this case, the per-place and per-child cost of the child care program </w:t>
      </w:r>
      <w:r w:rsidR="00D11263">
        <w:t>– vary in accordance with need.</w:t>
      </w:r>
      <w:r w:rsidR="002E497C">
        <w:t xml:space="preserve"> </w:t>
      </w:r>
      <w:r w:rsidR="00D11263">
        <w:t>That’s to say, the</w:t>
      </w:r>
      <w:r w:rsidR="007A27F3">
        <w:t>se benchmarks</w:t>
      </w:r>
      <w:r w:rsidR="00D11263">
        <w:t xml:space="preserve"> are higher where unit costs of service </w:t>
      </w:r>
      <w:r w:rsidR="00D25EDB">
        <w:t>delivery are higher</w:t>
      </w:r>
      <w:r w:rsidR="00991B9D">
        <w:t xml:space="preserve"> (e.g.</w:t>
      </w:r>
      <w:r w:rsidR="00434625">
        <w:t>,</w:t>
      </w:r>
      <w:r w:rsidR="00991B9D">
        <w:t xml:space="preserve"> remote locations)</w:t>
      </w:r>
      <w:r w:rsidR="00D25EDB">
        <w:t>.</w:t>
      </w:r>
      <w:r w:rsidR="002E497C">
        <w:t xml:space="preserve"> </w:t>
      </w:r>
      <w:r w:rsidR="00D25EDB">
        <w:t xml:space="preserve">And they are higher where community need is higher </w:t>
      </w:r>
      <w:r w:rsidR="00991B9D">
        <w:t xml:space="preserve">(as </w:t>
      </w:r>
      <w:r w:rsidR="00464C59">
        <w:t xml:space="preserve">the </w:t>
      </w:r>
      <w:r w:rsidR="00186CEE">
        <w:t xml:space="preserve">support levels required to achieve a given outcome are higher). </w:t>
      </w:r>
    </w:p>
    <w:p w14:paraId="1408CEC0" w14:textId="695B30A0" w:rsidR="00EA4004" w:rsidRPr="00FF0F5F" w:rsidRDefault="00AD7B18" w:rsidP="00EA4004">
      <w:r>
        <w:t xml:space="preserve">Analysis with respect to </w:t>
      </w:r>
      <w:r w:rsidR="00DD7D95">
        <w:t xml:space="preserve">indicators of </w:t>
      </w:r>
      <w:r>
        <w:t>these factors reveals only weak correlation between current funding allocations and need.</w:t>
      </w:r>
      <w:r w:rsidR="002E497C">
        <w:t xml:space="preserve"> </w:t>
      </w:r>
      <w:r w:rsidR="00D1698E">
        <w:t xml:space="preserve">To the extent that </w:t>
      </w:r>
      <w:r w:rsidR="00E81C2A">
        <w:t xml:space="preserve">there is any relationship, it is a function of the historical process that led to the setting of the original grant values, rather than any explicit recognition of need in the grant determination formula or process. </w:t>
      </w:r>
    </w:p>
    <w:p w14:paraId="604C59EF" w14:textId="4ABB22A5" w:rsidR="005037FB" w:rsidRPr="00097929" w:rsidRDefault="005037FB" w:rsidP="005037FB">
      <w:pPr>
        <w:pStyle w:val="CaptionChart"/>
      </w:pPr>
      <w:bookmarkStart w:id="369" w:name="_Toc158997945"/>
      <w:bookmarkStart w:id="370" w:name="_Toc167130564"/>
      <w:r w:rsidRPr="00097929">
        <w:t xml:space="preserve">: </w:t>
      </w:r>
      <w:r w:rsidR="006F1EE9" w:rsidRPr="00097929">
        <w:t>Relationship between unit cost and selected need indicators</w:t>
      </w:r>
      <w:bookmarkEnd w:id="369"/>
      <w:bookmarkEnd w:id="370"/>
      <w:r w:rsidR="006F1EE9" w:rsidRPr="00097929">
        <w:t xml:space="preserve"> </w:t>
      </w:r>
    </w:p>
    <w:p w14:paraId="0DAA7B64" w14:textId="77777777" w:rsidR="005037FB" w:rsidRDefault="005037FB" w:rsidP="00EA4004"/>
    <w:p w14:paraId="7387D33F" w14:textId="324A804D" w:rsidR="00E413DC" w:rsidRDefault="00E413DC" w:rsidP="00EA4004">
      <w:r w:rsidRPr="00E413DC">
        <w:rPr>
          <w:noProof/>
        </w:rPr>
        <w:drawing>
          <wp:inline distT="0" distB="0" distL="0" distR="0" wp14:anchorId="6C204FF5" wp14:editId="4A4F8F34">
            <wp:extent cx="2780169" cy="1619250"/>
            <wp:effectExtent l="0" t="0" r="1270" b="0"/>
            <wp:docPr id="838388548" name="Picture 838388548" descr="This combination of charts shows the relationship between cost per licensed place and factors such as service location, licenced capacity and socio economic status of the region, showing only limited correlation between costs and these fa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48" name="Picture 838388548" descr="This combination of charts shows the relationship between cost per licensed place and factors such as service location, licenced capacity and socio economic status of the region, showing only limited correlation between costs and these factors. "/>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85892" cy="1622583"/>
                    </a:xfrm>
                    <a:prstGeom prst="rect">
                      <a:avLst/>
                    </a:prstGeom>
                    <a:noFill/>
                    <a:ln>
                      <a:noFill/>
                    </a:ln>
                  </pic:spPr>
                </pic:pic>
              </a:graphicData>
            </a:graphic>
          </wp:inline>
        </w:drawing>
      </w:r>
      <w:r w:rsidR="001B35D2" w:rsidRPr="001B35D2">
        <w:t xml:space="preserve"> </w:t>
      </w:r>
      <w:r w:rsidR="001B35D2" w:rsidRPr="001B35D2">
        <w:rPr>
          <w:noProof/>
        </w:rPr>
        <w:drawing>
          <wp:inline distT="0" distB="0" distL="0" distR="0" wp14:anchorId="6CE8C7A6" wp14:editId="0387172E">
            <wp:extent cx="2762250" cy="1602386"/>
            <wp:effectExtent l="0" t="0" r="0" b="0"/>
            <wp:docPr id="838388552" name="Picture 838388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52" name="Picture 838388552">
                      <a:extLst>
                        <a:ext uri="{C183D7F6-B498-43B3-948B-1728B52AA6E4}">
                          <adec:decorative xmlns:adec="http://schemas.microsoft.com/office/drawing/2017/decorative" val="1"/>
                        </a:ext>
                      </a:extLs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777767" cy="1611388"/>
                    </a:xfrm>
                    <a:prstGeom prst="rect">
                      <a:avLst/>
                    </a:prstGeom>
                    <a:noFill/>
                    <a:ln>
                      <a:noFill/>
                    </a:ln>
                  </pic:spPr>
                </pic:pic>
              </a:graphicData>
            </a:graphic>
          </wp:inline>
        </w:drawing>
      </w:r>
    </w:p>
    <w:p w14:paraId="6C027DD0" w14:textId="6374B77C" w:rsidR="007238CE" w:rsidRPr="00FF0F5F" w:rsidRDefault="007238CE" w:rsidP="00EA4004">
      <w:r w:rsidRPr="007238CE">
        <w:rPr>
          <w:noProof/>
        </w:rPr>
        <w:drawing>
          <wp:inline distT="0" distB="0" distL="0" distR="0" wp14:anchorId="6955860C" wp14:editId="47BB2D92">
            <wp:extent cx="2737080" cy="1593850"/>
            <wp:effectExtent l="0" t="0" r="6350" b="6350"/>
            <wp:docPr id="838388556" name="Picture 8383885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56" name="Picture 838388556">
                      <a:extLst>
                        <a:ext uri="{C183D7F6-B498-43B3-948B-1728B52AA6E4}">
                          <adec:decorative xmlns:adec="http://schemas.microsoft.com/office/drawing/2017/decorative" val="1"/>
                        </a:ext>
                      </a:extLst>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41914" cy="1596665"/>
                    </a:xfrm>
                    <a:prstGeom prst="rect">
                      <a:avLst/>
                    </a:prstGeom>
                    <a:noFill/>
                    <a:ln>
                      <a:noFill/>
                    </a:ln>
                  </pic:spPr>
                </pic:pic>
              </a:graphicData>
            </a:graphic>
          </wp:inline>
        </w:drawing>
      </w:r>
      <w:r w:rsidR="005037FB" w:rsidRPr="005037FB">
        <w:t xml:space="preserve"> </w:t>
      </w:r>
      <w:r w:rsidR="005037FB" w:rsidRPr="005037FB">
        <w:rPr>
          <w:noProof/>
        </w:rPr>
        <w:drawing>
          <wp:inline distT="0" distB="0" distL="0" distR="0" wp14:anchorId="3A0DD962" wp14:editId="185EE807">
            <wp:extent cx="2550160" cy="1567786"/>
            <wp:effectExtent l="0" t="0" r="2540" b="0"/>
            <wp:docPr id="838388568" name="Picture 8383885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68" name="Picture 838388568">
                      <a:extLst>
                        <a:ext uri="{C183D7F6-B498-43B3-948B-1728B52AA6E4}">
                          <adec:decorative xmlns:adec="http://schemas.microsoft.com/office/drawing/2017/decorative" val="1"/>
                        </a:ext>
                      </a:extLst>
                    </pic:cNvP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55177" cy="1570870"/>
                    </a:xfrm>
                    <a:prstGeom prst="rect">
                      <a:avLst/>
                    </a:prstGeom>
                    <a:noFill/>
                    <a:ln>
                      <a:noFill/>
                    </a:ln>
                  </pic:spPr>
                </pic:pic>
              </a:graphicData>
            </a:graphic>
          </wp:inline>
        </w:drawing>
      </w:r>
    </w:p>
    <w:p w14:paraId="29CF3F1D" w14:textId="07B32D5F" w:rsidR="0046171F" w:rsidRDefault="0046171F" w:rsidP="00FF0F5F">
      <w:r>
        <w:t>In reality, many services that receive funding under the CCCFR grant deliver services that extend beyond child care</w:t>
      </w:r>
      <w:r w:rsidR="00B6395A">
        <w:t>, with the provider survey revealing cultural programs, parenting workshops</w:t>
      </w:r>
      <w:r w:rsidR="0052712A">
        <w:t xml:space="preserve"> and health screening to be common</w:t>
      </w:r>
      <w:r>
        <w:t>.</w:t>
      </w:r>
      <w:r w:rsidR="002E497C">
        <w:t xml:space="preserve"> </w:t>
      </w:r>
      <w:r w:rsidR="0052712A">
        <w:t>Services’</w:t>
      </w:r>
      <w:r>
        <w:t xml:space="preserve"> response to community need is a more broad ranging one.</w:t>
      </w:r>
      <w:r w:rsidR="002E497C">
        <w:t xml:space="preserve"> </w:t>
      </w:r>
      <w:r w:rsidR="0042004C">
        <w:t xml:space="preserve">The degree to which it is the intent of </w:t>
      </w:r>
      <w:r w:rsidR="00B82F85">
        <w:t xml:space="preserve">the CCCFR grant to </w:t>
      </w:r>
      <w:r w:rsidR="006812C5">
        <w:t>meet the cost of these activities</w:t>
      </w:r>
      <w:r w:rsidR="0042004C">
        <w:t xml:space="preserve"> is </w:t>
      </w:r>
      <w:r w:rsidR="0042004C">
        <w:lastRenderedPageBreak/>
        <w:t>unclear</w:t>
      </w:r>
      <w:r w:rsidR="00996CBD">
        <w:t xml:space="preserve">, with the notion of ‘directly related to child care’ </w:t>
      </w:r>
      <w:r w:rsidR="001471D2">
        <w:t xml:space="preserve">and the intent of </w:t>
      </w:r>
      <w:r w:rsidR="002D1502">
        <w:t>addressing ‘community level barrier to child care participation’</w:t>
      </w:r>
      <w:r w:rsidR="00996CBD">
        <w:t xml:space="preserve">– </w:t>
      </w:r>
      <w:r w:rsidR="002D1502">
        <w:t xml:space="preserve">statements both used in the </w:t>
      </w:r>
      <w:r w:rsidR="00996CBD">
        <w:t>guidelines – leaving scope for interpretation</w:t>
      </w:r>
      <w:r w:rsidR="006812C5">
        <w:t>.</w:t>
      </w:r>
      <w:r w:rsidR="002E497C">
        <w:t xml:space="preserve"> </w:t>
      </w:r>
      <w:r w:rsidR="000E336F">
        <w:t>Certainly</w:t>
      </w:r>
      <w:r w:rsidR="006812C5">
        <w:t>, it is recognised that they are vital community services that in many cases play an instrumental role in supporting families and children and delivering the outcomes that the national policy landscape strives.</w:t>
      </w:r>
      <w:r w:rsidR="002E497C">
        <w:t xml:space="preserve"> </w:t>
      </w:r>
      <w:r w:rsidR="006812C5">
        <w:t xml:space="preserve">It is important therefore that broader policy deliberations </w:t>
      </w:r>
      <w:r w:rsidR="00CA05C1">
        <w:t xml:space="preserve">work toward greater funding certainty for these service offerings. </w:t>
      </w:r>
    </w:p>
    <w:p w14:paraId="5F4D2D2E" w14:textId="6A719EF6" w:rsidR="00420018" w:rsidRDefault="00202393" w:rsidP="00202393">
      <w:pPr>
        <w:pStyle w:val="Heading2"/>
        <w:spacing w:after="240"/>
      </w:pPr>
      <w:bookmarkStart w:id="371" w:name="_Toc158993775"/>
      <w:bookmarkStart w:id="372" w:name="_Toc170227422"/>
      <w:r>
        <w:t>Financial sustainability of services</w:t>
      </w:r>
      <w:bookmarkEnd w:id="371"/>
      <w:bookmarkEnd w:id="372"/>
    </w:p>
    <w:tbl>
      <w:tblPr>
        <w:tblStyle w:val="TableGrid"/>
        <w:tblW w:w="0" w:type="auto"/>
        <w:shd w:val="clear" w:color="auto" w:fill="DFF0F9" w:themeFill="accent3" w:themeFillTint="33"/>
        <w:tblCellMar>
          <w:top w:w="85" w:type="dxa"/>
          <w:left w:w="227" w:type="dxa"/>
          <w:bottom w:w="85" w:type="dxa"/>
          <w:right w:w="113" w:type="dxa"/>
        </w:tblCellMar>
        <w:tblLook w:val="04A0" w:firstRow="1" w:lastRow="0" w:firstColumn="1" w:lastColumn="0" w:noHBand="0" w:noVBand="1"/>
      </w:tblPr>
      <w:tblGrid>
        <w:gridCol w:w="8906"/>
      </w:tblGrid>
      <w:tr w:rsidR="00097929" w:rsidRPr="00BD1248" w14:paraId="185742FB" w14:textId="77777777" w:rsidTr="00097929">
        <w:trPr>
          <w:cnfStyle w:val="100000000000" w:firstRow="1" w:lastRow="0" w:firstColumn="0" w:lastColumn="0" w:oddVBand="0" w:evenVBand="0" w:oddHBand="0" w:evenHBand="0" w:firstRowFirstColumn="0" w:firstRowLastColumn="0" w:lastRowFirstColumn="0" w:lastRowLastColumn="0"/>
          <w:cantSplit/>
        </w:trPr>
        <w:tc>
          <w:tcPr>
            <w:tcW w:w="8906" w:type="dxa"/>
            <w:shd w:val="clear" w:color="auto" w:fill="DFF0F9" w:themeFill="accent3" w:themeFillTint="33"/>
          </w:tcPr>
          <w:p w14:paraId="6C3D3C92" w14:textId="2ECC05D6" w:rsidR="00097929" w:rsidRDefault="00097929">
            <w:pPr>
              <w:spacing w:after="120"/>
              <w:rPr>
                <w:b/>
                <w:bCs/>
                <w:i/>
                <w:iCs/>
              </w:rPr>
            </w:pPr>
            <w:r w:rsidRPr="00B95090">
              <w:rPr>
                <w:b/>
                <w:bCs/>
                <w:i/>
                <w:iCs/>
              </w:rPr>
              <w:t>Key research questio</w:t>
            </w:r>
            <w:r>
              <w:rPr>
                <w:b/>
                <w:bCs/>
                <w:i/>
                <w:iCs/>
              </w:rPr>
              <w:t>ns</w:t>
            </w:r>
          </w:p>
          <w:p w14:paraId="2C503FD0" w14:textId="77777777" w:rsidR="00097929" w:rsidRDefault="00097929" w:rsidP="00097929">
            <w:pPr>
              <w:rPr>
                <w:i/>
                <w:iCs/>
              </w:rPr>
            </w:pPr>
            <w:r w:rsidRPr="00AE7003">
              <w:rPr>
                <w:i/>
                <w:iCs/>
              </w:rPr>
              <w:t>What are the key factors influencing the financial sustainability of services, and are there any identified barriers or challenges that hinder their ability to operate sustainably?</w:t>
            </w:r>
          </w:p>
          <w:p w14:paraId="1DACCF74" w14:textId="77777777" w:rsidR="00097929" w:rsidRPr="00A57F55" w:rsidRDefault="00097929" w:rsidP="00097929">
            <w:pPr>
              <w:rPr>
                <w:i/>
                <w:iCs/>
              </w:rPr>
            </w:pPr>
            <w:r w:rsidRPr="00A57F55">
              <w:rPr>
                <w:i/>
                <w:iCs/>
              </w:rPr>
              <w:t>To what extent are services receiving other forms of payment to which they are entitled (including ACCS)?</w:t>
            </w:r>
          </w:p>
          <w:p w14:paraId="099F5429" w14:textId="77777777" w:rsidR="00097929" w:rsidRDefault="00097929" w:rsidP="00097929">
            <w:pPr>
              <w:rPr>
                <w:i/>
                <w:iCs/>
              </w:rPr>
            </w:pPr>
            <w:r>
              <w:rPr>
                <w:i/>
                <w:iCs/>
              </w:rPr>
              <w:t xml:space="preserve">To what extent </w:t>
            </w:r>
            <w:r w:rsidRPr="00767BAB">
              <w:rPr>
                <w:i/>
                <w:iCs/>
              </w:rPr>
              <w:t>could services under the CCCFR grant remain financially viable if primarily receiving funding administered under the Child Care Subsidy (CCS)?</w:t>
            </w:r>
          </w:p>
          <w:p w14:paraId="0449A54E" w14:textId="406C5328" w:rsidR="00097929" w:rsidRPr="009574AC" w:rsidRDefault="00097929" w:rsidP="00097929">
            <w:r w:rsidRPr="00582BB7">
              <w:rPr>
                <w:i/>
                <w:iCs/>
              </w:rPr>
              <w:t>What measures or support mechanisms can be implemented to address the identified barriers and improve the financial viability of child care services</w:t>
            </w:r>
            <w:r>
              <w:rPr>
                <w:i/>
                <w:iCs/>
              </w:rPr>
              <w:t>?</w:t>
            </w:r>
          </w:p>
        </w:tc>
      </w:tr>
    </w:tbl>
    <w:p w14:paraId="132F3B7E" w14:textId="77777777" w:rsidR="00097929" w:rsidRDefault="00097929" w:rsidP="00097929"/>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F373EE" w14:paraId="4A389DFC" w14:textId="77777777" w:rsidTr="00784FCF">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5A7A7333" w14:textId="31152004" w:rsidR="00F373EE" w:rsidRPr="009E424E" w:rsidRDefault="00F373EE">
            <w:pPr>
              <w:spacing w:after="120"/>
              <w:rPr>
                <w:b/>
                <w:bCs/>
              </w:rPr>
            </w:pPr>
            <w:bookmarkStart w:id="373" w:name="_Hlk158983986"/>
            <w:r w:rsidRPr="009E424E">
              <w:rPr>
                <w:b/>
                <w:bCs/>
              </w:rPr>
              <w:t xml:space="preserve">Review finding </w:t>
            </w:r>
            <w:r w:rsidR="00E066F2">
              <w:rPr>
                <w:b/>
                <w:bCs/>
              </w:rPr>
              <w:t>37</w:t>
            </w:r>
          </w:p>
          <w:p w14:paraId="3CEF7A6E" w14:textId="57CD8111" w:rsidR="00F373EE" w:rsidRPr="00CA3305" w:rsidRDefault="002D2136" w:rsidP="00CA3305">
            <w:r>
              <w:t xml:space="preserve">The financial </w:t>
            </w:r>
            <w:r w:rsidR="00057150">
              <w:t>sustainability</w:t>
            </w:r>
            <w:r>
              <w:t xml:space="preserve"> of CCCFR services varies considerably</w:t>
            </w:r>
            <w:r w:rsidR="00EC6F17">
              <w:t>.</w:t>
            </w:r>
            <w:r w:rsidR="002E497C">
              <w:t xml:space="preserve"> </w:t>
            </w:r>
            <w:r w:rsidR="00EC6F17">
              <w:t>There are</w:t>
            </w:r>
            <w:r w:rsidR="00A4400A">
              <w:t xml:space="preserve"> </w:t>
            </w:r>
            <w:r w:rsidR="001C526F">
              <w:t>drive</w:t>
            </w:r>
            <w:r w:rsidR="00BE45AD">
              <w:t>r</w:t>
            </w:r>
            <w:r w:rsidR="001C526F">
              <w:t xml:space="preserve">s on both the revenue </w:t>
            </w:r>
            <w:r w:rsidR="009C35E0">
              <w:t>and cost side</w:t>
            </w:r>
            <w:r w:rsidR="00A67B62">
              <w:t xml:space="preserve">, with the limited responsiveness of funding </w:t>
            </w:r>
            <w:r w:rsidR="00342066">
              <w:t xml:space="preserve">to costs a key driver of the </w:t>
            </w:r>
            <w:r w:rsidR="00FA6557">
              <w:t xml:space="preserve">financial </w:t>
            </w:r>
            <w:r w:rsidR="00EC6F17">
              <w:t>challenges that many services confront</w:t>
            </w:r>
            <w:r w:rsidR="009C35E0">
              <w:t xml:space="preserve">. </w:t>
            </w:r>
          </w:p>
        </w:tc>
      </w:tr>
      <w:bookmarkEnd w:id="373"/>
    </w:tbl>
    <w:p w14:paraId="62B43A52" w14:textId="77777777" w:rsidR="001C66DD" w:rsidRDefault="001C66DD" w:rsidP="001C66DD"/>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C66DD" w14:paraId="7CFED301" w14:textId="77777777" w:rsidTr="00784FCF">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372E3CBF" w14:textId="64F0651A" w:rsidR="001C66DD" w:rsidRPr="009E424E" w:rsidRDefault="001C66DD">
            <w:pPr>
              <w:spacing w:after="120"/>
              <w:rPr>
                <w:b/>
                <w:bCs/>
              </w:rPr>
            </w:pPr>
            <w:r w:rsidRPr="009E424E">
              <w:rPr>
                <w:b/>
                <w:bCs/>
              </w:rPr>
              <w:t xml:space="preserve">Review finding </w:t>
            </w:r>
            <w:r w:rsidR="00373814">
              <w:rPr>
                <w:b/>
                <w:bCs/>
              </w:rPr>
              <w:t>38</w:t>
            </w:r>
          </w:p>
          <w:p w14:paraId="5AF4D0E5" w14:textId="62A39139" w:rsidR="001C66DD" w:rsidRPr="00CA3305" w:rsidRDefault="001C66DD" w:rsidP="00CA3305">
            <w:r>
              <w:t xml:space="preserve">The administration of the CCS and ACCS and the requirements families face in engaging with these funding streams mean that they are both underutilised and, in the case of CCS, increased reliance is associated with greater financial </w:t>
            </w:r>
            <w:r w:rsidR="00C740F8">
              <w:t>viability challenges</w:t>
            </w:r>
            <w:r>
              <w:t xml:space="preserve">. </w:t>
            </w:r>
          </w:p>
        </w:tc>
      </w:tr>
    </w:tbl>
    <w:p w14:paraId="56F1CA31" w14:textId="77777777" w:rsidR="001C66DD" w:rsidRDefault="001C66DD" w:rsidP="007C161D">
      <w:pPr>
        <w:spacing w:before="170" w:after="0"/>
        <w:rPr>
          <w:b/>
          <w:bCs/>
        </w:rPr>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1C66DD" w14:paraId="6835351E" w14:textId="77777777" w:rsidTr="00784FCF">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51B09E2A" w14:textId="4BF56E40" w:rsidR="001C66DD" w:rsidRPr="009E424E" w:rsidRDefault="001C66DD">
            <w:pPr>
              <w:spacing w:after="120"/>
              <w:rPr>
                <w:b/>
                <w:bCs/>
              </w:rPr>
            </w:pPr>
            <w:r w:rsidRPr="009E424E">
              <w:rPr>
                <w:b/>
                <w:bCs/>
              </w:rPr>
              <w:t xml:space="preserve">Review finding </w:t>
            </w:r>
            <w:r w:rsidR="00D8053E">
              <w:rPr>
                <w:b/>
                <w:bCs/>
              </w:rPr>
              <w:t>39</w:t>
            </w:r>
          </w:p>
          <w:p w14:paraId="3156C0F5" w14:textId="7EDF53FB" w:rsidR="001C66DD" w:rsidRPr="00CA3305" w:rsidRDefault="001C66DD" w:rsidP="00CA3305">
            <w:r>
              <w:t xml:space="preserve">Few CCCFR grant services </w:t>
            </w:r>
            <w:r w:rsidR="00F55C9E">
              <w:t>could</w:t>
            </w:r>
            <w:r>
              <w:t xml:space="preserve"> operate in a financially viable manner if reliant purely on CCS revenue (in its current form).</w:t>
            </w:r>
          </w:p>
        </w:tc>
      </w:tr>
    </w:tbl>
    <w:p w14:paraId="7911A615" w14:textId="1CF213F1" w:rsidR="00F373EE" w:rsidRPr="00C81B54" w:rsidRDefault="00F373EE" w:rsidP="00F373EE">
      <w:pPr>
        <w:spacing w:before="170"/>
        <w:rPr>
          <w:b/>
          <w:bCs/>
        </w:rPr>
      </w:pPr>
      <w:r w:rsidRPr="00C81B54">
        <w:rPr>
          <w:b/>
          <w:bCs/>
        </w:rPr>
        <w:t xml:space="preserve">Supporting evidence for this finding is drawn from </w:t>
      </w:r>
      <w:r w:rsidR="0017605E">
        <w:rPr>
          <w:b/>
          <w:bCs/>
        </w:rPr>
        <w:t>survey data, consultations and financial data analysis</w:t>
      </w:r>
      <w:r w:rsidRPr="00C81B54">
        <w:rPr>
          <w:b/>
          <w:bCs/>
        </w:rPr>
        <w:t>.</w:t>
      </w:r>
    </w:p>
    <w:p w14:paraId="0A051406" w14:textId="5A1473F7" w:rsidR="00A25EAD" w:rsidRPr="0003201A" w:rsidRDefault="0023419D" w:rsidP="008A6066">
      <w:pPr>
        <w:spacing w:before="170"/>
        <w:rPr>
          <w:color w:val="ED8B00"/>
        </w:rPr>
      </w:pPr>
      <w:r>
        <w:t xml:space="preserve">Financial sustainability is very much </w:t>
      </w:r>
      <w:r w:rsidR="003A6626">
        <w:t>connected to the relationship between cost and funding</w:t>
      </w:r>
      <w:r w:rsidR="000C0ED3">
        <w:t>,</w:t>
      </w:r>
      <w:r w:rsidR="003A6626">
        <w:t xml:space="preserve"> as </w:t>
      </w:r>
      <w:r w:rsidR="000C0ED3">
        <w:t>explored</w:t>
      </w:r>
      <w:r w:rsidR="003A6626">
        <w:t xml:space="preserve"> above. However, it is broader </w:t>
      </w:r>
      <w:r w:rsidR="000C0ED3">
        <w:t>than this in the sense that</w:t>
      </w:r>
      <w:r w:rsidR="003A3055">
        <w:t xml:space="preserve"> it</w:t>
      </w:r>
      <w:r w:rsidR="000C0ED3">
        <w:t xml:space="preserve"> </w:t>
      </w:r>
      <w:r w:rsidR="00F964F0">
        <w:t xml:space="preserve">looks at revenue in its entirety and considers services’ capacity to operate on an ongoing basis in a financially sustainable manner. </w:t>
      </w:r>
      <w:r w:rsidR="00585DBD">
        <w:t>Financial sustainability is a prerequisite to services being able to remain open and operational on an ongoing basis.</w:t>
      </w:r>
      <w:r w:rsidR="002E497C">
        <w:t xml:space="preserve"> </w:t>
      </w:r>
      <w:r w:rsidR="00585DBD">
        <w:t>It is therefore a pre</w:t>
      </w:r>
      <w:r w:rsidR="005870C2">
        <w:t>requisite to families</w:t>
      </w:r>
      <w:r w:rsidR="0028243E">
        <w:t>’</w:t>
      </w:r>
      <w:r w:rsidR="005870C2">
        <w:t xml:space="preserve"> ability to access and participate in child care. However, interest in financial sustainability is heightened in the CCCFR context owing to the </w:t>
      </w:r>
      <w:r w:rsidR="00627433">
        <w:t xml:space="preserve">grant’s </w:t>
      </w:r>
      <w:r w:rsidR="00B44C28">
        <w:t>aim of supplementing revenue sources like CCS and fees</w:t>
      </w:r>
      <w:r w:rsidR="00122D52">
        <w:t xml:space="preserve"> and the intention to transition services to the mainstream funding environment.</w:t>
      </w:r>
      <w:r w:rsidR="002E497C">
        <w:t xml:space="preserve"> </w:t>
      </w:r>
    </w:p>
    <w:p w14:paraId="6A78B5B8" w14:textId="3EF31634" w:rsidR="00B20382" w:rsidRDefault="00972515" w:rsidP="00F373EE">
      <w:pPr>
        <w:spacing w:before="170"/>
      </w:pPr>
      <w:r>
        <w:lastRenderedPageBreak/>
        <w:t xml:space="preserve">The ability of the financial </w:t>
      </w:r>
      <w:r w:rsidR="00330037">
        <w:t xml:space="preserve">reporting process that accompanies the administration of the CCCFR to reveal </w:t>
      </w:r>
      <w:r w:rsidR="00D679F8">
        <w:t xml:space="preserve">variation in financial sustainability at the individual service level is hampered by the </w:t>
      </w:r>
      <w:r w:rsidR="00B20382">
        <w:t xml:space="preserve">variety of operating contexts </w:t>
      </w:r>
      <w:r w:rsidR="0005773E">
        <w:t xml:space="preserve">and governance models under which services operate. </w:t>
      </w:r>
    </w:p>
    <w:p w14:paraId="72D2DAEC" w14:textId="376067E4" w:rsidR="00972515" w:rsidRPr="0023419D" w:rsidRDefault="00B20382" w:rsidP="00F373EE">
      <w:pPr>
        <w:spacing w:before="170"/>
      </w:pPr>
      <w:r>
        <w:t xml:space="preserve">It </w:t>
      </w:r>
      <w:r w:rsidR="00D679F8">
        <w:t xml:space="preserve">is </w:t>
      </w:r>
      <w:r>
        <w:t xml:space="preserve">also </w:t>
      </w:r>
      <w:r w:rsidR="00D679F8">
        <w:t xml:space="preserve">hampered by the conventions that govern </w:t>
      </w:r>
      <w:r w:rsidR="00971617">
        <w:t>their</w:t>
      </w:r>
      <w:r w:rsidR="00D679F8">
        <w:t xml:space="preserve"> use. </w:t>
      </w:r>
      <w:r w:rsidR="005D6E78">
        <w:t xml:space="preserve">Convention has driven services to submit budgets that </w:t>
      </w:r>
      <w:r w:rsidR="00BD1CAF">
        <w:t xml:space="preserve">achieve an operating surplus (or at least a balanced budget). </w:t>
      </w:r>
      <w:r w:rsidR="00E87FFC">
        <w:t xml:space="preserve">This is supported </w:t>
      </w:r>
      <w:r w:rsidR="00B86910">
        <w:t>by</w:t>
      </w:r>
      <w:r w:rsidR="00E87FFC">
        <w:t xml:space="preserve"> survey</w:t>
      </w:r>
      <w:r w:rsidR="001E7EA7">
        <w:t xml:space="preserve"> findings</w:t>
      </w:r>
      <w:r w:rsidR="00B86910">
        <w:t xml:space="preserve">, </w:t>
      </w:r>
      <w:r w:rsidR="00E87FFC">
        <w:t>where</w:t>
      </w:r>
      <w:r w:rsidR="00A85C9D">
        <w:t xml:space="preserve"> services </w:t>
      </w:r>
      <w:r w:rsidR="00E87FFC">
        <w:t>where asked if there were</w:t>
      </w:r>
      <w:r w:rsidR="00A85C9D">
        <w:t xml:space="preserve"> costs not reported in their budget tool</w:t>
      </w:r>
      <w:r w:rsidR="009A7D74">
        <w:t xml:space="preserve">, </w:t>
      </w:r>
      <w:r w:rsidR="001E7EA7">
        <w:t>to</w:t>
      </w:r>
      <w:r w:rsidR="009A7D74">
        <w:t xml:space="preserve"> which </w:t>
      </w:r>
      <w:r w:rsidR="00191D9F">
        <w:t>11%</w:t>
      </w:r>
      <w:r w:rsidR="00D97EF8">
        <w:t xml:space="preserve"> </w:t>
      </w:r>
      <w:r w:rsidR="009A7D74">
        <w:t xml:space="preserve">responded </w:t>
      </w:r>
      <w:r w:rsidR="00191D9F">
        <w:t>‘yes’</w:t>
      </w:r>
      <w:r w:rsidR="009A7D74">
        <w:t xml:space="preserve">, and </w:t>
      </w:r>
      <w:r w:rsidR="00191D9F">
        <w:t>5</w:t>
      </w:r>
      <w:r w:rsidR="003B2976">
        <w:t>6</w:t>
      </w:r>
      <w:r w:rsidR="00191D9F">
        <w:t>%</w:t>
      </w:r>
      <w:r w:rsidR="00D97EF8" w:rsidRPr="00D97EF8">
        <w:t xml:space="preserve"> </w:t>
      </w:r>
      <w:r w:rsidR="009A7D74">
        <w:t>responded</w:t>
      </w:r>
      <w:r w:rsidR="00191D9F">
        <w:t xml:space="preserve"> ‘maybe’</w:t>
      </w:r>
      <w:r w:rsidR="00A85C9D">
        <w:t xml:space="preserve">. </w:t>
      </w:r>
    </w:p>
    <w:p w14:paraId="60FE21F9" w14:textId="1FE19FA8" w:rsidR="00A24A59" w:rsidRPr="00EF331D" w:rsidRDefault="00C612EE" w:rsidP="00A24A59">
      <w:pPr>
        <w:keepNext/>
      </w:pPr>
      <w:r>
        <w:t>However, m</w:t>
      </w:r>
      <w:r w:rsidR="00A24A59" w:rsidRPr="006A6D11">
        <w:t xml:space="preserve">ost survey respondents report that the revenue their service receives (including CCS, ACCS, CCCFR grant, fees, and other funding) is insufficient to cover their operating costs on an ongoing basis. </w:t>
      </w:r>
      <w:r w:rsidR="00A24A59" w:rsidRPr="00EF331D">
        <w:t>Of the 3</w:t>
      </w:r>
      <w:r w:rsidR="00504D1E">
        <w:t>6</w:t>
      </w:r>
      <w:r w:rsidR="00A24A59" w:rsidRPr="00EF331D">
        <w:t xml:space="preserve"> respondents for this question, </w:t>
      </w:r>
      <w:r w:rsidR="00576E07">
        <w:t>58</w:t>
      </w:r>
      <w:r w:rsidR="00A24A59" w:rsidRPr="00EF331D">
        <w:t>%</w:t>
      </w:r>
      <w:r w:rsidR="00D97EF8" w:rsidRPr="00D97EF8">
        <w:t xml:space="preserve"> </w:t>
      </w:r>
      <w:r w:rsidR="00A24A59" w:rsidRPr="00EF331D">
        <w:t>report that their service's operating costs are far higher than their revenue, 17%</w:t>
      </w:r>
      <w:r w:rsidR="00D97EF8" w:rsidRPr="00D97EF8">
        <w:t xml:space="preserve"> </w:t>
      </w:r>
      <w:r w:rsidR="00A24A59" w:rsidRPr="00EF331D">
        <w:t xml:space="preserve">report their service's operating costs are slightly higher than their revenue, and </w:t>
      </w:r>
      <w:r w:rsidR="00530A56">
        <w:t>2</w:t>
      </w:r>
      <w:r w:rsidR="00576E07">
        <w:t>5</w:t>
      </w:r>
      <w:r w:rsidR="00A24A59" w:rsidRPr="00EF331D">
        <w:t>%</w:t>
      </w:r>
      <w:r w:rsidR="00D97EF8" w:rsidRPr="00D97EF8">
        <w:t xml:space="preserve"> </w:t>
      </w:r>
      <w:r w:rsidR="00A24A59" w:rsidRPr="00EF331D">
        <w:t xml:space="preserve">report that operating costs are about the same as revenue. No services report that revenue </w:t>
      </w:r>
      <w:r w:rsidR="00A00A12">
        <w:t>was</w:t>
      </w:r>
      <w:r w:rsidR="00A24A59" w:rsidRPr="00EF331D">
        <w:t xml:space="preserve"> higher than operating costs.</w:t>
      </w:r>
      <w:r w:rsidR="002E497C">
        <w:t xml:space="preserve"> </w:t>
      </w:r>
    </w:p>
    <w:p w14:paraId="106A31A4" w14:textId="4EF00C9B" w:rsidR="00A24A59" w:rsidRPr="006A6D11" w:rsidRDefault="00A24A59" w:rsidP="00A24A59">
      <w:r w:rsidRPr="00EF331D">
        <w:t>75% of Aboriginal and Torres Strait Islander providers report that their services operating costs are higher than revenue, as opposed to 58%</w:t>
      </w:r>
      <w:r w:rsidR="00D97EF8" w:rsidRPr="00D97EF8">
        <w:t xml:space="preserve"> </w:t>
      </w:r>
      <w:r w:rsidRPr="00EF331D">
        <w:t xml:space="preserve">of non-Aboriginal and Torres Strait Islander providers. </w:t>
      </w:r>
      <w:r w:rsidRPr="006A6D11">
        <w:t xml:space="preserve">While there </w:t>
      </w:r>
      <w:r w:rsidR="00A00A12">
        <w:t>i</w:t>
      </w:r>
      <w:r w:rsidRPr="006A6D11">
        <w:t xml:space="preserve">s more spread in responses for non-Aboriginal and Torres Strait Islander providers, both service types </w:t>
      </w:r>
      <w:r w:rsidR="00A00A12">
        <w:t xml:space="preserve">are </w:t>
      </w:r>
      <w:r w:rsidRPr="006A6D11">
        <w:t>most likely to respond that their services operating costs are higher than revenue.</w:t>
      </w:r>
    </w:p>
    <w:p w14:paraId="51C8BD61" w14:textId="77777777" w:rsidR="00405E9B" w:rsidRPr="00097929" w:rsidRDefault="00405E9B" w:rsidP="00405E9B">
      <w:pPr>
        <w:pStyle w:val="CaptionChart"/>
      </w:pPr>
      <w:bookmarkStart w:id="374" w:name="_Toc158997946"/>
      <w:bookmarkStart w:id="375" w:name="_Toc167130565"/>
      <w:r w:rsidRPr="00097929">
        <w:t>: Responses to ‘Overall, to what degree is the revenue your services receive (including CCS, ACCS, CCCFR grant, fees and other funding) sufficient to cover your operating costs on an ongoing basis?’</w:t>
      </w:r>
      <w:bookmarkEnd w:id="374"/>
      <w:bookmarkEnd w:id="375"/>
    </w:p>
    <w:p w14:paraId="7E66B4CE" w14:textId="0CFD297C" w:rsidR="007D195B" w:rsidRPr="007D195B" w:rsidRDefault="007D195B" w:rsidP="00097929">
      <w:pPr>
        <w:keepNext/>
      </w:pPr>
      <w:r w:rsidRPr="007D195B">
        <w:rPr>
          <w:noProof/>
        </w:rPr>
        <w:drawing>
          <wp:inline distT="0" distB="0" distL="0" distR="0" wp14:anchorId="1CA6E747" wp14:editId="3E48F280">
            <wp:extent cx="5731510" cy="2417445"/>
            <wp:effectExtent l="0" t="0" r="2540" b="1905"/>
            <wp:docPr id="838388549" name="Picture 838388549" descr="Bar chart of survey responses to 'Overall, to what degree is the revenue your services receive (including CCS, ACCS, CCCFR grant, fees and other funding) sufficient to cover your operating costs on an ongoing basis?’. The majority of respondents, 58%, said that operating costs are higher than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49" name="Picture 838388549" descr="Bar chart of survey responses to 'Overall, to what degree is the revenue your services receive (including CCS, ACCS, CCCFR grant, fees and other funding) sufficient to cover your operating costs on an ongoing basis?’. The majority of respondents, 58%, said that operating costs are higher than revenu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31510" cy="2417445"/>
                    </a:xfrm>
                    <a:prstGeom prst="rect">
                      <a:avLst/>
                    </a:prstGeom>
                    <a:noFill/>
                    <a:ln>
                      <a:noFill/>
                    </a:ln>
                  </pic:spPr>
                </pic:pic>
              </a:graphicData>
            </a:graphic>
          </wp:inline>
        </w:drawing>
      </w:r>
    </w:p>
    <w:p w14:paraId="738399CB" w14:textId="039CC0A9" w:rsidR="00405E9B" w:rsidRDefault="00505538" w:rsidP="007C161D">
      <w:pPr>
        <w:spacing w:before="40"/>
      </w:pPr>
      <w:r w:rsidRPr="009B111A">
        <w:rPr>
          <w:color w:val="767171" w:themeColor="background2" w:themeShade="80"/>
          <w:sz w:val="16"/>
          <w:szCs w:val="16"/>
        </w:rPr>
        <w:t>Source:</w:t>
      </w:r>
      <w:r>
        <w:t xml:space="preserve"> </w:t>
      </w:r>
      <w:r w:rsidR="009B111A" w:rsidRPr="00EF331D">
        <w:rPr>
          <w:color w:val="767171" w:themeColor="background2" w:themeShade="80"/>
          <w:sz w:val="16"/>
          <w:szCs w:val="16"/>
        </w:rPr>
        <w:t>Deloitte Access Economics survey analysis</w:t>
      </w:r>
    </w:p>
    <w:p w14:paraId="23E529AB" w14:textId="012D158C" w:rsidR="00465D96" w:rsidRPr="00465D96" w:rsidRDefault="00465D96" w:rsidP="007C161D">
      <w:pPr>
        <w:spacing w:before="40"/>
      </w:pPr>
      <w:r w:rsidRPr="00465D96">
        <w:t xml:space="preserve">Nevertheless, </w:t>
      </w:r>
      <w:r>
        <w:t xml:space="preserve">and not necessarily at odds with this finding, </w:t>
      </w:r>
      <w:r w:rsidRPr="008A6066">
        <w:t xml:space="preserve">the majority of services receiving the CCCFR grant have remained open and continue to deliver child care. </w:t>
      </w:r>
      <w:r w:rsidR="00E90C95">
        <w:t xml:space="preserve">Information provided to Deloitte Access Economics </w:t>
      </w:r>
      <w:r w:rsidR="00F34443">
        <w:t xml:space="preserve">by the Department </w:t>
      </w:r>
      <w:r w:rsidR="00B45AD2">
        <w:t>identified</w:t>
      </w:r>
      <w:r w:rsidR="001020D0">
        <w:t xml:space="preserve"> </w:t>
      </w:r>
      <w:r w:rsidRPr="005E6066">
        <w:t xml:space="preserve">149 of the 159 services </w:t>
      </w:r>
      <w:r w:rsidR="00F34443" w:rsidRPr="005E6066">
        <w:t>that</w:t>
      </w:r>
      <w:r w:rsidRPr="005E6066">
        <w:t xml:space="preserve"> transitioned to the CCCFR grant </w:t>
      </w:r>
      <w:r w:rsidR="00330CCA" w:rsidRPr="005E6066">
        <w:t xml:space="preserve">as </w:t>
      </w:r>
      <w:r w:rsidR="00CF4E40" w:rsidRPr="005E6066">
        <w:t>remain</w:t>
      </w:r>
      <w:r w:rsidR="00B45AD2" w:rsidRPr="005E6066">
        <w:t>ing</w:t>
      </w:r>
      <w:r w:rsidR="009B0DDD" w:rsidRPr="005E6066">
        <w:t xml:space="preserve"> operational </w:t>
      </w:r>
      <w:r w:rsidR="00CF4E40" w:rsidRPr="005E6066">
        <w:t>at the time of this review</w:t>
      </w:r>
      <w:r w:rsidRPr="005E6066">
        <w:t>.</w:t>
      </w:r>
      <w:r>
        <w:t xml:space="preserve"> </w:t>
      </w:r>
      <w:r w:rsidRPr="00465D96">
        <w:t>This is largely due to the financial, and other, support of the CCCFR grant. It is the case for services across all former funding model arrangements. Given known challenges regarding financial viability of services in remote communities and delivering to vulnerable or disadvantaged cohorts, this is a strong outcome for the CCCFR grant. However, financial viability remains a concern for many services, and the available evidence indicates that although the CCCFR grant supports services to remain open and to deliver child care, there are ongoing risks to financial stability.</w:t>
      </w:r>
    </w:p>
    <w:p w14:paraId="18B4B26D" w14:textId="67D92DE9" w:rsidR="000D576C" w:rsidRDefault="000D576C" w:rsidP="007C161D">
      <w:pPr>
        <w:spacing w:before="40"/>
      </w:pPr>
      <w:r>
        <w:t xml:space="preserve">Of the ten services </w:t>
      </w:r>
      <w:r w:rsidR="005E6066">
        <w:t xml:space="preserve">that </w:t>
      </w:r>
      <w:r>
        <w:t xml:space="preserve">do not remain </w:t>
      </w:r>
      <w:r w:rsidR="005E6066">
        <w:t>operational</w:t>
      </w:r>
      <w:r>
        <w:t xml:space="preserve"> </w:t>
      </w:r>
      <w:r w:rsidR="00CF386E">
        <w:t xml:space="preserve">under the grant, some of these closures are </w:t>
      </w:r>
      <w:r w:rsidR="5584C34F">
        <w:t>temporary</w:t>
      </w:r>
      <w:r w:rsidR="00CF386E">
        <w:t xml:space="preserve"> and some </w:t>
      </w:r>
      <w:r w:rsidR="5584C34F">
        <w:t xml:space="preserve">permanent. Of the temporary closures, which can be for a period of weeks or months, these </w:t>
      </w:r>
      <w:r w:rsidR="2AD76386">
        <w:t xml:space="preserve">are typically triggered by staffing shortages and the long lead times required to recruit qualified ECEC educators. </w:t>
      </w:r>
      <w:r w:rsidR="7D7A579F">
        <w:t xml:space="preserve">These temporary closures may be extended beyond the </w:t>
      </w:r>
      <w:r w:rsidR="7D7A579F">
        <w:lastRenderedPageBreak/>
        <w:t xml:space="preserve">recruitment process if suitable accommodation cannot be found </w:t>
      </w:r>
      <w:r w:rsidR="0AC4A8F6">
        <w:t>within the community, whether by the candidate</w:t>
      </w:r>
      <w:r w:rsidR="2AD76386">
        <w:t xml:space="preserve"> </w:t>
      </w:r>
      <w:r w:rsidR="4DB7B7ED">
        <w:t xml:space="preserve">or the service provider on the candidate’s behalf. An additional delay may occur if during the period of closure, the site has been </w:t>
      </w:r>
      <w:r w:rsidR="27DC9A57">
        <w:t>vandalised</w:t>
      </w:r>
      <w:r w:rsidR="4DB7B7ED">
        <w:t>, and requires repairs prior to re-opening.</w:t>
      </w:r>
    </w:p>
    <w:p w14:paraId="46925474" w14:textId="18D6B3F3" w:rsidR="4DB7B7ED" w:rsidRDefault="4DB7B7ED" w:rsidP="77F84D49">
      <w:pPr>
        <w:spacing w:before="40"/>
      </w:pPr>
      <w:r>
        <w:t xml:space="preserve">Of the </w:t>
      </w:r>
      <w:r w:rsidR="73B522F8">
        <w:t xml:space="preserve">small number of </w:t>
      </w:r>
      <w:r>
        <w:t xml:space="preserve">permanent closures, </w:t>
      </w:r>
      <w:r w:rsidR="00FB6603">
        <w:t>the review was advised that</w:t>
      </w:r>
      <w:r>
        <w:t xml:space="preserve"> </w:t>
      </w:r>
      <w:r w:rsidR="50172596">
        <w:t xml:space="preserve">these all came at the decision of the service providers, following a dialogue with the Department </w:t>
      </w:r>
      <w:r w:rsidR="710E6080">
        <w:t xml:space="preserve">to explore options additional supports that could sustain them operationally. These </w:t>
      </w:r>
      <w:r w:rsidR="67D24F6E">
        <w:t>services</w:t>
      </w:r>
      <w:r w:rsidR="710E6080">
        <w:t xml:space="preserve"> all had compounding challenges including low utilisation, staffing shortages, and </w:t>
      </w:r>
      <w:r w:rsidR="378D49C2">
        <w:t xml:space="preserve">the requirement </w:t>
      </w:r>
      <w:r w:rsidR="5B1D664C">
        <w:t xml:space="preserve">of </w:t>
      </w:r>
      <w:r w:rsidR="710E6080">
        <w:t>significant infrastruc</w:t>
      </w:r>
      <w:r w:rsidR="3B7C6D5C">
        <w:t>ture upgrades</w:t>
      </w:r>
      <w:r w:rsidR="77045880">
        <w:t xml:space="preserve">. To the best of the Department’s recollection, all of these service closures took place in communities where there was an alternative care provider in which the children could be placed and the services and Department worked </w:t>
      </w:r>
      <w:r w:rsidR="007A0939">
        <w:t>together</w:t>
      </w:r>
      <w:r w:rsidR="77045880">
        <w:t xml:space="preserve"> to manage these transitions.</w:t>
      </w:r>
      <w:r w:rsidR="002E497C">
        <w:t xml:space="preserve"> </w:t>
      </w:r>
    </w:p>
    <w:p w14:paraId="61C85ACA" w14:textId="169CC458" w:rsidR="00DF5266" w:rsidRPr="007E4BDE" w:rsidRDefault="007E4BDE" w:rsidP="00DF5266">
      <w:pPr>
        <w:pStyle w:val="Heading3"/>
      </w:pPr>
      <w:r w:rsidRPr="007E4BDE">
        <w:t xml:space="preserve">Drivers </w:t>
      </w:r>
      <w:r w:rsidR="00114A80">
        <w:t>of</w:t>
      </w:r>
      <w:r w:rsidRPr="007E4BDE">
        <w:t xml:space="preserve"> variation in financial sustainability </w:t>
      </w:r>
    </w:p>
    <w:p w14:paraId="54E3103C" w14:textId="4AB54DAE" w:rsidR="007E4BDE" w:rsidRPr="007E4BDE" w:rsidRDefault="007E4BDE" w:rsidP="00114A80">
      <w:pPr>
        <w:keepNext/>
      </w:pPr>
      <w:r w:rsidRPr="007E4BDE">
        <w:t xml:space="preserve">Where patterns </w:t>
      </w:r>
      <w:r w:rsidR="00114A80">
        <w:t xml:space="preserve">in variability in financial sustainability </w:t>
      </w:r>
      <w:r w:rsidRPr="007E4BDE">
        <w:t xml:space="preserve">can be identified, they reveal that this variability is driven by: </w:t>
      </w:r>
    </w:p>
    <w:p w14:paraId="25F2B2CD" w14:textId="6A206C66" w:rsidR="007E4BDE" w:rsidRPr="007E4BDE" w:rsidRDefault="007E4BDE" w:rsidP="00D8053E">
      <w:pPr>
        <w:pStyle w:val="ListBullet"/>
      </w:pPr>
      <w:r w:rsidRPr="2B91AEFB">
        <w:rPr>
          <w:b/>
          <w:bCs/>
        </w:rPr>
        <w:t>Utilisation</w:t>
      </w:r>
      <w:r>
        <w:t xml:space="preserve"> and the proportion of available places </w:t>
      </w:r>
      <w:r w:rsidR="003440A2">
        <w:t>(sessions)</w:t>
      </w:r>
      <w:r>
        <w:t xml:space="preserve"> that are used </w:t>
      </w:r>
      <w:r w:rsidR="003440A2">
        <w:t xml:space="preserve">(attended) </w:t>
      </w:r>
      <w:r>
        <w:t>on a daily/weekly basis</w:t>
      </w:r>
    </w:p>
    <w:p w14:paraId="6AC2369D" w14:textId="77777777" w:rsidR="007E4BDE" w:rsidRPr="007E4BDE" w:rsidRDefault="007E4BDE" w:rsidP="00D8053E">
      <w:pPr>
        <w:pStyle w:val="ListBullet"/>
      </w:pPr>
      <w:r w:rsidRPr="2B91AEFB">
        <w:rPr>
          <w:b/>
          <w:bCs/>
        </w:rPr>
        <w:t>Service location</w:t>
      </w:r>
      <w:r>
        <w:t xml:space="preserve"> and the degree to which certain delivery context are associated with higher costs (for a given level of quality) </w:t>
      </w:r>
    </w:p>
    <w:p w14:paraId="6C3A32A1" w14:textId="11DAAD24" w:rsidR="00112270" w:rsidRDefault="007E4BDE">
      <w:pPr>
        <w:pStyle w:val="ListBullet"/>
      </w:pPr>
      <w:r w:rsidRPr="2B91AEFB">
        <w:rPr>
          <w:b/>
          <w:bCs/>
        </w:rPr>
        <w:t>Revenue composition</w:t>
      </w:r>
      <w:r>
        <w:t xml:space="preserve"> and the degree to which services rely on CCS versus grant revenue</w:t>
      </w:r>
      <w:r w:rsidR="00112270">
        <w:t xml:space="preserve"> and the degree of </w:t>
      </w:r>
      <w:r w:rsidR="672237EC">
        <w:t xml:space="preserve">reliance on </w:t>
      </w:r>
      <w:r w:rsidR="00112270">
        <w:t>the CCCFR sustainability grant</w:t>
      </w:r>
      <w:r>
        <w:t>.</w:t>
      </w:r>
    </w:p>
    <w:p w14:paraId="67CB9507" w14:textId="77777777" w:rsidR="007C161D" w:rsidRDefault="007C161D" w:rsidP="00563234">
      <w:pPr>
        <w:pStyle w:val="ListBullet"/>
        <w:numPr>
          <w:ilvl w:val="0"/>
          <w:numId w:val="0"/>
        </w:numPr>
        <w:ind w:left="357"/>
      </w:pPr>
    </w:p>
    <w:p w14:paraId="1803A6BD" w14:textId="02E99512" w:rsidR="00112270" w:rsidRPr="007E4BDE" w:rsidRDefault="00112270" w:rsidP="00486B3C">
      <w:pPr>
        <w:pStyle w:val="ListBullet2"/>
        <w:numPr>
          <w:ilvl w:val="0"/>
          <w:numId w:val="0"/>
        </w:numPr>
        <w:spacing w:after="170"/>
      </w:pPr>
      <w:r>
        <w:t xml:space="preserve">Analysis of financial data reveals that </w:t>
      </w:r>
      <w:r w:rsidR="00315416">
        <w:t xml:space="preserve">unit costs increase sharply as utilisation falls. Fixed costs of operation mean that as the share of licenced places </w:t>
      </w:r>
      <w:r w:rsidR="000C7784">
        <w:t xml:space="preserve">utilised declines, </w:t>
      </w:r>
      <w:r w:rsidR="004C464E">
        <w:t xml:space="preserve">the cost per </w:t>
      </w:r>
      <w:r w:rsidR="00FE387F">
        <w:t xml:space="preserve">enrolled child increases. With funding not varying accordingly, financial viability and sustainability diminishes. </w:t>
      </w:r>
      <w:r w:rsidR="7DEDC30E">
        <w:t>The cost model that accompanies this report allows for the exploration of where viability thresholds lie under different circumstances.</w:t>
      </w:r>
    </w:p>
    <w:p w14:paraId="154A284B" w14:textId="24811514" w:rsidR="00BA3CF7" w:rsidRPr="00BA3CF7" w:rsidRDefault="00BA3CF7" w:rsidP="00BA3CF7">
      <w:r w:rsidRPr="00C13A1C">
        <w:t>Stakeholders broadly agree that CCCFR services face challenges and barriers to financial viability not experienced by mainstream ECEC services</w:t>
      </w:r>
      <w:r w:rsidR="004B2F9A">
        <w:t xml:space="preserve"> – or, where they are experienced, a more pronounced version of the challenges</w:t>
      </w:r>
      <w:r w:rsidRPr="00C13A1C">
        <w:t xml:space="preserve">. </w:t>
      </w:r>
      <w:r w:rsidRPr="00BA3CF7">
        <w:t>Stakeholders note that services receiving funding through the CCCFR grant often face significant financial costs associated with delivery which</w:t>
      </w:r>
      <w:r w:rsidR="005A0F44">
        <w:t xml:space="preserve">, if experienced by </w:t>
      </w:r>
      <w:r w:rsidRPr="00BA3CF7">
        <w:t>mainstream services</w:t>
      </w:r>
      <w:r w:rsidR="005A0F44">
        <w:t>, are experienced in a considerably less acute way</w:t>
      </w:r>
      <w:r w:rsidRPr="00BA3CF7">
        <w:t>. These costs include:</w:t>
      </w:r>
    </w:p>
    <w:p w14:paraId="58F88F6D" w14:textId="77777777" w:rsidR="00BA3CF7" w:rsidRPr="00BA3CF7" w:rsidRDefault="00BA3CF7" w:rsidP="00BA3CF7">
      <w:pPr>
        <w:pStyle w:val="ListBullet"/>
      </w:pPr>
      <w:r>
        <w:t>staffing and administrative costs associated with supporting parents, families and children in relation to activities or services outside the scope of education and care as defined within the Family Assistance Law – such as arranging community events and cultural activities outside of the scope of the educational program offered at the service (i.e. open to families and broader community) and supporting parents and carers around accessing CCS and ACCS payments with Services Australia</w:t>
      </w:r>
    </w:p>
    <w:p w14:paraId="52A31BB1" w14:textId="77777777" w:rsidR="00BA3CF7" w:rsidRPr="00BA3CF7" w:rsidRDefault="00BA3CF7" w:rsidP="00BA3CF7">
      <w:pPr>
        <w:pStyle w:val="ListBullet"/>
      </w:pPr>
      <w:r>
        <w:t>additional costs associated with operating an ECEC service in rural and remote communities, in particular within communities with limited demand (i.e., children) to support an ECEC program on an ongoing basis in line with per-child funding under the CCS</w:t>
      </w:r>
    </w:p>
    <w:p w14:paraId="566A3FFF" w14:textId="77777777" w:rsidR="00BA3CF7" w:rsidRPr="00BA3CF7" w:rsidRDefault="00BA3CF7" w:rsidP="00BA3CF7">
      <w:pPr>
        <w:pStyle w:val="ListBullet"/>
      </w:pPr>
      <w:r>
        <w:t xml:space="preserve">financial challenges associated with attendance patterns of families, noting that many services may provide care to children on an irregular basis or commonly face extended periods of child absences due to family circumstances </w:t>
      </w:r>
    </w:p>
    <w:p w14:paraId="45260CA7" w14:textId="2BF7EC60" w:rsidR="00BA3CF7" w:rsidRPr="00BA3CF7" w:rsidRDefault="00BA3CF7" w:rsidP="00BA3CF7">
      <w:pPr>
        <w:pStyle w:val="ListBullet"/>
      </w:pPr>
      <w:r>
        <w:t>additional financial costs associated with providing education and care to children experiencing vulnerability and/or disadvantage, including administrative and financial costs associated with implementing strategies and approaches to ensure adequate participation of these children.</w:t>
      </w:r>
      <w:r>
        <w:br/>
      </w:r>
    </w:p>
    <w:p w14:paraId="5FC03589" w14:textId="314926E7" w:rsidR="00BA3CF7" w:rsidRPr="009A69E5" w:rsidRDefault="00BA3CF7" w:rsidP="00BA3CF7">
      <w:pPr>
        <w:spacing w:before="120" w:after="120"/>
        <w:rPr>
          <w:rFonts w:asciiTheme="majorHAnsi" w:hAnsiTheme="majorHAnsi" w:cs="Calibri"/>
          <w:color w:val="26890D"/>
        </w:rPr>
      </w:pPr>
      <w:r w:rsidRPr="009A69E5">
        <w:rPr>
          <w:rFonts w:asciiTheme="majorHAnsi" w:hAnsiTheme="majorHAnsi"/>
          <w:color w:val="26890D"/>
        </w:rPr>
        <w:t>“Grant based funding model is ineffective, especially in rural and remote; there’s a lack of security of the funding, and the families need ongoing certainty with child</w:t>
      </w:r>
      <w:r w:rsidR="006676CD" w:rsidRPr="009A69E5">
        <w:rPr>
          <w:rFonts w:asciiTheme="majorHAnsi" w:hAnsiTheme="majorHAnsi"/>
          <w:color w:val="26890D"/>
        </w:rPr>
        <w:t xml:space="preserve"> </w:t>
      </w:r>
      <w:r w:rsidRPr="009A69E5">
        <w:rPr>
          <w:rFonts w:asciiTheme="majorHAnsi" w:hAnsiTheme="majorHAnsi"/>
          <w:color w:val="26890D"/>
        </w:rPr>
        <w:t>care arrangements.”</w:t>
      </w:r>
    </w:p>
    <w:p w14:paraId="6BD2C4EC" w14:textId="77777777" w:rsidR="00BA3CF7" w:rsidRPr="009A69E5" w:rsidRDefault="00BA3CF7" w:rsidP="00BA3CF7">
      <w:pPr>
        <w:spacing w:before="120" w:after="120"/>
        <w:rPr>
          <w:rFonts w:asciiTheme="majorHAnsi" w:hAnsiTheme="majorHAnsi" w:cs="Calibri"/>
          <w:color w:val="26890D"/>
        </w:rPr>
      </w:pPr>
      <w:r w:rsidRPr="009A69E5">
        <w:rPr>
          <w:rFonts w:asciiTheme="majorHAnsi" w:hAnsiTheme="majorHAnsi" w:cs="Calibri"/>
          <w:color w:val="26890D"/>
        </w:rPr>
        <w:t xml:space="preserve">“But if you're in a regional area, the overhead costs to support are a lot higher than a metro area because, at a bare minimum, you got a high travel costs.” </w:t>
      </w:r>
    </w:p>
    <w:p w14:paraId="2DFFA4B5" w14:textId="77777777" w:rsidR="007A0939" w:rsidRPr="009A69E5" w:rsidRDefault="00BA3CF7" w:rsidP="007A0939">
      <w:pPr>
        <w:spacing w:before="120" w:after="120"/>
        <w:rPr>
          <w:rFonts w:asciiTheme="majorHAnsi" w:hAnsiTheme="majorHAnsi"/>
          <w:color w:val="26890D"/>
        </w:rPr>
      </w:pPr>
      <w:r w:rsidRPr="009A69E5">
        <w:rPr>
          <w:rFonts w:asciiTheme="majorHAnsi" w:hAnsiTheme="majorHAnsi" w:cs="Calibri"/>
          <w:color w:val="26890D"/>
        </w:rPr>
        <w:t>“Overhead costs [to] support those services are a lot higher versus metropolitan areas and that needs to be something that's factored into the funding.”</w:t>
      </w:r>
    </w:p>
    <w:p w14:paraId="28A0D749" w14:textId="77777777" w:rsidR="00BA3CF7" w:rsidRPr="00BA3CF7" w:rsidRDefault="00BA3CF7" w:rsidP="007A0939">
      <w:pPr>
        <w:spacing w:before="120" w:after="120"/>
      </w:pPr>
      <w:r w:rsidRPr="009A69E5">
        <w:rPr>
          <w:color w:val="26890D"/>
        </w:rPr>
        <w:lastRenderedPageBreak/>
        <w:t>“I think a lot of these services are still in some really old sort of buildings and things like that, so meeting building requirements under the National Quality Framework would be quite difficult for them.”</w:t>
      </w:r>
    </w:p>
    <w:p w14:paraId="3F411CD6" w14:textId="56087C00" w:rsidR="009B654E" w:rsidRDefault="00C4117D" w:rsidP="00AE2674">
      <w:r>
        <w:t xml:space="preserve">The CCCFR </w:t>
      </w:r>
      <w:r w:rsidR="000A407D">
        <w:t>additional</w:t>
      </w:r>
      <w:r>
        <w:t xml:space="preserve"> sustainability </w:t>
      </w:r>
      <w:r w:rsidR="002B6045">
        <w:t>funding</w:t>
      </w:r>
      <w:r>
        <w:t xml:space="preserve"> is the mechanism through which that grant design explicitly seeks to support financial sustainability – over and above the base intention of supplementing other revenue sources. </w:t>
      </w:r>
      <w:r w:rsidR="005112ED">
        <w:t>However, consultations revealed that</w:t>
      </w:r>
      <w:r w:rsidR="00057150" w:rsidRPr="007E4BDE">
        <w:t xml:space="preserve"> some services </w:t>
      </w:r>
      <w:r w:rsidR="005112ED">
        <w:t>are</w:t>
      </w:r>
      <w:r w:rsidR="00057150" w:rsidRPr="007E4BDE">
        <w:t xml:space="preserve"> </w:t>
      </w:r>
      <w:r w:rsidR="00057150" w:rsidRPr="008D5CDB">
        <w:t>unaware of the CCCFR sustainability grant’s function and their</w:t>
      </w:r>
      <w:r w:rsidR="00057150">
        <w:t xml:space="preserve"> </w:t>
      </w:r>
      <w:r w:rsidR="00057150" w:rsidRPr="008D5CDB">
        <w:t>eligibility, further affecting their financial viability.</w:t>
      </w:r>
    </w:p>
    <w:p w14:paraId="7513FEB4" w14:textId="3302039A" w:rsidR="008D5CDB" w:rsidRDefault="00E90ED3" w:rsidP="00AE2674">
      <w:r>
        <w:t xml:space="preserve">Because CCS is a </w:t>
      </w:r>
      <w:r w:rsidR="00587150">
        <w:t>activity</w:t>
      </w:r>
      <w:r>
        <w:t>-based subsidy, services can only remain viable if enrolment numbers remain above that required to meet their fixed costs of operation (which vary from service to service)</w:t>
      </w:r>
      <w:r w:rsidR="008D5CDB">
        <w:t>.</w:t>
      </w:r>
      <w:r w:rsidR="002718C1">
        <w:t xml:space="preserve"> With CCCFR services more likely to operate in circumstances where </w:t>
      </w:r>
      <w:r w:rsidR="00B93F50">
        <w:t xml:space="preserve">the achievement of </w:t>
      </w:r>
      <w:r w:rsidR="00D97DB9">
        <w:t xml:space="preserve">economies of scale and </w:t>
      </w:r>
      <w:r w:rsidR="00A602CB">
        <w:t xml:space="preserve">efficiencies of </w:t>
      </w:r>
      <w:r w:rsidR="00B93F50">
        <w:t xml:space="preserve">operation </w:t>
      </w:r>
      <w:r w:rsidR="00D27924">
        <w:t xml:space="preserve">are hampered </w:t>
      </w:r>
      <w:r w:rsidR="00007DB3">
        <w:t xml:space="preserve">by their remote location and small population catchment, </w:t>
      </w:r>
      <w:r w:rsidR="003A768E">
        <w:t>the challenges of operating under such a funding model are particularly pronounced.</w:t>
      </w:r>
    </w:p>
    <w:p w14:paraId="3FFC20DF" w14:textId="6E9C215D" w:rsidR="009B654E" w:rsidRDefault="00E90ED3" w:rsidP="002B6AAE">
      <w:r w:rsidRPr="00E90ED3">
        <w:t xml:space="preserve">Many services state that the CCS is not a viable mechanism for increasing the operational revenue available to them, given the child and family cohorts they serve (as outlined in section </w:t>
      </w:r>
      <w:r w:rsidR="00257B00" w:rsidRPr="00257B00">
        <w:fldChar w:fldCharType="begin"/>
      </w:r>
      <w:r w:rsidR="00257B00" w:rsidRPr="00257B00">
        <w:instrText xml:space="preserve"> REF _Ref152664728 \r \h </w:instrText>
      </w:r>
      <w:r w:rsidR="00257B00">
        <w:instrText xml:space="preserve"> \* MERGEFORMAT </w:instrText>
      </w:r>
      <w:r w:rsidR="00257B00" w:rsidRPr="00257B00">
        <w:fldChar w:fldCharType="separate"/>
      </w:r>
      <w:r w:rsidR="00D300D0">
        <w:t>5.4</w:t>
      </w:r>
      <w:r w:rsidR="00257B00" w:rsidRPr="00257B00">
        <w:fldChar w:fldCharType="end"/>
      </w:r>
      <w:r w:rsidRPr="00257B00">
        <w:t>).</w:t>
      </w:r>
      <w:r w:rsidRPr="00E90ED3">
        <w:t xml:space="preserve"> Accessing CCS is also stated to impose administrative burden on services, which can lead to additional costs e.g.</w:t>
      </w:r>
      <w:r w:rsidR="00916B51">
        <w:t>,</w:t>
      </w:r>
      <w:r w:rsidRPr="00E90ED3">
        <w:t xml:space="preserve"> where service staff provide support to families to help them navigate the CCS system, ranging from the application process through to ongoing eligibility requirements. Notably, some services suggest they may be able to become financially viable by accessing CCS – but this would mean the profile of families accessing their service would change and they would become a ‘mainstream’ service.</w:t>
      </w:r>
    </w:p>
    <w:p w14:paraId="43B3C3CC" w14:textId="15F229C2" w:rsidR="00EE3A54" w:rsidRDefault="009B654E" w:rsidP="3990717F">
      <w:r w:rsidRPr="00D75081">
        <w:t xml:space="preserve">Similarly, ACCS does not support revenue for many services </w:t>
      </w:r>
      <w:r w:rsidR="0046605F">
        <w:t xml:space="preserve">for a variety of reasons. As discussed in </w:t>
      </w:r>
      <w:r w:rsidR="009D7D88">
        <w:t xml:space="preserve">Box </w:t>
      </w:r>
      <w:r w:rsidR="00512A25">
        <w:t>2.1 in Chapter 2</w:t>
      </w:r>
      <w:r w:rsidR="241EA3DA">
        <w:t xml:space="preserve">, there are four </w:t>
      </w:r>
      <w:r w:rsidRPr="00D75081">
        <w:t>ACCS</w:t>
      </w:r>
      <w:r w:rsidR="241EA3DA">
        <w:t xml:space="preserve"> categories: child wellbeing, grandparent,</w:t>
      </w:r>
      <w:r w:rsidR="00096D66">
        <w:t xml:space="preserve"> financial hardship and transition to work.</w:t>
      </w:r>
      <w:r w:rsidR="241EA3DA">
        <w:t xml:space="preserve"> </w:t>
      </w:r>
      <w:r w:rsidR="00E1461B">
        <w:t xml:space="preserve">All of the categories aim to reduce fees for families, rather than providing additional funding to services. </w:t>
      </w:r>
      <w:r w:rsidR="002D218B">
        <w:t>There is no additional per child funding for services on the basis of additional or complex needs</w:t>
      </w:r>
      <w:r w:rsidR="00960BCE">
        <w:t xml:space="preserve"> associated with the child wellbeing or financial hardship categories, despite cost drivers of providing trauma informed care </w:t>
      </w:r>
      <w:r w:rsidR="00EE3A54">
        <w:t>and possibly additional consumables to support children and families.</w:t>
      </w:r>
      <w:r w:rsidR="00960BCE">
        <w:t xml:space="preserve"> </w:t>
      </w:r>
      <w:r w:rsidR="00E1461B">
        <w:t xml:space="preserve">In addition, three of the categories </w:t>
      </w:r>
      <w:r w:rsidR="002463BB">
        <w:t xml:space="preserve">are </w:t>
      </w:r>
      <w:r w:rsidR="00E1461B">
        <w:t>time limited</w:t>
      </w:r>
      <w:r w:rsidR="002463BB">
        <w:t>, with the exception of</w:t>
      </w:r>
      <w:r w:rsidR="00E1461B">
        <w:t xml:space="preserve"> the grandparent category, limiting </w:t>
      </w:r>
      <w:r w:rsidR="002463BB">
        <w:t>the</w:t>
      </w:r>
      <w:r w:rsidR="00E1461B">
        <w:t xml:space="preserve"> ability </w:t>
      </w:r>
      <w:r w:rsidR="002463BB">
        <w:t xml:space="preserve">of ACCS </w:t>
      </w:r>
      <w:r w:rsidR="00E1461B">
        <w:t>to support services’ financial sustainability</w:t>
      </w:r>
      <w:r w:rsidR="002463BB">
        <w:t xml:space="preserve"> through attracting longer term enrolments via reduced fees. </w:t>
      </w:r>
    </w:p>
    <w:p w14:paraId="1F27685B" w14:textId="77777777" w:rsidR="00253346" w:rsidRDefault="002463BB" w:rsidP="3990717F">
      <w:r>
        <w:t>In addition, many services</w:t>
      </w:r>
      <w:r w:rsidR="00E1461B">
        <w:t xml:space="preserve"> </w:t>
      </w:r>
      <w:r w:rsidR="009407AF">
        <w:t>spoke</w:t>
      </w:r>
      <w:r w:rsidR="009B654E">
        <w:t xml:space="preserve"> to stigma associated with registering for ACCS</w:t>
      </w:r>
      <w:r w:rsidR="009407AF">
        <w:t xml:space="preserve">, most acutely for the child wellbeing category, which is for </w:t>
      </w:r>
      <w:r w:rsidR="009407AF" w:rsidRPr="009407AF">
        <w:t>families who care for a child at risk of serious abuse or neglect</w:t>
      </w:r>
      <w:r w:rsidR="009B654E">
        <w:t>.</w:t>
      </w:r>
      <w:r w:rsidR="00D34828">
        <w:rPr>
          <w:rStyle w:val="FootnoteReference"/>
        </w:rPr>
        <w:footnoteReference w:id="236"/>
      </w:r>
      <w:r w:rsidR="009407AF">
        <w:t xml:space="preserve"> However, services often use the term ACCS as an umbrella term, and it is possible there is also stigma and concern associated with </w:t>
      </w:r>
      <w:r w:rsidR="007A4957">
        <w:t xml:space="preserve">temporary financial hardship or </w:t>
      </w:r>
      <w:r w:rsidR="002D218B">
        <w:t>work program participation under the transition to work category.</w:t>
      </w:r>
      <w:r w:rsidR="009B654E" w:rsidRPr="00D75081">
        <w:t xml:space="preserve"> Services told stories of parents and carers being unwilling to register for ACCS to avoid the Government monitoring their children, or removing them. </w:t>
      </w:r>
      <w:r w:rsidR="00D34828">
        <w:t xml:space="preserve">This was a particular concern for Aboriginal and/or Torres Strait Islander families, many of whom have lived experience </w:t>
      </w:r>
      <w:r w:rsidR="002D5A63">
        <w:t xml:space="preserve">of the Stolen Generations </w:t>
      </w:r>
      <w:r w:rsidR="00D34828">
        <w:t>and ongoing trauma</w:t>
      </w:r>
      <w:r w:rsidR="00C93570">
        <w:t>.</w:t>
      </w:r>
      <w:r w:rsidR="009B654E" w:rsidRPr="00D75081">
        <w:t xml:space="preserve"> </w:t>
      </w:r>
      <w:r w:rsidR="00EE3A54">
        <w:t xml:space="preserve">The Department provides advice to all services suggesting </w:t>
      </w:r>
      <w:r w:rsidR="003C48DC">
        <w:t xml:space="preserve">best practice ways to have these conversations with families, which have associated costs and resources, such as waiting until the service has built a strong relationship, having a translator present, </w:t>
      </w:r>
      <w:r w:rsidR="00647C51">
        <w:t xml:space="preserve">and providing practical help to access Centrelink. </w:t>
      </w:r>
    </w:p>
    <w:p w14:paraId="5E180604" w14:textId="22A6B624" w:rsidR="00EE3A54" w:rsidRDefault="002029B5" w:rsidP="3990717F">
      <w:r>
        <w:t xml:space="preserve">The guidance </w:t>
      </w:r>
      <w:r w:rsidR="00B944AD" w:rsidRPr="00B944AD">
        <w:t>highlights that it is important to note that determining that a child is at risk does not necessarily mean that parents or carers have done something wrong and a child can be at risk due to factors outside the family’s control.</w:t>
      </w:r>
      <w:r w:rsidR="00B944AD">
        <w:t xml:space="preserve"> Stakeholders report that nevertheless, the deficit based </w:t>
      </w:r>
      <w:r w:rsidR="00B944AD" w:rsidRPr="00EE6679">
        <w:t xml:space="preserve">framing </w:t>
      </w:r>
      <w:r w:rsidR="003C255E" w:rsidRPr="00EE6679">
        <w:t xml:space="preserve">adds to the complexity </w:t>
      </w:r>
      <w:r w:rsidR="00F21436" w:rsidRPr="00EE6679">
        <w:t xml:space="preserve">of applying for ACCS child wellbeing. </w:t>
      </w:r>
      <w:r w:rsidR="001E7BBC" w:rsidRPr="00EE6679">
        <w:t>Evidence is also required from appropriate third-party organisations or professionals</w:t>
      </w:r>
      <w:r w:rsidR="004635DB" w:rsidRPr="00EE6679">
        <w:t xml:space="preserve"> in order to extend an ACCS child wellbeing certificate beyond 6 weeks</w:t>
      </w:r>
      <w:r w:rsidR="005475AD" w:rsidRPr="00EE6679">
        <w:t xml:space="preserve">, to access up to 13 weeks of support. Gathering evidence, or </w:t>
      </w:r>
      <w:r w:rsidR="005475AD" w:rsidRPr="00EE6679">
        <w:lastRenderedPageBreak/>
        <w:t>attending to gather evidence,</w:t>
      </w:r>
      <w:r w:rsidR="005475AD" w:rsidRPr="00EE6679">
        <w:rPr>
          <w:rStyle w:val="FootnoteReference"/>
        </w:rPr>
        <w:footnoteReference w:id="237"/>
      </w:r>
      <w:r w:rsidR="001E7BBC" w:rsidRPr="00EE6679">
        <w:t xml:space="preserve"> can be difficult for remote services</w:t>
      </w:r>
      <w:r w:rsidR="00DE7112" w:rsidRPr="00EE6679">
        <w:t xml:space="preserve"> and</w:t>
      </w:r>
      <w:r w:rsidR="00B65BED" w:rsidRPr="00EE6679">
        <w:t xml:space="preserve"> in </w:t>
      </w:r>
      <w:r w:rsidR="00B63E45" w:rsidRPr="00EE6679">
        <w:t>sensitive</w:t>
      </w:r>
      <w:r w:rsidR="00B65BED" w:rsidRPr="00EE6679">
        <w:t xml:space="preserve"> circumstances such as family violence</w:t>
      </w:r>
      <w:r w:rsidR="00DE7112" w:rsidRPr="00EE6679">
        <w:t xml:space="preserve"> situations</w:t>
      </w:r>
      <w:r w:rsidR="00B65BED" w:rsidRPr="00EE6679">
        <w:t xml:space="preserve">, </w:t>
      </w:r>
      <w:r w:rsidR="001E7BBC" w:rsidRPr="00EE6679">
        <w:t>and for all services adds another cost to supporting families</w:t>
      </w:r>
      <w:r w:rsidR="00EA2328" w:rsidRPr="00EE6679">
        <w:t xml:space="preserve"> through navigating systems in order to acquire appropriate evidence. </w:t>
      </w:r>
    </w:p>
    <w:p w14:paraId="583BD151" w14:textId="77777777" w:rsidR="00253346" w:rsidRDefault="456F6891" w:rsidP="3990717F">
      <w:r>
        <w:t>The Department understands that d</w:t>
      </w:r>
      <w:r w:rsidR="36AB7DAC">
        <w:t xml:space="preserve">elays in processing applications </w:t>
      </w:r>
      <w:r w:rsidR="00260DE3">
        <w:t xml:space="preserve">can </w:t>
      </w:r>
      <w:r w:rsidR="4EF04880">
        <w:t xml:space="preserve">also </w:t>
      </w:r>
      <w:r w:rsidR="36AB7DAC">
        <w:t>result in services accumulating "bad debts" with families</w:t>
      </w:r>
      <w:r w:rsidR="542227B2">
        <w:t>,</w:t>
      </w:r>
      <w:r w:rsidR="36AB7DAC">
        <w:t xml:space="preserve"> </w:t>
      </w:r>
      <w:r w:rsidR="10A0F58D">
        <w:t>i</w:t>
      </w:r>
      <w:r w:rsidR="36AB7DAC">
        <w:t xml:space="preserve">n turn discouraging </w:t>
      </w:r>
      <w:r w:rsidR="5AD3105E">
        <w:t>families</w:t>
      </w:r>
      <w:r w:rsidR="36AB7DAC">
        <w:t xml:space="preserve"> from </w:t>
      </w:r>
      <w:r w:rsidR="6DCCF3B0">
        <w:t>participating</w:t>
      </w:r>
      <w:r w:rsidR="36AB7DAC">
        <w:t>.</w:t>
      </w:r>
      <w:r w:rsidR="1E844EF3">
        <w:t xml:space="preserve"> </w:t>
      </w:r>
      <w:r w:rsidR="00EC310A">
        <w:t>Average processing times for the ACCS child wellbeing was 12.6 days</w:t>
      </w:r>
      <w:r w:rsidR="00D03040">
        <w:t xml:space="preserve"> between September 2023 and December 2023. Average processing time</w:t>
      </w:r>
      <w:r w:rsidR="00EC310A">
        <w:t xml:space="preserve"> for temporary financial hardship was 64.1 </w:t>
      </w:r>
      <w:r w:rsidR="00C61C44">
        <w:t>days</w:t>
      </w:r>
      <w:r w:rsidR="00EC310A">
        <w:t xml:space="preserve"> and for the transition to work ACCS, average processing time was 80.3 days.</w:t>
      </w:r>
      <w:r w:rsidR="00D03040">
        <w:rPr>
          <w:rStyle w:val="FootnoteReference"/>
        </w:rPr>
        <w:footnoteReference w:id="238"/>
      </w:r>
      <w:r w:rsidR="1E844EF3">
        <w:t xml:space="preserve"> </w:t>
      </w:r>
    </w:p>
    <w:p w14:paraId="1B9D2ABA" w14:textId="727D9EA3" w:rsidR="00257B00" w:rsidRDefault="00C751A7" w:rsidP="3990717F">
      <w:r>
        <w:t xml:space="preserve">In some areas, the average processing time </w:t>
      </w:r>
      <w:r w:rsidR="00D03040">
        <w:t>wa</w:t>
      </w:r>
      <w:r>
        <w:t xml:space="preserve">s considerably longer. </w:t>
      </w:r>
      <w:r w:rsidR="00C61C44">
        <w:t xml:space="preserve">With each </w:t>
      </w:r>
      <w:r w:rsidR="00161198">
        <w:t xml:space="preserve">application </w:t>
      </w:r>
      <w:r w:rsidR="00C61C44">
        <w:t xml:space="preserve">there </w:t>
      </w:r>
      <w:r w:rsidR="00161198">
        <w:t xml:space="preserve">is </w:t>
      </w:r>
      <w:r w:rsidR="00C61C44">
        <w:t xml:space="preserve">also the risk of an </w:t>
      </w:r>
      <w:r w:rsidR="00161198">
        <w:t>unsuccessful</w:t>
      </w:r>
      <w:r w:rsidR="00C61C44">
        <w:t xml:space="preserve"> application</w:t>
      </w:r>
      <w:r w:rsidR="00161198">
        <w:t>, meaning that the family is then liable</w:t>
      </w:r>
      <w:r w:rsidR="00C61C44">
        <w:t xml:space="preserve"> for costs</w:t>
      </w:r>
      <w:r w:rsidR="00161198">
        <w:t xml:space="preserve">. </w:t>
      </w:r>
      <w:r w:rsidR="00AB1686">
        <w:t>It</w:t>
      </w:r>
      <w:r w:rsidR="1E844EF3">
        <w:t xml:space="preserve"> isn’t always </w:t>
      </w:r>
      <w:r w:rsidR="14196782">
        <w:t>practical or safe</w:t>
      </w:r>
      <w:r w:rsidR="00AB1686">
        <w:t xml:space="preserve"> to wait until applications reach an outcome</w:t>
      </w:r>
      <w:r w:rsidR="14196782">
        <w:t>, given it can take weeks or even months for approvals to be granted. Furthermore, r</w:t>
      </w:r>
      <w:r w:rsidR="6DBDDD2A">
        <w:t xml:space="preserve">ules around ACCS can create additional complexities. For example, young </w:t>
      </w:r>
      <w:r w:rsidR="58446612">
        <w:t>single parents completing school do not automatically qualify</w:t>
      </w:r>
      <w:r w:rsidR="002B213B">
        <w:t xml:space="preserve"> for the ACCS transition to work</w:t>
      </w:r>
      <w:r w:rsidR="58446612">
        <w:t xml:space="preserve">, and </w:t>
      </w:r>
      <w:r w:rsidR="35CE9886">
        <w:t>recognition</w:t>
      </w:r>
      <w:r w:rsidR="58446612">
        <w:t xml:space="preserve"> </w:t>
      </w:r>
      <w:r w:rsidR="002D218B">
        <w:t xml:space="preserve">of informal </w:t>
      </w:r>
      <w:r w:rsidR="58446612">
        <w:t>kinship relationships</w:t>
      </w:r>
      <w:r w:rsidR="0750711D">
        <w:t xml:space="preserve"> is often</w:t>
      </w:r>
      <w:r w:rsidR="58446612">
        <w:t xml:space="preserve"> </w:t>
      </w:r>
      <w:r w:rsidR="0750711D">
        <w:t>difficult</w:t>
      </w:r>
      <w:r w:rsidR="002B213B">
        <w:t xml:space="preserve"> (formal kinship arrangements are recognised as </w:t>
      </w:r>
      <w:r w:rsidR="00BD38DF">
        <w:t xml:space="preserve">evidence that </w:t>
      </w:r>
      <w:r w:rsidR="002B213B">
        <w:t xml:space="preserve">a </w:t>
      </w:r>
      <w:r w:rsidR="00BD38DF">
        <w:t>child is at risk</w:t>
      </w:r>
      <w:r w:rsidR="00293CD4">
        <w:t xml:space="preserve"> under the ACCS child wellbeing – rather than the grandparent category)</w:t>
      </w:r>
      <w:r w:rsidR="0750711D">
        <w:t>.</w:t>
      </w:r>
      <w:r w:rsidR="002E497C">
        <w:t xml:space="preserve"> </w:t>
      </w:r>
    </w:p>
    <w:tbl>
      <w:tblPr>
        <w:tblStyle w:val="TableGrid"/>
        <w:tblW w:w="0" w:type="auto"/>
        <w:shd w:val="clear" w:color="auto" w:fill="E7E6E6" w:themeFill="background2"/>
        <w:tblCellMar>
          <w:top w:w="113" w:type="dxa"/>
          <w:left w:w="113" w:type="dxa"/>
          <w:bottom w:w="113" w:type="dxa"/>
          <w:right w:w="113" w:type="dxa"/>
        </w:tblCellMar>
        <w:tblLook w:val="04A0" w:firstRow="1" w:lastRow="0" w:firstColumn="1" w:lastColumn="0" w:noHBand="0" w:noVBand="1"/>
      </w:tblPr>
      <w:tblGrid>
        <w:gridCol w:w="9026"/>
      </w:tblGrid>
      <w:tr w:rsidR="00257B00" w14:paraId="11DF1040"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1ECC02C3" w14:textId="40AA8490" w:rsidR="00257B00" w:rsidRPr="00791D45" w:rsidRDefault="00257B00" w:rsidP="00791D45">
            <w:pPr>
              <w:rPr>
                <w:b/>
                <w:iCs/>
              </w:rPr>
            </w:pPr>
            <w:bookmarkStart w:id="376" w:name="_Toc160193897"/>
            <w:bookmarkStart w:id="377" w:name="_Toc158997993"/>
            <w:r w:rsidRPr="00791D45">
              <w:rPr>
                <w:b/>
              </w:rPr>
              <w:t>Box 8.1: Grant operations during COVID-19</w:t>
            </w:r>
            <w:bookmarkEnd w:id="376"/>
            <w:bookmarkEnd w:id="377"/>
          </w:p>
          <w:p w14:paraId="3E129FF3" w14:textId="1482E1C9" w:rsidR="00257B00" w:rsidRDefault="00257B00" w:rsidP="00257B00">
            <w:r>
              <w:t xml:space="preserve">The impact of the COVID-19 pandemic on the provision of child care was largely determined </w:t>
            </w:r>
            <w:r w:rsidR="00115155">
              <w:t>by</w:t>
            </w:r>
            <w:r>
              <w:t xml:space="preserve"> the degree that state and territory governments enforced their closures. In the state of Victoria, periods of closure where significant while in Western Australia, they were short and infrequent.</w:t>
            </w:r>
            <w:r w:rsidR="002E497C">
              <w:t xml:space="preserve"> </w:t>
            </w:r>
          </w:p>
          <w:p w14:paraId="6B8F0C82" w14:textId="52D77247" w:rsidR="00257B00" w:rsidRPr="0028613F" w:rsidRDefault="00257B00" w:rsidP="00257B00">
            <w:r>
              <w:t xml:space="preserve">In April 2020, a relief package was introduced nationally to child care providers in order to help parents who were deemed to be “essential workers” continue to perform their roles. </w:t>
            </w:r>
            <w:r w:rsidRPr="0028613F">
              <w:t>Under the relief package</w:t>
            </w:r>
            <w:r>
              <w:t xml:space="preserve"> </w:t>
            </w:r>
            <w:r w:rsidRPr="0028613F">
              <w:t>the government offered to pay 50</w:t>
            </w:r>
            <w:r w:rsidR="00D97EF8">
              <w:t xml:space="preserve"> per cent</w:t>
            </w:r>
            <w:r w:rsidRPr="0028613F">
              <w:t xml:space="preserve"> of child</w:t>
            </w:r>
            <w:r>
              <w:t xml:space="preserve"> </w:t>
            </w:r>
            <w:r w:rsidRPr="0028613F">
              <w:t>care centres’ usual fees based on February enrolments</w:t>
            </w:r>
            <w:r>
              <w:t xml:space="preserve">, </w:t>
            </w:r>
            <w:r w:rsidRPr="00A86221">
              <w:t>suspend</w:t>
            </w:r>
            <w:r>
              <w:t>ing</w:t>
            </w:r>
            <w:r w:rsidRPr="00A86221">
              <w:t xml:space="preserve"> its usual child</w:t>
            </w:r>
            <w:r>
              <w:t xml:space="preserve"> </w:t>
            </w:r>
            <w:r w:rsidRPr="00A86221">
              <w:t>care subsidies</w:t>
            </w:r>
            <w:r>
              <w:t>.</w:t>
            </w:r>
          </w:p>
          <w:p w14:paraId="69DFD242" w14:textId="6E3592C1" w:rsidR="00257B00" w:rsidRDefault="00257B00" w:rsidP="00257B00">
            <w:r>
              <w:t>Services who chose to opt in to the new system were required to wave their out-of-pocket fees with the understanding that a smaller number of attending children would reduce costs (given only children of essential workers could attend) and the balance of any shortfall would be made up through the jobkeeper wage subsidy.</w:t>
            </w:r>
            <w:r w:rsidR="002E497C">
              <w:t xml:space="preserve"> </w:t>
            </w:r>
          </w:p>
          <w:p w14:paraId="4A9211B5" w14:textId="77777777" w:rsidR="00257B00" w:rsidRDefault="00257B00" w:rsidP="00257B00">
            <w:r>
              <w:t xml:space="preserve">One CCCFR funded service provider in the Northern Territory reported an increase in participation from children during the COVID-19 pandemic due to both the removal of fees and the removal of barriers associated with accessing CCS/ACCS. </w:t>
            </w:r>
          </w:p>
          <w:p w14:paraId="55936037" w14:textId="706675C5" w:rsidR="00257B00" w:rsidRPr="00F625F9" w:rsidRDefault="00257B00">
            <w:r>
              <w:t>Nationally, there was broad support for the package from child care providers, however some of the limitations, such as causal workers and workers on temporary visas being eligible for jobkeeper, would have impacted CCCFR funded services.</w:t>
            </w:r>
            <w:r>
              <w:rPr>
                <w:rStyle w:val="FootnoteReference"/>
              </w:rPr>
              <w:footnoteReference w:id="239"/>
            </w:r>
            <w:r w:rsidR="002E497C">
              <w:t xml:space="preserve">  </w:t>
            </w:r>
            <w:r>
              <w:t xml:space="preserve"> </w:t>
            </w:r>
          </w:p>
        </w:tc>
      </w:tr>
    </w:tbl>
    <w:p w14:paraId="4D987290" w14:textId="603C17C5" w:rsidR="00671C26" w:rsidRPr="00C56215" w:rsidRDefault="00671C26" w:rsidP="00C56215">
      <w:pPr>
        <w:pStyle w:val="Heading2"/>
        <w:spacing w:after="240"/>
      </w:pPr>
      <w:bookmarkStart w:id="378" w:name="_Toc158993776"/>
      <w:bookmarkStart w:id="379" w:name="_Toc170227423"/>
      <w:r w:rsidRPr="00C56215">
        <w:lastRenderedPageBreak/>
        <w:t xml:space="preserve">Leasing arrangements </w:t>
      </w:r>
      <w:r w:rsidR="00D8459F" w:rsidRPr="00C56215">
        <w:t>and their relationship with the grant objectives</w:t>
      </w:r>
      <w:bookmarkEnd w:id="378"/>
      <w:bookmarkEnd w:id="379"/>
    </w:p>
    <w:tbl>
      <w:tblPr>
        <w:tblStyle w:val="TableGrid"/>
        <w:tblW w:w="9072" w:type="dxa"/>
        <w:tblBorders>
          <w:left w:val="double" w:sz="12" w:space="0" w:color="012169" w:themeColor="accent4"/>
        </w:tblBorders>
        <w:tblCellMar>
          <w:top w:w="85" w:type="dxa"/>
          <w:left w:w="227" w:type="dxa"/>
          <w:bottom w:w="85" w:type="dxa"/>
          <w:right w:w="113" w:type="dxa"/>
        </w:tblCellMar>
        <w:tblLook w:val="04A0" w:firstRow="1" w:lastRow="0" w:firstColumn="1" w:lastColumn="0" w:noHBand="0" w:noVBand="1"/>
      </w:tblPr>
      <w:tblGrid>
        <w:gridCol w:w="9072"/>
      </w:tblGrid>
      <w:tr w:rsidR="00B97B0F" w:rsidRPr="00BD1248" w14:paraId="2BD3BE92" w14:textId="77777777" w:rsidTr="00E7733C">
        <w:trPr>
          <w:cnfStyle w:val="100000000000" w:firstRow="1" w:lastRow="0" w:firstColumn="0" w:lastColumn="0" w:oddVBand="0" w:evenVBand="0" w:oddHBand="0" w:evenHBand="0" w:firstRowFirstColumn="0" w:firstRowLastColumn="0" w:lastRowFirstColumn="0" w:lastRowLastColumn="0"/>
          <w:cantSplit/>
        </w:trPr>
        <w:tc>
          <w:tcPr>
            <w:tcW w:w="9072" w:type="dxa"/>
            <w:shd w:val="clear" w:color="auto" w:fill="DFF0F9" w:themeFill="accent3" w:themeFillTint="33"/>
          </w:tcPr>
          <w:p w14:paraId="24D86C35" w14:textId="77777777" w:rsidR="00257B00" w:rsidRDefault="00257B00">
            <w:pPr>
              <w:spacing w:after="120"/>
              <w:rPr>
                <w:b/>
                <w:bCs/>
                <w:i/>
                <w:iCs/>
              </w:rPr>
            </w:pPr>
            <w:r w:rsidRPr="00B95090">
              <w:rPr>
                <w:b/>
                <w:bCs/>
                <w:i/>
                <w:iCs/>
              </w:rPr>
              <w:t>Key research questio</w:t>
            </w:r>
            <w:r>
              <w:rPr>
                <w:b/>
                <w:bCs/>
                <w:i/>
                <w:iCs/>
              </w:rPr>
              <w:t>ns</w:t>
            </w:r>
          </w:p>
          <w:p w14:paraId="3670C51D" w14:textId="77777777" w:rsidR="00257B00" w:rsidRPr="00553ACA" w:rsidRDefault="00257B00" w:rsidP="00257B00">
            <w:pPr>
              <w:rPr>
                <w:i/>
                <w:iCs/>
              </w:rPr>
            </w:pPr>
            <w:r w:rsidRPr="00553ACA">
              <w:rPr>
                <w:i/>
                <w:iCs/>
              </w:rPr>
              <w:t>How are leasing arrangements structured and managed under the CCCFR grant?</w:t>
            </w:r>
          </w:p>
          <w:p w14:paraId="794365B9" w14:textId="4239C03B" w:rsidR="00257B00" w:rsidRPr="00553ACA" w:rsidRDefault="00257B00" w:rsidP="00257B00">
            <w:pPr>
              <w:rPr>
                <w:i/>
                <w:iCs/>
              </w:rPr>
            </w:pPr>
            <w:r w:rsidRPr="00553ACA">
              <w:rPr>
                <w:i/>
                <w:iCs/>
              </w:rPr>
              <w:t xml:space="preserve">Are there any challenges or issues identified in current leasing arrangements that </w:t>
            </w:r>
            <w:r>
              <w:rPr>
                <w:i/>
                <w:iCs/>
              </w:rPr>
              <w:t>depend</w:t>
            </w:r>
            <w:r w:rsidRPr="00553ACA">
              <w:rPr>
                <w:i/>
                <w:iCs/>
              </w:rPr>
              <w:t xml:space="preserve"> on the delivery of high-quality ECEC, including issues relating to financial viability?</w:t>
            </w:r>
          </w:p>
          <w:p w14:paraId="3F68A020" w14:textId="29A27055" w:rsidR="00257B00" w:rsidRPr="00D611B7" w:rsidRDefault="00257B00" w:rsidP="00257B00">
            <w:pPr>
              <w:spacing w:before="120" w:after="120"/>
              <w:rPr>
                <w:i/>
              </w:rPr>
            </w:pPr>
            <w:r w:rsidRPr="00553ACA">
              <w:rPr>
                <w:i/>
                <w:iCs/>
              </w:rPr>
              <w:t>Do current leasing arrangements enable long-term sustainable child care services</w:t>
            </w:r>
            <w:r>
              <w:rPr>
                <w:i/>
                <w:iCs/>
              </w:rPr>
              <w:t>?</w:t>
            </w:r>
          </w:p>
        </w:tc>
      </w:tr>
    </w:tbl>
    <w:p w14:paraId="2925ACEA" w14:textId="77777777" w:rsidR="00257B00" w:rsidRPr="00257B00" w:rsidRDefault="00257B00" w:rsidP="00257B00"/>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553ACA" w14:paraId="4D478FA5" w14:textId="77777777" w:rsidTr="00C40BCD">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47DC6430" w14:textId="77777777" w:rsidR="00E45F0F" w:rsidRPr="00EA70EB" w:rsidRDefault="00E45F0F" w:rsidP="00EA70EB">
            <w:pPr>
              <w:rPr>
                <w:b/>
              </w:rPr>
            </w:pPr>
            <w:r w:rsidRPr="00EA70EB">
              <w:rPr>
                <w:b/>
              </w:rPr>
              <w:t>Review finding 40</w:t>
            </w:r>
          </w:p>
          <w:p w14:paraId="6F7DEF05" w14:textId="5091E314" w:rsidR="00553ACA" w:rsidRPr="00CA3305" w:rsidRDefault="00E45F0F" w:rsidP="00CA3305">
            <w:r>
              <w:t xml:space="preserve">Of the various leasing arrangements currently </w:t>
            </w:r>
            <w:r w:rsidRPr="00F54118">
              <w:t>in place, the Management Agreement appears to better accommodate the delivery of child</w:t>
            </w:r>
            <w:r w:rsidR="006676CD">
              <w:t xml:space="preserve"> </w:t>
            </w:r>
            <w:r w:rsidRPr="00F54118">
              <w:t xml:space="preserve">care services, clearly outlining obligations of the parties to the agreement and imposing obligations on the Commonwealth and/or the operator to maintain building compliance. </w:t>
            </w:r>
            <w:r w:rsidR="004662C9">
              <w:t xml:space="preserve">However, there are </w:t>
            </w:r>
            <w:r w:rsidR="00860E4A">
              <w:t xml:space="preserve">ways the </w:t>
            </w:r>
            <w:r w:rsidR="00860E4A" w:rsidRPr="00364372">
              <w:t>Management Agreement could be strengthened for future arrangements</w:t>
            </w:r>
            <w:r w:rsidR="00860E4A">
              <w:t>.</w:t>
            </w:r>
          </w:p>
        </w:tc>
      </w:tr>
    </w:tbl>
    <w:p w14:paraId="4D5E9E75" w14:textId="08C8C1B0" w:rsidR="00553ACA" w:rsidRPr="00C81B54" w:rsidRDefault="00553ACA" w:rsidP="00553ACA">
      <w:pPr>
        <w:spacing w:before="170"/>
        <w:rPr>
          <w:b/>
          <w:bCs/>
        </w:rPr>
      </w:pPr>
      <w:r w:rsidRPr="00C81B54">
        <w:rPr>
          <w:b/>
          <w:bCs/>
        </w:rPr>
        <w:t xml:space="preserve">Supporting evidence for this finding is drawn from </w:t>
      </w:r>
      <w:r>
        <w:rPr>
          <w:b/>
          <w:bCs/>
        </w:rPr>
        <w:t>consultations and document analysis</w:t>
      </w:r>
      <w:r w:rsidRPr="00C81B54">
        <w:rPr>
          <w:b/>
          <w:bCs/>
        </w:rPr>
        <w:t>.</w:t>
      </w:r>
    </w:p>
    <w:p w14:paraId="5DB3A1F8" w14:textId="2B1E6910" w:rsidR="00133F9F" w:rsidRDefault="0028592A" w:rsidP="001C655F">
      <w:pPr>
        <w:spacing w:before="120" w:line="240" w:lineRule="auto"/>
        <w:rPr>
          <w:rFonts w:asciiTheme="majorHAnsi" w:hAnsiTheme="majorHAnsi" w:cstheme="majorHAnsi"/>
        </w:rPr>
      </w:pPr>
      <w:r w:rsidRPr="00B3751B">
        <w:rPr>
          <w:rFonts w:asciiTheme="majorHAnsi" w:hAnsiTheme="majorHAnsi" w:cstheme="majorHAnsi"/>
        </w:rPr>
        <w:t>Of the two arrangements in place (</w:t>
      </w:r>
      <w:r w:rsidRPr="00257B00">
        <w:rPr>
          <w:rFonts w:asciiTheme="majorHAnsi" w:hAnsiTheme="majorHAnsi" w:cstheme="majorHAnsi"/>
        </w:rPr>
        <w:t xml:space="preserve">see </w:t>
      </w:r>
      <w:r w:rsidR="00257B00" w:rsidRPr="00257B00">
        <w:rPr>
          <w:rFonts w:asciiTheme="majorHAnsi" w:hAnsiTheme="majorHAnsi" w:cstheme="majorHAnsi"/>
        </w:rPr>
        <w:t>s</w:t>
      </w:r>
      <w:r w:rsidRPr="00257B00">
        <w:rPr>
          <w:rFonts w:asciiTheme="majorHAnsi" w:hAnsiTheme="majorHAnsi" w:cstheme="majorHAnsi"/>
        </w:rPr>
        <w:t xml:space="preserve">ection </w:t>
      </w:r>
      <w:r w:rsidRPr="00257B00">
        <w:rPr>
          <w:rFonts w:asciiTheme="majorHAnsi" w:hAnsiTheme="majorHAnsi" w:cstheme="majorHAnsi"/>
        </w:rPr>
        <w:fldChar w:fldCharType="begin"/>
      </w:r>
      <w:r w:rsidRPr="00257B00">
        <w:rPr>
          <w:rFonts w:asciiTheme="majorHAnsi" w:hAnsiTheme="majorHAnsi" w:cstheme="majorHAnsi"/>
        </w:rPr>
        <w:instrText xml:space="preserve"> REF _Ref153381372 \r \h </w:instrText>
      </w:r>
      <w:r w:rsidR="00486B3C" w:rsidRPr="00257B00">
        <w:rPr>
          <w:rFonts w:asciiTheme="majorHAnsi" w:hAnsiTheme="majorHAnsi" w:cstheme="majorHAnsi"/>
        </w:rPr>
        <w:instrText xml:space="preserve"> \* MERGEFORMAT </w:instrText>
      </w:r>
      <w:r w:rsidRPr="00257B00">
        <w:rPr>
          <w:rFonts w:asciiTheme="majorHAnsi" w:hAnsiTheme="majorHAnsi" w:cstheme="majorHAnsi"/>
        </w:rPr>
      </w:r>
      <w:r w:rsidRPr="00257B00">
        <w:rPr>
          <w:rFonts w:asciiTheme="majorHAnsi" w:hAnsiTheme="majorHAnsi" w:cstheme="majorHAnsi"/>
        </w:rPr>
        <w:fldChar w:fldCharType="separate"/>
      </w:r>
      <w:r w:rsidR="00D300D0">
        <w:rPr>
          <w:rFonts w:asciiTheme="majorHAnsi" w:hAnsiTheme="majorHAnsi" w:cstheme="majorHAnsi"/>
        </w:rPr>
        <w:t>2.3.5</w:t>
      </w:r>
      <w:r w:rsidRPr="00257B00">
        <w:rPr>
          <w:rFonts w:asciiTheme="majorHAnsi" w:hAnsiTheme="majorHAnsi" w:cstheme="majorHAnsi"/>
        </w:rPr>
        <w:fldChar w:fldCharType="end"/>
      </w:r>
      <w:r w:rsidRPr="00257B00">
        <w:rPr>
          <w:rFonts w:asciiTheme="majorHAnsi" w:hAnsiTheme="majorHAnsi" w:cstheme="majorHAnsi"/>
        </w:rPr>
        <w:t>),</w:t>
      </w:r>
      <w:r w:rsidRPr="00B3751B">
        <w:rPr>
          <w:rFonts w:asciiTheme="majorHAnsi" w:hAnsiTheme="majorHAnsi" w:cstheme="majorHAnsi"/>
        </w:rPr>
        <w:t xml:space="preserve"> t</w:t>
      </w:r>
      <w:r w:rsidR="00133F9F" w:rsidRPr="000B4497">
        <w:rPr>
          <w:rFonts w:asciiTheme="majorHAnsi" w:hAnsiTheme="majorHAnsi" w:cstheme="majorHAnsi"/>
        </w:rPr>
        <w:t xml:space="preserve">he Management Agreement </w:t>
      </w:r>
      <w:r w:rsidR="00133F9F">
        <w:rPr>
          <w:rFonts w:asciiTheme="majorHAnsi" w:hAnsiTheme="majorHAnsi" w:cstheme="majorHAnsi"/>
        </w:rPr>
        <w:t>appears to better accommodate the delivery of the services on the respective school sites</w:t>
      </w:r>
      <w:r w:rsidR="00D03412">
        <w:rPr>
          <w:rFonts w:asciiTheme="majorHAnsi" w:hAnsiTheme="majorHAnsi" w:cstheme="majorHAnsi"/>
        </w:rPr>
        <w:t xml:space="preserve">. </w:t>
      </w:r>
      <w:r w:rsidR="00D03412" w:rsidRPr="00B3751B">
        <w:rPr>
          <w:rFonts w:asciiTheme="majorHAnsi" w:hAnsiTheme="majorHAnsi" w:cstheme="majorHAnsi"/>
        </w:rPr>
        <w:t>It more</w:t>
      </w:r>
      <w:r w:rsidR="00133F9F" w:rsidRPr="00B3751B">
        <w:rPr>
          <w:rFonts w:asciiTheme="majorHAnsi" w:hAnsiTheme="majorHAnsi" w:cstheme="majorHAnsi"/>
        </w:rPr>
        <w:t xml:space="preserve"> </w:t>
      </w:r>
      <w:r w:rsidR="00133F9F">
        <w:rPr>
          <w:rFonts w:asciiTheme="majorHAnsi" w:hAnsiTheme="majorHAnsi" w:cstheme="majorHAnsi"/>
        </w:rPr>
        <w:t>clearly defines the obligations of each party to the agreement in terms of the delivery of the services and the requirement for the Commonwealth to ensure that the building and facilities remain in good condition and compliant with the applicable regulations in relation to a building for the proposed purposes, while still providing tenure certainty.</w:t>
      </w:r>
    </w:p>
    <w:p w14:paraId="4F597C70" w14:textId="77777777" w:rsidR="00133F9F" w:rsidRDefault="00133F9F" w:rsidP="001C655F">
      <w:pPr>
        <w:spacing w:before="120" w:line="240" w:lineRule="auto"/>
        <w:rPr>
          <w:rFonts w:asciiTheme="majorHAnsi" w:hAnsiTheme="majorHAnsi" w:cstheme="majorHAnsi"/>
        </w:rPr>
      </w:pPr>
      <w:r>
        <w:rPr>
          <w:rFonts w:asciiTheme="majorHAnsi" w:hAnsiTheme="majorHAnsi" w:cstheme="majorHAnsi"/>
        </w:rPr>
        <w:t>The land lease agreements on the other hand appear to focus more on the commercial lease terms and the process around rental setting (and rental dispute) mechanisms and don’t seem to imply any obligations on the lessee but rather give a right to use the leased property for the permitted purpose.</w:t>
      </w:r>
    </w:p>
    <w:p w14:paraId="3707AA42" w14:textId="5A165383" w:rsidR="00133F9F" w:rsidRDefault="00133F9F" w:rsidP="001C655F">
      <w:pPr>
        <w:spacing w:before="120" w:line="240" w:lineRule="auto"/>
        <w:rPr>
          <w:rFonts w:asciiTheme="majorHAnsi" w:hAnsiTheme="majorHAnsi" w:cstheme="majorHAnsi"/>
        </w:rPr>
      </w:pPr>
      <w:r>
        <w:rPr>
          <w:rFonts w:asciiTheme="majorHAnsi" w:hAnsiTheme="majorHAnsi" w:cstheme="majorHAnsi"/>
        </w:rPr>
        <w:t xml:space="preserve">On the basis that achieving a “market rent” or a commercial return on the asset base does not appear to be the main objective, which </w:t>
      </w:r>
      <w:r w:rsidR="00E509F8" w:rsidRPr="00EB0B2A">
        <w:rPr>
          <w:rFonts w:asciiTheme="majorHAnsi" w:hAnsiTheme="majorHAnsi" w:cstheme="majorHAnsi"/>
        </w:rPr>
        <w:t>is</w:t>
      </w:r>
      <w:r w:rsidRPr="00EB0B2A">
        <w:rPr>
          <w:rFonts w:asciiTheme="majorHAnsi" w:hAnsiTheme="majorHAnsi" w:cstheme="majorHAnsi"/>
        </w:rPr>
        <w:t xml:space="preserve"> </w:t>
      </w:r>
      <w:r>
        <w:rPr>
          <w:rFonts w:asciiTheme="majorHAnsi" w:hAnsiTheme="majorHAnsi" w:cstheme="majorHAnsi"/>
        </w:rPr>
        <w:t>underst</w:t>
      </w:r>
      <w:r w:rsidR="00E509F8">
        <w:rPr>
          <w:rFonts w:asciiTheme="majorHAnsi" w:hAnsiTheme="majorHAnsi" w:cstheme="majorHAnsi"/>
        </w:rPr>
        <w:t>ood</w:t>
      </w:r>
      <w:r>
        <w:rPr>
          <w:rFonts w:asciiTheme="majorHAnsi" w:hAnsiTheme="majorHAnsi" w:cstheme="majorHAnsi"/>
        </w:rPr>
        <w:t xml:space="preserve"> to be a</w:t>
      </w:r>
      <w:r w:rsidRPr="000B4497">
        <w:rPr>
          <w:rFonts w:asciiTheme="majorHAnsi" w:hAnsiTheme="majorHAnsi" w:cstheme="majorHAnsi"/>
        </w:rPr>
        <w:t xml:space="preserve"> tenure arrangement to facilitate child</w:t>
      </w:r>
      <w:r w:rsidR="00DF53BE">
        <w:rPr>
          <w:rFonts w:asciiTheme="majorHAnsi" w:hAnsiTheme="majorHAnsi" w:cstheme="majorHAnsi"/>
        </w:rPr>
        <w:t xml:space="preserve"> </w:t>
      </w:r>
      <w:r w:rsidRPr="000B4497">
        <w:rPr>
          <w:rFonts w:asciiTheme="majorHAnsi" w:hAnsiTheme="majorHAnsi" w:cstheme="majorHAnsi"/>
        </w:rPr>
        <w:t>care and early education services</w:t>
      </w:r>
      <w:r w:rsidR="00EB0B2A" w:rsidRPr="00EB0B2A">
        <w:rPr>
          <w:rFonts w:asciiTheme="majorHAnsi" w:hAnsiTheme="majorHAnsi" w:cstheme="majorHAnsi"/>
        </w:rPr>
        <w:t>,</w:t>
      </w:r>
      <w:r w:rsidR="00E509F8" w:rsidRPr="00EB0B2A">
        <w:rPr>
          <w:rFonts w:asciiTheme="majorHAnsi" w:hAnsiTheme="majorHAnsi" w:cstheme="majorHAnsi"/>
        </w:rPr>
        <w:t xml:space="preserve"> </w:t>
      </w:r>
      <w:r w:rsidR="00EB0B2A" w:rsidRPr="00EB0B2A">
        <w:rPr>
          <w:rFonts w:asciiTheme="majorHAnsi" w:hAnsiTheme="majorHAnsi" w:cstheme="majorHAnsi"/>
        </w:rPr>
        <w:t>t</w:t>
      </w:r>
      <w:r w:rsidRPr="00EB0B2A">
        <w:rPr>
          <w:rFonts w:asciiTheme="majorHAnsi" w:hAnsiTheme="majorHAnsi" w:cstheme="majorHAnsi"/>
        </w:rPr>
        <w:t>he</w:t>
      </w:r>
      <w:r>
        <w:rPr>
          <w:rFonts w:asciiTheme="majorHAnsi" w:hAnsiTheme="majorHAnsi" w:cstheme="majorHAnsi"/>
        </w:rPr>
        <w:t xml:space="preserve"> management agreement appears to be more closely aligned with the objectives</w:t>
      </w:r>
      <w:r w:rsidR="00E509F8">
        <w:rPr>
          <w:rFonts w:asciiTheme="majorHAnsi" w:hAnsiTheme="majorHAnsi" w:cstheme="majorHAnsi"/>
        </w:rPr>
        <w:t xml:space="preserve"> </w:t>
      </w:r>
      <w:r w:rsidR="00E509F8" w:rsidRPr="00EB0B2A">
        <w:rPr>
          <w:rFonts w:asciiTheme="majorHAnsi" w:hAnsiTheme="majorHAnsi" w:cstheme="majorHAnsi"/>
        </w:rPr>
        <w:t>of the CCCFR grant</w:t>
      </w:r>
      <w:r w:rsidRPr="000B4497">
        <w:rPr>
          <w:rFonts w:asciiTheme="majorHAnsi" w:hAnsiTheme="majorHAnsi" w:cstheme="majorHAnsi"/>
        </w:rPr>
        <w:t xml:space="preserve">. </w:t>
      </w:r>
    </w:p>
    <w:p w14:paraId="3C1B6A16" w14:textId="578ED01F" w:rsidR="00133F9F" w:rsidRDefault="00133F9F" w:rsidP="001C655F">
      <w:pPr>
        <w:spacing w:before="120" w:line="240" w:lineRule="auto"/>
        <w:rPr>
          <w:rFonts w:asciiTheme="majorHAnsi" w:hAnsiTheme="majorHAnsi" w:cstheme="majorHAnsi"/>
        </w:rPr>
      </w:pPr>
      <w:r>
        <w:rPr>
          <w:rFonts w:asciiTheme="majorHAnsi" w:hAnsiTheme="majorHAnsi" w:cstheme="majorHAnsi"/>
        </w:rPr>
        <w:t>Indeed under both agreements, the consideration (rent or administration fee) would not be sufficient to cover the costs of administering the agreement or resolving a dispute.</w:t>
      </w:r>
      <w:r w:rsidR="002E497C">
        <w:rPr>
          <w:rFonts w:asciiTheme="majorHAnsi" w:hAnsiTheme="majorHAnsi" w:cstheme="majorHAnsi"/>
        </w:rPr>
        <w:t xml:space="preserve"> </w:t>
      </w:r>
      <w:r>
        <w:rPr>
          <w:rFonts w:asciiTheme="majorHAnsi" w:hAnsiTheme="majorHAnsi" w:cstheme="majorHAnsi"/>
        </w:rPr>
        <w:t>Under the land lease arrangement, the rent appears to be based on the unimproved value of the land irrespective of whether the “premises” includes any buildings or site improvements.</w:t>
      </w:r>
      <w:r w:rsidR="002E497C">
        <w:rPr>
          <w:rFonts w:asciiTheme="majorHAnsi" w:hAnsiTheme="majorHAnsi" w:cstheme="majorHAnsi"/>
        </w:rPr>
        <w:t xml:space="preserve"> </w:t>
      </w:r>
      <w:r>
        <w:rPr>
          <w:rFonts w:asciiTheme="majorHAnsi" w:hAnsiTheme="majorHAnsi" w:cstheme="majorHAnsi"/>
        </w:rPr>
        <w:t>Where the leased site does include buildings or site improvements, a rent calculated on the land component alone would not (assuming the buildings are functional and generally fit for purpose) reflect a commercial return.</w:t>
      </w:r>
    </w:p>
    <w:p w14:paraId="1714FB86" w14:textId="77777777" w:rsidR="00D15904" w:rsidRPr="00553ACA" w:rsidRDefault="00D15904" w:rsidP="00553ACA">
      <w:pPr>
        <w:pStyle w:val="Heading2"/>
        <w:spacing w:after="240"/>
      </w:pPr>
      <w:bookmarkStart w:id="380" w:name="_Toc153469452"/>
      <w:bookmarkStart w:id="381" w:name="_Toc153469586"/>
      <w:bookmarkStart w:id="382" w:name="_Toc158993777"/>
      <w:bookmarkStart w:id="383" w:name="_Toc170227424"/>
      <w:bookmarkEnd w:id="380"/>
      <w:bookmarkEnd w:id="381"/>
      <w:r w:rsidRPr="00553ACA">
        <w:lastRenderedPageBreak/>
        <w:t xml:space="preserve">Infrastructure </w:t>
      </w:r>
      <w:r w:rsidR="00DB0873" w:rsidRPr="00553ACA">
        <w:t xml:space="preserve">funding, suitability and </w:t>
      </w:r>
      <w:r w:rsidR="007A2E96" w:rsidRPr="00553ACA">
        <w:t>environmental sustainability</w:t>
      </w:r>
      <w:bookmarkEnd w:id="382"/>
      <w:bookmarkEnd w:id="383"/>
    </w:p>
    <w:tbl>
      <w:tblPr>
        <w:tblStyle w:val="TableGrid"/>
        <w:tblW w:w="0" w:type="auto"/>
        <w:shd w:val="clear" w:color="auto" w:fill="DFF0F9" w:themeFill="accent3" w:themeFillTint="33"/>
        <w:tblCellMar>
          <w:top w:w="113" w:type="dxa"/>
          <w:left w:w="113" w:type="dxa"/>
          <w:bottom w:w="113" w:type="dxa"/>
          <w:right w:w="113" w:type="dxa"/>
        </w:tblCellMar>
        <w:tblLook w:val="04A0" w:firstRow="1" w:lastRow="0" w:firstColumn="1" w:lastColumn="0" w:noHBand="0" w:noVBand="1"/>
      </w:tblPr>
      <w:tblGrid>
        <w:gridCol w:w="8966"/>
      </w:tblGrid>
      <w:tr w:rsidR="00836CAB" w:rsidRPr="00BD1248" w14:paraId="29F00A63" w14:textId="77777777" w:rsidTr="00257B00">
        <w:trPr>
          <w:cnfStyle w:val="100000000000" w:firstRow="1" w:lastRow="0" w:firstColumn="0" w:lastColumn="0" w:oddVBand="0" w:evenVBand="0" w:oddHBand="0" w:evenHBand="0" w:firstRowFirstColumn="0" w:firstRowLastColumn="0" w:lastRowFirstColumn="0" w:lastRowLastColumn="0"/>
          <w:cantSplit/>
          <w:trHeight w:val="3385"/>
        </w:trPr>
        <w:tc>
          <w:tcPr>
            <w:tcW w:w="8966" w:type="dxa"/>
            <w:shd w:val="clear" w:color="auto" w:fill="DFF0F9" w:themeFill="accent3" w:themeFillTint="33"/>
          </w:tcPr>
          <w:p w14:paraId="046A2913" w14:textId="77777777" w:rsidR="00553ACA" w:rsidRDefault="00553ACA">
            <w:pPr>
              <w:spacing w:after="120"/>
              <w:rPr>
                <w:b/>
                <w:bCs/>
                <w:i/>
                <w:iCs/>
              </w:rPr>
            </w:pPr>
            <w:r w:rsidRPr="00B95090">
              <w:rPr>
                <w:b/>
                <w:bCs/>
                <w:i/>
                <w:iCs/>
              </w:rPr>
              <w:t>Key research questio</w:t>
            </w:r>
            <w:r>
              <w:rPr>
                <w:b/>
                <w:bCs/>
                <w:i/>
                <w:iCs/>
              </w:rPr>
              <w:t>ns</w:t>
            </w:r>
          </w:p>
          <w:p w14:paraId="0D04545D" w14:textId="7A252F80" w:rsidR="00553ACA" w:rsidRPr="00CA6505" w:rsidRDefault="00553ACA" w:rsidP="00CA6505">
            <w:pPr>
              <w:rPr>
                <w:i/>
                <w:iCs/>
              </w:rPr>
            </w:pPr>
            <w:r w:rsidRPr="00CA6505">
              <w:rPr>
                <w:i/>
                <w:iCs/>
              </w:rPr>
              <w:t>To what extent does the management of capital investment and infrastructure under the CCCFR grant meet the needs of children, families and communities?</w:t>
            </w:r>
          </w:p>
          <w:p w14:paraId="4D0AFF38" w14:textId="77777777" w:rsidR="00CA6505" w:rsidRPr="00CA6505" w:rsidRDefault="00CA6505" w:rsidP="00CA6505">
            <w:pPr>
              <w:rPr>
                <w:i/>
                <w:iCs/>
              </w:rPr>
            </w:pPr>
            <w:r w:rsidRPr="00CA6505">
              <w:rPr>
                <w:i/>
                <w:iCs/>
              </w:rPr>
              <w:t>To what extent do grant arrangements support capital investment to enable the environmental sustainability of assets, both now and in the future?</w:t>
            </w:r>
          </w:p>
          <w:p w14:paraId="51B2C019" w14:textId="5F383FCB" w:rsidR="00CA6505" w:rsidRPr="00CA6505" w:rsidRDefault="00CA6505" w:rsidP="00CA6505">
            <w:pPr>
              <w:rPr>
                <w:i/>
                <w:iCs/>
              </w:rPr>
            </w:pPr>
            <w:r w:rsidRPr="00CA6505">
              <w:rPr>
                <w:i/>
                <w:iCs/>
              </w:rPr>
              <w:t>To what extent could the grant support staff accommodation in remote and very remote locations, both now and in the future?</w:t>
            </w:r>
          </w:p>
          <w:p w14:paraId="159602DE" w14:textId="77777777" w:rsidR="00CA6505" w:rsidRPr="00CA6505" w:rsidRDefault="00CA6505" w:rsidP="00CA6505">
            <w:pPr>
              <w:rPr>
                <w:i/>
                <w:iCs/>
              </w:rPr>
            </w:pPr>
            <w:r w:rsidRPr="00CA6505">
              <w:rPr>
                <w:i/>
                <w:iCs/>
              </w:rPr>
              <w:t>What is the condition and suitability of the existing child care infrastructure and assets managed under the CCCFR grant?</w:t>
            </w:r>
          </w:p>
          <w:p w14:paraId="593D90FC" w14:textId="358D77A2" w:rsidR="00553ACA" w:rsidRPr="0001253E" w:rsidRDefault="00CA6505">
            <w:pPr>
              <w:rPr>
                <w:i/>
                <w:iCs/>
              </w:rPr>
            </w:pPr>
            <w:r w:rsidRPr="00CA6505">
              <w:rPr>
                <w:i/>
                <w:iCs/>
              </w:rPr>
              <w:t>To what extent do existing assets require refurbishment to ensure safe and high-quality environments for children?</w:t>
            </w:r>
          </w:p>
        </w:tc>
      </w:tr>
    </w:tbl>
    <w:p w14:paraId="42F40484" w14:textId="240E1207" w:rsidR="00553ACA" w:rsidRDefault="6D18094A" w:rsidP="00553ACA">
      <w:r>
        <w:t xml:space="preserve">For services in remote and very remote </w:t>
      </w:r>
      <w:r w:rsidR="39FEC619">
        <w:t>areas</w:t>
      </w:r>
      <w:r>
        <w:t xml:space="preserve">, while every effort is typically made to identify, recruit and support the training of </w:t>
      </w:r>
      <w:r w:rsidR="752C1AF0">
        <w:t xml:space="preserve">local </w:t>
      </w:r>
      <w:r w:rsidR="61D67771">
        <w:t>community members, when these options are exhausted</w:t>
      </w:r>
      <w:r w:rsidR="00013446">
        <w:t>,</w:t>
      </w:r>
      <w:r w:rsidR="61D67771">
        <w:t xml:space="preserve"> services must recruit from outside the community</w:t>
      </w:r>
      <w:r w:rsidR="68D00EBF">
        <w:t xml:space="preserve"> in order to keep the service open</w:t>
      </w:r>
      <w:r w:rsidR="481E0742">
        <w:t>.</w:t>
      </w:r>
      <w:r w:rsidR="61D67771">
        <w:t xml:space="preserve"> In a number of </w:t>
      </w:r>
      <w:r w:rsidR="14AFA5E2">
        <w:t xml:space="preserve">areas where CCCFR services are located, available housing stock to rent or buy can be extremely limited. </w:t>
      </w:r>
      <w:r w:rsidR="083AAE65">
        <w:t xml:space="preserve">And where </w:t>
      </w:r>
      <w:r w:rsidR="7EBB33F9">
        <w:t>stock</w:t>
      </w:r>
      <w:r w:rsidR="083AAE65">
        <w:t xml:space="preserve"> it is limited, suitable housing can be extremely expensive</w:t>
      </w:r>
      <w:r w:rsidR="6688FA6D">
        <w:t xml:space="preserve"> to obtain</w:t>
      </w:r>
      <w:r w:rsidR="083AAE65">
        <w:t xml:space="preserve">. </w:t>
      </w:r>
    </w:p>
    <w:p w14:paraId="78CB2E96" w14:textId="4FCA94DA" w:rsidR="00553ACA" w:rsidRDefault="083AAE65" w:rsidP="00553ACA">
      <w:r>
        <w:t xml:space="preserve">With the national shortage of </w:t>
      </w:r>
      <w:r w:rsidR="615CA81C">
        <w:t xml:space="preserve">qualified child care educators likely to continue and increase, the </w:t>
      </w:r>
      <w:r w:rsidR="7C5B7ABA">
        <w:t>demand</w:t>
      </w:r>
      <w:r w:rsidR="16873ABE">
        <w:t xml:space="preserve"> for </w:t>
      </w:r>
      <w:r w:rsidR="7C5B7ABA">
        <w:t>accommodation in order to</w:t>
      </w:r>
      <w:r w:rsidR="14AFA5E2">
        <w:t xml:space="preserve"> </w:t>
      </w:r>
      <w:r w:rsidR="7C5B7ABA">
        <w:t xml:space="preserve">recruit </w:t>
      </w:r>
      <w:r w:rsidR="2F7FB8E9">
        <w:t xml:space="preserve">individuals </w:t>
      </w:r>
      <w:r w:rsidR="7C5B7ABA">
        <w:t xml:space="preserve">outside of communities is </w:t>
      </w:r>
      <w:r w:rsidR="15CE75E3">
        <w:t>set</w:t>
      </w:r>
      <w:r w:rsidR="7C5B7ABA">
        <w:t xml:space="preserve"> to continue</w:t>
      </w:r>
      <w:r w:rsidR="7F0B7813">
        <w:t xml:space="preserve"> and the issues of supply</w:t>
      </w:r>
      <w:r w:rsidR="7C5B7ABA">
        <w:t xml:space="preserve"> </w:t>
      </w:r>
      <w:r w:rsidR="094AB2CD">
        <w:t xml:space="preserve">are </w:t>
      </w:r>
      <w:r w:rsidR="1E0DAF1B">
        <w:t>unlikely to ease</w:t>
      </w:r>
      <w:r w:rsidR="094AB2CD">
        <w:t>.</w:t>
      </w:r>
      <w:r w:rsidR="002E497C">
        <w:t xml:space="preserve"> </w:t>
      </w:r>
    </w:p>
    <w:p w14:paraId="4B3CC589" w14:textId="13BC11A2" w:rsidR="7B392B1B" w:rsidRDefault="5CD91DD5" w:rsidP="4DFF9890">
      <w:r>
        <w:t xml:space="preserve">Where surplus council- or government-owned housing is available, the review found that there </w:t>
      </w:r>
      <w:r w:rsidR="6F31DF18">
        <w:t xml:space="preserve">are examples of such </w:t>
      </w:r>
      <w:r w:rsidR="1A97F637">
        <w:t>accommodation</w:t>
      </w:r>
      <w:r w:rsidR="6F31DF18">
        <w:t xml:space="preserve"> being made available. The process however to negotiate a lease</w:t>
      </w:r>
      <w:r w:rsidR="219E6EF9">
        <w:t xml:space="preserve"> can be protracted and should the property become vacant for a period, it risks being reallocated to another council or government employee</w:t>
      </w:r>
      <w:r w:rsidR="096111F8">
        <w:t xml:space="preserve"> and the maintenance of the </w:t>
      </w:r>
      <w:r w:rsidR="28AF3321">
        <w:t>accommodation</w:t>
      </w:r>
      <w:r w:rsidR="096111F8">
        <w:t xml:space="preserve"> may</w:t>
      </w:r>
      <w:r w:rsidR="1D0FF4C5">
        <w:t xml:space="preserve"> fall short of sustaining the property at a reasonable level.</w:t>
      </w:r>
    </w:p>
    <w:p w14:paraId="528E4125" w14:textId="5F653BE5" w:rsidR="4D00847B" w:rsidRDefault="1D0FF4C5" w:rsidP="4D00847B">
      <w:r>
        <w:t xml:space="preserve">The review found that there are likely to be circumstances where the cost of </w:t>
      </w:r>
      <w:r w:rsidR="30AA064E">
        <w:t>accommodation</w:t>
      </w:r>
      <w:r>
        <w:t xml:space="preserve"> may be prohibitive to su</w:t>
      </w:r>
      <w:r w:rsidR="6A7FEE0C">
        <w:t xml:space="preserve">staining operations. </w:t>
      </w:r>
      <w:r w:rsidR="425A66E2">
        <w:t>In these cases, additional grant funding for the purpose of supporting secure housing options should be made availa</w:t>
      </w:r>
      <w:r w:rsidR="76703DC7">
        <w:t>ble, however this may be best assessed on a case-by-case basis rather than</w:t>
      </w:r>
      <w:r w:rsidR="241EF285">
        <w:t xml:space="preserve"> being a standard funding feature of the grant</w:t>
      </w:r>
      <w:r w:rsidR="76703DC7">
        <w:t>.</w:t>
      </w:r>
      <w:r w:rsidR="002E497C">
        <w:t xml:space="preserve"> </w:t>
      </w:r>
      <w:r>
        <w:t xml:space="preserve">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553ACA" w14:paraId="51B09273" w14:textId="77777777" w:rsidTr="00C40BCD">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25C71A4B" w14:textId="74AE7DB0" w:rsidR="00553ACA" w:rsidRPr="009E424E" w:rsidRDefault="00553ACA">
            <w:pPr>
              <w:spacing w:after="120"/>
              <w:rPr>
                <w:b/>
                <w:bCs/>
              </w:rPr>
            </w:pPr>
            <w:r w:rsidRPr="009E424E">
              <w:rPr>
                <w:b/>
                <w:bCs/>
              </w:rPr>
              <w:t xml:space="preserve">Review finding </w:t>
            </w:r>
            <w:r w:rsidR="00905C83">
              <w:rPr>
                <w:b/>
                <w:bCs/>
              </w:rPr>
              <w:t>4</w:t>
            </w:r>
            <w:r w:rsidR="00551ED5">
              <w:rPr>
                <w:b/>
                <w:bCs/>
              </w:rPr>
              <w:t>1</w:t>
            </w:r>
          </w:p>
          <w:p w14:paraId="10BD8554" w14:textId="1F30650E" w:rsidR="00553ACA" w:rsidRPr="00CA3305" w:rsidRDefault="006C778D" w:rsidP="00CA3305">
            <w:r>
              <w:t xml:space="preserve">Concerns in relation to the quality and </w:t>
            </w:r>
            <w:r w:rsidR="00FD2554">
              <w:t>adequacy of infrastructure are widespread</w:t>
            </w:r>
            <w:r w:rsidR="00B571D0">
              <w:t>,</w:t>
            </w:r>
            <w:r w:rsidR="007320C8">
              <w:t xml:space="preserve"> with significant improvement required </w:t>
            </w:r>
            <w:r w:rsidR="00B571D0">
              <w:t xml:space="preserve">in many cases </w:t>
            </w:r>
            <w:r w:rsidR="007320C8">
              <w:t xml:space="preserve">– especially if </w:t>
            </w:r>
            <w:r w:rsidR="001C66DD" w:rsidRPr="001C66DD">
              <w:t>minimum</w:t>
            </w:r>
            <w:r w:rsidR="007320C8">
              <w:t xml:space="preserve"> requirements </w:t>
            </w:r>
            <w:r w:rsidR="001C66DD" w:rsidRPr="001C66DD">
              <w:t>under the National Law and Regulations</w:t>
            </w:r>
            <w:r w:rsidR="007320C8">
              <w:t xml:space="preserve"> are to be met. </w:t>
            </w:r>
          </w:p>
        </w:tc>
      </w:tr>
    </w:tbl>
    <w:p w14:paraId="7DEF22AF" w14:textId="272322DE" w:rsidR="00553ACA" w:rsidRPr="00C81B54" w:rsidRDefault="00553ACA" w:rsidP="00553ACA">
      <w:pPr>
        <w:spacing w:before="170"/>
        <w:rPr>
          <w:b/>
          <w:bCs/>
        </w:rPr>
      </w:pPr>
      <w:r w:rsidRPr="00C81B54">
        <w:rPr>
          <w:b/>
          <w:bCs/>
        </w:rPr>
        <w:t xml:space="preserve">Supporting evidence for this finding is drawn from </w:t>
      </w:r>
      <w:r>
        <w:rPr>
          <w:b/>
          <w:bCs/>
        </w:rPr>
        <w:t>consultations and document analysis</w:t>
      </w:r>
      <w:r w:rsidRPr="00C81B54">
        <w:rPr>
          <w:b/>
          <w:bCs/>
        </w:rPr>
        <w:t>.</w:t>
      </w:r>
    </w:p>
    <w:p w14:paraId="29D4FA81" w14:textId="0D126732" w:rsidR="005F0E85" w:rsidRDefault="00471FF7" w:rsidP="0099528A">
      <w:r>
        <w:t>The evidence presented to this review indicates that the</w:t>
      </w:r>
      <w:r w:rsidR="00DE729E">
        <w:t xml:space="preserve"> buildings from which CCCFR services are delivered vary significantly in their age, history and the degree to which </w:t>
      </w:r>
      <w:r>
        <w:t>their intended use is the provision of child care.</w:t>
      </w:r>
      <w:r w:rsidR="002E497C">
        <w:t xml:space="preserve"> </w:t>
      </w:r>
      <w:r>
        <w:t>Some are purpose built, but many have been repurposed.</w:t>
      </w:r>
      <w:r w:rsidR="00DE729E">
        <w:t xml:space="preserve"> </w:t>
      </w:r>
      <w:r w:rsidR="0099528A" w:rsidRPr="00C95E3D">
        <w:t xml:space="preserve">Stakeholders indicate that significant capital </w:t>
      </w:r>
      <w:r w:rsidR="005F0E85">
        <w:t>investment</w:t>
      </w:r>
      <w:r w:rsidR="00DE729E">
        <w:t xml:space="preserve"> </w:t>
      </w:r>
      <w:r w:rsidR="0099528A" w:rsidRPr="00C95E3D">
        <w:t>is needed in some CCCFR services to upgrade infrastructure, particularly in regional and remote locations.</w:t>
      </w:r>
      <w:r w:rsidR="002E497C">
        <w:t xml:space="preserve"> </w:t>
      </w:r>
      <w:r w:rsidR="00E1725B">
        <w:t xml:space="preserve">The consultation process also </w:t>
      </w:r>
      <w:r w:rsidR="00946A0F">
        <w:t xml:space="preserve">revealed the case for a stronger </w:t>
      </w:r>
      <w:r w:rsidR="009B355C">
        <w:t xml:space="preserve">basis of monitoring </w:t>
      </w:r>
      <w:r w:rsidR="002745AF">
        <w:t>the condition and adequacy of infrastructure and more systematically planning and provisioning for its upkeep and renewal (e.g.</w:t>
      </w:r>
      <w:r w:rsidR="00D731A1">
        <w:t>,</w:t>
      </w:r>
      <w:r w:rsidR="002745AF">
        <w:t xml:space="preserve"> via an asset management plan). </w:t>
      </w:r>
    </w:p>
    <w:p w14:paraId="1E536F7B" w14:textId="59B513D9" w:rsidR="0099528A" w:rsidRPr="00C95E3D" w:rsidRDefault="0099528A" w:rsidP="0099528A">
      <w:pPr>
        <w:rPr>
          <w:b/>
        </w:rPr>
      </w:pPr>
      <w:r w:rsidRPr="00C95E3D">
        <w:lastRenderedPageBreak/>
        <w:t xml:space="preserve">Similar to previous observations in relation to compliance with regulatory requirements under the NQF, stakeholders emphasise that </w:t>
      </w:r>
      <w:r w:rsidR="005F0E85">
        <w:t xml:space="preserve">in some cases </w:t>
      </w:r>
      <w:r w:rsidRPr="00C95E3D">
        <w:t>significant investment in building and maintaining adequate facilities will be necessary to ensure the ongoing viability of some CCCFR services in line with the regulatory expectations for the physical environment for the rest of the sector.</w:t>
      </w:r>
    </w:p>
    <w:p w14:paraId="6B99DB2C" w14:textId="142023C3" w:rsidR="00C95E3D" w:rsidRDefault="00AE78BA" w:rsidP="00AE78BA">
      <w:r w:rsidRPr="00C95E3D">
        <w:t xml:space="preserve">Many services report they require capital works, but some services state they </w:t>
      </w:r>
      <w:r w:rsidR="00C95E3D">
        <w:t>need greater levels of</w:t>
      </w:r>
      <w:r>
        <w:t xml:space="preserve"> business support </w:t>
      </w:r>
      <w:r w:rsidR="00C95E3D">
        <w:t xml:space="preserve">in order </w:t>
      </w:r>
      <w:r>
        <w:t>to make this happen.</w:t>
      </w:r>
      <w:r w:rsidR="002E497C">
        <w:t xml:space="preserve"> </w:t>
      </w:r>
      <w:r w:rsidR="005F0E85">
        <w:t>A</w:t>
      </w:r>
      <w:r>
        <w:t xml:space="preserve">lthough additional funding may be provided by the Department to pay for the capital works, </w:t>
      </w:r>
      <w:r w:rsidR="00C95E3D">
        <w:t>administrative and logistical barriers such as</w:t>
      </w:r>
      <w:r>
        <w:t xml:space="preserve"> </w:t>
      </w:r>
      <w:r w:rsidR="00C95E3D">
        <w:t xml:space="preserve">scoping the works, </w:t>
      </w:r>
      <w:r>
        <w:t xml:space="preserve">obtaining </w:t>
      </w:r>
      <w:r w:rsidR="00C95E3D">
        <w:t>multiple</w:t>
      </w:r>
      <w:r>
        <w:t xml:space="preserve"> quotes</w:t>
      </w:r>
      <w:r w:rsidR="00C95E3D">
        <w:t xml:space="preserve"> and</w:t>
      </w:r>
      <w:r>
        <w:t xml:space="preserve"> managing contractors</w:t>
      </w:r>
      <w:r w:rsidR="00C95E3D">
        <w:t xml:space="preserve"> can be beyond services’ capability, expertise and/or capacity.</w:t>
      </w:r>
      <w:r w:rsidR="002E497C">
        <w:t xml:space="preserve"> </w:t>
      </w:r>
      <w:r w:rsidR="005F0E85">
        <w:t xml:space="preserve">The management of a capital project is in many respect a specialist task that requires specialist expertise. </w:t>
      </w:r>
    </w:p>
    <w:p w14:paraId="42EE9B84" w14:textId="581A78D4" w:rsidR="00A70C68" w:rsidRDefault="00A70C68" w:rsidP="00AE78BA">
      <w:r>
        <w:t xml:space="preserve">Challenges are amplified by the remote locations in which many CCCFR services operate and the </w:t>
      </w:r>
      <w:r w:rsidR="00074A66">
        <w:t>additional cost and complexity this can bring when seeking to procure contractors and supplies for capital works and maintenance.</w:t>
      </w:r>
      <w:r w:rsidR="002E497C">
        <w:t xml:space="preserve"> </w:t>
      </w:r>
      <w:r w:rsidR="009220BC">
        <w:t xml:space="preserve">Local supply is often limited and there can be long waits for materials and trades </w:t>
      </w:r>
      <w:r w:rsidR="005E52C2">
        <w:t xml:space="preserve">and, when supply is </w:t>
      </w:r>
      <w:r w:rsidR="005C370D">
        <w:t>sourced</w:t>
      </w:r>
      <w:r w:rsidR="005E52C2">
        <w:t xml:space="preserve">, it can come with considerable cost multiples relative to capital cities and regional centres. </w:t>
      </w:r>
    </w:p>
    <w:p w14:paraId="7FC9CF48" w14:textId="6B9B39AF" w:rsidR="00192FF9" w:rsidRPr="009A69E5" w:rsidRDefault="00192FF9" w:rsidP="00AE78BA">
      <w:pPr>
        <w:rPr>
          <w:i/>
          <w:iCs/>
          <w:color w:val="26890D"/>
        </w:rPr>
      </w:pPr>
      <w:r w:rsidRPr="009A69E5">
        <w:rPr>
          <w:i/>
          <w:iCs/>
          <w:color w:val="26890D"/>
        </w:rPr>
        <w:t>“Repairs and maintenance of the facilities are very expensive due to geographical isolation of the buildings, sometimes we need to wait for more than 6 months for contractors to attend to the maintenance issues”.</w:t>
      </w:r>
    </w:p>
    <w:p w14:paraId="2E71E617" w14:textId="591D6265" w:rsidR="00677A14" w:rsidRDefault="00677A14" w:rsidP="00AE78BA">
      <w:r>
        <w:t>Capital funding is widely perceived as insufficient.</w:t>
      </w:r>
      <w:r w:rsidR="002E497C">
        <w:t xml:space="preserve"> </w:t>
      </w:r>
      <w:r>
        <w:t>However, these perceptions are influenced at l</w:t>
      </w:r>
      <w:r w:rsidR="00CC396B">
        <w:t>east</w:t>
      </w:r>
      <w:r>
        <w:t xml:space="preserve"> in part by challenges confronted in engaging with the capital grant application process.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226F9B" w14:paraId="672202F0" w14:textId="77777777" w:rsidTr="00C40BCD">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6A788087" w14:textId="6518C5C4" w:rsidR="00226F9B" w:rsidRPr="009E424E" w:rsidRDefault="00226F9B">
            <w:pPr>
              <w:spacing w:after="120"/>
              <w:rPr>
                <w:b/>
                <w:bCs/>
              </w:rPr>
            </w:pPr>
            <w:r w:rsidRPr="009E424E">
              <w:rPr>
                <w:b/>
                <w:bCs/>
              </w:rPr>
              <w:t xml:space="preserve">Review finding </w:t>
            </w:r>
            <w:r w:rsidR="00905C83">
              <w:rPr>
                <w:b/>
                <w:bCs/>
              </w:rPr>
              <w:t>4</w:t>
            </w:r>
            <w:r w:rsidR="00551ED5">
              <w:rPr>
                <w:b/>
                <w:bCs/>
              </w:rPr>
              <w:t>2</w:t>
            </w:r>
          </w:p>
          <w:p w14:paraId="71806EA7" w14:textId="65E92D3C" w:rsidR="00226F9B" w:rsidRPr="00CA3305" w:rsidRDefault="009E2E42" w:rsidP="00CA3305">
            <w:pPr>
              <w:spacing w:after="120"/>
            </w:pPr>
            <w:r w:rsidRPr="00513BDA">
              <w:t xml:space="preserve">Limited utilisation of the contingency funding to support </w:t>
            </w:r>
            <w:r w:rsidR="00A07F9E">
              <w:t xml:space="preserve">infrastructure </w:t>
            </w:r>
            <w:r w:rsidR="00513BDA" w:rsidRPr="00513BDA">
              <w:t>upgrades</w:t>
            </w:r>
            <w:r w:rsidR="00A07F9E">
              <w:t xml:space="preserve"> reflects barriers to services’ participation in the application process. </w:t>
            </w:r>
          </w:p>
        </w:tc>
      </w:tr>
    </w:tbl>
    <w:p w14:paraId="1ED79E36" w14:textId="77777777" w:rsidR="00226F9B" w:rsidRPr="00C81B54" w:rsidRDefault="00226F9B" w:rsidP="00226F9B">
      <w:pPr>
        <w:spacing w:before="170"/>
        <w:rPr>
          <w:b/>
          <w:bCs/>
        </w:rPr>
      </w:pPr>
      <w:r w:rsidRPr="00C81B54">
        <w:rPr>
          <w:b/>
          <w:bCs/>
        </w:rPr>
        <w:t xml:space="preserve">Supporting evidence for this finding is drawn from </w:t>
      </w:r>
      <w:r>
        <w:rPr>
          <w:b/>
          <w:bCs/>
        </w:rPr>
        <w:t>consultations and document analysis</w:t>
      </w:r>
      <w:r w:rsidRPr="00C81B54">
        <w:rPr>
          <w:b/>
          <w:bCs/>
        </w:rPr>
        <w:t>.</w:t>
      </w:r>
    </w:p>
    <w:p w14:paraId="74B7B31E" w14:textId="53F8D551" w:rsidR="00AE78BA" w:rsidRPr="00AE78BA" w:rsidRDefault="00DF15F9" w:rsidP="00AE78BA">
      <w:r>
        <w:t>The Department reports seldom rejecting applications for infrastructure upgrade funding.</w:t>
      </w:r>
      <w:r w:rsidR="002E497C">
        <w:t xml:space="preserve"> </w:t>
      </w:r>
      <w:r>
        <w:t>However, consultations reveal widespread need for infrastructure upgrades and services report an array of challenges in pursuing capital works programs.</w:t>
      </w:r>
      <w:r w:rsidR="002E497C">
        <w:t xml:space="preserve"> </w:t>
      </w:r>
      <w:r>
        <w:t>Gaps in information, capability and expertise hinder the ability to direct infrastructure funding to areas of need.</w:t>
      </w:r>
      <w:r w:rsidR="002E497C">
        <w:t xml:space="preserve">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C05919" w14:paraId="060D3ACC" w14:textId="77777777" w:rsidTr="00C40BCD">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3EEFB42F" w14:textId="0267E1B9" w:rsidR="00C05919" w:rsidRPr="009E424E" w:rsidRDefault="00C05919">
            <w:pPr>
              <w:spacing w:after="120"/>
              <w:rPr>
                <w:b/>
                <w:bCs/>
              </w:rPr>
            </w:pPr>
            <w:r w:rsidRPr="009E424E">
              <w:rPr>
                <w:b/>
                <w:bCs/>
              </w:rPr>
              <w:t xml:space="preserve">Review finding </w:t>
            </w:r>
            <w:r w:rsidR="00E6366C">
              <w:rPr>
                <w:b/>
                <w:bCs/>
              </w:rPr>
              <w:t>4</w:t>
            </w:r>
            <w:r w:rsidR="00551ED5">
              <w:rPr>
                <w:b/>
                <w:bCs/>
              </w:rPr>
              <w:t>3</w:t>
            </w:r>
          </w:p>
          <w:p w14:paraId="14907CB7" w14:textId="586B03B9" w:rsidR="00C05919" w:rsidRPr="00CA3305" w:rsidRDefault="00983F01" w:rsidP="00CA3305">
            <w:r w:rsidRPr="009C2D07">
              <w:t xml:space="preserve">Evidence of </w:t>
            </w:r>
            <w:r w:rsidR="004434FC" w:rsidRPr="009C2D07">
              <w:t>environmental</w:t>
            </w:r>
            <w:r w:rsidRPr="009C2D07">
              <w:t xml:space="preserve"> sustainability consideration</w:t>
            </w:r>
            <w:r w:rsidR="004434FC" w:rsidRPr="009C2D07">
              <w:t xml:space="preserve">s being a strong feature of decision making in relation to capital works </w:t>
            </w:r>
            <w:r w:rsidR="009C2D07" w:rsidRPr="009C2D07">
              <w:t>while present was not widespread.</w:t>
            </w:r>
          </w:p>
        </w:tc>
      </w:tr>
    </w:tbl>
    <w:p w14:paraId="44954E12" w14:textId="77777777" w:rsidR="00C05919" w:rsidRPr="00C81B54" w:rsidRDefault="00C05919" w:rsidP="00C05919">
      <w:pPr>
        <w:spacing w:before="170"/>
        <w:rPr>
          <w:b/>
          <w:bCs/>
        </w:rPr>
      </w:pPr>
      <w:r w:rsidRPr="00C81B54">
        <w:rPr>
          <w:b/>
          <w:bCs/>
        </w:rPr>
        <w:t xml:space="preserve">Supporting evidence for this finding is drawn from </w:t>
      </w:r>
      <w:r>
        <w:rPr>
          <w:b/>
          <w:bCs/>
        </w:rPr>
        <w:t>consultations and document analysis</w:t>
      </w:r>
      <w:r w:rsidRPr="00C81B54">
        <w:rPr>
          <w:b/>
          <w:bCs/>
        </w:rPr>
        <w:t>.</w:t>
      </w:r>
    </w:p>
    <w:p w14:paraId="7C0EE172" w14:textId="77777777" w:rsidR="00A07F9E" w:rsidRDefault="00A07F9E" w:rsidP="00A07F9E">
      <w:r>
        <w:t>While some services supported some form of environmental sustainability at their centre, this was a much lower priority than supporting children and families. This ranged between services which had no environmentally sustainable measures, to those which had invested in solar panels or other longer-term measures. However, as with the capital grants, the administration of these works was often cited by services as something they did not have time to do.</w:t>
      </w:r>
    </w:p>
    <w:p w14:paraId="62C35324" w14:textId="48E8638F" w:rsidR="00DD6A28" w:rsidRDefault="00DD6A28" w:rsidP="00A07F9E">
      <w:r>
        <w:t>Only 10</w:t>
      </w:r>
      <w:r w:rsidR="00D97EF8" w:rsidRPr="00D97EF8">
        <w:t xml:space="preserve"> </w:t>
      </w:r>
      <w:r w:rsidR="00D97EF8">
        <w:t>per cent</w:t>
      </w:r>
      <w:r>
        <w:t xml:space="preserve"> of CCCFR service survey respondents</w:t>
      </w:r>
      <w:r w:rsidR="00D673C6">
        <w:t xml:space="preserve"> reported that their service budgeted for </w:t>
      </w:r>
      <w:r w:rsidR="00D673C6" w:rsidRPr="003D50B5">
        <w:t>environmentally sustainable infrastructure</w:t>
      </w:r>
      <w:r w:rsidR="00BF60B3">
        <w:t>. Installing solar hot water or a heat pump was reported to be the most common infrastructure action taken by survey respondents, with 75</w:t>
      </w:r>
      <w:r w:rsidR="00D97EF8" w:rsidRPr="00D97EF8">
        <w:t xml:space="preserve"> </w:t>
      </w:r>
      <w:r w:rsidR="00D97EF8">
        <w:t>per cent</w:t>
      </w:r>
      <w:r w:rsidR="009C1A2B">
        <w:t xml:space="preserve"> </w:t>
      </w:r>
      <w:r w:rsidR="00E038F4">
        <w:t xml:space="preserve">of respondents to this question </w:t>
      </w:r>
      <w:r w:rsidR="009C1A2B">
        <w:t>nominating this as an action they have taken, followed by community garden (38</w:t>
      </w:r>
      <w:r w:rsidR="00D97EF8" w:rsidRPr="00D97EF8">
        <w:t xml:space="preserve"> </w:t>
      </w:r>
      <w:r w:rsidR="00D97EF8">
        <w:t>per cent</w:t>
      </w:r>
      <w:r w:rsidR="009C1A2B">
        <w:t>) and awning to create shade (38</w:t>
      </w:r>
      <w:r w:rsidR="00D97EF8" w:rsidRPr="00D97EF8">
        <w:t xml:space="preserve"> </w:t>
      </w:r>
      <w:r w:rsidR="00D97EF8">
        <w:t>per cent</w:t>
      </w:r>
      <w:r w:rsidR="009C1A2B">
        <w:t>).</w:t>
      </w:r>
    </w:p>
    <w:p w14:paraId="28B73479" w14:textId="53E020D8" w:rsidR="006B6ADC" w:rsidRPr="003549F9" w:rsidRDefault="00BA15C6" w:rsidP="00AB2918">
      <w:r>
        <w:t>Proposed environmental sus</w:t>
      </w:r>
      <w:r w:rsidR="00363893">
        <w:t xml:space="preserve">tainability guidelines are included at </w:t>
      </w:r>
      <w:r w:rsidR="00363893" w:rsidRPr="005648B2">
        <w:fldChar w:fldCharType="begin"/>
      </w:r>
      <w:r w:rsidR="00363893" w:rsidRPr="005648B2">
        <w:instrText xml:space="preserve"> REF _Ref153385620 \r \h </w:instrText>
      </w:r>
      <w:r w:rsidR="00486B3C" w:rsidRPr="005648B2">
        <w:instrText xml:space="preserve"> \* MERGEFORMAT </w:instrText>
      </w:r>
      <w:r w:rsidR="00363893" w:rsidRPr="005648B2">
        <w:fldChar w:fldCharType="separate"/>
      </w:r>
      <w:r w:rsidR="00D300D0">
        <w:t>Appendix I</w:t>
      </w:r>
      <w:r w:rsidR="00363893" w:rsidRPr="005648B2">
        <w:fldChar w:fldCharType="end"/>
      </w:r>
      <w:r w:rsidR="00363893" w:rsidRPr="005648B2">
        <w:t>.</w:t>
      </w:r>
    </w:p>
    <w:p w14:paraId="77A9EE42" w14:textId="77777777" w:rsidR="00AB2918" w:rsidRDefault="00AB2918" w:rsidP="00AB2918"/>
    <w:p w14:paraId="31B63517" w14:textId="64E0969A" w:rsidR="00AD2B0F" w:rsidRPr="003549F9" w:rsidRDefault="00945FC2" w:rsidP="00A253B7">
      <w:pPr>
        <w:pStyle w:val="Heading1"/>
      </w:pPr>
      <w:bookmarkStart w:id="384" w:name="_Ref152783004"/>
      <w:bookmarkStart w:id="385" w:name="_Toc158993778"/>
      <w:bookmarkStart w:id="386" w:name="_Ref167115111"/>
      <w:bookmarkStart w:id="387" w:name="_Toc170227425"/>
      <w:bookmarkStart w:id="388" w:name="_Toc447626781"/>
      <w:r>
        <w:lastRenderedPageBreak/>
        <w:t>Future grant design</w:t>
      </w:r>
      <w:bookmarkEnd w:id="384"/>
      <w:bookmarkEnd w:id="385"/>
      <w:bookmarkEnd w:id="386"/>
      <w:bookmarkEnd w:id="387"/>
    </w:p>
    <w:p w14:paraId="361F91FE" w14:textId="244A033B" w:rsidR="00AD2B0F" w:rsidRPr="003549F9" w:rsidRDefault="009227A0" w:rsidP="00AD2B0F">
      <w:pPr>
        <w:pStyle w:val="Sectionintro"/>
      </w:pPr>
      <w:r>
        <w:t xml:space="preserve">This </w:t>
      </w:r>
      <w:r w:rsidR="00245046">
        <w:t>chapter</w:t>
      </w:r>
      <w:r>
        <w:t xml:space="preserve"> establishes the vision for </w:t>
      </w:r>
      <w:r w:rsidR="00091E51">
        <w:t xml:space="preserve">the future CCCFR grant design, drawing on the findings presented in earlier chapters. It sets out the review recommendations </w:t>
      </w:r>
      <w:r w:rsidR="00D82707">
        <w:t xml:space="preserve">and </w:t>
      </w:r>
      <w:r w:rsidR="00397BBF">
        <w:t>critical implementation considerations.</w:t>
      </w:r>
    </w:p>
    <w:p w14:paraId="7B7B5532" w14:textId="4A9E03F5" w:rsidR="006A2B59" w:rsidRDefault="006A2B59" w:rsidP="005648B2">
      <w:pPr>
        <w:pStyle w:val="Heading2"/>
        <w:spacing w:after="120"/>
      </w:pPr>
      <w:bookmarkStart w:id="389" w:name="_Toc158993779"/>
      <w:bookmarkStart w:id="390" w:name="_Toc170227426"/>
      <w:r>
        <w:t>Translating review findings to recommendations</w:t>
      </w:r>
      <w:bookmarkEnd w:id="389"/>
      <w:bookmarkEnd w:id="390"/>
    </w:p>
    <w:p w14:paraId="00D52E8D" w14:textId="6BEBF554" w:rsidR="004E5A2D" w:rsidRDefault="004E5A2D" w:rsidP="0031001F">
      <w:r>
        <w:t>The findings set out in previous chapters give rise to a series of recommendations regarding changes that could be made to strengthen support for services currently funded under the CCCFR grant. Ultimately, these changes would enhance opportunities and outcomes for children and families.</w:t>
      </w:r>
      <w:r w:rsidR="002E497C">
        <w:t xml:space="preserve"> </w:t>
      </w:r>
    </w:p>
    <w:p w14:paraId="20709E4A" w14:textId="5734FEDE" w:rsidR="001478A4" w:rsidRDefault="00003DF9" w:rsidP="0031001F">
      <w:r>
        <w:t xml:space="preserve">By applying the review’s </w:t>
      </w:r>
      <w:r w:rsidRPr="00EF3F45">
        <w:rPr>
          <w:b/>
          <w:bCs/>
        </w:rPr>
        <w:t>guiding principles</w:t>
      </w:r>
      <w:r>
        <w:t xml:space="preserve"> to the</w:t>
      </w:r>
      <w:r w:rsidR="00EE6317">
        <w:t xml:space="preserve"> </w:t>
      </w:r>
      <w:r w:rsidR="003A260D" w:rsidRPr="00EF3F45">
        <w:rPr>
          <w:b/>
          <w:bCs/>
        </w:rPr>
        <w:t>implications</w:t>
      </w:r>
      <w:r w:rsidR="00327069" w:rsidRPr="00EF3F45">
        <w:rPr>
          <w:b/>
          <w:bCs/>
        </w:rPr>
        <w:t xml:space="preserve"> arising from the review findings</w:t>
      </w:r>
      <w:r w:rsidR="00327069">
        <w:t xml:space="preserve"> for future grant design, recommendations can be established.</w:t>
      </w:r>
    </w:p>
    <w:p w14:paraId="6DAF5E7E" w14:textId="251C7F64" w:rsidR="00327069" w:rsidRDefault="00EF3F45" w:rsidP="00EF3F45">
      <w:pPr>
        <w:pStyle w:val="Heading3"/>
      </w:pPr>
      <w:r>
        <w:t>Guiding principles</w:t>
      </w:r>
    </w:p>
    <w:p w14:paraId="757CA16F" w14:textId="2E31B241" w:rsidR="00872E2B" w:rsidRDefault="00872E2B" w:rsidP="0031001F">
      <w:r>
        <w:t xml:space="preserve">The recommendations have been developed </w:t>
      </w:r>
      <w:r w:rsidR="006000F3">
        <w:t xml:space="preserve">in line with the </w:t>
      </w:r>
      <w:r w:rsidR="006000F3" w:rsidRPr="006000F3">
        <w:rPr>
          <w:b/>
          <w:bCs/>
        </w:rPr>
        <w:t>guiding principles</w:t>
      </w:r>
      <w:r w:rsidR="006000F3">
        <w:t xml:space="preserve"> articulated in the review framework:</w:t>
      </w:r>
    </w:p>
    <w:p w14:paraId="7A5ECEA8" w14:textId="3E804418" w:rsidR="006000F3" w:rsidRDefault="006000F3" w:rsidP="006000F3">
      <w:pPr>
        <w:pStyle w:val="ListBullet"/>
      </w:pPr>
      <w:r>
        <w:t>simplicity</w:t>
      </w:r>
    </w:p>
    <w:p w14:paraId="599B602A" w14:textId="629AA5FD" w:rsidR="006000F3" w:rsidRDefault="006000F3" w:rsidP="006000F3">
      <w:pPr>
        <w:pStyle w:val="ListBullet"/>
      </w:pPr>
      <w:r>
        <w:t>impact</w:t>
      </w:r>
    </w:p>
    <w:p w14:paraId="63BAEC8A" w14:textId="3B86305B" w:rsidR="006000F3" w:rsidRDefault="006000F3" w:rsidP="006000F3">
      <w:pPr>
        <w:pStyle w:val="ListBullet"/>
      </w:pPr>
      <w:r>
        <w:t>appropriateness</w:t>
      </w:r>
    </w:p>
    <w:p w14:paraId="034F4DBC" w14:textId="014116E0" w:rsidR="006000F3" w:rsidRDefault="006000F3" w:rsidP="006000F3">
      <w:pPr>
        <w:pStyle w:val="ListBullet"/>
      </w:pPr>
      <w:r>
        <w:t>coherence</w:t>
      </w:r>
    </w:p>
    <w:p w14:paraId="73DC4E3A" w14:textId="4CCB529A" w:rsidR="006000F3" w:rsidRDefault="006000F3" w:rsidP="006000F3">
      <w:pPr>
        <w:pStyle w:val="ListBullet"/>
      </w:pPr>
      <w:r>
        <w:t>equity</w:t>
      </w:r>
    </w:p>
    <w:p w14:paraId="205D9AE1" w14:textId="6017FCC3" w:rsidR="006000F3" w:rsidRDefault="006000F3" w:rsidP="006000F3">
      <w:pPr>
        <w:pStyle w:val="ListBullet"/>
      </w:pPr>
      <w:r>
        <w:t>sustainability</w:t>
      </w:r>
    </w:p>
    <w:p w14:paraId="02DF1CCE" w14:textId="64F37FC2" w:rsidR="006000F3" w:rsidRDefault="006000F3" w:rsidP="006000F3">
      <w:pPr>
        <w:pStyle w:val="ListBullet"/>
      </w:pPr>
      <w:r>
        <w:t>efficiency</w:t>
      </w:r>
    </w:p>
    <w:p w14:paraId="54252D00" w14:textId="4D3E36A3" w:rsidR="006000F3" w:rsidRDefault="006000F3" w:rsidP="006000F3">
      <w:pPr>
        <w:pStyle w:val="ListBullet"/>
      </w:pPr>
      <w:r>
        <w:t>responsiveness.</w:t>
      </w:r>
    </w:p>
    <w:p w14:paraId="435BCACD" w14:textId="77777777" w:rsidR="00EF3F45" w:rsidRDefault="00EF3F45" w:rsidP="00D850E3">
      <w:pPr>
        <w:pStyle w:val="ListBullet"/>
        <w:numPr>
          <w:ilvl w:val="0"/>
          <w:numId w:val="0"/>
        </w:numPr>
      </w:pPr>
    </w:p>
    <w:p w14:paraId="6F471D6C" w14:textId="1319D8D6" w:rsidR="00EF3F45" w:rsidRDefault="00EF3F45" w:rsidP="00EF3F45">
      <w:pPr>
        <w:pStyle w:val="Heading3"/>
      </w:pPr>
      <w:r>
        <w:t>Implications of review findings for future grant design</w:t>
      </w:r>
    </w:p>
    <w:p w14:paraId="2E7B5A71" w14:textId="4CDA3B46" w:rsidR="004E5A2D" w:rsidRPr="000B0FE6" w:rsidRDefault="00350D95" w:rsidP="00EF3F45">
      <w:r w:rsidRPr="000B0FE6">
        <w:t xml:space="preserve">Review findings under each domain give rise to a suite of implications </w:t>
      </w:r>
      <w:r w:rsidR="00AD4295" w:rsidRPr="000B0FE6">
        <w:t xml:space="preserve">for the </w:t>
      </w:r>
      <w:r w:rsidR="000B0FE6" w:rsidRPr="000B0FE6">
        <w:t>future grant design</w:t>
      </w:r>
      <w:r w:rsidR="003C035A">
        <w:t>, as described</w:t>
      </w:r>
      <w:r w:rsidR="000B0FE6" w:rsidRPr="000B0FE6">
        <w:t xml:space="preserve"> below</w:t>
      </w:r>
      <w:r w:rsidR="000B0FE6">
        <w:t>.</w:t>
      </w:r>
    </w:p>
    <w:p w14:paraId="214D47B1" w14:textId="1E1E29C0" w:rsidR="00FF6A9B" w:rsidRPr="003D4B13" w:rsidRDefault="00AE3A64" w:rsidP="00FD0ABB">
      <w:pPr>
        <w:spacing w:before="240" w:after="0"/>
        <w:rPr>
          <w:b/>
        </w:rPr>
      </w:pPr>
      <w:r w:rsidRPr="003D4B13">
        <w:rPr>
          <w:b/>
        </w:rPr>
        <w:t xml:space="preserve">Objectives and intent </w:t>
      </w:r>
      <w:r w:rsidR="00FD0ABB" w:rsidRPr="00FD0ABB">
        <w:rPr>
          <w:b/>
          <w:bCs/>
        </w:rPr>
        <w:t>implications</w:t>
      </w:r>
    </w:p>
    <w:p w14:paraId="2D6D8EA5" w14:textId="78E81617" w:rsidR="00EB2D43" w:rsidRPr="003D4B13" w:rsidRDefault="00F44702" w:rsidP="000D5BC8">
      <w:pPr>
        <w:spacing w:before="120"/>
        <w:rPr>
          <w:b/>
          <w:i/>
        </w:rPr>
      </w:pPr>
      <w:r w:rsidRPr="003D4B13">
        <w:t xml:space="preserve">The review findings </w:t>
      </w:r>
      <w:r w:rsidR="00C63285" w:rsidRPr="003D4B13">
        <w:t xml:space="preserve">demonstrate an opportunity for a </w:t>
      </w:r>
      <w:r w:rsidR="00C739D5" w:rsidRPr="003D4B13">
        <w:t>red</w:t>
      </w:r>
      <w:r w:rsidR="00BB11F7" w:rsidRPr="003D4B13">
        <w:t xml:space="preserve">esign </w:t>
      </w:r>
      <w:r w:rsidR="003C2B6B" w:rsidRPr="003D4B13">
        <w:t xml:space="preserve">of the grant’s </w:t>
      </w:r>
      <w:r w:rsidR="000D5BC8">
        <w:t>objectives</w:t>
      </w:r>
      <w:r w:rsidR="003C2B6B" w:rsidRPr="003D4B13">
        <w:t xml:space="preserve"> within the contemporary ECEC policy landscape</w:t>
      </w:r>
      <w:r w:rsidR="0069615A" w:rsidRPr="003D4B13">
        <w:t xml:space="preserve">. </w:t>
      </w:r>
      <w:r w:rsidR="00F02231" w:rsidRPr="003D4B13">
        <w:t xml:space="preserve">The purpose of the grant </w:t>
      </w:r>
      <w:r w:rsidR="007B2BBF" w:rsidRPr="003D4B13">
        <w:t>needs to</w:t>
      </w:r>
      <w:r w:rsidR="00F02231" w:rsidRPr="003D4B13">
        <w:t xml:space="preserve"> be considered alongside other policies and programs intended to align to the Australian Government’s strategic direction for ECEC, including the CCCF and other CCCF elements, the CCCFR expansion, and the Child Care Subsidy. </w:t>
      </w:r>
      <w:r w:rsidR="007475F5" w:rsidRPr="003D4B13">
        <w:t xml:space="preserve">This includes the function and objective of the grant </w:t>
      </w:r>
      <w:r w:rsidR="00797A8C" w:rsidRPr="003D4B13">
        <w:t>with respect to 1) services and providers</w:t>
      </w:r>
      <w:r w:rsidR="002D3B25" w:rsidRPr="003D4B13">
        <w:t xml:space="preserve">, and 2) families, communities, and children, including </w:t>
      </w:r>
      <w:r w:rsidR="0078077C" w:rsidRPr="003D4B13">
        <w:t>which cohorts should be prioritised under the grant.</w:t>
      </w:r>
      <w:r w:rsidR="007B2BBF" w:rsidRPr="003D4B13">
        <w:t xml:space="preserve"> Clarity on the intended function of the grant </w:t>
      </w:r>
      <w:r w:rsidR="00AE76BA" w:rsidRPr="003D4B13">
        <w:t xml:space="preserve">as </w:t>
      </w:r>
      <w:r w:rsidR="0063693B" w:rsidRPr="003D4B13">
        <w:t xml:space="preserve">a component </w:t>
      </w:r>
      <w:r w:rsidR="00AE76BA" w:rsidRPr="003D4B13">
        <w:t xml:space="preserve">part of </w:t>
      </w:r>
      <w:r w:rsidR="0063693B" w:rsidRPr="003D4B13">
        <w:t xml:space="preserve">the ECEC ecosystem will support </w:t>
      </w:r>
      <w:r w:rsidR="007B2BBF" w:rsidRPr="003D4B13">
        <w:t>stronger articulation</w:t>
      </w:r>
      <w:r w:rsidR="0063693B" w:rsidRPr="003D4B13">
        <w:t xml:space="preserve"> of the grant’s </w:t>
      </w:r>
      <w:r w:rsidR="00AF5490" w:rsidRPr="003D4B13">
        <w:t>objectives</w:t>
      </w:r>
      <w:r w:rsidR="00C72787" w:rsidRPr="003D4B13">
        <w:t xml:space="preserve">, and </w:t>
      </w:r>
      <w:r w:rsidR="00EB2D43" w:rsidRPr="003D4B13">
        <w:t xml:space="preserve">effective and efficient design of </w:t>
      </w:r>
      <w:r w:rsidR="000D5BC8">
        <w:t>any</w:t>
      </w:r>
      <w:r w:rsidR="00EB2D43" w:rsidRPr="003D4B13">
        <w:t xml:space="preserve"> future </w:t>
      </w:r>
      <w:r w:rsidR="00EB2D43">
        <w:t>program.</w:t>
      </w:r>
      <w:r w:rsidR="002E497C">
        <w:t xml:space="preserve"> </w:t>
      </w:r>
    </w:p>
    <w:p w14:paraId="184168E7" w14:textId="10B2D8CE" w:rsidR="00DD50AB" w:rsidRPr="003D4B13" w:rsidRDefault="004C425E" w:rsidP="00DD560A">
      <w:pPr>
        <w:spacing w:before="240"/>
      </w:pPr>
      <w:r w:rsidRPr="003D4B13">
        <w:t xml:space="preserve">For some services, </w:t>
      </w:r>
      <w:r w:rsidR="00EB2D43" w:rsidRPr="003D4B13">
        <w:t>the</w:t>
      </w:r>
      <w:r w:rsidRPr="003D4B13">
        <w:t xml:space="preserve"> initial objective of </w:t>
      </w:r>
      <w:r w:rsidR="007425FC" w:rsidRPr="003D4B13">
        <w:t xml:space="preserve">being supported to transition to the mainstream system </w:t>
      </w:r>
      <w:r w:rsidR="00F84FF2" w:rsidRPr="003D4B13">
        <w:t>is possible and feasible</w:t>
      </w:r>
      <w:r w:rsidR="00FE5795" w:rsidRPr="003D4B13">
        <w:t xml:space="preserve">, and may be considered </w:t>
      </w:r>
      <w:r w:rsidR="00455E30" w:rsidRPr="003D4B13">
        <w:t xml:space="preserve">as the next stage of the grant. For others, ongoing support to deliver viable, sustainable, high quality child care is </w:t>
      </w:r>
      <w:r w:rsidR="00B55838" w:rsidRPr="003D4B13">
        <w:t>needed</w:t>
      </w:r>
      <w:r w:rsidR="000D5BC8">
        <w:t xml:space="preserve"> – be that via a standalone grant of modifications to other funding vehicles</w:t>
      </w:r>
      <w:r w:rsidR="00B55838" w:rsidRPr="003D4B13">
        <w:t xml:space="preserve">. </w:t>
      </w:r>
      <w:r w:rsidR="000D5BC8">
        <w:t>Any</w:t>
      </w:r>
      <w:r w:rsidR="00DD50AB" w:rsidRPr="003D4B13">
        <w:t xml:space="preserve"> future </w:t>
      </w:r>
      <w:r w:rsidR="000D5BC8">
        <w:t>grant</w:t>
      </w:r>
      <w:r w:rsidR="00DD50AB" w:rsidRPr="003D4B13">
        <w:t xml:space="preserve"> </w:t>
      </w:r>
      <w:r w:rsidR="00441F2F" w:rsidRPr="003D4B13">
        <w:t xml:space="preserve">should recognise the historical context of </w:t>
      </w:r>
      <w:r w:rsidR="00FD657D" w:rsidRPr="003D4B13">
        <w:t xml:space="preserve">CCCFR services and the needs and expectations of families and communities they deliver services to, to ensure that </w:t>
      </w:r>
      <w:r w:rsidR="00B0493F" w:rsidRPr="003D4B13">
        <w:t xml:space="preserve">any transition </w:t>
      </w:r>
      <w:r w:rsidR="00941CD3" w:rsidRPr="003D4B13">
        <w:t>has minimal negative consequences to children and families who may be experiencing vulnerability, disadvantage and/or trauma.</w:t>
      </w:r>
      <w:r w:rsidR="002E497C">
        <w:t xml:space="preserve"> </w:t>
      </w:r>
    </w:p>
    <w:p w14:paraId="3C79B9F2" w14:textId="77777777" w:rsidR="00AA2219" w:rsidRDefault="00AA2219" w:rsidP="00FD0ABB">
      <w:pPr>
        <w:spacing w:before="120" w:after="0"/>
        <w:rPr>
          <w:b/>
          <w:bCs/>
        </w:rPr>
      </w:pPr>
    </w:p>
    <w:p w14:paraId="5A5507FB" w14:textId="11722D23" w:rsidR="00FD0ABB" w:rsidRPr="00FD0ABB" w:rsidRDefault="00FD0ABB" w:rsidP="00FD0ABB">
      <w:pPr>
        <w:spacing w:before="120" w:after="0"/>
        <w:rPr>
          <w:b/>
          <w:bCs/>
        </w:rPr>
      </w:pPr>
      <w:r w:rsidRPr="00FD0ABB">
        <w:rPr>
          <w:b/>
          <w:bCs/>
        </w:rPr>
        <w:t>Policy and funding design implications</w:t>
      </w:r>
    </w:p>
    <w:p w14:paraId="12727CC8" w14:textId="79D52F7D" w:rsidR="00E118C1" w:rsidRDefault="00FB7FD8" w:rsidP="008A6066">
      <w:pPr>
        <w:spacing w:before="120"/>
      </w:pPr>
      <w:r>
        <w:t xml:space="preserve">This review has </w:t>
      </w:r>
      <w:r w:rsidR="00D05894">
        <w:t xml:space="preserve">identified </w:t>
      </w:r>
      <w:r w:rsidR="0046263E">
        <w:t>that</w:t>
      </w:r>
      <w:r w:rsidR="002D74D8">
        <w:t xml:space="preserve"> the design of the CCCFR grant </w:t>
      </w:r>
      <w:r w:rsidR="0046263E">
        <w:t>is largely a by-product of previous grants</w:t>
      </w:r>
      <w:r w:rsidR="002D74D8">
        <w:t xml:space="preserve">. </w:t>
      </w:r>
      <w:r w:rsidR="003869FD">
        <w:t xml:space="preserve">This is due to the circumstance </w:t>
      </w:r>
      <w:r w:rsidR="00404DC5">
        <w:t>at</w:t>
      </w:r>
      <w:r w:rsidR="003869FD">
        <w:t xml:space="preserve"> the time</w:t>
      </w:r>
      <w:r w:rsidR="00404DC5">
        <w:t xml:space="preserve"> (2017-18)</w:t>
      </w:r>
      <w:r w:rsidR="003869FD">
        <w:t>, where significant reform was occurring with</w:t>
      </w:r>
      <w:r w:rsidR="00AF40CE">
        <w:t xml:space="preserve">in </w:t>
      </w:r>
      <w:r w:rsidR="00CA3305">
        <w:t xml:space="preserve">the </w:t>
      </w:r>
      <w:r w:rsidR="00AF40CE">
        <w:t>ECEC</w:t>
      </w:r>
      <w:r w:rsidR="00CA3305">
        <w:t xml:space="preserve"> sector </w:t>
      </w:r>
      <w:r w:rsidR="00AF40CE">
        <w:t>with</w:t>
      </w:r>
      <w:r w:rsidR="003869FD">
        <w:t xml:space="preserve"> the introduction of the new child care </w:t>
      </w:r>
      <w:r w:rsidR="00AF40CE">
        <w:t xml:space="preserve">system. As a result, many services </w:t>
      </w:r>
      <w:r w:rsidR="006F7D9E">
        <w:t>which relied on f</w:t>
      </w:r>
      <w:r w:rsidR="00322DCF">
        <w:t>u</w:t>
      </w:r>
      <w:r w:rsidR="006F7D9E">
        <w:t xml:space="preserve">nding models/programs such as the BBF, </w:t>
      </w:r>
      <w:r w:rsidR="0010261A" w:rsidRPr="0010261A">
        <w:t>NFFOCC</w:t>
      </w:r>
      <w:r w:rsidR="006F7D9E">
        <w:t xml:space="preserve"> and IAS </w:t>
      </w:r>
      <w:r w:rsidR="006B65FF">
        <w:t xml:space="preserve">were identified as </w:t>
      </w:r>
      <w:r w:rsidR="00322DCF">
        <w:t>not being sustainable</w:t>
      </w:r>
      <w:r w:rsidR="006B65FF">
        <w:t xml:space="preserve"> under </w:t>
      </w:r>
      <w:r w:rsidR="00322DCF">
        <w:t>the new system without additional support</w:t>
      </w:r>
      <w:r w:rsidR="00E118C1">
        <w:t xml:space="preserve"> – hence, t</w:t>
      </w:r>
      <w:r w:rsidR="00322DCF">
        <w:t xml:space="preserve">he CCCFR grant </w:t>
      </w:r>
      <w:r w:rsidR="00E118C1">
        <w:t xml:space="preserve">was </w:t>
      </w:r>
      <w:r w:rsidR="00A00707">
        <w:t>developed to ensure</w:t>
      </w:r>
      <w:r w:rsidR="00322DCF">
        <w:t xml:space="preserve"> </w:t>
      </w:r>
      <w:r w:rsidR="00E118C1">
        <w:t xml:space="preserve">services under these former funding models </w:t>
      </w:r>
      <w:r w:rsidR="00066AB1">
        <w:t>can</w:t>
      </w:r>
      <w:r w:rsidR="00E118C1">
        <w:t xml:space="preserve"> remain open.</w:t>
      </w:r>
      <w:r w:rsidR="00A7587F">
        <w:t xml:space="preserve"> </w:t>
      </w:r>
      <w:r w:rsidR="00EE3C79">
        <w:t xml:space="preserve">As a result, </w:t>
      </w:r>
      <w:r w:rsidR="00A7587F">
        <w:t xml:space="preserve">the </w:t>
      </w:r>
      <w:r w:rsidR="004F0C1E">
        <w:t xml:space="preserve">CCCFR grant was designed to envelope prior funding models, rather than </w:t>
      </w:r>
      <w:r w:rsidR="0028245E">
        <w:t xml:space="preserve">prospectively </w:t>
      </w:r>
      <w:r w:rsidR="00BB2620">
        <w:t>through</w:t>
      </w:r>
      <w:r w:rsidR="0028245E">
        <w:t xml:space="preserve"> a rigorous</w:t>
      </w:r>
      <w:r w:rsidR="00BB2620">
        <w:t xml:space="preserve"> design</w:t>
      </w:r>
      <w:r w:rsidR="0028245E">
        <w:t xml:space="preserve"> process to identify </w:t>
      </w:r>
      <w:r w:rsidR="00CC4B93">
        <w:t xml:space="preserve">the needs (and evolving needs) of the services under the </w:t>
      </w:r>
      <w:r w:rsidR="00E61D79">
        <w:t>pr</w:t>
      </w:r>
      <w:r w:rsidR="00AD740E">
        <w:t>evious models</w:t>
      </w:r>
      <w:r w:rsidR="00445412">
        <w:t>.</w:t>
      </w:r>
      <w:r w:rsidR="004F0C1E">
        <w:t xml:space="preserve"> </w:t>
      </w:r>
    </w:p>
    <w:p w14:paraId="612456E2" w14:textId="028BD91B" w:rsidR="00FD0ABB" w:rsidRDefault="004F311C" w:rsidP="00FD0ABB">
      <w:r>
        <w:t xml:space="preserve">There is room for improvement in </w:t>
      </w:r>
      <w:r w:rsidR="0073514B">
        <w:t xml:space="preserve">any </w:t>
      </w:r>
      <w:r>
        <w:t xml:space="preserve">future iterations of the CCCFR grant, </w:t>
      </w:r>
      <w:r w:rsidR="00986762">
        <w:t>by</w:t>
      </w:r>
      <w:r>
        <w:t xml:space="preserve"> more carefully conside</w:t>
      </w:r>
      <w:r w:rsidR="000E1F5C">
        <w:t>r</w:t>
      </w:r>
      <w:r w:rsidR="00986762">
        <w:t>ing</w:t>
      </w:r>
      <w:r>
        <w:t xml:space="preserve"> the </w:t>
      </w:r>
      <w:r w:rsidR="00986762">
        <w:t>unique</w:t>
      </w:r>
      <w:r w:rsidR="000E1F5C">
        <w:t xml:space="preserve"> needs of </w:t>
      </w:r>
      <w:r w:rsidR="00986762">
        <w:t>each</w:t>
      </w:r>
      <w:r w:rsidR="00B1110E">
        <w:t xml:space="preserve"> CCCFR </w:t>
      </w:r>
      <w:r w:rsidR="002B5F3C">
        <w:t>grant</w:t>
      </w:r>
      <w:r w:rsidR="00B1110E">
        <w:t xml:space="preserve"> service, and the cohort of children </w:t>
      </w:r>
      <w:r w:rsidR="0020599E">
        <w:t>and families</w:t>
      </w:r>
      <w:r w:rsidR="00B1110E">
        <w:t xml:space="preserve"> that attend</w:t>
      </w:r>
      <w:r w:rsidR="0020599E">
        <w:t>, as well as the broader community within w</w:t>
      </w:r>
      <w:r w:rsidR="00A7683C">
        <w:t>hich the</w:t>
      </w:r>
      <w:r w:rsidR="0020599E">
        <w:t xml:space="preserve"> service </w:t>
      </w:r>
      <w:r w:rsidR="00A7683C">
        <w:t>is</w:t>
      </w:r>
      <w:r w:rsidR="0020599E">
        <w:t xml:space="preserve"> located</w:t>
      </w:r>
      <w:r w:rsidR="00B1110E">
        <w:t xml:space="preserve">. </w:t>
      </w:r>
      <w:r w:rsidR="0073514B">
        <w:t>There must be</w:t>
      </w:r>
      <w:r w:rsidR="004D3AC5">
        <w:t xml:space="preserve"> </w:t>
      </w:r>
      <w:r w:rsidR="00F40046">
        <w:t xml:space="preserve">a </w:t>
      </w:r>
      <w:r w:rsidR="000D73D2">
        <w:t>stronger vision</w:t>
      </w:r>
      <w:r w:rsidR="00F40046">
        <w:t xml:space="preserve"> as to how the CCCFR grant is able to meet the needs of </w:t>
      </w:r>
      <w:r w:rsidR="00515C06">
        <w:t>CCCFR</w:t>
      </w:r>
      <w:r w:rsidR="007E0DAB">
        <w:t xml:space="preserve"> services and </w:t>
      </w:r>
      <w:r w:rsidR="00515C06">
        <w:t>the</w:t>
      </w:r>
      <w:r w:rsidR="00D6262C">
        <w:t xml:space="preserve"> </w:t>
      </w:r>
      <w:r w:rsidR="007E0DAB">
        <w:t xml:space="preserve">community. </w:t>
      </w:r>
    </w:p>
    <w:p w14:paraId="5A370C32" w14:textId="77777777" w:rsidR="004137D1" w:rsidRDefault="003F1FA9" w:rsidP="001C655F">
      <w:r w:rsidRPr="004756C2">
        <w:t>Work being led by SNAICC on behalf of the Early Childhood Care and Development Policy Partnership</w:t>
      </w:r>
      <w:r w:rsidR="00044FFF" w:rsidRPr="004756C2">
        <w:t xml:space="preserve"> proposes a new model for funding ACCO ECEC services.</w:t>
      </w:r>
      <w:r w:rsidR="002E497C" w:rsidRPr="004756C2">
        <w:t xml:space="preserve"> </w:t>
      </w:r>
      <w:r w:rsidR="00044FFF" w:rsidRPr="004756C2">
        <w:t xml:space="preserve">If accepted and implemented, this </w:t>
      </w:r>
      <w:r w:rsidR="00776F23" w:rsidRPr="004756C2">
        <w:t>model should be the basis upon which future funding for these services is determined.</w:t>
      </w:r>
      <w:r w:rsidR="002E497C" w:rsidRPr="004756C2">
        <w:t xml:space="preserve"> </w:t>
      </w:r>
    </w:p>
    <w:p w14:paraId="587BA1C6" w14:textId="1EA187FB" w:rsidR="004137D1" w:rsidRDefault="00A83382" w:rsidP="001C655F">
      <w:r>
        <w:t>If not, and for othe</w:t>
      </w:r>
      <w:r w:rsidR="002C2F39">
        <w:t>r services in any event</w:t>
      </w:r>
      <w:r w:rsidR="00776F23" w:rsidRPr="004756C2">
        <w:t xml:space="preserve">, there is a need to </w:t>
      </w:r>
      <w:r w:rsidR="002046A9" w:rsidRPr="004756C2">
        <w:t>consider an alternative approach to determining the resource</w:t>
      </w:r>
      <w:r w:rsidR="00B07562" w:rsidRPr="004756C2">
        <w:t>s</w:t>
      </w:r>
      <w:r w:rsidR="002046A9" w:rsidRPr="004756C2">
        <w:t xml:space="preserve"> that services receive.</w:t>
      </w:r>
      <w:r w:rsidR="002E497C" w:rsidRPr="004756C2">
        <w:t xml:space="preserve"> </w:t>
      </w:r>
      <w:r w:rsidR="002046A9" w:rsidRPr="004756C2">
        <w:t xml:space="preserve">This approach must be grounded in the policy objectives and service delivery expectations that accompany funding provision </w:t>
      </w:r>
      <w:r w:rsidR="00BC5358" w:rsidRPr="004756C2">
        <w:t>and have regard to how the cost of delivering on these objectives vary across contexts.</w:t>
      </w:r>
      <w:r w:rsidR="002E497C" w:rsidRPr="004756C2">
        <w:t xml:space="preserve"> </w:t>
      </w:r>
      <w:r w:rsidR="000F282A">
        <w:t xml:space="preserve"> There must be close alignment between </w:t>
      </w:r>
      <w:r w:rsidR="00171D56">
        <w:t xml:space="preserve">the objectives of the grant, </w:t>
      </w:r>
      <w:r w:rsidR="000F282A">
        <w:t xml:space="preserve">service delivery expectations </w:t>
      </w:r>
      <w:r w:rsidR="00171D56">
        <w:t xml:space="preserve">and funding. </w:t>
      </w:r>
    </w:p>
    <w:p w14:paraId="1A302D4B" w14:textId="391D858C" w:rsidR="002C2F39" w:rsidRDefault="00BC5358" w:rsidP="001C655F">
      <w:r w:rsidRPr="004756C2">
        <w:t>To this end, the cost model that accompanies the provision of this report should be utilised to determine a formula for future operational funding.</w:t>
      </w:r>
      <w:r w:rsidR="002E497C" w:rsidRPr="004756C2">
        <w:t xml:space="preserve"> </w:t>
      </w:r>
      <w:r w:rsidR="002C2F39">
        <w:t xml:space="preserve"> This formula should </w:t>
      </w:r>
      <w:r w:rsidR="00311C4F">
        <w:t>feature the know</w:t>
      </w:r>
      <w:r w:rsidR="00441C8C">
        <w:t>n</w:t>
      </w:r>
      <w:r w:rsidR="00311C4F">
        <w:t xml:space="preserve"> drivers of cost, including community/service size</w:t>
      </w:r>
      <w:r w:rsidR="00171D56">
        <w:t xml:space="preserve"> and service</w:t>
      </w:r>
      <w:r w:rsidR="00311C4F">
        <w:t xml:space="preserve"> location</w:t>
      </w:r>
      <w:r w:rsidR="00171D56">
        <w:t xml:space="preserve">.  </w:t>
      </w:r>
      <w:r w:rsidR="001535A2">
        <w:t xml:space="preserve">The formula should feature a fixed funding floor that guarantees each service </w:t>
      </w:r>
      <w:r w:rsidR="000945D6">
        <w:t>has a financially sustainable operating foundat</w:t>
      </w:r>
      <w:r w:rsidR="00012541">
        <w:t xml:space="preserve">ion then </w:t>
      </w:r>
      <w:r w:rsidR="00DF43C5">
        <w:t xml:space="preserve">scale funding based on size. </w:t>
      </w:r>
    </w:p>
    <w:p w14:paraId="652F46B1" w14:textId="7AFEF1BC" w:rsidR="00415434" w:rsidRDefault="00415434" w:rsidP="001C655F">
      <w:r>
        <w:t>Layered upon operational funding should be</w:t>
      </w:r>
      <w:r w:rsidR="00BC5358" w:rsidRPr="004756C2">
        <w:t xml:space="preserve"> needs-based </w:t>
      </w:r>
      <w:r w:rsidR="00B07562" w:rsidRPr="004756C2">
        <w:t>differentials</w:t>
      </w:r>
      <w:r w:rsidR="00BC5358" w:rsidRPr="004756C2">
        <w:t xml:space="preserve"> that ensure that </w:t>
      </w:r>
      <w:r w:rsidR="00E26963" w:rsidRPr="004756C2">
        <w:t>funding equips services with the additional resources required to address the needs of their communities (as they relate to the stated policy objectives).</w:t>
      </w:r>
      <w:r w:rsidR="002E497C" w:rsidRPr="004756C2">
        <w:t xml:space="preserve"> </w:t>
      </w:r>
      <w:r>
        <w:t xml:space="preserve"> </w:t>
      </w:r>
      <w:r w:rsidR="003F20A1">
        <w:t xml:space="preserve">These differentials could take the form of loadings or supplements and should be </w:t>
      </w:r>
      <w:r w:rsidR="00BD5758">
        <w:t xml:space="preserve">based on the known drivers of need and disadvantage in the early years (such </w:t>
      </w:r>
      <w:r w:rsidR="00A15846">
        <w:t xml:space="preserve">as indexes of vulnerability and socio-economic disadvantage). </w:t>
      </w:r>
    </w:p>
    <w:p w14:paraId="2295FC39" w14:textId="2B90984B" w:rsidR="003F1FA9" w:rsidRPr="004756C2" w:rsidRDefault="00E26963" w:rsidP="001C655F">
      <w:r w:rsidRPr="004756C2">
        <w:t xml:space="preserve">Funding should </w:t>
      </w:r>
      <w:r w:rsidR="00B07562" w:rsidRPr="004756C2">
        <w:t>ultimately</w:t>
      </w:r>
      <w:r w:rsidRPr="004756C2">
        <w:t xml:space="preserve"> strive to provide certainty, adequacy, flexibility and responsiveness. </w:t>
      </w:r>
    </w:p>
    <w:p w14:paraId="213F2B65" w14:textId="1FE59CA3" w:rsidR="00FD0ABB" w:rsidRPr="00FD0ABB" w:rsidRDefault="00FD0ABB" w:rsidP="00E26963">
      <w:pPr>
        <w:spacing w:before="120" w:after="0"/>
        <w:rPr>
          <w:b/>
          <w:bCs/>
        </w:rPr>
      </w:pPr>
      <w:r w:rsidRPr="00FD0ABB">
        <w:rPr>
          <w:b/>
          <w:bCs/>
        </w:rPr>
        <w:t>Administration, governance and compliance implications</w:t>
      </w:r>
    </w:p>
    <w:p w14:paraId="6CB685C0" w14:textId="77777777" w:rsidR="00D9620B" w:rsidRDefault="00FB333B" w:rsidP="00D83B41">
      <w:pPr>
        <w:spacing w:before="120"/>
      </w:pPr>
      <w:r>
        <w:t>Findings from this review have emphasised that CCCFR services are not homogenous</w:t>
      </w:r>
      <w:r w:rsidR="0073514B">
        <w:t>. R</w:t>
      </w:r>
      <w:r>
        <w:t>ather</w:t>
      </w:r>
      <w:r w:rsidR="0073514B">
        <w:t>, they are</w:t>
      </w:r>
      <w:r>
        <w:t xml:space="preserve"> </w:t>
      </w:r>
      <w:r w:rsidR="0084241B">
        <w:t xml:space="preserve">intrinsically shaped </w:t>
      </w:r>
      <w:r w:rsidR="0073514B">
        <w:t xml:space="preserve">by and in response </w:t>
      </w:r>
      <w:r w:rsidR="0084241B">
        <w:t xml:space="preserve">to the needs of community and their local context. Given this diversity, each service will face </w:t>
      </w:r>
      <w:r w:rsidR="0073514B">
        <w:t>its</w:t>
      </w:r>
      <w:r w:rsidR="0084241B">
        <w:t xml:space="preserve"> own unique challenges in meeting the needs of children and families, while also </w:t>
      </w:r>
      <w:r w:rsidR="006A715C">
        <w:t xml:space="preserve">navigating </w:t>
      </w:r>
      <w:r w:rsidR="0049098D">
        <w:t xml:space="preserve">change through adopting new legislative requirements under the FAL and meeting </w:t>
      </w:r>
      <w:r w:rsidR="00DC3E3F">
        <w:t xml:space="preserve">additional conditions under the CCCFR grant. </w:t>
      </w:r>
    </w:p>
    <w:p w14:paraId="5B7F948E" w14:textId="3FC68FBB" w:rsidR="007C7E59" w:rsidRDefault="00D9620B" w:rsidP="00D83B41">
      <w:pPr>
        <w:spacing w:before="120"/>
      </w:pPr>
      <w:r>
        <w:t xml:space="preserve">While </w:t>
      </w:r>
      <w:r w:rsidR="00E8542D">
        <w:t xml:space="preserve">legislative and grant </w:t>
      </w:r>
      <w:r>
        <w:t xml:space="preserve">obligations </w:t>
      </w:r>
      <w:r w:rsidR="00534969">
        <w:t xml:space="preserve">require that services are ‘committed to high quality child care’, </w:t>
      </w:r>
      <w:r w:rsidR="00E8542D">
        <w:t xml:space="preserve">this </w:t>
      </w:r>
      <w:r w:rsidR="007A520A">
        <w:t xml:space="preserve">outcome is not clearly defined. </w:t>
      </w:r>
      <w:r w:rsidR="001227DD">
        <w:t xml:space="preserve">Noting this, documentation requirements for Compliance and Operations Reports are relatively broad, limiting scope for </w:t>
      </w:r>
      <w:r w:rsidR="00144D18">
        <w:t xml:space="preserve">meaningful assessment and </w:t>
      </w:r>
      <w:r w:rsidR="007C7E59">
        <w:t>targeted interventions for quality uplift.</w:t>
      </w:r>
    </w:p>
    <w:p w14:paraId="5CD2888E" w14:textId="37F0CCEA" w:rsidR="00794680" w:rsidRDefault="00FE63D9" w:rsidP="00D83B41">
      <w:pPr>
        <w:spacing w:before="120"/>
      </w:pPr>
      <w:r>
        <w:t xml:space="preserve">Some CCCFR services </w:t>
      </w:r>
      <w:r w:rsidR="002375AF">
        <w:t>noted facing</w:t>
      </w:r>
      <w:r>
        <w:t xml:space="preserve"> ongoing challenges in meeting provider </w:t>
      </w:r>
      <w:r w:rsidR="0080133A">
        <w:t>expectations</w:t>
      </w:r>
      <w:r>
        <w:t xml:space="preserve"> under the FAL, particularly around </w:t>
      </w:r>
      <w:r w:rsidR="004B6E83">
        <w:t xml:space="preserve">administering the CCS </w:t>
      </w:r>
      <w:r w:rsidR="0080133A">
        <w:t xml:space="preserve">and collecting fees from families. </w:t>
      </w:r>
      <w:r w:rsidR="00D94F7D">
        <w:t xml:space="preserve">These challenges are relatively common among Aboriginal and Torres Strait Islander </w:t>
      </w:r>
      <w:r w:rsidR="00794680">
        <w:t>services, shaped</w:t>
      </w:r>
      <w:r w:rsidR="00D94F7D">
        <w:t xml:space="preserve"> by factors such as </w:t>
      </w:r>
      <w:r w:rsidR="00794680">
        <w:t>cultural</w:t>
      </w:r>
      <w:r w:rsidR="00D94F7D">
        <w:t xml:space="preserve"> protocol</w:t>
      </w:r>
      <w:r w:rsidR="00794680">
        <w:t>s and experiences of intergenerational trauma</w:t>
      </w:r>
      <w:r w:rsidR="00D94F7D">
        <w:t>.</w:t>
      </w:r>
    </w:p>
    <w:p w14:paraId="26325B96" w14:textId="5EA0640B" w:rsidR="00B3723E" w:rsidRDefault="00FF53E3" w:rsidP="00D83B41">
      <w:pPr>
        <w:spacing w:before="120"/>
      </w:pPr>
      <w:r>
        <w:lastRenderedPageBreak/>
        <w:t>The Department has sought</w:t>
      </w:r>
      <w:r w:rsidR="000E0E35">
        <w:t xml:space="preserve"> to </w:t>
      </w:r>
      <w:r>
        <w:t xml:space="preserve">adopt a responsive approach to meeting the support needs of </w:t>
      </w:r>
      <w:r w:rsidR="000E0E35">
        <w:t>services</w:t>
      </w:r>
      <w:r>
        <w:t xml:space="preserve">, while also ensuring overall compliance of grant recipients. </w:t>
      </w:r>
      <w:r w:rsidR="536B1D59">
        <w:t xml:space="preserve">CCCFR </w:t>
      </w:r>
      <w:r>
        <w:t xml:space="preserve">Program Officers </w:t>
      </w:r>
      <w:r w:rsidR="007068F7">
        <w:t xml:space="preserve">are </w:t>
      </w:r>
      <w:r w:rsidR="00B116C1">
        <w:t>responsible for supporting</w:t>
      </w:r>
      <w:r>
        <w:t xml:space="preserve"> </w:t>
      </w:r>
      <w:r w:rsidR="00416828">
        <w:t xml:space="preserve">CCCFR services </w:t>
      </w:r>
      <w:r w:rsidR="00B116C1">
        <w:t>in</w:t>
      </w:r>
      <w:r w:rsidR="00416828">
        <w:t xml:space="preserve"> meeting conditions under the grant, </w:t>
      </w:r>
      <w:r w:rsidR="00B3723E">
        <w:t>however,</w:t>
      </w:r>
      <w:r w:rsidR="007068F7">
        <w:t xml:space="preserve"> often </w:t>
      </w:r>
      <w:r w:rsidR="00B116C1">
        <w:t xml:space="preserve">provide </w:t>
      </w:r>
      <w:r w:rsidR="000E0E35">
        <w:t xml:space="preserve">guidance </w:t>
      </w:r>
      <w:r w:rsidR="00B116C1">
        <w:t>to</w:t>
      </w:r>
      <w:r w:rsidR="00884AD8">
        <w:t xml:space="preserve"> services </w:t>
      </w:r>
      <w:r w:rsidR="00B116C1">
        <w:t>around</w:t>
      </w:r>
      <w:r w:rsidR="00884AD8">
        <w:t xml:space="preserve"> </w:t>
      </w:r>
      <w:r w:rsidR="00B116C1">
        <w:t>other</w:t>
      </w:r>
      <w:r w:rsidR="00884AD8">
        <w:t xml:space="preserve"> areas such as infrastructure </w:t>
      </w:r>
      <w:r w:rsidR="00F80C7F">
        <w:t xml:space="preserve">and assets, </w:t>
      </w:r>
      <w:r w:rsidR="00B116C1">
        <w:t xml:space="preserve">outside </w:t>
      </w:r>
      <w:r w:rsidR="00B3723E">
        <w:t xml:space="preserve">the scope of their intended expertise. For some services, this is due to a lack of relevant and accessible professional development </w:t>
      </w:r>
      <w:r w:rsidR="000E0E35">
        <w:t>and training</w:t>
      </w:r>
      <w:r w:rsidR="00B3723E">
        <w:t>, with the Program Officer being the only point of call for advice.</w:t>
      </w:r>
      <w:r w:rsidR="00F80C7F">
        <w:t xml:space="preserve"> </w:t>
      </w:r>
    </w:p>
    <w:p w14:paraId="74B2265A" w14:textId="48454AE3" w:rsidR="00FD0ABB" w:rsidRDefault="00B3723E" w:rsidP="00503753">
      <w:pPr>
        <w:spacing w:before="120"/>
      </w:pPr>
      <w:r>
        <w:t xml:space="preserve">Noting </w:t>
      </w:r>
      <w:r w:rsidR="00523A93">
        <w:t>these challenges</w:t>
      </w:r>
      <w:r w:rsidR="000E0E35">
        <w:t xml:space="preserve">, </w:t>
      </w:r>
      <w:r w:rsidR="00A32BB3">
        <w:t xml:space="preserve">there is significant room for a </w:t>
      </w:r>
      <w:r w:rsidR="00F432E9">
        <w:t>more</w:t>
      </w:r>
      <w:r w:rsidR="00A32BB3">
        <w:t xml:space="preserve"> comprehensive approach to </w:t>
      </w:r>
      <w:r w:rsidR="00F432E9">
        <w:t>quality uplift, targeted to the needs of each service.</w:t>
      </w:r>
      <w:r w:rsidR="000717A6">
        <w:t xml:space="preserve"> </w:t>
      </w:r>
      <w:r w:rsidR="00A91A5B">
        <w:t>Adopting this approach</w:t>
      </w:r>
      <w:r w:rsidR="009A7EBF">
        <w:t xml:space="preserve"> to development</w:t>
      </w:r>
      <w:r w:rsidR="00A91A5B">
        <w:t xml:space="preserve"> in partnership with </w:t>
      </w:r>
      <w:r w:rsidR="009A7EBF">
        <w:t xml:space="preserve">governments, </w:t>
      </w:r>
      <w:r w:rsidR="00674075">
        <w:t xml:space="preserve">services, </w:t>
      </w:r>
      <w:r w:rsidR="009A7EBF">
        <w:t>peak bodies and local communit</w:t>
      </w:r>
      <w:r w:rsidR="0065597E">
        <w:t>ies</w:t>
      </w:r>
      <w:r w:rsidR="009A7EBF">
        <w:t xml:space="preserve"> </w:t>
      </w:r>
      <w:r w:rsidR="00674075">
        <w:t>has the potential to</w:t>
      </w:r>
      <w:r w:rsidR="00C856EC">
        <w:t xml:space="preserve"> </w:t>
      </w:r>
      <w:r w:rsidR="002338E7">
        <w:t>meaningfully identify and address</w:t>
      </w:r>
      <w:r w:rsidR="0065597E">
        <w:t xml:space="preserve"> </w:t>
      </w:r>
      <w:r w:rsidR="009E50E1">
        <w:t xml:space="preserve">underlying barriers </w:t>
      </w:r>
      <w:r w:rsidR="002338E7">
        <w:t xml:space="preserve">to delivering </w:t>
      </w:r>
      <w:r w:rsidR="00503753">
        <w:t>early childhood education and</w:t>
      </w:r>
      <w:r w:rsidR="002338E7">
        <w:t xml:space="preserve"> care</w:t>
      </w:r>
      <w:r w:rsidR="00503753">
        <w:t xml:space="preserve"> in a</w:t>
      </w:r>
      <w:r w:rsidR="00CD6D4A">
        <w:t xml:space="preserve">n effective and </w:t>
      </w:r>
      <w:r w:rsidR="00503753">
        <w:t>sustainable manner</w:t>
      </w:r>
      <w:r w:rsidR="002338E7">
        <w:t>.</w:t>
      </w:r>
    </w:p>
    <w:p w14:paraId="0434528C" w14:textId="0B40FF0A" w:rsidR="00FD0ABB" w:rsidRPr="00FD0ABB" w:rsidRDefault="00FD0ABB" w:rsidP="00FD0ABB">
      <w:pPr>
        <w:spacing w:after="0"/>
        <w:rPr>
          <w:b/>
          <w:bCs/>
        </w:rPr>
      </w:pPr>
      <w:r w:rsidRPr="00FD0ABB">
        <w:rPr>
          <w:b/>
          <w:bCs/>
        </w:rPr>
        <w:t>Resourcing and financial sustainability implications</w:t>
      </w:r>
    </w:p>
    <w:p w14:paraId="4864E61B" w14:textId="06431D67" w:rsidR="005A1FDD" w:rsidRDefault="005A1FDD" w:rsidP="4BEDE342">
      <w:r>
        <w:t xml:space="preserve">It is clear that many services currently funded under the CCCFR grant operate in </w:t>
      </w:r>
      <w:r w:rsidR="00412D21">
        <w:t>environments where mainstream funding approaches as they currently stand – principally the CCS – do not adequately support their financial sustainability.</w:t>
      </w:r>
      <w:r w:rsidR="002E497C">
        <w:t xml:space="preserve"> </w:t>
      </w:r>
      <w:r w:rsidR="00412D21">
        <w:t xml:space="preserve">This is a function of their remote location, </w:t>
      </w:r>
      <w:r w:rsidR="00F73802">
        <w:t xml:space="preserve">population density and elevated levels of need. </w:t>
      </w:r>
    </w:p>
    <w:p w14:paraId="43AE2386" w14:textId="79CC07EF" w:rsidR="07B23DCC" w:rsidRDefault="07B23DCC">
      <w:r>
        <w:t>Addition</w:t>
      </w:r>
      <w:r w:rsidR="11F1D27C">
        <w:t>al</w:t>
      </w:r>
      <w:r w:rsidR="00F73802">
        <w:t xml:space="preserve"> funding safeguards are required if they are to remain financially viable.</w:t>
      </w:r>
      <w:r w:rsidR="002E497C">
        <w:t xml:space="preserve"> </w:t>
      </w:r>
      <w:r w:rsidR="00F73802">
        <w:t xml:space="preserve">These safeguards can come from a grant such as the CCCFR. They can also come from modifications to the CCS or from </w:t>
      </w:r>
      <w:r w:rsidR="00145DE0">
        <w:t xml:space="preserve">dedicated funding models such as that </w:t>
      </w:r>
      <w:r w:rsidR="00A46DC0">
        <w:t>which SNAICC has</w:t>
      </w:r>
      <w:r w:rsidR="00145DE0">
        <w:t xml:space="preserve"> proposed for ACCO ECEC services.</w:t>
      </w:r>
      <w:r w:rsidR="002E497C">
        <w:t xml:space="preserve"> </w:t>
      </w:r>
      <w:r w:rsidR="00B11424">
        <w:t>In most communities in which CCCFR services operate, there is very limited potential to underwrite financial viability via parent fees</w:t>
      </w:r>
      <w:r w:rsidR="2DD56599">
        <w:t xml:space="preserve"> or to increase CCS+ACCS revenue</w:t>
      </w:r>
      <w:r w:rsidR="00B11424">
        <w:t>.</w:t>
      </w:r>
      <w:r w:rsidR="002E497C">
        <w:t xml:space="preserve"> </w:t>
      </w:r>
      <w:r w:rsidR="2B02400F">
        <w:t xml:space="preserve">Through the consultations, the review learned that that services invest significant time and resources in supporting families to access CCS, but the barriers </w:t>
      </w:r>
      <w:r w:rsidR="743A64D9">
        <w:t>persist.</w:t>
      </w:r>
      <w:r w:rsidR="002E497C">
        <w:t xml:space="preserve"> </w:t>
      </w:r>
      <w:r w:rsidR="2B02400F">
        <w:t xml:space="preserve"> </w:t>
      </w:r>
    </w:p>
    <w:p w14:paraId="593D4F5B" w14:textId="6DC75936" w:rsidR="005E5AC8" w:rsidRDefault="005E5AC8" w:rsidP="00FD0ABB">
      <w:r>
        <w:t xml:space="preserve">Beyond the provision of adequate funding, </w:t>
      </w:r>
      <w:r w:rsidR="0042131C">
        <w:t xml:space="preserve">the achievement of </w:t>
      </w:r>
      <w:r>
        <w:t xml:space="preserve">financial sustainability requires adequate business support. This is among several critical functions of the support network that </w:t>
      </w:r>
      <w:r w:rsidR="0042131C">
        <w:t>must sit around CCCFR services, ensuring the</w:t>
      </w:r>
      <w:r w:rsidR="005C370D">
        <w:t>y</w:t>
      </w:r>
      <w:r w:rsidR="0042131C">
        <w:t xml:space="preserve"> have the </w:t>
      </w:r>
      <w:r w:rsidR="00C9670A">
        <w:t xml:space="preserve">knowledge, tools and supports to effectively manage their finances. </w:t>
      </w:r>
    </w:p>
    <w:p w14:paraId="4E772345" w14:textId="21DAA8D2" w:rsidR="00C9670A" w:rsidRDefault="00C9670A" w:rsidP="00FD0ABB">
      <w:r>
        <w:t xml:space="preserve">Ensuring the sustainability of </w:t>
      </w:r>
      <w:r w:rsidR="00CA37EA">
        <w:t>service operations also requires improvements in management of capital, property and assets.</w:t>
      </w:r>
      <w:r w:rsidR="002E497C">
        <w:t xml:space="preserve"> </w:t>
      </w:r>
      <w:r w:rsidR="00CA37EA">
        <w:t xml:space="preserve">As an immediate priority there needs to be </w:t>
      </w:r>
      <w:r w:rsidR="00940104">
        <w:t xml:space="preserve">thorough review of all buildings </w:t>
      </w:r>
      <w:r w:rsidR="006070FF">
        <w:t>to confirm the improvements required to ensure they meet regulatory and quality standards.</w:t>
      </w:r>
      <w:r w:rsidR="002E497C">
        <w:t xml:space="preserve"> </w:t>
      </w:r>
      <w:r w:rsidR="006070FF">
        <w:t xml:space="preserve">This can in turn give rise </w:t>
      </w:r>
      <w:r w:rsidR="00074F80">
        <w:t xml:space="preserve">to a </w:t>
      </w:r>
      <w:r w:rsidR="006070FF">
        <w:t>program of capital works, which should be developed and overseen by a central coordination unit</w:t>
      </w:r>
      <w:r w:rsidR="00E73D5D">
        <w:t xml:space="preserve"> with specialist expertise, in partnership with local services and communities.</w:t>
      </w:r>
      <w:r w:rsidR="002E497C">
        <w:t xml:space="preserve"> </w:t>
      </w:r>
      <w:r w:rsidR="00E73D5D">
        <w:t xml:space="preserve">There is also a need to strengthen leasing arrangements to ensure an appropriate sharing of risk, clarity on obligations and responsibilities and, ultimately, a greater level of assurance regarding the </w:t>
      </w:r>
      <w:r w:rsidR="005B68BB">
        <w:t>ongoing provision of fit for purpose infrastructure</w:t>
      </w:r>
      <w:r w:rsidR="009F08B6">
        <w:t xml:space="preserve"> that is suited for the delivery of ECEC, appropriate to community and cultural norms, has a low environmental impact and is energy efficient</w:t>
      </w:r>
      <w:r w:rsidR="005B68BB">
        <w:t xml:space="preserve">. </w:t>
      </w:r>
    </w:p>
    <w:p w14:paraId="0D5B05FF" w14:textId="37DB37AA" w:rsidR="007A71FE" w:rsidRPr="003D4B13" w:rsidRDefault="00113C96" w:rsidP="00923C36">
      <w:pPr>
        <w:pStyle w:val="Heading2"/>
        <w:spacing w:before="120"/>
        <w:rPr>
          <w:color w:val="auto"/>
        </w:rPr>
      </w:pPr>
      <w:bookmarkStart w:id="391" w:name="_Ref153383870"/>
      <w:bookmarkStart w:id="392" w:name="_Toc158993780"/>
      <w:bookmarkStart w:id="393" w:name="_Toc170227427"/>
      <w:r>
        <w:t>Categorising the recommendations</w:t>
      </w:r>
      <w:bookmarkEnd w:id="391"/>
      <w:bookmarkEnd w:id="392"/>
      <w:bookmarkEnd w:id="393"/>
    </w:p>
    <w:p w14:paraId="624E60A3" w14:textId="75479994" w:rsidR="008B0021" w:rsidRPr="00747B61" w:rsidRDefault="008B0021" w:rsidP="008B0021">
      <w:pPr>
        <w:spacing w:before="240"/>
      </w:pPr>
      <w:r w:rsidRPr="00747B61">
        <w:t xml:space="preserve">The </w:t>
      </w:r>
      <w:r>
        <w:t xml:space="preserve">review </w:t>
      </w:r>
      <w:r w:rsidRPr="00747B61">
        <w:t>findings give rise to a series of recommendations for the CCCFR grant and the services currently in receipt of it.</w:t>
      </w:r>
      <w:r w:rsidR="002E497C">
        <w:t xml:space="preserve"> </w:t>
      </w:r>
      <w:r w:rsidRPr="00747B61">
        <w:t>These recommendations describe the changes required to bring the conditions under which CCCFR services operate into alignment those that this review finds are necessary in order for services to meet the needs of the communities they seek to serve (in the context of the objectives of the grant). Ultimately, these changes would enhance opportunities and outcomes for children and families.</w:t>
      </w:r>
      <w:r w:rsidR="002E497C">
        <w:t xml:space="preserve"> </w:t>
      </w:r>
    </w:p>
    <w:p w14:paraId="73DE26E7" w14:textId="77777777" w:rsidR="008B0021" w:rsidRPr="00747B61" w:rsidRDefault="008B0021" w:rsidP="008B0021">
      <w:pPr>
        <w:spacing w:before="240"/>
      </w:pPr>
      <w:r w:rsidRPr="00747B61">
        <w:t xml:space="preserve">In seeking to install a set of operating conditions that reflect the guiding principles laid out in this review, the recommendations are organised under two broad headings: </w:t>
      </w:r>
    </w:p>
    <w:p w14:paraId="2C875605" w14:textId="77777777" w:rsidR="008B0021" w:rsidRPr="00747B61" w:rsidRDefault="008B0021" w:rsidP="001C655F">
      <w:pPr>
        <w:pStyle w:val="ListBullet"/>
      </w:pPr>
      <w:r w:rsidRPr="00747B61">
        <w:rPr>
          <w:b/>
          <w:bCs/>
        </w:rPr>
        <w:t>Repositioning CCCFR services within a reformed policy landscape</w:t>
      </w:r>
      <w:r w:rsidRPr="00747B61">
        <w:t xml:space="preserve"> - recommendations regarding how potential changes to the wider ECEC policy environment could be driven and capitalised on to strengthen and reposition services currently in receipt of a CCCFR grant.</w:t>
      </w:r>
    </w:p>
    <w:p w14:paraId="5EFBB915" w14:textId="77777777" w:rsidR="008B0021" w:rsidRPr="00747B61" w:rsidRDefault="008B0021" w:rsidP="001C655F">
      <w:pPr>
        <w:pStyle w:val="ListBullet"/>
      </w:pPr>
      <w:r w:rsidRPr="00747B61">
        <w:rPr>
          <w:b/>
          <w:bCs/>
        </w:rPr>
        <w:lastRenderedPageBreak/>
        <w:t xml:space="preserve">Refining the current CCCFR grant to maximise its potential </w:t>
      </w:r>
      <w:r w:rsidRPr="00747B61">
        <w:t>- recommendations regarding how the design and administration of the grant should be refined to maximise its potential.</w:t>
      </w:r>
    </w:p>
    <w:p w14:paraId="79F84E77" w14:textId="77777777" w:rsidR="008B0021" w:rsidRPr="00747B61" w:rsidRDefault="008B0021" w:rsidP="001C655F">
      <w:pPr>
        <w:spacing w:after="0"/>
        <w:contextualSpacing/>
        <w:rPr>
          <w:szCs w:val="17"/>
        </w:rPr>
      </w:pPr>
    </w:p>
    <w:p w14:paraId="45E72464" w14:textId="77777777" w:rsidR="008B0021" w:rsidRPr="00747B61" w:rsidRDefault="008B0021" w:rsidP="00A522AC">
      <w:pPr>
        <w:pStyle w:val="Heading3"/>
      </w:pPr>
      <w:r w:rsidRPr="00747B61">
        <w:t xml:space="preserve">Repositioning CCCFR services within a reformed policy landscape </w:t>
      </w:r>
    </w:p>
    <w:p w14:paraId="4F6BDF3A" w14:textId="77777777" w:rsidR="008B0021" w:rsidRPr="00747B61" w:rsidRDefault="008B0021" w:rsidP="008B0021">
      <w:pPr>
        <w:rPr>
          <w:rFonts w:eastAsiaTheme="minorEastAsia"/>
        </w:rPr>
      </w:pPr>
      <w:r w:rsidRPr="00747B61">
        <w:rPr>
          <w:rFonts w:eastAsiaTheme="minorEastAsia"/>
        </w:rPr>
        <w:t xml:space="preserve">Grant-based operating environments can serve several purposes in a broader policy, system and funding architecture. In this case, the CCCFR grant has served as a mechanism to compensate for the ways in which the wider ECEC policy environment is not currently equipped to accommodate services of certain characteristics. </w:t>
      </w:r>
    </w:p>
    <w:p w14:paraId="785F982C" w14:textId="456F3176" w:rsidR="008B0021" w:rsidRPr="00747B61" w:rsidRDefault="008B0021" w:rsidP="008B0021">
      <w:pPr>
        <w:rPr>
          <w:rFonts w:eastAsiaTheme="minorEastAsia"/>
        </w:rPr>
      </w:pPr>
      <w:r w:rsidRPr="00747B61">
        <w:rPr>
          <w:rFonts w:eastAsiaTheme="minorEastAsia"/>
        </w:rPr>
        <w:t>In doing so,</w:t>
      </w:r>
      <w:r w:rsidRPr="00747B61" w:rsidDel="00CA7084">
        <w:rPr>
          <w:rFonts w:eastAsiaTheme="minorEastAsia"/>
        </w:rPr>
        <w:t xml:space="preserve"> </w:t>
      </w:r>
      <w:r w:rsidRPr="00747B61">
        <w:rPr>
          <w:rFonts w:eastAsiaTheme="minorEastAsia"/>
        </w:rPr>
        <w:t>it has sought to support and where possible encourage the transition of these services to the mainstream policy and funding environment – that is, to a situation where a dedicated grant is no longer required. For a limited number of CCCFR services, this transition would appear possible. But progress has been slow and external factors such as COVID-19 have adversely affected its pace. Moreover, challenges experienced by most CCCFR services in the pursuit of this transition highlight the limitations of current mainstream policy settings in accommodating the circumstances under which many CCCFR services operate. These limitations are demonstrated throughout the findings of this review.</w:t>
      </w:r>
      <w:r w:rsidR="002E497C">
        <w:rPr>
          <w:rFonts w:eastAsiaTheme="minorEastAsia"/>
        </w:rPr>
        <w:t xml:space="preserve"> </w:t>
      </w:r>
    </w:p>
    <w:p w14:paraId="065DC39A" w14:textId="77777777" w:rsidR="008B0021" w:rsidRPr="00747B61" w:rsidRDefault="008B0021" w:rsidP="008B0021">
      <w:r w:rsidRPr="00747B61">
        <w:t xml:space="preserve">The limitations of current funding and policy settings affect services beyond the 149 receiving the CCCFR grant and are currently or recently have been the subject of a number of reviews and inquires (see Box 1.2: ACCC and PC ECEC Inquiries). </w:t>
      </w:r>
    </w:p>
    <w:p w14:paraId="5625A8E9" w14:textId="1D3D45E3" w:rsidR="008B0021" w:rsidRPr="00747B61" w:rsidRDefault="008B0021" w:rsidP="008B0021">
      <w:r w:rsidRPr="00747B61">
        <w:t>The recommendations arising from these reviews and inquiries signal potential for the national ECEC policy environment of the future to look very different to what it does today.</w:t>
      </w:r>
      <w:r w:rsidR="002E497C">
        <w:t xml:space="preserve"> </w:t>
      </w:r>
      <w:r w:rsidRPr="00747B61">
        <w:t xml:space="preserve">As a result, there is potential for the sector operating environment to change in ways that mean CCCFR services can operate and thrive outside of a dedicated </w:t>
      </w:r>
      <w:r w:rsidR="002954E0" w:rsidRPr="002954E0">
        <w:t>grant</w:t>
      </w:r>
      <w:r w:rsidRPr="00747B61">
        <w:t xml:space="preserve"> environment in ways they cannot currently.</w:t>
      </w:r>
      <w:r w:rsidR="002E497C">
        <w:t xml:space="preserve"> </w:t>
      </w:r>
      <w:r w:rsidRPr="00747B61">
        <w:t>Recommendations regarding the future of the CCCFR grant and the services currently in receipt of it must have regard to this potential.</w:t>
      </w:r>
      <w:r w:rsidR="002E497C">
        <w:t xml:space="preserve"> </w:t>
      </w:r>
      <w:r w:rsidRPr="00747B61">
        <w:t>At the same time, they must recognise the uncertainty.</w:t>
      </w:r>
      <w:r w:rsidR="002E497C">
        <w:t xml:space="preserve"> </w:t>
      </w:r>
      <w:r w:rsidRPr="00747B61">
        <w:t xml:space="preserve">As such, recommendations 1-4 seek to provide a basis for navigating the uncertainty given the guiding principles that this review has established – and, there possible, influencing the wider policy discourse in ways that would support services currently in receipt of the CCCFR grant and the communities they serve. </w:t>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BE189C" w14:paraId="1D08ECCF"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2130EA01" w14:textId="39661F8D" w:rsidR="00BE189C" w:rsidRPr="009E424E" w:rsidRDefault="00BE189C">
            <w:pPr>
              <w:spacing w:after="120"/>
              <w:rPr>
                <w:b/>
                <w:bCs/>
              </w:rPr>
            </w:pPr>
            <w:r>
              <w:rPr>
                <w:b/>
                <w:bCs/>
              </w:rPr>
              <w:t>Recommendation 1</w:t>
            </w:r>
          </w:p>
          <w:p w14:paraId="6C8DF550" w14:textId="4CBBB527" w:rsidR="00BE189C" w:rsidRPr="00CA3305" w:rsidRDefault="00BE189C" w:rsidP="00BE189C">
            <w:pPr>
              <w:spacing w:after="120"/>
            </w:pPr>
            <w:r w:rsidRPr="00BE189C">
              <w:t>Services should be transitioned away from the CCCFR grant where it can be demonstrated that (i) the conditions required to support them in sustainably delivering high quality ECEC services that meet the needs of communities can be met; or (ii) the service offering falls outside the policy remit of the Department of Education.</w:t>
            </w:r>
          </w:p>
        </w:tc>
      </w:tr>
    </w:tbl>
    <w:p w14:paraId="5C69945D" w14:textId="77777777" w:rsidR="008B0021" w:rsidRPr="00747B61" w:rsidRDefault="008B0021" w:rsidP="00A522AC">
      <w:pPr>
        <w:pStyle w:val="ListBullet"/>
        <w:spacing w:before="170"/>
      </w:pPr>
      <w:r>
        <w:t>The guiding principles put forward by this review should serve as a point of reference when considering the requisite conditions.</w:t>
      </w:r>
    </w:p>
    <w:p w14:paraId="596D902C" w14:textId="19FE9D85" w:rsidR="008B0021" w:rsidRPr="00747B61" w:rsidRDefault="008B0021" w:rsidP="008B0021">
      <w:pPr>
        <w:pStyle w:val="ListBullet"/>
      </w:pPr>
      <w:r>
        <w:t>Recommendations arising from other processes should be examined with reference to these guiding principles and, to the extent appropriate, Government’s consideration of these recommendations – the Productivity Commission’s especially – should have regard to their potential to facilitate the recommendations put forward here.</w:t>
      </w:r>
      <w:r w:rsidR="002E497C">
        <w:t xml:space="preserve"> </w:t>
      </w:r>
    </w:p>
    <w:p w14:paraId="5B40C066" w14:textId="65F11C39" w:rsidR="008B0021" w:rsidRDefault="008B0021" w:rsidP="008B0021">
      <w:pPr>
        <w:pStyle w:val="ListBullet"/>
      </w:pPr>
      <w:r>
        <w:t xml:space="preserve">Once the future for the national ECEC policy landscape is clear, the decision framework set out at </w:t>
      </w:r>
      <w:r>
        <w:fldChar w:fldCharType="begin"/>
      </w:r>
      <w:r>
        <w:instrText xml:space="preserve"> REF _Ref158985105 \n \h </w:instrText>
      </w:r>
      <w:r>
        <w:fldChar w:fldCharType="separate"/>
      </w:r>
      <w:r w:rsidR="00D300D0">
        <w:t>Figure 9.1</w:t>
      </w:r>
      <w:r>
        <w:fldChar w:fldCharType="end"/>
      </w:r>
      <w:r>
        <w:t xml:space="preserve"> should be used as an instrument to guide decision making regarding individual services’ futures. </w:t>
      </w:r>
      <w:r>
        <w:br/>
      </w: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A41D7E" w14:paraId="2C72CEBB"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54A3D6C3" w14:textId="240AA709" w:rsidR="00A41D7E" w:rsidRPr="00964087" w:rsidRDefault="00A41D7E">
            <w:pPr>
              <w:pStyle w:val="ListBullet"/>
              <w:numPr>
                <w:ilvl w:val="0"/>
                <w:numId w:val="0"/>
              </w:numPr>
              <w:rPr>
                <w:b/>
                <w:bCs/>
                <w:color w:val="FFFFFF" w:themeColor="background1"/>
              </w:rPr>
            </w:pPr>
            <w:r w:rsidRPr="2B91AEFB">
              <w:rPr>
                <w:b/>
                <w:bCs/>
              </w:rPr>
              <w:t xml:space="preserve">Findings </w:t>
            </w:r>
            <w:r>
              <w:rPr>
                <w:b/>
                <w:bCs/>
              </w:rPr>
              <w:t>relating to</w:t>
            </w:r>
            <w:r w:rsidRPr="2B91AEFB">
              <w:rPr>
                <w:b/>
                <w:bCs/>
              </w:rPr>
              <w:t xml:space="preserve"> Recommendation 1</w:t>
            </w:r>
          </w:p>
        </w:tc>
      </w:tr>
      <w:tr w:rsidR="00A41D7E" w14:paraId="6535693F" w14:textId="77777777">
        <w:tc>
          <w:tcPr>
            <w:tcW w:w="9026" w:type="dxa"/>
          </w:tcPr>
          <w:p w14:paraId="4B71B83F" w14:textId="77777777" w:rsidR="00A41D7E" w:rsidRPr="005A72D0" w:rsidRDefault="00A41D7E">
            <w:pPr>
              <w:pStyle w:val="ListBullet"/>
              <w:rPr>
                <w:sz w:val="16"/>
                <w:szCs w:val="16"/>
              </w:rPr>
            </w:pPr>
            <w:r w:rsidRPr="005A72D0">
              <w:rPr>
                <w:b/>
                <w:sz w:val="16"/>
                <w:szCs w:val="16"/>
              </w:rPr>
              <w:t>Finding 8</w:t>
            </w:r>
            <w:r w:rsidRPr="00C015D4">
              <w:rPr>
                <w:sz w:val="16"/>
                <w:szCs w:val="16"/>
              </w:rPr>
              <w:t>:</w:t>
            </w:r>
            <w:r w:rsidRPr="005A72D0">
              <w:rPr>
                <w:sz w:val="16"/>
                <w:szCs w:val="16"/>
              </w:rPr>
              <w:t xml:space="preserve"> A shifting policy landscape is creating uncertainty and potential divergences between the objectives and intent of the CCCFR grant and contemporary policy directions.</w:t>
            </w:r>
          </w:p>
          <w:p w14:paraId="64B61A55" w14:textId="77777777" w:rsidR="00A41D7E" w:rsidRPr="00F002B1" w:rsidRDefault="00A41D7E">
            <w:pPr>
              <w:pStyle w:val="ListBullet"/>
              <w:rPr>
                <w:sz w:val="16"/>
                <w:szCs w:val="16"/>
              </w:rPr>
            </w:pPr>
            <w:r>
              <w:rPr>
                <w:b/>
                <w:bCs/>
                <w:iCs/>
                <w:sz w:val="16"/>
                <w:szCs w:val="16"/>
              </w:rPr>
              <w:t>F</w:t>
            </w:r>
            <w:r w:rsidRPr="00F002B1">
              <w:rPr>
                <w:b/>
                <w:bCs/>
                <w:iCs/>
                <w:sz w:val="16"/>
                <w:szCs w:val="16"/>
              </w:rPr>
              <w:t>inding 19:</w:t>
            </w:r>
            <w:r>
              <w:rPr>
                <w:b/>
                <w:bCs/>
                <w:iCs/>
                <w:sz w:val="16"/>
                <w:szCs w:val="16"/>
              </w:rPr>
              <w:t xml:space="preserve"> </w:t>
            </w:r>
            <w:r w:rsidRPr="00452988">
              <w:rPr>
                <w:iCs/>
                <w:sz w:val="16"/>
                <w:szCs w:val="16"/>
              </w:rPr>
              <w:t>The</w:t>
            </w:r>
            <w:r w:rsidRPr="00F002B1">
              <w:rPr>
                <w:sz w:val="16"/>
                <w:szCs w:val="16"/>
              </w:rPr>
              <w:t xml:space="preserve"> CCCFR grant funding is not intentionally responsive or adaptive to the current or evolving needs of community; it is largely a function of historical factors. </w:t>
            </w:r>
          </w:p>
          <w:p w14:paraId="391D19BA" w14:textId="77777777" w:rsidR="00A41D7E" w:rsidRPr="005A72D0" w:rsidRDefault="00A41D7E">
            <w:pPr>
              <w:pStyle w:val="ListBullet"/>
              <w:rPr>
                <w:sz w:val="16"/>
                <w:szCs w:val="16"/>
              </w:rPr>
            </w:pPr>
            <w:r w:rsidRPr="00C015D4">
              <w:rPr>
                <w:b/>
                <w:sz w:val="16"/>
                <w:szCs w:val="16"/>
              </w:rPr>
              <w:lastRenderedPageBreak/>
              <w:t>Finding 35</w:t>
            </w:r>
            <w:r w:rsidRPr="00C015D4">
              <w:rPr>
                <w:sz w:val="16"/>
                <w:szCs w:val="16"/>
              </w:rPr>
              <w:t xml:space="preserve">: Analysis of the financial adequacy of the resources provided under the CCCFR grant is hampered by the uncertainty that exists in relation to the grant’s purpose and intent (see findings 6 and 7). </w:t>
            </w:r>
          </w:p>
          <w:p w14:paraId="2C70CF29" w14:textId="77777777" w:rsidR="00A41D7E" w:rsidRPr="005A72D0" w:rsidRDefault="00A41D7E">
            <w:pPr>
              <w:pStyle w:val="ListBullet"/>
              <w:rPr>
                <w:sz w:val="16"/>
                <w:szCs w:val="16"/>
              </w:rPr>
            </w:pPr>
            <w:r w:rsidRPr="00C015D4">
              <w:rPr>
                <w:b/>
                <w:sz w:val="16"/>
                <w:szCs w:val="16"/>
              </w:rPr>
              <w:t>Finding 36</w:t>
            </w:r>
            <w:r w:rsidRPr="005A72D0">
              <w:rPr>
                <w:sz w:val="16"/>
                <w:szCs w:val="16"/>
              </w:rPr>
              <w:t xml:space="preserve">: Notwithstanding finding 35, there would appear only a limited relationship between the funding CCCFR services receive from the Australian Government and cost of meeting the need CCCFR services face, as it manifests from both service and community characteristics.  </w:t>
            </w:r>
          </w:p>
          <w:p w14:paraId="7EC82285" w14:textId="77777777" w:rsidR="00A41D7E" w:rsidRPr="005A72D0" w:rsidRDefault="00A41D7E">
            <w:pPr>
              <w:pStyle w:val="ListBullet"/>
              <w:rPr>
                <w:sz w:val="16"/>
                <w:szCs w:val="16"/>
              </w:rPr>
            </w:pPr>
            <w:r w:rsidRPr="00C015D4">
              <w:rPr>
                <w:b/>
                <w:sz w:val="16"/>
                <w:szCs w:val="16"/>
              </w:rPr>
              <w:t>Finding 37</w:t>
            </w:r>
            <w:r w:rsidRPr="005A72D0">
              <w:rPr>
                <w:sz w:val="16"/>
                <w:szCs w:val="16"/>
              </w:rPr>
              <w:t xml:space="preserve">: The financial sustainability of CCCFR services varies considerably. There are drivers on both the revenue and cost side, with the limited responsiveness of funding to costs a key driver of the financial challenges that many CCCFR services confront.  </w:t>
            </w:r>
          </w:p>
          <w:p w14:paraId="5EE14538" w14:textId="6B28C888" w:rsidR="00A41D7E" w:rsidRPr="00C015D4" w:rsidRDefault="00A41D7E">
            <w:pPr>
              <w:pStyle w:val="ListBullet"/>
              <w:rPr>
                <w:sz w:val="16"/>
                <w:szCs w:val="16"/>
              </w:rPr>
            </w:pPr>
            <w:r w:rsidRPr="00EB3A67">
              <w:rPr>
                <w:b/>
                <w:bCs/>
                <w:sz w:val="16"/>
                <w:szCs w:val="16"/>
              </w:rPr>
              <w:t>Finding 38:</w:t>
            </w:r>
            <w:r w:rsidRPr="00EB3A67">
              <w:rPr>
                <w:sz w:val="16"/>
                <w:szCs w:val="16"/>
              </w:rPr>
              <w:t xml:space="preserve"> The administration of the CCS and ACCS and the requirements families face in engaging with these funding streams mean that they are both underutilised and, in the case of CCS, increased reliance is associated with greater financial viability</w:t>
            </w:r>
            <w:r w:rsidR="007872A8">
              <w:rPr>
                <w:sz w:val="16"/>
                <w:szCs w:val="16"/>
              </w:rPr>
              <w:t xml:space="preserve"> challenges</w:t>
            </w:r>
            <w:r w:rsidRPr="00EB3A67">
              <w:rPr>
                <w:sz w:val="16"/>
                <w:szCs w:val="16"/>
              </w:rPr>
              <w:t>.</w:t>
            </w:r>
          </w:p>
          <w:p w14:paraId="10032F2C" w14:textId="227FCF05" w:rsidR="00A41D7E" w:rsidRDefault="00A41D7E" w:rsidP="00A522AC">
            <w:pPr>
              <w:pStyle w:val="ListBullet"/>
            </w:pPr>
            <w:r w:rsidRPr="00C015D4">
              <w:rPr>
                <w:b/>
                <w:sz w:val="16"/>
                <w:szCs w:val="16"/>
              </w:rPr>
              <w:t>Finding 39</w:t>
            </w:r>
            <w:r w:rsidRPr="005A72D0">
              <w:rPr>
                <w:sz w:val="16"/>
                <w:szCs w:val="16"/>
              </w:rPr>
              <w:t>: Few CCCFR services could operate in a financially viable manner if reliant purely on CCS revenue (in its current form)</w:t>
            </w:r>
            <w:r>
              <w:rPr>
                <w:sz w:val="16"/>
              </w:rPr>
              <w:t>.</w:t>
            </w:r>
          </w:p>
        </w:tc>
      </w:tr>
    </w:tbl>
    <w:p w14:paraId="750BB4D7" w14:textId="77777777" w:rsidR="006D296E" w:rsidRDefault="006D296E" w:rsidP="006D296E">
      <w:pPr>
        <w:pStyle w:val="ListBullet"/>
        <w:numPr>
          <w:ilvl w:val="0"/>
          <w:numId w:val="0"/>
        </w:numPr>
        <w:ind w:left="340" w:hanging="340"/>
      </w:pPr>
    </w:p>
    <w:p w14:paraId="792F378D" w14:textId="77777777" w:rsidR="006D296E" w:rsidRPr="00747B61" w:rsidRDefault="006D296E" w:rsidP="00A522AC">
      <w:pPr>
        <w:pStyle w:val="ListBullet"/>
        <w:numPr>
          <w:ilvl w:val="0"/>
          <w:numId w:val="0"/>
        </w:numPr>
        <w:ind w:left="340" w:hanging="340"/>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BE189C" w14:paraId="48554CAB"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422B43E1" w14:textId="6588BF12" w:rsidR="00BE189C" w:rsidRPr="009E424E" w:rsidRDefault="00BE189C">
            <w:pPr>
              <w:spacing w:after="120"/>
              <w:rPr>
                <w:b/>
                <w:bCs/>
              </w:rPr>
            </w:pPr>
            <w:r>
              <w:rPr>
                <w:b/>
                <w:bCs/>
              </w:rPr>
              <w:t>Recommendation 2</w:t>
            </w:r>
          </w:p>
          <w:p w14:paraId="10D7F817" w14:textId="1E57CA9D" w:rsidR="00BE189C" w:rsidRPr="00CA3305" w:rsidRDefault="00BE189C">
            <w:pPr>
              <w:spacing w:after="120"/>
            </w:pPr>
            <w:r w:rsidRPr="00BE189C">
              <w:t>The potential transition of CCCFR services not currently regulated under the National Quality Framework (NQF) to the NQF should be considered on a case-by-case basis, having regard to the service operating environment, its current capacity to meet requirements under the National Law and Regulations, and an analysis of service-level and systemic barriers to meeting the National Quality Standard (NQS).</w:t>
            </w:r>
          </w:p>
        </w:tc>
      </w:tr>
    </w:tbl>
    <w:p w14:paraId="6D0CA64F" w14:textId="2852D55D" w:rsidR="00230DEB" w:rsidRDefault="00230DEB" w:rsidP="00A522AC">
      <w:pPr>
        <w:pStyle w:val="ListBullet"/>
        <w:spacing w:before="170"/>
      </w:pPr>
      <w:r>
        <w:t>As part of this, the analysis should consider the needs, wants and expectations of local families and community, and whether alternate approaches to regulatory oversight and support may better achieve similar outcomes of high quality ECEC (including those proposed as part of Recommendation 4 of this review).</w:t>
      </w:r>
    </w:p>
    <w:p w14:paraId="1955244E" w14:textId="66456767" w:rsidR="00230DEB" w:rsidRDefault="00230DEB" w:rsidP="00230DEB">
      <w:pPr>
        <w:pStyle w:val="ListBullet"/>
      </w:pPr>
      <w:r>
        <w:t>The consideration of alternative regulatory approaches should occur in tandem with the consideration of alternative policy and funding environments as part of the wider consideration of the preferred future for each individual services (</w:t>
      </w:r>
      <w:r w:rsidR="00AC7B9E">
        <w:t xml:space="preserve">drawing on the decision framework for individual services, set out at </w:t>
      </w:r>
      <w:r w:rsidR="00AC7B9E">
        <w:fldChar w:fldCharType="begin"/>
      </w:r>
      <w:r w:rsidR="00AC7B9E">
        <w:instrText xml:space="preserve"> REF _Ref158985105 \r \h </w:instrText>
      </w:r>
      <w:r w:rsidR="00AC7B9E">
        <w:fldChar w:fldCharType="separate"/>
      </w:r>
      <w:r w:rsidR="00D300D0">
        <w:t>Figure 9.1</w:t>
      </w:r>
      <w:r w:rsidR="00AC7B9E">
        <w:fldChar w:fldCharType="end"/>
      </w:r>
      <w:r w:rsidR="00346340">
        <w:t xml:space="preserve"> in section </w:t>
      </w:r>
      <w:r w:rsidR="00346340">
        <w:fldChar w:fldCharType="begin"/>
      </w:r>
      <w:r w:rsidR="00346340">
        <w:instrText xml:space="preserve"> REF _Ref167115321 \r \h </w:instrText>
      </w:r>
      <w:r w:rsidR="00346340">
        <w:fldChar w:fldCharType="separate"/>
      </w:r>
      <w:r w:rsidR="00D300D0">
        <w:t>9.2.3</w:t>
      </w:r>
      <w:r w:rsidR="00346340">
        <w:fldChar w:fldCharType="end"/>
      </w:r>
      <w:r>
        <w:t xml:space="preserve">). </w:t>
      </w:r>
    </w:p>
    <w:p w14:paraId="08D7AFCE" w14:textId="4BADD941" w:rsidR="007704E6" w:rsidRDefault="007704E6" w:rsidP="007704E6">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35699E" w14:paraId="26F63637"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3E142C59" w14:textId="77777777" w:rsidR="0035699E" w:rsidRPr="00964087" w:rsidRDefault="0035699E">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2</w:t>
            </w:r>
          </w:p>
        </w:tc>
      </w:tr>
      <w:tr w:rsidR="0035699E" w14:paraId="4F222F34" w14:textId="77777777">
        <w:tc>
          <w:tcPr>
            <w:tcW w:w="9026" w:type="dxa"/>
          </w:tcPr>
          <w:p w14:paraId="4E8A9453" w14:textId="77777777" w:rsidR="0035699E" w:rsidRPr="0082534D" w:rsidRDefault="0035699E">
            <w:pPr>
              <w:pStyle w:val="ListBullet"/>
              <w:rPr>
                <w:sz w:val="16"/>
                <w:szCs w:val="16"/>
              </w:rPr>
            </w:pPr>
            <w:r w:rsidRPr="00CB7FFD">
              <w:rPr>
                <w:b/>
                <w:bCs/>
                <w:sz w:val="16"/>
                <w:szCs w:val="16"/>
              </w:rPr>
              <w:t>Finding 28:</w:t>
            </w:r>
            <w:r w:rsidRPr="00CB7FFD">
              <w:rPr>
                <w:sz w:val="16"/>
                <w:szCs w:val="16"/>
              </w:rPr>
              <w:t xml:space="preserve"> Some CCCFR services are expected to face significant barriers to meeting the National Law and </w:t>
            </w:r>
            <w:r w:rsidRPr="0082534D">
              <w:rPr>
                <w:sz w:val="16"/>
                <w:szCs w:val="16"/>
              </w:rPr>
              <w:t>Regulations, in particular around meeting workforce and infrastructure requirements.</w:t>
            </w:r>
          </w:p>
          <w:p w14:paraId="356924C5" w14:textId="77777777" w:rsidR="0035699E" w:rsidRPr="0082534D" w:rsidRDefault="0035699E">
            <w:pPr>
              <w:pStyle w:val="ListBullet"/>
              <w:rPr>
                <w:sz w:val="16"/>
                <w:szCs w:val="16"/>
              </w:rPr>
            </w:pPr>
            <w:r w:rsidRPr="0082534D">
              <w:rPr>
                <w:b/>
                <w:bCs/>
                <w:sz w:val="16"/>
                <w:szCs w:val="16"/>
              </w:rPr>
              <w:t>Finding 29:</w:t>
            </w:r>
            <w:r w:rsidRPr="0082534D">
              <w:rPr>
                <w:sz w:val="16"/>
                <w:szCs w:val="16"/>
              </w:rPr>
              <w:t xml:space="preserve"> While there is mixed evidence within current research, CCCFR services may face broader, systemic barriers to achieving the National Quality Standard (NQS) and broader requirements under the National Law and Regulations (NQF).</w:t>
            </w:r>
          </w:p>
          <w:p w14:paraId="1DB473A2" w14:textId="77777777" w:rsidR="0035699E" w:rsidRPr="0082534D" w:rsidRDefault="0035699E">
            <w:pPr>
              <w:pStyle w:val="ListBullet"/>
              <w:rPr>
                <w:sz w:val="16"/>
                <w:szCs w:val="16"/>
              </w:rPr>
            </w:pPr>
            <w:r w:rsidRPr="0082534D">
              <w:rPr>
                <w:b/>
                <w:bCs/>
                <w:sz w:val="16"/>
                <w:szCs w:val="16"/>
              </w:rPr>
              <w:t>Finding 30:</w:t>
            </w:r>
            <w:r w:rsidRPr="0082534D">
              <w:rPr>
                <w:sz w:val="16"/>
                <w:szCs w:val="16"/>
              </w:rPr>
              <w:t xml:space="preserve"> Analysis of Compliance and Operations Reports indicates varying capability and capacity across CCCFR services to prepare planning and governance documentation in line with the Minister’s Rules.</w:t>
            </w:r>
          </w:p>
          <w:p w14:paraId="2EC4CE11" w14:textId="77777777" w:rsidR="0035699E" w:rsidRPr="00234144" w:rsidRDefault="0035699E">
            <w:pPr>
              <w:pStyle w:val="ListBullet"/>
              <w:rPr>
                <w:sz w:val="16"/>
                <w:szCs w:val="16"/>
              </w:rPr>
            </w:pPr>
            <w:r w:rsidRPr="0082534D">
              <w:rPr>
                <w:b/>
                <w:bCs/>
                <w:sz w:val="16"/>
                <w:szCs w:val="16"/>
              </w:rPr>
              <w:t>Finding 31:</w:t>
            </w:r>
            <w:r w:rsidRPr="0082534D">
              <w:rPr>
                <w:sz w:val="16"/>
                <w:szCs w:val="16"/>
              </w:rPr>
              <w:t xml:space="preserve"> Broader workforce challenges have impacted several rural and remote CCCFR services’ ability to meet obligations under the Minister’s Rules, specifically around ensuring effective supervision and meeting First Aid obligations.</w:t>
            </w:r>
          </w:p>
        </w:tc>
      </w:tr>
    </w:tbl>
    <w:p w14:paraId="5DB513AC" w14:textId="77777777" w:rsidR="007704E6" w:rsidRDefault="007704E6" w:rsidP="007704E6">
      <w:pPr>
        <w:pStyle w:val="ListBullet"/>
        <w:numPr>
          <w:ilvl w:val="0"/>
          <w:numId w:val="0"/>
        </w:numPr>
        <w:ind w:left="340" w:hanging="340"/>
      </w:pPr>
    </w:p>
    <w:p w14:paraId="4FF1CF8C" w14:textId="77777777" w:rsidR="007704E6" w:rsidRDefault="007704E6" w:rsidP="007704E6">
      <w:pPr>
        <w:pStyle w:val="ListBullet"/>
        <w:numPr>
          <w:ilvl w:val="0"/>
          <w:numId w:val="0"/>
        </w:numPr>
        <w:ind w:left="340" w:hanging="340"/>
      </w:pPr>
    </w:p>
    <w:p w14:paraId="1C3A6286" w14:textId="77777777" w:rsidR="007704E6" w:rsidRPr="00747B61" w:rsidRDefault="007704E6" w:rsidP="00A522AC">
      <w:pPr>
        <w:pStyle w:val="ListBullet"/>
        <w:numPr>
          <w:ilvl w:val="0"/>
          <w:numId w:val="0"/>
        </w:numPr>
        <w:ind w:left="340" w:hanging="340"/>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F30C76" w14:paraId="27126A6B"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51896743" w14:textId="190935E1" w:rsidR="00F30C76" w:rsidRPr="009E424E" w:rsidRDefault="00F30C76">
            <w:pPr>
              <w:spacing w:after="120"/>
              <w:rPr>
                <w:b/>
                <w:bCs/>
              </w:rPr>
            </w:pPr>
            <w:r>
              <w:rPr>
                <w:b/>
                <w:bCs/>
              </w:rPr>
              <w:lastRenderedPageBreak/>
              <w:t>Recommendation 3</w:t>
            </w:r>
          </w:p>
          <w:p w14:paraId="1F4B4E95" w14:textId="67712BAF" w:rsidR="00F30C76" w:rsidRPr="00CA3305" w:rsidRDefault="00F30C76" w:rsidP="00F30C76">
            <w:pPr>
              <w:spacing w:after="120"/>
            </w:pPr>
            <w:r w:rsidRPr="00BE189C">
              <w:t>The potential transition of CCCFR services not currently regulated under the National Quality Framework (NQF) to the NQF should be considered on a case-by-case basis, having regard to the service operating environment, its current capacity to meet requirements under the National Law and Regulations, and an analysis of service-level and systemic barriers to meeting the National Quality Standard (NQS).</w:t>
            </w:r>
          </w:p>
        </w:tc>
      </w:tr>
    </w:tbl>
    <w:p w14:paraId="5779621F" w14:textId="77777777" w:rsidR="008B0021" w:rsidRPr="00747B61" w:rsidRDefault="008B0021" w:rsidP="00A522AC">
      <w:pPr>
        <w:pStyle w:val="ListBullet"/>
        <w:spacing w:before="170"/>
      </w:pPr>
      <w:r>
        <w:t xml:space="preserve">Services and communities should be active participants in the process that determines their future. </w:t>
      </w:r>
    </w:p>
    <w:p w14:paraId="66B622EA" w14:textId="77777777" w:rsidR="008B0021" w:rsidRPr="00747B61" w:rsidRDefault="008B0021" w:rsidP="008B0021">
      <w:pPr>
        <w:pStyle w:val="ListBullet"/>
      </w:pPr>
      <w:r>
        <w:t xml:space="preserve">Time should be taken to work with each service to appraise their readiness and transition support needs in order to develop a transition plan specific to their needs, including communicating changes to the families they work with and the communities they operate in. </w:t>
      </w:r>
    </w:p>
    <w:p w14:paraId="74665B2C" w14:textId="77777777" w:rsidR="008B0021" w:rsidRPr="00747B61" w:rsidRDefault="008B0021" w:rsidP="008B0021">
      <w:pPr>
        <w:pStyle w:val="ListBullet"/>
        <w:rPr>
          <w:b/>
          <w:bCs/>
        </w:rPr>
      </w:pPr>
      <w:r>
        <w:t xml:space="preserve">This should include specific training and support on any changes to reporting systems and procedures, regulatory changes due to changes conditions of funding, and other training necessary to support services to thrive in the new environment </w:t>
      </w:r>
    </w:p>
    <w:p w14:paraId="7E6C9BBA" w14:textId="77777777" w:rsidR="00346340" w:rsidRDefault="008B0021" w:rsidP="008B0021">
      <w:pPr>
        <w:pStyle w:val="ListBullet"/>
      </w:pPr>
      <w:r>
        <w:t>Knowledge and context held by the Department and CCCFR program officers should be transmitted as appropriate to new case management support teams.</w:t>
      </w:r>
    </w:p>
    <w:p w14:paraId="5756BA70" w14:textId="77777777" w:rsidR="00346340" w:rsidRDefault="00346340" w:rsidP="00346340">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346340" w14:paraId="0DC9E4A7"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26AE74F7" w14:textId="77777777" w:rsidR="00346340" w:rsidRPr="00964087" w:rsidRDefault="00346340">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3</w:t>
            </w:r>
          </w:p>
        </w:tc>
      </w:tr>
      <w:tr w:rsidR="00346340" w14:paraId="5D1944B2" w14:textId="77777777">
        <w:tc>
          <w:tcPr>
            <w:tcW w:w="9026" w:type="dxa"/>
          </w:tcPr>
          <w:p w14:paraId="169E6530" w14:textId="77777777" w:rsidR="00346340" w:rsidRPr="00BC60C2" w:rsidRDefault="00346340">
            <w:pPr>
              <w:pStyle w:val="ListBullet"/>
              <w:rPr>
                <w:sz w:val="16"/>
                <w:szCs w:val="16"/>
              </w:rPr>
            </w:pPr>
            <w:r w:rsidRPr="00BC60C2">
              <w:rPr>
                <w:b/>
                <w:bCs/>
                <w:sz w:val="16"/>
                <w:szCs w:val="16"/>
              </w:rPr>
              <w:t>Finding 9:</w:t>
            </w:r>
            <w:r w:rsidRPr="00BC60C2">
              <w:rPr>
                <w:sz w:val="16"/>
                <w:szCs w:val="16"/>
              </w:rPr>
              <w:t xml:space="preserve"> There is no explicit alignment to Closing the Gap outcomes, targets and priority reforms. The degree of implicit alignment varies.  </w:t>
            </w:r>
          </w:p>
          <w:p w14:paraId="559C9876" w14:textId="77777777" w:rsidR="00346340" w:rsidRPr="00A862FF" w:rsidRDefault="00346340">
            <w:pPr>
              <w:pStyle w:val="ListBullet"/>
              <w:rPr>
                <w:sz w:val="16"/>
                <w:szCs w:val="16"/>
              </w:rPr>
            </w:pPr>
            <w:r w:rsidRPr="00A862FF">
              <w:rPr>
                <w:b/>
                <w:bCs/>
                <w:sz w:val="16"/>
                <w:szCs w:val="16"/>
              </w:rPr>
              <w:t xml:space="preserve">Finding 10 </w:t>
            </w:r>
            <w:r w:rsidRPr="00A862FF">
              <w:rPr>
                <w:sz w:val="16"/>
                <w:szCs w:val="16"/>
              </w:rPr>
              <w:t xml:space="preserve">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        </w:t>
            </w:r>
          </w:p>
          <w:p w14:paraId="7391BF48" w14:textId="77777777" w:rsidR="00346340" w:rsidRPr="00A862FF" w:rsidRDefault="00346340">
            <w:pPr>
              <w:pStyle w:val="ListBullet"/>
              <w:rPr>
                <w:sz w:val="16"/>
                <w:szCs w:val="16"/>
              </w:rPr>
            </w:pPr>
            <w:r w:rsidRPr="00A862FF">
              <w:rPr>
                <w:b/>
                <w:sz w:val="16"/>
                <w:szCs w:val="16"/>
              </w:rPr>
              <w:t>Finding 11:</w:t>
            </w:r>
            <w:r w:rsidRPr="00A862FF">
              <w:rPr>
                <w:sz w:val="16"/>
                <w:szCs w:val="16"/>
              </w:rPr>
              <w:t xml:space="preserve"> Service, family and community views towards the stated CCCFR objectives vary, with strong support for the objectives of improving early childhood development outcomes, but more mixed views toward the objective of increasing workforce participation.</w:t>
            </w:r>
          </w:p>
          <w:p w14:paraId="396413E2" w14:textId="77777777" w:rsidR="00346340" w:rsidRDefault="00346340">
            <w:pPr>
              <w:pStyle w:val="ListBullet"/>
              <w:rPr>
                <w:sz w:val="16"/>
                <w:szCs w:val="16"/>
              </w:rPr>
            </w:pPr>
            <w:r w:rsidRPr="00A862FF">
              <w:rPr>
                <w:b/>
                <w:sz w:val="16"/>
                <w:szCs w:val="16"/>
              </w:rPr>
              <w:t>Finding 12:</w:t>
            </w:r>
            <w:r w:rsidRPr="00A862FF">
              <w:rPr>
                <w:sz w:val="16"/>
                <w:szCs w:val="16"/>
              </w:rPr>
              <w:t xml:space="preserve"> There are community, family, and child needs and expectations for many CCCFR services which go beyond mainstream needs of child care. CCCFR services often try to fulfil these needs.</w:t>
            </w:r>
          </w:p>
          <w:p w14:paraId="4F5BA024" w14:textId="77777777" w:rsidR="00346340" w:rsidRPr="00086E39" w:rsidRDefault="00346340">
            <w:pPr>
              <w:pStyle w:val="ListBullet"/>
              <w:rPr>
                <w:sz w:val="16"/>
                <w:szCs w:val="16"/>
              </w:rPr>
            </w:pPr>
            <w:r>
              <w:rPr>
                <w:b/>
                <w:bCs/>
                <w:iCs/>
                <w:sz w:val="16"/>
                <w:szCs w:val="16"/>
              </w:rPr>
              <w:t>F</w:t>
            </w:r>
            <w:r w:rsidRPr="00086E39">
              <w:rPr>
                <w:b/>
                <w:bCs/>
                <w:iCs/>
                <w:sz w:val="16"/>
                <w:szCs w:val="16"/>
              </w:rPr>
              <w:t>inding 19:</w:t>
            </w:r>
            <w:r w:rsidRPr="00086E39">
              <w:rPr>
                <w:sz w:val="16"/>
                <w:szCs w:val="16"/>
              </w:rPr>
              <w:t xml:space="preserve"> CCCFR grant funding is not intentionally responsive or adaptive to the current or evolving needs of community; it is largely a function of historical factors. </w:t>
            </w:r>
          </w:p>
          <w:p w14:paraId="091B5328" w14:textId="77777777" w:rsidR="00346340" w:rsidRPr="00A61F02" w:rsidRDefault="00346340">
            <w:pPr>
              <w:pStyle w:val="ListBullet"/>
              <w:rPr>
                <w:sz w:val="16"/>
                <w:szCs w:val="16"/>
              </w:rPr>
            </w:pPr>
            <w:r w:rsidRPr="00A61F02">
              <w:rPr>
                <w:b/>
                <w:bCs/>
                <w:sz w:val="16"/>
                <w:szCs w:val="16"/>
              </w:rPr>
              <w:t>Finding 28:</w:t>
            </w:r>
            <w:r w:rsidRPr="00A61F02">
              <w:rPr>
                <w:sz w:val="16"/>
                <w:szCs w:val="16"/>
              </w:rPr>
              <w:t xml:space="preserve"> Some CCCFR services are expected to face significant barriers to meeting the National Law and Regulations, in particular around meeting workforce and infrastructure requirements.</w:t>
            </w:r>
            <w:r w:rsidRPr="00A61F02">
              <w:rPr>
                <w:sz w:val="16"/>
                <w:szCs w:val="16"/>
                <w:highlight w:val="yellow"/>
              </w:rPr>
              <w:t xml:space="preserve"> </w:t>
            </w:r>
          </w:p>
          <w:p w14:paraId="7851E358" w14:textId="77777777" w:rsidR="00346340" w:rsidRPr="0063347B" w:rsidRDefault="00346340">
            <w:pPr>
              <w:pStyle w:val="ListBullet"/>
            </w:pPr>
            <w:r w:rsidRPr="0063347B">
              <w:rPr>
                <w:b/>
                <w:bCs/>
                <w:sz w:val="16"/>
                <w:szCs w:val="16"/>
              </w:rPr>
              <w:t>Finding 29:</w:t>
            </w:r>
            <w:r w:rsidRPr="0063347B">
              <w:rPr>
                <w:sz w:val="16"/>
                <w:szCs w:val="16"/>
              </w:rPr>
              <w:t xml:space="preserve"> While there is mixed evidence within current research, CCCFR services may face broader, systemic barriers to achieving the National Quality Standard (NQS) and broader requirements under the National Law and Regulations (NQF).</w:t>
            </w:r>
            <w:r w:rsidRPr="0063347B">
              <w:rPr>
                <w:sz w:val="16"/>
                <w:szCs w:val="16"/>
                <w:highlight w:val="yellow"/>
              </w:rPr>
              <w:t xml:space="preserve"> </w:t>
            </w:r>
          </w:p>
          <w:p w14:paraId="1FC17E5C" w14:textId="578BD861" w:rsidR="00346340" w:rsidRDefault="00346340" w:rsidP="00A522AC">
            <w:pPr>
              <w:pStyle w:val="ListBullet"/>
            </w:pPr>
            <w:r w:rsidRPr="009706A6">
              <w:rPr>
                <w:b/>
                <w:bCs/>
                <w:sz w:val="16"/>
                <w:szCs w:val="16"/>
              </w:rPr>
              <w:t>Finding 37:</w:t>
            </w:r>
            <w:r w:rsidRPr="009706A6">
              <w:rPr>
                <w:sz w:val="16"/>
                <w:szCs w:val="16"/>
              </w:rPr>
              <w:t xml:space="preserve"> The financial sustainability of CCCFR services varies considerably. There are drivers on both the revenue and cost side, with the limited responsiveness of funding to costs a key driver of the financial challenges that many CCCFR services confront.</w:t>
            </w:r>
          </w:p>
        </w:tc>
      </w:tr>
    </w:tbl>
    <w:p w14:paraId="55AE0B45" w14:textId="77777777" w:rsidR="00346340" w:rsidRDefault="00346340" w:rsidP="00346340">
      <w:pPr>
        <w:pStyle w:val="ListBullet"/>
        <w:numPr>
          <w:ilvl w:val="0"/>
          <w:numId w:val="0"/>
        </w:numPr>
        <w:ind w:left="340" w:hanging="340"/>
      </w:pPr>
    </w:p>
    <w:p w14:paraId="15C4A3F8" w14:textId="11632AF5" w:rsidR="008B0021" w:rsidRPr="00747B61" w:rsidRDefault="008B0021" w:rsidP="00A522AC">
      <w:pPr>
        <w:pStyle w:val="ListBullet"/>
        <w:numPr>
          <w:ilvl w:val="0"/>
          <w:numId w:val="0"/>
        </w:numPr>
        <w:ind w:left="340" w:hanging="340"/>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D524DA" w14:paraId="3C8180FF"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407F6CE3" w14:textId="2F5E9CCD" w:rsidR="00D524DA" w:rsidRPr="009E424E" w:rsidRDefault="00D524DA">
            <w:pPr>
              <w:spacing w:after="120"/>
              <w:rPr>
                <w:b/>
                <w:bCs/>
              </w:rPr>
            </w:pPr>
            <w:r>
              <w:rPr>
                <w:b/>
                <w:bCs/>
              </w:rPr>
              <w:t>Recommendation 4</w:t>
            </w:r>
          </w:p>
          <w:p w14:paraId="73812551" w14:textId="452FA060" w:rsidR="00D524DA" w:rsidRPr="00CA3305" w:rsidRDefault="0042784E">
            <w:pPr>
              <w:spacing w:after="120"/>
            </w:pPr>
            <w:r w:rsidRPr="00F40BB7">
              <w:t>There should be further exploration of the opportunities within the Australian early childhood regulatory landscape to support Aboriginal and Torres Strait Islander CCCFR services and families</w:t>
            </w:r>
            <w:r w:rsidR="00F40BB7">
              <w:rPr>
                <w:bCs/>
              </w:rPr>
              <w:t>.</w:t>
            </w:r>
          </w:p>
        </w:tc>
      </w:tr>
    </w:tbl>
    <w:p w14:paraId="646086D1" w14:textId="551C84B2" w:rsidR="008B0021" w:rsidRPr="00832B9C" w:rsidRDefault="008B0021" w:rsidP="00A522AC">
      <w:pPr>
        <w:pStyle w:val="ListBullet"/>
        <w:spacing w:before="170"/>
        <w:rPr>
          <w:rFonts w:cs="Arial"/>
          <w:szCs w:val="18"/>
        </w:rPr>
      </w:pPr>
      <w:r w:rsidRPr="2B91AEFB">
        <w:rPr>
          <w:rStyle w:val="cf11"/>
          <w:rFonts w:ascii="Verdana" w:hAnsi="Verdana"/>
        </w:rPr>
        <w:t>In accordance with the views and preferences expressed by Aboriginal and Torres Strait Islander services, peak bodies and community members consulted in this review, this exploration may include consideration of:</w:t>
      </w:r>
    </w:p>
    <w:p w14:paraId="6620F004" w14:textId="7AFAD8F9" w:rsidR="008B0021" w:rsidRPr="00832B9C" w:rsidRDefault="008B0021" w:rsidP="00545D38">
      <w:pPr>
        <w:pStyle w:val="ListBullet2"/>
        <w:rPr>
          <w:rFonts w:cs="Arial"/>
          <w:szCs w:val="18"/>
        </w:rPr>
      </w:pPr>
      <w:r w:rsidRPr="00832B9C">
        <w:rPr>
          <w:rStyle w:val="cf11"/>
          <w:rFonts w:ascii="Verdana" w:hAnsi="Verdana"/>
        </w:rPr>
        <w:lastRenderedPageBreak/>
        <w:t xml:space="preserve">an alternate dedicated funding </w:t>
      </w:r>
      <w:r w:rsidR="002954E0" w:rsidRPr="002954E0">
        <w:rPr>
          <w:rStyle w:val="cf11"/>
          <w:rFonts w:ascii="Verdana" w:hAnsi="Verdana"/>
        </w:rPr>
        <w:t>grant</w:t>
      </w:r>
      <w:r w:rsidRPr="00832B9C">
        <w:rPr>
          <w:rStyle w:val="cf11"/>
          <w:rFonts w:ascii="Verdana" w:hAnsi="Verdana"/>
        </w:rPr>
        <w:t xml:space="preserve"> for ACCO early years services that is designed in partnership with Aboriginal representatives in alignment with Priority Reforms 1 and 2 of the National Agreement on Closing the Gap, and particularly clause 45(d)</w:t>
      </w:r>
    </w:p>
    <w:p w14:paraId="18A4BF78" w14:textId="421B934E" w:rsidR="008B0021" w:rsidRPr="008666AE" w:rsidRDefault="008B0021" w:rsidP="00545D38">
      <w:pPr>
        <w:pStyle w:val="ListBullet2"/>
        <w:rPr>
          <w:rFonts w:cs="Arial"/>
          <w:szCs w:val="18"/>
        </w:rPr>
      </w:pPr>
      <w:r w:rsidRPr="5DC2A4F6">
        <w:rPr>
          <w:rStyle w:val="cf11"/>
          <w:rFonts w:ascii="Verdana" w:hAnsi="Verdana"/>
        </w:rPr>
        <w:t>the</w:t>
      </w:r>
      <w:r w:rsidRPr="68CA149C">
        <w:rPr>
          <w:rStyle w:val="cf11"/>
          <w:rFonts w:ascii="Verdana" w:hAnsi="Verdana"/>
        </w:rPr>
        <w:t xml:space="preserve"> development of</w:t>
      </w:r>
      <w:r w:rsidRPr="00832B9C">
        <w:rPr>
          <w:rStyle w:val="cf11"/>
          <w:rFonts w:ascii="Verdana" w:hAnsi="Verdana"/>
        </w:rPr>
        <w:t xml:space="preserve"> First </w:t>
      </w:r>
      <w:r w:rsidRPr="008666AE">
        <w:rPr>
          <w:rStyle w:val="cf11"/>
          <w:rFonts w:ascii="Verdana" w:hAnsi="Verdana"/>
        </w:rPr>
        <w:t>Nations-designed and led Learning Framework, distinct from EYLF/MTOP</w:t>
      </w:r>
    </w:p>
    <w:p w14:paraId="0352154C" w14:textId="606A1B3C" w:rsidR="008B0021" w:rsidRDefault="008B0021" w:rsidP="00545D38">
      <w:pPr>
        <w:pStyle w:val="ListBullet2"/>
        <w:rPr>
          <w:rStyle w:val="cf11"/>
          <w:rFonts w:ascii="Verdana" w:hAnsi="Verdana"/>
        </w:rPr>
      </w:pPr>
      <w:r w:rsidRPr="0163330A">
        <w:rPr>
          <w:rStyle w:val="cf11"/>
          <w:rFonts w:ascii="Verdana" w:hAnsi="Verdana"/>
        </w:rPr>
        <w:t>opportunities to develop</w:t>
      </w:r>
      <w:r w:rsidRPr="008666AE">
        <w:rPr>
          <w:rStyle w:val="cf11"/>
          <w:rFonts w:ascii="Verdana" w:hAnsi="Verdana"/>
        </w:rPr>
        <w:t xml:space="preserve"> an ECEC Quality Framework for Aboriginal and Torres Strait Islander services, informed by the aspirations, needs and expectations of Aboriginal and Torres Strait Islander peoples.</w:t>
      </w:r>
    </w:p>
    <w:p w14:paraId="49D076A4" w14:textId="77777777" w:rsidR="00346340" w:rsidRDefault="00346340" w:rsidP="00346340">
      <w:pPr>
        <w:pStyle w:val="ListBullet2"/>
        <w:numPr>
          <w:ilvl w:val="0"/>
          <w:numId w:val="0"/>
        </w:numPr>
        <w:ind w:left="700" w:hanging="360"/>
        <w:rPr>
          <w:rStyle w:val="cf11"/>
          <w:rFonts w:ascii="Verdana" w:hAnsi="Verdana"/>
        </w:rPr>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346340" w14:paraId="1B59F8A9"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3B3FD84E" w14:textId="77777777" w:rsidR="00346340" w:rsidRPr="00964087" w:rsidRDefault="00346340">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4</w:t>
            </w:r>
          </w:p>
        </w:tc>
      </w:tr>
      <w:tr w:rsidR="00346340" w14:paraId="2051844B" w14:textId="77777777">
        <w:tc>
          <w:tcPr>
            <w:tcW w:w="9026" w:type="dxa"/>
          </w:tcPr>
          <w:p w14:paraId="65A53A71" w14:textId="77777777" w:rsidR="00346340" w:rsidRPr="00A35EC2" w:rsidRDefault="00346340">
            <w:pPr>
              <w:pStyle w:val="ListBullet"/>
              <w:rPr>
                <w:sz w:val="16"/>
                <w:szCs w:val="16"/>
              </w:rPr>
            </w:pPr>
            <w:r w:rsidRPr="00D339A9">
              <w:rPr>
                <w:b/>
                <w:sz w:val="16"/>
                <w:szCs w:val="16"/>
              </w:rPr>
              <w:t>Finding 1</w:t>
            </w:r>
            <w:r w:rsidRPr="00A35EC2">
              <w:rPr>
                <w:sz w:val="16"/>
                <w:szCs w:val="16"/>
              </w:rPr>
              <w:t>: While intensity of use by existing families increased, enrolments by Aboriginal and Torres Strait Islander children at</w:t>
            </w:r>
            <w:r w:rsidRPr="00040168">
              <w:rPr>
                <w:sz w:val="16"/>
                <w:szCs w:val="16"/>
              </w:rPr>
              <w:t xml:space="preserve"> CCCFR </w:t>
            </w:r>
            <w:r w:rsidRPr="00A35EC2">
              <w:rPr>
                <w:sz w:val="16"/>
                <w:szCs w:val="16"/>
              </w:rPr>
              <w:t>services grew slower than at other non-CCCFR funded education and child care services receiving CCS in the same region and national benchmarks.</w:t>
            </w:r>
          </w:p>
          <w:p w14:paraId="0EBFF318" w14:textId="77777777" w:rsidR="00346340" w:rsidRPr="00A35EC2" w:rsidRDefault="00346340">
            <w:pPr>
              <w:pStyle w:val="ListBullet"/>
              <w:rPr>
                <w:sz w:val="16"/>
                <w:szCs w:val="16"/>
              </w:rPr>
            </w:pPr>
            <w:r w:rsidRPr="00D339A9">
              <w:rPr>
                <w:b/>
                <w:sz w:val="16"/>
                <w:szCs w:val="16"/>
              </w:rPr>
              <w:t>Finding 2</w:t>
            </w:r>
            <w:r w:rsidRPr="00A35EC2">
              <w:rPr>
                <w:sz w:val="16"/>
                <w:szCs w:val="16"/>
              </w:rPr>
              <w:t>: There</w:t>
            </w:r>
            <w:r w:rsidRPr="00040168">
              <w:rPr>
                <w:sz w:val="16"/>
                <w:szCs w:val="16"/>
              </w:rPr>
              <w:t xml:space="preserve"> is </w:t>
            </w:r>
            <w:r w:rsidRPr="00A35EC2">
              <w:rPr>
                <w:sz w:val="16"/>
                <w:szCs w:val="16"/>
              </w:rPr>
              <w:t>evidence</w:t>
            </w:r>
            <w:r w:rsidRPr="00040168">
              <w:rPr>
                <w:sz w:val="16"/>
                <w:szCs w:val="16"/>
              </w:rPr>
              <w:t xml:space="preserve"> to </w:t>
            </w:r>
            <w:r w:rsidRPr="00A35EC2">
              <w:rPr>
                <w:sz w:val="16"/>
                <w:szCs w:val="16"/>
              </w:rPr>
              <w:t>suggest that access to the CCCFR grant has been associated with slower growth in out-of-pocket fees and, for Aboriginal and Torres Strait Islander families, greater affordability.</w:t>
            </w:r>
          </w:p>
          <w:p w14:paraId="74DDA4BA" w14:textId="77777777" w:rsidR="00346340" w:rsidRPr="00A35EC2" w:rsidRDefault="00346340">
            <w:pPr>
              <w:pStyle w:val="ListBullet"/>
              <w:rPr>
                <w:sz w:val="16"/>
                <w:szCs w:val="16"/>
              </w:rPr>
            </w:pPr>
            <w:r w:rsidRPr="001C462D">
              <w:rPr>
                <w:b/>
                <w:bCs/>
                <w:sz w:val="16"/>
                <w:szCs w:val="16"/>
              </w:rPr>
              <w:t>Finding 4:</w:t>
            </w:r>
            <w:r w:rsidRPr="001C462D">
              <w:rPr>
                <w:sz w:val="16"/>
                <w:szCs w:val="16"/>
              </w:rPr>
              <w:t xml:space="preserve"> The evidence on the impact of the CCCFR grant on child developmental outcomes results</w:t>
            </w:r>
            <w:r w:rsidRPr="00040168">
              <w:rPr>
                <w:sz w:val="16"/>
                <w:szCs w:val="16"/>
              </w:rPr>
              <w:t xml:space="preserve"> is </w:t>
            </w:r>
            <w:r w:rsidRPr="001C462D">
              <w:rPr>
                <w:sz w:val="16"/>
                <w:szCs w:val="16"/>
              </w:rPr>
              <w:t>mixed. Remote areas, and areas with high Aboriginal and Torres Strait Islander populations saw the most consistent improvements in child developmental outcomes compared to other areas. In contrast, the trends were less consistent in regional and metropolitan areas, and areas with relatively lower concentrations of Aboriginal and Torres Strait Islander children.</w:t>
            </w:r>
          </w:p>
          <w:p w14:paraId="76055892" w14:textId="77777777" w:rsidR="00346340" w:rsidRPr="00040168" w:rsidRDefault="00346340">
            <w:pPr>
              <w:pStyle w:val="ListBullet"/>
              <w:rPr>
                <w:sz w:val="16"/>
                <w:szCs w:val="16"/>
              </w:rPr>
            </w:pPr>
            <w:r w:rsidRPr="00B836A3">
              <w:rPr>
                <w:b/>
                <w:bCs/>
                <w:sz w:val="16"/>
                <w:szCs w:val="16"/>
              </w:rPr>
              <w:t>Finding 9:</w:t>
            </w:r>
            <w:r w:rsidRPr="00B836A3">
              <w:rPr>
                <w:sz w:val="16"/>
                <w:szCs w:val="16"/>
              </w:rPr>
              <w:t xml:space="preserve"> There is no explicit alignment to Closing the Gap outcomes, targets and priority reforms. The degree of implicit alignment varies. </w:t>
            </w:r>
            <w:r w:rsidRPr="00040168">
              <w:rPr>
                <w:sz w:val="16"/>
                <w:szCs w:val="16"/>
              </w:rPr>
              <w:t xml:space="preserve"> </w:t>
            </w:r>
          </w:p>
          <w:p w14:paraId="4623D38C" w14:textId="77777777" w:rsidR="00346340" w:rsidRPr="00040168" w:rsidRDefault="00346340">
            <w:pPr>
              <w:pStyle w:val="ListBullet"/>
              <w:rPr>
                <w:sz w:val="16"/>
                <w:szCs w:val="16"/>
              </w:rPr>
            </w:pPr>
            <w:r w:rsidRPr="00040168">
              <w:rPr>
                <w:b/>
                <w:sz w:val="16"/>
                <w:szCs w:val="16"/>
              </w:rPr>
              <w:t xml:space="preserve">Finding 10 </w:t>
            </w:r>
            <w:r w:rsidRPr="00040168">
              <w:rPr>
                <w:sz w:val="16"/>
                <w:szCs w:val="16"/>
              </w:rPr>
              <w:t>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w:t>
            </w:r>
          </w:p>
          <w:p w14:paraId="67777B19" w14:textId="77777777" w:rsidR="00346340" w:rsidRPr="00F002B1" w:rsidRDefault="00346340">
            <w:pPr>
              <w:pStyle w:val="ListBullet"/>
              <w:rPr>
                <w:sz w:val="16"/>
                <w:szCs w:val="16"/>
              </w:rPr>
            </w:pPr>
            <w:r>
              <w:rPr>
                <w:b/>
                <w:bCs/>
                <w:iCs/>
                <w:sz w:val="16"/>
                <w:szCs w:val="16"/>
              </w:rPr>
              <w:t>F</w:t>
            </w:r>
            <w:r w:rsidRPr="00F002B1">
              <w:rPr>
                <w:b/>
                <w:bCs/>
                <w:iCs/>
                <w:sz w:val="16"/>
                <w:szCs w:val="16"/>
              </w:rPr>
              <w:t>inding 19:</w:t>
            </w:r>
            <w:r w:rsidRPr="00F002B1">
              <w:rPr>
                <w:sz w:val="16"/>
                <w:szCs w:val="16"/>
              </w:rPr>
              <w:t xml:space="preserve"> CCCFR grant funding is not intentionally responsive or adaptive to the current or evolving needs of community; it is largely a function of historical factors. </w:t>
            </w:r>
          </w:p>
          <w:p w14:paraId="6DBA54BB" w14:textId="77777777" w:rsidR="00346340" w:rsidRDefault="00346340">
            <w:pPr>
              <w:pStyle w:val="ListBullet"/>
            </w:pPr>
            <w:r w:rsidRPr="00EF70F0">
              <w:rPr>
                <w:b/>
                <w:bCs/>
                <w:sz w:val="16"/>
                <w:szCs w:val="16"/>
              </w:rPr>
              <w:t>Finding 29:</w:t>
            </w:r>
            <w:r w:rsidRPr="00EF70F0">
              <w:rPr>
                <w:sz w:val="16"/>
                <w:szCs w:val="16"/>
              </w:rPr>
              <w:t xml:space="preserve"> While there is mixed evidence within current research, CCCFR services may face broader, systemic barriers to achieving the National Quality Standard (NQS) and broader requirements under the National Law and Regulations (NQF).</w:t>
            </w:r>
            <w:r w:rsidRPr="00EF70F0">
              <w:rPr>
                <w:sz w:val="16"/>
                <w:szCs w:val="16"/>
                <w:highlight w:val="yellow"/>
              </w:rPr>
              <w:t xml:space="preserve"> </w:t>
            </w:r>
          </w:p>
        </w:tc>
      </w:tr>
    </w:tbl>
    <w:p w14:paraId="4AC1CC7E" w14:textId="77777777" w:rsidR="00346340" w:rsidRDefault="00346340" w:rsidP="00A522AC">
      <w:pPr>
        <w:rPr>
          <w:rStyle w:val="cf11"/>
          <w:rFonts w:ascii="Verdana" w:hAnsi="Verdana"/>
        </w:rPr>
      </w:pPr>
    </w:p>
    <w:p w14:paraId="7F07A8A5" w14:textId="2473ABCF" w:rsidR="008B0021" w:rsidRPr="00747B61" w:rsidRDefault="008B0021" w:rsidP="00A522AC">
      <w:pPr>
        <w:pStyle w:val="Heading3"/>
      </w:pPr>
      <w:r w:rsidRPr="00747B61">
        <w:t>Refining the current CCCFR grant to maximise its potential within the current policy environment</w:t>
      </w:r>
    </w:p>
    <w:p w14:paraId="63DDD04E" w14:textId="4AD94BE6" w:rsidR="008B0021" w:rsidRPr="00747B61" w:rsidRDefault="008B0021" w:rsidP="008B0021">
      <w:pPr>
        <w:spacing w:after="120"/>
      </w:pPr>
      <w:r w:rsidRPr="00747B61">
        <w:t xml:space="preserve">In the event that changes arising from the current policy review processes do not see the mainstream policy environment modified in ways that </w:t>
      </w:r>
      <w:r w:rsidR="000A7BD8">
        <w:t xml:space="preserve">adequately </w:t>
      </w:r>
      <w:r w:rsidRPr="00747B61">
        <w:t>meet the conditions required to transition all services away from a grant environment, the CCCFR grant should be strengthened and improved in order to better meet the needs of services, children and communities</w:t>
      </w:r>
      <w:r w:rsidR="000A7BD8">
        <w:t xml:space="preserve"> within the objectives of the grant</w:t>
      </w:r>
      <w:r w:rsidRPr="00747B61">
        <w:t>.</w:t>
      </w:r>
      <w:r w:rsidR="002E497C">
        <w:t xml:space="preserve"> </w:t>
      </w:r>
      <w:r w:rsidRPr="00747B61">
        <w:t>These changes are set out under recommendations 5-</w:t>
      </w:r>
      <w:r>
        <w:t>19</w:t>
      </w:r>
      <w:r w:rsidRPr="00747B61">
        <w:t>.</w:t>
      </w:r>
      <w:r w:rsidR="002E497C">
        <w:t xml:space="preserve"> </w:t>
      </w:r>
      <w:r w:rsidR="00133248">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667DF7" w14:paraId="71DA3ACA"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198D102C" w14:textId="296EB36A" w:rsidR="00667DF7" w:rsidRPr="009E424E" w:rsidRDefault="00667DF7">
            <w:pPr>
              <w:spacing w:after="120"/>
              <w:rPr>
                <w:b/>
                <w:bCs/>
              </w:rPr>
            </w:pPr>
            <w:r>
              <w:rPr>
                <w:b/>
                <w:bCs/>
              </w:rPr>
              <w:t>Recommendation 5</w:t>
            </w:r>
          </w:p>
          <w:p w14:paraId="53B214F1" w14:textId="1AFB7B9A" w:rsidR="00667DF7" w:rsidRPr="00CA3305" w:rsidRDefault="00667DF7">
            <w:pPr>
              <w:spacing w:after="120"/>
            </w:pPr>
            <w:r w:rsidRPr="00667DF7">
              <w:t>The objectives of the CCCFR grant should be revised to align with the priorities of contemporary government policy, including greater alignment to the Closing the Gap priority reforms and targets.</w:t>
            </w:r>
          </w:p>
        </w:tc>
      </w:tr>
    </w:tbl>
    <w:p w14:paraId="72AE1D42" w14:textId="56EF6E5A" w:rsidR="007668E8" w:rsidRPr="000D2CAE" w:rsidRDefault="007668E8" w:rsidP="00A522AC">
      <w:pPr>
        <w:pStyle w:val="ListBullet"/>
        <w:spacing w:before="170"/>
      </w:pPr>
      <w:r>
        <w:t>The revised objectives should:</w:t>
      </w:r>
    </w:p>
    <w:p w14:paraId="1CA54F5C" w14:textId="164045C2" w:rsidR="007668E8" w:rsidRPr="000D2CAE" w:rsidRDefault="008B0021" w:rsidP="008B0021">
      <w:pPr>
        <w:pStyle w:val="ListBullet2"/>
        <w:rPr>
          <w:szCs w:val="18"/>
        </w:rPr>
      </w:pPr>
      <w:r w:rsidRPr="00747B61">
        <w:t>consider prioritising</w:t>
      </w:r>
      <w:r w:rsidR="007668E8">
        <w:t xml:space="preserve"> child development outcomes, with workforce participation an additional benefit in appropriate contexts</w:t>
      </w:r>
    </w:p>
    <w:p w14:paraId="0CE242EF" w14:textId="16EB734F" w:rsidR="007668E8" w:rsidRPr="000D2CAE" w:rsidRDefault="007668E8" w:rsidP="008B0021">
      <w:pPr>
        <w:pStyle w:val="ListBullet2"/>
        <w:rPr>
          <w:szCs w:val="18"/>
        </w:rPr>
      </w:pPr>
      <w:r>
        <w:t>position the grant as an additive and harmonious component of the national ECEC policy landscape</w:t>
      </w:r>
    </w:p>
    <w:p w14:paraId="5F2E7B60" w14:textId="61B36867" w:rsidR="000D2CAE" w:rsidRPr="000D2CAE" w:rsidRDefault="000D2CAE" w:rsidP="008B0021">
      <w:pPr>
        <w:pStyle w:val="ListBullet2"/>
        <w:rPr>
          <w:szCs w:val="18"/>
        </w:rPr>
      </w:pPr>
      <w:r>
        <w:lastRenderedPageBreak/>
        <w:t>explicitly consider and, where possible, define cohorts who should be a priority for the grant, including those who may face barriers to participating in mainstream ECEC</w:t>
      </w:r>
      <w:r w:rsidR="008B0021" w:rsidRPr="00747B61">
        <w:rPr>
          <w:vertAlign w:val="superscript"/>
        </w:rPr>
        <w:footnoteReference w:id="240"/>
      </w:r>
      <w:r>
        <w:t xml:space="preserve"> </w:t>
      </w:r>
    </w:p>
    <w:p w14:paraId="154006B1" w14:textId="6964BC4F" w:rsidR="007668E8" w:rsidRPr="000D2CAE" w:rsidRDefault="007668E8" w:rsidP="008B0021">
      <w:pPr>
        <w:pStyle w:val="ListBullet2"/>
        <w:rPr>
          <w:szCs w:val="18"/>
        </w:rPr>
      </w:pPr>
      <w:r>
        <w:t>support progress on Closing the Gap targets where services are being delivered to Aboriginal and Torres Strait Islander children</w:t>
      </w:r>
    </w:p>
    <w:p w14:paraId="7C60AFC1" w14:textId="58991856" w:rsidR="008B0021" w:rsidRPr="00747B61" w:rsidRDefault="008B0021" w:rsidP="008B0021">
      <w:pPr>
        <w:pStyle w:val="ListBullet2"/>
      </w:pPr>
      <w:r w:rsidRPr="00747B61">
        <w:t>align to principles of Closing the Gap priority reforms, including principles of self-determination through shared decision making, building the community</w:t>
      </w:r>
      <w:r>
        <w:t>-</w:t>
      </w:r>
      <w:r w:rsidRPr="00747B61">
        <w:t>controlled sector and access to data and information</w:t>
      </w:r>
    </w:p>
    <w:p w14:paraId="3998A332" w14:textId="04477BD4" w:rsidR="007668E8" w:rsidRPr="000D2CAE" w:rsidRDefault="007668E8" w:rsidP="008B0021">
      <w:pPr>
        <w:pStyle w:val="ListBullet2"/>
        <w:rPr>
          <w:szCs w:val="18"/>
        </w:rPr>
      </w:pPr>
      <w:r>
        <w:t>be defined with sufficient clarity that they can form a point of reference for the other design features of the grant</w:t>
      </w:r>
    </w:p>
    <w:p w14:paraId="2FB9972C" w14:textId="77777777" w:rsidR="007668E8" w:rsidRPr="00F47CEA" w:rsidRDefault="007668E8" w:rsidP="008B0021">
      <w:pPr>
        <w:pStyle w:val="ListBullet2"/>
        <w:rPr>
          <w:szCs w:val="18"/>
        </w:rPr>
      </w:pPr>
      <w:r>
        <w:t>be accompanied by written guidance – definitions and explanations – for terms used in the objectives, including the defined cohorts.</w:t>
      </w:r>
    </w:p>
    <w:p w14:paraId="4C6BD2B0" w14:textId="77777777" w:rsidR="00F47CEA" w:rsidRDefault="00F47CEA" w:rsidP="00F47CEA">
      <w:pPr>
        <w:pStyle w:val="ListBullet2"/>
        <w:numPr>
          <w:ilvl w:val="0"/>
          <w:numId w:val="0"/>
        </w:numPr>
        <w:ind w:left="700" w:hanging="36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F47CEA" w14:paraId="21208E41"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62242EB4" w14:textId="77777777" w:rsidR="00F47CEA" w:rsidRPr="00964087" w:rsidRDefault="00F47CEA">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5</w:t>
            </w:r>
          </w:p>
        </w:tc>
      </w:tr>
      <w:tr w:rsidR="00F47CEA" w14:paraId="518EE618" w14:textId="77777777">
        <w:tc>
          <w:tcPr>
            <w:tcW w:w="9026" w:type="dxa"/>
          </w:tcPr>
          <w:p w14:paraId="78FE0570" w14:textId="77777777" w:rsidR="00F47CEA" w:rsidRPr="00A65D47" w:rsidRDefault="00F47CEA">
            <w:pPr>
              <w:pStyle w:val="ListBullet"/>
              <w:rPr>
                <w:sz w:val="16"/>
                <w:szCs w:val="16"/>
              </w:rPr>
            </w:pPr>
            <w:r w:rsidRPr="00A65D47">
              <w:rPr>
                <w:b/>
                <w:bCs/>
                <w:sz w:val="16"/>
                <w:szCs w:val="16"/>
              </w:rPr>
              <w:t>Finding 6:</w:t>
            </w:r>
            <w:r w:rsidRPr="00A65D47">
              <w:rPr>
                <w:sz w:val="16"/>
                <w:szCs w:val="16"/>
              </w:rPr>
              <w:t xml:space="preserve"> Relevant stakeholders have limited understanding of the stated objectives of the CCCFR grant, due to lack of clarity around the grant’s intention. This has affected the ability to communicate the grant’s objectives effectively.</w:t>
            </w:r>
          </w:p>
          <w:p w14:paraId="442391DF" w14:textId="77777777" w:rsidR="00F47CEA" w:rsidRPr="008544FB" w:rsidRDefault="00F47CEA">
            <w:pPr>
              <w:pStyle w:val="ListBullet"/>
              <w:rPr>
                <w:sz w:val="16"/>
                <w:szCs w:val="16"/>
              </w:rPr>
            </w:pPr>
            <w:r w:rsidRPr="008544FB">
              <w:rPr>
                <w:b/>
                <w:bCs/>
                <w:sz w:val="16"/>
                <w:szCs w:val="16"/>
              </w:rPr>
              <w:t>Finding 7:</w:t>
            </w:r>
            <w:r w:rsidRPr="008544FB">
              <w:rPr>
                <w:sz w:val="16"/>
                <w:szCs w:val="16"/>
              </w:rPr>
              <w:t xml:space="preserve"> The terms ‘vulnerability and disadvantage’ are not well understood across a range of stakeholders, and there is no consistent definition. The terms are often not used by CCCFR services as they can have a deficit framing that stigmatises individuals, family and whole community. </w:t>
            </w:r>
          </w:p>
          <w:p w14:paraId="239FFF57" w14:textId="77777777" w:rsidR="00F47CEA" w:rsidRPr="008544FB" w:rsidRDefault="00F47CEA">
            <w:pPr>
              <w:pStyle w:val="ListBullet"/>
              <w:rPr>
                <w:sz w:val="16"/>
                <w:szCs w:val="16"/>
              </w:rPr>
            </w:pPr>
            <w:r w:rsidRPr="008544FB">
              <w:rPr>
                <w:b/>
                <w:bCs/>
                <w:sz w:val="16"/>
                <w:szCs w:val="16"/>
              </w:rPr>
              <w:t>Finding 8</w:t>
            </w:r>
            <w:r w:rsidRPr="008544FB">
              <w:rPr>
                <w:sz w:val="16"/>
                <w:szCs w:val="16"/>
              </w:rPr>
              <w:t>: A shifting policy landscape is creating uncertainty and potential divergences between the objectives and intent of the CCCFR grant and contemporary policy directions.</w:t>
            </w:r>
          </w:p>
          <w:p w14:paraId="4C137297" w14:textId="77777777" w:rsidR="00F47CEA" w:rsidRPr="008544FB" w:rsidRDefault="00F47CEA">
            <w:pPr>
              <w:pStyle w:val="ListBullet"/>
              <w:rPr>
                <w:sz w:val="16"/>
                <w:szCs w:val="16"/>
              </w:rPr>
            </w:pPr>
            <w:r w:rsidRPr="008544FB">
              <w:rPr>
                <w:b/>
                <w:bCs/>
                <w:sz w:val="16"/>
                <w:szCs w:val="16"/>
              </w:rPr>
              <w:t>Finding 9:</w:t>
            </w:r>
            <w:r w:rsidRPr="008544FB">
              <w:rPr>
                <w:sz w:val="16"/>
                <w:szCs w:val="16"/>
              </w:rPr>
              <w:t xml:space="preserve"> There is no explicit alignment to Closing the Gap outcomes, targets and priority reforms. The degree of implicit alignment varies.  </w:t>
            </w:r>
          </w:p>
          <w:p w14:paraId="211FD75C" w14:textId="77777777" w:rsidR="00F47CEA" w:rsidRPr="00040168" w:rsidRDefault="00F47CEA">
            <w:pPr>
              <w:pStyle w:val="ListBullet"/>
              <w:rPr>
                <w:sz w:val="16"/>
                <w:szCs w:val="16"/>
              </w:rPr>
            </w:pPr>
            <w:r w:rsidRPr="00040168">
              <w:rPr>
                <w:b/>
                <w:sz w:val="16"/>
                <w:szCs w:val="16"/>
              </w:rPr>
              <w:t>Finding 11:</w:t>
            </w:r>
            <w:r w:rsidRPr="00040168">
              <w:rPr>
                <w:sz w:val="16"/>
                <w:szCs w:val="16"/>
              </w:rPr>
              <w:t xml:space="preserve"> Service, family and community views towards the stated CCCFR objectives vary, with strong support for the objectives of improving early childhood development outcomes, but more mixed views toward the objective of increasing workforce participation.</w:t>
            </w:r>
          </w:p>
          <w:p w14:paraId="5D95A95B" w14:textId="77777777" w:rsidR="00F47CEA" w:rsidRPr="009D5146" w:rsidRDefault="00F47CEA">
            <w:pPr>
              <w:pStyle w:val="ListBullet"/>
              <w:rPr>
                <w:sz w:val="16"/>
                <w:szCs w:val="16"/>
              </w:rPr>
            </w:pPr>
            <w:r w:rsidRPr="00040168">
              <w:rPr>
                <w:b/>
                <w:sz w:val="16"/>
                <w:szCs w:val="16"/>
              </w:rPr>
              <w:t>Finding 12:</w:t>
            </w:r>
            <w:r w:rsidRPr="00040168">
              <w:rPr>
                <w:sz w:val="16"/>
                <w:szCs w:val="16"/>
              </w:rPr>
              <w:t xml:space="preserve"> There are community, family, and child needs and expectations for many CCCFR services which go beyond mainstream needs of child care. CCCFR services often try to fulfil these needs.</w:t>
            </w:r>
          </w:p>
        </w:tc>
      </w:tr>
    </w:tbl>
    <w:p w14:paraId="651210D0" w14:textId="77777777" w:rsidR="00F47CEA" w:rsidRPr="000D2CAE" w:rsidRDefault="00F47CEA" w:rsidP="00A522AC"/>
    <w:p w14:paraId="25413F86" w14:textId="77777777" w:rsidR="006B1AD8" w:rsidRPr="00747B61" w:rsidRDefault="006B1AD8" w:rsidP="005877DD">
      <w:pPr>
        <w:pStyle w:val="ListBullet2"/>
        <w:numPr>
          <w:ilvl w:val="0"/>
          <w:numId w:val="0"/>
        </w:numPr>
        <w:rPr>
          <w:szCs w:val="18"/>
        </w:rPr>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5877DD" w14:paraId="2B15D15C"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694C11A9" w14:textId="468C6A33" w:rsidR="005877DD" w:rsidRPr="009E424E" w:rsidRDefault="005877DD">
            <w:pPr>
              <w:spacing w:after="120"/>
              <w:rPr>
                <w:b/>
                <w:bCs/>
              </w:rPr>
            </w:pPr>
            <w:r>
              <w:rPr>
                <w:b/>
                <w:bCs/>
              </w:rPr>
              <w:t>Recommendation 6</w:t>
            </w:r>
          </w:p>
          <w:p w14:paraId="264E761C" w14:textId="49CFB0B4" w:rsidR="005877DD" w:rsidRPr="00CA3305" w:rsidRDefault="005877DD">
            <w:pPr>
              <w:spacing w:after="120"/>
            </w:pPr>
            <w:r w:rsidRPr="005877DD">
              <w:t>The revised objectives should be accessible, easily understood and widely disseminated, including to families and communities.</w:t>
            </w:r>
          </w:p>
        </w:tc>
      </w:tr>
    </w:tbl>
    <w:p w14:paraId="117C8E24" w14:textId="77777777" w:rsidR="00F47CEA" w:rsidRDefault="004F740E" w:rsidP="00A522AC">
      <w:pPr>
        <w:pStyle w:val="ListBullet"/>
        <w:spacing w:before="170"/>
      </w:pPr>
      <w:r>
        <w:t xml:space="preserve">This should include a detailed communications plan, backed by dedicated funding and designed in partnership with relevant peak bodies, services and community leaders which considers the needs and communication preferences of defined cohorts. </w:t>
      </w:r>
    </w:p>
    <w:p w14:paraId="0AA93005" w14:textId="77777777" w:rsidR="00F47CEA" w:rsidRDefault="00F47CEA" w:rsidP="00F47CEA">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F47CEA" w14:paraId="7971A537"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69F1B9CC" w14:textId="77777777" w:rsidR="00F47CEA" w:rsidRPr="00964087" w:rsidRDefault="00F47CEA">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6</w:t>
            </w:r>
          </w:p>
        </w:tc>
      </w:tr>
      <w:tr w:rsidR="00F47CEA" w14:paraId="78015F94" w14:textId="77777777">
        <w:tc>
          <w:tcPr>
            <w:tcW w:w="9026" w:type="dxa"/>
          </w:tcPr>
          <w:p w14:paraId="17DC3495" w14:textId="77777777" w:rsidR="00F47CEA" w:rsidRDefault="00F47CEA">
            <w:pPr>
              <w:pStyle w:val="ListBullet"/>
              <w:rPr>
                <w:color w:val="000000" w:themeColor="text1"/>
                <w:sz w:val="16"/>
                <w:szCs w:val="16"/>
              </w:rPr>
            </w:pPr>
            <w:r w:rsidRPr="00A65D47">
              <w:rPr>
                <w:b/>
                <w:bCs/>
                <w:color w:val="000000" w:themeColor="text1"/>
                <w:sz w:val="16"/>
                <w:szCs w:val="16"/>
              </w:rPr>
              <w:t>Finding 6</w:t>
            </w:r>
            <w:r w:rsidRPr="00A65D47">
              <w:rPr>
                <w:color w:val="000000" w:themeColor="text1"/>
                <w:sz w:val="16"/>
                <w:szCs w:val="16"/>
              </w:rPr>
              <w:t>: Relevant stakeholders have limited understanding of the stated objectives of the CCCFR grant, due to lack of clarity around the grant’s intention. This has affected the ability to communicate the grant’s objectives effectively</w:t>
            </w:r>
            <w:r>
              <w:rPr>
                <w:color w:val="000000" w:themeColor="text1"/>
                <w:sz w:val="16"/>
                <w:szCs w:val="16"/>
              </w:rPr>
              <w:t>.</w:t>
            </w:r>
          </w:p>
          <w:p w14:paraId="75D9E682" w14:textId="77777777" w:rsidR="00F47CEA" w:rsidRPr="00AA6FF2" w:rsidRDefault="00F47CEA">
            <w:pPr>
              <w:pStyle w:val="ListBullet"/>
              <w:rPr>
                <w:color w:val="000000" w:themeColor="text1"/>
                <w:sz w:val="16"/>
                <w:szCs w:val="16"/>
              </w:rPr>
            </w:pPr>
            <w:r w:rsidRPr="009546C7">
              <w:rPr>
                <w:b/>
                <w:bCs/>
                <w:color w:val="000000" w:themeColor="text1"/>
                <w:sz w:val="16"/>
                <w:szCs w:val="16"/>
              </w:rPr>
              <w:t>Finding 7:</w:t>
            </w:r>
            <w:r w:rsidRPr="009546C7">
              <w:rPr>
                <w:color w:val="000000" w:themeColor="text1"/>
                <w:sz w:val="16"/>
                <w:szCs w:val="16"/>
              </w:rPr>
              <w:t xml:space="preserve"> The terms ‘vulnerability and disadvantage’ are not well understood across a range of stakeholders, and there is no consistent definition. The terms are often not used by CCCFR services as they can have a deficit framing that stigmatises individuals, family and whole community. </w:t>
            </w:r>
          </w:p>
          <w:p w14:paraId="45D0D828" w14:textId="6365D19B" w:rsidR="00F47CEA" w:rsidRPr="00F47CEA" w:rsidRDefault="00F47CEA" w:rsidP="00A522AC">
            <w:pPr>
              <w:pStyle w:val="ListBullet"/>
              <w:rPr>
                <w:color w:val="000000" w:themeColor="text1"/>
                <w:sz w:val="16"/>
                <w:szCs w:val="16"/>
              </w:rPr>
            </w:pPr>
            <w:r w:rsidRPr="00AA6FF2">
              <w:rPr>
                <w:b/>
                <w:color w:val="000000" w:themeColor="text1"/>
                <w:sz w:val="16"/>
                <w:szCs w:val="16"/>
              </w:rPr>
              <w:lastRenderedPageBreak/>
              <w:t>Finding 11:</w:t>
            </w:r>
            <w:r w:rsidRPr="00AA6FF2">
              <w:rPr>
                <w:color w:val="000000" w:themeColor="text1"/>
                <w:sz w:val="16"/>
                <w:szCs w:val="16"/>
              </w:rPr>
              <w:t xml:space="preserve"> Service, family and community views towards the stated CCCFR objectives vary, with strong support for the objectives of improving early childhood development outcomes, but more mixed views toward the objective of increasing workforce participation.  </w:t>
            </w:r>
          </w:p>
        </w:tc>
      </w:tr>
    </w:tbl>
    <w:p w14:paraId="4FF389B2" w14:textId="77777777" w:rsidR="00564784" w:rsidRDefault="00564784"/>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453AA1" w14:paraId="1D436BA7"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1D44A170" w14:textId="00A7FC55" w:rsidR="00453AA1" w:rsidRPr="009E424E" w:rsidRDefault="00453AA1">
            <w:pPr>
              <w:spacing w:after="120"/>
              <w:rPr>
                <w:b/>
                <w:bCs/>
              </w:rPr>
            </w:pPr>
            <w:r>
              <w:rPr>
                <w:b/>
                <w:bCs/>
              </w:rPr>
              <w:t>Recommendation 7</w:t>
            </w:r>
          </w:p>
          <w:p w14:paraId="6CF20F57" w14:textId="19DC286E" w:rsidR="00453AA1" w:rsidRPr="00CA3305" w:rsidRDefault="00453AA1">
            <w:pPr>
              <w:spacing w:after="120"/>
            </w:pPr>
            <w:r w:rsidRPr="00453AA1">
              <w:t>The revised objectives should be utilised as the basis for a program logic that sets out the expected relationships between the inputs and resources of the grant and the intended outcomes leading to the objectives.</w:t>
            </w:r>
          </w:p>
        </w:tc>
      </w:tr>
    </w:tbl>
    <w:p w14:paraId="519B2DD9" w14:textId="77777777" w:rsidR="007F471A" w:rsidRDefault="007F471A" w:rsidP="00564784">
      <w:pPr>
        <w:pStyle w:val="ListBullet"/>
        <w:spacing w:before="170"/>
      </w:pPr>
      <w:r>
        <w:t xml:space="preserve">The program logic should be developed through a co-design process involving Program Officers, relevant peak bodies, and representatives from services/providers. </w:t>
      </w:r>
    </w:p>
    <w:p w14:paraId="7DD5A796" w14:textId="77777777" w:rsidR="008B0021" w:rsidRPr="00747B61" w:rsidRDefault="008B0021" w:rsidP="008B0021">
      <w:pPr>
        <w:pStyle w:val="ListBullet"/>
      </w:pPr>
      <w:r>
        <w:t>The grant needs to have more deliberate and explicit documentation and architecture to support the pursuit of the grant objectives.</w:t>
      </w:r>
    </w:p>
    <w:p w14:paraId="088B2D91" w14:textId="77777777" w:rsidR="008B0021" w:rsidRPr="00747B61" w:rsidRDefault="008B0021" w:rsidP="008B0021">
      <w:pPr>
        <w:pStyle w:val="ListBullet"/>
      </w:pPr>
      <w:r>
        <w:t>Clear articulation of how the design of the grant is able to meet the objectives set to the defined cohort(s) is key to creating this distinction.</w:t>
      </w:r>
    </w:p>
    <w:p w14:paraId="505BF038" w14:textId="77777777" w:rsidR="00F47CEA" w:rsidRDefault="008B0021" w:rsidP="008B0021">
      <w:pPr>
        <w:pStyle w:val="ListBullet"/>
      </w:pPr>
      <w:r>
        <w:t>The design of the CCCFR grant can draw on the logic and set up used in similar grants/programs nationally and abroad.</w:t>
      </w:r>
    </w:p>
    <w:p w14:paraId="1B21846D" w14:textId="77777777" w:rsidR="00F47CEA" w:rsidRDefault="00F47CEA" w:rsidP="00F47CEA">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F47CEA" w14:paraId="1F6A266A"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23A8D7C3" w14:textId="77777777" w:rsidR="00F47CEA" w:rsidRPr="00964087" w:rsidRDefault="00F47CEA">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7</w:t>
            </w:r>
          </w:p>
        </w:tc>
      </w:tr>
      <w:tr w:rsidR="00F47CEA" w14:paraId="583300F5" w14:textId="77777777">
        <w:tc>
          <w:tcPr>
            <w:tcW w:w="9026" w:type="dxa"/>
          </w:tcPr>
          <w:p w14:paraId="46506A6D" w14:textId="77777777" w:rsidR="00F47CEA" w:rsidRDefault="00F47CEA">
            <w:pPr>
              <w:pStyle w:val="ListBullet"/>
              <w:rPr>
                <w:color w:val="000000" w:themeColor="text1"/>
                <w:sz w:val="16"/>
                <w:szCs w:val="16"/>
              </w:rPr>
            </w:pPr>
            <w:r w:rsidRPr="00CA6ACB">
              <w:rPr>
                <w:b/>
                <w:bCs/>
                <w:iCs/>
                <w:color w:val="000000" w:themeColor="text1"/>
                <w:sz w:val="16"/>
                <w:szCs w:val="16"/>
              </w:rPr>
              <w:t>Finding 10:</w:t>
            </w:r>
            <w:r w:rsidRPr="00040168">
              <w:rPr>
                <w:color w:val="000000" w:themeColor="text1"/>
                <w:sz w:val="16"/>
                <w:szCs w:val="16"/>
              </w:rPr>
              <w:t xml:space="preserve"> 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 </w:t>
            </w:r>
          </w:p>
          <w:p w14:paraId="160FC119" w14:textId="77777777" w:rsidR="00F47CEA" w:rsidRPr="00040168" w:rsidRDefault="00F47CEA">
            <w:pPr>
              <w:pStyle w:val="ListBullet"/>
              <w:rPr>
                <w:color w:val="000000" w:themeColor="text1"/>
                <w:sz w:val="16"/>
                <w:szCs w:val="16"/>
              </w:rPr>
            </w:pPr>
            <w:r w:rsidRPr="00E025F2">
              <w:rPr>
                <w:b/>
                <w:bCs/>
                <w:color w:val="000000" w:themeColor="text1"/>
                <w:sz w:val="16"/>
                <w:szCs w:val="16"/>
              </w:rPr>
              <w:t>Finding</w:t>
            </w:r>
            <w:r w:rsidRPr="00E025F2">
              <w:rPr>
                <w:color w:val="000000" w:themeColor="text1"/>
                <w:sz w:val="16"/>
                <w:szCs w:val="16"/>
              </w:rPr>
              <w:t xml:space="preserve"> </w:t>
            </w:r>
            <w:r w:rsidRPr="00624E34">
              <w:rPr>
                <w:b/>
                <w:bCs/>
                <w:color w:val="000000" w:themeColor="text1"/>
                <w:sz w:val="16"/>
                <w:szCs w:val="16"/>
              </w:rPr>
              <w:t>12</w:t>
            </w:r>
            <w:r w:rsidRPr="00E025F2">
              <w:rPr>
                <w:color w:val="000000" w:themeColor="text1"/>
                <w:sz w:val="16"/>
                <w:szCs w:val="16"/>
              </w:rPr>
              <w:t>: There are community, family, and child needs and expectations for many CCCFR services which go beyond mainstream needs of child care. CCCFR services often try to fulfil these needs.</w:t>
            </w:r>
          </w:p>
          <w:p w14:paraId="756FAC54" w14:textId="77777777" w:rsidR="00F47CEA" w:rsidRPr="00040168" w:rsidRDefault="00F47CEA">
            <w:pPr>
              <w:pStyle w:val="ListBullet"/>
              <w:rPr>
                <w:sz w:val="16"/>
                <w:szCs w:val="16"/>
              </w:rPr>
            </w:pPr>
            <w:r w:rsidRPr="00CA6ACB">
              <w:rPr>
                <w:b/>
                <w:bCs/>
                <w:iCs/>
                <w:sz w:val="16"/>
                <w:szCs w:val="16"/>
              </w:rPr>
              <w:t>Finding 15:</w:t>
            </w:r>
            <w:r w:rsidRPr="00040168">
              <w:rPr>
                <w:sz w:val="16"/>
                <w:szCs w:val="16"/>
              </w:rPr>
              <w:t xml:space="preserve"> There was no program logic or other documented grant design identified during the review, which set out the intended relationships between the grant, the activities it is intended to support and the stated objectives. </w:t>
            </w:r>
          </w:p>
        </w:tc>
      </w:tr>
    </w:tbl>
    <w:p w14:paraId="5E5FC1C1" w14:textId="7B26D0B4" w:rsidR="008B0021" w:rsidRPr="00747B61" w:rsidRDefault="008B0021" w:rsidP="00564784">
      <w:pPr>
        <w:spacing w:after="0"/>
      </w:pPr>
      <w:r>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453AA1" w14:paraId="4B70A926"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408316E4" w14:textId="5A750E19" w:rsidR="00453AA1" w:rsidRPr="009E424E" w:rsidRDefault="00453AA1">
            <w:pPr>
              <w:spacing w:after="120"/>
              <w:rPr>
                <w:b/>
                <w:bCs/>
              </w:rPr>
            </w:pPr>
            <w:r>
              <w:rPr>
                <w:b/>
                <w:bCs/>
              </w:rPr>
              <w:t>Recommendation 8</w:t>
            </w:r>
          </w:p>
          <w:p w14:paraId="0011F1AA" w14:textId="2E96BB40" w:rsidR="00453AA1" w:rsidRPr="00CA3305" w:rsidRDefault="00453AA1">
            <w:pPr>
              <w:spacing w:after="120"/>
            </w:pPr>
            <w:r w:rsidRPr="00453AA1">
              <w:t>Grant guidelines should be refined and adjusted based on the revised objectives and the program logic.</w:t>
            </w:r>
          </w:p>
        </w:tc>
      </w:tr>
    </w:tbl>
    <w:p w14:paraId="78CA03F8" w14:textId="77777777" w:rsidR="008B0021" w:rsidRPr="00747B61" w:rsidRDefault="008B0021" w:rsidP="00564784">
      <w:pPr>
        <w:pStyle w:val="ListBullet"/>
        <w:spacing w:before="170"/>
      </w:pPr>
      <w:r>
        <w:t xml:space="preserve">The grant guidelines should be more explicit about supports that services can seek from the grant, including examples where appropriate. </w:t>
      </w:r>
    </w:p>
    <w:p w14:paraId="790726D8" w14:textId="77777777" w:rsidR="008B0021" w:rsidRDefault="008B0021" w:rsidP="008B0021">
      <w:pPr>
        <w:pStyle w:val="ListBullet"/>
      </w:pPr>
      <w:r>
        <w:t>The grant guidelines should consider the contexts in which services operate.</w:t>
      </w:r>
    </w:p>
    <w:p w14:paraId="031C3D5E" w14:textId="77777777" w:rsidR="00740A2A" w:rsidRDefault="00740A2A" w:rsidP="00740A2A">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740A2A" w14:paraId="2AE1A273"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80D2216" w14:textId="77777777" w:rsidR="00740A2A" w:rsidRPr="00964087" w:rsidRDefault="00740A2A">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8</w:t>
            </w:r>
          </w:p>
        </w:tc>
      </w:tr>
      <w:tr w:rsidR="00740A2A" w14:paraId="50F34F57" w14:textId="77777777">
        <w:tc>
          <w:tcPr>
            <w:tcW w:w="9026" w:type="dxa"/>
          </w:tcPr>
          <w:p w14:paraId="2D21E461" w14:textId="77777777" w:rsidR="00740A2A" w:rsidRPr="00624E34" w:rsidRDefault="00740A2A">
            <w:pPr>
              <w:pStyle w:val="ListBullet"/>
              <w:rPr>
                <w:sz w:val="16"/>
                <w:szCs w:val="16"/>
              </w:rPr>
            </w:pPr>
            <w:r w:rsidRPr="00624E34">
              <w:rPr>
                <w:b/>
                <w:bCs/>
                <w:iCs/>
                <w:sz w:val="16"/>
                <w:szCs w:val="16"/>
              </w:rPr>
              <w:t>Finding 10:</w:t>
            </w:r>
            <w:r w:rsidRPr="00624E34">
              <w:rPr>
                <w:sz w:val="16"/>
                <w:szCs w:val="16"/>
              </w:rPr>
              <w:t xml:space="preserve"> 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 </w:t>
            </w:r>
          </w:p>
          <w:p w14:paraId="08432579" w14:textId="77777777" w:rsidR="00740A2A" w:rsidRPr="00624E34" w:rsidRDefault="00740A2A">
            <w:pPr>
              <w:pStyle w:val="ListBullet"/>
              <w:rPr>
                <w:sz w:val="16"/>
                <w:szCs w:val="16"/>
              </w:rPr>
            </w:pPr>
            <w:r w:rsidRPr="00624E34">
              <w:rPr>
                <w:b/>
                <w:bCs/>
                <w:sz w:val="16"/>
                <w:szCs w:val="16"/>
              </w:rPr>
              <w:t>Finding</w:t>
            </w:r>
            <w:r w:rsidRPr="00624E34">
              <w:rPr>
                <w:sz w:val="16"/>
                <w:szCs w:val="16"/>
              </w:rPr>
              <w:t xml:space="preserve"> </w:t>
            </w:r>
            <w:r w:rsidRPr="00624E34">
              <w:rPr>
                <w:b/>
                <w:bCs/>
                <w:sz w:val="16"/>
                <w:szCs w:val="16"/>
              </w:rPr>
              <w:t>12</w:t>
            </w:r>
            <w:r w:rsidRPr="00624E34">
              <w:rPr>
                <w:sz w:val="16"/>
                <w:szCs w:val="16"/>
              </w:rPr>
              <w:t>: There are community, family, and child needs and expectations for many CCCFR services which go beyond mainstream needs of child care. CCCFR services often try to fulfil these needs</w:t>
            </w:r>
          </w:p>
          <w:p w14:paraId="13014A55" w14:textId="77777777" w:rsidR="00740A2A" w:rsidRPr="00040168" w:rsidRDefault="00740A2A">
            <w:pPr>
              <w:pStyle w:val="ListBullet"/>
              <w:rPr>
                <w:sz w:val="16"/>
                <w:szCs w:val="16"/>
              </w:rPr>
            </w:pPr>
            <w:r w:rsidRPr="00624E34">
              <w:rPr>
                <w:b/>
                <w:bCs/>
                <w:iCs/>
                <w:sz w:val="16"/>
                <w:szCs w:val="16"/>
              </w:rPr>
              <w:lastRenderedPageBreak/>
              <w:t>Finding</w:t>
            </w:r>
            <w:r w:rsidRPr="00624E34">
              <w:rPr>
                <w:b/>
                <w:sz w:val="16"/>
                <w:szCs w:val="16"/>
              </w:rPr>
              <w:t xml:space="preserve"> 14:</w:t>
            </w:r>
            <w:r w:rsidRPr="00040168">
              <w:rPr>
                <w:sz w:val="16"/>
                <w:szCs w:val="16"/>
              </w:rPr>
              <w:t xml:space="preserve"> Mechanisms through which the CCCFR grant strives to support workforce participation, beyond supporting the financial viability of child care provision and beyond the mechanisms of the CCS, are not identifiable.</w:t>
            </w:r>
          </w:p>
          <w:p w14:paraId="338D5B46" w14:textId="77777777" w:rsidR="00740A2A" w:rsidRDefault="00740A2A">
            <w:pPr>
              <w:pStyle w:val="ListBullet"/>
            </w:pPr>
            <w:r w:rsidRPr="0041393B">
              <w:rPr>
                <w:b/>
                <w:bCs/>
                <w:sz w:val="16"/>
                <w:szCs w:val="16"/>
              </w:rPr>
              <w:t>Finding 16:</w:t>
            </w:r>
            <w:r w:rsidRPr="0041393B">
              <w:rPr>
                <w:sz w:val="16"/>
                <w:szCs w:val="16"/>
              </w:rPr>
              <w:t xml:space="preserve"> There are gaps in understanding among CCCFR services (e.g., among Directors of CCCFR services) regarding how and for what purpose the CCCFR grant funding can be spent.</w:t>
            </w:r>
          </w:p>
        </w:tc>
      </w:tr>
    </w:tbl>
    <w:p w14:paraId="3AB41842" w14:textId="77777777" w:rsidR="00740A2A" w:rsidRPr="00747B61" w:rsidRDefault="00740A2A" w:rsidP="00C6174E">
      <w:pPr>
        <w:spacing w:after="0"/>
      </w:pPr>
    </w:p>
    <w:p w14:paraId="226A2016" w14:textId="77777777" w:rsidR="008B0021" w:rsidRPr="00747B61" w:rsidRDefault="008B0021" w:rsidP="008B0021">
      <w:pPr>
        <w:spacing w:after="0"/>
        <w:contextualSpacing/>
        <w:rPr>
          <w:szCs w:val="17"/>
        </w:rPr>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453AA1" w14:paraId="346C3588"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5C00F6C3" w14:textId="7946CDFB" w:rsidR="00453AA1" w:rsidRPr="009E424E" w:rsidRDefault="00453AA1">
            <w:pPr>
              <w:spacing w:after="120"/>
              <w:rPr>
                <w:b/>
                <w:bCs/>
              </w:rPr>
            </w:pPr>
            <w:r>
              <w:rPr>
                <w:b/>
                <w:bCs/>
              </w:rPr>
              <w:t>Recommendation 9</w:t>
            </w:r>
          </w:p>
          <w:p w14:paraId="2C07704E" w14:textId="59A620A3" w:rsidR="00453AA1" w:rsidRPr="00CA3305" w:rsidRDefault="00453AA1">
            <w:pPr>
              <w:spacing w:after="120"/>
            </w:pPr>
            <w:r w:rsidRPr="00453AA1">
              <w:t>A data management system should be introduced, covering grant compliance and service performance</w:t>
            </w:r>
            <w:r w:rsidR="00A16974">
              <w:t>.</w:t>
            </w:r>
          </w:p>
        </w:tc>
      </w:tr>
    </w:tbl>
    <w:p w14:paraId="260AD934" w14:textId="77777777" w:rsidR="00C6174E" w:rsidRDefault="00C6174E" w:rsidP="00C6174E">
      <w:pPr>
        <w:spacing w:after="0"/>
        <w:contextualSpacing/>
      </w:pPr>
    </w:p>
    <w:p w14:paraId="3B07A1E9" w14:textId="5B6753E8" w:rsidR="00D54783" w:rsidRDefault="00D54783" w:rsidP="00C6174E">
      <w:pPr>
        <w:numPr>
          <w:ilvl w:val="0"/>
          <w:numId w:val="24"/>
        </w:numPr>
        <w:spacing w:after="0"/>
        <w:contextualSpacing/>
      </w:pPr>
      <w:r>
        <w:t xml:space="preserve">Collection should occur via a proven, easy to use platform that can be accessed and used by services in a straightforward and low cost way and which ensure information required for multiple purposes is only required to be reported once. </w:t>
      </w:r>
    </w:p>
    <w:p w14:paraId="5AF5DC7A" w14:textId="77777777" w:rsidR="00015307" w:rsidRPr="00747B61" w:rsidRDefault="00015307" w:rsidP="00015307">
      <w:pPr>
        <w:numPr>
          <w:ilvl w:val="0"/>
          <w:numId w:val="24"/>
        </w:numPr>
        <w:spacing w:after="0"/>
        <w:contextualSpacing/>
        <w:rPr>
          <w:szCs w:val="17"/>
        </w:rPr>
      </w:pPr>
      <w:r>
        <w:rPr>
          <w:szCs w:val="17"/>
        </w:rPr>
        <w:t xml:space="preserve">The development of this type of data collection architecture requires further consideration as part of the Department’s wider data collection strategy. </w:t>
      </w:r>
    </w:p>
    <w:p w14:paraId="0E6BD355" w14:textId="77777777" w:rsidR="00740A2A" w:rsidRDefault="00740A2A" w:rsidP="00740A2A">
      <w:pPr>
        <w:spacing w:after="0"/>
        <w:contextualSpacing/>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723057" w14:paraId="6BAFACC0"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6A62CF18" w14:textId="77777777" w:rsidR="00723057" w:rsidRPr="00964087" w:rsidRDefault="00723057">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9</w:t>
            </w:r>
          </w:p>
        </w:tc>
      </w:tr>
      <w:tr w:rsidR="00723057" w14:paraId="709498A5" w14:textId="77777777">
        <w:tc>
          <w:tcPr>
            <w:tcW w:w="9026" w:type="dxa"/>
          </w:tcPr>
          <w:p w14:paraId="4D832435" w14:textId="77777777" w:rsidR="00723057" w:rsidRPr="0027087E" w:rsidRDefault="00723057">
            <w:pPr>
              <w:pStyle w:val="ListBullet"/>
              <w:rPr>
                <w:sz w:val="16"/>
                <w:szCs w:val="14"/>
              </w:rPr>
            </w:pPr>
            <w:r w:rsidRPr="0027087E">
              <w:rPr>
                <w:b/>
                <w:bCs/>
                <w:sz w:val="16"/>
                <w:szCs w:val="14"/>
              </w:rPr>
              <w:t>Finding 18:</w:t>
            </w:r>
            <w:r w:rsidRPr="0027087E">
              <w:rPr>
                <w:sz w:val="16"/>
                <w:szCs w:val="14"/>
              </w:rPr>
              <w:t xml:space="preserve"> There are elements of the current CCCFR grant design that can be improved, by learning from adjacent programs/grants, both locally and internationally. </w:t>
            </w:r>
          </w:p>
          <w:p w14:paraId="3B10D2CE" w14:textId="77777777" w:rsidR="00723057" w:rsidRPr="0027087E" w:rsidRDefault="00723057">
            <w:pPr>
              <w:pStyle w:val="ListBullet"/>
              <w:rPr>
                <w:sz w:val="16"/>
                <w:szCs w:val="14"/>
              </w:rPr>
            </w:pPr>
            <w:r w:rsidRPr="0027087E">
              <w:rPr>
                <w:b/>
                <w:bCs/>
                <w:sz w:val="16"/>
                <w:szCs w:val="14"/>
              </w:rPr>
              <w:t>Finding 19:</w:t>
            </w:r>
            <w:r w:rsidRPr="0027087E">
              <w:rPr>
                <w:sz w:val="16"/>
                <w:szCs w:val="14"/>
              </w:rPr>
              <w:t xml:space="preserve"> CCCFR grant funding is not intentionally responsive or adaptive to the current or evolving needs of community; it is largely a function of historical factors.</w:t>
            </w:r>
          </w:p>
          <w:p w14:paraId="0F74029A" w14:textId="77777777" w:rsidR="00723057" w:rsidRPr="00040168" w:rsidRDefault="00723057">
            <w:pPr>
              <w:pStyle w:val="ListBullet"/>
              <w:rPr>
                <w:sz w:val="16"/>
                <w:szCs w:val="14"/>
              </w:rPr>
            </w:pPr>
            <w:r w:rsidRPr="0091058E">
              <w:rPr>
                <w:b/>
                <w:bCs/>
                <w:sz w:val="16"/>
                <w:szCs w:val="14"/>
              </w:rPr>
              <w:t>Finding 25:</w:t>
            </w:r>
            <w:r w:rsidRPr="0091058E">
              <w:rPr>
                <w:sz w:val="16"/>
                <w:szCs w:val="14"/>
              </w:rPr>
              <w:t xml:space="preserve"> Despite annual reporting obligations for CCCFR services under the grant, there is limited evidence to indicate that these materials are being used to inform ongoing access to grant funding and broader quality uplift.</w:t>
            </w:r>
            <w:r w:rsidRPr="0091058E">
              <w:rPr>
                <w:sz w:val="16"/>
                <w:szCs w:val="14"/>
                <w:highlight w:val="yellow"/>
              </w:rPr>
              <w:t xml:space="preserve"> </w:t>
            </w:r>
          </w:p>
        </w:tc>
      </w:tr>
    </w:tbl>
    <w:p w14:paraId="0F480F4B" w14:textId="77777777" w:rsidR="00740A2A" w:rsidRDefault="00740A2A" w:rsidP="00740A2A">
      <w:pPr>
        <w:spacing w:after="0"/>
        <w:contextualSpacing/>
      </w:pPr>
    </w:p>
    <w:p w14:paraId="0ACFCD51" w14:textId="77777777" w:rsidR="00740A2A" w:rsidRDefault="00740A2A" w:rsidP="00A522AC">
      <w:pPr>
        <w:spacing w:after="0"/>
        <w:contextualSpacing/>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2E6B42" w14:paraId="71B6D2FC"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73340B86" w14:textId="14874949" w:rsidR="002E6B42" w:rsidRPr="009E424E" w:rsidRDefault="002E6B42">
            <w:pPr>
              <w:spacing w:after="120"/>
              <w:rPr>
                <w:b/>
                <w:bCs/>
              </w:rPr>
            </w:pPr>
            <w:r>
              <w:rPr>
                <w:b/>
                <w:bCs/>
              </w:rPr>
              <w:t>Recommendation 10</w:t>
            </w:r>
          </w:p>
          <w:p w14:paraId="2EAB03A0" w14:textId="58EE4135" w:rsidR="002E6B42" w:rsidRPr="00CA3305" w:rsidRDefault="002E6B42">
            <w:pPr>
              <w:spacing w:after="120"/>
            </w:pPr>
            <w:r w:rsidRPr="002E6B42">
              <w:t>Clear and comprehensive reporting metrics and KPIs should be developed and implemented and collected via a suitable data collection platform.</w:t>
            </w:r>
          </w:p>
        </w:tc>
      </w:tr>
    </w:tbl>
    <w:p w14:paraId="14A14E01" w14:textId="77777777" w:rsidR="008B0021" w:rsidRPr="00747B61" w:rsidRDefault="008B0021" w:rsidP="00C6174E">
      <w:pPr>
        <w:pStyle w:val="ListBullet"/>
        <w:spacing w:before="170"/>
      </w:pPr>
      <w:r>
        <w:t>The metrics and KPIs should be derived from the revised objectives and program logic.</w:t>
      </w:r>
    </w:p>
    <w:p w14:paraId="0B3A3098" w14:textId="77777777" w:rsidR="008B0021" w:rsidRPr="00747B61" w:rsidRDefault="008B0021" w:rsidP="008B0021">
      <w:pPr>
        <w:pStyle w:val="ListBullet"/>
      </w:pPr>
      <w:r>
        <w:t>The metrics and KPIs should be developed in consultation with representatives from services/providers and communities, Program Officers and relevant peak bodies.</w:t>
      </w:r>
    </w:p>
    <w:p w14:paraId="30CA5C3E" w14:textId="77777777" w:rsidR="00015307" w:rsidRDefault="008B0021" w:rsidP="008B0021">
      <w:pPr>
        <w:pStyle w:val="ListBullet"/>
      </w:pPr>
      <w:r>
        <w:t xml:space="preserve">These metrics and KPIs should in turn be used to support the ongoing administration of the program, including to guide decision making in relation to funding and supports and to monitor and drive performance and outcomes. </w:t>
      </w:r>
    </w:p>
    <w:p w14:paraId="694FC8CE" w14:textId="77777777" w:rsidR="00015307" w:rsidRDefault="00015307" w:rsidP="00015307">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15307" w14:paraId="2ADB5ACD"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0327D9CE" w14:textId="77777777" w:rsidR="00015307" w:rsidRPr="00964087" w:rsidRDefault="00015307">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10</w:t>
            </w:r>
          </w:p>
        </w:tc>
      </w:tr>
      <w:tr w:rsidR="00015307" w14:paraId="6C87E2F0" w14:textId="77777777">
        <w:tc>
          <w:tcPr>
            <w:tcW w:w="9026" w:type="dxa"/>
          </w:tcPr>
          <w:p w14:paraId="3C372F56" w14:textId="77777777" w:rsidR="00015307" w:rsidRPr="00040168" w:rsidRDefault="00015307">
            <w:pPr>
              <w:pStyle w:val="ListBullet"/>
              <w:rPr>
                <w:sz w:val="16"/>
                <w:szCs w:val="16"/>
              </w:rPr>
            </w:pPr>
            <w:r w:rsidRPr="00C172C5">
              <w:rPr>
                <w:b/>
                <w:bCs/>
                <w:iCs/>
                <w:sz w:val="16"/>
                <w:szCs w:val="16"/>
              </w:rPr>
              <w:t>Finding</w:t>
            </w:r>
            <w:r w:rsidRPr="00C172C5">
              <w:rPr>
                <w:b/>
                <w:sz w:val="16"/>
                <w:szCs w:val="16"/>
              </w:rPr>
              <w:t xml:space="preserve"> 20</w:t>
            </w:r>
            <w:r w:rsidRPr="00040168">
              <w:rPr>
                <w:sz w:val="16"/>
                <w:szCs w:val="16"/>
              </w:rPr>
              <w:t>: CCCFR services are seeking greater assurance in continuity of funding and greater flexibility in determining how funding meets the ECEC needs of their community.</w:t>
            </w:r>
          </w:p>
          <w:p w14:paraId="2C1FBDF3" w14:textId="77777777" w:rsidR="00015307" w:rsidRDefault="00015307">
            <w:pPr>
              <w:pStyle w:val="ListBullet"/>
              <w:rPr>
                <w:sz w:val="16"/>
                <w:szCs w:val="16"/>
              </w:rPr>
            </w:pPr>
            <w:r w:rsidRPr="00AE6694">
              <w:rPr>
                <w:b/>
                <w:bCs/>
                <w:sz w:val="16"/>
                <w:szCs w:val="16"/>
              </w:rPr>
              <w:t>Finding 25:</w:t>
            </w:r>
            <w:r w:rsidRPr="0044457D">
              <w:rPr>
                <w:sz w:val="16"/>
                <w:szCs w:val="16"/>
              </w:rPr>
              <w:t xml:space="preserve"> Despite annual reporting obligations for CCCFR services under the grant, there is limited evidence to indicate that these materials are being used to inform ongoing access to grant funding and broader quality uplift.</w:t>
            </w:r>
            <w:r w:rsidRPr="0044457D">
              <w:rPr>
                <w:sz w:val="16"/>
                <w:szCs w:val="16"/>
                <w:highlight w:val="yellow"/>
              </w:rPr>
              <w:t xml:space="preserve"> </w:t>
            </w:r>
          </w:p>
          <w:p w14:paraId="58C6E699" w14:textId="77777777" w:rsidR="00015307" w:rsidRPr="0044457D" w:rsidRDefault="00015307">
            <w:pPr>
              <w:pStyle w:val="ListBullet"/>
              <w:rPr>
                <w:sz w:val="16"/>
                <w:szCs w:val="16"/>
              </w:rPr>
            </w:pPr>
            <w:r w:rsidRPr="0003427F">
              <w:rPr>
                <w:b/>
                <w:bCs/>
                <w:sz w:val="16"/>
                <w:szCs w:val="16"/>
              </w:rPr>
              <w:t>Finding 30:</w:t>
            </w:r>
            <w:r w:rsidRPr="0003427F">
              <w:rPr>
                <w:sz w:val="16"/>
                <w:szCs w:val="16"/>
              </w:rPr>
              <w:t xml:space="preserve"> Analysis of Compliance and Operations Reports indicates varying capability and capacity across CCCFR services to prepare planning and governance documentation in line with the Minister’s Rules.</w:t>
            </w:r>
          </w:p>
          <w:p w14:paraId="618954D2" w14:textId="77777777" w:rsidR="00015307" w:rsidRPr="00040168" w:rsidRDefault="00015307">
            <w:pPr>
              <w:pStyle w:val="ListBullet"/>
              <w:rPr>
                <w:sz w:val="16"/>
                <w:szCs w:val="16"/>
              </w:rPr>
            </w:pPr>
            <w:r w:rsidRPr="00AE6694">
              <w:rPr>
                <w:b/>
                <w:bCs/>
                <w:sz w:val="16"/>
                <w:szCs w:val="16"/>
              </w:rPr>
              <w:lastRenderedPageBreak/>
              <w:t>Finding 33:</w:t>
            </w:r>
            <w:r w:rsidRPr="00AE6694">
              <w:rPr>
                <w:sz w:val="16"/>
                <w:szCs w:val="16"/>
              </w:rPr>
              <w:t xml:space="preserve"> A lack of prescribed criteria for service documentation for the Compliance and Operations Reports has resulted in significantly varying documents submitted by CCCFR services, especially in relation to evidence of an educational program.</w:t>
            </w:r>
          </w:p>
        </w:tc>
      </w:tr>
    </w:tbl>
    <w:p w14:paraId="5266DB7C" w14:textId="00C38EF4" w:rsidR="008B0021" w:rsidRPr="00747B61" w:rsidRDefault="008B0021" w:rsidP="00A522AC">
      <w:r>
        <w:lastRenderedPageBreak/>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EF3C64" w14:paraId="2535C749"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1BBEA4C5" w14:textId="47282B8A" w:rsidR="00EF3C64" w:rsidRPr="009E424E" w:rsidRDefault="00EF3C64">
            <w:pPr>
              <w:spacing w:after="120"/>
              <w:rPr>
                <w:b/>
                <w:bCs/>
              </w:rPr>
            </w:pPr>
            <w:r>
              <w:rPr>
                <w:b/>
                <w:bCs/>
              </w:rPr>
              <w:t>Recommendation 11</w:t>
            </w:r>
          </w:p>
          <w:p w14:paraId="7BC3E504" w14:textId="3FE62749" w:rsidR="00EF3C64" w:rsidRPr="00CA3305" w:rsidRDefault="00EF3C64">
            <w:pPr>
              <w:spacing w:after="120"/>
            </w:pPr>
            <w:r w:rsidRPr="00EF3C64">
              <w:t>All aspects of the grant design should embed a strengths-based approach, including using strengths-based language</w:t>
            </w:r>
            <w:r>
              <w:t>.</w:t>
            </w:r>
          </w:p>
        </w:tc>
      </w:tr>
    </w:tbl>
    <w:p w14:paraId="04BD47EB" w14:textId="77777777" w:rsidR="008B0021" w:rsidRPr="00747B61" w:rsidRDefault="008B0021" w:rsidP="00C6174E">
      <w:pPr>
        <w:pStyle w:val="ListBullet"/>
        <w:spacing w:before="170"/>
      </w:pPr>
      <w:r>
        <w:t>This includes, but is not limited to, the revised objectives, the grant guidelines, communications about the grant, and KPIs.</w:t>
      </w:r>
    </w:p>
    <w:p w14:paraId="7715C7C9" w14:textId="77777777" w:rsidR="00015307" w:rsidRDefault="008B0021" w:rsidP="008B0021">
      <w:pPr>
        <w:pStyle w:val="ListBullet"/>
      </w:pPr>
      <w:r>
        <w:t xml:space="preserve">This does not preclude explicitly prioritising communities which may be facing vulnerability and/or disadvantage as beneficiaries of the grant. </w:t>
      </w:r>
    </w:p>
    <w:p w14:paraId="5252FBF5" w14:textId="77777777" w:rsidR="00015307" w:rsidRDefault="00015307" w:rsidP="00015307">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15307" w14:paraId="1F2CD37A"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FBA0A5F" w14:textId="77777777" w:rsidR="00015307" w:rsidRPr="00964087" w:rsidRDefault="00015307">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11</w:t>
            </w:r>
          </w:p>
        </w:tc>
      </w:tr>
      <w:tr w:rsidR="00015307" w14:paraId="10C659D5" w14:textId="77777777">
        <w:tc>
          <w:tcPr>
            <w:tcW w:w="9026" w:type="dxa"/>
          </w:tcPr>
          <w:p w14:paraId="15B9B7A1" w14:textId="77777777" w:rsidR="00015307" w:rsidRPr="00040168" w:rsidRDefault="00015307">
            <w:pPr>
              <w:pStyle w:val="ListBullet"/>
              <w:rPr>
                <w:sz w:val="16"/>
                <w:szCs w:val="16"/>
              </w:rPr>
            </w:pPr>
            <w:r w:rsidRPr="00CA66D5">
              <w:rPr>
                <w:b/>
                <w:bCs/>
                <w:sz w:val="16"/>
                <w:szCs w:val="16"/>
              </w:rPr>
              <w:t>Finding 7:</w:t>
            </w:r>
            <w:r w:rsidRPr="00CA66D5">
              <w:rPr>
                <w:sz w:val="16"/>
                <w:szCs w:val="16"/>
              </w:rPr>
              <w:t xml:space="preserve"> The terms ‘vulnerability and disadvantage’ are not well understood across a range of stakeholders, and there is no consistent definition. The terms are often not used by CCCFR services as they can have a deficit framing that stigmatises individuals, family and whole community.</w:t>
            </w:r>
          </w:p>
        </w:tc>
      </w:tr>
    </w:tbl>
    <w:p w14:paraId="6C7CC01C" w14:textId="45686E0E" w:rsidR="008B0021" w:rsidRPr="00747B61" w:rsidRDefault="008B0021" w:rsidP="00C6174E">
      <w:pPr>
        <w:spacing w:after="0"/>
      </w:pPr>
      <w:r>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A16974" w14:paraId="191B0642"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55D55CE8" w14:textId="70B34130" w:rsidR="00A16974" w:rsidRPr="009E424E" w:rsidRDefault="00A16974">
            <w:pPr>
              <w:spacing w:after="120"/>
              <w:rPr>
                <w:b/>
                <w:bCs/>
              </w:rPr>
            </w:pPr>
            <w:r>
              <w:rPr>
                <w:b/>
                <w:bCs/>
              </w:rPr>
              <w:t>Recommendation 12</w:t>
            </w:r>
          </w:p>
          <w:p w14:paraId="755A0266" w14:textId="29AE147D" w:rsidR="00A16974" w:rsidRPr="00CA3305" w:rsidRDefault="00A16974">
            <w:pPr>
              <w:spacing w:after="120"/>
            </w:pPr>
            <w:r w:rsidRPr="00A16974">
              <w:t>Grant funding values should be reviewed and revised in light of the revised objectives and in accordance with the principles of need, responsiveness, flexibility and certainty.</w:t>
            </w:r>
          </w:p>
        </w:tc>
      </w:tr>
    </w:tbl>
    <w:p w14:paraId="200B4276" w14:textId="77777777" w:rsidR="00461869" w:rsidRDefault="008B0021" w:rsidP="00C6174E">
      <w:pPr>
        <w:pStyle w:val="ListBullet"/>
        <w:spacing w:before="170"/>
      </w:pPr>
      <w:r>
        <w:t xml:space="preserve">Grant values should be determined based on a formula that has regard to characteristics that drive variation in cost and characteristics that drive variation in need. </w:t>
      </w:r>
    </w:p>
    <w:p w14:paraId="642E6B06" w14:textId="67746CFA" w:rsidR="00461869" w:rsidRDefault="00461869" w:rsidP="00461869">
      <w:pPr>
        <w:pStyle w:val="ListBullet"/>
      </w:pPr>
      <w:r>
        <w:t xml:space="preserve">The </w:t>
      </w:r>
      <w:r w:rsidR="0061107A">
        <w:rPr>
          <w:rStyle w:val="ui-provider"/>
        </w:rPr>
        <w:t xml:space="preserve">ECEC delivery costing tool </w:t>
      </w:r>
      <w:r>
        <w:t xml:space="preserve">that accompanies this report provides a basis for determining how grant values should respond to the operating context of services (e.g. their size and location). </w:t>
      </w:r>
    </w:p>
    <w:p w14:paraId="60C0EC19" w14:textId="783FF21A" w:rsidR="00461869" w:rsidRDefault="00461869" w:rsidP="00461869">
      <w:pPr>
        <w:pStyle w:val="ListBullet"/>
      </w:pPr>
      <w:r>
        <w:t xml:space="preserve">Variations in community-level need should be recognised by layering needs-orientated supplements or loadings onto this operational base. </w:t>
      </w:r>
    </w:p>
    <w:p w14:paraId="6D79786A" w14:textId="77777777" w:rsidR="00461869" w:rsidRDefault="00461869" w:rsidP="00461869">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461869" w14:paraId="4A315F9D"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F9D2214" w14:textId="78858EE7" w:rsidR="00461869" w:rsidRPr="00964087" w:rsidRDefault="00461869">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12</w:t>
            </w:r>
          </w:p>
        </w:tc>
      </w:tr>
      <w:tr w:rsidR="00461869" w14:paraId="7CBB689B" w14:textId="77777777">
        <w:tc>
          <w:tcPr>
            <w:tcW w:w="9026" w:type="dxa"/>
          </w:tcPr>
          <w:p w14:paraId="70BA2EFF" w14:textId="77777777" w:rsidR="00461869" w:rsidRPr="00040168" w:rsidRDefault="00461869">
            <w:pPr>
              <w:pStyle w:val="ListBullet"/>
              <w:rPr>
                <w:sz w:val="16"/>
                <w:szCs w:val="16"/>
              </w:rPr>
            </w:pPr>
            <w:r w:rsidRPr="007436D8">
              <w:rPr>
                <w:b/>
                <w:bCs/>
                <w:iCs/>
                <w:sz w:val="16"/>
                <w:szCs w:val="16"/>
              </w:rPr>
              <w:t>Finding</w:t>
            </w:r>
            <w:r w:rsidRPr="007436D8">
              <w:rPr>
                <w:b/>
                <w:sz w:val="16"/>
                <w:szCs w:val="16"/>
              </w:rPr>
              <w:t xml:space="preserve"> 18:</w:t>
            </w:r>
            <w:r w:rsidRPr="00040168">
              <w:rPr>
                <w:sz w:val="16"/>
                <w:szCs w:val="16"/>
              </w:rPr>
              <w:t xml:space="preserve"> There are elements of the current CCCFR grant design that can be improved, by learning from adjacent programs/grants, both locally and internationally.</w:t>
            </w:r>
          </w:p>
          <w:p w14:paraId="31A9D576" w14:textId="77777777" w:rsidR="00461869" w:rsidRPr="00177DB2" w:rsidRDefault="00461869">
            <w:pPr>
              <w:pStyle w:val="ListBullet"/>
              <w:rPr>
                <w:color w:val="000000" w:themeColor="text1"/>
                <w:sz w:val="16"/>
                <w:szCs w:val="16"/>
              </w:rPr>
            </w:pPr>
            <w:r w:rsidRPr="00177DB2">
              <w:rPr>
                <w:b/>
                <w:bCs/>
                <w:color w:val="000000" w:themeColor="text1"/>
                <w:sz w:val="16"/>
                <w:szCs w:val="16"/>
              </w:rPr>
              <w:t>Finding 35:</w:t>
            </w:r>
            <w:r w:rsidRPr="00177DB2">
              <w:rPr>
                <w:color w:val="000000" w:themeColor="text1"/>
                <w:sz w:val="16"/>
                <w:szCs w:val="16"/>
              </w:rPr>
              <w:t xml:space="preserve"> Analysis of the financial adequacy of the resources provided under the CCCFR grant is hampered by the uncertainty that exists in relation to the grant’s purpose and intent (see findings 6 and 7).</w:t>
            </w:r>
          </w:p>
          <w:p w14:paraId="5B6EEE33" w14:textId="77777777" w:rsidR="00461869" w:rsidRPr="00177DB2" w:rsidRDefault="00461869">
            <w:pPr>
              <w:pStyle w:val="ListBullet"/>
              <w:rPr>
                <w:color w:val="000000" w:themeColor="text1"/>
                <w:sz w:val="16"/>
                <w:szCs w:val="16"/>
              </w:rPr>
            </w:pPr>
            <w:r w:rsidRPr="00177DB2">
              <w:rPr>
                <w:b/>
                <w:color w:val="000000" w:themeColor="text1"/>
                <w:sz w:val="16"/>
                <w:szCs w:val="16"/>
              </w:rPr>
              <w:t>Finding 36:</w:t>
            </w:r>
            <w:r w:rsidRPr="00177DB2">
              <w:rPr>
                <w:color w:val="000000" w:themeColor="text1"/>
                <w:sz w:val="16"/>
                <w:szCs w:val="16"/>
              </w:rPr>
              <w:t xml:space="preserve"> Notwithstanding finding 35, there would appear only a limited relationship between the funding CCCFR services receive from the Australian Government and cost of meeting the need CCCFR services face, as it manifests from both service and community characteristics. </w:t>
            </w:r>
          </w:p>
          <w:p w14:paraId="49B50EAA" w14:textId="77777777" w:rsidR="00461869" w:rsidRPr="00177DB2" w:rsidRDefault="00461869">
            <w:pPr>
              <w:pStyle w:val="ListBullet"/>
              <w:rPr>
                <w:color w:val="000000" w:themeColor="text1"/>
                <w:sz w:val="16"/>
                <w:szCs w:val="16"/>
              </w:rPr>
            </w:pPr>
            <w:r w:rsidRPr="00177DB2">
              <w:rPr>
                <w:b/>
                <w:color w:val="000000" w:themeColor="text1"/>
                <w:sz w:val="16"/>
                <w:szCs w:val="16"/>
              </w:rPr>
              <w:t>Finding 37:</w:t>
            </w:r>
            <w:r w:rsidRPr="00177DB2">
              <w:rPr>
                <w:color w:val="000000" w:themeColor="text1"/>
                <w:sz w:val="16"/>
                <w:szCs w:val="16"/>
              </w:rPr>
              <w:t xml:space="preserve"> The financial sustainability of CCCFR services varies considerably. There are drivers on both the revenue and cost side, with the limited responsiveness of funding to costs a key driver of the financial challenges that many CCCFR services confront. </w:t>
            </w:r>
          </w:p>
          <w:p w14:paraId="27FF004E" w14:textId="0D5EEA17" w:rsidR="00461869" w:rsidRPr="00461869" w:rsidRDefault="00461869" w:rsidP="00461869">
            <w:pPr>
              <w:pStyle w:val="ListBullet"/>
              <w:rPr>
                <w:color w:val="000000" w:themeColor="text1"/>
                <w:sz w:val="16"/>
                <w:szCs w:val="16"/>
              </w:rPr>
            </w:pPr>
            <w:r w:rsidRPr="00177DB2">
              <w:rPr>
                <w:b/>
                <w:color w:val="000000" w:themeColor="text1"/>
                <w:sz w:val="16"/>
                <w:szCs w:val="16"/>
              </w:rPr>
              <w:t>Finding 38:</w:t>
            </w:r>
            <w:r w:rsidRPr="00177DB2">
              <w:rPr>
                <w:color w:val="000000" w:themeColor="text1"/>
                <w:sz w:val="16"/>
                <w:szCs w:val="16"/>
              </w:rPr>
              <w:t xml:space="preserve"> The administration of the CCS and ACCS and the requirements families face in engaging with these funding streams mean that they are both underutilised and, in the case of CCS, increased reliance is associated with greater financial viability</w:t>
            </w:r>
            <w:r w:rsidR="007872A8">
              <w:rPr>
                <w:color w:val="000000" w:themeColor="text1"/>
                <w:sz w:val="16"/>
                <w:szCs w:val="16"/>
              </w:rPr>
              <w:t xml:space="preserve"> challenges</w:t>
            </w:r>
            <w:r w:rsidRPr="00177DB2">
              <w:rPr>
                <w:color w:val="000000" w:themeColor="text1"/>
                <w:sz w:val="16"/>
                <w:szCs w:val="16"/>
              </w:rPr>
              <w:t xml:space="preserve">.    </w:t>
            </w:r>
          </w:p>
        </w:tc>
      </w:tr>
    </w:tbl>
    <w:p w14:paraId="0DD4248F" w14:textId="77777777" w:rsidR="00461869" w:rsidRDefault="00461869" w:rsidP="00461869">
      <w:pPr>
        <w:pStyle w:val="ListBullet"/>
        <w:numPr>
          <w:ilvl w:val="0"/>
          <w:numId w:val="0"/>
        </w:numPr>
        <w:ind w:left="340" w:hanging="340"/>
      </w:pPr>
    </w:p>
    <w:p w14:paraId="34631C7D" w14:textId="00663E87" w:rsidR="008B0021" w:rsidRPr="00747B61" w:rsidRDefault="008B0021" w:rsidP="00461869">
      <w:pPr>
        <w:pStyle w:val="ListBullet"/>
        <w:numPr>
          <w:ilvl w:val="0"/>
          <w:numId w:val="0"/>
        </w:numPr>
        <w:ind w:left="340" w:hanging="340"/>
      </w:pPr>
      <w:r>
        <w:lastRenderedPageBreak/>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A16974" w14:paraId="4168F235"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16305C8D" w14:textId="69AB2417" w:rsidR="00A16974" w:rsidRPr="009E424E" w:rsidRDefault="00A16974">
            <w:pPr>
              <w:spacing w:after="120"/>
              <w:rPr>
                <w:b/>
                <w:bCs/>
              </w:rPr>
            </w:pPr>
            <w:r>
              <w:rPr>
                <w:b/>
                <w:bCs/>
              </w:rPr>
              <w:t>Recommendation 13</w:t>
            </w:r>
          </w:p>
          <w:p w14:paraId="585B4B69" w14:textId="563040C2" w:rsidR="00A16974" w:rsidRPr="00CA3305" w:rsidRDefault="006918CF">
            <w:pPr>
              <w:spacing w:after="120"/>
            </w:pPr>
            <w:r w:rsidRPr="006918CF">
              <w:t>The grant design (including the grant value formula and grant guidelines) should ensure that fees are not a barrier to participation and that access to services is not contingent on families engaging with systems and processes where there are demonstrated barriers to doing so, including Services Australia.</w:t>
            </w:r>
          </w:p>
        </w:tc>
      </w:tr>
    </w:tbl>
    <w:p w14:paraId="11EFC6AF" w14:textId="4323CC35" w:rsidR="00461869" w:rsidRDefault="00461869" w:rsidP="00C6174E">
      <w:pPr>
        <w:pStyle w:val="ListBullet"/>
        <w:spacing w:before="170"/>
      </w:pPr>
      <w:r>
        <w:t>For many families, including Aboriginal and Torres Strait Islander families, this may be best achieved via a universal fee-free setting. </w:t>
      </w:r>
    </w:p>
    <w:p w14:paraId="5D9C254C" w14:textId="77777777" w:rsidR="00461869" w:rsidRDefault="00461869" w:rsidP="00461869">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C7F11" w14:paraId="4B5AA60F"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0CF26D60" w14:textId="4F5DD64F" w:rsidR="000C7F11" w:rsidRPr="00964087" w:rsidRDefault="000C7F11">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13</w:t>
            </w:r>
          </w:p>
        </w:tc>
      </w:tr>
      <w:tr w:rsidR="000C7F11" w14:paraId="46894A90" w14:textId="77777777">
        <w:tc>
          <w:tcPr>
            <w:tcW w:w="9026" w:type="dxa"/>
          </w:tcPr>
          <w:p w14:paraId="6FA17167" w14:textId="77777777" w:rsidR="000C7F11" w:rsidRPr="00273B2D" w:rsidRDefault="000C7F11">
            <w:pPr>
              <w:pStyle w:val="ListBullet"/>
              <w:rPr>
                <w:b/>
                <w:bCs/>
                <w:iCs/>
                <w:sz w:val="16"/>
                <w:szCs w:val="16"/>
              </w:rPr>
            </w:pPr>
            <w:r w:rsidRPr="00273B2D">
              <w:rPr>
                <w:b/>
                <w:bCs/>
                <w:iCs/>
                <w:sz w:val="16"/>
                <w:szCs w:val="16"/>
              </w:rPr>
              <w:t xml:space="preserve">Finding 1: </w:t>
            </w:r>
            <w:r w:rsidRPr="00E65500">
              <w:rPr>
                <w:sz w:val="16"/>
                <w:szCs w:val="16"/>
              </w:rPr>
              <w:t>While intensity of use by existing families increased, enrolments by Aboriginal and Torres Strait Islander children at CCCFR services grew slower than at other non-CCCFR funded education and child care services receiving CCS in the same region and national benchmarks.</w:t>
            </w:r>
          </w:p>
          <w:p w14:paraId="1F886219" w14:textId="77777777" w:rsidR="000C7F11" w:rsidRPr="00E65500" w:rsidRDefault="000C7F11">
            <w:pPr>
              <w:pStyle w:val="ListBullet"/>
              <w:rPr>
                <w:sz w:val="16"/>
                <w:szCs w:val="16"/>
              </w:rPr>
            </w:pPr>
            <w:r w:rsidRPr="00273B2D">
              <w:rPr>
                <w:b/>
                <w:bCs/>
                <w:iCs/>
                <w:sz w:val="16"/>
                <w:szCs w:val="16"/>
              </w:rPr>
              <w:t xml:space="preserve">Finding 2: </w:t>
            </w:r>
            <w:r w:rsidRPr="00E65500">
              <w:rPr>
                <w:sz w:val="16"/>
                <w:szCs w:val="16"/>
              </w:rPr>
              <w:t>There is evidence to suggest that access to the CCCFR grant has been associated with slower growth in out-of-pocket fees and, for Aboriginal and Torres Strait Islander</w:t>
            </w:r>
            <w:r w:rsidRPr="00273B2D">
              <w:rPr>
                <w:b/>
                <w:bCs/>
                <w:iCs/>
                <w:sz w:val="16"/>
                <w:szCs w:val="16"/>
              </w:rPr>
              <w:t xml:space="preserve"> </w:t>
            </w:r>
            <w:r w:rsidRPr="00E65500">
              <w:rPr>
                <w:sz w:val="16"/>
                <w:szCs w:val="16"/>
              </w:rPr>
              <w:t>families, greater affordability.</w:t>
            </w:r>
          </w:p>
          <w:p w14:paraId="4E281F4A" w14:textId="77777777" w:rsidR="000C7F11" w:rsidRPr="00A969EF" w:rsidRDefault="000C7F11">
            <w:pPr>
              <w:pStyle w:val="ListBullet"/>
              <w:rPr>
                <w:sz w:val="16"/>
                <w:szCs w:val="16"/>
              </w:rPr>
            </w:pPr>
            <w:r w:rsidRPr="00CF5634">
              <w:rPr>
                <w:b/>
                <w:sz w:val="16"/>
                <w:szCs w:val="16"/>
              </w:rPr>
              <w:t>Finding 10</w:t>
            </w:r>
            <w:r w:rsidRPr="00CF5634">
              <w:rPr>
                <w:b/>
                <w:bCs/>
                <w:sz w:val="16"/>
                <w:szCs w:val="16"/>
              </w:rPr>
              <w:t>:</w:t>
            </w:r>
            <w:r w:rsidRPr="00A969EF">
              <w:rPr>
                <w:sz w:val="16"/>
                <w:szCs w:val="16"/>
              </w:rPr>
              <w:t xml:space="preserve"> Aboriginal and Torres Strait Islander families and communities feel strongly that their CCCFR service is delivering culturally appropriate care for their children, however services do not feel that the CCCFR grant is sufficient to maintain the levels of care that are required by their communities to achieve strong development outcomes for children, or to sufficiently address barriers to participating in ECEC.        </w:t>
            </w:r>
          </w:p>
          <w:p w14:paraId="74453B49" w14:textId="77777777" w:rsidR="000C7F11" w:rsidRPr="00040168" w:rsidRDefault="000C7F11">
            <w:pPr>
              <w:pStyle w:val="ListBullet"/>
              <w:rPr>
                <w:sz w:val="16"/>
                <w:szCs w:val="16"/>
              </w:rPr>
            </w:pPr>
            <w:r w:rsidRPr="00141F25">
              <w:rPr>
                <w:b/>
                <w:bCs/>
                <w:iCs/>
                <w:sz w:val="16"/>
                <w:szCs w:val="16"/>
              </w:rPr>
              <w:t>Finding</w:t>
            </w:r>
            <w:r w:rsidRPr="00141F25">
              <w:rPr>
                <w:b/>
                <w:sz w:val="16"/>
                <w:szCs w:val="16"/>
              </w:rPr>
              <w:t xml:space="preserve"> 13:</w:t>
            </w:r>
            <w:r w:rsidRPr="00040168">
              <w:rPr>
                <w:sz w:val="16"/>
                <w:szCs w:val="16"/>
              </w:rPr>
              <w:t xml:space="preserve"> The review has not identified a formal articulation of the grant design with respect to (1) recipient eligibility criteria and its rationale and (2) the funding allocation – or grant size determination – methodology. These features appear to be very much historical artifacts. </w:t>
            </w:r>
          </w:p>
          <w:p w14:paraId="1F0064D2" w14:textId="77777777" w:rsidR="000C7F11" w:rsidRPr="00040168" w:rsidRDefault="000C7F11">
            <w:pPr>
              <w:pStyle w:val="ListBullet"/>
              <w:rPr>
                <w:sz w:val="16"/>
                <w:szCs w:val="16"/>
              </w:rPr>
            </w:pPr>
            <w:r w:rsidRPr="00141F25">
              <w:rPr>
                <w:b/>
                <w:bCs/>
                <w:iCs/>
                <w:sz w:val="16"/>
                <w:szCs w:val="16"/>
              </w:rPr>
              <w:t>Finding</w:t>
            </w:r>
            <w:r w:rsidRPr="00141F25">
              <w:rPr>
                <w:b/>
                <w:sz w:val="16"/>
                <w:szCs w:val="16"/>
              </w:rPr>
              <w:t xml:space="preserve"> 16:</w:t>
            </w:r>
            <w:r w:rsidRPr="00040168">
              <w:rPr>
                <w:sz w:val="16"/>
                <w:szCs w:val="16"/>
              </w:rPr>
              <w:t xml:space="preserve"> There are gaps in understanding among CCCFR services (e.g., among Directors of CCCFR services) regarding how and for what purpose the CCCFR grant funding can be spent.</w:t>
            </w:r>
          </w:p>
          <w:p w14:paraId="6D288528" w14:textId="48EC8C5B" w:rsidR="000C7F11" w:rsidRPr="00CF5634" w:rsidRDefault="000C7F11">
            <w:pPr>
              <w:pStyle w:val="ListBullet"/>
              <w:rPr>
                <w:color w:val="000000" w:themeColor="text1"/>
                <w:sz w:val="16"/>
                <w:szCs w:val="16"/>
              </w:rPr>
            </w:pPr>
            <w:r w:rsidRPr="00CF5634">
              <w:rPr>
                <w:b/>
                <w:color w:val="000000" w:themeColor="text1"/>
                <w:sz w:val="16"/>
                <w:szCs w:val="16"/>
              </w:rPr>
              <w:t>Finding 38:</w:t>
            </w:r>
            <w:r w:rsidRPr="00CF5634">
              <w:rPr>
                <w:color w:val="000000" w:themeColor="text1"/>
                <w:sz w:val="16"/>
                <w:szCs w:val="16"/>
              </w:rPr>
              <w:t xml:space="preserve"> The administration of the CCS and ACCS and the requirements families face in engaging with these funding streams mean that they are both underutilised and, in the case of CCS, increased reliance is associated with greater financial viability</w:t>
            </w:r>
            <w:r w:rsidR="007872A8">
              <w:rPr>
                <w:color w:val="000000" w:themeColor="text1"/>
                <w:sz w:val="16"/>
                <w:szCs w:val="16"/>
              </w:rPr>
              <w:t xml:space="preserve"> challenges</w:t>
            </w:r>
            <w:r w:rsidRPr="00CF5634">
              <w:rPr>
                <w:color w:val="000000" w:themeColor="text1"/>
                <w:sz w:val="16"/>
                <w:szCs w:val="16"/>
              </w:rPr>
              <w:t xml:space="preserve">.    </w:t>
            </w:r>
          </w:p>
        </w:tc>
      </w:tr>
    </w:tbl>
    <w:p w14:paraId="5F161AC2" w14:textId="77777777" w:rsidR="00461869" w:rsidRDefault="00461869" w:rsidP="00461869">
      <w:pPr>
        <w:pStyle w:val="ListBullet"/>
        <w:numPr>
          <w:ilvl w:val="0"/>
          <w:numId w:val="0"/>
        </w:numPr>
        <w:ind w:left="340" w:hanging="340"/>
      </w:pPr>
    </w:p>
    <w:p w14:paraId="4DFA12CB" w14:textId="75C8F967" w:rsidR="006918CF" w:rsidRPr="00747B61" w:rsidRDefault="006918CF" w:rsidP="00D370B7">
      <w:pPr>
        <w:pStyle w:val="ListBullet"/>
        <w:numPr>
          <w:ilvl w:val="0"/>
          <w:numId w:val="0"/>
        </w:numPr>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6918CF" w14:paraId="1E5FD3E7"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0DAFC33A" w14:textId="0A13414D" w:rsidR="006918CF" w:rsidRPr="009E424E" w:rsidRDefault="006918CF">
            <w:pPr>
              <w:spacing w:after="120"/>
              <w:rPr>
                <w:b/>
                <w:bCs/>
              </w:rPr>
            </w:pPr>
            <w:r>
              <w:rPr>
                <w:b/>
                <w:bCs/>
              </w:rPr>
              <w:t>Recommendation 14</w:t>
            </w:r>
          </w:p>
          <w:p w14:paraId="2AE13FF8" w14:textId="7517CDD3" w:rsidR="006918CF" w:rsidRPr="00CA3305" w:rsidRDefault="006918CF">
            <w:pPr>
              <w:spacing w:after="120"/>
            </w:pPr>
            <w:r w:rsidRPr="006918CF">
              <w:t>The roles and responsibilities of Program Officers should be refined to prioritise supporting administration and financial obligations under the CCCFR grant.</w:t>
            </w:r>
          </w:p>
        </w:tc>
      </w:tr>
    </w:tbl>
    <w:p w14:paraId="5D92DC94" w14:textId="77777777" w:rsidR="008B0021" w:rsidRPr="00747B61" w:rsidRDefault="008B0021" w:rsidP="00C6174E">
      <w:pPr>
        <w:pStyle w:val="ListBullet"/>
        <w:spacing w:before="170"/>
      </w:pPr>
      <w:r>
        <w:t xml:space="preserve">In revising the roles and responsibilities of Program Officers, regard should be had to the broader system of supports that exists including providers, peaks and backbone organisations. </w:t>
      </w:r>
    </w:p>
    <w:p w14:paraId="628DC9A2" w14:textId="77777777" w:rsidR="000C7F11" w:rsidRDefault="008B0021" w:rsidP="006918CF">
      <w:pPr>
        <w:pStyle w:val="ListBullet"/>
      </w:pPr>
      <w:r>
        <w:t>As part of this, the Department should consider increasing the amount of face-to-face engagement (e.g.</w:t>
      </w:r>
      <w:r w:rsidR="00141A3D">
        <w:t>,</w:t>
      </w:r>
      <w:r>
        <w:t xml:space="preserve"> visits to the service) that Program Officers have with services to strengthen their capacity to meet the support needs of services. </w:t>
      </w:r>
    </w:p>
    <w:p w14:paraId="4002BDB3" w14:textId="77777777" w:rsidR="000C7F11" w:rsidRDefault="000C7F11" w:rsidP="000C7F11">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C7F11" w14:paraId="7BD43005"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3A3E1C65" w14:textId="6E845845" w:rsidR="000C7F11" w:rsidRPr="00964087" w:rsidRDefault="000C7F11">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14</w:t>
            </w:r>
          </w:p>
        </w:tc>
      </w:tr>
      <w:tr w:rsidR="000C7F11" w14:paraId="1D39126A" w14:textId="77777777">
        <w:tc>
          <w:tcPr>
            <w:tcW w:w="9026" w:type="dxa"/>
          </w:tcPr>
          <w:p w14:paraId="16432E26" w14:textId="77777777" w:rsidR="000C7F11" w:rsidRPr="001B3392" w:rsidRDefault="000C7F11">
            <w:pPr>
              <w:pStyle w:val="ListBullet"/>
              <w:rPr>
                <w:sz w:val="16"/>
                <w:szCs w:val="16"/>
              </w:rPr>
            </w:pPr>
            <w:r w:rsidRPr="003973B7">
              <w:rPr>
                <w:b/>
                <w:bCs/>
                <w:sz w:val="16"/>
                <w:szCs w:val="16"/>
              </w:rPr>
              <w:t>Finding 21:</w:t>
            </w:r>
            <w:r w:rsidRPr="001B3392">
              <w:rPr>
                <w:sz w:val="16"/>
                <w:szCs w:val="16"/>
              </w:rPr>
              <w:t xml:space="preserve"> CCCFR Program Officers are the primary point of contact and support for most CCCFR services, both for the grant and broader areas of service governance, quality, and business support outside the scope of the grant.</w:t>
            </w:r>
            <w:r w:rsidRPr="001B3392">
              <w:rPr>
                <w:sz w:val="16"/>
                <w:szCs w:val="16"/>
                <w:highlight w:val="yellow"/>
              </w:rPr>
              <w:t xml:space="preserve"> </w:t>
            </w:r>
          </w:p>
          <w:p w14:paraId="2A4E24DF" w14:textId="77777777" w:rsidR="000C7F11" w:rsidRDefault="000C7F11">
            <w:pPr>
              <w:pStyle w:val="ListBullet"/>
              <w:rPr>
                <w:sz w:val="16"/>
                <w:szCs w:val="16"/>
              </w:rPr>
            </w:pPr>
            <w:r w:rsidRPr="003973B7">
              <w:rPr>
                <w:b/>
                <w:bCs/>
                <w:sz w:val="16"/>
                <w:szCs w:val="16"/>
              </w:rPr>
              <w:t>Finding 22:</w:t>
            </w:r>
            <w:r w:rsidRPr="003973B7">
              <w:rPr>
                <w:sz w:val="16"/>
                <w:szCs w:val="16"/>
              </w:rPr>
              <w:t xml:space="preserve"> A lack of clarity around roles and responsibilities has meant that Program Officers are undertaking tasks beyond traditional grants administration roles, with limited or no additional training to support CCCFR services with broader queries in relation to operations, such as infrastructure and asset maintenance. </w:t>
            </w:r>
          </w:p>
          <w:p w14:paraId="12E95A47" w14:textId="77777777" w:rsidR="000C7F11" w:rsidRPr="00EF37B6" w:rsidRDefault="000C7F11">
            <w:pPr>
              <w:pStyle w:val="ListBullet"/>
              <w:rPr>
                <w:sz w:val="16"/>
                <w:szCs w:val="16"/>
              </w:rPr>
            </w:pPr>
            <w:r w:rsidRPr="00846995">
              <w:rPr>
                <w:b/>
                <w:bCs/>
                <w:sz w:val="16"/>
                <w:szCs w:val="16"/>
              </w:rPr>
              <w:lastRenderedPageBreak/>
              <w:t>Finding 26:</w:t>
            </w:r>
            <w:r w:rsidRPr="00846995">
              <w:rPr>
                <w:sz w:val="16"/>
                <w:szCs w:val="16"/>
              </w:rPr>
              <w:t xml:space="preserve"> The Department adopts a responsive, risk-based approach to monitoring and reporting with CCCFR services, supporting CCCFR services to meet their compliance obligations in a non-punitive manner, while still undertaking enforcement actions where significant risks to children’s health and safety have been identified.</w:t>
            </w:r>
          </w:p>
        </w:tc>
      </w:tr>
    </w:tbl>
    <w:p w14:paraId="6624F45A" w14:textId="02B524F0" w:rsidR="008B0021" w:rsidRPr="00747B61" w:rsidRDefault="008B0021" w:rsidP="000C7F11">
      <w:pPr>
        <w:pStyle w:val="ListBullet"/>
        <w:numPr>
          <w:ilvl w:val="0"/>
          <w:numId w:val="0"/>
        </w:numPr>
        <w:ind w:left="340" w:hanging="340"/>
      </w:pPr>
      <w:r>
        <w:lastRenderedPageBreak/>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2310D2" w14:paraId="23062984"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02CA3645" w14:textId="6F6BDDE9" w:rsidR="002310D2" w:rsidRPr="009E424E" w:rsidRDefault="002310D2">
            <w:pPr>
              <w:spacing w:after="120"/>
              <w:rPr>
                <w:b/>
                <w:bCs/>
              </w:rPr>
            </w:pPr>
            <w:r>
              <w:rPr>
                <w:b/>
                <w:bCs/>
              </w:rPr>
              <w:t>Recommendation 15</w:t>
            </w:r>
          </w:p>
          <w:p w14:paraId="2290AB3E" w14:textId="02A271BA" w:rsidR="002310D2" w:rsidRPr="00CA3305" w:rsidRDefault="00B21B49">
            <w:pPr>
              <w:spacing w:after="120"/>
            </w:pPr>
            <w:r>
              <w:t>Responsibilities should be assigned and/or targeted roles established to support CCCFR services in relation to specialist issues beyond the remit of Program Officers – such as leasing and asset management and legislative and regulatory advice outside of CCCFR grant obligations.</w:t>
            </w:r>
          </w:p>
        </w:tc>
      </w:tr>
    </w:tbl>
    <w:p w14:paraId="32BF11B0" w14:textId="77777777" w:rsidR="008B0021" w:rsidRPr="00747B61" w:rsidRDefault="008B0021" w:rsidP="008B0021">
      <w:pPr>
        <w:spacing w:after="0"/>
        <w:contextualSpacing/>
        <w:rPr>
          <w:szCs w:val="17"/>
        </w:rPr>
      </w:pPr>
    </w:p>
    <w:p w14:paraId="43D9CA67" w14:textId="776E10A3" w:rsidR="00AD66FE" w:rsidRDefault="003F27DC" w:rsidP="002310D2">
      <w:pPr>
        <w:pStyle w:val="ListBullet"/>
      </w:pPr>
      <w:r>
        <w:t xml:space="preserve">To identify these specialist roles, the Department should undertake </w:t>
      </w:r>
      <w:r w:rsidR="00D538F3">
        <w:t xml:space="preserve">a stocktake </w:t>
      </w:r>
      <w:r w:rsidR="00F034B9">
        <w:t>around the frequency and complexity of service queries outside the scope of traditional grants administration.</w:t>
      </w:r>
    </w:p>
    <w:p w14:paraId="1D12A267" w14:textId="2CF18BAB" w:rsidR="000C7F11" w:rsidRDefault="00F034B9" w:rsidP="002310D2">
      <w:pPr>
        <w:pStyle w:val="ListBullet"/>
      </w:pPr>
      <w:r>
        <w:t xml:space="preserve">When </w:t>
      </w:r>
      <w:r w:rsidR="00B21B49">
        <w:t>assigning responsibilities</w:t>
      </w:r>
      <w:r>
        <w:t>, the Department should consider the level of</w:t>
      </w:r>
      <w:r w:rsidR="00732928">
        <w:t xml:space="preserve"> knowledge or prior qualifications required to </w:t>
      </w:r>
      <w:r w:rsidR="003D1335">
        <w:t>support services</w:t>
      </w:r>
      <w:r w:rsidR="006D01AE">
        <w:t>.</w:t>
      </w:r>
    </w:p>
    <w:p w14:paraId="5E2BBA35" w14:textId="77777777" w:rsidR="000C7F11" w:rsidRDefault="000C7F11" w:rsidP="000C7F11">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C7F11" w14:paraId="77590B37"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6C3639EC" w14:textId="54E1DB63" w:rsidR="000C7F11" w:rsidRPr="00964087" w:rsidRDefault="000C7F11">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15</w:t>
            </w:r>
          </w:p>
        </w:tc>
      </w:tr>
      <w:tr w:rsidR="000C7F11" w14:paraId="76022207" w14:textId="77777777">
        <w:tc>
          <w:tcPr>
            <w:tcW w:w="9026" w:type="dxa"/>
          </w:tcPr>
          <w:p w14:paraId="2E10402E" w14:textId="77777777" w:rsidR="000C7F11" w:rsidRPr="00CD7194" w:rsidRDefault="000C7F11">
            <w:pPr>
              <w:pStyle w:val="ListBullet"/>
              <w:rPr>
                <w:sz w:val="16"/>
                <w:szCs w:val="16"/>
              </w:rPr>
            </w:pPr>
            <w:r w:rsidRPr="00D32776">
              <w:rPr>
                <w:b/>
                <w:bCs/>
                <w:sz w:val="16"/>
                <w:szCs w:val="16"/>
              </w:rPr>
              <w:t>Finding 23:</w:t>
            </w:r>
            <w:r w:rsidRPr="00CD7194">
              <w:rPr>
                <w:sz w:val="16"/>
                <w:szCs w:val="16"/>
              </w:rPr>
              <w:t xml:space="preserve"> To remain sustainable, CCCFR services require specialist support that is outside of the scope of roles and responsibilities of the Program Officers and is not systematically provided to CCCFR services through other government or non-government bodies.</w:t>
            </w:r>
            <w:r w:rsidRPr="00CD7194">
              <w:rPr>
                <w:sz w:val="16"/>
                <w:szCs w:val="16"/>
                <w:highlight w:val="yellow"/>
              </w:rPr>
              <w:t xml:space="preserve"> </w:t>
            </w:r>
          </w:p>
          <w:p w14:paraId="407B00A6" w14:textId="77777777" w:rsidR="000C7F11" w:rsidRPr="00E225AA" w:rsidRDefault="000C7F11">
            <w:pPr>
              <w:pStyle w:val="ListBullet"/>
              <w:rPr>
                <w:sz w:val="16"/>
                <w:szCs w:val="16"/>
              </w:rPr>
            </w:pPr>
            <w:r w:rsidRPr="00E225AA">
              <w:rPr>
                <w:b/>
                <w:bCs/>
                <w:sz w:val="16"/>
                <w:szCs w:val="16"/>
              </w:rPr>
              <w:t>Finding 40:</w:t>
            </w:r>
            <w:r w:rsidRPr="00E225AA">
              <w:rPr>
                <w:sz w:val="16"/>
                <w:szCs w:val="16"/>
              </w:rPr>
              <w:t xml:space="preserve"> Of the various leasing arrangements currently in place, the Management Agreement appears to better accommodate the delivery of child care services, clearly outlining obligations of the parties to the agreement and imposing obligations on the Commonwealth and/or the operator to maintain building compliance. However, there are ways the Management Agreement could be strengthened for future arrangements.</w:t>
            </w:r>
          </w:p>
          <w:p w14:paraId="49D4B546" w14:textId="77777777" w:rsidR="000C7F11" w:rsidRPr="00E225AA" w:rsidRDefault="000C7F11">
            <w:pPr>
              <w:pStyle w:val="ListBullet"/>
              <w:rPr>
                <w:sz w:val="16"/>
                <w:szCs w:val="16"/>
              </w:rPr>
            </w:pPr>
            <w:r w:rsidRPr="00E225AA">
              <w:rPr>
                <w:b/>
                <w:bCs/>
                <w:sz w:val="16"/>
                <w:szCs w:val="16"/>
              </w:rPr>
              <w:t>Finding 41</w:t>
            </w:r>
            <w:r w:rsidRPr="00E225AA">
              <w:rPr>
                <w:sz w:val="16"/>
                <w:szCs w:val="16"/>
              </w:rPr>
              <w:t>: Concerns in relation to the quality and adequacy of infrastructure are widespread with in many cases significant improvement required – especially if minimum requirements under the National Law and Regulations are to be met.</w:t>
            </w:r>
          </w:p>
          <w:p w14:paraId="003B1786" w14:textId="77777777" w:rsidR="000C7F11" w:rsidRDefault="000C7F11">
            <w:pPr>
              <w:pStyle w:val="ListBullet"/>
            </w:pPr>
            <w:r w:rsidRPr="00E225AA">
              <w:rPr>
                <w:b/>
                <w:bCs/>
                <w:sz w:val="16"/>
                <w:szCs w:val="16"/>
              </w:rPr>
              <w:t>Finding 42:</w:t>
            </w:r>
            <w:r w:rsidRPr="00E225AA">
              <w:rPr>
                <w:sz w:val="16"/>
                <w:szCs w:val="16"/>
              </w:rPr>
              <w:t xml:space="preserve"> Limited utilisation of the contingency funding to support infrastructure upgrades reflects barriers to CCCFR services’ participation in the application process.</w:t>
            </w:r>
          </w:p>
        </w:tc>
      </w:tr>
    </w:tbl>
    <w:p w14:paraId="185FE669" w14:textId="4FC5466E" w:rsidR="003F27DC" w:rsidRDefault="00F034B9" w:rsidP="000C7F11">
      <w:pPr>
        <w:pStyle w:val="ListBullet"/>
        <w:numPr>
          <w:ilvl w:val="0"/>
          <w:numId w:val="0"/>
        </w:numPr>
        <w:ind w:left="340" w:hanging="340"/>
      </w:pPr>
      <w:r>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2310D2" w14:paraId="08C9D743"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0C2EE361" w14:textId="25DF9988" w:rsidR="002310D2" w:rsidRPr="009E424E" w:rsidRDefault="002310D2">
            <w:pPr>
              <w:spacing w:after="120"/>
              <w:rPr>
                <w:b/>
                <w:bCs/>
              </w:rPr>
            </w:pPr>
            <w:r>
              <w:rPr>
                <w:b/>
                <w:bCs/>
              </w:rPr>
              <w:t>Recommendation 16</w:t>
            </w:r>
          </w:p>
          <w:p w14:paraId="7DD5A938" w14:textId="74017960" w:rsidR="002310D2" w:rsidRPr="00CA3305" w:rsidRDefault="002310D2">
            <w:pPr>
              <w:spacing w:after="120"/>
            </w:pPr>
            <w:r w:rsidRPr="002310D2">
              <w:t>Recognising the unique context of each CCCFR service, additional professional development and training should be arranged to support quality uplift, including delivery across different stakeholders (e.g., sector organisations and peak bodies) and different mediums (e.g., online, in person training, written guidance and tailored intensive supports at service).</w:t>
            </w:r>
          </w:p>
        </w:tc>
      </w:tr>
    </w:tbl>
    <w:p w14:paraId="0DB343EE" w14:textId="2B807859" w:rsidR="008B0021" w:rsidRPr="00747B61" w:rsidRDefault="008B0021" w:rsidP="00C6174E">
      <w:pPr>
        <w:pStyle w:val="ListBullet"/>
        <w:spacing w:before="170"/>
      </w:pPr>
      <w:r>
        <w:t>Future professional development and training for CCCFR services should include targeted resources and supports for Persons with Management and Control (PMC) and those at Approved Provider-level (such as board members, CEOs, individuals working in council).</w:t>
      </w:r>
      <w:r>
        <w:br/>
        <w:t xml:space="preserve">It should be delivered through a combination of the Department’s in-house resources and external providers. </w:t>
      </w:r>
    </w:p>
    <w:p w14:paraId="7DA16671" w14:textId="77777777" w:rsidR="000C7F11" w:rsidRDefault="008B0021" w:rsidP="00171325">
      <w:pPr>
        <w:numPr>
          <w:ilvl w:val="0"/>
          <w:numId w:val="36"/>
        </w:numPr>
        <w:contextualSpacing/>
      </w:pPr>
      <w:r w:rsidRPr="00747B61">
        <w:t>To ensure that the professional development and training is culturally informed, delivery to services primarily supporting Aboriginal and Torres Strait Islander communities (including ACCOs) should be supported by an Aboriginal and Torres Strait Islander peak in accordance with clause 45(c) of the National Agreement on Closing the Gap. </w:t>
      </w:r>
    </w:p>
    <w:p w14:paraId="6835D5A2" w14:textId="77777777" w:rsidR="000C7F11" w:rsidRDefault="000C7F11" w:rsidP="000C7F11">
      <w:pPr>
        <w:contextualSpacing/>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C7F11" w14:paraId="0A5CB336"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177574A" w14:textId="266551CF" w:rsidR="000C7F11" w:rsidRPr="00964087" w:rsidRDefault="000C7F11">
            <w:pPr>
              <w:pStyle w:val="ListBullet"/>
              <w:numPr>
                <w:ilvl w:val="0"/>
                <w:numId w:val="0"/>
              </w:numPr>
              <w:rPr>
                <w:b/>
                <w:bCs/>
                <w:color w:val="FFFFFF" w:themeColor="background1"/>
              </w:rPr>
            </w:pPr>
            <w:r w:rsidRPr="00414DDD">
              <w:rPr>
                <w:b/>
                <w:bCs/>
              </w:rPr>
              <w:lastRenderedPageBreak/>
              <w:t xml:space="preserve">Findings </w:t>
            </w:r>
            <w:r>
              <w:rPr>
                <w:b/>
                <w:bCs/>
              </w:rPr>
              <w:t>relating to</w:t>
            </w:r>
            <w:r w:rsidRPr="00414DDD">
              <w:rPr>
                <w:b/>
                <w:bCs/>
              </w:rPr>
              <w:t xml:space="preserve"> Recommendation 1</w:t>
            </w:r>
            <w:r>
              <w:rPr>
                <w:b/>
                <w:bCs/>
              </w:rPr>
              <w:t>6</w:t>
            </w:r>
          </w:p>
        </w:tc>
      </w:tr>
      <w:tr w:rsidR="000C7F11" w14:paraId="3B943584" w14:textId="77777777">
        <w:tc>
          <w:tcPr>
            <w:tcW w:w="9026" w:type="dxa"/>
          </w:tcPr>
          <w:p w14:paraId="2153E5E0" w14:textId="77777777" w:rsidR="000C7F11" w:rsidRDefault="000C7F11">
            <w:pPr>
              <w:pStyle w:val="ListBullet"/>
              <w:rPr>
                <w:sz w:val="16"/>
                <w:szCs w:val="16"/>
              </w:rPr>
            </w:pPr>
            <w:r w:rsidRPr="00441074">
              <w:rPr>
                <w:b/>
                <w:bCs/>
                <w:sz w:val="16"/>
                <w:szCs w:val="16"/>
              </w:rPr>
              <w:t>Finding 30:</w:t>
            </w:r>
            <w:r w:rsidRPr="00F67C85">
              <w:rPr>
                <w:sz w:val="16"/>
                <w:szCs w:val="16"/>
              </w:rPr>
              <w:t xml:space="preserve"> Analysis of Compliance and Operations Reports indicates varying capability and capacity across CCCFR services to prepare planning and governance documentation in line with the Minister’s Rules.</w:t>
            </w:r>
          </w:p>
          <w:p w14:paraId="2AA69240" w14:textId="77777777" w:rsidR="000C7F11" w:rsidRPr="009872A7" w:rsidRDefault="000C7F11">
            <w:pPr>
              <w:pStyle w:val="ListBullet"/>
              <w:rPr>
                <w:sz w:val="16"/>
                <w:szCs w:val="16"/>
              </w:rPr>
            </w:pPr>
            <w:r w:rsidRPr="00441074">
              <w:rPr>
                <w:b/>
                <w:bCs/>
                <w:sz w:val="16"/>
                <w:szCs w:val="16"/>
              </w:rPr>
              <w:t>Finding 31:</w:t>
            </w:r>
            <w:r w:rsidRPr="009F4143">
              <w:rPr>
                <w:sz w:val="16"/>
                <w:szCs w:val="16"/>
              </w:rPr>
              <w:t xml:space="preserve"> Broader workforce challenges have impacted several rural and remote CCCFR services’ ability to meet obligations under the Minister’s Rules, specifically around ensuring effective supervision and meeting First Aid obligations.</w:t>
            </w:r>
          </w:p>
          <w:p w14:paraId="53456CDA" w14:textId="77777777" w:rsidR="000C7F11" w:rsidRPr="00A454E5" w:rsidRDefault="000C7F11">
            <w:pPr>
              <w:pStyle w:val="ListBullet"/>
              <w:rPr>
                <w:sz w:val="16"/>
                <w:szCs w:val="16"/>
              </w:rPr>
            </w:pPr>
            <w:r w:rsidRPr="00441074">
              <w:rPr>
                <w:b/>
                <w:bCs/>
                <w:sz w:val="16"/>
                <w:szCs w:val="16"/>
              </w:rPr>
              <w:t>Finding 32:</w:t>
            </w:r>
            <w:r w:rsidRPr="00A454E5">
              <w:rPr>
                <w:sz w:val="16"/>
                <w:szCs w:val="16"/>
              </w:rPr>
              <w:t xml:space="preserve"> While the Minister’s Rules (section 49(9) of the FAL) prescribes obligations for CCCFR services not regulated under the NQF, certain obligations are subjective and open to interpretation, in particular criteria for the delivery of “high quality child care”.</w:t>
            </w:r>
            <w:r w:rsidRPr="00A454E5">
              <w:rPr>
                <w:sz w:val="16"/>
                <w:szCs w:val="16"/>
                <w:highlight w:val="yellow"/>
              </w:rPr>
              <w:t xml:space="preserve"> </w:t>
            </w:r>
          </w:p>
          <w:p w14:paraId="296DCB9A" w14:textId="77777777" w:rsidR="000C7F11" w:rsidRPr="0084138E" w:rsidRDefault="000C7F11">
            <w:pPr>
              <w:pStyle w:val="ListBullet"/>
              <w:rPr>
                <w:sz w:val="16"/>
                <w:szCs w:val="16"/>
              </w:rPr>
            </w:pPr>
            <w:r w:rsidRPr="00441074">
              <w:rPr>
                <w:b/>
                <w:bCs/>
                <w:sz w:val="16"/>
                <w:szCs w:val="16"/>
              </w:rPr>
              <w:t>Finding 33:</w:t>
            </w:r>
            <w:r w:rsidRPr="0084138E">
              <w:rPr>
                <w:sz w:val="16"/>
                <w:szCs w:val="16"/>
              </w:rPr>
              <w:t xml:space="preserve"> A lack of prescribed criteria for service documentation for the Compliance and Operations Reports has resulted in significantly varying documents submitted by CCCFR services, especially in relation to evidence of an educational program.</w:t>
            </w:r>
            <w:r w:rsidRPr="0084138E">
              <w:rPr>
                <w:sz w:val="16"/>
                <w:szCs w:val="16"/>
                <w:highlight w:val="yellow"/>
              </w:rPr>
              <w:t xml:space="preserve"> </w:t>
            </w:r>
          </w:p>
          <w:p w14:paraId="742895B4" w14:textId="77777777" w:rsidR="000C7F11" w:rsidRDefault="000C7F11">
            <w:pPr>
              <w:pStyle w:val="ListBullet"/>
            </w:pPr>
            <w:r w:rsidRPr="00441074">
              <w:rPr>
                <w:b/>
                <w:bCs/>
                <w:sz w:val="16"/>
                <w:szCs w:val="16"/>
              </w:rPr>
              <w:t>Finding 34</w:t>
            </w:r>
            <w:r w:rsidRPr="00441074">
              <w:rPr>
                <w:sz w:val="16"/>
                <w:szCs w:val="16"/>
              </w:rPr>
              <w:t>: While the grant enables a range of professional development and training, and ongoing business supports for CCCFR services, it is unclear whether these efforts are targeted towards those within leadership and/or management positions, such as PMCs or Approved Providers.</w:t>
            </w:r>
          </w:p>
          <w:p w14:paraId="54041486" w14:textId="77777777" w:rsidR="000C7F11" w:rsidRPr="00441074" w:rsidRDefault="000C7F11">
            <w:pPr>
              <w:pStyle w:val="ListBullet"/>
              <w:numPr>
                <w:ilvl w:val="0"/>
                <w:numId w:val="0"/>
              </w:numPr>
              <w:rPr>
                <w:sz w:val="16"/>
                <w:szCs w:val="16"/>
              </w:rPr>
            </w:pPr>
          </w:p>
        </w:tc>
      </w:tr>
    </w:tbl>
    <w:p w14:paraId="3141BF5A" w14:textId="41531A10" w:rsidR="008B0021" w:rsidRDefault="00EB5F8A" w:rsidP="000C7F11">
      <w:pPr>
        <w:contextualSpacing/>
      </w:pPr>
      <w:r>
        <w:br/>
      </w: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894704" w14:paraId="2BFF4F64"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10B624C4" w14:textId="718D4C76" w:rsidR="00894704" w:rsidRPr="009E424E" w:rsidRDefault="00894704">
            <w:pPr>
              <w:spacing w:after="120"/>
              <w:rPr>
                <w:b/>
                <w:bCs/>
              </w:rPr>
            </w:pPr>
            <w:r>
              <w:rPr>
                <w:b/>
                <w:bCs/>
              </w:rPr>
              <w:t>Recommendation 1</w:t>
            </w:r>
            <w:r w:rsidR="0091212E">
              <w:rPr>
                <w:b/>
                <w:bCs/>
              </w:rPr>
              <w:t>7</w:t>
            </w:r>
          </w:p>
          <w:p w14:paraId="36AD28B4" w14:textId="7CD7A709" w:rsidR="00894704" w:rsidRPr="00CA3305" w:rsidRDefault="00894704">
            <w:pPr>
              <w:spacing w:after="120"/>
            </w:pPr>
            <w:r w:rsidRPr="00894704">
              <w:t xml:space="preserve">To enable clearer oversight of asset and infrastructure challenges faced by services, in particular those posing a barrier to compliance with the Family Assistance Law (FAL) and/or the National Quality Framework (NQF), </w:t>
            </w:r>
            <w:r w:rsidR="006A7DBE" w:rsidRPr="006A7DBE">
              <w:t>a quality audit of current assets and infrastructure should be commissioned and, on the basis of this, an asset management plan developed.</w:t>
            </w:r>
          </w:p>
        </w:tc>
      </w:tr>
    </w:tbl>
    <w:p w14:paraId="6766EEC8" w14:textId="548123B7" w:rsidR="00041B47" w:rsidRDefault="00041B47" w:rsidP="00C6174E">
      <w:pPr>
        <w:pStyle w:val="ListBullet"/>
        <w:spacing w:before="170"/>
      </w:pPr>
      <w:r>
        <w:t xml:space="preserve">The audit of CCCFR service assets and infrastructure should adopt a risk-based approach, identifying and addressing services with </w:t>
      </w:r>
      <w:r w:rsidR="005E4F99">
        <w:t xml:space="preserve">outstanding </w:t>
      </w:r>
      <w:r w:rsidR="00D1765B">
        <w:t>infrastructure or asset challenge</w:t>
      </w:r>
      <w:r w:rsidR="006B252F">
        <w:t xml:space="preserve">s, followed by </w:t>
      </w:r>
      <w:r w:rsidR="00E82AEC">
        <w:t xml:space="preserve">the proactive identification </w:t>
      </w:r>
      <w:r w:rsidR="0092790C">
        <w:t xml:space="preserve">and </w:t>
      </w:r>
      <w:r w:rsidR="004557D2">
        <w:t xml:space="preserve">response to infrastructure concerns which </w:t>
      </w:r>
      <w:r w:rsidR="00FD02E2">
        <w:t>may pose risk to the health and safety of children in care.</w:t>
      </w:r>
    </w:p>
    <w:p w14:paraId="1536BC14" w14:textId="4E25C337" w:rsidR="002D305E" w:rsidRDefault="008A6D4D" w:rsidP="00894704">
      <w:pPr>
        <w:pStyle w:val="ListBullet"/>
      </w:pPr>
      <w:r>
        <w:t>This quality audit of service assets and infrastructure could be undertaken in partnership with infrastructure specialists, regulatory</w:t>
      </w:r>
      <w:r w:rsidR="0050154D">
        <w:t xml:space="preserve"> and planning</w:t>
      </w:r>
      <w:r>
        <w:t xml:space="preserve"> expert</w:t>
      </w:r>
      <w:r w:rsidR="0050154D">
        <w:t>s and/or state and territory regulatory authorities.</w:t>
      </w:r>
    </w:p>
    <w:p w14:paraId="4565989E" w14:textId="782FFCFA" w:rsidR="0091212E" w:rsidRDefault="008B0021" w:rsidP="00894704">
      <w:pPr>
        <w:pStyle w:val="ListBullet"/>
      </w:pPr>
      <w:r>
        <w:t>In adopting an ongoing asset management plan, consideration should be made to ways in which patterns of infrastructure or maintenance issues</w:t>
      </w:r>
      <w:r w:rsidR="006A7DBE">
        <w:t xml:space="preserve"> can be monitored</w:t>
      </w:r>
      <w:r>
        <w:t xml:space="preserve"> in a systematic manner, such as through the annual reporting conditions of the grant. This can support adequate resourcing and planning for infrastructure and maintenance costs.</w:t>
      </w:r>
    </w:p>
    <w:p w14:paraId="0835E47C" w14:textId="77777777" w:rsidR="000C7F11" w:rsidRDefault="000C7F11" w:rsidP="000C7F11">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C7F11" w14:paraId="552913A1"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75E10927" w14:textId="6576313B" w:rsidR="000C7F11" w:rsidRPr="00964087" w:rsidRDefault="000C7F11">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17</w:t>
            </w:r>
          </w:p>
        </w:tc>
      </w:tr>
      <w:tr w:rsidR="000C7F11" w14:paraId="1AB5747E" w14:textId="77777777">
        <w:tc>
          <w:tcPr>
            <w:tcW w:w="9026" w:type="dxa"/>
          </w:tcPr>
          <w:p w14:paraId="23E2E813" w14:textId="77777777" w:rsidR="000C7F11" w:rsidRPr="00FE5FA4" w:rsidRDefault="000C7F11">
            <w:pPr>
              <w:pStyle w:val="ListBullet"/>
              <w:rPr>
                <w:sz w:val="16"/>
                <w:szCs w:val="16"/>
              </w:rPr>
            </w:pPr>
            <w:r w:rsidRPr="00FE5FA4">
              <w:rPr>
                <w:b/>
                <w:bCs/>
                <w:sz w:val="16"/>
                <w:szCs w:val="16"/>
              </w:rPr>
              <w:t>Finding 28:</w:t>
            </w:r>
            <w:r w:rsidRPr="00FE5FA4">
              <w:rPr>
                <w:sz w:val="16"/>
                <w:szCs w:val="16"/>
              </w:rPr>
              <w:t xml:space="preserve"> Some CCCFR services are expected to face significant barriers to meeting the National Law and Regulations, in particular around meeting workforce and infrastructure requirements.</w:t>
            </w:r>
            <w:r w:rsidRPr="00FE5FA4">
              <w:rPr>
                <w:sz w:val="16"/>
                <w:szCs w:val="16"/>
                <w:highlight w:val="yellow"/>
              </w:rPr>
              <w:t xml:space="preserve"> </w:t>
            </w:r>
          </w:p>
          <w:p w14:paraId="52EDD98C" w14:textId="77777777" w:rsidR="000C7F11" w:rsidRPr="002E3CF9" w:rsidRDefault="000C7F11">
            <w:pPr>
              <w:pStyle w:val="ListBullet"/>
              <w:rPr>
                <w:sz w:val="16"/>
                <w:szCs w:val="16"/>
              </w:rPr>
            </w:pPr>
            <w:r w:rsidRPr="002E3CF9">
              <w:rPr>
                <w:b/>
                <w:sz w:val="16"/>
                <w:szCs w:val="16"/>
              </w:rPr>
              <w:t>Finding 41:</w:t>
            </w:r>
            <w:r w:rsidRPr="002E3CF9">
              <w:rPr>
                <w:sz w:val="16"/>
                <w:szCs w:val="16"/>
              </w:rPr>
              <w:t xml:space="preserve"> Concerns in relation to the quality and adequacy of infrastructure are widespread with in many cases significant improvement required – especially if minimum requirements under the National Law and Regulations are to be met.</w:t>
            </w:r>
          </w:p>
          <w:p w14:paraId="09BFB5FE" w14:textId="77777777" w:rsidR="000C7F11" w:rsidRPr="001075CA" w:rsidRDefault="000C7F11">
            <w:pPr>
              <w:pStyle w:val="ListBullet"/>
              <w:rPr>
                <w:sz w:val="16"/>
                <w:szCs w:val="16"/>
              </w:rPr>
            </w:pPr>
            <w:r w:rsidRPr="002E3CF9">
              <w:rPr>
                <w:b/>
                <w:sz w:val="16"/>
                <w:szCs w:val="16"/>
              </w:rPr>
              <w:t>Finding 42:</w:t>
            </w:r>
            <w:r w:rsidRPr="002E3CF9">
              <w:rPr>
                <w:sz w:val="16"/>
                <w:szCs w:val="16"/>
              </w:rPr>
              <w:t xml:space="preserve"> Limited utilisation of the contingency funding to support infrastructure upgrades reflects barriers to CCCFR services’ participation in the application process. </w:t>
            </w:r>
          </w:p>
        </w:tc>
      </w:tr>
    </w:tbl>
    <w:p w14:paraId="2E1801BC" w14:textId="77777777" w:rsidR="000C7F11" w:rsidRDefault="000C7F11" w:rsidP="000C7F11">
      <w:pPr>
        <w:pStyle w:val="ListBullet"/>
        <w:numPr>
          <w:ilvl w:val="0"/>
          <w:numId w:val="0"/>
        </w:numPr>
        <w:ind w:left="340" w:hanging="340"/>
      </w:pPr>
    </w:p>
    <w:p w14:paraId="07032E62" w14:textId="77777777" w:rsidR="000C7F11" w:rsidRDefault="000C7F11" w:rsidP="000C7F11">
      <w:pPr>
        <w:pStyle w:val="ListBullet"/>
        <w:numPr>
          <w:ilvl w:val="0"/>
          <w:numId w:val="0"/>
        </w:numPr>
        <w:ind w:left="340" w:hanging="340"/>
      </w:pPr>
    </w:p>
    <w:p w14:paraId="48DFFEA7" w14:textId="3A14D855" w:rsidR="0091212E" w:rsidRPr="002463ED" w:rsidRDefault="0091212E" w:rsidP="00D370B7">
      <w:pPr>
        <w:pStyle w:val="ListBullet"/>
        <w:numPr>
          <w:ilvl w:val="0"/>
          <w:numId w:val="0"/>
        </w:numPr>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91212E" w14:paraId="3A181EE5"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54391FB0" w14:textId="49EFFC11" w:rsidR="0091212E" w:rsidRPr="009E424E" w:rsidRDefault="0091212E">
            <w:pPr>
              <w:spacing w:after="120"/>
              <w:rPr>
                <w:b/>
                <w:bCs/>
              </w:rPr>
            </w:pPr>
            <w:r>
              <w:rPr>
                <w:b/>
                <w:bCs/>
              </w:rPr>
              <w:lastRenderedPageBreak/>
              <w:t>Recommendation 18</w:t>
            </w:r>
          </w:p>
          <w:p w14:paraId="2E8186AB" w14:textId="5E6A695A" w:rsidR="0091212E" w:rsidRPr="00CA3305" w:rsidRDefault="0091212E">
            <w:pPr>
              <w:spacing w:after="120"/>
            </w:pPr>
            <w:r w:rsidRPr="0091212E">
              <w:t>Reporting requirements and procedures for annual compliance checks as parts of leasing arrangements should be implemented through the introduction of a robust framework to ensure building/improvement maintenance and compliance are being adhered to by all parties.</w:t>
            </w:r>
          </w:p>
        </w:tc>
      </w:tr>
    </w:tbl>
    <w:p w14:paraId="4FD67083" w14:textId="77777777" w:rsidR="000C7F11" w:rsidRDefault="003B7554" w:rsidP="00C6174E">
      <w:pPr>
        <w:pStyle w:val="ListBullet"/>
        <w:spacing w:before="170"/>
      </w:pPr>
      <w:r>
        <w:t>It is recommended that reporting requirements and procedures for annual compliance checks be implemented through the introduction of a robust framework to ensure building/improvement maintenance and compliance are being adhered to by the parties.</w:t>
      </w:r>
    </w:p>
    <w:p w14:paraId="574597A0" w14:textId="77777777" w:rsidR="000C7F11" w:rsidRDefault="000C7F11" w:rsidP="000C7F11">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C7F11" w14:paraId="54F78819"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071BEA48" w14:textId="38A974B4" w:rsidR="000C7F11" w:rsidRPr="00964087" w:rsidRDefault="000C7F11">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18</w:t>
            </w:r>
          </w:p>
        </w:tc>
      </w:tr>
      <w:tr w:rsidR="000C7F11" w14:paraId="1F779E69" w14:textId="77777777">
        <w:tc>
          <w:tcPr>
            <w:tcW w:w="9026" w:type="dxa"/>
          </w:tcPr>
          <w:p w14:paraId="372D0CE9" w14:textId="77777777" w:rsidR="000C7F11" w:rsidRPr="00FE5FA4" w:rsidRDefault="000C7F11">
            <w:pPr>
              <w:pStyle w:val="ListBullet"/>
              <w:rPr>
                <w:sz w:val="16"/>
                <w:szCs w:val="16"/>
              </w:rPr>
            </w:pPr>
            <w:r w:rsidRPr="00FE5FA4">
              <w:rPr>
                <w:b/>
                <w:bCs/>
                <w:sz w:val="16"/>
                <w:szCs w:val="16"/>
              </w:rPr>
              <w:t>Finding 28:</w:t>
            </w:r>
            <w:r w:rsidRPr="00FE5FA4">
              <w:rPr>
                <w:sz w:val="16"/>
                <w:szCs w:val="16"/>
              </w:rPr>
              <w:t xml:space="preserve"> Some CCCFR services are expected to face significant barriers to meeting the National Law and Regulations, in particular around meeting workforce and infrastructure requirements.</w:t>
            </w:r>
            <w:r w:rsidRPr="00FE5FA4">
              <w:rPr>
                <w:sz w:val="16"/>
                <w:szCs w:val="16"/>
                <w:highlight w:val="yellow"/>
              </w:rPr>
              <w:t xml:space="preserve"> </w:t>
            </w:r>
          </w:p>
          <w:p w14:paraId="56551AB7" w14:textId="77777777" w:rsidR="000C7F11" w:rsidRPr="006E6A8B" w:rsidRDefault="000C7F11">
            <w:pPr>
              <w:pStyle w:val="ListBullet"/>
              <w:rPr>
                <w:sz w:val="16"/>
                <w:szCs w:val="16"/>
              </w:rPr>
            </w:pPr>
            <w:r w:rsidRPr="006E6A8B">
              <w:rPr>
                <w:b/>
                <w:bCs/>
                <w:sz w:val="16"/>
                <w:szCs w:val="16"/>
              </w:rPr>
              <w:t>Finding 40:</w:t>
            </w:r>
            <w:r w:rsidRPr="006E6A8B">
              <w:rPr>
                <w:sz w:val="16"/>
                <w:szCs w:val="16"/>
              </w:rPr>
              <w:t xml:space="preserve"> Of the various leasing arrangements currently in place, the Management Agreement appears to better accommodate the delivery of child care services, clearly outlining obligations of the parties to the agreement and imposing obligations on the Commonwealth and/or the operator to maintain building compliance. However, there are ways the Management Agreement could be strengthened for future arrangements.</w:t>
            </w:r>
          </w:p>
          <w:p w14:paraId="19EEB0AE" w14:textId="77777777" w:rsidR="000C7F11" w:rsidRPr="00406E92" w:rsidRDefault="000C7F11">
            <w:pPr>
              <w:pStyle w:val="ListBullet"/>
              <w:rPr>
                <w:sz w:val="16"/>
                <w:szCs w:val="16"/>
              </w:rPr>
            </w:pPr>
            <w:r w:rsidRPr="00406E92">
              <w:rPr>
                <w:b/>
                <w:bCs/>
                <w:sz w:val="16"/>
                <w:szCs w:val="16"/>
              </w:rPr>
              <w:t>Finding 41:</w:t>
            </w:r>
            <w:r w:rsidRPr="00406E92">
              <w:rPr>
                <w:sz w:val="16"/>
                <w:szCs w:val="16"/>
              </w:rPr>
              <w:t xml:space="preserve"> Concerns in relation to the quality and adequacy of infrastructure are widespread with in many cases significant improvement required – especially if minimum requirements under the National Law and Regulations are to be met.</w:t>
            </w:r>
          </w:p>
          <w:p w14:paraId="74FCC0A6" w14:textId="77777777" w:rsidR="000C7F11" w:rsidRPr="00E2182F" w:rsidRDefault="000C7F11">
            <w:pPr>
              <w:pStyle w:val="ListBullet"/>
              <w:rPr>
                <w:sz w:val="16"/>
                <w:szCs w:val="16"/>
              </w:rPr>
            </w:pPr>
            <w:r w:rsidRPr="002E3CF9">
              <w:rPr>
                <w:b/>
                <w:bCs/>
                <w:sz w:val="16"/>
                <w:szCs w:val="16"/>
              </w:rPr>
              <w:t>Finding 42:</w:t>
            </w:r>
            <w:r w:rsidRPr="002E3CF9">
              <w:rPr>
                <w:sz w:val="16"/>
                <w:szCs w:val="16"/>
              </w:rPr>
              <w:t xml:space="preserve"> Limited utilisation of the contingency funding to support infrastructure upgrades reflects barriers to CCCFR services’ participation in the application process.</w:t>
            </w:r>
          </w:p>
        </w:tc>
      </w:tr>
    </w:tbl>
    <w:p w14:paraId="2BDBCB3D" w14:textId="77777777" w:rsidR="000C7F11" w:rsidRDefault="000C7F11" w:rsidP="000C7F11">
      <w:pPr>
        <w:pStyle w:val="ListBullet"/>
        <w:numPr>
          <w:ilvl w:val="0"/>
          <w:numId w:val="0"/>
        </w:numPr>
        <w:ind w:left="340" w:hanging="340"/>
      </w:pPr>
    </w:p>
    <w:p w14:paraId="3C797C05" w14:textId="671A0C38" w:rsidR="00582409" w:rsidRDefault="00582409" w:rsidP="000C7F11">
      <w:pPr>
        <w:pStyle w:val="ListBullet"/>
        <w:numPr>
          <w:ilvl w:val="0"/>
          <w:numId w:val="0"/>
        </w:numPr>
        <w:ind w:left="340" w:hanging="340"/>
      </w:pPr>
    </w:p>
    <w:tbl>
      <w:tblPr>
        <w:tblStyle w:val="TableGrid"/>
        <w:tblW w:w="0" w:type="auto"/>
        <w:shd w:val="clear" w:color="auto" w:fill="E7F5CF" w:themeFill="accent1" w:themeFillTint="33"/>
        <w:tblCellMar>
          <w:top w:w="113" w:type="dxa"/>
          <w:left w:w="113" w:type="dxa"/>
          <w:bottom w:w="113" w:type="dxa"/>
          <w:right w:w="113" w:type="dxa"/>
        </w:tblCellMar>
        <w:tblLook w:val="04A0" w:firstRow="1" w:lastRow="0" w:firstColumn="1" w:lastColumn="0" w:noHBand="0" w:noVBand="1"/>
      </w:tblPr>
      <w:tblGrid>
        <w:gridCol w:w="9026"/>
      </w:tblGrid>
      <w:tr w:rsidR="0091212E" w14:paraId="53C1C74E" w14:textId="77777777">
        <w:trPr>
          <w:cnfStyle w:val="100000000000" w:firstRow="1" w:lastRow="0" w:firstColumn="0" w:lastColumn="0" w:oddVBand="0" w:evenVBand="0" w:oddHBand="0" w:evenHBand="0" w:firstRowFirstColumn="0" w:firstRowLastColumn="0" w:lastRowFirstColumn="0" w:lastRowLastColumn="0"/>
          <w:cantSplit/>
        </w:trPr>
        <w:tc>
          <w:tcPr>
            <w:tcW w:w="9026" w:type="dxa"/>
            <w:shd w:val="clear" w:color="auto" w:fill="E7F5CF" w:themeFill="accent1" w:themeFillTint="33"/>
          </w:tcPr>
          <w:p w14:paraId="4A9A50EC" w14:textId="6769A466" w:rsidR="0091212E" w:rsidRPr="009E424E" w:rsidRDefault="0091212E">
            <w:pPr>
              <w:spacing w:after="120"/>
              <w:rPr>
                <w:b/>
                <w:bCs/>
              </w:rPr>
            </w:pPr>
            <w:r>
              <w:rPr>
                <w:b/>
                <w:bCs/>
              </w:rPr>
              <w:t>Recommendation 19</w:t>
            </w:r>
          </w:p>
          <w:p w14:paraId="1D1F45B4" w14:textId="6408F4A2" w:rsidR="0091212E" w:rsidRPr="00CA3305" w:rsidRDefault="00A80FC3">
            <w:pPr>
              <w:spacing w:after="120"/>
            </w:pPr>
            <w:r w:rsidRPr="00A80FC3">
              <w:t>Any future leasing arrangements should consider the requirements that are additional to securing property use rights and tenure, such as obligations for providing early childhood education</w:t>
            </w:r>
            <w:r w:rsidR="006A7DBE">
              <w:t xml:space="preserve"> and care</w:t>
            </w:r>
            <w:r w:rsidRPr="00A80FC3">
              <w:t>, and ensure that these obligations are clearly articulated.</w:t>
            </w:r>
            <w:r w:rsidR="002E497C">
              <w:t xml:space="preserve"> </w:t>
            </w:r>
          </w:p>
        </w:tc>
      </w:tr>
    </w:tbl>
    <w:p w14:paraId="24682684" w14:textId="77777777" w:rsidR="0091212E" w:rsidRPr="00747B61" w:rsidRDefault="0091212E" w:rsidP="00D370B7">
      <w:pPr>
        <w:pStyle w:val="ListBullet"/>
        <w:numPr>
          <w:ilvl w:val="0"/>
          <w:numId w:val="0"/>
        </w:numPr>
        <w:ind w:left="340" w:hanging="340"/>
      </w:pPr>
    </w:p>
    <w:p w14:paraId="12DFCDEA" w14:textId="77777777" w:rsidR="008B0021" w:rsidRPr="00747B61" w:rsidRDefault="008B0021" w:rsidP="0091212E">
      <w:pPr>
        <w:pStyle w:val="ListBullet"/>
      </w:pPr>
      <w:r>
        <w:t xml:space="preserve">The Management Agreement arrangement </w:t>
      </w:r>
      <w:r w:rsidRPr="2B91AEFB">
        <w:rPr>
          <w:rFonts w:eastAsia="Times New Roman"/>
        </w:rPr>
        <w:t xml:space="preserve">between the Australian and NT Governments for certain properties located in the Northern Territory </w:t>
      </w:r>
      <w:r>
        <w:t xml:space="preserve">could be enhanced by individual property schedules which have greater clarity on parties’ roles and responsibilities. </w:t>
      </w:r>
    </w:p>
    <w:p w14:paraId="2EEB3697" w14:textId="2DDE1DC1" w:rsidR="008B0021" w:rsidRPr="00747B61" w:rsidRDefault="008B0021" w:rsidP="0091212E">
      <w:pPr>
        <w:pStyle w:val="ListBullet"/>
      </w:pPr>
      <w:r>
        <w:t>The focus of the agreements should be on access/tenure, delivery of services, and ensuring adequate infrastructure for quality child care delivery.</w:t>
      </w:r>
      <w:r w:rsidR="002E497C">
        <w:t xml:space="preserve"> </w:t>
      </w:r>
      <w:r>
        <w:t xml:space="preserve"> </w:t>
      </w:r>
    </w:p>
    <w:p w14:paraId="12D4FA7D" w14:textId="77777777" w:rsidR="005E5BDF" w:rsidRPr="005E5BDF" w:rsidRDefault="005E5BDF" w:rsidP="005E5BDF">
      <w:pPr>
        <w:pStyle w:val="ListBullet"/>
      </w:pPr>
      <w:r w:rsidRPr="005E5BDF">
        <w:t>The review finds that the Management Agreement could be further enhanced through a range of measures:</w:t>
      </w:r>
    </w:p>
    <w:p w14:paraId="0F9A3F9E" w14:textId="77777777" w:rsidR="005E5BDF" w:rsidRPr="005E5BDF" w:rsidRDefault="005E5BDF" w:rsidP="00C54843">
      <w:pPr>
        <w:pStyle w:val="ListBullet2"/>
      </w:pPr>
      <w:r w:rsidRPr="005E5BDF">
        <w:t>inclusion of individual schedules for each property in the annexure of the agreement.</w:t>
      </w:r>
    </w:p>
    <w:p w14:paraId="2B873856" w14:textId="77777777" w:rsidR="005E5BDF" w:rsidRPr="005E5BDF" w:rsidRDefault="005E5BDF" w:rsidP="00C54843">
      <w:pPr>
        <w:pStyle w:val="ListBullet3"/>
      </w:pPr>
      <w:r w:rsidRPr="005E5BDF">
        <w:t>These schedules would define exactly what is being made available in terms of land only or land, buildings and site improvements, their condition at commencement and requirements upon termination of the agreement. Site specific schedules would also provide a platform for outlining property-specific sub-arrangement conditions and terms. Moreover, these schedules should specify clear obligations for all parties involved, complete with well-defined timeframes and penalties for non-compliance. It would also be critical for the schedule to clearly define the facility (and land) boundaries upon the school land and arrangements for any shared areas such as car parks, access driveways, external recreation areas, etc.</w:t>
      </w:r>
    </w:p>
    <w:p w14:paraId="7D890DF6" w14:textId="77777777" w:rsidR="005E5BDF" w:rsidRPr="005E5BDF" w:rsidRDefault="005E5BDF" w:rsidP="00C54843">
      <w:pPr>
        <w:pStyle w:val="ListBullet2"/>
      </w:pPr>
      <w:r w:rsidRPr="005E5BDF">
        <w:t xml:space="preserve">incorporating the explicit obligations of each party both during the term of the agreement and at the expiry of the term, addressing matters such as the ownership of improvements, specifically for any improvements that were constructed or provided after the date of commencement, and any 'yield up' activities for each party. </w:t>
      </w:r>
    </w:p>
    <w:p w14:paraId="0DE98497" w14:textId="77777777" w:rsidR="005E5BDF" w:rsidRPr="005E5BDF" w:rsidRDefault="005E5BDF" w:rsidP="00C54843">
      <w:pPr>
        <w:pStyle w:val="ListBullet3"/>
      </w:pPr>
      <w:r w:rsidRPr="005E5BDF">
        <w:t xml:space="preserve">The agreement should clearly define repair and maintenance obligations and procedures, promoting transparency and accountability in property upkeep in order to </w:t>
      </w:r>
      <w:r w:rsidRPr="005E5BDF">
        <w:lastRenderedPageBreak/>
        <w:t>provide compliant child care and early learning services, and forming a basis for any procedures documents for Project Officers to use for co-ordinating repairs or capital upgrades (such as the number of quotes required and the procurement processes for works).</w:t>
      </w:r>
    </w:p>
    <w:p w14:paraId="52904FD3" w14:textId="77777777" w:rsidR="005E5BDF" w:rsidRPr="005E5BDF" w:rsidRDefault="005E5BDF" w:rsidP="00C54843">
      <w:pPr>
        <w:pStyle w:val="ListBullet2"/>
      </w:pPr>
      <w:r w:rsidRPr="005E5BDF">
        <w:t xml:space="preserve">including reporting requirements and procedures for annual compliance checks to ensure that this objective is achieved and to manage the risks of all parties to the agreement. </w:t>
      </w:r>
    </w:p>
    <w:p w14:paraId="0553299F" w14:textId="77777777" w:rsidR="005E5BDF" w:rsidRPr="005E5BDF" w:rsidRDefault="005E5BDF" w:rsidP="00C54843">
      <w:pPr>
        <w:pStyle w:val="ListBullet3"/>
      </w:pPr>
      <w:r w:rsidRPr="005E5BDF">
        <w:t xml:space="preserve">While the Management Agreement requires the Commonwealth to ensure that the operator maintains the buildings and facilities in good condition and in compliance with the relevant building code, these procedures would also assist the Department to support the ongoing monitoring of capital works funding through the CCCFR Grant. Presently, capital funding requests are assessed through desktop assessments conducted by CCCFR Program Officers. As noted above in relation to the scope of the Program officer roles, the Program Officers in making these assessments are being asked to go outside of their normal duties and areas of expertise. The inclusion of explicit obligations and requirements for each party in terms of who is responsible for the repairs and maintenance of the Premises, and to what standard (i.e. Building Code of Australia and the National Quality Framework for Early Childhood Education and Care), as well as robust reporting procedures, will help to mitigate the risk of child care facilities being forced to close due to noncompliance or safety concerns. </w:t>
      </w:r>
    </w:p>
    <w:p w14:paraId="627075AD" w14:textId="77777777" w:rsidR="005E5BDF" w:rsidRPr="005E5BDF" w:rsidRDefault="005E5BDF" w:rsidP="00C54843">
      <w:pPr>
        <w:pStyle w:val="ListBullet2"/>
      </w:pPr>
      <w:r w:rsidRPr="005E5BDF">
        <w:t xml:space="preserve">clearly delineating the lease (or occupancy) area boundaries in the agreement (typically this would be a survey plan/lease area plan). </w:t>
      </w:r>
    </w:p>
    <w:p w14:paraId="0F5F618A" w14:textId="77777777" w:rsidR="005E5BDF" w:rsidRPr="005E5BDF" w:rsidRDefault="005E5BDF" w:rsidP="00C54843">
      <w:pPr>
        <w:pStyle w:val="ListBullet3"/>
      </w:pPr>
      <w:r w:rsidRPr="005E5BDF">
        <w:t>Where the child care facilities are situated within a school site, it becomes important to define the arrangements associated with the terms of access, including any provisions for shared access and/or shared facilities.</w:t>
      </w:r>
    </w:p>
    <w:p w14:paraId="48C57A57" w14:textId="77777777" w:rsidR="005E5BDF" w:rsidRPr="005E5BDF" w:rsidRDefault="005E5BDF" w:rsidP="005E5BDF">
      <w:pPr>
        <w:pStyle w:val="ListBullet"/>
      </w:pPr>
      <w:r w:rsidRPr="005E5BDF">
        <w:t>It is also important that the agreement used for securing property use rights and tenure extends beyond a typical lease and captures the obligations of the parties to the agreement to ensure that the objective of providing early childhood care and education is captured in the agreement.</w:t>
      </w:r>
    </w:p>
    <w:p w14:paraId="6C0E6752" w14:textId="77777777" w:rsidR="005E5BDF" w:rsidRDefault="005E5BDF" w:rsidP="000C7F11">
      <w:pPr>
        <w:pStyle w:val="ListBullet"/>
        <w:numPr>
          <w:ilvl w:val="0"/>
          <w:numId w:val="0"/>
        </w:numPr>
        <w:ind w:left="340" w:hanging="340"/>
      </w:pPr>
    </w:p>
    <w:tbl>
      <w:tblPr>
        <w:tblStyle w:val="TableGrid"/>
        <w:tblW w:w="0" w:type="auto"/>
        <w:tblCellMar>
          <w:top w:w="142" w:type="dxa"/>
          <w:left w:w="85" w:type="dxa"/>
          <w:bottom w:w="142" w:type="dxa"/>
          <w:right w:w="85" w:type="dxa"/>
        </w:tblCellMar>
        <w:tblLook w:val="04A0" w:firstRow="1" w:lastRow="0" w:firstColumn="1" w:lastColumn="0" w:noHBand="0" w:noVBand="1"/>
      </w:tblPr>
      <w:tblGrid>
        <w:gridCol w:w="9026"/>
      </w:tblGrid>
      <w:tr w:rsidR="000C7F11" w14:paraId="3F6216D9" w14:textId="7777777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58228556" w14:textId="542D0089" w:rsidR="000C7F11" w:rsidRPr="00964087" w:rsidRDefault="000C7F11">
            <w:pPr>
              <w:pStyle w:val="ListBullet"/>
              <w:numPr>
                <w:ilvl w:val="0"/>
                <w:numId w:val="0"/>
              </w:numPr>
              <w:rPr>
                <w:b/>
                <w:bCs/>
                <w:color w:val="FFFFFF" w:themeColor="background1"/>
              </w:rPr>
            </w:pPr>
            <w:r w:rsidRPr="00414DDD">
              <w:rPr>
                <w:b/>
                <w:bCs/>
              </w:rPr>
              <w:t xml:space="preserve">Findings </w:t>
            </w:r>
            <w:r>
              <w:rPr>
                <w:b/>
                <w:bCs/>
              </w:rPr>
              <w:t>relating to</w:t>
            </w:r>
            <w:r w:rsidRPr="00414DDD">
              <w:rPr>
                <w:b/>
                <w:bCs/>
              </w:rPr>
              <w:t xml:space="preserve"> Recommendation 19</w:t>
            </w:r>
          </w:p>
        </w:tc>
      </w:tr>
      <w:tr w:rsidR="000C7F11" w14:paraId="4F108192" w14:textId="77777777">
        <w:tc>
          <w:tcPr>
            <w:tcW w:w="9026" w:type="dxa"/>
          </w:tcPr>
          <w:p w14:paraId="31135E2C" w14:textId="77777777" w:rsidR="000C7F11" w:rsidRPr="00E2182F" w:rsidRDefault="000C7F11">
            <w:pPr>
              <w:pStyle w:val="ListBullet"/>
              <w:rPr>
                <w:sz w:val="16"/>
                <w:szCs w:val="16"/>
              </w:rPr>
            </w:pPr>
            <w:r w:rsidRPr="000C7F11">
              <w:rPr>
                <w:b/>
                <w:bCs/>
                <w:sz w:val="16"/>
                <w:szCs w:val="16"/>
              </w:rPr>
              <w:t>Finding 40:</w:t>
            </w:r>
            <w:r w:rsidRPr="00AC1F4B">
              <w:rPr>
                <w:sz w:val="16"/>
                <w:szCs w:val="16"/>
              </w:rPr>
              <w:t xml:space="preserve"> Of the various leasing arrangements currently in place, the Management Agreement appears to better accommodate the delivery of child care services, clearly outlining obligations of the parties to the agreement and imposing obligations on the Commonwealth and/or the operator to maintain building compliance. However, there are ways the Management Agreement could be strengthened for future arrangements.</w:t>
            </w:r>
            <w:r w:rsidRPr="00AC1F4B">
              <w:rPr>
                <w:sz w:val="16"/>
                <w:szCs w:val="16"/>
                <w:highlight w:val="yellow"/>
              </w:rPr>
              <w:t xml:space="preserve"> </w:t>
            </w:r>
          </w:p>
        </w:tc>
      </w:tr>
    </w:tbl>
    <w:p w14:paraId="6802A984" w14:textId="77777777" w:rsidR="000C7F11" w:rsidRDefault="000C7F11" w:rsidP="000C7F11">
      <w:pPr>
        <w:pStyle w:val="ListBullet"/>
        <w:numPr>
          <w:ilvl w:val="0"/>
          <w:numId w:val="0"/>
        </w:numPr>
        <w:ind w:left="340" w:hanging="340"/>
      </w:pPr>
    </w:p>
    <w:p w14:paraId="0322514C" w14:textId="77777777" w:rsidR="008B0021" w:rsidRPr="00747B61" w:rsidRDefault="008B0021" w:rsidP="00A522AC">
      <w:pPr>
        <w:pStyle w:val="Heading3"/>
      </w:pPr>
      <w:bookmarkStart w:id="394" w:name="_Ref167115321"/>
      <w:r w:rsidRPr="00747B61">
        <w:t>Decision framework for individual services</w:t>
      </w:r>
      <w:bookmarkEnd w:id="394"/>
    </w:p>
    <w:p w14:paraId="56957C5E" w14:textId="77777777" w:rsidR="008B0021" w:rsidRDefault="008B0021" w:rsidP="008B0021">
      <w:r w:rsidRPr="00747B61">
        <w:t>Regardless of whether CCCFR services as a collective are positioned within a reformed policy landscape, or continue to receive funding via the grant, individual</w:t>
      </w:r>
      <w:r w:rsidRPr="00747B61">
        <w:rPr>
          <w:b/>
          <w:bCs/>
        </w:rPr>
        <w:t xml:space="preserve"> </w:t>
      </w:r>
      <w:r w:rsidRPr="00747B61">
        <w:t>CCCFR services should be evaluated on a case-by-case basis to determine an appropriate future funding mechanism. Per recommendation 3, services and communities should be active participants in the process that determines their future. However, the following considerations may serve as a guiding framework for evaluating a suitable future for services.</w:t>
      </w:r>
    </w:p>
    <w:p w14:paraId="3FD0FEFD" w14:textId="77777777" w:rsidR="008B0021" w:rsidRPr="00747B61" w:rsidRDefault="008B0021" w:rsidP="008B0021">
      <w:pPr>
        <w:pStyle w:val="CaptionFigure"/>
      </w:pPr>
      <w:bookmarkStart w:id="395" w:name="_Ref158985105"/>
      <w:bookmarkStart w:id="396" w:name="_Toc158997994"/>
      <w:bookmarkStart w:id="397" w:name="_Toc170228796"/>
      <w:r>
        <w:lastRenderedPageBreak/>
        <w:t>: Decision framework for individual services</w:t>
      </w:r>
      <w:bookmarkEnd w:id="395"/>
      <w:bookmarkEnd w:id="396"/>
      <w:bookmarkEnd w:id="397"/>
    </w:p>
    <w:p w14:paraId="4FD2FC69" w14:textId="25C81250" w:rsidR="008B0021" w:rsidRPr="00747B61" w:rsidRDefault="004D36E8" w:rsidP="008B0021">
      <w:r w:rsidRPr="004D36E8">
        <w:rPr>
          <w:noProof/>
        </w:rPr>
        <w:drawing>
          <wp:inline distT="0" distB="0" distL="0" distR="0" wp14:anchorId="3B28F353" wp14:editId="11D2EDFB">
            <wp:extent cx="5731510" cy="4404360"/>
            <wp:effectExtent l="0" t="0" r="2540" b="0"/>
            <wp:docPr id="18" name="Picture 18" descr="This flowchart presents a decision framework for individual CCCFR services, outlining the decision points, the implications of a reformed policy landscape, and the suggested funding arrangement under the existing policy environment and subject to strengthening the CCCFR grant in recommendations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flowchart presents a decision framework for individual CCCFR services, outlining the decision points, the implications of a reformed policy landscape, and the suggested funding arrangement under the existing policy environment and subject to strengthening the CCCFR grant in recommendations 5-1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31510" cy="4404360"/>
                    </a:xfrm>
                    <a:prstGeom prst="rect">
                      <a:avLst/>
                    </a:prstGeom>
                    <a:noFill/>
                    <a:ln>
                      <a:noFill/>
                    </a:ln>
                  </pic:spPr>
                </pic:pic>
              </a:graphicData>
            </a:graphic>
          </wp:inline>
        </w:drawing>
      </w:r>
    </w:p>
    <w:p w14:paraId="6C2A3371" w14:textId="77777777" w:rsidR="008B0021" w:rsidRDefault="008B0021" w:rsidP="001C6D8B">
      <w:pPr>
        <w:pStyle w:val="Source"/>
        <w:rPr>
          <w:sz w:val="16"/>
          <w:szCs w:val="16"/>
        </w:rPr>
      </w:pPr>
      <w:r w:rsidRPr="00747B61">
        <w:t>Sourc</w:t>
      </w:r>
      <w:r w:rsidRPr="00747B61">
        <w:rPr>
          <w:sz w:val="16"/>
          <w:szCs w:val="16"/>
        </w:rPr>
        <w:t>e: Deloitte Access Economics (2024)</w:t>
      </w:r>
    </w:p>
    <w:p w14:paraId="13198435" w14:textId="0BF5400C" w:rsidR="004D36E8" w:rsidRPr="004D36E8" w:rsidRDefault="004D36E8" w:rsidP="004D36E8">
      <w:pPr>
        <w:rPr>
          <w:sz w:val="14"/>
          <w:szCs w:val="14"/>
        </w:rPr>
      </w:pPr>
      <w:r w:rsidRPr="004D36E8">
        <w:rPr>
          <w:sz w:val="14"/>
          <w:szCs w:val="14"/>
        </w:rPr>
        <w:t>* For the purposes of the decision framework outlined above, the ‘Department’s policy responsibility for early years programming’ refers to the Department’s implied policy remit for delivering and/or financially supporting early childhood education and care (ECEC). References outlined above to the Department’s policy responsibility for early years programming should be considered in light of a shifting policy landscape</w:t>
      </w:r>
      <w:r w:rsidR="00443EE2">
        <w:rPr>
          <w:sz w:val="14"/>
          <w:szCs w:val="14"/>
        </w:rPr>
        <w:t xml:space="preserve">, as </w:t>
      </w:r>
      <w:r w:rsidRPr="004D36E8">
        <w:rPr>
          <w:sz w:val="14"/>
          <w:szCs w:val="14"/>
        </w:rPr>
        <w:t xml:space="preserve">explored in Section </w:t>
      </w:r>
      <w:r w:rsidRPr="004D36E8">
        <w:rPr>
          <w:sz w:val="14"/>
          <w:szCs w:val="14"/>
        </w:rPr>
        <w:fldChar w:fldCharType="begin"/>
      </w:r>
      <w:r w:rsidRPr="004D36E8">
        <w:rPr>
          <w:sz w:val="14"/>
          <w:szCs w:val="14"/>
        </w:rPr>
        <w:instrText xml:space="preserve"> REF _Ref152745967 \r \h </w:instrText>
      </w:r>
      <w:r>
        <w:rPr>
          <w:sz w:val="14"/>
          <w:szCs w:val="14"/>
        </w:rPr>
        <w:instrText xml:space="preserve"> \* MERGEFORMAT </w:instrText>
      </w:r>
      <w:r w:rsidRPr="004D36E8">
        <w:rPr>
          <w:sz w:val="14"/>
          <w:szCs w:val="14"/>
        </w:rPr>
      </w:r>
      <w:r w:rsidRPr="004D36E8">
        <w:rPr>
          <w:sz w:val="14"/>
          <w:szCs w:val="14"/>
        </w:rPr>
        <w:fldChar w:fldCharType="separate"/>
      </w:r>
      <w:r w:rsidR="00D300D0">
        <w:rPr>
          <w:sz w:val="14"/>
          <w:szCs w:val="14"/>
        </w:rPr>
        <w:t>5.3</w:t>
      </w:r>
      <w:r w:rsidRPr="004D36E8">
        <w:rPr>
          <w:sz w:val="14"/>
          <w:szCs w:val="14"/>
        </w:rPr>
        <w:fldChar w:fldCharType="end"/>
      </w:r>
      <w:r w:rsidRPr="004D36E8">
        <w:rPr>
          <w:sz w:val="14"/>
          <w:szCs w:val="14"/>
        </w:rPr>
        <w:t xml:space="preserve">.  </w:t>
      </w:r>
    </w:p>
    <w:p w14:paraId="2A045416" w14:textId="4A816551" w:rsidR="008B0021" w:rsidRPr="00747B61" w:rsidRDefault="008B0021" w:rsidP="008B0021">
      <w:r w:rsidRPr="00747B61">
        <w:t>This decision framework has been accompanied by a dashboard to support the Department in evaluating services against the decision points, subject to modification in light of the revision of the CCCFR objectives and policy changes that may impact the ability of services to operate in a financially sustainable manner.</w:t>
      </w:r>
      <w:r w:rsidR="002E497C">
        <w:t xml:space="preserve"> </w:t>
      </w:r>
    </w:p>
    <w:p w14:paraId="52F12177" w14:textId="428C79E6" w:rsidR="00343B77" w:rsidRDefault="000D44DA" w:rsidP="00343B77">
      <w:pPr>
        <w:pStyle w:val="Heading3"/>
      </w:pPr>
      <w:r>
        <w:t>Mapping recommendations to various service characteristics</w:t>
      </w:r>
    </w:p>
    <w:p w14:paraId="5BD7A432" w14:textId="1E44A7D2" w:rsidR="0062329F" w:rsidRDefault="000D44DA" w:rsidP="006B6DFA">
      <w:r w:rsidRPr="000D44DA">
        <w:t xml:space="preserve">The review recommendations </w:t>
      </w:r>
      <w:r w:rsidR="007D6D0A">
        <w:t>provide a way forward</w:t>
      </w:r>
      <w:r w:rsidRPr="000D44DA">
        <w:t xml:space="preserve"> to </w:t>
      </w:r>
      <w:r w:rsidR="007D6D0A">
        <w:t xml:space="preserve">strengthen </w:t>
      </w:r>
      <w:r w:rsidRPr="000D44DA">
        <w:t xml:space="preserve">the </w:t>
      </w:r>
      <w:r w:rsidR="006A37EB">
        <w:t xml:space="preserve">grant </w:t>
      </w:r>
      <w:r w:rsidR="004E05AE">
        <w:t xml:space="preserve">at a program level, while considering the diversity of service characteristics. The review </w:t>
      </w:r>
      <w:r w:rsidR="00180282">
        <w:t xml:space="preserve">considers </w:t>
      </w:r>
      <w:r w:rsidR="00605F22">
        <w:t xml:space="preserve">both </w:t>
      </w:r>
      <w:r w:rsidR="00180282">
        <w:t xml:space="preserve">the varied contexts of CCCFR services and </w:t>
      </w:r>
      <w:r w:rsidR="00605F22">
        <w:t xml:space="preserve">some of the similarities </w:t>
      </w:r>
      <w:r w:rsidR="00995427">
        <w:t xml:space="preserve">services have in terms of need and opportunity. </w:t>
      </w:r>
      <w:r w:rsidR="006B6DFA" w:rsidRPr="006B6DFA">
        <w:t xml:space="preserve">This </w:t>
      </w:r>
      <w:r w:rsidR="00CC6283">
        <w:t>review</w:t>
      </w:r>
      <w:r w:rsidR="006B6DFA" w:rsidRPr="006B6DFA">
        <w:t xml:space="preserve"> presents findings and recommendations </w:t>
      </w:r>
      <w:r w:rsidR="00995427">
        <w:t xml:space="preserve">primarily </w:t>
      </w:r>
      <w:r w:rsidR="006B6DFA" w:rsidRPr="006B6DFA">
        <w:t xml:space="preserve">at a program or grant level, which can be tailored and applied individually to services, in recognition of their unique circumstances. The decision framework and dashboard </w:t>
      </w:r>
      <w:r w:rsidR="00E20968">
        <w:t xml:space="preserve">that accompany this report </w:t>
      </w:r>
      <w:r w:rsidR="006B6DFA" w:rsidRPr="006B6DFA">
        <w:t xml:space="preserve">are intended to support this. </w:t>
      </w:r>
      <w:r w:rsidR="00995427">
        <w:t xml:space="preserve">It specifies where </w:t>
      </w:r>
      <w:r w:rsidR="005F48BD">
        <w:t>findings are unique to or more pronounced in certain characteristics</w:t>
      </w:r>
      <w:r w:rsidR="00155771">
        <w:t xml:space="preserve">, </w:t>
      </w:r>
      <w:r w:rsidR="003404CA">
        <w:t>including where this has been specific by the Statement of Work, such as Aboriginal and/or Torres Strait Islander services and NT leased services.</w:t>
      </w:r>
      <w:r w:rsidR="0021284E">
        <w:t xml:space="preserve"> </w:t>
      </w:r>
    </w:p>
    <w:p w14:paraId="77DE4CDB" w14:textId="487C5909" w:rsidR="006B6DFA" w:rsidRPr="006B6DFA" w:rsidRDefault="00644B66" w:rsidP="006B6DFA">
      <w:r>
        <w:t xml:space="preserve">By way of general guidance to support the use of the dashboard and decision framework, </w:t>
      </w:r>
      <w:r w:rsidR="003404CA">
        <w:fldChar w:fldCharType="begin"/>
      </w:r>
      <w:r w:rsidR="003404CA">
        <w:instrText xml:space="preserve"> REF _Ref167123439 \r \h </w:instrText>
      </w:r>
      <w:r w:rsidR="003404CA">
        <w:fldChar w:fldCharType="separate"/>
      </w:r>
      <w:r w:rsidR="00D300D0">
        <w:t>Table 9.1</w:t>
      </w:r>
      <w:r w:rsidR="003404CA">
        <w:fldChar w:fldCharType="end"/>
      </w:r>
      <w:r w:rsidR="0021284E">
        <w:t xml:space="preserve"> illustrates at a high level</w:t>
      </w:r>
      <w:r w:rsidR="00155771">
        <w:t xml:space="preserve"> how </w:t>
      </w:r>
      <w:r>
        <w:t>materially</w:t>
      </w:r>
      <w:r w:rsidR="00155771">
        <w:t xml:space="preserve"> services with certain characteristics are likely to be impacted by the recommendations. </w:t>
      </w:r>
    </w:p>
    <w:p w14:paraId="158D041E" w14:textId="5D2D3EC9" w:rsidR="001D1245" w:rsidRPr="00AE2333" w:rsidRDefault="001D1245" w:rsidP="00602B9B">
      <w:pPr>
        <w:sectPr w:rsidR="001D1245" w:rsidRPr="00AE2333" w:rsidSect="005F043A">
          <w:headerReference w:type="even" r:id="rId106"/>
          <w:headerReference w:type="default" r:id="rId107"/>
          <w:footerReference w:type="even" r:id="rId108"/>
          <w:footerReference w:type="default" r:id="rId109"/>
          <w:headerReference w:type="first" r:id="rId110"/>
          <w:footerReference w:type="first" r:id="rId111"/>
          <w:pgSz w:w="11906" w:h="16838" w:code="9"/>
          <w:pgMar w:top="1440" w:right="1440" w:bottom="1440" w:left="1440" w:header="680" w:footer="425" w:gutter="0"/>
          <w:cols w:space="284"/>
          <w:docGrid w:linePitch="360"/>
        </w:sectPr>
      </w:pPr>
      <w:bookmarkStart w:id="398" w:name="_Ref166822874"/>
    </w:p>
    <w:p w14:paraId="01306587" w14:textId="2ED59886" w:rsidR="001D1245" w:rsidRDefault="000D44DA" w:rsidP="000D44DA">
      <w:pPr>
        <w:pStyle w:val="CaptionTable"/>
      </w:pPr>
      <w:bookmarkStart w:id="399" w:name="_Ref167123439"/>
      <w:bookmarkStart w:id="400" w:name="_Toc167130720"/>
      <w:r>
        <w:lastRenderedPageBreak/>
        <w:t xml:space="preserve">: </w:t>
      </w:r>
      <w:r w:rsidR="00EE3755">
        <w:t>Likely impact of r</w:t>
      </w:r>
      <w:r>
        <w:t xml:space="preserve">eview recommendations </w:t>
      </w:r>
      <w:r w:rsidR="00EE3755">
        <w:t>on services with varying</w:t>
      </w:r>
      <w:r w:rsidR="00053E31">
        <w:t xml:space="preserve"> characteristic</w:t>
      </w:r>
      <w:bookmarkEnd w:id="399"/>
      <w:r w:rsidR="00EE3755">
        <w:t>s</w:t>
      </w:r>
      <w:bookmarkEnd w:id="400"/>
    </w:p>
    <w:tbl>
      <w:tblPr>
        <w:tblW w:w="6941" w:type="dxa"/>
        <w:tblInd w:w="-5" w:type="dxa"/>
        <w:tblCellMar>
          <w:left w:w="0" w:type="dxa"/>
          <w:right w:w="0" w:type="dxa"/>
        </w:tblCellMar>
        <w:tblLook w:val="0420" w:firstRow="1" w:lastRow="0" w:firstColumn="0" w:lastColumn="0" w:noHBand="0" w:noVBand="1"/>
      </w:tblPr>
      <w:tblGrid>
        <w:gridCol w:w="845"/>
        <w:gridCol w:w="2136"/>
        <w:gridCol w:w="2072"/>
        <w:gridCol w:w="1888"/>
      </w:tblGrid>
      <w:tr w:rsidR="00AD7F57" w:rsidRPr="00AD7F57" w14:paraId="592B3D43" w14:textId="77777777" w:rsidTr="00880BF6">
        <w:trPr>
          <w:trHeight w:val="294"/>
        </w:trPr>
        <w:tc>
          <w:tcPr>
            <w:tcW w:w="845" w:type="dxa"/>
            <w:tcBorders>
              <w:top w:val="single" w:sz="8" w:space="0" w:color="FFFFFF"/>
              <w:left w:val="single" w:sz="8" w:space="0" w:color="FFFFFF"/>
              <w:bottom w:val="single" w:sz="24" w:space="0" w:color="FFFFFF"/>
              <w:right w:val="single" w:sz="8" w:space="0" w:color="FFFFFF"/>
            </w:tcBorders>
            <w:shd w:val="clear" w:color="auto" w:fill="auto"/>
          </w:tcPr>
          <w:p w14:paraId="1EC88359" w14:textId="0AE637B0" w:rsidR="00AD7F57" w:rsidRPr="00AD7F57" w:rsidRDefault="00AD7F57" w:rsidP="00AD7F57">
            <w:pPr>
              <w:spacing w:after="0" w:line="240" w:lineRule="auto"/>
              <w:rPr>
                <w:rFonts w:asciiTheme="minorHAnsi" w:eastAsia="Times New Roman" w:hAnsiTheme="minorHAnsi" w:cs="Calibri Light"/>
                <w:b/>
                <w:bCs/>
                <w:color w:val="000000"/>
                <w:kern w:val="24"/>
                <w:lang w:val="en-US" w:eastAsia="en-AU"/>
              </w:rPr>
            </w:pPr>
            <w:r w:rsidRPr="00AD7F57">
              <w:rPr>
                <w:rFonts w:asciiTheme="minorHAnsi" w:eastAsia="Times New Roman" w:hAnsiTheme="minorHAnsi" w:cs="Calibri Light"/>
                <w:b/>
                <w:bCs/>
                <w:color w:val="000000"/>
                <w:kern w:val="24"/>
                <w:lang w:val="en-US" w:eastAsia="en-AU"/>
              </w:rPr>
              <w:t>Legend</w:t>
            </w:r>
          </w:p>
        </w:tc>
        <w:tc>
          <w:tcPr>
            <w:tcW w:w="2136" w:type="dxa"/>
            <w:tcBorders>
              <w:top w:val="single" w:sz="8" w:space="0" w:color="FFFFFF"/>
              <w:left w:val="single" w:sz="8" w:space="0" w:color="FFFFFF"/>
              <w:bottom w:val="single" w:sz="24" w:space="0" w:color="FFFFFF"/>
              <w:right w:val="single" w:sz="8" w:space="0" w:color="FFFFFF"/>
            </w:tcBorders>
            <w:shd w:val="clear" w:color="auto" w:fill="BAE370"/>
            <w:tcMar>
              <w:top w:w="72" w:type="dxa"/>
              <w:left w:w="144" w:type="dxa"/>
              <w:bottom w:w="72" w:type="dxa"/>
              <w:right w:w="144" w:type="dxa"/>
            </w:tcMar>
            <w:hideMark/>
          </w:tcPr>
          <w:p w14:paraId="2C0FEF46" w14:textId="63D5DE92" w:rsidR="00AD7F57" w:rsidRPr="00AD7F57" w:rsidRDefault="00AD7F57" w:rsidP="00880BF6">
            <w:pPr>
              <w:spacing w:after="0" w:line="240" w:lineRule="auto"/>
              <w:jc w:val="center"/>
              <w:rPr>
                <w:rFonts w:asciiTheme="minorHAnsi" w:eastAsia="Times New Roman" w:hAnsiTheme="minorHAnsi" w:cs="Arial"/>
                <w:lang w:eastAsia="en-AU"/>
              </w:rPr>
            </w:pPr>
            <w:r w:rsidRPr="00AD7F57">
              <w:rPr>
                <w:rFonts w:asciiTheme="minorHAnsi" w:eastAsia="Times New Roman" w:hAnsiTheme="minorHAnsi" w:cs="Calibri Light"/>
                <w:color w:val="000000"/>
                <w:kern w:val="24"/>
                <w:lang w:val="en-US" w:eastAsia="en-AU"/>
              </w:rPr>
              <w:t>Significant impact</w:t>
            </w:r>
          </w:p>
        </w:tc>
        <w:tc>
          <w:tcPr>
            <w:tcW w:w="2072" w:type="dxa"/>
            <w:tcBorders>
              <w:top w:val="single" w:sz="8" w:space="0" w:color="FFFFFF"/>
              <w:left w:val="single" w:sz="8" w:space="0" w:color="FFFFFF"/>
              <w:bottom w:val="single" w:sz="24" w:space="0" w:color="FFFFFF"/>
              <w:right w:val="single" w:sz="8" w:space="0" w:color="FFFFFF"/>
            </w:tcBorders>
            <w:shd w:val="clear" w:color="auto" w:fill="E8F6CF"/>
            <w:tcMar>
              <w:top w:w="72" w:type="dxa"/>
              <w:left w:w="144" w:type="dxa"/>
              <w:bottom w:w="72" w:type="dxa"/>
              <w:right w:w="144" w:type="dxa"/>
            </w:tcMar>
            <w:hideMark/>
          </w:tcPr>
          <w:p w14:paraId="7A5B26BE" w14:textId="77777777" w:rsidR="00AD7F57" w:rsidRPr="00AD7F57" w:rsidRDefault="00AD7F57" w:rsidP="00880BF6">
            <w:pPr>
              <w:spacing w:after="0" w:line="240" w:lineRule="auto"/>
              <w:jc w:val="center"/>
              <w:rPr>
                <w:rFonts w:asciiTheme="minorHAnsi" w:eastAsia="Times New Roman" w:hAnsiTheme="minorHAnsi" w:cs="Arial"/>
                <w:lang w:eastAsia="en-AU"/>
              </w:rPr>
            </w:pPr>
            <w:r w:rsidRPr="00AD7F57">
              <w:rPr>
                <w:rFonts w:asciiTheme="minorHAnsi" w:eastAsia="Times New Roman" w:hAnsiTheme="minorHAnsi" w:cs="Calibri Light"/>
                <w:color w:val="000000"/>
                <w:kern w:val="24"/>
                <w:lang w:val="en-US" w:eastAsia="en-AU"/>
              </w:rPr>
              <w:t>Moderate impact</w:t>
            </w:r>
          </w:p>
        </w:tc>
        <w:tc>
          <w:tcPr>
            <w:tcW w:w="1888" w:type="dxa"/>
            <w:tcBorders>
              <w:top w:val="single" w:sz="8" w:space="0" w:color="FFFFFF"/>
              <w:left w:val="single" w:sz="8" w:space="0" w:color="FFFFFF"/>
              <w:bottom w:val="single" w:sz="24" w:space="0" w:color="FFFFFF"/>
              <w:right w:val="single" w:sz="8" w:space="0" w:color="FFFFFF"/>
            </w:tcBorders>
            <w:shd w:val="clear" w:color="auto" w:fill="D9D9D9"/>
            <w:tcMar>
              <w:top w:w="72" w:type="dxa"/>
              <w:left w:w="144" w:type="dxa"/>
              <w:bottom w:w="72" w:type="dxa"/>
              <w:right w:w="144" w:type="dxa"/>
            </w:tcMar>
            <w:hideMark/>
          </w:tcPr>
          <w:p w14:paraId="15EA50D2" w14:textId="77777777" w:rsidR="00AD7F57" w:rsidRPr="00AD7F57" w:rsidRDefault="00AD7F57" w:rsidP="00880BF6">
            <w:pPr>
              <w:spacing w:after="0" w:line="240" w:lineRule="auto"/>
              <w:jc w:val="center"/>
              <w:rPr>
                <w:rFonts w:asciiTheme="minorHAnsi" w:eastAsia="Times New Roman" w:hAnsiTheme="minorHAnsi" w:cs="Arial"/>
                <w:lang w:eastAsia="en-AU"/>
              </w:rPr>
            </w:pPr>
            <w:r w:rsidRPr="00AD7F57">
              <w:rPr>
                <w:rFonts w:asciiTheme="minorHAnsi" w:eastAsia="Times New Roman" w:hAnsiTheme="minorHAnsi" w:cs="Calibri Light"/>
                <w:color w:val="000000"/>
                <w:kern w:val="24"/>
                <w:lang w:val="en-US" w:eastAsia="en-AU"/>
              </w:rPr>
              <w:t>No impact</w:t>
            </w:r>
          </w:p>
        </w:tc>
      </w:tr>
    </w:tbl>
    <w:p w14:paraId="0C1FE633" w14:textId="3F794AE5" w:rsidR="004237DF" w:rsidRPr="00F9747B" w:rsidRDefault="00043479">
      <w:pPr>
        <w:rPr>
          <w:i/>
          <w:iCs/>
          <w:sz w:val="16"/>
          <w:szCs w:val="16"/>
        </w:rPr>
      </w:pPr>
      <w:r w:rsidRPr="00F9747B">
        <w:rPr>
          <w:i/>
          <w:iCs/>
          <w:sz w:val="16"/>
          <w:szCs w:val="16"/>
        </w:rPr>
        <w:t>For an overview of each recommendation, please refer to content</w:t>
      </w:r>
      <w:r w:rsidR="00F9747B" w:rsidRPr="00F9747B">
        <w:rPr>
          <w:i/>
          <w:iCs/>
          <w:sz w:val="16"/>
          <w:szCs w:val="16"/>
        </w:rPr>
        <w:t xml:space="preserve"> earlier in this chapter.</w:t>
      </w:r>
    </w:p>
    <w:tbl>
      <w:tblPr>
        <w:tblW w:w="15026" w:type="dxa"/>
        <w:tblLook w:val="0420" w:firstRow="1" w:lastRow="0" w:firstColumn="0" w:lastColumn="0" w:noHBand="0" w:noVBand="1"/>
      </w:tblPr>
      <w:tblGrid>
        <w:gridCol w:w="2981"/>
        <w:gridCol w:w="1267"/>
        <w:gridCol w:w="1441"/>
        <w:gridCol w:w="1441"/>
        <w:gridCol w:w="1312"/>
        <w:gridCol w:w="1498"/>
        <w:gridCol w:w="1145"/>
        <w:gridCol w:w="1238"/>
        <w:gridCol w:w="1238"/>
        <w:gridCol w:w="1465"/>
      </w:tblGrid>
      <w:tr w:rsidR="004237DF" w:rsidRPr="005F1539" w14:paraId="2E033A04" w14:textId="77777777" w:rsidTr="004237DF">
        <w:trPr>
          <w:trHeight w:val="1300"/>
          <w:tblHeader/>
        </w:trPr>
        <w:tc>
          <w:tcPr>
            <w:tcW w:w="2981" w:type="dxa"/>
            <w:tcBorders>
              <w:top w:val="single" w:sz="4" w:space="0" w:color="84BB20"/>
              <w:left w:val="single" w:sz="4" w:space="0" w:color="84BB20"/>
              <w:bottom w:val="single" w:sz="4" w:space="0" w:color="84BB20"/>
              <w:right w:val="nil"/>
            </w:tcBorders>
            <w:shd w:val="clear" w:color="000000" w:fill="86BC25"/>
            <w:vAlign w:val="center"/>
            <w:hideMark/>
          </w:tcPr>
          <w:p w14:paraId="37AEB8EC" w14:textId="77777777" w:rsidR="005F1539" w:rsidRPr="00180905" w:rsidRDefault="005F1539" w:rsidP="005F1539">
            <w:pPr>
              <w:spacing w:after="0" w:line="240" w:lineRule="auto"/>
              <w:ind w:firstLineChars="100" w:firstLine="161"/>
              <w:rPr>
                <w:rFonts w:eastAsia="Times New Roman" w:cs="Times New Roman"/>
                <w:b/>
                <w:bCs/>
                <w:sz w:val="16"/>
                <w:szCs w:val="16"/>
                <w:lang w:eastAsia="en-AU"/>
              </w:rPr>
            </w:pPr>
            <w:r w:rsidRPr="00180905">
              <w:rPr>
                <w:rFonts w:eastAsia="Times New Roman" w:cs="Times New Roman"/>
                <w:b/>
                <w:bCs/>
                <w:sz w:val="16"/>
                <w:szCs w:val="16"/>
                <w:lang w:eastAsia="en-AU"/>
              </w:rPr>
              <w:t>Recommendation</w:t>
            </w:r>
          </w:p>
        </w:tc>
        <w:tc>
          <w:tcPr>
            <w:tcW w:w="1267" w:type="dxa"/>
            <w:tcBorders>
              <w:top w:val="single" w:sz="4" w:space="0" w:color="84BB20"/>
              <w:left w:val="nil"/>
              <w:bottom w:val="single" w:sz="4" w:space="0" w:color="84BB20"/>
              <w:right w:val="nil"/>
            </w:tcBorders>
            <w:shd w:val="clear" w:color="000000" w:fill="86BC25"/>
            <w:vAlign w:val="center"/>
            <w:hideMark/>
          </w:tcPr>
          <w:p w14:paraId="44F91784" w14:textId="77777777" w:rsidR="005F1539" w:rsidRPr="00180905" w:rsidRDefault="005F1539" w:rsidP="005F1539">
            <w:pPr>
              <w:spacing w:after="0" w:line="240" w:lineRule="auto"/>
              <w:rPr>
                <w:rFonts w:eastAsia="Times New Roman" w:cs="Times New Roman"/>
                <w:sz w:val="16"/>
                <w:szCs w:val="16"/>
                <w:lang w:eastAsia="en-AU"/>
              </w:rPr>
            </w:pPr>
            <w:r w:rsidRPr="00180905">
              <w:rPr>
                <w:rFonts w:eastAsia="Times New Roman" w:cs="Times New Roman"/>
                <w:sz w:val="16"/>
                <w:szCs w:val="16"/>
                <w:lang w:eastAsia="en-AU"/>
              </w:rPr>
              <w:t>Aboriginal and/or Torres Strait Islander services</w:t>
            </w:r>
          </w:p>
        </w:tc>
        <w:tc>
          <w:tcPr>
            <w:tcW w:w="1441" w:type="dxa"/>
            <w:tcBorders>
              <w:top w:val="single" w:sz="4" w:space="0" w:color="84BB20"/>
              <w:left w:val="nil"/>
              <w:bottom w:val="single" w:sz="4" w:space="0" w:color="84BB20"/>
              <w:right w:val="nil"/>
            </w:tcBorders>
            <w:shd w:val="clear" w:color="000000" w:fill="86BC25"/>
            <w:vAlign w:val="center"/>
            <w:hideMark/>
          </w:tcPr>
          <w:p w14:paraId="2307FE5E" w14:textId="77777777" w:rsidR="005F1539" w:rsidRPr="00180905" w:rsidRDefault="005F1539" w:rsidP="005F1539">
            <w:pPr>
              <w:spacing w:after="0" w:line="240" w:lineRule="auto"/>
              <w:rPr>
                <w:rFonts w:eastAsia="Times New Roman" w:cs="Times New Roman"/>
                <w:sz w:val="16"/>
                <w:szCs w:val="16"/>
                <w:lang w:eastAsia="en-AU"/>
              </w:rPr>
            </w:pPr>
            <w:r w:rsidRPr="00180905">
              <w:rPr>
                <w:rFonts w:eastAsia="Times New Roman" w:cs="Times New Roman"/>
                <w:sz w:val="16"/>
                <w:szCs w:val="16"/>
                <w:lang w:eastAsia="en-AU"/>
              </w:rPr>
              <w:t>Rural and remote services</w:t>
            </w:r>
          </w:p>
        </w:tc>
        <w:tc>
          <w:tcPr>
            <w:tcW w:w="1441" w:type="dxa"/>
            <w:tcBorders>
              <w:top w:val="single" w:sz="4" w:space="0" w:color="84BB20"/>
              <w:left w:val="nil"/>
              <w:bottom w:val="single" w:sz="4" w:space="0" w:color="84BB20"/>
              <w:right w:val="nil"/>
            </w:tcBorders>
            <w:shd w:val="clear" w:color="000000" w:fill="86BC25"/>
            <w:vAlign w:val="center"/>
            <w:hideMark/>
          </w:tcPr>
          <w:p w14:paraId="04B626B5" w14:textId="77777777" w:rsidR="005F1539" w:rsidRPr="00180905" w:rsidRDefault="005F1539" w:rsidP="00EE3755">
            <w:pPr>
              <w:spacing w:after="0" w:line="240" w:lineRule="auto"/>
              <w:rPr>
                <w:rFonts w:eastAsia="Times New Roman" w:cs="Times New Roman"/>
                <w:sz w:val="16"/>
                <w:szCs w:val="16"/>
                <w:lang w:eastAsia="en-AU"/>
              </w:rPr>
            </w:pPr>
            <w:r w:rsidRPr="00180905">
              <w:rPr>
                <w:rFonts w:eastAsia="Times New Roman" w:cs="Times New Roman"/>
                <w:sz w:val="16"/>
                <w:szCs w:val="16"/>
                <w:lang w:eastAsia="en-AU"/>
              </w:rPr>
              <w:t>Non-NQF regulated services</w:t>
            </w:r>
          </w:p>
        </w:tc>
        <w:tc>
          <w:tcPr>
            <w:tcW w:w="1312" w:type="dxa"/>
            <w:tcBorders>
              <w:top w:val="single" w:sz="4" w:space="0" w:color="84BB20"/>
              <w:left w:val="nil"/>
              <w:bottom w:val="single" w:sz="4" w:space="0" w:color="84BB20"/>
              <w:right w:val="nil"/>
            </w:tcBorders>
            <w:shd w:val="clear" w:color="000000" w:fill="86BC25"/>
            <w:vAlign w:val="center"/>
            <w:hideMark/>
          </w:tcPr>
          <w:p w14:paraId="5AF796F7" w14:textId="77777777" w:rsidR="005F1539" w:rsidRPr="00180905" w:rsidRDefault="005F1539" w:rsidP="00EE3755">
            <w:pPr>
              <w:spacing w:after="0" w:line="240" w:lineRule="auto"/>
              <w:rPr>
                <w:rFonts w:eastAsia="Times New Roman" w:cs="Times New Roman"/>
                <w:sz w:val="16"/>
                <w:szCs w:val="16"/>
                <w:lang w:eastAsia="en-AU"/>
              </w:rPr>
            </w:pPr>
            <w:r w:rsidRPr="00180905">
              <w:rPr>
                <w:rFonts w:eastAsia="Times New Roman" w:cs="Times New Roman"/>
                <w:sz w:val="16"/>
                <w:szCs w:val="16"/>
                <w:lang w:eastAsia="en-AU"/>
              </w:rPr>
              <w:t>Services catering for refugee and migrant populations</w:t>
            </w:r>
          </w:p>
        </w:tc>
        <w:tc>
          <w:tcPr>
            <w:tcW w:w="1498" w:type="dxa"/>
            <w:tcBorders>
              <w:top w:val="single" w:sz="4" w:space="0" w:color="84BB20"/>
              <w:left w:val="nil"/>
              <w:bottom w:val="single" w:sz="4" w:space="0" w:color="84BB20"/>
              <w:right w:val="nil"/>
            </w:tcBorders>
            <w:shd w:val="clear" w:color="000000" w:fill="86BC25"/>
            <w:vAlign w:val="center"/>
            <w:hideMark/>
          </w:tcPr>
          <w:p w14:paraId="676757D2" w14:textId="77777777" w:rsidR="005F1539" w:rsidRPr="00180905" w:rsidRDefault="005F1539" w:rsidP="00EE3755">
            <w:pPr>
              <w:spacing w:after="0" w:line="240" w:lineRule="auto"/>
              <w:rPr>
                <w:rFonts w:eastAsia="Times New Roman" w:cs="Times New Roman"/>
                <w:sz w:val="16"/>
                <w:szCs w:val="16"/>
                <w:lang w:eastAsia="en-AU"/>
              </w:rPr>
            </w:pPr>
            <w:r w:rsidRPr="00180905">
              <w:rPr>
                <w:rFonts w:eastAsia="Times New Roman" w:cs="Times New Roman"/>
                <w:sz w:val="16"/>
                <w:szCs w:val="16"/>
                <w:lang w:eastAsia="en-AU"/>
              </w:rPr>
              <w:t>Mobile services</w:t>
            </w:r>
          </w:p>
        </w:tc>
        <w:tc>
          <w:tcPr>
            <w:tcW w:w="1145" w:type="dxa"/>
            <w:tcBorders>
              <w:top w:val="single" w:sz="4" w:space="0" w:color="84BB20"/>
              <w:left w:val="nil"/>
              <w:bottom w:val="single" w:sz="4" w:space="0" w:color="84BB20"/>
              <w:right w:val="nil"/>
            </w:tcBorders>
            <w:shd w:val="clear" w:color="000000" w:fill="86BC25"/>
            <w:vAlign w:val="center"/>
            <w:hideMark/>
          </w:tcPr>
          <w:p w14:paraId="02A1082E" w14:textId="77777777" w:rsidR="005F1539" w:rsidRPr="00180905" w:rsidRDefault="005F1539" w:rsidP="005F1539">
            <w:pPr>
              <w:spacing w:after="0" w:line="240" w:lineRule="auto"/>
              <w:ind w:firstLineChars="100" w:firstLine="160"/>
              <w:rPr>
                <w:rFonts w:eastAsia="Times New Roman" w:cs="Times New Roman"/>
                <w:sz w:val="16"/>
                <w:szCs w:val="16"/>
                <w:lang w:eastAsia="en-AU"/>
              </w:rPr>
            </w:pPr>
            <w:r w:rsidRPr="00180905">
              <w:rPr>
                <w:rFonts w:eastAsia="Times New Roman" w:cs="Times New Roman"/>
                <w:sz w:val="16"/>
                <w:szCs w:val="16"/>
                <w:lang w:eastAsia="en-AU"/>
              </w:rPr>
              <w:t>OSHCs</w:t>
            </w:r>
          </w:p>
        </w:tc>
        <w:tc>
          <w:tcPr>
            <w:tcW w:w="1238" w:type="dxa"/>
            <w:tcBorders>
              <w:top w:val="single" w:sz="4" w:space="0" w:color="84BB20"/>
              <w:left w:val="nil"/>
              <w:bottom w:val="single" w:sz="4" w:space="0" w:color="84BB20"/>
              <w:right w:val="nil"/>
            </w:tcBorders>
            <w:shd w:val="clear" w:color="000000" w:fill="86BC25"/>
            <w:vAlign w:val="center"/>
            <w:hideMark/>
          </w:tcPr>
          <w:p w14:paraId="76C38DF8" w14:textId="77777777" w:rsidR="005F1539" w:rsidRPr="00180905" w:rsidRDefault="005F1539" w:rsidP="00EE3755">
            <w:pPr>
              <w:spacing w:after="0" w:line="240" w:lineRule="auto"/>
              <w:rPr>
                <w:rFonts w:eastAsia="Times New Roman" w:cs="Times New Roman"/>
                <w:sz w:val="16"/>
                <w:szCs w:val="16"/>
                <w:lang w:eastAsia="en-AU"/>
              </w:rPr>
            </w:pPr>
            <w:r w:rsidRPr="00180905">
              <w:rPr>
                <w:rFonts w:eastAsia="Times New Roman" w:cs="Times New Roman"/>
                <w:sz w:val="16"/>
                <w:szCs w:val="16"/>
                <w:lang w:eastAsia="en-AU"/>
              </w:rPr>
              <w:t>Services attached to training and education centres</w:t>
            </w:r>
          </w:p>
        </w:tc>
        <w:tc>
          <w:tcPr>
            <w:tcW w:w="1238" w:type="dxa"/>
            <w:tcBorders>
              <w:top w:val="single" w:sz="4" w:space="0" w:color="84BB20"/>
              <w:left w:val="nil"/>
              <w:bottom w:val="single" w:sz="4" w:space="0" w:color="84BB20"/>
              <w:right w:val="nil"/>
            </w:tcBorders>
            <w:shd w:val="clear" w:color="000000" w:fill="86BC25"/>
            <w:vAlign w:val="center"/>
            <w:hideMark/>
          </w:tcPr>
          <w:p w14:paraId="472A6B51" w14:textId="77777777" w:rsidR="005F1539" w:rsidRPr="00180905" w:rsidRDefault="005F1539" w:rsidP="00EE3755">
            <w:pPr>
              <w:spacing w:after="0" w:line="240" w:lineRule="auto"/>
              <w:rPr>
                <w:rFonts w:eastAsia="Times New Roman" w:cs="Times New Roman"/>
                <w:sz w:val="16"/>
                <w:szCs w:val="16"/>
                <w:lang w:eastAsia="en-AU"/>
              </w:rPr>
            </w:pPr>
            <w:r w:rsidRPr="00180905">
              <w:rPr>
                <w:rFonts w:eastAsia="Times New Roman" w:cs="Times New Roman"/>
                <w:sz w:val="16"/>
                <w:szCs w:val="16"/>
                <w:lang w:eastAsia="en-AU"/>
              </w:rPr>
              <w:t>Services attached to centres for alcohol and other drug treatment</w:t>
            </w:r>
          </w:p>
        </w:tc>
        <w:tc>
          <w:tcPr>
            <w:tcW w:w="1465" w:type="dxa"/>
            <w:tcBorders>
              <w:top w:val="single" w:sz="4" w:space="0" w:color="84BB20"/>
              <w:left w:val="nil"/>
              <w:bottom w:val="single" w:sz="4" w:space="0" w:color="84BB20"/>
              <w:right w:val="single" w:sz="4" w:space="0" w:color="84BB20"/>
            </w:tcBorders>
            <w:shd w:val="clear" w:color="000000" w:fill="86BC25"/>
            <w:vAlign w:val="center"/>
            <w:hideMark/>
          </w:tcPr>
          <w:p w14:paraId="4163D586" w14:textId="77777777" w:rsidR="005F1539" w:rsidRPr="00180905" w:rsidRDefault="005F1539" w:rsidP="00EE3755">
            <w:pPr>
              <w:spacing w:after="0" w:line="240" w:lineRule="auto"/>
              <w:rPr>
                <w:rFonts w:eastAsia="Times New Roman" w:cs="Times New Roman"/>
                <w:sz w:val="16"/>
                <w:szCs w:val="16"/>
                <w:lang w:eastAsia="en-AU"/>
              </w:rPr>
            </w:pPr>
            <w:r w:rsidRPr="00180905">
              <w:rPr>
                <w:rFonts w:eastAsia="Times New Roman" w:cs="Times New Roman"/>
                <w:sz w:val="16"/>
                <w:szCs w:val="16"/>
                <w:lang w:eastAsia="en-AU"/>
              </w:rPr>
              <w:t>NT leased services</w:t>
            </w:r>
          </w:p>
        </w:tc>
      </w:tr>
      <w:tr w:rsidR="005F1539" w:rsidRPr="005F1539" w14:paraId="666EC700" w14:textId="77777777" w:rsidTr="00CC0A94">
        <w:trPr>
          <w:trHeight w:val="597"/>
        </w:trPr>
        <w:tc>
          <w:tcPr>
            <w:tcW w:w="2981" w:type="dxa"/>
            <w:tcBorders>
              <w:top w:val="nil"/>
              <w:left w:val="single" w:sz="4" w:space="0" w:color="84BB20"/>
              <w:bottom w:val="single" w:sz="4" w:space="0" w:color="84BB20"/>
              <w:right w:val="nil"/>
            </w:tcBorders>
            <w:shd w:val="clear" w:color="auto" w:fill="auto"/>
            <w:vAlign w:val="center"/>
            <w:hideMark/>
          </w:tcPr>
          <w:p w14:paraId="4CD5781B" w14:textId="495EE6BE" w:rsidR="005F1539" w:rsidRPr="005F1539" w:rsidRDefault="005F1539" w:rsidP="00DB0CA1">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w:t>
            </w:r>
          </w:p>
        </w:tc>
        <w:tc>
          <w:tcPr>
            <w:tcW w:w="12045" w:type="dxa"/>
            <w:gridSpan w:val="9"/>
            <w:tcBorders>
              <w:top w:val="single" w:sz="4" w:space="0" w:color="84BB20"/>
              <w:left w:val="nil"/>
              <w:bottom w:val="single" w:sz="4" w:space="0" w:color="84BB20"/>
              <w:right w:val="single" w:sz="4" w:space="0" w:color="84BB20"/>
            </w:tcBorders>
            <w:shd w:val="clear" w:color="000000" w:fill="E8F6CF"/>
            <w:vAlign w:val="center"/>
            <w:hideMark/>
          </w:tcPr>
          <w:p w14:paraId="346D76AE" w14:textId="77777777" w:rsidR="005F1539" w:rsidRPr="005F1539" w:rsidRDefault="005F1539" w:rsidP="005F1539">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All services are impacted by this recommendation through consideration of the unique needs of their community.</w:t>
            </w:r>
          </w:p>
        </w:tc>
      </w:tr>
      <w:tr w:rsidR="004237DF" w:rsidRPr="005F1539" w14:paraId="602CAC18" w14:textId="77777777" w:rsidTr="00B72410">
        <w:trPr>
          <w:trHeight w:val="1683"/>
        </w:trPr>
        <w:tc>
          <w:tcPr>
            <w:tcW w:w="2981" w:type="dxa"/>
            <w:tcBorders>
              <w:top w:val="nil"/>
              <w:left w:val="single" w:sz="4" w:space="0" w:color="84BB20"/>
              <w:bottom w:val="single" w:sz="4" w:space="0" w:color="84BB20"/>
              <w:right w:val="nil"/>
            </w:tcBorders>
            <w:shd w:val="clear" w:color="auto" w:fill="auto"/>
            <w:vAlign w:val="center"/>
            <w:hideMark/>
          </w:tcPr>
          <w:p w14:paraId="42D54A61" w14:textId="64E7A230" w:rsidR="005F1539" w:rsidRPr="005F1539" w:rsidRDefault="005F1539" w:rsidP="00DB0CA1">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2</w:t>
            </w:r>
          </w:p>
        </w:tc>
        <w:tc>
          <w:tcPr>
            <w:tcW w:w="1267" w:type="dxa"/>
            <w:tcBorders>
              <w:top w:val="nil"/>
              <w:left w:val="nil"/>
              <w:bottom w:val="single" w:sz="4" w:space="0" w:color="84BB20"/>
              <w:right w:val="nil"/>
            </w:tcBorders>
            <w:shd w:val="clear" w:color="000000" w:fill="E8F6CF"/>
            <w:vAlign w:val="center"/>
            <w:hideMark/>
          </w:tcPr>
          <w:p w14:paraId="0B933CFD"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Former BBF/IAS services unable to transition to NQF without legislative change</w:t>
            </w:r>
          </w:p>
        </w:tc>
        <w:tc>
          <w:tcPr>
            <w:tcW w:w="1441" w:type="dxa"/>
            <w:tcBorders>
              <w:top w:val="nil"/>
              <w:left w:val="nil"/>
              <w:bottom w:val="single" w:sz="4" w:space="0" w:color="84BB20"/>
              <w:right w:val="nil"/>
            </w:tcBorders>
            <w:shd w:val="clear" w:color="000000" w:fill="E8F6CF"/>
            <w:vAlign w:val="center"/>
            <w:hideMark/>
          </w:tcPr>
          <w:p w14:paraId="2A976FE8"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Rural and remote services may face greater barriers to meeting NQF</w:t>
            </w:r>
          </w:p>
        </w:tc>
        <w:tc>
          <w:tcPr>
            <w:tcW w:w="1441" w:type="dxa"/>
            <w:tcBorders>
              <w:top w:val="nil"/>
              <w:left w:val="nil"/>
              <w:bottom w:val="single" w:sz="4" w:space="0" w:color="84BB20"/>
              <w:right w:val="nil"/>
            </w:tcBorders>
            <w:shd w:val="clear" w:color="000000" w:fill="BAE370"/>
            <w:vAlign w:val="center"/>
            <w:hideMark/>
          </w:tcPr>
          <w:p w14:paraId="0EACE163" w14:textId="50E15948" w:rsidR="005F1539" w:rsidRPr="005F1539" w:rsidRDefault="005F1539" w:rsidP="00B72410">
            <w:pPr>
              <w:spacing w:after="0" w:line="240" w:lineRule="auto"/>
              <w:ind w:firstLineChars="100" w:firstLine="160"/>
              <w:jc w:val="center"/>
              <w:rPr>
                <w:rFonts w:ascii="Arial" w:eastAsia="Times New Roman" w:hAnsi="Arial" w:cs="Arial"/>
                <w:sz w:val="16"/>
                <w:szCs w:val="16"/>
                <w:lang w:eastAsia="en-AU"/>
              </w:rPr>
            </w:pPr>
          </w:p>
        </w:tc>
        <w:tc>
          <w:tcPr>
            <w:tcW w:w="1312" w:type="dxa"/>
            <w:tcBorders>
              <w:top w:val="nil"/>
              <w:left w:val="nil"/>
              <w:bottom w:val="single" w:sz="4" w:space="0" w:color="84BB20"/>
              <w:right w:val="nil"/>
            </w:tcBorders>
            <w:shd w:val="clear" w:color="000000" w:fill="DCDDDF"/>
            <w:vAlign w:val="center"/>
            <w:hideMark/>
          </w:tcPr>
          <w:p w14:paraId="194F5F18" w14:textId="702B0CA0" w:rsidR="005F1539" w:rsidRPr="005F1539" w:rsidRDefault="005F1539" w:rsidP="00B72410">
            <w:pPr>
              <w:spacing w:after="0" w:line="240" w:lineRule="auto"/>
              <w:ind w:firstLineChars="100" w:firstLine="160"/>
              <w:jc w:val="center"/>
              <w:rPr>
                <w:rFonts w:ascii="Arial" w:eastAsia="Times New Roman" w:hAnsi="Arial" w:cs="Arial"/>
                <w:sz w:val="16"/>
                <w:szCs w:val="16"/>
                <w:lang w:eastAsia="en-AU"/>
              </w:rPr>
            </w:pPr>
          </w:p>
        </w:tc>
        <w:tc>
          <w:tcPr>
            <w:tcW w:w="1498" w:type="dxa"/>
            <w:tcBorders>
              <w:top w:val="nil"/>
              <w:left w:val="nil"/>
              <w:bottom w:val="single" w:sz="4" w:space="0" w:color="84BB20"/>
              <w:right w:val="nil"/>
            </w:tcBorders>
            <w:shd w:val="clear" w:color="000000" w:fill="E8F6CF"/>
            <w:vAlign w:val="center"/>
            <w:hideMark/>
          </w:tcPr>
          <w:p w14:paraId="14FFE42D"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Mobile services unable to transition to NQF without legislative change</w:t>
            </w:r>
          </w:p>
        </w:tc>
        <w:tc>
          <w:tcPr>
            <w:tcW w:w="1145" w:type="dxa"/>
            <w:tcBorders>
              <w:top w:val="nil"/>
              <w:left w:val="nil"/>
              <w:bottom w:val="single" w:sz="4" w:space="0" w:color="84BB20"/>
              <w:right w:val="nil"/>
            </w:tcBorders>
            <w:shd w:val="clear" w:color="000000" w:fill="DCDDDF"/>
            <w:vAlign w:val="center"/>
            <w:hideMark/>
          </w:tcPr>
          <w:p w14:paraId="37E15EA0"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DCDDDF"/>
            <w:vAlign w:val="center"/>
            <w:hideMark/>
          </w:tcPr>
          <w:p w14:paraId="5BF7F684"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DCDDDF"/>
            <w:vAlign w:val="center"/>
            <w:hideMark/>
          </w:tcPr>
          <w:p w14:paraId="52B9105A"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DCDDDF"/>
            <w:vAlign w:val="center"/>
            <w:hideMark/>
          </w:tcPr>
          <w:p w14:paraId="20B523D7"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5F1539" w:rsidRPr="005F1539" w14:paraId="35BB9A43" w14:textId="77777777" w:rsidTr="00CC0A94">
        <w:trPr>
          <w:trHeight w:val="700"/>
        </w:trPr>
        <w:tc>
          <w:tcPr>
            <w:tcW w:w="2981" w:type="dxa"/>
            <w:tcBorders>
              <w:top w:val="nil"/>
              <w:left w:val="single" w:sz="4" w:space="0" w:color="84BB20"/>
              <w:bottom w:val="single" w:sz="4" w:space="0" w:color="84BB20"/>
              <w:right w:val="nil"/>
            </w:tcBorders>
            <w:shd w:val="clear" w:color="auto" w:fill="auto"/>
            <w:vAlign w:val="center"/>
            <w:hideMark/>
          </w:tcPr>
          <w:p w14:paraId="2CD30F61" w14:textId="0ECBB1EB" w:rsidR="005F1539" w:rsidRPr="005F1539" w:rsidRDefault="005F1539" w:rsidP="00DB0CA1">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3</w:t>
            </w:r>
            <w:r w:rsidRPr="005F1539">
              <w:rPr>
                <w:rFonts w:eastAsia="Times New Roman" w:cs="Times New Roman"/>
                <w:color w:val="000000"/>
                <w:sz w:val="16"/>
                <w:szCs w:val="16"/>
                <w:lang w:eastAsia="en-AU"/>
              </w:rPr>
              <w:t xml:space="preserve"> </w:t>
            </w:r>
          </w:p>
        </w:tc>
        <w:tc>
          <w:tcPr>
            <w:tcW w:w="12045" w:type="dxa"/>
            <w:gridSpan w:val="9"/>
            <w:tcBorders>
              <w:top w:val="single" w:sz="4" w:space="0" w:color="84BB20"/>
              <w:left w:val="nil"/>
              <w:bottom w:val="single" w:sz="4" w:space="0" w:color="84BB20"/>
              <w:right w:val="single" w:sz="4" w:space="0" w:color="84BB20"/>
            </w:tcBorders>
            <w:shd w:val="clear" w:color="000000" w:fill="E8F6CF"/>
            <w:vAlign w:val="center"/>
            <w:hideMark/>
          </w:tcPr>
          <w:p w14:paraId="3801BCFA" w14:textId="77777777" w:rsidR="005F1539" w:rsidRPr="005F1539" w:rsidRDefault="005F1539" w:rsidP="005F1539">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All services benefit from tailored transition plans that account for their unique context and the opportunity to participate in their funding and regulatory decisions and destinations.</w:t>
            </w:r>
          </w:p>
        </w:tc>
      </w:tr>
      <w:tr w:rsidR="004237DF" w:rsidRPr="005F1539" w14:paraId="08437BD4" w14:textId="77777777" w:rsidTr="00CC0A94">
        <w:trPr>
          <w:trHeight w:val="568"/>
        </w:trPr>
        <w:tc>
          <w:tcPr>
            <w:tcW w:w="2981" w:type="dxa"/>
            <w:tcBorders>
              <w:top w:val="nil"/>
              <w:left w:val="single" w:sz="4" w:space="0" w:color="84BB20"/>
              <w:bottom w:val="single" w:sz="4" w:space="0" w:color="84BB20"/>
              <w:right w:val="nil"/>
            </w:tcBorders>
            <w:shd w:val="clear" w:color="auto" w:fill="auto"/>
            <w:vAlign w:val="center"/>
            <w:hideMark/>
          </w:tcPr>
          <w:p w14:paraId="7919D534" w14:textId="7E61B3B3" w:rsidR="005F1539" w:rsidRPr="005F1539" w:rsidRDefault="005F1539" w:rsidP="00DB0CA1">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4</w:t>
            </w:r>
          </w:p>
        </w:tc>
        <w:tc>
          <w:tcPr>
            <w:tcW w:w="1267" w:type="dxa"/>
            <w:tcBorders>
              <w:top w:val="nil"/>
              <w:left w:val="nil"/>
              <w:bottom w:val="single" w:sz="4" w:space="0" w:color="84BB20"/>
              <w:right w:val="nil"/>
            </w:tcBorders>
            <w:shd w:val="clear" w:color="000000" w:fill="BAE370"/>
            <w:vAlign w:val="center"/>
            <w:hideMark/>
          </w:tcPr>
          <w:p w14:paraId="6F151610"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D9D9D9"/>
            <w:vAlign w:val="center"/>
            <w:hideMark/>
          </w:tcPr>
          <w:p w14:paraId="16FC4C7D"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D9D9D9"/>
            <w:vAlign w:val="center"/>
            <w:hideMark/>
          </w:tcPr>
          <w:p w14:paraId="680F27CE"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312" w:type="dxa"/>
            <w:tcBorders>
              <w:top w:val="nil"/>
              <w:left w:val="nil"/>
              <w:bottom w:val="single" w:sz="4" w:space="0" w:color="84BB20"/>
              <w:right w:val="nil"/>
            </w:tcBorders>
            <w:shd w:val="clear" w:color="000000" w:fill="D9D9D9"/>
            <w:vAlign w:val="center"/>
            <w:hideMark/>
          </w:tcPr>
          <w:p w14:paraId="28770638"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98" w:type="dxa"/>
            <w:tcBorders>
              <w:top w:val="nil"/>
              <w:left w:val="nil"/>
              <w:bottom w:val="single" w:sz="4" w:space="0" w:color="84BB20"/>
              <w:right w:val="nil"/>
            </w:tcBorders>
            <w:shd w:val="clear" w:color="000000" w:fill="D9D9D9"/>
            <w:vAlign w:val="center"/>
            <w:hideMark/>
          </w:tcPr>
          <w:p w14:paraId="793659E6"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145" w:type="dxa"/>
            <w:tcBorders>
              <w:top w:val="nil"/>
              <w:left w:val="nil"/>
              <w:bottom w:val="single" w:sz="4" w:space="0" w:color="84BB20"/>
              <w:right w:val="nil"/>
            </w:tcBorders>
            <w:shd w:val="clear" w:color="000000" w:fill="D9D9D9"/>
            <w:vAlign w:val="center"/>
            <w:hideMark/>
          </w:tcPr>
          <w:p w14:paraId="3523B84D"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D9D9D9"/>
            <w:vAlign w:val="center"/>
            <w:hideMark/>
          </w:tcPr>
          <w:p w14:paraId="3662439B"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D9D9D9"/>
            <w:vAlign w:val="center"/>
            <w:hideMark/>
          </w:tcPr>
          <w:p w14:paraId="72C85EC8"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D9D9D9"/>
            <w:vAlign w:val="center"/>
            <w:hideMark/>
          </w:tcPr>
          <w:p w14:paraId="0BE917D2" w14:textId="77777777" w:rsidR="005F1539" w:rsidRPr="005F1539" w:rsidRDefault="005F1539" w:rsidP="005F1539">
            <w:pPr>
              <w:spacing w:after="0" w:line="240" w:lineRule="auto"/>
              <w:ind w:firstLineChars="100" w:firstLine="160"/>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5F1539" w:rsidRPr="005F1539" w14:paraId="5D735CD7" w14:textId="77777777" w:rsidTr="00CC0A94">
        <w:trPr>
          <w:trHeight w:val="817"/>
        </w:trPr>
        <w:tc>
          <w:tcPr>
            <w:tcW w:w="2981" w:type="dxa"/>
            <w:tcBorders>
              <w:top w:val="nil"/>
              <w:left w:val="single" w:sz="4" w:space="0" w:color="84BB20"/>
              <w:bottom w:val="single" w:sz="4" w:space="0" w:color="84BB20"/>
              <w:right w:val="nil"/>
            </w:tcBorders>
            <w:shd w:val="clear" w:color="auto" w:fill="auto"/>
            <w:vAlign w:val="center"/>
            <w:hideMark/>
          </w:tcPr>
          <w:p w14:paraId="1FF231C2" w14:textId="411E0E2D"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5</w:t>
            </w:r>
          </w:p>
        </w:tc>
        <w:tc>
          <w:tcPr>
            <w:tcW w:w="1267" w:type="dxa"/>
            <w:tcBorders>
              <w:top w:val="nil"/>
              <w:left w:val="nil"/>
              <w:bottom w:val="single" w:sz="4" w:space="0" w:color="84BB20"/>
              <w:right w:val="nil"/>
            </w:tcBorders>
            <w:shd w:val="clear" w:color="000000" w:fill="BAE370"/>
            <w:vAlign w:val="center"/>
            <w:hideMark/>
          </w:tcPr>
          <w:p w14:paraId="296BACBB" w14:textId="77777777" w:rsidR="005F1539" w:rsidRPr="005F1539" w:rsidRDefault="005F1539" w:rsidP="005F1539">
            <w:pPr>
              <w:spacing w:after="0" w:line="240" w:lineRule="auto"/>
              <w:rPr>
                <w:rFonts w:eastAsia="Times New Roman" w:cs="Times New Roman"/>
                <w:color w:val="000000"/>
                <w:sz w:val="16"/>
                <w:szCs w:val="16"/>
                <w:lang w:eastAsia="en-AU"/>
              </w:rPr>
            </w:pPr>
            <w:r w:rsidRPr="005F1539">
              <w:rPr>
                <w:rFonts w:eastAsia="Times New Roman" w:cs="Times New Roman"/>
                <w:color w:val="000000"/>
                <w:sz w:val="16"/>
                <w:szCs w:val="16"/>
                <w:lang w:eastAsia="en-AU"/>
              </w:rPr>
              <w:t>Aboriginal and/or Torres Strait Islander services benefit specifically from alignment to Closing the Gap</w:t>
            </w:r>
          </w:p>
        </w:tc>
        <w:tc>
          <w:tcPr>
            <w:tcW w:w="10778" w:type="dxa"/>
            <w:gridSpan w:val="8"/>
            <w:tcBorders>
              <w:top w:val="single" w:sz="4" w:space="0" w:color="84BB20"/>
              <w:left w:val="nil"/>
              <w:bottom w:val="single" w:sz="4" w:space="0" w:color="84BB20"/>
              <w:right w:val="single" w:sz="4" w:space="0" w:color="84BB20"/>
            </w:tcBorders>
            <w:shd w:val="clear" w:color="000000" w:fill="E8F6CF"/>
            <w:vAlign w:val="center"/>
            <w:hideMark/>
          </w:tcPr>
          <w:p w14:paraId="22CE3FD4" w14:textId="77777777" w:rsidR="005F1539" w:rsidRPr="005F1539" w:rsidRDefault="005F1539" w:rsidP="005F1539">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 </w:t>
            </w:r>
          </w:p>
        </w:tc>
      </w:tr>
      <w:tr w:rsidR="005F1539" w:rsidRPr="005F1539" w14:paraId="552018B6"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2DBD801E" w14:textId="25E148F6"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lastRenderedPageBreak/>
              <w:t>Recommendation 6</w:t>
            </w:r>
          </w:p>
        </w:tc>
        <w:tc>
          <w:tcPr>
            <w:tcW w:w="12045" w:type="dxa"/>
            <w:gridSpan w:val="9"/>
            <w:tcBorders>
              <w:top w:val="single" w:sz="4" w:space="0" w:color="84BB20"/>
              <w:left w:val="nil"/>
              <w:bottom w:val="single" w:sz="4" w:space="0" w:color="84BB20"/>
              <w:right w:val="single" w:sz="4" w:space="0" w:color="84BB20"/>
            </w:tcBorders>
            <w:shd w:val="clear" w:color="000000" w:fill="E8F6CF"/>
            <w:vAlign w:val="center"/>
            <w:hideMark/>
          </w:tcPr>
          <w:p w14:paraId="59E8DAD6" w14:textId="77777777" w:rsidR="005F1539" w:rsidRPr="005F1539" w:rsidRDefault="005F1539" w:rsidP="005F1539">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 </w:t>
            </w:r>
          </w:p>
        </w:tc>
      </w:tr>
      <w:tr w:rsidR="005F1539" w:rsidRPr="005F1539" w14:paraId="1E58DA55"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4B60D735" w14:textId="2DFABEFD"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7</w:t>
            </w:r>
          </w:p>
        </w:tc>
        <w:tc>
          <w:tcPr>
            <w:tcW w:w="12045" w:type="dxa"/>
            <w:gridSpan w:val="9"/>
            <w:tcBorders>
              <w:top w:val="single" w:sz="4" w:space="0" w:color="84BB20"/>
              <w:left w:val="nil"/>
              <w:bottom w:val="single" w:sz="4" w:space="0" w:color="84BB20"/>
              <w:right w:val="single" w:sz="4" w:space="0" w:color="84BB20"/>
            </w:tcBorders>
            <w:shd w:val="clear" w:color="000000" w:fill="E8F6CF"/>
            <w:vAlign w:val="center"/>
            <w:hideMark/>
          </w:tcPr>
          <w:p w14:paraId="5D2CE4F8" w14:textId="77777777" w:rsidR="005F1539" w:rsidRPr="005F1539" w:rsidRDefault="005F1539" w:rsidP="005F1539">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 </w:t>
            </w:r>
          </w:p>
        </w:tc>
      </w:tr>
      <w:tr w:rsidR="005F1539" w:rsidRPr="005F1539" w14:paraId="6E2331C1"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51BCB95B" w14:textId="7E408D07"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8</w:t>
            </w:r>
          </w:p>
        </w:tc>
        <w:tc>
          <w:tcPr>
            <w:tcW w:w="12045" w:type="dxa"/>
            <w:gridSpan w:val="9"/>
            <w:tcBorders>
              <w:top w:val="single" w:sz="4" w:space="0" w:color="84BB20"/>
              <w:left w:val="nil"/>
              <w:bottom w:val="single" w:sz="4" w:space="0" w:color="84BB20"/>
              <w:right w:val="single" w:sz="4" w:space="0" w:color="84BB20"/>
            </w:tcBorders>
            <w:shd w:val="clear" w:color="000000" w:fill="E8F6CF"/>
            <w:hideMark/>
          </w:tcPr>
          <w:p w14:paraId="501FC707"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5F1539" w:rsidRPr="005F1539" w14:paraId="57B83366"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5738ADA0" w14:textId="1C1947A4"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9</w:t>
            </w:r>
          </w:p>
        </w:tc>
        <w:tc>
          <w:tcPr>
            <w:tcW w:w="12045" w:type="dxa"/>
            <w:gridSpan w:val="9"/>
            <w:tcBorders>
              <w:top w:val="single" w:sz="4" w:space="0" w:color="84BB20"/>
              <w:left w:val="nil"/>
              <w:bottom w:val="single" w:sz="4" w:space="0" w:color="84BB20"/>
              <w:right w:val="single" w:sz="4" w:space="0" w:color="84BB20"/>
            </w:tcBorders>
            <w:shd w:val="clear" w:color="000000" w:fill="E8F6CF"/>
            <w:hideMark/>
          </w:tcPr>
          <w:p w14:paraId="3469BE59"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5F1539" w:rsidRPr="005F1539" w14:paraId="335512F5"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5098AC71" w14:textId="5E6E0EDE"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10</w:t>
            </w:r>
          </w:p>
        </w:tc>
        <w:tc>
          <w:tcPr>
            <w:tcW w:w="12045" w:type="dxa"/>
            <w:gridSpan w:val="9"/>
            <w:tcBorders>
              <w:top w:val="single" w:sz="4" w:space="0" w:color="84BB20"/>
              <w:left w:val="nil"/>
              <w:bottom w:val="single" w:sz="4" w:space="0" w:color="84BB20"/>
              <w:right w:val="single" w:sz="4" w:space="0" w:color="84BB20"/>
            </w:tcBorders>
            <w:shd w:val="clear" w:color="000000" w:fill="E8F6CF"/>
            <w:hideMark/>
          </w:tcPr>
          <w:p w14:paraId="0C1C4378"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4237DF" w:rsidRPr="005F1539" w14:paraId="33388C86"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61C51BF7" w14:textId="4A61CCCE"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11</w:t>
            </w:r>
          </w:p>
        </w:tc>
        <w:tc>
          <w:tcPr>
            <w:tcW w:w="1267" w:type="dxa"/>
            <w:tcBorders>
              <w:top w:val="nil"/>
              <w:left w:val="nil"/>
              <w:bottom w:val="single" w:sz="4" w:space="0" w:color="84BB20"/>
              <w:right w:val="nil"/>
            </w:tcBorders>
            <w:shd w:val="clear" w:color="000000" w:fill="BAE270"/>
            <w:hideMark/>
          </w:tcPr>
          <w:p w14:paraId="61CEC033"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E8F5CF"/>
            <w:hideMark/>
          </w:tcPr>
          <w:p w14:paraId="53B04CD4"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E8F5CF"/>
            <w:hideMark/>
          </w:tcPr>
          <w:p w14:paraId="2D8034DD"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312" w:type="dxa"/>
            <w:tcBorders>
              <w:top w:val="nil"/>
              <w:left w:val="nil"/>
              <w:bottom w:val="single" w:sz="4" w:space="0" w:color="84BB20"/>
              <w:right w:val="nil"/>
            </w:tcBorders>
            <w:shd w:val="clear" w:color="000000" w:fill="BAE270"/>
            <w:hideMark/>
          </w:tcPr>
          <w:p w14:paraId="2A78BF94"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98" w:type="dxa"/>
            <w:tcBorders>
              <w:top w:val="nil"/>
              <w:left w:val="nil"/>
              <w:bottom w:val="single" w:sz="4" w:space="0" w:color="84BB20"/>
              <w:right w:val="nil"/>
            </w:tcBorders>
            <w:shd w:val="clear" w:color="000000" w:fill="E8F5CF"/>
            <w:hideMark/>
          </w:tcPr>
          <w:p w14:paraId="755A5A91"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145" w:type="dxa"/>
            <w:tcBorders>
              <w:top w:val="nil"/>
              <w:left w:val="nil"/>
              <w:bottom w:val="single" w:sz="4" w:space="0" w:color="84BB20"/>
              <w:right w:val="nil"/>
            </w:tcBorders>
            <w:shd w:val="clear" w:color="000000" w:fill="E8F5CF"/>
            <w:hideMark/>
          </w:tcPr>
          <w:p w14:paraId="265169A8"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E8F5CF"/>
            <w:hideMark/>
          </w:tcPr>
          <w:p w14:paraId="1C4F2AF9"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BAE270"/>
            <w:hideMark/>
          </w:tcPr>
          <w:p w14:paraId="24305D3D"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E8F5CF"/>
            <w:hideMark/>
          </w:tcPr>
          <w:p w14:paraId="6E75AB46"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4237DF" w:rsidRPr="005F1539" w14:paraId="070E51B5"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1B73C055" w14:textId="50759679"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12</w:t>
            </w:r>
            <w:r w:rsidRPr="005F1539">
              <w:rPr>
                <w:rFonts w:eastAsia="Times New Roman" w:cs="Times New Roman"/>
                <w:color w:val="000000"/>
                <w:sz w:val="16"/>
                <w:szCs w:val="16"/>
                <w:lang w:eastAsia="en-AU"/>
              </w:rPr>
              <w:t xml:space="preserve"> </w:t>
            </w:r>
          </w:p>
        </w:tc>
        <w:tc>
          <w:tcPr>
            <w:tcW w:w="1267" w:type="dxa"/>
            <w:tcBorders>
              <w:top w:val="nil"/>
              <w:left w:val="nil"/>
              <w:bottom w:val="single" w:sz="4" w:space="0" w:color="84BB20"/>
              <w:right w:val="nil"/>
            </w:tcBorders>
            <w:shd w:val="clear" w:color="000000" w:fill="E8F5CF"/>
            <w:hideMark/>
          </w:tcPr>
          <w:p w14:paraId="42A63394"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E8F5CF"/>
            <w:hideMark/>
          </w:tcPr>
          <w:p w14:paraId="7D157F2B"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E8F5CF"/>
            <w:hideMark/>
          </w:tcPr>
          <w:p w14:paraId="3CBC7C9F"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312" w:type="dxa"/>
            <w:tcBorders>
              <w:top w:val="nil"/>
              <w:left w:val="nil"/>
              <w:bottom w:val="single" w:sz="4" w:space="0" w:color="84BB20"/>
              <w:right w:val="nil"/>
            </w:tcBorders>
            <w:shd w:val="clear" w:color="000000" w:fill="E8F5CF"/>
            <w:hideMark/>
          </w:tcPr>
          <w:p w14:paraId="2605BE19"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98" w:type="dxa"/>
            <w:tcBorders>
              <w:top w:val="nil"/>
              <w:left w:val="nil"/>
              <w:bottom w:val="single" w:sz="4" w:space="0" w:color="84BB20"/>
              <w:right w:val="nil"/>
            </w:tcBorders>
            <w:shd w:val="clear" w:color="000000" w:fill="E8F5CF"/>
            <w:hideMark/>
          </w:tcPr>
          <w:p w14:paraId="455A92DC"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145" w:type="dxa"/>
            <w:tcBorders>
              <w:top w:val="nil"/>
              <w:left w:val="nil"/>
              <w:bottom w:val="single" w:sz="4" w:space="0" w:color="84BB20"/>
              <w:right w:val="nil"/>
            </w:tcBorders>
            <w:shd w:val="clear" w:color="000000" w:fill="E8F5CF"/>
            <w:hideMark/>
          </w:tcPr>
          <w:p w14:paraId="3EC0CA3A"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E8F5CF"/>
            <w:hideMark/>
          </w:tcPr>
          <w:p w14:paraId="051AF7C7"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E8F5CF"/>
            <w:hideMark/>
          </w:tcPr>
          <w:p w14:paraId="76A04590"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E8F5CF"/>
            <w:hideMark/>
          </w:tcPr>
          <w:p w14:paraId="7D998EF5"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4237DF" w:rsidRPr="005F1539" w14:paraId="64401D13"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4B61343E" w14:textId="2F92CD11"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13</w:t>
            </w:r>
          </w:p>
        </w:tc>
        <w:tc>
          <w:tcPr>
            <w:tcW w:w="1267" w:type="dxa"/>
            <w:tcBorders>
              <w:top w:val="nil"/>
              <w:left w:val="nil"/>
              <w:bottom w:val="single" w:sz="4" w:space="0" w:color="84BB20"/>
              <w:right w:val="nil"/>
            </w:tcBorders>
            <w:shd w:val="clear" w:color="000000" w:fill="BAE270"/>
            <w:hideMark/>
          </w:tcPr>
          <w:p w14:paraId="6B1DFDCC"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E8F5CF"/>
            <w:hideMark/>
          </w:tcPr>
          <w:p w14:paraId="789E5BB0"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E8F5CF"/>
            <w:hideMark/>
          </w:tcPr>
          <w:p w14:paraId="6E307462"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312" w:type="dxa"/>
            <w:tcBorders>
              <w:top w:val="nil"/>
              <w:left w:val="nil"/>
              <w:bottom w:val="single" w:sz="4" w:space="0" w:color="84BB20"/>
              <w:right w:val="nil"/>
            </w:tcBorders>
            <w:shd w:val="clear" w:color="000000" w:fill="BAE270"/>
            <w:hideMark/>
          </w:tcPr>
          <w:p w14:paraId="53EDC0C5"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98" w:type="dxa"/>
            <w:tcBorders>
              <w:top w:val="nil"/>
              <w:left w:val="nil"/>
              <w:bottom w:val="single" w:sz="4" w:space="0" w:color="84BB20"/>
              <w:right w:val="nil"/>
            </w:tcBorders>
            <w:shd w:val="clear" w:color="000000" w:fill="E8F5CF"/>
            <w:hideMark/>
          </w:tcPr>
          <w:p w14:paraId="6309386E"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145" w:type="dxa"/>
            <w:tcBorders>
              <w:top w:val="nil"/>
              <w:left w:val="nil"/>
              <w:bottom w:val="single" w:sz="4" w:space="0" w:color="84BB20"/>
              <w:right w:val="nil"/>
            </w:tcBorders>
            <w:shd w:val="clear" w:color="000000" w:fill="E8F5CF"/>
            <w:hideMark/>
          </w:tcPr>
          <w:p w14:paraId="73C6BF41"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E8F5CF"/>
            <w:hideMark/>
          </w:tcPr>
          <w:p w14:paraId="2AA42503"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E8F5CF"/>
            <w:hideMark/>
          </w:tcPr>
          <w:p w14:paraId="762CBC6D"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E8F5CF"/>
            <w:hideMark/>
          </w:tcPr>
          <w:p w14:paraId="2D45A7B9"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4237DF" w:rsidRPr="005F1539" w14:paraId="0D042B7E" w14:textId="77777777" w:rsidTr="00CC0A94">
        <w:trPr>
          <w:trHeight w:val="567"/>
        </w:trPr>
        <w:tc>
          <w:tcPr>
            <w:tcW w:w="2981" w:type="dxa"/>
            <w:tcBorders>
              <w:top w:val="nil"/>
              <w:left w:val="single" w:sz="4" w:space="0" w:color="84BB20"/>
              <w:bottom w:val="single" w:sz="4" w:space="0" w:color="84BB20"/>
              <w:right w:val="nil"/>
            </w:tcBorders>
            <w:shd w:val="clear" w:color="auto" w:fill="auto"/>
            <w:vAlign w:val="center"/>
            <w:hideMark/>
          </w:tcPr>
          <w:p w14:paraId="0AA85CF0" w14:textId="7B30F4A5"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14</w:t>
            </w:r>
          </w:p>
        </w:tc>
        <w:tc>
          <w:tcPr>
            <w:tcW w:w="1267" w:type="dxa"/>
            <w:tcBorders>
              <w:top w:val="nil"/>
              <w:left w:val="nil"/>
              <w:bottom w:val="single" w:sz="4" w:space="0" w:color="84BB20"/>
              <w:right w:val="nil"/>
            </w:tcBorders>
            <w:shd w:val="clear" w:color="000000" w:fill="E8F5CF"/>
            <w:hideMark/>
          </w:tcPr>
          <w:p w14:paraId="78022067"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E8F5CF"/>
            <w:hideMark/>
          </w:tcPr>
          <w:p w14:paraId="04A1F89F"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E8F5CF"/>
            <w:hideMark/>
          </w:tcPr>
          <w:p w14:paraId="54CBA023"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312" w:type="dxa"/>
            <w:tcBorders>
              <w:top w:val="nil"/>
              <w:left w:val="nil"/>
              <w:bottom w:val="single" w:sz="4" w:space="0" w:color="84BB20"/>
              <w:right w:val="nil"/>
            </w:tcBorders>
            <w:shd w:val="clear" w:color="000000" w:fill="E8F5CF"/>
            <w:hideMark/>
          </w:tcPr>
          <w:p w14:paraId="22CB3748"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98" w:type="dxa"/>
            <w:tcBorders>
              <w:top w:val="nil"/>
              <w:left w:val="nil"/>
              <w:bottom w:val="single" w:sz="4" w:space="0" w:color="84BB20"/>
              <w:right w:val="nil"/>
            </w:tcBorders>
            <w:shd w:val="clear" w:color="000000" w:fill="E8F5CF"/>
            <w:hideMark/>
          </w:tcPr>
          <w:p w14:paraId="69149374"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145" w:type="dxa"/>
            <w:tcBorders>
              <w:top w:val="nil"/>
              <w:left w:val="nil"/>
              <w:bottom w:val="single" w:sz="4" w:space="0" w:color="84BB20"/>
              <w:right w:val="nil"/>
            </w:tcBorders>
            <w:shd w:val="clear" w:color="000000" w:fill="E8F5CF"/>
            <w:hideMark/>
          </w:tcPr>
          <w:p w14:paraId="5569C239"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E8F5CF"/>
            <w:hideMark/>
          </w:tcPr>
          <w:p w14:paraId="554CF2ED"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E8F5CF"/>
            <w:hideMark/>
          </w:tcPr>
          <w:p w14:paraId="04104F5C"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E8F5CF"/>
            <w:hideMark/>
          </w:tcPr>
          <w:p w14:paraId="00C1270F"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4237DF" w:rsidRPr="005F1539" w14:paraId="22A48A1C" w14:textId="77777777" w:rsidTr="00B72410">
        <w:trPr>
          <w:trHeight w:val="1380"/>
        </w:trPr>
        <w:tc>
          <w:tcPr>
            <w:tcW w:w="2981" w:type="dxa"/>
            <w:tcBorders>
              <w:top w:val="nil"/>
              <w:left w:val="single" w:sz="4" w:space="0" w:color="84BB20"/>
              <w:bottom w:val="single" w:sz="4" w:space="0" w:color="84BB20"/>
              <w:right w:val="nil"/>
            </w:tcBorders>
            <w:shd w:val="clear" w:color="auto" w:fill="auto"/>
            <w:vAlign w:val="center"/>
            <w:hideMark/>
          </w:tcPr>
          <w:p w14:paraId="7405275C" w14:textId="0E57B2BA"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15</w:t>
            </w:r>
            <w:r w:rsidRPr="005F1539">
              <w:rPr>
                <w:rFonts w:eastAsia="Times New Roman" w:cs="Times New Roman"/>
                <w:color w:val="000000"/>
                <w:sz w:val="16"/>
                <w:szCs w:val="16"/>
                <w:lang w:eastAsia="en-AU"/>
              </w:rPr>
              <w:t xml:space="preserve"> </w:t>
            </w:r>
          </w:p>
        </w:tc>
        <w:tc>
          <w:tcPr>
            <w:tcW w:w="1267" w:type="dxa"/>
            <w:tcBorders>
              <w:top w:val="nil"/>
              <w:left w:val="single" w:sz="4" w:space="0" w:color="84BB20"/>
              <w:bottom w:val="single" w:sz="4" w:space="0" w:color="84BB20"/>
              <w:right w:val="nil"/>
            </w:tcBorders>
            <w:shd w:val="clear" w:color="000000" w:fill="E8F6CF"/>
            <w:hideMark/>
          </w:tcPr>
          <w:p w14:paraId="04C3EEAC"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BAE370"/>
            <w:vAlign w:val="center"/>
            <w:hideMark/>
          </w:tcPr>
          <w:p w14:paraId="6BA7EA1D"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Regional and remote services face greater infrastructure issues</w:t>
            </w:r>
          </w:p>
        </w:tc>
        <w:tc>
          <w:tcPr>
            <w:tcW w:w="1441" w:type="dxa"/>
            <w:tcBorders>
              <w:top w:val="nil"/>
              <w:left w:val="nil"/>
              <w:bottom w:val="single" w:sz="4" w:space="0" w:color="84BB20"/>
              <w:right w:val="nil"/>
            </w:tcBorders>
            <w:shd w:val="clear" w:color="000000" w:fill="BAE370"/>
            <w:vAlign w:val="center"/>
            <w:hideMark/>
          </w:tcPr>
          <w:p w14:paraId="23CD4C21"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Non-NQF services (in NT) have more infrastructure issues</w:t>
            </w:r>
          </w:p>
        </w:tc>
        <w:tc>
          <w:tcPr>
            <w:tcW w:w="1312" w:type="dxa"/>
            <w:tcBorders>
              <w:top w:val="nil"/>
              <w:left w:val="nil"/>
              <w:bottom w:val="single" w:sz="4" w:space="0" w:color="84BB20"/>
              <w:right w:val="nil"/>
            </w:tcBorders>
            <w:shd w:val="clear" w:color="000000" w:fill="E8F6CF"/>
            <w:vAlign w:val="center"/>
            <w:hideMark/>
          </w:tcPr>
          <w:p w14:paraId="15EE4F8E" w14:textId="60BCB0E0" w:rsidR="005F1539" w:rsidRPr="005F1539" w:rsidRDefault="005F1539" w:rsidP="00B72410">
            <w:pPr>
              <w:spacing w:after="0" w:line="240" w:lineRule="auto"/>
              <w:jc w:val="center"/>
              <w:rPr>
                <w:rFonts w:ascii="Arial" w:eastAsia="Times New Roman" w:hAnsi="Arial" w:cs="Arial"/>
                <w:sz w:val="16"/>
                <w:szCs w:val="16"/>
                <w:lang w:eastAsia="en-AU"/>
              </w:rPr>
            </w:pPr>
          </w:p>
        </w:tc>
        <w:tc>
          <w:tcPr>
            <w:tcW w:w="1498" w:type="dxa"/>
            <w:tcBorders>
              <w:top w:val="nil"/>
              <w:left w:val="nil"/>
              <w:bottom w:val="single" w:sz="4" w:space="0" w:color="84BB20"/>
              <w:right w:val="nil"/>
            </w:tcBorders>
            <w:shd w:val="clear" w:color="000000" w:fill="BAE370"/>
            <w:vAlign w:val="center"/>
            <w:hideMark/>
          </w:tcPr>
          <w:p w14:paraId="726EAB96"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Mobile services have more complex infrastructure/ asset and equipment needs</w:t>
            </w:r>
          </w:p>
        </w:tc>
        <w:tc>
          <w:tcPr>
            <w:tcW w:w="1145" w:type="dxa"/>
            <w:tcBorders>
              <w:top w:val="nil"/>
              <w:left w:val="nil"/>
              <w:bottom w:val="single" w:sz="4" w:space="0" w:color="84BB20"/>
              <w:right w:val="nil"/>
            </w:tcBorders>
            <w:shd w:val="clear" w:color="000000" w:fill="E8F6CF"/>
            <w:vAlign w:val="center"/>
            <w:hideMark/>
          </w:tcPr>
          <w:p w14:paraId="1AB991C1" w14:textId="41DA6867" w:rsidR="005F1539" w:rsidRPr="005F1539" w:rsidRDefault="005F1539" w:rsidP="00B72410">
            <w:pPr>
              <w:spacing w:after="0" w:line="240" w:lineRule="auto"/>
              <w:jc w:val="center"/>
              <w:rPr>
                <w:rFonts w:ascii="Arial" w:eastAsia="Times New Roman" w:hAnsi="Arial" w:cs="Arial"/>
                <w:sz w:val="16"/>
                <w:szCs w:val="16"/>
                <w:lang w:eastAsia="en-AU"/>
              </w:rPr>
            </w:pPr>
          </w:p>
        </w:tc>
        <w:tc>
          <w:tcPr>
            <w:tcW w:w="1238" w:type="dxa"/>
            <w:tcBorders>
              <w:top w:val="nil"/>
              <w:left w:val="nil"/>
              <w:bottom w:val="single" w:sz="4" w:space="0" w:color="84BB20"/>
              <w:right w:val="nil"/>
            </w:tcBorders>
            <w:shd w:val="clear" w:color="000000" w:fill="E8F6CF"/>
            <w:vAlign w:val="center"/>
            <w:hideMark/>
          </w:tcPr>
          <w:p w14:paraId="5C19611E" w14:textId="72E407E3" w:rsidR="005F1539" w:rsidRPr="005F1539" w:rsidRDefault="005F1539" w:rsidP="00B72410">
            <w:pPr>
              <w:spacing w:after="0" w:line="240" w:lineRule="auto"/>
              <w:jc w:val="center"/>
              <w:rPr>
                <w:rFonts w:ascii="Arial" w:eastAsia="Times New Roman" w:hAnsi="Arial" w:cs="Arial"/>
                <w:sz w:val="16"/>
                <w:szCs w:val="16"/>
                <w:lang w:eastAsia="en-AU"/>
              </w:rPr>
            </w:pPr>
          </w:p>
        </w:tc>
        <w:tc>
          <w:tcPr>
            <w:tcW w:w="1238" w:type="dxa"/>
            <w:tcBorders>
              <w:top w:val="nil"/>
              <w:left w:val="nil"/>
              <w:bottom w:val="single" w:sz="4" w:space="0" w:color="84BB20"/>
              <w:right w:val="nil"/>
            </w:tcBorders>
            <w:shd w:val="clear" w:color="000000" w:fill="E8F6CF"/>
            <w:vAlign w:val="center"/>
            <w:hideMark/>
          </w:tcPr>
          <w:p w14:paraId="54AFAB17" w14:textId="310F92D1" w:rsidR="005F1539" w:rsidRPr="005F1539" w:rsidRDefault="005F1539" w:rsidP="00B72410">
            <w:pPr>
              <w:spacing w:after="0" w:line="240" w:lineRule="auto"/>
              <w:jc w:val="center"/>
              <w:rPr>
                <w:rFonts w:ascii="Arial" w:eastAsia="Times New Roman" w:hAnsi="Arial" w:cs="Arial"/>
                <w:sz w:val="16"/>
                <w:szCs w:val="16"/>
                <w:lang w:eastAsia="en-AU"/>
              </w:rPr>
            </w:pPr>
          </w:p>
        </w:tc>
        <w:tc>
          <w:tcPr>
            <w:tcW w:w="1465" w:type="dxa"/>
            <w:tcBorders>
              <w:top w:val="nil"/>
              <w:left w:val="nil"/>
              <w:bottom w:val="single" w:sz="4" w:space="0" w:color="84BB20"/>
              <w:right w:val="nil"/>
            </w:tcBorders>
            <w:shd w:val="clear" w:color="000000" w:fill="BAE370"/>
            <w:vAlign w:val="center"/>
            <w:hideMark/>
          </w:tcPr>
          <w:p w14:paraId="72438079" w14:textId="3D801F70"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Leasing management requires additional specialist support</w:t>
            </w:r>
          </w:p>
        </w:tc>
      </w:tr>
      <w:tr w:rsidR="004237DF" w:rsidRPr="005F1539" w14:paraId="53D4FF01" w14:textId="77777777" w:rsidTr="00B72410">
        <w:trPr>
          <w:trHeight w:val="1951"/>
        </w:trPr>
        <w:tc>
          <w:tcPr>
            <w:tcW w:w="2981" w:type="dxa"/>
            <w:tcBorders>
              <w:top w:val="nil"/>
              <w:left w:val="single" w:sz="4" w:space="0" w:color="84BB20"/>
              <w:bottom w:val="single" w:sz="4" w:space="0" w:color="84BB20"/>
              <w:right w:val="nil"/>
            </w:tcBorders>
            <w:shd w:val="clear" w:color="auto" w:fill="auto"/>
            <w:vAlign w:val="center"/>
            <w:hideMark/>
          </w:tcPr>
          <w:p w14:paraId="1D531A3B" w14:textId="4CE67340"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lastRenderedPageBreak/>
              <w:t>Recommendation 16</w:t>
            </w:r>
          </w:p>
        </w:tc>
        <w:tc>
          <w:tcPr>
            <w:tcW w:w="1267" w:type="dxa"/>
            <w:tcBorders>
              <w:top w:val="nil"/>
              <w:left w:val="nil"/>
              <w:bottom w:val="single" w:sz="4" w:space="0" w:color="84BB20"/>
              <w:right w:val="nil"/>
            </w:tcBorders>
            <w:shd w:val="clear" w:color="000000" w:fill="BAE370"/>
            <w:vAlign w:val="center"/>
            <w:hideMark/>
          </w:tcPr>
          <w:p w14:paraId="18221CE8"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Focus needed on First Nations-managed and delivered PD – covered in report</w:t>
            </w:r>
          </w:p>
        </w:tc>
        <w:tc>
          <w:tcPr>
            <w:tcW w:w="1441" w:type="dxa"/>
            <w:tcBorders>
              <w:top w:val="nil"/>
              <w:left w:val="nil"/>
              <w:bottom w:val="single" w:sz="4" w:space="0" w:color="84BB20"/>
              <w:right w:val="nil"/>
            </w:tcBorders>
            <w:shd w:val="clear" w:color="000000" w:fill="BAE370"/>
            <w:vAlign w:val="center"/>
            <w:hideMark/>
          </w:tcPr>
          <w:p w14:paraId="6FBBB117"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Regional and remote services noted issues with accessing PD</w:t>
            </w:r>
          </w:p>
        </w:tc>
        <w:tc>
          <w:tcPr>
            <w:tcW w:w="1441" w:type="dxa"/>
            <w:tcBorders>
              <w:top w:val="nil"/>
              <w:left w:val="nil"/>
              <w:bottom w:val="single" w:sz="4" w:space="0" w:color="84BB20"/>
              <w:right w:val="nil"/>
            </w:tcBorders>
            <w:shd w:val="clear" w:color="000000" w:fill="BAE370"/>
            <w:hideMark/>
          </w:tcPr>
          <w:p w14:paraId="0E85C422"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312" w:type="dxa"/>
            <w:tcBorders>
              <w:top w:val="nil"/>
              <w:left w:val="nil"/>
              <w:bottom w:val="single" w:sz="4" w:space="0" w:color="84BB20"/>
              <w:right w:val="nil"/>
            </w:tcBorders>
            <w:shd w:val="clear" w:color="000000" w:fill="BAE370"/>
            <w:hideMark/>
          </w:tcPr>
          <w:p w14:paraId="3CC1FABC"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98" w:type="dxa"/>
            <w:tcBorders>
              <w:top w:val="nil"/>
              <w:left w:val="nil"/>
              <w:bottom w:val="single" w:sz="4" w:space="0" w:color="84BB20"/>
              <w:right w:val="nil"/>
            </w:tcBorders>
            <w:shd w:val="clear" w:color="000000" w:fill="E8F6CF"/>
            <w:hideMark/>
          </w:tcPr>
          <w:p w14:paraId="78BCC27A"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145" w:type="dxa"/>
            <w:tcBorders>
              <w:top w:val="nil"/>
              <w:left w:val="nil"/>
              <w:bottom w:val="single" w:sz="4" w:space="0" w:color="84BB20"/>
              <w:right w:val="nil"/>
            </w:tcBorders>
            <w:shd w:val="clear" w:color="000000" w:fill="E8F6CF"/>
            <w:hideMark/>
          </w:tcPr>
          <w:p w14:paraId="7C7DCDC2"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E8F6CF"/>
            <w:hideMark/>
          </w:tcPr>
          <w:p w14:paraId="014B8D08"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BAE370"/>
            <w:hideMark/>
          </w:tcPr>
          <w:p w14:paraId="4A6E21A1"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E8F6CF"/>
            <w:hideMark/>
          </w:tcPr>
          <w:p w14:paraId="7E0D0064"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4237DF" w:rsidRPr="005F1539" w14:paraId="5B58A67A" w14:textId="77777777" w:rsidTr="00B72410">
        <w:trPr>
          <w:trHeight w:val="1465"/>
        </w:trPr>
        <w:tc>
          <w:tcPr>
            <w:tcW w:w="2981" w:type="dxa"/>
            <w:tcBorders>
              <w:top w:val="nil"/>
              <w:left w:val="single" w:sz="4" w:space="0" w:color="84BB20"/>
              <w:bottom w:val="single" w:sz="4" w:space="0" w:color="84BB20"/>
              <w:right w:val="nil"/>
            </w:tcBorders>
            <w:shd w:val="clear" w:color="auto" w:fill="auto"/>
            <w:vAlign w:val="center"/>
            <w:hideMark/>
          </w:tcPr>
          <w:p w14:paraId="2D479AD0" w14:textId="48DE28DC"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17</w:t>
            </w:r>
          </w:p>
        </w:tc>
        <w:tc>
          <w:tcPr>
            <w:tcW w:w="1267" w:type="dxa"/>
            <w:tcBorders>
              <w:top w:val="nil"/>
              <w:left w:val="nil"/>
              <w:bottom w:val="single" w:sz="4" w:space="0" w:color="84BB20"/>
              <w:right w:val="nil"/>
            </w:tcBorders>
            <w:shd w:val="clear" w:color="000000" w:fill="E8F6CF"/>
            <w:hideMark/>
          </w:tcPr>
          <w:p w14:paraId="2F0AE20C"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BAE370"/>
            <w:vAlign w:val="center"/>
            <w:hideMark/>
          </w:tcPr>
          <w:p w14:paraId="4F8EC0F2"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Regional and remote services face greater infrastructure issues</w:t>
            </w:r>
          </w:p>
        </w:tc>
        <w:tc>
          <w:tcPr>
            <w:tcW w:w="1441" w:type="dxa"/>
            <w:tcBorders>
              <w:top w:val="nil"/>
              <w:left w:val="nil"/>
              <w:bottom w:val="single" w:sz="4" w:space="0" w:color="84BB20"/>
              <w:right w:val="nil"/>
            </w:tcBorders>
            <w:shd w:val="clear" w:color="000000" w:fill="BAE370"/>
            <w:vAlign w:val="center"/>
            <w:hideMark/>
          </w:tcPr>
          <w:p w14:paraId="328CF4E8"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Non-regulated services (in NT) have infrastructure issues</w:t>
            </w:r>
          </w:p>
        </w:tc>
        <w:tc>
          <w:tcPr>
            <w:tcW w:w="1312" w:type="dxa"/>
            <w:tcBorders>
              <w:top w:val="nil"/>
              <w:left w:val="nil"/>
              <w:bottom w:val="single" w:sz="4" w:space="0" w:color="84BB20"/>
              <w:right w:val="nil"/>
            </w:tcBorders>
            <w:shd w:val="clear" w:color="000000" w:fill="E8F6CF"/>
            <w:vAlign w:val="center"/>
            <w:hideMark/>
          </w:tcPr>
          <w:p w14:paraId="649C3ED2" w14:textId="26625378" w:rsidR="005F1539" w:rsidRPr="005F1539" w:rsidRDefault="005F1539" w:rsidP="00B72410">
            <w:pPr>
              <w:spacing w:after="0" w:line="240" w:lineRule="auto"/>
              <w:jc w:val="center"/>
              <w:rPr>
                <w:rFonts w:ascii="Arial" w:eastAsia="Times New Roman" w:hAnsi="Arial" w:cs="Arial"/>
                <w:sz w:val="16"/>
                <w:szCs w:val="16"/>
                <w:lang w:eastAsia="en-AU"/>
              </w:rPr>
            </w:pPr>
          </w:p>
        </w:tc>
        <w:tc>
          <w:tcPr>
            <w:tcW w:w="1498" w:type="dxa"/>
            <w:tcBorders>
              <w:top w:val="nil"/>
              <w:left w:val="nil"/>
              <w:bottom w:val="single" w:sz="4" w:space="0" w:color="84BB20"/>
              <w:right w:val="nil"/>
            </w:tcBorders>
            <w:shd w:val="clear" w:color="000000" w:fill="BAE370"/>
            <w:vAlign w:val="center"/>
            <w:hideMark/>
          </w:tcPr>
          <w:p w14:paraId="5922F69F"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Mobile services have more complex infrastructure/ asset and equipment needs</w:t>
            </w:r>
          </w:p>
        </w:tc>
        <w:tc>
          <w:tcPr>
            <w:tcW w:w="1145" w:type="dxa"/>
            <w:tcBorders>
              <w:top w:val="nil"/>
              <w:left w:val="nil"/>
              <w:bottom w:val="single" w:sz="4" w:space="0" w:color="84BB20"/>
              <w:right w:val="nil"/>
            </w:tcBorders>
            <w:shd w:val="clear" w:color="000000" w:fill="E8F6CF"/>
            <w:vAlign w:val="center"/>
            <w:hideMark/>
          </w:tcPr>
          <w:p w14:paraId="2D5C2707" w14:textId="2528E26F" w:rsidR="005F1539" w:rsidRPr="005F1539" w:rsidRDefault="005F1539" w:rsidP="00B72410">
            <w:pPr>
              <w:spacing w:after="0" w:line="240" w:lineRule="auto"/>
              <w:jc w:val="center"/>
              <w:rPr>
                <w:rFonts w:ascii="Arial" w:eastAsia="Times New Roman" w:hAnsi="Arial" w:cs="Arial"/>
                <w:sz w:val="16"/>
                <w:szCs w:val="16"/>
                <w:lang w:eastAsia="en-AU"/>
              </w:rPr>
            </w:pPr>
          </w:p>
        </w:tc>
        <w:tc>
          <w:tcPr>
            <w:tcW w:w="1238" w:type="dxa"/>
            <w:tcBorders>
              <w:top w:val="nil"/>
              <w:left w:val="nil"/>
              <w:bottom w:val="single" w:sz="4" w:space="0" w:color="84BB20"/>
              <w:right w:val="nil"/>
            </w:tcBorders>
            <w:shd w:val="clear" w:color="000000" w:fill="E8F6CF"/>
            <w:vAlign w:val="center"/>
            <w:hideMark/>
          </w:tcPr>
          <w:p w14:paraId="4351F549" w14:textId="2C838CE0" w:rsidR="005F1539" w:rsidRPr="005F1539" w:rsidRDefault="005F1539" w:rsidP="00B72410">
            <w:pPr>
              <w:spacing w:after="0" w:line="240" w:lineRule="auto"/>
              <w:jc w:val="center"/>
              <w:rPr>
                <w:rFonts w:ascii="Arial" w:eastAsia="Times New Roman" w:hAnsi="Arial" w:cs="Arial"/>
                <w:sz w:val="16"/>
                <w:szCs w:val="16"/>
                <w:lang w:eastAsia="en-AU"/>
              </w:rPr>
            </w:pPr>
          </w:p>
        </w:tc>
        <w:tc>
          <w:tcPr>
            <w:tcW w:w="1238" w:type="dxa"/>
            <w:tcBorders>
              <w:top w:val="nil"/>
              <w:left w:val="nil"/>
              <w:bottom w:val="single" w:sz="4" w:space="0" w:color="84BB20"/>
              <w:right w:val="nil"/>
            </w:tcBorders>
            <w:shd w:val="clear" w:color="000000" w:fill="E8F6CF"/>
            <w:vAlign w:val="center"/>
            <w:hideMark/>
          </w:tcPr>
          <w:p w14:paraId="3A3BBEC5" w14:textId="4DC02AF7" w:rsidR="005F1539" w:rsidRPr="005F1539" w:rsidRDefault="005F1539" w:rsidP="00B72410">
            <w:pPr>
              <w:spacing w:after="0" w:line="240" w:lineRule="auto"/>
              <w:jc w:val="center"/>
              <w:rPr>
                <w:rFonts w:ascii="Arial" w:eastAsia="Times New Roman" w:hAnsi="Arial" w:cs="Arial"/>
                <w:sz w:val="16"/>
                <w:szCs w:val="16"/>
                <w:lang w:eastAsia="en-AU"/>
              </w:rPr>
            </w:pPr>
          </w:p>
        </w:tc>
        <w:tc>
          <w:tcPr>
            <w:tcW w:w="1465" w:type="dxa"/>
            <w:tcBorders>
              <w:top w:val="nil"/>
              <w:left w:val="nil"/>
              <w:bottom w:val="single" w:sz="4" w:space="0" w:color="84BB20"/>
              <w:right w:val="single" w:sz="4" w:space="0" w:color="84BB20"/>
            </w:tcBorders>
            <w:shd w:val="clear" w:color="000000" w:fill="BAE370"/>
            <w:vAlign w:val="center"/>
            <w:hideMark/>
          </w:tcPr>
          <w:p w14:paraId="21126FD3" w14:textId="77777777" w:rsidR="005F1539" w:rsidRPr="005F1539" w:rsidRDefault="005F1539" w:rsidP="00B72410">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Leased services face more complex infrastructure and asset arrangements</w:t>
            </w:r>
          </w:p>
        </w:tc>
      </w:tr>
      <w:tr w:rsidR="004237DF" w:rsidRPr="005F1539" w14:paraId="541D31A1" w14:textId="77777777" w:rsidTr="00C06957">
        <w:trPr>
          <w:trHeight w:val="1380"/>
        </w:trPr>
        <w:tc>
          <w:tcPr>
            <w:tcW w:w="2981" w:type="dxa"/>
            <w:tcBorders>
              <w:top w:val="nil"/>
              <w:left w:val="single" w:sz="4" w:space="0" w:color="84BB20"/>
              <w:bottom w:val="single" w:sz="4" w:space="0" w:color="84BB20"/>
              <w:right w:val="nil"/>
            </w:tcBorders>
            <w:shd w:val="clear" w:color="auto" w:fill="auto"/>
            <w:vAlign w:val="center"/>
            <w:hideMark/>
          </w:tcPr>
          <w:p w14:paraId="72F77254" w14:textId="69F8BBBD"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18</w:t>
            </w:r>
          </w:p>
        </w:tc>
        <w:tc>
          <w:tcPr>
            <w:tcW w:w="1267" w:type="dxa"/>
            <w:tcBorders>
              <w:top w:val="nil"/>
              <w:left w:val="nil"/>
              <w:bottom w:val="single" w:sz="4" w:space="0" w:color="84BB20"/>
              <w:right w:val="nil"/>
            </w:tcBorders>
            <w:shd w:val="clear" w:color="000000" w:fill="F2F2F2"/>
            <w:hideMark/>
          </w:tcPr>
          <w:p w14:paraId="19EA02D2"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BAE370"/>
            <w:vAlign w:val="center"/>
            <w:hideMark/>
          </w:tcPr>
          <w:p w14:paraId="417AE0F8" w14:textId="77777777" w:rsidR="005F1539" w:rsidRPr="005F1539" w:rsidRDefault="005F1539" w:rsidP="00C06957">
            <w:pPr>
              <w:spacing w:after="0" w:line="240" w:lineRule="auto"/>
              <w:jc w:val="center"/>
              <w:rPr>
                <w:rFonts w:eastAsia="Times New Roman" w:cs="Times New Roman"/>
                <w:color w:val="000000"/>
                <w:sz w:val="16"/>
                <w:szCs w:val="16"/>
                <w:lang w:eastAsia="en-AU"/>
              </w:rPr>
            </w:pPr>
            <w:r w:rsidRPr="005F1539">
              <w:rPr>
                <w:rFonts w:eastAsia="Times New Roman" w:cs="Times New Roman"/>
                <w:color w:val="000000"/>
                <w:sz w:val="16"/>
                <w:szCs w:val="16"/>
                <w:lang w:eastAsia="en-AU"/>
              </w:rPr>
              <w:t>Regional and remote services face greater infrastructure issues</w:t>
            </w:r>
          </w:p>
        </w:tc>
        <w:tc>
          <w:tcPr>
            <w:tcW w:w="1441" w:type="dxa"/>
            <w:tcBorders>
              <w:top w:val="nil"/>
              <w:left w:val="nil"/>
              <w:bottom w:val="single" w:sz="4" w:space="0" w:color="84BB20"/>
              <w:right w:val="nil"/>
            </w:tcBorders>
            <w:shd w:val="clear" w:color="000000" w:fill="F2F2F2"/>
            <w:hideMark/>
          </w:tcPr>
          <w:p w14:paraId="22156A27"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312" w:type="dxa"/>
            <w:tcBorders>
              <w:top w:val="nil"/>
              <w:left w:val="nil"/>
              <w:bottom w:val="single" w:sz="4" w:space="0" w:color="84BB20"/>
              <w:right w:val="nil"/>
            </w:tcBorders>
            <w:shd w:val="clear" w:color="000000" w:fill="F2F2F2"/>
            <w:hideMark/>
          </w:tcPr>
          <w:p w14:paraId="2A962EC3"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98" w:type="dxa"/>
            <w:tcBorders>
              <w:top w:val="nil"/>
              <w:left w:val="nil"/>
              <w:bottom w:val="single" w:sz="4" w:space="0" w:color="84BB20"/>
              <w:right w:val="nil"/>
            </w:tcBorders>
            <w:shd w:val="clear" w:color="000000" w:fill="F2F2F2"/>
            <w:hideMark/>
          </w:tcPr>
          <w:p w14:paraId="5E8CCB73"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145" w:type="dxa"/>
            <w:tcBorders>
              <w:top w:val="nil"/>
              <w:left w:val="nil"/>
              <w:bottom w:val="single" w:sz="4" w:space="0" w:color="84BB20"/>
              <w:right w:val="nil"/>
            </w:tcBorders>
            <w:shd w:val="clear" w:color="000000" w:fill="F2F2F2"/>
            <w:hideMark/>
          </w:tcPr>
          <w:p w14:paraId="5A65E819"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F2F2F2"/>
            <w:hideMark/>
          </w:tcPr>
          <w:p w14:paraId="1285E173"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F2F2F2"/>
            <w:hideMark/>
          </w:tcPr>
          <w:p w14:paraId="3526AE80"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BAE370"/>
            <w:hideMark/>
          </w:tcPr>
          <w:p w14:paraId="28014768"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r w:rsidR="004237DF" w:rsidRPr="005F1539" w14:paraId="74D933F6" w14:textId="77777777" w:rsidTr="00B72410">
        <w:trPr>
          <w:trHeight w:val="517"/>
        </w:trPr>
        <w:tc>
          <w:tcPr>
            <w:tcW w:w="2981" w:type="dxa"/>
            <w:tcBorders>
              <w:top w:val="nil"/>
              <w:left w:val="single" w:sz="4" w:space="0" w:color="84BB20"/>
              <w:bottom w:val="single" w:sz="4" w:space="0" w:color="84BB20"/>
              <w:right w:val="nil"/>
            </w:tcBorders>
            <w:shd w:val="clear" w:color="auto" w:fill="auto"/>
            <w:vAlign w:val="center"/>
            <w:hideMark/>
          </w:tcPr>
          <w:p w14:paraId="7F05C6F3" w14:textId="152CFBFE" w:rsidR="005F1539" w:rsidRPr="005F1539" w:rsidRDefault="005F1539" w:rsidP="005F1539">
            <w:pPr>
              <w:spacing w:after="0" w:line="240" w:lineRule="auto"/>
              <w:rPr>
                <w:rFonts w:eastAsia="Times New Roman" w:cs="Times New Roman"/>
                <w:b/>
                <w:bCs/>
                <w:color w:val="000000"/>
                <w:sz w:val="16"/>
                <w:szCs w:val="16"/>
                <w:lang w:eastAsia="en-AU"/>
              </w:rPr>
            </w:pPr>
            <w:r w:rsidRPr="005F1539">
              <w:rPr>
                <w:rFonts w:eastAsia="Times New Roman" w:cs="Times New Roman"/>
                <w:b/>
                <w:bCs/>
                <w:color w:val="000000"/>
                <w:sz w:val="16"/>
                <w:szCs w:val="16"/>
                <w:lang w:eastAsia="en-AU"/>
              </w:rPr>
              <w:t>Recommendation 19</w:t>
            </w:r>
          </w:p>
        </w:tc>
        <w:tc>
          <w:tcPr>
            <w:tcW w:w="1267" w:type="dxa"/>
            <w:tcBorders>
              <w:top w:val="nil"/>
              <w:left w:val="nil"/>
              <w:bottom w:val="single" w:sz="4" w:space="0" w:color="84BB20"/>
              <w:right w:val="nil"/>
            </w:tcBorders>
            <w:shd w:val="clear" w:color="000000" w:fill="F2F2F2"/>
            <w:hideMark/>
          </w:tcPr>
          <w:p w14:paraId="1BAE53D6"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F2F2F2"/>
            <w:hideMark/>
          </w:tcPr>
          <w:p w14:paraId="09D30074"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41" w:type="dxa"/>
            <w:tcBorders>
              <w:top w:val="nil"/>
              <w:left w:val="nil"/>
              <w:bottom w:val="single" w:sz="4" w:space="0" w:color="84BB20"/>
              <w:right w:val="nil"/>
            </w:tcBorders>
            <w:shd w:val="clear" w:color="000000" w:fill="F2F2F2"/>
            <w:hideMark/>
          </w:tcPr>
          <w:p w14:paraId="7EC50F18"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312" w:type="dxa"/>
            <w:tcBorders>
              <w:top w:val="nil"/>
              <w:left w:val="nil"/>
              <w:bottom w:val="single" w:sz="4" w:space="0" w:color="84BB20"/>
              <w:right w:val="nil"/>
            </w:tcBorders>
            <w:shd w:val="clear" w:color="000000" w:fill="F2F2F2"/>
            <w:hideMark/>
          </w:tcPr>
          <w:p w14:paraId="68E10B52"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98" w:type="dxa"/>
            <w:tcBorders>
              <w:top w:val="nil"/>
              <w:left w:val="nil"/>
              <w:bottom w:val="single" w:sz="4" w:space="0" w:color="84BB20"/>
              <w:right w:val="nil"/>
            </w:tcBorders>
            <w:shd w:val="clear" w:color="000000" w:fill="F2F2F2"/>
            <w:hideMark/>
          </w:tcPr>
          <w:p w14:paraId="1C7C2F85"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145" w:type="dxa"/>
            <w:tcBorders>
              <w:top w:val="nil"/>
              <w:left w:val="nil"/>
              <w:bottom w:val="single" w:sz="4" w:space="0" w:color="84BB20"/>
              <w:right w:val="nil"/>
            </w:tcBorders>
            <w:shd w:val="clear" w:color="000000" w:fill="F2F2F2"/>
            <w:hideMark/>
          </w:tcPr>
          <w:p w14:paraId="6337B5EA"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F2F2F2"/>
            <w:hideMark/>
          </w:tcPr>
          <w:p w14:paraId="6B4ABF7A"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238" w:type="dxa"/>
            <w:tcBorders>
              <w:top w:val="nil"/>
              <w:left w:val="nil"/>
              <w:bottom w:val="single" w:sz="4" w:space="0" w:color="84BB20"/>
              <w:right w:val="nil"/>
            </w:tcBorders>
            <w:shd w:val="clear" w:color="000000" w:fill="F2F2F2"/>
            <w:hideMark/>
          </w:tcPr>
          <w:p w14:paraId="2DA0939F"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c>
          <w:tcPr>
            <w:tcW w:w="1465" w:type="dxa"/>
            <w:tcBorders>
              <w:top w:val="nil"/>
              <w:left w:val="nil"/>
              <w:bottom w:val="single" w:sz="4" w:space="0" w:color="84BB20"/>
              <w:right w:val="single" w:sz="4" w:space="0" w:color="84BB20"/>
            </w:tcBorders>
            <w:shd w:val="clear" w:color="000000" w:fill="BAE370"/>
            <w:hideMark/>
          </w:tcPr>
          <w:p w14:paraId="044C0E9C" w14:textId="77777777" w:rsidR="005F1539" w:rsidRPr="005F1539" w:rsidRDefault="005F1539" w:rsidP="005F1539">
            <w:pPr>
              <w:spacing w:after="0" w:line="240" w:lineRule="auto"/>
              <w:rPr>
                <w:rFonts w:ascii="Arial" w:eastAsia="Times New Roman" w:hAnsi="Arial" w:cs="Arial"/>
                <w:sz w:val="16"/>
                <w:szCs w:val="16"/>
                <w:lang w:eastAsia="en-AU"/>
              </w:rPr>
            </w:pPr>
            <w:r w:rsidRPr="005F1539">
              <w:rPr>
                <w:rFonts w:ascii="Arial" w:eastAsia="Times New Roman" w:hAnsi="Arial" w:cs="Arial"/>
                <w:sz w:val="16"/>
                <w:szCs w:val="16"/>
                <w:lang w:eastAsia="en-AU"/>
              </w:rPr>
              <w:t> </w:t>
            </w:r>
          </w:p>
        </w:tc>
      </w:tr>
    </w:tbl>
    <w:p w14:paraId="5ADF46D0" w14:textId="27B3117D" w:rsidR="001D1245" w:rsidRDefault="00AD7F57" w:rsidP="00AD7F57">
      <w:pPr>
        <w:pStyle w:val="Source"/>
      </w:pPr>
      <w:r>
        <w:t>Source: Deloitte Access Economics (2024)</w:t>
      </w:r>
    </w:p>
    <w:p w14:paraId="6D13453E" w14:textId="77777777" w:rsidR="001D1245" w:rsidRDefault="001D1245" w:rsidP="008B0021"/>
    <w:p w14:paraId="1827D927" w14:textId="0EF6DA15" w:rsidR="001D1245" w:rsidRDefault="001D1245" w:rsidP="008B0021"/>
    <w:p w14:paraId="12BED63B" w14:textId="77777777" w:rsidR="00053E31" w:rsidRDefault="00053E31">
      <w:pPr>
        <w:spacing w:after="0"/>
      </w:pPr>
      <w:r>
        <w:br w:type="page"/>
      </w:r>
    </w:p>
    <w:p w14:paraId="74C7A835" w14:textId="4E9E0DB6" w:rsidR="001D1245" w:rsidRDefault="001D1245" w:rsidP="008B0021">
      <w:pPr>
        <w:sectPr w:rsidR="001D1245" w:rsidSect="001D1245">
          <w:headerReference w:type="default" r:id="rId112"/>
          <w:footerReference w:type="default" r:id="rId113"/>
          <w:headerReference w:type="first" r:id="rId114"/>
          <w:footerReference w:type="first" r:id="rId115"/>
          <w:pgSz w:w="16838" w:h="11906" w:orient="landscape" w:code="9"/>
          <w:pgMar w:top="1440" w:right="4281" w:bottom="1440" w:left="1440" w:header="680" w:footer="425" w:gutter="0"/>
          <w:cols w:space="284"/>
          <w:docGrid w:linePitch="360"/>
        </w:sectPr>
      </w:pPr>
    </w:p>
    <w:p w14:paraId="5137221E" w14:textId="6175B54C" w:rsidR="00D2715B" w:rsidRPr="00184DC5" w:rsidRDefault="00CA7E74" w:rsidP="00184DC5">
      <w:pPr>
        <w:pStyle w:val="Heading1"/>
        <w:ind w:left="964" w:hanging="964"/>
      </w:pPr>
      <w:bookmarkStart w:id="401" w:name="_Toc170227428"/>
      <w:r w:rsidRPr="00184DC5">
        <w:lastRenderedPageBreak/>
        <w:t>Considerations for implementation</w:t>
      </w:r>
      <w:bookmarkEnd w:id="398"/>
      <w:bookmarkEnd w:id="401"/>
    </w:p>
    <w:p w14:paraId="5E6DED56" w14:textId="68C405EA" w:rsidR="00861B76" w:rsidRDefault="00861B76" w:rsidP="00861B76">
      <w:pPr>
        <w:pStyle w:val="Sectionintro"/>
        <w:rPr>
          <w:lang w:val="en-GB"/>
        </w:rPr>
      </w:pPr>
      <w:r w:rsidRPr="00861B76">
        <w:rPr>
          <w:lang w:val="en-GB"/>
        </w:rPr>
        <w:t xml:space="preserve">This chapter </w:t>
      </w:r>
      <w:r w:rsidR="00C87D33">
        <w:rPr>
          <w:lang w:val="en-GB"/>
        </w:rPr>
        <w:t>outlines</w:t>
      </w:r>
      <w:r w:rsidR="00C87D33" w:rsidRPr="00861B76">
        <w:rPr>
          <w:lang w:val="en-GB"/>
        </w:rPr>
        <w:t xml:space="preserve"> </w:t>
      </w:r>
      <w:r w:rsidRPr="00861B76">
        <w:rPr>
          <w:lang w:val="en-GB"/>
        </w:rPr>
        <w:t xml:space="preserve">considerations for implementing the review recommendations. This includes lessons learned from the initial implementation of the CCCFR grant, interactions with existing policy and regulations, and a </w:t>
      </w:r>
      <w:r w:rsidR="00C87D33">
        <w:rPr>
          <w:lang w:val="en-GB"/>
        </w:rPr>
        <w:t xml:space="preserve">proposed </w:t>
      </w:r>
      <w:r w:rsidRPr="00861B76">
        <w:rPr>
          <w:lang w:val="en-GB"/>
        </w:rPr>
        <w:t>roadmap for the recommendations.</w:t>
      </w:r>
    </w:p>
    <w:p w14:paraId="3386D73A" w14:textId="1519D6FC" w:rsidR="00734B85" w:rsidRDefault="00734B85" w:rsidP="00734B85">
      <w:pPr>
        <w:spacing w:after="120"/>
      </w:pPr>
      <w:bookmarkStart w:id="402" w:name="_Ref166686059"/>
      <w:r>
        <w:t>Transition of CCCFR services to a</w:t>
      </w:r>
      <w:r w:rsidR="00C87D33">
        <w:t>ny</w:t>
      </w:r>
      <w:r>
        <w:t xml:space="preserve"> new </w:t>
      </w:r>
      <w:r w:rsidR="00C87D33">
        <w:t xml:space="preserve">policy or grant environment </w:t>
      </w:r>
      <w:r>
        <w:t xml:space="preserve">must be carefully </w:t>
      </w:r>
      <w:r w:rsidR="00C87D33">
        <w:t>planned</w:t>
      </w:r>
      <w:r>
        <w:t xml:space="preserve">, with </w:t>
      </w:r>
      <w:r w:rsidR="00C87D33">
        <w:t xml:space="preserve">community-level </w:t>
      </w:r>
      <w:r>
        <w:t xml:space="preserve">due diligence undertaken to ensure that the needs of services </w:t>
      </w:r>
      <w:r w:rsidR="00C87D33">
        <w:t xml:space="preserve">and communities </w:t>
      </w:r>
      <w:r>
        <w:t xml:space="preserve">will be appropriately supported under </w:t>
      </w:r>
      <w:r w:rsidR="00C87D33">
        <w:t xml:space="preserve">and through the transition to </w:t>
      </w:r>
      <w:r>
        <w:t>the</w:t>
      </w:r>
      <w:r w:rsidR="00C87D33">
        <w:t xml:space="preserve">ir new funding environment. </w:t>
      </w:r>
      <w:r>
        <w:t xml:space="preserve"> </w:t>
      </w:r>
    </w:p>
    <w:p w14:paraId="6B027783" w14:textId="42F73E59" w:rsidR="00B16A2E" w:rsidRDefault="00734B85" w:rsidP="00734B85">
      <w:r>
        <w:t xml:space="preserve">A key learning from the experiences of services coming into the newly created CCCFR grant in 2017-18, and in transitioning or attempting to transition to the CCS over time, is that it can be a challenging period </w:t>
      </w:r>
      <w:r w:rsidRPr="00C76AD6">
        <w:t xml:space="preserve">for services. It can compromise their ability to operate viably, </w:t>
      </w:r>
      <w:r>
        <w:t>deliver ECEC</w:t>
      </w:r>
      <w:r w:rsidRPr="00C76AD6">
        <w:t xml:space="preserve"> in ways that meet the needs of community and, ultimately, to generate the outcomes they</w:t>
      </w:r>
      <w:r>
        <w:t xml:space="preserve"> are</w:t>
      </w:r>
      <w:r w:rsidRPr="00C76AD6">
        <w:t xml:space="preserve"> striving to</w:t>
      </w:r>
      <w:r>
        <w:t xml:space="preserve"> achieve</w:t>
      </w:r>
      <w:r w:rsidRPr="00C76AD6">
        <w:t>.</w:t>
      </w:r>
      <w:r w:rsidR="00B16A2E">
        <w:t xml:space="preserve"> </w:t>
      </w:r>
      <w:r w:rsidRPr="00816574">
        <w:t xml:space="preserve">This experience cannot be repeated. </w:t>
      </w:r>
    </w:p>
    <w:p w14:paraId="0CA60983" w14:textId="13E8F4C2" w:rsidR="00734B85" w:rsidRDefault="00734B85" w:rsidP="00734B85">
      <w:r w:rsidRPr="00816574">
        <w:t>This review has carefully gathered the perspectives of CCCFR services and other stakeholders, to ensure that lessons from the past and indeed present are documented and drawn upon to inform a better future for CCCFR services and, most importantly, the children and families who would like to access these services.</w:t>
      </w:r>
    </w:p>
    <w:p w14:paraId="4C337466" w14:textId="4683BCAC" w:rsidR="00C43FDF" w:rsidRDefault="00C43FDF" w:rsidP="00C43FDF">
      <w:r>
        <w:t xml:space="preserve">This chapter sets out </w:t>
      </w:r>
      <w:r w:rsidR="00014AB4">
        <w:t>key information to support the successful implementation of the review recommendations</w:t>
      </w:r>
      <w:r w:rsidR="00392DBE">
        <w:t>:</w:t>
      </w:r>
    </w:p>
    <w:p w14:paraId="4A64C39B" w14:textId="2BC30D95" w:rsidR="000F5545" w:rsidRDefault="000F5545" w:rsidP="006126E9">
      <w:pPr>
        <w:pStyle w:val="ListBullet"/>
      </w:pPr>
      <w:r>
        <w:t xml:space="preserve">Section </w:t>
      </w:r>
      <w:r>
        <w:fldChar w:fldCharType="begin"/>
      </w:r>
      <w:r>
        <w:instrText xml:space="preserve"> REF _Ref167107246 \r \h </w:instrText>
      </w:r>
      <w:r>
        <w:fldChar w:fldCharType="separate"/>
      </w:r>
      <w:r w:rsidR="00D300D0">
        <w:t>10.1</w:t>
      </w:r>
      <w:r>
        <w:fldChar w:fldCharType="end"/>
      </w:r>
      <w:r>
        <w:t xml:space="preserve"> </w:t>
      </w:r>
      <w:r w:rsidR="00D42373">
        <w:t>overviews</w:t>
      </w:r>
      <w:r>
        <w:t xml:space="preserve"> </w:t>
      </w:r>
      <w:r w:rsidR="006A3970">
        <w:t xml:space="preserve">lessons from the </w:t>
      </w:r>
      <w:r w:rsidR="005C090A">
        <w:t xml:space="preserve">transition of services </w:t>
      </w:r>
      <w:r w:rsidR="002678DF">
        <w:t xml:space="preserve">to the CCCFR grant when it was first established </w:t>
      </w:r>
      <w:r w:rsidR="00AD218B">
        <w:t>–</w:t>
      </w:r>
      <w:r w:rsidR="002678DF">
        <w:t xml:space="preserve"> </w:t>
      </w:r>
      <w:r w:rsidR="006942B4">
        <w:t>to understand what</w:t>
      </w:r>
      <w:r w:rsidR="00091EF6">
        <w:t xml:space="preserve"> </w:t>
      </w:r>
      <w:r w:rsidR="00F41580">
        <w:t xml:space="preserve">measures and approaches </w:t>
      </w:r>
      <w:r w:rsidR="00AF7C85">
        <w:t xml:space="preserve">should purposively be built into </w:t>
      </w:r>
      <w:r w:rsidR="009E746A">
        <w:t xml:space="preserve">any </w:t>
      </w:r>
      <w:r w:rsidR="00AF7C85">
        <w:t>future transition pro</w:t>
      </w:r>
      <w:r w:rsidR="009E746A">
        <w:t xml:space="preserve">cess, </w:t>
      </w:r>
      <w:r w:rsidR="00F41580">
        <w:t>to ensure</w:t>
      </w:r>
      <w:r w:rsidR="009E746A">
        <w:t xml:space="preserve"> services, families and communities are appropriately supported</w:t>
      </w:r>
      <w:r w:rsidR="00F41580">
        <w:t xml:space="preserve"> on the journey.</w:t>
      </w:r>
    </w:p>
    <w:p w14:paraId="3847C435" w14:textId="3E8B1398" w:rsidR="00AD218B" w:rsidRDefault="00AD218B" w:rsidP="006126E9">
      <w:pPr>
        <w:pStyle w:val="ListBullet"/>
      </w:pPr>
      <w:r>
        <w:t xml:space="preserve">Section </w:t>
      </w:r>
      <w:r w:rsidR="00CA5722">
        <w:fldChar w:fldCharType="begin"/>
      </w:r>
      <w:r w:rsidR="00CA5722">
        <w:instrText xml:space="preserve"> REF _Ref167130618 \r \h </w:instrText>
      </w:r>
      <w:r w:rsidR="00CA5722">
        <w:fldChar w:fldCharType="separate"/>
      </w:r>
      <w:r w:rsidR="00D300D0">
        <w:t>10.2</w:t>
      </w:r>
      <w:r w:rsidR="00CA5722">
        <w:fldChar w:fldCharType="end"/>
      </w:r>
      <w:r>
        <w:t xml:space="preserve"> </w:t>
      </w:r>
      <w:r w:rsidR="00716422">
        <w:t>considers</w:t>
      </w:r>
      <w:r w:rsidR="00885AAF">
        <w:t>, at a high level,</w:t>
      </w:r>
      <w:r w:rsidR="00716422">
        <w:t xml:space="preserve"> </w:t>
      </w:r>
      <w:r w:rsidR="00885AAF">
        <w:t xml:space="preserve">the </w:t>
      </w:r>
      <w:r w:rsidR="00D42373">
        <w:t>type of</w:t>
      </w:r>
      <w:r w:rsidR="00885AAF">
        <w:t xml:space="preserve"> legislative and regulatory changes that may be required to implement the review recommendations.</w:t>
      </w:r>
    </w:p>
    <w:p w14:paraId="0211934D" w14:textId="37056EC7" w:rsidR="00AD218B" w:rsidRDefault="00AD218B" w:rsidP="00C7001F">
      <w:pPr>
        <w:pStyle w:val="ListBullet"/>
      </w:pPr>
      <w:r>
        <w:t xml:space="preserve">Section </w:t>
      </w:r>
      <w:r>
        <w:fldChar w:fldCharType="begin"/>
      </w:r>
      <w:r>
        <w:instrText xml:space="preserve"> REF _Ref167107387 \r \h </w:instrText>
      </w:r>
      <w:r>
        <w:fldChar w:fldCharType="separate"/>
      </w:r>
      <w:r w:rsidR="00D300D0">
        <w:t>10.3</w:t>
      </w:r>
      <w:r>
        <w:fldChar w:fldCharType="end"/>
      </w:r>
      <w:r>
        <w:t xml:space="preserve"> </w:t>
      </w:r>
      <w:r w:rsidR="00885AAF">
        <w:t xml:space="preserve">concludes with a </w:t>
      </w:r>
      <w:r w:rsidR="00D72524">
        <w:t xml:space="preserve">potential </w:t>
      </w:r>
      <w:r w:rsidR="00885AAF">
        <w:t>roadmap</w:t>
      </w:r>
      <w:r w:rsidR="00D72524">
        <w:t xml:space="preserve"> for change</w:t>
      </w:r>
      <w:r w:rsidR="00E10612">
        <w:t xml:space="preserve">, </w:t>
      </w:r>
      <w:r w:rsidR="00FF4522">
        <w:t>setting out</w:t>
      </w:r>
      <w:r w:rsidR="00790D16">
        <w:t xml:space="preserve"> how the </w:t>
      </w:r>
      <w:r w:rsidR="00AF01B8">
        <w:t xml:space="preserve">implementation </w:t>
      </w:r>
      <w:r w:rsidR="00161F79">
        <w:t xml:space="preserve">of recommendations could </w:t>
      </w:r>
      <w:r w:rsidR="004375F7">
        <w:t>be sequenced</w:t>
      </w:r>
      <w:r w:rsidR="00BA3E01">
        <w:t xml:space="preserve">, </w:t>
      </w:r>
      <w:r w:rsidR="009359C2">
        <w:t xml:space="preserve">after there is further clarity on the </w:t>
      </w:r>
      <w:r w:rsidR="00305B55">
        <w:t>direction of national early years policy</w:t>
      </w:r>
      <w:r w:rsidR="005D1C35">
        <w:t xml:space="preserve"> – including, but not limited to, </w:t>
      </w:r>
      <w:r w:rsidR="00382188">
        <w:t xml:space="preserve">the extent to which </w:t>
      </w:r>
      <w:r w:rsidR="00595BAF">
        <w:t>Produc</w:t>
      </w:r>
      <w:r w:rsidR="00413E0D">
        <w:t xml:space="preserve">tivity Commission </w:t>
      </w:r>
      <w:r w:rsidR="004E740F">
        <w:t>inquiry</w:t>
      </w:r>
      <w:r w:rsidR="00413E0D">
        <w:t xml:space="preserve"> </w:t>
      </w:r>
      <w:r w:rsidR="00B43D3B">
        <w:t xml:space="preserve">recommendations are accepted and </w:t>
      </w:r>
      <w:r w:rsidR="00C7001F">
        <w:t>implemented</w:t>
      </w:r>
      <w:r w:rsidR="00595BAF">
        <w:t>.</w:t>
      </w:r>
    </w:p>
    <w:p w14:paraId="53F6B9B5" w14:textId="6A0844A0" w:rsidR="00DC70B9" w:rsidRDefault="00DC70B9" w:rsidP="00DC70B9">
      <w:pPr>
        <w:pStyle w:val="Heading2"/>
        <w:rPr>
          <w:lang w:val="en-GB"/>
        </w:rPr>
      </w:pPr>
      <w:bookmarkStart w:id="403" w:name="_Ref167107246"/>
      <w:bookmarkStart w:id="404" w:name="_Toc170227429"/>
      <w:r w:rsidRPr="00DC70B9">
        <w:rPr>
          <w:lang w:val="en-GB"/>
        </w:rPr>
        <w:t>Lessons learned from the transition to the CCCFR grant</w:t>
      </w:r>
      <w:bookmarkEnd w:id="402"/>
      <w:bookmarkEnd w:id="403"/>
      <w:bookmarkEnd w:id="404"/>
    </w:p>
    <w:p w14:paraId="2B2E83B9" w14:textId="6EFE854D" w:rsidR="00F32702" w:rsidRDefault="001346DD" w:rsidP="00DC70B9">
      <w:pPr>
        <w:rPr>
          <w:lang w:val="en-GB"/>
        </w:rPr>
      </w:pPr>
      <w:r>
        <w:rPr>
          <w:lang w:val="en-GB"/>
        </w:rPr>
        <w:t xml:space="preserve">There are multiple lessons that can be drawn from past experience, when considering </w:t>
      </w:r>
      <w:r w:rsidR="00E03182">
        <w:rPr>
          <w:lang w:val="en-GB"/>
        </w:rPr>
        <w:t>how to optimise the implementation of review recommendations</w:t>
      </w:r>
      <w:r w:rsidR="00716A28">
        <w:rPr>
          <w:lang w:val="en-GB"/>
        </w:rPr>
        <w:t>.</w:t>
      </w:r>
    </w:p>
    <w:p w14:paraId="3B3F3F87" w14:textId="5A28E790" w:rsidR="00DC70B9" w:rsidRPr="00DC70B9" w:rsidRDefault="00DC70B9" w:rsidP="00DC70B9">
      <w:pPr>
        <w:rPr>
          <w:lang w:val="en-GB"/>
        </w:rPr>
      </w:pPr>
      <w:r w:rsidRPr="00DC70B9">
        <w:rPr>
          <w:lang w:val="en-GB"/>
        </w:rPr>
        <w:t>The review heard that the transition to the CCCFR grant has been complex and challenging for many services.</w:t>
      </w:r>
      <w:r w:rsidR="00F32702">
        <w:rPr>
          <w:rStyle w:val="FootnoteReference"/>
        </w:rPr>
        <w:footnoteReference w:id="241"/>
      </w:r>
      <w:r w:rsidRPr="00DC70B9">
        <w:rPr>
          <w:lang w:val="en-GB"/>
        </w:rPr>
        <w:t xml:space="preserve"> In some cases, services feel they are </w:t>
      </w:r>
      <w:r w:rsidRPr="00DC70B9">
        <w:rPr>
          <w:i/>
          <w:lang w:val="en-GB"/>
        </w:rPr>
        <w:t>still</w:t>
      </w:r>
      <w:r w:rsidRPr="00DC70B9">
        <w:rPr>
          <w:lang w:val="en-GB"/>
        </w:rPr>
        <w:t xml:space="preserve"> in the process of transitioning</w:t>
      </w:r>
      <w:r w:rsidR="005B4B7B">
        <w:rPr>
          <w:lang w:val="en-GB"/>
        </w:rPr>
        <w:t>,</w:t>
      </w:r>
      <w:r w:rsidRPr="00DC70B9">
        <w:rPr>
          <w:lang w:val="en-GB"/>
        </w:rPr>
        <w:t xml:space="preserve"> in that they are still learning how to operate under a ‘new’ system, even five years </w:t>
      </w:r>
      <w:r w:rsidR="00B16A2E">
        <w:rPr>
          <w:lang w:val="en-GB"/>
        </w:rPr>
        <w:t>on</w:t>
      </w:r>
      <w:r w:rsidRPr="00DC70B9">
        <w:rPr>
          <w:lang w:val="en-GB"/>
        </w:rPr>
        <w:t xml:space="preserve">. This was also exacerbated by COVID-19 impeding services’ ability to adjust, as many processes and funding mechanisms changed </w:t>
      </w:r>
      <w:r w:rsidR="00B16A2E">
        <w:rPr>
          <w:lang w:val="en-GB"/>
        </w:rPr>
        <w:t>during the pandemic</w:t>
      </w:r>
      <w:r w:rsidRPr="00DC70B9">
        <w:rPr>
          <w:lang w:val="en-GB"/>
        </w:rPr>
        <w:t xml:space="preserve">. </w:t>
      </w:r>
      <w:r w:rsidR="004F52AA" w:rsidRPr="004F52AA">
        <w:t xml:space="preserve">This section explores how lessons from the time of </w:t>
      </w:r>
      <w:r w:rsidR="004F52AA" w:rsidRPr="004F52AA">
        <w:lastRenderedPageBreak/>
        <w:t>transition and over the following period have informed the review’s recommendations and how they are most appropriately implemented</w:t>
      </w:r>
      <w:r w:rsidR="00B16A2E">
        <w:t xml:space="preserve"> to support future change</w:t>
      </w:r>
      <w:r w:rsidR="004F52AA" w:rsidRPr="004F52AA">
        <w:t>.</w:t>
      </w:r>
    </w:p>
    <w:p w14:paraId="0474F1AB" w14:textId="77777777" w:rsidR="00DC70B9" w:rsidRPr="00DC70B9" w:rsidRDefault="00DC70B9" w:rsidP="00DC70B9">
      <w:pPr>
        <w:rPr>
          <w:lang w:val="en-GB"/>
        </w:rPr>
      </w:pPr>
      <w:r w:rsidRPr="00DC70B9">
        <w:rPr>
          <w:lang w:val="en-GB"/>
        </w:rPr>
        <w:t xml:space="preserve">Some CCCFR services have been operating for decades, and expressed their frustration at multiple changes in funding structures - and the associated reporting, operating and regulatory changes – over this period. This cost of change should be factored into the implementation of any new funding mechanisms for CCCFR services. </w:t>
      </w:r>
    </w:p>
    <w:p w14:paraId="1567D583" w14:textId="77777777" w:rsidR="00DC70B9" w:rsidRPr="00DC70B9" w:rsidRDefault="00DC70B9" w:rsidP="00DC70B9">
      <w:pPr>
        <w:rPr>
          <w:lang w:val="en-GB"/>
        </w:rPr>
      </w:pPr>
      <w:r w:rsidRPr="00DC70B9">
        <w:rPr>
          <w:lang w:val="en-GB"/>
        </w:rPr>
        <w:t>The review heard from the Department and Program Officers that there were two layers of transition:</w:t>
      </w:r>
    </w:p>
    <w:p w14:paraId="4B76B265" w14:textId="77777777" w:rsidR="00DC70B9" w:rsidRPr="00DC70B9" w:rsidRDefault="00DC70B9" w:rsidP="00416EA8">
      <w:pPr>
        <w:numPr>
          <w:ilvl w:val="0"/>
          <w:numId w:val="79"/>
        </w:numPr>
        <w:rPr>
          <w:b/>
          <w:bCs/>
          <w:lang w:val="en-GB"/>
        </w:rPr>
      </w:pPr>
      <w:r w:rsidRPr="00DC70B9">
        <w:rPr>
          <w:b/>
          <w:bCs/>
          <w:lang w:val="en-GB"/>
        </w:rPr>
        <w:t xml:space="preserve">The </w:t>
      </w:r>
      <w:r w:rsidRPr="00DC70B9">
        <w:rPr>
          <w:b/>
          <w:bCs/>
          <w:i/>
          <w:iCs/>
          <w:lang w:val="en-GB"/>
        </w:rPr>
        <w:t>deeming</w:t>
      </w:r>
      <w:r w:rsidRPr="00DC70B9">
        <w:rPr>
          <w:b/>
          <w:bCs/>
          <w:lang w:val="en-GB"/>
        </w:rPr>
        <w:t xml:space="preserve"> transition (pre-CCCFR). </w:t>
      </w:r>
    </w:p>
    <w:p w14:paraId="23A6A230" w14:textId="4691EC25" w:rsidR="00DC70B9" w:rsidRPr="00DC70B9" w:rsidRDefault="00DC70B9" w:rsidP="00A369C4">
      <w:pPr>
        <w:pStyle w:val="ListBullet"/>
        <w:rPr>
          <w:lang w:val="en-GB"/>
        </w:rPr>
      </w:pPr>
      <w:r w:rsidRPr="00DC70B9">
        <w:rPr>
          <w:lang w:val="en-GB"/>
        </w:rPr>
        <w:t>Services were evaluated as to whether they were offering, or could offer, ‘child care’ in a way that met the Department of Education’s definition.</w:t>
      </w:r>
      <w:r w:rsidR="00F96275">
        <w:rPr>
          <w:rStyle w:val="FootnoteReference"/>
        </w:rPr>
        <w:footnoteReference w:id="242"/>
      </w:r>
      <w:r w:rsidRPr="00DC70B9">
        <w:rPr>
          <w:lang w:val="en-GB"/>
        </w:rPr>
        <w:t xml:space="preserve"> If services were deemed to offer child care and opted not to take the funding, there was no alternative Commonwealth funding source. </w:t>
      </w:r>
      <w:r w:rsidR="00BB2B67">
        <w:rPr>
          <w:lang w:val="en-GB"/>
        </w:rPr>
        <w:t xml:space="preserve">A total of </w:t>
      </w:r>
      <w:r w:rsidRPr="00DC70B9">
        <w:rPr>
          <w:lang w:val="en-GB"/>
        </w:rPr>
        <w:t xml:space="preserve">16 services closed down in the process of transitioning from BBF. In order to meet the definition of child care, and therefore to receive funding, some services had to commit to changing their operations before receiving the CCCFR grant. Examples provided to the review include a program with a youth justice intervention focus transitioning to an Out of School Hours program and various creches and Multifunctional Aboriginal Children’s Services transitioning formally to centre-based day care services. </w:t>
      </w:r>
    </w:p>
    <w:p w14:paraId="2E794E98" w14:textId="77777777" w:rsidR="00A369C4" w:rsidRPr="00DC70B9" w:rsidRDefault="00A369C4" w:rsidP="00A369C4">
      <w:pPr>
        <w:pStyle w:val="ListBullet"/>
        <w:numPr>
          <w:ilvl w:val="0"/>
          <w:numId w:val="0"/>
        </w:numPr>
        <w:ind w:left="340" w:hanging="340"/>
        <w:rPr>
          <w:lang w:val="en-GB"/>
        </w:rPr>
      </w:pPr>
    </w:p>
    <w:p w14:paraId="4AA8C894" w14:textId="77777777" w:rsidR="00DC70B9" w:rsidRPr="00DC70B9" w:rsidRDefault="00DC70B9" w:rsidP="00416EA8">
      <w:pPr>
        <w:numPr>
          <w:ilvl w:val="0"/>
          <w:numId w:val="79"/>
        </w:numPr>
        <w:rPr>
          <w:b/>
          <w:bCs/>
          <w:lang w:val="en-GB"/>
        </w:rPr>
      </w:pPr>
      <w:r w:rsidRPr="00DC70B9">
        <w:rPr>
          <w:b/>
          <w:bCs/>
          <w:lang w:val="en-GB"/>
        </w:rPr>
        <w:t xml:space="preserve">The </w:t>
      </w:r>
      <w:r w:rsidRPr="00DC70B9">
        <w:rPr>
          <w:b/>
          <w:bCs/>
          <w:i/>
          <w:iCs/>
          <w:lang w:val="en-GB"/>
        </w:rPr>
        <w:t xml:space="preserve">financial and operational </w:t>
      </w:r>
      <w:r w:rsidRPr="00DC70B9">
        <w:rPr>
          <w:b/>
          <w:bCs/>
          <w:lang w:val="en-GB"/>
        </w:rPr>
        <w:t>transition (transitioning to CCCFR)</w:t>
      </w:r>
    </w:p>
    <w:p w14:paraId="4823B7FF" w14:textId="77777777" w:rsidR="00DC70B9" w:rsidRPr="00DC70B9" w:rsidRDefault="00DC70B9" w:rsidP="00A369C4">
      <w:pPr>
        <w:pStyle w:val="ListBullet"/>
        <w:rPr>
          <w:lang w:val="en-GB"/>
        </w:rPr>
      </w:pPr>
      <w:r w:rsidRPr="00DC70B9">
        <w:rPr>
          <w:lang w:val="en-GB"/>
        </w:rPr>
        <w:t xml:space="preserve">Once services had been deemed and altered their program offerings as required, then they transitioned to the CCCFR grant and the CCS funding system. This included new IT systems and processes, new reporting requirements, new budgeting templates, and new funding guidelines. Some services were better equipped to deal with these changes than others; particularly services with good infrastructure, internet connectivity and provider-level support such as accounting support. </w:t>
      </w:r>
    </w:p>
    <w:p w14:paraId="1D569080" w14:textId="77777777" w:rsidR="00DC70B9" w:rsidRPr="00DC70B9" w:rsidRDefault="00DC70B9" w:rsidP="00B51EA7">
      <w:pPr>
        <w:spacing w:before="170"/>
        <w:rPr>
          <w:lang w:val="en-GB"/>
        </w:rPr>
      </w:pPr>
      <w:r w:rsidRPr="00DC70B9">
        <w:rPr>
          <w:lang w:val="en-GB"/>
        </w:rPr>
        <w:t>Issues transitioning to the Child Care Package are well documented through the evaluation of the Child Care Package, which notes that these issues were compounded for CCCFR services.</w:t>
      </w:r>
      <w:r w:rsidRPr="00DC70B9">
        <w:rPr>
          <w:vertAlign w:val="superscript"/>
        </w:rPr>
        <w:endnoteReference w:id="2"/>
      </w:r>
      <w:r w:rsidRPr="00DC70B9">
        <w:rPr>
          <w:lang w:val="en-GB"/>
        </w:rPr>
        <w:t xml:space="preserve"> The most pertinent lessons learned from these transition processes for future implementation are outlined below. These themes are additive to the Child Care Package evaluation findings and have influenced and informed this review’s recommendations.  </w:t>
      </w:r>
    </w:p>
    <w:p w14:paraId="1CF23054" w14:textId="77777777" w:rsidR="00DC70B9" w:rsidRPr="00DC70B9" w:rsidRDefault="00DC70B9" w:rsidP="00DC70B9">
      <w:pPr>
        <w:rPr>
          <w:b/>
          <w:bCs/>
          <w:lang w:val="en-GB"/>
        </w:rPr>
      </w:pPr>
      <w:r w:rsidRPr="00DC70B9">
        <w:rPr>
          <w:b/>
          <w:bCs/>
          <w:lang w:val="en-GB"/>
        </w:rPr>
        <w:t>Consultation with communities and families</w:t>
      </w:r>
    </w:p>
    <w:p w14:paraId="1234D857" w14:textId="131E6BDC" w:rsidR="00DC70B9" w:rsidRPr="00DC70B9" w:rsidRDefault="00DC70B9" w:rsidP="00DC70B9">
      <w:pPr>
        <w:rPr>
          <w:lang w:val="en-GB"/>
        </w:rPr>
      </w:pPr>
      <w:r w:rsidRPr="00DC70B9">
        <w:rPr>
          <w:lang w:val="en-GB"/>
        </w:rPr>
        <w:t xml:space="preserve">The review heard that there was </w:t>
      </w:r>
      <w:r w:rsidR="00B16A2E">
        <w:rPr>
          <w:lang w:val="en-GB"/>
        </w:rPr>
        <w:t>insufficient</w:t>
      </w:r>
      <w:r w:rsidR="00B16A2E" w:rsidRPr="00DC70B9">
        <w:rPr>
          <w:lang w:val="en-GB"/>
        </w:rPr>
        <w:t xml:space="preserve"> </w:t>
      </w:r>
      <w:r w:rsidRPr="00DC70B9">
        <w:rPr>
          <w:lang w:val="en-GB"/>
        </w:rPr>
        <w:t xml:space="preserve">consideration given to </w:t>
      </w:r>
      <w:r w:rsidR="00B16A2E">
        <w:rPr>
          <w:lang w:val="en-GB"/>
        </w:rPr>
        <w:t>the views of</w:t>
      </w:r>
      <w:r w:rsidRPr="00DC70B9">
        <w:rPr>
          <w:lang w:val="en-GB"/>
        </w:rPr>
        <w:t xml:space="preserve"> communities about the services they needed and wanted in order to provide education and care for their children. Services and </w:t>
      </w:r>
      <w:r w:rsidR="00B16A2E">
        <w:rPr>
          <w:lang w:val="en-GB"/>
        </w:rPr>
        <w:t>P</w:t>
      </w:r>
      <w:r w:rsidR="00B16A2E" w:rsidRPr="00DC70B9">
        <w:rPr>
          <w:lang w:val="en-GB"/>
        </w:rPr>
        <w:t xml:space="preserve">rogram </w:t>
      </w:r>
      <w:r w:rsidR="00B16A2E">
        <w:rPr>
          <w:lang w:val="en-GB"/>
        </w:rPr>
        <w:t>O</w:t>
      </w:r>
      <w:r w:rsidR="00B16A2E" w:rsidRPr="00DC70B9">
        <w:rPr>
          <w:lang w:val="en-GB"/>
        </w:rPr>
        <w:t xml:space="preserve">fficers </w:t>
      </w:r>
      <w:r w:rsidRPr="00DC70B9">
        <w:rPr>
          <w:lang w:val="en-GB"/>
        </w:rPr>
        <w:t xml:space="preserve">suggested that for some communities, the relatively narrow definition of ‘child care’ (as stipulated by the CCCFR grant) does not meet their needs, nor is it the best way to improve child development outcomes. Moreover, some features of the way the CCCFR grant requires services to operate mean that even if the child care service is </w:t>
      </w:r>
      <w:r w:rsidR="00B16A2E">
        <w:rPr>
          <w:lang w:val="en-GB"/>
        </w:rPr>
        <w:t>meeting its formal obligations</w:t>
      </w:r>
      <w:r w:rsidRPr="00DC70B9">
        <w:rPr>
          <w:lang w:val="en-GB"/>
        </w:rPr>
        <w:t xml:space="preserve">, communities may not use </w:t>
      </w:r>
      <w:r w:rsidR="00B16A2E">
        <w:rPr>
          <w:lang w:val="en-GB"/>
        </w:rPr>
        <w:t>it</w:t>
      </w:r>
      <w:r w:rsidR="00B16A2E" w:rsidRPr="00DC70B9">
        <w:rPr>
          <w:lang w:val="en-GB"/>
        </w:rPr>
        <w:t xml:space="preserve"> </w:t>
      </w:r>
      <w:r w:rsidRPr="00DC70B9">
        <w:rPr>
          <w:lang w:val="en-GB"/>
        </w:rPr>
        <w:t xml:space="preserve">– for instance, due to fees or the expectation of leaving a child without a family member. For more detail on the links between child care and child development outcomes and community expectations for services, see </w:t>
      </w:r>
      <w:r w:rsidR="00EC39B7">
        <w:rPr>
          <w:lang w:val="en-GB"/>
        </w:rPr>
        <w:t>Section</w:t>
      </w:r>
      <w:r w:rsidRPr="00DC70B9">
        <w:rPr>
          <w:lang w:val="en-GB"/>
        </w:rPr>
        <w:t xml:space="preserve"> </w:t>
      </w:r>
      <w:r w:rsidR="00EC39B7">
        <w:rPr>
          <w:lang w:val="en-GB"/>
        </w:rPr>
        <w:fldChar w:fldCharType="begin"/>
      </w:r>
      <w:r w:rsidR="00EC39B7">
        <w:rPr>
          <w:lang w:val="en-GB"/>
        </w:rPr>
        <w:instrText xml:space="preserve"> REF _Ref152664728 \r \h </w:instrText>
      </w:r>
      <w:r w:rsidR="00EC39B7">
        <w:rPr>
          <w:lang w:val="en-GB"/>
        </w:rPr>
      </w:r>
      <w:r w:rsidR="00EC39B7">
        <w:rPr>
          <w:lang w:val="en-GB"/>
        </w:rPr>
        <w:fldChar w:fldCharType="separate"/>
      </w:r>
      <w:r w:rsidR="00D300D0">
        <w:rPr>
          <w:lang w:val="en-GB"/>
        </w:rPr>
        <w:t>5.4</w:t>
      </w:r>
      <w:r w:rsidR="00EC39B7">
        <w:rPr>
          <w:lang w:val="en-GB"/>
        </w:rPr>
        <w:fldChar w:fldCharType="end"/>
      </w:r>
      <w:r w:rsidRPr="00DC70B9">
        <w:rPr>
          <w:lang w:val="en-GB"/>
        </w:rPr>
        <w:t xml:space="preserve">. </w:t>
      </w:r>
    </w:p>
    <w:p w14:paraId="105C4292" w14:textId="77777777" w:rsidR="00DC70B9" w:rsidRPr="00DC70B9" w:rsidRDefault="00DC70B9" w:rsidP="00DC70B9">
      <w:pPr>
        <w:rPr>
          <w:lang w:val="en-GB"/>
        </w:rPr>
      </w:pPr>
      <w:r w:rsidRPr="00DC70B9">
        <w:rPr>
          <w:lang w:val="en-GB"/>
        </w:rPr>
        <w:t xml:space="preserve">Consultation on the draft program guidelines was held for approximately a month in May-June 2017. Services, providers and other key stakeholders were invited by email to provide feedback using an online survey and by email. Feedback sessions also took place in capital cities, some regional locations and webinar presentations. However, the short timeframe may have impeded services’ ability to consult meaningfully with their communities, and there is no record of explicit expectation that they do so. </w:t>
      </w:r>
    </w:p>
    <w:p w14:paraId="3E72A106" w14:textId="62CBD350" w:rsidR="00DC70B9" w:rsidRPr="00DC70B9" w:rsidRDefault="00DC70B9" w:rsidP="00DC70B9">
      <w:pPr>
        <w:rPr>
          <w:i/>
          <w:iCs/>
          <w:lang w:val="en-GB"/>
        </w:rPr>
      </w:pPr>
      <w:r w:rsidRPr="00DC70B9">
        <w:rPr>
          <w:i/>
          <w:iCs/>
          <w:lang w:val="en-GB"/>
        </w:rPr>
        <w:lastRenderedPageBreak/>
        <w:t xml:space="preserve">This theme underpins recommendations </w:t>
      </w:r>
      <w:r w:rsidR="00A0619E">
        <w:rPr>
          <w:i/>
          <w:iCs/>
          <w:lang w:val="en-GB"/>
        </w:rPr>
        <w:t>1</w:t>
      </w:r>
      <w:r w:rsidR="00271AEB">
        <w:rPr>
          <w:i/>
          <w:iCs/>
          <w:lang w:val="en-GB"/>
        </w:rPr>
        <w:t xml:space="preserve">, 3 and 4. </w:t>
      </w:r>
    </w:p>
    <w:p w14:paraId="4E982FAE" w14:textId="77777777" w:rsidR="00DC70B9" w:rsidRPr="00DC70B9" w:rsidRDefault="00DC70B9" w:rsidP="00DC70B9">
      <w:pPr>
        <w:rPr>
          <w:b/>
          <w:bCs/>
          <w:lang w:val="en-GB"/>
        </w:rPr>
      </w:pPr>
      <w:r w:rsidRPr="00DC70B9">
        <w:rPr>
          <w:b/>
          <w:bCs/>
          <w:lang w:val="en-GB"/>
        </w:rPr>
        <w:t>Communication with communities and families</w:t>
      </w:r>
    </w:p>
    <w:p w14:paraId="3F6A1182" w14:textId="44586357" w:rsidR="00DC70B9" w:rsidRPr="00DC70B9" w:rsidRDefault="00DC70B9" w:rsidP="00DC70B9">
      <w:pPr>
        <w:rPr>
          <w:lang w:val="en-GB"/>
        </w:rPr>
      </w:pPr>
      <w:r w:rsidRPr="00DC70B9">
        <w:rPr>
          <w:lang w:val="en-GB"/>
        </w:rPr>
        <w:t xml:space="preserve">Services took on the responsibility  of communicating program changes, fee changes, and changes in enrolments and data sought from families. Both Departmental staff and service providers spoke to the lack of available support, including a lack of support from Centrelink teams that was promised, in communicating such changes with their local communities. As services were also working out the impacts of the new system on their operations, they had to simultaneously support families to do so. </w:t>
      </w:r>
    </w:p>
    <w:p w14:paraId="306A948E" w14:textId="4F04323D" w:rsidR="00DC70B9" w:rsidRPr="00DC70B9" w:rsidRDefault="00DC70B9" w:rsidP="00DC70B9">
      <w:pPr>
        <w:rPr>
          <w:i/>
          <w:iCs/>
          <w:lang w:val="en-GB"/>
        </w:rPr>
      </w:pPr>
      <w:r w:rsidRPr="00DC70B9">
        <w:rPr>
          <w:i/>
          <w:iCs/>
          <w:lang w:val="en-GB"/>
        </w:rPr>
        <w:t xml:space="preserve">This theme underpins recommendations </w:t>
      </w:r>
      <w:r w:rsidR="0017394A">
        <w:rPr>
          <w:i/>
          <w:iCs/>
          <w:lang w:val="en-GB"/>
        </w:rPr>
        <w:t xml:space="preserve">3 and 6. </w:t>
      </w:r>
      <w:r w:rsidRPr="00DC70B9">
        <w:rPr>
          <w:i/>
          <w:iCs/>
          <w:lang w:val="en-GB"/>
        </w:rPr>
        <w:t xml:space="preserve"> </w:t>
      </w:r>
    </w:p>
    <w:p w14:paraId="03D1EB80" w14:textId="77777777" w:rsidR="00DC70B9" w:rsidRPr="00DC70B9" w:rsidRDefault="00DC70B9" w:rsidP="00DC70B9">
      <w:pPr>
        <w:rPr>
          <w:b/>
          <w:bCs/>
          <w:lang w:val="en-GB"/>
        </w:rPr>
      </w:pPr>
      <w:r w:rsidRPr="00DC70B9">
        <w:rPr>
          <w:b/>
          <w:bCs/>
          <w:lang w:val="en-GB"/>
        </w:rPr>
        <w:t>Inter-departmental decision making</w:t>
      </w:r>
    </w:p>
    <w:p w14:paraId="27442DCC" w14:textId="0F6377D1" w:rsidR="00DC70B9" w:rsidRPr="00DC70B9" w:rsidRDefault="00DC70B9" w:rsidP="00DC70B9">
      <w:pPr>
        <w:rPr>
          <w:lang w:val="en-GB"/>
        </w:rPr>
      </w:pPr>
      <w:r w:rsidRPr="00DC70B9">
        <w:rPr>
          <w:lang w:val="en-GB"/>
        </w:rPr>
        <w:t xml:space="preserve">As discussed in </w:t>
      </w:r>
      <w:r w:rsidR="00367648" w:rsidRPr="00C467EF">
        <w:rPr>
          <w:lang w:val="en-GB"/>
        </w:rPr>
        <w:t>section</w:t>
      </w:r>
      <w:r w:rsidRPr="00C467EF">
        <w:rPr>
          <w:lang w:val="en-GB"/>
        </w:rPr>
        <w:t xml:space="preserve"> </w:t>
      </w:r>
      <w:r w:rsidR="00C467EF" w:rsidRPr="00C467EF">
        <w:rPr>
          <w:lang w:val="en-GB"/>
        </w:rPr>
        <w:fldChar w:fldCharType="begin"/>
      </w:r>
      <w:r w:rsidR="00C467EF" w:rsidRPr="00C467EF">
        <w:rPr>
          <w:lang w:val="en-GB"/>
        </w:rPr>
        <w:instrText xml:space="preserve"> REF _Ref166864015 \r \h </w:instrText>
      </w:r>
      <w:r w:rsidR="00C467EF">
        <w:rPr>
          <w:lang w:val="en-GB"/>
        </w:rPr>
        <w:instrText xml:space="preserve"> \* MERGEFORMAT </w:instrText>
      </w:r>
      <w:r w:rsidR="00C467EF" w:rsidRPr="00C467EF">
        <w:rPr>
          <w:lang w:val="en-GB"/>
        </w:rPr>
      </w:r>
      <w:r w:rsidR="00C467EF" w:rsidRPr="00C467EF">
        <w:rPr>
          <w:lang w:val="en-GB"/>
        </w:rPr>
        <w:fldChar w:fldCharType="separate"/>
      </w:r>
      <w:r w:rsidR="00D300D0">
        <w:rPr>
          <w:lang w:val="en-GB"/>
        </w:rPr>
        <w:t>2.1</w:t>
      </w:r>
      <w:r w:rsidR="00C467EF" w:rsidRPr="00C467EF">
        <w:rPr>
          <w:lang w:val="en-GB"/>
        </w:rPr>
        <w:fldChar w:fldCharType="end"/>
      </w:r>
      <w:r w:rsidRPr="00C467EF">
        <w:rPr>
          <w:lang w:val="en-GB"/>
        </w:rPr>
        <w:t>,</w:t>
      </w:r>
      <w:r w:rsidRPr="00DC70B9">
        <w:rPr>
          <w:lang w:val="en-GB"/>
        </w:rPr>
        <w:t xml:space="preserve"> some services transitioned first to the </w:t>
      </w:r>
      <w:r w:rsidR="00C467EF">
        <w:rPr>
          <w:lang w:val="en-GB"/>
        </w:rPr>
        <w:t>P&amp;C</w:t>
      </w:r>
      <w:r w:rsidRPr="00DC70B9">
        <w:rPr>
          <w:lang w:val="en-GB"/>
        </w:rPr>
        <w:t xml:space="preserve"> and then to the CCCFR grant. This impacted services’ ability to plan and to communicate with their families and communities. Moreover, these services missed the period of grant agreement negotiation and capital works applications, meaning it was a ‘scramble’ to finalise their financial situation. Inter-departmental communication, agreeing on either which portfolios services should be situated in, or agreed joint and cross-departmental responsibilities, would support services and enable them to plan better. </w:t>
      </w:r>
    </w:p>
    <w:p w14:paraId="7D9DA999" w14:textId="16DBBC2C" w:rsidR="00DC70B9" w:rsidRPr="00DC70B9" w:rsidRDefault="00DC70B9" w:rsidP="00DC70B9">
      <w:pPr>
        <w:rPr>
          <w:i/>
          <w:iCs/>
          <w:lang w:val="en-GB"/>
        </w:rPr>
      </w:pPr>
      <w:r w:rsidRPr="00DC70B9">
        <w:rPr>
          <w:i/>
          <w:iCs/>
          <w:lang w:val="en-GB"/>
        </w:rPr>
        <w:t xml:space="preserve">This theme underpins recommendations </w:t>
      </w:r>
      <w:r w:rsidR="00CA4E7C">
        <w:rPr>
          <w:i/>
          <w:iCs/>
          <w:lang w:val="en-GB"/>
        </w:rPr>
        <w:t xml:space="preserve">1, 4 and 5. </w:t>
      </w:r>
      <w:r w:rsidRPr="00DC70B9">
        <w:rPr>
          <w:i/>
          <w:iCs/>
          <w:lang w:val="en-GB"/>
        </w:rPr>
        <w:t xml:space="preserve"> </w:t>
      </w:r>
    </w:p>
    <w:p w14:paraId="24803F28" w14:textId="77777777" w:rsidR="00DC70B9" w:rsidRPr="00DC70B9" w:rsidRDefault="00DC70B9" w:rsidP="00DC70B9">
      <w:pPr>
        <w:rPr>
          <w:b/>
          <w:bCs/>
          <w:lang w:val="en-GB"/>
        </w:rPr>
      </w:pPr>
      <w:r w:rsidRPr="00DC70B9">
        <w:rPr>
          <w:b/>
          <w:bCs/>
          <w:lang w:val="en-GB"/>
        </w:rPr>
        <w:t>Length of time to transition</w:t>
      </w:r>
    </w:p>
    <w:p w14:paraId="67039CA6" w14:textId="7066976A" w:rsidR="00DC70B9" w:rsidRPr="00DC70B9" w:rsidRDefault="00DC70B9" w:rsidP="00DC70B9">
      <w:r w:rsidRPr="00DC70B9">
        <w:t xml:space="preserve">The length of time to successfully transition to the new funding system is different for each service, if it is even possible under the current policy environment. The review heard that a substantial number of services still face challenges under the new system, explored at length in chapters 6, 7, and 8, suggesting that their transition is still ongoing. While some services have made greater progress, the review heard that five years was an ‘optimistic’ timeframe for the CCCFR grant as a whole. This is due to the extent of the change and the level and nature of barriers that many services face.  </w:t>
      </w:r>
    </w:p>
    <w:p w14:paraId="109D7236" w14:textId="3B73F744" w:rsidR="00DC70B9" w:rsidRPr="00DC70B9" w:rsidRDefault="00DC70B9" w:rsidP="00DC70B9">
      <w:pPr>
        <w:rPr>
          <w:i/>
          <w:iCs/>
          <w:lang w:val="en-GB"/>
        </w:rPr>
      </w:pPr>
      <w:r w:rsidRPr="00DC70B9">
        <w:rPr>
          <w:i/>
          <w:iCs/>
          <w:lang w:val="en-GB"/>
        </w:rPr>
        <w:t>This theme underpins recommendation</w:t>
      </w:r>
      <w:r w:rsidR="00CA4E7C">
        <w:rPr>
          <w:i/>
          <w:iCs/>
          <w:lang w:val="en-GB"/>
        </w:rPr>
        <w:t xml:space="preserve"> 3. </w:t>
      </w:r>
      <w:r w:rsidRPr="00DC70B9">
        <w:rPr>
          <w:i/>
          <w:iCs/>
          <w:lang w:val="en-GB"/>
        </w:rPr>
        <w:t xml:space="preserve"> </w:t>
      </w:r>
    </w:p>
    <w:p w14:paraId="0333364C" w14:textId="77777777" w:rsidR="00DC70B9" w:rsidRPr="00DC70B9" w:rsidRDefault="00DC70B9" w:rsidP="00DC70B9">
      <w:pPr>
        <w:rPr>
          <w:b/>
          <w:bCs/>
          <w:lang w:val="en-GB"/>
        </w:rPr>
      </w:pPr>
      <w:r w:rsidRPr="00DC70B9">
        <w:rPr>
          <w:b/>
          <w:bCs/>
          <w:lang w:val="en-GB"/>
        </w:rPr>
        <w:t>Preparation for the new system</w:t>
      </w:r>
    </w:p>
    <w:p w14:paraId="30A677C8" w14:textId="77777777" w:rsidR="00B40BDE" w:rsidRDefault="00DC70B9" w:rsidP="00DC70B9">
      <w:pPr>
        <w:rPr>
          <w:lang w:val="en-GB"/>
        </w:rPr>
      </w:pPr>
      <w:r w:rsidRPr="00DC70B9">
        <w:rPr>
          <w:lang w:val="en-GB"/>
        </w:rPr>
        <w:t xml:space="preserve">The length of time to transition may also reflect an inadequate amount of time to prepare for transition and the appropriateness and quality of supports prior to transition. Some examples of challenges associated with preparation for the new system are discussed in the Child Care Package evaluation, such as issues with new IT systems and PRODA registrations, long wait times and incorrect advice provided to families by Centrelink and administrative burden. The evaluation notes the administrative burden had a greater impact on rural and remote services, and notes that many former BBF services faced these challenges in addition to transitioning to a new funding model. </w:t>
      </w:r>
    </w:p>
    <w:p w14:paraId="5EB6A952" w14:textId="7185AF64" w:rsidR="00DC70B9" w:rsidRDefault="00DC70B9" w:rsidP="00DC70B9">
      <w:pPr>
        <w:rPr>
          <w:lang w:val="en-GB"/>
        </w:rPr>
      </w:pPr>
      <w:r w:rsidRPr="00DC70B9">
        <w:rPr>
          <w:lang w:val="en-GB"/>
        </w:rPr>
        <w:t xml:space="preserve">Some Department representatives also felt underprepared to support services through their transition, particularly those who did not have extensive experience under the BBF model. Services worked with both PwC transition consultants and the Department, with some services who had not engaged with PwC only engaging with the Department. In these instances, Departmental preparation would have been more critical, to enable POs to support services.  </w:t>
      </w:r>
    </w:p>
    <w:p w14:paraId="18DC6358" w14:textId="156C4B6C" w:rsidR="000D6AA9" w:rsidRPr="00DC70B9" w:rsidRDefault="000D6AA9" w:rsidP="00DC70B9">
      <w:pPr>
        <w:rPr>
          <w:lang w:val="en-GB"/>
        </w:rPr>
      </w:pPr>
      <w:r w:rsidRPr="00E6008E">
        <w:rPr>
          <w:lang w:val="en-GB"/>
        </w:rPr>
        <w:t xml:space="preserve">In thinking about </w:t>
      </w:r>
      <w:r w:rsidR="00E53091" w:rsidRPr="00E6008E">
        <w:rPr>
          <w:lang w:val="en-GB"/>
        </w:rPr>
        <w:t>the</w:t>
      </w:r>
      <w:r w:rsidRPr="00E6008E">
        <w:rPr>
          <w:lang w:val="en-GB"/>
        </w:rPr>
        <w:t xml:space="preserve"> future </w:t>
      </w:r>
      <w:r w:rsidR="004065BB" w:rsidRPr="00E6008E">
        <w:rPr>
          <w:lang w:val="en-GB"/>
        </w:rPr>
        <w:t>direction</w:t>
      </w:r>
      <w:r w:rsidRPr="00E6008E">
        <w:rPr>
          <w:lang w:val="en-GB"/>
        </w:rPr>
        <w:t xml:space="preserve"> for CCCFR services, </w:t>
      </w:r>
      <w:r w:rsidR="00F76B0D" w:rsidRPr="00E6008E">
        <w:rPr>
          <w:lang w:val="en-GB"/>
        </w:rPr>
        <w:t xml:space="preserve">Recommendation </w:t>
      </w:r>
      <w:r w:rsidR="004065BB" w:rsidRPr="00E6008E">
        <w:rPr>
          <w:lang w:val="en-GB"/>
        </w:rPr>
        <w:t>2</w:t>
      </w:r>
      <w:r w:rsidR="00F76B0D" w:rsidRPr="00E6008E">
        <w:rPr>
          <w:lang w:val="en-GB"/>
        </w:rPr>
        <w:t xml:space="preserve"> articulates that </w:t>
      </w:r>
      <w:r w:rsidR="004065BB" w:rsidRPr="00E6008E">
        <w:rPr>
          <w:lang w:val="en-GB"/>
        </w:rPr>
        <w:t>any decision to transition services should be undertaken on a case-by-case basis, considering the local context and needs of services and communities. This would undoubtably include ensuring that all contextual information about a service</w:t>
      </w:r>
      <w:r w:rsidR="00E6008E" w:rsidRPr="00E6008E">
        <w:rPr>
          <w:lang w:val="en-GB"/>
        </w:rPr>
        <w:t>,</w:t>
      </w:r>
      <w:r w:rsidR="004065BB" w:rsidRPr="00E6008E">
        <w:rPr>
          <w:lang w:val="en-GB"/>
        </w:rPr>
        <w:t xml:space="preserve"> includ</w:t>
      </w:r>
      <w:r w:rsidR="00E6008E" w:rsidRPr="00E6008E">
        <w:rPr>
          <w:lang w:val="en-GB"/>
        </w:rPr>
        <w:t>ing</w:t>
      </w:r>
      <w:r w:rsidR="004065BB" w:rsidRPr="00E6008E">
        <w:rPr>
          <w:lang w:val="en-GB"/>
        </w:rPr>
        <w:t xml:space="preserve"> through existing documentation and discussions with Program Officers</w:t>
      </w:r>
      <w:r w:rsidR="00E6008E" w:rsidRPr="00E6008E">
        <w:rPr>
          <w:lang w:val="en-GB"/>
        </w:rPr>
        <w:t>,</w:t>
      </w:r>
      <w:r w:rsidR="004065BB" w:rsidRPr="00E6008E">
        <w:rPr>
          <w:lang w:val="en-GB"/>
        </w:rPr>
        <w:t xml:space="preserve"> be transferred to the new agency or governmental area responsible for overseeing the ongoing sustainability of the service.</w:t>
      </w:r>
    </w:p>
    <w:p w14:paraId="6DC2BD66" w14:textId="549A0C29" w:rsidR="00B564E1" w:rsidRDefault="00DC70B9" w:rsidP="00DC70B9">
      <w:pPr>
        <w:rPr>
          <w:i/>
          <w:iCs/>
          <w:lang w:val="en-GB"/>
        </w:rPr>
      </w:pPr>
      <w:r w:rsidRPr="00DC70B9">
        <w:rPr>
          <w:i/>
          <w:iCs/>
          <w:lang w:val="en-GB"/>
        </w:rPr>
        <w:t xml:space="preserve">This theme underpins recommendations </w:t>
      </w:r>
      <w:r w:rsidR="00DC2584">
        <w:rPr>
          <w:i/>
          <w:iCs/>
          <w:lang w:val="en-GB"/>
        </w:rPr>
        <w:t xml:space="preserve">1, 2, </w:t>
      </w:r>
      <w:r w:rsidR="008D0C88">
        <w:rPr>
          <w:i/>
          <w:iCs/>
          <w:lang w:val="en-GB"/>
        </w:rPr>
        <w:t xml:space="preserve">3, 4 and 5. </w:t>
      </w:r>
    </w:p>
    <w:p w14:paraId="225DDFD5" w14:textId="4FA6E8F2" w:rsidR="00484715" w:rsidRDefault="00484715" w:rsidP="00A522AC">
      <w:pPr>
        <w:pStyle w:val="Heading2"/>
      </w:pPr>
      <w:bookmarkStart w:id="405" w:name="_Ref167130618"/>
      <w:bookmarkStart w:id="406" w:name="_Toc170227430"/>
      <w:r>
        <w:lastRenderedPageBreak/>
        <w:t>Potential legislative and regulatory implications</w:t>
      </w:r>
      <w:bookmarkEnd w:id="405"/>
      <w:bookmarkEnd w:id="406"/>
    </w:p>
    <w:p w14:paraId="5DC3D4C1" w14:textId="4322E798" w:rsidR="00866C71" w:rsidRDefault="00866C71" w:rsidP="00866C71">
      <w:r w:rsidRPr="00453440">
        <w:t>As identified</w:t>
      </w:r>
      <w:r w:rsidRPr="2D49B457">
        <w:t xml:space="preserve"> throughout this review, many CCCFR grant services are not deemed within scope of the NQF under the National Law and Regulations or other state and territory residual legislation.</w:t>
      </w:r>
    </w:p>
    <w:p w14:paraId="3CC5CE99" w14:textId="2D1B97C0" w:rsidR="00866C71" w:rsidRDefault="00866C71" w:rsidP="00866C71">
      <w:r w:rsidRPr="2D49B457">
        <w:t xml:space="preserve">Several recommendations </w:t>
      </w:r>
      <w:r w:rsidR="00AE4EB5">
        <w:t>made by this review</w:t>
      </w:r>
      <w:r w:rsidRPr="2D49B457">
        <w:t xml:space="preserve"> relate to the NQF, in particular the transition of CCCFR services to within scope of the NQF in circumstances where preconditions for ongoing financial and operational sustainability are met.</w:t>
      </w:r>
    </w:p>
    <w:p w14:paraId="0B939F4C" w14:textId="048EED83" w:rsidR="00866C71" w:rsidRDefault="00866C71" w:rsidP="00866C71">
      <w:r w:rsidRPr="2D49B457">
        <w:t xml:space="preserve">To achieve the implementation of </w:t>
      </w:r>
      <w:r w:rsidR="0089334B">
        <w:t>the</w:t>
      </w:r>
      <w:r w:rsidR="0089334B" w:rsidRPr="2D49B457">
        <w:t xml:space="preserve"> </w:t>
      </w:r>
      <w:r w:rsidRPr="2D49B457">
        <w:t xml:space="preserve">recommendations outlined in this review, consideration will need to </w:t>
      </w:r>
      <w:r w:rsidR="0089334B">
        <w:t>given to</w:t>
      </w:r>
      <w:r w:rsidRPr="2D49B457">
        <w:t xml:space="preserve"> the relevant legislation and regulations informing current funding arrangements and</w:t>
      </w:r>
      <w:r w:rsidR="00AE4EB5">
        <w:t>,</w:t>
      </w:r>
      <w:r w:rsidRPr="2D49B457">
        <w:t xml:space="preserve"> importantly, whether legislative or regulatory amendments are required.</w:t>
      </w:r>
    </w:p>
    <w:p w14:paraId="3952E6AC" w14:textId="77777777" w:rsidR="00866C71" w:rsidRDefault="00866C71" w:rsidP="00A522AC">
      <w:pPr>
        <w:pStyle w:val="Heading3"/>
      </w:pPr>
      <w:r>
        <w:t>The National Quality Framework (NQF)</w:t>
      </w:r>
    </w:p>
    <w:p w14:paraId="3C6839F0" w14:textId="3B084229" w:rsidR="00866C71" w:rsidRDefault="00866C71" w:rsidP="00866C71">
      <w:pPr>
        <w:rPr>
          <w:i/>
          <w:iCs/>
        </w:rPr>
      </w:pPr>
      <w:r>
        <w:t xml:space="preserve">Nearly all </w:t>
      </w:r>
      <w:r w:rsidRPr="000669D7">
        <w:t xml:space="preserve">ECEC services in Australia must </w:t>
      </w:r>
      <w:r>
        <w:t>comply with the National Quality Framework as ‘</w:t>
      </w:r>
      <w:r w:rsidRPr="000669D7">
        <w:rPr>
          <w:b/>
          <w:bCs/>
        </w:rPr>
        <w:t>education and care services</w:t>
      </w:r>
      <w:r>
        <w:rPr>
          <w:b/>
          <w:bCs/>
        </w:rPr>
        <w:t>’</w:t>
      </w:r>
      <w:r>
        <w:t xml:space="preserve"> under section 5 of the National Law </w:t>
      </w:r>
      <w:r w:rsidRPr="000669D7">
        <w:rPr>
          <w:i/>
          <w:iCs/>
        </w:rPr>
        <w:t>(Education and Care Services National Law Act 2010)</w:t>
      </w:r>
      <w:r>
        <w:rPr>
          <w:i/>
          <w:iCs/>
        </w:rPr>
        <w:t>.</w:t>
      </w:r>
    </w:p>
    <w:p w14:paraId="058383C8" w14:textId="4F609F9F" w:rsidR="00866C71" w:rsidRDefault="00866C71" w:rsidP="00866C71">
      <w:r w:rsidRPr="000669D7">
        <w:t xml:space="preserve">Some </w:t>
      </w:r>
      <w:r>
        <w:t xml:space="preserve">ECEC </w:t>
      </w:r>
      <w:r w:rsidRPr="000669D7">
        <w:t xml:space="preserve">services, </w:t>
      </w:r>
      <w:r>
        <w:t>including</w:t>
      </w:r>
      <w:r w:rsidRPr="000669D7">
        <w:t xml:space="preserve"> several </w:t>
      </w:r>
      <w:r>
        <w:t xml:space="preserve">funded </w:t>
      </w:r>
      <w:r w:rsidRPr="000669D7">
        <w:t>under the CCCFR grant, are deemed</w:t>
      </w:r>
      <w:r>
        <w:t xml:space="preserve"> to be</w:t>
      </w:r>
      <w:r w:rsidRPr="000669D7">
        <w:t xml:space="preserve"> ‘out of scope’ of the NQF </w:t>
      </w:r>
      <w:r>
        <w:t xml:space="preserve">as they are excluded from the definition of </w:t>
      </w:r>
      <w:r w:rsidRPr="000669D7">
        <w:rPr>
          <w:b/>
          <w:bCs/>
        </w:rPr>
        <w:t>education and care service</w:t>
      </w:r>
      <w:r>
        <w:t xml:space="preserve"> under regulation 5 of the National Regulations (</w:t>
      </w:r>
      <w:r w:rsidRPr="000669D7">
        <w:rPr>
          <w:i/>
          <w:iCs/>
        </w:rPr>
        <w:t>Education and Care Services National Regulations</w:t>
      </w:r>
      <w:r>
        <w:t>)</w:t>
      </w:r>
      <w:r w:rsidRPr="008E2E48">
        <w:t>.</w:t>
      </w:r>
      <w:r>
        <w:t xml:space="preserve"> This includes BBF and IAS-funded services and mobile services.</w:t>
      </w:r>
      <w:r>
        <w:br/>
      </w:r>
      <w:r w:rsidRPr="008E7B0F">
        <w:br/>
      </w:r>
      <w:r w:rsidRPr="000669D7">
        <w:rPr>
          <w:b/>
          <w:bCs/>
          <w:color w:val="000000"/>
        </w:rPr>
        <w:t>Regulation 5(2)</w:t>
      </w:r>
      <w:r>
        <w:rPr>
          <w:b/>
          <w:bCs/>
          <w:color w:val="000000"/>
        </w:rPr>
        <w:t xml:space="preserve"> of the National </w:t>
      </w:r>
      <w:r w:rsidR="00206FF9">
        <w:rPr>
          <w:b/>
          <w:bCs/>
          <w:color w:val="000000"/>
        </w:rPr>
        <w:t>Regulations</w:t>
      </w:r>
      <w:r w:rsidRPr="000669D7">
        <w:rPr>
          <w:b/>
          <w:bCs/>
          <w:color w:val="000000"/>
        </w:rPr>
        <w:t>:</w:t>
      </w:r>
      <w:r>
        <w:rPr>
          <w:color w:val="000000"/>
        </w:rPr>
        <w:t xml:space="preserve"> “</w:t>
      </w:r>
      <w:r w:rsidRPr="000669D7">
        <w:rPr>
          <w:color w:val="000000"/>
        </w:rPr>
        <w:t>For the purposes of paragraph (h) of the definition of</w:t>
      </w:r>
      <w:r w:rsidR="00C226A9">
        <w:rPr>
          <w:color w:val="000000"/>
        </w:rPr>
        <w:t xml:space="preserve"> </w:t>
      </w:r>
      <w:r w:rsidRPr="000669D7">
        <w:rPr>
          <w:b/>
          <w:bCs/>
          <w:color w:val="000000"/>
        </w:rPr>
        <w:t>"education and care service" </w:t>
      </w:r>
      <w:r w:rsidRPr="000669D7">
        <w:rPr>
          <w:color w:val="000000"/>
        </w:rPr>
        <w:t>in </w:t>
      </w:r>
      <w:r w:rsidRPr="000669D7">
        <w:t>section 5(1)</w:t>
      </w:r>
      <w:r w:rsidRPr="000669D7">
        <w:rPr>
          <w:color w:val="000000"/>
        </w:rPr>
        <w:t> of the Law, the following classes of service are excluded from the definition of education and care service</w:t>
      </w:r>
      <w:r>
        <w:rPr>
          <w:color w:val="000000"/>
        </w:rPr>
        <w:t>—"</w:t>
      </w:r>
    </w:p>
    <w:p w14:paraId="21635019" w14:textId="77777777" w:rsidR="00866C71" w:rsidRDefault="00866C71" w:rsidP="00416EA8">
      <w:pPr>
        <w:pStyle w:val="ListParagraph"/>
        <w:numPr>
          <w:ilvl w:val="0"/>
          <w:numId w:val="82"/>
        </w:numPr>
        <w:ind w:left="360"/>
        <w:rPr>
          <w:b/>
          <w:bCs/>
        </w:rPr>
      </w:pPr>
      <w:r w:rsidRPr="000669D7">
        <w:rPr>
          <w:i/>
          <w:iCs/>
        </w:rPr>
        <w:t xml:space="preserve">the service provider was, in respect of the service, in receipt of funding under the Budget Based Funded program administered by the Department of Education and Training of the Commonwealth - </w:t>
      </w:r>
      <w:r w:rsidRPr="000669D7">
        <w:rPr>
          <w:b/>
          <w:bCs/>
        </w:rPr>
        <w:t>regulation 5(2)(k)(i)</w:t>
      </w:r>
    </w:p>
    <w:p w14:paraId="76B33B97" w14:textId="77777777" w:rsidR="004F469E" w:rsidRDefault="00866C71" w:rsidP="00416EA8">
      <w:pPr>
        <w:pStyle w:val="ListParagraph"/>
        <w:numPr>
          <w:ilvl w:val="0"/>
          <w:numId w:val="82"/>
        </w:numPr>
        <w:ind w:left="360"/>
        <w:rPr>
          <w:b/>
          <w:bCs/>
        </w:rPr>
      </w:pPr>
      <w:r w:rsidRPr="000669D7">
        <w:t xml:space="preserve">the service provider was, in respect of the service, in receipt of funding under the Indigenous Advancement Strategy administered by the Department of Prime Minister and Cabinet of the Commonwealth </w:t>
      </w:r>
      <w:r w:rsidRPr="004F469E">
        <w:rPr>
          <w:b/>
          <w:bCs/>
        </w:rPr>
        <w:t>– regulation 5(2)(ka)(i)</w:t>
      </w:r>
    </w:p>
    <w:p w14:paraId="72581608" w14:textId="27B21A9A" w:rsidR="00866C71" w:rsidRPr="004F469E" w:rsidRDefault="00866C71" w:rsidP="00416EA8">
      <w:pPr>
        <w:pStyle w:val="ListParagraph"/>
        <w:numPr>
          <w:ilvl w:val="0"/>
          <w:numId w:val="82"/>
        </w:numPr>
        <w:ind w:left="360"/>
        <w:rPr>
          <w:b/>
          <w:bCs/>
        </w:rPr>
      </w:pPr>
      <w:r w:rsidRPr="004F469E">
        <w:rPr>
          <w:i/>
          <w:iCs/>
        </w:rPr>
        <w:t>a service providing education and care primarily to children preschool age or under that transports its equipment and materials or staff to one or more locations on each occasion that the service is provided</w:t>
      </w:r>
      <w:r w:rsidRPr="004F469E">
        <w:rPr>
          <w:b/>
          <w:bCs/>
        </w:rPr>
        <w:t xml:space="preserve"> – regulation 5(2)(h)</w:t>
      </w:r>
      <w:r w:rsidRPr="000669D7">
        <w:t>.</w:t>
      </w:r>
    </w:p>
    <w:p w14:paraId="38521E14" w14:textId="77777777" w:rsidR="00866C71" w:rsidRPr="008E7B0F" w:rsidRDefault="00866C71" w:rsidP="00866C71">
      <w:r>
        <w:t>The primary legislative instruments underpinning the National Quality Framework are:</w:t>
      </w:r>
    </w:p>
    <w:p w14:paraId="4158B1C5" w14:textId="77777777" w:rsidR="00866C71" w:rsidRDefault="00866C71" w:rsidP="00866C71">
      <w:r w:rsidRPr="006D4F4F">
        <w:rPr>
          <w:b/>
          <w:bCs/>
        </w:rPr>
        <w:t>Education and Care Services National Law</w:t>
      </w:r>
      <w:r w:rsidRPr="0003731A">
        <w:rPr>
          <w:b/>
          <w:bCs/>
        </w:rPr>
        <w:t xml:space="preserve">: </w:t>
      </w:r>
      <w:r>
        <w:t xml:space="preserve">Referred to as the ‘National Law’, it </w:t>
      </w:r>
      <w:r w:rsidRPr="000669D7">
        <w:t xml:space="preserve">establishes the legal framework governing the operation of early childhood services, outlining requirements for </w:t>
      </w:r>
      <w:r>
        <w:t>provider and service approval</w:t>
      </w:r>
      <w:r w:rsidRPr="000669D7">
        <w:t>, compliance, and enforcement.</w:t>
      </w:r>
    </w:p>
    <w:p w14:paraId="02A89781" w14:textId="77777777" w:rsidR="00866C71" w:rsidRDefault="00866C71" w:rsidP="00866C71">
      <w:r w:rsidRPr="000669D7">
        <w:rPr>
          <w:b/>
          <w:bCs/>
        </w:rPr>
        <w:t>Education and Care Services National Regulations:</w:t>
      </w:r>
      <w:r>
        <w:t xml:space="preserve"> The ‘National Regulations’</w:t>
      </w:r>
      <w:r w:rsidRPr="006D4F4F">
        <w:t xml:space="preserve"> detail the specific requirements that service providers must meet under the National Law. They cover a wide range of operational aspects, including health and safety standards, staffing ratios, educational program requirements, and the assessment and rating process</w:t>
      </w:r>
      <w:r>
        <w:t xml:space="preserve"> for providers and ECEC services.</w:t>
      </w:r>
    </w:p>
    <w:p w14:paraId="18C8E78A" w14:textId="77777777" w:rsidR="00866C71" w:rsidRDefault="00866C71" w:rsidP="00866C71">
      <w:r>
        <w:t xml:space="preserve">The NQF operates under an applied law system, with all Australian states and territories adopting the National Law (originally passed in Victoria) or enacting corresponding legislation (such as Western Australia). </w:t>
      </w:r>
    </w:p>
    <w:p w14:paraId="6E674B09" w14:textId="77777777" w:rsidR="00866C71" w:rsidRDefault="00866C71" w:rsidP="00A522AC">
      <w:pPr>
        <w:pStyle w:val="Heading3"/>
      </w:pPr>
      <w:r>
        <w:t>The Family Assistance Law (FAL)</w:t>
      </w:r>
    </w:p>
    <w:p w14:paraId="748EA7F3" w14:textId="587E7218" w:rsidR="00866C71" w:rsidRDefault="00866C71" w:rsidP="00866C71">
      <w:pPr>
        <w:spacing w:after="0"/>
      </w:pPr>
      <w:r w:rsidRPr="00F43F11">
        <w:t xml:space="preserve">The administration of the CCS by the Australian Government </w:t>
      </w:r>
      <w:r>
        <w:t>is underpinned by the Family Assistance Law (or ‘FAL’), a collective term that covers the following legislation:</w:t>
      </w:r>
      <w:r>
        <w:br/>
      </w:r>
    </w:p>
    <w:tbl>
      <w:tblPr>
        <w:tblStyle w:val="LightList-Accent2"/>
        <w:tblW w:w="0" w:type="auto"/>
        <w:tblLook w:val="04A0" w:firstRow="1" w:lastRow="0" w:firstColumn="1" w:lastColumn="0" w:noHBand="0" w:noVBand="1"/>
      </w:tblPr>
      <w:tblGrid>
        <w:gridCol w:w="3818"/>
        <w:gridCol w:w="5188"/>
      </w:tblGrid>
      <w:tr w:rsidR="00866C71" w14:paraId="1FCCFA6B" w14:textId="77777777" w:rsidTr="006811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8" w:type="dxa"/>
            <w:shd w:val="clear" w:color="auto" w:fill="E7F5CF" w:themeFill="accent1" w:themeFillTint="33"/>
          </w:tcPr>
          <w:p w14:paraId="1FCE02D3" w14:textId="77777777" w:rsidR="00866C71" w:rsidRPr="0068111C" w:rsidRDefault="00866C71">
            <w:pPr>
              <w:spacing w:after="0"/>
              <w:rPr>
                <w:color w:val="auto"/>
              </w:rPr>
            </w:pPr>
            <w:r w:rsidRPr="0068111C">
              <w:rPr>
                <w:color w:val="auto"/>
              </w:rPr>
              <w:t>Component</w:t>
            </w:r>
          </w:p>
        </w:tc>
        <w:tc>
          <w:tcPr>
            <w:tcW w:w="5188" w:type="dxa"/>
            <w:shd w:val="clear" w:color="auto" w:fill="E7F5CF" w:themeFill="accent1" w:themeFillTint="33"/>
          </w:tcPr>
          <w:p w14:paraId="3D4F21B5" w14:textId="77777777" w:rsidR="00866C71" w:rsidRPr="0068111C" w:rsidRDefault="00866C71">
            <w:pPr>
              <w:spacing w:after="0"/>
              <w:cnfStyle w:val="100000000000" w:firstRow="1" w:lastRow="0" w:firstColumn="0" w:lastColumn="0" w:oddVBand="0" w:evenVBand="0" w:oddHBand="0" w:evenHBand="0" w:firstRowFirstColumn="0" w:firstRowLastColumn="0" w:lastRowFirstColumn="0" w:lastRowLastColumn="0"/>
              <w:rPr>
                <w:color w:val="auto"/>
              </w:rPr>
            </w:pPr>
            <w:r w:rsidRPr="0068111C">
              <w:rPr>
                <w:color w:val="auto"/>
              </w:rPr>
              <w:t>Purpose</w:t>
            </w:r>
          </w:p>
        </w:tc>
      </w:tr>
      <w:tr w:rsidR="00866C71" w14:paraId="3EEBB0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8" w:type="dxa"/>
          </w:tcPr>
          <w:p w14:paraId="15AF904C" w14:textId="77777777" w:rsidR="00866C71" w:rsidRPr="000669D7" w:rsidRDefault="00866C71">
            <w:pPr>
              <w:spacing w:after="0"/>
              <w:rPr>
                <w:rFonts w:eastAsiaTheme="majorEastAsia" w:cstheme="majorBidi"/>
                <w:i/>
                <w:iCs/>
              </w:rPr>
            </w:pPr>
            <w:r w:rsidRPr="000669D7">
              <w:rPr>
                <w:rFonts w:eastAsiaTheme="majorEastAsia" w:cstheme="majorBidi"/>
                <w:i/>
                <w:iCs/>
              </w:rPr>
              <w:t>A New Tax System (Family Assistance) Act 1999</w:t>
            </w:r>
          </w:p>
          <w:p w14:paraId="0B3F7AA5" w14:textId="77777777" w:rsidR="00866C71" w:rsidRPr="000669D7" w:rsidRDefault="00866C71">
            <w:pPr>
              <w:spacing w:after="0"/>
              <w:rPr>
                <w:i/>
                <w:iCs/>
              </w:rPr>
            </w:pPr>
          </w:p>
        </w:tc>
        <w:tc>
          <w:tcPr>
            <w:tcW w:w="5188" w:type="dxa"/>
          </w:tcPr>
          <w:p w14:paraId="1D50C6EA" w14:textId="77777777" w:rsidR="00866C71" w:rsidRPr="00A9788D" w:rsidRDefault="00866C71">
            <w:pPr>
              <w:spacing w:after="0"/>
              <w:cnfStyle w:val="000000100000" w:firstRow="0" w:lastRow="0" w:firstColumn="0" w:lastColumn="0" w:oddVBand="0" w:evenVBand="0" w:oddHBand="1" w:evenHBand="0" w:firstRowFirstColumn="0" w:firstRowLastColumn="0" w:lastRowFirstColumn="0" w:lastRowLastColumn="0"/>
              <w:rPr>
                <w:highlight w:val="yellow"/>
              </w:rPr>
            </w:pPr>
            <w:r>
              <w:t>Es</w:t>
            </w:r>
            <w:r w:rsidRPr="00D75412">
              <w:t xml:space="preserve">tablishes the framework for providing financial assistance to families, including Family Tax Benefit and Child Care Benefit, to </w:t>
            </w:r>
            <w:r>
              <w:t>assist</w:t>
            </w:r>
            <w:r w:rsidRPr="00D75412">
              <w:t xml:space="preserve"> with the </w:t>
            </w:r>
            <w:r>
              <w:t xml:space="preserve">financial </w:t>
            </w:r>
            <w:r w:rsidRPr="00D75412">
              <w:t>costs of raising children.</w:t>
            </w:r>
          </w:p>
        </w:tc>
      </w:tr>
      <w:tr w:rsidR="00866C71" w14:paraId="5B5BE1B5" w14:textId="77777777">
        <w:tc>
          <w:tcPr>
            <w:cnfStyle w:val="001000000000" w:firstRow="0" w:lastRow="0" w:firstColumn="1" w:lastColumn="0" w:oddVBand="0" w:evenVBand="0" w:oddHBand="0" w:evenHBand="0" w:firstRowFirstColumn="0" w:firstRowLastColumn="0" w:lastRowFirstColumn="0" w:lastRowLastColumn="0"/>
            <w:tcW w:w="3818" w:type="dxa"/>
          </w:tcPr>
          <w:p w14:paraId="72E333F3" w14:textId="77777777" w:rsidR="00866C71" w:rsidRPr="000669D7" w:rsidRDefault="00866C71">
            <w:pPr>
              <w:spacing w:after="0"/>
              <w:rPr>
                <w:rFonts w:eastAsiaTheme="majorEastAsia" w:cstheme="majorBidi"/>
                <w:i/>
                <w:iCs/>
              </w:rPr>
            </w:pPr>
            <w:r w:rsidRPr="000669D7">
              <w:rPr>
                <w:rFonts w:eastAsiaTheme="majorEastAsia" w:cstheme="majorBidi"/>
                <w:i/>
                <w:iCs/>
              </w:rPr>
              <w:lastRenderedPageBreak/>
              <w:t>A New Tax System (Family Assistance) (Administration) Act 1999</w:t>
            </w:r>
          </w:p>
          <w:p w14:paraId="114CE4F8" w14:textId="77777777" w:rsidR="00866C71" w:rsidRPr="000669D7" w:rsidRDefault="00866C71">
            <w:pPr>
              <w:spacing w:after="0"/>
              <w:rPr>
                <w:i/>
                <w:iCs/>
              </w:rPr>
            </w:pPr>
          </w:p>
        </w:tc>
        <w:tc>
          <w:tcPr>
            <w:tcW w:w="5188" w:type="dxa"/>
          </w:tcPr>
          <w:p w14:paraId="4DF8C2F4" w14:textId="77777777" w:rsidR="00866C71" w:rsidRPr="00A9788D" w:rsidRDefault="00866C71">
            <w:pPr>
              <w:spacing w:after="0"/>
              <w:cnfStyle w:val="000000000000" w:firstRow="0" w:lastRow="0" w:firstColumn="0" w:lastColumn="0" w:oddVBand="0" w:evenVBand="0" w:oddHBand="0" w:evenHBand="0" w:firstRowFirstColumn="0" w:firstRowLastColumn="0" w:lastRowFirstColumn="0" w:lastRowLastColumn="0"/>
              <w:rPr>
                <w:highlight w:val="yellow"/>
              </w:rPr>
            </w:pPr>
            <w:r>
              <w:t>O</w:t>
            </w:r>
            <w:r w:rsidRPr="00A05901">
              <w:t>utlines the administrative processes for delivering family assistance payments, including eligibility criteria, payment methods, and the responsibilities of individuals and the government.</w:t>
            </w:r>
          </w:p>
        </w:tc>
      </w:tr>
      <w:tr w:rsidR="00866C71" w14:paraId="0EE833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8" w:type="dxa"/>
          </w:tcPr>
          <w:p w14:paraId="6EEEB923" w14:textId="77777777" w:rsidR="00866C71" w:rsidRPr="000669D7" w:rsidRDefault="00866C71">
            <w:pPr>
              <w:spacing w:after="0"/>
              <w:rPr>
                <w:rFonts w:eastAsiaTheme="majorEastAsia" w:cstheme="majorBidi"/>
                <w:i/>
                <w:iCs/>
              </w:rPr>
            </w:pPr>
            <w:r w:rsidRPr="000669D7">
              <w:rPr>
                <w:rFonts w:eastAsiaTheme="majorEastAsia" w:cstheme="majorBidi"/>
                <w:i/>
                <w:iCs/>
              </w:rPr>
              <w:t>Family Assistance Legislation Amendment (Jobs for Families Child Care Package) Act 2017</w:t>
            </w:r>
          </w:p>
          <w:p w14:paraId="5741727E" w14:textId="77777777" w:rsidR="00866C71" w:rsidRPr="000669D7" w:rsidRDefault="00866C71">
            <w:pPr>
              <w:spacing w:after="0"/>
              <w:rPr>
                <w:i/>
                <w:iCs/>
              </w:rPr>
            </w:pPr>
          </w:p>
        </w:tc>
        <w:tc>
          <w:tcPr>
            <w:tcW w:w="5188" w:type="dxa"/>
          </w:tcPr>
          <w:p w14:paraId="04D23281" w14:textId="77777777" w:rsidR="00866C71" w:rsidRPr="00A9788D" w:rsidRDefault="00866C71">
            <w:pPr>
              <w:spacing w:after="0"/>
              <w:cnfStyle w:val="000000100000" w:firstRow="0" w:lastRow="0" w:firstColumn="0" w:lastColumn="0" w:oddVBand="0" w:evenVBand="0" w:oddHBand="1" w:evenHBand="0" w:firstRowFirstColumn="0" w:firstRowLastColumn="0" w:lastRowFirstColumn="0" w:lastRowLastColumn="0"/>
              <w:rPr>
                <w:highlight w:val="yellow"/>
              </w:rPr>
            </w:pPr>
            <w:r w:rsidRPr="00327D4A">
              <w:t>Reform</w:t>
            </w:r>
            <w:r>
              <w:t>ed</w:t>
            </w:r>
            <w:r w:rsidRPr="00327D4A">
              <w:t xml:space="preserve"> child care funding, replacing </w:t>
            </w:r>
            <w:r>
              <w:t>the previous Child Care Benefit (CCB) and Child Care Rebate (CCR)</w:t>
            </w:r>
            <w:r w:rsidRPr="00327D4A">
              <w:t xml:space="preserve"> with the Child Care Subsidy</w:t>
            </w:r>
            <w:r>
              <w:t xml:space="preserve"> (CCS)</w:t>
            </w:r>
            <w:r w:rsidRPr="00327D4A">
              <w:t xml:space="preserve"> to simplify support and improve accessibility and affordability for families.</w:t>
            </w:r>
          </w:p>
        </w:tc>
      </w:tr>
      <w:tr w:rsidR="00866C71" w14:paraId="39F30743" w14:textId="77777777">
        <w:tc>
          <w:tcPr>
            <w:cnfStyle w:val="001000000000" w:firstRow="0" w:lastRow="0" w:firstColumn="1" w:lastColumn="0" w:oddVBand="0" w:evenVBand="0" w:oddHBand="0" w:evenHBand="0" w:firstRowFirstColumn="0" w:firstRowLastColumn="0" w:lastRowFirstColumn="0" w:lastRowLastColumn="0"/>
            <w:tcW w:w="3818" w:type="dxa"/>
            <w:tcBorders>
              <w:bottom w:val="single" w:sz="4" w:space="0" w:color="046A38" w:themeColor="accent2"/>
            </w:tcBorders>
          </w:tcPr>
          <w:p w14:paraId="7D0B2356" w14:textId="77777777" w:rsidR="00866C71" w:rsidRPr="000669D7" w:rsidRDefault="00866C71">
            <w:pPr>
              <w:spacing w:after="0"/>
              <w:rPr>
                <w:rFonts w:eastAsiaTheme="majorEastAsia" w:cstheme="majorBidi"/>
                <w:i/>
                <w:iCs/>
              </w:rPr>
            </w:pPr>
            <w:r w:rsidRPr="000669D7">
              <w:rPr>
                <w:rFonts w:eastAsiaTheme="majorEastAsia" w:cstheme="majorBidi"/>
                <w:i/>
                <w:iCs/>
              </w:rPr>
              <w:t>Family Assistance Legislation Amendment (Cheaper Child Care) Act 2022</w:t>
            </w:r>
          </w:p>
          <w:p w14:paraId="2F57828B" w14:textId="77777777" w:rsidR="00866C71" w:rsidRPr="000669D7" w:rsidRDefault="00866C71">
            <w:pPr>
              <w:spacing w:after="0"/>
              <w:rPr>
                <w:rFonts w:eastAsiaTheme="majorEastAsia" w:cstheme="majorBidi"/>
                <w:i/>
                <w:iCs/>
              </w:rPr>
            </w:pPr>
          </w:p>
        </w:tc>
        <w:tc>
          <w:tcPr>
            <w:tcW w:w="5188" w:type="dxa"/>
            <w:tcBorders>
              <w:bottom w:val="single" w:sz="4" w:space="0" w:color="046A38" w:themeColor="accent2"/>
            </w:tcBorders>
          </w:tcPr>
          <w:p w14:paraId="4B37E257" w14:textId="77777777" w:rsidR="00866C71" w:rsidRDefault="00866C71">
            <w:pPr>
              <w:spacing w:after="0"/>
              <w:cnfStyle w:val="000000000000" w:firstRow="0" w:lastRow="0" w:firstColumn="0" w:lastColumn="0" w:oddVBand="0" w:evenVBand="0" w:oddHBand="0" w:evenHBand="0" w:firstRowFirstColumn="0" w:firstRowLastColumn="0" w:lastRowFirstColumn="0" w:lastRowLastColumn="0"/>
            </w:pPr>
            <w:r>
              <w:t>Amended the FAL</w:t>
            </w:r>
            <w:r w:rsidRPr="009D2C05">
              <w:t xml:space="preserve"> to further reduce the cost of child care for families, aiming to make child care more affordable and increase workforce participation by parents.</w:t>
            </w:r>
          </w:p>
        </w:tc>
      </w:tr>
      <w:tr w:rsidR="00866C71" w14:paraId="2F3C4C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8" w:type="dxa"/>
            <w:tcBorders>
              <w:top w:val="single" w:sz="4" w:space="0" w:color="046A38" w:themeColor="accent2"/>
            </w:tcBorders>
          </w:tcPr>
          <w:p w14:paraId="3B6A5F25" w14:textId="77777777" w:rsidR="00866C71" w:rsidRPr="000669D7" w:rsidRDefault="00866C71">
            <w:pPr>
              <w:spacing w:after="0"/>
              <w:rPr>
                <w:rFonts w:eastAsiaTheme="majorEastAsia" w:cstheme="majorBidi"/>
                <w:i/>
                <w:iCs/>
              </w:rPr>
            </w:pPr>
            <w:r w:rsidRPr="000669D7">
              <w:rPr>
                <w:rFonts w:eastAsiaTheme="majorEastAsia" w:cstheme="majorBidi"/>
                <w:i/>
                <w:iCs/>
              </w:rPr>
              <w:t>Child Care Subsidy Minister’s Rules 2017</w:t>
            </w:r>
          </w:p>
          <w:p w14:paraId="7AD0E50E" w14:textId="77777777" w:rsidR="00866C71" w:rsidRPr="000669D7" w:rsidRDefault="00866C71">
            <w:pPr>
              <w:spacing w:after="0"/>
              <w:rPr>
                <w:i/>
                <w:iCs/>
              </w:rPr>
            </w:pPr>
          </w:p>
        </w:tc>
        <w:tc>
          <w:tcPr>
            <w:tcW w:w="5188" w:type="dxa"/>
            <w:tcBorders>
              <w:top w:val="single" w:sz="4" w:space="0" w:color="046A38" w:themeColor="accent2"/>
            </w:tcBorders>
          </w:tcPr>
          <w:p w14:paraId="3AF04964" w14:textId="77777777" w:rsidR="00866C71" w:rsidRPr="00A9788D" w:rsidRDefault="00866C71">
            <w:pPr>
              <w:spacing w:after="0"/>
              <w:cnfStyle w:val="000000100000" w:firstRow="0" w:lastRow="0" w:firstColumn="0" w:lastColumn="0" w:oddVBand="0" w:evenVBand="0" w:oddHBand="1" w:evenHBand="0" w:firstRowFirstColumn="0" w:firstRowLastColumn="0" w:lastRowFirstColumn="0" w:lastRowLastColumn="0"/>
              <w:rPr>
                <w:highlight w:val="yellow"/>
              </w:rPr>
            </w:pPr>
            <w:r>
              <w:t xml:space="preserve">Further guidelines and regulation </w:t>
            </w:r>
            <w:r w:rsidRPr="00EB2D91">
              <w:t>for the implementation and administration of the Child Care Subsidy, including eligibility requirements and payment rates.</w:t>
            </w:r>
          </w:p>
        </w:tc>
      </w:tr>
      <w:tr w:rsidR="00866C71" w14:paraId="7E66F2E2" w14:textId="77777777">
        <w:tc>
          <w:tcPr>
            <w:cnfStyle w:val="001000000000" w:firstRow="0" w:lastRow="0" w:firstColumn="1" w:lastColumn="0" w:oddVBand="0" w:evenVBand="0" w:oddHBand="0" w:evenHBand="0" w:firstRowFirstColumn="0" w:firstRowLastColumn="0" w:lastRowFirstColumn="0" w:lastRowLastColumn="0"/>
            <w:tcW w:w="3818" w:type="dxa"/>
          </w:tcPr>
          <w:p w14:paraId="37436C29" w14:textId="77777777" w:rsidR="00866C71" w:rsidRPr="000669D7" w:rsidRDefault="00866C71">
            <w:pPr>
              <w:spacing w:after="0"/>
              <w:rPr>
                <w:rFonts w:eastAsiaTheme="majorEastAsia" w:cstheme="majorBidi"/>
                <w:i/>
                <w:iCs/>
              </w:rPr>
            </w:pPr>
            <w:r w:rsidRPr="000669D7">
              <w:rPr>
                <w:rFonts w:eastAsiaTheme="majorEastAsia" w:cstheme="majorBidi"/>
                <w:i/>
                <w:iCs/>
              </w:rPr>
              <w:t>Child Care Subsidy Secretary’s Rules 2017</w:t>
            </w:r>
          </w:p>
        </w:tc>
        <w:tc>
          <w:tcPr>
            <w:tcW w:w="5188" w:type="dxa"/>
          </w:tcPr>
          <w:p w14:paraId="30992681" w14:textId="77777777" w:rsidR="00866C71" w:rsidRPr="00A9788D" w:rsidRDefault="00866C71">
            <w:pPr>
              <w:spacing w:after="0"/>
              <w:cnfStyle w:val="000000000000" w:firstRow="0" w:lastRow="0" w:firstColumn="0" w:lastColumn="0" w:oddVBand="0" w:evenVBand="0" w:oddHBand="0" w:evenHBand="0" w:firstRowFirstColumn="0" w:firstRowLastColumn="0" w:lastRowFirstColumn="0" w:lastRowLastColumn="0"/>
              <w:rPr>
                <w:highlight w:val="yellow"/>
              </w:rPr>
            </w:pPr>
            <w:r>
              <w:t xml:space="preserve">Outlines </w:t>
            </w:r>
            <w:r w:rsidRPr="00EB2D91">
              <w:t xml:space="preserve">responsibilities and administrative </w:t>
            </w:r>
            <w:r>
              <w:t>processes</w:t>
            </w:r>
            <w:r w:rsidRPr="00EB2D91">
              <w:t xml:space="preserve"> for </w:t>
            </w:r>
            <w:r>
              <w:t xml:space="preserve">the Australian </w:t>
            </w:r>
            <w:r w:rsidRPr="00EB2D91">
              <w:t xml:space="preserve">Department </w:t>
            </w:r>
            <w:r>
              <w:t xml:space="preserve">of Education </w:t>
            </w:r>
            <w:r w:rsidRPr="00EB2D91">
              <w:t>in managing the Child Care Subsidy, including compliance and enforcement measures.</w:t>
            </w:r>
          </w:p>
        </w:tc>
      </w:tr>
    </w:tbl>
    <w:p w14:paraId="41201942" w14:textId="77777777" w:rsidR="007C7004" w:rsidRDefault="007C7004" w:rsidP="007C7004">
      <w:pPr>
        <w:sectPr w:rsidR="007C7004" w:rsidSect="005F043A">
          <w:headerReference w:type="default" r:id="rId116"/>
          <w:footerReference w:type="default" r:id="rId117"/>
          <w:pgSz w:w="11906" w:h="16838" w:code="9"/>
          <w:pgMar w:top="1440" w:right="1440" w:bottom="1440" w:left="1440" w:header="680" w:footer="425" w:gutter="0"/>
          <w:cols w:space="284"/>
          <w:docGrid w:linePitch="360"/>
        </w:sectPr>
      </w:pPr>
    </w:p>
    <w:p w14:paraId="58C1D031" w14:textId="3ED6A40E" w:rsidR="003D1E7A" w:rsidRPr="00A522AC" w:rsidRDefault="003D1E7A" w:rsidP="0060415F">
      <w:pPr>
        <w:pStyle w:val="Heading3"/>
      </w:pPr>
      <w:r w:rsidRPr="00A522AC">
        <w:lastRenderedPageBreak/>
        <w:t xml:space="preserve">Summary </w:t>
      </w:r>
      <w:r w:rsidR="009F3593">
        <w:t>of legislative and regulatory implications</w:t>
      </w:r>
    </w:p>
    <w:p w14:paraId="66D9A99F" w14:textId="13B4F6D7" w:rsidR="003D1E7A" w:rsidRDefault="003D1E7A" w:rsidP="003D1E7A">
      <w:pPr>
        <w:pStyle w:val="ListNumber"/>
        <w:numPr>
          <w:ilvl w:val="0"/>
          <w:numId w:val="0"/>
        </w:numPr>
      </w:pPr>
      <w:r>
        <w:br/>
        <w:t>The below table provides a high-level summary of recommendations outlined in this report, including</w:t>
      </w:r>
      <w:r w:rsidR="0060415F">
        <w:t xml:space="preserve"> the </w:t>
      </w:r>
      <w:r>
        <w:t xml:space="preserve">relevant stakeholders and </w:t>
      </w:r>
      <w:r w:rsidR="005A6ECC">
        <w:t xml:space="preserve">key </w:t>
      </w:r>
      <w:r>
        <w:t>regulatory/legislative considerations for implementation.</w:t>
      </w:r>
      <w:r w:rsidR="005A6ECC">
        <w:t xml:space="preserve">  Detailed legislative advice should be sought regarding specific changes to legislation. </w:t>
      </w:r>
    </w:p>
    <w:p w14:paraId="474D16DF" w14:textId="77777777" w:rsidR="003D1E7A" w:rsidRDefault="003D1E7A" w:rsidP="003D1E7A"/>
    <w:tbl>
      <w:tblPr>
        <w:tblStyle w:val="LightList-Accent2"/>
        <w:tblW w:w="14307" w:type="dxa"/>
        <w:tblLook w:val="04A0" w:firstRow="1" w:lastRow="0" w:firstColumn="1" w:lastColumn="0" w:noHBand="0" w:noVBand="1"/>
      </w:tblPr>
      <w:tblGrid>
        <w:gridCol w:w="543"/>
        <w:gridCol w:w="4331"/>
        <w:gridCol w:w="4047"/>
        <w:gridCol w:w="5386"/>
      </w:tblGrid>
      <w:tr w:rsidR="00FB2F37" w:rsidRPr="00771E1B" w14:paraId="11B0627F" w14:textId="77777777" w:rsidTr="004C5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shd w:val="clear" w:color="auto" w:fill="E7F5CF" w:themeFill="accent1" w:themeFillTint="33"/>
          </w:tcPr>
          <w:p w14:paraId="7373483E" w14:textId="77777777" w:rsidR="003D1E7A" w:rsidRPr="004C5641" w:rsidRDefault="003D1E7A">
            <w:pPr>
              <w:jc w:val="center"/>
              <w:rPr>
                <w:color w:val="auto"/>
                <w:sz w:val="16"/>
                <w:szCs w:val="16"/>
              </w:rPr>
            </w:pPr>
            <w:r w:rsidRPr="004C5641">
              <w:rPr>
                <w:color w:val="auto"/>
                <w:sz w:val="16"/>
                <w:szCs w:val="16"/>
              </w:rPr>
              <w:t>#</w:t>
            </w:r>
          </w:p>
        </w:tc>
        <w:tc>
          <w:tcPr>
            <w:tcW w:w="4331" w:type="dxa"/>
            <w:shd w:val="clear" w:color="auto" w:fill="E7F5CF" w:themeFill="accent1" w:themeFillTint="33"/>
          </w:tcPr>
          <w:p w14:paraId="28A76D8F" w14:textId="77777777" w:rsidR="003D1E7A" w:rsidRPr="004C5641" w:rsidRDefault="003D1E7A" w:rsidP="00A522AC">
            <w:pPr>
              <w:cnfStyle w:val="100000000000" w:firstRow="1" w:lastRow="0" w:firstColumn="0" w:lastColumn="0" w:oddVBand="0" w:evenVBand="0" w:oddHBand="0" w:evenHBand="0" w:firstRowFirstColumn="0" w:firstRowLastColumn="0" w:lastRowFirstColumn="0" w:lastRowLastColumn="0"/>
              <w:rPr>
                <w:color w:val="auto"/>
                <w:sz w:val="16"/>
                <w:szCs w:val="16"/>
              </w:rPr>
            </w:pPr>
            <w:r w:rsidRPr="004C5641">
              <w:rPr>
                <w:color w:val="auto"/>
                <w:sz w:val="16"/>
                <w:szCs w:val="16"/>
              </w:rPr>
              <w:t>Recommendation</w:t>
            </w:r>
          </w:p>
        </w:tc>
        <w:tc>
          <w:tcPr>
            <w:tcW w:w="4047" w:type="dxa"/>
            <w:shd w:val="clear" w:color="auto" w:fill="E7F5CF" w:themeFill="accent1" w:themeFillTint="33"/>
          </w:tcPr>
          <w:p w14:paraId="62D22832" w14:textId="206E574C" w:rsidR="003D1E7A" w:rsidRPr="004C5641" w:rsidRDefault="003D1E7A" w:rsidP="00A522AC">
            <w:pPr>
              <w:cnfStyle w:val="100000000000" w:firstRow="1" w:lastRow="0" w:firstColumn="0" w:lastColumn="0" w:oddVBand="0" w:evenVBand="0" w:oddHBand="0" w:evenHBand="0" w:firstRowFirstColumn="0" w:firstRowLastColumn="0" w:lastRowFirstColumn="0" w:lastRowLastColumn="0"/>
              <w:rPr>
                <w:color w:val="auto"/>
                <w:sz w:val="16"/>
                <w:szCs w:val="16"/>
              </w:rPr>
            </w:pPr>
            <w:r w:rsidRPr="004C5641">
              <w:rPr>
                <w:color w:val="auto"/>
                <w:sz w:val="16"/>
                <w:szCs w:val="16"/>
              </w:rPr>
              <w:t xml:space="preserve">Relevant </w:t>
            </w:r>
            <w:r w:rsidR="00FE6924" w:rsidRPr="004C5641">
              <w:rPr>
                <w:color w:val="auto"/>
                <w:sz w:val="16"/>
                <w:szCs w:val="16"/>
              </w:rPr>
              <w:t>government stakeholders</w:t>
            </w:r>
          </w:p>
        </w:tc>
        <w:tc>
          <w:tcPr>
            <w:tcW w:w="5386" w:type="dxa"/>
            <w:shd w:val="clear" w:color="auto" w:fill="E7F5CF" w:themeFill="accent1" w:themeFillTint="33"/>
          </w:tcPr>
          <w:p w14:paraId="335CFF06" w14:textId="77777777" w:rsidR="003D1E7A" w:rsidRPr="004C5641" w:rsidRDefault="003D1E7A" w:rsidP="00A522AC">
            <w:pPr>
              <w:cnfStyle w:val="100000000000" w:firstRow="1" w:lastRow="0" w:firstColumn="0" w:lastColumn="0" w:oddVBand="0" w:evenVBand="0" w:oddHBand="0" w:evenHBand="0" w:firstRowFirstColumn="0" w:firstRowLastColumn="0" w:lastRowFirstColumn="0" w:lastRowLastColumn="0"/>
              <w:rPr>
                <w:color w:val="auto"/>
                <w:sz w:val="16"/>
                <w:szCs w:val="16"/>
              </w:rPr>
            </w:pPr>
            <w:r w:rsidRPr="004C5641">
              <w:rPr>
                <w:color w:val="auto"/>
                <w:sz w:val="16"/>
                <w:szCs w:val="16"/>
              </w:rPr>
              <w:t>Relevant legislation or regulation (if any)</w:t>
            </w:r>
          </w:p>
        </w:tc>
      </w:tr>
      <w:tr w:rsidR="00A522AC" w:rsidRPr="00771E1B" w14:paraId="3EB7F9FC"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36BF6965" w14:textId="77777777" w:rsidR="003D1E7A" w:rsidRPr="00771E1B" w:rsidRDefault="003D1E7A">
            <w:pPr>
              <w:jc w:val="center"/>
              <w:rPr>
                <w:sz w:val="16"/>
                <w:szCs w:val="16"/>
              </w:rPr>
            </w:pPr>
            <w:r w:rsidRPr="00771E1B">
              <w:rPr>
                <w:sz w:val="16"/>
                <w:szCs w:val="16"/>
              </w:rPr>
              <w:t>1</w:t>
            </w:r>
          </w:p>
        </w:tc>
        <w:tc>
          <w:tcPr>
            <w:tcW w:w="4331" w:type="dxa"/>
            <w:vAlign w:val="center"/>
          </w:tcPr>
          <w:p w14:paraId="683B1790" w14:textId="77777777" w:rsidR="003D1E7A" w:rsidRPr="00771E1B" w:rsidRDefault="003D1E7A" w:rsidP="00B72410">
            <w:pPr>
              <w:jc w:val="center"/>
              <w:cnfStyle w:val="000000100000" w:firstRow="0" w:lastRow="0" w:firstColumn="0" w:lastColumn="0" w:oddVBand="0" w:evenVBand="0" w:oddHBand="1" w:evenHBand="0" w:firstRowFirstColumn="0" w:firstRowLastColumn="0" w:lastRowFirstColumn="0" w:lastRowLastColumn="0"/>
              <w:rPr>
                <w:sz w:val="16"/>
                <w:szCs w:val="16"/>
              </w:rPr>
            </w:pPr>
            <w:r w:rsidRPr="2D49B457">
              <w:rPr>
                <w:sz w:val="16"/>
                <w:szCs w:val="16"/>
              </w:rPr>
              <w:t>Services should be transitioned away from the CCCFR grant where it can be demonstrated that (i) the conditions required to support them in sustainably delivering high quality ECEC services that meet the needs of communities can be met; or (ii) the service offering falls outside the policy remit of the Department of Education.</w:t>
            </w:r>
          </w:p>
        </w:tc>
        <w:tc>
          <w:tcPr>
            <w:tcW w:w="4047" w:type="dxa"/>
            <w:vAlign w:val="center"/>
          </w:tcPr>
          <w:p w14:paraId="35E64533" w14:textId="77777777" w:rsidR="003D1E7A" w:rsidRPr="002A490A" w:rsidRDefault="003D1E7A" w:rsidP="00B72410">
            <w:pPr>
              <w:spacing w:before="120"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p w14:paraId="5DF97849" w14:textId="77777777" w:rsidR="003D1E7A" w:rsidRPr="002A490A" w:rsidRDefault="003D1E7A" w:rsidP="00B72410">
            <w:pPr>
              <w:spacing w:before="120"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Social Services (DSS)</w:t>
            </w:r>
          </w:p>
          <w:p w14:paraId="54A78DDB" w14:textId="77777777" w:rsidR="00F90422" w:rsidRDefault="003D1E7A" w:rsidP="00B72410">
            <w:pPr>
              <w:spacing w:before="120"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National Indigenous Australians Agency (NIAA)</w:t>
            </w:r>
          </w:p>
          <w:p w14:paraId="468882A7" w14:textId="5EA1D7FF" w:rsidR="003D1E7A" w:rsidRPr="002A490A" w:rsidRDefault="008650A5" w:rsidP="00B72410">
            <w:pPr>
              <w:spacing w:before="120"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State and territory governments</w:t>
            </w:r>
          </w:p>
        </w:tc>
        <w:tc>
          <w:tcPr>
            <w:tcW w:w="5386" w:type="dxa"/>
          </w:tcPr>
          <w:p w14:paraId="7E091D5A" w14:textId="77777777" w:rsidR="003D1E7A" w:rsidRPr="000669D7" w:rsidRDefault="003D1E7A">
            <w:pPr>
              <w:spacing w:before="120" w:after="120"/>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0669D7">
              <w:rPr>
                <w:i/>
                <w:iCs/>
                <w:sz w:val="16"/>
                <w:szCs w:val="16"/>
              </w:rPr>
              <w:t>N/A</w:t>
            </w:r>
          </w:p>
        </w:tc>
      </w:tr>
      <w:tr w:rsidR="003D1E7A" w:rsidRPr="00771E1B" w14:paraId="731E47FF" w14:textId="77777777" w:rsidTr="00A522AC">
        <w:tc>
          <w:tcPr>
            <w:cnfStyle w:val="001000000000" w:firstRow="0" w:lastRow="0" w:firstColumn="1" w:lastColumn="0" w:oddVBand="0" w:evenVBand="0" w:oddHBand="0" w:evenHBand="0" w:firstRowFirstColumn="0" w:firstRowLastColumn="0" w:lastRowFirstColumn="0" w:lastRowLastColumn="0"/>
            <w:tcW w:w="543" w:type="dxa"/>
          </w:tcPr>
          <w:p w14:paraId="32FE0ECA" w14:textId="77777777" w:rsidR="003D1E7A" w:rsidRPr="00771E1B" w:rsidRDefault="003D1E7A">
            <w:pPr>
              <w:jc w:val="center"/>
              <w:rPr>
                <w:sz w:val="16"/>
                <w:szCs w:val="16"/>
              </w:rPr>
            </w:pPr>
            <w:r w:rsidRPr="00771E1B">
              <w:rPr>
                <w:sz w:val="16"/>
                <w:szCs w:val="16"/>
              </w:rPr>
              <w:t>2</w:t>
            </w:r>
          </w:p>
        </w:tc>
        <w:tc>
          <w:tcPr>
            <w:tcW w:w="4331" w:type="dxa"/>
          </w:tcPr>
          <w:p w14:paraId="578A37D8"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sz w:val="16"/>
                <w:szCs w:val="16"/>
              </w:rPr>
            </w:pPr>
            <w:r w:rsidRPr="00771E1B">
              <w:rPr>
                <w:sz w:val="16"/>
                <w:szCs w:val="16"/>
              </w:rPr>
              <w:t>The potential transition of CCCFR services not currently regulated under the National Quality Framework (NQF) to the NQF should be considered on a case-by-case basis, having regard to the service operating environment, its current capacity to meet requirements under the National Law and Regulations, and an analysis of service-level and systemic barriers to meeting the National Quality Standard (NQS).</w:t>
            </w:r>
          </w:p>
        </w:tc>
        <w:tc>
          <w:tcPr>
            <w:tcW w:w="4047" w:type="dxa"/>
          </w:tcPr>
          <w:p w14:paraId="00CAE5CE"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p w14:paraId="02DEC4D0"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State and territory regulatory authorities</w:t>
            </w:r>
          </w:p>
        </w:tc>
        <w:tc>
          <w:tcPr>
            <w:tcW w:w="5386" w:type="dxa"/>
          </w:tcPr>
          <w:p w14:paraId="38AF7842" w14:textId="196DF993" w:rsidR="00D85D2D" w:rsidRDefault="003D1E7A">
            <w:pPr>
              <w:spacing w:before="120" w:after="120"/>
              <w:cnfStyle w:val="000000000000" w:firstRow="0" w:lastRow="0" w:firstColumn="0" w:lastColumn="0" w:oddVBand="0" w:evenVBand="0" w:oddHBand="0" w:evenHBand="0" w:firstRowFirstColumn="0" w:firstRowLastColumn="0" w:lastRowFirstColumn="0" w:lastRowLastColumn="0"/>
              <w:rPr>
                <w:i/>
                <w:iCs/>
                <w:sz w:val="16"/>
                <w:szCs w:val="16"/>
              </w:rPr>
            </w:pPr>
            <w:r>
              <w:rPr>
                <w:sz w:val="16"/>
                <w:szCs w:val="16"/>
              </w:rPr>
              <w:t xml:space="preserve">Requirements for Provider and Service approval, as well as broader regulatory requirements stipulated under the </w:t>
            </w:r>
            <w:r w:rsidRPr="000669D7">
              <w:rPr>
                <w:i/>
                <w:iCs/>
                <w:sz w:val="16"/>
                <w:szCs w:val="16"/>
              </w:rPr>
              <w:t>Education and Care Services National Law Act 2010</w:t>
            </w:r>
            <w:r>
              <w:rPr>
                <w:i/>
                <w:iCs/>
                <w:sz w:val="16"/>
                <w:szCs w:val="16"/>
              </w:rPr>
              <w:t xml:space="preserve"> </w:t>
            </w:r>
            <w:r>
              <w:rPr>
                <w:sz w:val="16"/>
                <w:szCs w:val="16"/>
              </w:rPr>
              <w:t xml:space="preserve">and the </w:t>
            </w:r>
            <w:r w:rsidRPr="000669D7">
              <w:rPr>
                <w:i/>
                <w:iCs/>
                <w:sz w:val="16"/>
                <w:szCs w:val="16"/>
              </w:rPr>
              <w:t>Education and Care Services National Regulations</w:t>
            </w:r>
            <w:r>
              <w:rPr>
                <w:i/>
                <w:iCs/>
                <w:sz w:val="16"/>
                <w:szCs w:val="16"/>
              </w:rPr>
              <w:t>.</w:t>
            </w:r>
          </w:p>
          <w:p w14:paraId="37312326" w14:textId="3822942A" w:rsidR="003D1E7A" w:rsidRPr="000669D7" w:rsidRDefault="00D85D2D">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Prescribed definition</w:t>
            </w:r>
            <w:r w:rsidRPr="00D85D2D">
              <w:rPr>
                <w:sz w:val="16"/>
                <w:szCs w:val="16"/>
              </w:rPr>
              <w:t xml:space="preserve"> of</w:t>
            </w:r>
            <w:r>
              <w:rPr>
                <w:i/>
                <w:iCs/>
                <w:sz w:val="16"/>
                <w:szCs w:val="16"/>
              </w:rPr>
              <w:t xml:space="preserve"> education and care service </w:t>
            </w:r>
            <w:r w:rsidRPr="00D85D2D">
              <w:rPr>
                <w:sz w:val="16"/>
                <w:szCs w:val="16"/>
              </w:rPr>
              <w:t>under Section 5 of the</w:t>
            </w:r>
            <w:r>
              <w:rPr>
                <w:i/>
                <w:iCs/>
                <w:sz w:val="16"/>
                <w:szCs w:val="16"/>
              </w:rPr>
              <w:t xml:space="preserve"> </w:t>
            </w:r>
            <w:r w:rsidRPr="000669D7">
              <w:rPr>
                <w:i/>
                <w:iCs/>
                <w:sz w:val="16"/>
                <w:szCs w:val="16"/>
              </w:rPr>
              <w:t>Education and Care Services National Law Act 2010</w:t>
            </w:r>
            <w:r>
              <w:rPr>
                <w:i/>
                <w:iCs/>
                <w:sz w:val="16"/>
                <w:szCs w:val="16"/>
              </w:rPr>
              <w:t xml:space="preserve">, </w:t>
            </w:r>
            <w:r w:rsidRPr="005D126B">
              <w:rPr>
                <w:sz w:val="16"/>
                <w:szCs w:val="16"/>
              </w:rPr>
              <w:t xml:space="preserve">and excluded services from this definition under regulation 5 of the </w:t>
            </w:r>
            <w:r w:rsidR="005D126B" w:rsidRPr="005D126B">
              <w:rPr>
                <w:i/>
                <w:iCs/>
                <w:sz w:val="16"/>
                <w:szCs w:val="16"/>
              </w:rPr>
              <w:t>Education and Care Services National Regulations</w:t>
            </w:r>
            <w:r w:rsidR="005D126B">
              <w:rPr>
                <w:i/>
                <w:iCs/>
                <w:sz w:val="16"/>
                <w:szCs w:val="16"/>
              </w:rPr>
              <w:t xml:space="preserve"> </w:t>
            </w:r>
            <w:r w:rsidR="005D126B" w:rsidRPr="005D126B">
              <w:rPr>
                <w:sz w:val="16"/>
                <w:szCs w:val="16"/>
              </w:rPr>
              <w:t>(e.g. former BBF/IAS and mobile services)</w:t>
            </w:r>
            <w:r w:rsidR="005D126B">
              <w:rPr>
                <w:sz w:val="16"/>
                <w:szCs w:val="16"/>
              </w:rPr>
              <w:t>.</w:t>
            </w:r>
          </w:p>
        </w:tc>
      </w:tr>
      <w:tr w:rsidR="003D1E7A" w:rsidRPr="00771E1B" w14:paraId="53690F7B"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6BBCF566" w14:textId="77777777" w:rsidR="003D1E7A" w:rsidRPr="00771E1B" w:rsidRDefault="003D1E7A">
            <w:pPr>
              <w:jc w:val="center"/>
              <w:rPr>
                <w:sz w:val="16"/>
                <w:szCs w:val="16"/>
              </w:rPr>
            </w:pPr>
            <w:r w:rsidRPr="00771E1B">
              <w:rPr>
                <w:sz w:val="16"/>
                <w:szCs w:val="16"/>
              </w:rPr>
              <w:t>3</w:t>
            </w:r>
          </w:p>
        </w:tc>
        <w:tc>
          <w:tcPr>
            <w:tcW w:w="4331" w:type="dxa"/>
          </w:tcPr>
          <w:p w14:paraId="4B1F3C52"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sz w:val="16"/>
                <w:szCs w:val="16"/>
              </w:rPr>
            </w:pPr>
            <w:r w:rsidRPr="2D49B457">
              <w:rPr>
                <w:sz w:val="16"/>
                <w:szCs w:val="16"/>
              </w:rPr>
              <w:t>The transition of CCCFR services to new funding and/or regulatory environments should be pursued with input and participation from individual services and communities and governed by tailored transition plans that carefully determine an appropriate transition path for each service and the supports required to successfully pursue it.</w:t>
            </w:r>
          </w:p>
        </w:tc>
        <w:tc>
          <w:tcPr>
            <w:tcW w:w="4047" w:type="dxa"/>
          </w:tcPr>
          <w:p w14:paraId="15076311"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p w14:paraId="57705239"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State and territory governments</w:t>
            </w:r>
          </w:p>
          <w:p w14:paraId="0B0F46C0"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State and territory regulatory authorities</w:t>
            </w:r>
          </w:p>
        </w:tc>
        <w:tc>
          <w:tcPr>
            <w:tcW w:w="5386" w:type="dxa"/>
          </w:tcPr>
          <w:p w14:paraId="74D1FB39" w14:textId="77777777" w:rsidR="003D1E7A" w:rsidRDefault="003D1E7A">
            <w:pPr>
              <w:spacing w:before="120" w:after="120"/>
              <w:cnfStyle w:val="000000100000" w:firstRow="0" w:lastRow="0" w:firstColumn="0" w:lastColumn="0" w:oddVBand="0" w:evenVBand="0" w:oddHBand="1" w:evenHBand="0" w:firstRowFirstColumn="0" w:firstRowLastColumn="0" w:lastRowFirstColumn="0" w:lastRowLastColumn="0"/>
              <w:rPr>
                <w:i/>
                <w:iCs/>
                <w:sz w:val="16"/>
                <w:szCs w:val="16"/>
              </w:rPr>
            </w:pPr>
            <w:r w:rsidRPr="000669D7">
              <w:rPr>
                <w:sz w:val="16"/>
                <w:szCs w:val="16"/>
              </w:rPr>
              <w:t xml:space="preserve">Requirements for Provider and Service approval, as well as broader regulatory requirements stipulated under the </w:t>
            </w:r>
            <w:r w:rsidRPr="000669D7">
              <w:rPr>
                <w:i/>
                <w:iCs/>
                <w:sz w:val="16"/>
                <w:szCs w:val="16"/>
              </w:rPr>
              <w:t xml:space="preserve">Education and Care Services National Law Act 2010 </w:t>
            </w:r>
            <w:r w:rsidRPr="000669D7">
              <w:rPr>
                <w:sz w:val="16"/>
                <w:szCs w:val="16"/>
              </w:rPr>
              <w:t xml:space="preserve">and the </w:t>
            </w:r>
            <w:r w:rsidRPr="000669D7">
              <w:rPr>
                <w:i/>
                <w:iCs/>
                <w:sz w:val="16"/>
                <w:szCs w:val="16"/>
              </w:rPr>
              <w:t>Education and Care Services National Regulations.</w:t>
            </w:r>
          </w:p>
          <w:p w14:paraId="6419F8C2" w14:textId="369FBB8F" w:rsidR="003D1E7A" w:rsidRPr="000669D7" w:rsidRDefault="005D126B">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Prescribed definition</w:t>
            </w:r>
            <w:r w:rsidRPr="00D85D2D">
              <w:rPr>
                <w:sz w:val="16"/>
                <w:szCs w:val="16"/>
              </w:rPr>
              <w:t xml:space="preserve"> of</w:t>
            </w:r>
            <w:r>
              <w:rPr>
                <w:i/>
                <w:iCs/>
                <w:sz w:val="16"/>
                <w:szCs w:val="16"/>
              </w:rPr>
              <w:t xml:space="preserve"> education and care service </w:t>
            </w:r>
            <w:r w:rsidRPr="00D85D2D">
              <w:rPr>
                <w:sz w:val="16"/>
                <w:szCs w:val="16"/>
              </w:rPr>
              <w:t>under Section 5 of the</w:t>
            </w:r>
            <w:r>
              <w:rPr>
                <w:i/>
                <w:iCs/>
                <w:sz w:val="16"/>
                <w:szCs w:val="16"/>
              </w:rPr>
              <w:t xml:space="preserve"> </w:t>
            </w:r>
            <w:r w:rsidRPr="000669D7">
              <w:rPr>
                <w:i/>
                <w:iCs/>
                <w:sz w:val="16"/>
                <w:szCs w:val="16"/>
              </w:rPr>
              <w:t>Education and Care Services National Law Act 2010</w:t>
            </w:r>
            <w:r>
              <w:rPr>
                <w:i/>
                <w:iCs/>
                <w:sz w:val="16"/>
                <w:szCs w:val="16"/>
              </w:rPr>
              <w:t xml:space="preserve">, </w:t>
            </w:r>
            <w:r w:rsidRPr="005D126B">
              <w:rPr>
                <w:sz w:val="16"/>
                <w:szCs w:val="16"/>
              </w:rPr>
              <w:t xml:space="preserve">and excluded services from this definition under regulation 5 of the </w:t>
            </w:r>
            <w:r w:rsidRPr="005D126B">
              <w:rPr>
                <w:i/>
                <w:iCs/>
                <w:sz w:val="16"/>
                <w:szCs w:val="16"/>
              </w:rPr>
              <w:t>Education and Care Services National Regulations</w:t>
            </w:r>
            <w:r>
              <w:rPr>
                <w:i/>
                <w:iCs/>
                <w:sz w:val="16"/>
                <w:szCs w:val="16"/>
              </w:rPr>
              <w:t xml:space="preserve"> </w:t>
            </w:r>
            <w:r w:rsidRPr="005D126B">
              <w:rPr>
                <w:sz w:val="16"/>
                <w:szCs w:val="16"/>
              </w:rPr>
              <w:t>(e.g. former BBF/IAS and mobile services)</w:t>
            </w:r>
            <w:r>
              <w:rPr>
                <w:sz w:val="16"/>
                <w:szCs w:val="16"/>
              </w:rPr>
              <w:t>.</w:t>
            </w:r>
          </w:p>
        </w:tc>
      </w:tr>
      <w:tr w:rsidR="003D1E7A" w:rsidRPr="00771E1B" w14:paraId="07BB3DED" w14:textId="77777777" w:rsidTr="00A522AC">
        <w:tc>
          <w:tcPr>
            <w:cnfStyle w:val="001000000000" w:firstRow="0" w:lastRow="0" w:firstColumn="1" w:lastColumn="0" w:oddVBand="0" w:evenVBand="0" w:oddHBand="0" w:evenHBand="0" w:firstRowFirstColumn="0" w:firstRowLastColumn="0" w:lastRowFirstColumn="0" w:lastRowLastColumn="0"/>
            <w:tcW w:w="543" w:type="dxa"/>
          </w:tcPr>
          <w:p w14:paraId="0083B5D5" w14:textId="77777777" w:rsidR="003D1E7A" w:rsidRPr="00771E1B" w:rsidRDefault="003D1E7A">
            <w:pPr>
              <w:jc w:val="center"/>
              <w:rPr>
                <w:sz w:val="16"/>
                <w:szCs w:val="16"/>
              </w:rPr>
            </w:pPr>
            <w:r w:rsidRPr="00771E1B">
              <w:rPr>
                <w:sz w:val="16"/>
                <w:szCs w:val="16"/>
              </w:rPr>
              <w:t>4</w:t>
            </w:r>
          </w:p>
        </w:tc>
        <w:tc>
          <w:tcPr>
            <w:tcW w:w="4331" w:type="dxa"/>
          </w:tcPr>
          <w:p w14:paraId="57E35F2E"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sz w:val="16"/>
                <w:szCs w:val="16"/>
              </w:rPr>
            </w:pPr>
            <w:r w:rsidRPr="00771E1B">
              <w:rPr>
                <w:sz w:val="16"/>
                <w:szCs w:val="16"/>
              </w:rPr>
              <w:t>There should be further exploration of the opportunities within the Australian early childhood regulatory landscape to support Aboriginal and Torres Strait Islander CCCFR services and families.</w:t>
            </w:r>
          </w:p>
        </w:tc>
        <w:tc>
          <w:tcPr>
            <w:tcW w:w="4047" w:type="dxa"/>
          </w:tcPr>
          <w:p w14:paraId="200AD146"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p w14:paraId="5A0B2D44"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ACECQA</w:t>
            </w:r>
          </w:p>
          <w:p w14:paraId="79D46470"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State and territory regulatory authorities</w:t>
            </w:r>
          </w:p>
        </w:tc>
        <w:tc>
          <w:tcPr>
            <w:tcW w:w="5386" w:type="dxa"/>
          </w:tcPr>
          <w:p w14:paraId="641E1B9D" w14:textId="77777777" w:rsidR="003D1E7A" w:rsidRPr="000669D7" w:rsidRDefault="003D1E7A">
            <w:pPr>
              <w:spacing w:before="120" w:after="120"/>
              <w:cnfStyle w:val="000000000000" w:firstRow="0" w:lastRow="0" w:firstColumn="0" w:lastColumn="0" w:oddVBand="0" w:evenVBand="0" w:oddHBand="0" w:evenHBand="0" w:firstRowFirstColumn="0" w:firstRowLastColumn="0" w:lastRowFirstColumn="0" w:lastRowLastColumn="0"/>
              <w:rPr>
                <w:b/>
                <w:bCs/>
                <w:i/>
                <w:iCs/>
                <w:sz w:val="16"/>
                <w:szCs w:val="16"/>
              </w:rPr>
            </w:pPr>
            <w:r w:rsidRPr="000669D7">
              <w:rPr>
                <w:b/>
                <w:bCs/>
                <w:i/>
                <w:iCs/>
                <w:sz w:val="16"/>
                <w:szCs w:val="16"/>
              </w:rPr>
              <w:t>Compliance with the National Quality Framework</w:t>
            </w:r>
          </w:p>
          <w:p w14:paraId="72164AD8" w14:textId="77777777" w:rsidR="003D1E7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All early childhood education and care services in Australia are required to comply with the National Quality Framework (NQF) if:</w:t>
            </w:r>
          </w:p>
          <w:p w14:paraId="5C42477D" w14:textId="77777777" w:rsidR="003D1E7A" w:rsidRPr="000669D7" w:rsidRDefault="003D1E7A" w:rsidP="00416EA8">
            <w:pPr>
              <w:pStyle w:val="ListParagraph"/>
              <w:numPr>
                <w:ilvl w:val="0"/>
                <w:numId w:val="86"/>
              </w:num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lastRenderedPageBreak/>
              <w:t xml:space="preserve">the service meets the </w:t>
            </w:r>
            <w:r w:rsidRPr="000669D7">
              <w:rPr>
                <w:sz w:val="16"/>
                <w:szCs w:val="16"/>
              </w:rPr>
              <w:t xml:space="preserve">definition of </w:t>
            </w:r>
            <w:r w:rsidRPr="000669D7">
              <w:rPr>
                <w:b/>
                <w:bCs/>
                <w:sz w:val="16"/>
                <w:szCs w:val="16"/>
              </w:rPr>
              <w:t>education and care service</w:t>
            </w:r>
            <w:r w:rsidRPr="000669D7">
              <w:rPr>
                <w:b/>
                <w:bCs/>
                <w:i/>
                <w:iCs/>
                <w:sz w:val="16"/>
                <w:szCs w:val="16"/>
              </w:rPr>
              <w:t xml:space="preserve"> </w:t>
            </w:r>
            <w:r w:rsidRPr="000669D7">
              <w:rPr>
                <w:sz w:val="16"/>
                <w:szCs w:val="16"/>
              </w:rPr>
              <w:t xml:space="preserve">under section 5 of the </w:t>
            </w:r>
            <w:r w:rsidRPr="000669D7">
              <w:rPr>
                <w:i/>
                <w:iCs/>
                <w:sz w:val="16"/>
                <w:szCs w:val="16"/>
              </w:rPr>
              <w:t>Education and Care Services National Law Act 2010</w:t>
            </w:r>
            <w:r>
              <w:rPr>
                <w:i/>
                <w:iCs/>
                <w:sz w:val="16"/>
                <w:szCs w:val="16"/>
              </w:rPr>
              <w:t>, and</w:t>
            </w:r>
          </w:p>
          <w:p w14:paraId="75BD6C89" w14:textId="77777777" w:rsidR="003D1E7A" w:rsidRPr="000669D7" w:rsidRDefault="003D1E7A" w:rsidP="00416EA8">
            <w:pPr>
              <w:pStyle w:val="ListParagraph"/>
              <w:numPr>
                <w:ilvl w:val="0"/>
                <w:numId w:val="86"/>
              </w:num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the service is not excluded from the definition of </w:t>
            </w:r>
            <w:r w:rsidRPr="000669D7">
              <w:rPr>
                <w:b/>
                <w:bCs/>
                <w:sz w:val="16"/>
                <w:szCs w:val="16"/>
              </w:rPr>
              <w:t>education and care service</w:t>
            </w:r>
            <w:r>
              <w:rPr>
                <w:sz w:val="16"/>
                <w:szCs w:val="16"/>
              </w:rPr>
              <w:t xml:space="preserve"> under regulation 5 of the </w:t>
            </w:r>
            <w:r w:rsidRPr="000669D7">
              <w:rPr>
                <w:i/>
                <w:iCs/>
                <w:sz w:val="16"/>
                <w:szCs w:val="16"/>
              </w:rPr>
              <w:t>Education and Care Services National Regulations.</w:t>
            </w:r>
          </w:p>
          <w:p w14:paraId="7EF9B3B5" w14:textId="77777777" w:rsidR="003D1E7A" w:rsidRPr="000669D7" w:rsidRDefault="003D1E7A">
            <w:pPr>
              <w:spacing w:before="120" w:after="120"/>
              <w:cnfStyle w:val="000000000000" w:firstRow="0" w:lastRow="0" w:firstColumn="0" w:lastColumn="0" w:oddVBand="0" w:evenVBand="0" w:oddHBand="0" w:evenHBand="0" w:firstRowFirstColumn="0" w:firstRowLastColumn="0" w:lastRowFirstColumn="0" w:lastRowLastColumn="0"/>
              <w:rPr>
                <w:b/>
                <w:bCs/>
                <w:i/>
                <w:iCs/>
                <w:sz w:val="16"/>
                <w:szCs w:val="16"/>
              </w:rPr>
            </w:pPr>
            <w:r>
              <w:rPr>
                <w:b/>
                <w:bCs/>
                <w:i/>
                <w:iCs/>
                <w:sz w:val="16"/>
                <w:szCs w:val="16"/>
              </w:rPr>
              <w:t>Approved Learning Frameworks</w:t>
            </w:r>
          </w:p>
          <w:p w14:paraId="4C703558" w14:textId="77777777" w:rsidR="003D1E7A" w:rsidRPr="000669D7"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Under the NQF, services must implement an educational program in line with an approved learning framework </w:t>
            </w:r>
            <w:r w:rsidRPr="000669D7">
              <w:rPr>
                <w:i/>
                <w:iCs/>
                <w:sz w:val="16"/>
                <w:szCs w:val="16"/>
              </w:rPr>
              <w:t xml:space="preserve">(section 168 of </w:t>
            </w:r>
            <w:r w:rsidRPr="00A131E9">
              <w:rPr>
                <w:i/>
                <w:iCs/>
                <w:sz w:val="16"/>
                <w:szCs w:val="16"/>
              </w:rPr>
              <w:t>Education and Care Services National Law Act 2010</w:t>
            </w:r>
            <w:r w:rsidRPr="000669D7">
              <w:rPr>
                <w:i/>
                <w:iCs/>
                <w:sz w:val="16"/>
                <w:szCs w:val="16"/>
              </w:rPr>
              <w:t>)</w:t>
            </w:r>
            <w:r>
              <w:rPr>
                <w:sz w:val="16"/>
                <w:szCs w:val="16"/>
              </w:rPr>
              <w:t>, as stipulated under regulation 254</w:t>
            </w:r>
            <w:r w:rsidRPr="000669D7">
              <w:rPr>
                <w:i/>
                <w:iCs/>
                <w:sz w:val="16"/>
                <w:szCs w:val="16"/>
              </w:rPr>
              <w:t xml:space="preserve"> </w:t>
            </w:r>
            <w:r w:rsidRPr="000669D7">
              <w:rPr>
                <w:sz w:val="16"/>
                <w:szCs w:val="16"/>
              </w:rPr>
              <w:t>of the</w:t>
            </w:r>
            <w:r>
              <w:rPr>
                <w:i/>
                <w:iCs/>
                <w:sz w:val="16"/>
                <w:szCs w:val="16"/>
              </w:rPr>
              <w:t xml:space="preserve"> </w:t>
            </w:r>
            <w:r w:rsidRPr="000669D7">
              <w:rPr>
                <w:i/>
                <w:iCs/>
                <w:sz w:val="16"/>
                <w:szCs w:val="16"/>
              </w:rPr>
              <w:t>Education and Care Services National Regulations.</w:t>
            </w:r>
          </w:p>
        </w:tc>
      </w:tr>
      <w:tr w:rsidR="003D1E7A" w:rsidRPr="00771E1B" w14:paraId="56A177F7"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35434F1E" w14:textId="77777777" w:rsidR="003D1E7A" w:rsidRPr="00771E1B" w:rsidRDefault="003D1E7A">
            <w:pPr>
              <w:jc w:val="center"/>
              <w:rPr>
                <w:sz w:val="16"/>
                <w:szCs w:val="16"/>
              </w:rPr>
            </w:pPr>
            <w:r w:rsidRPr="00771E1B">
              <w:rPr>
                <w:sz w:val="16"/>
                <w:szCs w:val="16"/>
              </w:rPr>
              <w:lastRenderedPageBreak/>
              <w:t>5</w:t>
            </w:r>
          </w:p>
        </w:tc>
        <w:tc>
          <w:tcPr>
            <w:tcW w:w="4331" w:type="dxa"/>
          </w:tcPr>
          <w:p w14:paraId="723EF734"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sz w:val="16"/>
                <w:szCs w:val="16"/>
              </w:rPr>
            </w:pPr>
            <w:r w:rsidRPr="2D49B457">
              <w:rPr>
                <w:sz w:val="16"/>
                <w:szCs w:val="16"/>
              </w:rPr>
              <w:t>The objectives of the CCCFR grant should be revised to align with the priorities of contemporary government policy, including greater alignment to the Closing the Gap priority reforms and targets.</w:t>
            </w:r>
          </w:p>
        </w:tc>
        <w:tc>
          <w:tcPr>
            <w:tcW w:w="4047" w:type="dxa"/>
          </w:tcPr>
          <w:p w14:paraId="00A4F73B"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p w14:paraId="53AD46CF"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State and territory governments</w:t>
            </w:r>
          </w:p>
        </w:tc>
        <w:tc>
          <w:tcPr>
            <w:tcW w:w="5386" w:type="dxa"/>
          </w:tcPr>
          <w:p w14:paraId="39824BC4" w14:textId="77777777" w:rsidR="003D1E7A" w:rsidRPr="000669D7" w:rsidRDefault="003D1E7A">
            <w:pPr>
              <w:spacing w:before="120" w:after="120"/>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0669D7">
              <w:rPr>
                <w:i/>
                <w:iCs/>
                <w:sz w:val="16"/>
                <w:szCs w:val="16"/>
              </w:rPr>
              <w:t>N/A</w:t>
            </w:r>
          </w:p>
        </w:tc>
      </w:tr>
      <w:tr w:rsidR="003D1E7A" w:rsidRPr="00771E1B" w14:paraId="1F56A59F" w14:textId="77777777" w:rsidTr="00A522AC">
        <w:tc>
          <w:tcPr>
            <w:cnfStyle w:val="001000000000" w:firstRow="0" w:lastRow="0" w:firstColumn="1" w:lastColumn="0" w:oddVBand="0" w:evenVBand="0" w:oddHBand="0" w:evenHBand="0" w:firstRowFirstColumn="0" w:firstRowLastColumn="0" w:lastRowFirstColumn="0" w:lastRowLastColumn="0"/>
            <w:tcW w:w="543" w:type="dxa"/>
          </w:tcPr>
          <w:p w14:paraId="0B842FCD" w14:textId="77777777" w:rsidR="003D1E7A" w:rsidRPr="00771E1B" w:rsidRDefault="003D1E7A">
            <w:pPr>
              <w:jc w:val="center"/>
              <w:rPr>
                <w:sz w:val="16"/>
                <w:szCs w:val="16"/>
              </w:rPr>
            </w:pPr>
            <w:r w:rsidRPr="00771E1B">
              <w:rPr>
                <w:sz w:val="16"/>
                <w:szCs w:val="16"/>
              </w:rPr>
              <w:t>6</w:t>
            </w:r>
          </w:p>
        </w:tc>
        <w:tc>
          <w:tcPr>
            <w:tcW w:w="4331" w:type="dxa"/>
          </w:tcPr>
          <w:p w14:paraId="692A829E"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sz w:val="16"/>
                <w:szCs w:val="16"/>
              </w:rPr>
            </w:pPr>
            <w:r w:rsidRPr="2D49B457">
              <w:rPr>
                <w:sz w:val="16"/>
                <w:szCs w:val="16"/>
              </w:rPr>
              <w:t>The revised objectives should be accessible, easily understood and widely disseminated, including to families and communities.</w:t>
            </w:r>
          </w:p>
        </w:tc>
        <w:tc>
          <w:tcPr>
            <w:tcW w:w="4047" w:type="dxa"/>
          </w:tcPr>
          <w:p w14:paraId="3F13E848"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p w14:paraId="79C2F12A"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State and territory governments</w:t>
            </w:r>
          </w:p>
        </w:tc>
        <w:tc>
          <w:tcPr>
            <w:tcW w:w="5386" w:type="dxa"/>
          </w:tcPr>
          <w:p w14:paraId="46AABE63" w14:textId="77777777" w:rsidR="003D1E7A" w:rsidRPr="000669D7" w:rsidRDefault="003D1E7A">
            <w:pPr>
              <w:spacing w:before="120" w:after="120"/>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0669D7">
              <w:rPr>
                <w:i/>
                <w:iCs/>
                <w:sz w:val="16"/>
                <w:szCs w:val="16"/>
              </w:rPr>
              <w:t>N/A</w:t>
            </w:r>
          </w:p>
        </w:tc>
      </w:tr>
      <w:tr w:rsidR="003D1E7A" w:rsidRPr="00771E1B" w14:paraId="71860826"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5A1C8D71" w14:textId="77777777" w:rsidR="003D1E7A" w:rsidRPr="00771E1B" w:rsidRDefault="003D1E7A">
            <w:pPr>
              <w:jc w:val="center"/>
              <w:rPr>
                <w:sz w:val="16"/>
                <w:szCs w:val="16"/>
              </w:rPr>
            </w:pPr>
            <w:r w:rsidRPr="00771E1B">
              <w:rPr>
                <w:sz w:val="16"/>
                <w:szCs w:val="16"/>
              </w:rPr>
              <w:t>7</w:t>
            </w:r>
          </w:p>
        </w:tc>
        <w:tc>
          <w:tcPr>
            <w:tcW w:w="4331" w:type="dxa"/>
          </w:tcPr>
          <w:p w14:paraId="146B093C"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2D49B457">
              <w:rPr>
                <w:color w:val="000000" w:themeColor="text1"/>
                <w:sz w:val="16"/>
                <w:szCs w:val="16"/>
              </w:rPr>
              <w:t>The revised objectives should be utilised as the basis for a program logic that sets out the expected relationships between the inputs and resources of the grant and the intended outcomes leading to the objectives.</w:t>
            </w:r>
          </w:p>
        </w:tc>
        <w:tc>
          <w:tcPr>
            <w:tcW w:w="4047" w:type="dxa"/>
          </w:tcPr>
          <w:p w14:paraId="724EE62C"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57E118EC" w14:textId="77777777" w:rsidR="003D1E7A" w:rsidRPr="000669D7" w:rsidRDefault="003D1E7A">
            <w:pPr>
              <w:spacing w:before="120" w:after="120"/>
              <w:jc w:val="center"/>
              <w:cnfStyle w:val="000000100000" w:firstRow="0" w:lastRow="0" w:firstColumn="0" w:lastColumn="0" w:oddVBand="0" w:evenVBand="0" w:oddHBand="1" w:evenHBand="0" w:firstRowFirstColumn="0" w:firstRowLastColumn="0" w:lastRowFirstColumn="0" w:lastRowLastColumn="0"/>
              <w:rPr>
                <w:i/>
                <w:iCs/>
                <w:color w:val="000000" w:themeColor="text1"/>
                <w:sz w:val="16"/>
                <w:szCs w:val="16"/>
              </w:rPr>
            </w:pPr>
            <w:r w:rsidRPr="000669D7">
              <w:rPr>
                <w:i/>
                <w:iCs/>
                <w:color w:val="000000" w:themeColor="text1"/>
                <w:sz w:val="16"/>
                <w:szCs w:val="16"/>
              </w:rPr>
              <w:t>N/A</w:t>
            </w:r>
          </w:p>
        </w:tc>
      </w:tr>
      <w:tr w:rsidR="003D1E7A" w:rsidRPr="00771E1B" w14:paraId="6FC5BF00" w14:textId="77777777" w:rsidTr="00A522AC">
        <w:tc>
          <w:tcPr>
            <w:cnfStyle w:val="001000000000" w:firstRow="0" w:lastRow="0" w:firstColumn="1" w:lastColumn="0" w:oddVBand="0" w:evenVBand="0" w:oddHBand="0" w:evenHBand="0" w:firstRowFirstColumn="0" w:firstRowLastColumn="0" w:lastRowFirstColumn="0" w:lastRowLastColumn="0"/>
            <w:tcW w:w="543" w:type="dxa"/>
          </w:tcPr>
          <w:p w14:paraId="3DF381A8" w14:textId="77777777" w:rsidR="003D1E7A" w:rsidRPr="00771E1B" w:rsidRDefault="003D1E7A">
            <w:pPr>
              <w:jc w:val="center"/>
              <w:rPr>
                <w:sz w:val="16"/>
                <w:szCs w:val="16"/>
              </w:rPr>
            </w:pPr>
            <w:r w:rsidRPr="00771E1B">
              <w:rPr>
                <w:sz w:val="16"/>
                <w:szCs w:val="16"/>
              </w:rPr>
              <w:t>8</w:t>
            </w:r>
          </w:p>
        </w:tc>
        <w:tc>
          <w:tcPr>
            <w:tcW w:w="4331" w:type="dxa"/>
          </w:tcPr>
          <w:p w14:paraId="41C1DA94"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2D49B457">
              <w:rPr>
                <w:color w:val="000000" w:themeColor="text1"/>
                <w:sz w:val="16"/>
                <w:szCs w:val="16"/>
              </w:rPr>
              <w:t>Grant guidelines should be refined and adjusted based on the revised objectives and the program logic.</w:t>
            </w:r>
          </w:p>
        </w:tc>
        <w:tc>
          <w:tcPr>
            <w:tcW w:w="4047" w:type="dxa"/>
          </w:tcPr>
          <w:p w14:paraId="1091CF86"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44D30DD0" w14:textId="77777777" w:rsidR="003D1E7A" w:rsidRPr="000669D7" w:rsidRDefault="003D1E7A">
            <w:pPr>
              <w:spacing w:before="120" w:after="120"/>
              <w:jc w:val="center"/>
              <w:cnfStyle w:val="000000000000" w:firstRow="0" w:lastRow="0" w:firstColumn="0" w:lastColumn="0" w:oddVBand="0" w:evenVBand="0" w:oddHBand="0" w:evenHBand="0" w:firstRowFirstColumn="0" w:firstRowLastColumn="0" w:lastRowFirstColumn="0" w:lastRowLastColumn="0"/>
              <w:rPr>
                <w:i/>
                <w:iCs/>
                <w:color w:val="000000" w:themeColor="text1"/>
                <w:sz w:val="16"/>
                <w:szCs w:val="16"/>
              </w:rPr>
            </w:pPr>
            <w:r w:rsidRPr="000669D7">
              <w:rPr>
                <w:i/>
                <w:iCs/>
                <w:color w:val="000000" w:themeColor="text1"/>
                <w:sz w:val="16"/>
                <w:szCs w:val="16"/>
              </w:rPr>
              <w:t>N/A</w:t>
            </w:r>
          </w:p>
        </w:tc>
      </w:tr>
      <w:tr w:rsidR="003D1E7A" w:rsidRPr="00771E1B" w14:paraId="26410048"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103D460F" w14:textId="77777777" w:rsidR="003D1E7A" w:rsidRPr="00771E1B" w:rsidRDefault="003D1E7A">
            <w:pPr>
              <w:jc w:val="center"/>
              <w:rPr>
                <w:sz w:val="16"/>
                <w:szCs w:val="16"/>
              </w:rPr>
            </w:pPr>
            <w:r w:rsidRPr="00771E1B">
              <w:rPr>
                <w:sz w:val="16"/>
                <w:szCs w:val="16"/>
              </w:rPr>
              <w:t>9</w:t>
            </w:r>
          </w:p>
        </w:tc>
        <w:tc>
          <w:tcPr>
            <w:tcW w:w="4331" w:type="dxa"/>
          </w:tcPr>
          <w:p w14:paraId="19B56606"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771E1B">
              <w:rPr>
                <w:color w:val="000000" w:themeColor="text1"/>
                <w:sz w:val="16"/>
                <w:szCs w:val="16"/>
              </w:rPr>
              <w:t>A data management system should be introduced, covering grant compliance and service performance.</w:t>
            </w:r>
          </w:p>
        </w:tc>
        <w:tc>
          <w:tcPr>
            <w:tcW w:w="4047" w:type="dxa"/>
          </w:tcPr>
          <w:p w14:paraId="2A53C086"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6A0D9604" w14:textId="77777777" w:rsidR="003D1E7A" w:rsidRPr="000669D7" w:rsidRDefault="003D1E7A">
            <w:pPr>
              <w:spacing w:before="120" w:after="120"/>
              <w:jc w:val="center"/>
              <w:cnfStyle w:val="000000100000" w:firstRow="0" w:lastRow="0" w:firstColumn="0" w:lastColumn="0" w:oddVBand="0" w:evenVBand="0" w:oddHBand="1" w:evenHBand="0" w:firstRowFirstColumn="0" w:firstRowLastColumn="0" w:lastRowFirstColumn="0" w:lastRowLastColumn="0"/>
              <w:rPr>
                <w:i/>
                <w:iCs/>
                <w:color w:val="000000" w:themeColor="text1"/>
                <w:sz w:val="16"/>
                <w:szCs w:val="16"/>
              </w:rPr>
            </w:pPr>
            <w:r w:rsidRPr="000669D7">
              <w:rPr>
                <w:i/>
                <w:iCs/>
                <w:color w:val="000000" w:themeColor="text1"/>
                <w:sz w:val="16"/>
                <w:szCs w:val="16"/>
              </w:rPr>
              <w:t>N/A</w:t>
            </w:r>
          </w:p>
        </w:tc>
      </w:tr>
      <w:tr w:rsidR="003D1E7A" w:rsidRPr="00771E1B" w14:paraId="7464A776" w14:textId="77777777" w:rsidTr="00A522AC">
        <w:tc>
          <w:tcPr>
            <w:cnfStyle w:val="001000000000" w:firstRow="0" w:lastRow="0" w:firstColumn="1" w:lastColumn="0" w:oddVBand="0" w:evenVBand="0" w:oddHBand="0" w:evenHBand="0" w:firstRowFirstColumn="0" w:firstRowLastColumn="0" w:lastRowFirstColumn="0" w:lastRowLastColumn="0"/>
            <w:tcW w:w="543" w:type="dxa"/>
          </w:tcPr>
          <w:p w14:paraId="26B4820E" w14:textId="77777777" w:rsidR="003D1E7A" w:rsidRPr="00771E1B" w:rsidRDefault="003D1E7A">
            <w:pPr>
              <w:jc w:val="center"/>
              <w:rPr>
                <w:sz w:val="16"/>
                <w:szCs w:val="16"/>
              </w:rPr>
            </w:pPr>
            <w:r w:rsidRPr="00771E1B">
              <w:rPr>
                <w:sz w:val="16"/>
                <w:szCs w:val="16"/>
              </w:rPr>
              <w:t>10</w:t>
            </w:r>
          </w:p>
        </w:tc>
        <w:tc>
          <w:tcPr>
            <w:tcW w:w="4331" w:type="dxa"/>
          </w:tcPr>
          <w:p w14:paraId="75EE19E4"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771E1B">
              <w:rPr>
                <w:color w:val="000000" w:themeColor="text1"/>
                <w:sz w:val="16"/>
                <w:szCs w:val="16"/>
              </w:rPr>
              <w:t>Clear and comprehensive reporting metrics and KPIs should be developed and implemented and collected via a suitable data collection platform.</w:t>
            </w:r>
          </w:p>
        </w:tc>
        <w:tc>
          <w:tcPr>
            <w:tcW w:w="4047" w:type="dxa"/>
          </w:tcPr>
          <w:p w14:paraId="00F6BBBB"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148CB0BB" w14:textId="77777777" w:rsidR="003D1E7A" w:rsidRPr="000669D7" w:rsidRDefault="003D1E7A">
            <w:pPr>
              <w:spacing w:before="120" w:after="120"/>
              <w:jc w:val="center"/>
              <w:cnfStyle w:val="000000000000" w:firstRow="0" w:lastRow="0" w:firstColumn="0" w:lastColumn="0" w:oddVBand="0" w:evenVBand="0" w:oddHBand="0" w:evenHBand="0" w:firstRowFirstColumn="0" w:firstRowLastColumn="0" w:lastRowFirstColumn="0" w:lastRowLastColumn="0"/>
              <w:rPr>
                <w:i/>
                <w:iCs/>
                <w:color w:val="000000" w:themeColor="text1"/>
                <w:sz w:val="16"/>
                <w:szCs w:val="16"/>
              </w:rPr>
            </w:pPr>
            <w:r w:rsidRPr="000669D7">
              <w:rPr>
                <w:i/>
                <w:iCs/>
                <w:color w:val="000000" w:themeColor="text1"/>
                <w:sz w:val="16"/>
                <w:szCs w:val="16"/>
              </w:rPr>
              <w:t>N/A</w:t>
            </w:r>
          </w:p>
        </w:tc>
      </w:tr>
      <w:tr w:rsidR="003D1E7A" w:rsidRPr="00771E1B" w14:paraId="4D86432E"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547941AE" w14:textId="77777777" w:rsidR="003D1E7A" w:rsidRPr="00771E1B" w:rsidRDefault="003D1E7A">
            <w:pPr>
              <w:jc w:val="center"/>
              <w:rPr>
                <w:sz w:val="16"/>
                <w:szCs w:val="16"/>
              </w:rPr>
            </w:pPr>
            <w:r w:rsidRPr="00771E1B">
              <w:rPr>
                <w:sz w:val="16"/>
                <w:szCs w:val="16"/>
              </w:rPr>
              <w:t>11</w:t>
            </w:r>
          </w:p>
        </w:tc>
        <w:tc>
          <w:tcPr>
            <w:tcW w:w="4331" w:type="dxa"/>
          </w:tcPr>
          <w:p w14:paraId="4AD99058"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771E1B">
              <w:rPr>
                <w:color w:val="000000" w:themeColor="text1"/>
                <w:sz w:val="16"/>
                <w:szCs w:val="16"/>
              </w:rPr>
              <w:t>All aspects of the grant design should embed a strengths-based approach, including using strengths-based language.</w:t>
            </w:r>
          </w:p>
        </w:tc>
        <w:tc>
          <w:tcPr>
            <w:tcW w:w="4047" w:type="dxa"/>
          </w:tcPr>
          <w:p w14:paraId="3A0866E3"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6F5FE94E" w14:textId="77777777" w:rsidR="003D1E7A" w:rsidRPr="000669D7" w:rsidRDefault="003D1E7A">
            <w:pPr>
              <w:spacing w:before="120" w:after="120"/>
              <w:jc w:val="center"/>
              <w:cnfStyle w:val="000000100000" w:firstRow="0" w:lastRow="0" w:firstColumn="0" w:lastColumn="0" w:oddVBand="0" w:evenVBand="0" w:oddHBand="1" w:evenHBand="0" w:firstRowFirstColumn="0" w:firstRowLastColumn="0" w:lastRowFirstColumn="0" w:lastRowLastColumn="0"/>
              <w:rPr>
                <w:i/>
                <w:iCs/>
                <w:color w:val="000000" w:themeColor="text1"/>
                <w:sz w:val="16"/>
                <w:szCs w:val="16"/>
              </w:rPr>
            </w:pPr>
            <w:r w:rsidRPr="000669D7">
              <w:rPr>
                <w:i/>
                <w:iCs/>
                <w:color w:val="000000" w:themeColor="text1"/>
                <w:sz w:val="16"/>
                <w:szCs w:val="16"/>
              </w:rPr>
              <w:t>N/A</w:t>
            </w:r>
          </w:p>
        </w:tc>
      </w:tr>
      <w:tr w:rsidR="003D1E7A" w:rsidRPr="00771E1B" w14:paraId="121422B2" w14:textId="77777777" w:rsidTr="00A522AC">
        <w:tc>
          <w:tcPr>
            <w:cnfStyle w:val="001000000000" w:firstRow="0" w:lastRow="0" w:firstColumn="1" w:lastColumn="0" w:oddVBand="0" w:evenVBand="0" w:oddHBand="0" w:evenHBand="0" w:firstRowFirstColumn="0" w:firstRowLastColumn="0" w:lastRowFirstColumn="0" w:lastRowLastColumn="0"/>
            <w:tcW w:w="543" w:type="dxa"/>
          </w:tcPr>
          <w:p w14:paraId="32CC20A4" w14:textId="77777777" w:rsidR="003D1E7A" w:rsidRPr="00771E1B" w:rsidRDefault="003D1E7A">
            <w:pPr>
              <w:jc w:val="center"/>
              <w:rPr>
                <w:sz w:val="16"/>
                <w:szCs w:val="16"/>
              </w:rPr>
            </w:pPr>
            <w:r w:rsidRPr="00771E1B">
              <w:rPr>
                <w:sz w:val="16"/>
                <w:szCs w:val="16"/>
              </w:rPr>
              <w:lastRenderedPageBreak/>
              <w:t>12</w:t>
            </w:r>
          </w:p>
        </w:tc>
        <w:tc>
          <w:tcPr>
            <w:tcW w:w="4331" w:type="dxa"/>
          </w:tcPr>
          <w:p w14:paraId="5C0D00C1"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2D49B457">
              <w:rPr>
                <w:rFonts w:eastAsia="Calibri" w:cs="Times New Roman"/>
                <w:color w:val="000000" w:themeColor="text1"/>
                <w:sz w:val="16"/>
                <w:szCs w:val="16"/>
              </w:rPr>
              <w:t>Grant funding values should be reviewed and revised in light of the revised objectives and in accordance with the principles of need, responsiveness, flexibility and certainty.</w:t>
            </w:r>
          </w:p>
        </w:tc>
        <w:tc>
          <w:tcPr>
            <w:tcW w:w="4047" w:type="dxa"/>
          </w:tcPr>
          <w:p w14:paraId="0C552D5E"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3ABA246C" w14:textId="77777777" w:rsidR="003D1E7A" w:rsidRPr="000669D7" w:rsidRDefault="003D1E7A">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i/>
                <w:iCs/>
                <w:color w:val="000000" w:themeColor="text1"/>
                <w:sz w:val="16"/>
                <w:szCs w:val="16"/>
              </w:rPr>
            </w:pPr>
            <w:r w:rsidRPr="000669D7">
              <w:rPr>
                <w:rFonts w:eastAsia="Calibri" w:cs="Times New Roman"/>
                <w:i/>
                <w:iCs/>
                <w:color w:val="000000" w:themeColor="text1"/>
                <w:sz w:val="16"/>
                <w:szCs w:val="16"/>
              </w:rPr>
              <w:t>N/A</w:t>
            </w:r>
          </w:p>
        </w:tc>
      </w:tr>
      <w:tr w:rsidR="003D1E7A" w:rsidRPr="00771E1B" w14:paraId="56D9D2E4"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2983C9E0" w14:textId="77777777" w:rsidR="003D1E7A" w:rsidRPr="00771E1B" w:rsidRDefault="003D1E7A">
            <w:pPr>
              <w:jc w:val="center"/>
              <w:rPr>
                <w:sz w:val="16"/>
                <w:szCs w:val="16"/>
              </w:rPr>
            </w:pPr>
            <w:r w:rsidRPr="00771E1B">
              <w:rPr>
                <w:sz w:val="16"/>
                <w:szCs w:val="16"/>
              </w:rPr>
              <w:t>13</w:t>
            </w:r>
          </w:p>
        </w:tc>
        <w:tc>
          <w:tcPr>
            <w:tcW w:w="4331" w:type="dxa"/>
          </w:tcPr>
          <w:p w14:paraId="3FE46D98"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2D49B457">
              <w:rPr>
                <w:color w:val="000000" w:themeColor="text1"/>
                <w:sz w:val="16"/>
                <w:szCs w:val="16"/>
              </w:rPr>
              <w:t>The grant design (including the grant value formula and grant guidelines) should ensure that fees are not a barrier to participation and that access to CCCFR services is not contingent on families engaging with systems and processes where there are demonstrated barriers to doing so, including Services Australia.</w:t>
            </w:r>
          </w:p>
        </w:tc>
        <w:tc>
          <w:tcPr>
            <w:tcW w:w="4047" w:type="dxa"/>
          </w:tcPr>
          <w:p w14:paraId="2B346D94"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1CA71633" w14:textId="77777777" w:rsidR="003D1E7A" w:rsidRPr="000669D7" w:rsidRDefault="003D1E7A">
            <w:pPr>
              <w:spacing w:before="120" w:after="12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0669D7">
              <w:rPr>
                <w:b/>
                <w:bCs/>
                <w:color w:val="000000" w:themeColor="text1"/>
                <w:sz w:val="16"/>
                <w:szCs w:val="16"/>
              </w:rPr>
              <w:t>Requirement for co-contribution to fees by families</w:t>
            </w:r>
          </w:p>
          <w:p w14:paraId="510B6836" w14:textId="77777777" w:rsidR="003D1E7A" w:rsidRDefault="003D1E7A">
            <w:pPr>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Pr>
                <w:color w:val="000000" w:themeColor="text1"/>
                <w:sz w:val="16"/>
                <w:szCs w:val="16"/>
              </w:rPr>
              <w:t>Requirement to collect gap fees (family co-contribution) under S</w:t>
            </w:r>
            <w:r w:rsidRPr="00EC11C9">
              <w:rPr>
                <w:color w:val="000000" w:themeColor="text1"/>
                <w:sz w:val="16"/>
                <w:szCs w:val="16"/>
              </w:rPr>
              <w:t xml:space="preserve">ection 201B of </w:t>
            </w:r>
            <w:r w:rsidRPr="000669D7">
              <w:rPr>
                <w:i/>
                <w:iCs/>
                <w:color w:val="000000" w:themeColor="text1"/>
                <w:sz w:val="16"/>
                <w:szCs w:val="16"/>
              </w:rPr>
              <w:t>A New Tax System (Family Assistance) (Administration) Act 1999</w:t>
            </w:r>
            <w:r w:rsidRPr="00EC11C9">
              <w:rPr>
                <w:color w:val="000000" w:themeColor="text1"/>
                <w:sz w:val="16"/>
                <w:szCs w:val="16"/>
              </w:rPr>
              <w:t>.</w:t>
            </w:r>
          </w:p>
          <w:p w14:paraId="3DA9B69C" w14:textId="77777777" w:rsidR="003D1E7A" w:rsidRPr="000669D7" w:rsidRDefault="003D1E7A">
            <w:pPr>
              <w:spacing w:before="120" w:after="12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0669D7">
              <w:rPr>
                <w:b/>
                <w:bCs/>
                <w:color w:val="000000" w:themeColor="text1"/>
                <w:sz w:val="16"/>
                <w:szCs w:val="16"/>
              </w:rPr>
              <w:t>Requirement for Customer Reference Number (CRN)</w:t>
            </w:r>
          </w:p>
          <w:p w14:paraId="32CF5417" w14:textId="77777777" w:rsidR="003D1E7A" w:rsidRPr="00771E1B" w:rsidRDefault="003D1E7A">
            <w:pPr>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Pr>
                <w:color w:val="000000" w:themeColor="text1"/>
                <w:sz w:val="16"/>
                <w:szCs w:val="16"/>
              </w:rPr>
              <w:t xml:space="preserve">Requirements in relation to providing a customer reference number (CRN) as part of a complying written agreement, for the purposes of Commonwealth payment towards sessions of care under the child care subsidy (section 9 of the </w:t>
            </w:r>
            <w:r w:rsidRPr="000669D7">
              <w:rPr>
                <w:i/>
                <w:iCs/>
                <w:color w:val="000000" w:themeColor="text1"/>
                <w:sz w:val="16"/>
                <w:szCs w:val="16"/>
              </w:rPr>
              <w:t>Child Care Subsidy Secretary’s Rules 2017</w:t>
            </w:r>
            <w:r>
              <w:rPr>
                <w:color w:val="000000" w:themeColor="text1"/>
                <w:sz w:val="16"/>
                <w:szCs w:val="16"/>
              </w:rPr>
              <w:t>)</w:t>
            </w:r>
          </w:p>
        </w:tc>
      </w:tr>
      <w:tr w:rsidR="003D1E7A" w:rsidRPr="00771E1B" w14:paraId="79897792" w14:textId="77777777" w:rsidTr="00A522AC">
        <w:trPr>
          <w:trHeight w:val="77"/>
        </w:trPr>
        <w:tc>
          <w:tcPr>
            <w:cnfStyle w:val="001000000000" w:firstRow="0" w:lastRow="0" w:firstColumn="1" w:lastColumn="0" w:oddVBand="0" w:evenVBand="0" w:oddHBand="0" w:evenHBand="0" w:firstRowFirstColumn="0" w:firstRowLastColumn="0" w:lastRowFirstColumn="0" w:lastRowLastColumn="0"/>
            <w:tcW w:w="543" w:type="dxa"/>
          </w:tcPr>
          <w:p w14:paraId="7D7C5B2D" w14:textId="77777777" w:rsidR="003D1E7A" w:rsidRPr="00771E1B" w:rsidRDefault="003D1E7A">
            <w:pPr>
              <w:jc w:val="center"/>
              <w:rPr>
                <w:sz w:val="16"/>
                <w:szCs w:val="16"/>
              </w:rPr>
            </w:pPr>
            <w:r w:rsidRPr="00771E1B">
              <w:rPr>
                <w:sz w:val="16"/>
                <w:szCs w:val="16"/>
              </w:rPr>
              <w:t>14</w:t>
            </w:r>
          </w:p>
        </w:tc>
        <w:tc>
          <w:tcPr>
            <w:tcW w:w="4331" w:type="dxa"/>
          </w:tcPr>
          <w:p w14:paraId="26C2D233"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771E1B">
              <w:rPr>
                <w:color w:val="000000" w:themeColor="text1"/>
                <w:sz w:val="16"/>
                <w:szCs w:val="16"/>
              </w:rPr>
              <w:t>The roles and responsibilities of Program Officers should be refined to prioritise supporting administration and financial obligations under the CCCFR grant.</w:t>
            </w:r>
          </w:p>
        </w:tc>
        <w:tc>
          <w:tcPr>
            <w:tcW w:w="4047" w:type="dxa"/>
          </w:tcPr>
          <w:p w14:paraId="0A8A3DD2"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747252E4" w14:textId="77777777" w:rsidR="003D1E7A" w:rsidRPr="000669D7" w:rsidRDefault="003D1E7A">
            <w:pPr>
              <w:spacing w:before="120" w:after="120"/>
              <w:jc w:val="center"/>
              <w:cnfStyle w:val="000000000000" w:firstRow="0" w:lastRow="0" w:firstColumn="0" w:lastColumn="0" w:oddVBand="0" w:evenVBand="0" w:oddHBand="0" w:evenHBand="0" w:firstRowFirstColumn="0" w:firstRowLastColumn="0" w:lastRowFirstColumn="0" w:lastRowLastColumn="0"/>
              <w:rPr>
                <w:i/>
                <w:iCs/>
                <w:color w:val="000000" w:themeColor="text1"/>
                <w:sz w:val="16"/>
                <w:szCs w:val="16"/>
              </w:rPr>
            </w:pPr>
          </w:p>
          <w:p w14:paraId="60E2D81B" w14:textId="77777777" w:rsidR="003D1E7A" w:rsidRPr="000669D7" w:rsidRDefault="003D1E7A">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0669D7">
              <w:rPr>
                <w:i/>
                <w:iCs/>
                <w:sz w:val="16"/>
                <w:szCs w:val="16"/>
              </w:rPr>
              <w:t xml:space="preserve">N/A </w:t>
            </w:r>
          </w:p>
        </w:tc>
      </w:tr>
      <w:tr w:rsidR="003D1E7A" w:rsidRPr="00771E1B" w14:paraId="6FA0A2C4"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29BD0E3B" w14:textId="77777777" w:rsidR="003D1E7A" w:rsidRPr="00771E1B" w:rsidRDefault="003D1E7A">
            <w:pPr>
              <w:jc w:val="center"/>
              <w:rPr>
                <w:sz w:val="16"/>
                <w:szCs w:val="16"/>
              </w:rPr>
            </w:pPr>
            <w:r w:rsidRPr="00771E1B">
              <w:rPr>
                <w:sz w:val="16"/>
                <w:szCs w:val="16"/>
              </w:rPr>
              <w:t>15</w:t>
            </w:r>
          </w:p>
        </w:tc>
        <w:tc>
          <w:tcPr>
            <w:tcW w:w="4331" w:type="dxa"/>
          </w:tcPr>
          <w:p w14:paraId="54D7C061"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2D49B457">
              <w:rPr>
                <w:color w:val="000000" w:themeColor="text1"/>
                <w:sz w:val="16"/>
                <w:szCs w:val="16"/>
              </w:rPr>
              <w:t>To support CCCFR services in relation to more specialist issues (such as leasing and asset management, and legislative and regulatory advice outside of CCCFR grant obligations), targeted roles should be established within the Commonwealth Department of Education.</w:t>
            </w:r>
          </w:p>
        </w:tc>
        <w:tc>
          <w:tcPr>
            <w:tcW w:w="4047" w:type="dxa"/>
          </w:tcPr>
          <w:p w14:paraId="2B4AA2E5"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tc>
        <w:tc>
          <w:tcPr>
            <w:tcW w:w="5386" w:type="dxa"/>
          </w:tcPr>
          <w:p w14:paraId="6957FD63" w14:textId="77777777" w:rsidR="003D1E7A" w:rsidRPr="000669D7" w:rsidRDefault="003D1E7A">
            <w:pPr>
              <w:spacing w:before="120" w:after="120"/>
              <w:jc w:val="center"/>
              <w:cnfStyle w:val="000000100000" w:firstRow="0" w:lastRow="0" w:firstColumn="0" w:lastColumn="0" w:oddVBand="0" w:evenVBand="0" w:oddHBand="1" w:evenHBand="0" w:firstRowFirstColumn="0" w:firstRowLastColumn="0" w:lastRowFirstColumn="0" w:lastRowLastColumn="0"/>
              <w:rPr>
                <w:i/>
                <w:iCs/>
                <w:color w:val="000000" w:themeColor="text1"/>
                <w:sz w:val="16"/>
                <w:szCs w:val="16"/>
              </w:rPr>
            </w:pPr>
            <w:r w:rsidRPr="000669D7">
              <w:rPr>
                <w:i/>
                <w:iCs/>
                <w:color w:val="000000" w:themeColor="text1"/>
                <w:sz w:val="16"/>
                <w:szCs w:val="16"/>
              </w:rPr>
              <w:t>N/A</w:t>
            </w:r>
          </w:p>
        </w:tc>
      </w:tr>
      <w:tr w:rsidR="003D1E7A" w:rsidRPr="00771E1B" w14:paraId="44FF05F8" w14:textId="77777777" w:rsidTr="00A522AC">
        <w:tc>
          <w:tcPr>
            <w:cnfStyle w:val="001000000000" w:firstRow="0" w:lastRow="0" w:firstColumn="1" w:lastColumn="0" w:oddVBand="0" w:evenVBand="0" w:oddHBand="0" w:evenHBand="0" w:firstRowFirstColumn="0" w:firstRowLastColumn="0" w:lastRowFirstColumn="0" w:lastRowLastColumn="0"/>
            <w:tcW w:w="543" w:type="dxa"/>
          </w:tcPr>
          <w:p w14:paraId="00913750" w14:textId="77777777" w:rsidR="003D1E7A" w:rsidRPr="00771E1B" w:rsidRDefault="003D1E7A">
            <w:pPr>
              <w:jc w:val="center"/>
              <w:rPr>
                <w:sz w:val="16"/>
                <w:szCs w:val="16"/>
              </w:rPr>
            </w:pPr>
            <w:r w:rsidRPr="00771E1B">
              <w:rPr>
                <w:sz w:val="16"/>
                <w:szCs w:val="16"/>
              </w:rPr>
              <w:t>16</w:t>
            </w:r>
          </w:p>
        </w:tc>
        <w:tc>
          <w:tcPr>
            <w:tcW w:w="4331" w:type="dxa"/>
          </w:tcPr>
          <w:p w14:paraId="5E03A026"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2D49B457">
              <w:rPr>
                <w:color w:val="000000" w:themeColor="text1"/>
                <w:sz w:val="16"/>
                <w:szCs w:val="16"/>
              </w:rPr>
              <w:t>Recognising the unique context of each CCCFR service, additional professional development and training should be arranged to support quality uplift, including delivery across different stakeholders (e.g., sector organisations and peak bodies) and different mediums (e.g., online, in person training, written guidance and tailored intensive supports at service).</w:t>
            </w:r>
          </w:p>
        </w:tc>
        <w:tc>
          <w:tcPr>
            <w:tcW w:w="4047" w:type="dxa"/>
          </w:tcPr>
          <w:p w14:paraId="10824A50"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p w14:paraId="716992AF"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ACECQA</w:t>
            </w:r>
          </w:p>
          <w:p w14:paraId="7A2D498B"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State and territory governments</w:t>
            </w:r>
          </w:p>
          <w:p w14:paraId="366B5102"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State and territory regulatory authorities</w:t>
            </w:r>
          </w:p>
        </w:tc>
        <w:tc>
          <w:tcPr>
            <w:tcW w:w="5386" w:type="dxa"/>
          </w:tcPr>
          <w:p w14:paraId="4E0F88C6" w14:textId="77777777" w:rsidR="003D1E7A" w:rsidRPr="000669D7" w:rsidRDefault="003D1E7A">
            <w:pPr>
              <w:spacing w:before="120" w:after="120"/>
              <w:jc w:val="center"/>
              <w:cnfStyle w:val="000000000000" w:firstRow="0" w:lastRow="0" w:firstColumn="0" w:lastColumn="0" w:oddVBand="0" w:evenVBand="0" w:oddHBand="0" w:evenHBand="0" w:firstRowFirstColumn="0" w:firstRowLastColumn="0" w:lastRowFirstColumn="0" w:lastRowLastColumn="0"/>
              <w:rPr>
                <w:i/>
                <w:iCs/>
                <w:color w:val="000000" w:themeColor="text1"/>
                <w:sz w:val="16"/>
                <w:szCs w:val="16"/>
              </w:rPr>
            </w:pPr>
            <w:r w:rsidRPr="000669D7">
              <w:rPr>
                <w:i/>
                <w:iCs/>
                <w:color w:val="000000" w:themeColor="text1"/>
                <w:sz w:val="16"/>
                <w:szCs w:val="16"/>
              </w:rPr>
              <w:t>N/A</w:t>
            </w:r>
          </w:p>
        </w:tc>
      </w:tr>
      <w:tr w:rsidR="003D1E7A" w:rsidRPr="00771E1B" w14:paraId="1AF8BFC8"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0694E678" w14:textId="77777777" w:rsidR="003D1E7A" w:rsidRPr="00771E1B" w:rsidRDefault="003D1E7A">
            <w:pPr>
              <w:jc w:val="center"/>
              <w:rPr>
                <w:sz w:val="16"/>
                <w:szCs w:val="16"/>
              </w:rPr>
            </w:pPr>
            <w:r w:rsidRPr="00771E1B">
              <w:rPr>
                <w:sz w:val="16"/>
                <w:szCs w:val="16"/>
              </w:rPr>
              <w:t>17</w:t>
            </w:r>
          </w:p>
        </w:tc>
        <w:tc>
          <w:tcPr>
            <w:tcW w:w="4331" w:type="dxa"/>
          </w:tcPr>
          <w:p w14:paraId="195A483D"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2D49B457">
              <w:rPr>
                <w:color w:val="000000" w:themeColor="text1"/>
                <w:sz w:val="16"/>
                <w:szCs w:val="16"/>
              </w:rPr>
              <w:t xml:space="preserve">To enable clearer oversight of asset and infrastructure challenges faced by CCCFR services, in particular those posing a barrier to compliance with the Family Assistance Law (FAL) and/or the National Quality Framework (NQF), the Department should commission a quality audit of </w:t>
            </w:r>
            <w:r w:rsidRPr="2D49B457">
              <w:rPr>
                <w:color w:val="000000" w:themeColor="text1"/>
                <w:sz w:val="16"/>
                <w:szCs w:val="16"/>
              </w:rPr>
              <w:lastRenderedPageBreak/>
              <w:t>current assets and infrastructure and, on the basis of this, develop an asset management plan.</w:t>
            </w:r>
          </w:p>
        </w:tc>
        <w:tc>
          <w:tcPr>
            <w:tcW w:w="4047" w:type="dxa"/>
          </w:tcPr>
          <w:p w14:paraId="762E6BB6"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lastRenderedPageBreak/>
              <w:t>Australian Department of Education</w:t>
            </w:r>
          </w:p>
          <w:p w14:paraId="6DE72B29"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State and territory regulatory authorities</w:t>
            </w:r>
          </w:p>
          <w:p w14:paraId="586FC272" w14:textId="77777777" w:rsidR="003D1E7A" w:rsidRPr="00771E1B" w:rsidRDefault="003D1E7A">
            <w:pPr>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
        </w:tc>
        <w:tc>
          <w:tcPr>
            <w:tcW w:w="5386" w:type="dxa"/>
          </w:tcPr>
          <w:p w14:paraId="528387AC" w14:textId="77777777" w:rsidR="003D1E7A" w:rsidRPr="000669D7" w:rsidRDefault="003D1E7A">
            <w:pPr>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Pr>
                <w:color w:val="000000" w:themeColor="text1"/>
                <w:sz w:val="16"/>
                <w:szCs w:val="16"/>
              </w:rPr>
              <w:t xml:space="preserve">Physical environment and broader infrastructure requirements under </w:t>
            </w:r>
            <w:r w:rsidRPr="000669D7">
              <w:rPr>
                <w:i/>
                <w:iCs/>
                <w:sz w:val="16"/>
                <w:szCs w:val="16"/>
              </w:rPr>
              <w:t>Education and Care Services National Law Act 2010</w:t>
            </w:r>
            <w:r>
              <w:rPr>
                <w:sz w:val="16"/>
                <w:szCs w:val="16"/>
              </w:rPr>
              <w:t xml:space="preserve"> and </w:t>
            </w:r>
            <w:r w:rsidRPr="000669D7">
              <w:rPr>
                <w:i/>
                <w:iCs/>
                <w:sz w:val="16"/>
                <w:szCs w:val="16"/>
              </w:rPr>
              <w:t>Education and Care Services National Regulations</w:t>
            </w:r>
            <w:r>
              <w:rPr>
                <w:i/>
                <w:iCs/>
                <w:sz w:val="16"/>
                <w:szCs w:val="16"/>
              </w:rPr>
              <w:t>.</w:t>
            </w:r>
          </w:p>
        </w:tc>
      </w:tr>
      <w:tr w:rsidR="003D1E7A" w:rsidRPr="00771E1B" w14:paraId="4D6C4039" w14:textId="77777777" w:rsidTr="00A522AC">
        <w:tc>
          <w:tcPr>
            <w:cnfStyle w:val="001000000000" w:firstRow="0" w:lastRow="0" w:firstColumn="1" w:lastColumn="0" w:oddVBand="0" w:evenVBand="0" w:oddHBand="0" w:evenHBand="0" w:firstRowFirstColumn="0" w:firstRowLastColumn="0" w:lastRowFirstColumn="0" w:lastRowLastColumn="0"/>
            <w:tcW w:w="543" w:type="dxa"/>
          </w:tcPr>
          <w:p w14:paraId="53E21D84" w14:textId="77777777" w:rsidR="003D1E7A" w:rsidRPr="00771E1B" w:rsidRDefault="003D1E7A">
            <w:pPr>
              <w:jc w:val="center"/>
              <w:rPr>
                <w:sz w:val="16"/>
                <w:szCs w:val="16"/>
              </w:rPr>
            </w:pPr>
            <w:r w:rsidRPr="00771E1B">
              <w:rPr>
                <w:sz w:val="16"/>
                <w:szCs w:val="16"/>
              </w:rPr>
              <w:t>18</w:t>
            </w:r>
          </w:p>
        </w:tc>
        <w:tc>
          <w:tcPr>
            <w:tcW w:w="4331" w:type="dxa"/>
          </w:tcPr>
          <w:p w14:paraId="24934432" w14:textId="77777777" w:rsidR="003D1E7A" w:rsidRPr="00771E1B" w:rsidRDefault="003D1E7A">
            <w:pPr>
              <w:jc w:val="center"/>
              <w:cnfStyle w:val="000000000000" w:firstRow="0" w:lastRow="0" w:firstColumn="0" w:lastColumn="0" w:oddVBand="0" w:evenVBand="0" w:oddHBand="0" w:evenHBand="0" w:firstRowFirstColumn="0" w:firstRowLastColumn="0" w:lastRowFirstColumn="0" w:lastRowLastColumn="0"/>
              <w:rPr>
                <w:sz w:val="16"/>
                <w:szCs w:val="16"/>
              </w:rPr>
            </w:pPr>
            <w:r w:rsidRPr="00771E1B">
              <w:rPr>
                <w:sz w:val="16"/>
                <w:szCs w:val="16"/>
              </w:rPr>
              <w:t>Reporting requirements and procedures for annual compliance checks as parts of leasing arrangements should be implemented through the introduction of a robust framework to ensure building/improvement maintenance and compliance are being adhered to by all parties.</w:t>
            </w:r>
          </w:p>
        </w:tc>
        <w:tc>
          <w:tcPr>
            <w:tcW w:w="4047" w:type="dxa"/>
          </w:tcPr>
          <w:p w14:paraId="1FAC3E33"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Australian Department of Education</w:t>
            </w:r>
          </w:p>
          <w:p w14:paraId="2DDADE4E" w14:textId="77777777" w:rsidR="003D1E7A" w:rsidRPr="002A490A" w:rsidRDefault="003D1E7A">
            <w:pPr>
              <w:spacing w:before="120" w:after="120"/>
              <w:cnfStyle w:val="000000000000" w:firstRow="0" w:lastRow="0" w:firstColumn="0" w:lastColumn="0" w:oddVBand="0" w:evenVBand="0" w:oddHBand="0" w:evenHBand="0" w:firstRowFirstColumn="0" w:firstRowLastColumn="0" w:lastRowFirstColumn="0" w:lastRowLastColumn="0"/>
              <w:rPr>
                <w:sz w:val="16"/>
                <w:szCs w:val="16"/>
              </w:rPr>
            </w:pPr>
            <w:r w:rsidRPr="002A490A">
              <w:rPr>
                <w:sz w:val="16"/>
                <w:szCs w:val="16"/>
              </w:rPr>
              <w:t>State and territory governments</w:t>
            </w:r>
          </w:p>
        </w:tc>
        <w:tc>
          <w:tcPr>
            <w:tcW w:w="5386" w:type="dxa"/>
          </w:tcPr>
          <w:p w14:paraId="408F1D85" w14:textId="77777777" w:rsidR="003D1E7A" w:rsidRPr="000669D7" w:rsidRDefault="003D1E7A">
            <w:pPr>
              <w:spacing w:before="120" w:after="120"/>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0669D7">
              <w:rPr>
                <w:i/>
                <w:iCs/>
                <w:sz w:val="16"/>
                <w:szCs w:val="16"/>
              </w:rPr>
              <w:t>N/A</w:t>
            </w:r>
          </w:p>
        </w:tc>
      </w:tr>
      <w:tr w:rsidR="003D1E7A" w:rsidRPr="00771E1B" w14:paraId="55259BA7" w14:textId="77777777" w:rsidTr="00A52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4CE89A6E" w14:textId="77777777" w:rsidR="003D1E7A" w:rsidRPr="00771E1B" w:rsidRDefault="003D1E7A">
            <w:pPr>
              <w:jc w:val="center"/>
              <w:rPr>
                <w:sz w:val="16"/>
                <w:szCs w:val="16"/>
              </w:rPr>
            </w:pPr>
            <w:r w:rsidRPr="00771E1B">
              <w:rPr>
                <w:sz w:val="16"/>
                <w:szCs w:val="16"/>
              </w:rPr>
              <w:t>19</w:t>
            </w:r>
          </w:p>
        </w:tc>
        <w:tc>
          <w:tcPr>
            <w:tcW w:w="4331" w:type="dxa"/>
          </w:tcPr>
          <w:p w14:paraId="127951FE" w14:textId="77777777" w:rsidR="003D1E7A" w:rsidRPr="00771E1B" w:rsidRDefault="003D1E7A">
            <w:pPr>
              <w:jc w:val="center"/>
              <w:cnfStyle w:val="000000100000" w:firstRow="0" w:lastRow="0" w:firstColumn="0" w:lastColumn="0" w:oddVBand="0" w:evenVBand="0" w:oddHBand="1" w:evenHBand="0" w:firstRowFirstColumn="0" w:firstRowLastColumn="0" w:lastRowFirstColumn="0" w:lastRowLastColumn="0"/>
              <w:rPr>
                <w:sz w:val="16"/>
                <w:szCs w:val="16"/>
              </w:rPr>
            </w:pPr>
            <w:r w:rsidRPr="2D49B457">
              <w:rPr>
                <w:sz w:val="16"/>
                <w:szCs w:val="16"/>
              </w:rPr>
              <w:t>Any future leasing arrangements should consider the requirements that are additional to securing property use rights and tenure, such as obligations for providing early childhood care and education, and ensure that these obligations are clearly articulated.</w:t>
            </w:r>
          </w:p>
        </w:tc>
        <w:tc>
          <w:tcPr>
            <w:tcW w:w="4047" w:type="dxa"/>
          </w:tcPr>
          <w:p w14:paraId="1ECDD23F"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Australian Department of Education</w:t>
            </w:r>
          </w:p>
          <w:p w14:paraId="59078524" w14:textId="77777777" w:rsidR="003D1E7A" w:rsidRPr="002A490A" w:rsidRDefault="003D1E7A">
            <w:pPr>
              <w:spacing w:before="120" w:after="120"/>
              <w:cnfStyle w:val="000000100000" w:firstRow="0" w:lastRow="0" w:firstColumn="0" w:lastColumn="0" w:oddVBand="0" w:evenVBand="0" w:oddHBand="1" w:evenHBand="0" w:firstRowFirstColumn="0" w:firstRowLastColumn="0" w:lastRowFirstColumn="0" w:lastRowLastColumn="0"/>
              <w:rPr>
                <w:sz w:val="16"/>
                <w:szCs w:val="16"/>
              </w:rPr>
            </w:pPr>
            <w:r w:rsidRPr="002A490A">
              <w:rPr>
                <w:sz w:val="16"/>
                <w:szCs w:val="16"/>
              </w:rPr>
              <w:t>State and territory governments</w:t>
            </w:r>
          </w:p>
        </w:tc>
        <w:tc>
          <w:tcPr>
            <w:tcW w:w="5386" w:type="dxa"/>
          </w:tcPr>
          <w:p w14:paraId="108B9025" w14:textId="77777777" w:rsidR="003D1E7A" w:rsidRPr="000669D7" w:rsidRDefault="003D1E7A">
            <w:pPr>
              <w:spacing w:before="120" w:after="120"/>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0669D7">
              <w:rPr>
                <w:i/>
                <w:iCs/>
                <w:sz w:val="16"/>
                <w:szCs w:val="16"/>
              </w:rPr>
              <w:t>N/A</w:t>
            </w:r>
          </w:p>
        </w:tc>
      </w:tr>
    </w:tbl>
    <w:p w14:paraId="4EAC8785" w14:textId="77777777" w:rsidR="007C7004" w:rsidRDefault="007C7004" w:rsidP="007C7004"/>
    <w:p w14:paraId="31735B37" w14:textId="77777777" w:rsidR="007C7004" w:rsidRDefault="007C7004" w:rsidP="007C7004"/>
    <w:p w14:paraId="7215E518" w14:textId="77777777" w:rsidR="007C7004" w:rsidRDefault="007C7004" w:rsidP="007C7004"/>
    <w:p w14:paraId="7C09B6EF" w14:textId="77777777" w:rsidR="007C7004" w:rsidRDefault="007C7004" w:rsidP="007C7004"/>
    <w:p w14:paraId="261FBBA4" w14:textId="77777777" w:rsidR="007C7004" w:rsidRDefault="007C7004" w:rsidP="007C7004">
      <w:pPr>
        <w:sectPr w:rsidR="007C7004" w:rsidSect="007C7004">
          <w:headerReference w:type="default" r:id="rId118"/>
          <w:footerReference w:type="default" r:id="rId119"/>
          <w:headerReference w:type="first" r:id="rId120"/>
          <w:footerReference w:type="first" r:id="rId121"/>
          <w:pgSz w:w="16838" w:h="11906" w:orient="landscape" w:code="9"/>
          <w:pgMar w:top="1440" w:right="4281" w:bottom="1440" w:left="1440" w:header="680" w:footer="425" w:gutter="0"/>
          <w:cols w:space="284"/>
          <w:docGrid w:linePitch="360"/>
        </w:sectPr>
      </w:pPr>
    </w:p>
    <w:p w14:paraId="5F2E9D6C" w14:textId="4FC1BBAA" w:rsidR="0060415F" w:rsidRDefault="00AE4EB5" w:rsidP="0060415F">
      <w:pPr>
        <w:pStyle w:val="Heading2"/>
      </w:pPr>
      <w:bookmarkStart w:id="407" w:name="_Ref167107387"/>
      <w:bookmarkStart w:id="408" w:name="_Toc170227431"/>
      <w:r>
        <w:lastRenderedPageBreak/>
        <w:t>A potential r</w:t>
      </w:r>
      <w:r w:rsidRPr="00DC70B9">
        <w:t xml:space="preserve">oadmap </w:t>
      </w:r>
      <w:r w:rsidR="0060415F" w:rsidRPr="00DC70B9">
        <w:t xml:space="preserve">for </w:t>
      </w:r>
      <w:r>
        <w:t>change</w:t>
      </w:r>
      <w:bookmarkEnd w:id="407"/>
      <w:bookmarkEnd w:id="408"/>
      <w:r>
        <w:t xml:space="preserve"> </w:t>
      </w:r>
    </w:p>
    <w:p w14:paraId="1A5A2C00" w14:textId="4F41874C" w:rsidR="0060415F" w:rsidRDefault="00CA5722" w:rsidP="0060415F">
      <w:r>
        <w:fldChar w:fldCharType="begin"/>
      </w:r>
      <w:r>
        <w:instrText xml:space="preserve"> REF _Ref167130619 \r \h </w:instrText>
      </w:r>
      <w:r>
        <w:fldChar w:fldCharType="separate"/>
      </w:r>
      <w:r w:rsidR="00D300D0">
        <w:t>Figure 10.1</w:t>
      </w:r>
      <w:r>
        <w:fldChar w:fldCharType="end"/>
      </w:r>
      <w:r w:rsidR="0060415F">
        <w:t xml:space="preserve"> </w:t>
      </w:r>
      <w:r w:rsidR="003166B2">
        <w:t xml:space="preserve">(overleaf) </w:t>
      </w:r>
      <w:r w:rsidR="0060415F">
        <w:t xml:space="preserve">sets out a </w:t>
      </w:r>
      <w:r w:rsidR="005A6ECC">
        <w:t xml:space="preserve">potential </w:t>
      </w:r>
      <w:r w:rsidR="0060415F">
        <w:t>roadmap for sequencing the recommendations</w:t>
      </w:r>
      <w:r w:rsidR="00DD231A">
        <w:t>,</w:t>
      </w:r>
      <w:r w:rsidR="0060415F">
        <w:t xml:space="preserve"> </w:t>
      </w:r>
      <w:r w:rsidR="00524705">
        <w:t xml:space="preserve">after </w:t>
      </w:r>
      <w:r w:rsidR="00DD231A">
        <w:t xml:space="preserve">there is more clarity about </w:t>
      </w:r>
      <w:r w:rsidR="0060415F">
        <w:t xml:space="preserve">the future of the national ECEC policy landscape. It is expected that this will be informed by the final Productivity Commission report due </w:t>
      </w:r>
      <w:r w:rsidR="7BDE6095">
        <w:t xml:space="preserve">to be received by </w:t>
      </w:r>
      <w:r w:rsidR="00986B75">
        <w:t xml:space="preserve">the Australian </w:t>
      </w:r>
      <w:r w:rsidR="7BDE6095">
        <w:t xml:space="preserve">Government </w:t>
      </w:r>
      <w:r w:rsidR="0060415F">
        <w:t xml:space="preserve">in June 2024, and by the recent ACCC Inquiry and the Early Years Strategy. </w:t>
      </w:r>
      <w:r w:rsidR="2B987333">
        <w:t>While</w:t>
      </w:r>
      <w:r w:rsidR="00F3177A">
        <w:t>, collectively,</w:t>
      </w:r>
      <w:r w:rsidR="0060415F">
        <w:t xml:space="preserve"> this </w:t>
      </w:r>
      <w:r w:rsidR="00F3177A">
        <w:t xml:space="preserve">work is </w:t>
      </w:r>
      <w:r w:rsidR="00D324D7">
        <w:t>expected to provide</w:t>
      </w:r>
      <w:r w:rsidR="0060415F">
        <w:t xml:space="preserve"> some directionality </w:t>
      </w:r>
      <w:r w:rsidR="00D324D7">
        <w:t xml:space="preserve">and </w:t>
      </w:r>
      <w:r w:rsidR="0060415F">
        <w:t xml:space="preserve">clarity, it </w:t>
      </w:r>
      <w:r w:rsidR="00D324D7">
        <w:t>will</w:t>
      </w:r>
      <w:r w:rsidR="0060415F">
        <w:t xml:space="preserve"> take time for all of the recommendations to be evaluated by the respective areas of government (including both the Department of Education and the Department of Social Services</w:t>
      </w:r>
      <w:r w:rsidR="005A6ECC">
        <w:t xml:space="preserve"> at the federal level as well as other layers of government</w:t>
      </w:r>
      <w:r w:rsidR="0060415F">
        <w:t xml:space="preserve">) and for the necessary legislative and regulatory changes to be assessed and implemented. </w:t>
      </w:r>
    </w:p>
    <w:p w14:paraId="108AE686" w14:textId="1BBE0C42" w:rsidR="00C04D15" w:rsidRDefault="004F0D1A" w:rsidP="00A24346">
      <w:r>
        <w:t xml:space="preserve">In the </w:t>
      </w:r>
      <w:r w:rsidR="002069C2">
        <w:t>interim</w:t>
      </w:r>
      <w:r w:rsidR="00C27886">
        <w:t xml:space="preserve">, </w:t>
      </w:r>
      <w:r w:rsidR="00DD47D0">
        <w:t>steps to reform the CCC</w:t>
      </w:r>
      <w:r w:rsidR="00F81BE5">
        <w:t>F</w:t>
      </w:r>
      <w:r w:rsidR="00DD47D0">
        <w:t xml:space="preserve">R grant should be taken cautiously, for fear they may be inconsistent </w:t>
      </w:r>
      <w:r w:rsidR="00CF3B69">
        <w:t xml:space="preserve">and/or incompatible </w:t>
      </w:r>
      <w:r w:rsidR="00DD47D0">
        <w:t xml:space="preserve">with </w:t>
      </w:r>
      <w:r w:rsidR="00987E49">
        <w:t xml:space="preserve">the changes </w:t>
      </w:r>
      <w:r w:rsidR="00CF3B69">
        <w:t xml:space="preserve">arising from the </w:t>
      </w:r>
      <w:r w:rsidR="002768D3">
        <w:t xml:space="preserve">wider review process. </w:t>
      </w:r>
      <w:r w:rsidR="0006622D">
        <w:t xml:space="preserve"> Risk lies in the prospect that </w:t>
      </w:r>
      <w:r w:rsidR="00DD416E">
        <w:t xml:space="preserve">changes to the CCCFR grant leave it incongruent with </w:t>
      </w:r>
      <w:r w:rsidR="00D144B5">
        <w:t xml:space="preserve">the </w:t>
      </w:r>
      <w:r w:rsidR="005B6BD0">
        <w:t>policy and system landscape that emerges</w:t>
      </w:r>
      <w:r w:rsidR="004E29BB">
        <w:t xml:space="preserve"> </w:t>
      </w:r>
      <w:r w:rsidR="00D144B5">
        <w:t>once</w:t>
      </w:r>
      <w:r w:rsidR="004E29BB">
        <w:t xml:space="preserve"> reform proposals are settled upon or, worse still, </w:t>
      </w:r>
      <w:r w:rsidR="00444F36">
        <w:t xml:space="preserve">that these changes need to be </w:t>
      </w:r>
      <w:r w:rsidR="005A6ECC">
        <w:t xml:space="preserve">unwound </w:t>
      </w:r>
      <w:r w:rsidR="0060399A">
        <w:t xml:space="preserve">and </w:t>
      </w:r>
      <w:r w:rsidR="003C5E4F">
        <w:t xml:space="preserve">an alternative change path set upon. </w:t>
      </w:r>
      <w:r w:rsidR="00AC0DEF">
        <w:t xml:space="preserve">The first of these would see </w:t>
      </w:r>
      <w:r w:rsidR="00A77255">
        <w:t>the reform process fail</w:t>
      </w:r>
      <w:r w:rsidR="009E1A01">
        <w:t xml:space="preserve"> to capitalise on the opportunity presented by both this review and </w:t>
      </w:r>
      <w:r w:rsidR="00D354CC">
        <w:t xml:space="preserve">wider </w:t>
      </w:r>
      <w:r w:rsidR="00ED302A">
        <w:t xml:space="preserve">process; the second would risk eroding trust </w:t>
      </w:r>
      <w:r w:rsidR="00BE3B1C">
        <w:t>and</w:t>
      </w:r>
      <w:r w:rsidR="00ED302A">
        <w:t xml:space="preserve"> confidence, </w:t>
      </w:r>
      <w:r w:rsidR="00467627">
        <w:t xml:space="preserve">adding to stakeholder fatigue, </w:t>
      </w:r>
      <w:r w:rsidR="005A15F3">
        <w:t xml:space="preserve">and reducing the likelihood that the </w:t>
      </w:r>
      <w:r w:rsidR="00673D9B">
        <w:t xml:space="preserve">desired change can ultimately be achieved. </w:t>
      </w:r>
    </w:p>
    <w:p w14:paraId="1056C7D5" w14:textId="1BD1B73B" w:rsidR="0060415F" w:rsidRDefault="00673D9B" w:rsidP="0060415F">
      <w:r>
        <w:t xml:space="preserve">However, </w:t>
      </w:r>
      <w:r w:rsidR="00F5629B">
        <w:t xml:space="preserve">it is possible – in fact desirable – that </w:t>
      </w:r>
      <w:r w:rsidR="005D0F4E">
        <w:t xml:space="preserve">immediate steps are taken following this review.  These steps relate to both </w:t>
      </w:r>
      <w:r w:rsidR="007D0D07">
        <w:t xml:space="preserve">ensuring </w:t>
      </w:r>
      <w:r w:rsidR="0035270A">
        <w:t xml:space="preserve">services and communities are </w:t>
      </w:r>
      <w:r w:rsidR="006C2047">
        <w:t xml:space="preserve">appropriately supported while </w:t>
      </w:r>
      <w:r w:rsidR="00E17B03">
        <w:t xml:space="preserve">broader reform proposals are settled upon and to seizing the opportunity to pursue changes that should occur irrespective </w:t>
      </w:r>
      <w:r w:rsidR="008737B1">
        <w:t xml:space="preserve">of the prevailing long term policy landscape. </w:t>
      </w:r>
    </w:p>
    <w:p w14:paraId="76DBD420" w14:textId="77777777" w:rsidR="0060415F" w:rsidRDefault="0060415F" w:rsidP="00416EA8">
      <w:pPr>
        <w:pStyle w:val="ListParagraph"/>
        <w:numPr>
          <w:ilvl w:val="0"/>
          <w:numId w:val="81"/>
        </w:numPr>
      </w:pPr>
      <w:r>
        <w:t xml:space="preserve">Continue to support services that need additional funding to remain financially operational, so that they can continue to support their communities. Grant agreements should be extended until the plan for transition and/or the strengthened grant can be implemented. </w:t>
      </w:r>
    </w:p>
    <w:p w14:paraId="6A65CB08" w14:textId="77777777" w:rsidR="0060415F" w:rsidRDefault="0060415F" w:rsidP="00416EA8">
      <w:pPr>
        <w:pStyle w:val="ListParagraph"/>
        <w:numPr>
          <w:ilvl w:val="0"/>
          <w:numId w:val="81"/>
        </w:numPr>
      </w:pPr>
      <w:r>
        <w:t xml:space="preserve">Include additional questions in the Compliance and Operations reports. The interim period presents an opportunity to gather comprehensive information across all services relevant to making decisions about future destinations for individual services and supporting transition. Relevant questions are likely to include questions on enrolments, attendance, particular cohorts of interest, services and programs offered, and fees charged. </w:t>
      </w:r>
    </w:p>
    <w:p w14:paraId="7F945CEA" w14:textId="37198439" w:rsidR="007C7004" w:rsidRDefault="0060415F" w:rsidP="00416EA8">
      <w:pPr>
        <w:pStyle w:val="ListParagraph"/>
        <w:numPr>
          <w:ilvl w:val="0"/>
          <w:numId w:val="81"/>
        </w:numPr>
      </w:pPr>
      <w:r>
        <w:t xml:space="preserve">Progress planning and implementation of recommendations that should support services to improve child development outcomes regardless of the broad spectrum of outcomes of the future national ECEC policy landscape. This is likely to include professional development opportunities for service staff, facilitated by the Department, and continuing to support services to </w:t>
      </w:r>
      <w:r w:rsidR="003B1292">
        <w:t>tran</w:t>
      </w:r>
      <w:r w:rsidR="00FB1B7C">
        <w:t>s</w:t>
      </w:r>
      <w:r w:rsidR="003B1292">
        <w:t>t</w:t>
      </w:r>
      <w:r w:rsidR="00FB1B7C">
        <w:t>i</w:t>
      </w:r>
      <w:r w:rsidR="003B1292">
        <w:t>on</w:t>
      </w:r>
      <w:r>
        <w:t xml:space="preserve"> to the NQF on a case by case basis (with input from the service).    </w:t>
      </w:r>
      <w:r w:rsidR="00656A02">
        <w:br/>
      </w:r>
    </w:p>
    <w:tbl>
      <w:tblPr>
        <w:tblStyle w:val="TableGrid"/>
        <w:tblW w:w="0" w:type="auto"/>
        <w:shd w:val="clear" w:color="auto" w:fill="E7E6E6" w:themeFill="background2"/>
        <w:tblCellMar>
          <w:top w:w="57" w:type="dxa"/>
          <w:left w:w="57" w:type="dxa"/>
          <w:bottom w:w="57" w:type="dxa"/>
          <w:right w:w="57" w:type="dxa"/>
        </w:tblCellMar>
        <w:tblLook w:val="04A0" w:firstRow="1" w:lastRow="0" w:firstColumn="1" w:lastColumn="0" w:noHBand="0" w:noVBand="1"/>
      </w:tblPr>
      <w:tblGrid>
        <w:gridCol w:w="9026"/>
      </w:tblGrid>
      <w:tr w:rsidR="00656A02" w14:paraId="079A2DAD" w14:textId="77777777" w:rsidTr="000E15B8">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E6E6" w:themeFill="background2"/>
          </w:tcPr>
          <w:p w14:paraId="1B2D4195" w14:textId="63C6D775" w:rsidR="00656A02" w:rsidRPr="00656A02" w:rsidRDefault="00656A02" w:rsidP="00656A02">
            <w:pPr>
              <w:rPr>
                <w:b/>
                <w:bCs/>
              </w:rPr>
            </w:pPr>
            <w:r w:rsidRPr="00656A02">
              <w:rPr>
                <w:b/>
                <w:bCs/>
              </w:rPr>
              <w:t xml:space="preserve">Box </w:t>
            </w:r>
            <w:r w:rsidR="00195DE0">
              <w:rPr>
                <w:b/>
                <w:bCs/>
              </w:rPr>
              <w:t>10.1</w:t>
            </w:r>
            <w:r w:rsidRPr="00656A02">
              <w:rPr>
                <w:b/>
                <w:bCs/>
              </w:rPr>
              <w:t xml:space="preserve"> : Transition of services to ACCO providers</w:t>
            </w:r>
          </w:p>
          <w:p w14:paraId="6C636954" w14:textId="60F2AB9E" w:rsidR="00656A02" w:rsidRDefault="00656A02" w:rsidP="00656A02">
            <w:pPr>
              <w:ind w:left="114"/>
            </w:pPr>
            <w:r>
              <w:t>This review heard that for the majority of Aboriginal and/or Torres Strait Islander communities and peoples, principles of self determination are critical, particularly in consideration of the way children are raised</w:t>
            </w:r>
            <w:r w:rsidR="00840D84">
              <w:t xml:space="preserve"> (</w:t>
            </w:r>
            <w:r w:rsidR="005041F0">
              <w:t>s</w:t>
            </w:r>
            <w:r>
              <w:t xml:space="preserve">ee </w:t>
            </w:r>
            <w:r w:rsidR="005041F0">
              <w:t>s</w:t>
            </w:r>
            <w:r w:rsidR="00840D84">
              <w:t xml:space="preserve">ection </w:t>
            </w:r>
            <w:r w:rsidR="00840D84">
              <w:fldChar w:fldCharType="begin"/>
            </w:r>
            <w:r w:rsidR="00840D84">
              <w:instrText xml:space="preserve"> REF _Ref152664728 \r \h </w:instrText>
            </w:r>
            <w:r w:rsidR="000E15B8">
              <w:instrText xml:space="preserve"> \* MERGEFORMAT </w:instrText>
            </w:r>
            <w:r w:rsidR="00840D84">
              <w:fldChar w:fldCharType="separate"/>
            </w:r>
            <w:r w:rsidR="00D300D0">
              <w:t>5.4</w:t>
            </w:r>
            <w:r w:rsidR="00840D84">
              <w:fldChar w:fldCharType="end"/>
            </w:r>
            <w:r>
              <w:t xml:space="preserve"> for more details</w:t>
            </w:r>
            <w:r w:rsidR="00840D84">
              <w:t>)</w:t>
            </w:r>
            <w:r>
              <w:t xml:space="preserve">. The review also notes </w:t>
            </w:r>
            <w:r w:rsidR="19FE85DE">
              <w:t>opportunities</w:t>
            </w:r>
            <w:r>
              <w:t xml:space="preserve"> to strengthen </w:t>
            </w:r>
            <w:r w:rsidR="15286523">
              <w:t>alignment</w:t>
            </w:r>
            <w:r>
              <w:t xml:space="preserve"> with the National Agreement on Closing the Gap priority reform areas, in order to not just pursue the ‘what’ of closing the gap targets but the ‘how’. It is understood </w:t>
            </w:r>
            <w:r w:rsidR="00840D84">
              <w:t>consideration of how change</w:t>
            </w:r>
            <w:r>
              <w:t xml:space="preserve"> is </w:t>
            </w:r>
            <w:r w:rsidR="00840D84">
              <w:t xml:space="preserve">sought will be </w:t>
            </w:r>
            <w:r>
              <w:t>critical to achie</w:t>
            </w:r>
            <w:r w:rsidR="00840D84">
              <w:t>vi</w:t>
            </w:r>
            <w:r>
              <w:t xml:space="preserve">ng </w:t>
            </w:r>
            <w:r w:rsidR="005A6ECC">
              <w:t xml:space="preserve">Closing </w:t>
            </w:r>
            <w:r w:rsidR="007A73D5">
              <w:t xml:space="preserve">the </w:t>
            </w:r>
            <w:r w:rsidR="005A6ECC">
              <w:t xml:space="preserve">Gap </w:t>
            </w:r>
            <w:r>
              <w:t xml:space="preserve">targets and outcomes. </w:t>
            </w:r>
          </w:p>
          <w:p w14:paraId="3CCCB546" w14:textId="6127BCCB" w:rsidR="00656A02" w:rsidRDefault="007A73D5" w:rsidP="00656A02">
            <w:pPr>
              <w:ind w:left="114"/>
            </w:pPr>
            <w:r>
              <w:t xml:space="preserve">How change is </w:t>
            </w:r>
            <w:r w:rsidR="005A6ECC">
              <w:t xml:space="preserve">best pursued </w:t>
            </w:r>
            <w:r w:rsidR="00656A02">
              <w:t>will always be specific to the local context. In some areas, there will be no ACCO, or an ACCO will not have the capacity to act as a provider of an ECEC service. In others, it will take significant time and investment to ensure an ACCO can take on an ECEC service. For some communities, there may be a preference that an ECEC service is run by a non-ACCO provider, such as the local council, a for-profit provider or a non-ACCO, not-for-profit provider. However, this sentiment was not expressed by CCCFR services or communities as part of th</w:t>
            </w:r>
            <w:r>
              <w:t xml:space="preserve">e consultations held </w:t>
            </w:r>
            <w:r w:rsidR="005A6ECC">
              <w:t>throughout</w:t>
            </w:r>
            <w:r>
              <w:t xml:space="preserve"> this</w:t>
            </w:r>
            <w:r w:rsidR="00656A02">
              <w:t xml:space="preserve"> review. It is likely that </w:t>
            </w:r>
            <w:r w:rsidR="005A6ECC">
              <w:t xml:space="preserve">with </w:t>
            </w:r>
            <w:r w:rsidR="00656A02">
              <w:t xml:space="preserve">adequate supports, transition time, resources, and with an approach that aligns to Closing the Gap priority reforms, </w:t>
            </w:r>
            <w:r w:rsidR="00656A02">
              <w:lastRenderedPageBreak/>
              <w:t xml:space="preserve">ACCO provision of services for Aboriginal and/or Torres Strait </w:t>
            </w:r>
            <w:r w:rsidR="0A7CB635">
              <w:t>Islander</w:t>
            </w:r>
            <w:r w:rsidR="00656A02">
              <w:t xml:space="preserve"> communities and families is the most effective way to reach outcomes and to reflect the Australian Government’s aspirations for Closing the Gap. </w:t>
            </w:r>
          </w:p>
          <w:p w14:paraId="2B80CF37" w14:textId="58B9C908" w:rsidR="00656A02" w:rsidRDefault="00656A02" w:rsidP="00656A02">
            <w:pPr>
              <w:ind w:left="114"/>
            </w:pPr>
            <w:r>
              <w:t>In light of this, the review recommends that Aborig</w:t>
            </w:r>
            <w:r w:rsidR="00F13D3F">
              <w:t>i</w:t>
            </w:r>
            <w:r>
              <w:t>nal and/or Torres Strait Islander services</w:t>
            </w:r>
            <w:r w:rsidR="00B86A35">
              <w:rPr>
                <w:rStyle w:val="FootnoteReference"/>
              </w:rPr>
              <w:footnoteReference w:id="243"/>
            </w:r>
            <w:r>
              <w:t xml:space="preserve"> are transitioned to a funding program for ACCO services which meets these need</w:t>
            </w:r>
            <w:r w:rsidR="006A2CE3">
              <w:t>s</w:t>
            </w:r>
            <w:r w:rsidR="00C14CF4">
              <w:t>,</w:t>
            </w:r>
            <w:r>
              <w:t xml:space="preserve"> </w:t>
            </w:r>
            <w:r w:rsidR="00C14CF4">
              <w:t>w</w:t>
            </w:r>
            <w:r>
              <w:t>ith the ultimate aim of transitioning these services to ACCO provision. The time taken to achieve this transition may be significant, in order to ad</w:t>
            </w:r>
            <w:r w:rsidR="00E77F33">
              <w:t>e</w:t>
            </w:r>
            <w:r>
              <w:t>quately support and resource change, in</w:t>
            </w:r>
            <w:r w:rsidR="00E77F33">
              <w:t>cl</w:t>
            </w:r>
            <w:r>
              <w:t>ud</w:t>
            </w:r>
            <w:r w:rsidR="00E77F33">
              <w:t>i</w:t>
            </w:r>
            <w:r>
              <w:t>ng capability building. Therefore, it may be that Ab</w:t>
            </w:r>
            <w:r w:rsidR="00E77F33">
              <w:t>original</w:t>
            </w:r>
            <w:r>
              <w:t xml:space="preserve"> and/or Torres Strait Islander services are transitioned to a new funding mechanism in order to best respond to their communities, </w:t>
            </w:r>
            <w:r w:rsidRPr="00E77F33">
              <w:rPr>
                <w:i/>
              </w:rPr>
              <w:t>without yet transitioning to an ACCO provider</w:t>
            </w:r>
            <w:r>
              <w:t xml:space="preserve">. Community consultation should explore the community’s desire for an ACCO provider and, should this be determined, appropriate agreements and </w:t>
            </w:r>
            <w:r w:rsidR="008C52C1">
              <w:t>supports</w:t>
            </w:r>
            <w:r>
              <w:t xml:space="preserve"> should be put into place to progress the transition. Recommendation 3 provides principles for this transition process.   </w:t>
            </w:r>
          </w:p>
        </w:tc>
      </w:tr>
    </w:tbl>
    <w:p w14:paraId="49B163A2" w14:textId="147C485F" w:rsidR="00945776" w:rsidRDefault="00E561C4" w:rsidP="0046219D">
      <w:pPr>
        <w:spacing w:before="170"/>
      </w:pPr>
      <w:r>
        <w:lastRenderedPageBreak/>
        <w:t xml:space="preserve">Regardless of the </w:t>
      </w:r>
      <w:r w:rsidR="00B72883">
        <w:t xml:space="preserve">ultimate pathway – that is, whether </w:t>
      </w:r>
      <w:r w:rsidR="00395896">
        <w:t xml:space="preserve">CCCFR services are positioned within a reformed policy landscape, or </w:t>
      </w:r>
      <w:r w:rsidR="00A8767A">
        <w:t>the current CCCFR grant is refined to maximise its potential – the</w:t>
      </w:r>
      <w:r w:rsidR="0007106A">
        <w:t xml:space="preserve"> following principles should guide the development and application of </w:t>
      </w:r>
      <w:r w:rsidR="0007106A" w:rsidRPr="00221655">
        <w:rPr>
          <w:b/>
          <w:bCs/>
        </w:rPr>
        <w:t>transition plans for individual services</w:t>
      </w:r>
      <w:r w:rsidR="0007106A">
        <w:t>. These</w:t>
      </w:r>
      <w:r w:rsidR="00615855">
        <w:t xml:space="preserve"> principles have been drawn from review evidence</w:t>
      </w:r>
      <w:r w:rsidR="0046219D">
        <w:t>, including lessons learnt from history.</w:t>
      </w:r>
    </w:p>
    <w:p w14:paraId="0BF836E6" w14:textId="0D1A3506" w:rsidR="0046219D" w:rsidRPr="00E702D2" w:rsidRDefault="00E05826" w:rsidP="0046219D">
      <w:pPr>
        <w:pStyle w:val="ListBullet"/>
        <w:rPr>
          <w:b/>
          <w:bCs/>
        </w:rPr>
      </w:pPr>
      <w:r>
        <w:rPr>
          <w:b/>
          <w:bCs/>
        </w:rPr>
        <w:t>T</w:t>
      </w:r>
      <w:r w:rsidR="0046219D" w:rsidRPr="2B91AEFB">
        <w:rPr>
          <w:b/>
          <w:bCs/>
        </w:rPr>
        <w:t xml:space="preserve">ransition plans must be tailored, localised and place-based </w:t>
      </w:r>
    </w:p>
    <w:p w14:paraId="4C5ED684" w14:textId="287F2D95" w:rsidR="0046219D" w:rsidRPr="00816574" w:rsidRDefault="00E05826" w:rsidP="0046219D">
      <w:pPr>
        <w:pStyle w:val="ListBullet2"/>
      </w:pPr>
      <w:r>
        <w:t>T</w:t>
      </w:r>
      <w:r w:rsidR="0046219D" w:rsidRPr="00816574">
        <w:t>he context and need of every service is different and a tailored plan must be developed accordingly</w:t>
      </w:r>
      <w:r w:rsidR="0046219D">
        <w:t>.</w:t>
      </w:r>
      <w:r w:rsidR="0046219D" w:rsidRPr="00816574">
        <w:t xml:space="preserve"> </w:t>
      </w:r>
    </w:p>
    <w:p w14:paraId="6D58724C" w14:textId="08D3CCDC" w:rsidR="0046219D" w:rsidRPr="00470AC0" w:rsidRDefault="00E05826" w:rsidP="0046219D">
      <w:pPr>
        <w:pStyle w:val="ListBullet"/>
        <w:rPr>
          <w:b/>
          <w:bCs/>
        </w:rPr>
      </w:pPr>
      <w:r>
        <w:rPr>
          <w:b/>
          <w:bCs/>
        </w:rPr>
        <w:t>P</w:t>
      </w:r>
      <w:r w:rsidR="0046219D">
        <w:rPr>
          <w:b/>
          <w:bCs/>
        </w:rPr>
        <w:t xml:space="preserve">articipatory </w:t>
      </w:r>
      <w:r w:rsidR="0046219D" w:rsidRPr="2B91AEFB">
        <w:rPr>
          <w:b/>
          <w:bCs/>
        </w:rPr>
        <w:t>design is critical in developing transition plans</w:t>
      </w:r>
    </w:p>
    <w:p w14:paraId="7525C079" w14:textId="04443D61" w:rsidR="0046219D" w:rsidRPr="00816574" w:rsidRDefault="00E05826" w:rsidP="0046219D">
      <w:pPr>
        <w:pStyle w:val="ListBullet"/>
        <w:numPr>
          <w:ilvl w:val="1"/>
          <w:numId w:val="2"/>
        </w:numPr>
      </w:pPr>
      <w:r>
        <w:t>T</w:t>
      </w:r>
      <w:r w:rsidR="0046219D">
        <w:t>ailored transition plans must be designed with the active participation of communities,</w:t>
      </w:r>
      <w:r w:rsidR="0046219D" w:rsidRPr="00816574">
        <w:t xml:space="preserve"> </w:t>
      </w:r>
      <w:r w:rsidR="0046219D">
        <w:t>so that</w:t>
      </w:r>
      <w:r w:rsidR="0046219D" w:rsidRPr="00816574">
        <w:t xml:space="preserve"> the knowledge and experience of the community are central drivers</w:t>
      </w:r>
      <w:r w:rsidR="0046219D">
        <w:t>.</w:t>
      </w:r>
    </w:p>
    <w:p w14:paraId="4455CD54" w14:textId="2B503846" w:rsidR="0046219D" w:rsidRPr="000A20A0" w:rsidRDefault="00E05826" w:rsidP="0046219D">
      <w:pPr>
        <w:pStyle w:val="ListBullet"/>
        <w:rPr>
          <w:b/>
          <w:bCs/>
        </w:rPr>
      </w:pPr>
      <w:r>
        <w:rPr>
          <w:b/>
          <w:bCs/>
        </w:rPr>
        <w:t>S</w:t>
      </w:r>
      <w:r w:rsidR="0046219D" w:rsidRPr="2B91AEFB">
        <w:rPr>
          <w:b/>
          <w:bCs/>
        </w:rPr>
        <w:t>ustained high-level support is required</w:t>
      </w:r>
    </w:p>
    <w:p w14:paraId="2AB2F498" w14:textId="5245D4A6" w:rsidR="0046219D" w:rsidRPr="00816574" w:rsidRDefault="00E05826" w:rsidP="0046219D">
      <w:pPr>
        <w:pStyle w:val="ListBullet"/>
        <w:numPr>
          <w:ilvl w:val="1"/>
          <w:numId w:val="2"/>
        </w:numPr>
      </w:pPr>
      <w:r>
        <w:t>H</w:t>
      </w:r>
      <w:r w:rsidR="0046219D" w:rsidRPr="00816574">
        <w:t xml:space="preserve">igh support levels </w:t>
      </w:r>
      <w:r w:rsidR="0046219D">
        <w:t xml:space="preserve">must be provided to each service </w:t>
      </w:r>
      <w:r w:rsidR="0046219D" w:rsidRPr="00816574">
        <w:t>in the lead up</w:t>
      </w:r>
      <w:r w:rsidR="0046219D">
        <w:t xml:space="preserve"> to</w:t>
      </w:r>
      <w:r w:rsidR="0046219D" w:rsidRPr="00816574">
        <w:t>, during, and after</w:t>
      </w:r>
      <w:r w:rsidR="0046219D">
        <w:t xml:space="preserve"> the transition and funds should be provisioned to ensure that this support is able to be financed. </w:t>
      </w:r>
    </w:p>
    <w:p w14:paraId="2E5E4655" w14:textId="5BA81EEF" w:rsidR="0046219D" w:rsidRPr="00197AE4" w:rsidRDefault="00221655" w:rsidP="0046219D">
      <w:pPr>
        <w:pStyle w:val="ListBullet"/>
        <w:rPr>
          <w:b/>
        </w:rPr>
      </w:pPr>
      <w:r>
        <w:rPr>
          <w:b/>
          <w:bCs/>
        </w:rPr>
        <w:t>C</w:t>
      </w:r>
      <w:r w:rsidR="0046219D" w:rsidRPr="2B91AEFB">
        <w:rPr>
          <w:b/>
          <w:bCs/>
        </w:rPr>
        <w:t>ommunication to communities and families by services should be supported and adequately resourced</w:t>
      </w:r>
    </w:p>
    <w:p w14:paraId="71BCFFEB" w14:textId="5E7F0519" w:rsidR="0046219D" w:rsidRPr="00197AE4" w:rsidRDefault="00221655" w:rsidP="0046219D">
      <w:pPr>
        <w:pStyle w:val="ListBullet"/>
        <w:numPr>
          <w:ilvl w:val="1"/>
          <w:numId w:val="2"/>
        </w:numPr>
      </w:pPr>
      <w:r>
        <w:t>S</w:t>
      </w:r>
      <w:r w:rsidR="0046219D" w:rsidRPr="00197AE4">
        <w:t>ervices should be involved in communicating changes to communities and families and should be supported with a range of resources in order to do this</w:t>
      </w:r>
      <w:r w:rsidR="0046219D">
        <w:t>.</w:t>
      </w:r>
    </w:p>
    <w:p w14:paraId="7AB2E0CA" w14:textId="1D07B3D2" w:rsidR="0046219D" w:rsidRPr="00197AE4" w:rsidRDefault="00221655" w:rsidP="0046219D">
      <w:pPr>
        <w:pStyle w:val="ListBullet"/>
        <w:numPr>
          <w:ilvl w:val="1"/>
          <w:numId w:val="2"/>
        </w:numPr>
      </w:pPr>
      <w:r>
        <w:t>T</w:t>
      </w:r>
      <w:r w:rsidR="0046219D" w:rsidRPr="00197AE4">
        <w:t>his requires services to have access to clear information and messaging, appropriate notification of transition, in order to plan, and details of where families can seek more information on implications on their individual circumstances</w:t>
      </w:r>
      <w:r w:rsidR="0046219D">
        <w:t xml:space="preserve">. </w:t>
      </w:r>
    </w:p>
    <w:p w14:paraId="3B66A07E" w14:textId="32C7E22A" w:rsidR="0046219D" w:rsidRPr="00034F46" w:rsidRDefault="00221655" w:rsidP="0046219D">
      <w:pPr>
        <w:pStyle w:val="ListBullet"/>
        <w:rPr>
          <w:b/>
          <w:bCs/>
        </w:rPr>
      </w:pPr>
      <w:r>
        <w:rPr>
          <w:b/>
          <w:bCs/>
        </w:rPr>
        <w:t>R</w:t>
      </w:r>
      <w:r w:rsidR="0046219D" w:rsidRPr="2B91AEFB">
        <w:rPr>
          <w:b/>
          <w:bCs/>
        </w:rPr>
        <w:t>ealistic transition timelines are essential</w:t>
      </w:r>
    </w:p>
    <w:p w14:paraId="6B27C608" w14:textId="4730BE27" w:rsidR="0046219D" w:rsidRDefault="00221655" w:rsidP="0046219D">
      <w:pPr>
        <w:pStyle w:val="ListBullet2"/>
      </w:pPr>
      <w:r>
        <w:t>T</w:t>
      </w:r>
      <w:r w:rsidR="0046219D">
        <w:t>ransition must be g</w:t>
      </w:r>
      <w:r w:rsidR="0046219D" w:rsidRPr="00816574">
        <w:t>overned by a timeline that reflects the level of change that the service needs to experience in order to transition to the new environment</w:t>
      </w:r>
      <w:r w:rsidR="0046219D">
        <w:t xml:space="preserve"> (whatever that may be)</w:t>
      </w:r>
      <w:r w:rsidR="0046219D" w:rsidRPr="00816574">
        <w:t>.</w:t>
      </w:r>
      <w:r w:rsidR="0046219D">
        <w:t xml:space="preserve"> </w:t>
      </w:r>
    </w:p>
    <w:p w14:paraId="17B8FE23" w14:textId="77777777" w:rsidR="0046219D" w:rsidRDefault="0046219D" w:rsidP="00656A02"/>
    <w:p w14:paraId="62A5CC1D" w14:textId="77777777" w:rsidR="00CD54F3" w:rsidRDefault="0076583E" w:rsidP="00CD54F3">
      <w:pPr>
        <w:pStyle w:val="CaptionFigure"/>
        <w:spacing w:after="0"/>
      </w:pPr>
      <w:bookmarkStart w:id="409" w:name="_Toc170228797"/>
      <w:bookmarkStart w:id="410" w:name="_Ref167130619"/>
      <w:r>
        <w:lastRenderedPageBreak/>
        <w:t xml:space="preserve">: </w:t>
      </w:r>
      <w:r w:rsidR="00983708" w:rsidRPr="00983708">
        <w:t>Roadmap for recommendations</w:t>
      </w:r>
      <w:bookmarkEnd w:id="409"/>
    </w:p>
    <w:p w14:paraId="26095C29" w14:textId="4A70C0EB" w:rsidR="0029685C" w:rsidRPr="0029685C" w:rsidRDefault="00983708" w:rsidP="007350F6">
      <w:r w:rsidRPr="00983708">
        <w:t xml:space="preserve"> </w:t>
      </w:r>
      <w:r w:rsidR="00323E47" w:rsidRPr="00323E47">
        <w:rPr>
          <w:noProof/>
        </w:rPr>
        <w:drawing>
          <wp:inline distT="0" distB="0" distL="0" distR="0" wp14:anchorId="5395D000" wp14:editId="0EA23E89">
            <wp:extent cx="5727065" cy="8225155"/>
            <wp:effectExtent l="0" t="0" r="6985" b="4445"/>
            <wp:docPr id="838388544" name="Picture 838388544" descr="Illustration roadmap for implementing recommendations outlined in this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44" name="Picture 838388544" descr="Illustration roadmap for implementing recommendations outlined in this report. "/>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27065" cy="8225155"/>
                    </a:xfrm>
                    <a:prstGeom prst="rect">
                      <a:avLst/>
                    </a:prstGeom>
                    <a:noFill/>
                    <a:ln>
                      <a:noFill/>
                    </a:ln>
                  </pic:spPr>
                </pic:pic>
              </a:graphicData>
            </a:graphic>
          </wp:inline>
        </w:drawing>
      </w:r>
      <w:bookmarkEnd w:id="410"/>
    </w:p>
    <w:p w14:paraId="73CD2FF2" w14:textId="43BA0D00" w:rsidR="00F223C8" w:rsidRDefault="00E50F24" w:rsidP="003638FD">
      <w:pPr>
        <w:pStyle w:val="Heading1un-numbered"/>
      </w:pPr>
      <w:bookmarkStart w:id="411" w:name="_Toc158993782"/>
      <w:bookmarkStart w:id="412" w:name="_Toc170227432"/>
      <w:bookmarkEnd w:id="388"/>
      <w:r>
        <w:lastRenderedPageBreak/>
        <w:t xml:space="preserve">Part C: </w:t>
      </w:r>
      <w:r w:rsidR="0096745F" w:rsidRPr="003549F9">
        <w:t>Appendi</w:t>
      </w:r>
      <w:r w:rsidR="00CA3698">
        <w:t>c</w:t>
      </w:r>
      <w:r w:rsidR="0096745F" w:rsidRPr="003549F9">
        <w:t>es and supplementary information</w:t>
      </w:r>
      <w:bookmarkEnd w:id="411"/>
      <w:bookmarkEnd w:id="412"/>
    </w:p>
    <w:p w14:paraId="2FFAE024" w14:textId="77777777" w:rsidR="00603521" w:rsidRPr="00603521" w:rsidRDefault="00603521" w:rsidP="00603521"/>
    <w:p w14:paraId="273967BF" w14:textId="77777777" w:rsidR="00603521" w:rsidRPr="00603521" w:rsidRDefault="00603521" w:rsidP="00603521"/>
    <w:p w14:paraId="24621777" w14:textId="77777777" w:rsidR="00603521" w:rsidRPr="00603521" w:rsidRDefault="00603521" w:rsidP="00603521"/>
    <w:p w14:paraId="2362BD6F" w14:textId="77777777" w:rsidR="00603521" w:rsidRPr="00603521" w:rsidRDefault="00603521" w:rsidP="00603521"/>
    <w:p w14:paraId="056EB760" w14:textId="77777777" w:rsidR="00603521" w:rsidRPr="00603521" w:rsidRDefault="00603521" w:rsidP="00603521"/>
    <w:p w14:paraId="0243E69F" w14:textId="77777777" w:rsidR="00603521" w:rsidRPr="00603521" w:rsidRDefault="00603521" w:rsidP="00603521"/>
    <w:p w14:paraId="676E20B8" w14:textId="77777777" w:rsidR="00603521" w:rsidRPr="00603521" w:rsidRDefault="00603521" w:rsidP="00603521"/>
    <w:p w14:paraId="5D372AC1" w14:textId="77777777" w:rsidR="00603521" w:rsidRPr="00603521" w:rsidRDefault="00603521" w:rsidP="00603521"/>
    <w:p w14:paraId="6F6650DC" w14:textId="77777777" w:rsidR="00603521" w:rsidRPr="00603521" w:rsidRDefault="00603521" w:rsidP="00603521"/>
    <w:p w14:paraId="7A44F00C" w14:textId="77777777" w:rsidR="00603521" w:rsidRPr="00603521" w:rsidRDefault="00603521" w:rsidP="00603521"/>
    <w:p w14:paraId="14EA6B35" w14:textId="77777777" w:rsidR="00603521" w:rsidRPr="00603521" w:rsidRDefault="00603521" w:rsidP="00603521"/>
    <w:p w14:paraId="53AE92DF" w14:textId="77777777" w:rsidR="00603521" w:rsidRDefault="00603521" w:rsidP="00603521">
      <w:pPr>
        <w:jc w:val="center"/>
        <w:rPr>
          <w:sz w:val="60"/>
        </w:rPr>
      </w:pPr>
    </w:p>
    <w:p w14:paraId="5FFF9DF2" w14:textId="77777777" w:rsidR="00603521" w:rsidRPr="00603521" w:rsidRDefault="00603521" w:rsidP="00603521"/>
    <w:p w14:paraId="0ABE2B1C" w14:textId="60925629" w:rsidR="007E2C6E" w:rsidRDefault="007E2C6E" w:rsidP="007E2C6E">
      <w:pPr>
        <w:pStyle w:val="Appendixhead1"/>
      </w:pPr>
      <w:bookmarkStart w:id="413" w:name="_Ref153461670"/>
      <w:bookmarkStart w:id="414" w:name="_Toc158993783"/>
      <w:bookmarkStart w:id="415" w:name="_Toc170227433"/>
      <w:bookmarkStart w:id="416" w:name="_Ref153375055"/>
      <w:r>
        <w:lastRenderedPageBreak/>
        <w:t>Voices of services, families and community</w:t>
      </w:r>
      <w:bookmarkEnd w:id="413"/>
      <w:bookmarkEnd w:id="414"/>
      <w:bookmarkEnd w:id="415"/>
    </w:p>
    <w:p w14:paraId="3C8880C0" w14:textId="7A95C5C5" w:rsidR="007E2C6E" w:rsidRPr="004532A5" w:rsidRDefault="007E2C6E" w:rsidP="007E2C6E">
      <w:r>
        <w:t>A</w:t>
      </w:r>
      <w:r w:rsidRPr="004532A5">
        <w:t>ppendix</w:t>
      </w:r>
      <w:r w:rsidR="00923C36">
        <w:t xml:space="preserve"> </w:t>
      </w:r>
      <w:r w:rsidR="00370429">
        <w:t>A</w:t>
      </w:r>
      <w:r w:rsidRPr="004532A5">
        <w:t xml:space="preserve"> draws on materials previously presented to the Department as part of the </w:t>
      </w:r>
      <w:r w:rsidRPr="004532A5">
        <w:rPr>
          <w:b/>
          <w:bCs/>
        </w:rPr>
        <w:t xml:space="preserve">Emerging stakeholder observations report </w:t>
      </w:r>
      <w:r w:rsidRPr="004532A5">
        <w:t xml:space="preserve">(submitted 24 November 2023). </w:t>
      </w:r>
      <w:r w:rsidR="4868CDBE">
        <w:t xml:space="preserve">Minor edits for clarification and readability have been made since the original report was submitted. </w:t>
      </w:r>
      <w:r w:rsidRPr="004532A5">
        <w:t xml:space="preserve">The insights from these materials have been triangulated and integrated into the body of the draft report to build a comprehensive understanding of the CCCFR grant in design and in practice. </w:t>
      </w:r>
    </w:p>
    <w:p w14:paraId="5BC02CB3" w14:textId="77777777" w:rsidR="007E2C6E" w:rsidRPr="004532A5" w:rsidRDefault="007E2C6E" w:rsidP="007E2C6E">
      <w:r w:rsidRPr="004532A5">
        <w:t xml:space="preserve">Principles of </w:t>
      </w:r>
      <w:r>
        <w:t xml:space="preserve">Indigenous </w:t>
      </w:r>
      <w:r w:rsidRPr="004532A5">
        <w:t xml:space="preserve">data sovereignty and </w:t>
      </w:r>
      <w:r>
        <w:t>data governance also necessitate that the voices of the stakeholders consulted are presented just as they have been heard and with only limited moderation. This</w:t>
      </w:r>
      <w:r w:rsidRPr="004532A5">
        <w:t xml:space="preserve"> Appendix </w:t>
      </w:r>
      <w:r>
        <w:t>is included</w:t>
      </w:r>
      <w:r w:rsidRPr="004532A5">
        <w:t xml:space="preserve"> to preserve the integrity of the contributions </w:t>
      </w:r>
      <w:r>
        <w:t xml:space="preserve">made by stakeholders </w:t>
      </w:r>
      <w:r w:rsidRPr="004532A5">
        <w:t xml:space="preserve">and honour the agency of those who have elected to share their views. </w:t>
      </w:r>
    </w:p>
    <w:p w14:paraId="767FBEE4" w14:textId="77777777" w:rsidR="007E2C6E" w:rsidRPr="00F23872" w:rsidRDefault="007E2C6E" w:rsidP="007E2C6E">
      <w:r w:rsidRPr="00F23872">
        <w:t xml:space="preserve">These voices </w:t>
      </w:r>
      <w:r w:rsidRPr="00D65BD2">
        <w:t xml:space="preserve">presented below </w:t>
      </w:r>
      <w:r w:rsidRPr="00F23872">
        <w:t xml:space="preserve">are drawn from the face to face and virtual interviews and online surveys with services, as well as the </w:t>
      </w:r>
      <w:r w:rsidRPr="00D65BD2">
        <w:t>in-person</w:t>
      </w:r>
      <w:r w:rsidRPr="00F23872">
        <w:t xml:space="preserve"> interviews and focus groups with families and communities. </w:t>
      </w:r>
    </w:p>
    <w:p w14:paraId="1DCB384D" w14:textId="77777777" w:rsidR="007E2C6E" w:rsidRPr="00064811" w:rsidRDefault="007E2C6E" w:rsidP="007E2C6E">
      <w:pPr>
        <w:rPr>
          <w:i/>
          <w:iCs/>
        </w:rPr>
      </w:pPr>
      <w:r w:rsidRPr="00064811">
        <w:rPr>
          <w:i/>
          <w:iCs/>
        </w:rPr>
        <w:t>These observations below present stakeholder perspectives only, not the findings of the CCCFR review.</w:t>
      </w:r>
    </w:p>
    <w:p w14:paraId="183BA509" w14:textId="77777777" w:rsidR="007E2C6E" w:rsidRPr="004F0BF8" w:rsidRDefault="007E2C6E" w:rsidP="007E2C6E">
      <w:pPr>
        <w:pStyle w:val="Appendixhead2"/>
        <w:rPr>
          <w:color w:val="26890D"/>
        </w:rPr>
      </w:pPr>
      <w:r w:rsidRPr="004F0BF8">
        <w:rPr>
          <w:color w:val="26890D"/>
        </w:rPr>
        <w:t>Consultations with families and community</w:t>
      </w:r>
    </w:p>
    <w:p w14:paraId="668C7E26" w14:textId="0FDBE618" w:rsidR="007E2C6E" w:rsidRPr="009862AD" w:rsidRDefault="007E2C6E" w:rsidP="007E2C6E">
      <w:r w:rsidRPr="009862AD">
        <w:rPr>
          <w:b/>
          <w:bCs/>
          <w:i/>
          <w:iCs/>
        </w:rPr>
        <w:t xml:space="preserve">Consultations with families were almost all undertaken in Aboriginal and Torres Strait Islander communities, in very remote areas. </w:t>
      </w:r>
      <w:r w:rsidRPr="009862AD">
        <w:t>It was important in this review to capture the voices of Aboriginal and Torres Strait Islander communities and very remote communities, given the additional challenges and complexities faced by these communities and the limited opportunities for people in these communities to voice or advocate for their experiences and needs. The findings in this chapter therefore do not reflect a representative sample, particularly compared to insights drawn from consultation with services.</w:t>
      </w:r>
      <w:r w:rsidR="271E5BFC">
        <w:t xml:space="preserve"> </w:t>
      </w:r>
    </w:p>
    <w:p w14:paraId="4337138D" w14:textId="7C81D38D" w:rsidR="007E2C6E" w:rsidRPr="009862AD" w:rsidRDefault="271E5BFC" w:rsidP="007E2C6E">
      <w:r>
        <w:t xml:space="preserve">While the </w:t>
      </w:r>
      <w:r w:rsidR="1B59E98F">
        <w:t xml:space="preserve">family </w:t>
      </w:r>
      <w:r>
        <w:t xml:space="preserve">consultations </w:t>
      </w:r>
      <w:r w:rsidR="073FA916">
        <w:t>all</w:t>
      </w:r>
      <w:r>
        <w:t xml:space="preserve"> </w:t>
      </w:r>
      <w:r w:rsidR="3BBD24AE">
        <w:t>took place in</w:t>
      </w:r>
      <w:r>
        <w:t xml:space="preserve"> Aboriginal and Torres Strait Islander communities, </w:t>
      </w:r>
      <w:r w:rsidR="6FEC104A">
        <w:t xml:space="preserve">this was not to the exclusion of non-Indigenous families who were using these services and actively participated in the consultations. Furthermore, a discussion of </w:t>
      </w:r>
      <w:r w:rsidR="5F0A18B6">
        <w:t>family needs was included</w:t>
      </w:r>
      <w:r w:rsidR="561875BC">
        <w:t xml:space="preserve"> in every consultation, including with mobile services in rural communities and centre-based care in urban settings. </w:t>
      </w:r>
    </w:p>
    <w:p w14:paraId="32F5D46D" w14:textId="2FB48838" w:rsidR="007E2C6E" w:rsidRPr="009862AD" w:rsidRDefault="007E2C6E" w:rsidP="007E2C6E">
      <w:r w:rsidRPr="009862AD">
        <w:t xml:space="preserve">Families and carers were engaged in interview by the SNAICC and Murawin teams across 20 communities in the Northern Territory, Queensland, </w:t>
      </w:r>
      <w:r w:rsidR="2115A8C2">
        <w:t>West</w:t>
      </w:r>
      <w:r w:rsidR="488A29F1">
        <w:t>ern</w:t>
      </w:r>
      <w:r w:rsidRPr="009862AD">
        <w:t xml:space="preserve"> Australia, and New South Wales. Bar one metropolitan city, all community consultations were held in remote or very remote regions. The vast majority of families and carers interviewed were Aboriginal or Torres Strait Islander. All consultations took place at the CCCFR funded services, of which close to half were council-run and half were ACCOs (Aboriginal Community Controlled Organisations). Families and carers were recruited to participate in the consultation process through either direct request from the service educators or through posters advertising the consultation sessions that were placed by the services on behalf of the SNAICC and Murawin teams.</w:t>
      </w:r>
    </w:p>
    <w:p w14:paraId="1BE32906" w14:textId="77777777" w:rsidR="007E2C6E" w:rsidRPr="008F3723" w:rsidRDefault="007E2C6E" w:rsidP="007E2C6E">
      <w:pPr>
        <w:pStyle w:val="Appendixhead3"/>
        <w:rPr>
          <w:rFonts w:eastAsiaTheme="majorEastAsia"/>
        </w:rPr>
      </w:pPr>
      <w:r w:rsidRPr="00F754C0">
        <w:rPr>
          <w:rFonts w:eastAsiaTheme="majorEastAsia"/>
        </w:rPr>
        <w:lastRenderedPageBreak/>
        <w:t>B</w:t>
      </w:r>
      <w:r w:rsidRPr="008F3723">
        <w:rPr>
          <w:rFonts w:eastAsiaTheme="majorEastAsia"/>
        </w:rPr>
        <w:t>enefits of CCCFR grant funded services</w:t>
      </w:r>
    </w:p>
    <w:p w14:paraId="74A99355" w14:textId="30A19135" w:rsidR="007E2C6E" w:rsidRPr="009862AD" w:rsidRDefault="007E2C6E" w:rsidP="007E2C6E">
      <w:r w:rsidRPr="009862AD">
        <w:t>This section sets out the perceived value of CCCFR grant funded services by listing the benefits of services to children, and then families and carers, as articulated by families and communities. This is in line with the intended outcomes of the CCCFR:</w:t>
      </w:r>
    </w:p>
    <w:p w14:paraId="28862103" w14:textId="2E6899BA" w:rsidR="007E2C6E" w:rsidRPr="009862AD" w:rsidRDefault="00E03C71" w:rsidP="00171325">
      <w:pPr>
        <w:numPr>
          <w:ilvl w:val="0"/>
          <w:numId w:val="26"/>
        </w:numPr>
        <w:spacing w:after="0"/>
        <w:ind w:left="340"/>
        <w:contextualSpacing/>
        <w:rPr>
          <w:szCs w:val="17"/>
        </w:rPr>
      </w:pPr>
      <w:r>
        <w:rPr>
          <w:szCs w:val="17"/>
        </w:rPr>
        <w:t>i</w:t>
      </w:r>
      <w:r w:rsidR="007E2C6E" w:rsidRPr="009862AD">
        <w:rPr>
          <w:szCs w:val="17"/>
        </w:rPr>
        <w:t>mprove early childhood development outcomes for vulnerable and disadvantaged children</w:t>
      </w:r>
    </w:p>
    <w:p w14:paraId="3CAD30C1" w14:textId="7DDE4663" w:rsidR="007E2C6E" w:rsidRPr="009862AD" w:rsidRDefault="00E03C71" w:rsidP="00171325">
      <w:pPr>
        <w:numPr>
          <w:ilvl w:val="0"/>
          <w:numId w:val="26"/>
        </w:numPr>
        <w:spacing w:after="0"/>
        <w:ind w:left="340"/>
        <w:contextualSpacing/>
        <w:rPr>
          <w:szCs w:val="17"/>
        </w:rPr>
      </w:pPr>
      <w:r>
        <w:rPr>
          <w:szCs w:val="17"/>
        </w:rPr>
        <w:t>i</w:t>
      </w:r>
      <w:r w:rsidR="007E2C6E" w:rsidRPr="009862AD">
        <w:rPr>
          <w:szCs w:val="17"/>
        </w:rPr>
        <w:t>ncrease workforce participation by vulnerable and disadvantaged families.</w:t>
      </w:r>
    </w:p>
    <w:p w14:paraId="5B342C96" w14:textId="0B45C183" w:rsidR="007E2C6E" w:rsidRPr="009862AD" w:rsidRDefault="007E2C6E" w:rsidP="007E2C6E">
      <w:pPr>
        <w:spacing w:before="170"/>
      </w:pPr>
      <w:r w:rsidRPr="009862AD">
        <w:t>Importantly, the value of child</w:t>
      </w:r>
      <w:r w:rsidR="00FA5C6D">
        <w:t xml:space="preserve"> </w:t>
      </w:r>
      <w:r w:rsidRPr="009862AD">
        <w:t>care funded by the CCCFR grant was not limited to these two outcomes, with other benefits identified by families and carers beyond early childhood development outcomes and workforce participation.</w:t>
      </w:r>
    </w:p>
    <w:p w14:paraId="7B9F537A" w14:textId="77777777" w:rsidR="007E2C6E" w:rsidRPr="009862AD" w:rsidRDefault="007E2C6E" w:rsidP="007E2C6E">
      <w:pPr>
        <w:spacing w:before="170"/>
      </w:pPr>
      <w:r w:rsidRPr="009862AD">
        <w:t>Identified benefits need to be considered in line with the barriers to using CCCFR grant funded services, as they significantly impact upon the ability for benefits to be realised. Further, it should be recognised that benefits are not realised evenly by children and families even when barriers are low, due to local contextual factors like the availability of other early learning services.</w:t>
      </w:r>
    </w:p>
    <w:p w14:paraId="2A52591F" w14:textId="77777777" w:rsidR="007E2C6E" w:rsidRPr="009862AD" w:rsidRDefault="007E2C6E" w:rsidP="007E2C6E">
      <w:pPr>
        <w:pStyle w:val="Appendixhead4"/>
        <w:rPr>
          <w:rFonts w:eastAsiaTheme="majorEastAsia" w:cstheme="majorBidi"/>
          <w:b w:val="0"/>
        </w:rPr>
      </w:pPr>
      <w:r w:rsidRPr="009862AD">
        <w:rPr>
          <w:rFonts w:eastAsiaTheme="majorEastAsia"/>
        </w:rPr>
        <w:t>Benefits to children</w:t>
      </w:r>
    </w:p>
    <w:p w14:paraId="3431C005" w14:textId="77777777" w:rsidR="007E2C6E" w:rsidRPr="009862AD" w:rsidRDefault="007E2C6E" w:rsidP="007E2C6E">
      <w:r w:rsidRPr="009862AD">
        <w:t>The CCCFR grant objective of improving early childhood development outcomes for vulnerable and disadvantaged families</w:t>
      </w:r>
      <w:r w:rsidRPr="009862AD">
        <w:rPr>
          <w:b/>
        </w:rPr>
        <w:t xml:space="preserve"> </w:t>
      </w:r>
      <w:r w:rsidRPr="009862AD">
        <w:t xml:space="preserve">is supported by the evidence collected in the family and community consultations. The first part of the section presents the ways in which consultees discussed developmental benefits, which are broadly in line with the Australian Early Development Census domains and Early Years Learning Framework. </w:t>
      </w:r>
    </w:p>
    <w:p w14:paraId="73A05DC6" w14:textId="0E1D6DDF" w:rsidR="007E2C6E" w:rsidRPr="009862AD" w:rsidRDefault="007E2C6E" w:rsidP="007E2C6E">
      <w:pPr>
        <w:rPr>
          <w:b/>
        </w:rPr>
      </w:pPr>
      <w:r w:rsidRPr="009862AD">
        <w:t>Families and carers also raised a number of other benefits from attending CCCFR grant funded services, which sit outside of these frameworks. These include: a safe and fun environment, establishing a school routine, improved hygiene and nutrition, and connection to culture. Importantly, many of these benefits are facilitated by additional supports provided by a centre beyond standard child</w:t>
      </w:r>
      <w:r w:rsidR="00FA5C6D">
        <w:t xml:space="preserve"> </w:t>
      </w:r>
      <w:r w:rsidRPr="009862AD">
        <w:t>care, for example wrap-around services.</w:t>
      </w:r>
    </w:p>
    <w:p w14:paraId="6A3A6C97" w14:textId="2A280F68" w:rsidR="007E2C6E" w:rsidRPr="004F0BF8" w:rsidRDefault="007E2C6E" w:rsidP="007E2C6E">
      <w:pPr>
        <w:spacing w:after="0" w:line="200" w:lineRule="atLeast"/>
        <w:contextualSpacing/>
        <w:rPr>
          <w:color w:val="26890D"/>
        </w:rPr>
      </w:pPr>
      <w:r w:rsidRPr="004F0BF8">
        <w:rPr>
          <w:color w:val="26890D"/>
        </w:rPr>
        <w:t xml:space="preserve">“I think the [service] is the best start for the little ones” - </w:t>
      </w:r>
      <w:r w:rsidRPr="004F0BF8">
        <w:rPr>
          <w:b/>
          <w:bCs/>
          <w:color w:val="26890D"/>
        </w:rPr>
        <w:t>grandmother</w:t>
      </w:r>
      <w:r w:rsidR="002E497C" w:rsidRPr="004F0BF8">
        <w:rPr>
          <w:b/>
          <w:bCs/>
          <w:color w:val="26890D"/>
        </w:rPr>
        <w:t xml:space="preserve"> </w:t>
      </w:r>
      <w:r w:rsidRPr="004F0BF8">
        <w:rPr>
          <w:b/>
          <w:bCs/>
          <w:color w:val="26890D"/>
        </w:rPr>
        <w:t xml:space="preserve"> </w:t>
      </w:r>
      <w:r w:rsidRPr="004F0BF8">
        <w:rPr>
          <w:color w:val="26890D"/>
        </w:rPr>
        <w:br/>
      </w:r>
    </w:p>
    <w:p w14:paraId="5E64B9D7" w14:textId="77777777" w:rsidR="007E2C6E" w:rsidRPr="009862AD" w:rsidRDefault="007E2C6E" w:rsidP="007E2C6E">
      <w:pPr>
        <w:pStyle w:val="Heading4un-numbered"/>
        <w:rPr>
          <w:b w:val="0"/>
        </w:rPr>
      </w:pPr>
      <w:r w:rsidRPr="009862AD">
        <w:t>Early childhood development</w:t>
      </w:r>
    </w:p>
    <w:p w14:paraId="593A56E7" w14:textId="77777777" w:rsidR="007E2C6E" w:rsidRPr="009862AD" w:rsidRDefault="007E2C6E" w:rsidP="007E2C6E">
      <w:r w:rsidRPr="009862AD">
        <w:t xml:space="preserve">Parents and carers noted a positive relationship between their child’s development and their attendance at services. Where parents and carers had noted their child was behind on key development milestones, these improvements were especially noticeable. </w:t>
      </w:r>
    </w:p>
    <w:p w14:paraId="2E24C80A" w14:textId="77777777" w:rsidR="007E2C6E" w:rsidRPr="009862AD" w:rsidRDefault="007E2C6E" w:rsidP="007E2C6E">
      <w:r w:rsidRPr="009862AD">
        <w:t>Most parents and carers identify child care as a critical pathway to school readiness. Parents and carers acknowledge that educators would pick up on things that they themselves might not pick up on and help them connect with the relevant services to support their child before going to school.</w:t>
      </w:r>
    </w:p>
    <w:p w14:paraId="541B0598" w14:textId="77777777" w:rsidR="007E2C6E" w:rsidRPr="004F0BF8" w:rsidRDefault="007E2C6E" w:rsidP="007E2C6E">
      <w:pPr>
        <w:rPr>
          <w:b/>
          <w:bCs/>
          <w:color w:val="26890D"/>
        </w:rPr>
      </w:pPr>
      <w:r w:rsidRPr="004F0BF8">
        <w:rPr>
          <w:color w:val="26890D"/>
        </w:rPr>
        <w:t xml:space="preserve">“The service is doing more than its fair share of heavy lifting in terms of meeting the child care and child protection needs of our community” </w:t>
      </w:r>
      <w:r w:rsidRPr="004F0BF8">
        <w:rPr>
          <w:b/>
          <w:bCs/>
          <w:color w:val="26890D"/>
        </w:rPr>
        <w:t>– mother</w:t>
      </w:r>
    </w:p>
    <w:p w14:paraId="2BB26984" w14:textId="533F51A7" w:rsidR="007E2C6E" w:rsidRPr="004F0BF8" w:rsidRDefault="007E2C6E" w:rsidP="007E2C6E">
      <w:pPr>
        <w:rPr>
          <w:b/>
          <w:bCs/>
          <w:color w:val="26890D"/>
        </w:rPr>
      </w:pPr>
      <w:r w:rsidRPr="004F0BF8">
        <w:rPr>
          <w:color w:val="26890D"/>
        </w:rPr>
        <w:t>“When we were on waiting list to get here [the CCCFR funded Aboriginal service], we went to the mainstream. It was overcrowded, they didn’t listen, didn’t want to work with us, the families to meet developmental milestones and habits (e.g.</w:t>
      </w:r>
      <w:r w:rsidR="00E03C71" w:rsidRPr="004F0BF8">
        <w:rPr>
          <w:color w:val="26890D"/>
        </w:rPr>
        <w:t>,</w:t>
      </w:r>
      <w:r w:rsidRPr="004F0BF8">
        <w:rPr>
          <w:color w:val="26890D"/>
        </w:rPr>
        <w:t xml:space="preserve"> self-soothing)” – </w:t>
      </w:r>
      <w:r w:rsidRPr="004F0BF8">
        <w:rPr>
          <w:b/>
          <w:bCs/>
          <w:color w:val="26890D"/>
        </w:rPr>
        <w:t>mother</w:t>
      </w:r>
    </w:p>
    <w:p w14:paraId="7686C9DC" w14:textId="77777777" w:rsidR="007E2C6E" w:rsidRPr="009862AD" w:rsidRDefault="007E2C6E" w:rsidP="007E2C6E">
      <w:r w:rsidRPr="009862AD">
        <w:t xml:space="preserve">However, some parents who had relocated from urban to remote communities wanted a greater focus on learning than what was being delivered in the service, with one mother specifically seeking the adoption of the Early Years Learning Framework in her service. </w:t>
      </w:r>
    </w:p>
    <w:p w14:paraId="2BFB061E" w14:textId="77777777" w:rsidR="007E2C6E" w:rsidRPr="009862AD" w:rsidRDefault="007E2C6E" w:rsidP="007E2C6E">
      <w:r w:rsidRPr="009862AD">
        <w:rPr>
          <w:b/>
          <w:bCs/>
        </w:rPr>
        <w:t xml:space="preserve">Physical readiness </w:t>
      </w:r>
      <w:r w:rsidRPr="009862AD">
        <w:t>for school was observed by some families in terms of improvements in gross and fine motor skills. Parents and carers spoke to the importance of their kids being around other children for their development. This was often seen through advances in physical movement (crawling and walking).</w:t>
      </w:r>
    </w:p>
    <w:p w14:paraId="582676DA" w14:textId="77777777" w:rsidR="007E2C6E" w:rsidRPr="009862AD" w:rsidRDefault="007E2C6E" w:rsidP="007E2C6E">
      <w:r w:rsidRPr="009862AD">
        <w:rPr>
          <w:b/>
          <w:bCs/>
        </w:rPr>
        <w:t xml:space="preserve">Social competence and emotional maturity </w:t>
      </w:r>
      <w:r w:rsidRPr="009862AD">
        <w:t>were identified in consultation through the lens of playing with other kids and having a sense of self.</w:t>
      </w:r>
    </w:p>
    <w:p w14:paraId="56AA6DBF" w14:textId="77777777" w:rsidR="007E2C6E" w:rsidRPr="009862AD" w:rsidRDefault="007E2C6E" w:rsidP="007E2C6E">
      <w:r w:rsidRPr="009862AD">
        <w:lastRenderedPageBreak/>
        <w:t xml:space="preserve">Learning by modelling behaviours from other kids, like caring and sharing, was observed. Parents and carers noted the increased confidence in playing with other children outside of the centre, in their neighbourhood or at community events. </w:t>
      </w:r>
    </w:p>
    <w:p w14:paraId="63412F72" w14:textId="77777777" w:rsidR="007E2C6E" w:rsidRPr="009862AD" w:rsidRDefault="007E2C6E" w:rsidP="007E2C6E">
      <w:r w:rsidRPr="009862AD">
        <w:t>Being able to play well with other children was seen as an important skill to learn for success in later life. One mother described the importance of this interactivity with other children in the service as such: “I see my main job as a parent in the first two years of life is to make my child liked by adult. No-one wants to bring up a child who’s just annoying to everyone.”</w:t>
      </w:r>
    </w:p>
    <w:p w14:paraId="56C61A4E" w14:textId="77777777" w:rsidR="007E2C6E" w:rsidRPr="009862AD" w:rsidRDefault="007E2C6E" w:rsidP="007E2C6E">
      <w:r w:rsidRPr="009862AD">
        <w:rPr>
          <w:b/>
        </w:rPr>
        <w:t>Developing a strong sense of self and identity</w:t>
      </w:r>
      <w:r w:rsidRPr="009862AD">
        <w:t xml:space="preserve">, particularly in the context of growing up alongside other community members was also voiced as a key benefit. </w:t>
      </w:r>
    </w:p>
    <w:p w14:paraId="08EBFFC6" w14:textId="77777777" w:rsidR="007E2C6E" w:rsidRPr="004F0BF8" w:rsidRDefault="007E2C6E" w:rsidP="007E2C6E">
      <w:pPr>
        <w:rPr>
          <w:b/>
          <w:color w:val="26890D"/>
        </w:rPr>
      </w:pPr>
      <w:r w:rsidRPr="009862AD">
        <w:rPr>
          <w:b/>
          <w:bCs/>
        </w:rPr>
        <w:t>Improved language, cognitive and communication skills</w:t>
      </w:r>
      <w:r w:rsidRPr="009862AD">
        <w:t xml:space="preserve"> were identified by families and carers, as well as advances in language skills. Parents and carers often cited exposure to both other kids and “bigger kids” as being the trigger for these developments. </w:t>
      </w:r>
      <w:r w:rsidRPr="009862AD">
        <w:br/>
      </w:r>
      <w:r w:rsidRPr="009862AD">
        <w:br/>
      </w:r>
      <w:r w:rsidRPr="004F0BF8">
        <w:rPr>
          <w:color w:val="26890D"/>
        </w:rPr>
        <w:t xml:space="preserve">“My son has slow speech development – every day I see progress, I am very proud. He would wander, not join in and walk around and eats. Now he sits with his friends and sings the ABC.” – </w:t>
      </w:r>
      <w:r w:rsidRPr="004F0BF8">
        <w:rPr>
          <w:b/>
          <w:bCs/>
          <w:color w:val="26890D"/>
        </w:rPr>
        <w:t>mother</w:t>
      </w:r>
    </w:p>
    <w:p w14:paraId="60C015CF" w14:textId="77777777" w:rsidR="007E2C6E" w:rsidRPr="009862AD" w:rsidRDefault="007E2C6E" w:rsidP="007E2C6E">
      <w:r w:rsidRPr="009862AD">
        <w:t xml:space="preserve">Most parents and carers could speak to gains they had witnessed in their children since attending the service in the domains of language, literacy, and numeracy. One carer described the service as “little school before they go to big school.” Parents and carers observed use of new words, counting, identifying colours, learning to write their names, and singing nursery rhymes. </w:t>
      </w:r>
    </w:p>
    <w:p w14:paraId="44119FF5" w14:textId="77777777" w:rsidR="007E2C6E" w:rsidRPr="009862AD" w:rsidRDefault="007E2C6E" w:rsidP="007E2C6E">
      <w:r w:rsidRPr="009862AD">
        <w:rPr>
          <w:b/>
          <w:bCs/>
        </w:rPr>
        <w:t xml:space="preserve">A few parents spoke about how the child care centre supports children with delays in their development, disabilities, </w:t>
      </w:r>
      <w:r w:rsidRPr="009862AD">
        <w:rPr>
          <w:b/>
        </w:rPr>
        <w:t>and</w:t>
      </w:r>
      <w:r w:rsidRPr="009862AD">
        <w:rPr>
          <w:b/>
          <w:bCs/>
        </w:rPr>
        <w:t>/or</w:t>
      </w:r>
      <w:r w:rsidRPr="009862AD">
        <w:rPr>
          <w:b/>
        </w:rPr>
        <w:t xml:space="preserve"> </w:t>
      </w:r>
      <w:r w:rsidRPr="009862AD">
        <w:rPr>
          <w:b/>
          <w:bCs/>
        </w:rPr>
        <w:t xml:space="preserve">complex needs. </w:t>
      </w:r>
      <w:r w:rsidRPr="009862AD">
        <w:t xml:space="preserve">Families described the care and support which services could provide, though few mentioned the specific referrals or specialist supports which services mentioned in consultations. </w:t>
      </w:r>
    </w:p>
    <w:p w14:paraId="73325A36" w14:textId="77777777" w:rsidR="007E2C6E" w:rsidRPr="009862AD" w:rsidRDefault="007E2C6E" w:rsidP="007E2C6E">
      <w:pPr>
        <w:pStyle w:val="Heading4un-numbered"/>
        <w:rPr>
          <w:b w:val="0"/>
        </w:rPr>
      </w:pPr>
      <w:r w:rsidRPr="009862AD">
        <w:t>Other benefits</w:t>
      </w:r>
    </w:p>
    <w:p w14:paraId="6DBBAC25" w14:textId="5DBB069B" w:rsidR="007E2C6E" w:rsidRPr="009862AD" w:rsidRDefault="007E2C6E" w:rsidP="007E2C6E">
      <w:r w:rsidRPr="009862AD">
        <w:t xml:space="preserve">Accessing a </w:t>
      </w:r>
      <w:r w:rsidRPr="009862AD">
        <w:rPr>
          <w:b/>
          <w:bCs/>
        </w:rPr>
        <w:t>safe, secure, and fun environment</w:t>
      </w:r>
      <w:r w:rsidRPr="009862AD">
        <w:t xml:space="preserve"> was most commonly expressed by families and carers as a key benefit their children received from attending child</w:t>
      </w:r>
      <w:r w:rsidR="00D6023C">
        <w:t xml:space="preserve"> </w:t>
      </w:r>
      <w:r w:rsidRPr="009862AD">
        <w:t>care.</w:t>
      </w:r>
    </w:p>
    <w:p w14:paraId="53C8023F" w14:textId="77777777" w:rsidR="007E2C6E" w:rsidRPr="009862AD" w:rsidRDefault="007E2C6E" w:rsidP="007E2C6E">
      <w:r w:rsidRPr="009862AD">
        <w:t>Parents and carers spoke of a dual benefit in safety – that services provide a safe and secure environment in which the children can spend their days and that the service helps educate the children about safety.</w:t>
      </w:r>
    </w:p>
    <w:p w14:paraId="3B0B2000" w14:textId="77777777" w:rsidR="007E2C6E" w:rsidRPr="009862AD" w:rsidRDefault="007E2C6E" w:rsidP="007E2C6E">
      <w:r w:rsidRPr="009862AD">
        <w:t xml:space="preserve">Many parents and carers spoke about the lack of safety in the home environment. A number of families cited concerns with the natural environment, particularly in regional and remote areas, for example children in the front yard playing in the grass being bitten by venomous snakes or being exposed to extreme weather events like storms. Others cited safety issues within the home such as children not understanding power sockets. One carer told a story of a child in his family who passed away after accidentally consuming medicine in the home. </w:t>
      </w:r>
    </w:p>
    <w:p w14:paraId="34D7762B" w14:textId="77777777" w:rsidR="007E2C6E" w:rsidRPr="009862AD" w:rsidRDefault="007E2C6E" w:rsidP="007E2C6E">
      <w:r w:rsidRPr="009862AD">
        <w:t xml:space="preserve">Families and carers spoke of the education that children received in the services to support their safety awareness that the children would then bring back into the home – to know not to play with snakes or to know not to put electric cords into water. </w:t>
      </w:r>
    </w:p>
    <w:p w14:paraId="48DD251D" w14:textId="77777777" w:rsidR="007E2C6E" w:rsidRPr="009862AD" w:rsidRDefault="007E2C6E" w:rsidP="007E2C6E">
      <w:r w:rsidRPr="009862AD">
        <w:t>An additional perspective on safety was raised by some of the kinship carers who felt that being able to access the service would prevent the children from being removed from their kin and taken into out of home care where the children’s safety and wellbeing would be compromised.</w:t>
      </w:r>
    </w:p>
    <w:p w14:paraId="66E5AD0A" w14:textId="77777777" w:rsidR="007E2C6E" w:rsidRPr="004F0BF8" w:rsidRDefault="007E2C6E" w:rsidP="007E2C6E">
      <w:pPr>
        <w:rPr>
          <w:b/>
          <w:bCs/>
          <w:color w:val="26890D"/>
        </w:rPr>
      </w:pPr>
      <w:r w:rsidRPr="004F0BF8">
        <w:rPr>
          <w:color w:val="26890D"/>
        </w:rPr>
        <w:t xml:space="preserve">“We became kinship carers out of the blue. I notified [the service director] and she found places for them within 4 weeks. She prioritised my family because she knew that if they couldn’t get in, I’d have to leave my job, or the children would be moved again by DCJ.” – </w:t>
      </w:r>
      <w:r w:rsidRPr="004F0BF8">
        <w:rPr>
          <w:b/>
          <w:bCs/>
          <w:color w:val="26890D"/>
        </w:rPr>
        <w:t>kinship carer</w:t>
      </w:r>
    </w:p>
    <w:p w14:paraId="142C3ADE" w14:textId="77777777" w:rsidR="007E2C6E" w:rsidRPr="009862AD" w:rsidRDefault="007E2C6E" w:rsidP="007E2C6E">
      <w:r w:rsidRPr="009862AD">
        <w:t>While some parents and carers spoke of a need to update the equipment (particularly the outdoors play equipment which was often damaged by the elements), the general view was that there was a good variety of resources for kids to play with and learn from.</w:t>
      </w:r>
    </w:p>
    <w:p w14:paraId="7FDB0F24" w14:textId="09DE866C" w:rsidR="007E2C6E" w:rsidRPr="009862AD" w:rsidRDefault="007E2C6E" w:rsidP="007E2C6E">
      <w:r w:rsidRPr="009862AD">
        <w:lastRenderedPageBreak/>
        <w:t>One community member spoke of a child who had not a single toy at home, whose only source of play was with their parent’s mobile phone, and spoke of the delight and engagement this child showed on discovering all of the toys and resources at the service.</w:t>
      </w:r>
      <w:r w:rsidR="002E497C">
        <w:t xml:space="preserve"> </w:t>
      </w:r>
    </w:p>
    <w:p w14:paraId="11E0D6A3" w14:textId="77777777" w:rsidR="007E2C6E" w:rsidRPr="004F0BF8" w:rsidRDefault="007E2C6E" w:rsidP="007E2C6E">
      <w:pPr>
        <w:rPr>
          <w:b/>
          <w:bCs/>
          <w:color w:val="26890D"/>
        </w:rPr>
      </w:pPr>
      <w:r w:rsidRPr="004F0BF8">
        <w:rPr>
          <w:color w:val="26890D"/>
        </w:rPr>
        <w:t xml:space="preserve">“When your child runs up the footpath [towards the centre] and you know they are being cared for, they are happy to be here” - </w:t>
      </w:r>
      <w:r w:rsidRPr="004F0BF8">
        <w:rPr>
          <w:b/>
          <w:bCs/>
          <w:color w:val="26890D"/>
        </w:rPr>
        <w:t>kinship carer</w:t>
      </w:r>
    </w:p>
    <w:p w14:paraId="7996D6BF" w14:textId="77777777" w:rsidR="007E2C6E" w:rsidRPr="004F0BF8" w:rsidRDefault="007E2C6E" w:rsidP="007E2C6E">
      <w:pPr>
        <w:rPr>
          <w:b/>
          <w:color w:val="26890D"/>
        </w:rPr>
      </w:pPr>
      <w:r w:rsidRPr="004F0BF8">
        <w:rPr>
          <w:color w:val="26890D"/>
        </w:rPr>
        <w:t xml:space="preserve">“I was on the waitlist for ages when my two girls were little. I had to send them to mainstream services before spots at [the CCCFR service] opened up. Those mainstream spaces felt really clinical. It was the opposite [here]: you become part of the family and you don’t have to worry if your children are happy and getting the care they deserve.” – </w:t>
      </w:r>
      <w:r w:rsidRPr="004F0BF8">
        <w:rPr>
          <w:b/>
          <w:bCs/>
          <w:color w:val="26890D"/>
        </w:rPr>
        <w:t>mother</w:t>
      </w:r>
    </w:p>
    <w:p w14:paraId="2AB94BAF" w14:textId="77777777" w:rsidR="007E2C6E" w:rsidRPr="009862AD" w:rsidRDefault="007E2C6E" w:rsidP="007E2C6E">
      <w:r w:rsidRPr="009862AD">
        <w:t xml:space="preserve">The importance of </w:t>
      </w:r>
      <w:r w:rsidRPr="009862AD">
        <w:rPr>
          <w:b/>
        </w:rPr>
        <w:t>establishing a routine</w:t>
      </w:r>
      <w:r w:rsidRPr="009862AD">
        <w:t xml:space="preserve"> of coming to a place away from home every day was seen as beneficial for the transition to school, both in establishing this routine for the child but also in establishing the routine for the parents, especially if the parents were young and inexperienced. </w:t>
      </w:r>
    </w:p>
    <w:p w14:paraId="21993A70" w14:textId="7BC10B8E" w:rsidR="007E2C6E" w:rsidRPr="009862AD" w:rsidRDefault="007E2C6E" w:rsidP="007E2C6E">
      <w:r w:rsidRPr="009862AD">
        <w:t>In areas where a full suite of early years services is available, families and carers saw child</w:t>
      </w:r>
      <w:r w:rsidR="00D6023C">
        <w:t xml:space="preserve"> </w:t>
      </w:r>
      <w:r w:rsidRPr="009862AD">
        <w:t>care as part of a journey to getting ready for school that starts with playgroup, moves to child</w:t>
      </w:r>
      <w:r w:rsidR="00D6023C">
        <w:t xml:space="preserve"> </w:t>
      </w:r>
      <w:r w:rsidRPr="009862AD">
        <w:t xml:space="preserve">care, then kindergarten and preschool. </w:t>
      </w:r>
    </w:p>
    <w:p w14:paraId="0E63A791" w14:textId="6F1C24AF" w:rsidR="007E2C6E" w:rsidRPr="004F0BF8" w:rsidRDefault="007E2C6E" w:rsidP="007E2C6E">
      <w:pPr>
        <w:rPr>
          <w:color w:val="26890D"/>
        </w:rPr>
      </w:pPr>
      <w:r w:rsidRPr="004F0BF8">
        <w:rPr>
          <w:color w:val="26890D"/>
        </w:rPr>
        <w:t>“[child</w:t>
      </w:r>
      <w:r w:rsidR="00D6023C" w:rsidRPr="004F0BF8">
        <w:rPr>
          <w:color w:val="26890D"/>
        </w:rPr>
        <w:t xml:space="preserve"> </w:t>
      </w:r>
      <w:r w:rsidRPr="004F0BF8">
        <w:rPr>
          <w:color w:val="26890D"/>
        </w:rPr>
        <w:t>care] is a time when they open their eyes and look forward.”</w:t>
      </w:r>
      <w:r w:rsidRPr="004F0BF8">
        <w:rPr>
          <w:b/>
          <w:bCs/>
          <w:color w:val="26890D"/>
        </w:rPr>
        <w:t xml:space="preserve"> </w:t>
      </w:r>
      <w:r w:rsidRPr="004F0BF8">
        <w:rPr>
          <w:color w:val="26890D"/>
        </w:rPr>
        <w:t xml:space="preserve">- </w:t>
      </w:r>
      <w:r w:rsidRPr="004F0BF8">
        <w:rPr>
          <w:b/>
          <w:color w:val="26890D"/>
        </w:rPr>
        <w:t>grandfather</w:t>
      </w:r>
      <w:r w:rsidRPr="004F0BF8">
        <w:rPr>
          <w:color w:val="26890D"/>
        </w:rPr>
        <w:t xml:space="preserve"> </w:t>
      </w:r>
    </w:p>
    <w:p w14:paraId="20202717" w14:textId="37E53482" w:rsidR="007E2C6E" w:rsidRPr="009862AD" w:rsidRDefault="007E2C6E" w:rsidP="007E2C6E">
      <w:r w:rsidRPr="009862AD">
        <w:t xml:space="preserve">Beyond improving physical independence and motor skills as defined by the AEDC, many families and carers discussed the </w:t>
      </w:r>
      <w:r w:rsidRPr="009862AD">
        <w:rPr>
          <w:b/>
          <w:bCs/>
        </w:rPr>
        <w:t>health, hygiene, and nutrition benefits</w:t>
      </w:r>
      <w:r w:rsidRPr="009862AD">
        <w:t xml:space="preserve"> of child</w:t>
      </w:r>
      <w:r w:rsidR="00D6023C">
        <w:t xml:space="preserve"> </w:t>
      </w:r>
      <w:r w:rsidRPr="009862AD">
        <w:t>care.</w:t>
      </w:r>
    </w:p>
    <w:p w14:paraId="0C8866CA" w14:textId="25B83607" w:rsidR="007E2C6E" w:rsidRPr="009862AD" w:rsidRDefault="007E2C6E" w:rsidP="007E2C6E">
      <w:r w:rsidRPr="009862AD">
        <w:t>Parents and carers spoke of the value that services deliver to children in the community in regard to forming “healthy habits” and in the access to health support that services provide. Parents and carers spoke of handwashing, teeth brushing, and toilet use as examples of good hygiene practice that was learned and embedded through the child</w:t>
      </w:r>
      <w:r w:rsidR="00D6023C">
        <w:t xml:space="preserve"> </w:t>
      </w:r>
      <w:r w:rsidRPr="009862AD">
        <w:t>care. The value of healthy, nutritional meals being provided to children was also seen to benefit from both the perspective of receiving the food as well as learning to enjoy nutritious food.</w:t>
      </w:r>
    </w:p>
    <w:p w14:paraId="67DC0728" w14:textId="77777777" w:rsidR="007E2C6E" w:rsidRPr="009862AD" w:rsidRDefault="007E2C6E" w:rsidP="007E2C6E">
      <w:r w:rsidRPr="009862AD">
        <w:t xml:space="preserve">Finally, many parents and carers spoke of the importance of belonging and </w:t>
      </w:r>
      <w:r w:rsidRPr="009862AD">
        <w:rPr>
          <w:b/>
        </w:rPr>
        <w:t>connection to culture</w:t>
      </w:r>
      <w:r w:rsidRPr="009862AD">
        <w:t xml:space="preserve"> and facilitating a connection to lost culture in some cases. </w:t>
      </w:r>
    </w:p>
    <w:p w14:paraId="7F0B7713" w14:textId="77777777" w:rsidR="007E2C6E" w:rsidRPr="009862AD" w:rsidRDefault="007E2C6E" w:rsidP="007E2C6E">
      <w:r w:rsidRPr="009862AD">
        <w:t>Many services in Aboriginal and Torres Strait Islander communities facilitated cultural education through the support of local Elders, either coming into the service or providing lessons at the local library or arts and cultural centre where children could attend. In communities where the local language(s) had been largely lost, parents and carers were incredibly complementary of these opportunities for their children to learn at such a young age, giving hope of being able to return the language more extensively through community.</w:t>
      </w:r>
    </w:p>
    <w:p w14:paraId="75E4032B" w14:textId="77777777" w:rsidR="007E2C6E" w:rsidRPr="009862AD" w:rsidRDefault="007E2C6E" w:rsidP="007E2C6E">
      <w:r w:rsidRPr="009862AD">
        <w:t>In communities where local languages were still widely spoken and traditional customs sill known and practiced by the educators, parents saw this as an important extension of their child’s education.</w:t>
      </w:r>
    </w:p>
    <w:p w14:paraId="475A7EC8" w14:textId="3FA0F5C2" w:rsidR="007E2C6E" w:rsidRPr="009862AD" w:rsidRDefault="007E2C6E" w:rsidP="007E2C6E">
      <w:r w:rsidRPr="009862AD">
        <w:t>Parents from outside of community also experienced the benefit of this culture, speaking to the value of their children learning traditional language and dance. One family spoke of the joy of seeing their young Fijian daughter learn to speak the local language fluently (her third language).</w:t>
      </w:r>
      <w:r w:rsidR="002E497C">
        <w:t xml:space="preserve"> </w:t>
      </w:r>
      <w:r w:rsidRPr="009862AD">
        <w:t xml:space="preserve"> </w:t>
      </w:r>
    </w:p>
    <w:p w14:paraId="75BEA9BA" w14:textId="77777777" w:rsidR="007E2C6E" w:rsidRPr="009862AD" w:rsidRDefault="007E2C6E" w:rsidP="007E2C6E">
      <w:r w:rsidRPr="009862AD">
        <w:t xml:space="preserve">In some communities the service would also act as a community hub for important cultural celebrations. </w:t>
      </w:r>
    </w:p>
    <w:p w14:paraId="2E823411" w14:textId="77777777" w:rsidR="007E2C6E" w:rsidRPr="004F0BF8" w:rsidRDefault="007E2C6E" w:rsidP="007E2C6E">
      <w:pPr>
        <w:rPr>
          <w:b/>
          <w:bCs/>
          <w:color w:val="26890D"/>
        </w:rPr>
      </w:pPr>
      <w:r w:rsidRPr="004F0BF8">
        <w:rPr>
          <w:color w:val="26890D"/>
        </w:rPr>
        <w:t xml:space="preserve">[The service] is a space for the community so there are different events happening – NAIDOC and Aboriginal and Torres Strait Islander Children’s Day </w:t>
      </w:r>
      <w:r w:rsidRPr="004F0BF8">
        <w:rPr>
          <w:b/>
          <w:bCs/>
          <w:color w:val="26890D"/>
        </w:rPr>
        <w:t>- mother</w:t>
      </w:r>
    </w:p>
    <w:p w14:paraId="54142E71" w14:textId="77777777" w:rsidR="007E2C6E" w:rsidRPr="004F0BF8" w:rsidRDefault="007E2C6E" w:rsidP="007E2C6E">
      <w:pPr>
        <w:rPr>
          <w:b/>
          <w:color w:val="26890D"/>
        </w:rPr>
      </w:pPr>
      <w:r w:rsidRPr="004F0BF8">
        <w:rPr>
          <w:color w:val="26890D"/>
        </w:rPr>
        <w:t xml:space="preserve">“Kids are always repping [positively representing] the centre. The community love to see the kids singing and dancing at community events and raising the flag” - </w:t>
      </w:r>
      <w:r w:rsidRPr="004F0BF8">
        <w:rPr>
          <w:b/>
          <w:bCs/>
          <w:color w:val="26890D"/>
        </w:rPr>
        <w:t>mother</w:t>
      </w:r>
      <w:r w:rsidRPr="004F0BF8">
        <w:rPr>
          <w:b/>
          <w:color w:val="26890D"/>
        </w:rPr>
        <w:t xml:space="preserve"> </w:t>
      </w:r>
    </w:p>
    <w:p w14:paraId="25467CB8" w14:textId="77777777" w:rsidR="007E2C6E" w:rsidRPr="004F0BF8" w:rsidRDefault="007E2C6E" w:rsidP="007E2C6E">
      <w:pPr>
        <w:rPr>
          <w:b/>
          <w:color w:val="26890D"/>
        </w:rPr>
      </w:pPr>
      <w:r w:rsidRPr="004F0BF8">
        <w:rPr>
          <w:color w:val="26890D"/>
        </w:rPr>
        <w:t xml:space="preserve">“Mainstream services can’t compare. I sent my child to a council pre-school, and they didn’t understand the simple things that [the CCCFR funded service] staff pick up on. The service wasn’t aware of my child’s Aboriginality and things like kimbies [nappies]!” – </w:t>
      </w:r>
      <w:r w:rsidRPr="004F0BF8">
        <w:rPr>
          <w:b/>
          <w:bCs/>
          <w:color w:val="26890D"/>
        </w:rPr>
        <w:t>mother</w:t>
      </w:r>
    </w:p>
    <w:p w14:paraId="1C2B6641" w14:textId="77777777" w:rsidR="007E2C6E" w:rsidRPr="009862AD" w:rsidRDefault="007E2C6E" w:rsidP="007E2C6E">
      <w:pPr>
        <w:pStyle w:val="Appendixhead4"/>
        <w:rPr>
          <w:rFonts w:eastAsiaTheme="majorEastAsia" w:cstheme="majorBidi"/>
          <w:b w:val="0"/>
        </w:rPr>
      </w:pPr>
      <w:r w:rsidRPr="009862AD">
        <w:rPr>
          <w:rFonts w:eastAsiaTheme="majorEastAsia"/>
        </w:rPr>
        <w:lastRenderedPageBreak/>
        <w:t>Benefits to families and carers</w:t>
      </w:r>
    </w:p>
    <w:p w14:paraId="47FE830F" w14:textId="77777777" w:rsidR="007E2C6E" w:rsidRPr="009862AD" w:rsidRDefault="007E2C6E" w:rsidP="007E2C6E">
      <w:r w:rsidRPr="009862AD">
        <w:t>In line with the CCCFR objective, workforce participation has consistently been identified as a key purpose of using CCCFR grant funded services, but another benefit – improved social and emotional wellbeing – was also identified.</w:t>
      </w:r>
    </w:p>
    <w:p w14:paraId="09F6C02D" w14:textId="77777777" w:rsidR="007E2C6E" w:rsidRPr="009862AD" w:rsidRDefault="007E2C6E" w:rsidP="007E2C6E">
      <w:pPr>
        <w:pStyle w:val="Heading4un-numbered"/>
        <w:rPr>
          <w:b w:val="0"/>
        </w:rPr>
      </w:pPr>
      <w:r w:rsidRPr="009862AD">
        <w:t xml:space="preserve">Facilitating employment </w:t>
      </w:r>
    </w:p>
    <w:p w14:paraId="5A373D23" w14:textId="51C25B9A" w:rsidR="007E2C6E" w:rsidRPr="009862AD" w:rsidRDefault="007E2C6E" w:rsidP="007E2C6E">
      <w:r w:rsidRPr="009862AD">
        <w:t>The CCCFR grant objective of increasing workforce participation by families experiencing vulnerability and disadvantage was supported by the evidence collected in the family and community consultations.</w:t>
      </w:r>
      <w:r w:rsidR="002E497C">
        <w:t xml:space="preserve">  </w:t>
      </w:r>
      <w:r w:rsidRPr="009862AD">
        <w:t xml:space="preserve"> </w:t>
      </w:r>
    </w:p>
    <w:p w14:paraId="143149CD" w14:textId="5FB00261" w:rsidR="007E2C6E" w:rsidRPr="009862AD" w:rsidRDefault="007E2C6E" w:rsidP="007E2C6E">
      <w:r w:rsidRPr="009862AD">
        <w:t>When asked why they send their child to the service, many parents and carers responded that the answer was needing care for the children while the parents or carers are working. While the majority of community members who participated in the consultations identified as being in part- or full-time employment, from speaking with the services’ educators themselves, it was understood that this was not necessarily a representative sample of who uses the service, but rather reflective of the characteristics of individuals who opted to participate in the consultations.</w:t>
      </w:r>
      <w:r w:rsidR="002E497C">
        <w:t xml:space="preserve"> </w:t>
      </w:r>
    </w:p>
    <w:p w14:paraId="41E8E808" w14:textId="26FD661D" w:rsidR="007E2C6E" w:rsidRPr="009862AD" w:rsidRDefault="007E2C6E" w:rsidP="007E2C6E">
      <w:r w:rsidRPr="009862AD">
        <w:t>Services are understood by families and carers to be facilitating employment both indirectly and directly. There are parents and carers who have full or part time employment in communities (either through self-employment, government or council employment or private employment, such as the local shop) and there are those who are employed by the child</w:t>
      </w:r>
      <w:r w:rsidR="00D6023C">
        <w:t xml:space="preserve"> </w:t>
      </w:r>
      <w:r w:rsidRPr="009862AD">
        <w:t xml:space="preserve">care service itself. </w:t>
      </w:r>
      <w:r w:rsidRPr="009862AD">
        <w:br/>
      </w:r>
      <w:r w:rsidRPr="009862AD">
        <w:br/>
        <w:t>In remote communities, a large number of the educators are also mothers who have children who are either enrolled currently in the service or whose children were previously enrolled prior to transitioning to kindergarten, preschool or school.</w:t>
      </w:r>
    </w:p>
    <w:p w14:paraId="1F1A5B57" w14:textId="43341734" w:rsidR="007E2C6E" w:rsidRPr="009862AD" w:rsidRDefault="007E2C6E" w:rsidP="007E2C6E">
      <w:r w:rsidRPr="009862AD">
        <w:t>When asked what options they have for child</w:t>
      </w:r>
      <w:r w:rsidR="00D6023C">
        <w:t xml:space="preserve"> </w:t>
      </w:r>
      <w:r w:rsidRPr="009862AD">
        <w:t>care when the service is closed, all working parents and carers cited the need to take sick leave or annual leave to care for their child.</w:t>
      </w:r>
      <w:r w:rsidR="002E497C">
        <w:t xml:space="preserve">  </w:t>
      </w:r>
    </w:p>
    <w:p w14:paraId="512EE9AD" w14:textId="77777777" w:rsidR="007E2C6E" w:rsidRPr="009862AD" w:rsidRDefault="007E2C6E" w:rsidP="007E2C6E">
      <w:pPr>
        <w:pStyle w:val="Heading4un-numbered"/>
        <w:rPr>
          <w:b w:val="0"/>
        </w:rPr>
      </w:pPr>
      <w:r w:rsidRPr="009862AD">
        <w:t>Supporting the social and em</w:t>
      </w:r>
      <w:r w:rsidRPr="009862AD">
        <w:rPr>
          <w:b w:val="0"/>
        </w:rPr>
        <w:t>o</w:t>
      </w:r>
      <w:r w:rsidRPr="00CD38C6">
        <w:t>tional wellbeing of carers</w:t>
      </w:r>
    </w:p>
    <w:p w14:paraId="0FC78038" w14:textId="459CBBFE" w:rsidR="007E2C6E" w:rsidRPr="009862AD" w:rsidRDefault="007E2C6E" w:rsidP="007E2C6E">
      <w:r w:rsidRPr="009862AD">
        <w:t>Parents and carers who weren’t in full time employment or who were self-employed spoke of the importance of child</w:t>
      </w:r>
      <w:r w:rsidR="00D6023C">
        <w:t xml:space="preserve"> </w:t>
      </w:r>
      <w:r w:rsidRPr="009862AD">
        <w:t xml:space="preserve">care providing support to their social and emotional wellbeing through respite. </w:t>
      </w:r>
    </w:p>
    <w:p w14:paraId="738EAD2C" w14:textId="64153847" w:rsidR="007E2C6E" w:rsidRPr="009862AD" w:rsidRDefault="007E2C6E" w:rsidP="007E2C6E">
      <w:r w:rsidRPr="009862AD">
        <w:t>Parents and carers spoke about using the time their children are in care to practice self-care (sometimes, just sitting quietly with a tea and a biscuit) and other times engaging in social and cultural activities such as those provided by the local arts and cultural centre. Parents and carers also spoke of the time needed to maintain their family household – cleaning and shopping and alike – which was facilitated through child</w:t>
      </w:r>
      <w:r w:rsidR="00D6023C">
        <w:t xml:space="preserve"> </w:t>
      </w:r>
      <w:r w:rsidRPr="009862AD">
        <w:t>care.</w:t>
      </w:r>
      <w:r w:rsidR="002E497C">
        <w:t xml:space="preserve"> </w:t>
      </w:r>
      <w:r w:rsidRPr="009862AD">
        <w:t xml:space="preserve"> </w:t>
      </w:r>
    </w:p>
    <w:p w14:paraId="4396601A" w14:textId="77777777" w:rsidR="007E2C6E" w:rsidRPr="009862AD" w:rsidRDefault="007E2C6E" w:rsidP="007E2C6E">
      <w:r w:rsidRPr="009862AD">
        <w:t xml:space="preserve">This respite was cited as especially important for foster carers who were providing care to children under child safety orders. </w:t>
      </w:r>
    </w:p>
    <w:p w14:paraId="7AF1ADAB" w14:textId="768CF5E6" w:rsidR="007E2C6E" w:rsidRPr="009862AD" w:rsidRDefault="007E2C6E" w:rsidP="007E2C6E">
      <w:r w:rsidRPr="009862AD">
        <w:t>Equally, some foster carers cited child</w:t>
      </w:r>
      <w:r w:rsidR="009B094E">
        <w:t xml:space="preserve"> </w:t>
      </w:r>
      <w:r w:rsidRPr="009862AD">
        <w:t>care as a mechanism to support parents experiencing vulnerability, particularly inexperienced young mothers, to keep their children safe and well. This was enabled through both the respite provided and the extra advice and support that the child</w:t>
      </w:r>
      <w:r w:rsidR="009B094E">
        <w:t xml:space="preserve"> </w:t>
      </w:r>
      <w:r w:rsidRPr="009862AD">
        <w:t>care workers would give to the mothers. This was viewed as a preventative measure for keeping children with their mothers and addressing circumstances that may otherwise prompt intervention from child protection leading to child removal.</w:t>
      </w:r>
      <w:r w:rsidR="002E497C">
        <w:t xml:space="preserve"> </w:t>
      </w:r>
      <w:r w:rsidRPr="009862AD">
        <w:t xml:space="preserve"> </w:t>
      </w:r>
    </w:p>
    <w:p w14:paraId="24A06C5D" w14:textId="77777777" w:rsidR="007E2C6E" w:rsidRPr="009862AD" w:rsidRDefault="007E2C6E" w:rsidP="007E2C6E">
      <w:r w:rsidRPr="009862AD">
        <w:t>Some parents and carers mentioned using the time their child was in care to also take care of their own health through visiting the clinic during these hours.</w:t>
      </w:r>
    </w:p>
    <w:p w14:paraId="3969ED59" w14:textId="77777777" w:rsidR="007E2C6E" w:rsidRPr="008F3723" w:rsidRDefault="007E2C6E" w:rsidP="007E2C6E">
      <w:pPr>
        <w:pStyle w:val="Appendixhead3"/>
        <w:rPr>
          <w:rFonts w:eastAsiaTheme="majorEastAsia"/>
        </w:rPr>
      </w:pPr>
      <w:r w:rsidRPr="00D1606F">
        <w:rPr>
          <w:rFonts w:eastAsiaTheme="majorEastAsia"/>
        </w:rPr>
        <w:t>Drivers behind</w:t>
      </w:r>
      <w:r w:rsidRPr="008F3723">
        <w:rPr>
          <w:rFonts w:eastAsiaTheme="majorEastAsia"/>
        </w:rPr>
        <w:t xml:space="preserve"> use of CCCFR grant funded services </w:t>
      </w:r>
    </w:p>
    <w:p w14:paraId="2FC346B3" w14:textId="77777777" w:rsidR="007E2C6E" w:rsidRPr="009862AD" w:rsidRDefault="007E2C6E" w:rsidP="007E2C6E">
      <w:r w:rsidRPr="009862AD">
        <w:t>This section sets out the drivers identified by families and carers to using CCCFR grant funded services, including accessibility, affordability, the role of local educators, perceptions of ECEC and the government, and cultural and other drivers.</w:t>
      </w:r>
    </w:p>
    <w:p w14:paraId="717C12EC" w14:textId="77777777" w:rsidR="007E2C6E" w:rsidRPr="009862AD" w:rsidRDefault="007E2C6E" w:rsidP="007E2C6E">
      <w:r w:rsidRPr="009862AD">
        <w:t>All parents and carers interviewed knew families who had children that were of the appropriate age to use the service but were not doing so. As such, this section includes observations from families using services, on why other families in the community were not using them.</w:t>
      </w:r>
    </w:p>
    <w:p w14:paraId="3FEED607" w14:textId="7782BD83" w:rsidR="007E2C6E" w:rsidRPr="009862AD" w:rsidRDefault="007E2C6E" w:rsidP="007E2C6E">
      <w:r w:rsidRPr="009862AD">
        <w:lastRenderedPageBreak/>
        <w:t>When parents and carers were asked what might make a difference in getting more families to attend the services many had ideas for outreach. These included open days, radio advertisements, and community meetings. Parents and carers also understood that the services were often capacity constrained, recognising that most services didn’t necessarily have the staffing levels to support outreach. They were also aware of waitlist issues, and that families would feel let down if they were convinced by the value of child</w:t>
      </w:r>
      <w:r w:rsidR="009B094E">
        <w:t xml:space="preserve"> </w:t>
      </w:r>
      <w:r w:rsidRPr="009862AD">
        <w:t>care and then told there was no immediate space available for their child.</w:t>
      </w:r>
      <w:r w:rsidR="002E497C">
        <w:t xml:space="preserve"> </w:t>
      </w:r>
    </w:p>
    <w:p w14:paraId="4895B2C5" w14:textId="77777777" w:rsidR="007E2C6E" w:rsidRPr="009862AD" w:rsidRDefault="007E2C6E" w:rsidP="007E2C6E">
      <w:pPr>
        <w:pStyle w:val="Appendixhead4"/>
        <w:rPr>
          <w:rFonts w:eastAsiaTheme="majorEastAsia" w:cstheme="majorBidi"/>
          <w:b w:val="0"/>
        </w:rPr>
      </w:pPr>
      <w:r w:rsidRPr="009862AD">
        <w:rPr>
          <w:rFonts w:eastAsiaTheme="majorEastAsia"/>
        </w:rPr>
        <w:t>Accessibility</w:t>
      </w:r>
    </w:p>
    <w:p w14:paraId="31F7FC72" w14:textId="77777777" w:rsidR="007E2C6E" w:rsidRPr="009862AD" w:rsidRDefault="007E2C6E" w:rsidP="007E2C6E">
      <w:pPr>
        <w:pStyle w:val="Heading4un-numbered"/>
        <w:rPr>
          <w:b w:val="0"/>
        </w:rPr>
      </w:pPr>
      <w:r w:rsidRPr="009862AD">
        <w:t>Lack of a</w:t>
      </w:r>
      <w:r w:rsidRPr="00CD38C6">
        <w:t>lternative care options</w:t>
      </w:r>
    </w:p>
    <w:p w14:paraId="119C62D4" w14:textId="77777777" w:rsidR="007E2C6E" w:rsidRPr="009862AD" w:rsidRDefault="007E2C6E" w:rsidP="007E2C6E">
      <w:r w:rsidRPr="009862AD">
        <w:t xml:space="preserve">In larger remote communities where there were other services available, typically families were opting not to use these as they felt they couldn’t provide for their child’s cultural safety. </w:t>
      </w:r>
    </w:p>
    <w:p w14:paraId="37882872" w14:textId="77777777" w:rsidR="007E2C6E" w:rsidRPr="004F0BF8" w:rsidRDefault="007E2C6E" w:rsidP="007E2C6E">
      <w:pPr>
        <w:rPr>
          <w:color w:val="26890D"/>
        </w:rPr>
      </w:pPr>
      <w:r w:rsidRPr="004F0BF8">
        <w:rPr>
          <w:color w:val="26890D"/>
        </w:rPr>
        <w:t xml:space="preserve">“I put my child on the waitlist before they were born. Even though there are other service options in, I wouldn’t consider anywhere else.” - </w:t>
      </w:r>
      <w:r w:rsidRPr="004F0BF8">
        <w:rPr>
          <w:b/>
          <w:bCs/>
          <w:color w:val="26890D"/>
        </w:rPr>
        <w:t>mother</w:t>
      </w:r>
    </w:p>
    <w:p w14:paraId="7D84778D" w14:textId="77777777" w:rsidR="007E2C6E" w:rsidRPr="009862AD" w:rsidRDefault="007E2C6E" w:rsidP="007E2C6E">
      <w:r w:rsidRPr="009862AD">
        <w:t>However, for most families and carers, there were few alternative options.</w:t>
      </w:r>
    </w:p>
    <w:p w14:paraId="5DEB49C4" w14:textId="69414FE1" w:rsidR="007E2C6E" w:rsidRPr="009862AD" w:rsidRDefault="007E2C6E" w:rsidP="007E2C6E">
      <w:r w:rsidRPr="009862AD">
        <w:t>When asked why they chose the specific child</w:t>
      </w:r>
      <w:r w:rsidR="009B094E">
        <w:t xml:space="preserve"> </w:t>
      </w:r>
      <w:r w:rsidRPr="009862AD">
        <w:t xml:space="preserve">care service, typically the answer was that it was the only service in town. Where there was also a playgroup or (in the case of the Northern Territory) a Families as First Teachers (FaFT) program in the community, some families were opting to complement part time usage of the centre-based care with days at the playgroup and or FaFT. </w:t>
      </w:r>
    </w:p>
    <w:p w14:paraId="2679D3A0" w14:textId="77777777" w:rsidR="007E2C6E" w:rsidRPr="009862AD" w:rsidRDefault="007E2C6E" w:rsidP="007E2C6E">
      <w:r w:rsidRPr="009862AD">
        <w:t xml:space="preserve">Where there was a kindergarten or preschool available, families were typically choosing to send their child once they were of appropriate age, however this was not an option in many communities. </w:t>
      </w:r>
    </w:p>
    <w:p w14:paraId="2AB8586C" w14:textId="77777777" w:rsidR="007E2C6E" w:rsidRPr="009862AD" w:rsidRDefault="007E2C6E" w:rsidP="007E2C6E">
      <w:r w:rsidRPr="009862AD">
        <w:t xml:space="preserve">Some parents had used babysitters but found they were too unreliable to provide continuous care on the days it was needed, and often cancelled at short notice. </w:t>
      </w:r>
    </w:p>
    <w:p w14:paraId="7D250305" w14:textId="77777777" w:rsidR="007E2C6E" w:rsidRPr="009862AD" w:rsidRDefault="007E2C6E" w:rsidP="007E2C6E">
      <w:r w:rsidRPr="009862AD">
        <w:t xml:space="preserve">Most parents and carers said that there was no other appropriate adult in their family who could take care of their child in the absence of centre-based care. For some families they would be comfortable leaving their child with another family member for short periods. Others would not leave their child at all, as cited above, most parents and carers said they take time off work to care for their child when the centre is closed. </w:t>
      </w:r>
    </w:p>
    <w:p w14:paraId="0FF1C437" w14:textId="77777777" w:rsidR="007E2C6E" w:rsidRPr="009862AD" w:rsidRDefault="007E2C6E" w:rsidP="007E2C6E">
      <w:r w:rsidRPr="009862AD">
        <w:t xml:space="preserve">One senior interview (a grandfather and uncle to children in the service) spoke of the generational shift in care that had taken place in his community. When he was a young boy, before there was centre-based child care, his grandmother took care of him. He noted this doesn’t happen anymore. Those who might once have taken care of grandchildren are now very elderly and there is no next generation who has taken on this responsibility. </w:t>
      </w:r>
    </w:p>
    <w:p w14:paraId="49012CF3" w14:textId="77777777" w:rsidR="007E2C6E" w:rsidRPr="009862AD" w:rsidRDefault="007E2C6E" w:rsidP="007E2C6E">
      <w:r w:rsidRPr="009862AD">
        <w:t xml:space="preserve">In other communities grandparents were still providing the primary care for their grandchildren but spoke of their reliance on child care, especially if they had multiple children in their care and if they were elderly. </w:t>
      </w:r>
    </w:p>
    <w:p w14:paraId="4D263E3E" w14:textId="77777777" w:rsidR="007E2C6E" w:rsidRPr="009862AD" w:rsidRDefault="007E2C6E" w:rsidP="007E2C6E">
      <w:r w:rsidRPr="009862AD">
        <w:t>In one community where families were consulted there was also a bush kindergarten which was seen as a good alternative when the child care centre was closed, and they wished for greater opportunities for On Country outdoor learning through their centre-based care.</w:t>
      </w:r>
    </w:p>
    <w:p w14:paraId="4F2EB3CE" w14:textId="77777777" w:rsidR="007E2C6E" w:rsidRPr="009862AD" w:rsidRDefault="007E2C6E" w:rsidP="007E2C6E">
      <w:pPr>
        <w:pStyle w:val="Heading4un-numbered"/>
        <w:rPr>
          <w:b w:val="0"/>
        </w:rPr>
      </w:pPr>
      <w:r w:rsidRPr="009862AD">
        <w:t xml:space="preserve">Waitlists </w:t>
      </w:r>
    </w:p>
    <w:p w14:paraId="4DB4B329" w14:textId="77777777" w:rsidR="007E2C6E" w:rsidRPr="009862AD" w:rsidRDefault="007E2C6E" w:rsidP="007E2C6E">
      <w:r w:rsidRPr="009862AD">
        <w:t xml:space="preserve">In remote regions with relatively higher levels of employment and larger numbers of non-local families living in communities, waitlists were a common issue. Mothers in particular spoke of their frustration of not being able to return to full time employment or not being able to maintain their businesses. </w:t>
      </w:r>
    </w:p>
    <w:p w14:paraId="284A171E" w14:textId="77777777" w:rsidR="007E2C6E" w:rsidRPr="009862AD" w:rsidRDefault="007E2C6E" w:rsidP="007E2C6E">
      <w:r w:rsidRPr="009862AD">
        <w:t xml:space="preserve">Some local families spoke of the frustration that ‘whole of community’ solutions weren’t being explored, for example when a lack of space was restricting the capacity of a service, or that other buildings being underutilised in the region weren’t being repurposed in order to prioritise the opportunities for working families. </w:t>
      </w:r>
    </w:p>
    <w:p w14:paraId="3D65B0F7" w14:textId="77777777" w:rsidR="007E2C6E" w:rsidRPr="009862AD" w:rsidRDefault="007E2C6E" w:rsidP="007E2C6E">
      <w:r w:rsidRPr="009862AD">
        <w:lastRenderedPageBreak/>
        <w:t>In one remote community where there was a large non-local workforce, frustrations were vocalised over the waitlists and the perceived preference of non-local community members getting places due to their positions as essential workers in health, police, schools, etc., and the lack of transparency and communications in the bookings process [note: this was refuted by the service who said the only prioritisation given within the waitlist was for children under safety orders].</w:t>
      </w:r>
    </w:p>
    <w:p w14:paraId="0142D01F" w14:textId="2D826F41" w:rsidR="007E2C6E" w:rsidRPr="009862AD" w:rsidRDefault="007E2C6E" w:rsidP="007E2C6E">
      <w:pPr>
        <w:pStyle w:val="Heading4un-numbered"/>
        <w:rPr>
          <w:b w:val="0"/>
        </w:rPr>
      </w:pPr>
      <w:r w:rsidRPr="009862AD">
        <w:t>Transport to services</w:t>
      </w:r>
      <w:r w:rsidR="002E497C">
        <w:t xml:space="preserve"> </w:t>
      </w:r>
      <w:r w:rsidRPr="009862AD">
        <w:t xml:space="preserve"> </w:t>
      </w:r>
      <w:r w:rsidRPr="009862AD">
        <w:tab/>
      </w:r>
    </w:p>
    <w:p w14:paraId="7B36E74F" w14:textId="77777777" w:rsidR="007E2C6E" w:rsidRPr="009862AD" w:rsidRDefault="007E2C6E" w:rsidP="007E2C6E">
      <w:r w:rsidRPr="009862AD">
        <w:t xml:space="preserve">Most families and carers directly transported their children to the service, either walking if the community was small or by car if not. Some had drop-off sharing arrangements with other families with children in the service. Some community members felt that establishing a bus service (in services that didn’t have one) would increase the number of families participating in the service. </w:t>
      </w:r>
    </w:p>
    <w:p w14:paraId="0454CECB" w14:textId="229552C9" w:rsidR="007E2C6E" w:rsidRPr="009862AD" w:rsidRDefault="007E2C6E" w:rsidP="007E2C6E">
      <w:r w:rsidRPr="009862AD">
        <w:t>In after school care, the bus service was a non-negotiable for most parents and carers. In one community where the bus pick-up service was reduced from five days to three days, almost all parents and carers removed their children and found alternate care.</w:t>
      </w:r>
      <w:r w:rsidR="002E497C">
        <w:t xml:space="preserve"> </w:t>
      </w:r>
    </w:p>
    <w:p w14:paraId="448E01F6" w14:textId="77777777" w:rsidR="007E2C6E" w:rsidRPr="009862AD" w:rsidRDefault="007E2C6E" w:rsidP="007E2C6E">
      <w:pPr>
        <w:pStyle w:val="Heading4un-numbered"/>
        <w:rPr>
          <w:b w:val="0"/>
        </w:rPr>
      </w:pPr>
      <w:r w:rsidRPr="009862AD">
        <w:t xml:space="preserve">Service closures and opening hours </w:t>
      </w:r>
      <w:r w:rsidRPr="009862AD">
        <w:tab/>
      </w:r>
    </w:p>
    <w:p w14:paraId="16EE0765" w14:textId="67F2022F" w:rsidR="007E2C6E" w:rsidRPr="009862AD" w:rsidRDefault="007E2C6E" w:rsidP="007E2C6E">
      <w:pPr>
        <w:rPr>
          <w:b/>
          <w:bCs/>
        </w:rPr>
      </w:pPr>
      <w:r w:rsidRPr="009862AD">
        <w:t>In the smaller and more remote communities where service closures were more common, parents and carers spoke of their immense frustration that they were finding themselves having to use all of their sick leave and much of their annual leave to take care of their children in the event of closures. One family who moved to the community to take up roles in social services and employment support voiced that the frequent service closures are putting risk on the sustainability of their jobs and longevity in the community.</w:t>
      </w:r>
      <w:r w:rsidR="002E497C">
        <w:t xml:space="preserve"> </w:t>
      </w:r>
    </w:p>
    <w:p w14:paraId="449E7D0A" w14:textId="004C6BF7" w:rsidR="007E2C6E" w:rsidRPr="009862AD" w:rsidRDefault="007E2C6E" w:rsidP="007E2C6E">
      <w:pPr>
        <w:spacing w:after="0"/>
      </w:pPr>
      <w:r w:rsidRPr="009862AD">
        <w:t>Parents and carers understood the cause of the issue was staff absences, and there were differing views as to how much the service directors themselves could influence this. Some observed that there was a relationship between staff attendance and the continuity of service directors (who typically came from outside community). Others recognised that given multiple members of a single family were often employed at a service, that this compounded the impacts of Sorry Business or community unrest on staff levels.</w:t>
      </w:r>
      <w:r w:rsidR="002E497C">
        <w:t xml:space="preserve">  </w:t>
      </w:r>
      <w:r w:rsidRPr="009862AD">
        <w:t xml:space="preserve"> </w:t>
      </w:r>
    </w:p>
    <w:p w14:paraId="0F2FD030" w14:textId="77777777" w:rsidR="007E2C6E" w:rsidRPr="009862AD" w:rsidRDefault="007E2C6E" w:rsidP="007E2C6E">
      <w:pPr>
        <w:spacing w:after="0"/>
      </w:pPr>
    </w:p>
    <w:p w14:paraId="385275F7" w14:textId="56B81EAC" w:rsidR="007E2C6E" w:rsidRPr="009862AD" w:rsidRDefault="007E2C6E" w:rsidP="007E2C6E">
      <w:pPr>
        <w:spacing w:after="0"/>
      </w:pPr>
      <w:r w:rsidRPr="009862AD">
        <w:t>Some parents and carers also voiced their frustration at the lack of communication around intermittent service closures: “They could send us an email or text, instead of arriving at the centre and seeing closed doors. One mum walks here with a pram, reaches the service and then finds it closed.”</w:t>
      </w:r>
      <w:r w:rsidR="002E497C">
        <w:t xml:space="preserve"> </w:t>
      </w:r>
    </w:p>
    <w:p w14:paraId="4E8444DE" w14:textId="77777777" w:rsidR="007E2C6E" w:rsidRPr="009862AD" w:rsidRDefault="007E2C6E" w:rsidP="007E2C6E">
      <w:pPr>
        <w:spacing w:after="0"/>
      </w:pPr>
    </w:p>
    <w:p w14:paraId="4352E512" w14:textId="1AFDB339" w:rsidR="007E2C6E" w:rsidRPr="009862AD" w:rsidRDefault="007E2C6E" w:rsidP="007E2C6E">
      <w:pPr>
        <w:rPr>
          <w:b/>
          <w:bCs/>
        </w:rPr>
      </w:pPr>
      <w:r w:rsidRPr="009862AD">
        <w:t>In some regions, parents and carers also spoke of the knock-on effect of service closures on the wider community, limiting the delivery of other essential services: “We have lots of schoolteachers kids here so [if the service closes] they have to close a classroom, or the police station, or the doctors and nurses.”</w:t>
      </w:r>
      <w:r w:rsidR="002E497C">
        <w:t xml:space="preserve"> </w:t>
      </w:r>
      <w:r w:rsidRPr="009862AD">
        <w:t>Parents and carers also spoke of the concerns of future essential positions in the community being filled given the inconsistent child</w:t>
      </w:r>
      <w:r w:rsidR="009B094E">
        <w:t xml:space="preserve"> </w:t>
      </w:r>
      <w:r w:rsidRPr="009862AD">
        <w:t>care delivery: “some teachers with three kids are supposed to be coming next year to the school but maybe they won’t come they will be deterred.”</w:t>
      </w:r>
    </w:p>
    <w:p w14:paraId="5E2AB702" w14:textId="257760D1" w:rsidR="007E2C6E" w:rsidRPr="009862AD" w:rsidRDefault="007E2C6E" w:rsidP="007E2C6E">
      <w:pPr>
        <w:rPr>
          <w:b/>
          <w:bCs/>
        </w:rPr>
      </w:pPr>
      <w:r w:rsidRPr="009862AD">
        <w:t>Where parents and carers spoke of a desire for longer opening hours (earlier starts or later finishes) this was typically in services offering fewer than 8hrs. Within services running shorter days, it was generally the minority of parents and carers (namely, couples where both parties were in full time, frontline facing roles) who spoke of their desires for increased hours.</w:t>
      </w:r>
      <w:r w:rsidR="002E497C">
        <w:t xml:space="preserve"> </w:t>
      </w:r>
    </w:p>
    <w:p w14:paraId="27BBAEE8" w14:textId="169879B0" w:rsidR="007E2C6E" w:rsidRPr="00682D6E" w:rsidRDefault="007E2C6E" w:rsidP="007E2C6E">
      <w:pPr>
        <w:pStyle w:val="Heading4un-numbered"/>
      </w:pPr>
      <w:r w:rsidRPr="009862AD">
        <w:t>Absence</w:t>
      </w:r>
      <w:r w:rsidRPr="00682D6E">
        <w:t xml:space="preserve"> of services in neighbouring communities</w:t>
      </w:r>
      <w:r w:rsidR="00B829DF" w:rsidRPr="00682D6E">
        <w:br/>
      </w:r>
    </w:p>
    <w:p w14:paraId="6631B253" w14:textId="34F0A81D" w:rsidR="007E2C6E" w:rsidRPr="004F0BF8" w:rsidRDefault="007E2C6E" w:rsidP="007E2C6E">
      <w:pPr>
        <w:rPr>
          <w:color w:val="26890D"/>
        </w:rPr>
      </w:pPr>
      <w:r w:rsidRPr="004F0BF8">
        <w:rPr>
          <w:color w:val="26890D"/>
        </w:rPr>
        <w:t>“People are coming over in a dingy. [Redacted] island used to have one. [Redacted] are begging for one [a child</w:t>
      </w:r>
      <w:r w:rsidR="009B094E" w:rsidRPr="004F0BF8">
        <w:rPr>
          <w:color w:val="26890D"/>
        </w:rPr>
        <w:t xml:space="preserve"> </w:t>
      </w:r>
      <w:r w:rsidRPr="004F0BF8">
        <w:rPr>
          <w:color w:val="26890D"/>
        </w:rPr>
        <w:t xml:space="preserve">care service] – there is a massive need” – </w:t>
      </w:r>
      <w:r w:rsidRPr="004F0BF8">
        <w:rPr>
          <w:b/>
          <w:bCs/>
          <w:color w:val="26890D"/>
        </w:rPr>
        <w:t xml:space="preserve">mother </w:t>
      </w:r>
    </w:p>
    <w:p w14:paraId="1B931543" w14:textId="0F6E3A74" w:rsidR="007E2C6E" w:rsidRPr="009862AD" w:rsidRDefault="007E2C6E" w:rsidP="007E2C6E">
      <w:r w:rsidRPr="009862AD">
        <w:t>Some parents and carers spoke of neighbouring communities that only had intermittent access to the service due to weather (e.g., floods in wet seasons cutting off road access, high winds on seas during cyclone season cutting off boat access). They felt that in order to provide sustainable child</w:t>
      </w:r>
      <w:r w:rsidR="009B094E">
        <w:t xml:space="preserve"> </w:t>
      </w:r>
      <w:r w:rsidRPr="009862AD">
        <w:t>care to these neighbouring regions, that additional centres should be established where access was not subject to weather conditions.</w:t>
      </w:r>
    </w:p>
    <w:p w14:paraId="74A36F86" w14:textId="77777777" w:rsidR="007E2C6E" w:rsidRPr="009862AD" w:rsidRDefault="007E2C6E" w:rsidP="007E2C6E">
      <w:pPr>
        <w:pStyle w:val="Appendixhead4"/>
        <w:rPr>
          <w:rFonts w:eastAsiaTheme="majorEastAsia" w:cstheme="majorBidi"/>
          <w:b w:val="0"/>
        </w:rPr>
      </w:pPr>
      <w:r w:rsidRPr="009862AD">
        <w:rPr>
          <w:rFonts w:eastAsiaTheme="majorEastAsia"/>
        </w:rPr>
        <w:lastRenderedPageBreak/>
        <w:t>Affordability</w:t>
      </w:r>
    </w:p>
    <w:p w14:paraId="3CFA4CC2" w14:textId="7EDC2617" w:rsidR="007E2C6E" w:rsidRPr="009862AD" w:rsidRDefault="007E2C6E" w:rsidP="007E2C6E">
      <w:pPr>
        <w:pStyle w:val="Heading4un-numbered"/>
        <w:rPr>
          <w:b w:val="0"/>
        </w:rPr>
      </w:pPr>
      <w:r w:rsidRPr="009862AD">
        <w:t>Fees</w:t>
      </w:r>
    </w:p>
    <w:p w14:paraId="695F89A9" w14:textId="77777777" w:rsidR="007E2C6E" w:rsidRPr="009862AD" w:rsidRDefault="007E2C6E" w:rsidP="007E2C6E">
      <w:r w:rsidRPr="009862AD">
        <w:t>Most parents with children attending a service said that the fees were reasonable, and this was relatively consistent across services that charged higher or lower fees. Some charged as little as $60 a fortnight, some charged as much as $130 per day. Very few spoke of having difficulty paying their fees or of being in debt. This finding should, however, be understood in the context of information provided by the services in terms of paying fees. Many spoke of families accruing debts and others agreeing to pay fees, but without the intention of doing so. Given the shame attached to poverty and debt, it wasn’t unexpected that families chose not to discuss the challenges around fees in the interviews.</w:t>
      </w:r>
    </w:p>
    <w:p w14:paraId="11311AC6" w14:textId="77777777" w:rsidR="007E2C6E" w:rsidRPr="009862AD" w:rsidRDefault="007E2C6E" w:rsidP="007E2C6E">
      <w:r w:rsidRPr="009862AD">
        <w:t>For parents and carers who were ineligible for CSS due to visa/citizenship reasons, most still saw the fees as good value given their knowledge of fees in metropolitan regions. Some parents expressed frustration that they needed to enrol their child in full time care in order to secure a place (and pay for full time care), when they were opting to only have the child attend part time.</w:t>
      </w:r>
    </w:p>
    <w:p w14:paraId="23DCD381" w14:textId="77777777" w:rsidR="007E2C6E" w:rsidRPr="009862AD" w:rsidRDefault="007E2C6E" w:rsidP="007E2C6E">
      <w:r w:rsidRPr="009862AD">
        <w:t xml:space="preserve">Other parents spoke of frustration where fees had been substantively increased and they felt they hadn’t been notified sufficiently in advance: “I was sick when I got my fees. A kick in the guts. Lots of families with big bills did not know the fees were going up. Went up $30 to $100.” </w:t>
      </w:r>
    </w:p>
    <w:p w14:paraId="69AAD0D4" w14:textId="77777777" w:rsidR="007E2C6E" w:rsidRPr="009862AD" w:rsidRDefault="007E2C6E" w:rsidP="007E2C6E">
      <w:r w:rsidRPr="009862AD">
        <w:t>Several parents and carers cited fees as a reason for why families may be opting not to use the service, while they themselves did not believe the fees to be prohibitive. Some acknowledged that the fees, even when CCS was in place, would be prohibitive for some families, especially for those only in part time employment or those receiving Centrelink. One parent spoke of two families she knew in the community who had withdrawn their children from care due to the increased costs when fees went up.</w:t>
      </w:r>
    </w:p>
    <w:p w14:paraId="591A5478" w14:textId="77777777" w:rsidR="007E2C6E" w:rsidRPr="00682D6E" w:rsidRDefault="007E2C6E" w:rsidP="007E2C6E">
      <w:pPr>
        <w:pStyle w:val="Heading4un-numbered"/>
      </w:pPr>
      <w:r w:rsidRPr="009862AD">
        <w:t>C</w:t>
      </w:r>
      <w:r w:rsidRPr="00682D6E">
        <w:t xml:space="preserve">hild Care Subsidy scheme </w:t>
      </w:r>
    </w:p>
    <w:p w14:paraId="6227584F" w14:textId="77777777" w:rsidR="007E2C6E" w:rsidRPr="004F0BF8" w:rsidRDefault="007E2C6E" w:rsidP="007E2C6E">
      <w:pPr>
        <w:rPr>
          <w:color w:val="26890D"/>
        </w:rPr>
      </w:pPr>
      <w:r w:rsidRPr="004F0BF8">
        <w:rPr>
          <w:color w:val="26890D"/>
        </w:rPr>
        <w:t xml:space="preserve">“It was a nightmare, so much stress and confusion” – </w:t>
      </w:r>
      <w:r w:rsidRPr="004F0BF8">
        <w:rPr>
          <w:b/>
          <w:color w:val="26890D"/>
        </w:rPr>
        <w:t xml:space="preserve">grandmother and </w:t>
      </w:r>
      <w:r w:rsidRPr="004F0BF8">
        <w:rPr>
          <w:b/>
          <w:bCs/>
          <w:color w:val="26890D"/>
        </w:rPr>
        <w:t>kinship</w:t>
      </w:r>
      <w:r w:rsidRPr="004F0BF8">
        <w:rPr>
          <w:b/>
          <w:color w:val="26890D"/>
        </w:rPr>
        <w:t xml:space="preserve"> carer</w:t>
      </w:r>
      <w:r w:rsidRPr="004F0BF8">
        <w:rPr>
          <w:color w:val="26890D"/>
        </w:rPr>
        <w:t xml:space="preserve"> </w:t>
      </w:r>
    </w:p>
    <w:p w14:paraId="1A73AAF0" w14:textId="77777777" w:rsidR="007E2C6E" w:rsidRPr="004F0BF8" w:rsidRDefault="007E2C6E" w:rsidP="007E2C6E">
      <w:pPr>
        <w:rPr>
          <w:color w:val="26890D"/>
        </w:rPr>
      </w:pPr>
      <w:r w:rsidRPr="004F0BF8">
        <w:rPr>
          <w:color w:val="26890D"/>
        </w:rPr>
        <w:t xml:space="preserve">“My debt was running into the thousands because my child started in November, but CCS didn’t kick in until February.” - </w:t>
      </w:r>
      <w:r w:rsidRPr="004F0BF8">
        <w:rPr>
          <w:b/>
          <w:bCs/>
          <w:color w:val="26890D"/>
        </w:rPr>
        <w:t>mother</w:t>
      </w:r>
    </w:p>
    <w:p w14:paraId="627183AA" w14:textId="77777777" w:rsidR="007E2C6E" w:rsidRPr="004F0BF8" w:rsidRDefault="007E2C6E" w:rsidP="007E2C6E">
      <w:pPr>
        <w:rPr>
          <w:color w:val="26890D"/>
        </w:rPr>
      </w:pPr>
      <w:r w:rsidRPr="004F0BF8">
        <w:rPr>
          <w:color w:val="26890D"/>
        </w:rPr>
        <w:t>“Centrelink eventually backpays you but it doesn’t stop you from panicking and being stressed. I remember standing out the front of the centre saying</w:t>
      </w:r>
      <w:r w:rsidRPr="004F0BF8">
        <w:rPr>
          <w:i/>
          <w:iCs/>
          <w:color w:val="26890D"/>
        </w:rPr>
        <w:t>, I don’t want to call Centrelink…they won’t even take my call</w:t>
      </w:r>
      <w:r w:rsidRPr="004F0BF8">
        <w:rPr>
          <w:color w:val="26890D"/>
        </w:rPr>
        <w:t xml:space="preserve">”. - </w:t>
      </w:r>
      <w:r w:rsidRPr="004F0BF8">
        <w:rPr>
          <w:b/>
          <w:bCs/>
          <w:color w:val="26890D"/>
        </w:rPr>
        <w:t>mother</w:t>
      </w:r>
    </w:p>
    <w:p w14:paraId="37D4FFBA" w14:textId="12C5266C" w:rsidR="007E2C6E" w:rsidRPr="009862AD" w:rsidRDefault="007E2C6E" w:rsidP="007E2C6E">
      <w:r w:rsidRPr="009862AD">
        <w:t>Not all parents who were eligible for CCS were choosing to utilise it. While parents and carers didn’t cite specific reasons for why they declined to enrol in the scheme, we understand from the services that within communities where there is lower uptake of CCS, there is an expectation that child</w:t>
      </w:r>
      <w:r w:rsidR="009B094E">
        <w:t xml:space="preserve"> </w:t>
      </w:r>
      <w:r w:rsidRPr="009862AD">
        <w:t xml:space="preserve">care is free, so many families were declining to pay the fees. </w:t>
      </w:r>
    </w:p>
    <w:p w14:paraId="01635CCA" w14:textId="3F2C6017" w:rsidR="007E2C6E" w:rsidRPr="004F0BF8" w:rsidRDefault="007E2C6E" w:rsidP="007E2C6E">
      <w:pPr>
        <w:rPr>
          <w:color w:val="26890D"/>
        </w:rPr>
      </w:pPr>
      <w:r w:rsidRPr="004F0BF8">
        <w:rPr>
          <w:color w:val="26890D"/>
        </w:rPr>
        <w:t>“As a parent I struggle – we have Centrelink it makes a difference, we still paying big fees. The fees are too high. My CCS 61</w:t>
      </w:r>
      <w:r w:rsidR="00D97EF8" w:rsidRPr="00D97EF8">
        <w:t xml:space="preserve"> </w:t>
      </w:r>
      <w:r w:rsidR="00D97EF8" w:rsidRPr="004F0BF8">
        <w:rPr>
          <w:color w:val="26890D"/>
        </w:rPr>
        <w:t>per cent</w:t>
      </w:r>
      <w:r w:rsidRPr="004F0BF8">
        <w:rPr>
          <w:color w:val="26890D"/>
        </w:rPr>
        <w:t xml:space="preserve"> but I still pay full amount ...have to get work to deduct it before they pay me…the fee is really high. I am in arrears, but they are happy to support me and my husband…” - </w:t>
      </w:r>
      <w:r w:rsidRPr="004F0BF8">
        <w:rPr>
          <w:b/>
          <w:bCs/>
          <w:color w:val="26890D"/>
        </w:rPr>
        <w:t>mother</w:t>
      </w:r>
    </w:p>
    <w:p w14:paraId="5BEB592B" w14:textId="30DCA1CC" w:rsidR="007E2C6E" w:rsidRPr="009862AD" w:rsidRDefault="007E2C6E" w:rsidP="007E2C6E">
      <w:r w:rsidRPr="009862AD">
        <w:t>For those who elected to use CCS, many voiced their appreciation of the impact that it had on their overall fees. However, amongst the appreciation was clear frustration in terms of getting access to the scheme. People spoke of excessively long wait times on the phone of multiple hours, of information being incorrectly captured by the Centrelink staff, of poor communications, mistakes in payments, and complex and difficult forms.</w:t>
      </w:r>
      <w:r w:rsidR="002E497C">
        <w:t xml:space="preserve"> </w:t>
      </w:r>
    </w:p>
    <w:p w14:paraId="6EC8B1C4" w14:textId="305FAC24" w:rsidR="007E2C6E" w:rsidRPr="009862AD" w:rsidRDefault="007E2C6E" w:rsidP="007E2C6E">
      <w:r w:rsidRPr="009862AD">
        <w:t>Many parents and carers praised the child</w:t>
      </w:r>
      <w:r w:rsidR="009B094E">
        <w:t xml:space="preserve"> </w:t>
      </w:r>
      <w:r w:rsidRPr="009862AD">
        <w:t xml:space="preserve">care centre staff for supporting them in their applications to receive CCS. </w:t>
      </w:r>
    </w:p>
    <w:p w14:paraId="2458AE21" w14:textId="60880922" w:rsidR="007E2C6E" w:rsidRPr="009862AD" w:rsidRDefault="007E2C6E" w:rsidP="007E2C6E">
      <w:r w:rsidRPr="009862AD">
        <w:t xml:space="preserve">One local parent who had good digital literacy and good awareness of business systems (she ran her own online company) spoke of the fact that it was only through the support of a family member and a staff member that she was able to complete the process. She also understood that most local families would be accessing MyGov on their phone rather than through a laptop or PC (which they typically didn’t have access too) which would add extra pressure. She also noted the </w:t>
      </w:r>
      <w:r w:rsidRPr="009862AD">
        <w:lastRenderedPageBreak/>
        <w:t>lack of reliable internet in the community would be a barrier – she herself was spending $600 each month in order to subscribe to multiple I</w:t>
      </w:r>
      <w:r w:rsidR="00D1000E">
        <w:t xml:space="preserve">nternet </w:t>
      </w:r>
      <w:r w:rsidRPr="009862AD">
        <w:t>S</w:t>
      </w:r>
      <w:r w:rsidR="00D1000E">
        <w:t xml:space="preserve">ervice </w:t>
      </w:r>
      <w:r w:rsidRPr="009862AD">
        <w:t>P</w:t>
      </w:r>
      <w:r w:rsidR="00D1000E">
        <w:t>rovider</w:t>
      </w:r>
      <w:r w:rsidRPr="009862AD">
        <w:t>s (phone and satellite) in order to maintain her online business.</w:t>
      </w:r>
      <w:r w:rsidR="002E497C">
        <w:t xml:space="preserve"> </w:t>
      </w:r>
    </w:p>
    <w:p w14:paraId="791D00A0" w14:textId="5513E792" w:rsidR="007E2C6E" w:rsidRPr="009862AD" w:rsidRDefault="007E2C6E" w:rsidP="007E2C6E">
      <w:r w:rsidRPr="009862AD">
        <w:t>For some families, there were additional hurdles to overcome in the access of CCS such as a lack of birth certificate and Medicare card, which would be further complicated if the child was in the care of an auntie or grandparent. Families spoke however of the support that services provided additionally in helping to resolve these identity documents in order to access CCS.</w:t>
      </w:r>
      <w:r w:rsidR="002E497C">
        <w:t xml:space="preserve"> </w:t>
      </w:r>
    </w:p>
    <w:p w14:paraId="68ADF5C1" w14:textId="21C9E3B0" w:rsidR="007E2C6E" w:rsidRPr="004F0BF8" w:rsidRDefault="007E2C6E" w:rsidP="007E2C6E">
      <w:pPr>
        <w:rPr>
          <w:b/>
          <w:bCs/>
          <w:color w:val="26890D"/>
        </w:rPr>
      </w:pPr>
      <w:r w:rsidRPr="004F0BF8">
        <w:rPr>
          <w:color w:val="26890D"/>
        </w:rPr>
        <w:t>“it’s a nightmare. So complex, so many barriers.</w:t>
      </w:r>
      <w:r w:rsidR="002E497C" w:rsidRPr="004F0BF8">
        <w:rPr>
          <w:color w:val="26890D"/>
        </w:rPr>
        <w:t xml:space="preserve"> </w:t>
      </w:r>
      <w:r w:rsidRPr="004F0BF8">
        <w:rPr>
          <w:color w:val="26890D"/>
        </w:rPr>
        <w:t>The forms don’t get processed in time which puts pressure on families to pay full price. My sister had to go back to work early as they couldn’t afford to pay for that gap in the child</w:t>
      </w:r>
      <w:r w:rsidR="009B094E" w:rsidRPr="004F0BF8">
        <w:rPr>
          <w:color w:val="26890D"/>
        </w:rPr>
        <w:t xml:space="preserve"> </w:t>
      </w:r>
      <w:r w:rsidRPr="004F0BF8">
        <w:rPr>
          <w:color w:val="26890D"/>
        </w:rPr>
        <w:t>care needs and the processing time.”</w:t>
      </w:r>
      <w:r w:rsidR="002E497C" w:rsidRPr="004F0BF8">
        <w:rPr>
          <w:color w:val="26890D"/>
        </w:rPr>
        <w:t xml:space="preserve"> </w:t>
      </w:r>
      <w:r w:rsidRPr="004F0BF8">
        <w:rPr>
          <w:color w:val="26890D"/>
        </w:rPr>
        <w:t xml:space="preserve">- </w:t>
      </w:r>
      <w:r w:rsidRPr="004F0BF8">
        <w:rPr>
          <w:b/>
          <w:bCs/>
          <w:color w:val="26890D"/>
        </w:rPr>
        <w:t>mother</w:t>
      </w:r>
    </w:p>
    <w:p w14:paraId="74B9E239" w14:textId="3AE3C083" w:rsidR="007E2C6E" w:rsidRPr="009862AD" w:rsidRDefault="007E2C6E" w:rsidP="007E2C6E">
      <w:r w:rsidRPr="009862AD">
        <w:t>Grandparents also talked about the additional load of being the carer for often multiple children at once and found that the systems were not set up to support them and that the cultural role of grandmothers in growing children wasn’t understood or respected (this observation extended beyond just CCS).</w:t>
      </w:r>
      <w:r w:rsidR="002E497C">
        <w:t xml:space="preserve"> </w:t>
      </w:r>
      <w:r w:rsidRPr="009862AD">
        <w:t xml:space="preserve"> </w:t>
      </w:r>
    </w:p>
    <w:p w14:paraId="1A28A13E" w14:textId="6656C3D1" w:rsidR="007E2C6E" w:rsidRPr="009862AD" w:rsidRDefault="007E2C6E" w:rsidP="007E2C6E">
      <w:r w:rsidRPr="009862AD">
        <w:t>Some community members suggested that other families did not use the service because of the perception of the fees and a lack of understanding or lack of willingness to engage with Centrelink to receive the CCS. This was seen as the issue, rather than the cost. Many felt that this issue, where it was a case of perception, could be addressed with better outreach by services.</w:t>
      </w:r>
      <w:r w:rsidR="002E497C">
        <w:t xml:space="preserve"> </w:t>
      </w:r>
      <w:r w:rsidRPr="009862AD">
        <w:t xml:space="preserve"> </w:t>
      </w:r>
    </w:p>
    <w:p w14:paraId="23BE76CE" w14:textId="70C4674F" w:rsidR="007E2C6E" w:rsidRPr="009862AD" w:rsidRDefault="007E2C6E" w:rsidP="007E2C6E">
      <w:r w:rsidRPr="009862AD">
        <w:t>One family who were being supported by the service but whose child wasn’t able to be enrolled spoke of the systemic complexity of getting access to CCS and the often-conflicting advice between Medicare and Centrelink. Their two-year-old child hadn’t been able to get a birth certificate because of the backlog at Births, Deaths and Marriages. Without the birth certificate, the child also couldn’t get immunised, which was also required to get CCS.</w:t>
      </w:r>
      <w:r w:rsidR="002E497C">
        <w:t xml:space="preserve"> </w:t>
      </w:r>
    </w:p>
    <w:p w14:paraId="5CE087EA" w14:textId="77777777" w:rsidR="007E2C6E" w:rsidRPr="00682D6E" w:rsidRDefault="007E2C6E" w:rsidP="007E2C6E">
      <w:pPr>
        <w:pStyle w:val="Appendixhead4"/>
        <w:rPr>
          <w:rFonts w:eastAsiaTheme="majorEastAsia" w:cstheme="majorBidi"/>
        </w:rPr>
      </w:pPr>
      <w:r w:rsidRPr="009862AD">
        <w:rPr>
          <w:rFonts w:eastAsiaTheme="majorEastAsia"/>
        </w:rPr>
        <w:t xml:space="preserve">Trust </w:t>
      </w:r>
      <w:r w:rsidRPr="00682D6E">
        <w:rPr>
          <w:rFonts w:eastAsiaTheme="majorEastAsia" w:cstheme="majorBidi"/>
        </w:rPr>
        <w:t>and confidence in local educators</w:t>
      </w:r>
    </w:p>
    <w:p w14:paraId="2CCAF600" w14:textId="77777777" w:rsidR="007E2C6E" w:rsidRPr="009862AD" w:rsidRDefault="007E2C6E" w:rsidP="007E2C6E">
      <w:pPr>
        <w:rPr>
          <w:color w:val="86BC25" w:themeColor="accent1"/>
        </w:rPr>
      </w:pPr>
      <w:r w:rsidRPr="004F0BF8">
        <w:rPr>
          <w:color w:val="26890D"/>
        </w:rPr>
        <w:t>“It is an extension of the kinship care system that our communities have sustained for 65,000 years.” –</w:t>
      </w:r>
      <w:r w:rsidRPr="004F0BF8">
        <w:rPr>
          <w:b/>
          <w:bCs/>
          <w:color w:val="26890D"/>
        </w:rPr>
        <w:t xml:space="preserve"> mother</w:t>
      </w:r>
      <w:r w:rsidRPr="004F0BF8">
        <w:rPr>
          <w:color w:val="26890D"/>
        </w:rPr>
        <w:br/>
      </w:r>
      <w:r w:rsidRPr="009862AD">
        <w:br/>
        <w:t>Many parents and carers cited the fact that the educators were all local women from the community, often family, meant that they could feel confident leaving their children while they were at work or engaged in other activities.</w:t>
      </w:r>
    </w:p>
    <w:p w14:paraId="014C1740" w14:textId="77777777" w:rsidR="007E2C6E" w:rsidRPr="009862AD" w:rsidRDefault="007E2C6E" w:rsidP="007E2C6E">
      <w:r w:rsidRPr="009862AD">
        <w:t xml:space="preserve">Parents and carers spoke of respect for the educators and of feeling respected. </w:t>
      </w:r>
    </w:p>
    <w:p w14:paraId="5F249D08" w14:textId="77777777" w:rsidR="007E2C6E" w:rsidRPr="004F0BF8" w:rsidRDefault="007E2C6E" w:rsidP="007E2C6E">
      <w:pPr>
        <w:rPr>
          <w:color w:val="26890D"/>
        </w:rPr>
      </w:pPr>
      <w:r w:rsidRPr="004F0BF8">
        <w:rPr>
          <w:color w:val="26890D"/>
        </w:rPr>
        <w:t xml:space="preserve">“Because staff are Indigenous, I feel safer bringing my kids here. They go the extra mile” – </w:t>
      </w:r>
      <w:r w:rsidRPr="004F0BF8">
        <w:rPr>
          <w:b/>
          <w:bCs/>
          <w:color w:val="26890D"/>
        </w:rPr>
        <w:t xml:space="preserve">mother </w:t>
      </w:r>
    </w:p>
    <w:p w14:paraId="1AA9313F" w14:textId="77777777" w:rsidR="007E2C6E" w:rsidRPr="009862AD" w:rsidRDefault="007E2C6E" w:rsidP="007E2C6E">
      <w:r w:rsidRPr="009862AD">
        <w:t>The reflection that the educators would go above and beyond for their children and that the educators could provide not only the knowledge and resources to grow up their children, but the same amount of love and nurture that they would get at home. Examples of going out of their way to cater for individual children’s needs were noted, such as making an extra trip to pick up a child in the morning who needed a lift so they wouldn’t miss out on the day.</w:t>
      </w:r>
    </w:p>
    <w:p w14:paraId="67D30E0F" w14:textId="77777777" w:rsidR="007E2C6E" w:rsidRPr="009862AD" w:rsidRDefault="007E2C6E" w:rsidP="007E2C6E">
      <w:r w:rsidRPr="004F0BF8">
        <w:rPr>
          <w:color w:val="26890D"/>
        </w:rPr>
        <w:t xml:space="preserve">“It’s nice to see our own people running the service” – </w:t>
      </w:r>
      <w:r w:rsidRPr="004F0BF8">
        <w:rPr>
          <w:b/>
          <w:bCs/>
          <w:color w:val="26890D"/>
        </w:rPr>
        <w:t>kinship carer</w:t>
      </w:r>
    </w:p>
    <w:p w14:paraId="26CF3CED" w14:textId="77777777" w:rsidR="007E2C6E" w:rsidRPr="009862AD" w:rsidRDefault="007E2C6E" w:rsidP="007E2C6E">
      <w:r w:rsidRPr="009862AD">
        <w:t xml:space="preserve">Families also spoke of the fact that because the educators were from the same community, they knew how to bring up their kids “the right way” – understanding the relevant cultural norms and practices that were important to foster in the early years of a child’s life in that community. </w:t>
      </w:r>
    </w:p>
    <w:p w14:paraId="77612404" w14:textId="77777777" w:rsidR="007E2C6E" w:rsidRPr="00005AC5" w:rsidRDefault="007E2C6E" w:rsidP="007E2C6E">
      <w:pPr>
        <w:rPr>
          <w:color w:val="26890D"/>
        </w:rPr>
      </w:pPr>
      <w:r w:rsidRPr="00005AC5">
        <w:rPr>
          <w:color w:val="26890D"/>
        </w:rPr>
        <w:t xml:space="preserve">“The service’s values are in the right place: they are not-for-profit, so they aren’t obsessed with making money. They care about the holistic wellbeing of the family. This makes me confident that my child will be cared for and not treated as just another ticket or person coming in the door.” – </w:t>
      </w:r>
      <w:r w:rsidRPr="00005AC5">
        <w:rPr>
          <w:b/>
          <w:bCs/>
          <w:color w:val="26890D"/>
        </w:rPr>
        <w:t xml:space="preserve">mother </w:t>
      </w:r>
    </w:p>
    <w:p w14:paraId="64AF9813" w14:textId="33149EAD" w:rsidR="007E2C6E" w:rsidRPr="00682D6E" w:rsidRDefault="007E2C6E" w:rsidP="007E2C6E">
      <w:pPr>
        <w:pStyle w:val="Appendixhead4"/>
        <w:rPr>
          <w:rFonts w:eastAsiaTheme="majorEastAsia" w:cstheme="majorBidi"/>
        </w:rPr>
      </w:pPr>
      <w:r w:rsidRPr="009862AD">
        <w:rPr>
          <w:rFonts w:eastAsiaTheme="majorEastAsia"/>
        </w:rPr>
        <w:lastRenderedPageBreak/>
        <w:t>Perceptions</w:t>
      </w:r>
      <w:r w:rsidRPr="00682D6E">
        <w:rPr>
          <w:rFonts w:eastAsiaTheme="majorEastAsia" w:cstheme="majorBidi"/>
        </w:rPr>
        <w:t xml:space="preserve"> and understanding of ECEC and the government</w:t>
      </w:r>
    </w:p>
    <w:p w14:paraId="3F69FD06" w14:textId="77777777" w:rsidR="007E2C6E" w:rsidRPr="009862AD" w:rsidRDefault="007E2C6E" w:rsidP="007E2C6E">
      <w:r w:rsidRPr="009862AD">
        <w:t xml:space="preserve">One parent when asked why families would not use the service said that some families felt the service was not safe and they were too shy to come and explore it. She herself spoke of her own process where she came and sat with her baby at the service for many months before she felt comfortable to enrol her child at the service and leave her. </w:t>
      </w:r>
    </w:p>
    <w:p w14:paraId="601CAD23" w14:textId="7D0E445A" w:rsidR="007E2C6E" w:rsidRPr="009862AD" w:rsidRDefault="007E2C6E" w:rsidP="007E2C6E">
      <w:r w:rsidRPr="009862AD">
        <w:t>Some community members cited a lack of experience with or exposure to child</w:t>
      </w:r>
      <w:r w:rsidR="009B094E">
        <w:t xml:space="preserve"> </w:t>
      </w:r>
      <w:r w:rsidRPr="009862AD">
        <w:t>care leading to a gap in understanding of the value of child</w:t>
      </w:r>
      <w:r w:rsidR="009B094E">
        <w:t xml:space="preserve"> </w:t>
      </w:r>
      <w:r w:rsidRPr="009862AD">
        <w:t>care as a pre-requisite to a successful school transition. It was noted that older parents tended to use child</w:t>
      </w:r>
      <w:r w:rsidR="009B094E">
        <w:t xml:space="preserve"> </w:t>
      </w:r>
      <w:r w:rsidRPr="009862AD">
        <w:t>care more than young and less experienced parents and that families who had school aged children may be more inclined to enrol their younger children in child</w:t>
      </w:r>
      <w:r w:rsidR="009B094E">
        <w:t xml:space="preserve"> </w:t>
      </w:r>
      <w:r w:rsidRPr="009862AD">
        <w:t xml:space="preserve">care, regardless of whether the school aged children had also used the service. </w:t>
      </w:r>
    </w:p>
    <w:p w14:paraId="472B0F60" w14:textId="27612057" w:rsidR="007E2C6E" w:rsidRPr="009862AD" w:rsidRDefault="007E2C6E" w:rsidP="007E2C6E">
      <w:r w:rsidRPr="009862AD">
        <w:t>Several community members also voiced concern for parents who weren’t using the services as the parents too would have benefited from the exposure and support offered by the child</w:t>
      </w:r>
      <w:r w:rsidR="009B094E">
        <w:t xml:space="preserve"> </w:t>
      </w:r>
      <w:r w:rsidRPr="009862AD">
        <w:t>care staff in learning how to best support the developmental and health needs of their children.</w:t>
      </w:r>
    </w:p>
    <w:p w14:paraId="59F9B2C9" w14:textId="77777777" w:rsidR="007E2C6E" w:rsidRPr="00005AC5" w:rsidRDefault="007E2C6E" w:rsidP="007E2C6E">
      <w:pPr>
        <w:rPr>
          <w:color w:val="26890D"/>
        </w:rPr>
      </w:pPr>
      <w:r w:rsidRPr="00005AC5">
        <w:rPr>
          <w:color w:val="26890D"/>
        </w:rPr>
        <w:t xml:space="preserve">“We live in the shadow of fear of further removal” – </w:t>
      </w:r>
      <w:r w:rsidRPr="00005AC5">
        <w:rPr>
          <w:b/>
          <w:bCs/>
          <w:color w:val="26890D"/>
        </w:rPr>
        <w:t>grandmother and kinship carer</w:t>
      </w:r>
    </w:p>
    <w:p w14:paraId="5B4CABD9" w14:textId="542275F5" w:rsidR="007E2C6E" w:rsidRPr="009862AD" w:rsidRDefault="007E2C6E" w:rsidP="007E2C6E">
      <w:r w:rsidRPr="009862AD">
        <w:t>Some families believed that others in the community were worried about bringing their children to the centre because of the centre’s relationship with government (i.e.</w:t>
      </w:r>
      <w:r w:rsidR="009B094E">
        <w:t>,</w:t>
      </w:r>
      <w:r w:rsidRPr="009862AD">
        <w:t xml:space="preserve"> through the enrolment process, most services at least suggest at least engaging with Services Australia to access CCS, even if they don’t mandate it). The fear of government intervention was said to extend from concern about having their Centrelink payments stopped or changed, through to concerns around reporting to child protection and the potential for child removal. </w:t>
      </w:r>
    </w:p>
    <w:p w14:paraId="27699414" w14:textId="77777777" w:rsidR="007E2C6E" w:rsidRPr="009862AD" w:rsidRDefault="007E2C6E" w:rsidP="007E2C6E">
      <w:r w:rsidRPr="009862AD">
        <w:t>The complexity of the system, of navigating MyGov and Centrelink, the frequent changes and dehumanising experience was also spoken about. That many families had experience with administrative errors by Centrelink in the past, also left them without confidence that the system “would do right by them.”</w:t>
      </w:r>
    </w:p>
    <w:p w14:paraId="18627A7E" w14:textId="0A5F53BC" w:rsidR="007E2C6E" w:rsidRPr="009862AD" w:rsidRDefault="007E2C6E" w:rsidP="007E2C6E">
      <w:r w:rsidRPr="009862AD">
        <w:t>However, some parents and carers also felt that if these children were enrolled in child</w:t>
      </w:r>
      <w:r w:rsidR="003E5ED9">
        <w:t xml:space="preserve"> </w:t>
      </w:r>
      <w:r w:rsidRPr="009862AD">
        <w:t>care, their likelihood of being removed would be lessened, for the parents would be more likely to get support for nutrition, health, wellbeing and hygiene, both for themselves and their children.</w:t>
      </w:r>
      <w:r w:rsidR="002E497C">
        <w:t xml:space="preserve">  </w:t>
      </w:r>
    </w:p>
    <w:p w14:paraId="1501E23B" w14:textId="77777777" w:rsidR="007E2C6E" w:rsidRPr="009862AD" w:rsidRDefault="007E2C6E" w:rsidP="007E2C6E">
      <w:pPr>
        <w:pStyle w:val="Appendixhead4"/>
        <w:rPr>
          <w:rFonts w:eastAsiaTheme="majorEastAsia" w:cstheme="majorBidi"/>
          <w:b w:val="0"/>
        </w:rPr>
      </w:pPr>
      <w:r w:rsidRPr="009862AD">
        <w:rPr>
          <w:rFonts w:eastAsiaTheme="majorEastAsia"/>
        </w:rPr>
        <w:t>Cultural and other drivers</w:t>
      </w:r>
    </w:p>
    <w:p w14:paraId="0450BC97" w14:textId="77777777" w:rsidR="007E2C6E" w:rsidRPr="009862AD" w:rsidRDefault="007E2C6E" w:rsidP="007E2C6E">
      <w:pPr>
        <w:pStyle w:val="Heading4un-numbered"/>
        <w:rPr>
          <w:b w:val="0"/>
        </w:rPr>
      </w:pPr>
      <w:r w:rsidRPr="009862AD">
        <w:t>Health and wellbeing of parents and carers</w:t>
      </w:r>
    </w:p>
    <w:p w14:paraId="285FA773" w14:textId="7D731DA2" w:rsidR="007E2C6E" w:rsidRPr="009862AD" w:rsidRDefault="007E2C6E" w:rsidP="007E2C6E">
      <w:r w:rsidRPr="009862AD">
        <w:t>One parent knew of another mother in the community who has interest in attending the service but who has struggled to follow through with the enrolment process due to their poor mental health. Parents also spoke about families who were experiencing intergenerational trauma and not able to get the support they needed within the community, which often led to them isolating themselves and their children from the service.</w:t>
      </w:r>
      <w:r w:rsidR="002E497C">
        <w:t xml:space="preserve"> </w:t>
      </w:r>
      <w:r w:rsidRPr="009862AD">
        <w:t xml:space="preserve"> </w:t>
      </w:r>
    </w:p>
    <w:p w14:paraId="56D47C39" w14:textId="7821FE0C" w:rsidR="007E2C6E" w:rsidRPr="00005AC5" w:rsidRDefault="007E2C6E" w:rsidP="00682D6E">
      <w:pPr>
        <w:pStyle w:val="Appendixhead2"/>
        <w:spacing w:after="120"/>
        <w:rPr>
          <w:color w:val="26890D"/>
        </w:rPr>
      </w:pPr>
      <w:r w:rsidRPr="00005AC5">
        <w:rPr>
          <w:color w:val="26890D"/>
        </w:rPr>
        <w:t xml:space="preserve">Consultations with CCCFR </w:t>
      </w:r>
      <w:r w:rsidR="00682D6E" w:rsidRPr="00005AC5">
        <w:rPr>
          <w:color w:val="26890D"/>
        </w:rPr>
        <w:t>s</w:t>
      </w:r>
      <w:r w:rsidRPr="00005AC5">
        <w:rPr>
          <w:color w:val="26890D"/>
        </w:rPr>
        <w:t xml:space="preserve">ervices </w:t>
      </w:r>
    </w:p>
    <w:p w14:paraId="30AE8886" w14:textId="77777777" w:rsidR="007E2C6E" w:rsidRPr="008F3723" w:rsidRDefault="007E2C6E" w:rsidP="007E2C6E">
      <w:pPr>
        <w:pStyle w:val="Appendixhead3"/>
        <w:rPr>
          <w:rFonts w:eastAsiaTheme="majorEastAsia"/>
        </w:rPr>
      </w:pPr>
      <w:r w:rsidRPr="00B93F18">
        <w:rPr>
          <w:rFonts w:eastAsiaTheme="majorEastAsia"/>
        </w:rPr>
        <w:t xml:space="preserve"> </w:t>
      </w:r>
      <w:r w:rsidRPr="008F3723">
        <w:rPr>
          <w:rFonts w:eastAsiaTheme="majorEastAsia"/>
        </w:rPr>
        <w:t>Objectives and intent</w:t>
      </w:r>
    </w:p>
    <w:p w14:paraId="32B85326" w14:textId="74464618" w:rsidR="007E2C6E" w:rsidRPr="0016616E" w:rsidRDefault="007E2C6E" w:rsidP="007E2C6E">
      <w:r w:rsidRPr="0016616E">
        <w:rPr>
          <w:b/>
        </w:rPr>
        <w:t>Most CCCFR services consulted find the objective [to] ‘improve early childhood development outcomes for vulnerable and disadvantaged children’ to be appropriate and in line with their delivery and aims, with services describing a wide variety of outcomes.</w:t>
      </w:r>
      <w:r w:rsidR="002E497C">
        <w:t xml:space="preserve"> </w:t>
      </w:r>
      <w:r w:rsidRPr="0016616E">
        <w:t>Services resonate strongly with this CCCFR objective, often seeing it as their core business. Services spoke of varying mechanisms to achieve development outcomes generally, often mentioning specialist and wrap-around supports, making referrals to other health and wellbeing supports, and liaising with both other services and families to build capability and improve developmental outcomes. For Aboriginal Community Controlled Organisations, these broader holistic supports formed part of the cultural framework that leads the approach to their services.</w:t>
      </w:r>
      <w:r w:rsidR="002E497C">
        <w:t xml:space="preserve"> </w:t>
      </w:r>
      <w:r w:rsidRPr="0016616E">
        <w:t xml:space="preserve"> </w:t>
      </w:r>
    </w:p>
    <w:p w14:paraId="645AA3CE" w14:textId="77777777" w:rsidR="007E2C6E" w:rsidRPr="0016616E" w:rsidRDefault="007E2C6E" w:rsidP="007E2C6E">
      <w:r w:rsidRPr="0016616E">
        <w:t xml:space="preserve">While identified development outcomes broadly correlate with those of the Australian Early Development Census (AEDC), Early Years Learning Framework, and Framework for School Age Care in Australia, other specific outcomes were sometimes raised by services. These relate to the </w:t>
      </w:r>
      <w:r w:rsidRPr="0016616E">
        <w:lastRenderedPageBreak/>
        <w:t xml:space="preserve">needs of specific children and families, and/or more broadly to community need. For instance, one service located on the site of an Alcohol and Other Drug treatment program facility spoke about children learning emotional regulation after experiencing volatile home environments, but also facilitating dental check-ups due to frequently seeing children with damaged teeth. </w:t>
      </w:r>
    </w:p>
    <w:p w14:paraId="044B0F39" w14:textId="77777777" w:rsidR="007E2C6E" w:rsidRPr="00005AC5" w:rsidRDefault="007E2C6E" w:rsidP="007E2C6E">
      <w:pPr>
        <w:spacing w:after="0" w:line="200" w:lineRule="atLeast"/>
        <w:contextualSpacing/>
        <w:rPr>
          <w:color w:val="26890D"/>
        </w:rPr>
      </w:pPr>
      <w:r w:rsidRPr="00005AC5">
        <w:rPr>
          <w:color w:val="26890D"/>
        </w:rPr>
        <w:t>“stuff we're passionate about is the importance of first 5 years…play based brain development…that's what we're passionate about as educators”</w:t>
      </w:r>
    </w:p>
    <w:p w14:paraId="4E93BB13" w14:textId="77777777" w:rsidR="007E2C6E" w:rsidRPr="00005AC5" w:rsidRDefault="007E2C6E" w:rsidP="007E2C6E">
      <w:pPr>
        <w:spacing w:after="0" w:line="200" w:lineRule="atLeast"/>
        <w:contextualSpacing/>
        <w:rPr>
          <w:color w:val="26890D"/>
        </w:rPr>
      </w:pPr>
    </w:p>
    <w:p w14:paraId="147C98AE" w14:textId="77777777" w:rsidR="007E2C6E" w:rsidRPr="00005AC5" w:rsidRDefault="007E2C6E" w:rsidP="007E2C6E">
      <w:pPr>
        <w:spacing w:after="240" w:line="200" w:lineRule="atLeast"/>
        <w:contextualSpacing/>
        <w:rPr>
          <w:color w:val="26890D"/>
        </w:rPr>
      </w:pPr>
      <w:r w:rsidRPr="00005AC5">
        <w:rPr>
          <w:color w:val="26890D"/>
        </w:rPr>
        <w:t>“we do cleaning, wash clothes, head lice treatment, but encourage parents to visit and do together, to enable…empower them”</w:t>
      </w:r>
    </w:p>
    <w:p w14:paraId="0AF9F759" w14:textId="77777777" w:rsidR="007E2C6E" w:rsidRPr="00005AC5" w:rsidRDefault="007E2C6E" w:rsidP="007E2C6E">
      <w:pPr>
        <w:rPr>
          <w:color w:val="26890D"/>
        </w:rPr>
      </w:pPr>
      <w:r w:rsidRPr="00005AC5">
        <w:rPr>
          <w:color w:val="26890D"/>
        </w:rPr>
        <w:t>“our main thing is like for children to be safe here and nurtured and that have that sense of belonging because although obviously you know play based learning and all that sort of stuff comes into it, children aren't going to get the most out of that and thrive off that if they haven't got the basic needs being met. You know, like that feeling of security and feeling safe.”</w:t>
      </w:r>
    </w:p>
    <w:p w14:paraId="3292C449" w14:textId="77777777" w:rsidR="007E2C6E" w:rsidRPr="0016616E" w:rsidRDefault="007E2C6E" w:rsidP="007E2C6E">
      <w:r w:rsidRPr="0016616E">
        <w:rPr>
          <w:b/>
        </w:rPr>
        <w:t>Nearly all services reflect on the unique needs of the community they serve, with these needs often linked to experiences of vulnerability and disadvantage - although this deficit language does not always resonate with services.</w:t>
      </w:r>
      <w:r w:rsidRPr="0016616E">
        <w:t xml:space="preserve"> There is no consistent definition of vulnerability and disadvantage identified by services. In addition, some community demographics were referred to which may fall under some definitions of vulnerability and disadvantage, without services’ explicitly framing these as such. </w:t>
      </w:r>
    </w:p>
    <w:p w14:paraId="4380EBC7" w14:textId="4A9480A8" w:rsidR="007E2C6E" w:rsidRPr="0016616E" w:rsidRDefault="007E2C6E" w:rsidP="007E2C6E">
      <w:r w:rsidRPr="0016616E">
        <w:t>Nearly all services spoke about the unique needs of their community, often in contrast to ‘mainstream’ child care services. Signifiers of vulnerability and disadvantage spoken about included families experiencing financial hardship (often extreme), mental health issues, intergenerational trauma, systemic racism, government reactions to “transience” (i.e. children who move between communities with family for cultural obligations), children with disabilities or complex/additional needs and insufficient supports, remote and isolated communities, overcrowded housing, families with substance misuse issues, families with low levels of education, families with English as a second language, children being impacted by family violence, children being removed by child protection, children in out of home care, and migrant or refugee families. Some Aboriginal and Torres Strait Islander services spoke to their desire to focus more on ‘prevention’ rather than ‘intervention’ measures, by working with communities to help them heal from the intergenerational trauma caused by colonisation.</w:t>
      </w:r>
      <w:r w:rsidR="002E497C">
        <w:t xml:space="preserve"> </w:t>
      </w:r>
      <w:r w:rsidRPr="0016616E">
        <w:t xml:space="preserve"> </w:t>
      </w:r>
    </w:p>
    <w:p w14:paraId="43E2012B" w14:textId="570AF6D4" w:rsidR="007E2C6E" w:rsidRPr="00005AC5" w:rsidRDefault="007E2C6E" w:rsidP="007E2C6E">
      <w:pPr>
        <w:spacing w:after="0" w:line="200" w:lineRule="atLeast"/>
        <w:contextualSpacing/>
        <w:rPr>
          <w:color w:val="26890D"/>
        </w:rPr>
      </w:pPr>
      <w:r w:rsidRPr="00005AC5">
        <w:rPr>
          <w:color w:val="26890D"/>
        </w:rPr>
        <w:t>“Our service caters to young teenage parents while they attend school to gain their HSC equivalent. We currently have 70</w:t>
      </w:r>
      <w:r w:rsidR="00D97EF8" w:rsidRPr="00005AC5">
        <w:rPr>
          <w:color w:val="26890D"/>
        </w:rPr>
        <w:t xml:space="preserve"> per cent</w:t>
      </w:r>
      <w:r w:rsidRPr="00005AC5">
        <w:rPr>
          <w:color w:val="26890D"/>
        </w:rPr>
        <w:t xml:space="preserve"> Aboriginal and Torres Strait Islander families attending the service and this generally fluctuates between 50 – 80</w:t>
      </w:r>
      <w:r w:rsidR="00D97EF8" w:rsidRPr="00005AC5">
        <w:rPr>
          <w:color w:val="26890D"/>
        </w:rPr>
        <w:t xml:space="preserve"> per cent</w:t>
      </w:r>
      <w:r w:rsidRPr="00005AC5">
        <w:rPr>
          <w:color w:val="26890D"/>
        </w:rPr>
        <w:t xml:space="preserve"> depending on the year. We also have children attending the centre in out of home care in partnership with the Department of Communities and Justice.”</w:t>
      </w:r>
    </w:p>
    <w:p w14:paraId="50539A39" w14:textId="77777777" w:rsidR="007E2C6E" w:rsidRPr="00005AC5" w:rsidRDefault="007E2C6E" w:rsidP="007E2C6E">
      <w:pPr>
        <w:spacing w:after="0" w:line="200" w:lineRule="atLeast"/>
        <w:contextualSpacing/>
        <w:rPr>
          <w:color w:val="26890D"/>
        </w:rPr>
      </w:pPr>
    </w:p>
    <w:p w14:paraId="3250611D" w14:textId="77777777" w:rsidR="007E2C6E" w:rsidRPr="00005AC5" w:rsidRDefault="007E2C6E" w:rsidP="007E2C6E">
      <w:pPr>
        <w:spacing w:after="0" w:line="200" w:lineRule="atLeast"/>
        <w:contextualSpacing/>
        <w:rPr>
          <w:color w:val="26890D"/>
        </w:rPr>
      </w:pPr>
      <w:r w:rsidRPr="00005AC5">
        <w:rPr>
          <w:color w:val="26890D"/>
        </w:rPr>
        <w:t>“Domestic violence, homelessness, poverty and uncontrolled mental illness are the disadvantages our children and families are faced with. Vulnerabilities for children can include having risky people in their lives, not having access to enough food, being left for periods when parents cannot get up due to mental illness, delays in speech, regulation and toileting. Child protection issues are a constant concern in this setting.”</w:t>
      </w:r>
      <w:r w:rsidRPr="00005AC5">
        <w:rPr>
          <w:color w:val="26890D"/>
        </w:rPr>
        <w:br/>
      </w:r>
    </w:p>
    <w:p w14:paraId="50AA584C" w14:textId="77777777" w:rsidR="007E2C6E" w:rsidRPr="00005AC5" w:rsidRDefault="007E2C6E" w:rsidP="007E2C6E">
      <w:pPr>
        <w:spacing w:after="0" w:line="200" w:lineRule="atLeast"/>
        <w:contextualSpacing/>
        <w:rPr>
          <w:color w:val="26890D"/>
        </w:rPr>
      </w:pPr>
      <w:r w:rsidRPr="00005AC5">
        <w:rPr>
          <w:color w:val="26890D"/>
        </w:rPr>
        <w:t>“The level of poverty here is hard to understand until you see it. There are very few jobs here.”</w:t>
      </w:r>
    </w:p>
    <w:p w14:paraId="320A2F61" w14:textId="77777777" w:rsidR="007E2C6E" w:rsidRPr="0016616E" w:rsidRDefault="007E2C6E" w:rsidP="007E2C6E">
      <w:r w:rsidRPr="0016616E">
        <w:br/>
        <w:t xml:space="preserve">Some services commented that the grant objectives are not aligned to community expectations: </w:t>
      </w:r>
    </w:p>
    <w:p w14:paraId="4BC878ED" w14:textId="601179B7" w:rsidR="007E2C6E" w:rsidRPr="00005AC5" w:rsidRDefault="007E2C6E" w:rsidP="007E2C6E">
      <w:pPr>
        <w:rPr>
          <w:color w:val="007CB0"/>
        </w:rPr>
      </w:pPr>
      <w:r w:rsidRPr="00005AC5">
        <w:rPr>
          <w:color w:val="007CB0"/>
        </w:rPr>
        <w:t>“The grant objectives are well suited for long-day care model of program delivery; however this is not what community wants or expects from child</w:t>
      </w:r>
      <w:r w:rsidR="003E5ED9" w:rsidRPr="00005AC5">
        <w:rPr>
          <w:color w:val="007CB0"/>
        </w:rPr>
        <w:t xml:space="preserve"> </w:t>
      </w:r>
      <w:r w:rsidRPr="00005AC5">
        <w:rPr>
          <w:color w:val="007CB0"/>
        </w:rPr>
        <w:t>care to be. Current expectations for training and qualifications of staff, policies and procedures of early learning centre, fees and the requirement of CCS/ACCS through Centrelink/MyGov are difficult to fulfill and are not welcome by [redacted] community members.”</w:t>
      </w:r>
    </w:p>
    <w:p w14:paraId="64D3EA05" w14:textId="77777777" w:rsidR="007E2C6E" w:rsidRPr="0016616E" w:rsidRDefault="007E2C6E" w:rsidP="007E2C6E">
      <w:r w:rsidRPr="0016616E">
        <w:t>Another comment reflected on a potential gap in the current objectives:</w:t>
      </w:r>
    </w:p>
    <w:p w14:paraId="30C5BE6C" w14:textId="77777777" w:rsidR="007E2C6E" w:rsidRPr="00005AC5" w:rsidRDefault="007E2C6E" w:rsidP="007E2C6E">
      <w:pPr>
        <w:rPr>
          <w:color w:val="007CB0"/>
        </w:rPr>
      </w:pPr>
      <w:r w:rsidRPr="00005AC5">
        <w:rPr>
          <w:color w:val="007CB0"/>
        </w:rPr>
        <w:t>“Allow flexibility for remote service providers to provide other services not normally provided by mainstream providers […] and move away for a fee for service model.”</w:t>
      </w:r>
    </w:p>
    <w:p w14:paraId="2D2711B3" w14:textId="77777777" w:rsidR="007E2C6E" w:rsidRPr="0016616E" w:rsidRDefault="007E2C6E" w:rsidP="007E2C6E">
      <w:r w:rsidRPr="0016616E">
        <w:lastRenderedPageBreak/>
        <w:t>Some services noted perceived disconnects between the objectives and the design and operations of the grant:</w:t>
      </w:r>
    </w:p>
    <w:p w14:paraId="4EDEB90C" w14:textId="797FAF7A" w:rsidR="007E2C6E" w:rsidRPr="00005AC5" w:rsidRDefault="007E2C6E" w:rsidP="007E2C6E">
      <w:pPr>
        <w:rPr>
          <w:color w:val="007CB0"/>
        </w:rPr>
      </w:pPr>
      <w:r w:rsidRPr="00005AC5">
        <w:rPr>
          <w:color w:val="007CB0"/>
        </w:rPr>
        <w:t>“I felt the grant was more successful when it was flexible as in BBF. This community doesn't have a great need for formal child</w:t>
      </w:r>
      <w:r w:rsidR="00F90B2D" w:rsidRPr="00005AC5">
        <w:rPr>
          <w:color w:val="007CB0"/>
        </w:rPr>
        <w:t xml:space="preserve"> </w:t>
      </w:r>
      <w:r w:rsidRPr="00005AC5">
        <w:rPr>
          <w:color w:val="007CB0"/>
        </w:rPr>
        <w:t>care (though there is some need) and this service worked best when it used a creche model which included child care and creche type services. Families could use the service as a hub, clean, cool comfortable place to spend time, interact with other young families.”</w:t>
      </w:r>
    </w:p>
    <w:p w14:paraId="516DE3F7" w14:textId="77777777" w:rsidR="007E2C6E" w:rsidRPr="0016616E" w:rsidRDefault="007E2C6E" w:rsidP="007E2C6E">
      <w:r w:rsidRPr="0016616E">
        <w:rPr>
          <w:b/>
        </w:rPr>
        <w:t xml:space="preserve">The CCCFR grant is seen to support development outcomes for children experiencing vulnerability and disadvantage children in </w:t>
      </w:r>
      <w:r w:rsidRPr="0016616E">
        <w:rPr>
          <w:b/>
          <w:bCs/>
        </w:rPr>
        <w:t>several</w:t>
      </w:r>
      <w:r w:rsidRPr="0016616E">
        <w:rPr>
          <w:b/>
        </w:rPr>
        <w:t xml:space="preserve"> ways.</w:t>
      </w:r>
      <w:r w:rsidRPr="0016616E">
        <w:t xml:space="preserve"> Services’ perceptions of how the grant is delivering on this objective fall into three broad categories: </w:t>
      </w:r>
    </w:p>
    <w:p w14:paraId="7FCF5611" w14:textId="5AAC016D" w:rsidR="007E2C6E" w:rsidRPr="0016616E" w:rsidRDefault="007E2C6E" w:rsidP="007E2C6E">
      <w:r w:rsidRPr="0016616E">
        <w:t xml:space="preserve">1. </w:t>
      </w:r>
      <w:r w:rsidR="00B276A2">
        <w:t>t</w:t>
      </w:r>
      <w:r w:rsidRPr="0016616E">
        <w:t xml:space="preserve">he CCCFR grant supports the </w:t>
      </w:r>
      <w:r w:rsidRPr="0016616E">
        <w:rPr>
          <w:i/>
          <w:iCs/>
        </w:rPr>
        <w:t>financial viability</w:t>
      </w:r>
      <w:r w:rsidRPr="0016616E">
        <w:t xml:space="preserve"> of their service and without the grant these services could not continue. In thin markets, or the absence of other suitable child care, this makes the difference between children being able to access any formal child care or not.</w:t>
      </w:r>
    </w:p>
    <w:p w14:paraId="5025B420" w14:textId="13BF8758" w:rsidR="007E2C6E" w:rsidRPr="0016616E" w:rsidRDefault="007E2C6E" w:rsidP="007E2C6E">
      <w:r w:rsidRPr="0016616E">
        <w:t xml:space="preserve">2. </w:t>
      </w:r>
      <w:r w:rsidR="00B276A2">
        <w:t>t</w:t>
      </w:r>
      <w:r w:rsidRPr="0016616E">
        <w:t xml:space="preserve">he CCCFR grant enables services to improve the </w:t>
      </w:r>
      <w:r w:rsidRPr="0016616E">
        <w:rPr>
          <w:i/>
          <w:iCs/>
        </w:rPr>
        <w:t xml:space="preserve">quality </w:t>
      </w:r>
      <w:r w:rsidRPr="0016616E">
        <w:t xml:space="preserve">of their service, leading to better outcomes for children attending. </w:t>
      </w:r>
    </w:p>
    <w:p w14:paraId="517C0378" w14:textId="35B7FF28" w:rsidR="007E2C6E" w:rsidRPr="0016616E" w:rsidRDefault="007E2C6E" w:rsidP="007E2C6E">
      <w:r w:rsidRPr="0016616E">
        <w:t xml:space="preserve">3. </w:t>
      </w:r>
      <w:r w:rsidR="00B276A2">
        <w:t>t</w:t>
      </w:r>
      <w:r w:rsidRPr="0016616E">
        <w:t xml:space="preserve">he CCCFR grant makes it </w:t>
      </w:r>
      <w:r w:rsidRPr="0016616E">
        <w:rPr>
          <w:i/>
          <w:iCs/>
        </w:rPr>
        <w:t xml:space="preserve">cheaper </w:t>
      </w:r>
      <w:r w:rsidRPr="0016616E">
        <w:t xml:space="preserve">for families to use their service (in comparison to subsiding on CCS alone, which would lead to higher, potentially unaffordable fees). This improves access and participation for vulnerable and disadvantaged cohorts, and therefore enables developmental outcomes. However, some services noted that in comparison to other funding models such as BBF, their fees had risen for their most vulnerable and disadvantaged families, which will be explored further in the review. </w:t>
      </w:r>
    </w:p>
    <w:p w14:paraId="1D9DF640" w14:textId="77777777" w:rsidR="007E2C6E" w:rsidRPr="00005AC5" w:rsidRDefault="007E2C6E" w:rsidP="007E2C6E">
      <w:pPr>
        <w:spacing w:after="0" w:line="200" w:lineRule="atLeast"/>
        <w:contextualSpacing/>
        <w:rPr>
          <w:color w:val="26890D"/>
        </w:rPr>
      </w:pPr>
      <w:r w:rsidRPr="00005AC5">
        <w:rPr>
          <w:color w:val="26890D"/>
        </w:rPr>
        <w:t>“We need to remember that our services operate to meet the needs of a community and if our children did not attend our services, they would be unlikely to access early childhood education.”</w:t>
      </w:r>
    </w:p>
    <w:p w14:paraId="4FFCBF0E" w14:textId="77777777" w:rsidR="007E2C6E" w:rsidRPr="00005AC5" w:rsidRDefault="007E2C6E" w:rsidP="007E2C6E">
      <w:pPr>
        <w:spacing w:after="0" w:line="200" w:lineRule="atLeast"/>
        <w:contextualSpacing/>
        <w:rPr>
          <w:color w:val="26890D"/>
        </w:rPr>
      </w:pPr>
    </w:p>
    <w:p w14:paraId="2E3A52B4" w14:textId="77777777" w:rsidR="007E2C6E" w:rsidRPr="00005AC5" w:rsidRDefault="007E2C6E" w:rsidP="007E2C6E">
      <w:pPr>
        <w:spacing w:after="0" w:line="200" w:lineRule="atLeast"/>
        <w:contextualSpacing/>
        <w:rPr>
          <w:color w:val="26890D"/>
        </w:rPr>
      </w:pPr>
      <w:r w:rsidRPr="00005AC5">
        <w:rPr>
          <w:color w:val="26890D"/>
        </w:rPr>
        <w:t>“The CCCFR funding is imperative for us to provide the high level of early childhood education and care that our families require. This funding supports improved outcomes for children by providing an individualised and targeted program with a strong focus on attachment and co-regulation.”</w:t>
      </w:r>
    </w:p>
    <w:p w14:paraId="0E839C55" w14:textId="77777777" w:rsidR="007E2C6E" w:rsidRPr="00005AC5" w:rsidRDefault="007E2C6E" w:rsidP="007E2C6E">
      <w:pPr>
        <w:spacing w:after="0" w:line="200" w:lineRule="atLeast"/>
        <w:contextualSpacing/>
        <w:rPr>
          <w:color w:val="26890D"/>
        </w:rPr>
      </w:pPr>
    </w:p>
    <w:p w14:paraId="6A1133A8" w14:textId="77777777" w:rsidR="007E2C6E" w:rsidRPr="00005AC5" w:rsidRDefault="007E2C6E" w:rsidP="007E2C6E">
      <w:pPr>
        <w:spacing w:after="0" w:line="200" w:lineRule="atLeast"/>
        <w:contextualSpacing/>
        <w:rPr>
          <w:color w:val="26890D"/>
        </w:rPr>
      </w:pPr>
      <w:r w:rsidRPr="00005AC5">
        <w:rPr>
          <w:color w:val="26890D"/>
        </w:rPr>
        <w:t>“We help the community is by providing child care for their children so the parents can work, or rest if there have been parties the night before, or some study.”</w:t>
      </w:r>
    </w:p>
    <w:p w14:paraId="30F79883" w14:textId="77777777" w:rsidR="007E2C6E" w:rsidRPr="00005AC5" w:rsidRDefault="007E2C6E" w:rsidP="007E2C6E">
      <w:pPr>
        <w:spacing w:after="0" w:line="200" w:lineRule="atLeast"/>
        <w:contextualSpacing/>
        <w:rPr>
          <w:color w:val="26890D"/>
        </w:rPr>
      </w:pPr>
    </w:p>
    <w:p w14:paraId="25A2A352" w14:textId="77777777" w:rsidR="007E2C6E" w:rsidRPr="00005AC5" w:rsidRDefault="007E2C6E" w:rsidP="007E2C6E">
      <w:pPr>
        <w:spacing w:after="0" w:line="200" w:lineRule="atLeast"/>
        <w:contextualSpacing/>
        <w:rPr>
          <w:color w:val="26890D"/>
        </w:rPr>
      </w:pPr>
      <w:r w:rsidRPr="00005AC5">
        <w:rPr>
          <w:color w:val="26890D"/>
        </w:rPr>
        <w:t xml:space="preserve">“So we had two children who were coming five days a week and we continue to allow them to come because this was their only consistent place they've known their whole lives.” </w:t>
      </w:r>
    </w:p>
    <w:p w14:paraId="6B60506F" w14:textId="77777777" w:rsidR="007E2C6E" w:rsidRPr="00005AC5" w:rsidRDefault="007E2C6E" w:rsidP="007E2C6E">
      <w:pPr>
        <w:spacing w:after="0" w:line="200" w:lineRule="atLeast"/>
        <w:contextualSpacing/>
        <w:rPr>
          <w:color w:val="26890D"/>
        </w:rPr>
      </w:pPr>
    </w:p>
    <w:p w14:paraId="68FAB5BF" w14:textId="77777777" w:rsidR="007E2C6E" w:rsidRPr="0016616E" w:rsidRDefault="007E2C6E" w:rsidP="007E2C6E">
      <w:pPr>
        <w:spacing w:after="0" w:line="200" w:lineRule="atLeast"/>
        <w:contextualSpacing/>
        <w:rPr>
          <w:color w:val="86BC25" w:themeColor="accent1"/>
        </w:rPr>
      </w:pPr>
      <w:r w:rsidRPr="0016616E">
        <w:t xml:space="preserve">In many instances, services describe taking on broader roles in children’s development through referrals and providing a facility for health and wellbeing supports, as other services may not be available. In particular, remote and very remote services spoke to the lack of allied or integrated health supports due to their remoteness. </w:t>
      </w:r>
      <w:r w:rsidRPr="0016616E">
        <w:rPr>
          <w:color w:val="86BC25" w:themeColor="accent1"/>
        </w:rPr>
        <w:br/>
      </w:r>
    </w:p>
    <w:p w14:paraId="751B514D" w14:textId="77777777" w:rsidR="007E2C6E" w:rsidRPr="0016616E" w:rsidRDefault="007E2C6E" w:rsidP="007E2C6E">
      <w:r w:rsidRPr="0016616E">
        <w:t xml:space="preserve">However, in many cases services note that the mechanisms by which they could </w:t>
      </w:r>
      <w:r w:rsidRPr="0016616E">
        <w:rPr>
          <w:i/>
          <w:iCs/>
        </w:rPr>
        <w:t xml:space="preserve">best </w:t>
      </w:r>
      <w:r w:rsidRPr="0016616E">
        <w:t>improve development outcomes for children are not adequately supported by the grant. In addition to noting where grant settings or design could be more effective, services often have nuanced understandings of development outcomes and how to achieve them, many of which were seen as not supported by the grant at all. For instance, many providers spoke to their historical successes delivering playgroups, which are not supported by the grant.</w:t>
      </w:r>
    </w:p>
    <w:p w14:paraId="340AECE9" w14:textId="77777777" w:rsidR="007E2C6E" w:rsidRPr="0016616E" w:rsidRDefault="007E2C6E" w:rsidP="007E2C6E">
      <w:pPr>
        <w:rPr>
          <w:b/>
        </w:rPr>
      </w:pPr>
      <w:r w:rsidRPr="0016616E">
        <w:rPr>
          <w:b/>
        </w:rPr>
        <w:t xml:space="preserve">Services </w:t>
      </w:r>
      <w:r w:rsidRPr="0016616E">
        <w:rPr>
          <w:b/>
          <w:bCs/>
        </w:rPr>
        <w:t>have</w:t>
      </w:r>
      <w:r w:rsidRPr="0016616E">
        <w:rPr>
          <w:b/>
        </w:rPr>
        <w:t xml:space="preserve"> divided opinions regarding the objective [to] ‘increase workforce participation by vulnerable and disadvantaged families’, </w:t>
      </w:r>
      <w:r w:rsidRPr="0016616E">
        <w:rPr>
          <w:b/>
          <w:bCs/>
        </w:rPr>
        <w:t>often depending on the local employment market.</w:t>
      </w:r>
      <w:r w:rsidRPr="0016616E">
        <w:rPr>
          <w:b/>
        </w:rPr>
        <w:t xml:space="preserve"> </w:t>
      </w:r>
    </w:p>
    <w:p w14:paraId="222F7CE4" w14:textId="77777777" w:rsidR="007E2C6E" w:rsidRPr="00005AC5" w:rsidRDefault="007E2C6E" w:rsidP="007E2C6E">
      <w:pPr>
        <w:keepNext/>
        <w:rPr>
          <w:color w:val="007CB0"/>
        </w:rPr>
      </w:pPr>
      <w:r w:rsidRPr="00005AC5">
        <w:rPr>
          <w:color w:val="007CB0"/>
        </w:rPr>
        <w:t xml:space="preserve">“Less emphasis on being for families to join the workforce as there is not much opportunity for work here or people want to stay with their children while young. More emphasis is supporting families in parenting, health and hygiene, child development and bringing young families together to learn and spend time with their children.” </w:t>
      </w:r>
    </w:p>
    <w:p w14:paraId="12D6ECEE" w14:textId="77777777" w:rsidR="007E2C6E" w:rsidRPr="00005AC5" w:rsidRDefault="007E2C6E" w:rsidP="007E2C6E">
      <w:pPr>
        <w:rPr>
          <w:color w:val="007CB0"/>
        </w:rPr>
      </w:pPr>
      <w:r w:rsidRPr="00005AC5">
        <w:rPr>
          <w:color w:val="007CB0"/>
        </w:rPr>
        <w:t>“Other CCCFR services operated by this provider do have families who use the service to participate in the workforce, but this community has less demand for it.”</w:t>
      </w:r>
    </w:p>
    <w:p w14:paraId="5A4C1F7B" w14:textId="77777777" w:rsidR="007E2C6E" w:rsidRPr="0016616E" w:rsidRDefault="007E2C6E" w:rsidP="007E2C6E">
      <w:r w:rsidRPr="0016616E">
        <w:lastRenderedPageBreak/>
        <w:t xml:space="preserve">Some services view the workforce participation objective as similar to the child development objective: part of their core business, and an outcome they enable for community. For some of these services, the mechanism for enabling workforce participation is straightforward – the service cares for children while the parent(s) or carer(s) are working. </w:t>
      </w:r>
    </w:p>
    <w:p w14:paraId="3560944A" w14:textId="327BD24F" w:rsidR="007E2C6E" w:rsidRPr="0016616E" w:rsidRDefault="007E2C6E" w:rsidP="007E2C6E">
      <w:r w:rsidRPr="0016616E">
        <w:t>However, the types of work undertaken are sometimes not perceived as easily aligning with the CCS activity test, for instance in regional farming communities, where work opportunities may be responsive to weather conditions. For other services, the mechanisms are more complex, for instance enabling the parent/carer to study at the co-located educational facility, in order to gain the skills to join the workforce. Another example is child</w:t>
      </w:r>
      <w:r w:rsidR="00F90B2D">
        <w:t xml:space="preserve"> </w:t>
      </w:r>
      <w:r w:rsidRPr="0016616E">
        <w:t xml:space="preserve">care enabling mothers to participate in an alcohol and other drug rehabilitation program, as a critical step to (re)joining the workforce. </w:t>
      </w:r>
    </w:p>
    <w:p w14:paraId="5525B638" w14:textId="5036F0F2" w:rsidR="007E2C6E" w:rsidRPr="0016616E" w:rsidRDefault="007E2C6E" w:rsidP="007E2C6E">
      <w:r w:rsidRPr="0016616E">
        <w:t>Other services, in particular ACCOs as well as other services operating in Aboriginal and Torres Strait Islander communities, felt very strongly that this objective of workforce participation was inappropriate and, in some cases, services felt it was counteractive to the first outcome of child development.</w:t>
      </w:r>
      <w:r w:rsidR="002E497C">
        <w:t xml:space="preserve"> </w:t>
      </w:r>
    </w:p>
    <w:p w14:paraId="22CC6C4B" w14:textId="533FE542" w:rsidR="007E2C6E" w:rsidRPr="00B10119" w:rsidRDefault="007E2C6E" w:rsidP="007E2C6E">
      <w:pPr>
        <w:rPr>
          <w:color w:val="26890D"/>
        </w:rPr>
      </w:pPr>
      <w:r w:rsidRPr="00B10119">
        <w:rPr>
          <w:color w:val="26890D"/>
        </w:rPr>
        <w:t>“I am challenged by the focus of the two objectives. They are at odds with each other. It’s a challenge, what is the purpose of us being there? Of course it enables workforce, but the most important is improving outcomes for children and access to child</w:t>
      </w:r>
      <w:r w:rsidR="00F90B2D" w:rsidRPr="00B10119">
        <w:rPr>
          <w:color w:val="26890D"/>
        </w:rPr>
        <w:t xml:space="preserve"> </w:t>
      </w:r>
      <w:r w:rsidRPr="00B10119">
        <w:rPr>
          <w:color w:val="26890D"/>
        </w:rPr>
        <w:t>care.”</w:t>
      </w:r>
    </w:p>
    <w:p w14:paraId="17634CF2" w14:textId="64256E4E" w:rsidR="007E2C6E" w:rsidRPr="0016616E" w:rsidRDefault="007E2C6E" w:rsidP="007E2C6E">
      <w:pPr>
        <w:rPr>
          <w:b/>
        </w:rPr>
      </w:pPr>
      <w:r w:rsidRPr="0016616E">
        <w:t>For many services in very remote Aboriginal communities, the child</w:t>
      </w:r>
      <w:r w:rsidR="00F90B2D">
        <w:t xml:space="preserve"> </w:t>
      </w:r>
      <w:r w:rsidRPr="0016616E">
        <w:t>care service itself was seen as a key source of local employment. In areas with very few services or businesses, child</w:t>
      </w:r>
      <w:r w:rsidR="00F90B2D">
        <w:t xml:space="preserve"> </w:t>
      </w:r>
      <w:r w:rsidRPr="0016616E">
        <w:t>care may be one of the few opportunities for employment and training available to local women.</w:t>
      </w:r>
      <w:r w:rsidR="002E497C">
        <w:t xml:space="preserve"> </w:t>
      </w:r>
    </w:p>
    <w:p w14:paraId="578B8F45" w14:textId="77777777" w:rsidR="007E2C6E" w:rsidRPr="00B10119" w:rsidRDefault="007E2C6E" w:rsidP="007E2C6E">
      <w:pPr>
        <w:rPr>
          <w:color w:val="26890D"/>
        </w:rPr>
      </w:pPr>
      <w:r w:rsidRPr="00B10119">
        <w:rPr>
          <w:color w:val="26890D"/>
        </w:rPr>
        <w:t>“Like numerous times we've given parents employment here, you know to do your building or gardening or cleaning jobs and just all those little things and you know, they're trying to get back into the workforce.”</w:t>
      </w:r>
    </w:p>
    <w:p w14:paraId="20041C1D" w14:textId="413DF6B6" w:rsidR="007E2C6E" w:rsidRPr="0016616E" w:rsidRDefault="007E2C6E" w:rsidP="007E2C6E">
      <w:pPr>
        <w:spacing w:after="0"/>
      </w:pPr>
      <w:r w:rsidRPr="0016616E">
        <w:t>For other services, particularly those in areas of low local employment and employment opportunities, enabling workforce participation is seen as largely out of their hands. Services spoke to challenges within the broader system which mean that local community members are not participating in the workforce, and explained that child</w:t>
      </w:r>
      <w:r w:rsidR="00F90B2D">
        <w:t xml:space="preserve"> </w:t>
      </w:r>
      <w:r w:rsidRPr="0016616E">
        <w:t xml:space="preserve">care is neither a limiting factor, nor an enabler of employment. </w:t>
      </w:r>
    </w:p>
    <w:p w14:paraId="58B75A67" w14:textId="77777777" w:rsidR="007E2C6E" w:rsidRPr="0016616E" w:rsidRDefault="007E2C6E" w:rsidP="007E2C6E">
      <w:pPr>
        <w:spacing w:after="0"/>
      </w:pPr>
    </w:p>
    <w:p w14:paraId="0D140168" w14:textId="012E7292" w:rsidR="007E2C6E" w:rsidRPr="0016616E" w:rsidRDefault="007E2C6E" w:rsidP="007E2C6E">
      <w:pPr>
        <w:spacing w:after="0"/>
      </w:pPr>
      <w:r w:rsidRPr="0016616E">
        <w:t>However, this is not a binary distinction, and in some of these services, child</w:t>
      </w:r>
      <w:r w:rsidR="00F90B2D">
        <w:t xml:space="preserve"> </w:t>
      </w:r>
      <w:r w:rsidRPr="0016616E">
        <w:t xml:space="preserve">care may enable some parents or family members to work, often in other local services which are critical for certain other elements of the community. For instance, the children of teachers, nurses, doctors, police, and council workers. </w:t>
      </w:r>
    </w:p>
    <w:p w14:paraId="53869A0B" w14:textId="77777777" w:rsidR="007E2C6E" w:rsidRPr="0016616E" w:rsidRDefault="007E2C6E" w:rsidP="007E2C6E">
      <w:pPr>
        <w:spacing w:after="0"/>
      </w:pPr>
    </w:p>
    <w:p w14:paraId="6DD078BA" w14:textId="77777777" w:rsidR="007E2C6E" w:rsidRPr="00B10119" w:rsidRDefault="007E2C6E" w:rsidP="007E2C6E">
      <w:pPr>
        <w:spacing w:after="240" w:line="200" w:lineRule="atLeast"/>
        <w:contextualSpacing/>
        <w:rPr>
          <w:color w:val="26890D"/>
        </w:rPr>
      </w:pPr>
      <w:r w:rsidRPr="00B10119">
        <w:rPr>
          <w:color w:val="26890D"/>
        </w:rPr>
        <w:t>“lots of our families do work, but they're on the farm. It might be that day the children are in, they do the shearing that day, the books, or a run into town to get machinery.”</w:t>
      </w:r>
    </w:p>
    <w:p w14:paraId="71B46483" w14:textId="77777777" w:rsidR="007E2C6E" w:rsidRPr="00B10119" w:rsidRDefault="007E2C6E" w:rsidP="007E2C6E">
      <w:pPr>
        <w:rPr>
          <w:color w:val="26890D"/>
        </w:rPr>
      </w:pPr>
      <w:r w:rsidRPr="00B10119">
        <w:rPr>
          <w:color w:val="26890D"/>
        </w:rPr>
        <w:t>“The main way we help the community is by providing consistent and reliable care for their children so the parents can go and work, or study.”</w:t>
      </w:r>
    </w:p>
    <w:p w14:paraId="3080F9FD" w14:textId="77777777" w:rsidR="007E2C6E" w:rsidRPr="0016616E" w:rsidRDefault="007E2C6E" w:rsidP="007E2C6E">
      <w:r w:rsidRPr="0016616E">
        <w:t xml:space="preserve">For some mobile services, the service itself may not be able to fully support workforce participation due to only visiting communities on particular days. The likelihood of finding work patterns or shifts which align to the specific hours and days of the mobile service is small, especially in the regional and remote communities where these services tend to operate. </w:t>
      </w:r>
    </w:p>
    <w:p w14:paraId="5F033740" w14:textId="6DEE0555" w:rsidR="007E2C6E" w:rsidRPr="0016616E" w:rsidRDefault="007E2C6E" w:rsidP="007E2C6E">
      <w:pPr>
        <w:spacing w:after="0"/>
      </w:pPr>
      <w:r w:rsidRPr="0016616E">
        <w:rPr>
          <w:b/>
        </w:rPr>
        <w:t xml:space="preserve">Regardless of whether </w:t>
      </w:r>
      <w:r w:rsidRPr="0016616E">
        <w:rPr>
          <w:b/>
          <w:bCs/>
        </w:rPr>
        <w:t>child</w:t>
      </w:r>
      <w:r w:rsidR="00F90B2D">
        <w:rPr>
          <w:b/>
          <w:bCs/>
        </w:rPr>
        <w:t xml:space="preserve"> </w:t>
      </w:r>
      <w:r w:rsidRPr="0016616E">
        <w:rPr>
          <w:b/>
          <w:bCs/>
        </w:rPr>
        <w:t>care facilitates family workforce participation,</w:t>
      </w:r>
      <w:r w:rsidRPr="0016616E">
        <w:rPr>
          <w:b/>
        </w:rPr>
        <w:t xml:space="preserve"> services note the broader benefits for families of children attending the service</w:t>
      </w:r>
      <w:r w:rsidRPr="0016616E">
        <w:t xml:space="preserve">. These include linking families with other services or support, providing connection and social interaction. For some services, they help to build parental capacity, and provide practical resources and support such as food, nappies, and washing clothes and bathing children. </w:t>
      </w:r>
    </w:p>
    <w:p w14:paraId="196B7203" w14:textId="77777777" w:rsidR="007E2C6E" w:rsidRPr="0016616E" w:rsidRDefault="007E2C6E" w:rsidP="007E2C6E">
      <w:pPr>
        <w:spacing w:after="0"/>
      </w:pPr>
    </w:p>
    <w:p w14:paraId="4A0195CF" w14:textId="77777777" w:rsidR="007E2C6E" w:rsidRPr="0016616E" w:rsidRDefault="007E2C6E" w:rsidP="007E2C6E">
      <w:pPr>
        <w:spacing w:after="0"/>
      </w:pPr>
      <w:r w:rsidRPr="0016616E">
        <w:t xml:space="preserve">These additional services, particularly when delivered to families experiencing complex and acute vulnerability and disadvantage, can cause significant additional workload and vicarious trauma for service staff. Services spoke to their need to train their staff in delivering high quality and appropriate education and care for children with high levels of need, but also to burnout </w:t>
      </w:r>
      <w:r w:rsidRPr="0016616E">
        <w:lastRenderedPageBreak/>
        <w:t xml:space="preserve">experienced by their additional responsibilities to their community. Services spoke of the additional training needs in community skills development, targeted cultural awareness straining, and trauma-informed training. </w:t>
      </w:r>
    </w:p>
    <w:p w14:paraId="39DD134C" w14:textId="77777777" w:rsidR="007E2C6E" w:rsidRPr="0016616E" w:rsidRDefault="007E2C6E" w:rsidP="007E2C6E">
      <w:pPr>
        <w:spacing w:after="0"/>
      </w:pPr>
    </w:p>
    <w:p w14:paraId="713A1011" w14:textId="77777777" w:rsidR="007E2C6E" w:rsidRPr="00B10119" w:rsidRDefault="007E2C6E" w:rsidP="007E2C6E">
      <w:pPr>
        <w:spacing w:after="0" w:line="200" w:lineRule="atLeast"/>
        <w:contextualSpacing/>
        <w:rPr>
          <w:color w:val="26890D"/>
        </w:rPr>
      </w:pPr>
      <w:r w:rsidRPr="00B10119">
        <w:rPr>
          <w:color w:val="26890D"/>
        </w:rPr>
        <w:t>“By providing this service, families are able to gain their HSC equivalent and move into the workforce. This service is part of a program that achieves dual generational change. Families finishing their HSC are quite often the first to do so in their families in generations. By the time families finish the program, they are usually able to move away from having support services involved and are ready to move into careers. Parents have moved into roles such as teachers, accountants, police officers, social workers, disability and aged care workers and nurses. Without a high-quality early education service, this program would not be able to achieve these outcomes.”</w:t>
      </w:r>
    </w:p>
    <w:p w14:paraId="5B8744A0" w14:textId="77777777" w:rsidR="007E2C6E" w:rsidRPr="00B10119" w:rsidRDefault="007E2C6E" w:rsidP="007E2C6E">
      <w:pPr>
        <w:spacing w:after="0" w:line="200" w:lineRule="atLeast"/>
        <w:contextualSpacing/>
        <w:rPr>
          <w:color w:val="26890D"/>
        </w:rPr>
      </w:pPr>
    </w:p>
    <w:p w14:paraId="6F60900E" w14:textId="77777777" w:rsidR="007E2C6E" w:rsidRPr="00B10119" w:rsidRDefault="007E2C6E" w:rsidP="007E2C6E">
      <w:pPr>
        <w:spacing w:after="0" w:line="200" w:lineRule="atLeast"/>
        <w:contextualSpacing/>
        <w:rPr>
          <w:color w:val="26890D"/>
        </w:rPr>
      </w:pPr>
      <w:r w:rsidRPr="00B10119">
        <w:rPr>
          <w:color w:val="26890D"/>
        </w:rPr>
        <w:t>“We support families with parenting programs such as Circle of Security and 1,2,3 Magic. We link families to support services to assist with domestic violence, homelessness, and financial pressures.”</w:t>
      </w:r>
    </w:p>
    <w:p w14:paraId="6683526F" w14:textId="77777777" w:rsidR="007E2C6E" w:rsidRPr="0016616E" w:rsidRDefault="007E2C6E" w:rsidP="007E2C6E">
      <w:pPr>
        <w:spacing w:after="0"/>
      </w:pPr>
    </w:p>
    <w:p w14:paraId="56FE5526" w14:textId="77777777" w:rsidR="007E2C6E" w:rsidRPr="00B10119" w:rsidRDefault="007E2C6E" w:rsidP="007E2C6E">
      <w:pPr>
        <w:spacing w:after="0"/>
        <w:rPr>
          <w:color w:val="26890D"/>
          <w:lang w:val="en-US"/>
        </w:rPr>
      </w:pPr>
      <w:r w:rsidRPr="00B10119">
        <w:rPr>
          <w:color w:val="26890D"/>
          <w:lang w:val="en-US"/>
        </w:rPr>
        <w:t xml:space="preserve">“We are looking at service growth and want to deliver after school care, increasing age of children we care for in times because that is what our community needs, children in year 4 that are hijacking cars because there is an age gap so as a community responsibility, we are trying to meet this need.” </w:t>
      </w:r>
    </w:p>
    <w:p w14:paraId="76157110" w14:textId="77777777" w:rsidR="007E2C6E" w:rsidRPr="00B10119" w:rsidRDefault="007E2C6E" w:rsidP="007E2C6E">
      <w:pPr>
        <w:spacing w:after="0"/>
        <w:rPr>
          <w:color w:val="26890D"/>
          <w:lang w:val="en-US"/>
        </w:rPr>
      </w:pPr>
    </w:p>
    <w:p w14:paraId="2F9F5FFC" w14:textId="5F4F73DB" w:rsidR="007E2C6E" w:rsidRPr="00B10119" w:rsidRDefault="007E2C6E" w:rsidP="007E2C6E">
      <w:pPr>
        <w:spacing w:after="0"/>
        <w:rPr>
          <w:color w:val="26890D"/>
          <w:lang w:val="en-US"/>
        </w:rPr>
      </w:pPr>
      <w:r w:rsidRPr="00B10119">
        <w:rPr>
          <w:color w:val="26890D"/>
          <w:lang w:val="en-US"/>
        </w:rPr>
        <w:t>“In our communities, the young mothers come to services as a social place. Where there are no safe houses in communities, the child</w:t>
      </w:r>
      <w:r w:rsidR="00F90B2D" w:rsidRPr="00B10119">
        <w:rPr>
          <w:color w:val="26890D"/>
          <w:lang w:val="en-US"/>
        </w:rPr>
        <w:t xml:space="preserve"> </w:t>
      </w:r>
      <w:r w:rsidRPr="00B10119">
        <w:rPr>
          <w:color w:val="26890D"/>
          <w:lang w:val="en-US"/>
        </w:rPr>
        <w:t>care centre becomes this in community. But because of the relationships it doesn’t impact the children.”</w:t>
      </w:r>
    </w:p>
    <w:p w14:paraId="1032130D" w14:textId="77777777" w:rsidR="007E2C6E" w:rsidRPr="0016616E" w:rsidRDefault="007E2C6E" w:rsidP="007E2C6E">
      <w:pPr>
        <w:spacing w:after="0"/>
      </w:pPr>
    </w:p>
    <w:p w14:paraId="6C119EA8" w14:textId="061C862F" w:rsidR="007E2C6E" w:rsidRPr="0016616E" w:rsidRDefault="007E2C6E" w:rsidP="007E2C6E">
      <w:pPr>
        <w:rPr>
          <w:b/>
        </w:rPr>
      </w:pPr>
      <w:r w:rsidRPr="0016616E">
        <w:rPr>
          <w:b/>
        </w:rPr>
        <w:t>Some services report feeling relieved that, in their view, there appears to be a shift away from CCCFR services needing to ‘transition’ to the new child</w:t>
      </w:r>
      <w:r w:rsidR="00F90B2D">
        <w:rPr>
          <w:b/>
        </w:rPr>
        <w:t xml:space="preserve"> </w:t>
      </w:r>
      <w:r w:rsidRPr="0016616E">
        <w:rPr>
          <w:b/>
        </w:rPr>
        <w:t xml:space="preserve">care system (i.e. become financially viable through CCS and ACCS, without relying on the CCCFR grant). </w:t>
      </w:r>
      <w:r w:rsidRPr="0016616E">
        <w:t>In the initial CCCFR guidelines, reference was made to increasing services’ capacity to operate sustainably under the new child care system.</w:t>
      </w:r>
      <w:r w:rsidRPr="0016616E">
        <w:rPr>
          <w:vertAlign w:val="superscript"/>
        </w:rPr>
        <w:footnoteReference w:id="244"/>
      </w:r>
      <w:r w:rsidRPr="0016616E">
        <w:t xml:space="preserve"> Service staff who had remained with services since the transition to CCS, ACCS and the CCCFR grant, report that it seemed the ‘threat’ of services needing to fully transition to CCS, ACCS and fees (real or perceived) has ‘dwindled’. This is received positively, as many services spoke to their financial non-viability without additional support.</w:t>
      </w:r>
    </w:p>
    <w:p w14:paraId="7B007110" w14:textId="77777777" w:rsidR="007E2C6E" w:rsidRPr="00B10119" w:rsidRDefault="007E2C6E" w:rsidP="007E2C6E">
      <w:pPr>
        <w:spacing w:after="0" w:line="200" w:lineRule="atLeast"/>
        <w:contextualSpacing/>
        <w:rPr>
          <w:color w:val="26890D"/>
        </w:rPr>
      </w:pPr>
      <w:r w:rsidRPr="00B10119">
        <w:rPr>
          <w:color w:val="26890D"/>
        </w:rPr>
        <w:t>“And yes, we had this threat that after 5 years you'd become self-sustainable on your fee income and stuff, but those conversations have definitely dwindled - that might have been the 2018 strong messages but come 2019, 2020, 2021, 2022, its definitely not the conversation that's continued because I think they've realised that services need it [the grant]. Otherwise they will fall over.”</w:t>
      </w:r>
    </w:p>
    <w:p w14:paraId="5AFE7184" w14:textId="77777777" w:rsidR="007E2C6E" w:rsidRPr="0016616E" w:rsidRDefault="007E2C6E" w:rsidP="007E2C6E">
      <w:pPr>
        <w:spacing w:after="0"/>
        <w:rPr>
          <w:b/>
        </w:rPr>
      </w:pPr>
    </w:p>
    <w:p w14:paraId="6E55B4C9" w14:textId="77777777" w:rsidR="007E2C6E" w:rsidRPr="0016616E" w:rsidRDefault="007E2C6E" w:rsidP="007E2C6E">
      <w:pPr>
        <w:rPr>
          <w:bCs/>
        </w:rPr>
      </w:pPr>
      <w:r w:rsidRPr="0016616E">
        <w:rPr>
          <w:b/>
        </w:rPr>
        <w:t xml:space="preserve">For Aboriginal and Torres Strait Islander services, and services in communities with Aboriginal and Torres Strait Islander children and families, the initial objective of ‘support[ing] services to increase participation by Indigenous children’ is critical. </w:t>
      </w:r>
      <w:r w:rsidRPr="0016616E">
        <w:rPr>
          <w:bCs/>
        </w:rPr>
        <w:t>This 2017 initial objective, while not directly referred to in the consultation questions, is clearly important to services. This was the case for most services, but the need was expressed most acutely in remote Aboriginal and Torres Strait Islander communities. The link between the CCCFR objective of improving child outcomes, and the enabling link of increasing participation was felt strongly. While participation is not enough to enable outcomes, services spoke of their ongoing efforts to encourage families to use the service and to build trust.</w:t>
      </w:r>
    </w:p>
    <w:p w14:paraId="69056912" w14:textId="6F2C97D5" w:rsidR="007E2C6E" w:rsidRPr="00B10119" w:rsidRDefault="007E2C6E" w:rsidP="007E2C6E">
      <w:pPr>
        <w:rPr>
          <w:iCs/>
          <w:color w:val="26890D"/>
        </w:rPr>
      </w:pPr>
      <w:r w:rsidRPr="00B10119">
        <w:rPr>
          <w:iCs/>
          <w:color w:val="26890D"/>
        </w:rPr>
        <w:t>“CCS activity test means that vulnerable children are slipping through the gaps. They need extra support, but they are locked out. This is affecting our budgets. [We need] consistency in care.</w:t>
      </w:r>
      <w:r w:rsidR="002E497C" w:rsidRPr="00B10119">
        <w:rPr>
          <w:iCs/>
          <w:color w:val="26890D"/>
        </w:rPr>
        <w:t xml:space="preserve"> </w:t>
      </w:r>
    </w:p>
    <w:p w14:paraId="0F9CC0AB" w14:textId="77777777" w:rsidR="007E2C6E" w:rsidRPr="0016616E" w:rsidRDefault="007E2C6E" w:rsidP="007E2C6E">
      <w:pPr>
        <w:rPr>
          <w:iCs/>
        </w:rPr>
      </w:pPr>
      <w:r w:rsidRPr="0016616E">
        <w:rPr>
          <w:iCs/>
        </w:rPr>
        <w:t xml:space="preserve">Some services reflect that under the CCCFR grant, there are </w:t>
      </w:r>
      <w:r w:rsidRPr="0016616E">
        <w:rPr>
          <w:b/>
        </w:rPr>
        <w:t>fewer</w:t>
      </w:r>
      <w:r w:rsidRPr="0016616E">
        <w:rPr>
          <w:iCs/>
        </w:rPr>
        <w:t xml:space="preserve"> Aboriginal and Torres Strait Islander children and families using the service than under their former funding model delivery. There were a number of factors attributed to this, including the introduction of fees, the </w:t>
      </w:r>
      <w:r w:rsidRPr="0016616E">
        <w:rPr>
          <w:iCs/>
        </w:rPr>
        <w:lastRenderedPageBreak/>
        <w:t xml:space="preserve">introduction of CCS and the associated activity test and the need to navigate Centrelink, which are further discussed in other sections below. However, services also described that beyond these changes themselves, if a majority of non-Aboriginal or Torres Strait Islander children and families use the services, this can change the service’s reputation and their ability to provide a culturally safe place for families. In one instance, a service felt that their own objective, to provide care for Aboriginal children, was impacted by the funding model. </w:t>
      </w:r>
    </w:p>
    <w:p w14:paraId="0B980D88" w14:textId="6EC4603E" w:rsidR="007E2C6E" w:rsidRPr="00B10119" w:rsidRDefault="007E2C6E" w:rsidP="007E2C6E">
      <w:pPr>
        <w:spacing w:after="240" w:line="200" w:lineRule="atLeast"/>
        <w:contextualSpacing/>
        <w:rPr>
          <w:color w:val="26890D"/>
        </w:rPr>
      </w:pPr>
      <w:r w:rsidRPr="00B10119">
        <w:rPr>
          <w:color w:val="26890D"/>
        </w:rPr>
        <w:t>“[We were set up] by local Aboriginal Elders for Aboriginal children, as years have gone on we now cater to all children. We have 40</w:t>
      </w:r>
      <w:r w:rsidR="00D97EF8" w:rsidRPr="00B10119">
        <w:rPr>
          <w:color w:val="26890D"/>
        </w:rPr>
        <w:t xml:space="preserve"> per cent</w:t>
      </w:r>
      <w:r w:rsidRPr="00B10119">
        <w:rPr>
          <w:color w:val="26890D"/>
        </w:rPr>
        <w:t xml:space="preserve"> Indigenous enrolments this has decreased since the change in the model. The reason for this is there's more requirements to access care that is the subsidy, Centrelink, higher fees. Fees increased due to a decrease in funding not affordable for all families, so we need non-Aboriginal families to cover costs.”</w:t>
      </w:r>
      <w:r w:rsidRPr="00B10119">
        <w:rPr>
          <w:color w:val="26890D"/>
        </w:rPr>
        <w:br/>
      </w:r>
    </w:p>
    <w:p w14:paraId="634BD0BA" w14:textId="3356E019" w:rsidR="007E2C6E" w:rsidRPr="0016616E" w:rsidRDefault="007E2C6E" w:rsidP="007E2C6E">
      <w:r w:rsidRPr="0016616E">
        <w:rPr>
          <w:b/>
        </w:rPr>
        <w:t xml:space="preserve">Services reflect there are a range of activities and programs which can deliver on the CCCFR objectives and holistically meet the needs of children, families, and communities. </w:t>
      </w:r>
      <w:r w:rsidRPr="0016616E">
        <w:t>In reflecting on the objectives and intent of the grant, services also talked about their own objectives and how they perceive their value. Many spoke to gaps in service delivery which, if addressed, would contribute to better outcomes for children and families, despite not meeting classifications of ‘child</w:t>
      </w:r>
      <w:r w:rsidR="00F90B2D">
        <w:t xml:space="preserve"> </w:t>
      </w:r>
      <w:r w:rsidRPr="0016616E">
        <w:t>care’, or directly enabling workforce participation. This is particularly true for services in Aboriginal communities, who shared how Western perceptions and definitions of child</w:t>
      </w:r>
      <w:r w:rsidR="00F90B2D">
        <w:t xml:space="preserve"> </w:t>
      </w:r>
      <w:r w:rsidRPr="0016616E">
        <w:t xml:space="preserve">care can be culturally inappropriate and create barriers to working </w:t>
      </w:r>
      <w:r w:rsidRPr="0016616E">
        <w:rPr>
          <w:i/>
          <w:iCs/>
        </w:rPr>
        <w:t xml:space="preserve">with </w:t>
      </w:r>
      <w:r w:rsidRPr="0016616E">
        <w:t xml:space="preserve">families and communities to achieve developmental outcomes. </w:t>
      </w:r>
    </w:p>
    <w:p w14:paraId="6E9363DB" w14:textId="26DFDD20" w:rsidR="007E2C6E" w:rsidRPr="0016616E" w:rsidRDefault="007E2C6E" w:rsidP="007E2C6E">
      <w:pPr>
        <w:rPr>
          <w:b/>
        </w:rPr>
      </w:pPr>
      <w:r w:rsidRPr="0016616E">
        <w:t>In very remote and Aboriginal communities child</w:t>
      </w:r>
      <w:r w:rsidR="00F90B2D">
        <w:t xml:space="preserve"> </w:t>
      </w:r>
      <w:r w:rsidRPr="0016616E">
        <w:t xml:space="preserve">care services often fill gaps in service delivery either due to lack of supply or where lack of culturally safe and appropriate delivery leads to a similar gap in delivery. Where outcomes are not being met by other services, CCCFR funded services often described expanding their ‘scope’ to fill the gap and ensure families were not missing out. This was in line with their core principles, but often not in line with (and therefore, met by) their funding agreements. </w:t>
      </w:r>
    </w:p>
    <w:p w14:paraId="276AC52B" w14:textId="12C31D37" w:rsidR="007E2C6E" w:rsidRPr="00B10119" w:rsidRDefault="007E2C6E" w:rsidP="007E2C6E">
      <w:pPr>
        <w:spacing w:after="0" w:line="200" w:lineRule="atLeast"/>
        <w:contextualSpacing/>
        <w:rPr>
          <w:color w:val="26890D"/>
        </w:rPr>
      </w:pPr>
      <w:r w:rsidRPr="00B10119">
        <w:rPr>
          <w:color w:val="26890D"/>
        </w:rPr>
        <w:t>“Reimagining what child</w:t>
      </w:r>
      <w:r w:rsidR="00F90B2D" w:rsidRPr="00B10119">
        <w:rPr>
          <w:color w:val="26890D"/>
        </w:rPr>
        <w:t xml:space="preserve"> </w:t>
      </w:r>
      <w:r w:rsidRPr="00B10119">
        <w:rPr>
          <w:color w:val="26890D"/>
        </w:rPr>
        <w:t>care is. When we ask community member do you want child</w:t>
      </w:r>
      <w:r w:rsidR="00F90B2D" w:rsidRPr="00B10119">
        <w:rPr>
          <w:color w:val="26890D"/>
        </w:rPr>
        <w:t xml:space="preserve"> </w:t>
      </w:r>
      <w:r w:rsidRPr="00B10119">
        <w:rPr>
          <w:color w:val="26890D"/>
        </w:rPr>
        <w:t>care they say yes of course. But dig deeper -what is it? Not proper understanding. We mean long day care and that's not what community means or wants…they want safe space for children to be and families and women experiencing violence. They call it child</w:t>
      </w:r>
      <w:r w:rsidR="00F90B2D" w:rsidRPr="00B10119">
        <w:rPr>
          <w:color w:val="26890D"/>
        </w:rPr>
        <w:t xml:space="preserve"> </w:t>
      </w:r>
      <w:r w:rsidRPr="00B10119">
        <w:rPr>
          <w:color w:val="26890D"/>
        </w:rPr>
        <w:t>care because children can be there. Not a definition of long day care. Redefining what child</w:t>
      </w:r>
      <w:r w:rsidR="00F90B2D" w:rsidRPr="00B10119">
        <w:rPr>
          <w:color w:val="26890D"/>
        </w:rPr>
        <w:t xml:space="preserve"> </w:t>
      </w:r>
      <w:r w:rsidRPr="00B10119">
        <w:rPr>
          <w:color w:val="26890D"/>
        </w:rPr>
        <w:t>care to community means.”</w:t>
      </w:r>
    </w:p>
    <w:p w14:paraId="461AB8CB" w14:textId="624494FB" w:rsidR="007E2C6E" w:rsidRPr="00B10119" w:rsidRDefault="007E2C6E" w:rsidP="007E2C6E">
      <w:pPr>
        <w:spacing w:after="0" w:line="200" w:lineRule="atLeast"/>
        <w:contextualSpacing/>
        <w:rPr>
          <w:color w:val="26890D"/>
        </w:rPr>
      </w:pPr>
      <w:r w:rsidRPr="00B10119">
        <w:rPr>
          <w:color w:val="26890D"/>
        </w:rPr>
        <w:br/>
        <w:t>“Combining aged care and child</w:t>
      </w:r>
      <w:r w:rsidR="00F90B2D" w:rsidRPr="00B10119">
        <w:rPr>
          <w:color w:val="26890D"/>
        </w:rPr>
        <w:t xml:space="preserve"> </w:t>
      </w:r>
      <w:r w:rsidRPr="00B10119">
        <w:rPr>
          <w:color w:val="26890D"/>
        </w:rPr>
        <w:t>care activities have been great at transitioning cultural knowledge and getting the older people coming into the centre to tell stories and play games with the kids”</w:t>
      </w:r>
    </w:p>
    <w:p w14:paraId="0A302A1A" w14:textId="77777777" w:rsidR="007E2C6E" w:rsidRPr="00B10119" w:rsidRDefault="007E2C6E" w:rsidP="007E2C6E">
      <w:pPr>
        <w:spacing w:after="0"/>
        <w:rPr>
          <w:color w:val="26890D"/>
        </w:rPr>
      </w:pPr>
      <w:r w:rsidRPr="0016616E">
        <w:br/>
      </w:r>
      <w:r w:rsidRPr="00B10119">
        <w:rPr>
          <w:color w:val="26890D"/>
        </w:rPr>
        <w:t xml:space="preserve">“Staff will send children home with extra food or wash their clothes in the centre washing machine. Staff provide holistic care to children, and this reduces the pressure on families to constantly seek out additional services and supports. This in turn, fosters a peaceful, low-stress environment within the home.” </w:t>
      </w:r>
    </w:p>
    <w:p w14:paraId="74CBDF90" w14:textId="2FAA8108" w:rsidR="007E2C6E" w:rsidRPr="0016616E" w:rsidRDefault="007E2C6E" w:rsidP="007E2C6E">
      <w:r w:rsidRPr="00B10119">
        <w:rPr>
          <w:iCs/>
          <w:color w:val="26890D"/>
        </w:rPr>
        <w:br/>
      </w:r>
      <w:r w:rsidRPr="0016616E">
        <w:rPr>
          <w:b/>
        </w:rPr>
        <w:t xml:space="preserve">One service spoke of the need to prioritise the intake of children of families experiencing vulnerability where they had insufficient staffing to increase the number of places to meet overall demand, and the flow-on impacts of this. </w:t>
      </w:r>
      <w:r w:rsidRPr="0016616E">
        <w:t>Taking children into their care was seen as an important mental health provision for families and providing this care was seen as a more critical service to the community than providing care to working parents, while placing additional load on the child</w:t>
      </w:r>
      <w:r w:rsidR="00F90B2D">
        <w:t xml:space="preserve"> </w:t>
      </w:r>
      <w:r w:rsidRPr="0016616E">
        <w:t>care educators themselves. It was also recognised that by not being able to offer child</w:t>
      </w:r>
      <w:r w:rsidR="00F90B2D">
        <w:t xml:space="preserve"> </w:t>
      </w:r>
      <w:r w:rsidRPr="0016616E">
        <w:t xml:space="preserve">care spaces to some working families due to the capacity constraints, this then impacted parents who were working in essential roles within the community and the delivery of those essential services. </w:t>
      </w:r>
    </w:p>
    <w:p w14:paraId="4C4C9963" w14:textId="77777777" w:rsidR="007E2C6E" w:rsidRPr="0016616E" w:rsidRDefault="007E2C6E" w:rsidP="007E2C6E">
      <w:pPr>
        <w:rPr>
          <w:b/>
        </w:rPr>
      </w:pPr>
      <w:r w:rsidRPr="0016616E">
        <w:rPr>
          <w:b/>
        </w:rPr>
        <w:t xml:space="preserve">Services, and in particular those in Aboriginal and Torres Strait Islander communities, spoke about their cultural responsibility to child safety and child protection. </w:t>
      </w:r>
      <w:r w:rsidRPr="0016616E">
        <w:t>Many services reflected that a core part</w:t>
      </w:r>
      <w:r w:rsidRPr="0016616E">
        <w:rPr>
          <w:b/>
        </w:rPr>
        <w:t xml:space="preserve"> </w:t>
      </w:r>
      <w:r w:rsidRPr="0016616E">
        <w:rPr>
          <w:bCs/>
        </w:rPr>
        <w:t xml:space="preserve">of their work was not just supporting children who were under child protection orders, but to prevent children and families from becoming vulnerable to such intervention. This placed significant additional emotional, financial and resourcing demands on the </w:t>
      </w:r>
      <w:r w:rsidRPr="0016616E">
        <w:rPr>
          <w:bCs/>
        </w:rPr>
        <w:lastRenderedPageBreak/>
        <w:t>service educators and administrators, taking on roles as advocates and support services for families navigating the child protection system.”</w:t>
      </w:r>
      <w:r w:rsidRPr="0016616E" w:rsidDel="003A1132">
        <w:rPr>
          <w:bCs/>
        </w:rPr>
        <w:t xml:space="preserve"> </w:t>
      </w:r>
    </w:p>
    <w:p w14:paraId="31A55165" w14:textId="77777777" w:rsidR="007E2C6E" w:rsidRPr="00B10119" w:rsidRDefault="007E2C6E" w:rsidP="007E2C6E">
      <w:pPr>
        <w:rPr>
          <w:bCs/>
          <w:color w:val="26890D"/>
          <w:lang w:val="en-US"/>
        </w:rPr>
      </w:pPr>
      <w:r w:rsidRPr="00B10119">
        <w:rPr>
          <w:bCs/>
          <w:color w:val="26890D"/>
        </w:rPr>
        <w:t>“</w:t>
      </w:r>
      <w:r w:rsidRPr="00B10119">
        <w:rPr>
          <w:bCs/>
          <w:color w:val="26890D"/>
          <w:lang w:val="en-US"/>
        </w:rPr>
        <w:t>We do a lot of preventative and proactive approaches to child safety and child welfare issues: it’s not about getting to point of reporting, it’s about investing in preventative measures…feeding children…all work that we do that is instrumental at child protection end…these are children who don’t end up in the system. We need to invest and understand in our families who need a little extra help. Before it gets to reporting and removal and that escalation, we give extra help to families and the trust and relationships that flow on from that.”</w:t>
      </w:r>
    </w:p>
    <w:p w14:paraId="2E304EC8" w14:textId="77777777" w:rsidR="007E2C6E" w:rsidRPr="00B10119" w:rsidRDefault="007E2C6E" w:rsidP="007E2C6E">
      <w:pPr>
        <w:rPr>
          <w:bCs/>
          <w:color w:val="26890D"/>
          <w:lang w:val="en-US"/>
        </w:rPr>
      </w:pPr>
      <w:r w:rsidRPr="00B10119">
        <w:rPr>
          <w:bCs/>
          <w:color w:val="26890D"/>
          <w:lang w:val="en-US"/>
        </w:rPr>
        <w:t>“</w:t>
      </w:r>
      <w:r w:rsidRPr="00B10119">
        <w:rPr>
          <w:bCs/>
          <w:color w:val="26890D"/>
        </w:rPr>
        <w:t>Compared to mainstream these are more onerous reporting then mainstream.”</w:t>
      </w:r>
    </w:p>
    <w:p w14:paraId="0E4B2640" w14:textId="03417A67" w:rsidR="007E2C6E" w:rsidRPr="0016616E" w:rsidRDefault="007E2C6E" w:rsidP="007E2C6E">
      <w:pPr>
        <w:rPr>
          <w:color w:val="000000" w:themeColor="text1"/>
          <w:lang w:val="en-US"/>
        </w:rPr>
      </w:pPr>
      <w:r w:rsidRPr="0016616E">
        <w:rPr>
          <w:bCs/>
          <w:color w:val="000000" w:themeColor="text1"/>
          <w:lang w:val="en-US"/>
        </w:rPr>
        <w:t>An additional barrier to preventative safety investments on behalf of the child care centres was seen to be the Activity Test that is tied to CCS. While a relaxation of the Activity test means that Aboriginal and Torres Strait Islander children can access up to 36 hours per fortnight, irrespective of activity status, services noted that 36 hours is an insufficient amount of time to be proactively engaging with families and children in order to identify and help meet their specific needs.</w:t>
      </w:r>
      <w:r w:rsidR="002E497C">
        <w:rPr>
          <w:bCs/>
          <w:color w:val="000000" w:themeColor="text1"/>
          <w:lang w:val="en-US"/>
        </w:rPr>
        <w:t xml:space="preserve"> </w:t>
      </w:r>
    </w:p>
    <w:p w14:paraId="740725AF" w14:textId="77777777" w:rsidR="007E2C6E" w:rsidRPr="00B10119" w:rsidRDefault="007E2C6E" w:rsidP="007E2C6E">
      <w:pPr>
        <w:rPr>
          <w:color w:val="26890D"/>
          <w:lang w:val="en-US"/>
        </w:rPr>
      </w:pPr>
      <w:r w:rsidRPr="00B10119">
        <w:rPr>
          <w:color w:val="26890D"/>
          <w:lang w:val="en-US"/>
        </w:rPr>
        <w:t>“[Centre] staff have observed the same child attending 5 days a week under BBF model, being forced to scale back to 2 days per week, and this increases their risk of contact with child protection.”</w:t>
      </w:r>
    </w:p>
    <w:p w14:paraId="513DB2DE" w14:textId="17572F08" w:rsidR="007E2C6E" w:rsidRPr="00B10119" w:rsidRDefault="007E2C6E" w:rsidP="007E2C6E">
      <w:pPr>
        <w:rPr>
          <w:iCs/>
          <w:color w:val="26890D"/>
        </w:rPr>
      </w:pPr>
      <w:r w:rsidRPr="00B10119">
        <w:rPr>
          <w:iCs/>
          <w:color w:val="26890D"/>
        </w:rPr>
        <w:t>“The CCS activity test is limiting access for the most vulnerable children and families.</w:t>
      </w:r>
      <w:r w:rsidR="002E497C" w:rsidRPr="00B10119">
        <w:rPr>
          <w:iCs/>
          <w:color w:val="26890D"/>
        </w:rPr>
        <w:t xml:space="preserve"> </w:t>
      </w:r>
      <w:r w:rsidRPr="00B10119">
        <w:rPr>
          <w:iCs/>
          <w:color w:val="26890D"/>
        </w:rPr>
        <w:t>Biggest impact on our families.</w:t>
      </w:r>
      <w:r w:rsidR="002E497C" w:rsidRPr="00B10119">
        <w:rPr>
          <w:iCs/>
          <w:color w:val="26890D"/>
        </w:rPr>
        <w:t xml:space="preserve"> </w:t>
      </w:r>
      <w:r w:rsidRPr="00B10119">
        <w:rPr>
          <w:iCs/>
          <w:color w:val="26890D"/>
        </w:rPr>
        <w:t>Impacted our focus from working with community.”</w:t>
      </w:r>
    </w:p>
    <w:p w14:paraId="4703D813" w14:textId="4159CF68" w:rsidR="007E2C6E" w:rsidRPr="00B10119" w:rsidRDefault="007E2C6E" w:rsidP="007E2C6E">
      <w:pPr>
        <w:rPr>
          <w:iCs/>
          <w:color w:val="26890D"/>
        </w:rPr>
      </w:pPr>
      <w:r w:rsidRPr="00B10119">
        <w:rPr>
          <w:iCs/>
          <w:color w:val="26890D"/>
        </w:rPr>
        <w:t>“Transition to CCCFR has pushed us into a small business model.</w:t>
      </w:r>
      <w:r w:rsidR="002E497C" w:rsidRPr="00B10119">
        <w:rPr>
          <w:iCs/>
          <w:color w:val="26890D"/>
        </w:rPr>
        <w:t xml:space="preserve"> </w:t>
      </w:r>
      <w:r w:rsidRPr="00B10119">
        <w:rPr>
          <w:iCs/>
          <w:color w:val="26890D"/>
        </w:rPr>
        <w:t>This isn’t working for our families.”</w:t>
      </w:r>
    </w:p>
    <w:p w14:paraId="79851A2E" w14:textId="396FECB9" w:rsidR="007E2C6E" w:rsidRPr="0016616E" w:rsidRDefault="007E2C6E" w:rsidP="007E2C6E">
      <w:pPr>
        <w:rPr>
          <w:color w:val="000000" w:themeColor="text1"/>
          <w:lang w:val="en-US"/>
        </w:rPr>
      </w:pPr>
      <w:r w:rsidRPr="0016616E">
        <w:rPr>
          <w:b/>
          <w:bCs/>
          <w:color w:val="000000" w:themeColor="text1"/>
          <w:lang w:val="en-US"/>
        </w:rPr>
        <w:t xml:space="preserve">Services operating in Aboriginal and Torres Strait Islander communities (both those that identify as Aboriginal and Torres Strait Islander services, and those that don’t) often expressed the importance of investing in additional cultural programs and activities but they were challenged by the lack of funding and lack of options in the funding model to support these. </w:t>
      </w:r>
      <w:r w:rsidRPr="0016616E">
        <w:rPr>
          <w:color w:val="000000" w:themeColor="text1"/>
          <w:lang w:val="en-US"/>
        </w:rPr>
        <w:t>Such initiatives included the establishment of a cultural advisory group that would require funding for a secretariat and fees for the Elders to attend and contribute, support to stage events during culturally significant days such as NAIDOC week and Aboriginal and Torres Strait Islander Children’s Day, and support to develop additional literacy resources in the local languages of the communities.</w:t>
      </w:r>
      <w:r w:rsidR="002E497C">
        <w:rPr>
          <w:color w:val="000000" w:themeColor="text1"/>
          <w:lang w:val="en-US"/>
        </w:rPr>
        <w:t xml:space="preserve"> </w:t>
      </w:r>
      <w:r w:rsidRPr="0016616E">
        <w:rPr>
          <w:color w:val="000000" w:themeColor="text1"/>
          <w:lang w:val="en-US"/>
        </w:rPr>
        <w:t xml:space="preserve"> </w:t>
      </w:r>
    </w:p>
    <w:p w14:paraId="024A4948" w14:textId="77777777" w:rsidR="007E2C6E" w:rsidRPr="00B10119" w:rsidRDefault="007E2C6E" w:rsidP="007E2C6E">
      <w:pPr>
        <w:rPr>
          <w:color w:val="26890D"/>
        </w:rPr>
      </w:pPr>
      <w:r w:rsidRPr="00B10119">
        <w:rPr>
          <w:color w:val="26890D"/>
        </w:rPr>
        <w:t>“[We are] being asked to report on child-focused outcomes, but CCCFR funding is limited to ‘participation’ and there is no extra funding provided to strengthen child’s connection to culture and community.”</w:t>
      </w:r>
    </w:p>
    <w:p w14:paraId="76E9F84A" w14:textId="77777777" w:rsidR="007E2C6E" w:rsidRPr="00B10119" w:rsidRDefault="007E2C6E" w:rsidP="007E2C6E">
      <w:pPr>
        <w:rPr>
          <w:color w:val="26890D"/>
        </w:rPr>
      </w:pPr>
      <w:r w:rsidRPr="00B10119">
        <w:rPr>
          <w:color w:val="26890D"/>
        </w:rPr>
        <w:t>“Not enough funds to provide the care that communities, families and children need.”</w:t>
      </w:r>
    </w:p>
    <w:p w14:paraId="08E72460" w14:textId="77777777" w:rsidR="007E2C6E" w:rsidRPr="00B10119" w:rsidRDefault="007E2C6E" w:rsidP="007E2C6E">
      <w:pPr>
        <w:rPr>
          <w:color w:val="26890D"/>
        </w:rPr>
      </w:pPr>
      <w:r w:rsidRPr="00B10119">
        <w:rPr>
          <w:color w:val="26890D"/>
        </w:rPr>
        <w:t>“[…] if the Government are serious about making a difference for Aboriginal and Torres Strait Islander peoples, they need to be resourcing Aboriginal communities to support their children.”</w:t>
      </w:r>
    </w:p>
    <w:p w14:paraId="266B3A3D" w14:textId="77777777" w:rsidR="007E2C6E" w:rsidRPr="0016616E" w:rsidRDefault="007E2C6E" w:rsidP="007E2C6E">
      <w:pPr>
        <w:pStyle w:val="Appendixhead3"/>
        <w:rPr>
          <w:rFonts w:eastAsiaTheme="majorEastAsia"/>
        </w:rPr>
      </w:pPr>
      <w:r w:rsidRPr="0016616E">
        <w:rPr>
          <w:rFonts w:eastAsiaTheme="majorEastAsia"/>
        </w:rPr>
        <w:t>Policy</w:t>
      </w:r>
      <w:r>
        <w:rPr>
          <w:rFonts w:eastAsiaTheme="majorEastAsia"/>
        </w:rPr>
        <w:t xml:space="preserve"> </w:t>
      </w:r>
      <w:r>
        <w:t>and funding</w:t>
      </w:r>
      <w:r w:rsidRPr="0016616E">
        <w:rPr>
          <w:rFonts w:eastAsiaTheme="majorEastAsia"/>
        </w:rPr>
        <w:t xml:space="preserve"> design</w:t>
      </w:r>
    </w:p>
    <w:p w14:paraId="7AA5F4F2" w14:textId="77777777" w:rsidR="007E2C6E" w:rsidRPr="0016616E" w:rsidRDefault="007E2C6E" w:rsidP="007E2C6E">
      <w:r w:rsidRPr="0016616E">
        <w:t>As part of</w:t>
      </w:r>
      <w:r w:rsidRPr="0016616E" w:rsidDel="00321B69">
        <w:t xml:space="preserve"> </w:t>
      </w:r>
      <w:r w:rsidRPr="0016616E">
        <w:t xml:space="preserve">any shift in CCCFR grant design, respondents hope to see a move from increasing workforce participation [objective 2 of the CCCFR grant] towards emphasising improving early childhood development outcomes [objective 1 of the CCCFR grant]: </w:t>
      </w:r>
    </w:p>
    <w:p w14:paraId="4BB2F05C" w14:textId="3B24EFBD" w:rsidR="007E2C6E" w:rsidRPr="00B10119" w:rsidRDefault="007E2C6E" w:rsidP="007E2C6E">
      <w:pPr>
        <w:rPr>
          <w:color w:val="007CB0"/>
        </w:rPr>
      </w:pPr>
      <w:r w:rsidRPr="00B10119">
        <w:rPr>
          <w:color w:val="007CB0"/>
        </w:rPr>
        <w:t>“Whether the funding could be more flexible with less emphasis on formal child</w:t>
      </w:r>
      <w:r w:rsidR="00F90B2D" w:rsidRPr="00B10119">
        <w:rPr>
          <w:color w:val="007CB0"/>
        </w:rPr>
        <w:t xml:space="preserve"> </w:t>
      </w:r>
      <w:r w:rsidRPr="00B10119">
        <w:rPr>
          <w:color w:val="007CB0"/>
        </w:rPr>
        <w:t>care to support parents to participate in the workforce, if that is not a big need in the Community, and more emphasis on the first CCCFR objective of improving early childhood development outcomes”.</w:t>
      </w:r>
    </w:p>
    <w:p w14:paraId="2ABBCA6C" w14:textId="77777777" w:rsidR="007E2C6E" w:rsidRPr="0016616E" w:rsidRDefault="007E2C6E" w:rsidP="007E2C6E">
      <w:r w:rsidRPr="0016616E">
        <w:t>One service noted the importance of flexibility of grant design to meet the needs of community:</w:t>
      </w:r>
    </w:p>
    <w:p w14:paraId="01515247" w14:textId="77777777" w:rsidR="007E2C6E" w:rsidRPr="00B10119" w:rsidRDefault="007E2C6E" w:rsidP="007E2C6E">
      <w:pPr>
        <w:rPr>
          <w:color w:val="007CB0"/>
        </w:rPr>
      </w:pPr>
      <w:r w:rsidRPr="00B10119">
        <w:rPr>
          <w:color w:val="007CB0"/>
        </w:rPr>
        <w:lastRenderedPageBreak/>
        <w:t>“The review should consider the flexibility of service provision remote, staffing challenges, training and transient nature of remote residents - the review should consider early learning programs as there is an age group of kids that are not catered for by this program”.</w:t>
      </w:r>
    </w:p>
    <w:p w14:paraId="27CE1462" w14:textId="77777777" w:rsidR="007E2C6E" w:rsidRPr="0016616E" w:rsidRDefault="007E2C6E" w:rsidP="007E2C6E">
      <w:r w:rsidRPr="0016616E">
        <w:t>Respondents perceive their services as serving their community in multiple ways:</w:t>
      </w:r>
    </w:p>
    <w:p w14:paraId="27F0BBFC" w14:textId="77777777" w:rsidR="007E2C6E" w:rsidRPr="00B10119" w:rsidRDefault="007E2C6E" w:rsidP="007E2C6E">
      <w:pPr>
        <w:rPr>
          <w:color w:val="007CB0"/>
        </w:rPr>
      </w:pPr>
      <w:r w:rsidRPr="00B10119">
        <w:rPr>
          <w:color w:val="007CB0"/>
        </w:rPr>
        <w:t>“Developing skills in working with multiple and complex needs families. This is not taught enough in ECEC courses”.</w:t>
      </w:r>
    </w:p>
    <w:p w14:paraId="5968835B" w14:textId="77777777" w:rsidR="007E2C6E" w:rsidRPr="00B10119" w:rsidRDefault="007E2C6E" w:rsidP="007E2C6E">
      <w:pPr>
        <w:rPr>
          <w:color w:val="007CB0"/>
        </w:rPr>
      </w:pPr>
      <w:r w:rsidRPr="00B10119">
        <w:rPr>
          <w:color w:val="007CB0"/>
        </w:rPr>
        <w:t>“Acting as a hub for young mothers and their children”.</w:t>
      </w:r>
    </w:p>
    <w:p w14:paraId="19842339" w14:textId="77777777" w:rsidR="007E2C6E" w:rsidRPr="00B10119" w:rsidRDefault="007E2C6E" w:rsidP="007E2C6E">
      <w:pPr>
        <w:rPr>
          <w:color w:val="007CB0"/>
        </w:rPr>
      </w:pPr>
      <w:r w:rsidRPr="00B10119">
        <w:rPr>
          <w:color w:val="007CB0"/>
        </w:rPr>
        <w:t>“Giving remote station families opportunity for their children to socialize and access an educational service on a casual basis”.</w:t>
      </w:r>
    </w:p>
    <w:p w14:paraId="7D4805BD" w14:textId="4AA968D4" w:rsidR="007E2C6E" w:rsidRPr="0016616E" w:rsidRDefault="007E2C6E" w:rsidP="007E2C6E">
      <w:pPr>
        <w:rPr>
          <w:b/>
          <w:bCs/>
        </w:rPr>
      </w:pPr>
      <w:r w:rsidRPr="0016616E">
        <w:rPr>
          <w:b/>
          <w:bCs/>
        </w:rPr>
        <w:t xml:space="preserve">Though this is not a review of CCS and ACCS, they are critical components to the CCCFR grant policy landscape. </w:t>
      </w:r>
      <w:r w:rsidRPr="0016616E">
        <w:t xml:space="preserve">For some services, CCS and to a lesser degree, ACCS are able to be utilised in the way that they have been intended. However, even some of these services reflect that CCS and ACCS are inappropriate – and a potential barrier to attending </w:t>
      </w:r>
      <w:r w:rsidRPr="0016616E">
        <w:softHyphen/>
        <w:t>– for some families and children (particularly in target demographics). In addition to being a barrier, some services note that engaging with Centrelink to access CCS can layer additional trauma onto families already experiencing complex trauma.</w:t>
      </w:r>
      <w:r w:rsidR="002E497C">
        <w:t xml:space="preserve"> </w:t>
      </w:r>
    </w:p>
    <w:p w14:paraId="4F11212A" w14:textId="77777777" w:rsidR="007E2C6E" w:rsidRPr="00A82569" w:rsidRDefault="007E2C6E" w:rsidP="007E2C6E">
      <w:pPr>
        <w:rPr>
          <w:rFonts w:asciiTheme="minorHAnsi" w:hAnsiTheme="minorHAnsi" w:cs="Calibri"/>
          <w:color w:val="26890D"/>
        </w:rPr>
      </w:pPr>
      <w:r w:rsidRPr="00A82569">
        <w:rPr>
          <w:rFonts w:asciiTheme="minorHAnsi" w:hAnsiTheme="minorHAnsi" w:cs="Calibri"/>
          <w:color w:val="26890D"/>
        </w:rPr>
        <w:t>“Our people get knocked down by Centrelink and don’t get back up”.</w:t>
      </w:r>
    </w:p>
    <w:p w14:paraId="5F322BB0" w14:textId="77777777" w:rsidR="007E2C6E" w:rsidRPr="00A82569" w:rsidRDefault="007E2C6E" w:rsidP="007E2C6E">
      <w:pPr>
        <w:rPr>
          <w:color w:val="007CB0"/>
        </w:rPr>
      </w:pPr>
      <w:r w:rsidRPr="00A82569">
        <w:rPr>
          <w:color w:val="007CB0"/>
        </w:rPr>
        <w:t>“I think the review needs to consider whether the CCS model is working as it is very time consuming to manage this with at risk families (nearly all of our families). The barriers include applying for CCS when experiencing life challenges like trauma, DV, risk of homelessness etc. Applying to ACCS relies on CCS approval. The whole system is challenging for families just trying to function each day.”</w:t>
      </w:r>
    </w:p>
    <w:p w14:paraId="22C2DA34" w14:textId="77777777" w:rsidR="007E2C6E" w:rsidRPr="0016616E" w:rsidRDefault="007E2C6E" w:rsidP="007E2C6E">
      <w:pPr>
        <w:rPr>
          <w:rFonts w:asciiTheme="minorHAnsi" w:hAnsiTheme="minorHAnsi" w:cs="Calibri"/>
        </w:rPr>
      </w:pPr>
      <w:r w:rsidRPr="0016616E">
        <w:rPr>
          <w:rFonts w:asciiTheme="minorHAnsi" w:hAnsiTheme="minorHAnsi" w:cs="Calibri"/>
        </w:rPr>
        <w:t xml:space="preserve">For many Aboriginal and Torres Strait Islander services, CCS is incompatible with the practice of kinship caring. </w:t>
      </w:r>
    </w:p>
    <w:p w14:paraId="2839B982" w14:textId="77777777" w:rsidR="007E2C6E" w:rsidRPr="00A82569" w:rsidRDefault="007E2C6E" w:rsidP="007E2C6E">
      <w:pPr>
        <w:rPr>
          <w:rFonts w:asciiTheme="minorHAnsi" w:hAnsiTheme="minorHAnsi" w:cs="Calibri"/>
          <w:color w:val="26890D"/>
        </w:rPr>
      </w:pPr>
      <w:r w:rsidRPr="00A82569">
        <w:rPr>
          <w:rFonts w:asciiTheme="minorHAnsi" w:hAnsiTheme="minorHAnsi" w:cs="Calibri"/>
          <w:color w:val="26890D"/>
        </w:rPr>
        <w:t xml:space="preserve">“The child has to be recognised have a parent guardian that's recognised through Centrelink to be able to claim the CCS, but…you've got a lot of informal care arrangements where a child's living with extended family, but it's not formalised.” </w:t>
      </w:r>
    </w:p>
    <w:p w14:paraId="498E880B" w14:textId="77777777" w:rsidR="007E2C6E" w:rsidRPr="0016616E" w:rsidRDefault="007E2C6E" w:rsidP="007E2C6E">
      <w:r w:rsidRPr="0016616E">
        <w:rPr>
          <w:b/>
          <w:bCs/>
        </w:rPr>
        <w:t>For most services, CCCFR grant funding is perceived to be necessary to keep doors open</w:t>
      </w:r>
      <w:r w:rsidRPr="0016616E">
        <w:t xml:space="preserve">. With the initial view in 2017 that the CCCFR funding was supplementary to CCS, and that services will eventually transition away from the CCCFR grant, there remains a reported reliance on CCS and ACCS funding to remain financially viable. </w:t>
      </w:r>
    </w:p>
    <w:p w14:paraId="7C05E356" w14:textId="77777777" w:rsidR="007E2C6E" w:rsidRPr="0016616E" w:rsidRDefault="007E2C6E" w:rsidP="007E2C6E">
      <w:r w:rsidRPr="0016616E">
        <w:t>While the CCS and the CCCFR grant share common objectives, such as increasing participation in the workforce</w:t>
      </w:r>
      <w:r w:rsidRPr="0016616E">
        <w:rPr>
          <w:vertAlign w:val="superscript"/>
        </w:rPr>
        <w:footnoteReference w:id="245"/>
      </w:r>
      <w:r w:rsidRPr="0016616E">
        <w:t xml:space="preserve">, some services noted that the community in which they operate often does not support ongoing employment or even opportunities to apply for employment. This may be due to existing workforce and infrastructure limitations within the community, or complex social challenges that families may be facing, hindering the ability to work. </w:t>
      </w:r>
    </w:p>
    <w:p w14:paraId="08EF562D" w14:textId="77777777" w:rsidR="007E2C6E" w:rsidRPr="0016616E" w:rsidRDefault="007E2C6E" w:rsidP="007E2C6E">
      <w:r w:rsidRPr="0016616E">
        <w:t xml:space="preserve">Given CCS eligibility is largely related to the activity test, if there is no evidence of employment or other recognised activity, there is no access to CCS. As a result, services cannot pass on the fee reduction to families, reportedly leading to reduced enrolment and attendance of children, with flow-on effects for development outcomes for children. The absence requirements under the CCS are also stated to cause issues with families remaining eligible for the CCS. While the CCCFR grant is intended to meet the needs of services in thin markets, some services reflect that it cannot compensate for the absence of CCS/ACCS. </w:t>
      </w:r>
    </w:p>
    <w:p w14:paraId="60C9C09B" w14:textId="77777777" w:rsidR="007E2C6E" w:rsidRPr="00A82569" w:rsidRDefault="007E2C6E" w:rsidP="007E2C6E">
      <w:pPr>
        <w:rPr>
          <w:color w:val="26890D"/>
        </w:rPr>
      </w:pPr>
      <w:r w:rsidRPr="00A82569">
        <w:rPr>
          <w:color w:val="26890D"/>
        </w:rPr>
        <w:t>“Absences under CCS – our families are only permitted to 42 absences per year. This is very challenging when families are facing homelessness, mental health issues and transport issues”.</w:t>
      </w:r>
    </w:p>
    <w:p w14:paraId="36EEE65B" w14:textId="77777777" w:rsidR="007E2C6E" w:rsidRPr="00A82569" w:rsidRDefault="007E2C6E" w:rsidP="007E2C6E">
      <w:pPr>
        <w:rPr>
          <w:color w:val="26890D"/>
        </w:rPr>
      </w:pPr>
      <w:r w:rsidRPr="00A82569">
        <w:rPr>
          <w:color w:val="26890D"/>
        </w:rPr>
        <w:lastRenderedPageBreak/>
        <w:t>“Sickness this year has been a huge impact and under CCS families are limited to the number of sick days.”</w:t>
      </w:r>
    </w:p>
    <w:p w14:paraId="0608080E" w14:textId="77777777" w:rsidR="007E2C6E" w:rsidRPr="00A82569" w:rsidRDefault="007E2C6E" w:rsidP="007E2C6E">
      <w:pPr>
        <w:rPr>
          <w:color w:val="26890D"/>
        </w:rPr>
      </w:pPr>
      <w:r w:rsidRPr="00A82569">
        <w:rPr>
          <w:color w:val="26890D"/>
        </w:rPr>
        <w:t>“Review/relax the absence requirements under CCS: attendance at the facility is linked to school semesters. Young parents would be on holiday during school holidays, and they will take care of the children at home as it is tenuous to travel to the centre. The absence requirement does not take into account this situation”.</w:t>
      </w:r>
    </w:p>
    <w:p w14:paraId="7D29B023" w14:textId="7EAD2BFF" w:rsidR="007E2C6E" w:rsidRPr="0016616E" w:rsidRDefault="007E2C6E" w:rsidP="007E2C6E">
      <w:pPr>
        <w:rPr>
          <w:color w:val="86BC25"/>
        </w:rPr>
      </w:pPr>
      <w:r w:rsidRPr="00A82569">
        <w:rPr>
          <w:color w:val="26890D"/>
        </w:rPr>
        <w:t>“The activity test related to CCS has resulted in fewer enrolments and children receiving a lesser entitlement of ECEC which means lost revenue for [the service]. Under BBF model, [we] had 30 children enrolled at the centre, attending 5 days a week on average. Under the new CCS model, parents only get 40 hours per fortnight, meaning their children are only likely to attend 1-2 days a week. 63</w:t>
      </w:r>
      <w:r w:rsidR="00D97EF8" w:rsidRPr="00A82569">
        <w:rPr>
          <w:color w:val="26890D"/>
        </w:rPr>
        <w:t xml:space="preserve"> per cent</w:t>
      </w:r>
      <w:r w:rsidRPr="00A82569">
        <w:rPr>
          <w:color w:val="26890D"/>
        </w:rPr>
        <w:t xml:space="preserve"> reduction in attendance due to this requirement. [we have] a maximum capacity set at 39 children, but current attendance is 10 children per day… When children drop down to fewer days… the wellbeing of families decline.”</w:t>
      </w:r>
    </w:p>
    <w:p w14:paraId="4357319D" w14:textId="130E0BB7" w:rsidR="007E2C6E" w:rsidRPr="0016616E" w:rsidRDefault="007E2C6E" w:rsidP="007E2C6E">
      <w:pPr>
        <w:rPr>
          <w:b/>
          <w:bCs/>
        </w:rPr>
      </w:pPr>
      <w:r w:rsidRPr="0016616E">
        <w:rPr>
          <w:b/>
          <w:bCs/>
        </w:rPr>
        <w:t xml:space="preserve">Some services reflect that the CCCFR grant, which was based on legacy funding and designed as a transition mechanism to the CCS, has not evolved in line with changing family and community needs across Australia. </w:t>
      </w:r>
      <w:r w:rsidRPr="0016616E">
        <w:t>As discussed, there was no initial long-term view of the CCCFR grant. Therefore, the 2017 transition to the grant from other models (such as BBF, IAS etc), was based on legacy funding arrangements. While this may have suited the needs of services at the time, services report that the landscape of child</w:t>
      </w:r>
      <w:r w:rsidR="00F90B2D">
        <w:t xml:space="preserve"> </w:t>
      </w:r>
      <w:r w:rsidRPr="0016616E">
        <w:t xml:space="preserve">care has drastically changed since the transition. This is due to two factors: (1) the design of the CCS, and its barriers to access for some families in rural and remote communities; and (2) the changing needs of families in these communities. The need for CCCFR services has reportedly increased in some areas, however some services state that the funding has not evolved to address these needs. </w:t>
      </w:r>
    </w:p>
    <w:p w14:paraId="03173A77" w14:textId="77777777" w:rsidR="007E2C6E" w:rsidRPr="00A82569" w:rsidRDefault="007E2C6E" w:rsidP="007E2C6E">
      <w:pPr>
        <w:rPr>
          <w:color w:val="26890D"/>
        </w:rPr>
      </w:pPr>
      <w:r w:rsidRPr="00A82569">
        <w:rPr>
          <w:color w:val="26890D"/>
        </w:rPr>
        <w:t>"We have this funding because we have had it historically. But there are other services /programs that are same as ours. If the criteria is to increase opportunities for children, they would do it by having more services. It is one program. But no funding. There is a huge need. The grant is restricted -- closed. But these are places that need the money".</w:t>
      </w:r>
    </w:p>
    <w:p w14:paraId="2D2AA652" w14:textId="77777777" w:rsidR="007E2C6E" w:rsidRPr="00A82569" w:rsidRDefault="007E2C6E" w:rsidP="007E2C6E">
      <w:pPr>
        <w:rPr>
          <w:color w:val="26890D"/>
        </w:rPr>
      </w:pPr>
      <w:r w:rsidRPr="00A82569">
        <w:rPr>
          <w:color w:val="26890D"/>
        </w:rPr>
        <w:t>“If new design for services, still one size fits all. I have 10 communities, but they are all different. So, a wish for us to not be looked at us 10 services all get one grant. One community needs something different to another even they we're provider for both”.</w:t>
      </w:r>
    </w:p>
    <w:p w14:paraId="583B6F62" w14:textId="6A3EDC54" w:rsidR="007E2C6E" w:rsidRPr="00A82569" w:rsidRDefault="007E2C6E" w:rsidP="007E2C6E">
      <w:pPr>
        <w:rPr>
          <w:color w:val="26890D"/>
        </w:rPr>
      </w:pPr>
      <w:r w:rsidRPr="00A82569">
        <w:rPr>
          <w:color w:val="26890D"/>
        </w:rPr>
        <w:t>“CCCFR funding decreases each year.</w:t>
      </w:r>
      <w:r w:rsidR="002E497C" w:rsidRPr="00A82569">
        <w:rPr>
          <w:color w:val="26890D"/>
        </w:rPr>
        <w:t xml:space="preserve"> </w:t>
      </w:r>
      <w:r w:rsidRPr="00A82569">
        <w:rPr>
          <w:color w:val="26890D"/>
        </w:rPr>
        <w:t>Very hard when you don’t receive the gap from families.</w:t>
      </w:r>
      <w:r w:rsidR="002E497C" w:rsidRPr="00A82569">
        <w:rPr>
          <w:color w:val="26890D"/>
        </w:rPr>
        <w:t xml:space="preserve"> </w:t>
      </w:r>
      <w:r w:rsidRPr="00A82569">
        <w:rPr>
          <w:color w:val="26890D"/>
        </w:rPr>
        <w:t>Affordable for families. We will never be able to operate from family and CCS contributions. It’s impossible for us to operate as a mainstream service or business model.”</w:t>
      </w:r>
    </w:p>
    <w:p w14:paraId="7B2CDA0A" w14:textId="77777777" w:rsidR="007E2C6E" w:rsidRPr="0016616E" w:rsidRDefault="007E2C6E" w:rsidP="007E2C6E">
      <w:r w:rsidRPr="0016616E">
        <w:rPr>
          <w:b/>
          <w:bCs/>
        </w:rPr>
        <w:t xml:space="preserve">Services note that in Aboriginal communities, playgroups often form a critical pathway to child care and in some cases, parents would not be willing to let their child attend care without them being present. </w:t>
      </w:r>
      <w:r w:rsidRPr="0016616E">
        <w:t>The fact that CCCFR funding was not available to support playgroups was seen as a barrier to engaging with families in remote regions. It was noted that for families who have not previously engaged with centre-based child care, playgroup could provide a safer entry point for parents and also help them become familiar with the benefits of bringing children to spaces where they could regularly interact with other kids. For some parents, playgroups may be the only ECEC that they would be willing to engage with prior to schooling for both social and cultural reasons. Services spoke of the value they believed could be realised when an integrated model of providing both playgroups and child care could be established in a community.</w:t>
      </w:r>
    </w:p>
    <w:p w14:paraId="02B5B0DD" w14:textId="77777777" w:rsidR="007E2C6E" w:rsidRPr="0016616E" w:rsidRDefault="007E2C6E" w:rsidP="007E2C6E">
      <w:r w:rsidRPr="0016616E">
        <w:t>Further, services in Aboriginal communities in particular noted that the standard model of child care contrasts with how community perceive child care, in terms of the integrated model a child care centre is often expected to deliver (including and beyond playgroups). People in very remote communities with only a few services may use a child care centre as a social hub, a safe house, a family centre and so on. The CCCFR funding instrument does not support this type of integrated service delivery which is critical for community.</w:t>
      </w:r>
    </w:p>
    <w:p w14:paraId="0F4ED240" w14:textId="77777777" w:rsidR="007E2C6E" w:rsidRPr="0016616E" w:rsidRDefault="007E2C6E" w:rsidP="007E2C6E">
      <w:r w:rsidRPr="0016616E">
        <w:rPr>
          <w:b/>
          <w:bCs/>
        </w:rPr>
        <w:lastRenderedPageBreak/>
        <w:t>Some services</w:t>
      </w:r>
      <w:r w:rsidRPr="0016616E">
        <w:rPr>
          <w:b/>
        </w:rPr>
        <w:t xml:space="preserve"> reflect that contrasting demographic groups within their local community can create challenges in terms of meeting the range of need.</w:t>
      </w:r>
      <w:r w:rsidRPr="0016616E">
        <w:t xml:space="preserve"> For example, some services report that there are two broad cohorts of residents within their community: one is transient to the area (i.e., temporary workers such as teachers/nurses/police with children); the second are local and are more likely to experience social and economic vulnerabilities. The price point at which these two cohorts can enrol their children to CCCFR services vary considerably. In these cases, services report they are at an impasse as to whether to lower their fees to ensure affordability for families, and place the service at financial risk, or charge higher fees to ensure financial viability of the service. </w:t>
      </w:r>
    </w:p>
    <w:p w14:paraId="5DE48B10" w14:textId="1CE42E18" w:rsidR="007E2C6E" w:rsidRPr="0016616E" w:rsidRDefault="007E2C6E" w:rsidP="007E2C6E">
      <w:pPr>
        <w:rPr>
          <w:b/>
          <w:bCs/>
        </w:rPr>
      </w:pPr>
      <w:r w:rsidRPr="0016616E">
        <w:rPr>
          <w:b/>
          <w:bCs/>
        </w:rPr>
        <w:t xml:space="preserve">Services report that they generally do not understand the processes and support they can receive via the CCCFR grant. </w:t>
      </w:r>
      <w:r w:rsidRPr="0016616E">
        <w:t>Although services reflect that they have a clear understanding of their requirements to deliver quality child</w:t>
      </w:r>
      <w:r w:rsidR="00F90B2D">
        <w:t xml:space="preserve"> </w:t>
      </w:r>
      <w:r w:rsidRPr="0016616E">
        <w:t xml:space="preserve">care to </w:t>
      </w:r>
      <w:r w:rsidRPr="0016616E">
        <w:rPr>
          <w:bCs/>
        </w:rPr>
        <w:t xml:space="preserve">improve early childhood development outcomes, their understanding of additional support available through the CCCFR grant is less clear. Services note that they heavily rely on the </w:t>
      </w:r>
      <w:r w:rsidR="41E92F27">
        <w:t xml:space="preserve">CCCFR </w:t>
      </w:r>
      <w:r w:rsidRPr="0016616E">
        <w:rPr>
          <w:bCs/>
        </w:rPr>
        <w:t xml:space="preserve">Program Officers to provide information relating to additional funding and grant applications. </w:t>
      </w:r>
    </w:p>
    <w:p w14:paraId="23B7BCEE" w14:textId="78C9148C" w:rsidR="007E2C6E" w:rsidRPr="00A82569" w:rsidRDefault="007E2C6E" w:rsidP="007E2C6E">
      <w:pPr>
        <w:rPr>
          <w:color w:val="26890D"/>
        </w:rPr>
      </w:pPr>
      <w:r w:rsidRPr="00A82569">
        <w:rPr>
          <w:color w:val="26890D"/>
        </w:rPr>
        <w:t>“Unless people tell us - they don't know what type of funding the child</w:t>
      </w:r>
      <w:r w:rsidR="00F90B2D" w:rsidRPr="00A82569">
        <w:rPr>
          <w:color w:val="26890D"/>
        </w:rPr>
        <w:t xml:space="preserve"> </w:t>
      </w:r>
      <w:r w:rsidRPr="00A82569">
        <w:rPr>
          <w:color w:val="26890D"/>
        </w:rPr>
        <w:t>care could get”.</w:t>
      </w:r>
    </w:p>
    <w:p w14:paraId="5AD7C150" w14:textId="76CFF81F" w:rsidR="007E2C6E" w:rsidRPr="00A82569" w:rsidRDefault="007E2C6E" w:rsidP="007E2C6E">
      <w:pPr>
        <w:rPr>
          <w:color w:val="26890D"/>
        </w:rPr>
      </w:pPr>
      <w:r w:rsidRPr="00A82569">
        <w:rPr>
          <w:color w:val="26890D"/>
        </w:rPr>
        <w:t>“</w:t>
      </w:r>
      <w:r w:rsidRPr="00A82569">
        <w:rPr>
          <w:color w:val="26890D"/>
          <w:lang w:val="en-US"/>
        </w:rPr>
        <w:t>Not enough clarity as to what we can spend funds on…food safety supervisor for example, we don’t know if we have to go through other funding grants…consumes times applying for funding when it would be easier to take it out of CCCFR bucket.”</w:t>
      </w:r>
    </w:p>
    <w:p w14:paraId="22200583" w14:textId="77777777" w:rsidR="007E2C6E" w:rsidRPr="008F3723" w:rsidRDefault="007E2C6E" w:rsidP="007E2C6E">
      <w:pPr>
        <w:pStyle w:val="Appendixhead3"/>
        <w:rPr>
          <w:rFonts w:eastAsiaTheme="majorEastAsia"/>
        </w:rPr>
      </w:pPr>
      <w:r w:rsidRPr="00B93F18">
        <w:rPr>
          <w:rFonts w:eastAsiaTheme="majorEastAsia"/>
        </w:rPr>
        <w:t>Admi</w:t>
      </w:r>
      <w:r w:rsidRPr="008F3723">
        <w:rPr>
          <w:rFonts w:eastAsiaTheme="majorEastAsia"/>
        </w:rPr>
        <w:t>nistration, governance and compliance</w:t>
      </w:r>
    </w:p>
    <w:p w14:paraId="41803833" w14:textId="77777777" w:rsidR="007E2C6E" w:rsidRPr="0016616E" w:rsidRDefault="007E2C6E" w:rsidP="007E2C6E">
      <w:r w:rsidRPr="0016616E">
        <w:t>This section outlines observations on administrative requirements of the CCCFR grant, and reflections on governance and compliance, as perceived by services.</w:t>
      </w:r>
    </w:p>
    <w:p w14:paraId="6EF8CC8C" w14:textId="646D3CBF" w:rsidR="007E2C6E" w:rsidRPr="0016616E" w:rsidRDefault="007E2C6E" w:rsidP="007E2C6E">
      <w:pPr>
        <w:rPr>
          <w:bCs/>
        </w:rPr>
      </w:pPr>
      <w:r w:rsidRPr="3AD5D596">
        <w:rPr>
          <w:b/>
          <w:bCs/>
        </w:rPr>
        <w:t>Services</w:t>
      </w:r>
      <w:r w:rsidRPr="0016616E">
        <w:rPr>
          <w:b/>
        </w:rPr>
        <w:t xml:space="preserve"> note significant administrative burden associated with receiving funding through the CCCFR grant. </w:t>
      </w:r>
      <w:r w:rsidRPr="0016616E">
        <w:rPr>
          <w:bCs/>
        </w:rPr>
        <w:t xml:space="preserve">These burdens are stated to be attributable to meeting several financial and broader operational obligations under the grant guidelines, the Family Assistance Law (FAL) and the Minister’s Rules or other regulatory scheme. In particular, services </w:t>
      </w:r>
      <w:r w:rsidR="3721D346">
        <w:t>felt that</w:t>
      </w:r>
      <w:r w:rsidRPr="0016616E">
        <w:rPr>
          <w:bCs/>
        </w:rPr>
        <w:t xml:space="preserve"> </w:t>
      </w:r>
      <w:r w:rsidR="4145A873">
        <w:t>reporting and monitoring</w:t>
      </w:r>
      <w:r w:rsidRPr="0016616E">
        <w:rPr>
          <w:bCs/>
        </w:rPr>
        <w:t xml:space="preserve"> activities </w:t>
      </w:r>
      <w:r w:rsidR="5A57E844">
        <w:t>in relation to meeting CCCFR grant conditions place</w:t>
      </w:r>
      <w:r w:rsidR="7D176621">
        <w:t>d</w:t>
      </w:r>
      <w:r w:rsidR="5A57E844">
        <w:t xml:space="preserve"> </w:t>
      </w:r>
      <w:r w:rsidRPr="0016616E">
        <w:rPr>
          <w:bCs/>
        </w:rPr>
        <w:t xml:space="preserve">significant time and resourcing </w:t>
      </w:r>
      <w:r w:rsidR="18EFE006">
        <w:t>on</w:t>
      </w:r>
      <w:r>
        <w:t xml:space="preserve"> </w:t>
      </w:r>
      <w:r w:rsidRPr="0016616E">
        <w:rPr>
          <w:bCs/>
        </w:rPr>
        <w:t>service leaders and staff</w:t>
      </w:r>
      <w:r w:rsidR="6316FCB9">
        <w:t xml:space="preserve">, in addition to existing financial obligations and management </w:t>
      </w:r>
      <w:r w:rsidR="0A48F3C2">
        <w:t>activities</w:t>
      </w:r>
      <w:r w:rsidR="6316FCB9">
        <w:t xml:space="preserve"> to administer CCS under the Family Assistance Law</w:t>
      </w:r>
      <w:r w:rsidR="5D13BB59">
        <w:t>. These additional resourcing pressure were</w:t>
      </w:r>
      <w:r w:rsidRPr="0016616E">
        <w:rPr>
          <w:bCs/>
        </w:rPr>
        <w:t>:</w:t>
      </w:r>
    </w:p>
    <w:p w14:paraId="59CC16C3" w14:textId="77777777" w:rsidR="007E2C6E" w:rsidRPr="0016616E" w:rsidRDefault="007E2C6E" w:rsidP="00171325">
      <w:pPr>
        <w:pStyle w:val="ListNumber"/>
        <w:numPr>
          <w:ilvl w:val="0"/>
          <w:numId w:val="36"/>
        </w:numPr>
      </w:pPr>
      <w:r w:rsidRPr="00CE203D">
        <w:rPr>
          <w:b/>
        </w:rPr>
        <w:t>completing grant-specific documentation on an annual basis</w:t>
      </w:r>
      <w:r w:rsidRPr="0016616E">
        <w:t>, such as the annual activity budgets, financial reports, minor capital works plans and annual compliance and operations reports</w:t>
      </w:r>
    </w:p>
    <w:p w14:paraId="05921315" w14:textId="77777777" w:rsidR="007E2C6E" w:rsidRPr="0016616E" w:rsidRDefault="007E2C6E" w:rsidP="00171325">
      <w:pPr>
        <w:pStyle w:val="ListNumber"/>
        <w:numPr>
          <w:ilvl w:val="0"/>
          <w:numId w:val="36"/>
        </w:numPr>
      </w:pPr>
      <w:r w:rsidRPr="0016616E">
        <w:rPr>
          <w:b/>
        </w:rPr>
        <w:t xml:space="preserve">having to report on funding received from any additional grants </w:t>
      </w:r>
      <w:r w:rsidRPr="0016616E">
        <w:t xml:space="preserve">that the services apply for and receive to fill the gaps created by insufficient funding through CCCFR/CCS </w:t>
      </w:r>
    </w:p>
    <w:p w14:paraId="4FF2B0BE" w14:textId="77777777" w:rsidR="007E2C6E" w:rsidRPr="0016616E" w:rsidRDefault="007E2C6E" w:rsidP="00171325">
      <w:pPr>
        <w:pStyle w:val="ListNumber"/>
        <w:numPr>
          <w:ilvl w:val="0"/>
          <w:numId w:val="36"/>
        </w:numPr>
      </w:pPr>
      <w:r w:rsidRPr="0016616E">
        <w:rPr>
          <w:b/>
        </w:rPr>
        <w:t xml:space="preserve">complying with provider obligations under the FAL </w:t>
      </w:r>
      <w:r w:rsidRPr="0016616E">
        <w:t>in relation to making reasonable attempts to collect CCS payments from families</w:t>
      </w:r>
    </w:p>
    <w:p w14:paraId="2C7357FE" w14:textId="77777777" w:rsidR="007E2C6E" w:rsidRPr="0016616E" w:rsidRDefault="007E2C6E" w:rsidP="00171325">
      <w:pPr>
        <w:pStyle w:val="ListNumber"/>
        <w:numPr>
          <w:ilvl w:val="0"/>
          <w:numId w:val="36"/>
        </w:numPr>
      </w:pPr>
      <w:r w:rsidRPr="0016616E">
        <w:rPr>
          <w:b/>
        </w:rPr>
        <w:t xml:space="preserve">for services not regulated under the NQF, being unable to log serious incidents in NQAITS, </w:t>
      </w:r>
      <w:r w:rsidRPr="0016616E">
        <w:t>resulting in additional administrative burden through engaging directly with both their Program Officer and the relevant state or territory regulatory authority.</w:t>
      </w:r>
    </w:p>
    <w:p w14:paraId="6003857C" w14:textId="77777777" w:rsidR="007E2C6E" w:rsidRPr="00A82569" w:rsidRDefault="007E2C6E" w:rsidP="007E2C6E">
      <w:pPr>
        <w:spacing w:after="0"/>
        <w:rPr>
          <w:color w:val="26890D"/>
        </w:rPr>
      </w:pPr>
    </w:p>
    <w:p w14:paraId="0224DA91" w14:textId="77777777" w:rsidR="007E2C6E" w:rsidRPr="00A82569" w:rsidRDefault="007E2C6E" w:rsidP="007E2C6E">
      <w:pPr>
        <w:rPr>
          <w:color w:val="26890D"/>
        </w:rPr>
      </w:pPr>
      <w:r w:rsidRPr="00A82569">
        <w:rPr>
          <w:color w:val="26890D"/>
        </w:rPr>
        <w:t>“We feel like sitting ducks and it is a burden on services to feel like that and operate under Minister rules, which aren’t contextualized to our services.”</w:t>
      </w:r>
    </w:p>
    <w:p w14:paraId="5AE18B18" w14:textId="236EB539" w:rsidR="007E2C6E" w:rsidRPr="00CD38C6" w:rsidRDefault="007E2C6E" w:rsidP="007E2C6E">
      <w:r w:rsidRPr="00CD38C6">
        <w:t xml:space="preserve">This administrative burden can act as barriers to action for services, particularly in improving infrastructure. Several services referred to the barrier of obtaining three quotes for undertaking capital works, which can be time consuming for all services but is particularly acute in remote areas with low numbers of trades. </w:t>
      </w:r>
    </w:p>
    <w:p w14:paraId="19A20E2F" w14:textId="77777777" w:rsidR="007E2C6E" w:rsidRPr="00A82569" w:rsidRDefault="007E2C6E" w:rsidP="007E2C6E">
      <w:pPr>
        <w:rPr>
          <w:color w:val="26890D"/>
        </w:rPr>
      </w:pPr>
      <w:r w:rsidRPr="00A82569">
        <w:rPr>
          <w:color w:val="26890D"/>
        </w:rPr>
        <w:t>“I suppose being in a small place like [town name] as well when we got the grant to do this piece along here, it was the longest process, like just trying to get three quotes…we wanna do that fence up there as well, which [Program Officer] is confident that we'll get through the grants, but it's just it was very time consuming, so we just haven't.”</w:t>
      </w:r>
    </w:p>
    <w:p w14:paraId="7906F238" w14:textId="77777777" w:rsidR="007E2C6E" w:rsidRPr="0016616E" w:rsidRDefault="007E2C6E" w:rsidP="007E2C6E">
      <w:r w:rsidRPr="0016616E">
        <w:rPr>
          <w:b/>
          <w:bCs/>
        </w:rPr>
        <w:lastRenderedPageBreak/>
        <w:t xml:space="preserve">Many services note that staff spend a significant amount of time supporting families with Centrelink to access CCS and ACCS. </w:t>
      </w:r>
      <w:r w:rsidRPr="0016616E">
        <w:t>This is an additional administrative burden of the existing funding model.</w:t>
      </w:r>
      <w:r w:rsidRPr="0016616E">
        <w:rPr>
          <w:b/>
          <w:bCs/>
        </w:rPr>
        <w:t xml:space="preserve"> </w:t>
      </w:r>
    </w:p>
    <w:p w14:paraId="1A8743AF" w14:textId="77777777" w:rsidR="007E2C6E" w:rsidRPr="00A82569" w:rsidRDefault="007E2C6E" w:rsidP="007E2C6E">
      <w:pPr>
        <w:rPr>
          <w:color w:val="26890D"/>
        </w:rPr>
      </w:pPr>
      <w:r w:rsidRPr="00A82569">
        <w:rPr>
          <w:color w:val="26890D"/>
        </w:rPr>
        <w:t>“[Centre] staff assists parents and grandparents to access their CCS entitlements and ACCS via Centrelink – sometimes waiting hours whilst they are in the queue: [the service] used to have a dedicated computer in the foyer. This additional social support isn’t core business for [the service] but staff go above and beyond because they have the trust of the parents and want to make sure the children stay connected to the centre.”</w:t>
      </w:r>
    </w:p>
    <w:p w14:paraId="523C556F" w14:textId="5E79797D" w:rsidR="007E2C6E" w:rsidRPr="0016616E" w:rsidRDefault="007E2C6E" w:rsidP="007E2C6E">
      <w:pPr>
        <w:rPr>
          <w:color w:val="86BC25"/>
        </w:rPr>
      </w:pPr>
      <w:r w:rsidRPr="0016616E">
        <w:rPr>
          <w:b/>
        </w:rPr>
        <w:t>While many services appreciate professional training and support provided by ACECQA, several services note that there are limited resources or training available to build educator and broader service capacity and knowledge.</w:t>
      </w:r>
      <w:r w:rsidRPr="0016616E">
        <w:rPr>
          <w:bCs/>
        </w:rPr>
        <w:t xml:space="preserve"> Some services emphasised the benefits of the Indigenous Professional Support Unit (IPSU) and other professional supports offered from previous funding arrangements and called for increased access to training and resources. With limited staff capacity and regulations around days that a centre is open, some services are unable to send staff to professional development training.</w:t>
      </w:r>
    </w:p>
    <w:p w14:paraId="6FA65A63" w14:textId="77777777" w:rsidR="007E2C6E" w:rsidRPr="00A82569" w:rsidRDefault="007E2C6E" w:rsidP="007E2C6E">
      <w:pPr>
        <w:rPr>
          <w:color w:val="26890D"/>
        </w:rPr>
      </w:pPr>
      <w:r w:rsidRPr="00A82569">
        <w:rPr>
          <w:color w:val="26890D"/>
        </w:rPr>
        <w:t>“Not enough funding for staff training such as first aid and trauma informed processes.”</w:t>
      </w:r>
    </w:p>
    <w:p w14:paraId="5BE68AB7" w14:textId="77777777" w:rsidR="007E2C6E" w:rsidRPr="00A82569" w:rsidRDefault="007E2C6E" w:rsidP="007E2C6E">
      <w:pPr>
        <w:rPr>
          <w:color w:val="26890D"/>
        </w:rPr>
      </w:pPr>
      <w:r w:rsidRPr="00A82569">
        <w:rPr>
          <w:color w:val="26890D"/>
        </w:rPr>
        <w:t>“[We need] short course fundamentals that gets people working – when we don’t have a diploma level staff member then the room closes.”</w:t>
      </w:r>
    </w:p>
    <w:p w14:paraId="366466F9" w14:textId="37A3C230" w:rsidR="007E2C6E" w:rsidRPr="0016616E" w:rsidRDefault="007E2C6E" w:rsidP="007E2C6E">
      <w:r w:rsidRPr="0016616E">
        <w:rPr>
          <w:b/>
        </w:rPr>
        <w:t>Some services state that they rely heavily on their Program Officer for guidance and support in relation to operational and broader service governance matters</w:t>
      </w:r>
      <w:r w:rsidRPr="0016616E">
        <w:rPr>
          <w:bCs/>
        </w:rPr>
        <w:t>. In addition, services are largely unclear around the scope and extent of support that should be provided by their Program Officer. As such, services varied in terms of the level of support they requested, and subsequently received from their Program Officer.</w:t>
      </w:r>
    </w:p>
    <w:p w14:paraId="44CF25CA" w14:textId="77777777" w:rsidR="007E2C6E" w:rsidRPr="00A82569" w:rsidRDefault="007E2C6E" w:rsidP="007E2C6E">
      <w:pPr>
        <w:rPr>
          <w:color w:val="26890D"/>
          <w:lang w:val="en-US"/>
        </w:rPr>
      </w:pPr>
      <w:r w:rsidRPr="00A82569">
        <w:rPr>
          <w:color w:val="26890D"/>
          <w:lang w:val="en-US"/>
        </w:rPr>
        <w:t>“I can’t fault CCCFR project officer who has been with us since the changeover...she has nurtured that relationship with us, and she knows how we operate; she knows to follow up with phone calls if I haven’t replied or missed reporting. She is a big advocate.”</w:t>
      </w:r>
    </w:p>
    <w:p w14:paraId="59E98D39" w14:textId="77777777" w:rsidR="007E2C6E" w:rsidRPr="0016616E" w:rsidRDefault="007E2C6E" w:rsidP="007E2C6E">
      <w:pPr>
        <w:rPr>
          <w:bCs/>
        </w:rPr>
      </w:pPr>
      <w:r w:rsidRPr="0016616E">
        <w:rPr>
          <w:bCs/>
        </w:rPr>
        <w:t xml:space="preserve">Consultations with services also emphasised the role of the Program Officer as a vital aspect of sector support, with some services noting differing experiences and levels of support across different Program Officers they had worked with over the years. Many services who had not received an in-person visit from their Program Officer found this to be an impediment to the efficiency and effectiveness of their communications, and those who had received visits conversely spoke of highly impactful relationships. </w:t>
      </w:r>
    </w:p>
    <w:p w14:paraId="6FDBB18D" w14:textId="77777777" w:rsidR="007E2C6E" w:rsidRPr="00A82569" w:rsidRDefault="007E2C6E" w:rsidP="007E2C6E">
      <w:pPr>
        <w:rPr>
          <w:color w:val="26890D"/>
        </w:rPr>
      </w:pPr>
      <w:r w:rsidRPr="00A82569">
        <w:rPr>
          <w:color w:val="26890D"/>
        </w:rPr>
        <w:t>“I always have to ring because I get no response to emails. Why can’t they come here?”</w:t>
      </w:r>
    </w:p>
    <w:p w14:paraId="5A375300" w14:textId="77777777" w:rsidR="007E2C6E" w:rsidRPr="00A82569" w:rsidRDefault="007E2C6E" w:rsidP="007E2C6E">
      <w:pPr>
        <w:rPr>
          <w:color w:val="26890D"/>
          <w:lang w:val="en-US"/>
        </w:rPr>
      </w:pPr>
      <w:r w:rsidRPr="00A82569">
        <w:rPr>
          <w:color w:val="26890D"/>
          <w:lang w:val="en-US"/>
        </w:rPr>
        <w:t>“Old officer understood our centre and visited our centre, so they knew, the new officer hasn’t made the effort.”</w:t>
      </w:r>
    </w:p>
    <w:p w14:paraId="17780CAE" w14:textId="67400CBC" w:rsidR="007E2C6E" w:rsidRPr="00A82569" w:rsidRDefault="007E2C6E" w:rsidP="007E2C6E">
      <w:pPr>
        <w:rPr>
          <w:color w:val="26890D"/>
          <w:lang w:val="en-US"/>
        </w:rPr>
      </w:pPr>
      <w:r w:rsidRPr="00A82569">
        <w:rPr>
          <w:color w:val="26890D"/>
          <w:lang w:val="en-US"/>
        </w:rPr>
        <w:t>“There is not one [</w:t>
      </w:r>
      <w:r w:rsidR="00E9270B" w:rsidRPr="00A82569">
        <w:rPr>
          <w:color w:val="26890D"/>
          <w:lang w:val="en-US"/>
        </w:rPr>
        <w:t>P</w:t>
      </w:r>
      <w:r w:rsidRPr="00A82569">
        <w:rPr>
          <w:color w:val="26890D"/>
          <w:lang w:val="en-US"/>
        </w:rPr>
        <w:t xml:space="preserve">rogram </w:t>
      </w:r>
      <w:r w:rsidR="00E9270B" w:rsidRPr="00A82569">
        <w:rPr>
          <w:color w:val="26890D"/>
          <w:lang w:val="en-US"/>
        </w:rPr>
        <w:t>O</w:t>
      </w:r>
      <w:r w:rsidRPr="00A82569">
        <w:rPr>
          <w:color w:val="26890D"/>
          <w:lang w:val="en-US"/>
        </w:rPr>
        <w:t>fficer] in remote communities. Communities that have a greater need for this support do not have access to it.”</w:t>
      </w:r>
    </w:p>
    <w:p w14:paraId="738B3557" w14:textId="77777777" w:rsidR="007E2C6E" w:rsidRPr="00A82569" w:rsidRDefault="007E2C6E" w:rsidP="007E2C6E">
      <w:pPr>
        <w:rPr>
          <w:color w:val="26890D"/>
        </w:rPr>
      </w:pPr>
      <w:r w:rsidRPr="00A82569">
        <w:rPr>
          <w:color w:val="26890D"/>
        </w:rPr>
        <w:t>“They act as the police for Government, humbugging [us]”</w:t>
      </w:r>
    </w:p>
    <w:p w14:paraId="3E8A4B68" w14:textId="77777777" w:rsidR="007E2C6E" w:rsidRPr="0016616E" w:rsidRDefault="007E2C6E" w:rsidP="007E2C6E">
      <w:pPr>
        <w:rPr>
          <w:bCs/>
        </w:rPr>
      </w:pPr>
      <w:r w:rsidRPr="0016616E">
        <w:rPr>
          <w:b/>
        </w:rPr>
        <w:t>Services have mixed experiences in relation to the knowledge and capability of their governance and leadership.</w:t>
      </w:r>
      <w:r w:rsidRPr="0016616E">
        <w:rPr>
          <w:bCs/>
        </w:rPr>
        <w:t xml:space="preserve"> While some services point to their history of strong governance and service management, other services note communication barriers when engaging with their organisational leadership or governance team, such as Board Members or Council staff with little to no interaction with the ECEC service on a day-to-day basis.</w:t>
      </w:r>
    </w:p>
    <w:p w14:paraId="5A7BB7E9" w14:textId="55264A26" w:rsidR="007E2C6E" w:rsidRPr="0016616E" w:rsidRDefault="007E2C6E" w:rsidP="007E2C6E">
      <w:pPr>
        <w:rPr>
          <w:bCs/>
        </w:rPr>
      </w:pPr>
      <w:r w:rsidRPr="0016616E">
        <w:rPr>
          <w:b/>
        </w:rPr>
        <w:t>Some services reflect that challenges in meeting provider obligations under the FAL are compounded by broader limitations.</w:t>
      </w:r>
      <w:r w:rsidRPr="0016616E">
        <w:rPr>
          <w:bCs/>
        </w:rPr>
        <w:t xml:space="preserve"> Some services note that they are required to provide intensive support to parents and carers to receive child</w:t>
      </w:r>
      <w:r w:rsidR="00F90B2D">
        <w:rPr>
          <w:bCs/>
        </w:rPr>
        <w:t xml:space="preserve"> </w:t>
      </w:r>
      <w:r w:rsidRPr="0016616E">
        <w:rPr>
          <w:bCs/>
        </w:rPr>
        <w:t xml:space="preserve">care payments, including supporting families to collect documentation and relay information to Services Australia. In particular, services </w:t>
      </w:r>
      <w:r w:rsidRPr="0016616E">
        <w:rPr>
          <w:bCs/>
        </w:rPr>
        <w:lastRenderedPageBreak/>
        <w:t>note that requesting the ACCS is particularly challenging and time consuming for families and services, including having to provide evidence of “vulnerability” in order to receive funding.</w:t>
      </w:r>
    </w:p>
    <w:p w14:paraId="574B4B65" w14:textId="77777777" w:rsidR="007E2C6E" w:rsidRPr="00A82569" w:rsidRDefault="007E2C6E" w:rsidP="007E2C6E">
      <w:pPr>
        <w:rPr>
          <w:color w:val="26890D"/>
        </w:rPr>
      </w:pPr>
      <w:r w:rsidRPr="00A82569">
        <w:rPr>
          <w:color w:val="26890D"/>
        </w:rPr>
        <w:t>“There’s so much additional work to support families [to access child care payments]. They have to ring Centrelink – and we’ll have to sit with the girl to make sure they’re able to explain their circumstance properly, so we’re sitting with them for hours while they wait for their call to be answered. They should be in the school, but they’re sitting in the office with our staff, who cannot do it on their behalf. This additional support is way more than child care”</w:t>
      </w:r>
    </w:p>
    <w:p w14:paraId="7E985527" w14:textId="77777777" w:rsidR="007E2C6E" w:rsidRPr="0016616E" w:rsidRDefault="007E2C6E" w:rsidP="007E2C6E">
      <w:pPr>
        <w:rPr>
          <w:color w:val="62B5E5"/>
        </w:rPr>
      </w:pPr>
      <w:r w:rsidRPr="0016616E">
        <w:t>For services regulated under the NQF, respondents report that the NQF sets a good benchmark for services:</w:t>
      </w:r>
    </w:p>
    <w:p w14:paraId="3507B5DA" w14:textId="77777777" w:rsidR="007E2C6E" w:rsidRPr="00A82569" w:rsidRDefault="007E2C6E" w:rsidP="007E2C6E">
      <w:pPr>
        <w:rPr>
          <w:color w:val="007CB0"/>
        </w:rPr>
      </w:pPr>
      <w:r w:rsidRPr="00A82569">
        <w:rPr>
          <w:color w:val="007CB0"/>
        </w:rPr>
        <w:t>“Service constantly reviews itself to ensure NQF is front of mind at all times”.</w:t>
      </w:r>
    </w:p>
    <w:p w14:paraId="03D82944" w14:textId="77777777" w:rsidR="007E2C6E" w:rsidRPr="00A82569" w:rsidRDefault="007E2C6E" w:rsidP="007E2C6E">
      <w:pPr>
        <w:rPr>
          <w:color w:val="007CB0"/>
        </w:rPr>
      </w:pPr>
      <w:r w:rsidRPr="00A82569">
        <w:rPr>
          <w:color w:val="007CB0"/>
        </w:rPr>
        <w:t>“I find the NQF has been good for setting that high benchmark for services to ensure regulations are being met”.</w:t>
      </w:r>
    </w:p>
    <w:p w14:paraId="16B3CA9B" w14:textId="77777777" w:rsidR="007E2C6E" w:rsidRPr="0016616E" w:rsidRDefault="007E2C6E" w:rsidP="007E2C6E">
      <w:r w:rsidRPr="0016616E">
        <w:t xml:space="preserve">Most providers that are not regulated however, are not confident that their services can meet the requirements of the NQF. </w:t>
      </w:r>
    </w:p>
    <w:p w14:paraId="22C05C71" w14:textId="6C0C99E9" w:rsidR="007E2C6E" w:rsidRPr="0016616E" w:rsidRDefault="007E2C6E" w:rsidP="007E2C6E">
      <w:r w:rsidRPr="0016616E">
        <w:t>Services were also asked about the key considerations for their service to meet NQF requirements. Of the services currently not NQF-regulated (i.e. those not regulated under the National Law and Regulations, however regulated under the Minister’s Rules and/or state or territory residual legislation), most report this is due to a lack of qualified staff to deliver the framework standards</w:t>
      </w:r>
      <w:r w:rsidR="2E7AD72B">
        <w:t>.</w:t>
      </w:r>
    </w:p>
    <w:p w14:paraId="0A7058EE" w14:textId="697FF0D1" w:rsidR="007E2C6E" w:rsidRPr="0016616E" w:rsidRDefault="2E7AD72B" w:rsidP="007E2C6E">
      <w:r>
        <w:t xml:space="preserve">In considering </w:t>
      </w:r>
      <w:r w:rsidR="14087D8A">
        <w:t>the assessment and planning cycle</w:t>
      </w:r>
      <w:r w:rsidR="76B97611">
        <w:t xml:space="preserve"> and educational programming (Quality Area 1</w:t>
      </w:r>
      <w:r w:rsidR="14087D8A">
        <w:t xml:space="preserve"> of the National Quality Standard</w:t>
      </w:r>
      <w:r w:rsidR="76B97611">
        <w:t>)</w:t>
      </w:r>
      <w:r w:rsidR="14087D8A">
        <w:t xml:space="preserve">, one service noted that </w:t>
      </w:r>
      <w:r w:rsidR="5FE2CC93">
        <w:t xml:space="preserve">varying </w:t>
      </w:r>
      <w:r w:rsidR="14087D8A">
        <w:t>employee literacy</w:t>
      </w:r>
      <w:r w:rsidR="41ECE69D">
        <w:t xml:space="preserve"> </w:t>
      </w:r>
      <w:r w:rsidR="5FE2CC93">
        <w:t>(including digital literacy) may have a negative impact on their service when assessed against the NQS</w:t>
      </w:r>
      <w:r w:rsidR="6EF290D2">
        <w:t>:</w:t>
      </w:r>
    </w:p>
    <w:p w14:paraId="131053EB" w14:textId="32E4138A" w:rsidR="007E2C6E" w:rsidRPr="00A82569" w:rsidRDefault="007E2C6E" w:rsidP="007E2C6E">
      <w:pPr>
        <w:rPr>
          <w:color w:val="007CB0"/>
        </w:rPr>
      </w:pPr>
      <w:r w:rsidRPr="00A82569">
        <w:rPr>
          <w:color w:val="007CB0"/>
        </w:rPr>
        <w:t>“For the service to meet NQF requirements significant training would be required to support staff to deliver framework standards for educational programming.</w:t>
      </w:r>
      <w:r w:rsidR="002E497C" w:rsidRPr="00A82569">
        <w:rPr>
          <w:color w:val="007CB0"/>
        </w:rPr>
        <w:t xml:space="preserve"> </w:t>
      </w:r>
      <w:r w:rsidRPr="00A82569">
        <w:rPr>
          <w:color w:val="007CB0"/>
        </w:rPr>
        <w:t>Employee literacy and technology levels vary and may impact the ability to meet NQF standards”.</w:t>
      </w:r>
    </w:p>
    <w:p w14:paraId="74700D59" w14:textId="77777777" w:rsidR="007E2C6E" w:rsidRPr="00A82569" w:rsidRDefault="007E2C6E" w:rsidP="007E2C6E">
      <w:pPr>
        <w:rPr>
          <w:color w:val="007CB0"/>
        </w:rPr>
      </w:pPr>
      <w:r w:rsidRPr="00A82569">
        <w:rPr>
          <w:color w:val="007CB0"/>
        </w:rPr>
        <w:t>"More qualified staff with good understanding of the planning process and child development. More consideration of the training needs of local Indigenous staff in understanding and meeting regulatory and mainstream requirements"</w:t>
      </w:r>
    </w:p>
    <w:p w14:paraId="74E97E9D" w14:textId="77D9F823" w:rsidR="23E26718" w:rsidRPr="00CD38C6" w:rsidRDefault="23E26718" w:rsidP="242B533C">
      <w:r w:rsidRPr="00CD38C6">
        <w:t xml:space="preserve">Services also noted </w:t>
      </w:r>
      <w:r w:rsidRPr="242B533C">
        <w:t>challenges in attracting and retaining qualified educators</w:t>
      </w:r>
      <w:r w:rsidRPr="7D94EA8A">
        <w:t xml:space="preserve"> as having a negative impact on their ability to meet requirements under the National Law and Regulations:</w:t>
      </w:r>
    </w:p>
    <w:p w14:paraId="09BD0B44" w14:textId="77777777" w:rsidR="007E2C6E" w:rsidRPr="0016616E" w:rsidRDefault="007E2C6E" w:rsidP="007E2C6E">
      <w:pPr>
        <w:rPr>
          <w:color w:val="62B5E5"/>
        </w:rPr>
      </w:pPr>
      <w:r w:rsidRPr="00A82569">
        <w:rPr>
          <w:color w:val="007CB0"/>
        </w:rPr>
        <w:t>“Qualified Educators to support ratio and cater to children's additional needs”.</w:t>
      </w:r>
    </w:p>
    <w:p w14:paraId="68E5D271" w14:textId="30EB4910" w:rsidR="007E2C6E" w:rsidRPr="0016616E" w:rsidRDefault="6D97D43E" w:rsidP="169842B4">
      <w:r w:rsidRPr="169842B4">
        <w:t>Services also raised concerns around current infrastructure issues impacting the ability for the service to comply with regulations around infrastructre and space requirements</w:t>
      </w:r>
      <w:r w:rsidR="4C712600" w:rsidRPr="169842B4">
        <w:t>:</w:t>
      </w:r>
    </w:p>
    <w:p w14:paraId="464D106A" w14:textId="0C38083A" w:rsidR="007E2C6E" w:rsidRPr="0029748C" w:rsidRDefault="007E2C6E" w:rsidP="007E2C6E">
      <w:pPr>
        <w:rPr>
          <w:color w:val="007CB0"/>
        </w:rPr>
      </w:pPr>
      <w:r w:rsidRPr="0029748C">
        <w:rPr>
          <w:color w:val="007CB0"/>
        </w:rPr>
        <w:t>“Accreditation support officer and funding as there may be facility or infrastructure upgrades required including staff training</w:t>
      </w:r>
      <w:r w:rsidR="00A82569" w:rsidRPr="0029748C">
        <w:rPr>
          <w:color w:val="007CB0"/>
        </w:rPr>
        <w:t>.</w:t>
      </w:r>
      <w:r w:rsidR="0029748C" w:rsidRPr="0029748C">
        <w:rPr>
          <w:color w:val="007CB0"/>
        </w:rPr>
        <w:t>”</w:t>
      </w:r>
    </w:p>
    <w:p w14:paraId="157B8981" w14:textId="68063AFE" w:rsidR="007E2C6E" w:rsidRPr="0016616E" w:rsidRDefault="007E2C6E" w:rsidP="007E2C6E">
      <w:pPr>
        <w:rPr>
          <w:b/>
          <w:bCs/>
        </w:rPr>
      </w:pPr>
      <w:r w:rsidRPr="0016616E">
        <w:t xml:space="preserve">Services </w:t>
      </w:r>
      <w:r w:rsidR="45ECED09">
        <w:t>wished</w:t>
      </w:r>
      <w:r w:rsidRPr="0016616E">
        <w:t xml:space="preserve"> to engage their staff in professional development on a wide range of subject matter, from understanding administration requirements, to training in Aboriginal and Torres Strait Islander Culture:</w:t>
      </w:r>
    </w:p>
    <w:p w14:paraId="3F56C8EB" w14:textId="77777777" w:rsidR="007E2C6E" w:rsidRPr="0029748C" w:rsidRDefault="007E2C6E" w:rsidP="007E2C6E">
      <w:pPr>
        <w:rPr>
          <w:color w:val="007CB0"/>
        </w:rPr>
      </w:pPr>
      <w:r w:rsidRPr="0029748C">
        <w:rPr>
          <w:color w:val="007CB0"/>
        </w:rPr>
        <w:t>“Professional development specific to providing a service to Indigenous Australians, balancing Culture with mainstream requirements. A support organisation specifically designed to support Indigenous services, as per the old RRACCSU model. i.e., acknowledgement of the strengths of local Indigenous staff and acknowledgement of their training and support needs. More practical support to help services struggling to meet the objectives”.</w:t>
      </w:r>
    </w:p>
    <w:p w14:paraId="7F66BBE7" w14:textId="0B12F821" w:rsidR="007E2C6E" w:rsidRPr="0029748C" w:rsidRDefault="007E2C6E" w:rsidP="007E2C6E">
      <w:pPr>
        <w:rPr>
          <w:color w:val="007CB0"/>
        </w:rPr>
      </w:pPr>
      <w:r w:rsidRPr="0029748C">
        <w:rPr>
          <w:color w:val="007CB0"/>
        </w:rPr>
        <w:t>"Support, training and professional development in understanding the administration requirements of running a centre based child</w:t>
      </w:r>
      <w:r w:rsidR="00F90B2D" w:rsidRPr="0029748C">
        <w:rPr>
          <w:color w:val="007CB0"/>
        </w:rPr>
        <w:t xml:space="preserve"> </w:t>
      </w:r>
      <w:r w:rsidRPr="0029748C">
        <w:rPr>
          <w:color w:val="007CB0"/>
        </w:rPr>
        <w:t>care service. Especially when new staff are appointed. The systems used to administer child</w:t>
      </w:r>
      <w:r w:rsidR="00F90B2D" w:rsidRPr="0029748C">
        <w:rPr>
          <w:color w:val="007CB0"/>
        </w:rPr>
        <w:t xml:space="preserve"> </w:t>
      </w:r>
      <w:r w:rsidRPr="0029748C">
        <w:rPr>
          <w:color w:val="007CB0"/>
        </w:rPr>
        <w:t>care are very different to the ones staff are familiar with in a school system".</w:t>
      </w:r>
    </w:p>
    <w:p w14:paraId="234399A3" w14:textId="77777777" w:rsidR="007E2C6E" w:rsidRPr="0016616E" w:rsidRDefault="007E2C6E" w:rsidP="007E2C6E">
      <w:r w:rsidRPr="0016616E">
        <w:lastRenderedPageBreak/>
        <w:t xml:space="preserve">Much of the current professional development opportunities are hindered by existing workforce issues: </w:t>
      </w:r>
    </w:p>
    <w:p w14:paraId="7369BA7C" w14:textId="77777777" w:rsidR="007E2C6E" w:rsidRPr="0029748C" w:rsidRDefault="007E2C6E" w:rsidP="007E2C6E">
      <w:pPr>
        <w:rPr>
          <w:color w:val="007CB0"/>
        </w:rPr>
      </w:pPr>
      <w:r w:rsidRPr="0029748C">
        <w:rPr>
          <w:color w:val="007CB0"/>
        </w:rPr>
        <w:t>"Access to more staff would free up staff to attend off the job training in order to improve their knowledge and skill base. At present, it is difficult if not impossible to release staff for training due to a lack of casual staff to cover shifts at the centre".</w:t>
      </w:r>
    </w:p>
    <w:p w14:paraId="3A2410B2" w14:textId="77777777" w:rsidR="007E2C6E" w:rsidRPr="0016616E" w:rsidRDefault="007E2C6E" w:rsidP="007E2C6E">
      <w:r w:rsidRPr="0016616E">
        <w:t>Suggestions put forward to attract more staff in the industry include:</w:t>
      </w:r>
    </w:p>
    <w:p w14:paraId="14A15B00" w14:textId="77777777" w:rsidR="007E2C6E" w:rsidRPr="0029748C" w:rsidRDefault="007E2C6E" w:rsidP="007E2C6E">
      <w:pPr>
        <w:rPr>
          <w:color w:val="007CB0"/>
        </w:rPr>
      </w:pPr>
      <w:r w:rsidRPr="0029748C">
        <w:rPr>
          <w:color w:val="007CB0"/>
        </w:rPr>
        <w:t>“More funding to access for professional development and consideration to travel costs and remote locations”.</w:t>
      </w:r>
    </w:p>
    <w:p w14:paraId="0D2CDCC7" w14:textId="77777777" w:rsidR="007E2C6E" w:rsidRPr="0029748C" w:rsidRDefault="007E2C6E" w:rsidP="007E2C6E">
      <w:pPr>
        <w:rPr>
          <w:color w:val="007CB0"/>
        </w:rPr>
      </w:pPr>
      <w:r w:rsidRPr="0029748C">
        <w:rPr>
          <w:color w:val="007CB0"/>
        </w:rPr>
        <w:t>“Attractive recruitment package for Team Leaders including a vehicle, RTO representatives to come to community to train staff in Cert III or Diploma”.</w:t>
      </w:r>
    </w:p>
    <w:p w14:paraId="0D1E869A" w14:textId="74B2160F" w:rsidR="007E2C6E" w:rsidRPr="0029748C" w:rsidRDefault="007E2C6E" w:rsidP="007E2C6E">
      <w:pPr>
        <w:rPr>
          <w:color w:val="007CB0"/>
          <w:highlight w:val="lightGray"/>
        </w:rPr>
      </w:pPr>
      <w:r w:rsidRPr="0029748C">
        <w:rPr>
          <w:color w:val="007CB0"/>
        </w:rPr>
        <w:t>“Literacy programs, IT support, supporting study requirements to obtain qualifications.</w:t>
      </w:r>
      <w:r w:rsidR="002E497C" w:rsidRPr="0029748C">
        <w:rPr>
          <w:color w:val="007CB0"/>
        </w:rPr>
        <w:t xml:space="preserve"> </w:t>
      </w:r>
      <w:r w:rsidRPr="0029748C">
        <w:rPr>
          <w:color w:val="007CB0"/>
        </w:rPr>
        <w:t xml:space="preserve">Service would require constant monitoring and financial support to maintain this level due to remoteness of the service. E.g., daily, or minimum alternative daily travel to the service”. </w:t>
      </w:r>
    </w:p>
    <w:p w14:paraId="671E8049" w14:textId="77777777" w:rsidR="007E2C6E" w:rsidRPr="0016616E" w:rsidRDefault="007E2C6E" w:rsidP="007E2C6E">
      <w:pPr>
        <w:rPr>
          <w:b/>
          <w:bCs/>
        </w:rPr>
      </w:pPr>
      <w:r w:rsidRPr="0016616E">
        <w:rPr>
          <w:b/>
          <w:bCs/>
        </w:rPr>
        <w:t xml:space="preserve">Program Officers play a key role in providing advice, links, and feedback on a vast range of CCCFR grant related activities. In addition to this, survey respondents state that Program Officers provide unmeasured value, through their ability to limit bureaucracy, and having an innate understanding of their services. </w:t>
      </w:r>
    </w:p>
    <w:p w14:paraId="182C4F28" w14:textId="77777777" w:rsidR="007E2C6E" w:rsidRPr="0029748C" w:rsidRDefault="007E2C6E" w:rsidP="007E2C6E">
      <w:pPr>
        <w:rPr>
          <w:color w:val="007CB0"/>
        </w:rPr>
      </w:pPr>
      <w:r w:rsidRPr="0029748C">
        <w:rPr>
          <w:color w:val="007CB0"/>
        </w:rPr>
        <w:t xml:space="preserve">“Our CCCFR Program Officer is supportive of listening to our story sees our uniqueness. In addition, recognizes the cost of providing our service. We have had a face-to-face visit as well which was very meaningful for us”. </w:t>
      </w:r>
    </w:p>
    <w:p w14:paraId="76E574D0" w14:textId="32EDB186" w:rsidR="007E2C6E" w:rsidRPr="0029748C" w:rsidRDefault="007E2C6E" w:rsidP="007E2C6E">
      <w:pPr>
        <w:rPr>
          <w:color w:val="007CB0"/>
        </w:rPr>
      </w:pPr>
      <w:r w:rsidRPr="0029748C">
        <w:rPr>
          <w:color w:val="007CB0"/>
        </w:rPr>
        <w:t>“Ongoing support and consistent availability to answer enquiries and advocate for the service for example improvements to buildings / grounds / upgrades.</w:t>
      </w:r>
      <w:r w:rsidR="002E497C" w:rsidRPr="0029748C">
        <w:rPr>
          <w:color w:val="007CB0"/>
        </w:rPr>
        <w:t xml:space="preserve"> </w:t>
      </w:r>
      <w:r w:rsidRPr="0029748C">
        <w:rPr>
          <w:color w:val="007CB0"/>
        </w:rPr>
        <w:t xml:space="preserve">Our Program officer is local and understands the community needs as opposed to a centralised officer in a capital city”. </w:t>
      </w:r>
    </w:p>
    <w:p w14:paraId="5BBF541C" w14:textId="77777777" w:rsidR="007E2C6E" w:rsidRPr="008F3723" w:rsidRDefault="007E2C6E" w:rsidP="007E2C6E">
      <w:pPr>
        <w:pStyle w:val="Appendixhead3"/>
        <w:rPr>
          <w:rFonts w:eastAsiaTheme="majorEastAsia"/>
        </w:rPr>
      </w:pPr>
      <w:r w:rsidRPr="0093015C">
        <w:rPr>
          <w:rFonts w:eastAsiaTheme="majorEastAsia"/>
        </w:rPr>
        <w:t>Resourcing and financial sustainability</w:t>
      </w:r>
    </w:p>
    <w:p w14:paraId="560A9C73" w14:textId="77777777" w:rsidR="007E2C6E" w:rsidRPr="0016616E" w:rsidRDefault="007E2C6E" w:rsidP="007E2C6E">
      <w:r w:rsidRPr="0016616E">
        <w:t>Ways in which CCCFR funding helps to improve service delivery focuses on staff retention, training and reducing staff burnout:</w:t>
      </w:r>
    </w:p>
    <w:p w14:paraId="7020BF4A" w14:textId="77777777" w:rsidR="007E2C6E" w:rsidRPr="0029748C" w:rsidRDefault="007E2C6E" w:rsidP="007E2C6E">
      <w:pPr>
        <w:rPr>
          <w:color w:val="007CB0"/>
        </w:rPr>
      </w:pPr>
      <w:r w:rsidRPr="0029748C">
        <w:rPr>
          <w:color w:val="007CB0"/>
        </w:rPr>
        <w:t>“The grant is also supporting our local staff to seek learning opportunities by enrolling and studying Certificate 3 in ECEC”.</w:t>
      </w:r>
    </w:p>
    <w:p w14:paraId="33578015" w14:textId="77777777" w:rsidR="007E2C6E" w:rsidRPr="0029748C" w:rsidRDefault="007E2C6E" w:rsidP="007E2C6E">
      <w:pPr>
        <w:rPr>
          <w:color w:val="007CB0"/>
        </w:rPr>
      </w:pPr>
      <w:r w:rsidRPr="0029748C">
        <w:rPr>
          <w:color w:val="007CB0"/>
        </w:rPr>
        <w:t>“Enables us to offer more regular hours of work to staff”.</w:t>
      </w:r>
    </w:p>
    <w:p w14:paraId="3ED96565" w14:textId="77777777" w:rsidR="007E2C6E" w:rsidRPr="0016616E" w:rsidRDefault="007E2C6E" w:rsidP="007E2C6E">
      <w:r w:rsidRPr="0016616E">
        <w:t>However, challenges around staffing remain despite the benefits it may provide on that front:</w:t>
      </w:r>
    </w:p>
    <w:p w14:paraId="35139D46" w14:textId="77777777" w:rsidR="007E2C6E" w:rsidRPr="0029748C" w:rsidRDefault="007E2C6E" w:rsidP="007E2C6E">
      <w:pPr>
        <w:keepNext/>
        <w:rPr>
          <w:color w:val="007CB0"/>
        </w:rPr>
      </w:pPr>
      <w:r w:rsidRPr="0029748C">
        <w:rPr>
          <w:color w:val="007CB0"/>
        </w:rPr>
        <w:t>“Grant helps hiring local staff, however attracting and retaining new qualified staff is a huge challenge”.</w:t>
      </w:r>
    </w:p>
    <w:p w14:paraId="4C854824" w14:textId="77777777" w:rsidR="007E2C6E" w:rsidRPr="0016616E" w:rsidRDefault="007E2C6E" w:rsidP="007E2C6E">
      <w:r w:rsidRPr="0016616E">
        <w:t xml:space="preserve">CCCFR funding assists services with regular maintenance of their equipment: </w:t>
      </w:r>
    </w:p>
    <w:p w14:paraId="302D7262" w14:textId="77777777" w:rsidR="007E2C6E" w:rsidRPr="0029748C" w:rsidRDefault="007E2C6E" w:rsidP="007E2C6E">
      <w:pPr>
        <w:keepNext/>
        <w:rPr>
          <w:color w:val="007CB0"/>
        </w:rPr>
      </w:pPr>
      <w:r w:rsidRPr="0029748C">
        <w:rPr>
          <w:color w:val="007CB0"/>
        </w:rPr>
        <w:t>“Supports us to upgrade capital infrastructure and ensure maintenance of the facilities”.</w:t>
      </w:r>
    </w:p>
    <w:p w14:paraId="5A89E341" w14:textId="77777777" w:rsidR="007E2C6E" w:rsidRPr="0029748C" w:rsidRDefault="007E2C6E" w:rsidP="007E2C6E">
      <w:pPr>
        <w:keepNext/>
        <w:rPr>
          <w:color w:val="007CB0"/>
        </w:rPr>
      </w:pPr>
      <w:r w:rsidRPr="0029748C">
        <w:rPr>
          <w:color w:val="007CB0"/>
        </w:rPr>
        <w:t xml:space="preserve">“Upgrading our outdoor yard, purchasing electronics”. </w:t>
      </w:r>
    </w:p>
    <w:p w14:paraId="76E023A7" w14:textId="77777777" w:rsidR="007E2C6E" w:rsidRPr="0016616E" w:rsidRDefault="007E2C6E" w:rsidP="007E2C6E">
      <w:r w:rsidRPr="0016616E">
        <w:t>Respondents report a reliance of CCCFR funding to keep services open:</w:t>
      </w:r>
    </w:p>
    <w:p w14:paraId="0FC4C537" w14:textId="77777777" w:rsidR="007E2C6E" w:rsidRPr="0029748C" w:rsidRDefault="007E2C6E" w:rsidP="007E2C6E">
      <w:pPr>
        <w:spacing w:after="0"/>
        <w:rPr>
          <w:color w:val="007CB0"/>
        </w:rPr>
      </w:pPr>
      <w:r w:rsidRPr="0029748C">
        <w:rPr>
          <w:color w:val="007CB0"/>
        </w:rPr>
        <w:t>“Our service could not open without the grant”.</w:t>
      </w:r>
    </w:p>
    <w:p w14:paraId="0ACE9917" w14:textId="77777777" w:rsidR="007E2C6E" w:rsidRPr="0029748C" w:rsidRDefault="007E2C6E" w:rsidP="007E2C6E">
      <w:pPr>
        <w:spacing w:after="0"/>
        <w:rPr>
          <w:color w:val="007CB0"/>
        </w:rPr>
      </w:pPr>
    </w:p>
    <w:p w14:paraId="32D3AD1F" w14:textId="77777777" w:rsidR="007E2C6E" w:rsidRPr="0029748C" w:rsidRDefault="007E2C6E" w:rsidP="007E2C6E">
      <w:pPr>
        <w:rPr>
          <w:color w:val="007CB0"/>
        </w:rPr>
      </w:pPr>
      <w:r w:rsidRPr="0029748C">
        <w:rPr>
          <w:color w:val="007CB0"/>
        </w:rPr>
        <w:t>“Without CCCFR support our service would not be financially viable and would close - its as simple and as blunt as that”.</w:t>
      </w:r>
    </w:p>
    <w:p w14:paraId="7DA546B7" w14:textId="77777777" w:rsidR="007E2C6E" w:rsidRPr="0016616E" w:rsidRDefault="007E2C6E" w:rsidP="007E2C6E">
      <w:r w:rsidRPr="0016616E">
        <w:t>Despite this, one service operating in an Aboriginal community noted that the funding remains insufficient to cover all costs:</w:t>
      </w:r>
    </w:p>
    <w:p w14:paraId="4896CD1F" w14:textId="77777777" w:rsidR="007E2C6E" w:rsidRPr="0029748C" w:rsidRDefault="007E2C6E" w:rsidP="007E2C6E">
      <w:pPr>
        <w:rPr>
          <w:color w:val="007CB0"/>
        </w:rPr>
      </w:pPr>
      <w:r w:rsidRPr="0029748C">
        <w:rPr>
          <w:color w:val="007CB0"/>
        </w:rPr>
        <w:lastRenderedPageBreak/>
        <w:t>“The CCCFR grant is inadequate to comprehensively support all the items above. The administrative burden related to payment of fees, CCS/ACCS and children's enrolment information is unmanageable for local educators and is not well received by families”.</w:t>
      </w:r>
    </w:p>
    <w:p w14:paraId="5C47F4CD" w14:textId="77777777" w:rsidR="007E2C6E" w:rsidRPr="0016616E" w:rsidRDefault="007E2C6E" w:rsidP="007E2C6E">
      <w:r w:rsidRPr="0016616E">
        <w:t xml:space="preserve">Whist the above sentiment on meeting the immediate needs of service operations can be challenging, the CCCFR grant is also viewed as contributing towards building capacity more broadly within a community: </w:t>
      </w:r>
    </w:p>
    <w:p w14:paraId="4F8754CF" w14:textId="77777777" w:rsidR="007E2C6E" w:rsidRPr="0029748C" w:rsidRDefault="007E2C6E" w:rsidP="007E2C6E">
      <w:pPr>
        <w:rPr>
          <w:color w:val="007CB0"/>
        </w:rPr>
      </w:pPr>
      <w:r w:rsidRPr="0029748C">
        <w:rPr>
          <w:color w:val="007CB0"/>
        </w:rPr>
        <w:t>“The CCCFR grant initiative allows our service to engage younger people to work in the industry and provides first time employment and become role models that builds employment capacity in community”.</w:t>
      </w:r>
    </w:p>
    <w:p w14:paraId="15CD581A" w14:textId="77777777" w:rsidR="007E2C6E" w:rsidRPr="0016616E" w:rsidRDefault="007E2C6E" w:rsidP="007E2C6E">
      <w:pPr>
        <w:spacing w:after="0"/>
        <w:rPr>
          <w:b/>
        </w:rPr>
      </w:pPr>
      <w:r w:rsidRPr="0016616E">
        <w:rPr>
          <w:b/>
        </w:rPr>
        <w:t xml:space="preserve">Almost all services reflect that they remain strongly reliant on the CCCFR grant to operate and many state they are reliant on additional forms of government funding to fill the gaps. </w:t>
      </w:r>
    </w:p>
    <w:p w14:paraId="01B99B31" w14:textId="77777777" w:rsidR="007E2C6E" w:rsidRPr="0016616E" w:rsidRDefault="007E2C6E" w:rsidP="007E2C6E">
      <w:pPr>
        <w:spacing w:after="0"/>
      </w:pPr>
    </w:p>
    <w:p w14:paraId="48834DB0" w14:textId="77777777" w:rsidR="007E2C6E" w:rsidRPr="0029748C" w:rsidRDefault="007E2C6E" w:rsidP="007E2C6E">
      <w:pPr>
        <w:spacing w:after="0" w:line="200" w:lineRule="atLeast"/>
        <w:contextualSpacing/>
        <w:rPr>
          <w:color w:val="26890D"/>
        </w:rPr>
      </w:pPr>
      <w:r w:rsidRPr="0029748C">
        <w:rPr>
          <w:color w:val="26890D"/>
        </w:rPr>
        <w:t>“Without the CCCFR grant our service would not be viable. We are able to use this grant to have this particular service model.”</w:t>
      </w:r>
    </w:p>
    <w:p w14:paraId="70483D31" w14:textId="77777777" w:rsidR="007E2C6E" w:rsidRPr="0029748C" w:rsidRDefault="007E2C6E" w:rsidP="007E2C6E">
      <w:pPr>
        <w:spacing w:after="0"/>
        <w:rPr>
          <w:color w:val="26890D"/>
        </w:rPr>
      </w:pPr>
    </w:p>
    <w:p w14:paraId="1E6072FE" w14:textId="77777777" w:rsidR="007E2C6E" w:rsidRPr="0029748C" w:rsidRDefault="007E2C6E" w:rsidP="007E2C6E">
      <w:pPr>
        <w:spacing w:after="0" w:line="200" w:lineRule="atLeast"/>
        <w:contextualSpacing/>
        <w:rPr>
          <w:color w:val="26890D"/>
        </w:rPr>
      </w:pPr>
      <w:r w:rsidRPr="0029748C">
        <w:rPr>
          <w:color w:val="26890D"/>
        </w:rPr>
        <w:t>“I know without the CCCFR, the centre wouldn't be operational. It would have closed back in 2018 or 2019.”</w:t>
      </w:r>
    </w:p>
    <w:p w14:paraId="75284D37" w14:textId="77777777" w:rsidR="007E2C6E" w:rsidRPr="0016616E" w:rsidRDefault="007E2C6E" w:rsidP="007E2C6E">
      <w:pPr>
        <w:spacing w:after="0"/>
      </w:pPr>
    </w:p>
    <w:p w14:paraId="26273A1B" w14:textId="77777777" w:rsidR="007E2C6E" w:rsidRPr="0016616E" w:rsidRDefault="007E2C6E" w:rsidP="007E2C6E">
      <w:r w:rsidRPr="0016616E">
        <w:rPr>
          <w:b/>
          <w:bCs/>
        </w:rPr>
        <w:t>Reflections on the adequacy of the current CCCFR grant vary.</w:t>
      </w:r>
      <w:r w:rsidRPr="0016616E">
        <w:t xml:space="preserve"> Some services state that current funding is adequate or indeed more than adequate, whereas others state that it is substantially inadequate. For those services that state the grant is inadequate, there is a further subdivision between services that reportedly require more funding for daily operations (such as basic safety matters), and services that reportedly require more funding to expand their service delivery or respond to community need. </w:t>
      </w:r>
    </w:p>
    <w:p w14:paraId="49ECF2DA" w14:textId="77777777" w:rsidR="007E2C6E" w:rsidRPr="0029748C" w:rsidRDefault="007E2C6E" w:rsidP="007E2C6E">
      <w:pPr>
        <w:spacing w:after="0"/>
        <w:rPr>
          <w:color w:val="26890D"/>
        </w:rPr>
      </w:pPr>
      <w:r w:rsidRPr="0029748C">
        <w:rPr>
          <w:color w:val="26890D"/>
        </w:rPr>
        <w:t>“While it's gratefully received, it's not enough nor does it represent the value going back to the community.”</w:t>
      </w:r>
    </w:p>
    <w:p w14:paraId="222D7541" w14:textId="77777777" w:rsidR="007E2C6E" w:rsidRPr="0029748C" w:rsidRDefault="007E2C6E" w:rsidP="007E2C6E">
      <w:pPr>
        <w:spacing w:after="0"/>
        <w:rPr>
          <w:color w:val="26890D"/>
        </w:rPr>
      </w:pPr>
    </w:p>
    <w:p w14:paraId="44F81335" w14:textId="77777777" w:rsidR="007E2C6E" w:rsidRPr="0029748C" w:rsidRDefault="007E2C6E" w:rsidP="007E2C6E">
      <w:pPr>
        <w:spacing w:after="0"/>
        <w:rPr>
          <w:color w:val="26890D"/>
        </w:rPr>
      </w:pPr>
      <w:r w:rsidRPr="0029748C">
        <w:rPr>
          <w:color w:val="26890D"/>
        </w:rPr>
        <w:t>“We make do. We do okay. We could do more with more money. We're well resourced, nice office space. We do okay. We're a whole lot more strategic in what we spend our funding on.”</w:t>
      </w:r>
      <w:r w:rsidRPr="0029748C">
        <w:rPr>
          <w:color w:val="26890D"/>
        </w:rPr>
        <w:br/>
      </w:r>
      <w:r w:rsidRPr="0029748C">
        <w:rPr>
          <w:b/>
          <w:color w:val="26890D"/>
        </w:rPr>
        <w:tab/>
      </w:r>
    </w:p>
    <w:p w14:paraId="7C05B4DD" w14:textId="617BA631" w:rsidR="007E2C6E" w:rsidRPr="0029748C" w:rsidRDefault="007E2C6E" w:rsidP="007E2C6E">
      <w:pPr>
        <w:rPr>
          <w:bCs/>
          <w:color w:val="26890D"/>
        </w:rPr>
      </w:pPr>
      <w:r w:rsidRPr="0029748C">
        <w:rPr>
          <w:bCs/>
          <w:color w:val="26890D"/>
        </w:rPr>
        <w:t>“It would be nice to be adequate and have adequate funding.</w:t>
      </w:r>
      <w:r w:rsidR="002E497C" w:rsidRPr="0029748C">
        <w:rPr>
          <w:bCs/>
          <w:color w:val="26890D"/>
        </w:rPr>
        <w:t xml:space="preserve"> </w:t>
      </w:r>
      <w:r w:rsidRPr="0029748C">
        <w:rPr>
          <w:bCs/>
          <w:color w:val="26890D"/>
        </w:rPr>
        <w:t xml:space="preserve">This is the future of Aboriginal children and communities.” </w:t>
      </w:r>
    </w:p>
    <w:p w14:paraId="01F86F9C" w14:textId="77777777" w:rsidR="007E2C6E" w:rsidRPr="0016616E" w:rsidRDefault="007E2C6E" w:rsidP="007E2C6E">
      <w:pPr>
        <w:rPr>
          <w:bCs/>
          <w:color w:val="86BC25" w:themeColor="accent1"/>
        </w:rPr>
      </w:pPr>
      <w:r w:rsidRPr="0016616E">
        <w:t xml:space="preserve">One service explained that they could only achieve the high child development outcomes they were aiming for if they reduced the total number of children attending, given current funding levels. </w:t>
      </w:r>
      <w:r w:rsidRPr="0016616E">
        <w:rPr>
          <w:bCs/>
        </w:rPr>
        <w:t xml:space="preserve">For other services, reported under-resourcing meant that they could not provide more places to children in the community due to staffing ratios. </w:t>
      </w:r>
    </w:p>
    <w:p w14:paraId="32DE67C0" w14:textId="77777777" w:rsidR="007E2C6E" w:rsidRPr="0029748C" w:rsidRDefault="007E2C6E" w:rsidP="007E2C6E">
      <w:pPr>
        <w:rPr>
          <w:bCs/>
          <w:color w:val="26890D"/>
        </w:rPr>
      </w:pPr>
      <w:r w:rsidRPr="0029748C">
        <w:rPr>
          <w:bCs/>
          <w:color w:val="26890D"/>
        </w:rPr>
        <w:t>“Staff do reach out to increase enrolments, but we don’t have enough staff to offer more places.”</w:t>
      </w:r>
    </w:p>
    <w:p w14:paraId="193EED72" w14:textId="77777777" w:rsidR="007E2C6E" w:rsidRPr="0029748C" w:rsidRDefault="007E2C6E" w:rsidP="007E2C6E">
      <w:pPr>
        <w:rPr>
          <w:bCs/>
          <w:color w:val="26890D"/>
        </w:rPr>
      </w:pPr>
      <w:r w:rsidRPr="0029748C">
        <w:rPr>
          <w:bCs/>
          <w:color w:val="26890D"/>
        </w:rPr>
        <w:t>"There's an opportunity to expand - 2 new communities have reached out, or more days in certain communities. I'm aware that opportunity exists, could say we have this capacity - can we do it. But the biggest challenge is the educator shortage”</w:t>
      </w:r>
    </w:p>
    <w:p w14:paraId="1E27FDD7" w14:textId="77777777" w:rsidR="007E2C6E" w:rsidRPr="0016616E" w:rsidRDefault="007E2C6E" w:rsidP="007E2C6E">
      <w:r w:rsidRPr="0016616E">
        <w:rPr>
          <w:b/>
        </w:rPr>
        <w:t xml:space="preserve">While grant arrangements include contingencies for additional funding on request, services noted that the annual budget process – in particular being unable to submit a budget in deficit – means that many service costs remain invisible to the Department (while being accrued by the service itself). </w:t>
      </w:r>
      <w:r w:rsidRPr="0016616E">
        <w:rPr>
          <w:bCs/>
        </w:rPr>
        <w:t xml:space="preserve">The frustration expressed by services exists around both the extra administration this creates having to maintain multiple budgets – one for the Department and another that is utilised by their Board/Council/auditor – as well as the lack of flexibility in being able to go into deficit one year with the view of returning to a balanced budget the following. </w:t>
      </w:r>
    </w:p>
    <w:p w14:paraId="7F41E942" w14:textId="77777777" w:rsidR="007E2C6E" w:rsidRPr="0029748C" w:rsidRDefault="007E2C6E" w:rsidP="007E2C6E">
      <w:pPr>
        <w:rPr>
          <w:color w:val="26890D"/>
        </w:rPr>
      </w:pPr>
      <w:r w:rsidRPr="0029748C">
        <w:rPr>
          <w:bCs/>
          <w:color w:val="26890D"/>
        </w:rPr>
        <w:t>“Government has told us that we can’t produce a budget that is at a loss. Why can’t we provide real budgets that show the deficits – we can’t make profit from our community.”</w:t>
      </w:r>
    </w:p>
    <w:p w14:paraId="1E9E861C" w14:textId="77777777" w:rsidR="007E2C6E" w:rsidRPr="0029748C" w:rsidRDefault="007E2C6E" w:rsidP="007E2C6E">
      <w:pPr>
        <w:rPr>
          <w:bCs/>
          <w:color w:val="26890D"/>
        </w:rPr>
      </w:pPr>
      <w:r w:rsidRPr="0029748C">
        <w:rPr>
          <w:bCs/>
          <w:color w:val="26890D"/>
        </w:rPr>
        <w:lastRenderedPageBreak/>
        <w:t>“If we are over (in our budget), because we estimate the real cost of delivery, it doesn’t get accepted by the Department”. As a result, there is significant administrative headache for operators to make their budgets conform to Department expectation and ideas about the cost-of-service deliver. Annual budgets have become “guesswork” for staff who know they will not be fully reimbursed for the costs.”</w:t>
      </w:r>
    </w:p>
    <w:p w14:paraId="428BA0D6" w14:textId="77777777" w:rsidR="007E2C6E" w:rsidRPr="0029748C" w:rsidRDefault="007E2C6E" w:rsidP="007E2C6E">
      <w:pPr>
        <w:rPr>
          <w:color w:val="26890D"/>
        </w:rPr>
      </w:pPr>
      <w:r w:rsidRPr="0029748C">
        <w:rPr>
          <w:color w:val="26890D"/>
        </w:rPr>
        <w:t>“Services [are] forced to work in a business for profit model.”</w:t>
      </w:r>
    </w:p>
    <w:p w14:paraId="01A60238" w14:textId="676D8CE8" w:rsidR="007E2C6E" w:rsidRPr="0016616E" w:rsidRDefault="007E2C6E" w:rsidP="007E2C6E">
      <w:r w:rsidRPr="0016616E">
        <w:t xml:space="preserve">In addition, some services appeared unaware of the CCCFR </w:t>
      </w:r>
      <w:r w:rsidR="0220125A">
        <w:t xml:space="preserve">additional </w:t>
      </w:r>
      <w:r w:rsidRPr="0016616E">
        <w:t xml:space="preserve">sustainability grant’s function and their eligibility, further affecting their financial viability. </w:t>
      </w:r>
    </w:p>
    <w:p w14:paraId="58AFD4F7" w14:textId="22529AFD" w:rsidR="007E2C6E" w:rsidRPr="0029748C" w:rsidRDefault="007E2C6E" w:rsidP="007E2C6E">
      <w:pPr>
        <w:rPr>
          <w:color w:val="26890D"/>
        </w:rPr>
      </w:pPr>
      <w:r w:rsidRPr="0029748C">
        <w:rPr>
          <w:color w:val="26890D"/>
        </w:rPr>
        <w:t>“We didn't have…money for wages (for the last couple of weeks of June). And in that period, like we literally had nothing, and we went to our bank, who we've been with since we opened for a loan for, was it about $15,000 to see us through we got knocked back. Like we had nothing. We had to go and get a loan from their investment company that we're involved with, we had to go and borrow money off them. Just to ease through… That was very scary.”</w:t>
      </w:r>
      <w:r w:rsidR="002E497C" w:rsidRPr="0029748C">
        <w:rPr>
          <w:color w:val="26890D"/>
        </w:rPr>
        <w:t xml:space="preserve"> </w:t>
      </w:r>
    </w:p>
    <w:p w14:paraId="6C89F187" w14:textId="060DD760" w:rsidR="007E2C6E" w:rsidRPr="0016616E" w:rsidRDefault="007E2C6E" w:rsidP="007E2C6E">
      <w:r w:rsidRPr="0016616E">
        <w:rPr>
          <w:b/>
        </w:rPr>
        <w:t>Reflections on inadequacy are sometimes linked to reflections that the base operational funding through the CCCFR grant is not responsive to need</w:t>
      </w:r>
      <w:r w:rsidRPr="0016616E">
        <w:t xml:space="preserve">. Rather, the mechanism for responding to service need is through additional grants. As noted </w:t>
      </w:r>
      <w:r w:rsidR="00AF6B9A">
        <w:t>above</w:t>
      </w:r>
      <w:r>
        <w:t>,</w:t>
      </w:r>
      <w:r w:rsidRPr="0016616E">
        <w:t xml:space="preserve"> however, some services report that they do not have a clear understanding about additional support available. Further, the base amount is </w:t>
      </w:r>
      <w:r w:rsidR="00C41520">
        <w:t>reviewed every 12 months, and adjusted to</w:t>
      </w:r>
      <w:r w:rsidR="003C5149">
        <w:t xml:space="preserve"> changes in</w:t>
      </w:r>
      <w:r w:rsidR="00C41520">
        <w:t xml:space="preserve"> CPI. </w:t>
      </w:r>
      <w:r w:rsidR="00FB060E">
        <w:t xml:space="preserve">However, given </w:t>
      </w:r>
      <w:r w:rsidR="00890804">
        <w:t xml:space="preserve">staffing costs are a large component of total costs, </w:t>
      </w:r>
      <w:r w:rsidR="005E7D38">
        <w:t xml:space="preserve">adjusting </w:t>
      </w:r>
      <w:r w:rsidR="00DC052E">
        <w:t>CCCFR grant funding</w:t>
      </w:r>
      <w:r w:rsidR="0040208E">
        <w:t xml:space="preserve"> to CPI </w:t>
      </w:r>
      <w:r w:rsidR="0024568E">
        <w:t>is reported to not cover rising staff and other child care costs not</w:t>
      </w:r>
      <w:r w:rsidR="00DC052E">
        <w:t xml:space="preserve"> </w:t>
      </w:r>
      <w:r w:rsidRPr="0016616E">
        <w:t xml:space="preserve">indexed through </w:t>
      </w:r>
      <w:r w:rsidR="00FC624D">
        <w:t>CPI</w:t>
      </w:r>
      <w:r w:rsidR="0089303D">
        <w:t>.</w:t>
      </w:r>
      <w:r w:rsidRPr="0016616E">
        <w:t xml:space="preserve"> Remote services note they are disproportionately affected by this, due to the increased cost of delivery of goods and sourcing materials and labour.</w:t>
      </w:r>
    </w:p>
    <w:p w14:paraId="0303BFA2" w14:textId="77777777" w:rsidR="007E2C6E" w:rsidRPr="0029748C" w:rsidRDefault="007E2C6E" w:rsidP="007E2C6E">
      <w:pPr>
        <w:rPr>
          <w:color w:val="26890D"/>
        </w:rPr>
      </w:pPr>
      <w:r w:rsidRPr="0029748C">
        <w:rPr>
          <w:color w:val="26890D"/>
        </w:rPr>
        <w:t>“CCCFR funding needs to be substantially increased so it reflects the real cost of delivering integrated services, particularly in a regional area where costs of retaining and attracting staff, building capital works and delivering services is much higher.”</w:t>
      </w:r>
    </w:p>
    <w:p w14:paraId="41DB596E" w14:textId="77777777" w:rsidR="007E2C6E" w:rsidRPr="0029748C" w:rsidRDefault="007E2C6E" w:rsidP="007E2C6E">
      <w:pPr>
        <w:rPr>
          <w:color w:val="26890D"/>
        </w:rPr>
      </w:pPr>
      <w:r w:rsidRPr="0029748C">
        <w:rPr>
          <w:color w:val="26890D"/>
        </w:rPr>
        <w:t>“Increase in cost of everything – food, fuel, housing – everything has gone up, but wages haven’t increased enough.”</w:t>
      </w:r>
    </w:p>
    <w:p w14:paraId="1702B7EB" w14:textId="27BDA651" w:rsidR="007E2C6E" w:rsidRPr="0016616E" w:rsidRDefault="007E2C6E" w:rsidP="007E2C6E">
      <w:r w:rsidRPr="0016616E">
        <w:rPr>
          <w:b/>
          <w:bCs/>
        </w:rPr>
        <w:t xml:space="preserve">Many services state that the CCS is not a viable mechanism for increasing the operational revenue available to them, given the child and family cohorts they serve </w:t>
      </w:r>
      <w:r w:rsidRPr="0016616E">
        <w:t xml:space="preserve">(as outlined in section </w:t>
      </w:r>
      <w:r w:rsidR="00866B90">
        <w:fldChar w:fldCharType="begin"/>
      </w:r>
      <w:r w:rsidR="00866B90">
        <w:instrText xml:space="preserve"> REF _Ref152931717 \r \h </w:instrText>
      </w:r>
      <w:r w:rsidR="00866B90">
        <w:fldChar w:fldCharType="separate"/>
      </w:r>
      <w:r w:rsidR="00D300D0">
        <w:t>8.1</w:t>
      </w:r>
      <w:r w:rsidR="00866B90">
        <w:fldChar w:fldCharType="end"/>
      </w:r>
      <w:r w:rsidRPr="0016616E">
        <w:t>). Accessing CCS is also stated to impose administrative burden on services, which can lead to additional costs e.g. where service staff provide support to families to help them navigate the CCS system, ranging from the application process through to ongoing eligibility requirements. Notably, some services suggest they may be able to become financially viable by accessing CCS – but this would mean the profile of families accessing their service would change and they would become a ‘mainstream’ service.</w:t>
      </w:r>
    </w:p>
    <w:p w14:paraId="5E566C84" w14:textId="2C1BA3BB" w:rsidR="007E2C6E" w:rsidRPr="001B5B58" w:rsidRDefault="007E2C6E" w:rsidP="007E2C6E">
      <w:pPr>
        <w:spacing w:line="200" w:lineRule="atLeast"/>
        <w:contextualSpacing/>
        <w:rPr>
          <w:color w:val="26890D"/>
        </w:rPr>
      </w:pPr>
      <w:r w:rsidRPr="001B5B58">
        <w:rPr>
          <w:color w:val="26890D"/>
        </w:rPr>
        <w:t>“We are doing human services job the majority of time, help families apply for CCS, service operators end up doing it, drive the application for them using their information…it’s as simple as missing wrong tick and then you have a debt of $2K before anyone reali</w:t>
      </w:r>
      <w:r w:rsidR="0002053E" w:rsidRPr="001B5B58">
        <w:rPr>
          <w:color w:val="26890D"/>
        </w:rPr>
        <w:t>s</w:t>
      </w:r>
      <w:r w:rsidRPr="001B5B58">
        <w:rPr>
          <w:color w:val="26890D"/>
        </w:rPr>
        <w:t>es.”</w:t>
      </w:r>
    </w:p>
    <w:p w14:paraId="348DDBFF" w14:textId="77777777" w:rsidR="007E2C6E" w:rsidRPr="001B5B58" w:rsidRDefault="007E2C6E" w:rsidP="007E2C6E">
      <w:pPr>
        <w:rPr>
          <w:color w:val="26890D"/>
        </w:rPr>
      </w:pPr>
      <w:r w:rsidRPr="001B5B58">
        <w:rPr>
          <w:color w:val="26890D"/>
        </w:rPr>
        <w:t>“We need more staff and then Aboriginal families should have free ECEC 5 days per week.”</w:t>
      </w:r>
    </w:p>
    <w:p w14:paraId="413D8986" w14:textId="77777777" w:rsidR="007E2C6E" w:rsidRPr="0016616E" w:rsidRDefault="007E2C6E" w:rsidP="007E2C6E">
      <w:r w:rsidRPr="0016616E">
        <w:t>Some services observe that their financial viability has fallen since the transition from the BBF model to the CCS model, even with CCCFR support. Fewer enrolments under CCS due to the activity test results in less revenue where sites are unable to lower rates or cover fee gaps.</w:t>
      </w:r>
    </w:p>
    <w:p w14:paraId="70D1A2E2" w14:textId="5ABD0916" w:rsidR="007E2C6E" w:rsidRPr="001B5B58" w:rsidRDefault="007E2C6E" w:rsidP="007E2C6E">
      <w:pPr>
        <w:rPr>
          <w:color w:val="26890D"/>
        </w:rPr>
      </w:pPr>
      <w:r w:rsidRPr="001B5B58">
        <w:rPr>
          <w:color w:val="26890D"/>
        </w:rPr>
        <w:t>“Vulnerable kids need the most support.</w:t>
      </w:r>
      <w:r w:rsidR="002E497C" w:rsidRPr="001B5B58">
        <w:rPr>
          <w:color w:val="26890D"/>
        </w:rPr>
        <w:t xml:space="preserve"> </w:t>
      </w:r>
      <w:r w:rsidRPr="001B5B58">
        <w:rPr>
          <w:color w:val="26890D"/>
        </w:rPr>
        <w:t>This current model has set back our families from free child care.</w:t>
      </w:r>
      <w:r w:rsidR="002E497C" w:rsidRPr="001B5B58">
        <w:rPr>
          <w:color w:val="26890D"/>
        </w:rPr>
        <w:t xml:space="preserve"> </w:t>
      </w:r>
      <w:r w:rsidRPr="001B5B58">
        <w:rPr>
          <w:color w:val="26890D"/>
        </w:rPr>
        <w:t>There are now more social problems and increase in the number of kids in out of home care.”</w:t>
      </w:r>
    </w:p>
    <w:p w14:paraId="3562A3B3" w14:textId="77777777" w:rsidR="007E2C6E" w:rsidRPr="0016616E" w:rsidRDefault="007E2C6E" w:rsidP="007E2C6E">
      <w:r w:rsidRPr="0016616E">
        <w:rPr>
          <w:b/>
          <w:bCs/>
        </w:rPr>
        <w:t xml:space="preserve">Similarly, ACCS does not support revenue for many services due to stigma associated with registering for ACCS. </w:t>
      </w:r>
      <w:r w:rsidRPr="0016616E">
        <w:t xml:space="preserve">Services told stories of parents and carers being unwilling to register for ACCS to avoid the Government monitoring their children, or removing them. </w:t>
      </w:r>
    </w:p>
    <w:p w14:paraId="242EDD93" w14:textId="5C2BACF2" w:rsidR="007E2C6E" w:rsidRPr="001B5B58" w:rsidRDefault="007E2C6E" w:rsidP="007E2C6E">
      <w:pPr>
        <w:spacing w:after="0"/>
        <w:rPr>
          <w:color w:val="26890D"/>
        </w:rPr>
      </w:pPr>
      <w:r w:rsidRPr="001B5B58">
        <w:rPr>
          <w:color w:val="26890D"/>
        </w:rPr>
        <w:lastRenderedPageBreak/>
        <w:t>“Our families are mostly on ACCS but those that aren’t, are invoiced but generally are unable to pay any gap fees. Those who have a gap fee to pay often struggle to find money to pay as they have limited money for food, and some are homeless.</w:t>
      </w:r>
      <w:r w:rsidR="002E497C" w:rsidRPr="001B5B58">
        <w:rPr>
          <w:color w:val="26890D"/>
        </w:rPr>
        <w:t xml:space="preserve"> </w:t>
      </w:r>
      <w:r w:rsidRPr="001B5B58">
        <w:rPr>
          <w:color w:val="26890D"/>
        </w:rPr>
        <w:t>After we follow up any debts some gap fees are written off.”</w:t>
      </w:r>
    </w:p>
    <w:p w14:paraId="34F7182F" w14:textId="77777777" w:rsidR="007E2C6E" w:rsidRPr="001B5B58" w:rsidRDefault="007E2C6E" w:rsidP="007E2C6E">
      <w:pPr>
        <w:spacing w:after="0"/>
        <w:rPr>
          <w:color w:val="26890D"/>
        </w:rPr>
      </w:pPr>
    </w:p>
    <w:p w14:paraId="06679D5E" w14:textId="77777777" w:rsidR="007E2C6E" w:rsidRPr="001B5B58" w:rsidRDefault="007E2C6E" w:rsidP="007E2C6E">
      <w:pPr>
        <w:spacing w:after="0"/>
        <w:rPr>
          <w:color w:val="26890D"/>
        </w:rPr>
      </w:pPr>
      <w:r w:rsidRPr="001B5B58">
        <w:rPr>
          <w:color w:val="26890D"/>
        </w:rPr>
        <w:t>“With CCS its getting them in. CCPS won't give us a letter for ACCS if we don't get CCS. But some of these women are coming directly from prison or reunification and so massive time before them coming in and getting CCS. So we actually get nothing for that time.”</w:t>
      </w:r>
    </w:p>
    <w:p w14:paraId="500CCDE7" w14:textId="77777777" w:rsidR="007E2C6E" w:rsidRPr="0016616E" w:rsidRDefault="007E2C6E" w:rsidP="007E2C6E">
      <w:pPr>
        <w:spacing w:after="0"/>
        <w:rPr>
          <w:highlight w:val="yellow"/>
        </w:rPr>
      </w:pPr>
    </w:p>
    <w:p w14:paraId="1643FDF2" w14:textId="77777777" w:rsidR="007E2C6E" w:rsidRPr="0016616E" w:rsidRDefault="007E2C6E" w:rsidP="007E2C6E">
      <w:r w:rsidRPr="0016616E">
        <w:rPr>
          <w:b/>
          <w:bCs/>
        </w:rPr>
        <w:t>Staffing is unanimously stated to be a significant cost driver for services – and also a significant challenge.</w:t>
      </w:r>
      <w:r w:rsidRPr="0016616E">
        <w:t xml:space="preserve"> Although workforce challenges are experienced across the entire ECEC sector, some CCCFR services reflect they experience these challenges more acutely. Child care centres in remote and very remote communities spoke of the experiences of social isolation, lack of services and infrastructure, safety concerns and vicarious trauma as impediments to recruiting and retaining staff, in particular, highly qualified staff from outside of community. Not all services said they had sufficient funding to offer incentives such as above award wages, but even where services offer incentives to potential candidates, these challenges reportedly persist.</w:t>
      </w:r>
    </w:p>
    <w:p w14:paraId="4971FD63" w14:textId="77777777" w:rsidR="007E2C6E" w:rsidRPr="001B5B58" w:rsidRDefault="007E2C6E" w:rsidP="007E2C6E">
      <w:pPr>
        <w:rPr>
          <w:color w:val="26890D"/>
        </w:rPr>
      </w:pPr>
      <w:r w:rsidRPr="001B5B58">
        <w:rPr>
          <w:color w:val="26890D"/>
        </w:rPr>
        <w:t>“Attracting extra staff is challenging because [the service] can’t afford to pay above award.”</w:t>
      </w:r>
      <w:r w:rsidRPr="001B5B58">
        <w:rPr>
          <w:color w:val="26890D"/>
        </w:rPr>
        <w:br/>
      </w:r>
      <w:r w:rsidRPr="001B5B58">
        <w:rPr>
          <w:color w:val="26890D"/>
        </w:rPr>
        <w:br/>
      </w:r>
      <w:r w:rsidRPr="001B5B58">
        <w:rPr>
          <w:color w:val="26890D"/>
          <w:lang w:val="en-US"/>
        </w:rPr>
        <w:t>“</w:t>
      </w:r>
      <w:r w:rsidRPr="001B5B58">
        <w:rPr>
          <w:color w:val="26890D"/>
        </w:rPr>
        <w:t>Families want additional hours, but they can’t be accommodated due to not enough staffing and no additional staffing for children with additional needs.”</w:t>
      </w:r>
    </w:p>
    <w:p w14:paraId="35129BF4" w14:textId="71C5BECF" w:rsidR="007E2C6E" w:rsidRPr="001B5B58" w:rsidRDefault="007E2C6E" w:rsidP="007E2C6E">
      <w:pPr>
        <w:rPr>
          <w:color w:val="26890D"/>
        </w:rPr>
      </w:pPr>
      <w:r w:rsidRPr="001B5B58">
        <w:rPr>
          <w:color w:val="26890D"/>
        </w:rPr>
        <w:t>“We offer to pay well above the award and we offer all sorts of conditions and benefits because we are in charge of our whole community budget. Even so, we can’t get people here and are constantly in danger of reduced service and even closing on some days.”</w:t>
      </w:r>
      <w:r w:rsidRPr="001B5B58">
        <w:rPr>
          <w:color w:val="26890D"/>
        </w:rPr>
        <w:br/>
      </w:r>
      <w:r w:rsidRPr="001B5B58">
        <w:rPr>
          <w:color w:val="26890D"/>
        </w:rPr>
        <w:br/>
        <w:t>“Casual drivers are paid better than our child</w:t>
      </w:r>
      <w:r w:rsidR="00F90B2D" w:rsidRPr="001B5B58">
        <w:rPr>
          <w:color w:val="26890D"/>
        </w:rPr>
        <w:t xml:space="preserve"> </w:t>
      </w:r>
      <w:r w:rsidRPr="001B5B58">
        <w:rPr>
          <w:color w:val="26890D"/>
        </w:rPr>
        <w:t>care workers”</w:t>
      </w:r>
    </w:p>
    <w:p w14:paraId="25F5A314" w14:textId="77777777" w:rsidR="007E2C6E" w:rsidRPr="0016616E" w:rsidRDefault="007E2C6E" w:rsidP="007E2C6E">
      <w:r w:rsidRPr="0016616E">
        <w:t>While most child care centres in remote and very remote communities had mechanisms in place to identify and recruit local staff from the community, many spoke of the challenges of training. Often to fulfill training obligations staff would involve needing to leave community for periods in excess of a week, which educators were reluctant to do as they were often also the primary carers for children in their family. Some services were also in a position where they were unable to send staff away for training because if they did, they couldn’t maintain the ratios in their absence and the services would need to close.</w:t>
      </w:r>
    </w:p>
    <w:p w14:paraId="5B7DFC06" w14:textId="364A9626" w:rsidR="007E2C6E" w:rsidRPr="0016616E" w:rsidRDefault="007E2C6E" w:rsidP="007E2C6E">
      <w:r w:rsidRPr="0016616E">
        <w:t>The lack of opportunities for remote training delivery was seen as a key barrier to building capacity in the educators in some communities and also, a significant barrier to the prospects for those services not yet regulated under the NQF.</w:t>
      </w:r>
      <w:r w:rsidR="002E497C">
        <w:t xml:space="preserve"> </w:t>
      </w:r>
      <w:r w:rsidRPr="0016616E">
        <w:t xml:space="preserve"> </w:t>
      </w:r>
    </w:p>
    <w:p w14:paraId="0B3A5025" w14:textId="77777777" w:rsidR="007E2C6E" w:rsidRPr="001B5B58" w:rsidRDefault="007E2C6E" w:rsidP="007E2C6E">
      <w:pPr>
        <w:spacing w:after="0"/>
        <w:rPr>
          <w:color w:val="26890D"/>
        </w:rPr>
      </w:pPr>
      <w:r w:rsidRPr="001B5B58">
        <w:rPr>
          <w:color w:val="26890D"/>
        </w:rPr>
        <w:t>“We advertise [redacted place] to get staff to come over. We pay for [transport] for staff to come over. We have two staff [at redacted place], and three [at redacted place]. We pay for their transport. It was a barrier for them to come into work, and it is not cheap when you pay for it every day. We also have restrictions in hours for people who work [at redacted place] due to operating hours... We can’t secure accommodation for them due to the shortages. There are houses up here for nurses and police, but nothing available.”</w:t>
      </w:r>
    </w:p>
    <w:p w14:paraId="57214660" w14:textId="77777777" w:rsidR="007E2C6E" w:rsidRPr="0016616E" w:rsidRDefault="007E2C6E" w:rsidP="007E2C6E">
      <w:pPr>
        <w:spacing w:after="0"/>
        <w:rPr>
          <w:highlight w:val="green"/>
        </w:rPr>
      </w:pPr>
    </w:p>
    <w:p w14:paraId="3295ADCA" w14:textId="4A360D93" w:rsidR="007E2C6E" w:rsidRPr="0016616E" w:rsidRDefault="007E2C6E" w:rsidP="007E2C6E">
      <w:pPr>
        <w:spacing w:after="0"/>
      </w:pPr>
      <w:r w:rsidRPr="0016616E">
        <w:t>Some services cited additional pressures on staffing that were being caused by new child</w:t>
      </w:r>
      <w:r w:rsidR="00F90B2D">
        <w:t xml:space="preserve"> </w:t>
      </w:r>
      <w:r w:rsidRPr="0016616E">
        <w:t xml:space="preserve">care centres being established by council or private enterprise to meet the demand for child places while the lack of supply in qualified educators was not being considered. This also put pressure on services having to pay above award rates to remain competitive with mainstream services, but without access to the additional funding to pay these above award rates. </w:t>
      </w:r>
    </w:p>
    <w:p w14:paraId="3338DADA" w14:textId="77777777" w:rsidR="007E2C6E" w:rsidRPr="0016616E" w:rsidRDefault="007E2C6E" w:rsidP="007E2C6E">
      <w:pPr>
        <w:spacing w:after="0"/>
      </w:pPr>
    </w:p>
    <w:p w14:paraId="2730A714" w14:textId="77777777" w:rsidR="007E2C6E" w:rsidRPr="001B5B58" w:rsidRDefault="007E2C6E" w:rsidP="007E2C6E">
      <w:pPr>
        <w:spacing w:after="0"/>
        <w:rPr>
          <w:color w:val="26890D"/>
        </w:rPr>
      </w:pPr>
      <w:r w:rsidRPr="001B5B58">
        <w:rPr>
          <w:color w:val="26890D"/>
          <w:lang w:val="en-US"/>
        </w:rPr>
        <w:t>“Council has just increased early learning in the town but done nothing to staffing…staff are shifting from centre to centre to centre, like pass the parcel, the ones that are winning out are mainstream services that can pay above award and community services can’t compete with paying above award and leave requirements.”</w:t>
      </w:r>
    </w:p>
    <w:p w14:paraId="1086617E" w14:textId="4B8FDF19" w:rsidR="007E2C6E" w:rsidRPr="0016616E" w:rsidRDefault="002E497C" w:rsidP="007E2C6E">
      <w:pPr>
        <w:spacing w:after="0"/>
      </w:pPr>
      <w:r>
        <w:t xml:space="preserve"> </w:t>
      </w:r>
    </w:p>
    <w:p w14:paraId="0E56CD3B" w14:textId="77777777" w:rsidR="007E2C6E" w:rsidRPr="0016616E" w:rsidRDefault="007E2C6E" w:rsidP="007E2C6E">
      <w:pPr>
        <w:rPr>
          <w:b/>
        </w:rPr>
      </w:pPr>
      <w:r w:rsidRPr="0016616E">
        <w:rPr>
          <w:b/>
        </w:rPr>
        <w:lastRenderedPageBreak/>
        <w:t xml:space="preserve">A number of services cited a significant factor impacting both costs and staffing as supporting children with trauma, disabilities, and/or complex needs. </w:t>
      </w:r>
      <w:r w:rsidRPr="0016616E">
        <w:rPr>
          <w:bCs/>
        </w:rPr>
        <w:t>One provider of OSHC and vacation care said they didn’t typically accept children with very high needs into their service as they require a 1:1 ratio which the service can’t support (due to challenges recruiting and funding staff), however where they had brought children into the service with such needs, they had seen transformational impacts and it was something they were keen to support in future. Other services noted the additional resourcing and cost impacts of supporting children who are yet to receive a diagnosis, with services having to cover funding gaps of taking on children with different needs.</w:t>
      </w:r>
    </w:p>
    <w:p w14:paraId="330C1B96" w14:textId="77777777" w:rsidR="007E2C6E" w:rsidRPr="001B5B58" w:rsidRDefault="007E2C6E" w:rsidP="007E2C6E">
      <w:pPr>
        <w:rPr>
          <w:color w:val="26890D"/>
          <w:lang w:val="en-US"/>
        </w:rPr>
      </w:pPr>
      <w:r w:rsidRPr="001B5B58">
        <w:rPr>
          <w:bCs/>
          <w:color w:val="26890D"/>
          <w:lang w:val="en-US"/>
        </w:rPr>
        <w:t>“We are six month working with a family to get diagnosed with autism, centre pushing it and making the appointments and a 1:1 worker for the child, I would say that is $100,000 centre is out of pocket by helping one child and one family.”</w:t>
      </w:r>
    </w:p>
    <w:p w14:paraId="728B2A72" w14:textId="77777777" w:rsidR="007E2C6E" w:rsidRPr="001B5B58" w:rsidRDefault="007E2C6E" w:rsidP="007E2C6E">
      <w:pPr>
        <w:rPr>
          <w:bCs/>
          <w:color w:val="26890D"/>
        </w:rPr>
      </w:pPr>
      <w:r w:rsidRPr="001B5B58">
        <w:rPr>
          <w:bCs/>
          <w:color w:val="26890D"/>
          <w:lang w:val="en-US"/>
        </w:rPr>
        <w:t>“</w:t>
      </w:r>
      <w:r w:rsidRPr="001B5B58">
        <w:rPr>
          <w:bCs/>
          <w:color w:val="26890D"/>
        </w:rPr>
        <w:t>The centre pays for the speech therapist out of its operational budget (i.e., it is not funded to provide this service.”</w:t>
      </w:r>
    </w:p>
    <w:p w14:paraId="5FE85943" w14:textId="77777777" w:rsidR="007E2C6E" w:rsidRPr="001B5B58" w:rsidRDefault="007E2C6E" w:rsidP="007E2C6E">
      <w:pPr>
        <w:rPr>
          <w:bCs/>
          <w:color w:val="26890D"/>
        </w:rPr>
      </w:pPr>
      <w:r w:rsidRPr="001B5B58">
        <w:rPr>
          <w:bCs/>
          <w:color w:val="26890D"/>
        </w:rPr>
        <w:t>“We can’t turn kids away from the centre for having complex needs… Our staff ratios need to increase so we can give extra support to these children but [the service] can’t get the inclusion services support for children with complex needs if they are above ratio.”</w:t>
      </w:r>
    </w:p>
    <w:p w14:paraId="6FB5574C" w14:textId="77777777" w:rsidR="007E2C6E" w:rsidRPr="001B5B58" w:rsidRDefault="007E2C6E" w:rsidP="007E2C6E">
      <w:pPr>
        <w:rPr>
          <w:bCs/>
          <w:color w:val="26890D"/>
        </w:rPr>
      </w:pPr>
      <w:r w:rsidRPr="001B5B58">
        <w:rPr>
          <w:bCs/>
          <w:color w:val="26890D"/>
        </w:rPr>
        <w:t xml:space="preserve">“[We need] lower ratios for staff working in trauma. Our Aboriginal staff are also living the trauma in communities.” </w:t>
      </w:r>
    </w:p>
    <w:p w14:paraId="1AE2F765" w14:textId="77777777" w:rsidR="007E2C6E" w:rsidRPr="001B5B58" w:rsidRDefault="007E2C6E" w:rsidP="007E2C6E">
      <w:pPr>
        <w:rPr>
          <w:bCs/>
          <w:color w:val="26890D"/>
        </w:rPr>
      </w:pPr>
      <w:r w:rsidRPr="001B5B58">
        <w:rPr>
          <w:bCs/>
          <w:color w:val="26890D"/>
        </w:rPr>
        <w:t xml:space="preserve">“See, we've had that we have a child with really complex needs and we had to learn keywords signing and we did get funded for it. But she came and did 2-3 hour sessions after hours with our staff to do that. And we got funded through inclusion funding, but that was like over $3000, but we had to pay the massive overtime of wages for that… And that's why a lot of centres don't take on children with additional needs either. That was a massive expense for us.” </w:t>
      </w:r>
    </w:p>
    <w:p w14:paraId="1039B00A" w14:textId="77777777" w:rsidR="007E2C6E" w:rsidRPr="0016616E" w:rsidRDefault="007E2C6E" w:rsidP="007E2C6E">
      <w:pPr>
        <w:rPr>
          <w:bCs/>
        </w:rPr>
      </w:pPr>
      <w:r w:rsidRPr="0016616E">
        <w:rPr>
          <w:bCs/>
        </w:rPr>
        <w:t xml:space="preserve">Accessing support services in very remote communities was raised as a particular challenge. Even when NDIS funding had been secured, there may be no such services doing outreach to these communities, so the educators would find themselves having to provide additional support to these children, impacting the quality of delivery across the wider centre. </w:t>
      </w:r>
    </w:p>
    <w:p w14:paraId="10233B04" w14:textId="68E13237" w:rsidR="007E2C6E" w:rsidRPr="0016616E" w:rsidRDefault="007E2C6E" w:rsidP="007E2C6E">
      <w:r w:rsidRPr="0016616E">
        <w:rPr>
          <w:b/>
        </w:rPr>
        <w:t>Other cost drivers reported by services vary, depending on the characteristics of the service.</w:t>
      </w:r>
      <w:r w:rsidRPr="0016616E">
        <w:t xml:space="preserve"> For example: transport is noted to be a cost driver for remotely located services; administration is a lower cost driver for services who are able to share overheads with an overarching provider. For some services, site costs may be lower due to peppercorn rent or gumnut agreements. For services which own their buildings, depreciation is not included in the CCCFR budgeting tool, and may lead to discrepancies between services’ accounting practices and </w:t>
      </w:r>
      <w:r w:rsidR="009631ED">
        <w:t>actual capital</w:t>
      </w:r>
      <w:r w:rsidRPr="0016616E">
        <w:t xml:space="preserve"> needs, and what they report to the Department. Depending on services’ location they may need to pay more for air conditioning, or to replace outdoor equipment more regularly. </w:t>
      </w:r>
    </w:p>
    <w:p w14:paraId="329BB197" w14:textId="77777777" w:rsidR="007E2C6E" w:rsidRPr="001B5B58" w:rsidRDefault="007E2C6E" w:rsidP="007E2C6E">
      <w:pPr>
        <w:spacing w:after="0" w:line="200" w:lineRule="atLeast"/>
        <w:contextualSpacing/>
        <w:rPr>
          <w:color w:val="26890D"/>
        </w:rPr>
      </w:pPr>
      <w:r w:rsidRPr="001B5B58">
        <w:rPr>
          <w:color w:val="26890D"/>
        </w:rPr>
        <w:t>“Up until recently haven’t had mobile coverage in our communities – not fully good but it’s happening. DSS is rolling out mobile Wi-Fi in communities. But then need resources to access the Wi-Fi – buying phones or iPads on Centrelink is not sustainable. Buying them for services isn’t too expensive but keeping up working is a lot of work. There are good educational apps but there is a local and language barrier to using a lot of them.”</w:t>
      </w:r>
    </w:p>
    <w:p w14:paraId="19F8BCFB" w14:textId="77777777" w:rsidR="007E2C6E" w:rsidRPr="001B5B58" w:rsidRDefault="007E2C6E" w:rsidP="007E2C6E">
      <w:pPr>
        <w:spacing w:after="0"/>
        <w:rPr>
          <w:color w:val="26890D"/>
        </w:rPr>
      </w:pPr>
    </w:p>
    <w:p w14:paraId="7676BBD4" w14:textId="77777777" w:rsidR="007E2C6E" w:rsidRPr="001B5B58" w:rsidRDefault="007E2C6E" w:rsidP="007E2C6E">
      <w:pPr>
        <w:spacing w:after="240" w:line="200" w:lineRule="atLeast"/>
        <w:contextualSpacing/>
        <w:rPr>
          <w:color w:val="26890D"/>
        </w:rPr>
      </w:pPr>
      <w:r w:rsidRPr="001B5B58">
        <w:rPr>
          <w:color w:val="26890D"/>
        </w:rPr>
        <w:t>“To keep a centre open, for our leasing we have to keep vehicles on standby, head-office staff, the lack of flexibility in the grant that the centre is not a standalone entity is an issue. So many costs need to continue even if no child is enrolled – we need to keep the lights on in case they turn up.”</w:t>
      </w:r>
    </w:p>
    <w:p w14:paraId="44109B44" w14:textId="3C2B44DB" w:rsidR="007E2C6E" w:rsidRPr="001B5B58" w:rsidRDefault="007E2C6E" w:rsidP="007E2C6E">
      <w:pPr>
        <w:spacing w:after="0"/>
        <w:rPr>
          <w:color w:val="26890D"/>
        </w:rPr>
      </w:pPr>
      <w:r w:rsidRPr="001B5B58">
        <w:rPr>
          <w:color w:val="26890D"/>
        </w:rPr>
        <w:t>“Costs are always higher in remote areas; also in remote areas there are one or two suppliers. It cost a lot of money to bring suppliers here to do work, probably another 30</w:t>
      </w:r>
      <w:r w:rsidR="00D97EF8" w:rsidRPr="001B5B58">
        <w:rPr>
          <w:color w:val="26890D"/>
        </w:rPr>
        <w:t xml:space="preserve"> per cent</w:t>
      </w:r>
      <w:r w:rsidRPr="001B5B58">
        <w:rPr>
          <w:color w:val="26890D"/>
        </w:rPr>
        <w:t xml:space="preserve"> to 40</w:t>
      </w:r>
      <w:r w:rsidR="00D97EF8" w:rsidRPr="001B5B58">
        <w:rPr>
          <w:color w:val="26890D"/>
        </w:rPr>
        <w:t xml:space="preserve"> per cent</w:t>
      </w:r>
      <w:r w:rsidRPr="001B5B58">
        <w:rPr>
          <w:color w:val="26890D"/>
        </w:rPr>
        <w:t xml:space="preserve"> more than a local supplier.”</w:t>
      </w:r>
    </w:p>
    <w:p w14:paraId="4C21653B" w14:textId="77777777" w:rsidR="007E2C6E" w:rsidRPr="0016616E" w:rsidRDefault="007E2C6E" w:rsidP="007E2C6E">
      <w:pPr>
        <w:spacing w:after="0"/>
      </w:pPr>
    </w:p>
    <w:p w14:paraId="383566FE" w14:textId="77777777" w:rsidR="007E2C6E" w:rsidRPr="0016616E" w:rsidRDefault="007E2C6E" w:rsidP="007E2C6E">
      <w:r w:rsidRPr="0016616E">
        <w:rPr>
          <w:b/>
          <w:bCs/>
        </w:rPr>
        <w:t>Many services report they require capital works, but some services state they do not have the business support to make this happen.</w:t>
      </w:r>
      <w:r w:rsidRPr="0016616E">
        <w:t xml:space="preserve"> For example, although additional funding may be provided by the Department to pay for the capital works, the administrative burden – for </w:t>
      </w:r>
      <w:r w:rsidRPr="0016616E">
        <w:lastRenderedPageBreak/>
        <w:t>example, obtaining three separate quotes; managing contractors – is reported to be overwhelming for service staff whose primary role is caring for and educating children.</w:t>
      </w:r>
    </w:p>
    <w:p w14:paraId="73BD00F3" w14:textId="77777777" w:rsidR="007E2C6E" w:rsidRPr="0016616E" w:rsidRDefault="007E2C6E" w:rsidP="007E2C6E">
      <w:r w:rsidRPr="0016616E">
        <w:t>One service noted that capital funding under the CCCFR should cover asset depreciation for meeting regulations and everyday ‘wear and tear’.</w:t>
      </w:r>
    </w:p>
    <w:p w14:paraId="34DA72F3" w14:textId="77777777" w:rsidR="007E2C6E" w:rsidRPr="001B5B58" w:rsidRDefault="007E2C6E" w:rsidP="007E2C6E">
      <w:pPr>
        <w:spacing w:after="0" w:line="200" w:lineRule="atLeast"/>
        <w:contextualSpacing/>
        <w:rPr>
          <w:color w:val="26890D"/>
        </w:rPr>
      </w:pPr>
      <w:r w:rsidRPr="001B5B58">
        <w:rPr>
          <w:color w:val="26890D"/>
        </w:rPr>
        <w:t xml:space="preserve">“We need upgrades here. We had no lights in the toilet for half a year, and only just fixed now. We need stainless steel kitchen in there, we need new benchtops, it’s currently chipboard and it swells. Upgrades take a while.” </w:t>
      </w:r>
    </w:p>
    <w:p w14:paraId="3B7893BE" w14:textId="77777777" w:rsidR="007E2C6E" w:rsidRPr="001B5B58" w:rsidRDefault="007E2C6E" w:rsidP="007E2C6E">
      <w:pPr>
        <w:spacing w:after="0" w:line="200" w:lineRule="atLeast"/>
        <w:contextualSpacing/>
        <w:rPr>
          <w:color w:val="26890D"/>
        </w:rPr>
      </w:pPr>
    </w:p>
    <w:p w14:paraId="1BC8B418" w14:textId="77777777" w:rsidR="007E2C6E" w:rsidRPr="001B5B58" w:rsidRDefault="007E2C6E" w:rsidP="007E2C6E">
      <w:pPr>
        <w:spacing w:after="0" w:line="200" w:lineRule="atLeast"/>
        <w:contextualSpacing/>
        <w:rPr>
          <w:color w:val="26890D"/>
        </w:rPr>
      </w:pPr>
      <w:r w:rsidRPr="001B5B58">
        <w:rPr>
          <w:color w:val="26890D"/>
        </w:rPr>
        <w:t>“[Program Officer] will support to put in for the grant, but we also need help for admin burden - not ECEC”</w:t>
      </w:r>
    </w:p>
    <w:p w14:paraId="7DB1CEE9" w14:textId="77777777" w:rsidR="007E2C6E" w:rsidRPr="001B5B58" w:rsidRDefault="007E2C6E" w:rsidP="007E2C6E">
      <w:pPr>
        <w:spacing w:before="170"/>
        <w:rPr>
          <w:color w:val="26890D"/>
        </w:rPr>
      </w:pPr>
      <w:r w:rsidRPr="001B5B58">
        <w:rPr>
          <w:color w:val="26890D"/>
        </w:rPr>
        <w:t>“Staff time does not allow for the process in getting quotes or staged work.”</w:t>
      </w:r>
    </w:p>
    <w:p w14:paraId="295BCAD0" w14:textId="77777777" w:rsidR="007E2C6E" w:rsidRPr="001B5B58" w:rsidRDefault="007E2C6E" w:rsidP="007E2C6E">
      <w:pPr>
        <w:spacing w:after="0" w:line="200" w:lineRule="atLeast"/>
        <w:contextualSpacing/>
        <w:rPr>
          <w:color w:val="26890D"/>
        </w:rPr>
      </w:pPr>
      <w:r w:rsidRPr="001B5B58">
        <w:rPr>
          <w:color w:val="26890D"/>
        </w:rPr>
        <w:t>"We had to spend a lot of money in securing the [centre name] from vandalism. Money we spent on this could not be spent on child care…We spent close to $60,000 on security upgrades on the centre after a number of break-ins and vandalism.”</w:t>
      </w:r>
    </w:p>
    <w:p w14:paraId="75BB2FB5" w14:textId="77777777" w:rsidR="007E2C6E" w:rsidRPr="0016616E" w:rsidRDefault="007E2C6E" w:rsidP="00AF6B9A">
      <w:pPr>
        <w:spacing w:before="120"/>
      </w:pPr>
      <w:r w:rsidRPr="0016616E">
        <w:t>Some services did not have a strong understanding of their eligibility to apply for capital grants.</w:t>
      </w:r>
    </w:p>
    <w:p w14:paraId="292232CF" w14:textId="77777777" w:rsidR="007E2C6E" w:rsidRPr="001B5B58" w:rsidRDefault="007E2C6E" w:rsidP="007E2C6E">
      <w:pPr>
        <w:spacing w:before="170"/>
        <w:rPr>
          <w:color w:val="26890D"/>
        </w:rPr>
      </w:pPr>
      <w:r w:rsidRPr="001B5B58">
        <w:rPr>
          <w:color w:val="26890D"/>
        </w:rPr>
        <w:t>“Being able to apply for capital grants to ensure our buildings are better suited for supervision would also greatly assist us.”</w:t>
      </w:r>
    </w:p>
    <w:p w14:paraId="2003F303" w14:textId="77777777" w:rsidR="007E2C6E" w:rsidRPr="0016616E" w:rsidRDefault="007E2C6E" w:rsidP="007E2C6E">
      <w:r w:rsidRPr="0016616E">
        <w:rPr>
          <w:b/>
          <w:bCs/>
        </w:rPr>
        <w:t xml:space="preserve">While some services supported some form of environmental sustainability at their centre, this was a much lower priority than supporting children and families. </w:t>
      </w:r>
      <w:r w:rsidRPr="0016616E">
        <w:t xml:space="preserve">This ranged between services which had no environmentally sustainable measures, to those which had invested in solar panels or other </w:t>
      </w:r>
      <w:r w:rsidRPr="0016616E" w:rsidDel="00797429">
        <w:t>longer</w:t>
      </w:r>
      <w:r w:rsidRPr="0016616E">
        <w:t xml:space="preserve">-term measures. However, as with the capital grants, the administration of these works was often cited by services as something they did not have time to do. </w:t>
      </w:r>
    </w:p>
    <w:p w14:paraId="1178CECE" w14:textId="254AD9B2" w:rsidR="00E9694E" w:rsidRDefault="008915CC" w:rsidP="00FD0E03">
      <w:pPr>
        <w:pStyle w:val="Appendixhead1"/>
      </w:pPr>
      <w:bookmarkStart w:id="417" w:name="_Toc158993784"/>
      <w:bookmarkStart w:id="418" w:name="_Ref163819700"/>
      <w:bookmarkStart w:id="419" w:name="_Ref163819718"/>
      <w:bookmarkStart w:id="420" w:name="_Toc170227434"/>
      <w:r>
        <w:lastRenderedPageBreak/>
        <w:t>Detailed Statement of Work for the review</w:t>
      </w:r>
      <w:bookmarkEnd w:id="416"/>
      <w:bookmarkEnd w:id="417"/>
      <w:bookmarkEnd w:id="418"/>
      <w:bookmarkEnd w:id="419"/>
      <w:bookmarkEnd w:id="420"/>
    </w:p>
    <w:p w14:paraId="5B5141A8" w14:textId="05376953" w:rsidR="00005FC2" w:rsidRDefault="00005FC2" w:rsidP="00C53F67">
      <w:r>
        <w:t xml:space="preserve">The review </w:t>
      </w:r>
      <w:r w:rsidR="008915CC">
        <w:t>scope is defined by</w:t>
      </w:r>
      <w:r>
        <w:t xml:space="preserve"> the Department’s </w:t>
      </w:r>
      <w:r w:rsidRPr="00981819">
        <w:rPr>
          <w:i/>
          <w:iCs/>
        </w:rPr>
        <w:t>Detailed Statement of Work</w:t>
      </w:r>
      <w:r>
        <w:t xml:space="preserve"> for the review, as set out below.</w:t>
      </w:r>
    </w:p>
    <w:p w14:paraId="5750AA76" w14:textId="77777777" w:rsidR="00005FC2" w:rsidRDefault="00005FC2" w:rsidP="00005FC2">
      <w:pPr>
        <w:spacing w:after="160" w:line="259" w:lineRule="auto"/>
      </w:pPr>
      <w:r>
        <w:t xml:space="preserve">The </w:t>
      </w:r>
      <w:r w:rsidRPr="00DB49C1">
        <w:rPr>
          <w:b/>
          <w:bCs/>
        </w:rPr>
        <w:t>Final Report</w:t>
      </w:r>
      <w:r>
        <w:t xml:space="preserve"> and products delivered to the Agency will: </w:t>
      </w:r>
    </w:p>
    <w:p w14:paraId="4CA8684D" w14:textId="67DBBA86" w:rsidR="00005FC2" w:rsidRDefault="00005FC2" w:rsidP="00005FC2">
      <w:pPr>
        <w:pStyle w:val="ListBullet"/>
      </w:pPr>
      <w:r>
        <w:t xml:space="preserve">Provide an assessment if the initial objectives of the </w:t>
      </w:r>
      <w:r w:rsidR="00E9270B">
        <w:t>grant</w:t>
      </w:r>
      <w:r>
        <w:t xml:space="preserve"> can be realised. This will include a discussion and recommendations about whether they continue to be relevant or should be reframed or improved to reflect changes in policy. </w:t>
      </w:r>
    </w:p>
    <w:p w14:paraId="73B64057" w14:textId="682A8396" w:rsidR="00005FC2" w:rsidRDefault="00005FC2" w:rsidP="00005FC2">
      <w:pPr>
        <w:pStyle w:val="ListBullet"/>
      </w:pPr>
      <w:r>
        <w:t xml:space="preserve">Provide an examination of various aspects of the CCCFR grant that have proved difficult to administer, and review CCCFR grant goals that have proven difficult to achieve and make recommendations on future directions or strategies to achieve CCCFR grant goals. This may include but not limited to difficulties in accessing ACCS, the transition of services to the NQF and moving to reliance on Child Care Subsidy as a major source of income. </w:t>
      </w:r>
    </w:p>
    <w:p w14:paraId="31CF38CD" w14:textId="20B813F2" w:rsidR="00005FC2" w:rsidRDefault="00005FC2" w:rsidP="00005FC2">
      <w:pPr>
        <w:pStyle w:val="ListBullet"/>
      </w:pPr>
      <w:r>
        <w:t xml:space="preserve">Consider and report on lessons that can be learnt from the administration of the current round of CCCFR grant funding and make recommendations on what improvements can be made to streamline the administration of the CCCFR grant funding in any future rounds and reduce the administrative burden for both the Agency and CCCFR services. This will include looking at the administration of previous BBF rounds, prior to the transition into CCCFR. </w:t>
      </w:r>
    </w:p>
    <w:p w14:paraId="75C2D93A" w14:textId="77777777" w:rsidR="00005FC2" w:rsidRDefault="00005FC2" w:rsidP="00005FC2">
      <w:pPr>
        <w:pStyle w:val="ListBullet"/>
      </w:pPr>
      <w:r>
        <w:t xml:space="preserve">Consider and report on the operation of the CCCFR grant during COVID and the extent that it did, or did not, assist services in remaining viable. </w:t>
      </w:r>
    </w:p>
    <w:p w14:paraId="4F146E38" w14:textId="77777777" w:rsidR="00005FC2" w:rsidRDefault="00005FC2" w:rsidP="00005FC2">
      <w:pPr>
        <w:pStyle w:val="ListBullet"/>
      </w:pPr>
      <w:r>
        <w:t xml:space="preserve">Analysis of current and alternate funding models internationally and nationally, including block funding, with recommendations on their appropriateness to funding these services. </w:t>
      </w:r>
    </w:p>
    <w:p w14:paraId="5DD546C3" w14:textId="029CD6B6" w:rsidR="00005FC2" w:rsidRPr="004C1098" w:rsidRDefault="00005FC2" w:rsidP="00005FC2">
      <w:pPr>
        <w:pStyle w:val="ListBullet"/>
      </w:pPr>
      <w:r>
        <w:t xml:space="preserve">Provide the Agency with an activity-based cost model reflective of the provision of child care within the CCCFR context. The model should support increased understanding by the Agency of the costs (fixed, variable and capital) of delivering child care in a range of different modalities, locations (including remote) and differing sized facilities. This model should be flexible to enable the Agency to adapt and to support scenario planning to inform annual grant allocations to services. </w:t>
      </w:r>
    </w:p>
    <w:p w14:paraId="5A08A0AC" w14:textId="77777777" w:rsidR="00005FC2" w:rsidRDefault="00005FC2" w:rsidP="00005FC2">
      <w:pPr>
        <w:pStyle w:val="ListBullet"/>
      </w:pPr>
      <w:r>
        <w:t xml:space="preserve">A discussion and recommendation on the treatment/funding of capital (minor and major) by this grant; up to and including building replacement. This discussion will also explore the role of the CCCFR grant, if any, in: </w:t>
      </w:r>
    </w:p>
    <w:p w14:paraId="1808CDAA" w14:textId="77777777" w:rsidR="00005FC2" w:rsidRDefault="00005FC2" w:rsidP="00005FC2">
      <w:pPr>
        <w:pStyle w:val="AlphabeticList2"/>
      </w:pPr>
      <w:r>
        <w:t xml:space="preserve">Encouraging services to operate in an environmentally sustainable fashion and support “green” capital investment. This could include, but may not be limited to, increased insulation in child care centres, support for the installation of solar panels, hot water provided by solar or heat pumps, replacement of gas or wood heating by alternatives, reduced emission policy for vehicles, etc. </w:t>
      </w:r>
    </w:p>
    <w:p w14:paraId="24C6AACE" w14:textId="77777777" w:rsidR="00005FC2" w:rsidRDefault="00005FC2" w:rsidP="00005FC2">
      <w:pPr>
        <w:pStyle w:val="AlphabeticList2"/>
      </w:pPr>
      <w:r>
        <w:t xml:space="preserve">The provision of funding, either recurrent or capital, for staff accommodation in remote and very remote locations where the lack of housing stock or rental accommodation is preventing services from securing and/or retaining staff. </w:t>
      </w:r>
    </w:p>
    <w:p w14:paraId="74937594" w14:textId="77777777" w:rsidR="00005FC2" w:rsidRDefault="00005FC2" w:rsidP="00005FC2">
      <w:pPr>
        <w:pStyle w:val="ListBullet"/>
      </w:pPr>
      <w:r>
        <w:t xml:space="preserve">An examination of the CCCFR grant area’s continued management of properties and leases in the Northern Territory with recommendations on whether this model should continue or be replaced by another. In particular, the possibility of future funding of new services in remote locations requires identification of best practice in the management of properties and leases. </w:t>
      </w:r>
    </w:p>
    <w:p w14:paraId="58129950" w14:textId="77777777" w:rsidR="00005FC2" w:rsidRDefault="00005FC2" w:rsidP="00005FC2">
      <w:pPr>
        <w:pStyle w:val="ListBullet"/>
      </w:pPr>
      <w:r>
        <w:lastRenderedPageBreak/>
        <w:t xml:space="preserve">Consideration and discussion of the most appropriate grant agreement compliance regime, including relevant legislation, to be applied to this group of services. </w:t>
      </w:r>
    </w:p>
    <w:p w14:paraId="5C90774A" w14:textId="77777777" w:rsidR="00005FC2" w:rsidRDefault="00005FC2" w:rsidP="00005FC2">
      <w:pPr>
        <w:pStyle w:val="ListBullet"/>
      </w:pPr>
      <w:r>
        <w:t xml:space="preserve">Examination of the nature and current levels of support being provided to CCCFR grant providers and services, including by CCCFR Program Officers, with recommendations for alternate support models to meet the identified needs of providers and services. </w:t>
      </w:r>
    </w:p>
    <w:p w14:paraId="2D3D3AEF" w14:textId="083F4469" w:rsidR="00005FC2" w:rsidRDefault="00005FC2" w:rsidP="00005FC2">
      <w:pPr>
        <w:pStyle w:val="ListBullet"/>
      </w:pPr>
      <w:r>
        <w:t xml:space="preserve">An examination of the extent to which the CCCFR Grant, applying legislation, and CCS processes and practices embed cultural safety in service delivery in alignment with the National Agreement on Closing the Gap. Make recommendations on changes that could be made to improve Aboriginal and/or Torres Strait Islander leadership, community-controlled service delivery, cultural safety and child and family participation in CCCFR grant funded services. </w:t>
      </w:r>
    </w:p>
    <w:p w14:paraId="210AAFA1" w14:textId="77777777" w:rsidR="00005FC2" w:rsidRDefault="00005FC2" w:rsidP="00005FC2">
      <w:pPr>
        <w:pStyle w:val="ListBullet"/>
      </w:pPr>
      <w:r>
        <w:t xml:space="preserve">A summary of consultations, broken down by service and service type with identification of issues raised. </w:t>
      </w:r>
    </w:p>
    <w:p w14:paraId="32006DEF" w14:textId="77777777" w:rsidR="00005FC2" w:rsidRDefault="00005FC2" w:rsidP="00005FC2">
      <w:pPr>
        <w:pStyle w:val="ListBullet"/>
      </w:pPr>
      <w:r>
        <w:t xml:space="preserve">The final report will also include a short environmental scan of the 150+ services currently in receipt of CCCFR grant funding identifying with respect to each service an: </w:t>
      </w:r>
    </w:p>
    <w:p w14:paraId="55863760" w14:textId="77777777" w:rsidR="00005FC2" w:rsidRDefault="00005FC2" w:rsidP="00171325">
      <w:pPr>
        <w:pStyle w:val="AlphabeticList2"/>
        <w:numPr>
          <w:ilvl w:val="1"/>
          <w:numId w:val="4"/>
        </w:numPr>
      </w:pPr>
      <w:r>
        <w:t>Evaluation of the service’s progress in operating sustainably under the CCS system, analysing any funding and systemic barrier in achieving this.</w:t>
      </w:r>
    </w:p>
    <w:p w14:paraId="190737A4" w14:textId="77777777" w:rsidR="00005FC2" w:rsidRDefault="00005FC2" w:rsidP="00005FC2">
      <w:pPr>
        <w:pStyle w:val="AlphabeticList2"/>
      </w:pPr>
      <w:r>
        <w:t xml:space="preserve">Evaluation of the extent to which the service is providing education and child care. </w:t>
      </w:r>
    </w:p>
    <w:p w14:paraId="44EE5948" w14:textId="77777777" w:rsidR="00005FC2" w:rsidRDefault="00005FC2" w:rsidP="00005FC2">
      <w:pPr>
        <w:pStyle w:val="AlphabeticList2"/>
      </w:pPr>
      <w:r>
        <w:t xml:space="preserve">Evaluation of how the service might fare under alternative funding models (i.e. block funding). </w:t>
      </w:r>
    </w:p>
    <w:p w14:paraId="06E3FCAC" w14:textId="77777777" w:rsidR="00005FC2" w:rsidRDefault="00005FC2" w:rsidP="00005FC2">
      <w:pPr>
        <w:pStyle w:val="AlphabeticList2"/>
      </w:pPr>
      <w:r>
        <w:t>A recommendation as to whether the service should:</w:t>
      </w:r>
    </w:p>
    <w:p w14:paraId="7360F9F8" w14:textId="77777777" w:rsidR="00005FC2" w:rsidRDefault="00005FC2" w:rsidP="00005FC2">
      <w:pPr>
        <w:pStyle w:val="ListBullet3"/>
        <w:numPr>
          <w:ilvl w:val="0"/>
          <w:numId w:val="0"/>
        </w:numPr>
        <w:ind w:left="1020" w:hanging="341"/>
      </w:pPr>
      <w:r>
        <w:t>i. continue to be grant funded as child care.</w:t>
      </w:r>
    </w:p>
    <w:p w14:paraId="6A6294BB" w14:textId="75368AC5" w:rsidR="00005FC2" w:rsidRDefault="00005FC2" w:rsidP="00005FC2">
      <w:pPr>
        <w:pStyle w:val="ListBullet3"/>
        <w:numPr>
          <w:ilvl w:val="0"/>
          <w:numId w:val="0"/>
        </w:numPr>
        <w:ind w:left="1020" w:hanging="341"/>
      </w:pPr>
      <w:r>
        <w:t xml:space="preserve">ii. be transitioned off the CCCFR prior to or during any Round 2 CCCFR grant because it can operate sustainably under CCS or is no longer providing education and child care. </w:t>
      </w:r>
    </w:p>
    <w:p w14:paraId="62F0AAAA" w14:textId="77777777" w:rsidR="00005FC2" w:rsidRDefault="00005FC2" w:rsidP="00005FC2">
      <w:pPr>
        <w:pStyle w:val="ListBullet"/>
      </w:pPr>
      <w:r>
        <w:t xml:space="preserve">A recommendation on the information required to be collected by the Agency to appropriately manage the CCCFR grant going forward, with a strategy on how this information should be collected, analysed, and reported under future grant agreements. </w:t>
      </w:r>
    </w:p>
    <w:p w14:paraId="45D028B4" w14:textId="77777777" w:rsidR="00005FC2" w:rsidRDefault="00005FC2" w:rsidP="00005FC2">
      <w:pPr>
        <w:pStyle w:val="ListBullet"/>
      </w:pPr>
      <w:r>
        <w:t>Consider any legislative requirements or barriers to implement any recommendations (e.g. changes to the Minister’s Rules).</w:t>
      </w:r>
    </w:p>
    <w:p w14:paraId="200E2FEC" w14:textId="77777777" w:rsidR="00005FC2" w:rsidRPr="00005FC2" w:rsidRDefault="00005FC2" w:rsidP="00005FC2"/>
    <w:p w14:paraId="1DFCA907" w14:textId="77777777" w:rsidR="00B9138E" w:rsidRPr="003549F9" w:rsidRDefault="00B9138E" w:rsidP="00B9138E"/>
    <w:p w14:paraId="27DF94E5" w14:textId="77777777" w:rsidR="00B9138E" w:rsidRPr="003549F9" w:rsidRDefault="00B9138E" w:rsidP="00B9138E"/>
    <w:p w14:paraId="42A78E04" w14:textId="77777777" w:rsidR="00B9138E" w:rsidRPr="003549F9" w:rsidRDefault="00B9138E" w:rsidP="00B9138E"/>
    <w:p w14:paraId="12544291" w14:textId="77777777" w:rsidR="00B9138E" w:rsidRPr="003549F9" w:rsidRDefault="00B9138E" w:rsidP="00B9138E"/>
    <w:p w14:paraId="699C73E8" w14:textId="77777777" w:rsidR="00B9138E" w:rsidRPr="003549F9" w:rsidRDefault="00B9138E" w:rsidP="00B9138E"/>
    <w:p w14:paraId="4A9FB91E" w14:textId="77777777" w:rsidR="00B9138E" w:rsidRPr="003549F9" w:rsidRDefault="00B9138E" w:rsidP="00B9138E"/>
    <w:p w14:paraId="5CC11557" w14:textId="638F06E7" w:rsidR="00B9138E" w:rsidRPr="007B03FF" w:rsidRDefault="007B03FF" w:rsidP="00AB1114">
      <w:pPr>
        <w:pStyle w:val="Appendixhead1"/>
      </w:pPr>
      <w:bookmarkStart w:id="421" w:name="_Ref152874988"/>
      <w:bookmarkStart w:id="422" w:name="_Toc158993785"/>
      <w:bookmarkStart w:id="423" w:name="_Toc170227435"/>
      <w:r w:rsidRPr="007B03FF">
        <w:lastRenderedPageBreak/>
        <w:t>Consultation guide for CCCFR services</w:t>
      </w:r>
      <w:bookmarkEnd w:id="421"/>
      <w:bookmarkEnd w:id="422"/>
      <w:bookmarkEnd w:id="423"/>
    </w:p>
    <w:p w14:paraId="7BD006CF" w14:textId="77777777" w:rsidR="00B9138E" w:rsidRPr="003549F9" w:rsidRDefault="00B9138E" w:rsidP="007E39D2"/>
    <w:p w14:paraId="42E7A65B" w14:textId="2CBD253B" w:rsidR="00F74DB5" w:rsidRDefault="00F74DB5" w:rsidP="00FA518D">
      <w:pPr>
        <w:pStyle w:val="Appendixhead2"/>
      </w:pPr>
      <w:r w:rsidRPr="00E61DDD">
        <w:t>Questions</w:t>
      </w:r>
    </w:p>
    <w:p w14:paraId="4BE5BDDC" w14:textId="098EF6D0" w:rsidR="00F74DB5" w:rsidRPr="00E61DDD" w:rsidRDefault="00F74DB5" w:rsidP="00416EA8">
      <w:pPr>
        <w:pStyle w:val="ListNumber"/>
        <w:numPr>
          <w:ilvl w:val="0"/>
          <w:numId w:val="50"/>
        </w:numPr>
        <w:spacing w:before="120"/>
        <w:ind w:left="284"/>
        <w:rPr>
          <w:rFonts w:asciiTheme="minorHAnsi" w:hAnsiTheme="minorHAnsi"/>
          <w:szCs w:val="18"/>
        </w:rPr>
      </w:pPr>
      <w:r w:rsidRPr="00E61DDD">
        <w:t xml:space="preserve">What are the key things you </w:t>
      </w:r>
      <w:r w:rsidRPr="00E61DDD">
        <w:rPr>
          <w:rFonts w:asciiTheme="minorHAnsi" w:hAnsiTheme="minorHAnsi"/>
          <w:szCs w:val="18"/>
        </w:rPr>
        <w:t>think the review should include?</w:t>
      </w:r>
    </w:p>
    <w:p w14:paraId="47B181BB" w14:textId="77777777" w:rsidR="00F74DB5" w:rsidRPr="00E61DDD" w:rsidRDefault="00F74DB5" w:rsidP="00416EA8">
      <w:pPr>
        <w:pStyle w:val="ListNumber"/>
        <w:numPr>
          <w:ilvl w:val="0"/>
          <w:numId w:val="50"/>
        </w:numPr>
        <w:spacing w:before="120"/>
        <w:ind w:left="284"/>
        <w:rPr>
          <w:rFonts w:asciiTheme="minorHAnsi" w:hAnsiTheme="minorHAnsi"/>
          <w:szCs w:val="18"/>
        </w:rPr>
      </w:pPr>
      <w:r w:rsidRPr="00E61DDD">
        <w:t>Could you please tell us about your child care</w:t>
      </w:r>
      <w:r w:rsidRPr="1424395C">
        <w:rPr>
          <w:rFonts w:asciiTheme="minorHAnsi" w:hAnsiTheme="minorHAnsi"/>
        </w:rPr>
        <w:t xml:space="preserve"> service and the community you operate in?</w:t>
      </w:r>
    </w:p>
    <w:p w14:paraId="7FCAB07B" w14:textId="6893657F" w:rsidR="00F74DB5" w:rsidRPr="00E61DDD" w:rsidRDefault="00F74DB5" w:rsidP="00171325">
      <w:pPr>
        <w:pStyle w:val="ListNumber"/>
        <w:numPr>
          <w:ilvl w:val="3"/>
          <w:numId w:val="25"/>
        </w:numPr>
        <w:ind w:left="709"/>
        <w:rPr>
          <w:rFonts w:asciiTheme="minorHAnsi" w:hAnsiTheme="minorHAnsi"/>
          <w:szCs w:val="18"/>
        </w:rPr>
      </w:pPr>
      <w:r w:rsidRPr="00E61DDD">
        <w:t>What do you see as the main ways your service helps its community?</w:t>
      </w:r>
    </w:p>
    <w:p w14:paraId="1DE15ED0" w14:textId="77777777" w:rsidR="00F74DB5" w:rsidRPr="00E61DDD" w:rsidRDefault="00F74DB5" w:rsidP="00171325">
      <w:pPr>
        <w:pStyle w:val="ListNumber"/>
        <w:numPr>
          <w:ilvl w:val="3"/>
          <w:numId w:val="25"/>
        </w:numPr>
        <w:ind w:left="709"/>
        <w:rPr>
          <w:rFonts w:asciiTheme="minorHAnsi" w:hAnsiTheme="minorHAnsi"/>
          <w:szCs w:val="18"/>
        </w:rPr>
      </w:pPr>
      <w:r w:rsidRPr="00E61DDD">
        <w:t>Please describe any other pro</w:t>
      </w:r>
      <w:r w:rsidRPr="1424395C">
        <w:rPr>
          <w:rFonts w:asciiTheme="minorHAnsi" w:hAnsiTheme="minorHAnsi"/>
        </w:rPr>
        <w:t>grams or services you offer that are not CCCFR funded programs</w:t>
      </w:r>
    </w:p>
    <w:p w14:paraId="69FF1C6A" w14:textId="77777777" w:rsidR="00F74DB5" w:rsidRPr="001D3874" w:rsidRDefault="00F74DB5" w:rsidP="001D3874">
      <w:r w:rsidRPr="00E61DDD">
        <w:t>The objectives of the CCCFR grant are to:</w:t>
      </w:r>
    </w:p>
    <w:p w14:paraId="7AF1F9F4" w14:textId="77777777" w:rsidR="00F74DB5" w:rsidRPr="00E61DDD" w:rsidRDefault="00F74DB5" w:rsidP="00757BA0">
      <w:pPr>
        <w:pStyle w:val="ListNumber2"/>
        <w:ind w:left="399"/>
        <w:rPr>
          <w:rFonts w:asciiTheme="minorHAnsi" w:hAnsiTheme="minorHAnsi"/>
          <w:i/>
        </w:rPr>
      </w:pPr>
      <w:r w:rsidRPr="00757BA0">
        <w:rPr>
          <w:i/>
        </w:rPr>
        <w:t>1. Improve early childhood develo</w:t>
      </w:r>
      <w:r w:rsidRPr="00E61DDD">
        <w:rPr>
          <w:rFonts w:asciiTheme="minorHAnsi" w:hAnsiTheme="minorHAnsi"/>
          <w:i/>
        </w:rPr>
        <w:t>pment outcomes for children experiencing vulnerability and disadvantage</w:t>
      </w:r>
    </w:p>
    <w:p w14:paraId="300EF19D" w14:textId="77777777" w:rsidR="00F74DB5" w:rsidRPr="00E61DDD" w:rsidRDefault="00F74DB5" w:rsidP="00757BA0">
      <w:pPr>
        <w:pStyle w:val="ListNumber2"/>
        <w:ind w:left="399"/>
        <w:rPr>
          <w:rFonts w:asciiTheme="minorHAnsi" w:hAnsiTheme="minorHAnsi"/>
          <w:i/>
        </w:rPr>
      </w:pPr>
      <w:r w:rsidRPr="00757BA0">
        <w:rPr>
          <w:i/>
        </w:rPr>
        <w:t>2. Increase workforce participation by familie</w:t>
      </w:r>
      <w:r w:rsidRPr="00E61DDD">
        <w:rPr>
          <w:rFonts w:asciiTheme="minorHAnsi" w:hAnsiTheme="minorHAnsi"/>
          <w:i/>
        </w:rPr>
        <w:t>s experiencing vulnerability and disadvantage</w:t>
      </w:r>
    </w:p>
    <w:p w14:paraId="79DA0F39" w14:textId="77777777" w:rsidR="00376E83" w:rsidRPr="00376E83" w:rsidRDefault="00F74DB5" w:rsidP="00416EA8">
      <w:pPr>
        <w:pStyle w:val="ListNumber"/>
        <w:numPr>
          <w:ilvl w:val="0"/>
          <w:numId w:val="50"/>
        </w:numPr>
        <w:ind w:left="426" w:hanging="426"/>
        <w:rPr>
          <w:rFonts w:asciiTheme="minorHAnsi" w:hAnsiTheme="minorHAnsi"/>
          <w:szCs w:val="18"/>
        </w:rPr>
      </w:pPr>
      <w:r w:rsidRPr="00E61DDD">
        <w:t xml:space="preserve">In your opinion, do the CCCFR grant objectives meet the needs of the </w:t>
      </w:r>
      <w:r w:rsidRPr="00376E83">
        <w:rPr>
          <w:rFonts w:asciiTheme="minorHAnsi" w:hAnsiTheme="minorHAnsi"/>
        </w:rPr>
        <w:t xml:space="preserve">families and communities in your area? </w:t>
      </w:r>
    </w:p>
    <w:p w14:paraId="07B12797" w14:textId="77777777" w:rsidR="00376E83" w:rsidRPr="00376E83" w:rsidRDefault="00F74DB5" w:rsidP="00416EA8">
      <w:pPr>
        <w:pStyle w:val="ListNumber"/>
        <w:numPr>
          <w:ilvl w:val="0"/>
          <w:numId w:val="50"/>
        </w:numPr>
        <w:ind w:left="426" w:hanging="426"/>
        <w:rPr>
          <w:rFonts w:asciiTheme="minorHAnsi" w:hAnsiTheme="minorHAnsi"/>
          <w:szCs w:val="18"/>
        </w:rPr>
      </w:pPr>
      <w:r w:rsidRPr="00E61DDD">
        <w:t>What kinds of vulnerability and disadvantage do children and families in your service's communities e</w:t>
      </w:r>
      <w:r w:rsidRPr="00376E83">
        <w:rPr>
          <w:rFonts w:asciiTheme="minorHAnsi" w:hAnsiTheme="minorHAnsi"/>
        </w:rPr>
        <w:t xml:space="preserve">xperience? </w:t>
      </w:r>
    </w:p>
    <w:p w14:paraId="67DAEBF6" w14:textId="167AFFB9" w:rsidR="00F74DB5" w:rsidRPr="00376E83" w:rsidRDefault="00F74DB5" w:rsidP="00416EA8">
      <w:pPr>
        <w:pStyle w:val="ListNumber"/>
        <w:numPr>
          <w:ilvl w:val="0"/>
          <w:numId w:val="50"/>
        </w:numPr>
        <w:ind w:left="426" w:hanging="426"/>
        <w:rPr>
          <w:rFonts w:asciiTheme="minorHAnsi" w:hAnsiTheme="minorHAnsi"/>
          <w:szCs w:val="18"/>
        </w:rPr>
      </w:pPr>
      <w:r w:rsidRPr="00B276A2">
        <w:t>How does the CCCFR grant help your service to serve your community?</w:t>
      </w:r>
    </w:p>
    <w:p w14:paraId="549B26B1" w14:textId="77777777" w:rsidR="00F74DB5" w:rsidRPr="001C655F" w:rsidRDefault="00F74DB5" w:rsidP="00416EA8">
      <w:pPr>
        <w:pStyle w:val="ListNumber"/>
        <w:numPr>
          <w:ilvl w:val="0"/>
          <w:numId w:val="78"/>
        </w:numPr>
        <w:rPr>
          <w:rFonts w:asciiTheme="minorHAnsi" w:hAnsiTheme="minorHAnsi"/>
        </w:rPr>
      </w:pPr>
      <w:r w:rsidRPr="00B276A2">
        <w:t>How could the CCCFR grant better help your service to serv</w:t>
      </w:r>
      <w:r w:rsidRPr="00376E83">
        <w:rPr>
          <w:rFonts w:asciiTheme="minorHAnsi" w:hAnsiTheme="minorHAnsi"/>
        </w:rPr>
        <w:t xml:space="preserve">e your community? </w:t>
      </w:r>
    </w:p>
    <w:p w14:paraId="5F282479" w14:textId="77777777" w:rsidR="00F74DB5" w:rsidRPr="00E61DDD" w:rsidRDefault="00F74DB5" w:rsidP="00FA518D">
      <w:pPr>
        <w:pStyle w:val="ListNumber"/>
        <w:rPr>
          <w:rFonts w:asciiTheme="minorHAnsi" w:hAnsiTheme="minorHAnsi"/>
          <w:szCs w:val="18"/>
        </w:rPr>
      </w:pPr>
      <w:r w:rsidRPr="00E61DDD">
        <w:t xml:space="preserve">In which ways do children accessing your service benefit? </w:t>
      </w:r>
    </w:p>
    <w:p w14:paraId="220C1D6F" w14:textId="77777777" w:rsidR="00F74DB5" w:rsidRPr="00E61DDD" w:rsidRDefault="00F74DB5" w:rsidP="00F74DB5">
      <w:pPr>
        <w:rPr>
          <w:rFonts w:asciiTheme="minorHAnsi" w:hAnsiTheme="minorHAnsi"/>
        </w:rPr>
      </w:pPr>
      <w:r w:rsidRPr="00E61DDD">
        <w:rPr>
          <w:rFonts w:asciiTheme="minorHAnsi" w:hAnsiTheme="minorHAnsi"/>
        </w:rPr>
        <w:t>You might think about:</w:t>
      </w:r>
    </w:p>
    <w:p w14:paraId="45D1FF3E" w14:textId="10107A7E" w:rsidR="00F74DB5" w:rsidRPr="00E61DDD" w:rsidRDefault="00F74DB5" w:rsidP="00171325">
      <w:pPr>
        <w:pStyle w:val="ListParagraph"/>
        <w:widowControl w:val="0"/>
        <w:numPr>
          <w:ilvl w:val="0"/>
          <w:numId w:val="7"/>
        </w:numPr>
        <w:spacing w:after="0" w:line="240" w:lineRule="auto"/>
        <w:contextualSpacing w:val="0"/>
        <w:rPr>
          <w:rFonts w:asciiTheme="minorHAnsi" w:hAnsiTheme="minorHAnsi"/>
        </w:rPr>
      </w:pPr>
      <w:r w:rsidRPr="00E61DDD">
        <w:rPr>
          <w:rFonts w:asciiTheme="minorHAnsi" w:hAnsiTheme="minorHAnsi"/>
        </w:rPr>
        <w:t>Being ready for school, being able to talk, read and count</w:t>
      </w:r>
      <w:r w:rsidR="002E497C">
        <w:rPr>
          <w:rFonts w:asciiTheme="minorHAnsi" w:hAnsiTheme="minorHAnsi"/>
        </w:rPr>
        <w:t xml:space="preserve"> </w:t>
      </w:r>
    </w:p>
    <w:p w14:paraId="2439D826" w14:textId="77777777" w:rsidR="00F74DB5" w:rsidRPr="00E61DDD" w:rsidRDefault="00F74DB5" w:rsidP="00171325">
      <w:pPr>
        <w:pStyle w:val="ListParagraph"/>
        <w:widowControl w:val="0"/>
        <w:numPr>
          <w:ilvl w:val="0"/>
          <w:numId w:val="7"/>
        </w:numPr>
        <w:spacing w:after="0" w:line="240" w:lineRule="auto"/>
        <w:contextualSpacing w:val="0"/>
        <w:rPr>
          <w:rFonts w:asciiTheme="minorHAnsi" w:hAnsiTheme="minorHAnsi"/>
        </w:rPr>
      </w:pPr>
      <w:r w:rsidRPr="00E61DDD">
        <w:rPr>
          <w:rFonts w:asciiTheme="minorHAnsi" w:hAnsiTheme="minorHAnsi"/>
        </w:rPr>
        <w:t>Being strong in their culture and who they are</w:t>
      </w:r>
    </w:p>
    <w:p w14:paraId="5A25EF7D" w14:textId="77777777" w:rsidR="00F74DB5" w:rsidRPr="00E61DDD" w:rsidRDefault="00F74DB5" w:rsidP="00171325">
      <w:pPr>
        <w:pStyle w:val="ListParagraph"/>
        <w:widowControl w:val="0"/>
        <w:numPr>
          <w:ilvl w:val="0"/>
          <w:numId w:val="7"/>
        </w:numPr>
        <w:spacing w:after="0" w:line="240" w:lineRule="auto"/>
        <w:contextualSpacing w:val="0"/>
        <w:rPr>
          <w:rFonts w:asciiTheme="minorHAnsi" w:hAnsiTheme="minorHAnsi"/>
        </w:rPr>
      </w:pPr>
      <w:r w:rsidRPr="00E61DDD">
        <w:rPr>
          <w:rFonts w:asciiTheme="minorHAnsi" w:hAnsiTheme="minorHAnsi"/>
        </w:rPr>
        <w:t>Social skills, making friends and being confident</w:t>
      </w:r>
    </w:p>
    <w:p w14:paraId="7C616566" w14:textId="77777777" w:rsidR="00F74DB5" w:rsidRPr="00E61DDD" w:rsidRDefault="00F74DB5" w:rsidP="00171325">
      <w:pPr>
        <w:pStyle w:val="ListParagraph"/>
        <w:widowControl w:val="0"/>
        <w:numPr>
          <w:ilvl w:val="0"/>
          <w:numId w:val="7"/>
        </w:numPr>
        <w:spacing w:after="0" w:line="240" w:lineRule="auto"/>
        <w:contextualSpacing w:val="0"/>
        <w:rPr>
          <w:rFonts w:asciiTheme="minorHAnsi" w:hAnsiTheme="minorHAnsi"/>
        </w:rPr>
      </w:pPr>
      <w:r w:rsidRPr="00E61DDD">
        <w:rPr>
          <w:rFonts w:asciiTheme="minorHAnsi" w:hAnsiTheme="minorHAnsi"/>
        </w:rPr>
        <w:t xml:space="preserve">Being healthy, including seeing a doctor, dentist, nurse or other professional support, getting healthy meals and practicing healthy habits like hand washing </w:t>
      </w:r>
    </w:p>
    <w:p w14:paraId="3F7BF5D6" w14:textId="77777777" w:rsidR="00F74DB5" w:rsidRPr="00E61DDD" w:rsidRDefault="00F74DB5" w:rsidP="00171325">
      <w:pPr>
        <w:pStyle w:val="ListParagraph"/>
        <w:widowControl w:val="0"/>
        <w:numPr>
          <w:ilvl w:val="0"/>
          <w:numId w:val="7"/>
        </w:numPr>
        <w:spacing w:after="0" w:line="240" w:lineRule="auto"/>
        <w:contextualSpacing w:val="0"/>
        <w:rPr>
          <w:rFonts w:asciiTheme="minorHAnsi" w:hAnsiTheme="minorHAnsi"/>
        </w:rPr>
      </w:pPr>
      <w:r w:rsidRPr="00E61DDD">
        <w:rPr>
          <w:rFonts w:asciiTheme="minorHAnsi" w:hAnsiTheme="minorHAnsi"/>
        </w:rPr>
        <w:t>Development outcomes, including getting any diagnosis they need</w:t>
      </w:r>
    </w:p>
    <w:p w14:paraId="6071D312" w14:textId="77777777" w:rsidR="00757BA0" w:rsidRPr="00E61DDD" w:rsidRDefault="00757BA0" w:rsidP="00757BA0">
      <w:pPr>
        <w:pStyle w:val="ListParagraph"/>
        <w:widowControl w:val="0"/>
        <w:numPr>
          <w:ilvl w:val="0"/>
          <w:numId w:val="0"/>
        </w:numPr>
        <w:spacing w:after="0" w:line="240" w:lineRule="auto"/>
        <w:ind w:left="720"/>
        <w:contextualSpacing w:val="0"/>
        <w:rPr>
          <w:rFonts w:asciiTheme="minorHAnsi" w:hAnsiTheme="minorHAnsi"/>
        </w:rPr>
      </w:pPr>
    </w:p>
    <w:p w14:paraId="1192EF48" w14:textId="77777777" w:rsidR="00F74DB5" w:rsidRPr="00E61DDD" w:rsidRDefault="00F74DB5" w:rsidP="00757BA0">
      <w:pPr>
        <w:pStyle w:val="ListNumber"/>
        <w:rPr>
          <w:rFonts w:asciiTheme="minorHAnsi" w:hAnsiTheme="minorHAnsi"/>
          <w:szCs w:val="18"/>
        </w:rPr>
      </w:pPr>
      <w:r w:rsidRPr="00E61DDD">
        <w:t>How much time does your servic</w:t>
      </w:r>
      <w:r w:rsidRPr="1424395C">
        <w:rPr>
          <w:rFonts w:asciiTheme="minorHAnsi" w:hAnsiTheme="minorHAnsi"/>
        </w:rPr>
        <w:t>e spend undertaking the following activities as part of its early childhood education and care program?</w:t>
      </w:r>
    </w:p>
    <w:p w14:paraId="4CF25D25" w14:textId="77777777" w:rsidR="00F74DB5" w:rsidRPr="00E61DDD" w:rsidRDefault="00F74DB5" w:rsidP="00F74DB5">
      <w:pPr>
        <w:rPr>
          <w:rFonts w:asciiTheme="minorHAnsi" w:hAnsiTheme="minorHAnsi"/>
        </w:rPr>
      </w:pPr>
      <w:r w:rsidRPr="00E61DDD">
        <w:rPr>
          <w:rFonts w:asciiTheme="minorHAnsi" w:hAnsiTheme="minorHAnsi"/>
        </w:rPr>
        <w:t>You can refer to any length of time that is easiest, such as time per day or week.</w:t>
      </w:r>
    </w:p>
    <w:tbl>
      <w:tblPr>
        <w:tblStyle w:val="TableGridLight"/>
        <w:tblW w:w="0" w:type="auto"/>
        <w:tblLook w:val="04A0" w:firstRow="1" w:lastRow="0" w:firstColumn="1" w:lastColumn="0" w:noHBand="0" w:noVBand="1"/>
      </w:tblPr>
      <w:tblGrid>
        <w:gridCol w:w="3535"/>
        <w:gridCol w:w="5481"/>
      </w:tblGrid>
      <w:tr w:rsidR="00F74DB5" w:rsidRPr="00CD7C70" w14:paraId="5A35B0A0" w14:textId="77777777">
        <w:tc>
          <w:tcPr>
            <w:tcW w:w="3539" w:type="dxa"/>
          </w:tcPr>
          <w:p w14:paraId="08EC32EE" w14:textId="77777777" w:rsidR="00F74DB5" w:rsidRPr="00E61DDD" w:rsidRDefault="00F74DB5">
            <w:pPr>
              <w:rPr>
                <w:rFonts w:asciiTheme="minorHAnsi" w:hAnsiTheme="minorHAnsi"/>
                <w:b/>
              </w:rPr>
            </w:pPr>
            <w:r w:rsidRPr="00E61DDD">
              <w:rPr>
                <w:rFonts w:asciiTheme="minorHAnsi" w:hAnsiTheme="minorHAnsi"/>
                <w:b/>
              </w:rPr>
              <w:t>Category</w:t>
            </w:r>
          </w:p>
        </w:tc>
        <w:tc>
          <w:tcPr>
            <w:tcW w:w="5487" w:type="dxa"/>
          </w:tcPr>
          <w:p w14:paraId="686A89CF" w14:textId="77777777" w:rsidR="00F74DB5" w:rsidRPr="00E61DDD" w:rsidRDefault="00F74DB5">
            <w:pPr>
              <w:rPr>
                <w:rFonts w:asciiTheme="minorHAnsi" w:hAnsiTheme="minorHAnsi"/>
                <w:b/>
              </w:rPr>
            </w:pPr>
            <w:r w:rsidRPr="00E61DDD">
              <w:rPr>
                <w:rFonts w:asciiTheme="minorHAnsi" w:hAnsiTheme="minorHAnsi"/>
                <w:b/>
              </w:rPr>
              <w:t>Sub-category</w:t>
            </w:r>
          </w:p>
        </w:tc>
      </w:tr>
      <w:tr w:rsidR="00F74DB5" w:rsidRPr="00CD7C70" w14:paraId="5164128B" w14:textId="77777777">
        <w:tc>
          <w:tcPr>
            <w:tcW w:w="3539" w:type="dxa"/>
            <w:vMerge w:val="restart"/>
          </w:tcPr>
          <w:p w14:paraId="58C5CF94" w14:textId="16B39C58" w:rsidR="00F74DB5" w:rsidRPr="00E61DDD" w:rsidRDefault="00F74DB5">
            <w:pPr>
              <w:rPr>
                <w:rFonts w:asciiTheme="minorHAnsi" w:hAnsiTheme="minorHAnsi"/>
              </w:rPr>
            </w:pPr>
            <w:r w:rsidRPr="00E61DDD">
              <w:rPr>
                <w:rFonts w:asciiTheme="minorHAnsi" w:hAnsiTheme="minorHAnsi"/>
              </w:rPr>
              <w:t>Child</w:t>
            </w:r>
            <w:r w:rsidR="00F90B2D">
              <w:rPr>
                <w:rFonts w:asciiTheme="minorHAnsi" w:hAnsiTheme="minorHAnsi"/>
              </w:rPr>
              <w:t xml:space="preserve"> </w:t>
            </w:r>
            <w:r w:rsidRPr="00E61DDD">
              <w:rPr>
                <w:rFonts w:asciiTheme="minorHAnsi" w:hAnsiTheme="minorHAnsi"/>
              </w:rPr>
              <w:t>care and education</w:t>
            </w:r>
          </w:p>
          <w:p w14:paraId="37B9385C" w14:textId="77777777" w:rsidR="00F74DB5" w:rsidRPr="00E61DDD" w:rsidRDefault="00F74DB5">
            <w:pPr>
              <w:rPr>
                <w:rFonts w:asciiTheme="minorHAnsi" w:hAnsiTheme="minorHAnsi"/>
              </w:rPr>
            </w:pPr>
          </w:p>
          <w:p w14:paraId="57B3E1DC" w14:textId="77777777" w:rsidR="00F74DB5" w:rsidRPr="00E61DDD" w:rsidRDefault="00F74DB5">
            <w:pPr>
              <w:rPr>
                <w:rFonts w:asciiTheme="minorHAnsi" w:hAnsiTheme="minorHAnsi"/>
              </w:rPr>
            </w:pPr>
          </w:p>
        </w:tc>
        <w:tc>
          <w:tcPr>
            <w:tcW w:w="5487" w:type="dxa"/>
          </w:tcPr>
          <w:p w14:paraId="2AEC96DB" w14:textId="77777777" w:rsidR="00F74DB5" w:rsidRPr="00E61DDD" w:rsidRDefault="00F74DB5">
            <w:pPr>
              <w:rPr>
                <w:rFonts w:asciiTheme="minorHAnsi" w:hAnsiTheme="minorHAnsi"/>
              </w:rPr>
            </w:pPr>
            <w:r w:rsidRPr="00E61DDD">
              <w:rPr>
                <w:rFonts w:asciiTheme="minorHAnsi" w:hAnsiTheme="minorHAnsi"/>
              </w:rPr>
              <w:t>Delivering early childhood education and care</w:t>
            </w:r>
          </w:p>
        </w:tc>
      </w:tr>
      <w:tr w:rsidR="00F74DB5" w:rsidRPr="00CD7C70" w14:paraId="26A02CC0" w14:textId="77777777">
        <w:tc>
          <w:tcPr>
            <w:tcW w:w="3539" w:type="dxa"/>
            <w:vMerge/>
          </w:tcPr>
          <w:p w14:paraId="0728472D" w14:textId="77777777" w:rsidR="00F74DB5" w:rsidRPr="00E61DDD" w:rsidRDefault="00F74DB5">
            <w:pPr>
              <w:rPr>
                <w:rFonts w:asciiTheme="minorHAnsi" w:hAnsiTheme="minorHAnsi"/>
              </w:rPr>
            </w:pPr>
          </w:p>
        </w:tc>
        <w:tc>
          <w:tcPr>
            <w:tcW w:w="5487" w:type="dxa"/>
          </w:tcPr>
          <w:p w14:paraId="2F3F334F" w14:textId="77777777" w:rsidR="00F74DB5" w:rsidRPr="00E61DDD" w:rsidRDefault="00F74DB5">
            <w:pPr>
              <w:rPr>
                <w:rFonts w:asciiTheme="minorHAnsi" w:hAnsiTheme="minorHAnsi"/>
              </w:rPr>
            </w:pPr>
            <w:r w:rsidRPr="00E61DDD">
              <w:rPr>
                <w:rFonts w:asciiTheme="minorHAnsi" w:hAnsiTheme="minorHAnsi"/>
              </w:rPr>
              <w:t>Transport to and from the service</w:t>
            </w:r>
          </w:p>
        </w:tc>
      </w:tr>
      <w:tr w:rsidR="00F74DB5" w:rsidRPr="00CD7C70" w14:paraId="26830419" w14:textId="77777777">
        <w:tc>
          <w:tcPr>
            <w:tcW w:w="3539" w:type="dxa"/>
            <w:vMerge/>
          </w:tcPr>
          <w:p w14:paraId="69E18D6D" w14:textId="77777777" w:rsidR="00F74DB5" w:rsidRPr="00E61DDD" w:rsidRDefault="00F74DB5">
            <w:pPr>
              <w:rPr>
                <w:rFonts w:asciiTheme="minorHAnsi" w:hAnsiTheme="minorHAnsi"/>
              </w:rPr>
            </w:pPr>
          </w:p>
        </w:tc>
        <w:tc>
          <w:tcPr>
            <w:tcW w:w="5487" w:type="dxa"/>
          </w:tcPr>
          <w:p w14:paraId="0CFB79F9" w14:textId="77777777" w:rsidR="00F74DB5" w:rsidRPr="00E61DDD" w:rsidRDefault="00F74DB5">
            <w:pPr>
              <w:rPr>
                <w:rFonts w:asciiTheme="minorHAnsi" w:hAnsiTheme="minorHAnsi"/>
              </w:rPr>
            </w:pPr>
            <w:r w:rsidRPr="00E61DDD">
              <w:rPr>
                <w:rFonts w:asciiTheme="minorHAnsi" w:hAnsiTheme="minorHAnsi"/>
              </w:rPr>
              <w:t>Outings or excursions</w:t>
            </w:r>
          </w:p>
        </w:tc>
      </w:tr>
      <w:tr w:rsidR="00F74DB5" w:rsidRPr="00CD7C70" w14:paraId="1C670CCD" w14:textId="77777777">
        <w:tc>
          <w:tcPr>
            <w:tcW w:w="3539" w:type="dxa"/>
            <w:vMerge w:val="restart"/>
          </w:tcPr>
          <w:p w14:paraId="0B41073B" w14:textId="77777777" w:rsidR="00F74DB5" w:rsidRPr="00E61DDD" w:rsidRDefault="00F74DB5">
            <w:pPr>
              <w:rPr>
                <w:rFonts w:asciiTheme="minorHAnsi" w:hAnsiTheme="minorHAnsi"/>
              </w:rPr>
            </w:pPr>
            <w:r w:rsidRPr="00E61DDD">
              <w:rPr>
                <w:rFonts w:asciiTheme="minorHAnsi" w:hAnsiTheme="minorHAnsi"/>
              </w:rPr>
              <w:t>Professional development</w:t>
            </w:r>
          </w:p>
          <w:p w14:paraId="58BF153C" w14:textId="77777777" w:rsidR="00F74DB5" w:rsidRPr="00E61DDD" w:rsidRDefault="00F74DB5">
            <w:pPr>
              <w:rPr>
                <w:rFonts w:asciiTheme="minorHAnsi" w:hAnsiTheme="minorHAnsi"/>
              </w:rPr>
            </w:pPr>
          </w:p>
        </w:tc>
        <w:tc>
          <w:tcPr>
            <w:tcW w:w="5487" w:type="dxa"/>
          </w:tcPr>
          <w:p w14:paraId="359E7E7B" w14:textId="77777777" w:rsidR="00F74DB5" w:rsidRPr="00E61DDD" w:rsidRDefault="00F74DB5">
            <w:pPr>
              <w:rPr>
                <w:rFonts w:asciiTheme="minorHAnsi" w:hAnsiTheme="minorHAnsi"/>
              </w:rPr>
            </w:pPr>
            <w:r w:rsidRPr="00E61DDD">
              <w:rPr>
                <w:rFonts w:asciiTheme="minorHAnsi" w:hAnsiTheme="minorHAnsi"/>
              </w:rPr>
              <w:t>Training staff internally</w:t>
            </w:r>
          </w:p>
        </w:tc>
      </w:tr>
      <w:tr w:rsidR="00F74DB5" w:rsidRPr="00CD7C70" w14:paraId="5C1FFF8D" w14:textId="77777777">
        <w:tc>
          <w:tcPr>
            <w:tcW w:w="3539" w:type="dxa"/>
            <w:vMerge/>
          </w:tcPr>
          <w:p w14:paraId="3862DF54" w14:textId="77777777" w:rsidR="00F74DB5" w:rsidRPr="00E61DDD" w:rsidRDefault="00F74DB5">
            <w:pPr>
              <w:rPr>
                <w:rFonts w:asciiTheme="minorHAnsi" w:hAnsiTheme="minorHAnsi"/>
              </w:rPr>
            </w:pPr>
          </w:p>
        </w:tc>
        <w:tc>
          <w:tcPr>
            <w:tcW w:w="5487" w:type="dxa"/>
          </w:tcPr>
          <w:p w14:paraId="441E5E99" w14:textId="77777777" w:rsidR="00F74DB5" w:rsidRPr="00E61DDD" w:rsidRDefault="00F74DB5">
            <w:pPr>
              <w:rPr>
                <w:rFonts w:asciiTheme="minorHAnsi" w:hAnsiTheme="minorHAnsi"/>
              </w:rPr>
            </w:pPr>
            <w:r w:rsidRPr="00E61DDD">
              <w:rPr>
                <w:rFonts w:asciiTheme="minorHAnsi" w:hAnsiTheme="minorHAnsi"/>
              </w:rPr>
              <w:t>Supporting staff to gain qualifications</w:t>
            </w:r>
          </w:p>
        </w:tc>
      </w:tr>
      <w:tr w:rsidR="00F74DB5" w:rsidRPr="00CD7C70" w14:paraId="72710FC7" w14:textId="77777777">
        <w:tc>
          <w:tcPr>
            <w:tcW w:w="3539" w:type="dxa"/>
            <w:vMerge/>
          </w:tcPr>
          <w:p w14:paraId="529BBA9C" w14:textId="77777777" w:rsidR="00F74DB5" w:rsidRPr="00E61DDD" w:rsidRDefault="00F74DB5">
            <w:pPr>
              <w:rPr>
                <w:rFonts w:asciiTheme="minorHAnsi" w:hAnsiTheme="minorHAnsi"/>
              </w:rPr>
            </w:pPr>
          </w:p>
        </w:tc>
        <w:tc>
          <w:tcPr>
            <w:tcW w:w="5487" w:type="dxa"/>
          </w:tcPr>
          <w:p w14:paraId="3B52CC36" w14:textId="77777777" w:rsidR="00F74DB5" w:rsidRPr="00E61DDD" w:rsidRDefault="00F74DB5">
            <w:pPr>
              <w:rPr>
                <w:rFonts w:asciiTheme="minorHAnsi" w:eastAsia="Times New Roman" w:hAnsiTheme="minorHAnsi"/>
                <w:color w:val="000000" w:themeColor="text1"/>
              </w:rPr>
            </w:pPr>
            <w:r w:rsidRPr="00E61DDD">
              <w:rPr>
                <w:rFonts w:asciiTheme="minorHAnsi" w:eastAsia="Times New Roman" w:hAnsiTheme="minorHAnsi"/>
                <w:color w:val="000000" w:themeColor="text1"/>
              </w:rPr>
              <w:t xml:space="preserve">Training days/professional development days </w:t>
            </w:r>
          </w:p>
        </w:tc>
      </w:tr>
      <w:tr w:rsidR="00F74DB5" w:rsidRPr="00CD7C70" w14:paraId="5E957D1D" w14:textId="77777777">
        <w:tc>
          <w:tcPr>
            <w:tcW w:w="3539" w:type="dxa"/>
            <w:vMerge w:val="restart"/>
          </w:tcPr>
          <w:p w14:paraId="76772F2A" w14:textId="77777777" w:rsidR="00F74DB5" w:rsidRPr="00E61DDD" w:rsidRDefault="00F74DB5">
            <w:pPr>
              <w:rPr>
                <w:rFonts w:asciiTheme="minorHAnsi" w:hAnsiTheme="minorHAnsi"/>
              </w:rPr>
            </w:pPr>
            <w:r w:rsidRPr="00E61DDD">
              <w:rPr>
                <w:rFonts w:asciiTheme="minorHAnsi" w:hAnsiTheme="minorHAnsi"/>
              </w:rPr>
              <w:t>Administration</w:t>
            </w:r>
          </w:p>
        </w:tc>
        <w:tc>
          <w:tcPr>
            <w:tcW w:w="5487" w:type="dxa"/>
          </w:tcPr>
          <w:p w14:paraId="5559516C" w14:textId="77777777" w:rsidR="00F74DB5" w:rsidRPr="00E61DDD" w:rsidRDefault="00F74DB5">
            <w:pPr>
              <w:rPr>
                <w:rFonts w:asciiTheme="minorHAnsi" w:hAnsiTheme="minorHAnsi"/>
              </w:rPr>
            </w:pPr>
            <w:r w:rsidRPr="00E61DDD">
              <w:rPr>
                <w:rFonts w:asciiTheme="minorHAnsi" w:hAnsiTheme="minorHAnsi"/>
              </w:rPr>
              <w:t>Administration of the CCCFR grant</w:t>
            </w:r>
          </w:p>
        </w:tc>
      </w:tr>
      <w:tr w:rsidR="00F74DB5" w:rsidRPr="00CD7C70" w14:paraId="5F05D508" w14:textId="77777777">
        <w:tc>
          <w:tcPr>
            <w:tcW w:w="3539" w:type="dxa"/>
            <w:vMerge/>
          </w:tcPr>
          <w:p w14:paraId="27EDBC6B" w14:textId="77777777" w:rsidR="00F74DB5" w:rsidRPr="00E61DDD" w:rsidRDefault="00F74DB5">
            <w:pPr>
              <w:rPr>
                <w:rFonts w:asciiTheme="minorHAnsi" w:hAnsiTheme="minorHAnsi"/>
              </w:rPr>
            </w:pPr>
          </w:p>
        </w:tc>
        <w:tc>
          <w:tcPr>
            <w:tcW w:w="5487" w:type="dxa"/>
          </w:tcPr>
          <w:p w14:paraId="66622A83" w14:textId="77777777" w:rsidR="00F74DB5" w:rsidRPr="00E61DDD" w:rsidRDefault="00F74DB5">
            <w:pPr>
              <w:rPr>
                <w:rFonts w:asciiTheme="minorHAnsi" w:hAnsiTheme="minorHAnsi"/>
              </w:rPr>
            </w:pPr>
            <w:r w:rsidRPr="00E61DDD">
              <w:rPr>
                <w:rFonts w:asciiTheme="minorHAnsi" w:hAnsiTheme="minorHAnsi"/>
              </w:rPr>
              <w:t xml:space="preserve">Other administration </w:t>
            </w:r>
          </w:p>
        </w:tc>
      </w:tr>
      <w:tr w:rsidR="00F74DB5" w:rsidRPr="00CD7C70" w14:paraId="05D88EA0" w14:textId="77777777">
        <w:tc>
          <w:tcPr>
            <w:tcW w:w="3539" w:type="dxa"/>
            <w:vMerge w:val="restart"/>
          </w:tcPr>
          <w:p w14:paraId="7DCA6DE4" w14:textId="77777777" w:rsidR="00F74DB5" w:rsidRPr="00E61DDD" w:rsidRDefault="00F74DB5">
            <w:pPr>
              <w:rPr>
                <w:rFonts w:asciiTheme="minorHAnsi" w:hAnsiTheme="minorHAnsi"/>
              </w:rPr>
            </w:pPr>
            <w:r w:rsidRPr="00E61DDD">
              <w:rPr>
                <w:rFonts w:asciiTheme="minorHAnsi" w:hAnsiTheme="minorHAnsi"/>
              </w:rPr>
              <w:t>Maximising attendance of children and families</w:t>
            </w:r>
          </w:p>
        </w:tc>
        <w:tc>
          <w:tcPr>
            <w:tcW w:w="5487" w:type="dxa"/>
          </w:tcPr>
          <w:p w14:paraId="59E6C9CC" w14:textId="77777777" w:rsidR="00F74DB5" w:rsidRPr="00E61DDD" w:rsidRDefault="00F74DB5">
            <w:pPr>
              <w:rPr>
                <w:rFonts w:asciiTheme="minorHAnsi" w:hAnsiTheme="minorHAnsi"/>
              </w:rPr>
            </w:pPr>
            <w:r w:rsidRPr="00E61DDD">
              <w:rPr>
                <w:rFonts w:asciiTheme="minorHAnsi" w:hAnsiTheme="minorHAnsi"/>
              </w:rPr>
              <w:t>Running playgroups for Indigenous families</w:t>
            </w:r>
          </w:p>
        </w:tc>
      </w:tr>
      <w:tr w:rsidR="00F74DB5" w:rsidRPr="00CD7C70" w14:paraId="21FA58A5" w14:textId="77777777">
        <w:tc>
          <w:tcPr>
            <w:tcW w:w="3539" w:type="dxa"/>
            <w:vMerge/>
          </w:tcPr>
          <w:p w14:paraId="5FE438BC" w14:textId="77777777" w:rsidR="00F74DB5" w:rsidRPr="00E61DDD" w:rsidRDefault="00F74DB5">
            <w:pPr>
              <w:rPr>
                <w:rFonts w:asciiTheme="minorHAnsi" w:hAnsiTheme="minorHAnsi"/>
              </w:rPr>
            </w:pPr>
          </w:p>
        </w:tc>
        <w:tc>
          <w:tcPr>
            <w:tcW w:w="5487" w:type="dxa"/>
          </w:tcPr>
          <w:p w14:paraId="51616F5E" w14:textId="77777777" w:rsidR="00F74DB5" w:rsidRPr="00E61DDD" w:rsidRDefault="00F74DB5">
            <w:pPr>
              <w:rPr>
                <w:rFonts w:asciiTheme="minorHAnsi" w:hAnsiTheme="minorHAnsi"/>
              </w:rPr>
            </w:pPr>
            <w:r w:rsidRPr="00E61DDD">
              <w:rPr>
                <w:rFonts w:asciiTheme="minorHAnsi" w:hAnsiTheme="minorHAnsi"/>
              </w:rPr>
              <w:t xml:space="preserve">Running playgroups for non-Indigenous families </w:t>
            </w:r>
          </w:p>
        </w:tc>
      </w:tr>
      <w:tr w:rsidR="00F74DB5" w:rsidRPr="00CD7C70" w14:paraId="5013BD24" w14:textId="77777777">
        <w:tc>
          <w:tcPr>
            <w:tcW w:w="3539" w:type="dxa"/>
            <w:vMerge/>
          </w:tcPr>
          <w:p w14:paraId="1C277036" w14:textId="77777777" w:rsidR="00F74DB5" w:rsidRPr="00E61DDD" w:rsidRDefault="00F74DB5">
            <w:pPr>
              <w:rPr>
                <w:rFonts w:asciiTheme="minorHAnsi" w:hAnsiTheme="minorHAnsi"/>
              </w:rPr>
            </w:pPr>
          </w:p>
        </w:tc>
        <w:tc>
          <w:tcPr>
            <w:tcW w:w="5487" w:type="dxa"/>
          </w:tcPr>
          <w:p w14:paraId="300878EC" w14:textId="77777777" w:rsidR="00F74DB5" w:rsidRPr="00E61DDD" w:rsidRDefault="00F74DB5">
            <w:pPr>
              <w:rPr>
                <w:rFonts w:asciiTheme="minorHAnsi" w:hAnsiTheme="minorHAnsi"/>
              </w:rPr>
            </w:pPr>
            <w:r w:rsidRPr="00E61DDD">
              <w:rPr>
                <w:rFonts w:asciiTheme="minorHAnsi" w:hAnsiTheme="minorHAnsi"/>
              </w:rPr>
              <w:t>Outreach and access, including working with families and other services to increase enrolments</w:t>
            </w:r>
          </w:p>
        </w:tc>
      </w:tr>
      <w:tr w:rsidR="00F74DB5" w:rsidRPr="00CD7C70" w14:paraId="2F8F0F98" w14:textId="77777777">
        <w:tc>
          <w:tcPr>
            <w:tcW w:w="3539" w:type="dxa"/>
            <w:vMerge/>
          </w:tcPr>
          <w:p w14:paraId="204BEBE4" w14:textId="77777777" w:rsidR="00F74DB5" w:rsidRPr="00E61DDD" w:rsidRDefault="00F74DB5">
            <w:pPr>
              <w:rPr>
                <w:rFonts w:asciiTheme="minorHAnsi" w:hAnsiTheme="minorHAnsi"/>
              </w:rPr>
            </w:pPr>
          </w:p>
        </w:tc>
        <w:tc>
          <w:tcPr>
            <w:tcW w:w="5487" w:type="dxa"/>
          </w:tcPr>
          <w:p w14:paraId="1BA54D31" w14:textId="77777777" w:rsidR="00F74DB5" w:rsidRPr="00E61DDD" w:rsidRDefault="00F74DB5">
            <w:pPr>
              <w:rPr>
                <w:rFonts w:asciiTheme="minorHAnsi" w:hAnsiTheme="minorHAnsi"/>
              </w:rPr>
            </w:pPr>
            <w:r w:rsidRPr="00E61DDD">
              <w:rPr>
                <w:rFonts w:asciiTheme="minorHAnsi" w:hAnsiTheme="minorHAnsi"/>
              </w:rPr>
              <w:t>Supporting families with CCS and ACCS applications</w:t>
            </w:r>
          </w:p>
        </w:tc>
      </w:tr>
      <w:tr w:rsidR="00F74DB5" w:rsidRPr="00CD7C70" w14:paraId="4BD8179B" w14:textId="77777777">
        <w:tc>
          <w:tcPr>
            <w:tcW w:w="3539" w:type="dxa"/>
            <w:vMerge/>
          </w:tcPr>
          <w:p w14:paraId="1E55F5F0" w14:textId="77777777" w:rsidR="00F74DB5" w:rsidRPr="00E61DDD" w:rsidRDefault="00F74DB5">
            <w:pPr>
              <w:rPr>
                <w:rFonts w:asciiTheme="minorHAnsi" w:hAnsiTheme="minorHAnsi"/>
              </w:rPr>
            </w:pPr>
          </w:p>
        </w:tc>
        <w:tc>
          <w:tcPr>
            <w:tcW w:w="5487" w:type="dxa"/>
          </w:tcPr>
          <w:p w14:paraId="62C8C91C" w14:textId="77777777" w:rsidR="00F74DB5" w:rsidRPr="00E61DDD" w:rsidRDefault="00F74DB5">
            <w:pPr>
              <w:rPr>
                <w:rFonts w:asciiTheme="minorHAnsi" w:hAnsiTheme="minorHAnsi"/>
              </w:rPr>
            </w:pPr>
            <w:r w:rsidRPr="00E61DDD">
              <w:rPr>
                <w:rFonts w:asciiTheme="minorHAnsi" w:hAnsiTheme="minorHAnsi"/>
              </w:rPr>
              <w:t>Liaising with other services</w:t>
            </w:r>
          </w:p>
        </w:tc>
      </w:tr>
      <w:tr w:rsidR="00F74DB5" w:rsidRPr="00CD7C70" w14:paraId="6A647A80" w14:textId="77777777">
        <w:tc>
          <w:tcPr>
            <w:tcW w:w="3539" w:type="dxa"/>
            <w:vMerge/>
          </w:tcPr>
          <w:p w14:paraId="3C0E6662" w14:textId="77777777" w:rsidR="00F74DB5" w:rsidRPr="00E61DDD" w:rsidRDefault="00F74DB5">
            <w:pPr>
              <w:rPr>
                <w:rFonts w:asciiTheme="minorHAnsi" w:hAnsiTheme="minorHAnsi"/>
              </w:rPr>
            </w:pPr>
          </w:p>
        </w:tc>
        <w:tc>
          <w:tcPr>
            <w:tcW w:w="5487" w:type="dxa"/>
          </w:tcPr>
          <w:p w14:paraId="0F7A859C" w14:textId="77777777" w:rsidR="00F74DB5" w:rsidRPr="00E61DDD" w:rsidRDefault="00F74DB5">
            <w:pPr>
              <w:rPr>
                <w:rFonts w:asciiTheme="minorHAnsi" w:hAnsiTheme="minorHAnsi"/>
              </w:rPr>
            </w:pPr>
            <w:r w:rsidRPr="00E61DDD">
              <w:rPr>
                <w:rFonts w:asciiTheme="minorHAnsi" w:hAnsiTheme="minorHAnsi"/>
              </w:rPr>
              <w:t>Communicating with parents and families attending the service</w:t>
            </w:r>
          </w:p>
        </w:tc>
      </w:tr>
      <w:tr w:rsidR="00F74DB5" w:rsidRPr="00CD7C70" w14:paraId="7712E88C" w14:textId="77777777">
        <w:tc>
          <w:tcPr>
            <w:tcW w:w="9026" w:type="dxa"/>
            <w:gridSpan w:val="2"/>
          </w:tcPr>
          <w:p w14:paraId="2BBC6F9F" w14:textId="77777777" w:rsidR="00F74DB5" w:rsidRPr="00E61DDD" w:rsidRDefault="00F74DB5">
            <w:pPr>
              <w:rPr>
                <w:rFonts w:asciiTheme="minorHAnsi" w:hAnsiTheme="minorHAnsi"/>
              </w:rPr>
            </w:pPr>
            <w:r w:rsidRPr="00E61DDD">
              <w:rPr>
                <w:rFonts w:asciiTheme="minorHAnsi" w:hAnsiTheme="minorHAnsi"/>
              </w:rPr>
              <w:t>Other (please explain)</w:t>
            </w:r>
          </w:p>
        </w:tc>
      </w:tr>
    </w:tbl>
    <w:p w14:paraId="2B702F22" w14:textId="765869C2" w:rsidR="00F74DB5" w:rsidRPr="00E61DDD" w:rsidRDefault="002E497C" w:rsidP="00F74DB5">
      <w:pPr>
        <w:rPr>
          <w:rFonts w:asciiTheme="minorHAnsi" w:hAnsiTheme="minorHAnsi"/>
        </w:rPr>
      </w:pPr>
      <w:r>
        <w:rPr>
          <w:rFonts w:asciiTheme="minorHAnsi" w:hAnsiTheme="minorHAnsi"/>
        </w:rPr>
        <w:t xml:space="preserve"> </w:t>
      </w:r>
    </w:p>
    <w:p w14:paraId="09CCF0F7" w14:textId="77777777" w:rsidR="00F74DB5" w:rsidRPr="00E61DDD" w:rsidRDefault="00F74DB5" w:rsidP="00757BA0">
      <w:pPr>
        <w:pStyle w:val="ListNumber"/>
        <w:rPr>
          <w:rFonts w:asciiTheme="minorHAnsi" w:hAnsiTheme="minorHAnsi"/>
          <w:szCs w:val="18"/>
        </w:rPr>
      </w:pPr>
      <w:r w:rsidRPr="00E61DDD">
        <w:t>How often does your service have to cancel or suspen</w:t>
      </w:r>
      <w:r w:rsidRPr="1424395C">
        <w:rPr>
          <w:rFonts w:asciiTheme="minorHAnsi" w:hAnsiTheme="minorHAnsi"/>
        </w:rPr>
        <w:t>d delivery due to:</w:t>
      </w:r>
    </w:p>
    <w:p w14:paraId="1644DD65" w14:textId="77777777" w:rsidR="00F74DB5" w:rsidRPr="00E61DDD" w:rsidRDefault="00F74DB5" w:rsidP="00171325">
      <w:pPr>
        <w:pStyle w:val="ListParagraph"/>
        <w:widowControl w:val="0"/>
        <w:numPr>
          <w:ilvl w:val="0"/>
          <w:numId w:val="6"/>
        </w:numPr>
        <w:spacing w:after="0" w:line="240" w:lineRule="auto"/>
        <w:contextualSpacing w:val="0"/>
        <w:rPr>
          <w:rFonts w:asciiTheme="minorHAnsi" w:hAnsiTheme="minorHAnsi"/>
        </w:rPr>
      </w:pPr>
      <w:r w:rsidRPr="00E61DDD">
        <w:rPr>
          <w:rFonts w:asciiTheme="minorHAnsi" w:hAnsiTheme="minorHAnsi"/>
        </w:rPr>
        <w:t>Staffing issues</w:t>
      </w:r>
    </w:p>
    <w:p w14:paraId="6AEE1EDD" w14:textId="77777777" w:rsidR="00F74DB5" w:rsidRPr="00E61DDD" w:rsidRDefault="00F74DB5" w:rsidP="00171325">
      <w:pPr>
        <w:pStyle w:val="ListParagraph"/>
        <w:widowControl w:val="0"/>
        <w:numPr>
          <w:ilvl w:val="0"/>
          <w:numId w:val="6"/>
        </w:numPr>
        <w:spacing w:after="0" w:line="240" w:lineRule="auto"/>
        <w:contextualSpacing w:val="0"/>
        <w:rPr>
          <w:rFonts w:asciiTheme="minorHAnsi" w:hAnsiTheme="minorHAnsi"/>
        </w:rPr>
      </w:pPr>
      <w:r w:rsidRPr="00E61DDD">
        <w:rPr>
          <w:rFonts w:asciiTheme="minorHAnsi" w:hAnsiTheme="minorHAnsi"/>
        </w:rPr>
        <w:t>Transport issues</w:t>
      </w:r>
    </w:p>
    <w:p w14:paraId="4C2306CF" w14:textId="77777777" w:rsidR="00F74DB5" w:rsidRPr="00E61DDD" w:rsidRDefault="00F74DB5" w:rsidP="00171325">
      <w:pPr>
        <w:pStyle w:val="ListParagraph"/>
        <w:widowControl w:val="0"/>
        <w:numPr>
          <w:ilvl w:val="0"/>
          <w:numId w:val="6"/>
        </w:numPr>
        <w:spacing w:after="0" w:line="240" w:lineRule="auto"/>
        <w:contextualSpacing w:val="0"/>
        <w:rPr>
          <w:rFonts w:asciiTheme="minorHAnsi" w:hAnsiTheme="minorHAnsi"/>
        </w:rPr>
      </w:pPr>
      <w:r w:rsidRPr="00E61DDD">
        <w:rPr>
          <w:rFonts w:asciiTheme="minorHAnsi" w:hAnsiTheme="minorHAnsi"/>
        </w:rPr>
        <w:t>Weather issues</w:t>
      </w:r>
    </w:p>
    <w:p w14:paraId="76C91D38" w14:textId="77777777" w:rsidR="00F74DB5" w:rsidRPr="00E61DDD" w:rsidRDefault="00F74DB5" w:rsidP="00171325">
      <w:pPr>
        <w:pStyle w:val="ListParagraph"/>
        <w:widowControl w:val="0"/>
        <w:numPr>
          <w:ilvl w:val="0"/>
          <w:numId w:val="6"/>
        </w:numPr>
        <w:spacing w:after="0" w:line="240" w:lineRule="auto"/>
        <w:contextualSpacing w:val="0"/>
        <w:rPr>
          <w:rFonts w:asciiTheme="minorHAnsi" w:hAnsiTheme="minorHAnsi"/>
        </w:rPr>
      </w:pPr>
      <w:r w:rsidRPr="00E61DDD">
        <w:rPr>
          <w:rFonts w:asciiTheme="minorHAnsi" w:hAnsiTheme="minorHAnsi"/>
        </w:rPr>
        <w:t>Sorry Business</w:t>
      </w:r>
    </w:p>
    <w:p w14:paraId="1C72EE5F" w14:textId="77777777" w:rsidR="00F74DB5" w:rsidRPr="00E61DDD" w:rsidRDefault="00F74DB5" w:rsidP="00171325">
      <w:pPr>
        <w:pStyle w:val="ListParagraph"/>
        <w:widowControl w:val="0"/>
        <w:numPr>
          <w:ilvl w:val="0"/>
          <w:numId w:val="6"/>
        </w:numPr>
        <w:spacing w:after="0" w:line="240" w:lineRule="auto"/>
        <w:contextualSpacing w:val="0"/>
        <w:rPr>
          <w:rFonts w:asciiTheme="minorHAnsi" w:hAnsiTheme="minorHAnsi"/>
        </w:rPr>
      </w:pPr>
      <w:r w:rsidRPr="00E61DDD">
        <w:rPr>
          <w:rFonts w:asciiTheme="minorHAnsi" w:hAnsiTheme="minorHAnsi"/>
        </w:rPr>
        <w:t>Community issues (vandalism, community tension)</w:t>
      </w:r>
    </w:p>
    <w:p w14:paraId="002F8443" w14:textId="7E303526" w:rsidR="00F74DB5" w:rsidRPr="00E61DDD" w:rsidRDefault="00F74DB5" w:rsidP="00171325">
      <w:pPr>
        <w:pStyle w:val="ListParagraph"/>
        <w:widowControl w:val="0"/>
        <w:numPr>
          <w:ilvl w:val="0"/>
          <w:numId w:val="6"/>
        </w:numPr>
        <w:spacing w:after="0" w:line="240" w:lineRule="auto"/>
        <w:contextualSpacing w:val="0"/>
        <w:rPr>
          <w:rFonts w:asciiTheme="minorHAnsi" w:hAnsiTheme="minorHAnsi"/>
        </w:rPr>
      </w:pPr>
      <w:r w:rsidRPr="00E61DDD">
        <w:rPr>
          <w:rFonts w:asciiTheme="minorHAnsi" w:hAnsiTheme="minorHAnsi"/>
        </w:rPr>
        <w:t>Other (please explain)</w:t>
      </w:r>
      <w:r w:rsidR="00533BB9">
        <w:rPr>
          <w:rFonts w:asciiTheme="minorHAnsi" w:hAnsiTheme="minorHAnsi"/>
        </w:rPr>
        <w:t>.</w:t>
      </w:r>
      <w:r w:rsidR="002E497C">
        <w:rPr>
          <w:rFonts w:asciiTheme="minorHAnsi" w:hAnsiTheme="minorHAnsi"/>
        </w:rPr>
        <w:t xml:space="preserve"> </w:t>
      </w:r>
      <w:r w:rsidRPr="00E61DDD">
        <w:rPr>
          <w:rFonts w:asciiTheme="minorHAnsi" w:hAnsiTheme="minorHAnsi"/>
        </w:rPr>
        <w:t xml:space="preserve"> </w:t>
      </w:r>
    </w:p>
    <w:p w14:paraId="39F1B856" w14:textId="77777777" w:rsidR="00F74DB5" w:rsidRPr="00E61DDD" w:rsidRDefault="00F74DB5" w:rsidP="00757BA0">
      <w:pPr>
        <w:pStyle w:val="ListNumber"/>
        <w:rPr>
          <w:rFonts w:asciiTheme="minorHAnsi" w:hAnsiTheme="minorHAnsi"/>
          <w:szCs w:val="18"/>
        </w:rPr>
      </w:pPr>
      <w:r w:rsidRPr="00E61DDD">
        <w:t xml:space="preserve">How do you find out more information about the compliance issues and regulations? You might </w:t>
      </w:r>
      <w:r w:rsidRPr="1424395C">
        <w:rPr>
          <w:rFonts w:asciiTheme="minorHAnsi" w:hAnsiTheme="minorHAnsi"/>
        </w:rPr>
        <w:t>consider information from:</w:t>
      </w:r>
    </w:p>
    <w:p w14:paraId="0939855A" w14:textId="77777777" w:rsidR="00F74DB5" w:rsidRPr="001C655F" w:rsidRDefault="00F74DB5" w:rsidP="00416EA8">
      <w:pPr>
        <w:pStyle w:val="ListBullet"/>
        <w:numPr>
          <w:ilvl w:val="1"/>
          <w:numId w:val="66"/>
        </w:numPr>
      </w:pPr>
      <w:r w:rsidRPr="001C655F">
        <w:t>Your CCCFR Program Officer</w:t>
      </w:r>
    </w:p>
    <w:p w14:paraId="7EBD81D8" w14:textId="77777777" w:rsidR="00F74DB5" w:rsidRPr="001C655F" w:rsidRDefault="00F74DB5" w:rsidP="00416EA8">
      <w:pPr>
        <w:pStyle w:val="ListBullet"/>
        <w:numPr>
          <w:ilvl w:val="1"/>
          <w:numId w:val="66"/>
        </w:numPr>
      </w:pPr>
      <w:r w:rsidRPr="001C655F">
        <w:t>Self directed internet searches and research</w:t>
      </w:r>
    </w:p>
    <w:p w14:paraId="472B257E" w14:textId="77777777" w:rsidR="00F74DB5" w:rsidRPr="001C655F" w:rsidRDefault="00F74DB5" w:rsidP="00416EA8">
      <w:pPr>
        <w:pStyle w:val="ListBullet"/>
        <w:numPr>
          <w:ilvl w:val="1"/>
          <w:numId w:val="66"/>
        </w:numPr>
      </w:pPr>
      <w:r w:rsidRPr="001C655F">
        <w:t>ACECQA</w:t>
      </w:r>
    </w:p>
    <w:p w14:paraId="5D4A2D83" w14:textId="77777777" w:rsidR="00F74DB5" w:rsidRPr="001C655F" w:rsidRDefault="00F74DB5" w:rsidP="00416EA8">
      <w:pPr>
        <w:pStyle w:val="ListBullet"/>
        <w:numPr>
          <w:ilvl w:val="1"/>
          <w:numId w:val="66"/>
        </w:numPr>
      </w:pPr>
      <w:r w:rsidRPr="001C655F">
        <w:t>Other ECEC services</w:t>
      </w:r>
    </w:p>
    <w:p w14:paraId="01C0D329" w14:textId="22FC85AC" w:rsidR="00F74DB5" w:rsidRPr="001C655F" w:rsidRDefault="00F74DB5" w:rsidP="00416EA8">
      <w:pPr>
        <w:pStyle w:val="ListBullet"/>
        <w:numPr>
          <w:ilvl w:val="1"/>
          <w:numId w:val="66"/>
        </w:numPr>
      </w:pPr>
      <w:r w:rsidRPr="001C655F">
        <w:t>Other sources and supports</w:t>
      </w:r>
      <w:r w:rsidR="00533BB9">
        <w:t>.</w:t>
      </w:r>
    </w:p>
    <w:p w14:paraId="5D7173D4" w14:textId="77777777" w:rsidR="00F74DB5" w:rsidRPr="00E61DDD" w:rsidRDefault="00F74DB5" w:rsidP="00757BA0">
      <w:pPr>
        <w:pStyle w:val="ListNumber"/>
        <w:rPr>
          <w:rStyle w:val="CommentReference"/>
          <w:rFonts w:asciiTheme="minorHAnsi" w:hAnsiTheme="minorHAnsi"/>
          <w:sz w:val="18"/>
          <w:szCs w:val="18"/>
        </w:rPr>
      </w:pPr>
      <w:r w:rsidRPr="00E61DDD">
        <w:rPr>
          <w:i/>
        </w:rPr>
        <w:t>If your service is not regulated under the NQF</w:t>
      </w:r>
      <w:r w:rsidRPr="1424395C">
        <w:rPr>
          <w:rFonts w:asciiTheme="minorHAnsi" w:hAnsiTheme="minorHAnsi"/>
        </w:rPr>
        <w:t xml:space="preserve"> – What are the key considerations as to how the NQF would work for your service? </w:t>
      </w:r>
      <w:r>
        <w:br/>
      </w:r>
      <w:r w:rsidRPr="1424395C">
        <w:rPr>
          <w:rFonts w:asciiTheme="minorHAnsi" w:hAnsiTheme="minorHAnsi"/>
          <w:i/>
        </w:rPr>
        <w:t xml:space="preserve">If your service is regulated under the NQF – </w:t>
      </w:r>
      <w:r w:rsidRPr="1424395C">
        <w:rPr>
          <w:rFonts w:asciiTheme="minorHAnsi" w:hAnsiTheme="minorHAnsi"/>
        </w:rPr>
        <w:t>How is your experience under the NQF?</w:t>
      </w:r>
    </w:p>
    <w:p w14:paraId="6475851A" w14:textId="77777777" w:rsidR="00F74DB5" w:rsidRPr="00533BB9" w:rsidRDefault="00F74DB5" w:rsidP="00757BA0">
      <w:pPr>
        <w:pStyle w:val="ListNumber"/>
        <w:rPr>
          <w:rStyle w:val="CommentReference"/>
          <w:rFonts w:asciiTheme="minorHAnsi" w:hAnsiTheme="minorHAnsi"/>
          <w:sz w:val="18"/>
          <w:szCs w:val="18"/>
        </w:rPr>
      </w:pPr>
      <w:r w:rsidRPr="00533BB9">
        <w:t xml:space="preserve">What does your service need in terms of non-financial support or resources from the government? For example, training and professional development </w:t>
      </w:r>
      <w:r w:rsidRPr="00533BB9">
        <w:rPr>
          <w:rFonts w:asciiTheme="minorHAnsi" w:hAnsiTheme="minorHAnsi"/>
        </w:rPr>
        <w:t>or additional administrative support</w:t>
      </w:r>
    </w:p>
    <w:p w14:paraId="0B80154F" w14:textId="77777777" w:rsidR="00F74DB5" w:rsidRPr="001C655F" w:rsidRDefault="00F74DB5" w:rsidP="00757BA0">
      <w:pPr>
        <w:pStyle w:val="ListNumber"/>
        <w:rPr>
          <w:rFonts w:asciiTheme="minorHAnsi" w:hAnsiTheme="minorHAnsi"/>
        </w:rPr>
      </w:pPr>
      <w:r w:rsidRPr="00533BB9">
        <w:t xml:space="preserve">What kinds of things does your Program Officer do for your service at the moment? </w:t>
      </w:r>
    </w:p>
    <w:p w14:paraId="4BBE2987" w14:textId="77777777" w:rsidR="00F74DB5" w:rsidRPr="00533BB9" w:rsidRDefault="00F74DB5" w:rsidP="00757BA0">
      <w:pPr>
        <w:pStyle w:val="ListNumber"/>
        <w:rPr>
          <w:rFonts w:asciiTheme="minorHAnsi" w:hAnsiTheme="minorHAnsi"/>
          <w:szCs w:val="18"/>
        </w:rPr>
      </w:pPr>
      <w:r w:rsidRPr="00533BB9">
        <w:t xml:space="preserve">What fees does your service charge? </w:t>
      </w:r>
    </w:p>
    <w:p w14:paraId="594BF1DD" w14:textId="77777777" w:rsidR="00F74DB5" w:rsidRPr="00533BB9" w:rsidRDefault="00F74DB5" w:rsidP="00757BA0">
      <w:pPr>
        <w:pStyle w:val="ListNumber"/>
        <w:rPr>
          <w:rFonts w:asciiTheme="minorHAnsi" w:hAnsiTheme="minorHAnsi"/>
          <w:szCs w:val="18"/>
        </w:rPr>
      </w:pPr>
      <w:r w:rsidRPr="00533BB9">
        <w:t>Overall, to what degree is the revenue you receive (including CCS, ACCS, CCCFR grant and other fund</w:t>
      </w:r>
      <w:r w:rsidRPr="00533BB9">
        <w:rPr>
          <w:rFonts w:asciiTheme="minorHAnsi" w:hAnsiTheme="minorHAnsi"/>
        </w:rPr>
        <w:t xml:space="preserve">ing) sufficient to cover your operating costs on an ongoing basis? </w:t>
      </w:r>
    </w:p>
    <w:p w14:paraId="518A929C" w14:textId="53EFA8A5" w:rsidR="00F74DB5" w:rsidRPr="00533BB9" w:rsidRDefault="00F74DB5" w:rsidP="00757BA0">
      <w:pPr>
        <w:pStyle w:val="ListNumber"/>
        <w:rPr>
          <w:rFonts w:asciiTheme="minorHAnsi" w:hAnsiTheme="minorHAnsi"/>
          <w:szCs w:val="18"/>
        </w:rPr>
      </w:pPr>
      <w:r w:rsidRPr="00533BB9">
        <w:t>Is the size of the grant you receive sufficient to meet the CCCFR grant objectives and support the provision of high quality ECEC?</w:t>
      </w:r>
      <w:r w:rsidR="002E497C" w:rsidRPr="00533BB9">
        <w:t xml:space="preserve"> </w:t>
      </w:r>
    </w:p>
    <w:p w14:paraId="4C275705" w14:textId="77777777" w:rsidR="00F74DB5" w:rsidRPr="00E61DDD" w:rsidRDefault="00F74DB5" w:rsidP="00757BA0">
      <w:pPr>
        <w:pStyle w:val="ListNumber"/>
        <w:rPr>
          <w:rFonts w:asciiTheme="minorHAnsi" w:hAnsiTheme="minorHAnsi"/>
          <w:szCs w:val="18"/>
        </w:rPr>
      </w:pPr>
      <w:r w:rsidRPr="00533BB9">
        <w:t>How</w:t>
      </w:r>
      <w:r w:rsidRPr="00E61DDD">
        <w:t xml:space="preserve"> was your experience transferring from your former f</w:t>
      </w:r>
      <w:r w:rsidRPr="1424395C">
        <w:rPr>
          <w:rFonts w:asciiTheme="minorHAnsi" w:hAnsiTheme="minorHAnsi"/>
        </w:rPr>
        <w:t xml:space="preserve">unding model (Budget Based Funded (BBF), Indigenous Advancement Strategy (IAS) or Non-Formula Funded Occasional Care (NFFOCC), or other) to CCCFR? </w:t>
      </w:r>
    </w:p>
    <w:p w14:paraId="1C422752" w14:textId="77777777" w:rsidR="00F74DB5" w:rsidRPr="00E61DDD" w:rsidRDefault="00F74DB5" w:rsidP="00757BA0">
      <w:pPr>
        <w:pStyle w:val="ListNumber"/>
        <w:rPr>
          <w:rFonts w:asciiTheme="minorHAnsi" w:hAnsiTheme="minorHAnsi"/>
          <w:szCs w:val="18"/>
        </w:rPr>
      </w:pPr>
      <w:r w:rsidRPr="00E61DDD">
        <w:t>Are there costs not recorded/reported in your budget based planning tool or financial acquittal data?</w:t>
      </w:r>
    </w:p>
    <w:p w14:paraId="30EB39B9" w14:textId="77777777" w:rsidR="00F74DB5" w:rsidRPr="00E61DDD" w:rsidRDefault="00F74DB5" w:rsidP="00757BA0">
      <w:pPr>
        <w:pStyle w:val="ListNumber"/>
        <w:rPr>
          <w:rFonts w:asciiTheme="minorHAnsi" w:hAnsiTheme="minorHAnsi"/>
          <w:szCs w:val="18"/>
        </w:rPr>
      </w:pPr>
      <w:r w:rsidRPr="00E61DDD">
        <w:t>Is the</w:t>
      </w:r>
      <w:r w:rsidRPr="1424395C">
        <w:rPr>
          <w:rFonts w:asciiTheme="minorHAnsi" w:hAnsiTheme="minorHAnsi"/>
        </w:rPr>
        <w:t>re anything in your budget based planning tool and financial acquittal data that you would like to provide more context on? For example, any reasons why some things might seem high or low compared to other services due to your service’s circumstances?</w:t>
      </w:r>
    </w:p>
    <w:p w14:paraId="4B124C3E" w14:textId="283DBC16" w:rsidR="00F74DB5" w:rsidRPr="00E61DDD" w:rsidRDefault="00F74DB5" w:rsidP="00171325">
      <w:pPr>
        <w:pStyle w:val="ListNumber"/>
        <w:numPr>
          <w:ilvl w:val="1"/>
          <w:numId w:val="5"/>
        </w:numPr>
        <w:rPr>
          <w:rFonts w:asciiTheme="minorHAnsi" w:hAnsiTheme="minorHAnsi"/>
          <w:szCs w:val="18"/>
        </w:rPr>
      </w:pPr>
      <w:r w:rsidRPr="00E61DDD">
        <w:t>Woul</w:t>
      </w:r>
      <w:r w:rsidRPr="00E61DDD">
        <w:rPr>
          <w:rFonts w:asciiTheme="minorHAnsi" w:hAnsiTheme="minorHAnsi"/>
          <w:szCs w:val="18"/>
        </w:rPr>
        <w:t xml:space="preserve">d you be willing for us to contact you further regarding any particular costs which seem high or low compared to other CCCFR services? </w:t>
      </w:r>
    </w:p>
    <w:p w14:paraId="1803BECB" w14:textId="77777777" w:rsidR="00F74DB5" w:rsidRPr="00E61DDD" w:rsidRDefault="00F74DB5" w:rsidP="00757BA0">
      <w:pPr>
        <w:pStyle w:val="ListNumber"/>
        <w:rPr>
          <w:rFonts w:asciiTheme="minorHAnsi" w:hAnsiTheme="minorHAnsi"/>
          <w:szCs w:val="18"/>
        </w:rPr>
      </w:pPr>
      <w:r w:rsidRPr="00E61DDD">
        <w:t>Please describe any planned or recent capital investment, including</w:t>
      </w:r>
    </w:p>
    <w:p w14:paraId="62BB242C" w14:textId="77777777" w:rsidR="00F74DB5" w:rsidRPr="00E61DDD" w:rsidRDefault="00F74DB5" w:rsidP="00171325">
      <w:pPr>
        <w:pStyle w:val="ListParagraph"/>
        <w:widowControl w:val="0"/>
        <w:numPr>
          <w:ilvl w:val="0"/>
          <w:numId w:val="8"/>
        </w:numPr>
        <w:spacing w:after="0" w:line="240" w:lineRule="auto"/>
        <w:contextualSpacing w:val="0"/>
        <w:rPr>
          <w:rFonts w:asciiTheme="minorHAnsi" w:hAnsiTheme="minorHAnsi"/>
          <w:b/>
        </w:rPr>
      </w:pPr>
      <w:r w:rsidRPr="00E61DDD">
        <w:rPr>
          <w:rFonts w:asciiTheme="minorHAnsi" w:hAnsiTheme="minorHAnsi"/>
        </w:rPr>
        <w:t>The purpose</w:t>
      </w:r>
    </w:p>
    <w:p w14:paraId="40678F31" w14:textId="77777777" w:rsidR="00F74DB5" w:rsidRPr="00E61DDD" w:rsidRDefault="00F74DB5" w:rsidP="00171325">
      <w:pPr>
        <w:pStyle w:val="ListParagraph"/>
        <w:widowControl w:val="0"/>
        <w:numPr>
          <w:ilvl w:val="0"/>
          <w:numId w:val="8"/>
        </w:numPr>
        <w:spacing w:after="0" w:line="240" w:lineRule="auto"/>
        <w:contextualSpacing w:val="0"/>
        <w:rPr>
          <w:rFonts w:asciiTheme="minorHAnsi" w:hAnsiTheme="minorHAnsi"/>
          <w:b/>
        </w:rPr>
      </w:pPr>
      <w:r w:rsidRPr="00E61DDD">
        <w:rPr>
          <w:rFonts w:asciiTheme="minorHAnsi" w:hAnsiTheme="minorHAnsi"/>
        </w:rPr>
        <w:t>The amount</w:t>
      </w:r>
    </w:p>
    <w:p w14:paraId="5FED1128" w14:textId="77777777" w:rsidR="00F74DB5" w:rsidRPr="00E61DDD" w:rsidRDefault="00F74DB5" w:rsidP="00171325">
      <w:pPr>
        <w:pStyle w:val="ListParagraph"/>
        <w:widowControl w:val="0"/>
        <w:numPr>
          <w:ilvl w:val="0"/>
          <w:numId w:val="8"/>
        </w:numPr>
        <w:spacing w:after="0" w:line="240" w:lineRule="auto"/>
        <w:contextualSpacing w:val="0"/>
        <w:rPr>
          <w:rFonts w:asciiTheme="minorHAnsi" w:hAnsiTheme="minorHAnsi"/>
          <w:b/>
        </w:rPr>
      </w:pPr>
      <w:r w:rsidRPr="00E61DDD">
        <w:rPr>
          <w:rFonts w:asciiTheme="minorHAnsi" w:hAnsiTheme="minorHAnsi"/>
        </w:rPr>
        <w:t xml:space="preserve">Sources of funding </w:t>
      </w:r>
    </w:p>
    <w:p w14:paraId="24B81AE0" w14:textId="77777777" w:rsidR="00F74DB5" w:rsidRPr="00E61DDD" w:rsidRDefault="00F74DB5" w:rsidP="00171325">
      <w:pPr>
        <w:pStyle w:val="ListParagraph"/>
        <w:widowControl w:val="0"/>
        <w:numPr>
          <w:ilvl w:val="0"/>
          <w:numId w:val="8"/>
        </w:numPr>
        <w:spacing w:after="0" w:line="240" w:lineRule="auto"/>
        <w:contextualSpacing w:val="0"/>
        <w:rPr>
          <w:rFonts w:asciiTheme="minorHAnsi" w:hAnsiTheme="minorHAnsi"/>
          <w:b/>
        </w:rPr>
      </w:pPr>
      <w:r w:rsidRPr="00E61DDD">
        <w:rPr>
          <w:rFonts w:asciiTheme="minorHAnsi" w:hAnsiTheme="minorHAnsi"/>
        </w:rPr>
        <w:t>Any other relevant details</w:t>
      </w:r>
    </w:p>
    <w:p w14:paraId="45EBDA11" w14:textId="77777777" w:rsidR="00F74DB5" w:rsidRPr="00E61DDD" w:rsidRDefault="00F74DB5" w:rsidP="00757BA0">
      <w:pPr>
        <w:pStyle w:val="ListNumber"/>
        <w:rPr>
          <w:rFonts w:asciiTheme="minorHAnsi" w:hAnsiTheme="minorHAnsi"/>
          <w:szCs w:val="18"/>
        </w:rPr>
      </w:pPr>
      <w:r w:rsidRPr="00E61DDD">
        <w:lastRenderedPageBreak/>
        <w:t xml:space="preserve">How have costs </w:t>
      </w:r>
      <w:r w:rsidRPr="1424395C">
        <w:rPr>
          <w:rFonts w:asciiTheme="minorHAnsi" w:hAnsiTheme="minorHAnsi"/>
        </w:rPr>
        <w:t>have varied in recent years, including but not limited to, during COVID arrangements?</w:t>
      </w:r>
    </w:p>
    <w:p w14:paraId="04199E17" w14:textId="77777777" w:rsidR="00F74DB5" w:rsidRPr="00E61DDD" w:rsidRDefault="00F74DB5" w:rsidP="00757BA0">
      <w:pPr>
        <w:pStyle w:val="ListNumber"/>
        <w:rPr>
          <w:rFonts w:asciiTheme="minorHAnsi" w:hAnsiTheme="minorHAnsi"/>
          <w:szCs w:val="18"/>
        </w:rPr>
      </w:pPr>
      <w:r w:rsidRPr="00E61DDD">
        <w:t>How does your service encourage retention and recruitment of staff?</w:t>
      </w:r>
    </w:p>
    <w:p w14:paraId="65D278A6" w14:textId="77777777" w:rsidR="00F74DB5" w:rsidRPr="00E61DDD" w:rsidRDefault="00F74DB5" w:rsidP="00757BA0">
      <w:pPr>
        <w:pStyle w:val="ListNumber"/>
        <w:rPr>
          <w:rFonts w:asciiTheme="minorHAnsi" w:hAnsiTheme="minorHAnsi"/>
          <w:szCs w:val="18"/>
        </w:rPr>
      </w:pPr>
      <w:r w:rsidRPr="00E61DDD">
        <w:t>How does your service support environmental sustainability? For example, usin</w:t>
      </w:r>
      <w:r w:rsidRPr="1424395C">
        <w:rPr>
          <w:rFonts w:asciiTheme="minorHAnsi" w:hAnsiTheme="minorHAnsi"/>
        </w:rPr>
        <w:t xml:space="preserve">g insulation, double glazing, solar panels, water tank, green energy provider, planting trees, awning to create shade </w:t>
      </w:r>
    </w:p>
    <w:p w14:paraId="566B5D28" w14:textId="1F4BFCD7" w:rsidR="00F74DB5" w:rsidRPr="00E61DDD" w:rsidRDefault="00F74DB5" w:rsidP="00171325">
      <w:pPr>
        <w:pStyle w:val="ListNumber"/>
        <w:numPr>
          <w:ilvl w:val="1"/>
          <w:numId w:val="5"/>
        </w:numPr>
        <w:rPr>
          <w:rFonts w:asciiTheme="minorHAnsi" w:hAnsiTheme="minorHAnsi"/>
          <w:szCs w:val="18"/>
        </w:rPr>
      </w:pPr>
      <w:r w:rsidRPr="00E61DDD">
        <w:t>What is your service’s budget for this?</w:t>
      </w:r>
    </w:p>
    <w:p w14:paraId="6FE1B41A" w14:textId="66AB5AD4" w:rsidR="00F74DB5" w:rsidRPr="00E61DDD" w:rsidRDefault="00F74DB5" w:rsidP="00171325">
      <w:pPr>
        <w:pStyle w:val="ListNumber"/>
        <w:numPr>
          <w:ilvl w:val="1"/>
          <w:numId w:val="5"/>
        </w:numPr>
        <w:rPr>
          <w:rFonts w:asciiTheme="minorHAnsi" w:hAnsiTheme="minorHAnsi"/>
          <w:szCs w:val="18"/>
        </w:rPr>
      </w:pPr>
      <w:r w:rsidRPr="00E61DDD">
        <w:t>Is this funded (part</w:t>
      </w:r>
      <w:r w:rsidRPr="00E61DDD">
        <w:rPr>
          <w:rFonts w:asciiTheme="minorHAnsi" w:hAnsiTheme="minorHAnsi"/>
          <w:szCs w:val="18"/>
        </w:rPr>
        <w:t>ially or wholly) by the CCCFR grant?</w:t>
      </w:r>
    </w:p>
    <w:p w14:paraId="40C72ADA" w14:textId="3C41CF98" w:rsidR="00F74DB5" w:rsidRPr="00E61DDD" w:rsidRDefault="00F74DB5" w:rsidP="00171325">
      <w:pPr>
        <w:pStyle w:val="ListNumber"/>
        <w:numPr>
          <w:ilvl w:val="1"/>
          <w:numId w:val="5"/>
        </w:numPr>
        <w:rPr>
          <w:rFonts w:asciiTheme="minorHAnsi" w:hAnsiTheme="minorHAnsi"/>
          <w:szCs w:val="18"/>
        </w:rPr>
      </w:pPr>
      <w:r w:rsidRPr="00E61DDD">
        <w:t>Do you have to order from specific opera</w:t>
      </w:r>
      <w:r w:rsidRPr="00E61DDD">
        <w:rPr>
          <w:rFonts w:asciiTheme="minorHAnsi" w:hAnsiTheme="minorHAnsi"/>
          <w:szCs w:val="18"/>
        </w:rPr>
        <w:t>tors? (Energy provider for example, solar panels, etc.)</w:t>
      </w:r>
    </w:p>
    <w:p w14:paraId="34831E4E" w14:textId="3DA9AE53" w:rsidR="003549F9" w:rsidRPr="00082E86" w:rsidRDefault="00F74DB5" w:rsidP="00757BA0">
      <w:pPr>
        <w:pStyle w:val="ListNumber"/>
        <w:rPr>
          <w:rFonts w:asciiTheme="minorHAnsi" w:hAnsiTheme="minorHAnsi"/>
          <w:szCs w:val="18"/>
        </w:rPr>
      </w:pPr>
      <w:r w:rsidRPr="00E61DDD">
        <w:t xml:space="preserve">Do you have any other comments in respect to </w:t>
      </w:r>
      <w:r w:rsidRPr="1424395C">
        <w:rPr>
          <w:rFonts w:asciiTheme="minorHAnsi" w:hAnsiTheme="minorHAnsi"/>
        </w:rPr>
        <w:t>anything we have talked about?</w:t>
      </w:r>
    </w:p>
    <w:p w14:paraId="598572C2" w14:textId="77777777" w:rsidR="003549F9" w:rsidRPr="003549F9" w:rsidRDefault="003549F9" w:rsidP="007E39D2"/>
    <w:p w14:paraId="1717F26D" w14:textId="48D14102" w:rsidR="003549F9" w:rsidRPr="001311C4" w:rsidRDefault="001311C4" w:rsidP="00AB1114">
      <w:pPr>
        <w:pStyle w:val="Appendixhead1"/>
      </w:pPr>
      <w:bookmarkStart w:id="424" w:name="_Ref152875078"/>
      <w:bookmarkStart w:id="425" w:name="_Toc158993786"/>
      <w:bookmarkStart w:id="426" w:name="_Toc170227436"/>
      <w:r w:rsidRPr="001311C4">
        <w:lastRenderedPageBreak/>
        <w:t>Consultation guide for families and communities</w:t>
      </w:r>
      <w:bookmarkEnd w:id="424"/>
      <w:bookmarkEnd w:id="425"/>
      <w:bookmarkEnd w:id="426"/>
    </w:p>
    <w:p w14:paraId="42AA77EA" w14:textId="77777777" w:rsidR="004D2EC2" w:rsidRPr="00971F3E" w:rsidRDefault="004D2EC2" w:rsidP="006E0AC3">
      <w:pPr>
        <w:pStyle w:val="Appendixhead2"/>
        <w:numPr>
          <w:ilvl w:val="0"/>
          <w:numId w:val="0"/>
        </w:numPr>
        <w:ind w:left="792" w:hanging="792"/>
        <w:rPr>
          <w:rFonts w:asciiTheme="minorHAnsi" w:hAnsiTheme="minorHAnsi" w:cs="Calibri"/>
          <w:b w:val="0"/>
          <w:lang w:val="en-US"/>
        </w:rPr>
      </w:pPr>
      <w:r w:rsidRPr="00E61DDD">
        <w:rPr>
          <w:lang w:val="en-US"/>
        </w:rPr>
        <w:t>Discussion questions</w:t>
      </w:r>
      <w:r w:rsidRPr="00971F3E">
        <w:rPr>
          <w:rFonts w:asciiTheme="minorHAnsi" w:hAnsiTheme="minorHAnsi" w:cs="Calibri"/>
          <w:b w:val="0"/>
          <w:i/>
          <w:noProof/>
          <w:lang w:val="en-US"/>
        </w:rPr>
        <mc:AlternateContent>
          <mc:Choice Requires="wps">
            <w:drawing>
              <wp:anchor distT="0" distB="0" distL="114300" distR="114300" simplePos="0" relativeHeight="251656704" behindDoc="0" locked="0" layoutInCell="1" allowOverlap="1" wp14:anchorId="74F4AF06" wp14:editId="73FC748A">
                <wp:simplePos x="0" y="0"/>
                <wp:positionH relativeFrom="page">
                  <wp:posOffset>900988</wp:posOffset>
                </wp:positionH>
                <wp:positionV relativeFrom="paragraph">
                  <wp:posOffset>-6349</wp:posOffset>
                </wp:positionV>
                <wp:extent cx="6096" cy="6096"/>
                <wp:effectExtent l="0" t="0" r="0" b="0"/>
                <wp:wrapNone/>
                <wp:docPr id="242" name="Freeform: Shape 2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7F5F9B2" id="Freeform: Shape 242" o:spid="_x0000_s1026" alt="&quot;&quot;" style="position:absolute;margin-left:70.95pt;margin-top:-.5pt;width:.5pt;height:.5pt;z-index:2516567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" path="m,6096r6096,l6096,,,,,6096xe" fillcolor="black" stroked="f" strokeweight="1pt">
                <v:path arrowok="t"/>
                <w10:wrap anchorx="page"/>
              </v:shape>
            </w:pict>
          </mc:Fallback>
        </mc:AlternateContent>
      </w:r>
      <w:r w:rsidRPr="00971F3E">
        <w:rPr>
          <w:rFonts w:asciiTheme="minorHAnsi" w:hAnsiTheme="minorHAnsi" w:cs="Calibri"/>
          <w:b w:val="0"/>
          <w:i/>
          <w:noProof/>
          <w:lang w:val="en-US"/>
        </w:rPr>
        <mc:AlternateContent>
          <mc:Choice Requires="wps">
            <w:drawing>
              <wp:anchor distT="0" distB="0" distL="114300" distR="114300" simplePos="0" relativeHeight="251654656" behindDoc="0" locked="0" layoutInCell="1" allowOverlap="1" wp14:anchorId="09407A7E" wp14:editId="379D6C61">
                <wp:simplePos x="0" y="0"/>
                <wp:positionH relativeFrom="page">
                  <wp:posOffset>900988</wp:posOffset>
                </wp:positionH>
                <wp:positionV relativeFrom="paragraph">
                  <wp:posOffset>-6349</wp:posOffset>
                </wp:positionV>
                <wp:extent cx="6096" cy="6096"/>
                <wp:effectExtent l="0" t="0" r="0" b="0"/>
                <wp:wrapNone/>
                <wp:docPr id="243" name="Freeform: Shape 2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BA91750" id="Freeform: Shape 243" o:spid="_x0000_s1026" alt="&quot;&quot;" style="position:absolute;margin-left:70.95pt;margin-top:-.5pt;width:.5pt;height:.5pt;z-index:2516546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" path="m,6096r6096,l6096,,,,,6096xe" fillcolor="black" stroked="f" strokeweight="1pt">
                <v:path arrowok="t"/>
                <w10:wrap anchorx="page"/>
              </v:shape>
            </w:pict>
          </mc:Fallback>
        </mc:AlternateContent>
      </w:r>
      <w:r w:rsidRPr="00971F3E">
        <w:rPr>
          <w:rFonts w:asciiTheme="minorHAnsi" w:hAnsiTheme="minorHAnsi" w:cs="Calibri"/>
          <w:b w:val="0"/>
          <w:i/>
          <w:noProof/>
          <w:lang w:val="en-US"/>
        </w:rPr>
        <mc:AlternateContent>
          <mc:Choice Requires="wps">
            <w:drawing>
              <wp:anchor distT="0" distB="0" distL="114300" distR="114300" simplePos="0" relativeHeight="251658752" behindDoc="0" locked="0" layoutInCell="1" allowOverlap="1" wp14:anchorId="071D8DEC" wp14:editId="370FB8DC">
                <wp:simplePos x="0" y="0"/>
                <wp:positionH relativeFrom="page">
                  <wp:posOffset>2666110</wp:posOffset>
                </wp:positionH>
                <wp:positionV relativeFrom="paragraph">
                  <wp:posOffset>-6349</wp:posOffset>
                </wp:positionV>
                <wp:extent cx="6096" cy="6096"/>
                <wp:effectExtent l="0" t="0" r="0" b="0"/>
                <wp:wrapNone/>
                <wp:docPr id="244" name="Freeform: Shape 2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DA0E77D" id="Freeform: Shape 244" o:spid="_x0000_s1026" alt="&quot;&quot;" style="position:absolute;margin-left:209.95pt;margin-top:-.5pt;width:.5pt;height:.5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" path="m,6096r6096,l6096,,,,,6096xe" fillcolor="black" stroked="f" strokeweight="1pt">
                <v:path arrowok="t"/>
                <w10:wrap anchorx="page"/>
              </v:shape>
            </w:pict>
          </mc:Fallback>
        </mc:AlternateContent>
      </w:r>
      <w:r w:rsidRPr="00971F3E">
        <w:rPr>
          <w:rFonts w:asciiTheme="minorHAnsi" w:hAnsiTheme="minorHAnsi" w:cs="Calibri"/>
          <w:b w:val="0"/>
          <w:i/>
          <w:noProof/>
          <w:lang w:val="en-US"/>
        </w:rPr>
        <mc:AlternateContent>
          <mc:Choice Requires="wps">
            <w:drawing>
              <wp:anchor distT="0" distB="0" distL="114300" distR="114300" simplePos="0" relativeHeight="251660800" behindDoc="0" locked="0" layoutInCell="1" allowOverlap="1" wp14:anchorId="35F3C718" wp14:editId="2D53A765">
                <wp:simplePos x="0" y="0"/>
                <wp:positionH relativeFrom="page">
                  <wp:posOffset>5345557</wp:posOffset>
                </wp:positionH>
                <wp:positionV relativeFrom="paragraph">
                  <wp:posOffset>-6349</wp:posOffset>
                </wp:positionV>
                <wp:extent cx="6095" cy="6096"/>
                <wp:effectExtent l="0" t="0" r="0" b="0"/>
                <wp:wrapNone/>
                <wp:docPr id="245" name="Freeform: Shape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EFE7227" id="Freeform: Shape 245" o:spid="_x0000_s1026" alt="&quot;&quot;" style="position:absolute;margin-left:420.9pt;margin-top:-.5pt;width:.5pt;height:.5pt;z-index:25166080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" path="m,6096r6095,l6095,,,,,6096xe" fillcolor="black" stroked="f" strokeweight="1pt">
                <v:path arrowok="t"/>
                <w10:wrap anchorx="page"/>
              </v:shape>
            </w:pict>
          </mc:Fallback>
        </mc:AlternateContent>
      </w:r>
      <w:r w:rsidRPr="00971F3E">
        <w:rPr>
          <w:rFonts w:asciiTheme="minorHAnsi" w:hAnsiTheme="minorHAnsi" w:cs="Calibri"/>
          <w:b w:val="0"/>
          <w:i/>
          <w:noProof/>
          <w:lang w:val="en-US"/>
        </w:rPr>
        <mc:AlternateContent>
          <mc:Choice Requires="wps">
            <w:drawing>
              <wp:anchor distT="0" distB="0" distL="114300" distR="114300" simplePos="0" relativeHeight="251664896" behindDoc="0" locked="0" layoutInCell="1" allowOverlap="1" wp14:anchorId="30D58310" wp14:editId="7133AAF5">
                <wp:simplePos x="0" y="0"/>
                <wp:positionH relativeFrom="page">
                  <wp:posOffset>6872985</wp:posOffset>
                </wp:positionH>
                <wp:positionV relativeFrom="paragraph">
                  <wp:posOffset>-6349</wp:posOffset>
                </wp:positionV>
                <wp:extent cx="6096" cy="6096"/>
                <wp:effectExtent l="0" t="0" r="0" b="0"/>
                <wp:wrapNone/>
                <wp:docPr id="246" name="Freeform: Shape 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1694801" id="Freeform: Shape 246" o:spid="_x0000_s1026" alt="&quot;&quot;" style="position:absolute;margin-left:541.2pt;margin-top:-.5pt;width:.5pt;height:.5pt;z-index:2516648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" path="m,6096r6096,l6096,,,,,6096xe" fillcolor="black" stroked="f" strokeweight="1pt">
                <v:path arrowok="t"/>
                <w10:wrap anchorx="page"/>
              </v:shape>
            </w:pict>
          </mc:Fallback>
        </mc:AlternateContent>
      </w:r>
      <w:r w:rsidRPr="00971F3E">
        <w:rPr>
          <w:rFonts w:asciiTheme="minorHAnsi" w:hAnsiTheme="minorHAnsi" w:cs="Calibri"/>
          <w:b w:val="0"/>
          <w:i/>
          <w:noProof/>
          <w:lang w:val="en-US"/>
        </w:rPr>
        <mc:AlternateContent>
          <mc:Choice Requires="wps">
            <w:drawing>
              <wp:anchor distT="0" distB="0" distL="114300" distR="114300" simplePos="0" relativeHeight="251662848" behindDoc="0" locked="0" layoutInCell="1" allowOverlap="1" wp14:anchorId="65C4201C" wp14:editId="66326D71">
                <wp:simplePos x="0" y="0"/>
                <wp:positionH relativeFrom="page">
                  <wp:posOffset>6872985</wp:posOffset>
                </wp:positionH>
                <wp:positionV relativeFrom="paragraph">
                  <wp:posOffset>-6349</wp:posOffset>
                </wp:positionV>
                <wp:extent cx="6096" cy="6096"/>
                <wp:effectExtent l="0" t="0" r="0" b="0"/>
                <wp:wrapNone/>
                <wp:docPr id="247" name="Freeform: Shape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034E028" id="Freeform: Shape 247" o:spid="_x0000_s1026" alt="&quot;&quot;" style="position:absolute;margin-left:541.2pt;margin-top:-.5pt;width:.5pt;height:.5pt;z-index:2516628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" path="m,6096r6096,l6096,,,,,6096xe" fillcolor="black" stroked="f" strokeweight="1pt">
                <v:path arrowok="t"/>
                <w10:wrap anchorx="page"/>
              </v:shape>
            </w:pict>
          </mc:Fallback>
        </mc:AlternateContent>
      </w:r>
    </w:p>
    <w:p w14:paraId="20C72819" w14:textId="77777777" w:rsidR="004D2EC2" w:rsidRPr="00E61DDD" w:rsidRDefault="004D2EC2" w:rsidP="004D2EC2">
      <w:pPr>
        <w:spacing w:after="160" w:line="259" w:lineRule="auto"/>
        <w:rPr>
          <w:rFonts w:asciiTheme="minorHAnsi" w:eastAsia="Calibri" w:hAnsiTheme="minorHAnsi" w:cs="Calibri"/>
          <w:sz w:val="16"/>
          <w:szCs w:val="16"/>
        </w:rPr>
      </w:pPr>
    </w:p>
    <w:p w14:paraId="135A03A1" w14:textId="77777777" w:rsidR="004D2EC2" w:rsidRPr="00533BB9" w:rsidRDefault="004D2EC2" w:rsidP="00416EA8">
      <w:pPr>
        <w:pStyle w:val="ListNumber"/>
        <w:numPr>
          <w:ilvl w:val="0"/>
          <w:numId w:val="67"/>
        </w:numPr>
      </w:pPr>
      <w:r w:rsidRPr="00533BB9">
        <w:t>Why do you send your child to child care?</w:t>
      </w:r>
    </w:p>
    <w:p w14:paraId="7F49E1F8" w14:textId="77777777" w:rsidR="004D2EC2" w:rsidRPr="00533BB9" w:rsidRDefault="004D2EC2" w:rsidP="00416EA8">
      <w:pPr>
        <w:pStyle w:val="ListNumber"/>
        <w:numPr>
          <w:ilvl w:val="0"/>
          <w:numId w:val="67"/>
        </w:numPr>
      </w:pPr>
      <w:r w:rsidRPr="00533BB9">
        <w:t xml:space="preserve">Why did you choose this service? </w:t>
      </w:r>
    </w:p>
    <w:p w14:paraId="506EE6EC" w14:textId="77777777" w:rsidR="004D2EC2" w:rsidRPr="00533BB9" w:rsidRDefault="004D2EC2" w:rsidP="00416EA8">
      <w:pPr>
        <w:pStyle w:val="ListNumber"/>
        <w:numPr>
          <w:ilvl w:val="0"/>
          <w:numId w:val="67"/>
        </w:numPr>
      </w:pPr>
      <w:r w:rsidRPr="00533BB9">
        <w:t xml:space="preserve">Is it providing the child care you were expecting? </w:t>
      </w:r>
    </w:p>
    <w:p w14:paraId="499DC114" w14:textId="77777777" w:rsidR="004D2EC2" w:rsidRPr="00533BB9" w:rsidRDefault="004D2EC2" w:rsidP="00416EA8">
      <w:pPr>
        <w:pStyle w:val="ListNumber"/>
        <w:numPr>
          <w:ilvl w:val="0"/>
          <w:numId w:val="67"/>
        </w:numPr>
      </w:pPr>
      <w:r w:rsidRPr="00533BB9">
        <w:t xml:space="preserve">What are some of the changes you see in your child since they have started attending this service? </w:t>
      </w:r>
    </w:p>
    <w:p w14:paraId="4404F1D5" w14:textId="77777777" w:rsidR="004D2EC2" w:rsidRPr="00533BB9" w:rsidRDefault="004D2EC2" w:rsidP="00416EA8">
      <w:pPr>
        <w:pStyle w:val="ListNumber"/>
        <w:numPr>
          <w:ilvl w:val="0"/>
          <w:numId w:val="67"/>
        </w:numPr>
      </w:pPr>
      <w:r w:rsidRPr="00533BB9">
        <w:t>How often does your child go to this service</w:t>
      </w:r>
      <w:r w:rsidRPr="001C655F">
        <w:t>?</w:t>
      </w:r>
    </w:p>
    <w:p w14:paraId="0CBE62DB" w14:textId="77777777" w:rsidR="004D2EC2" w:rsidRPr="00533BB9" w:rsidRDefault="004D2EC2" w:rsidP="00416EA8">
      <w:pPr>
        <w:pStyle w:val="ListNumber"/>
        <w:numPr>
          <w:ilvl w:val="0"/>
          <w:numId w:val="67"/>
        </w:numPr>
      </w:pPr>
      <w:r w:rsidRPr="00533BB9">
        <w:t>How does your child get to this service?</w:t>
      </w:r>
    </w:p>
    <w:p w14:paraId="7EE3234D" w14:textId="77777777" w:rsidR="004D2EC2" w:rsidRPr="00533BB9" w:rsidRDefault="004D2EC2" w:rsidP="00416EA8">
      <w:pPr>
        <w:pStyle w:val="ListNumber"/>
        <w:numPr>
          <w:ilvl w:val="0"/>
          <w:numId w:val="67"/>
        </w:numPr>
      </w:pPr>
      <w:r w:rsidRPr="00533BB9">
        <w:t>When this child care service is not available, what other options do you have for the care of your child?</w:t>
      </w:r>
    </w:p>
    <w:p w14:paraId="6ACE4691" w14:textId="77777777" w:rsidR="004D2EC2" w:rsidRPr="00533BB9" w:rsidRDefault="004D2EC2" w:rsidP="00416EA8">
      <w:pPr>
        <w:pStyle w:val="ListNumber"/>
        <w:numPr>
          <w:ilvl w:val="0"/>
          <w:numId w:val="67"/>
        </w:numPr>
      </w:pPr>
      <w:r w:rsidRPr="00533BB9">
        <w:t xml:space="preserve">What do you like about this service? </w:t>
      </w:r>
    </w:p>
    <w:p w14:paraId="067623C9" w14:textId="77777777" w:rsidR="004D2EC2" w:rsidRPr="00533BB9" w:rsidRDefault="004D2EC2" w:rsidP="00416EA8">
      <w:pPr>
        <w:pStyle w:val="ListNumber"/>
        <w:numPr>
          <w:ilvl w:val="0"/>
          <w:numId w:val="67"/>
        </w:numPr>
      </w:pPr>
      <w:r w:rsidRPr="00533BB9">
        <w:t>What are some areas where this service could improve?</w:t>
      </w:r>
    </w:p>
    <w:p w14:paraId="7D479A47" w14:textId="77777777" w:rsidR="004D2EC2" w:rsidRPr="00533BB9" w:rsidRDefault="004D2EC2" w:rsidP="00416EA8">
      <w:pPr>
        <w:pStyle w:val="ListNumber"/>
        <w:numPr>
          <w:ilvl w:val="0"/>
          <w:numId w:val="67"/>
        </w:numPr>
      </w:pPr>
      <w:r w:rsidRPr="00533BB9">
        <w:t>What do you do while your child is at this service?</w:t>
      </w:r>
    </w:p>
    <w:p w14:paraId="3EF681D7" w14:textId="77777777" w:rsidR="004D2EC2" w:rsidRPr="00533BB9" w:rsidRDefault="004D2EC2" w:rsidP="00416EA8">
      <w:pPr>
        <w:pStyle w:val="ListNumber"/>
        <w:numPr>
          <w:ilvl w:val="0"/>
          <w:numId w:val="67"/>
        </w:numPr>
      </w:pPr>
      <w:r w:rsidRPr="00533BB9">
        <w:t>Do you feel welcome and safe at this service?</w:t>
      </w:r>
    </w:p>
    <w:p w14:paraId="11DFEC40" w14:textId="77777777" w:rsidR="004D2EC2" w:rsidRPr="00533BB9" w:rsidRDefault="004D2EC2" w:rsidP="00416EA8">
      <w:pPr>
        <w:pStyle w:val="ListNumber"/>
        <w:numPr>
          <w:ilvl w:val="0"/>
          <w:numId w:val="67"/>
        </w:numPr>
      </w:pPr>
      <w:r w:rsidRPr="00533BB9">
        <w:t xml:space="preserve">Have you used Centrelink or MyGov to get support to access this service, or had other paperwork or forms to fill in? </w:t>
      </w:r>
    </w:p>
    <w:p w14:paraId="5677103E" w14:textId="77777777" w:rsidR="004D2EC2" w:rsidRPr="00533BB9" w:rsidRDefault="004D2EC2" w:rsidP="00416EA8">
      <w:pPr>
        <w:pStyle w:val="ListNumber"/>
        <w:numPr>
          <w:ilvl w:val="0"/>
          <w:numId w:val="67"/>
        </w:numPr>
      </w:pPr>
      <w:r w:rsidRPr="00533BB9">
        <w:t xml:space="preserve">Do you know other families with young children who don’t use this service? </w:t>
      </w:r>
    </w:p>
    <w:p w14:paraId="30B6EED2" w14:textId="77777777" w:rsidR="004D2EC2" w:rsidRPr="00533BB9" w:rsidRDefault="004D2EC2" w:rsidP="00416EA8">
      <w:pPr>
        <w:pStyle w:val="ListNumber"/>
        <w:numPr>
          <w:ilvl w:val="0"/>
          <w:numId w:val="67"/>
        </w:numPr>
      </w:pPr>
      <w:r w:rsidRPr="00533BB9">
        <w:t xml:space="preserve">What would encourage other families to use a child care service like this one? </w:t>
      </w:r>
    </w:p>
    <w:p w14:paraId="2D232B3D" w14:textId="77777777" w:rsidR="003549F9" w:rsidRPr="003549F9" w:rsidRDefault="003549F9" w:rsidP="003549F9"/>
    <w:p w14:paraId="1A789761" w14:textId="59618503" w:rsidR="003549F9" w:rsidRPr="00935722" w:rsidRDefault="00D103CD" w:rsidP="00AB1114">
      <w:pPr>
        <w:pStyle w:val="Appendixhead1"/>
      </w:pPr>
      <w:bookmarkStart w:id="427" w:name="_Ref152875507"/>
      <w:bookmarkStart w:id="428" w:name="_Toc158993787"/>
      <w:bookmarkStart w:id="429" w:name="_Toc170227437"/>
      <w:r w:rsidRPr="00935722">
        <w:lastRenderedPageBreak/>
        <w:t>Consultation guide for</w:t>
      </w:r>
      <w:r w:rsidR="00935722" w:rsidRPr="00935722">
        <w:t xml:space="preserve"> Departmental and broader stakeholders</w:t>
      </w:r>
      <w:bookmarkEnd w:id="427"/>
      <w:bookmarkEnd w:id="428"/>
      <w:bookmarkEnd w:id="429"/>
    </w:p>
    <w:p w14:paraId="5CFDD17A" w14:textId="77777777" w:rsidR="009C6095" w:rsidRPr="00E61DDD" w:rsidRDefault="009C6095" w:rsidP="006E0AC3">
      <w:pPr>
        <w:pStyle w:val="Appendixhead2"/>
        <w:spacing w:after="120"/>
        <w:rPr>
          <w:b w:val="0"/>
        </w:rPr>
      </w:pPr>
      <w:r w:rsidRPr="00E61DDD">
        <w:t>Departmental stakeholders</w:t>
      </w:r>
    </w:p>
    <w:p w14:paraId="105A27F7" w14:textId="77777777" w:rsidR="009C6095" w:rsidRPr="00E61DDD" w:rsidRDefault="009C6095" w:rsidP="00757BA0">
      <w:pPr>
        <w:pStyle w:val="Appendixhead3"/>
        <w:rPr>
          <w:b w:val="0"/>
          <w:color w:val="86BC25" w:themeColor="accent1"/>
        </w:rPr>
      </w:pPr>
      <w:r w:rsidRPr="00E61DDD">
        <w:t>Background</w:t>
      </w:r>
    </w:p>
    <w:p w14:paraId="5B5DA2E0" w14:textId="77777777" w:rsidR="009C6095" w:rsidRPr="00757BA0" w:rsidRDefault="009C6095" w:rsidP="00416EA8">
      <w:pPr>
        <w:pStyle w:val="ListNumber"/>
        <w:numPr>
          <w:ilvl w:val="0"/>
          <w:numId w:val="68"/>
        </w:numPr>
      </w:pPr>
      <w:r w:rsidRPr="00E61DDD">
        <w:t xml:space="preserve">Can you </w:t>
      </w:r>
      <w:r w:rsidRPr="00757BA0">
        <w:t>tell me about your role within the Department and a bit about your background?</w:t>
      </w:r>
    </w:p>
    <w:p w14:paraId="198AA550" w14:textId="77777777" w:rsidR="009C6095" w:rsidRPr="00E61DDD" w:rsidRDefault="009C6095" w:rsidP="00416EA8">
      <w:pPr>
        <w:pStyle w:val="ListNumber"/>
        <w:numPr>
          <w:ilvl w:val="0"/>
          <w:numId w:val="68"/>
        </w:numPr>
        <w:spacing w:before="120"/>
      </w:pPr>
      <w:r w:rsidRPr="00757BA0">
        <w:t>What are/were</w:t>
      </w:r>
      <w:r w:rsidRPr="00E61DDD">
        <w:t xml:space="preserve"> your key responsibilities in your role for the CCCFR Grant?</w:t>
      </w:r>
    </w:p>
    <w:p w14:paraId="5DCAFA97" w14:textId="77777777" w:rsidR="006E0AC3" w:rsidRPr="00E61DDD" w:rsidRDefault="006E0AC3" w:rsidP="001C655F">
      <w:pPr>
        <w:pStyle w:val="ListNumber"/>
        <w:numPr>
          <w:ilvl w:val="0"/>
          <w:numId w:val="0"/>
        </w:numPr>
        <w:ind w:left="360"/>
      </w:pPr>
    </w:p>
    <w:p w14:paraId="21114661" w14:textId="77777777" w:rsidR="009C6095" w:rsidRDefault="009C6095" w:rsidP="00757BA0">
      <w:pPr>
        <w:pStyle w:val="Appendixhead3"/>
        <w:rPr>
          <w:b w:val="0"/>
          <w:color w:val="86BC25" w:themeColor="accent1"/>
        </w:rPr>
      </w:pPr>
      <w:r w:rsidRPr="00E61DDD">
        <w:t>Objectives and intent</w:t>
      </w:r>
    </w:p>
    <w:p w14:paraId="26CC750F" w14:textId="34581705" w:rsidR="009C6095" w:rsidRPr="00757BA0" w:rsidRDefault="009C6095" w:rsidP="00416EA8">
      <w:pPr>
        <w:pStyle w:val="ListNumber"/>
        <w:numPr>
          <w:ilvl w:val="0"/>
          <w:numId w:val="69"/>
        </w:numPr>
      </w:pPr>
      <w:r w:rsidRPr="00E61DDD">
        <w:t xml:space="preserve">In your </w:t>
      </w:r>
      <w:r w:rsidRPr="00757BA0">
        <w:t>opinion, to what extent do the CCCFR objectives address the needs of the families and communities of the services receiving the CCCFR grant funding?</w:t>
      </w:r>
    </w:p>
    <w:p w14:paraId="5DAC4329" w14:textId="21540CDD" w:rsidR="009C6095" w:rsidRPr="00757BA0" w:rsidRDefault="009C6095" w:rsidP="00416EA8">
      <w:pPr>
        <w:pStyle w:val="ListNumber"/>
        <w:numPr>
          <w:ilvl w:val="0"/>
          <w:numId w:val="69"/>
        </w:numPr>
      </w:pPr>
      <w:r w:rsidRPr="00757BA0">
        <w:t>In your opinion, are the CCCFR objectives relevant to current policy direction and appropriate for the services receiving CCCFR grant funding?</w:t>
      </w:r>
    </w:p>
    <w:p w14:paraId="3499714F" w14:textId="03818A94" w:rsidR="009C6095" w:rsidRPr="00757BA0" w:rsidRDefault="009C6095" w:rsidP="00416EA8">
      <w:pPr>
        <w:pStyle w:val="ListNumber"/>
        <w:numPr>
          <w:ilvl w:val="0"/>
          <w:numId w:val="69"/>
        </w:numPr>
      </w:pPr>
      <w:r w:rsidRPr="00757BA0">
        <w:t>The CCCFR grant had additional objectives at the time of implementation relating to the transition to the then new child</w:t>
      </w:r>
      <w:r w:rsidR="00F90B2D">
        <w:t xml:space="preserve"> </w:t>
      </w:r>
      <w:r w:rsidRPr="00757BA0">
        <w:t>care system to:</w:t>
      </w:r>
    </w:p>
    <w:p w14:paraId="7D9CAF60" w14:textId="1BAE027F" w:rsidR="009C6095" w:rsidRPr="00757BA0" w:rsidRDefault="009C6095" w:rsidP="00416EA8">
      <w:pPr>
        <w:pStyle w:val="ListNumber"/>
        <w:numPr>
          <w:ilvl w:val="0"/>
          <w:numId w:val="69"/>
        </w:numPr>
      </w:pPr>
      <w:r w:rsidRPr="00757BA0">
        <w:t>Ensure continuity of child</w:t>
      </w:r>
      <w:r w:rsidR="00F90B2D">
        <w:t xml:space="preserve"> </w:t>
      </w:r>
      <w:r w:rsidRPr="00757BA0">
        <w:t xml:space="preserve">care services during and beyond any period of transition </w:t>
      </w:r>
    </w:p>
    <w:p w14:paraId="7F00E13E" w14:textId="54424A3A" w:rsidR="009C6095" w:rsidRPr="00757BA0" w:rsidRDefault="009C6095" w:rsidP="00416EA8">
      <w:pPr>
        <w:pStyle w:val="ListNumber"/>
        <w:numPr>
          <w:ilvl w:val="0"/>
          <w:numId w:val="69"/>
        </w:numPr>
      </w:pPr>
      <w:r w:rsidRPr="00757BA0">
        <w:t>Support eligible child</w:t>
      </w:r>
      <w:r w:rsidR="00F90B2D">
        <w:t xml:space="preserve"> </w:t>
      </w:r>
      <w:r w:rsidRPr="00757BA0">
        <w:t>care services to build capacity and operate sustainably under the new child</w:t>
      </w:r>
      <w:r w:rsidR="00F90B2D">
        <w:t xml:space="preserve"> </w:t>
      </w:r>
      <w:r w:rsidRPr="00757BA0">
        <w:t>care system.</w:t>
      </w:r>
    </w:p>
    <w:p w14:paraId="7FBA68EA" w14:textId="53C8FF2D" w:rsidR="009C6095" w:rsidRPr="00757BA0" w:rsidRDefault="009C6095" w:rsidP="00416EA8">
      <w:pPr>
        <w:pStyle w:val="ListNumber"/>
        <w:numPr>
          <w:ilvl w:val="0"/>
          <w:numId w:val="69"/>
        </w:numPr>
      </w:pPr>
      <w:r w:rsidRPr="00757BA0">
        <w:t>In your opinion, to what extent has the CCCFR grant met these objectives over its five years of operation?</w:t>
      </w:r>
    </w:p>
    <w:p w14:paraId="2D57DB62" w14:textId="77777777" w:rsidR="009C6095" w:rsidRPr="00E61DDD" w:rsidRDefault="009C6095" w:rsidP="00416EA8">
      <w:pPr>
        <w:pStyle w:val="ListNumber"/>
        <w:numPr>
          <w:ilvl w:val="0"/>
          <w:numId w:val="69"/>
        </w:numPr>
      </w:pPr>
      <w:r w:rsidRPr="00757BA0">
        <w:t>Thinking about recent and upcoming changes to ECEC policy, in your opinion what are the implications of changes</w:t>
      </w:r>
      <w:r w:rsidRPr="00E61DDD">
        <w:t xml:space="preserve"> to the CCCFR grant funded services?</w:t>
      </w:r>
    </w:p>
    <w:p w14:paraId="1E881A8A" w14:textId="77777777" w:rsidR="009C6095" w:rsidRPr="00E61DDD" w:rsidRDefault="009C6095" w:rsidP="00416EA8">
      <w:pPr>
        <w:pStyle w:val="ListParagraph"/>
        <w:numPr>
          <w:ilvl w:val="1"/>
          <w:numId w:val="69"/>
        </w:numPr>
        <w:spacing w:line="360" w:lineRule="auto"/>
        <w:rPr>
          <w:rFonts w:asciiTheme="minorHAnsi" w:hAnsiTheme="minorHAnsi" w:cs="Calibri"/>
        </w:rPr>
      </w:pPr>
      <w:r w:rsidRPr="00E61DDD">
        <w:rPr>
          <w:rFonts w:asciiTheme="minorHAnsi" w:hAnsiTheme="minorHAnsi" w:cs="Calibri"/>
        </w:rPr>
        <w:t>The changes to the activity test</w:t>
      </w:r>
    </w:p>
    <w:p w14:paraId="666EF519" w14:textId="77777777" w:rsidR="009C6095" w:rsidRPr="00E61DDD" w:rsidRDefault="009C6095" w:rsidP="00416EA8">
      <w:pPr>
        <w:pStyle w:val="ListParagraph"/>
        <w:numPr>
          <w:ilvl w:val="1"/>
          <w:numId w:val="69"/>
        </w:numPr>
        <w:spacing w:line="360" w:lineRule="auto"/>
        <w:rPr>
          <w:rFonts w:asciiTheme="minorHAnsi" w:hAnsiTheme="minorHAnsi" w:cs="Calibri"/>
        </w:rPr>
      </w:pPr>
      <w:r w:rsidRPr="00E61DDD">
        <w:rPr>
          <w:rFonts w:asciiTheme="minorHAnsi" w:hAnsiTheme="minorHAnsi" w:cs="Calibri"/>
        </w:rPr>
        <w:t>The increases to Child Care Subsidy</w:t>
      </w:r>
    </w:p>
    <w:p w14:paraId="49BDBF89" w14:textId="77777777" w:rsidR="009C6095" w:rsidRPr="00E61DDD" w:rsidRDefault="009C6095" w:rsidP="00416EA8">
      <w:pPr>
        <w:pStyle w:val="ListParagraph"/>
        <w:numPr>
          <w:ilvl w:val="1"/>
          <w:numId w:val="69"/>
        </w:numPr>
        <w:spacing w:line="360" w:lineRule="auto"/>
        <w:rPr>
          <w:rFonts w:asciiTheme="minorHAnsi" w:hAnsiTheme="minorHAnsi" w:cs="Calibri"/>
        </w:rPr>
      </w:pPr>
      <w:r w:rsidRPr="00E61DDD">
        <w:rPr>
          <w:rFonts w:asciiTheme="minorHAnsi" w:hAnsiTheme="minorHAnsi" w:cs="Calibri"/>
        </w:rPr>
        <w:t xml:space="preserve">Changes to the Preschool Reform Agreement </w:t>
      </w:r>
    </w:p>
    <w:p w14:paraId="0F69C37D" w14:textId="77777777" w:rsidR="009C6095" w:rsidRPr="00E61DDD" w:rsidRDefault="009C6095" w:rsidP="00416EA8">
      <w:pPr>
        <w:pStyle w:val="ListParagraph"/>
        <w:numPr>
          <w:ilvl w:val="1"/>
          <w:numId w:val="69"/>
        </w:numPr>
        <w:spacing w:line="360" w:lineRule="auto"/>
        <w:rPr>
          <w:rFonts w:asciiTheme="minorHAnsi" w:hAnsiTheme="minorHAnsi" w:cs="Calibri"/>
        </w:rPr>
      </w:pPr>
      <w:r w:rsidRPr="00E61DDD">
        <w:rPr>
          <w:rFonts w:asciiTheme="minorHAnsi" w:hAnsiTheme="minorHAnsi" w:cs="Calibri"/>
        </w:rPr>
        <w:t>Any other ECEC policy directions</w:t>
      </w:r>
    </w:p>
    <w:p w14:paraId="677D4848" w14:textId="77777777" w:rsidR="009C6095" w:rsidRDefault="009C6095" w:rsidP="00757BA0">
      <w:pPr>
        <w:pStyle w:val="Appendixhead3"/>
        <w:rPr>
          <w:b w:val="0"/>
          <w:color w:val="86BC25" w:themeColor="accent1"/>
        </w:rPr>
      </w:pPr>
      <w:r w:rsidRPr="6D6BAFAD">
        <w:t>Policy design and funding</w:t>
      </w:r>
    </w:p>
    <w:p w14:paraId="61DBF785" w14:textId="2B4CD7BE" w:rsidR="009C6095" w:rsidRPr="00757BA0" w:rsidRDefault="009C6095" w:rsidP="00416EA8">
      <w:pPr>
        <w:pStyle w:val="ListNumber"/>
        <w:numPr>
          <w:ilvl w:val="0"/>
          <w:numId w:val="70"/>
        </w:numPr>
      </w:pPr>
      <w:r w:rsidRPr="00E61DDD">
        <w:t xml:space="preserve">Are you </w:t>
      </w:r>
      <w:r w:rsidRPr="00757BA0">
        <w:t>aware of any metrics to assess current or emerging outcomes of the CCCFR grant?</w:t>
      </w:r>
    </w:p>
    <w:p w14:paraId="5BBAB929" w14:textId="2AE71738" w:rsidR="009C6095" w:rsidRPr="00757BA0" w:rsidRDefault="009C6095" w:rsidP="00416EA8">
      <w:pPr>
        <w:pStyle w:val="ListNumber"/>
        <w:numPr>
          <w:ilvl w:val="0"/>
          <w:numId w:val="70"/>
        </w:numPr>
      </w:pPr>
      <w:r w:rsidRPr="00757BA0">
        <w:t>Are there any risk identification and risk mitigation strategies for the CCCFR grant?</w:t>
      </w:r>
    </w:p>
    <w:p w14:paraId="2E3D9391" w14:textId="1BAFBBA1" w:rsidR="009C6095" w:rsidRPr="00757BA0" w:rsidRDefault="009C6095" w:rsidP="00416EA8">
      <w:pPr>
        <w:pStyle w:val="ListNumber"/>
        <w:numPr>
          <w:ilvl w:val="0"/>
          <w:numId w:val="70"/>
        </w:numPr>
      </w:pPr>
      <w:r w:rsidRPr="00757BA0">
        <w:t>Has the Department identified any considerations that have affected decision making for the design and approval of CCCFR grants?</w:t>
      </w:r>
    </w:p>
    <w:p w14:paraId="0942CBBC" w14:textId="4689F05E" w:rsidR="009C6095" w:rsidRPr="00757BA0" w:rsidRDefault="009C6095" w:rsidP="00416EA8">
      <w:pPr>
        <w:pStyle w:val="ListNumber"/>
        <w:numPr>
          <w:ilvl w:val="0"/>
          <w:numId w:val="70"/>
        </w:numPr>
      </w:pPr>
      <w:r w:rsidRPr="00757BA0">
        <w:t>How suitable are services identified as eligible for the grant application process? Were the PwC Financial and operational analysis tools useful in the initial funding determination?</w:t>
      </w:r>
    </w:p>
    <w:p w14:paraId="11EFC051" w14:textId="2DCFE23E" w:rsidR="009C6095" w:rsidRPr="00757BA0" w:rsidRDefault="009C6095" w:rsidP="00416EA8">
      <w:pPr>
        <w:pStyle w:val="ListNumber"/>
        <w:numPr>
          <w:ilvl w:val="0"/>
          <w:numId w:val="70"/>
        </w:numPr>
      </w:pPr>
      <w:r w:rsidRPr="00757BA0">
        <w:t>Based on your understanding of the transition to the CCCFR grant, why did some services transition away from the grant or shut down?</w:t>
      </w:r>
    </w:p>
    <w:p w14:paraId="35B1909C" w14:textId="77777777" w:rsidR="009C6095" w:rsidRPr="00E61DDD" w:rsidRDefault="009C6095" w:rsidP="00416EA8">
      <w:pPr>
        <w:pStyle w:val="ListNumber"/>
        <w:numPr>
          <w:ilvl w:val="0"/>
          <w:numId w:val="71"/>
        </w:numPr>
      </w:pPr>
      <w:r w:rsidRPr="00757BA0">
        <w:lastRenderedPageBreak/>
        <w:t>Are you aware of any outcomes of the previous BBF services under the Department of Social Services and how that</w:t>
      </w:r>
      <w:r w:rsidRPr="00E61DDD">
        <w:t xml:space="preserve"> is similar and / or different to the CCCFR services?</w:t>
      </w:r>
    </w:p>
    <w:p w14:paraId="42DFFA43" w14:textId="77777777" w:rsidR="006E0AC3" w:rsidRPr="00E61DDD" w:rsidRDefault="006E0AC3" w:rsidP="001C655F">
      <w:pPr>
        <w:pStyle w:val="ListNumber"/>
        <w:numPr>
          <w:ilvl w:val="0"/>
          <w:numId w:val="0"/>
        </w:numPr>
      </w:pPr>
    </w:p>
    <w:p w14:paraId="3FE45528" w14:textId="2B9D6D83" w:rsidR="009C6095" w:rsidRPr="00757BA0" w:rsidRDefault="009C6095" w:rsidP="00757BA0">
      <w:pPr>
        <w:pStyle w:val="Appendixhead3"/>
      </w:pPr>
      <w:r w:rsidRPr="00E61DDD">
        <w:t>Administration, governance</w:t>
      </w:r>
      <w:r>
        <w:t>,</w:t>
      </w:r>
      <w:r w:rsidRPr="00E61DDD">
        <w:t xml:space="preserve"> and compliance</w:t>
      </w:r>
    </w:p>
    <w:p w14:paraId="6250C29C" w14:textId="0AD70218" w:rsidR="009C6095" w:rsidRPr="00757BA0" w:rsidRDefault="009C6095" w:rsidP="00416EA8">
      <w:pPr>
        <w:pStyle w:val="ListNumber"/>
        <w:numPr>
          <w:ilvl w:val="0"/>
          <w:numId w:val="72"/>
        </w:numPr>
      </w:pPr>
      <w:r w:rsidRPr="00E61DDD">
        <w:t xml:space="preserve">What is </w:t>
      </w:r>
      <w:r w:rsidRPr="00757BA0">
        <w:t xml:space="preserve">your understanding of the role description for the CCCFR </w:t>
      </w:r>
      <w:r w:rsidR="00566357">
        <w:t>P</w:t>
      </w:r>
      <w:r w:rsidRPr="00757BA0">
        <w:t xml:space="preserve">rogram </w:t>
      </w:r>
      <w:r w:rsidR="00566357">
        <w:t>O</w:t>
      </w:r>
      <w:r w:rsidRPr="00757BA0">
        <w:t>fficers?</w:t>
      </w:r>
    </w:p>
    <w:p w14:paraId="166C0028" w14:textId="3CC07527" w:rsidR="006E0AC3" w:rsidRPr="00E61DDD" w:rsidRDefault="009C6095" w:rsidP="00416EA8">
      <w:pPr>
        <w:pStyle w:val="ListNumber"/>
        <w:numPr>
          <w:ilvl w:val="0"/>
          <w:numId w:val="72"/>
        </w:numPr>
      </w:pPr>
      <w:r w:rsidRPr="00757BA0">
        <w:t xml:space="preserve">How often do you engage with </w:t>
      </w:r>
      <w:r w:rsidR="00566357">
        <w:t>P</w:t>
      </w:r>
      <w:r w:rsidRPr="00757BA0">
        <w:t xml:space="preserve">rogram </w:t>
      </w:r>
      <w:r w:rsidR="00566357">
        <w:t>O</w:t>
      </w:r>
      <w:r w:rsidRPr="00757BA0">
        <w:t>fficers? What is the nature of each engagement? Please provide some</w:t>
      </w:r>
      <w:r w:rsidRPr="00E61DDD">
        <w:t xml:space="preserve"> examples.</w:t>
      </w:r>
    </w:p>
    <w:p w14:paraId="43476F97" w14:textId="77777777" w:rsidR="009C6095" w:rsidRDefault="009C6095" w:rsidP="00757BA0">
      <w:pPr>
        <w:pStyle w:val="Appendixhead3"/>
        <w:rPr>
          <w:b w:val="0"/>
          <w:bCs/>
          <w:color w:val="86BC25" w:themeColor="accent1"/>
          <w:szCs w:val="18"/>
        </w:rPr>
      </w:pPr>
      <w:r w:rsidRPr="00E61DDD">
        <w:t>Resourcing and financial sustainability</w:t>
      </w:r>
    </w:p>
    <w:p w14:paraId="6D318EE2" w14:textId="4AC7244B" w:rsidR="009C6095" w:rsidRPr="00757BA0" w:rsidRDefault="009C6095" w:rsidP="00416EA8">
      <w:pPr>
        <w:pStyle w:val="ListNumber"/>
        <w:numPr>
          <w:ilvl w:val="0"/>
          <w:numId w:val="73"/>
        </w:numPr>
      </w:pPr>
      <w:r w:rsidRPr="00E61DDD">
        <w:t xml:space="preserve">Can you </w:t>
      </w:r>
      <w:r w:rsidRPr="00757BA0">
        <w:t>please shed further light on the way in which current grant allocations have been determined?</w:t>
      </w:r>
    </w:p>
    <w:p w14:paraId="30D2288A" w14:textId="7BAC4C82" w:rsidR="009C6095" w:rsidRPr="00757BA0" w:rsidRDefault="009C6095" w:rsidP="00416EA8">
      <w:pPr>
        <w:pStyle w:val="ListNumber"/>
        <w:numPr>
          <w:ilvl w:val="0"/>
          <w:numId w:val="73"/>
        </w:numPr>
      </w:pPr>
      <w:r w:rsidRPr="00757BA0">
        <w:t>To what extent does the Department believe the current grant has provided an effective mechanism to support the achievement of the overarching objectives?</w:t>
      </w:r>
    </w:p>
    <w:p w14:paraId="430DCAFC" w14:textId="03A876DF" w:rsidR="009C6095" w:rsidRPr="00757BA0" w:rsidRDefault="009C6095" w:rsidP="00416EA8">
      <w:pPr>
        <w:pStyle w:val="ListNumber"/>
        <w:numPr>
          <w:ilvl w:val="0"/>
          <w:numId w:val="73"/>
        </w:numPr>
      </w:pPr>
      <w:r w:rsidRPr="00757BA0">
        <w:t>Do you have any views regarding the merits of alternative funding approaches? Have any been considered previously?</w:t>
      </w:r>
    </w:p>
    <w:p w14:paraId="033104DC" w14:textId="77777777" w:rsidR="009C6095" w:rsidRPr="00E61DDD" w:rsidRDefault="009C6095" w:rsidP="00416EA8">
      <w:pPr>
        <w:pStyle w:val="ListNumber"/>
        <w:numPr>
          <w:ilvl w:val="0"/>
          <w:numId w:val="73"/>
        </w:numPr>
      </w:pPr>
      <w:r w:rsidRPr="00757BA0">
        <w:t>Do you have</w:t>
      </w:r>
      <w:r w:rsidRPr="00E61DDD">
        <w:t xml:space="preserve"> any other suggestions on how to improve the funding design of the CCCFR grant?</w:t>
      </w:r>
    </w:p>
    <w:p w14:paraId="3F4529E5" w14:textId="77777777" w:rsidR="009C6095" w:rsidRPr="00E47C17" w:rsidRDefault="009C6095" w:rsidP="006E0AC3">
      <w:pPr>
        <w:pStyle w:val="Appendixhead2"/>
        <w:spacing w:after="120"/>
        <w:rPr>
          <w:b w:val="0"/>
          <w:bCs/>
        </w:rPr>
      </w:pPr>
      <w:r>
        <w:t xml:space="preserve">Broader </w:t>
      </w:r>
      <w:r w:rsidRPr="00E47C17">
        <w:t>stakeholders</w:t>
      </w:r>
    </w:p>
    <w:p w14:paraId="5B6506D0" w14:textId="77777777" w:rsidR="009C6095" w:rsidRPr="00E61DDD" w:rsidRDefault="009C6095" w:rsidP="00757BA0">
      <w:pPr>
        <w:pStyle w:val="Appendixhead3"/>
        <w:rPr>
          <w:rFonts w:asciiTheme="minorHAnsi" w:hAnsiTheme="minorHAnsi"/>
          <w:b w:val="0"/>
          <w:color w:val="86BC25"/>
        </w:rPr>
      </w:pPr>
      <w:r w:rsidRPr="00E61DDD">
        <w:t>Background</w:t>
      </w:r>
    </w:p>
    <w:p w14:paraId="4DC3447C" w14:textId="77777777" w:rsidR="009C6095" w:rsidRPr="007F65CB" w:rsidRDefault="009C6095" w:rsidP="00416EA8">
      <w:pPr>
        <w:pStyle w:val="ListParagraph"/>
        <w:numPr>
          <w:ilvl w:val="0"/>
          <w:numId w:val="75"/>
        </w:numPr>
        <w:spacing w:before="60" w:after="60" w:line="240" w:lineRule="auto"/>
        <w:rPr>
          <w:rFonts w:asciiTheme="minorHAnsi" w:eastAsia="Calibri" w:hAnsiTheme="minorHAnsi" w:cs="Calibri"/>
          <w:lang w:eastAsia="en-AU"/>
        </w:rPr>
      </w:pPr>
      <w:r w:rsidRPr="007F65CB">
        <w:rPr>
          <w:rFonts w:asciiTheme="minorHAnsi" w:eastAsia="Calibri" w:hAnsiTheme="minorHAnsi" w:cs="Calibri"/>
          <w:lang w:eastAsia="en-AU"/>
        </w:rPr>
        <w:t>What does your organisation do and how does it relate to early childhood education and care (ECEC)?</w:t>
      </w:r>
    </w:p>
    <w:p w14:paraId="57272A9A" w14:textId="77777777" w:rsidR="009C6095" w:rsidRPr="007F65CB" w:rsidRDefault="009C6095" w:rsidP="00416EA8">
      <w:pPr>
        <w:pStyle w:val="ListParagraph"/>
        <w:numPr>
          <w:ilvl w:val="0"/>
          <w:numId w:val="75"/>
        </w:numPr>
        <w:spacing w:before="60" w:after="60" w:line="240" w:lineRule="auto"/>
        <w:rPr>
          <w:rFonts w:asciiTheme="minorHAnsi" w:eastAsia="Calibri" w:hAnsiTheme="minorHAnsi" w:cs="Calibri"/>
          <w:lang w:eastAsia="en-AU"/>
        </w:rPr>
      </w:pPr>
      <w:r w:rsidRPr="007F65CB">
        <w:rPr>
          <w:rFonts w:asciiTheme="minorHAnsi" w:eastAsia="Calibri" w:hAnsiTheme="minorHAnsi" w:cs="Calibri"/>
          <w:lang w:eastAsia="en-AU"/>
        </w:rPr>
        <w:t>What is your role in the organisation?</w:t>
      </w:r>
    </w:p>
    <w:p w14:paraId="149A42D2" w14:textId="77777777" w:rsidR="009C6095" w:rsidRPr="007F65CB" w:rsidRDefault="009C6095" w:rsidP="00416EA8">
      <w:pPr>
        <w:pStyle w:val="ListParagraph"/>
        <w:numPr>
          <w:ilvl w:val="0"/>
          <w:numId w:val="75"/>
        </w:numPr>
        <w:spacing w:before="60" w:after="240" w:line="240" w:lineRule="auto"/>
        <w:rPr>
          <w:rFonts w:asciiTheme="minorHAnsi" w:eastAsia="Calibri" w:hAnsiTheme="minorHAnsi" w:cs="Calibri"/>
          <w:lang w:eastAsia="en-AU"/>
        </w:rPr>
      </w:pPr>
      <w:r w:rsidRPr="007F65CB">
        <w:rPr>
          <w:rFonts w:asciiTheme="minorHAnsi" w:eastAsia="Calibri" w:hAnsiTheme="minorHAnsi" w:cs="Calibri"/>
          <w:lang w:eastAsia="en-AU"/>
        </w:rPr>
        <w:t>How familiar are you with the CCCFR grant?</w:t>
      </w:r>
    </w:p>
    <w:p w14:paraId="7D0222D7" w14:textId="77777777" w:rsidR="009C6095" w:rsidRPr="00E61DDD" w:rsidRDefault="009C6095" w:rsidP="00757BA0">
      <w:pPr>
        <w:pStyle w:val="Appendixhead3"/>
        <w:rPr>
          <w:rFonts w:asciiTheme="minorHAnsi" w:hAnsiTheme="minorHAnsi" w:cs="Calibri"/>
          <w:b w:val="0"/>
          <w:color w:val="86BC25"/>
        </w:rPr>
      </w:pPr>
      <w:r w:rsidRPr="00E61DDD">
        <w:t>Objectives and intent</w:t>
      </w:r>
    </w:p>
    <w:p w14:paraId="55FF86EB" w14:textId="77777777" w:rsidR="009C6095" w:rsidRPr="00E61DDD" w:rsidRDefault="009C6095" w:rsidP="009C6095">
      <w:pPr>
        <w:spacing w:after="40" w:line="240" w:lineRule="auto"/>
        <w:rPr>
          <w:rFonts w:asciiTheme="minorHAnsi" w:eastAsia="Calibri" w:hAnsiTheme="minorHAnsi" w:cs="Calibri"/>
          <w:b/>
        </w:rPr>
      </w:pPr>
      <w:r w:rsidRPr="00E61DDD">
        <w:rPr>
          <w:rFonts w:asciiTheme="minorHAnsi" w:eastAsia="Calibri" w:hAnsiTheme="minorHAnsi" w:cs="Calibri"/>
          <w:b/>
        </w:rPr>
        <w:t>For all stakeholders, reflections around:</w:t>
      </w:r>
    </w:p>
    <w:p w14:paraId="46E7C61A" w14:textId="77777777" w:rsidR="009C6095" w:rsidRPr="00E61DDD" w:rsidRDefault="009C6095" w:rsidP="00757BA0">
      <w:pPr>
        <w:pStyle w:val="ListBullet"/>
        <w:rPr>
          <w:lang w:eastAsia="en-AU"/>
        </w:rPr>
      </w:pPr>
      <w:r w:rsidRPr="2B91AEFB">
        <w:rPr>
          <w:lang w:eastAsia="en-AU"/>
        </w:rPr>
        <w:t>Whether the CCCFR objectives meet the needs of families and communities.</w:t>
      </w:r>
    </w:p>
    <w:p w14:paraId="44A7C064" w14:textId="77777777" w:rsidR="009C6095" w:rsidRPr="00E61DDD" w:rsidRDefault="009C6095" w:rsidP="00757BA0">
      <w:pPr>
        <w:pStyle w:val="ListBullet"/>
        <w:rPr>
          <w:lang w:eastAsia="en-AU"/>
        </w:rPr>
      </w:pPr>
      <w:r w:rsidRPr="2B91AEFB">
        <w:rPr>
          <w:lang w:eastAsia="en-AU"/>
        </w:rPr>
        <w:t>what is working well in achieving these objectives.</w:t>
      </w:r>
    </w:p>
    <w:p w14:paraId="728C9A36" w14:textId="77777777" w:rsidR="009C6095" w:rsidRPr="00E61DDD" w:rsidRDefault="009C6095" w:rsidP="00757BA0">
      <w:pPr>
        <w:pStyle w:val="ListBullet"/>
        <w:rPr>
          <w:lang w:eastAsia="en-AU"/>
        </w:rPr>
      </w:pPr>
      <w:r w:rsidRPr="2B91AEFB">
        <w:rPr>
          <w:lang w:eastAsia="en-AU"/>
        </w:rPr>
        <w:t>how the CCCFR grant could better achieve these objectives.</w:t>
      </w:r>
    </w:p>
    <w:p w14:paraId="1704FA50" w14:textId="77777777" w:rsidR="009C6095" w:rsidRPr="00E61DDD" w:rsidRDefault="009C6095" w:rsidP="00757BA0">
      <w:pPr>
        <w:pStyle w:val="ListBullet"/>
        <w:rPr>
          <w:lang w:eastAsia="en-AU"/>
        </w:rPr>
      </w:pPr>
      <w:r w:rsidRPr="2B91AEFB">
        <w:rPr>
          <w:lang w:eastAsia="en-AU"/>
        </w:rPr>
        <w:t>the kinds of vulnerability and disadvantage the CCCFR grant should address.</w:t>
      </w:r>
    </w:p>
    <w:p w14:paraId="350389BB" w14:textId="77777777" w:rsidR="009C6095" w:rsidRPr="00E61DDD" w:rsidRDefault="009C6095" w:rsidP="00757BA0">
      <w:pPr>
        <w:pStyle w:val="Appendixhead3"/>
        <w:rPr>
          <w:rFonts w:eastAsia="Calibri"/>
          <w:lang w:eastAsia="en-AU"/>
        </w:rPr>
      </w:pPr>
      <w:r w:rsidRPr="00E61DDD">
        <w:t>Early childhood education and care in Australia</w:t>
      </w:r>
    </w:p>
    <w:p w14:paraId="63C7AD63" w14:textId="77777777" w:rsidR="009C6095" w:rsidRPr="00E61DDD" w:rsidRDefault="009C6095" w:rsidP="009C6095">
      <w:pPr>
        <w:spacing w:before="40" w:after="40" w:line="240" w:lineRule="auto"/>
        <w:rPr>
          <w:rFonts w:asciiTheme="minorHAnsi" w:eastAsia="Times New Roman" w:hAnsiTheme="minorHAnsi" w:cs="Calibri"/>
          <w:b/>
          <w:color w:val="86BC25"/>
        </w:rPr>
      </w:pPr>
      <w:r w:rsidRPr="00E61DDD">
        <w:rPr>
          <w:rFonts w:asciiTheme="minorHAnsi" w:eastAsia="Calibri" w:hAnsiTheme="minorHAnsi" w:cs="Calibri"/>
          <w:b/>
        </w:rPr>
        <w:t>For all stakeholders, reflections around:</w:t>
      </w:r>
    </w:p>
    <w:p w14:paraId="7E53A2BA" w14:textId="77777777" w:rsidR="009C6095" w:rsidRPr="00E61DDD" w:rsidRDefault="009C6095" w:rsidP="00757BA0">
      <w:pPr>
        <w:pStyle w:val="ListBullet"/>
      </w:pPr>
      <w:r w:rsidRPr="2B91AEFB">
        <w:rPr>
          <w:lang w:eastAsia="en-AU"/>
        </w:rPr>
        <w:t>Current quality and access to ECEC in Australia</w:t>
      </w:r>
    </w:p>
    <w:p w14:paraId="6996ABC2" w14:textId="77777777" w:rsidR="009C6095" w:rsidRPr="00E61DDD" w:rsidRDefault="009C6095" w:rsidP="00757BA0">
      <w:pPr>
        <w:pStyle w:val="ListBullet"/>
      </w:pPr>
      <w:r w:rsidRPr="2B91AEFB">
        <w:rPr>
          <w:lang w:eastAsia="en-AU"/>
        </w:rPr>
        <w:t>Benefits of quality ECEC for children and families</w:t>
      </w:r>
    </w:p>
    <w:p w14:paraId="54482AC9" w14:textId="536B0250" w:rsidR="009C6095" w:rsidRPr="00E61DDD" w:rsidRDefault="009C6095" w:rsidP="00757BA0">
      <w:pPr>
        <w:pStyle w:val="ListBullet"/>
      </w:pPr>
      <w:r w:rsidRPr="2B91AEFB">
        <w:rPr>
          <w:lang w:eastAsia="en-AU"/>
        </w:rPr>
        <w:t xml:space="preserve">Benefits of ECEC for </w:t>
      </w:r>
      <w:r w:rsidR="00DF0831" w:rsidRPr="2B91AEFB">
        <w:rPr>
          <w:lang w:eastAsia="en-AU"/>
        </w:rPr>
        <w:t xml:space="preserve">Aboriginal and Torres Strait Islander </w:t>
      </w:r>
      <w:r w:rsidRPr="2B91AEFB">
        <w:rPr>
          <w:lang w:eastAsia="en-AU"/>
        </w:rPr>
        <w:t>children, families, and broader communities</w:t>
      </w:r>
    </w:p>
    <w:p w14:paraId="6F9E3DC7" w14:textId="77777777" w:rsidR="009C6095" w:rsidRPr="00E61DDD" w:rsidRDefault="009C6095" w:rsidP="00757BA0">
      <w:pPr>
        <w:pStyle w:val="ListBullet"/>
      </w:pPr>
      <w:r>
        <w:t>Cultural safety of ECEC services for Aboriginal and Torres Strait Islander children</w:t>
      </w:r>
    </w:p>
    <w:p w14:paraId="24B4F68D" w14:textId="77777777" w:rsidR="009C6095" w:rsidRPr="00E61DDD" w:rsidRDefault="009C6095" w:rsidP="00757BA0">
      <w:pPr>
        <w:pStyle w:val="ListBullet"/>
      </w:pPr>
      <w:r>
        <w:t>Accessibility and inclusion of early childhood education and care</w:t>
      </w:r>
    </w:p>
    <w:p w14:paraId="4D63516B" w14:textId="4B44AB31" w:rsidR="009C6095" w:rsidRPr="00E61DDD" w:rsidRDefault="009C6095" w:rsidP="00757BA0">
      <w:pPr>
        <w:pStyle w:val="ListBullet"/>
        <w:rPr>
          <w:i/>
        </w:rPr>
      </w:pPr>
      <w:r>
        <w:t xml:space="preserve">Programs or initiatives in place with a similar intent or focus to services receiving CCCFR grant funding – </w:t>
      </w:r>
      <w:r w:rsidRPr="2B91AEFB">
        <w:rPr>
          <w:i/>
          <w:iCs/>
        </w:rPr>
        <w:t xml:space="preserve">in particular, </w:t>
      </w:r>
      <w:r w:rsidR="00DF0831" w:rsidRPr="2B91AEFB">
        <w:rPr>
          <w:i/>
          <w:iCs/>
        </w:rPr>
        <w:t xml:space="preserve">Aboriginal and Torres Strait Islander </w:t>
      </w:r>
      <w:r w:rsidRPr="2B91AEFB">
        <w:rPr>
          <w:i/>
          <w:iCs/>
        </w:rPr>
        <w:t>managed- and delivered services, as well as early years services supporting vulnerable and disadvantaged families.</w:t>
      </w:r>
    </w:p>
    <w:p w14:paraId="763759AC" w14:textId="77777777" w:rsidR="009C6095" w:rsidRPr="00E61DDD" w:rsidRDefault="009C6095" w:rsidP="00757BA0">
      <w:pPr>
        <w:pStyle w:val="ListBullet"/>
      </w:pPr>
      <w:r>
        <w:t>What are key financial challenges being faced by ECEC services across Australia, and how might these costs be exacerbated in:</w:t>
      </w:r>
    </w:p>
    <w:p w14:paraId="44781997" w14:textId="77777777" w:rsidR="009C6095" w:rsidRPr="00E61DDD" w:rsidRDefault="009C6095" w:rsidP="00757BA0">
      <w:pPr>
        <w:pStyle w:val="ListBullet2"/>
      </w:pPr>
      <w:r w:rsidRPr="00E61DDD">
        <w:t>regional and remote communities</w:t>
      </w:r>
    </w:p>
    <w:p w14:paraId="4E7A844E" w14:textId="77777777" w:rsidR="009C6095" w:rsidRPr="00E61DDD" w:rsidRDefault="009C6095" w:rsidP="00757BA0">
      <w:pPr>
        <w:pStyle w:val="ListBullet2"/>
      </w:pPr>
      <w:r w:rsidRPr="00E61DDD">
        <w:t>services supporting children and families experiencing vulnerability and/or disadvantage.</w:t>
      </w:r>
    </w:p>
    <w:p w14:paraId="4D3284FE" w14:textId="77777777" w:rsidR="009C6095" w:rsidRPr="00E61DDD" w:rsidRDefault="009C6095" w:rsidP="00757BA0">
      <w:pPr>
        <w:pStyle w:val="Appendixhead3"/>
        <w:rPr>
          <w:rFonts w:asciiTheme="minorHAnsi" w:hAnsiTheme="minorHAnsi"/>
          <w:b w:val="0"/>
          <w:color w:val="86BC25"/>
        </w:rPr>
      </w:pPr>
      <w:r w:rsidRPr="00E61DDD">
        <w:t>Policy design and funding of the CCCFR grant</w:t>
      </w:r>
    </w:p>
    <w:p w14:paraId="2624EA41" w14:textId="77777777" w:rsidR="009C6095" w:rsidRPr="00E61DDD" w:rsidRDefault="009C6095" w:rsidP="009C6095">
      <w:pPr>
        <w:spacing w:before="40" w:after="40" w:line="240" w:lineRule="auto"/>
        <w:rPr>
          <w:rFonts w:asciiTheme="minorHAnsi" w:eastAsia="Calibri" w:hAnsiTheme="minorHAnsi" w:cs="Calibri"/>
          <w:b/>
        </w:rPr>
      </w:pPr>
      <w:r w:rsidRPr="00E61DDD">
        <w:rPr>
          <w:rFonts w:asciiTheme="minorHAnsi" w:eastAsia="Calibri" w:hAnsiTheme="minorHAnsi" w:cs="Calibri"/>
          <w:b/>
        </w:rPr>
        <w:t>For stakeholders with strong engagement/understanding of the CCCFR grant, reflections around:</w:t>
      </w:r>
    </w:p>
    <w:p w14:paraId="713B7B41" w14:textId="77777777" w:rsidR="009C6095" w:rsidRPr="00E61DDD" w:rsidRDefault="009C6095" w:rsidP="00757BA0">
      <w:pPr>
        <w:pStyle w:val="ListBullet"/>
        <w:rPr>
          <w:lang w:eastAsia="en-AU"/>
        </w:rPr>
      </w:pPr>
      <w:r w:rsidRPr="2B91AEFB">
        <w:rPr>
          <w:lang w:eastAsia="en-AU"/>
        </w:rPr>
        <w:lastRenderedPageBreak/>
        <w:t>the transition from previous grants to the CCCFR grant, including the appropriateness of the transition.</w:t>
      </w:r>
    </w:p>
    <w:p w14:paraId="11F45CEF" w14:textId="77777777" w:rsidR="009C6095" w:rsidRPr="00E61DDD" w:rsidRDefault="009C6095" w:rsidP="00757BA0">
      <w:pPr>
        <w:pStyle w:val="ListBullet"/>
        <w:rPr>
          <w:lang w:eastAsia="en-AU"/>
        </w:rPr>
      </w:pPr>
      <w:r w:rsidRPr="2B91AEFB">
        <w:rPr>
          <w:lang w:eastAsia="en-AU"/>
        </w:rPr>
        <w:t>the current grant design or grants process</w:t>
      </w:r>
    </w:p>
    <w:p w14:paraId="669DFB16" w14:textId="77777777" w:rsidR="009C6095" w:rsidRPr="00E61DDD" w:rsidRDefault="009C6095" w:rsidP="00757BA0">
      <w:pPr>
        <w:pStyle w:val="ListBullet"/>
        <w:rPr>
          <w:lang w:eastAsia="en-AU"/>
        </w:rPr>
      </w:pPr>
      <w:r w:rsidRPr="2B91AEFB">
        <w:rPr>
          <w:lang w:eastAsia="en-AU"/>
        </w:rPr>
        <w:t>alignment of current CCCFR funding approach to experiences or best practices in other related policy or grant settings (for example, grants for higher education research or grants for Indigenous health).</w:t>
      </w:r>
    </w:p>
    <w:p w14:paraId="55B67905" w14:textId="77777777" w:rsidR="009C6095" w:rsidRPr="00E61DDD" w:rsidRDefault="009C6095" w:rsidP="00757BA0">
      <w:pPr>
        <w:pStyle w:val="ListBullet"/>
        <w:rPr>
          <w:lang w:eastAsia="en-AU"/>
        </w:rPr>
      </w:pPr>
      <w:r w:rsidRPr="2B91AEFB">
        <w:rPr>
          <w:lang w:eastAsia="en-AU"/>
        </w:rPr>
        <w:t>current funding model design (e.g., appropriateness, eligibility and adequateness and scope of funding)</w:t>
      </w:r>
    </w:p>
    <w:p w14:paraId="544DA296" w14:textId="77777777" w:rsidR="009C6095" w:rsidRPr="00E61DDD" w:rsidRDefault="009C6095" w:rsidP="00757BA0">
      <w:pPr>
        <w:pStyle w:val="ListBullet"/>
        <w:rPr>
          <w:lang w:eastAsia="en-AU"/>
        </w:rPr>
      </w:pPr>
      <w:r w:rsidRPr="2B91AEFB">
        <w:rPr>
          <w:lang w:eastAsia="en-AU"/>
        </w:rPr>
        <w:t>alternative approaches to CCCFR funding.</w:t>
      </w:r>
    </w:p>
    <w:p w14:paraId="158D9DB3" w14:textId="77777777" w:rsidR="009C6095" w:rsidRPr="00E61DDD" w:rsidRDefault="009C6095" w:rsidP="00757BA0">
      <w:pPr>
        <w:pStyle w:val="Appendixhead3"/>
        <w:rPr>
          <w:rFonts w:eastAsia="Calibri"/>
          <w:lang w:eastAsia="en-AU"/>
        </w:rPr>
      </w:pPr>
      <w:r w:rsidRPr="00E61DDD">
        <w:t>Resourcing and financial sustainability of CCCFR services</w:t>
      </w:r>
    </w:p>
    <w:p w14:paraId="74E79AD0" w14:textId="77777777" w:rsidR="009C6095" w:rsidRPr="00E61DDD" w:rsidRDefault="009C6095" w:rsidP="009C6095">
      <w:pPr>
        <w:spacing w:before="40" w:after="40" w:line="240" w:lineRule="auto"/>
        <w:rPr>
          <w:rFonts w:asciiTheme="minorHAnsi" w:eastAsia="Calibri" w:hAnsiTheme="minorHAnsi" w:cs="Calibri"/>
          <w:b/>
        </w:rPr>
      </w:pPr>
      <w:r w:rsidRPr="00E61DDD">
        <w:rPr>
          <w:rFonts w:asciiTheme="minorHAnsi" w:eastAsia="Calibri" w:hAnsiTheme="minorHAnsi" w:cs="Calibri"/>
          <w:b/>
        </w:rPr>
        <w:t>For stakeholders with strong engagement with/understanding of the CCCFR grant, reflections around:</w:t>
      </w:r>
    </w:p>
    <w:p w14:paraId="742B2601" w14:textId="77777777" w:rsidR="009C6095" w:rsidRPr="007F65CB" w:rsidRDefault="009C6095" w:rsidP="00416EA8">
      <w:pPr>
        <w:pStyle w:val="ListParagraph"/>
        <w:numPr>
          <w:ilvl w:val="0"/>
          <w:numId w:val="74"/>
        </w:numPr>
        <w:spacing w:before="120" w:after="120" w:line="240" w:lineRule="auto"/>
        <w:rPr>
          <w:rFonts w:asciiTheme="minorHAnsi" w:eastAsia="Calibri" w:hAnsiTheme="minorHAnsi" w:cs="Calibri"/>
          <w:lang w:eastAsia="en-AU"/>
        </w:rPr>
      </w:pPr>
      <w:r w:rsidRPr="007F65CB">
        <w:rPr>
          <w:rFonts w:asciiTheme="minorHAnsi" w:eastAsia="Calibri" w:hAnsiTheme="minorHAnsi" w:cs="Calibri"/>
          <w:lang w:eastAsia="en-AU"/>
        </w:rPr>
        <w:t>the adequacy of current funding</w:t>
      </w:r>
    </w:p>
    <w:p w14:paraId="365DEBBA" w14:textId="77777777" w:rsidR="009C6095" w:rsidRPr="007F65CB" w:rsidRDefault="009C6095" w:rsidP="00416EA8">
      <w:pPr>
        <w:pStyle w:val="ListParagraph"/>
        <w:numPr>
          <w:ilvl w:val="0"/>
          <w:numId w:val="74"/>
        </w:numPr>
        <w:spacing w:before="120" w:after="120" w:line="240" w:lineRule="auto"/>
        <w:rPr>
          <w:rFonts w:asciiTheme="minorHAnsi" w:eastAsia="Calibri" w:hAnsiTheme="minorHAnsi" w:cs="Calibri"/>
          <w:lang w:eastAsia="en-AU"/>
        </w:rPr>
      </w:pPr>
      <w:r w:rsidRPr="007F65CB">
        <w:rPr>
          <w:rFonts w:asciiTheme="minorHAnsi" w:eastAsia="Calibri" w:hAnsiTheme="minorHAnsi" w:cs="Calibri"/>
          <w:lang w:eastAsia="en-AU"/>
        </w:rPr>
        <w:t>revision of current funding to improve the effectiveness and efficiency of the funded services.</w:t>
      </w:r>
    </w:p>
    <w:p w14:paraId="4C28FFAF" w14:textId="77777777" w:rsidR="009C6095" w:rsidRPr="00E61DDD" w:rsidRDefault="009C6095" w:rsidP="00757BA0">
      <w:pPr>
        <w:pStyle w:val="Appendixhead3"/>
        <w:rPr>
          <w:rFonts w:eastAsia="Calibri"/>
          <w:lang w:eastAsia="en-AU"/>
        </w:rPr>
      </w:pPr>
      <w:r w:rsidRPr="00E61DDD">
        <w:rPr>
          <w:rFonts w:eastAsia="Calibri"/>
          <w:lang w:eastAsia="en-AU"/>
        </w:rPr>
        <w:t>Administration, governance and co</w:t>
      </w:r>
      <w:r w:rsidRPr="00971F3E">
        <w:rPr>
          <w:rFonts w:asciiTheme="minorHAnsi" w:eastAsia="Calibri" w:hAnsiTheme="minorHAnsi" w:cs="Calibri"/>
          <w:lang w:eastAsia="en-AU"/>
        </w:rPr>
        <w:t>mpliance</w:t>
      </w:r>
    </w:p>
    <w:tbl>
      <w:tblPr>
        <w:tblStyle w:val="TableGrid"/>
        <w:tblW w:w="0" w:type="auto"/>
        <w:shd w:val="clear" w:color="auto" w:fill="F2F2F2"/>
        <w:tblLook w:val="04A0" w:firstRow="1" w:lastRow="0" w:firstColumn="1" w:lastColumn="0" w:noHBand="0" w:noVBand="1"/>
      </w:tblPr>
      <w:tblGrid>
        <w:gridCol w:w="9026"/>
      </w:tblGrid>
      <w:tr w:rsidR="009C6095" w:rsidRPr="009C5637" w14:paraId="15B0BC66" w14:textId="77777777">
        <w:trPr>
          <w:cnfStyle w:val="100000000000" w:firstRow="1" w:lastRow="0" w:firstColumn="0" w:lastColumn="0" w:oddVBand="0" w:evenVBand="0" w:oddHBand="0" w:evenHBand="0" w:firstRowFirstColumn="0" w:firstRowLastColumn="0" w:lastRowFirstColumn="0" w:lastRowLastColumn="0"/>
          <w:trHeight w:val="1021"/>
        </w:trPr>
        <w:tc>
          <w:tcPr>
            <w:tcW w:w="9026" w:type="dxa"/>
            <w:shd w:val="clear" w:color="auto" w:fill="F2F2F2"/>
          </w:tcPr>
          <w:p w14:paraId="5BE5B07E" w14:textId="77777777" w:rsidR="009C6095" w:rsidRPr="00E61DDD" w:rsidRDefault="009C6095">
            <w:pPr>
              <w:spacing w:before="40" w:after="40" w:line="240" w:lineRule="auto"/>
              <w:rPr>
                <w:rFonts w:asciiTheme="minorHAnsi" w:eastAsia="Calibri" w:hAnsiTheme="minorHAnsi" w:cs="Calibri"/>
                <w:b/>
                <w:i/>
                <w:lang w:val="en-GB" w:eastAsia="en-AU"/>
              </w:rPr>
            </w:pPr>
            <w:r w:rsidRPr="00E61DDD">
              <w:rPr>
                <w:rFonts w:asciiTheme="minorHAnsi" w:eastAsia="Calibri" w:hAnsiTheme="minorHAnsi" w:cs="Calibri"/>
                <w:b/>
                <w:i/>
                <w:lang w:val="en-GB" w:eastAsia="en-AU"/>
              </w:rPr>
              <w:t>Note:</w:t>
            </w:r>
            <w:r w:rsidRPr="00E61DDD">
              <w:rPr>
                <w:rFonts w:asciiTheme="minorHAnsi" w:eastAsia="Calibri" w:hAnsiTheme="minorHAnsi" w:cs="Calibri"/>
                <w:i/>
                <w:lang w:val="en-GB" w:eastAsia="en-AU"/>
              </w:rPr>
              <w:t xml:space="preserve"> Many CCCFR services are out-of-scope of the National Quality Framework (NQF) with oversight and compliance administered through state or territory Children’s Law or the Minister’s Rules (Section of the Family Assistance Law).</w:t>
            </w:r>
          </w:p>
        </w:tc>
      </w:tr>
    </w:tbl>
    <w:p w14:paraId="38385ABD" w14:textId="77777777" w:rsidR="009C6095" w:rsidRPr="00E61DDD" w:rsidRDefault="009C6095" w:rsidP="009C6095">
      <w:pPr>
        <w:spacing w:before="120" w:after="120" w:line="240" w:lineRule="auto"/>
        <w:rPr>
          <w:rFonts w:asciiTheme="minorHAnsi" w:eastAsia="Calibri" w:hAnsiTheme="minorHAnsi" w:cs="Calibri"/>
          <w:i/>
          <w:lang w:eastAsia="en-AU"/>
        </w:rPr>
      </w:pPr>
      <w:r w:rsidRPr="00E61DDD">
        <w:rPr>
          <w:rFonts w:asciiTheme="minorHAnsi" w:eastAsia="Calibri" w:hAnsiTheme="minorHAnsi" w:cs="Calibri"/>
          <w:b/>
        </w:rPr>
        <w:t>For stakeholders with strong engagement/understanding of the CCCFR grant:</w:t>
      </w:r>
    </w:p>
    <w:p w14:paraId="64FDDBA6" w14:textId="77777777" w:rsidR="009C6095" w:rsidRPr="007F65CB" w:rsidRDefault="009C6095" w:rsidP="00416EA8">
      <w:pPr>
        <w:pStyle w:val="ListParagraph"/>
        <w:numPr>
          <w:ilvl w:val="0"/>
          <w:numId w:val="76"/>
        </w:numPr>
        <w:spacing w:before="120" w:after="120" w:line="240" w:lineRule="auto"/>
        <w:rPr>
          <w:rFonts w:asciiTheme="minorHAnsi" w:eastAsia="Calibri" w:hAnsiTheme="minorHAnsi" w:cs="Calibri"/>
          <w:lang w:eastAsia="en-AU"/>
        </w:rPr>
      </w:pPr>
      <w:r w:rsidRPr="007F65CB">
        <w:rPr>
          <w:rFonts w:asciiTheme="minorHAnsi" w:eastAsia="Calibri" w:hAnsiTheme="minorHAnsi" w:cs="Calibri"/>
          <w:lang w:eastAsia="en-AU"/>
        </w:rPr>
        <w:t>How are supports, guidance and resources around compliance and broader service capacity/capability are provided to grant recipients?</w:t>
      </w:r>
    </w:p>
    <w:p w14:paraId="79E06B15" w14:textId="77777777" w:rsidR="009C6095" w:rsidRPr="007F65CB" w:rsidRDefault="009C6095" w:rsidP="00416EA8">
      <w:pPr>
        <w:pStyle w:val="ListParagraph"/>
        <w:numPr>
          <w:ilvl w:val="0"/>
          <w:numId w:val="76"/>
        </w:numPr>
        <w:spacing w:before="120" w:after="120" w:line="240" w:lineRule="auto"/>
        <w:rPr>
          <w:rFonts w:asciiTheme="minorHAnsi" w:eastAsia="Calibri" w:hAnsiTheme="minorHAnsi" w:cs="Calibri"/>
          <w:lang w:eastAsia="en-AU"/>
        </w:rPr>
      </w:pPr>
      <w:r w:rsidRPr="007F65CB">
        <w:rPr>
          <w:rFonts w:asciiTheme="minorHAnsi" w:eastAsia="Calibri" w:hAnsiTheme="minorHAnsi" w:cs="Calibri"/>
          <w:lang w:eastAsia="en-AU"/>
        </w:rPr>
        <w:t>What are current barriers faced by CCCFR-funded services in relation to compliance with:</w:t>
      </w:r>
    </w:p>
    <w:p w14:paraId="31790788" w14:textId="77777777" w:rsidR="009C6095" w:rsidRPr="007F65CB" w:rsidRDefault="009C6095" w:rsidP="00416EA8">
      <w:pPr>
        <w:pStyle w:val="ListParagraph"/>
        <w:numPr>
          <w:ilvl w:val="2"/>
          <w:numId w:val="76"/>
        </w:numPr>
        <w:spacing w:before="120" w:after="120" w:line="240" w:lineRule="auto"/>
        <w:rPr>
          <w:rFonts w:asciiTheme="minorHAnsi" w:eastAsia="Calibri" w:hAnsiTheme="minorHAnsi" w:cs="Calibri"/>
          <w:lang w:eastAsia="en-AU"/>
        </w:rPr>
      </w:pPr>
      <w:r w:rsidRPr="007F65CB">
        <w:rPr>
          <w:rFonts w:asciiTheme="minorHAnsi" w:eastAsia="Calibri" w:hAnsiTheme="minorHAnsi" w:cs="Calibri"/>
          <w:lang w:eastAsia="en-AU"/>
        </w:rPr>
        <w:t>The National Quality Framework (NQF)</w:t>
      </w:r>
    </w:p>
    <w:p w14:paraId="0B22AC79" w14:textId="77777777" w:rsidR="009C6095" w:rsidRPr="007F65CB" w:rsidRDefault="009C6095" w:rsidP="00416EA8">
      <w:pPr>
        <w:pStyle w:val="ListParagraph"/>
        <w:numPr>
          <w:ilvl w:val="2"/>
          <w:numId w:val="76"/>
        </w:numPr>
        <w:spacing w:before="120" w:after="120" w:line="240" w:lineRule="auto"/>
        <w:rPr>
          <w:rFonts w:asciiTheme="minorHAnsi" w:eastAsia="Calibri" w:hAnsiTheme="minorHAnsi" w:cs="Calibri"/>
          <w:lang w:eastAsia="en-AU"/>
        </w:rPr>
      </w:pPr>
      <w:r w:rsidRPr="007F65CB">
        <w:rPr>
          <w:rFonts w:asciiTheme="minorHAnsi" w:eastAsia="Calibri" w:hAnsiTheme="minorHAnsi" w:cs="Calibri"/>
          <w:lang w:eastAsia="en-AU"/>
        </w:rPr>
        <w:t>Administering the Child Care Subsidy under the Family Assistance Law (FAL).</w:t>
      </w:r>
    </w:p>
    <w:p w14:paraId="4C3F5D0C" w14:textId="77777777" w:rsidR="009C6095" w:rsidRPr="00E61DDD" w:rsidRDefault="009C6095" w:rsidP="009C6095">
      <w:pPr>
        <w:spacing w:before="40" w:after="40" w:line="240" w:lineRule="auto"/>
        <w:rPr>
          <w:rFonts w:asciiTheme="minorHAnsi" w:eastAsia="Calibri" w:hAnsiTheme="minorHAnsi" w:cs="Calibri"/>
          <w:b/>
          <w:lang w:eastAsia="en-AU"/>
        </w:rPr>
      </w:pPr>
      <w:r w:rsidRPr="00E61DDD">
        <w:rPr>
          <w:rFonts w:asciiTheme="minorHAnsi" w:eastAsia="Calibri" w:hAnsiTheme="minorHAnsi" w:cs="Calibri"/>
          <w:lang w:eastAsia="en-AU"/>
        </w:rPr>
        <w:br/>
      </w:r>
      <w:r w:rsidRPr="00E61DDD">
        <w:rPr>
          <w:rFonts w:asciiTheme="minorHAnsi" w:eastAsia="Calibri" w:hAnsiTheme="minorHAnsi" w:cs="Calibri"/>
          <w:b/>
          <w:lang w:eastAsia="en-AU"/>
        </w:rPr>
        <w:t>Broadly across the Australian ECEC sector:</w:t>
      </w:r>
    </w:p>
    <w:p w14:paraId="35E16CF4" w14:textId="77777777" w:rsidR="009C6095" w:rsidRPr="00E61DDD" w:rsidRDefault="009C6095" w:rsidP="00416EA8">
      <w:pPr>
        <w:numPr>
          <w:ilvl w:val="0"/>
          <w:numId w:val="77"/>
        </w:numPr>
        <w:spacing w:before="120" w:after="120" w:line="240" w:lineRule="auto"/>
        <w:rPr>
          <w:rFonts w:asciiTheme="minorHAnsi" w:eastAsia="Calibri" w:hAnsiTheme="minorHAnsi" w:cs="Calibri"/>
          <w:lang w:eastAsia="en-AU"/>
        </w:rPr>
      </w:pPr>
      <w:r w:rsidRPr="00E61DDD">
        <w:rPr>
          <w:rFonts w:asciiTheme="minorHAnsi" w:eastAsia="Calibri" w:hAnsiTheme="minorHAnsi" w:cs="Calibri"/>
          <w:lang w:eastAsia="en-AU"/>
        </w:rPr>
        <w:t>What are the key regulatory barriers faced by ECEC services?</w:t>
      </w:r>
    </w:p>
    <w:p w14:paraId="241D8D15" w14:textId="24685630" w:rsidR="009C6095" w:rsidRPr="00E61DDD" w:rsidRDefault="009C6095" w:rsidP="00416EA8">
      <w:pPr>
        <w:numPr>
          <w:ilvl w:val="0"/>
          <w:numId w:val="77"/>
        </w:numPr>
        <w:spacing w:before="120" w:after="120" w:line="240" w:lineRule="auto"/>
        <w:rPr>
          <w:rFonts w:asciiTheme="minorHAnsi" w:eastAsia="Calibri" w:hAnsiTheme="minorHAnsi" w:cs="Calibri"/>
          <w:lang w:eastAsia="en-AU"/>
        </w:rPr>
      </w:pPr>
      <w:r w:rsidRPr="00E61DDD">
        <w:rPr>
          <w:rFonts w:asciiTheme="minorHAnsi" w:eastAsia="Calibri" w:hAnsiTheme="minorHAnsi" w:cs="Calibri"/>
          <w:lang w:eastAsia="en-AU"/>
        </w:rPr>
        <w:t xml:space="preserve">What are current barriers for </w:t>
      </w:r>
      <w:r w:rsidR="00DF0831" w:rsidRPr="00DF0831">
        <w:rPr>
          <w:rFonts w:asciiTheme="minorHAnsi" w:eastAsia="Calibri" w:hAnsiTheme="minorHAnsi" w:cs="Calibri"/>
          <w:lang w:eastAsia="en-AU"/>
        </w:rPr>
        <w:t>Aboriginal and Torres Strait Islander</w:t>
      </w:r>
      <w:r w:rsidRPr="00E61DDD">
        <w:rPr>
          <w:rFonts w:asciiTheme="minorHAnsi" w:eastAsia="Calibri" w:hAnsiTheme="minorHAnsi" w:cs="Calibri"/>
          <w:lang w:eastAsia="en-AU"/>
        </w:rPr>
        <w:t>-managed ECEC services in relation to compliance with the NQF and the FAL?</w:t>
      </w:r>
    </w:p>
    <w:p w14:paraId="1CBA1A33" w14:textId="77777777" w:rsidR="009C6095" w:rsidRPr="00E61DDD" w:rsidRDefault="009C6095" w:rsidP="00416EA8">
      <w:pPr>
        <w:numPr>
          <w:ilvl w:val="0"/>
          <w:numId w:val="77"/>
        </w:numPr>
        <w:spacing w:before="120" w:after="120" w:line="240" w:lineRule="auto"/>
        <w:rPr>
          <w:rFonts w:asciiTheme="minorHAnsi" w:eastAsia="Calibri" w:hAnsiTheme="minorHAnsi" w:cs="Calibri"/>
          <w:lang w:eastAsia="en-AU"/>
        </w:rPr>
      </w:pPr>
      <w:r w:rsidRPr="00E61DDD">
        <w:rPr>
          <w:rFonts w:asciiTheme="minorHAnsi" w:eastAsia="Calibri" w:hAnsiTheme="minorHAnsi" w:cs="Calibri"/>
          <w:lang w:eastAsia="en-AU"/>
        </w:rPr>
        <w:t>What would be required to ensure that CCCFR services are able to comply with requirements under the National Quality Framework (NQF) in an equitable manner?</w:t>
      </w:r>
    </w:p>
    <w:p w14:paraId="2A8BD984" w14:textId="77777777" w:rsidR="009C6095" w:rsidRPr="00E61DDD" w:rsidRDefault="009C6095" w:rsidP="00416EA8">
      <w:pPr>
        <w:numPr>
          <w:ilvl w:val="0"/>
          <w:numId w:val="77"/>
        </w:numPr>
        <w:spacing w:before="120" w:after="120" w:line="240" w:lineRule="auto"/>
        <w:rPr>
          <w:rFonts w:asciiTheme="minorHAnsi" w:eastAsia="Calibri" w:hAnsiTheme="minorHAnsi" w:cs="Calibri"/>
          <w:lang w:eastAsia="en-AU"/>
        </w:rPr>
      </w:pPr>
      <w:r w:rsidRPr="00E61DDD">
        <w:rPr>
          <w:rFonts w:asciiTheme="minorHAnsi" w:eastAsia="Calibri" w:hAnsiTheme="minorHAnsi" w:cs="Calibri"/>
          <w:lang w:eastAsia="en-AU"/>
        </w:rPr>
        <w:t>Feedback around CCCFR (or out-of-scope) services which have transitioned to the NQF (or relevant state Children’s law), including the regulatory outcomes for those services.</w:t>
      </w:r>
    </w:p>
    <w:p w14:paraId="52245F44" w14:textId="3E5B3900" w:rsidR="009C6095" w:rsidRDefault="009C6095" w:rsidP="00416EA8">
      <w:pPr>
        <w:numPr>
          <w:ilvl w:val="0"/>
          <w:numId w:val="77"/>
        </w:numPr>
        <w:spacing w:before="120" w:after="120" w:line="240" w:lineRule="auto"/>
        <w:rPr>
          <w:rFonts w:asciiTheme="minorHAnsi" w:eastAsia="Calibri" w:hAnsiTheme="minorHAnsi" w:cs="Calibri"/>
          <w:lang w:eastAsia="en-AU"/>
        </w:rPr>
      </w:pPr>
      <w:r w:rsidRPr="00E61DDD">
        <w:rPr>
          <w:rFonts w:asciiTheme="minorHAnsi" w:eastAsia="Calibri" w:hAnsiTheme="minorHAnsi" w:cs="Calibri"/>
          <w:lang w:eastAsia="en-AU"/>
        </w:rPr>
        <w:t>Other considerations needed to ensure effective oversight and regulatory support to CCCFR and out-of-scope services.</w:t>
      </w:r>
    </w:p>
    <w:tbl>
      <w:tblPr>
        <w:tblStyle w:val="TableGrid"/>
        <w:tblW w:w="0" w:type="auto"/>
        <w:shd w:val="clear" w:color="auto" w:fill="E2EFD9"/>
        <w:tblLook w:val="04A0" w:firstRow="1" w:lastRow="0" w:firstColumn="1" w:lastColumn="0" w:noHBand="0" w:noVBand="1"/>
      </w:tblPr>
      <w:tblGrid>
        <w:gridCol w:w="9026"/>
      </w:tblGrid>
      <w:tr w:rsidR="00EA439B" w:rsidRPr="009C5637" w14:paraId="05F2382A" w14:textId="77777777">
        <w:trPr>
          <w:cnfStyle w:val="100000000000" w:firstRow="1" w:lastRow="0" w:firstColumn="0" w:lastColumn="0" w:oddVBand="0" w:evenVBand="0" w:oddHBand="0" w:evenHBand="0" w:firstRowFirstColumn="0" w:firstRowLastColumn="0" w:lastRowFirstColumn="0" w:lastRowLastColumn="0"/>
          <w:trHeight w:val="635"/>
        </w:trPr>
        <w:tc>
          <w:tcPr>
            <w:tcW w:w="9026" w:type="dxa"/>
            <w:shd w:val="clear" w:color="auto" w:fill="E2EFD9"/>
            <w:vAlign w:val="center"/>
          </w:tcPr>
          <w:p w14:paraId="2012A289" w14:textId="77777777" w:rsidR="00EA439B" w:rsidRPr="00E61DDD" w:rsidRDefault="00EA439B" w:rsidP="00171325">
            <w:pPr>
              <w:numPr>
                <w:ilvl w:val="0"/>
                <w:numId w:val="9"/>
              </w:numPr>
              <w:spacing w:before="120" w:after="120" w:line="240" w:lineRule="auto"/>
              <w:contextualSpacing/>
              <w:rPr>
                <w:rFonts w:asciiTheme="minorHAnsi" w:eastAsia="Calibri" w:hAnsiTheme="minorHAnsi" w:cs="Calibri"/>
                <w:lang w:val="en-GB" w:eastAsia="en-AU"/>
              </w:rPr>
            </w:pPr>
            <w:r w:rsidRPr="00E61DDD">
              <w:rPr>
                <w:rFonts w:asciiTheme="minorHAnsi" w:eastAsia="Calibri" w:hAnsiTheme="minorHAnsi" w:cs="Calibri"/>
                <w:lang w:val="en-GB" w:eastAsia="en-AU"/>
              </w:rPr>
              <w:t>Is there any additional feedback you would like to provide about the CCCFR grant?</w:t>
            </w:r>
          </w:p>
        </w:tc>
      </w:tr>
    </w:tbl>
    <w:p w14:paraId="10BA0650" w14:textId="77777777" w:rsidR="00EA439B" w:rsidRDefault="00EA439B" w:rsidP="00EA439B">
      <w:pPr>
        <w:spacing w:before="120" w:after="120" w:line="240" w:lineRule="auto"/>
        <w:rPr>
          <w:rFonts w:asciiTheme="minorHAnsi" w:eastAsia="Calibri" w:hAnsiTheme="minorHAnsi" w:cs="Calibri"/>
          <w:lang w:val="en-GB" w:eastAsia="en-AU"/>
        </w:rPr>
      </w:pPr>
    </w:p>
    <w:p w14:paraId="53AE1680" w14:textId="7A9C5398" w:rsidR="00FB1599" w:rsidRPr="00D93578" w:rsidRDefault="009E780C" w:rsidP="00EA439B">
      <w:pPr>
        <w:pStyle w:val="Appendixhead2"/>
      </w:pPr>
      <w:r>
        <w:rPr>
          <w:rFonts w:eastAsia="Calibri"/>
          <w:lang w:val="en-GB"/>
        </w:rPr>
        <w:t>List of broader</w:t>
      </w:r>
      <w:r w:rsidR="0077309C">
        <w:rPr>
          <w:rFonts w:eastAsia="Calibri"/>
          <w:lang w:val="en-GB"/>
        </w:rPr>
        <w:t xml:space="preserve"> stakeholders consulted for this review</w:t>
      </w:r>
    </w:p>
    <w:p w14:paraId="73A96B3D" w14:textId="5A3FE235" w:rsidR="00E914EC" w:rsidRDefault="00D93578" w:rsidP="00E914EC">
      <w:pPr>
        <w:rPr>
          <w:lang w:eastAsia="en-AU"/>
        </w:rPr>
      </w:pPr>
      <w:r>
        <w:rPr>
          <w:lang w:eastAsia="en-AU"/>
        </w:rPr>
        <w:br/>
      </w:r>
      <w:r w:rsidR="00E914EC">
        <w:rPr>
          <w:lang w:eastAsia="en-AU"/>
        </w:rPr>
        <w:t>A list of broader stakeholders consulted as part of this review has been included below. In some cases, multiple interviews may have been undertaken with the same stakeholder. For some states and territories, multiple stakeholders were interviewed (i.e. the respective education department and the regulatory authority were interviewed separately).</w:t>
      </w:r>
    </w:p>
    <w:p w14:paraId="72C53E44" w14:textId="43654B96" w:rsidR="00F718D5" w:rsidRPr="00E914EC" w:rsidRDefault="00F718D5" w:rsidP="007131B6">
      <w:pPr>
        <w:pStyle w:val="ListBullet"/>
        <w:rPr>
          <w:b/>
          <w:bCs/>
          <w:lang w:eastAsia="en-AU"/>
        </w:rPr>
      </w:pPr>
      <w:r w:rsidRPr="00E914EC">
        <w:rPr>
          <w:b/>
          <w:bCs/>
          <w:lang w:eastAsia="en-AU"/>
        </w:rPr>
        <w:t>Commonwealth Government agencies</w:t>
      </w:r>
    </w:p>
    <w:p w14:paraId="7A37F61C" w14:textId="09859E79" w:rsidR="00F718D5" w:rsidRDefault="00F718D5" w:rsidP="00422AA5">
      <w:pPr>
        <w:pStyle w:val="ListBullet2"/>
        <w:rPr>
          <w:lang w:eastAsia="en-AU"/>
        </w:rPr>
      </w:pPr>
      <w:r>
        <w:rPr>
          <w:lang w:eastAsia="en-AU"/>
        </w:rPr>
        <w:t>Australian Government Department of Education</w:t>
      </w:r>
    </w:p>
    <w:p w14:paraId="499CBB6E" w14:textId="55F00EE1" w:rsidR="00F718D5" w:rsidRDefault="00F718D5" w:rsidP="00422AA5">
      <w:pPr>
        <w:pStyle w:val="ListBullet2"/>
        <w:rPr>
          <w:lang w:eastAsia="en-AU"/>
        </w:rPr>
      </w:pPr>
      <w:r>
        <w:rPr>
          <w:lang w:eastAsia="en-AU"/>
        </w:rPr>
        <w:lastRenderedPageBreak/>
        <w:t>National Indigenous Australians Agency (NIAA)</w:t>
      </w:r>
    </w:p>
    <w:p w14:paraId="782EB2E3" w14:textId="6E17E8D5" w:rsidR="00F718D5" w:rsidRDefault="00F718D5" w:rsidP="00422AA5">
      <w:pPr>
        <w:pStyle w:val="ListBullet2"/>
        <w:rPr>
          <w:lang w:eastAsia="en-AU"/>
        </w:rPr>
      </w:pPr>
      <w:r>
        <w:rPr>
          <w:lang w:eastAsia="en-AU"/>
        </w:rPr>
        <w:t>Services Australia</w:t>
      </w:r>
    </w:p>
    <w:p w14:paraId="54976A8C" w14:textId="3D36CAFB" w:rsidR="00F718D5" w:rsidRDefault="00BD56A1" w:rsidP="00422AA5">
      <w:pPr>
        <w:pStyle w:val="ListBullet2"/>
        <w:rPr>
          <w:lang w:eastAsia="en-AU"/>
        </w:rPr>
      </w:pPr>
      <w:r>
        <w:rPr>
          <w:lang w:eastAsia="en-AU"/>
        </w:rPr>
        <w:t>Regional Education Commissioner</w:t>
      </w:r>
    </w:p>
    <w:p w14:paraId="244CB43B" w14:textId="26EB9622" w:rsidR="00BD56A1" w:rsidRDefault="007B7A7B" w:rsidP="00422AA5">
      <w:pPr>
        <w:pStyle w:val="ListBullet2"/>
        <w:rPr>
          <w:lang w:eastAsia="en-AU"/>
        </w:rPr>
      </w:pPr>
      <w:r w:rsidRPr="007B7A7B">
        <w:rPr>
          <w:lang w:eastAsia="en-AU"/>
        </w:rPr>
        <w:t>Australian Children's Education and Care Quality Authority</w:t>
      </w:r>
      <w:r>
        <w:rPr>
          <w:lang w:eastAsia="en-AU"/>
        </w:rPr>
        <w:t xml:space="preserve"> (ACECQA)</w:t>
      </w:r>
      <w:r w:rsidR="00E914EC">
        <w:rPr>
          <w:lang w:eastAsia="en-AU"/>
        </w:rPr>
        <w:br/>
      </w:r>
    </w:p>
    <w:p w14:paraId="27C32F50" w14:textId="1AB55542" w:rsidR="00EA439B" w:rsidRPr="00E914EC" w:rsidRDefault="00F718D5" w:rsidP="007131B6">
      <w:pPr>
        <w:pStyle w:val="ListBullet"/>
        <w:rPr>
          <w:b/>
          <w:bCs/>
          <w:lang w:eastAsia="en-AU"/>
        </w:rPr>
      </w:pPr>
      <w:r w:rsidRPr="00E914EC">
        <w:rPr>
          <w:b/>
          <w:bCs/>
          <w:lang w:eastAsia="en-AU"/>
        </w:rPr>
        <w:t>State and territory</w:t>
      </w:r>
      <w:r w:rsidR="00CD342F" w:rsidRPr="00E914EC">
        <w:rPr>
          <w:b/>
          <w:bCs/>
          <w:lang w:eastAsia="en-AU"/>
        </w:rPr>
        <w:t xml:space="preserve"> government agencies </w:t>
      </w:r>
      <w:r w:rsidRPr="00E914EC">
        <w:rPr>
          <w:b/>
          <w:bCs/>
          <w:lang w:eastAsia="en-AU"/>
        </w:rPr>
        <w:t xml:space="preserve">(incl. </w:t>
      </w:r>
      <w:r w:rsidR="00E914EC">
        <w:rPr>
          <w:b/>
          <w:bCs/>
          <w:lang w:eastAsia="en-AU"/>
        </w:rPr>
        <w:t xml:space="preserve">both education agencies </w:t>
      </w:r>
      <w:r w:rsidR="00422AA5">
        <w:rPr>
          <w:b/>
          <w:bCs/>
          <w:lang w:eastAsia="en-AU"/>
        </w:rPr>
        <w:t>and</w:t>
      </w:r>
      <w:r w:rsidR="00E914EC">
        <w:rPr>
          <w:b/>
          <w:bCs/>
          <w:lang w:eastAsia="en-AU"/>
        </w:rPr>
        <w:t xml:space="preserve"> </w:t>
      </w:r>
      <w:r w:rsidRPr="00E914EC">
        <w:rPr>
          <w:b/>
          <w:bCs/>
          <w:lang w:eastAsia="en-AU"/>
        </w:rPr>
        <w:t>regulatory authorities)</w:t>
      </w:r>
    </w:p>
    <w:p w14:paraId="4AE2AFA4" w14:textId="5BBF222B" w:rsidR="00F718D5" w:rsidRDefault="00817FD6" w:rsidP="00422AA5">
      <w:pPr>
        <w:pStyle w:val="ListBullet2"/>
        <w:rPr>
          <w:lang w:eastAsia="en-AU"/>
        </w:rPr>
      </w:pPr>
      <w:r>
        <w:rPr>
          <w:lang w:eastAsia="en-AU"/>
        </w:rPr>
        <w:t>New South Wales</w:t>
      </w:r>
    </w:p>
    <w:p w14:paraId="561FFB7B" w14:textId="2FF0EF0E" w:rsidR="00817FD6" w:rsidRDefault="00817FD6" w:rsidP="00422AA5">
      <w:pPr>
        <w:pStyle w:val="ListBullet2"/>
        <w:rPr>
          <w:lang w:eastAsia="en-AU"/>
        </w:rPr>
      </w:pPr>
      <w:r>
        <w:rPr>
          <w:lang w:eastAsia="en-AU"/>
        </w:rPr>
        <w:t>Victoria</w:t>
      </w:r>
    </w:p>
    <w:p w14:paraId="4DBE5B3F" w14:textId="3942F3F1" w:rsidR="00817FD6" w:rsidRDefault="00817FD6" w:rsidP="00422AA5">
      <w:pPr>
        <w:pStyle w:val="ListBullet2"/>
        <w:rPr>
          <w:lang w:eastAsia="en-AU"/>
        </w:rPr>
      </w:pPr>
      <w:r>
        <w:rPr>
          <w:lang w:eastAsia="en-AU"/>
        </w:rPr>
        <w:t>Queensland</w:t>
      </w:r>
    </w:p>
    <w:p w14:paraId="6D70D790" w14:textId="66035A4F" w:rsidR="00817FD6" w:rsidRDefault="00817FD6" w:rsidP="00422AA5">
      <w:pPr>
        <w:pStyle w:val="ListBullet2"/>
        <w:rPr>
          <w:lang w:eastAsia="en-AU"/>
        </w:rPr>
      </w:pPr>
      <w:r>
        <w:rPr>
          <w:lang w:eastAsia="en-AU"/>
        </w:rPr>
        <w:t>South Australia</w:t>
      </w:r>
    </w:p>
    <w:p w14:paraId="5A4F2020" w14:textId="38289E18" w:rsidR="00817FD6" w:rsidRDefault="00817FD6" w:rsidP="00422AA5">
      <w:pPr>
        <w:pStyle w:val="ListBullet2"/>
        <w:rPr>
          <w:lang w:eastAsia="en-AU"/>
        </w:rPr>
      </w:pPr>
      <w:r>
        <w:rPr>
          <w:lang w:eastAsia="en-AU"/>
        </w:rPr>
        <w:t>Tasmania</w:t>
      </w:r>
    </w:p>
    <w:p w14:paraId="5483E643" w14:textId="0B083AE5" w:rsidR="00817FD6" w:rsidRDefault="00817FD6" w:rsidP="00422AA5">
      <w:pPr>
        <w:pStyle w:val="ListBullet2"/>
        <w:rPr>
          <w:lang w:eastAsia="en-AU"/>
        </w:rPr>
      </w:pPr>
      <w:r>
        <w:rPr>
          <w:lang w:eastAsia="en-AU"/>
        </w:rPr>
        <w:t>Western Australia</w:t>
      </w:r>
      <w:r w:rsidR="00CD342F">
        <w:rPr>
          <w:lang w:eastAsia="en-AU"/>
        </w:rPr>
        <w:br/>
      </w:r>
    </w:p>
    <w:p w14:paraId="73709AFB" w14:textId="62480417" w:rsidR="00A83755" w:rsidRPr="00E914EC" w:rsidRDefault="00A83755" w:rsidP="00422AA5">
      <w:pPr>
        <w:pStyle w:val="ListBullet"/>
        <w:rPr>
          <w:b/>
          <w:bCs/>
          <w:lang w:eastAsia="en-AU"/>
        </w:rPr>
      </w:pPr>
      <w:r w:rsidRPr="00E914EC">
        <w:rPr>
          <w:b/>
          <w:bCs/>
          <w:lang w:eastAsia="en-AU"/>
        </w:rPr>
        <w:t>Peak bodies and sector organisations</w:t>
      </w:r>
    </w:p>
    <w:p w14:paraId="312AFD45" w14:textId="0C206AFD" w:rsidR="00A83755" w:rsidRDefault="00A83755" w:rsidP="00422AA5">
      <w:pPr>
        <w:pStyle w:val="ListBullet2"/>
        <w:rPr>
          <w:lang w:eastAsia="en-AU"/>
        </w:rPr>
      </w:pPr>
      <w:r>
        <w:rPr>
          <w:lang w:eastAsia="en-AU"/>
        </w:rPr>
        <w:t>Goodstart Early Learning</w:t>
      </w:r>
    </w:p>
    <w:p w14:paraId="097F21C3" w14:textId="0F6E30F7" w:rsidR="00A83755" w:rsidRDefault="00A83755" w:rsidP="00422AA5">
      <w:pPr>
        <w:pStyle w:val="ListBullet2"/>
        <w:rPr>
          <w:lang w:eastAsia="en-AU"/>
        </w:rPr>
      </w:pPr>
      <w:r>
        <w:rPr>
          <w:lang w:eastAsia="en-AU"/>
        </w:rPr>
        <w:t>TheirCare</w:t>
      </w:r>
    </w:p>
    <w:p w14:paraId="2610B91B" w14:textId="52AACC1D" w:rsidR="00A83755" w:rsidRDefault="00A83755" w:rsidP="00422AA5">
      <w:pPr>
        <w:pStyle w:val="ListBullet2"/>
        <w:rPr>
          <w:lang w:eastAsia="en-AU"/>
        </w:rPr>
      </w:pPr>
      <w:r>
        <w:rPr>
          <w:lang w:eastAsia="en-AU"/>
        </w:rPr>
        <w:t>Australian Literacy and Numeracy Foundation (ALNF)</w:t>
      </w:r>
    </w:p>
    <w:p w14:paraId="32B8E7D5" w14:textId="05221F3F" w:rsidR="00A83755" w:rsidRDefault="00A83755" w:rsidP="00422AA5">
      <w:pPr>
        <w:pStyle w:val="ListBullet2"/>
        <w:rPr>
          <w:lang w:eastAsia="en-AU"/>
        </w:rPr>
      </w:pPr>
      <w:r>
        <w:rPr>
          <w:lang w:eastAsia="en-AU"/>
        </w:rPr>
        <w:t>Isolated Children</w:t>
      </w:r>
      <w:r w:rsidR="006E39B9">
        <w:rPr>
          <w:lang w:eastAsia="en-AU"/>
        </w:rPr>
        <w:t xml:space="preserve">’s </w:t>
      </w:r>
      <w:r>
        <w:rPr>
          <w:lang w:eastAsia="en-AU"/>
        </w:rPr>
        <w:t>Parents</w:t>
      </w:r>
      <w:r w:rsidR="006E39B9">
        <w:rPr>
          <w:lang w:eastAsia="en-AU"/>
        </w:rPr>
        <w:t>’</w:t>
      </w:r>
      <w:r>
        <w:rPr>
          <w:lang w:eastAsia="en-AU"/>
        </w:rPr>
        <w:t xml:space="preserve"> Association (ICPA)</w:t>
      </w:r>
    </w:p>
    <w:p w14:paraId="55BDBB5C" w14:textId="0B9027DF" w:rsidR="00A83755" w:rsidRDefault="00A83755" w:rsidP="00422AA5">
      <w:pPr>
        <w:pStyle w:val="ListBullet2"/>
        <w:rPr>
          <w:lang w:eastAsia="en-AU"/>
        </w:rPr>
      </w:pPr>
      <w:r>
        <w:rPr>
          <w:lang w:eastAsia="en-AU"/>
        </w:rPr>
        <w:t>Reconciliation Australia</w:t>
      </w:r>
    </w:p>
    <w:p w14:paraId="057FD2E8" w14:textId="0529A49F" w:rsidR="00A83755" w:rsidRDefault="00A83755" w:rsidP="00422AA5">
      <w:pPr>
        <w:pStyle w:val="ListBullet2"/>
        <w:rPr>
          <w:lang w:eastAsia="en-AU"/>
        </w:rPr>
      </w:pPr>
      <w:r>
        <w:rPr>
          <w:lang w:eastAsia="en-AU"/>
        </w:rPr>
        <w:t>Thrive by Five</w:t>
      </w:r>
    </w:p>
    <w:p w14:paraId="09AA5F08" w14:textId="11EE0DD2" w:rsidR="008900CE" w:rsidRDefault="008900CE" w:rsidP="00422AA5">
      <w:pPr>
        <w:pStyle w:val="ListBullet2"/>
        <w:rPr>
          <w:lang w:eastAsia="en-AU"/>
        </w:rPr>
      </w:pPr>
      <w:r>
        <w:rPr>
          <w:lang w:eastAsia="en-AU"/>
        </w:rPr>
        <w:t>Community Early Learning Australia (CELA)</w:t>
      </w:r>
    </w:p>
    <w:p w14:paraId="09E8D352" w14:textId="64704157" w:rsidR="00A83755" w:rsidRDefault="008900CE" w:rsidP="00422AA5">
      <w:pPr>
        <w:pStyle w:val="ListBullet2"/>
        <w:rPr>
          <w:lang w:eastAsia="en-AU"/>
        </w:rPr>
      </w:pPr>
      <w:r>
        <w:rPr>
          <w:lang w:eastAsia="en-AU"/>
        </w:rPr>
        <w:t>Community</w:t>
      </w:r>
      <w:r w:rsidR="00A83755">
        <w:rPr>
          <w:lang w:eastAsia="en-AU"/>
        </w:rPr>
        <w:t xml:space="preserve"> Connections Solutions Australia (CCSA)</w:t>
      </w:r>
    </w:p>
    <w:p w14:paraId="1FC20241" w14:textId="07A2A903" w:rsidR="006E39B9" w:rsidRDefault="006E39B9" w:rsidP="00422AA5">
      <w:pPr>
        <w:pStyle w:val="ListBullet2"/>
        <w:rPr>
          <w:lang w:eastAsia="en-AU"/>
        </w:rPr>
      </w:pPr>
      <w:r w:rsidRPr="006A674E">
        <w:rPr>
          <w:lang w:eastAsia="en-AU"/>
        </w:rPr>
        <w:t>Early Learning &amp; Care Council of Australia</w:t>
      </w:r>
      <w:r>
        <w:rPr>
          <w:lang w:eastAsia="en-AU"/>
        </w:rPr>
        <w:t xml:space="preserve"> (ELACCA)</w:t>
      </w:r>
    </w:p>
    <w:p w14:paraId="107A0244" w14:textId="7BC78545" w:rsidR="00A83755" w:rsidRDefault="00A83755" w:rsidP="00422AA5">
      <w:pPr>
        <w:pStyle w:val="ListBullet2"/>
        <w:rPr>
          <w:lang w:eastAsia="en-AU"/>
        </w:rPr>
      </w:pPr>
      <w:r>
        <w:rPr>
          <w:lang w:eastAsia="en-AU"/>
        </w:rPr>
        <w:t>Family Day Care Australia</w:t>
      </w:r>
    </w:p>
    <w:p w14:paraId="223746AC" w14:textId="4C5CC9F1" w:rsidR="00A83755" w:rsidRDefault="00A83755" w:rsidP="00422AA5">
      <w:pPr>
        <w:pStyle w:val="ListBullet2"/>
        <w:rPr>
          <w:lang w:eastAsia="en-AU"/>
        </w:rPr>
      </w:pPr>
      <w:r>
        <w:rPr>
          <w:lang w:eastAsia="en-AU"/>
        </w:rPr>
        <w:t>Queensland Children’s Activities Network (QCAN)</w:t>
      </w:r>
    </w:p>
    <w:p w14:paraId="56F70463" w14:textId="2A9C051C" w:rsidR="006A674E" w:rsidRPr="00E61DDD" w:rsidRDefault="00560ABD" w:rsidP="00422AA5">
      <w:pPr>
        <w:pStyle w:val="ListBullet2"/>
        <w:rPr>
          <w:lang w:eastAsia="en-AU"/>
        </w:rPr>
      </w:pPr>
      <w:r>
        <w:rPr>
          <w:lang w:eastAsia="en-AU"/>
        </w:rPr>
        <w:t>Community member from Early Childhood Policy Partnership (ECPP)</w:t>
      </w:r>
    </w:p>
    <w:p w14:paraId="68F656C6" w14:textId="576D9159" w:rsidR="006D0DAA" w:rsidRPr="00B95821" w:rsidRDefault="00B95821" w:rsidP="00AB1114">
      <w:pPr>
        <w:pStyle w:val="Appendixhead1"/>
      </w:pPr>
      <w:bookmarkStart w:id="430" w:name="_Ref152875322"/>
      <w:bookmarkStart w:id="431" w:name="_Toc158993788"/>
      <w:bookmarkStart w:id="432" w:name="_Toc170227438"/>
      <w:r w:rsidRPr="00B95821">
        <w:lastRenderedPageBreak/>
        <w:t>Online survey of CCCFR services</w:t>
      </w:r>
      <w:bookmarkEnd w:id="430"/>
      <w:bookmarkEnd w:id="431"/>
      <w:bookmarkEnd w:id="432"/>
    </w:p>
    <w:p w14:paraId="4C325A7D" w14:textId="77777777" w:rsidR="00A50C17" w:rsidRDefault="00A50C17" w:rsidP="00054089">
      <w:pPr>
        <w:pStyle w:val="Appendixhead2"/>
        <w:rPr>
          <w:b w:val="0"/>
        </w:rPr>
      </w:pPr>
      <w:r>
        <w:t>Introduction</w:t>
      </w:r>
    </w:p>
    <w:p w14:paraId="42C63ABC" w14:textId="3A79F1F5" w:rsidR="00A50C17" w:rsidRDefault="00A50C17" w:rsidP="00054089">
      <w:pPr>
        <w:pStyle w:val="NoSpacing"/>
      </w:pPr>
      <w:r w:rsidRPr="00054089">
        <w:rPr>
          <w:rStyle w:val="Appendixhead3Char"/>
          <w:rFonts w:eastAsiaTheme="minorHAnsi"/>
        </w:rPr>
        <w:t>What is the project?</w:t>
      </w:r>
      <w:r>
        <w:br/>
      </w:r>
      <w:r>
        <w:br/>
        <w:t>The Australian Government Department of Education has asked Deloitte Access Economics, in partnership with SNAICC and Murawin, to review the CCCFR grant.</w:t>
      </w:r>
      <w:r w:rsidR="002E497C">
        <w:t xml:space="preserve"> </w:t>
      </w:r>
      <w:r>
        <w:br/>
      </w:r>
      <w:r>
        <w:rPr>
          <w:rFonts w:ascii="Arial" w:hAnsi="Arial" w:cs="Arial"/>
        </w:rPr>
        <w:t>​​​​​​​</w:t>
      </w:r>
      <w:r>
        <w:t>The purpose of the review is to understand:</w:t>
      </w:r>
    </w:p>
    <w:p w14:paraId="49C82985" w14:textId="77777777" w:rsidR="00A50C17" w:rsidRDefault="00A50C17" w:rsidP="00171325">
      <w:pPr>
        <w:pStyle w:val="ListParagraph"/>
        <w:keepNext/>
        <w:numPr>
          <w:ilvl w:val="0"/>
          <w:numId w:val="10"/>
        </w:numPr>
        <w:spacing w:after="0" w:line="276" w:lineRule="auto"/>
        <w:contextualSpacing w:val="0"/>
      </w:pPr>
      <w:r>
        <w:t>How effectively the CCCFR grant is meeting its current objectives and</w:t>
      </w:r>
    </w:p>
    <w:p w14:paraId="1EEDAA63" w14:textId="77777777" w:rsidR="00A50C17" w:rsidRDefault="00A50C17" w:rsidP="00171325">
      <w:pPr>
        <w:pStyle w:val="ListParagraph"/>
        <w:keepNext/>
        <w:numPr>
          <w:ilvl w:val="0"/>
          <w:numId w:val="10"/>
        </w:numPr>
        <w:spacing w:after="0" w:line="276" w:lineRule="auto"/>
        <w:contextualSpacing w:val="0"/>
      </w:pPr>
      <w:r>
        <w:t>How the CCCFR grant can be refined to maximise its potential.</w:t>
      </w:r>
    </w:p>
    <w:p w14:paraId="1EAE4DFE" w14:textId="77777777" w:rsidR="00A50C17" w:rsidRDefault="00A50C17" w:rsidP="00171325">
      <w:pPr>
        <w:pStyle w:val="ListParagraph"/>
        <w:keepNext/>
        <w:numPr>
          <w:ilvl w:val="0"/>
          <w:numId w:val="10"/>
        </w:numPr>
        <w:spacing w:after="0" w:line="276" w:lineRule="auto"/>
        <w:contextualSpacing w:val="0"/>
      </w:pPr>
      <w:r>
        <w:t>If the current funding model continues to be appropriate (and if a different funding model would be better)</w:t>
      </w:r>
      <w:r>
        <w:br/>
      </w:r>
    </w:p>
    <w:p w14:paraId="37EB4053" w14:textId="77777777" w:rsidR="00054089" w:rsidRDefault="00A50C17" w:rsidP="00A50C17">
      <w:pPr>
        <w:keepNext/>
        <w:rPr>
          <w:i/>
        </w:rPr>
      </w:pPr>
      <w:r>
        <w:t>The review is gathering evidence from many sources, including speaking to services, families and the government. The review will help to make sure child care and education funding works well for all families and help more children to benefit from access to child care.</w:t>
      </w:r>
      <w:r>
        <w:br/>
      </w:r>
      <w:r>
        <w:br/>
      </w:r>
      <w:r w:rsidRPr="00E44234">
        <w:rPr>
          <w:b/>
          <w:i/>
        </w:rPr>
        <w:t>Deloitte Access Economics</w:t>
      </w:r>
      <w:r w:rsidRPr="00E44234">
        <w:rPr>
          <w:i/>
        </w:rPr>
        <w:t xml:space="preserve"> is a national economics firm, with significant experience in undertaking policy reviews and evaluations in early childhood education and care.</w:t>
      </w:r>
      <w:r w:rsidRPr="00E44234">
        <w:rPr>
          <w:i/>
        </w:rPr>
        <w:br/>
      </w:r>
      <w:r w:rsidRPr="00E44234">
        <w:rPr>
          <w:b/>
          <w:i/>
        </w:rPr>
        <w:t>SNAICC – National Voice for our Children</w:t>
      </w:r>
      <w:r w:rsidRPr="00E44234">
        <w:rPr>
          <w:i/>
        </w:rPr>
        <w:t xml:space="preserve"> is Australia’s national non-government peak body for Aboriginal and Torres Strait Islander children.</w:t>
      </w:r>
      <w:r w:rsidRPr="00E44234">
        <w:rPr>
          <w:i/>
        </w:rPr>
        <w:br/>
      </w:r>
      <w:r w:rsidRPr="00E44234">
        <w:rPr>
          <w:b/>
          <w:i/>
        </w:rPr>
        <w:t>Murawin</w:t>
      </w:r>
      <w:r w:rsidRPr="00E44234">
        <w:rPr>
          <w:i/>
        </w:rPr>
        <w:t xml:space="preserve"> is a national, Indigenous-led consultancy.</w:t>
      </w:r>
    </w:p>
    <w:p w14:paraId="238F0A22" w14:textId="6DBF3401" w:rsidR="00054089" w:rsidRPr="00EA70EB" w:rsidRDefault="00A50C17" w:rsidP="00EA70EB">
      <w:pPr>
        <w:rPr>
          <w:b/>
        </w:rPr>
      </w:pPr>
      <w:r w:rsidRPr="00EA70EB">
        <w:rPr>
          <w:b/>
        </w:rPr>
        <w:t>How to take part in the review </w:t>
      </w:r>
    </w:p>
    <w:p w14:paraId="1FF2BB54" w14:textId="6E6F4543" w:rsidR="00A50C17" w:rsidRDefault="00A50C17" w:rsidP="00A50C17">
      <w:pPr>
        <w:keepNext/>
      </w:pPr>
      <w:r>
        <w:t>As part of this research, you are invited to complete this survey about your service's operations and experiences as a recipient of the grant. The aim is to gather information about operations, costs and activities, and the way these interact with the CCCFR grant and its objectives. This will supplement information available from existing sources. </w:t>
      </w:r>
    </w:p>
    <w:p w14:paraId="3E0945E1" w14:textId="77777777" w:rsidR="00A50C17" w:rsidRDefault="00A50C17" w:rsidP="00A50C17">
      <w:pPr>
        <w:keepNext/>
      </w:pPr>
      <w:r>
        <w:br/>
        <w:t>Participation is voluntary; however, services are strongly encouraged to take this opportunity to have your voices heard, and contribute to data that will help shape the future of the CCCFR grant. </w:t>
      </w:r>
    </w:p>
    <w:p w14:paraId="04CAA3B5" w14:textId="2E972AB3" w:rsidR="00A50C17" w:rsidRDefault="00A50C17" w:rsidP="00A50C17">
      <w:pPr>
        <w:keepNext/>
      </w:pPr>
      <w:r>
        <w:br/>
      </w:r>
      <w:r w:rsidRPr="00E44234">
        <w:rPr>
          <w:i/>
        </w:rPr>
        <w:t>If you have any questions about the survey or need support completing it, please email</w:t>
      </w:r>
      <w:r w:rsidR="002550AF">
        <w:rPr>
          <w:i/>
        </w:rPr>
        <w:t xml:space="preserve"> </w:t>
      </w:r>
      <w:r w:rsidR="00A219F5">
        <w:rPr>
          <w:i/>
        </w:rPr>
        <w:t>cccfr@deloitte.com.au</w:t>
      </w:r>
      <w:r w:rsidR="002550AF">
        <w:rPr>
          <w:i/>
        </w:rPr>
        <w:t>.</w:t>
      </w:r>
    </w:p>
    <w:p w14:paraId="6CF6F77F" w14:textId="77777777" w:rsidR="00A50C17" w:rsidRDefault="00A50C17" w:rsidP="00A50C17"/>
    <w:p w14:paraId="5981AB70" w14:textId="77777777" w:rsidR="00A50C17" w:rsidRDefault="00A50C17" w:rsidP="00A50C17"/>
    <w:p w14:paraId="5E9ABB88" w14:textId="234BD2B3" w:rsidR="00A50C17" w:rsidRPr="00E44234" w:rsidRDefault="00A50C17" w:rsidP="00A50C17">
      <w:pPr>
        <w:keepNext/>
        <w:rPr>
          <w:b/>
        </w:rPr>
      </w:pPr>
      <w:r w:rsidRPr="00E44234">
        <w:rPr>
          <w:b/>
        </w:rPr>
        <w:lastRenderedPageBreak/>
        <w:t>The survey format and your privacy</w:t>
      </w:r>
      <w:r w:rsidR="002E497C">
        <w:rPr>
          <w:b/>
          <w:bCs/>
        </w:rPr>
        <w:t xml:space="preserve"> </w:t>
      </w:r>
      <w:r w:rsidR="002E497C">
        <w:rPr>
          <w:b/>
        </w:rPr>
        <w:t xml:space="preserve"> </w:t>
      </w:r>
    </w:p>
    <w:p w14:paraId="7119340F" w14:textId="39E27DA2" w:rsidR="00A50C17" w:rsidRPr="00E44234" w:rsidRDefault="00A50C17" w:rsidP="00A50C17">
      <w:pPr>
        <w:keepNext/>
        <w:rPr>
          <w:b/>
        </w:rPr>
      </w:pPr>
      <w:r w:rsidRPr="00E44234">
        <w:rPr>
          <w:b/>
        </w:rPr>
        <w:t>The survey format</w:t>
      </w:r>
      <w:r w:rsidR="002E497C">
        <w:rPr>
          <w:b/>
          <w:bCs/>
        </w:rPr>
        <w:t xml:space="preserve"> </w:t>
      </w:r>
    </w:p>
    <w:p w14:paraId="6EEF139D" w14:textId="64E8EF56" w:rsidR="00A50C17" w:rsidRPr="00BF46C3" w:rsidRDefault="00A50C17" w:rsidP="00A50C17">
      <w:pPr>
        <w:keepNext/>
        <w:rPr>
          <w:rFonts w:asciiTheme="majorHAnsi" w:hAnsiTheme="majorHAnsi"/>
        </w:rPr>
      </w:pPr>
      <w:r>
        <w:t>T</w:t>
      </w:r>
      <w:r w:rsidRPr="00BF46C3">
        <w:rPr>
          <w:rFonts w:asciiTheme="majorHAnsi" w:hAnsiTheme="majorHAnsi"/>
        </w:rPr>
        <w:t>he survey has two sections. The first section asks about:</w:t>
      </w:r>
      <w:r w:rsidR="002E497C">
        <w:rPr>
          <w:rFonts w:asciiTheme="majorHAnsi" w:hAnsiTheme="majorHAnsi"/>
        </w:rPr>
        <w:t xml:space="preserve"> </w:t>
      </w:r>
      <w:r w:rsidRPr="00BF46C3">
        <w:rPr>
          <w:rFonts w:asciiTheme="majorHAnsi" w:hAnsiTheme="majorHAnsi"/>
        </w:rPr>
        <w:t xml:space="preserve"> </w:t>
      </w:r>
      <w:r w:rsidRPr="00BF46C3">
        <w:rPr>
          <w:rFonts w:asciiTheme="majorHAnsi" w:hAnsiTheme="majorHAnsi"/>
        </w:rPr>
        <w:tab/>
        <w:t xml:space="preserve"> </w:t>
      </w:r>
      <w:r w:rsidRPr="00BF46C3">
        <w:rPr>
          <w:rFonts w:asciiTheme="majorHAnsi" w:hAnsiTheme="majorHAnsi"/>
        </w:rPr>
        <w:tab/>
      </w:r>
    </w:p>
    <w:p w14:paraId="64D06B17" w14:textId="77777777" w:rsidR="00A50C17" w:rsidRPr="00BF46C3" w:rsidRDefault="00A50C17" w:rsidP="00171325">
      <w:pPr>
        <w:pStyle w:val="ListParagraph"/>
        <w:keepNext/>
        <w:numPr>
          <w:ilvl w:val="0"/>
          <w:numId w:val="11"/>
        </w:numPr>
        <w:spacing w:after="0" w:line="276" w:lineRule="auto"/>
        <w:contextualSpacing w:val="0"/>
        <w:rPr>
          <w:rFonts w:asciiTheme="majorHAnsi" w:hAnsiTheme="majorHAnsi"/>
        </w:rPr>
      </w:pPr>
      <w:r w:rsidRPr="00BF46C3">
        <w:rPr>
          <w:rFonts w:asciiTheme="majorHAnsi" w:hAnsiTheme="majorHAnsi"/>
        </w:rPr>
        <w:t xml:space="preserve">Your service's delivery and context </w:t>
      </w:r>
      <w:r w:rsidRPr="00BF46C3">
        <w:rPr>
          <w:rFonts w:asciiTheme="majorHAnsi" w:hAnsiTheme="majorHAnsi"/>
        </w:rPr>
        <w:tab/>
        <w:t xml:space="preserve"> </w:t>
      </w:r>
      <w:r w:rsidRPr="00BF46C3">
        <w:rPr>
          <w:rFonts w:asciiTheme="majorHAnsi" w:hAnsiTheme="majorHAnsi"/>
        </w:rPr>
        <w:tab/>
        <w:t xml:space="preserve"> </w:t>
      </w:r>
      <w:r w:rsidRPr="00BF46C3">
        <w:rPr>
          <w:rFonts w:asciiTheme="majorHAnsi" w:hAnsiTheme="majorHAnsi"/>
        </w:rPr>
        <w:tab/>
      </w:r>
    </w:p>
    <w:p w14:paraId="2AA93157" w14:textId="77777777" w:rsidR="00A50C17" w:rsidRPr="00BF46C3" w:rsidRDefault="00A50C17" w:rsidP="00171325">
      <w:pPr>
        <w:pStyle w:val="ListParagraph"/>
        <w:keepNext/>
        <w:numPr>
          <w:ilvl w:val="0"/>
          <w:numId w:val="11"/>
        </w:numPr>
        <w:spacing w:after="0" w:line="276" w:lineRule="auto"/>
        <w:contextualSpacing w:val="0"/>
        <w:rPr>
          <w:rFonts w:asciiTheme="majorHAnsi" w:hAnsiTheme="majorHAnsi"/>
        </w:rPr>
      </w:pPr>
      <w:r w:rsidRPr="00BF46C3">
        <w:rPr>
          <w:rFonts w:asciiTheme="majorHAnsi" w:hAnsiTheme="majorHAnsi"/>
        </w:rPr>
        <w:t xml:space="preserve">Your experiences with the CCCFR grant </w:t>
      </w:r>
      <w:r w:rsidRPr="00BF46C3">
        <w:rPr>
          <w:rFonts w:asciiTheme="majorHAnsi" w:hAnsiTheme="majorHAnsi"/>
        </w:rPr>
        <w:tab/>
        <w:t xml:space="preserve"> </w:t>
      </w:r>
      <w:r w:rsidRPr="00BF46C3">
        <w:rPr>
          <w:rFonts w:asciiTheme="majorHAnsi" w:hAnsiTheme="majorHAnsi"/>
        </w:rPr>
        <w:tab/>
        <w:t xml:space="preserve"> </w:t>
      </w:r>
      <w:r w:rsidRPr="00BF46C3">
        <w:rPr>
          <w:rFonts w:asciiTheme="majorHAnsi" w:hAnsiTheme="majorHAnsi"/>
        </w:rPr>
        <w:tab/>
      </w:r>
    </w:p>
    <w:p w14:paraId="37D6A43B" w14:textId="77777777" w:rsidR="00A50C17" w:rsidRPr="00BF46C3" w:rsidRDefault="00A50C17" w:rsidP="00171325">
      <w:pPr>
        <w:pStyle w:val="ListParagraph"/>
        <w:keepNext/>
        <w:numPr>
          <w:ilvl w:val="0"/>
          <w:numId w:val="11"/>
        </w:numPr>
        <w:spacing w:after="0" w:line="276" w:lineRule="auto"/>
        <w:contextualSpacing w:val="0"/>
        <w:rPr>
          <w:rFonts w:asciiTheme="majorHAnsi" w:hAnsiTheme="majorHAnsi"/>
        </w:rPr>
      </w:pPr>
      <w:r w:rsidRPr="00BF46C3">
        <w:rPr>
          <w:rFonts w:asciiTheme="majorHAnsi" w:hAnsiTheme="majorHAnsi"/>
        </w:rPr>
        <w:t xml:space="preserve">Administration of the grant </w:t>
      </w:r>
      <w:r w:rsidRPr="00BF46C3">
        <w:rPr>
          <w:rFonts w:asciiTheme="majorHAnsi" w:hAnsiTheme="majorHAnsi"/>
        </w:rPr>
        <w:tab/>
        <w:t xml:space="preserve"> </w:t>
      </w:r>
      <w:r w:rsidRPr="00BF46C3">
        <w:rPr>
          <w:rFonts w:asciiTheme="majorHAnsi" w:hAnsiTheme="majorHAnsi"/>
        </w:rPr>
        <w:tab/>
        <w:t xml:space="preserve"> </w:t>
      </w:r>
      <w:r w:rsidRPr="00BF46C3">
        <w:rPr>
          <w:rFonts w:asciiTheme="majorHAnsi" w:hAnsiTheme="majorHAnsi"/>
        </w:rPr>
        <w:tab/>
      </w:r>
    </w:p>
    <w:p w14:paraId="40674C2B" w14:textId="61004D27" w:rsidR="00A50C17" w:rsidRPr="00BF46C3" w:rsidRDefault="00A50C17" w:rsidP="00171325">
      <w:pPr>
        <w:pStyle w:val="ListParagraph"/>
        <w:keepNext/>
        <w:numPr>
          <w:ilvl w:val="0"/>
          <w:numId w:val="11"/>
        </w:numPr>
        <w:spacing w:after="0" w:line="276" w:lineRule="auto"/>
        <w:contextualSpacing w:val="0"/>
        <w:rPr>
          <w:rFonts w:asciiTheme="majorHAnsi" w:hAnsiTheme="majorHAnsi"/>
        </w:rPr>
      </w:pPr>
      <w:r w:rsidRPr="00BF46C3">
        <w:rPr>
          <w:rFonts w:asciiTheme="majorHAnsi" w:hAnsiTheme="majorHAnsi"/>
        </w:rPr>
        <w:t>The objectives and intent of the CCCFR grant, and whether they meet the needs of services, families, and communities.</w:t>
      </w:r>
      <w:r w:rsidR="002E497C">
        <w:rPr>
          <w:rFonts w:asciiTheme="majorHAnsi" w:hAnsiTheme="majorHAnsi"/>
        </w:rPr>
        <w:t xml:space="preserve"> </w:t>
      </w:r>
      <w:r w:rsidRPr="00BF46C3">
        <w:rPr>
          <w:rFonts w:asciiTheme="majorHAnsi" w:hAnsiTheme="majorHAnsi"/>
        </w:rPr>
        <w:t xml:space="preserve"> </w:t>
      </w:r>
      <w:r w:rsidRPr="00BF46C3">
        <w:rPr>
          <w:rFonts w:asciiTheme="majorHAnsi" w:hAnsiTheme="majorHAnsi"/>
        </w:rPr>
        <w:tab/>
      </w:r>
      <w:r w:rsidR="002E497C">
        <w:rPr>
          <w:rFonts w:asciiTheme="majorHAnsi" w:hAnsiTheme="majorHAnsi"/>
        </w:rPr>
        <w:t xml:space="preserve"> </w:t>
      </w:r>
      <w:r w:rsidRPr="00BF46C3">
        <w:rPr>
          <w:rFonts w:asciiTheme="majorHAnsi" w:hAnsiTheme="majorHAnsi"/>
        </w:rPr>
        <w:t xml:space="preserve"> </w:t>
      </w:r>
    </w:p>
    <w:p w14:paraId="55E1D434" w14:textId="77777777" w:rsidR="00A50C17" w:rsidRPr="00BF46C3" w:rsidRDefault="00A50C17" w:rsidP="00A50C17">
      <w:pPr>
        <w:keepNext/>
        <w:rPr>
          <w:rFonts w:asciiTheme="majorHAnsi" w:hAnsiTheme="majorHAnsi"/>
          <w:b/>
        </w:rPr>
      </w:pPr>
    </w:p>
    <w:p w14:paraId="5396ACC6" w14:textId="0DC92CD9" w:rsidR="00A50C17" w:rsidRPr="00BF46C3" w:rsidRDefault="00A50C17" w:rsidP="00A50C17">
      <w:pPr>
        <w:keepNext/>
        <w:rPr>
          <w:rFonts w:asciiTheme="majorHAnsi" w:hAnsiTheme="majorHAnsi"/>
        </w:rPr>
      </w:pPr>
      <w:r w:rsidRPr="00BF46C3">
        <w:rPr>
          <w:rFonts w:asciiTheme="majorHAnsi" w:hAnsiTheme="majorHAnsi"/>
          <w:b/>
        </w:rPr>
        <w:t>Services are welcome to submit only the first section of the survey, which forms a core pillar of the CCCFR review research.</w:t>
      </w:r>
      <w:r w:rsidRPr="00BF46C3">
        <w:rPr>
          <w:rFonts w:asciiTheme="majorHAnsi" w:hAnsiTheme="majorHAnsi"/>
        </w:rPr>
        <w:t xml:space="preserve"> It is anticipated to take up to 60 minutes to complete. Please have any data on your service ready for you to refer to during the survey.</w:t>
      </w:r>
      <w:r w:rsidR="002E497C">
        <w:rPr>
          <w:rFonts w:asciiTheme="majorHAnsi" w:hAnsiTheme="majorHAnsi"/>
        </w:rPr>
        <w:t xml:space="preserve"> </w:t>
      </w:r>
      <w:r w:rsidRPr="00BF46C3">
        <w:rPr>
          <w:rFonts w:asciiTheme="majorHAnsi" w:hAnsiTheme="majorHAnsi"/>
        </w:rPr>
        <w:t xml:space="preserve"> </w:t>
      </w:r>
    </w:p>
    <w:p w14:paraId="566F189F" w14:textId="5EA43C97" w:rsidR="00A50C17" w:rsidRPr="00BF46C3" w:rsidRDefault="00A50C17" w:rsidP="00A50C17">
      <w:pPr>
        <w:keepNext/>
        <w:rPr>
          <w:rFonts w:asciiTheme="majorHAnsi" w:hAnsiTheme="majorHAnsi"/>
        </w:rPr>
      </w:pPr>
      <w:r w:rsidRPr="00BF46C3">
        <w:rPr>
          <w:rFonts w:asciiTheme="majorHAnsi" w:hAnsiTheme="majorHAnsi"/>
        </w:rPr>
        <w:t>The second section of the survey is an additional opportunity for services to provide more detailed data regarding costs and service delivery. It will be used with existing financial data to understand the specific costs and funding needs of services.</w:t>
      </w:r>
      <w:r w:rsidR="002E497C">
        <w:rPr>
          <w:rFonts w:asciiTheme="majorHAnsi" w:hAnsiTheme="majorHAnsi"/>
        </w:rPr>
        <w:t xml:space="preserve"> </w:t>
      </w:r>
      <w:r w:rsidRPr="00BF46C3">
        <w:rPr>
          <w:rFonts w:asciiTheme="majorHAnsi" w:hAnsiTheme="majorHAnsi"/>
        </w:rPr>
        <w:t xml:space="preserve"> </w:t>
      </w:r>
    </w:p>
    <w:p w14:paraId="7F106CCA" w14:textId="77777777" w:rsidR="00A50C17" w:rsidRPr="00BF46C3" w:rsidRDefault="00A50C17" w:rsidP="00A50C17">
      <w:pPr>
        <w:keepNext/>
        <w:rPr>
          <w:rFonts w:asciiTheme="majorHAnsi" w:hAnsiTheme="majorHAnsi"/>
        </w:rPr>
      </w:pPr>
      <w:r w:rsidRPr="00BF46C3">
        <w:rPr>
          <w:rFonts w:asciiTheme="majorHAnsi" w:hAnsiTheme="majorHAnsi"/>
        </w:rPr>
        <w:t xml:space="preserve">The second section of the survey is anticipated to take an additional 30-60 minutes to complete, depending on services' existing data. It may be helpful to have additional documents such as your latest Budget Based Planning Tool, Financial Acquittal, other accounts and annual reports to answer these questions. </w:t>
      </w:r>
    </w:p>
    <w:p w14:paraId="5F04BA71" w14:textId="137931E2" w:rsidR="00A50C17" w:rsidRPr="00BF46C3" w:rsidRDefault="00A50C17" w:rsidP="00A50C17">
      <w:pPr>
        <w:keepNext/>
        <w:rPr>
          <w:rFonts w:asciiTheme="majorHAnsi" w:hAnsiTheme="majorHAnsi"/>
          <w:b/>
        </w:rPr>
      </w:pPr>
      <w:r w:rsidRPr="00BF46C3">
        <w:rPr>
          <w:rFonts w:asciiTheme="majorHAnsi" w:hAnsiTheme="majorHAnsi"/>
          <w:b/>
        </w:rPr>
        <w:t>The survey and your privacy</w:t>
      </w:r>
      <w:r w:rsidR="002E497C">
        <w:rPr>
          <w:rFonts w:asciiTheme="majorHAnsi" w:hAnsiTheme="majorHAnsi"/>
          <w:b/>
        </w:rPr>
        <w:t xml:space="preserve"> </w:t>
      </w:r>
    </w:p>
    <w:p w14:paraId="53715AD0" w14:textId="396648BA" w:rsidR="00A50C17" w:rsidRPr="00BF46C3" w:rsidRDefault="00A50C17" w:rsidP="00A50C17">
      <w:pPr>
        <w:keepNext/>
        <w:rPr>
          <w:rFonts w:asciiTheme="majorHAnsi" w:hAnsiTheme="majorHAnsi"/>
        </w:rPr>
      </w:pPr>
      <w:r w:rsidRPr="00BF46C3">
        <w:rPr>
          <w:rFonts w:asciiTheme="majorHAnsi" w:hAnsiTheme="majorHAnsi"/>
        </w:rPr>
        <w:t>The survey questions will help with the development of a detailed dataset which will help us investigate the costs of delivering child care in CCCFR services.</w:t>
      </w:r>
      <w:r w:rsidR="002E497C">
        <w:rPr>
          <w:rFonts w:asciiTheme="majorHAnsi" w:hAnsiTheme="majorHAnsi"/>
        </w:rPr>
        <w:t xml:space="preserve"> </w:t>
      </w:r>
      <w:r w:rsidRPr="00BF46C3">
        <w:rPr>
          <w:rFonts w:asciiTheme="majorHAnsi" w:hAnsiTheme="majorHAnsi"/>
        </w:rPr>
        <w:t xml:space="preserve"> </w:t>
      </w:r>
    </w:p>
    <w:p w14:paraId="3EB5CEA1" w14:textId="5D4D3940" w:rsidR="00A50C17" w:rsidRPr="00BF46C3" w:rsidRDefault="00A50C17" w:rsidP="00A50C17">
      <w:pPr>
        <w:keepNext/>
        <w:rPr>
          <w:rFonts w:asciiTheme="majorHAnsi" w:hAnsiTheme="majorHAnsi"/>
        </w:rPr>
      </w:pPr>
      <w:r w:rsidRPr="00BF46C3">
        <w:rPr>
          <w:rFonts w:asciiTheme="majorHAnsi" w:hAnsiTheme="majorHAnsi"/>
        </w:rPr>
        <w:t>Your data will be collected and stored securely by the Deloitte Access Economics team through the Qualtrics survey platform. The results of the survey will be aggregated across all services, so no individual participant or service can be identified by organisations other than Deloitte Access Economics.</w:t>
      </w:r>
      <w:r w:rsidR="002E497C">
        <w:rPr>
          <w:rFonts w:asciiTheme="majorHAnsi" w:hAnsiTheme="majorHAnsi"/>
        </w:rPr>
        <w:t xml:space="preserve">  </w:t>
      </w:r>
    </w:p>
    <w:p w14:paraId="5FC4D3FF" w14:textId="12D6907A" w:rsidR="00A50C17" w:rsidRPr="00BF46C3" w:rsidRDefault="00A50C17" w:rsidP="00A50C17">
      <w:pPr>
        <w:keepNext/>
        <w:rPr>
          <w:rFonts w:asciiTheme="majorHAnsi" w:hAnsiTheme="majorHAnsi"/>
        </w:rPr>
      </w:pPr>
      <w:r w:rsidRPr="00BF46C3">
        <w:rPr>
          <w:rFonts w:asciiTheme="majorHAnsi" w:hAnsiTheme="majorHAnsi"/>
        </w:rPr>
        <w:t>At no point are you required to provide sensitive personal information, such as information about your ethnicity, health and wellbeing or sexuality or identifying personal information about individual educators or families engaged with your service.</w:t>
      </w:r>
      <w:r w:rsidR="002E497C">
        <w:rPr>
          <w:rFonts w:asciiTheme="majorHAnsi" w:hAnsiTheme="majorHAnsi"/>
        </w:rPr>
        <w:t xml:space="preserve"> </w:t>
      </w:r>
      <w:r w:rsidRPr="00BF46C3">
        <w:rPr>
          <w:rFonts w:asciiTheme="majorHAnsi" w:hAnsiTheme="majorHAnsi"/>
        </w:rPr>
        <w:t xml:space="preserve"> </w:t>
      </w:r>
    </w:p>
    <w:p w14:paraId="1D05D1DA" w14:textId="3580743A" w:rsidR="00A50C17" w:rsidRPr="00BF46C3" w:rsidRDefault="00A50C17" w:rsidP="00A50C17">
      <w:pPr>
        <w:keepNext/>
        <w:rPr>
          <w:rFonts w:asciiTheme="majorHAnsi" w:hAnsiTheme="majorHAnsi"/>
        </w:rPr>
      </w:pPr>
      <w:r w:rsidRPr="00BF46C3">
        <w:rPr>
          <w:rFonts w:asciiTheme="majorHAnsi" w:hAnsiTheme="majorHAnsi"/>
        </w:rPr>
        <w:t>If you do choose to include sensitive or private information in your free-text answers (e.g., because it is relevant to the survey questions), your participation in this survey is your consent for Deloitte Access Economics to collect and process that sensitive personal information.</w:t>
      </w:r>
      <w:r w:rsidR="002E497C">
        <w:rPr>
          <w:rFonts w:asciiTheme="majorHAnsi" w:hAnsiTheme="majorHAnsi"/>
        </w:rPr>
        <w:t xml:space="preserve"> </w:t>
      </w:r>
      <w:r w:rsidRPr="00BF46C3">
        <w:rPr>
          <w:rFonts w:asciiTheme="majorHAnsi" w:hAnsiTheme="majorHAnsi"/>
        </w:rPr>
        <w:t xml:space="preserve"> </w:t>
      </w:r>
    </w:p>
    <w:p w14:paraId="03506779" w14:textId="5DD20ED9" w:rsidR="00A50C17" w:rsidRPr="00BF46C3" w:rsidRDefault="00A50C17" w:rsidP="00A50C17">
      <w:pPr>
        <w:keepNext/>
        <w:rPr>
          <w:rFonts w:asciiTheme="majorHAnsi" w:hAnsiTheme="majorHAnsi"/>
        </w:rPr>
      </w:pPr>
      <w:r w:rsidRPr="00BF46C3">
        <w:rPr>
          <w:rFonts w:asciiTheme="majorHAnsi" w:hAnsiTheme="majorHAnsi"/>
        </w:rPr>
        <w:t>You have various rights in relation to your personal information, including the right to seek access to, or to correct, your information. More information about how we will handle your personal information, how you can lodge a complaint, how you can contact us and how you may access and seek correction of your information is set out in Deloitte’s</w:t>
      </w:r>
      <w:r w:rsidR="00AF2461" w:rsidRPr="001C655F">
        <w:t xml:space="preserve"> </w:t>
      </w:r>
      <w:r w:rsidR="000E6275">
        <w:t>privacy statement</w:t>
      </w:r>
      <w:r w:rsidRPr="00BF46C3">
        <w:rPr>
          <w:rFonts w:asciiTheme="majorHAnsi" w:hAnsiTheme="majorHAnsi"/>
        </w:rPr>
        <w:t>.</w:t>
      </w:r>
      <w:r w:rsidR="002E497C">
        <w:rPr>
          <w:rFonts w:asciiTheme="majorHAnsi" w:hAnsiTheme="majorHAnsi"/>
        </w:rPr>
        <w:t xml:space="preserve"> </w:t>
      </w:r>
    </w:p>
    <w:p w14:paraId="3E9E472D" w14:textId="6AB58FAA" w:rsidR="00A50C17" w:rsidRPr="00BF46C3" w:rsidRDefault="00A50C17" w:rsidP="00A50C17">
      <w:pPr>
        <w:keepNext/>
        <w:rPr>
          <w:rFonts w:asciiTheme="majorHAnsi" w:hAnsiTheme="majorHAnsi"/>
        </w:rPr>
      </w:pPr>
      <w:r w:rsidRPr="00BF46C3">
        <w:rPr>
          <w:rFonts w:asciiTheme="majorHAnsi" w:hAnsiTheme="majorHAnsi"/>
        </w:rPr>
        <w:t>For any other privacy related enquiries, you can contact Deloitte’s privacy team at </w:t>
      </w:r>
      <w:r w:rsidR="000E6275">
        <w:t>privacy@deloitte.com.au.</w:t>
      </w:r>
    </w:p>
    <w:p w14:paraId="2BD045F7" w14:textId="765F072E" w:rsidR="00A50C17" w:rsidRPr="00BF46C3" w:rsidRDefault="00A50C17" w:rsidP="00A50C17">
      <w:pPr>
        <w:keepNext/>
        <w:rPr>
          <w:rFonts w:asciiTheme="majorHAnsi" w:hAnsiTheme="majorHAnsi"/>
        </w:rPr>
      </w:pPr>
      <w:r w:rsidRPr="00BF46C3">
        <w:rPr>
          <w:rFonts w:asciiTheme="majorHAnsi" w:hAnsiTheme="majorHAnsi"/>
        </w:rPr>
        <w:t>Please acknowledge you have read and understood the information above, and consent to the collection of the data you include through this survey, to proceed. We will process any data submitted through this survey when the survey closes on 29th September 2023, even if you have not finished the whole survey.</w:t>
      </w:r>
      <w:r w:rsidR="002E497C">
        <w:rPr>
          <w:rFonts w:asciiTheme="majorHAnsi" w:hAnsiTheme="majorHAnsi"/>
        </w:rPr>
        <w:t xml:space="preserve"> </w:t>
      </w:r>
    </w:p>
    <w:p w14:paraId="7018D398" w14:textId="77777777" w:rsidR="00A50C17" w:rsidRPr="00BF46C3" w:rsidRDefault="00A50C17" w:rsidP="00757BA0">
      <w:pPr>
        <w:keepNext/>
        <w:ind w:left="360"/>
        <w:rPr>
          <w:rFonts w:asciiTheme="majorHAnsi" w:hAnsiTheme="majorHAnsi"/>
        </w:rPr>
      </w:pPr>
      <w:r w:rsidRPr="00BF46C3">
        <w:rPr>
          <w:rFonts w:asciiTheme="majorHAnsi" w:hAnsiTheme="majorHAnsi"/>
        </w:rPr>
        <w:t xml:space="preserve">I have read and understood the information above, and consent to the collection of my service's data </w:t>
      </w:r>
    </w:p>
    <w:p w14:paraId="037A5746" w14:textId="77777777" w:rsidR="00A50C17" w:rsidRPr="00BF46C3" w:rsidRDefault="00A50C17" w:rsidP="00A50C17">
      <w:pPr>
        <w:rPr>
          <w:rFonts w:asciiTheme="majorHAnsi" w:hAnsiTheme="majorHAnsi"/>
        </w:rPr>
      </w:pPr>
    </w:p>
    <w:p w14:paraId="0772BF06" w14:textId="77777777" w:rsidR="00A50C17" w:rsidRPr="00BF46C3" w:rsidRDefault="00A50C17" w:rsidP="00A50C17">
      <w:pPr>
        <w:keepNext/>
        <w:rPr>
          <w:rFonts w:asciiTheme="majorHAnsi" w:hAnsiTheme="majorHAnsi"/>
        </w:rPr>
      </w:pPr>
      <w:r w:rsidRPr="00BF46C3">
        <w:rPr>
          <w:rFonts w:asciiTheme="majorHAnsi" w:hAnsiTheme="majorHAnsi"/>
        </w:rPr>
        <w:lastRenderedPageBreak/>
        <w:t>Service details This section is to check some details we have for your service. If the details are incorrect, please select 'this is wrong' and provide the correct detail. </w:t>
      </w:r>
    </w:p>
    <w:p w14:paraId="22066BA4" w14:textId="77777777" w:rsidR="00A50C17" w:rsidRPr="00BF46C3" w:rsidRDefault="00A50C17" w:rsidP="00A50C17">
      <w:pPr>
        <w:keepNext/>
        <w:rPr>
          <w:rFonts w:asciiTheme="majorHAnsi" w:hAnsiTheme="majorHAnsi"/>
        </w:rPr>
      </w:pPr>
      <w:r w:rsidRPr="00BF46C3">
        <w:rPr>
          <w:rFonts w:asciiTheme="majorHAnsi" w:hAnsiTheme="majorHAnsi"/>
        </w:rPr>
        <w:t>Service Name: </w:t>
      </w:r>
      <w:r w:rsidRPr="00BF46C3">
        <w:rPr>
          <w:rFonts w:asciiTheme="majorHAnsi" w:hAnsiTheme="majorHAnsi"/>
          <w:color w:val="426092"/>
        </w:rPr>
        <w:t>${e://Field/RecipientFirstName}</w:t>
      </w:r>
    </w:p>
    <w:p w14:paraId="6B5C3DE1" w14:textId="77777777" w:rsidR="00A50C17" w:rsidRPr="00757BA0" w:rsidRDefault="00A50C17" w:rsidP="00171325">
      <w:pPr>
        <w:pStyle w:val="ListParagraph"/>
        <w:keepNext/>
        <w:numPr>
          <w:ilvl w:val="0"/>
          <w:numId w:val="17"/>
        </w:numPr>
        <w:ind w:firstLine="0"/>
        <w:contextualSpacing w:val="0"/>
      </w:pPr>
      <w:r w:rsidRPr="00757BA0">
        <w:t xml:space="preserve">This is correct </w:t>
      </w:r>
    </w:p>
    <w:p w14:paraId="4CBECFA2" w14:textId="77777777" w:rsidR="00A50C17" w:rsidRPr="00757BA0" w:rsidRDefault="00A50C17" w:rsidP="00171325">
      <w:pPr>
        <w:pStyle w:val="ListParagraph"/>
        <w:keepNext/>
        <w:numPr>
          <w:ilvl w:val="0"/>
          <w:numId w:val="17"/>
        </w:numPr>
        <w:ind w:firstLine="0"/>
        <w:contextualSpacing w:val="0"/>
      </w:pPr>
      <w:r w:rsidRPr="00757BA0">
        <w:t xml:space="preserve">This is wrong </w:t>
      </w:r>
    </w:p>
    <w:p w14:paraId="2E6A8978" w14:textId="77777777" w:rsidR="00A50C17" w:rsidRPr="001B5B58" w:rsidRDefault="00A50C17" w:rsidP="00A50C17">
      <w:pPr>
        <w:pStyle w:val="QDisplayLogic"/>
        <w:keepNext/>
        <w:rPr>
          <w:rFonts w:asciiTheme="majorHAnsi" w:hAnsiTheme="majorHAnsi"/>
          <w:sz w:val="18"/>
          <w:szCs w:val="18"/>
        </w:rPr>
      </w:pPr>
      <w:r w:rsidRPr="001B5B58">
        <w:rPr>
          <w:rFonts w:asciiTheme="majorHAnsi" w:hAnsiTheme="majorHAnsi"/>
          <w:sz w:val="18"/>
          <w:szCs w:val="18"/>
        </w:rPr>
        <w:t>Display This Question:</w:t>
      </w:r>
    </w:p>
    <w:p w14:paraId="48289437" w14:textId="77777777" w:rsidR="00A50C17" w:rsidRPr="001B5B58" w:rsidRDefault="00A50C17" w:rsidP="00A50C17">
      <w:pPr>
        <w:pStyle w:val="QDisplayLogic"/>
        <w:keepNext/>
        <w:ind w:firstLine="400"/>
        <w:rPr>
          <w:rFonts w:asciiTheme="majorHAnsi" w:hAnsiTheme="majorHAnsi"/>
          <w:sz w:val="18"/>
          <w:szCs w:val="18"/>
        </w:rPr>
      </w:pPr>
      <w:r w:rsidRPr="001B5B58">
        <w:rPr>
          <w:rFonts w:asciiTheme="majorHAnsi" w:hAnsiTheme="majorHAnsi"/>
          <w:sz w:val="18"/>
          <w:szCs w:val="18"/>
        </w:rPr>
        <w:t>If Service Name: ${e://Field/RecipientFirstName} = This is wrong</w:t>
      </w:r>
    </w:p>
    <w:p w14:paraId="1AB66C1B" w14:textId="77777777" w:rsidR="00A50C17" w:rsidRPr="00BF46C3" w:rsidRDefault="00A50C17" w:rsidP="00A50C17">
      <w:pPr>
        <w:keepNext/>
        <w:rPr>
          <w:rFonts w:asciiTheme="majorHAnsi" w:hAnsiTheme="majorHAnsi"/>
        </w:rPr>
      </w:pPr>
      <w:r w:rsidRPr="00BF46C3">
        <w:rPr>
          <w:rFonts w:asciiTheme="majorHAnsi" w:hAnsiTheme="majorHAnsi"/>
        </w:rPr>
        <w:t>What is the correct name of your service? </w:t>
      </w:r>
    </w:p>
    <w:p w14:paraId="755808E4" w14:textId="77777777" w:rsidR="00A50C17" w:rsidRPr="00BF46C3" w:rsidRDefault="00A50C17" w:rsidP="00A50C17">
      <w:pPr>
        <w:keepNext/>
        <w:rPr>
          <w:rFonts w:asciiTheme="majorHAnsi" w:hAnsiTheme="majorHAnsi"/>
        </w:rPr>
      </w:pPr>
      <w:r w:rsidRPr="00BF46C3">
        <w:rPr>
          <w:rFonts w:asciiTheme="majorHAnsi" w:hAnsiTheme="majorHAnsi"/>
        </w:rPr>
        <w:t>Service is regulated under the NQF: </w:t>
      </w:r>
      <w:r w:rsidRPr="00BF46C3">
        <w:rPr>
          <w:rFonts w:asciiTheme="majorHAnsi" w:hAnsiTheme="majorHAnsi"/>
          <w:color w:val="426092"/>
        </w:rPr>
        <w:t>${e://Field/NQF}</w:t>
      </w:r>
    </w:p>
    <w:p w14:paraId="4D5A0B16" w14:textId="77777777" w:rsidR="00A50C17" w:rsidRPr="00757BA0" w:rsidRDefault="00A50C17" w:rsidP="00171325">
      <w:pPr>
        <w:pStyle w:val="ListParagraph"/>
        <w:keepNext/>
        <w:numPr>
          <w:ilvl w:val="0"/>
          <w:numId w:val="17"/>
        </w:numPr>
        <w:ind w:firstLine="0"/>
        <w:contextualSpacing w:val="0"/>
      </w:pPr>
      <w:r w:rsidRPr="00BF46C3">
        <w:t xml:space="preserve">This </w:t>
      </w:r>
      <w:r w:rsidRPr="00757BA0">
        <w:t xml:space="preserve">is correct </w:t>
      </w:r>
    </w:p>
    <w:p w14:paraId="1268395D" w14:textId="77777777" w:rsidR="00A50C17" w:rsidRPr="00BF46C3" w:rsidRDefault="00A50C17" w:rsidP="00171325">
      <w:pPr>
        <w:pStyle w:val="ListParagraph"/>
        <w:keepNext/>
        <w:numPr>
          <w:ilvl w:val="0"/>
          <w:numId w:val="17"/>
        </w:numPr>
        <w:ind w:firstLine="0"/>
        <w:contextualSpacing w:val="0"/>
      </w:pPr>
      <w:r w:rsidRPr="00757BA0">
        <w:t>This is</w:t>
      </w:r>
      <w:r w:rsidRPr="00BF46C3">
        <w:t xml:space="preserve"> wrong </w:t>
      </w:r>
    </w:p>
    <w:p w14:paraId="6E393351"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237296B3"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Service is regulated under the NQF: ${e://Field/NQF} = This is wrong</w:t>
      </w:r>
    </w:p>
    <w:p w14:paraId="30CD3B3D" w14:textId="77777777" w:rsidR="00A50C17" w:rsidRPr="00BF46C3" w:rsidRDefault="00A50C17" w:rsidP="00A50C17">
      <w:pPr>
        <w:keepNext/>
        <w:rPr>
          <w:rFonts w:asciiTheme="majorHAnsi" w:hAnsiTheme="majorHAnsi"/>
        </w:rPr>
      </w:pPr>
      <w:r w:rsidRPr="00BF46C3">
        <w:rPr>
          <w:rFonts w:asciiTheme="majorHAnsi" w:hAnsiTheme="majorHAnsi"/>
        </w:rPr>
        <w:t>Is your service regulated under the NQF?</w:t>
      </w:r>
    </w:p>
    <w:p w14:paraId="4C666CB3"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1064EB31" w14:textId="77777777" w:rsidR="00A50C17" w:rsidRPr="00BF46C3" w:rsidRDefault="00A50C17" w:rsidP="00171325">
      <w:pPr>
        <w:pStyle w:val="ListParagraph"/>
        <w:keepNext/>
        <w:numPr>
          <w:ilvl w:val="0"/>
          <w:numId w:val="17"/>
        </w:numPr>
        <w:ind w:firstLine="0"/>
        <w:contextualSpacing w:val="0"/>
      </w:pPr>
      <w:r w:rsidRPr="00BF46C3">
        <w:t xml:space="preserve">No </w:t>
      </w:r>
    </w:p>
    <w:p w14:paraId="0A9F7A51" w14:textId="77777777" w:rsidR="00A50C17" w:rsidRPr="00BF46C3" w:rsidRDefault="00A50C17" w:rsidP="00171325">
      <w:pPr>
        <w:pStyle w:val="ListParagraph"/>
        <w:keepNext/>
        <w:numPr>
          <w:ilvl w:val="0"/>
          <w:numId w:val="17"/>
        </w:numPr>
        <w:ind w:firstLine="0"/>
        <w:contextualSpacing w:val="0"/>
      </w:pPr>
      <w:r w:rsidRPr="00BF46C3">
        <w:t xml:space="preserve">Unsure </w:t>
      </w:r>
    </w:p>
    <w:p w14:paraId="32A557EE" w14:textId="77777777" w:rsidR="00A50C17" w:rsidRPr="00BF46C3" w:rsidRDefault="00A50C17" w:rsidP="00A50C17">
      <w:pPr>
        <w:keepNext/>
        <w:rPr>
          <w:rFonts w:asciiTheme="majorHAnsi" w:hAnsiTheme="majorHAnsi"/>
        </w:rPr>
      </w:pPr>
      <w:r w:rsidRPr="00BF46C3">
        <w:rPr>
          <w:rFonts w:asciiTheme="majorHAnsi" w:hAnsiTheme="majorHAnsi"/>
        </w:rPr>
        <w:t>What are the key things you think the review should include?</w:t>
      </w:r>
    </w:p>
    <w:p w14:paraId="211B5B78" w14:textId="0C2B0F45" w:rsidR="00F16797" w:rsidRDefault="00A50C17" w:rsidP="00A50C17">
      <w:pPr>
        <w:keepNext/>
        <w:rPr>
          <w:rFonts w:asciiTheme="majorHAnsi" w:hAnsiTheme="majorHAnsi"/>
        </w:rPr>
      </w:pPr>
      <w:r w:rsidRPr="00BF46C3">
        <w:rPr>
          <w:rFonts w:asciiTheme="majorHAnsi" w:hAnsiTheme="majorHAnsi"/>
        </w:rPr>
        <w:t>Could you please tell us about the type of child care your service provides and how it is tailored to the needs of children and families and the broader community?</w:t>
      </w:r>
    </w:p>
    <w:p w14:paraId="29FBAE46" w14:textId="28A75490" w:rsidR="00A50C17" w:rsidRPr="00BF46C3" w:rsidRDefault="00A50C17" w:rsidP="00A50C17">
      <w:pPr>
        <w:keepNext/>
        <w:rPr>
          <w:rFonts w:asciiTheme="majorHAnsi" w:hAnsiTheme="majorHAnsi"/>
        </w:rPr>
      </w:pPr>
      <w:r w:rsidRPr="00BF46C3">
        <w:rPr>
          <w:rFonts w:asciiTheme="majorHAnsi" w:hAnsiTheme="majorHAnsi"/>
        </w:rPr>
        <w:t>What do you see as the main ways your service helps support the communities where you operate?</w:t>
      </w:r>
      <w:r w:rsidRPr="00BF46C3">
        <w:rPr>
          <w:rFonts w:asciiTheme="majorHAnsi" w:hAnsiTheme="majorHAnsi"/>
        </w:rPr>
        <w:br/>
      </w:r>
      <w:r w:rsidRPr="00BF46C3">
        <w:rPr>
          <w:rFonts w:asciiTheme="majorHAnsi" w:hAnsiTheme="majorHAnsi"/>
        </w:rPr>
        <w:br/>
      </w:r>
      <w:r w:rsidRPr="00BF46C3">
        <w:rPr>
          <w:rFonts w:asciiTheme="majorHAnsi" w:hAnsiTheme="majorHAnsi"/>
          <w:i/>
        </w:rPr>
        <w:t>Please select all that apply</w:t>
      </w:r>
    </w:p>
    <w:p w14:paraId="37597E82" w14:textId="77777777" w:rsidR="00A50C17" w:rsidRPr="00BF46C3" w:rsidRDefault="00A50C17" w:rsidP="00F16797">
      <w:pPr>
        <w:pStyle w:val="Surveyoptions"/>
      </w:pPr>
      <w:r w:rsidRPr="00BF46C3">
        <w:t xml:space="preserve">Providing child care for local children </w:t>
      </w:r>
    </w:p>
    <w:p w14:paraId="7F571B36" w14:textId="77777777" w:rsidR="00A50C17" w:rsidRPr="00BF46C3" w:rsidRDefault="00A50C17" w:rsidP="00F16797">
      <w:pPr>
        <w:pStyle w:val="Surveyoptions"/>
      </w:pPr>
      <w:r w:rsidRPr="00BF46C3">
        <w:t xml:space="preserve">Improving early childhood development outcomes for children who may be experiencing vulnerability and/or disadvantage </w:t>
      </w:r>
    </w:p>
    <w:p w14:paraId="4BBBEC97" w14:textId="77777777" w:rsidR="00A50C17" w:rsidRPr="00BF46C3" w:rsidRDefault="00A50C17" w:rsidP="00F16797">
      <w:pPr>
        <w:pStyle w:val="Surveyoptions"/>
      </w:pPr>
      <w:r w:rsidRPr="00BF46C3">
        <w:t xml:space="preserve">Offering a preschool or kindergarten program </w:t>
      </w:r>
    </w:p>
    <w:p w14:paraId="03702E02" w14:textId="77777777" w:rsidR="00A50C17" w:rsidRPr="00BF46C3" w:rsidRDefault="00A50C17" w:rsidP="00F16797">
      <w:pPr>
        <w:pStyle w:val="Surveyoptions"/>
      </w:pPr>
      <w:r w:rsidRPr="00BF46C3">
        <w:t xml:space="preserve">Helping families who may be experiencing vulnerability and/or disadvantage to work through offering child care </w:t>
      </w:r>
    </w:p>
    <w:p w14:paraId="01A1AB58" w14:textId="77777777" w:rsidR="00A50C17" w:rsidRPr="00BF46C3" w:rsidRDefault="00A50C17" w:rsidP="00F16797">
      <w:pPr>
        <w:pStyle w:val="Surveyoptions"/>
      </w:pPr>
      <w:r w:rsidRPr="00BF46C3">
        <w:t xml:space="preserve">Reducing barriers to accessing child care for children and families who may be experiencing vulnerability and/or disadvantage </w:t>
      </w:r>
    </w:p>
    <w:p w14:paraId="3236ED51" w14:textId="77777777" w:rsidR="00A50C17" w:rsidRPr="00BF46C3" w:rsidRDefault="00A50C17" w:rsidP="00F16797">
      <w:pPr>
        <w:pStyle w:val="Surveyoptions"/>
      </w:pPr>
      <w:r w:rsidRPr="00BF46C3">
        <w:t xml:space="preserve">Connecting children families with health and other support services </w:t>
      </w:r>
    </w:p>
    <w:p w14:paraId="003B0590" w14:textId="77777777" w:rsidR="00A50C17" w:rsidRPr="00BF46C3" w:rsidRDefault="00A50C17" w:rsidP="00F16797">
      <w:pPr>
        <w:pStyle w:val="Surveyoptions"/>
      </w:pPr>
      <w:r w:rsidRPr="00BF46C3">
        <w:t xml:space="preserve">Employing local staff </w:t>
      </w:r>
    </w:p>
    <w:p w14:paraId="5756AB28" w14:textId="24F36646" w:rsidR="00A50C17" w:rsidRPr="00BF46C3" w:rsidRDefault="00A50C17">
      <w:pPr>
        <w:pStyle w:val="Surveyoptions"/>
        <w:rPr>
          <w:rFonts w:asciiTheme="majorHAnsi" w:hAnsiTheme="majorHAnsi"/>
        </w:rPr>
      </w:pPr>
      <w:r w:rsidRPr="00BF46C3">
        <w:t xml:space="preserve">Other (please give details) </w:t>
      </w:r>
    </w:p>
    <w:p w14:paraId="32F0FCEB" w14:textId="506F8DF3" w:rsidR="00A50C17" w:rsidRPr="00BF46C3" w:rsidRDefault="00A50C17" w:rsidP="00A50C17">
      <w:pPr>
        <w:keepNext/>
        <w:rPr>
          <w:rFonts w:asciiTheme="majorHAnsi" w:hAnsiTheme="majorHAnsi"/>
        </w:rPr>
      </w:pPr>
      <w:r w:rsidRPr="00BF46C3">
        <w:rPr>
          <w:rFonts w:asciiTheme="majorHAnsi" w:hAnsiTheme="majorHAnsi"/>
        </w:rPr>
        <w:lastRenderedPageBreak/>
        <w:t>Which non CCCFR-funded programs or supports does your service offer? (other than child care)</w:t>
      </w:r>
      <w:r w:rsidRPr="00BF46C3">
        <w:rPr>
          <w:rFonts w:asciiTheme="majorHAnsi" w:hAnsiTheme="majorHAnsi"/>
        </w:rPr>
        <w:br/>
      </w:r>
      <w:r w:rsidRPr="00BF46C3">
        <w:rPr>
          <w:rFonts w:asciiTheme="majorHAnsi" w:hAnsiTheme="majorHAnsi"/>
        </w:rPr>
        <w:br/>
      </w:r>
      <w:r w:rsidRPr="00BF46C3">
        <w:rPr>
          <w:rFonts w:asciiTheme="majorHAnsi" w:hAnsiTheme="majorHAnsi"/>
          <w:i/>
        </w:rPr>
        <w:t>Please select all that apply</w:t>
      </w:r>
    </w:p>
    <w:p w14:paraId="62237F9D" w14:textId="77777777" w:rsidR="00A50C17" w:rsidRPr="00BF46C3" w:rsidRDefault="00A50C17" w:rsidP="00F16797">
      <w:pPr>
        <w:pStyle w:val="Surveyoptions"/>
      </w:pPr>
      <w:r w:rsidRPr="00BF46C3">
        <w:t xml:space="preserve">Parenting workshops and programs </w:t>
      </w:r>
    </w:p>
    <w:p w14:paraId="06E38560" w14:textId="77777777" w:rsidR="00A50C17" w:rsidRPr="00BF46C3" w:rsidRDefault="00A50C17" w:rsidP="00F16797">
      <w:pPr>
        <w:pStyle w:val="Surveyoptions"/>
      </w:pPr>
      <w:r w:rsidRPr="00BF46C3">
        <w:t xml:space="preserve">Cultural programs </w:t>
      </w:r>
    </w:p>
    <w:p w14:paraId="61807775" w14:textId="77777777" w:rsidR="00A50C17" w:rsidRPr="00BF46C3" w:rsidRDefault="00A50C17" w:rsidP="00F16797">
      <w:pPr>
        <w:pStyle w:val="Surveyoptions"/>
      </w:pPr>
      <w:r w:rsidRPr="00BF46C3">
        <w:t xml:space="preserve">Library/book lending </w:t>
      </w:r>
    </w:p>
    <w:p w14:paraId="1873BD91" w14:textId="77777777" w:rsidR="00A50C17" w:rsidRPr="00BF46C3" w:rsidRDefault="00A50C17" w:rsidP="00F16797">
      <w:pPr>
        <w:pStyle w:val="Surveyoptions"/>
      </w:pPr>
      <w:r w:rsidRPr="00BF46C3">
        <w:t xml:space="preserve">Nutrition programs/food bank </w:t>
      </w:r>
    </w:p>
    <w:p w14:paraId="2B3C1308" w14:textId="77777777" w:rsidR="00A50C17" w:rsidRPr="00BF46C3" w:rsidRDefault="00A50C17" w:rsidP="00F16797">
      <w:pPr>
        <w:pStyle w:val="Surveyoptions"/>
      </w:pPr>
      <w:r w:rsidRPr="00BF46C3">
        <w:t xml:space="preserve">Health screening and programs </w:t>
      </w:r>
    </w:p>
    <w:p w14:paraId="3AB2EBF4" w14:textId="77777777" w:rsidR="00A50C17" w:rsidRPr="00BF46C3" w:rsidRDefault="00A50C17" w:rsidP="00F16797">
      <w:pPr>
        <w:pStyle w:val="Surveyoptions"/>
      </w:pPr>
      <w:r w:rsidRPr="00BF46C3">
        <w:t xml:space="preserve">Family support services (such as counselling and social work services) </w:t>
      </w:r>
    </w:p>
    <w:p w14:paraId="7D12C581" w14:textId="77777777" w:rsidR="00A50C17" w:rsidRPr="00BF46C3" w:rsidRDefault="00A50C17" w:rsidP="00F16797">
      <w:pPr>
        <w:pStyle w:val="Surveyoptions"/>
      </w:pPr>
      <w:r w:rsidRPr="00BF46C3">
        <w:t xml:space="preserve">Adult education and training </w:t>
      </w:r>
    </w:p>
    <w:p w14:paraId="542FEC35" w14:textId="25DA25C8" w:rsidR="00A50C17" w:rsidRPr="00BF46C3" w:rsidRDefault="00A50C17" w:rsidP="00F16797">
      <w:pPr>
        <w:pStyle w:val="Surveyoptions"/>
      </w:pPr>
      <w:r w:rsidRPr="00BF46C3">
        <w:t>Other (please give details) _</w:t>
      </w:r>
    </w:p>
    <w:p w14:paraId="51776FA6" w14:textId="1B924153" w:rsidR="00A50C17" w:rsidRPr="00F16797" w:rsidRDefault="00A50C17" w:rsidP="00A50C17">
      <w:pPr>
        <w:pStyle w:val="Surveyoptions"/>
      </w:pPr>
      <w:r w:rsidRPr="00BF46C3">
        <w:t xml:space="preserve">None </w:t>
      </w:r>
    </w:p>
    <w:p w14:paraId="37D6292A" w14:textId="35B04546" w:rsidR="00F16797" w:rsidRDefault="00A50C17" w:rsidP="00F16797">
      <w:pPr>
        <w:pStyle w:val="Appendixhead3"/>
      </w:pPr>
      <w:r w:rsidRPr="00BF46C3">
        <w:t>Objectives and intent of the CCCFR grant</w:t>
      </w:r>
      <w:r w:rsidR="002E497C">
        <w:t xml:space="preserve"> </w:t>
      </w:r>
      <w:r w:rsidRPr="00BF46C3">
        <w:br/>
      </w:r>
    </w:p>
    <w:p w14:paraId="2F9F9F14" w14:textId="1D9FFD54" w:rsidR="00A50C17" w:rsidRPr="00BF46C3" w:rsidRDefault="00A50C17" w:rsidP="004F3812">
      <w:pPr>
        <w:rPr>
          <w:rFonts w:asciiTheme="majorHAnsi" w:hAnsiTheme="majorHAnsi"/>
        </w:rPr>
      </w:pPr>
      <w:r w:rsidRPr="00BF46C3">
        <w:t>This section aims to understand how the objectives of the CCCFR grant meet the needs and expectations of services, families, and communities.</w:t>
      </w:r>
      <w:r w:rsidR="002E497C">
        <w:t xml:space="preserve"> </w:t>
      </w:r>
      <w:r w:rsidRPr="00BF46C3">
        <w:br/>
      </w:r>
      <w:r w:rsidR="002E497C">
        <w:t xml:space="preserve"> </w:t>
      </w:r>
      <w:r w:rsidRPr="00BF46C3">
        <w:t>The objectives of the CCCFR grant are to:</w:t>
      </w:r>
      <w:r w:rsidRPr="00BF46C3">
        <w:br/>
        <w:t xml:space="preserve"> </w:t>
      </w:r>
      <w:r w:rsidRPr="00BF46C3">
        <w:br/>
        <w:t xml:space="preserve"> 1. Improve early childhood development outcomes for children experiencing vulnerability and disadvantage</w:t>
      </w:r>
      <w:r w:rsidRPr="00BF46C3">
        <w:br/>
        <w:t xml:space="preserve"> 2. Increase workforce participation by families experiencing vulnerability and disadvantage</w:t>
      </w:r>
      <w:r w:rsidRPr="00BF46C3">
        <w:br/>
        <w:t xml:space="preserve"> </w:t>
      </w:r>
      <w:r w:rsidRPr="00BF46C3">
        <w:br/>
      </w:r>
      <w:r w:rsidRPr="00BF46C3">
        <w:rPr>
          <w:rFonts w:asciiTheme="majorHAnsi" w:hAnsiTheme="majorHAnsi"/>
        </w:rPr>
        <w:t>How well do the CCCFR grant objectives meet the needs of the families and communities where you operate?</w:t>
      </w:r>
    </w:p>
    <w:tbl>
      <w:tblPr>
        <w:tblStyle w:val="QQuestionTable"/>
        <w:tblW w:w="9098" w:type="dxa"/>
        <w:tblLook w:val="07E0" w:firstRow="1" w:lastRow="1" w:firstColumn="1" w:lastColumn="1" w:noHBand="1" w:noVBand="1"/>
      </w:tblPr>
      <w:tblGrid>
        <w:gridCol w:w="3119"/>
        <w:gridCol w:w="1559"/>
        <w:gridCol w:w="1843"/>
        <w:gridCol w:w="1134"/>
        <w:gridCol w:w="1443"/>
      </w:tblGrid>
      <w:tr w:rsidR="00A50C17" w:rsidRPr="00BF46C3" w14:paraId="38BAF764" w14:textId="77777777" w:rsidTr="00F16797">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119" w:type="dxa"/>
          </w:tcPr>
          <w:p w14:paraId="19A68960" w14:textId="77777777" w:rsidR="00A50C17" w:rsidRPr="00BF46C3" w:rsidRDefault="00A50C17" w:rsidP="00054089">
            <w:pPr>
              <w:keepNext/>
              <w:spacing w:after="0"/>
              <w:rPr>
                <w:rFonts w:asciiTheme="majorHAnsi" w:hAnsiTheme="majorHAnsi"/>
                <w:sz w:val="18"/>
                <w:szCs w:val="18"/>
              </w:rPr>
            </w:pPr>
          </w:p>
        </w:tc>
        <w:tc>
          <w:tcPr>
            <w:tcW w:w="1559" w:type="dxa"/>
          </w:tcPr>
          <w:p w14:paraId="24F0E9D0"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Not well at all</w:t>
            </w:r>
          </w:p>
        </w:tc>
        <w:tc>
          <w:tcPr>
            <w:tcW w:w="1843" w:type="dxa"/>
          </w:tcPr>
          <w:p w14:paraId="4946A468"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Not very well</w:t>
            </w:r>
          </w:p>
        </w:tc>
        <w:tc>
          <w:tcPr>
            <w:tcW w:w="1134" w:type="dxa"/>
          </w:tcPr>
          <w:p w14:paraId="361E0D70"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Quite well</w:t>
            </w:r>
          </w:p>
        </w:tc>
        <w:tc>
          <w:tcPr>
            <w:tcW w:w="1443" w:type="dxa"/>
          </w:tcPr>
          <w:p w14:paraId="39F64B7E"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Extremely well</w:t>
            </w:r>
          </w:p>
        </w:tc>
      </w:tr>
      <w:tr w:rsidR="00A50C17" w:rsidRPr="00BF46C3" w14:paraId="39A8D53C" w14:textId="77777777" w:rsidTr="00F16797">
        <w:trPr>
          <w:trHeight w:val="1004"/>
        </w:trPr>
        <w:tc>
          <w:tcPr>
            <w:cnfStyle w:val="001000000000" w:firstRow="0" w:lastRow="0" w:firstColumn="1" w:lastColumn="0" w:oddVBand="0" w:evenVBand="0" w:oddHBand="0" w:evenHBand="0" w:firstRowFirstColumn="0" w:firstRowLastColumn="0" w:lastRowFirstColumn="0" w:lastRowLastColumn="0"/>
            <w:tcW w:w="3119" w:type="dxa"/>
          </w:tcPr>
          <w:p w14:paraId="77B19044" w14:textId="77777777" w:rsidR="00A50C17" w:rsidRPr="00F16797" w:rsidRDefault="00A50C17" w:rsidP="00F16797">
            <w:pPr>
              <w:pStyle w:val="NoSpacing"/>
              <w:jc w:val="left"/>
              <w:rPr>
                <w:sz w:val="18"/>
                <w:szCs w:val="18"/>
              </w:rPr>
            </w:pPr>
            <w:r w:rsidRPr="00F16797">
              <w:rPr>
                <w:sz w:val="18"/>
                <w:szCs w:val="18"/>
              </w:rPr>
              <w:t xml:space="preserve">1. Improve early childhood development outcomes for children experiencing vulnerability and disadvantage </w:t>
            </w:r>
          </w:p>
        </w:tc>
        <w:tc>
          <w:tcPr>
            <w:tcW w:w="1559" w:type="dxa"/>
          </w:tcPr>
          <w:p w14:paraId="71F871D8"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43" w:type="dxa"/>
          </w:tcPr>
          <w:p w14:paraId="63345018"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34" w:type="dxa"/>
          </w:tcPr>
          <w:p w14:paraId="68F1A6D2"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443" w:type="dxa"/>
          </w:tcPr>
          <w:p w14:paraId="1999BB08"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7BE276CD" w14:textId="77777777" w:rsidTr="00F16797">
        <w:trPr>
          <w:trHeight w:val="192"/>
        </w:trPr>
        <w:tc>
          <w:tcPr>
            <w:cnfStyle w:val="001000000000" w:firstRow="0" w:lastRow="0" w:firstColumn="1" w:lastColumn="0" w:oddVBand="0" w:evenVBand="0" w:oddHBand="0" w:evenHBand="0" w:firstRowFirstColumn="0" w:firstRowLastColumn="0" w:lastRowFirstColumn="0" w:lastRowLastColumn="0"/>
            <w:tcW w:w="3119" w:type="dxa"/>
          </w:tcPr>
          <w:p w14:paraId="1D092289" w14:textId="77777777" w:rsidR="00A50C17" w:rsidRPr="00BF46C3" w:rsidRDefault="00A50C17" w:rsidP="00054089">
            <w:pPr>
              <w:keepNext/>
              <w:spacing w:after="0"/>
              <w:jc w:val="left"/>
              <w:rPr>
                <w:rFonts w:asciiTheme="majorHAnsi" w:hAnsiTheme="majorHAnsi"/>
                <w:sz w:val="18"/>
                <w:szCs w:val="18"/>
              </w:rPr>
            </w:pPr>
            <w:r w:rsidRPr="00BF46C3">
              <w:rPr>
                <w:rFonts w:asciiTheme="majorHAnsi" w:hAnsiTheme="majorHAnsi"/>
                <w:sz w:val="18"/>
                <w:szCs w:val="18"/>
              </w:rPr>
              <w:t xml:space="preserve">2. Increase workforce participation by families experiencing vulnerability and disadvantage </w:t>
            </w:r>
          </w:p>
        </w:tc>
        <w:tc>
          <w:tcPr>
            <w:tcW w:w="1559" w:type="dxa"/>
          </w:tcPr>
          <w:p w14:paraId="027E9D0B"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43" w:type="dxa"/>
          </w:tcPr>
          <w:p w14:paraId="4E5B561C"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134" w:type="dxa"/>
          </w:tcPr>
          <w:p w14:paraId="210342F9"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443" w:type="dxa"/>
          </w:tcPr>
          <w:p w14:paraId="152D09ED"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bl>
    <w:p w14:paraId="39F48F08" w14:textId="77777777" w:rsidR="00A50C17" w:rsidRPr="00BF46C3" w:rsidRDefault="00A50C17" w:rsidP="00A50C17">
      <w:pPr>
        <w:rPr>
          <w:rFonts w:asciiTheme="majorHAnsi" w:hAnsiTheme="majorHAnsi"/>
        </w:rPr>
      </w:pPr>
    </w:p>
    <w:p w14:paraId="762009C8" w14:textId="77777777" w:rsidR="00A50C17" w:rsidRPr="00BF46C3" w:rsidRDefault="00A50C17" w:rsidP="00054089">
      <w:pPr>
        <w:pStyle w:val="Contacttext"/>
        <w:spacing w:after="170"/>
        <w:rPr>
          <w:rFonts w:asciiTheme="majorHAnsi" w:hAnsiTheme="majorHAnsi"/>
        </w:rPr>
      </w:pPr>
    </w:p>
    <w:p w14:paraId="462442BB" w14:textId="77777777" w:rsidR="00A50C17" w:rsidRPr="00BF46C3" w:rsidRDefault="00A50C17" w:rsidP="00A50C17">
      <w:pPr>
        <w:keepNext/>
        <w:rPr>
          <w:rFonts w:asciiTheme="majorHAnsi" w:hAnsiTheme="majorHAnsi"/>
        </w:rPr>
      </w:pPr>
      <w:r w:rsidRPr="00BF46C3">
        <w:rPr>
          <w:rFonts w:asciiTheme="majorHAnsi" w:hAnsiTheme="majorHAnsi"/>
        </w:rPr>
        <w:lastRenderedPageBreak/>
        <w:t>What kinds of vulnerability and disadvantage do children and families experience where you operate?</w:t>
      </w:r>
    </w:p>
    <w:p w14:paraId="27EAAE3A" w14:textId="77777777" w:rsidR="00A50C17" w:rsidRPr="00BF46C3" w:rsidRDefault="00A50C17" w:rsidP="00A50C17">
      <w:pPr>
        <w:keepNext/>
        <w:rPr>
          <w:rFonts w:asciiTheme="majorHAnsi" w:hAnsiTheme="majorHAnsi"/>
        </w:rPr>
      </w:pPr>
      <w:r w:rsidRPr="00BF46C3">
        <w:rPr>
          <w:rFonts w:asciiTheme="majorHAnsi" w:hAnsiTheme="majorHAnsi"/>
        </w:rPr>
        <w:t>Please use this space for any additional comments you have on the CCCFR grant objectives (optional)</w:t>
      </w:r>
    </w:p>
    <w:p w14:paraId="31C93D40" w14:textId="77777777" w:rsidR="00A50C17" w:rsidRPr="00BF46C3" w:rsidRDefault="00A50C17" w:rsidP="00A50C17">
      <w:pPr>
        <w:keepNext/>
        <w:rPr>
          <w:rFonts w:asciiTheme="majorHAnsi" w:hAnsiTheme="majorHAnsi"/>
        </w:rPr>
      </w:pPr>
      <w:r w:rsidRPr="00BF46C3">
        <w:rPr>
          <w:rFonts w:asciiTheme="majorHAnsi" w:hAnsiTheme="majorHAnsi"/>
        </w:rPr>
        <w:t>How important is the following for children at your service?</w:t>
      </w:r>
      <w:r w:rsidRPr="00BF46C3">
        <w:rPr>
          <w:rFonts w:asciiTheme="majorHAnsi" w:hAnsiTheme="majorHAnsi"/>
        </w:rPr>
        <w:br/>
      </w:r>
    </w:p>
    <w:tbl>
      <w:tblPr>
        <w:tblStyle w:val="QQuestionTable"/>
        <w:tblW w:w="9862" w:type="dxa"/>
        <w:tblLook w:val="07E0" w:firstRow="1" w:lastRow="1" w:firstColumn="1" w:lastColumn="1" w:noHBand="1" w:noVBand="1"/>
      </w:tblPr>
      <w:tblGrid>
        <w:gridCol w:w="3242"/>
        <w:gridCol w:w="1213"/>
        <w:gridCol w:w="2371"/>
        <w:gridCol w:w="1161"/>
        <w:gridCol w:w="1875"/>
      </w:tblGrid>
      <w:tr w:rsidR="00A50C17" w:rsidRPr="00BF46C3" w14:paraId="39C6B9DD" w14:textId="77777777" w:rsidTr="00F16797">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242" w:type="dxa"/>
          </w:tcPr>
          <w:p w14:paraId="103F9B11" w14:textId="77777777" w:rsidR="00A50C17" w:rsidRPr="00BF46C3" w:rsidRDefault="00A50C17" w:rsidP="00054089">
            <w:pPr>
              <w:keepNext/>
              <w:spacing w:after="0"/>
              <w:rPr>
                <w:rFonts w:asciiTheme="majorHAnsi" w:hAnsiTheme="majorHAnsi"/>
                <w:sz w:val="18"/>
                <w:szCs w:val="18"/>
              </w:rPr>
            </w:pPr>
          </w:p>
        </w:tc>
        <w:tc>
          <w:tcPr>
            <w:tcW w:w="1213" w:type="dxa"/>
          </w:tcPr>
          <w:p w14:paraId="732C9458"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Not important</w:t>
            </w:r>
          </w:p>
        </w:tc>
        <w:tc>
          <w:tcPr>
            <w:tcW w:w="2371" w:type="dxa"/>
          </w:tcPr>
          <w:p w14:paraId="1043E484"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Somewhat important</w:t>
            </w:r>
          </w:p>
        </w:tc>
        <w:tc>
          <w:tcPr>
            <w:tcW w:w="1161" w:type="dxa"/>
          </w:tcPr>
          <w:p w14:paraId="17A248D7"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Very important</w:t>
            </w:r>
          </w:p>
        </w:tc>
        <w:tc>
          <w:tcPr>
            <w:tcW w:w="1875" w:type="dxa"/>
          </w:tcPr>
          <w:p w14:paraId="47D10C03"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Not applicable</w:t>
            </w:r>
          </w:p>
        </w:tc>
      </w:tr>
      <w:tr w:rsidR="00A50C17" w:rsidRPr="00BF46C3" w14:paraId="4D756A57" w14:textId="77777777" w:rsidTr="00F16797">
        <w:trPr>
          <w:trHeight w:val="310"/>
        </w:trPr>
        <w:tc>
          <w:tcPr>
            <w:cnfStyle w:val="001000000000" w:firstRow="0" w:lastRow="0" w:firstColumn="1" w:lastColumn="0" w:oddVBand="0" w:evenVBand="0" w:oddHBand="0" w:evenHBand="0" w:firstRowFirstColumn="0" w:firstRowLastColumn="0" w:lastRowFirstColumn="0" w:lastRowLastColumn="0"/>
            <w:tcW w:w="3242" w:type="dxa"/>
          </w:tcPr>
          <w:p w14:paraId="17D526E8" w14:textId="7F9D42FB" w:rsidR="00A50C17" w:rsidRPr="00BF46C3" w:rsidRDefault="00A50C17" w:rsidP="00054089">
            <w:pPr>
              <w:keepNext/>
              <w:spacing w:after="0"/>
              <w:jc w:val="left"/>
              <w:rPr>
                <w:rFonts w:asciiTheme="majorHAnsi" w:hAnsiTheme="majorHAnsi"/>
                <w:sz w:val="18"/>
                <w:szCs w:val="18"/>
              </w:rPr>
            </w:pPr>
            <w:r w:rsidRPr="00BF46C3">
              <w:rPr>
                <w:rFonts w:asciiTheme="majorHAnsi" w:hAnsiTheme="majorHAnsi"/>
                <w:sz w:val="18"/>
                <w:szCs w:val="18"/>
              </w:rPr>
              <w:t>Being ready for school - being able to talk, read</w:t>
            </w:r>
            <w:r w:rsidR="002E497C">
              <w:rPr>
                <w:rFonts w:asciiTheme="majorHAnsi" w:hAnsiTheme="majorHAnsi"/>
                <w:sz w:val="18"/>
                <w:szCs w:val="18"/>
              </w:rPr>
              <w:t xml:space="preserve"> </w:t>
            </w:r>
            <w:r w:rsidRPr="00BF46C3">
              <w:rPr>
                <w:rFonts w:asciiTheme="majorHAnsi" w:hAnsiTheme="majorHAnsi"/>
                <w:sz w:val="18"/>
                <w:szCs w:val="18"/>
              </w:rPr>
              <w:t xml:space="preserve">and count </w:t>
            </w:r>
          </w:p>
        </w:tc>
        <w:tc>
          <w:tcPr>
            <w:tcW w:w="1213" w:type="dxa"/>
          </w:tcPr>
          <w:p w14:paraId="67426107"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371" w:type="dxa"/>
          </w:tcPr>
          <w:p w14:paraId="78914612"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61" w:type="dxa"/>
          </w:tcPr>
          <w:p w14:paraId="783A1C64"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75" w:type="dxa"/>
          </w:tcPr>
          <w:p w14:paraId="68603245"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3B62E8AB" w14:textId="77777777" w:rsidTr="00F16797">
        <w:trPr>
          <w:trHeight w:val="305"/>
        </w:trPr>
        <w:tc>
          <w:tcPr>
            <w:cnfStyle w:val="001000000000" w:firstRow="0" w:lastRow="0" w:firstColumn="1" w:lastColumn="0" w:oddVBand="0" w:evenVBand="0" w:oddHBand="0" w:evenHBand="0" w:firstRowFirstColumn="0" w:firstRowLastColumn="0" w:lastRowFirstColumn="0" w:lastRowLastColumn="0"/>
            <w:tcW w:w="3242" w:type="dxa"/>
          </w:tcPr>
          <w:p w14:paraId="2C7D6D50" w14:textId="77777777" w:rsidR="00A50C17" w:rsidRPr="00BF46C3" w:rsidRDefault="00A50C17" w:rsidP="00054089">
            <w:pPr>
              <w:keepNext/>
              <w:spacing w:after="0"/>
              <w:jc w:val="left"/>
              <w:rPr>
                <w:rFonts w:asciiTheme="majorHAnsi" w:hAnsiTheme="majorHAnsi"/>
                <w:sz w:val="18"/>
                <w:szCs w:val="18"/>
              </w:rPr>
            </w:pPr>
            <w:r w:rsidRPr="00BF46C3">
              <w:rPr>
                <w:rFonts w:asciiTheme="majorHAnsi" w:hAnsiTheme="majorHAnsi"/>
                <w:sz w:val="18"/>
                <w:szCs w:val="18"/>
              </w:rPr>
              <w:t xml:space="preserve">Being strong in their culture and who they are </w:t>
            </w:r>
          </w:p>
        </w:tc>
        <w:tc>
          <w:tcPr>
            <w:tcW w:w="1213" w:type="dxa"/>
          </w:tcPr>
          <w:p w14:paraId="62D76A81"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2371" w:type="dxa"/>
          </w:tcPr>
          <w:p w14:paraId="7D1DCBE6"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61" w:type="dxa"/>
          </w:tcPr>
          <w:p w14:paraId="7B242C1D"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75" w:type="dxa"/>
          </w:tcPr>
          <w:p w14:paraId="35BD5497"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3813DA38" w14:textId="77777777" w:rsidTr="00F16797">
        <w:trPr>
          <w:trHeight w:val="310"/>
        </w:trPr>
        <w:tc>
          <w:tcPr>
            <w:cnfStyle w:val="001000000000" w:firstRow="0" w:lastRow="0" w:firstColumn="1" w:lastColumn="0" w:oddVBand="0" w:evenVBand="0" w:oddHBand="0" w:evenHBand="0" w:firstRowFirstColumn="0" w:firstRowLastColumn="0" w:lastRowFirstColumn="0" w:lastRowLastColumn="0"/>
            <w:tcW w:w="3242" w:type="dxa"/>
          </w:tcPr>
          <w:p w14:paraId="5C84AA5B" w14:textId="77777777" w:rsidR="00A50C17" w:rsidRPr="00BF46C3" w:rsidRDefault="00A50C17" w:rsidP="00054089">
            <w:pPr>
              <w:keepNext/>
              <w:spacing w:after="0"/>
              <w:jc w:val="left"/>
              <w:rPr>
                <w:rFonts w:asciiTheme="majorHAnsi" w:hAnsiTheme="majorHAnsi"/>
                <w:sz w:val="18"/>
                <w:szCs w:val="18"/>
              </w:rPr>
            </w:pPr>
            <w:r w:rsidRPr="00BF46C3">
              <w:rPr>
                <w:rFonts w:asciiTheme="majorHAnsi" w:hAnsiTheme="majorHAnsi"/>
                <w:sz w:val="18"/>
                <w:szCs w:val="18"/>
              </w:rPr>
              <w:t xml:space="preserve">Social skills - making friends and being confident </w:t>
            </w:r>
          </w:p>
        </w:tc>
        <w:tc>
          <w:tcPr>
            <w:tcW w:w="1213" w:type="dxa"/>
          </w:tcPr>
          <w:p w14:paraId="688854C6"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2371" w:type="dxa"/>
          </w:tcPr>
          <w:p w14:paraId="51292976"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61" w:type="dxa"/>
          </w:tcPr>
          <w:p w14:paraId="33288589"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75" w:type="dxa"/>
          </w:tcPr>
          <w:p w14:paraId="3497A14D"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7AEDA90E" w14:textId="77777777" w:rsidTr="00F16797">
        <w:trPr>
          <w:trHeight w:val="639"/>
        </w:trPr>
        <w:tc>
          <w:tcPr>
            <w:cnfStyle w:val="001000000000" w:firstRow="0" w:lastRow="0" w:firstColumn="1" w:lastColumn="0" w:oddVBand="0" w:evenVBand="0" w:oddHBand="0" w:evenHBand="0" w:firstRowFirstColumn="0" w:firstRowLastColumn="0" w:lastRowFirstColumn="0" w:lastRowLastColumn="0"/>
            <w:tcW w:w="3242" w:type="dxa"/>
          </w:tcPr>
          <w:p w14:paraId="6CA7689D" w14:textId="0844D6A2" w:rsidR="00A50C17" w:rsidRPr="00BF46C3" w:rsidRDefault="00A50C17" w:rsidP="00054089">
            <w:pPr>
              <w:keepNext/>
              <w:spacing w:after="0"/>
              <w:jc w:val="left"/>
              <w:rPr>
                <w:rFonts w:asciiTheme="majorHAnsi" w:hAnsiTheme="majorHAnsi"/>
                <w:sz w:val="18"/>
                <w:szCs w:val="18"/>
              </w:rPr>
            </w:pPr>
            <w:r w:rsidRPr="00BF46C3">
              <w:rPr>
                <w:rFonts w:asciiTheme="majorHAnsi" w:hAnsiTheme="majorHAnsi"/>
                <w:sz w:val="18"/>
                <w:szCs w:val="18"/>
              </w:rPr>
              <w:t>Access to health, community, and social services - such as seeing a nurse, dentist, speech pathologist,</w:t>
            </w:r>
            <w:r w:rsidR="002E497C">
              <w:rPr>
                <w:rFonts w:asciiTheme="majorHAnsi" w:hAnsiTheme="majorHAnsi"/>
                <w:sz w:val="18"/>
                <w:szCs w:val="18"/>
              </w:rPr>
              <w:t xml:space="preserve"> </w:t>
            </w:r>
            <w:r w:rsidRPr="00BF46C3">
              <w:rPr>
                <w:rFonts w:asciiTheme="majorHAnsi" w:hAnsiTheme="majorHAnsi"/>
                <w:sz w:val="18"/>
                <w:szCs w:val="18"/>
              </w:rPr>
              <w:t xml:space="preserve">or social worker </w:t>
            </w:r>
          </w:p>
        </w:tc>
        <w:tc>
          <w:tcPr>
            <w:tcW w:w="1213" w:type="dxa"/>
          </w:tcPr>
          <w:p w14:paraId="6D6539CE"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2371" w:type="dxa"/>
          </w:tcPr>
          <w:p w14:paraId="5F678DE4"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61" w:type="dxa"/>
          </w:tcPr>
          <w:p w14:paraId="22BB5FFD"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75" w:type="dxa"/>
          </w:tcPr>
          <w:p w14:paraId="095E1F91"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0ABCA31D" w14:textId="77777777" w:rsidTr="00F16797">
        <w:trPr>
          <w:trHeight w:val="475"/>
        </w:trPr>
        <w:tc>
          <w:tcPr>
            <w:cnfStyle w:val="001000000000" w:firstRow="0" w:lastRow="0" w:firstColumn="1" w:lastColumn="0" w:oddVBand="0" w:evenVBand="0" w:oddHBand="0" w:evenHBand="0" w:firstRowFirstColumn="0" w:firstRowLastColumn="0" w:lastRowFirstColumn="0" w:lastRowLastColumn="0"/>
            <w:tcW w:w="3242" w:type="dxa"/>
          </w:tcPr>
          <w:p w14:paraId="0A7B84D0" w14:textId="77777777" w:rsidR="00A50C17" w:rsidRPr="00BF46C3" w:rsidRDefault="00A50C17" w:rsidP="00054089">
            <w:pPr>
              <w:keepNext/>
              <w:spacing w:after="0"/>
              <w:jc w:val="left"/>
              <w:rPr>
                <w:rFonts w:asciiTheme="majorHAnsi" w:hAnsiTheme="majorHAnsi"/>
                <w:sz w:val="18"/>
                <w:szCs w:val="18"/>
              </w:rPr>
            </w:pPr>
            <w:r w:rsidRPr="00BF46C3">
              <w:rPr>
                <w:rFonts w:asciiTheme="majorHAnsi" w:hAnsiTheme="majorHAnsi"/>
                <w:sz w:val="18"/>
                <w:szCs w:val="18"/>
              </w:rPr>
              <w:t xml:space="preserve">Keeping healthy - accessing nutritious food and hygienic practices at the service </w:t>
            </w:r>
          </w:p>
        </w:tc>
        <w:tc>
          <w:tcPr>
            <w:tcW w:w="1213" w:type="dxa"/>
          </w:tcPr>
          <w:p w14:paraId="3FA2C374"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2371" w:type="dxa"/>
          </w:tcPr>
          <w:p w14:paraId="62311334"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61" w:type="dxa"/>
          </w:tcPr>
          <w:p w14:paraId="0FBA9879"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75" w:type="dxa"/>
          </w:tcPr>
          <w:p w14:paraId="047800A0"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bl>
    <w:p w14:paraId="01CA50BA" w14:textId="77777777" w:rsidR="00A50C17" w:rsidRPr="00BF46C3" w:rsidRDefault="00A50C17" w:rsidP="00A50C17">
      <w:pPr>
        <w:rPr>
          <w:rFonts w:asciiTheme="majorHAnsi" w:hAnsiTheme="majorHAnsi"/>
        </w:rPr>
      </w:pPr>
    </w:p>
    <w:p w14:paraId="4987A418" w14:textId="77777777" w:rsidR="00A50C17" w:rsidRPr="00BF46C3" w:rsidRDefault="00A50C17" w:rsidP="00A50C17">
      <w:pPr>
        <w:rPr>
          <w:rFonts w:asciiTheme="majorHAnsi" w:hAnsiTheme="majorHAnsi"/>
        </w:rPr>
      </w:pPr>
    </w:p>
    <w:p w14:paraId="61B7A61E" w14:textId="77777777" w:rsidR="00A50C17" w:rsidRPr="00BF46C3" w:rsidRDefault="00A50C17" w:rsidP="00A50C17">
      <w:pPr>
        <w:keepNext/>
        <w:rPr>
          <w:rFonts w:asciiTheme="majorHAnsi" w:hAnsiTheme="majorHAnsi"/>
        </w:rPr>
      </w:pPr>
      <w:r w:rsidRPr="00BF46C3">
        <w:rPr>
          <w:rFonts w:asciiTheme="majorHAnsi" w:hAnsiTheme="majorHAnsi"/>
        </w:rPr>
        <w:lastRenderedPageBreak/>
        <w:t>Please use this space for any additional comments you have on how children service benefit from your service (optional)</w:t>
      </w:r>
    </w:p>
    <w:p w14:paraId="5DCC5E4C" w14:textId="77777777" w:rsidR="00F16797" w:rsidRDefault="00A50C17" w:rsidP="00F16797">
      <w:pPr>
        <w:pStyle w:val="Appendixhead3"/>
      </w:pPr>
      <w:r w:rsidRPr="00BF46C3">
        <w:t>Your service and the CCCFR grant</w:t>
      </w:r>
    </w:p>
    <w:p w14:paraId="2A20A155" w14:textId="22463CBD" w:rsidR="00A50C17" w:rsidRPr="00BF46C3" w:rsidRDefault="00A50C17" w:rsidP="00A50C17">
      <w:pPr>
        <w:keepNext/>
        <w:rPr>
          <w:rFonts w:asciiTheme="majorHAnsi" w:hAnsiTheme="majorHAnsi"/>
        </w:rPr>
      </w:pPr>
      <w:r w:rsidRPr="00BF46C3">
        <w:rPr>
          <w:rFonts w:asciiTheme="majorHAnsi" w:hAnsiTheme="majorHAnsi"/>
        </w:rPr>
        <w:t>This section aims to explore how your service is able to use the CCCFR grant to meet the needs of children, families and communities. </w:t>
      </w:r>
    </w:p>
    <w:p w14:paraId="40D9F55F" w14:textId="7B94F101" w:rsidR="00A50C17" w:rsidRPr="00BF46C3" w:rsidRDefault="00A50C17" w:rsidP="00A50C17">
      <w:pPr>
        <w:keepNext/>
        <w:rPr>
          <w:rFonts w:asciiTheme="majorHAnsi" w:hAnsiTheme="majorHAnsi"/>
        </w:rPr>
      </w:pPr>
      <w:r w:rsidRPr="00BF46C3">
        <w:rPr>
          <w:rFonts w:asciiTheme="majorHAnsi" w:hAnsiTheme="majorHAnsi"/>
        </w:rPr>
        <w:t>For each of the below, how much does the CCCFR grant help your service? </w:t>
      </w:r>
      <w:r w:rsidRPr="00BF46C3">
        <w:rPr>
          <w:rFonts w:asciiTheme="majorHAnsi" w:hAnsiTheme="majorHAnsi"/>
        </w:rPr>
        <w:br/>
      </w:r>
      <w:r w:rsidRPr="00BF46C3">
        <w:rPr>
          <w:rFonts w:asciiTheme="majorHAnsi" w:hAnsiTheme="majorHAnsi"/>
          <w:i/>
        </w:rPr>
        <w:t>Please indicate how much the CCCFR grant helps your service for all items that apply</w:t>
      </w:r>
      <w:r w:rsidRPr="00BF46C3">
        <w:rPr>
          <w:rFonts w:asciiTheme="majorHAnsi" w:hAnsiTheme="majorHAnsi"/>
        </w:rPr>
        <w:br/>
      </w:r>
    </w:p>
    <w:tbl>
      <w:tblPr>
        <w:tblStyle w:val="QQuestionTable"/>
        <w:tblW w:w="9436" w:type="dxa"/>
        <w:tblLayout w:type="fixed"/>
        <w:tblLook w:val="07E0" w:firstRow="1" w:lastRow="1" w:firstColumn="1" w:lastColumn="1" w:noHBand="1" w:noVBand="1"/>
      </w:tblPr>
      <w:tblGrid>
        <w:gridCol w:w="3110"/>
        <w:gridCol w:w="1150"/>
        <w:gridCol w:w="1811"/>
        <w:gridCol w:w="1617"/>
        <w:gridCol w:w="1748"/>
      </w:tblGrid>
      <w:tr w:rsidR="00A50C17" w:rsidRPr="00BF46C3" w14:paraId="57E876A8" w14:textId="77777777" w:rsidTr="00F16797">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110" w:type="dxa"/>
          </w:tcPr>
          <w:p w14:paraId="04A71FE6" w14:textId="77777777" w:rsidR="00A50C17" w:rsidRPr="00BF46C3" w:rsidRDefault="00A50C17" w:rsidP="00054089">
            <w:pPr>
              <w:keepNext/>
              <w:spacing w:after="0"/>
              <w:rPr>
                <w:rFonts w:asciiTheme="majorHAnsi" w:hAnsiTheme="majorHAnsi"/>
                <w:sz w:val="18"/>
                <w:szCs w:val="18"/>
              </w:rPr>
            </w:pPr>
          </w:p>
        </w:tc>
        <w:tc>
          <w:tcPr>
            <w:tcW w:w="1150" w:type="dxa"/>
          </w:tcPr>
          <w:p w14:paraId="1A7F5AA0"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Does not help</w:t>
            </w:r>
          </w:p>
        </w:tc>
        <w:tc>
          <w:tcPr>
            <w:tcW w:w="1811" w:type="dxa"/>
          </w:tcPr>
          <w:p w14:paraId="22C47C13"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Helps a bit</w:t>
            </w:r>
          </w:p>
        </w:tc>
        <w:tc>
          <w:tcPr>
            <w:tcW w:w="1617" w:type="dxa"/>
          </w:tcPr>
          <w:p w14:paraId="66D8B779"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Helps a lot</w:t>
            </w:r>
          </w:p>
        </w:tc>
        <w:tc>
          <w:tcPr>
            <w:tcW w:w="1748" w:type="dxa"/>
          </w:tcPr>
          <w:p w14:paraId="23037D3E"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Not applicable</w:t>
            </w:r>
          </w:p>
        </w:tc>
      </w:tr>
      <w:tr w:rsidR="00A50C17" w:rsidRPr="00BF46C3" w14:paraId="1425F788" w14:textId="77777777" w:rsidTr="00F16797">
        <w:trPr>
          <w:trHeight w:val="362"/>
        </w:trPr>
        <w:tc>
          <w:tcPr>
            <w:cnfStyle w:val="001000000000" w:firstRow="0" w:lastRow="0" w:firstColumn="1" w:lastColumn="0" w:oddVBand="0" w:evenVBand="0" w:oddHBand="0" w:evenHBand="0" w:firstRowFirstColumn="0" w:firstRowLastColumn="0" w:lastRowFirstColumn="0" w:lastRowLastColumn="0"/>
            <w:tcW w:w="3110" w:type="dxa"/>
          </w:tcPr>
          <w:p w14:paraId="0C1D01A5"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Improve the quality of child care </w:t>
            </w:r>
          </w:p>
        </w:tc>
        <w:tc>
          <w:tcPr>
            <w:tcW w:w="1150" w:type="dxa"/>
          </w:tcPr>
          <w:p w14:paraId="4FD4DF06"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11" w:type="dxa"/>
          </w:tcPr>
          <w:p w14:paraId="347CB8FB"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617" w:type="dxa"/>
          </w:tcPr>
          <w:p w14:paraId="2FD139D2"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748" w:type="dxa"/>
          </w:tcPr>
          <w:p w14:paraId="08A3EF74"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6177BA8F" w14:textId="77777777" w:rsidTr="00F16797">
        <w:trPr>
          <w:trHeight w:val="362"/>
        </w:trPr>
        <w:tc>
          <w:tcPr>
            <w:cnfStyle w:val="001000000000" w:firstRow="0" w:lastRow="0" w:firstColumn="1" w:lastColumn="0" w:oddVBand="0" w:evenVBand="0" w:oddHBand="0" w:evenHBand="0" w:firstRowFirstColumn="0" w:firstRowLastColumn="0" w:lastRowFirstColumn="0" w:lastRowLastColumn="0"/>
            <w:tcW w:w="3110" w:type="dxa"/>
          </w:tcPr>
          <w:p w14:paraId="0F95CD56"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Improve access and inclusion of child care </w:t>
            </w:r>
          </w:p>
        </w:tc>
        <w:tc>
          <w:tcPr>
            <w:tcW w:w="1150" w:type="dxa"/>
          </w:tcPr>
          <w:p w14:paraId="00F3272D"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11" w:type="dxa"/>
          </w:tcPr>
          <w:p w14:paraId="0B328F0A"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617" w:type="dxa"/>
          </w:tcPr>
          <w:p w14:paraId="2DA6341F"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748" w:type="dxa"/>
          </w:tcPr>
          <w:p w14:paraId="5C2A6529"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60FB4678" w14:textId="77777777" w:rsidTr="00F16797">
        <w:trPr>
          <w:trHeight w:val="362"/>
        </w:trPr>
        <w:tc>
          <w:tcPr>
            <w:cnfStyle w:val="001000000000" w:firstRow="0" w:lastRow="0" w:firstColumn="1" w:lastColumn="0" w:oddVBand="0" w:evenVBand="0" w:oddHBand="0" w:evenHBand="0" w:firstRowFirstColumn="0" w:firstRowLastColumn="0" w:lastRowFirstColumn="0" w:lastRowLastColumn="0"/>
            <w:tcW w:w="3110" w:type="dxa"/>
          </w:tcPr>
          <w:p w14:paraId="493CEE3E"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Ensure the service is financially viable </w:t>
            </w:r>
          </w:p>
        </w:tc>
        <w:tc>
          <w:tcPr>
            <w:tcW w:w="1150" w:type="dxa"/>
          </w:tcPr>
          <w:p w14:paraId="418CA8C0"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11" w:type="dxa"/>
          </w:tcPr>
          <w:p w14:paraId="4C329AA0"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617" w:type="dxa"/>
          </w:tcPr>
          <w:p w14:paraId="4C62D3E6"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748" w:type="dxa"/>
          </w:tcPr>
          <w:p w14:paraId="06680E5A"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3E92831B" w14:textId="77777777" w:rsidTr="00F16797">
        <w:trPr>
          <w:trHeight w:val="362"/>
        </w:trPr>
        <w:tc>
          <w:tcPr>
            <w:cnfStyle w:val="001000000000" w:firstRow="0" w:lastRow="0" w:firstColumn="1" w:lastColumn="0" w:oddVBand="0" w:evenVBand="0" w:oddHBand="0" w:evenHBand="0" w:firstRowFirstColumn="0" w:firstRowLastColumn="0" w:lastRowFirstColumn="0" w:lastRowLastColumn="0"/>
            <w:tcW w:w="3110" w:type="dxa"/>
          </w:tcPr>
          <w:p w14:paraId="22CB5724"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Reduce the universal cost of child care </w:t>
            </w:r>
          </w:p>
        </w:tc>
        <w:tc>
          <w:tcPr>
            <w:tcW w:w="1150" w:type="dxa"/>
          </w:tcPr>
          <w:p w14:paraId="6DDAC8FB"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11" w:type="dxa"/>
          </w:tcPr>
          <w:p w14:paraId="7D5D3B44"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617" w:type="dxa"/>
          </w:tcPr>
          <w:p w14:paraId="7CB7AA18"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748" w:type="dxa"/>
          </w:tcPr>
          <w:p w14:paraId="2D054771"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339896EA" w14:textId="77777777" w:rsidTr="00F16797">
        <w:trPr>
          <w:trHeight w:val="498"/>
        </w:trPr>
        <w:tc>
          <w:tcPr>
            <w:cnfStyle w:val="001000000000" w:firstRow="0" w:lastRow="0" w:firstColumn="1" w:lastColumn="0" w:oddVBand="0" w:evenVBand="0" w:oddHBand="0" w:evenHBand="0" w:firstRowFirstColumn="0" w:firstRowLastColumn="0" w:lastRowFirstColumn="0" w:lastRowLastColumn="0"/>
            <w:tcW w:w="3110" w:type="dxa"/>
          </w:tcPr>
          <w:p w14:paraId="15BC8079"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Allow targeted fee reductions or fee waivers (in addition to CCS/ACCS) </w:t>
            </w:r>
          </w:p>
        </w:tc>
        <w:tc>
          <w:tcPr>
            <w:tcW w:w="1150" w:type="dxa"/>
          </w:tcPr>
          <w:p w14:paraId="7B995761"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11" w:type="dxa"/>
          </w:tcPr>
          <w:p w14:paraId="44BA11A2"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617" w:type="dxa"/>
          </w:tcPr>
          <w:p w14:paraId="3143552F"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748" w:type="dxa"/>
          </w:tcPr>
          <w:p w14:paraId="7F27C409"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7124FF6D" w14:textId="77777777" w:rsidTr="00F16797">
        <w:trPr>
          <w:trHeight w:val="362"/>
        </w:trPr>
        <w:tc>
          <w:tcPr>
            <w:cnfStyle w:val="001000000000" w:firstRow="0" w:lastRow="0" w:firstColumn="1" w:lastColumn="0" w:oddVBand="0" w:evenVBand="0" w:oddHBand="0" w:evenHBand="0" w:firstRowFirstColumn="0" w:firstRowLastColumn="0" w:lastRowFirstColumn="0" w:lastRowLastColumn="0"/>
            <w:tcW w:w="3110" w:type="dxa"/>
          </w:tcPr>
          <w:p w14:paraId="7FE25C68"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Employ local staff at the service </w:t>
            </w:r>
          </w:p>
        </w:tc>
        <w:tc>
          <w:tcPr>
            <w:tcW w:w="1150" w:type="dxa"/>
          </w:tcPr>
          <w:p w14:paraId="29FFF3F9"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11" w:type="dxa"/>
          </w:tcPr>
          <w:p w14:paraId="5B3F6A67"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617" w:type="dxa"/>
          </w:tcPr>
          <w:p w14:paraId="2AE1CE2E"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748" w:type="dxa"/>
          </w:tcPr>
          <w:p w14:paraId="33AF8F9B"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bl>
    <w:p w14:paraId="3367FBCC" w14:textId="77777777" w:rsidR="00A50C17" w:rsidRPr="00BF46C3" w:rsidRDefault="00A50C17" w:rsidP="00054089">
      <w:pPr>
        <w:pStyle w:val="Contacttext"/>
        <w:spacing w:after="170"/>
        <w:rPr>
          <w:rFonts w:asciiTheme="majorHAnsi" w:hAnsiTheme="majorHAnsi"/>
        </w:rPr>
      </w:pPr>
    </w:p>
    <w:p w14:paraId="37339D0C" w14:textId="77777777" w:rsidR="00A50C17" w:rsidRPr="00BF46C3" w:rsidRDefault="00A50C17" w:rsidP="00A50C17">
      <w:pPr>
        <w:keepNext/>
        <w:rPr>
          <w:rFonts w:asciiTheme="majorHAnsi" w:hAnsiTheme="majorHAnsi"/>
        </w:rPr>
      </w:pPr>
      <w:r w:rsidRPr="00BF46C3">
        <w:rPr>
          <w:rFonts w:asciiTheme="majorHAnsi" w:hAnsiTheme="majorHAnsi"/>
        </w:rPr>
        <w:t>Please use this space to describe any other ways the CCCFR grant helps your service, or to provide any further detail on your answers above (optional)</w:t>
      </w:r>
    </w:p>
    <w:p w14:paraId="30BF319B" w14:textId="77777777" w:rsidR="00A50C17" w:rsidRPr="00BF46C3" w:rsidRDefault="00A50C17" w:rsidP="00A50C17">
      <w:pPr>
        <w:keepNext/>
        <w:rPr>
          <w:rFonts w:asciiTheme="majorHAnsi" w:hAnsiTheme="majorHAnsi"/>
        </w:rPr>
      </w:pPr>
      <w:r w:rsidRPr="00BF46C3">
        <w:rPr>
          <w:rFonts w:asciiTheme="majorHAnsi" w:hAnsiTheme="majorHAnsi"/>
        </w:rPr>
        <w:t>How could the CCCFR grant be improved to help your service meet the needs of the communities where you operate? </w:t>
      </w:r>
      <w:r w:rsidRPr="00BF46C3">
        <w:rPr>
          <w:rFonts w:asciiTheme="majorHAnsi" w:hAnsiTheme="majorHAnsi"/>
        </w:rPr>
        <w:br/>
      </w:r>
      <w:r w:rsidRPr="00BF46C3">
        <w:rPr>
          <w:rFonts w:asciiTheme="majorHAnsi" w:hAnsiTheme="majorHAnsi"/>
        </w:rPr>
        <w:lastRenderedPageBreak/>
        <w:br/>
      </w:r>
      <w:r w:rsidRPr="00BF46C3">
        <w:rPr>
          <w:rFonts w:asciiTheme="majorHAnsi" w:hAnsiTheme="majorHAnsi"/>
          <w:i/>
        </w:rPr>
        <w:t>Please indicate a score for all items that apply</w:t>
      </w:r>
    </w:p>
    <w:tbl>
      <w:tblPr>
        <w:tblStyle w:val="QQuestionTable"/>
        <w:tblW w:w="9054" w:type="dxa"/>
        <w:tblLook w:val="07E0" w:firstRow="1" w:lastRow="1" w:firstColumn="1" w:lastColumn="1" w:noHBand="1" w:noVBand="1"/>
      </w:tblPr>
      <w:tblGrid>
        <w:gridCol w:w="3129"/>
        <w:gridCol w:w="1137"/>
        <w:gridCol w:w="1706"/>
        <w:gridCol w:w="1254"/>
        <w:gridCol w:w="1828"/>
      </w:tblGrid>
      <w:tr w:rsidR="00A50C17" w:rsidRPr="00BF46C3" w14:paraId="25E06197" w14:textId="77777777" w:rsidTr="00F16797">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129" w:type="dxa"/>
          </w:tcPr>
          <w:p w14:paraId="31DEE006" w14:textId="77777777" w:rsidR="00A50C17" w:rsidRPr="00BF46C3" w:rsidRDefault="00A50C17" w:rsidP="00F16797">
            <w:pPr>
              <w:keepNext/>
              <w:spacing w:after="0"/>
              <w:rPr>
                <w:rFonts w:asciiTheme="majorHAnsi" w:hAnsiTheme="majorHAnsi"/>
                <w:sz w:val="18"/>
                <w:szCs w:val="18"/>
              </w:rPr>
            </w:pPr>
          </w:p>
        </w:tc>
        <w:tc>
          <w:tcPr>
            <w:tcW w:w="1137" w:type="dxa"/>
          </w:tcPr>
          <w:p w14:paraId="4E45226A"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Would not help</w:t>
            </w:r>
          </w:p>
        </w:tc>
        <w:tc>
          <w:tcPr>
            <w:tcW w:w="1706" w:type="dxa"/>
          </w:tcPr>
          <w:p w14:paraId="4D462D59"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Would help a bit</w:t>
            </w:r>
          </w:p>
        </w:tc>
        <w:tc>
          <w:tcPr>
            <w:tcW w:w="1254" w:type="dxa"/>
          </w:tcPr>
          <w:p w14:paraId="18469E4E"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Would help a lot</w:t>
            </w:r>
          </w:p>
        </w:tc>
        <w:tc>
          <w:tcPr>
            <w:tcW w:w="1828" w:type="dxa"/>
          </w:tcPr>
          <w:p w14:paraId="6833CA2F"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Not applicable</w:t>
            </w:r>
          </w:p>
        </w:tc>
      </w:tr>
      <w:tr w:rsidR="00A50C17" w:rsidRPr="00BF46C3" w14:paraId="10C54C16" w14:textId="77777777" w:rsidTr="00F16797">
        <w:trPr>
          <w:trHeight w:val="275"/>
        </w:trPr>
        <w:tc>
          <w:tcPr>
            <w:cnfStyle w:val="001000000000" w:firstRow="0" w:lastRow="0" w:firstColumn="1" w:lastColumn="0" w:oddVBand="0" w:evenVBand="0" w:oddHBand="0" w:evenHBand="0" w:firstRowFirstColumn="0" w:firstRowLastColumn="0" w:lastRowFirstColumn="0" w:lastRowLastColumn="0"/>
            <w:tcW w:w="3129" w:type="dxa"/>
          </w:tcPr>
          <w:p w14:paraId="2C0CA2A4" w14:textId="77777777" w:rsidR="00A50C17" w:rsidRPr="00BF46C3" w:rsidRDefault="00A50C17" w:rsidP="00F16797">
            <w:pPr>
              <w:keepNext/>
              <w:spacing w:after="0"/>
              <w:rPr>
                <w:rFonts w:asciiTheme="majorHAnsi" w:hAnsiTheme="majorHAnsi"/>
                <w:sz w:val="18"/>
                <w:szCs w:val="18"/>
              </w:rPr>
            </w:pPr>
            <w:r w:rsidRPr="00BF46C3">
              <w:rPr>
                <w:rFonts w:asciiTheme="majorHAnsi" w:hAnsiTheme="majorHAnsi"/>
                <w:sz w:val="18"/>
                <w:szCs w:val="18"/>
              </w:rPr>
              <w:t xml:space="preserve">Increased funding </w:t>
            </w:r>
          </w:p>
        </w:tc>
        <w:tc>
          <w:tcPr>
            <w:tcW w:w="1137" w:type="dxa"/>
          </w:tcPr>
          <w:p w14:paraId="7BC83DAC"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706" w:type="dxa"/>
          </w:tcPr>
          <w:p w14:paraId="4BF2F65B"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54" w:type="dxa"/>
          </w:tcPr>
          <w:p w14:paraId="42E1D919"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28" w:type="dxa"/>
          </w:tcPr>
          <w:p w14:paraId="6D527E54"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0273F694" w14:textId="77777777" w:rsidTr="00F16797">
        <w:trPr>
          <w:trHeight w:val="283"/>
        </w:trPr>
        <w:tc>
          <w:tcPr>
            <w:cnfStyle w:val="001000000000" w:firstRow="0" w:lastRow="0" w:firstColumn="1" w:lastColumn="0" w:oddVBand="0" w:evenVBand="0" w:oddHBand="0" w:evenHBand="0" w:firstRowFirstColumn="0" w:firstRowLastColumn="0" w:lastRowFirstColumn="0" w:lastRowLastColumn="0"/>
            <w:tcW w:w="3129" w:type="dxa"/>
          </w:tcPr>
          <w:p w14:paraId="7C04AD4C" w14:textId="77777777" w:rsidR="00A50C17" w:rsidRPr="00BF46C3" w:rsidRDefault="00A50C17" w:rsidP="00F16797">
            <w:pPr>
              <w:keepNext/>
              <w:spacing w:after="0"/>
              <w:rPr>
                <w:rFonts w:asciiTheme="majorHAnsi" w:hAnsiTheme="majorHAnsi"/>
                <w:sz w:val="18"/>
                <w:szCs w:val="18"/>
              </w:rPr>
            </w:pPr>
            <w:r w:rsidRPr="00BF46C3">
              <w:rPr>
                <w:rFonts w:asciiTheme="majorHAnsi" w:hAnsiTheme="majorHAnsi"/>
                <w:sz w:val="18"/>
                <w:szCs w:val="18"/>
              </w:rPr>
              <w:t xml:space="preserve">Changes to grant conditions </w:t>
            </w:r>
          </w:p>
        </w:tc>
        <w:tc>
          <w:tcPr>
            <w:tcW w:w="1137" w:type="dxa"/>
          </w:tcPr>
          <w:p w14:paraId="5A793D7C"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706" w:type="dxa"/>
          </w:tcPr>
          <w:p w14:paraId="7838A811"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54" w:type="dxa"/>
          </w:tcPr>
          <w:p w14:paraId="30949534"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28" w:type="dxa"/>
          </w:tcPr>
          <w:p w14:paraId="4F2CBDA3"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4408554D" w14:textId="77777777" w:rsidTr="00F16797">
        <w:trPr>
          <w:trHeight w:val="333"/>
        </w:trPr>
        <w:tc>
          <w:tcPr>
            <w:cnfStyle w:val="001000000000" w:firstRow="0" w:lastRow="0" w:firstColumn="1" w:lastColumn="0" w:oddVBand="0" w:evenVBand="0" w:oddHBand="0" w:evenHBand="0" w:firstRowFirstColumn="0" w:firstRowLastColumn="0" w:lastRowFirstColumn="0" w:lastRowLastColumn="0"/>
            <w:tcW w:w="3129" w:type="dxa"/>
          </w:tcPr>
          <w:p w14:paraId="35C72F82" w14:textId="77777777" w:rsidR="00A50C17" w:rsidRPr="00BF46C3" w:rsidRDefault="00A50C17" w:rsidP="00F16797">
            <w:pPr>
              <w:keepNext/>
              <w:spacing w:after="0"/>
              <w:rPr>
                <w:rFonts w:asciiTheme="majorHAnsi" w:hAnsiTheme="majorHAnsi"/>
                <w:sz w:val="18"/>
                <w:szCs w:val="18"/>
              </w:rPr>
            </w:pPr>
            <w:r w:rsidRPr="00BF46C3">
              <w:rPr>
                <w:rFonts w:asciiTheme="majorHAnsi" w:hAnsiTheme="majorHAnsi"/>
                <w:sz w:val="18"/>
                <w:szCs w:val="18"/>
              </w:rPr>
              <w:t xml:space="preserve">Increased support to recruit, retain and/or train staff </w:t>
            </w:r>
          </w:p>
        </w:tc>
        <w:tc>
          <w:tcPr>
            <w:tcW w:w="1137" w:type="dxa"/>
          </w:tcPr>
          <w:p w14:paraId="35765A5B"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706" w:type="dxa"/>
          </w:tcPr>
          <w:p w14:paraId="18753485"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54" w:type="dxa"/>
          </w:tcPr>
          <w:p w14:paraId="636C9586"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28" w:type="dxa"/>
          </w:tcPr>
          <w:p w14:paraId="57B13342"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1AF89282" w14:textId="77777777" w:rsidTr="00F16797">
        <w:trPr>
          <w:trHeight w:val="333"/>
        </w:trPr>
        <w:tc>
          <w:tcPr>
            <w:cnfStyle w:val="001000000000" w:firstRow="0" w:lastRow="0" w:firstColumn="1" w:lastColumn="0" w:oddVBand="0" w:evenVBand="0" w:oddHBand="0" w:evenHBand="0" w:firstRowFirstColumn="0" w:firstRowLastColumn="0" w:lastRowFirstColumn="0" w:lastRowLastColumn="0"/>
            <w:tcW w:w="3129" w:type="dxa"/>
          </w:tcPr>
          <w:p w14:paraId="0EBD3B26" w14:textId="77777777" w:rsidR="00A50C17" w:rsidRPr="00BF46C3" w:rsidRDefault="00A50C17" w:rsidP="00F16797">
            <w:pPr>
              <w:keepNext/>
              <w:spacing w:after="0"/>
              <w:rPr>
                <w:rFonts w:asciiTheme="majorHAnsi" w:hAnsiTheme="majorHAnsi"/>
                <w:sz w:val="18"/>
                <w:szCs w:val="18"/>
              </w:rPr>
            </w:pPr>
            <w:r w:rsidRPr="00BF46C3">
              <w:rPr>
                <w:rFonts w:asciiTheme="majorHAnsi" w:hAnsiTheme="majorHAnsi"/>
                <w:sz w:val="18"/>
                <w:szCs w:val="18"/>
              </w:rPr>
              <w:t xml:space="preserve">Support to increase the cultural competency of our service </w:t>
            </w:r>
          </w:p>
        </w:tc>
        <w:tc>
          <w:tcPr>
            <w:tcW w:w="1137" w:type="dxa"/>
          </w:tcPr>
          <w:p w14:paraId="0C92E1EC"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706" w:type="dxa"/>
          </w:tcPr>
          <w:p w14:paraId="79F1C84A"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54" w:type="dxa"/>
          </w:tcPr>
          <w:p w14:paraId="4B9DA981"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28" w:type="dxa"/>
          </w:tcPr>
          <w:p w14:paraId="7A7CA5FB"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217A2E39" w14:textId="77777777" w:rsidTr="00F16797">
        <w:trPr>
          <w:trHeight w:val="333"/>
        </w:trPr>
        <w:tc>
          <w:tcPr>
            <w:cnfStyle w:val="001000000000" w:firstRow="0" w:lastRow="0" w:firstColumn="1" w:lastColumn="0" w:oddVBand="0" w:evenVBand="0" w:oddHBand="0" w:evenHBand="0" w:firstRowFirstColumn="0" w:firstRowLastColumn="0" w:lastRowFirstColumn="0" w:lastRowLastColumn="0"/>
            <w:tcW w:w="3129" w:type="dxa"/>
          </w:tcPr>
          <w:p w14:paraId="4D1956AC" w14:textId="77777777" w:rsidR="00A50C17" w:rsidRPr="00BF46C3" w:rsidRDefault="00A50C17" w:rsidP="00F16797">
            <w:pPr>
              <w:keepNext/>
              <w:spacing w:after="0"/>
              <w:rPr>
                <w:rFonts w:asciiTheme="majorHAnsi" w:hAnsiTheme="majorHAnsi"/>
                <w:sz w:val="18"/>
                <w:szCs w:val="18"/>
              </w:rPr>
            </w:pPr>
            <w:r w:rsidRPr="00BF46C3">
              <w:rPr>
                <w:rFonts w:asciiTheme="majorHAnsi" w:hAnsiTheme="majorHAnsi"/>
                <w:sz w:val="18"/>
                <w:szCs w:val="18"/>
              </w:rPr>
              <w:t xml:space="preserve">Support for infrastructure and/or transport challenges </w:t>
            </w:r>
          </w:p>
        </w:tc>
        <w:tc>
          <w:tcPr>
            <w:tcW w:w="1137" w:type="dxa"/>
          </w:tcPr>
          <w:p w14:paraId="601EEF55"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706" w:type="dxa"/>
          </w:tcPr>
          <w:p w14:paraId="1DD06A78"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54" w:type="dxa"/>
          </w:tcPr>
          <w:p w14:paraId="5F914839"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28" w:type="dxa"/>
          </w:tcPr>
          <w:p w14:paraId="638C893F"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1D6B9A2B" w14:textId="77777777" w:rsidTr="00F16797">
        <w:trPr>
          <w:trHeight w:val="37"/>
        </w:trPr>
        <w:tc>
          <w:tcPr>
            <w:cnfStyle w:val="001000000000" w:firstRow="0" w:lastRow="0" w:firstColumn="1" w:lastColumn="0" w:oddVBand="0" w:evenVBand="0" w:oddHBand="0" w:evenHBand="0" w:firstRowFirstColumn="0" w:firstRowLastColumn="0" w:lastRowFirstColumn="0" w:lastRowLastColumn="0"/>
            <w:tcW w:w="3129" w:type="dxa"/>
          </w:tcPr>
          <w:p w14:paraId="674C0F9B" w14:textId="77777777" w:rsidR="00A50C17" w:rsidRPr="00BF46C3" w:rsidRDefault="00A50C17" w:rsidP="00F16797">
            <w:pPr>
              <w:keepNext/>
              <w:spacing w:after="0"/>
              <w:rPr>
                <w:rFonts w:asciiTheme="majorHAnsi" w:hAnsiTheme="majorHAnsi"/>
                <w:sz w:val="18"/>
                <w:szCs w:val="18"/>
              </w:rPr>
            </w:pPr>
            <w:r w:rsidRPr="00BF46C3">
              <w:rPr>
                <w:rFonts w:asciiTheme="majorHAnsi" w:hAnsiTheme="majorHAnsi"/>
                <w:sz w:val="18"/>
                <w:szCs w:val="18"/>
              </w:rPr>
              <w:t xml:space="preserve">Increased support around business and financial management </w:t>
            </w:r>
          </w:p>
        </w:tc>
        <w:tc>
          <w:tcPr>
            <w:tcW w:w="1137" w:type="dxa"/>
          </w:tcPr>
          <w:p w14:paraId="6BFF9169"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706" w:type="dxa"/>
          </w:tcPr>
          <w:p w14:paraId="467A5CC2"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54" w:type="dxa"/>
          </w:tcPr>
          <w:p w14:paraId="5F4562CE"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828" w:type="dxa"/>
          </w:tcPr>
          <w:p w14:paraId="03EC5AFF" w14:textId="77777777" w:rsidR="00A50C17" w:rsidRPr="00F16797"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50C17" w:rsidRPr="00BF46C3" w14:paraId="31225310" w14:textId="77777777" w:rsidTr="00F16797">
        <w:trPr>
          <w:trHeight w:val="37"/>
        </w:trPr>
        <w:tc>
          <w:tcPr>
            <w:cnfStyle w:val="001000000000" w:firstRow="0" w:lastRow="0" w:firstColumn="1" w:lastColumn="0" w:oddVBand="0" w:evenVBand="0" w:oddHBand="0" w:evenHBand="0" w:firstRowFirstColumn="0" w:firstRowLastColumn="0" w:lastRowFirstColumn="0" w:lastRowLastColumn="0"/>
            <w:tcW w:w="3129" w:type="dxa"/>
          </w:tcPr>
          <w:p w14:paraId="44061992" w14:textId="77777777" w:rsidR="00A50C17" w:rsidRPr="00BF46C3" w:rsidRDefault="00A50C17" w:rsidP="00F16797">
            <w:pPr>
              <w:keepNext/>
              <w:spacing w:after="0"/>
              <w:rPr>
                <w:rFonts w:asciiTheme="majorHAnsi" w:hAnsiTheme="majorHAnsi"/>
                <w:sz w:val="18"/>
                <w:szCs w:val="18"/>
              </w:rPr>
            </w:pPr>
            <w:r w:rsidRPr="00BF46C3">
              <w:rPr>
                <w:rFonts w:asciiTheme="majorHAnsi" w:hAnsiTheme="majorHAnsi"/>
                <w:sz w:val="18"/>
                <w:szCs w:val="18"/>
              </w:rPr>
              <w:t xml:space="preserve">Increased support and training around service leadership, governance and management </w:t>
            </w:r>
          </w:p>
        </w:tc>
        <w:tc>
          <w:tcPr>
            <w:tcW w:w="1137" w:type="dxa"/>
          </w:tcPr>
          <w:p w14:paraId="390FC77D"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706" w:type="dxa"/>
          </w:tcPr>
          <w:p w14:paraId="2D64CAE5"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54" w:type="dxa"/>
          </w:tcPr>
          <w:p w14:paraId="0EC88DC8"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28" w:type="dxa"/>
          </w:tcPr>
          <w:p w14:paraId="3EF3FC49"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bl>
    <w:p w14:paraId="0A1613EC" w14:textId="77777777" w:rsidR="00A50C17" w:rsidRPr="00BF46C3" w:rsidRDefault="00A50C17" w:rsidP="00A50C17">
      <w:pPr>
        <w:keepNext/>
        <w:rPr>
          <w:rFonts w:asciiTheme="majorHAnsi" w:hAnsiTheme="majorHAnsi"/>
        </w:rPr>
      </w:pPr>
      <w:r w:rsidRPr="00BF46C3">
        <w:rPr>
          <w:rFonts w:asciiTheme="majorHAnsi" w:hAnsiTheme="majorHAnsi"/>
        </w:rPr>
        <w:t>Please use this space to describe any other ways the CCCFR grant could be improved, or to provide any further detail on your answers above (optional)</w:t>
      </w:r>
    </w:p>
    <w:p w14:paraId="2E85F84B" w14:textId="77777777" w:rsidR="00A50C17" w:rsidRPr="00BF46C3" w:rsidRDefault="00A50C17" w:rsidP="00A50C17">
      <w:pPr>
        <w:keepNext/>
        <w:rPr>
          <w:rFonts w:asciiTheme="majorHAnsi" w:hAnsiTheme="majorHAnsi"/>
        </w:rPr>
      </w:pPr>
      <w:r w:rsidRPr="00BF46C3">
        <w:rPr>
          <w:rFonts w:asciiTheme="majorHAnsi" w:hAnsiTheme="majorHAnsi"/>
        </w:rPr>
        <w:t>Please use this space to describe any other important benefits for children at your service, or to provide any further detail on your answers above (optional)</w:t>
      </w:r>
    </w:p>
    <w:p w14:paraId="3E4FA799" w14:textId="77777777" w:rsidR="00F16797" w:rsidRDefault="00A50C17" w:rsidP="00F16797">
      <w:pPr>
        <w:pStyle w:val="Appendixhead3"/>
      </w:pPr>
      <w:r w:rsidRPr="00BF46C3">
        <w:t>Compliance and regulations</w:t>
      </w:r>
    </w:p>
    <w:p w14:paraId="5C55FAC1" w14:textId="3959CD23" w:rsidR="00A50C17" w:rsidRPr="00BF46C3" w:rsidRDefault="00A50C17" w:rsidP="00A50C17">
      <w:pPr>
        <w:keepNext/>
        <w:rPr>
          <w:rFonts w:asciiTheme="majorHAnsi" w:hAnsiTheme="majorHAnsi"/>
        </w:rPr>
      </w:pPr>
      <w:r w:rsidRPr="00BF46C3">
        <w:rPr>
          <w:rFonts w:asciiTheme="majorHAnsi" w:hAnsiTheme="majorHAnsi"/>
        </w:rPr>
        <w:t xml:space="preserve">This section asks questions about the CCCFR grant conditions, services’ obligations under the grant, the Ministers Rules (if applicable) and the Family Assistance Law (FAL), and service's </w:t>
      </w:r>
      <w:r w:rsidRPr="00BF46C3">
        <w:rPr>
          <w:rFonts w:asciiTheme="majorHAnsi" w:hAnsiTheme="majorHAnsi"/>
        </w:rPr>
        <w:lastRenderedPageBreak/>
        <w:t xml:space="preserve">feedback on their ability to transition to the National Quality Framework (NQF) in the future. </w:t>
      </w:r>
      <w:r w:rsidRPr="00BF46C3">
        <w:rPr>
          <w:rFonts w:asciiTheme="majorHAnsi" w:hAnsiTheme="majorHAnsi"/>
        </w:rPr>
        <w:br/>
      </w:r>
    </w:p>
    <w:p w14:paraId="69819E2B" w14:textId="77777777" w:rsidR="00A50C17" w:rsidRPr="00BF46C3" w:rsidRDefault="00A50C17" w:rsidP="00A50C17">
      <w:pPr>
        <w:keepNext/>
        <w:rPr>
          <w:rFonts w:asciiTheme="majorHAnsi" w:hAnsiTheme="majorHAnsi"/>
        </w:rPr>
      </w:pPr>
      <w:r w:rsidRPr="00BF46C3">
        <w:rPr>
          <w:rFonts w:asciiTheme="majorHAnsi" w:hAnsiTheme="majorHAnsi"/>
        </w:rPr>
        <w:t>Where would your service go for information and advice about the following items?</w:t>
      </w:r>
      <w:r w:rsidRPr="00BF46C3">
        <w:rPr>
          <w:rFonts w:asciiTheme="majorHAnsi" w:hAnsiTheme="majorHAnsi"/>
        </w:rPr>
        <w:br/>
      </w:r>
      <w:r w:rsidRPr="00BF46C3">
        <w:rPr>
          <w:rFonts w:asciiTheme="majorHAnsi" w:hAnsiTheme="majorHAnsi"/>
          <w:i/>
        </w:rPr>
        <w:t>Please select all that apply</w:t>
      </w:r>
      <w:r w:rsidRPr="00BF46C3">
        <w:rPr>
          <w:rFonts w:asciiTheme="majorHAnsi" w:hAnsiTheme="majorHAnsi"/>
        </w:rPr>
        <w:br/>
      </w:r>
    </w:p>
    <w:tbl>
      <w:tblPr>
        <w:tblStyle w:val="QQuestionTable"/>
        <w:tblW w:w="10277" w:type="dxa"/>
        <w:tblInd w:w="-851" w:type="dxa"/>
        <w:tblLayout w:type="fixed"/>
        <w:tblCellMar>
          <w:left w:w="28" w:type="dxa"/>
          <w:bottom w:w="57" w:type="dxa"/>
          <w:right w:w="28" w:type="dxa"/>
        </w:tblCellMar>
        <w:tblLook w:val="07E0" w:firstRow="1" w:lastRow="1" w:firstColumn="1" w:lastColumn="1" w:noHBand="1" w:noVBand="1"/>
      </w:tblPr>
      <w:tblGrid>
        <w:gridCol w:w="1985"/>
        <w:gridCol w:w="993"/>
        <w:gridCol w:w="850"/>
        <w:gridCol w:w="965"/>
        <w:gridCol w:w="1086"/>
        <w:gridCol w:w="1023"/>
        <w:gridCol w:w="1007"/>
        <w:gridCol w:w="924"/>
        <w:gridCol w:w="775"/>
        <w:gridCol w:w="669"/>
      </w:tblGrid>
      <w:tr w:rsidR="00814A4E" w:rsidRPr="00BF46C3" w14:paraId="3F7BC2F3" w14:textId="77777777">
        <w:trPr>
          <w:cnfStyle w:val="100000000000" w:firstRow="1" w:lastRow="0" w:firstColumn="0" w:lastColumn="0" w:oddVBand="0" w:evenVBand="0" w:oddHBand="0"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1985" w:type="dxa"/>
          </w:tcPr>
          <w:p w14:paraId="2C9DD294" w14:textId="77777777" w:rsidR="00A50C17" w:rsidRPr="00BF46C3" w:rsidRDefault="00A50C17" w:rsidP="00F16797">
            <w:pPr>
              <w:keepNext/>
              <w:spacing w:after="0"/>
              <w:rPr>
                <w:rFonts w:asciiTheme="majorHAnsi" w:hAnsiTheme="majorHAnsi"/>
                <w:sz w:val="16"/>
                <w:szCs w:val="16"/>
              </w:rPr>
            </w:pPr>
          </w:p>
        </w:tc>
        <w:tc>
          <w:tcPr>
            <w:tcW w:w="993" w:type="dxa"/>
          </w:tcPr>
          <w:p w14:paraId="3DA45461" w14:textId="23E2AB74"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 xml:space="preserve">CCCFR </w:t>
            </w:r>
            <w:r w:rsidR="00AC6788">
              <w:rPr>
                <w:rFonts w:asciiTheme="majorHAnsi" w:hAnsiTheme="majorHAnsi"/>
                <w:sz w:val="16"/>
                <w:szCs w:val="16"/>
              </w:rPr>
              <w:t>P</w:t>
            </w:r>
            <w:r w:rsidRPr="00BF46C3">
              <w:rPr>
                <w:rFonts w:asciiTheme="majorHAnsi" w:hAnsiTheme="majorHAnsi"/>
                <w:sz w:val="16"/>
                <w:szCs w:val="16"/>
              </w:rPr>
              <w:t xml:space="preserve">rogram </w:t>
            </w:r>
            <w:r w:rsidR="00AC6788">
              <w:rPr>
                <w:rFonts w:asciiTheme="majorHAnsi" w:hAnsiTheme="majorHAnsi"/>
                <w:sz w:val="16"/>
                <w:szCs w:val="16"/>
              </w:rPr>
              <w:t>O</w:t>
            </w:r>
            <w:r w:rsidRPr="00BF46C3">
              <w:rPr>
                <w:rFonts w:asciiTheme="majorHAnsi" w:hAnsiTheme="majorHAnsi"/>
                <w:sz w:val="16"/>
                <w:szCs w:val="16"/>
              </w:rPr>
              <w:t>fficer</w:t>
            </w:r>
          </w:p>
        </w:tc>
        <w:tc>
          <w:tcPr>
            <w:tcW w:w="850" w:type="dxa"/>
          </w:tcPr>
          <w:p w14:paraId="6445D432"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Internet</w:t>
            </w:r>
          </w:p>
        </w:tc>
        <w:tc>
          <w:tcPr>
            <w:tcW w:w="965" w:type="dxa"/>
          </w:tcPr>
          <w:p w14:paraId="65EA5C87"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ACECQA</w:t>
            </w:r>
            <w:r w:rsidRPr="00BF46C3">
              <w:rPr>
                <w:rFonts w:asciiTheme="majorHAnsi" w:hAnsiTheme="majorHAnsi"/>
                <w:sz w:val="16"/>
                <w:szCs w:val="16"/>
              </w:rPr>
              <w:tab/>
            </w:r>
          </w:p>
        </w:tc>
        <w:tc>
          <w:tcPr>
            <w:tcW w:w="1086" w:type="dxa"/>
          </w:tcPr>
          <w:p w14:paraId="6AEC8321"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Advice from community or families</w:t>
            </w:r>
          </w:p>
        </w:tc>
        <w:tc>
          <w:tcPr>
            <w:tcW w:w="1023" w:type="dxa"/>
          </w:tcPr>
          <w:p w14:paraId="0E6F6BE6"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Local regulatory authority</w:t>
            </w:r>
          </w:p>
        </w:tc>
        <w:tc>
          <w:tcPr>
            <w:tcW w:w="1007" w:type="dxa"/>
          </w:tcPr>
          <w:p w14:paraId="638B010A"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Child protection agency</w:t>
            </w:r>
          </w:p>
        </w:tc>
        <w:tc>
          <w:tcPr>
            <w:tcW w:w="924" w:type="dxa"/>
          </w:tcPr>
          <w:p w14:paraId="66B3B618"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Inclusion support agency</w:t>
            </w:r>
          </w:p>
        </w:tc>
        <w:tc>
          <w:tcPr>
            <w:tcW w:w="775" w:type="dxa"/>
          </w:tcPr>
          <w:p w14:paraId="175DB247"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Unsure</w:t>
            </w:r>
          </w:p>
        </w:tc>
        <w:tc>
          <w:tcPr>
            <w:tcW w:w="669" w:type="dxa"/>
          </w:tcPr>
          <w:p w14:paraId="008D156E" w14:textId="77777777" w:rsidR="00A50C17" w:rsidRPr="00BF46C3" w:rsidRDefault="00A50C17" w:rsidP="00F1679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F46C3">
              <w:rPr>
                <w:rFonts w:asciiTheme="majorHAnsi" w:hAnsiTheme="majorHAnsi"/>
                <w:sz w:val="16"/>
                <w:szCs w:val="16"/>
              </w:rPr>
              <w:t>Other</w:t>
            </w:r>
          </w:p>
        </w:tc>
      </w:tr>
      <w:tr w:rsidR="00814A4E" w:rsidRPr="00BF46C3" w14:paraId="53909B5F" w14:textId="77777777">
        <w:trPr>
          <w:trHeight w:val="795"/>
        </w:trPr>
        <w:tc>
          <w:tcPr>
            <w:cnfStyle w:val="001000000000" w:firstRow="0" w:lastRow="0" w:firstColumn="1" w:lastColumn="0" w:oddVBand="0" w:evenVBand="0" w:oddHBand="0" w:evenHBand="0" w:firstRowFirstColumn="0" w:firstRowLastColumn="0" w:lastRowFirstColumn="0" w:lastRowLastColumn="0"/>
            <w:tcW w:w="1985" w:type="dxa"/>
          </w:tcPr>
          <w:p w14:paraId="09F2C1A5" w14:textId="6D07B332"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Administering the CCS and/or obligations under the Family Assistance Law</w:t>
            </w:r>
            <w:r w:rsidR="002E497C">
              <w:rPr>
                <w:rFonts w:asciiTheme="majorHAnsi" w:hAnsiTheme="majorHAnsi"/>
                <w:sz w:val="16"/>
                <w:szCs w:val="16"/>
              </w:rPr>
              <w:t xml:space="preserve"> </w:t>
            </w:r>
          </w:p>
        </w:tc>
        <w:tc>
          <w:tcPr>
            <w:tcW w:w="993" w:type="dxa"/>
          </w:tcPr>
          <w:p w14:paraId="40FB7BF5"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0ACF3582"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4A4464FD"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3CE3108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6DFEFED6"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6A833D1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47CC9EF6"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0FFB0EE6"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2D7744A1" w14:textId="77777777" w:rsidR="00A50C17" w:rsidRPr="00BF46C3" w:rsidRDefault="00A50C17" w:rsidP="00171325">
            <w:pPr>
              <w:pStyle w:val="ListParagraph"/>
              <w:keepNext/>
              <w:numPr>
                <w:ilvl w:val="0"/>
                <w:numId w:val="12"/>
              </w:numPr>
              <w:spacing w:after="0"/>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814A4E" w:rsidRPr="00BF46C3" w14:paraId="77EE1124" w14:textId="77777777">
        <w:trPr>
          <w:trHeight w:val="590"/>
        </w:trPr>
        <w:tc>
          <w:tcPr>
            <w:cnfStyle w:val="001000000000" w:firstRow="0" w:lastRow="0" w:firstColumn="1" w:lastColumn="0" w:oddVBand="0" w:evenVBand="0" w:oddHBand="0" w:evenHBand="0" w:firstRowFirstColumn="0" w:firstRowLastColumn="0" w:lastRowFirstColumn="0" w:lastRowLastColumn="0"/>
            <w:tcW w:w="1985" w:type="dxa"/>
          </w:tcPr>
          <w:p w14:paraId="6DA55EE8" w14:textId="522E6795"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CCCFR grant conditions (e.g. reporting)</w:t>
            </w:r>
            <w:r w:rsidR="002E497C">
              <w:rPr>
                <w:rFonts w:asciiTheme="majorHAnsi" w:hAnsiTheme="majorHAnsi"/>
                <w:sz w:val="16"/>
                <w:szCs w:val="16"/>
              </w:rPr>
              <w:t xml:space="preserve"> </w:t>
            </w:r>
          </w:p>
        </w:tc>
        <w:tc>
          <w:tcPr>
            <w:tcW w:w="993" w:type="dxa"/>
          </w:tcPr>
          <w:p w14:paraId="7C36CA7C"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5D02FFF0"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572194F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3E5DC950"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2F00D143"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4D68D0F4"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492503C5"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2C0E8252"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43AA50E4" w14:textId="77777777" w:rsidR="00A50C17" w:rsidRPr="00BF46C3" w:rsidRDefault="00A50C17" w:rsidP="00171325">
            <w:pPr>
              <w:pStyle w:val="ListParagraph"/>
              <w:keepNext/>
              <w:numPr>
                <w:ilvl w:val="0"/>
                <w:numId w:val="12"/>
              </w:numPr>
              <w:spacing w:after="0"/>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814A4E" w:rsidRPr="00BF46C3" w14:paraId="0D55B981" w14:textId="77777777">
        <w:trPr>
          <w:trHeight w:val="577"/>
        </w:trPr>
        <w:tc>
          <w:tcPr>
            <w:cnfStyle w:val="001000000000" w:firstRow="0" w:lastRow="0" w:firstColumn="1" w:lastColumn="0" w:oddVBand="0" w:evenVBand="0" w:oddHBand="0" w:evenHBand="0" w:firstRowFirstColumn="0" w:firstRowLastColumn="0" w:lastRowFirstColumn="0" w:lastRowLastColumn="0"/>
            <w:tcW w:w="1985" w:type="dxa"/>
          </w:tcPr>
          <w:p w14:paraId="03149BE0" w14:textId="53F2B34E"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Ensuring children’s health and safety</w:t>
            </w:r>
            <w:r w:rsidR="002E497C">
              <w:rPr>
                <w:rFonts w:asciiTheme="majorHAnsi" w:hAnsiTheme="majorHAnsi"/>
                <w:sz w:val="16"/>
                <w:szCs w:val="16"/>
              </w:rPr>
              <w:t xml:space="preserve"> </w:t>
            </w:r>
          </w:p>
        </w:tc>
        <w:tc>
          <w:tcPr>
            <w:tcW w:w="993" w:type="dxa"/>
          </w:tcPr>
          <w:p w14:paraId="48AC9559"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1FEA6149"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7DA2F1DA"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6F252B35"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7FF7898F"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56653626"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03DB2BBF"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0A29ECFF"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0575A55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814A4E" w:rsidRPr="00BF46C3" w14:paraId="4FE6263E" w14:textId="77777777">
        <w:trPr>
          <w:trHeight w:val="577"/>
        </w:trPr>
        <w:tc>
          <w:tcPr>
            <w:cnfStyle w:val="001000000000" w:firstRow="0" w:lastRow="0" w:firstColumn="1" w:lastColumn="0" w:oddVBand="0" w:evenVBand="0" w:oddHBand="0" w:evenHBand="0" w:firstRowFirstColumn="0" w:firstRowLastColumn="0" w:lastRowFirstColumn="0" w:lastRowLastColumn="0"/>
            <w:tcW w:w="1985" w:type="dxa"/>
          </w:tcPr>
          <w:p w14:paraId="2CBA3FBD" w14:textId="3C549B57"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Being inclusive so all children can participate</w:t>
            </w:r>
            <w:r w:rsidR="002E497C">
              <w:rPr>
                <w:rFonts w:asciiTheme="majorHAnsi" w:hAnsiTheme="majorHAnsi"/>
                <w:sz w:val="16"/>
                <w:szCs w:val="16"/>
              </w:rPr>
              <w:t xml:space="preserve"> </w:t>
            </w:r>
          </w:p>
        </w:tc>
        <w:tc>
          <w:tcPr>
            <w:tcW w:w="993" w:type="dxa"/>
          </w:tcPr>
          <w:p w14:paraId="002C0025"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330E2DAF"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41FB6CCA"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65895DEB"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61E4E6B9"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257425B2"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73D6D303"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136A0085"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64A2AD7B" w14:textId="77777777" w:rsidR="00A50C17" w:rsidRPr="00BF46C3" w:rsidRDefault="00A50C17" w:rsidP="00171325">
            <w:pPr>
              <w:pStyle w:val="ListParagraph"/>
              <w:keepNext/>
              <w:numPr>
                <w:ilvl w:val="0"/>
                <w:numId w:val="12"/>
              </w:numPr>
              <w:spacing w:after="0"/>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814A4E" w:rsidRPr="00BF46C3" w14:paraId="4F2150E8" w14:textId="77777777">
        <w:trPr>
          <w:trHeight w:val="641"/>
        </w:trPr>
        <w:tc>
          <w:tcPr>
            <w:cnfStyle w:val="001000000000" w:firstRow="0" w:lastRow="0" w:firstColumn="1" w:lastColumn="0" w:oddVBand="0" w:evenVBand="0" w:oddHBand="0" w:evenHBand="0" w:firstRowFirstColumn="0" w:firstRowLastColumn="0" w:lastRowFirstColumn="0" w:lastRowLastColumn="0"/>
            <w:tcW w:w="1985" w:type="dxa"/>
          </w:tcPr>
          <w:p w14:paraId="4B55FB34" w14:textId="42BB4C1D"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Responding to indicators of child abuse and/or neglect</w:t>
            </w:r>
            <w:r w:rsidR="002E497C">
              <w:rPr>
                <w:rFonts w:asciiTheme="majorHAnsi" w:hAnsiTheme="majorHAnsi"/>
                <w:sz w:val="16"/>
                <w:szCs w:val="16"/>
              </w:rPr>
              <w:t xml:space="preserve"> </w:t>
            </w:r>
          </w:p>
        </w:tc>
        <w:tc>
          <w:tcPr>
            <w:tcW w:w="993" w:type="dxa"/>
          </w:tcPr>
          <w:p w14:paraId="3C92DC32"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69164FFD"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18079759"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7645DD29"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7142780F"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1E04D58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3A817709"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13C074E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59528E13" w14:textId="77777777" w:rsidR="00A50C17" w:rsidRPr="00BF46C3" w:rsidRDefault="00A50C17" w:rsidP="00171325">
            <w:pPr>
              <w:pStyle w:val="ListParagraph"/>
              <w:keepNext/>
              <w:numPr>
                <w:ilvl w:val="0"/>
                <w:numId w:val="12"/>
              </w:numPr>
              <w:spacing w:after="0"/>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814A4E" w:rsidRPr="00BF46C3" w14:paraId="77457D76" w14:textId="77777777">
        <w:trPr>
          <w:trHeight w:val="641"/>
        </w:trPr>
        <w:tc>
          <w:tcPr>
            <w:cnfStyle w:val="001000000000" w:firstRow="0" w:lastRow="0" w:firstColumn="1" w:lastColumn="0" w:oddVBand="0" w:evenVBand="0" w:oddHBand="0" w:evenHBand="0" w:firstRowFirstColumn="0" w:firstRowLastColumn="0" w:lastRowFirstColumn="0" w:lastRowLastColumn="0"/>
            <w:tcW w:w="1985" w:type="dxa"/>
          </w:tcPr>
          <w:p w14:paraId="4C29C499" w14:textId="6077CD72"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Developing a Quality Improvement Plan (QIP)</w:t>
            </w:r>
            <w:r w:rsidR="002E497C">
              <w:rPr>
                <w:rFonts w:asciiTheme="majorHAnsi" w:hAnsiTheme="majorHAnsi"/>
                <w:sz w:val="16"/>
                <w:szCs w:val="16"/>
              </w:rPr>
              <w:t xml:space="preserve"> </w:t>
            </w:r>
          </w:p>
        </w:tc>
        <w:tc>
          <w:tcPr>
            <w:tcW w:w="993" w:type="dxa"/>
          </w:tcPr>
          <w:p w14:paraId="79680622"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26C03D6A"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3800D71C"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13493194"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79FFBD86"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6316B7D0"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79968365"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1E3BBBEB"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74A4F485" w14:textId="77777777" w:rsidR="00A50C17" w:rsidRPr="00BF46C3" w:rsidRDefault="00A50C17" w:rsidP="00171325">
            <w:pPr>
              <w:pStyle w:val="ListParagraph"/>
              <w:keepNext/>
              <w:numPr>
                <w:ilvl w:val="0"/>
                <w:numId w:val="12"/>
              </w:numPr>
              <w:spacing w:after="0"/>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814A4E" w:rsidRPr="00BF46C3" w14:paraId="75614350" w14:textId="77777777">
        <w:trPr>
          <w:trHeight w:val="577"/>
        </w:trPr>
        <w:tc>
          <w:tcPr>
            <w:cnfStyle w:val="001000000000" w:firstRow="0" w:lastRow="0" w:firstColumn="1" w:lastColumn="0" w:oddVBand="0" w:evenVBand="0" w:oddHBand="0" w:evenHBand="0" w:firstRowFirstColumn="0" w:firstRowLastColumn="0" w:lastRowFirstColumn="0" w:lastRowLastColumn="0"/>
            <w:tcW w:w="1985" w:type="dxa"/>
          </w:tcPr>
          <w:p w14:paraId="3FEB0E7B" w14:textId="0E8DC11A"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Service leadership and governance</w:t>
            </w:r>
            <w:r w:rsidR="002E497C">
              <w:rPr>
                <w:rFonts w:asciiTheme="majorHAnsi" w:hAnsiTheme="majorHAnsi"/>
                <w:sz w:val="16"/>
                <w:szCs w:val="16"/>
              </w:rPr>
              <w:t xml:space="preserve"> </w:t>
            </w:r>
          </w:p>
        </w:tc>
        <w:tc>
          <w:tcPr>
            <w:tcW w:w="993" w:type="dxa"/>
          </w:tcPr>
          <w:p w14:paraId="37974CD7"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426BAADF"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378713E4"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5412D45D"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7169D903"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04B73125"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02E4FF09"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26189E4A"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197D4232" w14:textId="77777777" w:rsidR="00A50C17" w:rsidRPr="00BF46C3" w:rsidRDefault="00A50C17" w:rsidP="00171325">
            <w:pPr>
              <w:pStyle w:val="ListParagraph"/>
              <w:keepNext/>
              <w:numPr>
                <w:ilvl w:val="0"/>
                <w:numId w:val="12"/>
              </w:numPr>
              <w:spacing w:after="0"/>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814A4E" w:rsidRPr="00BF46C3" w14:paraId="39E0A7AB" w14:textId="77777777">
        <w:trPr>
          <w:trHeight w:val="577"/>
        </w:trPr>
        <w:tc>
          <w:tcPr>
            <w:cnfStyle w:val="001000000000" w:firstRow="0" w:lastRow="0" w:firstColumn="1" w:lastColumn="0" w:oddVBand="0" w:evenVBand="0" w:oddHBand="0" w:evenHBand="0" w:firstRowFirstColumn="0" w:firstRowLastColumn="0" w:lastRowFirstColumn="0" w:lastRowLastColumn="0"/>
            <w:tcW w:w="1985" w:type="dxa"/>
          </w:tcPr>
          <w:p w14:paraId="2F605B62" w14:textId="7A7431B2"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Creating policies and procedures</w:t>
            </w:r>
            <w:r w:rsidR="002E497C">
              <w:rPr>
                <w:rFonts w:asciiTheme="majorHAnsi" w:hAnsiTheme="majorHAnsi"/>
                <w:sz w:val="16"/>
                <w:szCs w:val="16"/>
              </w:rPr>
              <w:t xml:space="preserve"> </w:t>
            </w:r>
          </w:p>
        </w:tc>
        <w:tc>
          <w:tcPr>
            <w:tcW w:w="993" w:type="dxa"/>
          </w:tcPr>
          <w:p w14:paraId="1E9E9A3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458FF59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3ECE97F9"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16A902AD"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6CD86ACE"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4586575F"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4DD2BF23"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28FB8393"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53F35A6B" w14:textId="77777777" w:rsidR="00A50C17" w:rsidRPr="00BF46C3" w:rsidRDefault="00A50C17" w:rsidP="00171325">
            <w:pPr>
              <w:pStyle w:val="ListParagraph"/>
              <w:keepNext/>
              <w:numPr>
                <w:ilvl w:val="0"/>
                <w:numId w:val="12"/>
              </w:numPr>
              <w:spacing w:after="0"/>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814A4E" w:rsidRPr="00BF46C3" w14:paraId="60ECDC85" w14:textId="77777777">
        <w:trPr>
          <w:trHeight w:val="808"/>
        </w:trPr>
        <w:tc>
          <w:tcPr>
            <w:cnfStyle w:val="001000000000" w:firstRow="0" w:lastRow="0" w:firstColumn="1" w:lastColumn="0" w:oddVBand="0" w:evenVBand="0" w:oddHBand="0" w:evenHBand="0" w:firstRowFirstColumn="0" w:firstRowLastColumn="0" w:lastRowFirstColumn="0" w:lastRowLastColumn="0"/>
            <w:tcW w:w="1985" w:type="dxa"/>
          </w:tcPr>
          <w:p w14:paraId="7A8D1B11" w14:textId="58E30741" w:rsidR="00A50C17" w:rsidRPr="00BF46C3" w:rsidRDefault="00A50C17" w:rsidP="00F16797">
            <w:pPr>
              <w:keepNext/>
              <w:spacing w:after="0"/>
              <w:rPr>
                <w:rFonts w:asciiTheme="majorHAnsi" w:hAnsiTheme="majorHAnsi"/>
                <w:sz w:val="16"/>
                <w:szCs w:val="16"/>
              </w:rPr>
            </w:pPr>
            <w:r w:rsidRPr="00BF46C3">
              <w:rPr>
                <w:rFonts w:asciiTheme="majorHAnsi" w:hAnsiTheme="majorHAnsi"/>
                <w:sz w:val="16"/>
                <w:szCs w:val="16"/>
              </w:rPr>
              <w:t>Your service’s ability to transition to the National Quality Framework</w:t>
            </w:r>
            <w:r w:rsidR="002E497C">
              <w:rPr>
                <w:rFonts w:asciiTheme="majorHAnsi" w:hAnsiTheme="majorHAnsi"/>
                <w:sz w:val="16"/>
                <w:szCs w:val="16"/>
              </w:rPr>
              <w:t xml:space="preserve"> </w:t>
            </w:r>
          </w:p>
        </w:tc>
        <w:tc>
          <w:tcPr>
            <w:tcW w:w="993" w:type="dxa"/>
          </w:tcPr>
          <w:p w14:paraId="1254541D"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850" w:type="dxa"/>
          </w:tcPr>
          <w:p w14:paraId="482B969B"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65" w:type="dxa"/>
          </w:tcPr>
          <w:p w14:paraId="4B3D8961"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86" w:type="dxa"/>
          </w:tcPr>
          <w:p w14:paraId="12CC3C9C"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23" w:type="dxa"/>
          </w:tcPr>
          <w:p w14:paraId="403DF581"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007" w:type="dxa"/>
          </w:tcPr>
          <w:p w14:paraId="24001E9F"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924" w:type="dxa"/>
          </w:tcPr>
          <w:p w14:paraId="33A37B8D"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775" w:type="dxa"/>
          </w:tcPr>
          <w:p w14:paraId="21C79622" w14:textId="77777777" w:rsidR="00A50C17" w:rsidRPr="00BF46C3" w:rsidRDefault="00A50C17" w:rsidP="00F16797">
            <w:pPr>
              <w:keepNext/>
              <w:spacing w:after="0"/>
              <w:ind w:left="36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669" w:type="dxa"/>
          </w:tcPr>
          <w:p w14:paraId="00D75BE4" w14:textId="77777777" w:rsidR="00A50C17" w:rsidRPr="00BF46C3" w:rsidRDefault="00A50C17" w:rsidP="00171325">
            <w:pPr>
              <w:pStyle w:val="ListParagraph"/>
              <w:keepNext/>
              <w:numPr>
                <w:ilvl w:val="0"/>
                <w:numId w:val="12"/>
              </w:numPr>
              <w:spacing w:after="0"/>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bl>
    <w:p w14:paraId="79D4B7FA" w14:textId="77777777" w:rsidR="00A50C17" w:rsidRPr="00BF46C3" w:rsidRDefault="00A50C17" w:rsidP="00A50C17">
      <w:pPr>
        <w:rPr>
          <w:rFonts w:asciiTheme="majorHAnsi" w:hAnsiTheme="majorHAnsi"/>
        </w:rPr>
      </w:pPr>
    </w:p>
    <w:p w14:paraId="70A2D912" w14:textId="77777777" w:rsidR="00A50C17" w:rsidRPr="00BF46C3" w:rsidRDefault="00A50C17" w:rsidP="00A50C17">
      <w:pPr>
        <w:rPr>
          <w:rFonts w:asciiTheme="majorHAnsi" w:hAnsiTheme="majorHAnsi"/>
        </w:rPr>
      </w:pPr>
    </w:p>
    <w:p w14:paraId="4E233404" w14:textId="129498B4" w:rsidR="00A50C17" w:rsidRPr="00BF46C3" w:rsidRDefault="00A50C17" w:rsidP="00F16797">
      <w:pPr>
        <w:keepNext/>
        <w:rPr>
          <w:rFonts w:asciiTheme="majorHAnsi" w:hAnsiTheme="majorHAnsi"/>
        </w:rPr>
      </w:pPr>
      <w:r w:rsidRPr="00BF46C3">
        <w:rPr>
          <w:rFonts w:asciiTheme="majorHAnsi" w:hAnsiTheme="majorHAnsi"/>
        </w:rPr>
        <w:lastRenderedPageBreak/>
        <w:t>Please use this space to describe any other sources of information for these items, or to provide any further detail on your answers above (optional)</w:t>
      </w:r>
    </w:p>
    <w:p w14:paraId="378F63A8"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12EEF495"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NQF = Service is not regulated under the NQF</w:t>
      </w:r>
    </w:p>
    <w:p w14:paraId="7429B5B8"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And Is your service regulated under the NQF? != Yes</w:t>
      </w:r>
    </w:p>
    <w:p w14:paraId="7F2D3985"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Or If</w:t>
      </w:r>
    </w:p>
    <w:p w14:paraId="05048FE4"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NQF = Service is regulated under the NQF</w:t>
      </w:r>
    </w:p>
    <w:p w14:paraId="1B10D8F3"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And Service is regulated under the NQF: ${e://Field/NQF} = This is wrong</w:t>
      </w:r>
    </w:p>
    <w:p w14:paraId="1FCFA9F7" w14:textId="77777777" w:rsidR="00A50C17" w:rsidRPr="00BF46C3" w:rsidRDefault="00A50C17" w:rsidP="00A50C17">
      <w:pPr>
        <w:keepNext/>
        <w:rPr>
          <w:rFonts w:asciiTheme="majorHAnsi" w:hAnsiTheme="majorHAnsi"/>
        </w:rPr>
      </w:pPr>
      <w:r w:rsidRPr="00BF46C3">
        <w:rPr>
          <w:rFonts w:asciiTheme="majorHAnsi" w:hAnsiTheme="majorHAnsi"/>
        </w:rPr>
        <w:t>Do you feel your service could meet the requirements of the National Quality Framework (NQF), including being assessed against the National Quality Standard (NQS)?</w:t>
      </w:r>
    </w:p>
    <w:p w14:paraId="7CB836E1" w14:textId="77777777" w:rsidR="00A50C17" w:rsidRPr="00BF46C3" w:rsidRDefault="00A50C17" w:rsidP="00171325">
      <w:pPr>
        <w:pStyle w:val="ListParagraph"/>
        <w:keepNext/>
        <w:numPr>
          <w:ilvl w:val="0"/>
          <w:numId w:val="17"/>
        </w:numPr>
        <w:ind w:firstLine="0"/>
        <w:contextualSpacing w:val="0"/>
      </w:pPr>
      <w:r w:rsidRPr="00BF46C3">
        <w:t xml:space="preserve">Definitely not </w:t>
      </w:r>
    </w:p>
    <w:p w14:paraId="421E40E3" w14:textId="77777777" w:rsidR="00A50C17" w:rsidRPr="00BF46C3" w:rsidRDefault="00A50C17" w:rsidP="00171325">
      <w:pPr>
        <w:pStyle w:val="ListParagraph"/>
        <w:keepNext/>
        <w:numPr>
          <w:ilvl w:val="0"/>
          <w:numId w:val="17"/>
        </w:numPr>
        <w:ind w:firstLine="0"/>
        <w:contextualSpacing w:val="0"/>
      </w:pPr>
      <w:r w:rsidRPr="00BF46C3">
        <w:t xml:space="preserve">Probably not </w:t>
      </w:r>
    </w:p>
    <w:p w14:paraId="1DAC14B7" w14:textId="77777777" w:rsidR="00A50C17" w:rsidRPr="00BF46C3" w:rsidRDefault="00A50C17" w:rsidP="00171325">
      <w:pPr>
        <w:pStyle w:val="ListParagraph"/>
        <w:keepNext/>
        <w:numPr>
          <w:ilvl w:val="0"/>
          <w:numId w:val="17"/>
        </w:numPr>
        <w:ind w:firstLine="0"/>
        <w:contextualSpacing w:val="0"/>
      </w:pPr>
      <w:r w:rsidRPr="00BF46C3">
        <w:t xml:space="preserve">Maybe </w:t>
      </w:r>
    </w:p>
    <w:p w14:paraId="6DA3788F" w14:textId="77777777" w:rsidR="00A50C17" w:rsidRPr="00BF46C3" w:rsidRDefault="00A50C17" w:rsidP="00171325">
      <w:pPr>
        <w:pStyle w:val="ListParagraph"/>
        <w:keepNext/>
        <w:numPr>
          <w:ilvl w:val="0"/>
          <w:numId w:val="17"/>
        </w:numPr>
        <w:ind w:firstLine="0"/>
        <w:contextualSpacing w:val="0"/>
      </w:pPr>
      <w:r w:rsidRPr="00BF46C3">
        <w:t xml:space="preserve">Probably yes </w:t>
      </w:r>
    </w:p>
    <w:p w14:paraId="3354FC1D" w14:textId="77777777" w:rsidR="00A50C17" w:rsidRPr="00BF46C3" w:rsidRDefault="00A50C17" w:rsidP="00171325">
      <w:pPr>
        <w:pStyle w:val="ListParagraph"/>
        <w:keepNext/>
        <w:numPr>
          <w:ilvl w:val="0"/>
          <w:numId w:val="17"/>
        </w:numPr>
        <w:ind w:firstLine="0"/>
        <w:contextualSpacing w:val="0"/>
      </w:pPr>
      <w:r w:rsidRPr="00BF46C3">
        <w:t xml:space="preserve">Definitely yes </w:t>
      </w:r>
    </w:p>
    <w:p w14:paraId="5E1E4115"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49B39A4B"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NQF = Service is not regulated under the NQF</w:t>
      </w:r>
    </w:p>
    <w:p w14:paraId="0A331D05"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And Is your service regulated under the NQF? != Yes</w:t>
      </w:r>
    </w:p>
    <w:p w14:paraId="65ED0043"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Or If</w:t>
      </w:r>
    </w:p>
    <w:p w14:paraId="502FF410"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NQF = Service is regulated under the NQF</w:t>
      </w:r>
    </w:p>
    <w:p w14:paraId="5AB2EEF7"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And Service is regulated under the NQF: ${e://Field/NQF} = This is wrong</w:t>
      </w:r>
    </w:p>
    <w:p w14:paraId="467D0B7C" w14:textId="77777777" w:rsidR="00A50C17" w:rsidRPr="00BF46C3" w:rsidRDefault="00A50C17" w:rsidP="00A50C17">
      <w:pPr>
        <w:keepNext/>
        <w:rPr>
          <w:rFonts w:asciiTheme="majorHAnsi" w:hAnsiTheme="majorHAnsi"/>
        </w:rPr>
      </w:pPr>
      <w:r w:rsidRPr="00BF46C3">
        <w:rPr>
          <w:rFonts w:asciiTheme="majorHAnsi" w:hAnsiTheme="majorHAnsi"/>
        </w:rPr>
        <w:t>What are the key considerations as to how your service could meet the requirements of the NQF?</w:t>
      </w:r>
    </w:p>
    <w:p w14:paraId="53434AF4"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579F425D"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NQF = Service is regulated under the NQF</w:t>
      </w:r>
    </w:p>
    <w:p w14:paraId="13C1CDD1"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And Is your service regulated under the NQF? != No</w:t>
      </w:r>
    </w:p>
    <w:p w14:paraId="0D019136"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Or If</w:t>
      </w:r>
    </w:p>
    <w:p w14:paraId="102C86A2"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NQF = Service is not regulated under the NQF</w:t>
      </w:r>
    </w:p>
    <w:p w14:paraId="1735A94E"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And Service is regulated under the NQF: ${e://Field/NQF} = This is wrong</w:t>
      </w:r>
    </w:p>
    <w:p w14:paraId="007B1B69" w14:textId="77777777" w:rsidR="00A50C17" w:rsidRPr="00BF46C3" w:rsidRDefault="00A50C17" w:rsidP="00A50C17">
      <w:pPr>
        <w:keepNext/>
        <w:rPr>
          <w:rFonts w:asciiTheme="majorHAnsi" w:hAnsiTheme="majorHAnsi"/>
        </w:rPr>
      </w:pPr>
      <w:r w:rsidRPr="00BF46C3">
        <w:rPr>
          <w:rFonts w:asciiTheme="majorHAnsi" w:hAnsiTheme="majorHAnsi"/>
        </w:rPr>
        <w:t>Is your service able to meet the overall requirements of the National Quality Framework (NQF), including being assessed against the National Quality Standard (NQS)?</w:t>
      </w:r>
    </w:p>
    <w:p w14:paraId="0DD737E2" w14:textId="77777777" w:rsidR="00A50C17" w:rsidRPr="00BF46C3" w:rsidRDefault="00A50C17" w:rsidP="00171325">
      <w:pPr>
        <w:pStyle w:val="ListParagraph"/>
        <w:keepNext/>
        <w:numPr>
          <w:ilvl w:val="0"/>
          <w:numId w:val="17"/>
        </w:numPr>
        <w:ind w:firstLine="0"/>
        <w:contextualSpacing w:val="0"/>
      </w:pPr>
      <w:r w:rsidRPr="00BF46C3">
        <w:t xml:space="preserve">Not well at all </w:t>
      </w:r>
    </w:p>
    <w:p w14:paraId="14878293" w14:textId="77777777" w:rsidR="00A50C17" w:rsidRPr="00BF46C3" w:rsidRDefault="00A50C17" w:rsidP="00171325">
      <w:pPr>
        <w:pStyle w:val="ListParagraph"/>
        <w:keepNext/>
        <w:numPr>
          <w:ilvl w:val="0"/>
          <w:numId w:val="17"/>
        </w:numPr>
        <w:ind w:firstLine="0"/>
        <w:contextualSpacing w:val="0"/>
      </w:pPr>
      <w:r w:rsidRPr="00BF46C3">
        <w:t xml:space="preserve">Slightly well </w:t>
      </w:r>
    </w:p>
    <w:p w14:paraId="2DA905B3" w14:textId="77777777" w:rsidR="00A50C17" w:rsidRPr="00BF46C3" w:rsidRDefault="00A50C17" w:rsidP="00171325">
      <w:pPr>
        <w:pStyle w:val="ListParagraph"/>
        <w:keepNext/>
        <w:numPr>
          <w:ilvl w:val="0"/>
          <w:numId w:val="17"/>
        </w:numPr>
        <w:ind w:firstLine="0"/>
        <w:contextualSpacing w:val="0"/>
      </w:pPr>
      <w:r w:rsidRPr="00BF46C3">
        <w:lastRenderedPageBreak/>
        <w:t xml:space="preserve">Moderately well </w:t>
      </w:r>
    </w:p>
    <w:p w14:paraId="484C8060" w14:textId="77777777" w:rsidR="00A50C17" w:rsidRPr="00BF46C3" w:rsidRDefault="00A50C17" w:rsidP="00171325">
      <w:pPr>
        <w:pStyle w:val="ListParagraph"/>
        <w:keepNext/>
        <w:numPr>
          <w:ilvl w:val="0"/>
          <w:numId w:val="17"/>
        </w:numPr>
        <w:ind w:firstLine="0"/>
        <w:contextualSpacing w:val="0"/>
      </w:pPr>
      <w:r w:rsidRPr="00BF46C3">
        <w:t xml:space="preserve">Very well </w:t>
      </w:r>
    </w:p>
    <w:p w14:paraId="39E5CAFD" w14:textId="77777777" w:rsidR="00A50C17" w:rsidRPr="00BF46C3" w:rsidRDefault="00A50C17" w:rsidP="00171325">
      <w:pPr>
        <w:pStyle w:val="ListParagraph"/>
        <w:keepNext/>
        <w:numPr>
          <w:ilvl w:val="0"/>
          <w:numId w:val="17"/>
        </w:numPr>
        <w:ind w:firstLine="0"/>
        <w:contextualSpacing w:val="0"/>
      </w:pPr>
      <w:r w:rsidRPr="00BF46C3">
        <w:t xml:space="preserve">Extremely well </w:t>
      </w:r>
    </w:p>
    <w:p w14:paraId="0F145CDC"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1B3B1CCC"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NQF = Service is regulated under the NQF</w:t>
      </w:r>
    </w:p>
    <w:p w14:paraId="45CC6C6A"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And Is your service regulated under the NQF? != No</w:t>
      </w:r>
    </w:p>
    <w:p w14:paraId="4E680216"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Or If</w:t>
      </w:r>
    </w:p>
    <w:p w14:paraId="0724EF32"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NQF = Service is not regulated under the NQF</w:t>
      </w:r>
    </w:p>
    <w:p w14:paraId="2EF9058A"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And Service is regulated under the NQF: ${e://Field/NQF} = This is wrong</w:t>
      </w:r>
    </w:p>
    <w:p w14:paraId="40892D04" w14:textId="704F9CAA" w:rsidR="00A50C17" w:rsidRPr="00BF46C3" w:rsidRDefault="00A50C17" w:rsidP="00FD5C0A">
      <w:pPr>
        <w:keepNext/>
        <w:rPr>
          <w:rFonts w:asciiTheme="majorHAnsi" w:hAnsiTheme="majorHAnsi"/>
        </w:rPr>
      </w:pPr>
      <w:r w:rsidRPr="00BF46C3">
        <w:rPr>
          <w:rFonts w:asciiTheme="majorHAnsi" w:hAnsiTheme="majorHAnsi"/>
        </w:rPr>
        <w:t>How is your experience under the NQF?</w:t>
      </w:r>
    </w:p>
    <w:p w14:paraId="15CEAFD4" w14:textId="01FDEFFB" w:rsidR="00A50C17" w:rsidRPr="00BF46C3" w:rsidRDefault="00A50C17" w:rsidP="00FD5C0A">
      <w:pPr>
        <w:keepNext/>
        <w:rPr>
          <w:rFonts w:asciiTheme="majorHAnsi" w:hAnsiTheme="majorHAnsi"/>
        </w:rPr>
      </w:pPr>
      <w:r w:rsidRPr="00BF46C3">
        <w:rPr>
          <w:rFonts w:asciiTheme="majorHAnsi" w:hAnsiTheme="majorHAnsi"/>
        </w:rPr>
        <w:t>What additional professional development, resources, training and/or guidance do you feel would enhance the quality and overall sustainability of your service?</w:t>
      </w:r>
    </w:p>
    <w:p w14:paraId="353C256B" w14:textId="77777777" w:rsidR="00A50C17" w:rsidRPr="00BF46C3" w:rsidRDefault="00A50C17" w:rsidP="00A50C17">
      <w:pPr>
        <w:keepNext/>
        <w:rPr>
          <w:rFonts w:asciiTheme="majorHAnsi" w:hAnsiTheme="majorHAnsi"/>
        </w:rPr>
      </w:pPr>
      <w:r w:rsidRPr="00BF46C3">
        <w:rPr>
          <w:rFonts w:asciiTheme="majorHAnsi" w:hAnsiTheme="majorHAnsi"/>
        </w:rPr>
        <w:t>What kinds of things does your CCCFR Program Officer do to help your service?</w:t>
      </w:r>
    </w:p>
    <w:p w14:paraId="331C783D" w14:textId="77777777" w:rsidR="00A50C17" w:rsidRPr="00BF46C3" w:rsidRDefault="00A50C17" w:rsidP="00FD5C0A">
      <w:pPr>
        <w:pStyle w:val="Appendixhead3"/>
      </w:pPr>
      <w:r w:rsidRPr="00BF46C3">
        <w:t>Fees and funding</w:t>
      </w:r>
    </w:p>
    <w:p w14:paraId="663D8E48" w14:textId="77777777" w:rsidR="00A50C17" w:rsidRPr="00BF46C3" w:rsidRDefault="00A50C17" w:rsidP="00A50C17">
      <w:pPr>
        <w:keepNext/>
        <w:rPr>
          <w:rFonts w:asciiTheme="majorHAnsi" w:hAnsiTheme="majorHAnsi"/>
        </w:rPr>
      </w:pPr>
      <w:r w:rsidRPr="00BF46C3">
        <w:rPr>
          <w:rFonts w:asciiTheme="majorHAnsi" w:hAnsiTheme="majorHAnsi"/>
        </w:rPr>
        <w:t xml:space="preserve">What fees does your service charge? </w:t>
      </w:r>
      <w:r w:rsidRPr="00BF46C3">
        <w:rPr>
          <w:rFonts w:asciiTheme="majorHAnsi" w:hAnsiTheme="majorHAnsi"/>
        </w:rPr>
        <w:br/>
      </w:r>
      <w:r w:rsidRPr="00BF46C3">
        <w:rPr>
          <w:rFonts w:asciiTheme="majorHAnsi" w:hAnsiTheme="majorHAnsi"/>
        </w:rPr>
        <w:br/>
      </w:r>
      <w:r w:rsidRPr="00BF46C3">
        <w:rPr>
          <w:rFonts w:asciiTheme="majorHAnsi" w:hAnsiTheme="majorHAnsi"/>
          <w:i/>
        </w:rPr>
        <w:t>Please give a dollar value and specify the time period the fees refers to, for example per day or per term. </w:t>
      </w:r>
      <w:r w:rsidRPr="00BF46C3">
        <w:rPr>
          <w:rFonts w:asciiTheme="majorHAnsi" w:hAnsiTheme="majorHAnsi"/>
          <w:i/>
        </w:rPr>
        <w:br/>
      </w:r>
      <w:r w:rsidRPr="00BF46C3">
        <w:rPr>
          <w:rFonts w:asciiTheme="majorHAnsi" w:hAnsiTheme="majorHAnsi"/>
          <w:i/>
        </w:rPr>
        <w:lastRenderedPageBreak/>
        <w:t>Please also describe any specific arrangements your service has, for example a free trial period, or reduced fees for certain demographic cohorts.</w:t>
      </w:r>
    </w:p>
    <w:p w14:paraId="753F1DB0" w14:textId="77777777" w:rsidR="00A50C17" w:rsidRPr="00BF46C3" w:rsidRDefault="00A50C17" w:rsidP="00A50C17">
      <w:pPr>
        <w:keepNext/>
        <w:rPr>
          <w:rFonts w:asciiTheme="majorHAnsi" w:hAnsiTheme="majorHAnsi"/>
        </w:rPr>
      </w:pPr>
      <w:r w:rsidRPr="00BF46C3">
        <w:rPr>
          <w:rFonts w:asciiTheme="majorHAnsi" w:hAnsiTheme="majorHAnsi"/>
        </w:rPr>
        <w:t>Overall, to what degree is the revenue your services receive (including CCS, ACCS, CCCFR grant, fees and other funding) sufficient to cover your operating costs on an ongoing basis?</w:t>
      </w:r>
    </w:p>
    <w:p w14:paraId="1162E7A5" w14:textId="77777777" w:rsidR="00A50C17" w:rsidRPr="00BF46C3" w:rsidRDefault="00A50C17" w:rsidP="00171325">
      <w:pPr>
        <w:pStyle w:val="ListParagraph"/>
        <w:keepNext/>
        <w:numPr>
          <w:ilvl w:val="0"/>
          <w:numId w:val="17"/>
        </w:numPr>
        <w:ind w:firstLine="0"/>
        <w:contextualSpacing w:val="0"/>
      </w:pPr>
      <w:r w:rsidRPr="00BF46C3">
        <w:t xml:space="preserve">Our service's operating costs are far higher than our revenue </w:t>
      </w:r>
    </w:p>
    <w:p w14:paraId="1A5D5E6A" w14:textId="77777777" w:rsidR="00A50C17" w:rsidRPr="00BF46C3" w:rsidRDefault="00A50C17" w:rsidP="00171325">
      <w:pPr>
        <w:pStyle w:val="ListParagraph"/>
        <w:keepNext/>
        <w:numPr>
          <w:ilvl w:val="0"/>
          <w:numId w:val="17"/>
        </w:numPr>
        <w:ind w:firstLine="0"/>
        <w:contextualSpacing w:val="0"/>
      </w:pPr>
      <w:r w:rsidRPr="00BF46C3">
        <w:t xml:space="preserve">Our service's operating costs are slightly higher than our revenue </w:t>
      </w:r>
    </w:p>
    <w:p w14:paraId="0AFBC833" w14:textId="77777777" w:rsidR="00A50C17" w:rsidRPr="00BF46C3" w:rsidRDefault="00A50C17" w:rsidP="00171325">
      <w:pPr>
        <w:pStyle w:val="ListParagraph"/>
        <w:keepNext/>
        <w:numPr>
          <w:ilvl w:val="0"/>
          <w:numId w:val="17"/>
        </w:numPr>
        <w:ind w:firstLine="0"/>
        <w:contextualSpacing w:val="0"/>
      </w:pPr>
      <w:r w:rsidRPr="00BF46C3">
        <w:t xml:space="preserve">Our service's operating costs are about the same as our revenue </w:t>
      </w:r>
    </w:p>
    <w:p w14:paraId="783C0F23" w14:textId="77777777" w:rsidR="00A50C17" w:rsidRPr="00BF46C3" w:rsidRDefault="00A50C17" w:rsidP="00171325">
      <w:pPr>
        <w:pStyle w:val="ListParagraph"/>
        <w:keepNext/>
        <w:numPr>
          <w:ilvl w:val="0"/>
          <w:numId w:val="17"/>
        </w:numPr>
        <w:ind w:firstLine="0"/>
        <w:contextualSpacing w:val="0"/>
      </w:pPr>
      <w:r w:rsidRPr="00BF46C3">
        <w:t xml:space="preserve">Our service's revenue is slightly higher than our operating costs </w:t>
      </w:r>
    </w:p>
    <w:p w14:paraId="331D9DEA" w14:textId="77777777" w:rsidR="00A50C17" w:rsidRPr="00BF46C3" w:rsidRDefault="00A50C17" w:rsidP="00171325">
      <w:pPr>
        <w:pStyle w:val="ListParagraph"/>
        <w:keepNext/>
        <w:numPr>
          <w:ilvl w:val="0"/>
          <w:numId w:val="17"/>
        </w:numPr>
        <w:ind w:firstLine="0"/>
        <w:contextualSpacing w:val="0"/>
      </w:pPr>
      <w:r w:rsidRPr="00BF46C3">
        <w:t xml:space="preserve">Our service's revenue is much higher than our operating costs </w:t>
      </w:r>
    </w:p>
    <w:p w14:paraId="36644C94" w14:textId="77777777" w:rsidR="00A50C17" w:rsidRPr="00BF46C3" w:rsidRDefault="00A50C17" w:rsidP="00A50C17">
      <w:pPr>
        <w:keepNext/>
        <w:rPr>
          <w:rFonts w:asciiTheme="majorHAnsi" w:hAnsiTheme="majorHAnsi"/>
        </w:rPr>
      </w:pPr>
      <w:r w:rsidRPr="00BF46C3">
        <w:rPr>
          <w:rFonts w:asciiTheme="majorHAnsi" w:hAnsiTheme="majorHAnsi"/>
        </w:rPr>
        <w:t>Is the grant amount you receive enough to meet the CCCFR grant objectives and support the provision of high quality child care?</w:t>
      </w:r>
    </w:p>
    <w:p w14:paraId="40DAA70D" w14:textId="65B76688" w:rsidR="00A50C17" w:rsidRPr="00BF46C3" w:rsidRDefault="00A50C17" w:rsidP="00171325">
      <w:pPr>
        <w:pStyle w:val="ListParagraph"/>
        <w:keepNext/>
        <w:numPr>
          <w:ilvl w:val="0"/>
          <w:numId w:val="17"/>
        </w:numPr>
        <w:ind w:firstLine="0"/>
        <w:contextualSpacing w:val="0"/>
      </w:pPr>
      <w:r w:rsidRPr="00BF46C3">
        <w:t xml:space="preserve">Yes (please explain) </w:t>
      </w:r>
    </w:p>
    <w:p w14:paraId="1F477D09" w14:textId="761C49AA" w:rsidR="00A50C17" w:rsidRPr="00BF46C3" w:rsidRDefault="00A50C17" w:rsidP="00171325">
      <w:pPr>
        <w:pStyle w:val="ListParagraph"/>
        <w:keepNext/>
        <w:numPr>
          <w:ilvl w:val="0"/>
          <w:numId w:val="17"/>
        </w:numPr>
        <w:ind w:firstLine="0"/>
        <w:contextualSpacing w:val="0"/>
      </w:pPr>
      <w:r w:rsidRPr="00BF46C3">
        <w:t xml:space="preserve">No (please explain) </w:t>
      </w:r>
    </w:p>
    <w:p w14:paraId="1494778C" w14:textId="19761E33" w:rsidR="00A50C17" w:rsidRPr="00BF46C3" w:rsidRDefault="00A50C17" w:rsidP="00171325">
      <w:pPr>
        <w:pStyle w:val="ListParagraph"/>
        <w:keepNext/>
        <w:numPr>
          <w:ilvl w:val="0"/>
          <w:numId w:val="17"/>
        </w:numPr>
        <w:ind w:firstLine="0"/>
        <w:contextualSpacing w:val="0"/>
      </w:pPr>
      <w:r w:rsidRPr="00BF46C3">
        <w:t xml:space="preserve">Unsure (please explain) </w:t>
      </w:r>
    </w:p>
    <w:p w14:paraId="046DF038" w14:textId="637B61B1" w:rsidR="00A50C17" w:rsidRDefault="00A50C17">
      <w:pPr>
        <w:pStyle w:val="Surveyoptions"/>
        <w:keepNext/>
        <w:rPr>
          <w:rFonts w:asciiTheme="majorHAnsi" w:hAnsiTheme="majorHAnsi"/>
        </w:rPr>
      </w:pPr>
      <w:r w:rsidRPr="00BF46C3">
        <w:t xml:space="preserve">Somewhat (please explain) </w:t>
      </w:r>
    </w:p>
    <w:p w14:paraId="41AD8095" w14:textId="6F312E47" w:rsidR="00A50C17" w:rsidRPr="00BF46C3" w:rsidRDefault="00A50C17" w:rsidP="00FD5C0A">
      <w:pPr>
        <w:keepNext/>
        <w:rPr>
          <w:rFonts w:asciiTheme="majorHAnsi" w:hAnsiTheme="majorHAnsi"/>
        </w:rPr>
      </w:pPr>
      <w:r w:rsidRPr="00BF46C3">
        <w:rPr>
          <w:rFonts w:asciiTheme="majorHAnsi" w:hAnsiTheme="majorHAnsi"/>
        </w:rPr>
        <w:t>How was your service affected by the transition from your former funding model Budget Based Funded (BBF), Indigenous Advancement Strategy (IAS) or Non-Formula Funded Occasional Care (NFFOCC), or other) to the CCCFR grant? If you were not present during the transition, how would your service operate under a block funding model? </w:t>
      </w:r>
    </w:p>
    <w:p w14:paraId="382ABB9B" w14:textId="77777777" w:rsidR="00A50C17" w:rsidRPr="00BF46C3" w:rsidRDefault="00A50C17" w:rsidP="00A50C17">
      <w:pPr>
        <w:keepNext/>
        <w:rPr>
          <w:rFonts w:asciiTheme="majorHAnsi" w:hAnsiTheme="majorHAnsi"/>
        </w:rPr>
      </w:pPr>
      <w:r w:rsidRPr="00BF46C3">
        <w:rPr>
          <w:rFonts w:asciiTheme="majorHAnsi" w:hAnsiTheme="majorHAnsi"/>
        </w:rPr>
        <w:t>Does your service generate CCS subsidy funding from all children?</w:t>
      </w:r>
    </w:p>
    <w:p w14:paraId="5A6BFD3A"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7BDE84B1" w14:textId="77777777" w:rsidR="00A50C17" w:rsidRPr="00BF46C3" w:rsidRDefault="00A50C17" w:rsidP="00171325">
      <w:pPr>
        <w:pStyle w:val="ListParagraph"/>
        <w:keepNext/>
        <w:numPr>
          <w:ilvl w:val="0"/>
          <w:numId w:val="17"/>
        </w:numPr>
        <w:ind w:firstLine="0"/>
        <w:contextualSpacing w:val="0"/>
      </w:pPr>
      <w:r w:rsidRPr="00BF46C3">
        <w:t xml:space="preserve">No </w:t>
      </w:r>
    </w:p>
    <w:p w14:paraId="58843B79" w14:textId="7E7DD057" w:rsidR="00A50C17" w:rsidRPr="00FD5C0A" w:rsidRDefault="00A50C17" w:rsidP="00A50C17">
      <w:pPr>
        <w:pStyle w:val="Surveyoptions"/>
      </w:pPr>
      <w:r w:rsidRPr="00BF46C3">
        <w:t xml:space="preserve">Unsure </w:t>
      </w:r>
    </w:p>
    <w:p w14:paraId="63EA744F" w14:textId="77777777" w:rsidR="00A50C17" w:rsidRPr="00BF46C3" w:rsidRDefault="00A50C17" w:rsidP="00A50C17">
      <w:pPr>
        <w:keepNext/>
        <w:rPr>
          <w:rFonts w:asciiTheme="majorHAnsi" w:hAnsiTheme="majorHAnsi"/>
        </w:rPr>
      </w:pPr>
      <w:r w:rsidRPr="00BF46C3">
        <w:rPr>
          <w:rFonts w:asciiTheme="majorHAnsi" w:hAnsiTheme="majorHAnsi"/>
        </w:rPr>
        <w:t>Is your CCCFR service funded by other sources?</w:t>
      </w:r>
    </w:p>
    <w:p w14:paraId="347CF55C"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38DD8B29" w14:textId="36451D0E" w:rsidR="00A50C17" w:rsidRPr="00BF46C3" w:rsidRDefault="00A50C17" w:rsidP="00171325">
      <w:pPr>
        <w:pStyle w:val="ListParagraph"/>
        <w:keepNext/>
        <w:numPr>
          <w:ilvl w:val="0"/>
          <w:numId w:val="17"/>
        </w:numPr>
        <w:ind w:firstLine="0"/>
        <w:contextualSpacing w:val="0"/>
      </w:pPr>
      <w:r w:rsidRPr="00BF46C3">
        <w:t xml:space="preserve">No </w:t>
      </w:r>
    </w:p>
    <w:p w14:paraId="2CF86B1C" w14:textId="3B188222" w:rsidR="00A50C17" w:rsidRPr="00BF46C3" w:rsidRDefault="00A50C17" w:rsidP="00FD5C0A">
      <w:pPr>
        <w:pStyle w:val="Surveyoptions"/>
      </w:pPr>
      <w:r w:rsidRPr="00BF46C3">
        <w:t xml:space="preserve">Unsure </w:t>
      </w:r>
    </w:p>
    <w:p w14:paraId="5131D4FB" w14:textId="77777777" w:rsidR="00A50C17" w:rsidRPr="00BF46C3" w:rsidRDefault="00A50C17" w:rsidP="00A50C17">
      <w:pPr>
        <w:keepNext/>
        <w:rPr>
          <w:rFonts w:asciiTheme="majorHAnsi" w:hAnsiTheme="majorHAnsi"/>
        </w:rPr>
      </w:pPr>
      <w:r w:rsidRPr="00BF46C3">
        <w:rPr>
          <w:rFonts w:asciiTheme="majorHAnsi" w:hAnsiTheme="majorHAnsi"/>
        </w:rPr>
        <w:lastRenderedPageBreak/>
        <w:t>Do you cross fund child care with funding from other programs?</w:t>
      </w:r>
    </w:p>
    <w:p w14:paraId="7FC489C8"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79960F1E" w14:textId="18B3C0C9" w:rsidR="00A50C17" w:rsidRPr="00FD5C0A" w:rsidRDefault="00A50C17" w:rsidP="00FD5C0A">
      <w:pPr>
        <w:pStyle w:val="Surveyoptions"/>
      </w:pPr>
      <w:r w:rsidRPr="00BF46C3">
        <w:t xml:space="preserve">No </w:t>
      </w:r>
    </w:p>
    <w:p w14:paraId="0CCEEA89" w14:textId="77777777" w:rsidR="00A50C17" w:rsidRPr="00BF46C3" w:rsidRDefault="00A50C17" w:rsidP="00A50C17">
      <w:pPr>
        <w:keepNext/>
        <w:rPr>
          <w:rFonts w:asciiTheme="majorHAnsi" w:hAnsiTheme="majorHAnsi"/>
        </w:rPr>
      </w:pPr>
      <w:r w:rsidRPr="00BF46C3">
        <w:rPr>
          <w:rFonts w:asciiTheme="majorHAnsi" w:hAnsiTheme="majorHAnsi"/>
        </w:rPr>
        <w:t>Please use this space for any other comments on the amount of funding and revenue your service receives and/or generates </w:t>
      </w:r>
    </w:p>
    <w:p w14:paraId="163B7590" w14:textId="77777777" w:rsidR="00A50C17" w:rsidRPr="00BF46C3" w:rsidRDefault="00A50C17" w:rsidP="00A50C17">
      <w:pPr>
        <w:keepNext/>
        <w:rPr>
          <w:rFonts w:asciiTheme="majorHAnsi" w:hAnsiTheme="majorHAnsi"/>
        </w:rPr>
      </w:pPr>
      <w:r w:rsidRPr="00BF46C3">
        <w:rPr>
          <w:rFonts w:asciiTheme="majorHAnsi" w:hAnsiTheme="majorHAnsi"/>
        </w:rPr>
        <w:t xml:space="preserve">Thank you for completing the core questions for services receiving CCCFR funding. </w:t>
      </w:r>
      <w:r w:rsidRPr="00BF46C3">
        <w:rPr>
          <w:rFonts w:asciiTheme="majorHAnsi" w:hAnsiTheme="majorHAnsi"/>
        </w:rPr>
        <w:br/>
      </w:r>
      <w:r w:rsidRPr="00BF46C3">
        <w:rPr>
          <w:rFonts w:asciiTheme="majorHAnsi" w:hAnsiTheme="majorHAnsi"/>
        </w:rPr>
        <w:br/>
        <w:t xml:space="preserve">The review will use detailed financial and operational data held by the Department, collected from your service's reports on the CCCFR grant, including financial acquittal reports and annual compliance and operations survey data. </w:t>
      </w:r>
      <w:r w:rsidRPr="00BF46C3">
        <w:rPr>
          <w:rFonts w:asciiTheme="majorHAnsi" w:hAnsiTheme="majorHAnsi"/>
        </w:rPr>
        <w:br/>
      </w:r>
      <w:r w:rsidRPr="00BF46C3">
        <w:rPr>
          <w:rFonts w:asciiTheme="majorHAnsi" w:hAnsiTheme="majorHAnsi"/>
        </w:rPr>
        <w:br/>
        <w:t xml:space="preserve">If you would like to provide additional, more detailed information on the activities and costs your service incurs, please click ‘continue the survey’. </w:t>
      </w:r>
      <w:r w:rsidRPr="00BF46C3">
        <w:rPr>
          <w:rFonts w:asciiTheme="majorHAnsi" w:hAnsiTheme="majorHAnsi"/>
          <w:b/>
        </w:rPr>
        <w:t>This is optional.</w:t>
      </w:r>
      <w:r w:rsidRPr="00BF46C3">
        <w:rPr>
          <w:rFonts w:asciiTheme="majorHAnsi" w:hAnsiTheme="majorHAnsi"/>
        </w:rPr>
        <w:t xml:space="preserve"> </w:t>
      </w:r>
      <w:r w:rsidRPr="00BF46C3">
        <w:rPr>
          <w:rFonts w:asciiTheme="majorHAnsi" w:hAnsiTheme="majorHAnsi"/>
        </w:rPr>
        <w:br/>
      </w:r>
      <w:r w:rsidRPr="00BF46C3">
        <w:rPr>
          <w:rFonts w:asciiTheme="majorHAnsi" w:hAnsiTheme="majorHAnsi"/>
        </w:rPr>
        <w:br/>
        <w:t>If you are satisfied that your financial and operational data held by the Department is representative of the activities and costs your service incurs, please click ‘finish the survey’. You will have an opportunity to include any additional comments as free text.</w:t>
      </w:r>
    </w:p>
    <w:p w14:paraId="0219D3CF" w14:textId="77777777" w:rsidR="00A50C17" w:rsidRPr="00BF46C3" w:rsidRDefault="00A50C17" w:rsidP="00171325">
      <w:pPr>
        <w:pStyle w:val="ListParagraph"/>
        <w:keepNext/>
        <w:numPr>
          <w:ilvl w:val="0"/>
          <w:numId w:val="17"/>
        </w:numPr>
        <w:ind w:firstLine="0"/>
        <w:contextualSpacing w:val="0"/>
      </w:pPr>
      <w:r w:rsidRPr="00BF46C3">
        <w:t xml:space="preserve">To continue survey, click here </w:t>
      </w:r>
    </w:p>
    <w:p w14:paraId="18752368" w14:textId="1EB57D65" w:rsidR="00A50C17" w:rsidRPr="00FD5C0A" w:rsidRDefault="00A50C17" w:rsidP="00A50C17">
      <w:pPr>
        <w:pStyle w:val="Surveyoptions"/>
      </w:pPr>
      <w:r w:rsidRPr="00BF46C3">
        <w:t xml:space="preserve">To finish survey, click here </w:t>
      </w:r>
    </w:p>
    <w:p w14:paraId="60DC1C5A" w14:textId="77777777" w:rsidR="00A50C17" w:rsidRPr="00483071" w:rsidRDefault="00A50C17" w:rsidP="00483071">
      <w:pPr>
        <w:pStyle w:val="QSkipLogic"/>
        <w:shd w:val="clear" w:color="auto" w:fill="D9D9D9" w:themeFill="background1" w:themeFillShade="D9"/>
        <w:rPr>
          <w:rFonts w:asciiTheme="majorHAnsi" w:hAnsiTheme="majorHAnsi"/>
          <w:color w:val="auto"/>
          <w:sz w:val="18"/>
          <w:szCs w:val="18"/>
        </w:rPr>
      </w:pPr>
      <w:r w:rsidRPr="00483071">
        <w:rPr>
          <w:rFonts w:asciiTheme="majorHAnsi" w:hAnsiTheme="majorHAnsi"/>
          <w:color w:val="auto"/>
          <w:sz w:val="18"/>
          <w:szCs w:val="18"/>
        </w:rPr>
        <w:t>Skip To: Q55 If Thank you for completing the core questions for services receiving CCCFR funding. The review will... = To finish survey, click here</w:t>
      </w:r>
    </w:p>
    <w:p w14:paraId="15E0AC06" w14:textId="01A74C3B" w:rsidR="00A50C17" w:rsidRPr="00FD5C0A" w:rsidRDefault="00A50C17" w:rsidP="00A50C17">
      <w:pPr>
        <w:pStyle w:val="Appendixhead3"/>
      </w:pPr>
      <w:r w:rsidRPr="00BF46C3">
        <w:t xml:space="preserve">Additional questions </w:t>
      </w:r>
      <w:r>
        <w:t>-</w:t>
      </w:r>
      <w:r w:rsidRPr="00BF46C3">
        <w:t>Day to day delivery</w:t>
      </w:r>
    </w:p>
    <w:p w14:paraId="6734289C" w14:textId="705E7D50" w:rsidR="00A50C17" w:rsidRPr="00BF46C3" w:rsidRDefault="00A50C17" w:rsidP="00A50C17">
      <w:pPr>
        <w:keepNext/>
        <w:rPr>
          <w:rFonts w:asciiTheme="majorHAnsi" w:hAnsiTheme="majorHAnsi"/>
        </w:rPr>
      </w:pPr>
      <w:r w:rsidRPr="00BF46C3">
        <w:rPr>
          <w:rFonts w:asciiTheme="majorHAnsi" w:hAnsiTheme="majorHAnsi"/>
        </w:rPr>
        <w:t xml:space="preserve">How many </w:t>
      </w:r>
      <w:r w:rsidRPr="00BF46C3">
        <w:rPr>
          <w:rFonts w:asciiTheme="majorHAnsi" w:hAnsiTheme="majorHAnsi"/>
          <w:b/>
        </w:rPr>
        <w:t>hours per week</w:t>
      </w:r>
      <w:r w:rsidRPr="00BF46C3">
        <w:rPr>
          <w:rFonts w:asciiTheme="majorHAnsi" w:hAnsiTheme="majorHAnsi"/>
        </w:rPr>
        <w:t xml:space="preserve"> does your service spend undertaking the following activities as part of its child care program?</w:t>
      </w:r>
      <w:r w:rsidRPr="00BF46C3">
        <w:rPr>
          <w:rFonts w:asciiTheme="majorHAnsi" w:hAnsiTheme="majorHAnsi"/>
        </w:rPr>
        <w:br/>
        <w:t xml:space="preserve"> </w:t>
      </w:r>
      <w:r w:rsidRPr="00BF46C3">
        <w:rPr>
          <w:rFonts w:asciiTheme="majorHAnsi" w:hAnsiTheme="majorHAnsi"/>
        </w:rPr>
        <w:br/>
        <w:t xml:space="preserve"> </w:t>
      </w:r>
      <w:r w:rsidRPr="00BF46C3">
        <w:rPr>
          <w:rFonts w:asciiTheme="majorHAnsi" w:hAnsiTheme="majorHAnsi"/>
          <w:i/>
        </w:rPr>
        <w:t xml:space="preserve">For activities not undertaken weekly, please multiply the total amount of times this occurs per year by the average number of hours each. Then take this figure and divide by 52 for the hours </w:t>
      </w:r>
      <w:r w:rsidRPr="00BF46C3">
        <w:rPr>
          <w:rFonts w:asciiTheme="majorHAnsi" w:hAnsiTheme="majorHAnsi"/>
          <w:i/>
        </w:rPr>
        <w:lastRenderedPageBreak/>
        <w:t>per week.</w:t>
      </w:r>
      <w:r w:rsidRPr="00BF46C3">
        <w:rPr>
          <w:rFonts w:asciiTheme="majorHAnsi" w:hAnsiTheme="majorHAnsi"/>
        </w:rPr>
        <w:br/>
      </w:r>
      <w:r w:rsidR="002E497C">
        <w:rPr>
          <w:rFonts w:asciiTheme="majorHAnsi" w:hAnsiTheme="majorHAnsi"/>
        </w:rPr>
        <w:t xml:space="preserve"> </w:t>
      </w:r>
    </w:p>
    <w:tbl>
      <w:tblPr>
        <w:tblStyle w:val="QTextTable"/>
        <w:tblW w:w="9576" w:type="auto"/>
        <w:tblCellMar>
          <w:top w:w="57" w:type="dxa"/>
          <w:left w:w="57" w:type="dxa"/>
          <w:bottom w:w="57" w:type="dxa"/>
          <w:right w:w="57" w:type="dxa"/>
        </w:tblCellMar>
        <w:tblLook w:val="07E0" w:firstRow="1" w:lastRow="1" w:firstColumn="1" w:lastColumn="1" w:noHBand="1" w:noVBand="1"/>
      </w:tblPr>
      <w:tblGrid>
        <w:gridCol w:w="4547"/>
        <w:gridCol w:w="4479"/>
      </w:tblGrid>
      <w:tr w:rsidR="00A50C17" w:rsidRPr="00BF46C3" w14:paraId="07002B2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5706DEFC" w14:textId="77777777" w:rsidR="00A50C17" w:rsidRPr="00BF46C3" w:rsidRDefault="00A50C17" w:rsidP="00054089">
            <w:pPr>
              <w:keepNext/>
              <w:spacing w:after="0"/>
              <w:rPr>
                <w:rFonts w:asciiTheme="majorHAnsi" w:hAnsiTheme="majorHAnsi"/>
                <w:sz w:val="18"/>
                <w:szCs w:val="18"/>
              </w:rPr>
            </w:pPr>
          </w:p>
        </w:tc>
        <w:tc>
          <w:tcPr>
            <w:tcW w:w="4788" w:type="dxa"/>
          </w:tcPr>
          <w:p w14:paraId="3DA53C1E"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Amount of time</w:t>
            </w:r>
          </w:p>
        </w:tc>
      </w:tr>
      <w:tr w:rsidR="00A50C17" w:rsidRPr="00BF46C3" w14:paraId="554B8CBA" w14:textId="77777777">
        <w:tc>
          <w:tcPr>
            <w:cnfStyle w:val="001000000000" w:firstRow="0" w:lastRow="0" w:firstColumn="1" w:lastColumn="0" w:oddVBand="0" w:evenVBand="0" w:oddHBand="0" w:evenHBand="0" w:firstRowFirstColumn="0" w:firstRowLastColumn="0" w:lastRowFirstColumn="0" w:lastRowLastColumn="0"/>
            <w:tcW w:w="4788" w:type="dxa"/>
          </w:tcPr>
          <w:p w14:paraId="2C856D36"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Delivering child care (direct facing delivery) </w:t>
            </w:r>
          </w:p>
        </w:tc>
        <w:tc>
          <w:tcPr>
            <w:tcW w:w="4788" w:type="dxa"/>
          </w:tcPr>
          <w:p w14:paraId="15BB80DE"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03D9BBFD" w14:textId="77777777">
        <w:tc>
          <w:tcPr>
            <w:cnfStyle w:val="001000000000" w:firstRow="0" w:lastRow="0" w:firstColumn="1" w:lastColumn="0" w:oddVBand="0" w:evenVBand="0" w:oddHBand="0" w:evenHBand="0" w:firstRowFirstColumn="0" w:firstRowLastColumn="0" w:lastRowFirstColumn="0" w:lastRowLastColumn="0"/>
            <w:tcW w:w="4788" w:type="dxa"/>
          </w:tcPr>
          <w:p w14:paraId="4E62B1BB"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Transporting children to and from the service </w:t>
            </w:r>
          </w:p>
        </w:tc>
        <w:tc>
          <w:tcPr>
            <w:tcW w:w="4788" w:type="dxa"/>
          </w:tcPr>
          <w:p w14:paraId="3B493DEF"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71B62DD8" w14:textId="77777777">
        <w:tc>
          <w:tcPr>
            <w:cnfStyle w:val="001000000000" w:firstRow="0" w:lastRow="0" w:firstColumn="1" w:lastColumn="0" w:oddVBand="0" w:evenVBand="0" w:oddHBand="0" w:evenHBand="0" w:firstRowFirstColumn="0" w:firstRowLastColumn="0" w:lastRowFirstColumn="0" w:lastRowLastColumn="0"/>
            <w:tcW w:w="4788" w:type="dxa"/>
          </w:tcPr>
          <w:p w14:paraId="530D9B4C"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Outings or excursions </w:t>
            </w:r>
          </w:p>
        </w:tc>
        <w:tc>
          <w:tcPr>
            <w:tcW w:w="4788" w:type="dxa"/>
          </w:tcPr>
          <w:p w14:paraId="4C0B89E7"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09CA82FD" w14:textId="77777777">
        <w:tc>
          <w:tcPr>
            <w:cnfStyle w:val="001000000000" w:firstRow="0" w:lastRow="0" w:firstColumn="1" w:lastColumn="0" w:oddVBand="0" w:evenVBand="0" w:oddHBand="0" w:evenHBand="0" w:firstRowFirstColumn="0" w:firstRowLastColumn="0" w:lastRowFirstColumn="0" w:lastRowLastColumn="0"/>
            <w:tcW w:w="4788" w:type="dxa"/>
          </w:tcPr>
          <w:p w14:paraId="7509A9E2"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Training staff internally </w:t>
            </w:r>
          </w:p>
        </w:tc>
        <w:tc>
          <w:tcPr>
            <w:tcW w:w="4788" w:type="dxa"/>
          </w:tcPr>
          <w:p w14:paraId="0EC72B08"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5D926006" w14:textId="77777777">
        <w:tc>
          <w:tcPr>
            <w:cnfStyle w:val="001000000000" w:firstRow="0" w:lastRow="0" w:firstColumn="1" w:lastColumn="0" w:oddVBand="0" w:evenVBand="0" w:oddHBand="0" w:evenHBand="0" w:firstRowFirstColumn="0" w:firstRowLastColumn="0" w:lastRowFirstColumn="0" w:lastRowLastColumn="0"/>
            <w:tcW w:w="4788" w:type="dxa"/>
          </w:tcPr>
          <w:p w14:paraId="390FD66A" w14:textId="4201EC2E"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Supporting staff to gain qualifications</w:t>
            </w:r>
            <w:r w:rsidR="002E497C">
              <w:rPr>
                <w:rFonts w:asciiTheme="majorHAnsi" w:hAnsiTheme="majorHAnsi"/>
                <w:sz w:val="18"/>
                <w:szCs w:val="18"/>
              </w:rPr>
              <w:t xml:space="preserve">  </w:t>
            </w:r>
          </w:p>
        </w:tc>
        <w:tc>
          <w:tcPr>
            <w:tcW w:w="4788" w:type="dxa"/>
          </w:tcPr>
          <w:p w14:paraId="2FA16452"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2E4BA9E0" w14:textId="77777777">
        <w:tc>
          <w:tcPr>
            <w:cnfStyle w:val="001000000000" w:firstRow="0" w:lastRow="0" w:firstColumn="1" w:lastColumn="0" w:oddVBand="0" w:evenVBand="0" w:oddHBand="0" w:evenHBand="0" w:firstRowFirstColumn="0" w:firstRowLastColumn="0" w:lastRowFirstColumn="0" w:lastRowLastColumn="0"/>
            <w:tcW w:w="4788" w:type="dxa"/>
          </w:tcPr>
          <w:p w14:paraId="537AB5E6" w14:textId="34796B4A"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Training days/professional development days</w:t>
            </w:r>
            <w:r w:rsidR="002E497C">
              <w:rPr>
                <w:rFonts w:asciiTheme="majorHAnsi" w:hAnsiTheme="majorHAnsi"/>
                <w:sz w:val="18"/>
                <w:szCs w:val="18"/>
              </w:rPr>
              <w:t xml:space="preserve"> </w:t>
            </w:r>
          </w:p>
        </w:tc>
        <w:tc>
          <w:tcPr>
            <w:tcW w:w="4788" w:type="dxa"/>
          </w:tcPr>
          <w:p w14:paraId="25A10BBA"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50701650" w14:textId="77777777">
        <w:tc>
          <w:tcPr>
            <w:cnfStyle w:val="001000000000" w:firstRow="0" w:lastRow="0" w:firstColumn="1" w:lastColumn="0" w:oddVBand="0" w:evenVBand="0" w:oddHBand="0" w:evenHBand="0" w:firstRowFirstColumn="0" w:firstRowLastColumn="0" w:lastRowFirstColumn="0" w:lastRowLastColumn="0"/>
            <w:tcW w:w="4788" w:type="dxa"/>
          </w:tcPr>
          <w:p w14:paraId="27C0BEE8" w14:textId="2B30D081"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Administration of the CCCFR grant</w:t>
            </w:r>
            <w:r w:rsidR="002E497C">
              <w:rPr>
                <w:rFonts w:asciiTheme="majorHAnsi" w:hAnsiTheme="majorHAnsi"/>
                <w:sz w:val="18"/>
                <w:szCs w:val="18"/>
              </w:rPr>
              <w:t xml:space="preserve"> </w:t>
            </w:r>
          </w:p>
        </w:tc>
        <w:tc>
          <w:tcPr>
            <w:tcW w:w="4788" w:type="dxa"/>
          </w:tcPr>
          <w:p w14:paraId="28689D87"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6BE0BC88" w14:textId="77777777">
        <w:tc>
          <w:tcPr>
            <w:cnfStyle w:val="001000000000" w:firstRow="0" w:lastRow="0" w:firstColumn="1" w:lastColumn="0" w:oddVBand="0" w:evenVBand="0" w:oddHBand="0" w:evenHBand="0" w:firstRowFirstColumn="0" w:firstRowLastColumn="0" w:lastRowFirstColumn="0" w:lastRowLastColumn="0"/>
            <w:tcW w:w="4788" w:type="dxa"/>
          </w:tcPr>
          <w:p w14:paraId="7714E5D5"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Administration of CCS </w:t>
            </w:r>
          </w:p>
        </w:tc>
        <w:tc>
          <w:tcPr>
            <w:tcW w:w="4788" w:type="dxa"/>
          </w:tcPr>
          <w:p w14:paraId="77C2165C"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1C910D7B" w14:textId="77777777">
        <w:tc>
          <w:tcPr>
            <w:cnfStyle w:val="001000000000" w:firstRow="0" w:lastRow="0" w:firstColumn="1" w:lastColumn="0" w:oddVBand="0" w:evenVBand="0" w:oddHBand="0" w:evenHBand="0" w:firstRowFirstColumn="0" w:firstRowLastColumn="0" w:lastRowFirstColumn="0" w:lastRowLastColumn="0"/>
            <w:tcW w:w="4788" w:type="dxa"/>
          </w:tcPr>
          <w:p w14:paraId="27ADAA04" w14:textId="5C70B503"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Other administration</w:t>
            </w:r>
            <w:r w:rsidR="002E497C">
              <w:rPr>
                <w:rFonts w:asciiTheme="majorHAnsi" w:hAnsiTheme="majorHAnsi"/>
                <w:sz w:val="18"/>
                <w:szCs w:val="18"/>
              </w:rPr>
              <w:t xml:space="preserve"> </w:t>
            </w:r>
          </w:p>
        </w:tc>
        <w:tc>
          <w:tcPr>
            <w:tcW w:w="4788" w:type="dxa"/>
          </w:tcPr>
          <w:p w14:paraId="4C6011A0"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34208A4A" w14:textId="77777777">
        <w:tc>
          <w:tcPr>
            <w:cnfStyle w:val="001000000000" w:firstRow="0" w:lastRow="0" w:firstColumn="1" w:lastColumn="0" w:oddVBand="0" w:evenVBand="0" w:oddHBand="0" w:evenHBand="0" w:firstRowFirstColumn="0" w:firstRowLastColumn="0" w:lastRowFirstColumn="0" w:lastRowLastColumn="0"/>
            <w:tcW w:w="4788" w:type="dxa"/>
          </w:tcPr>
          <w:p w14:paraId="03BEDFCF"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Running playgroups for Indigenous families </w:t>
            </w:r>
          </w:p>
        </w:tc>
        <w:tc>
          <w:tcPr>
            <w:tcW w:w="4788" w:type="dxa"/>
          </w:tcPr>
          <w:p w14:paraId="4C9CBD8C"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65A12A29" w14:textId="77777777">
        <w:tc>
          <w:tcPr>
            <w:cnfStyle w:val="001000000000" w:firstRow="0" w:lastRow="0" w:firstColumn="1" w:lastColumn="0" w:oddVBand="0" w:evenVBand="0" w:oddHBand="0" w:evenHBand="0" w:firstRowFirstColumn="0" w:firstRowLastColumn="0" w:lastRowFirstColumn="0" w:lastRowLastColumn="0"/>
            <w:tcW w:w="4788" w:type="dxa"/>
          </w:tcPr>
          <w:p w14:paraId="5F65F7F9" w14:textId="42517CBF"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Running playgroups for non-Indigenous families</w:t>
            </w:r>
            <w:r w:rsidR="002E497C">
              <w:rPr>
                <w:rFonts w:asciiTheme="majorHAnsi" w:hAnsiTheme="majorHAnsi"/>
                <w:sz w:val="18"/>
                <w:szCs w:val="18"/>
              </w:rPr>
              <w:t xml:space="preserve"> </w:t>
            </w:r>
          </w:p>
        </w:tc>
        <w:tc>
          <w:tcPr>
            <w:tcW w:w="4788" w:type="dxa"/>
          </w:tcPr>
          <w:p w14:paraId="65E6E30C"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60BDD8D3" w14:textId="77777777">
        <w:tc>
          <w:tcPr>
            <w:cnfStyle w:val="001000000000" w:firstRow="0" w:lastRow="0" w:firstColumn="1" w:lastColumn="0" w:oddVBand="0" w:evenVBand="0" w:oddHBand="0" w:evenHBand="0" w:firstRowFirstColumn="0" w:firstRowLastColumn="0" w:lastRowFirstColumn="0" w:lastRowLastColumn="0"/>
            <w:tcW w:w="4788" w:type="dxa"/>
          </w:tcPr>
          <w:p w14:paraId="72DB48D3"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Outreach and access, including working with families and other services to increase enrolments </w:t>
            </w:r>
          </w:p>
        </w:tc>
        <w:tc>
          <w:tcPr>
            <w:tcW w:w="4788" w:type="dxa"/>
          </w:tcPr>
          <w:p w14:paraId="6185B000"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0365CD6E" w14:textId="77777777">
        <w:tc>
          <w:tcPr>
            <w:cnfStyle w:val="001000000000" w:firstRow="0" w:lastRow="0" w:firstColumn="1" w:lastColumn="0" w:oddVBand="0" w:evenVBand="0" w:oddHBand="0" w:evenHBand="0" w:firstRowFirstColumn="0" w:firstRowLastColumn="0" w:lastRowFirstColumn="0" w:lastRowLastColumn="0"/>
            <w:tcW w:w="4788" w:type="dxa"/>
          </w:tcPr>
          <w:p w14:paraId="6E33F4E9"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Supporting families with CCS and ACCS applications </w:t>
            </w:r>
          </w:p>
        </w:tc>
        <w:tc>
          <w:tcPr>
            <w:tcW w:w="4788" w:type="dxa"/>
          </w:tcPr>
          <w:p w14:paraId="5A477BD0"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2E8FDD6A" w14:textId="77777777">
        <w:tc>
          <w:tcPr>
            <w:cnfStyle w:val="001000000000" w:firstRow="0" w:lastRow="0" w:firstColumn="1" w:lastColumn="0" w:oddVBand="0" w:evenVBand="0" w:oddHBand="0" w:evenHBand="0" w:firstRowFirstColumn="0" w:firstRowLastColumn="0" w:lastRowFirstColumn="0" w:lastRowLastColumn="0"/>
            <w:tcW w:w="4788" w:type="dxa"/>
          </w:tcPr>
          <w:p w14:paraId="7386B9E4" w14:textId="6088C965"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Liaising with other services</w:t>
            </w:r>
            <w:r w:rsidR="002E497C">
              <w:rPr>
                <w:rFonts w:asciiTheme="majorHAnsi" w:hAnsiTheme="majorHAnsi"/>
                <w:sz w:val="18"/>
                <w:szCs w:val="18"/>
              </w:rPr>
              <w:t xml:space="preserve"> </w:t>
            </w:r>
          </w:p>
        </w:tc>
        <w:tc>
          <w:tcPr>
            <w:tcW w:w="4788" w:type="dxa"/>
          </w:tcPr>
          <w:p w14:paraId="1296643B"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09375A19" w14:textId="77777777" w:rsidTr="00054089">
        <w:trPr>
          <w:trHeight w:val="13"/>
        </w:trPr>
        <w:tc>
          <w:tcPr>
            <w:cnfStyle w:val="001000000000" w:firstRow="0" w:lastRow="0" w:firstColumn="1" w:lastColumn="0" w:oddVBand="0" w:evenVBand="0" w:oddHBand="0" w:evenHBand="0" w:firstRowFirstColumn="0" w:firstRowLastColumn="0" w:lastRowFirstColumn="0" w:lastRowLastColumn="0"/>
            <w:tcW w:w="4788" w:type="dxa"/>
          </w:tcPr>
          <w:p w14:paraId="602DE4E7"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Communicating with parents and families attending the service </w:t>
            </w:r>
          </w:p>
        </w:tc>
        <w:tc>
          <w:tcPr>
            <w:tcW w:w="4788" w:type="dxa"/>
          </w:tcPr>
          <w:p w14:paraId="5BB35100"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r w:rsidR="00A50C17" w:rsidRPr="00BF46C3" w14:paraId="7A6B19E8" w14:textId="77777777">
        <w:tc>
          <w:tcPr>
            <w:cnfStyle w:val="001000000000" w:firstRow="0" w:lastRow="0" w:firstColumn="1" w:lastColumn="0" w:oddVBand="0" w:evenVBand="0" w:oddHBand="0" w:evenHBand="0" w:firstRowFirstColumn="0" w:firstRowLastColumn="0" w:lastRowFirstColumn="0" w:lastRowLastColumn="0"/>
            <w:tcW w:w="4788" w:type="dxa"/>
          </w:tcPr>
          <w:p w14:paraId="2B88368B"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Other activities not listed that is commonly undertaken by your service (please describe) </w:t>
            </w:r>
          </w:p>
        </w:tc>
        <w:tc>
          <w:tcPr>
            <w:tcW w:w="4788" w:type="dxa"/>
          </w:tcPr>
          <w:p w14:paraId="23A13496" w14:textId="77777777" w:rsidR="00A50C17" w:rsidRPr="00BF46C3" w:rsidRDefault="00A50C17" w:rsidP="00FD5C0A">
            <w:pPr>
              <w:pStyle w:val="NoSpacing"/>
              <w:cnfStyle w:val="000000000000" w:firstRow="0" w:lastRow="0" w:firstColumn="0" w:lastColumn="0" w:oddVBand="0" w:evenVBand="0" w:oddHBand="0" w:evenHBand="0" w:firstRowFirstColumn="0" w:firstRowLastColumn="0" w:lastRowFirstColumn="0" w:lastRowLastColumn="0"/>
            </w:pPr>
          </w:p>
        </w:tc>
      </w:tr>
    </w:tbl>
    <w:p w14:paraId="0EFA027D" w14:textId="77777777" w:rsidR="00054089" w:rsidRDefault="00A50C17" w:rsidP="00FD5C0A">
      <w:pPr>
        <w:keepNext/>
        <w:rPr>
          <w:rFonts w:asciiTheme="majorHAnsi" w:hAnsiTheme="majorHAnsi"/>
        </w:rPr>
      </w:pPr>
      <w:r w:rsidRPr="00BF46C3">
        <w:rPr>
          <w:rFonts w:asciiTheme="majorHAnsi" w:hAnsiTheme="majorHAnsi"/>
        </w:rPr>
        <w:t>Please use this space for any other comments on the activities your service runs and how often, including how often your service needs to suspend delivery</w:t>
      </w:r>
    </w:p>
    <w:p w14:paraId="4CB5659F" w14:textId="4BF80809" w:rsidR="00A50C17" w:rsidRPr="00FD5C0A" w:rsidRDefault="00A50C17" w:rsidP="00A50C17">
      <w:pPr>
        <w:pStyle w:val="Appendixhead3"/>
      </w:pPr>
      <w:r w:rsidRPr="00BF46C3">
        <w:t>Fees and funding</w:t>
      </w:r>
    </w:p>
    <w:p w14:paraId="6C809054" w14:textId="77777777" w:rsidR="00A50C17" w:rsidRPr="00BF46C3" w:rsidRDefault="00A50C17" w:rsidP="00A50C17">
      <w:pPr>
        <w:keepNext/>
        <w:rPr>
          <w:rFonts w:asciiTheme="majorHAnsi" w:hAnsiTheme="majorHAnsi"/>
        </w:rPr>
      </w:pPr>
      <w:r w:rsidRPr="00BF46C3">
        <w:rPr>
          <w:rFonts w:asciiTheme="majorHAnsi" w:hAnsiTheme="majorHAnsi"/>
        </w:rPr>
        <w:t>Are there costs not recorded in your budget-based planning tool or financial acquittal data?</w:t>
      </w:r>
    </w:p>
    <w:p w14:paraId="1B2DCCB8"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47137F64" w14:textId="77777777" w:rsidR="00A50C17" w:rsidRPr="00BF46C3" w:rsidRDefault="00A50C17" w:rsidP="00171325">
      <w:pPr>
        <w:pStyle w:val="ListParagraph"/>
        <w:keepNext/>
        <w:numPr>
          <w:ilvl w:val="0"/>
          <w:numId w:val="17"/>
        </w:numPr>
        <w:ind w:firstLine="0"/>
        <w:contextualSpacing w:val="0"/>
      </w:pPr>
      <w:r w:rsidRPr="00BF46C3">
        <w:t xml:space="preserve">Maybe </w:t>
      </w:r>
    </w:p>
    <w:p w14:paraId="520B0348" w14:textId="77777777" w:rsidR="00A50C17" w:rsidRPr="00BF46C3" w:rsidRDefault="00A50C17" w:rsidP="00171325">
      <w:pPr>
        <w:pStyle w:val="ListParagraph"/>
        <w:keepNext/>
        <w:numPr>
          <w:ilvl w:val="0"/>
          <w:numId w:val="17"/>
        </w:numPr>
        <w:ind w:firstLine="0"/>
        <w:contextualSpacing w:val="0"/>
      </w:pPr>
      <w:r w:rsidRPr="00BF46C3">
        <w:t xml:space="preserve">No </w:t>
      </w:r>
    </w:p>
    <w:p w14:paraId="22BCFCD1"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473B9A9E"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Are there costs not recorded in your budget based planning tool or financial acquittal data? = Yes</w:t>
      </w:r>
    </w:p>
    <w:p w14:paraId="54A77E2F" w14:textId="77777777" w:rsidR="00A50C17" w:rsidRPr="00BF46C3" w:rsidRDefault="00A50C17" w:rsidP="00A50C17">
      <w:pPr>
        <w:rPr>
          <w:rFonts w:asciiTheme="majorHAnsi" w:hAnsiTheme="majorHAnsi"/>
        </w:rPr>
      </w:pPr>
    </w:p>
    <w:p w14:paraId="771DEF2C" w14:textId="2203C8B8" w:rsidR="00A50C17" w:rsidRDefault="00A50C17" w:rsidP="00A50C17">
      <w:pPr>
        <w:keepNext/>
        <w:rPr>
          <w:rFonts w:asciiTheme="majorHAnsi" w:hAnsiTheme="majorHAnsi"/>
        </w:rPr>
      </w:pPr>
      <w:r w:rsidRPr="00BF46C3">
        <w:rPr>
          <w:rFonts w:asciiTheme="majorHAnsi" w:hAnsiTheme="majorHAnsi"/>
        </w:rPr>
        <w:lastRenderedPageBreak/>
        <w:t>Please describe the costs not recorded in your budget-based planning tool or financial acquittal data, including what they are for and how your service meets these costs. </w:t>
      </w:r>
      <w:r w:rsidRPr="00BF46C3">
        <w:rPr>
          <w:rFonts w:asciiTheme="majorHAnsi" w:hAnsiTheme="majorHAnsi"/>
        </w:rPr>
        <w:br/>
      </w:r>
    </w:p>
    <w:p w14:paraId="56BCD944" w14:textId="4ADF2EE8" w:rsidR="00A50C17" w:rsidRPr="00BF46C3" w:rsidRDefault="00A50C17" w:rsidP="00FD5C0A">
      <w:pPr>
        <w:keepNext/>
        <w:rPr>
          <w:rFonts w:asciiTheme="majorHAnsi" w:hAnsiTheme="majorHAnsi"/>
        </w:rPr>
      </w:pPr>
      <w:r w:rsidRPr="00BF46C3">
        <w:rPr>
          <w:rFonts w:asciiTheme="majorHAnsi" w:hAnsiTheme="majorHAnsi"/>
        </w:rPr>
        <w:t>Is there anything in your budget-based planning tool and financial acquittal data that you would like to provide more context on?</w:t>
      </w:r>
      <w:r w:rsidRPr="00BF46C3">
        <w:rPr>
          <w:rFonts w:asciiTheme="majorHAnsi" w:hAnsiTheme="majorHAnsi"/>
        </w:rPr>
        <w:br/>
      </w:r>
    </w:p>
    <w:p w14:paraId="25E7F13A" w14:textId="77777777" w:rsidR="00A50C17" w:rsidRPr="00BF46C3" w:rsidRDefault="00A50C17" w:rsidP="00A50C17">
      <w:pPr>
        <w:keepNext/>
        <w:rPr>
          <w:rFonts w:asciiTheme="majorHAnsi" w:hAnsiTheme="majorHAnsi"/>
        </w:rPr>
      </w:pPr>
      <w:r w:rsidRPr="00BF46C3">
        <w:rPr>
          <w:rFonts w:asciiTheme="majorHAnsi" w:hAnsiTheme="majorHAnsi"/>
        </w:rPr>
        <w:t>Would you be willing for us to contact you further regarding any particular costs which seem high or low compared to other CCCFR services?</w:t>
      </w:r>
    </w:p>
    <w:p w14:paraId="4E1E0AA6"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36EFAA9C" w14:textId="7763F003" w:rsidR="00A50C17" w:rsidRPr="00FD5C0A" w:rsidRDefault="00A50C17" w:rsidP="00A50C17">
      <w:pPr>
        <w:pStyle w:val="Surveyoptions"/>
      </w:pPr>
      <w:r w:rsidRPr="00BF46C3">
        <w:t xml:space="preserve">No </w:t>
      </w:r>
    </w:p>
    <w:p w14:paraId="6B727B21" w14:textId="178B1A6F" w:rsidR="00A50C17" w:rsidRPr="00BF46C3" w:rsidRDefault="00A50C17" w:rsidP="00FD5C0A">
      <w:pPr>
        <w:keepNext/>
        <w:rPr>
          <w:rFonts w:asciiTheme="majorHAnsi" w:hAnsiTheme="majorHAnsi"/>
        </w:rPr>
      </w:pPr>
      <w:r w:rsidRPr="00BF46C3">
        <w:rPr>
          <w:rFonts w:asciiTheme="majorHAnsi" w:hAnsiTheme="majorHAnsi"/>
        </w:rPr>
        <w:t>Please describe any planned or recent capital investment, including</w:t>
      </w:r>
      <w:r w:rsidRPr="00BF46C3">
        <w:rPr>
          <w:rFonts w:asciiTheme="majorHAnsi" w:hAnsiTheme="majorHAnsi"/>
        </w:rPr>
        <w:br/>
        <w:t>•</w:t>
      </w:r>
      <w:r w:rsidRPr="00BF46C3">
        <w:rPr>
          <w:rFonts w:asciiTheme="majorHAnsi" w:hAnsiTheme="majorHAnsi"/>
        </w:rPr>
        <w:tab/>
        <w:t>The purpose</w:t>
      </w:r>
      <w:r w:rsidRPr="00BF46C3">
        <w:rPr>
          <w:rFonts w:asciiTheme="majorHAnsi" w:hAnsiTheme="majorHAnsi"/>
        </w:rPr>
        <w:br/>
        <w:t>•</w:t>
      </w:r>
      <w:r w:rsidRPr="00BF46C3">
        <w:rPr>
          <w:rFonts w:asciiTheme="majorHAnsi" w:hAnsiTheme="majorHAnsi"/>
        </w:rPr>
        <w:tab/>
        <w:t>The amount</w:t>
      </w:r>
      <w:r w:rsidRPr="00BF46C3">
        <w:rPr>
          <w:rFonts w:asciiTheme="majorHAnsi" w:hAnsiTheme="majorHAnsi"/>
        </w:rPr>
        <w:br/>
        <w:t>•</w:t>
      </w:r>
      <w:r w:rsidRPr="00BF46C3">
        <w:rPr>
          <w:rFonts w:asciiTheme="majorHAnsi" w:hAnsiTheme="majorHAnsi"/>
        </w:rPr>
        <w:tab/>
        <w:t>Sources of funding</w:t>
      </w:r>
      <w:r w:rsidRPr="00BF46C3">
        <w:rPr>
          <w:rFonts w:asciiTheme="majorHAnsi" w:hAnsiTheme="majorHAnsi"/>
        </w:rPr>
        <w:br/>
        <w:t>•</w:t>
      </w:r>
      <w:r w:rsidRPr="00BF46C3">
        <w:rPr>
          <w:rFonts w:asciiTheme="majorHAnsi" w:hAnsiTheme="majorHAnsi"/>
        </w:rPr>
        <w:tab/>
        <w:t>Any other relevant details</w:t>
      </w:r>
    </w:p>
    <w:p w14:paraId="41795DA7" w14:textId="177422D9" w:rsidR="00A50C17" w:rsidRPr="00BF46C3" w:rsidRDefault="00A50C17" w:rsidP="00FD5C0A">
      <w:pPr>
        <w:keepNext/>
        <w:rPr>
          <w:rFonts w:asciiTheme="majorHAnsi" w:hAnsiTheme="majorHAnsi"/>
        </w:rPr>
      </w:pPr>
      <w:r w:rsidRPr="00BF46C3">
        <w:rPr>
          <w:rFonts w:asciiTheme="majorHAnsi" w:hAnsiTheme="majorHAnsi"/>
        </w:rPr>
        <w:t>How have costs have varied in recent years, including but not limited to, during COVID arrangements?</w:t>
      </w:r>
    </w:p>
    <w:p w14:paraId="680A9F17" w14:textId="77777777" w:rsidR="00A50C17" w:rsidRPr="00BF46C3" w:rsidRDefault="00A50C17" w:rsidP="00FD5C0A">
      <w:pPr>
        <w:pStyle w:val="Appendixhead3"/>
      </w:pPr>
      <w:r w:rsidRPr="00BF46C3">
        <w:t>Recruitment and retention</w:t>
      </w:r>
    </w:p>
    <w:p w14:paraId="7A8623DF" w14:textId="77777777" w:rsidR="00A50C17" w:rsidRPr="00BF46C3" w:rsidRDefault="00A50C17" w:rsidP="00A50C17">
      <w:pPr>
        <w:keepNext/>
        <w:rPr>
          <w:rFonts w:asciiTheme="majorHAnsi" w:hAnsiTheme="majorHAnsi"/>
        </w:rPr>
      </w:pPr>
      <w:r w:rsidRPr="00BF46C3">
        <w:rPr>
          <w:rFonts w:asciiTheme="majorHAnsi" w:hAnsiTheme="majorHAnsi"/>
        </w:rPr>
        <w:t>Do you offer any incentives or subsidies for staff to encourage recruitment or retention?</w:t>
      </w:r>
    </w:p>
    <w:p w14:paraId="071B1F25"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36868F1B" w14:textId="77777777" w:rsidR="00A50C17" w:rsidRPr="00BF46C3" w:rsidRDefault="00A50C17" w:rsidP="00171325">
      <w:pPr>
        <w:pStyle w:val="ListParagraph"/>
        <w:keepNext/>
        <w:numPr>
          <w:ilvl w:val="0"/>
          <w:numId w:val="17"/>
        </w:numPr>
        <w:ind w:firstLine="0"/>
        <w:contextualSpacing w:val="0"/>
      </w:pPr>
      <w:r w:rsidRPr="00BF46C3">
        <w:t xml:space="preserve">No </w:t>
      </w:r>
    </w:p>
    <w:p w14:paraId="632CCF48" w14:textId="77777777" w:rsidR="00A50C17" w:rsidRPr="00BF46C3" w:rsidRDefault="00A50C17" w:rsidP="00171325">
      <w:pPr>
        <w:pStyle w:val="ListParagraph"/>
        <w:keepNext/>
        <w:numPr>
          <w:ilvl w:val="0"/>
          <w:numId w:val="17"/>
        </w:numPr>
        <w:ind w:firstLine="0"/>
        <w:contextualSpacing w:val="0"/>
      </w:pPr>
      <w:r w:rsidRPr="00BF46C3">
        <w:t xml:space="preserve">Unsure </w:t>
      </w:r>
    </w:p>
    <w:p w14:paraId="0BDDFD80"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5E52CF18"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Do you offer any incentives or subsidies for staff to encourage recruitment or retention? = Yes</w:t>
      </w:r>
    </w:p>
    <w:p w14:paraId="08573D27" w14:textId="77777777" w:rsidR="00A50C17" w:rsidRPr="00BF46C3" w:rsidRDefault="00A50C17" w:rsidP="00A50C17">
      <w:pPr>
        <w:keepNext/>
        <w:rPr>
          <w:rFonts w:asciiTheme="majorHAnsi" w:hAnsiTheme="majorHAnsi"/>
        </w:rPr>
      </w:pPr>
      <w:r w:rsidRPr="00BF46C3">
        <w:rPr>
          <w:rFonts w:asciiTheme="majorHAnsi" w:hAnsiTheme="majorHAnsi"/>
        </w:rPr>
        <w:t>What kinds of staff recruitment or retention incentives or subsidies does your service offer?</w:t>
      </w:r>
    </w:p>
    <w:p w14:paraId="15D1BDA3" w14:textId="77777777" w:rsidR="00A50C17" w:rsidRPr="00BF46C3" w:rsidRDefault="00A50C17" w:rsidP="00FD5C0A">
      <w:pPr>
        <w:pStyle w:val="Surveyoptions"/>
      </w:pPr>
      <w:r w:rsidRPr="00BF46C3">
        <w:t xml:space="preserve">Above award salary </w:t>
      </w:r>
    </w:p>
    <w:p w14:paraId="2A64E019" w14:textId="77777777" w:rsidR="00A50C17" w:rsidRPr="00BF46C3" w:rsidRDefault="00A50C17" w:rsidP="00FD5C0A">
      <w:pPr>
        <w:pStyle w:val="Surveyoptions"/>
      </w:pPr>
      <w:r w:rsidRPr="00BF46C3">
        <w:t xml:space="preserve">Relocation costs </w:t>
      </w:r>
    </w:p>
    <w:p w14:paraId="7AF5D64D" w14:textId="77777777" w:rsidR="00A50C17" w:rsidRPr="00BF46C3" w:rsidRDefault="00A50C17" w:rsidP="00FD5C0A">
      <w:pPr>
        <w:pStyle w:val="Surveyoptions"/>
      </w:pPr>
      <w:r w:rsidRPr="00BF46C3">
        <w:t xml:space="preserve">Retention bonus </w:t>
      </w:r>
    </w:p>
    <w:p w14:paraId="442B4328" w14:textId="77777777" w:rsidR="00A50C17" w:rsidRPr="00BF46C3" w:rsidRDefault="00A50C17" w:rsidP="00FD5C0A">
      <w:pPr>
        <w:pStyle w:val="Surveyoptions"/>
      </w:pPr>
      <w:r w:rsidRPr="00BF46C3">
        <w:t xml:space="preserve">Additional paid leave </w:t>
      </w:r>
    </w:p>
    <w:p w14:paraId="4ABC20AF" w14:textId="77777777" w:rsidR="00A50C17" w:rsidRPr="00BF46C3" w:rsidRDefault="00A50C17" w:rsidP="00FD5C0A">
      <w:pPr>
        <w:pStyle w:val="Surveyoptions"/>
      </w:pPr>
      <w:r w:rsidRPr="00BF46C3">
        <w:t xml:space="preserve">Free or subsidised housing </w:t>
      </w:r>
    </w:p>
    <w:p w14:paraId="2E3EBA88" w14:textId="77777777" w:rsidR="00A50C17" w:rsidRPr="00BF46C3" w:rsidRDefault="00A50C17" w:rsidP="00FD5C0A">
      <w:pPr>
        <w:pStyle w:val="Surveyoptions"/>
      </w:pPr>
      <w:r w:rsidRPr="00BF46C3">
        <w:t xml:space="preserve">Free or subsidised child care </w:t>
      </w:r>
    </w:p>
    <w:p w14:paraId="3786CEE5" w14:textId="77777777" w:rsidR="00A50C17" w:rsidRPr="00BF46C3" w:rsidRDefault="00A50C17" w:rsidP="00FD5C0A">
      <w:pPr>
        <w:pStyle w:val="Surveyoptions"/>
      </w:pPr>
      <w:r w:rsidRPr="00BF46C3">
        <w:t>Other (please describe) __________________________________________________</w:t>
      </w:r>
    </w:p>
    <w:p w14:paraId="23A45A4B"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lastRenderedPageBreak/>
        <w:t>Display This Question:</w:t>
      </w:r>
    </w:p>
    <w:p w14:paraId="7328BA3F"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Recruitment and retention incentives = Above award salary</w:t>
      </w:r>
    </w:p>
    <w:p w14:paraId="0843C6CD" w14:textId="77777777" w:rsidR="00A50C17" w:rsidRPr="00BF46C3" w:rsidRDefault="00A50C17" w:rsidP="00A50C17">
      <w:pPr>
        <w:keepNext/>
        <w:rPr>
          <w:rFonts w:asciiTheme="majorHAnsi" w:hAnsiTheme="majorHAnsi"/>
        </w:rPr>
      </w:pPr>
      <w:r w:rsidRPr="00BF46C3">
        <w:rPr>
          <w:rFonts w:asciiTheme="majorHAnsi" w:hAnsiTheme="majorHAnsi"/>
        </w:rPr>
        <w:t xml:space="preserve">Please provide details for your service's recruitment and retention incentive: </w:t>
      </w:r>
      <w:r w:rsidRPr="00BF46C3">
        <w:rPr>
          <w:rFonts w:asciiTheme="majorHAnsi" w:hAnsiTheme="majorHAnsi"/>
          <w:b/>
        </w:rPr>
        <w:t>Above award salary</w:t>
      </w:r>
      <w:r w:rsidRPr="00BF46C3">
        <w:rPr>
          <w:rFonts w:asciiTheme="majorHAnsi" w:hAnsiTheme="majorHAnsi"/>
        </w:rPr>
        <w:br/>
      </w:r>
    </w:p>
    <w:p w14:paraId="2B2E50F5" w14:textId="4694E5A1" w:rsidR="00A50C17" w:rsidRPr="00BF46C3" w:rsidRDefault="00A50C17" w:rsidP="00171325">
      <w:pPr>
        <w:pStyle w:val="ListParagraph"/>
        <w:keepNext/>
        <w:numPr>
          <w:ilvl w:val="0"/>
          <w:numId w:val="17"/>
        </w:numPr>
        <w:ind w:firstLine="0"/>
        <w:contextualSpacing w:val="0"/>
      </w:pPr>
      <w:r w:rsidRPr="00BF46C3">
        <w:t xml:space="preserve">What is the value of the incentive in dollars? </w:t>
      </w:r>
    </w:p>
    <w:p w14:paraId="2AE4A078" w14:textId="3C8E21CC" w:rsidR="00A50C17" w:rsidRPr="00BF46C3" w:rsidRDefault="00A50C17" w:rsidP="00171325">
      <w:pPr>
        <w:pStyle w:val="ListParagraph"/>
        <w:keepNext/>
        <w:numPr>
          <w:ilvl w:val="0"/>
          <w:numId w:val="17"/>
        </w:numPr>
        <w:ind w:firstLine="0"/>
        <w:contextualSpacing w:val="0"/>
      </w:pPr>
      <w:r w:rsidRPr="00BF46C3">
        <w:t xml:space="preserve">Please describe which educators are eligible for this incentive </w:t>
      </w:r>
    </w:p>
    <w:p w14:paraId="1FECF0CA" w14:textId="33B373BD" w:rsidR="00A50C17" w:rsidRPr="00BF46C3" w:rsidRDefault="00A50C17" w:rsidP="00171325">
      <w:pPr>
        <w:pStyle w:val="ListParagraph"/>
        <w:keepNext/>
        <w:numPr>
          <w:ilvl w:val="0"/>
          <w:numId w:val="17"/>
        </w:numPr>
        <w:ind w:firstLine="0"/>
        <w:contextualSpacing w:val="0"/>
      </w:pPr>
      <w:r w:rsidRPr="00BF46C3">
        <w:t xml:space="preserve">Please use this space for any other comments on this incentive </w:t>
      </w:r>
    </w:p>
    <w:p w14:paraId="478E5232"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39F42E97"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Recruitment and retention incentives = Relocation costs</w:t>
      </w:r>
    </w:p>
    <w:p w14:paraId="55927A4A" w14:textId="77777777" w:rsidR="00A50C17" w:rsidRPr="00BF46C3" w:rsidRDefault="00A50C17" w:rsidP="00A50C17">
      <w:pPr>
        <w:keepNext/>
        <w:rPr>
          <w:rFonts w:asciiTheme="majorHAnsi" w:hAnsiTheme="majorHAnsi"/>
        </w:rPr>
      </w:pPr>
      <w:r w:rsidRPr="00BF46C3">
        <w:rPr>
          <w:rFonts w:asciiTheme="majorHAnsi" w:hAnsiTheme="majorHAnsi"/>
        </w:rPr>
        <w:t xml:space="preserve">Please provide details for your service's recruitment and retention incentive: </w:t>
      </w:r>
      <w:r w:rsidRPr="00BF46C3">
        <w:rPr>
          <w:rFonts w:asciiTheme="majorHAnsi" w:hAnsiTheme="majorHAnsi"/>
          <w:b/>
        </w:rPr>
        <w:t>Relocation costs</w:t>
      </w:r>
      <w:r w:rsidRPr="00BF46C3">
        <w:rPr>
          <w:rFonts w:asciiTheme="majorHAnsi" w:hAnsiTheme="majorHAnsi"/>
        </w:rPr>
        <w:br/>
      </w:r>
    </w:p>
    <w:p w14:paraId="6F6A4FAF" w14:textId="74802034" w:rsidR="00A50C17" w:rsidRPr="00BF46C3" w:rsidRDefault="00A50C17" w:rsidP="00171325">
      <w:pPr>
        <w:pStyle w:val="ListParagraph"/>
        <w:keepNext/>
        <w:numPr>
          <w:ilvl w:val="0"/>
          <w:numId w:val="17"/>
        </w:numPr>
        <w:ind w:firstLine="0"/>
        <w:contextualSpacing w:val="0"/>
      </w:pPr>
      <w:r w:rsidRPr="00BF46C3">
        <w:t xml:space="preserve">What is the value of the relocation costs in dollars? </w:t>
      </w:r>
    </w:p>
    <w:p w14:paraId="5C7FCE81" w14:textId="0534B5A6" w:rsidR="00A50C17" w:rsidRPr="00BF46C3" w:rsidRDefault="00A50C17" w:rsidP="00171325">
      <w:pPr>
        <w:pStyle w:val="ListParagraph"/>
        <w:keepNext/>
        <w:numPr>
          <w:ilvl w:val="0"/>
          <w:numId w:val="17"/>
        </w:numPr>
        <w:ind w:firstLine="0"/>
        <w:contextualSpacing w:val="0"/>
      </w:pPr>
      <w:r w:rsidRPr="00BF46C3">
        <w:t xml:space="preserve">Please describe which educators are eligible for this incentive </w:t>
      </w:r>
    </w:p>
    <w:p w14:paraId="2E22144A" w14:textId="3D36347F" w:rsidR="00A50C17" w:rsidRPr="00BF46C3" w:rsidRDefault="00A50C17" w:rsidP="00171325">
      <w:pPr>
        <w:pStyle w:val="ListParagraph"/>
        <w:keepNext/>
        <w:numPr>
          <w:ilvl w:val="0"/>
          <w:numId w:val="17"/>
        </w:numPr>
        <w:ind w:firstLine="0"/>
        <w:contextualSpacing w:val="0"/>
      </w:pPr>
      <w:r w:rsidRPr="00BF46C3">
        <w:t xml:space="preserve">Please use this space for any other comments on this incentive </w:t>
      </w:r>
    </w:p>
    <w:p w14:paraId="4EE11D5E"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2D306E46"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Recruitment and retention incentives = Retention bonus</w:t>
      </w:r>
    </w:p>
    <w:p w14:paraId="36A42E28" w14:textId="77777777" w:rsidR="00A50C17" w:rsidRPr="00BF46C3" w:rsidRDefault="00A50C17" w:rsidP="00A50C17">
      <w:pPr>
        <w:keepNext/>
        <w:rPr>
          <w:rFonts w:asciiTheme="majorHAnsi" w:hAnsiTheme="majorHAnsi"/>
        </w:rPr>
      </w:pPr>
      <w:r w:rsidRPr="00BF46C3">
        <w:rPr>
          <w:rFonts w:asciiTheme="majorHAnsi" w:hAnsiTheme="majorHAnsi"/>
        </w:rPr>
        <w:t xml:space="preserve">Please provide details for your service's recruitment and retention incentive: </w:t>
      </w:r>
      <w:r w:rsidRPr="00BF46C3">
        <w:rPr>
          <w:rFonts w:asciiTheme="majorHAnsi" w:hAnsiTheme="majorHAnsi"/>
          <w:b/>
        </w:rPr>
        <w:t>Retention bonus</w:t>
      </w:r>
      <w:r w:rsidRPr="00BF46C3">
        <w:rPr>
          <w:rFonts w:asciiTheme="majorHAnsi" w:hAnsiTheme="majorHAnsi"/>
        </w:rPr>
        <w:br/>
      </w:r>
    </w:p>
    <w:p w14:paraId="538B738C" w14:textId="75E94C78" w:rsidR="00A50C17" w:rsidRPr="00BF46C3" w:rsidRDefault="00A50C17" w:rsidP="00171325">
      <w:pPr>
        <w:pStyle w:val="ListParagraph"/>
        <w:keepNext/>
        <w:numPr>
          <w:ilvl w:val="0"/>
          <w:numId w:val="17"/>
        </w:numPr>
        <w:ind w:firstLine="0"/>
        <w:contextualSpacing w:val="0"/>
      </w:pPr>
      <w:r w:rsidRPr="00BF46C3">
        <w:t xml:space="preserve">What is the value of the retention bonus in dollars? </w:t>
      </w:r>
    </w:p>
    <w:p w14:paraId="27DC927C" w14:textId="591C9E48" w:rsidR="00A50C17" w:rsidRPr="00BF46C3" w:rsidRDefault="00A50C17" w:rsidP="00171325">
      <w:pPr>
        <w:pStyle w:val="ListParagraph"/>
        <w:keepNext/>
        <w:numPr>
          <w:ilvl w:val="0"/>
          <w:numId w:val="17"/>
        </w:numPr>
        <w:ind w:firstLine="0"/>
        <w:contextualSpacing w:val="0"/>
      </w:pPr>
      <w:r w:rsidRPr="00BF46C3">
        <w:t xml:space="preserve">Please describe which educators are eligible for this incentive </w:t>
      </w:r>
    </w:p>
    <w:p w14:paraId="2EB612DE" w14:textId="6FDD2A94" w:rsidR="00A50C17" w:rsidRPr="00BF46C3" w:rsidRDefault="00A50C17">
      <w:pPr>
        <w:pStyle w:val="Surveyoptions"/>
        <w:rPr>
          <w:rFonts w:asciiTheme="majorHAnsi" w:hAnsiTheme="majorHAnsi"/>
        </w:rPr>
      </w:pPr>
      <w:r w:rsidRPr="00BF46C3">
        <w:t xml:space="preserve">Please use this space for any other comments on this incentive </w:t>
      </w:r>
    </w:p>
    <w:p w14:paraId="56ACF672"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4477683A"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Recruitment and retention incentives = Additional paid leave</w:t>
      </w:r>
    </w:p>
    <w:p w14:paraId="33E659BB" w14:textId="77777777" w:rsidR="00A50C17" w:rsidRPr="00BF46C3" w:rsidRDefault="00A50C17" w:rsidP="00A50C17">
      <w:pPr>
        <w:rPr>
          <w:rFonts w:asciiTheme="majorHAnsi" w:hAnsiTheme="majorHAnsi"/>
        </w:rPr>
      </w:pPr>
    </w:p>
    <w:p w14:paraId="270D1A8D" w14:textId="77777777" w:rsidR="00A50C17" w:rsidRPr="00BF46C3" w:rsidRDefault="00A50C17" w:rsidP="00A50C17">
      <w:pPr>
        <w:keepNext/>
        <w:rPr>
          <w:rFonts w:asciiTheme="majorHAnsi" w:hAnsiTheme="majorHAnsi"/>
        </w:rPr>
      </w:pPr>
      <w:r w:rsidRPr="00BF46C3">
        <w:rPr>
          <w:rFonts w:asciiTheme="majorHAnsi" w:hAnsiTheme="majorHAnsi"/>
        </w:rPr>
        <w:t xml:space="preserve">Please provide details for your service's recruitment and retention incentive: </w:t>
      </w:r>
      <w:r w:rsidRPr="00BF46C3">
        <w:rPr>
          <w:rFonts w:asciiTheme="majorHAnsi" w:hAnsiTheme="majorHAnsi"/>
          <w:b/>
        </w:rPr>
        <w:t>Additional paid leave</w:t>
      </w:r>
      <w:r w:rsidRPr="00BF46C3">
        <w:rPr>
          <w:rFonts w:asciiTheme="majorHAnsi" w:hAnsiTheme="majorHAnsi"/>
        </w:rPr>
        <w:br/>
      </w:r>
    </w:p>
    <w:p w14:paraId="3CC04EDE" w14:textId="22E0DDDA" w:rsidR="00A50C17" w:rsidRPr="00BF46C3" w:rsidRDefault="00A50C17" w:rsidP="00171325">
      <w:pPr>
        <w:pStyle w:val="ListParagraph"/>
        <w:keepNext/>
        <w:numPr>
          <w:ilvl w:val="0"/>
          <w:numId w:val="17"/>
        </w:numPr>
        <w:ind w:firstLine="0"/>
        <w:contextualSpacing w:val="0"/>
      </w:pPr>
      <w:r w:rsidRPr="00BF46C3">
        <w:t xml:space="preserve">How much additional paid leave is offered? </w:t>
      </w:r>
    </w:p>
    <w:p w14:paraId="389E649A" w14:textId="617B0F60" w:rsidR="00A50C17" w:rsidRPr="00BF46C3" w:rsidRDefault="00A50C17" w:rsidP="00171325">
      <w:pPr>
        <w:pStyle w:val="ListParagraph"/>
        <w:keepNext/>
        <w:numPr>
          <w:ilvl w:val="0"/>
          <w:numId w:val="17"/>
        </w:numPr>
        <w:ind w:firstLine="0"/>
        <w:contextualSpacing w:val="0"/>
      </w:pPr>
      <w:r w:rsidRPr="00BF46C3">
        <w:t xml:space="preserve">Please describe which educators are eligible for this incentive </w:t>
      </w:r>
    </w:p>
    <w:p w14:paraId="4E319B32" w14:textId="3CA80052" w:rsidR="00A50C17" w:rsidRPr="00BF46C3" w:rsidRDefault="00A50C17">
      <w:pPr>
        <w:pStyle w:val="Surveyoptions"/>
        <w:rPr>
          <w:rFonts w:asciiTheme="majorHAnsi" w:hAnsiTheme="majorHAnsi"/>
        </w:rPr>
      </w:pPr>
      <w:r w:rsidRPr="00BF46C3">
        <w:t xml:space="preserve">Please use this space for any other comments on this incentive </w:t>
      </w:r>
    </w:p>
    <w:p w14:paraId="237D5986"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lastRenderedPageBreak/>
        <w:t>Display This Question:</w:t>
      </w:r>
    </w:p>
    <w:p w14:paraId="1AE03090"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Recruitment and retention incentives = Free or subsidised housing</w:t>
      </w:r>
    </w:p>
    <w:p w14:paraId="7F671AF5" w14:textId="77777777" w:rsidR="00A50C17" w:rsidRPr="00BF46C3" w:rsidRDefault="00A50C17" w:rsidP="00A50C17">
      <w:pPr>
        <w:keepNext/>
        <w:rPr>
          <w:rFonts w:asciiTheme="majorHAnsi" w:hAnsiTheme="majorHAnsi"/>
        </w:rPr>
      </w:pPr>
      <w:r w:rsidRPr="00BF46C3">
        <w:rPr>
          <w:rFonts w:asciiTheme="majorHAnsi" w:hAnsiTheme="majorHAnsi"/>
        </w:rPr>
        <w:t xml:space="preserve">Please provide details for your service's recruitment and retention incentive: </w:t>
      </w:r>
      <w:r w:rsidRPr="00BF46C3">
        <w:rPr>
          <w:rFonts w:asciiTheme="majorHAnsi" w:hAnsiTheme="majorHAnsi"/>
          <w:b/>
        </w:rPr>
        <w:t>Free or subsidised housing</w:t>
      </w:r>
      <w:r w:rsidRPr="00BF46C3">
        <w:rPr>
          <w:rFonts w:asciiTheme="majorHAnsi" w:hAnsiTheme="majorHAnsi"/>
        </w:rPr>
        <w:br/>
      </w:r>
    </w:p>
    <w:p w14:paraId="318231E6" w14:textId="5B645691" w:rsidR="00A50C17" w:rsidRPr="00BF46C3" w:rsidRDefault="00A50C17" w:rsidP="00171325">
      <w:pPr>
        <w:pStyle w:val="ListParagraph"/>
        <w:keepNext/>
        <w:numPr>
          <w:ilvl w:val="0"/>
          <w:numId w:val="17"/>
        </w:numPr>
        <w:ind w:firstLine="0"/>
        <w:contextualSpacing w:val="0"/>
      </w:pPr>
      <w:r w:rsidRPr="00BF46C3">
        <w:t xml:space="preserve">What is the value of the housing in dollars? </w:t>
      </w:r>
    </w:p>
    <w:p w14:paraId="6AC118FF" w14:textId="53836E18" w:rsidR="00A50C17" w:rsidRPr="00BF46C3" w:rsidRDefault="00A50C17" w:rsidP="00171325">
      <w:pPr>
        <w:pStyle w:val="ListParagraph"/>
        <w:keepNext/>
        <w:numPr>
          <w:ilvl w:val="0"/>
          <w:numId w:val="17"/>
        </w:numPr>
        <w:ind w:firstLine="0"/>
        <w:contextualSpacing w:val="0"/>
      </w:pPr>
      <w:r w:rsidRPr="00BF46C3">
        <w:t xml:space="preserve">Please describe which educators are eligible for this incentive </w:t>
      </w:r>
    </w:p>
    <w:p w14:paraId="5D73330C" w14:textId="10387484" w:rsidR="00A50C17" w:rsidRPr="00BF46C3" w:rsidRDefault="00A50C17">
      <w:pPr>
        <w:pStyle w:val="Surveyoptions"/>
        <w:rPr>
          <w:rFonts w:asciiTheme="majorHAnsi" w:hAnsiTheme="majorHAnsi"/>
        </w:rPr>
      </w:pPr>
      <w:r w:rsidRPr="00BF46C3">
        <w:t xml:space="preserve">Please use this space for any other comments on this incentive </w:t>
      </w:r>
    </w:p>
    <w:p w14:paraId="151C2F97"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755A733E"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Recruitment and retention incentives = Free or subsidised child care</w:t>
      </w:r>
    </w:p>
    <w:p w14:paraId="2A0404FD" w14:textId="77777777" w:rsidR="00A50C17" w:rsidRPr="00BF46C3" w:rsidRDefault="00A50C17" w:rsidP="00A50C17">
      <w:pPr>
        <w:rPr>
          <w:rFonts w:asciiTheme="majorHAnsi" w:hAnsiTheme="majorHAnsi"/>
        </w:rPr>
      </w:pPr>
    </w:p>
    <w:p w14:paraId="7740344D" w14:textId="77777777" w:rsidR="00A50C17" w:rsidRPr="00BF46C3" w:rsidRDefault="00A50C17" w:rsidP="00A50C17">
      <w:pPr>
        <w:keepNext/>
        <w:rPr>
          <w:rFonts w:asciiTheme="majorHAnsi" w:hAnsiTheme="majorHAnsi"/>
        </w:rPr>
      </w:pPr>
      <w:r w:rsidRPr="00BF46C3">
        <w:rPr>
          <w:rFonts w:asciiTheme="majorHAnsi" w:hAnsiTheme="majorHAnsi"/>
        </w:rPr>
        <w:t xml:space="preserve">Please provide details for your service's recruitment and retention incentive: </w:t>
      </w:r>
      <w:r w:rsidRPr="00BF46C3">
        <w:rPr>
          <w:rFonts w:asciiTheme="majorHAnsi" w:hAnsiTheme="majorHAnsi"/>
          <w:b/>
        </w:rPr>
        <w:t>Free or subsidised child care</w:t>
      </w:r>
      <w:r w:rsidRPr="00BF46C3">
        <w:rPr>
          <w:rFonts w:asciiTheme="majorHAnsi" w:hAnsiTheme="majorHAnsi"/>
        </w:rPr>
        <w:br/>
      </w:r>
    </w:p>
    <w:p w14:paraId="7523585E" w14:textId="078C5E90" w:rsidR="00A50C17" w:rsidRPr="00BF46C3" w:rsidRDefault="00A50C17" w:rsidP="00171325">
      <w:pPr>
        <w:pStyle w:val="ListParagraph"/>
        <w:keepNext/>
        <w:numPr>
          <w:ilvl w:val="0"/>
          <w:numId w:val="17"/>
        </w:numPr>
        <w:ind w:firstLine="0"/>
        <w:contextualSpacing w:val="0"/>
      </w:pPr>
      <w:r w:rsidRPr="00BF46C3">
        <w:t xml:space="preserve">What is the value of the child care in dollars? </w:t>
      </w:r>
    </w:p>
    <w:p w14:paraId="68020BA7" w14:textId="2B8CF76F" w:rsidR="00A50C17" w:rsidRPr="00BF46C3" w:rsidRDefault="00A50C17" w:rsidP="00171325">
      <w:pPr>
        <w:pStyle w:val="ListParagraph"/>
        <w:keepNext/>
        <w:numPr>
          <w:ilvl w:val="0"/>
          <w:numId w:val="17"/>
        </w:numPr>
        <w:ind w:firstLine="0"/>
        <w:contextualSpacing w:val="0"/>
      </w:pPr>
      <w:r w:rsidRPr="00BF46C3">
        <w:t xml:space="preserve">Please describe which educators are eligible for this incentive </w:t>
      </w:r>
    </w:p>
    <w:p w14:paraId="794C3F57" w14:textId="33432D36" w:rsidR="00A50C17" w:rsidRPr="00BF46C3" w:rsidRDefault="00A50C17">
      <w:pPr>
        <w:pStyle w:val="Surveyoptions"/>
        <w:rPr>
          <w:rFonts w:asciiTheme="majorHAnsi" w:hAnsiTheme="majorHAnsi"/>
        </w:rPr>
      </w:pPr>
      <w:r w:rsidRPr="00BF46C3">
        <w:t xml:space="preserve">Please use this space for any other comments on this incentive </w:t>
      </w:r>
    </w:p>
    <w:p w14:paraId="5AB6432B"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1D3BA503"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Recruitment and retention incentives = Other (please describe)</w:t>
      </w:r>
    </w:p>
    <w:p w14:paraId="14361625" w14:textId="77777777" w:rsidR="00A50C17" w:rsidRPr="00BF46C3" w:rsidRDefault="00A50C17" w:rsidP="00A50C17">
      <w:pPr>
        <w:rPr>
          <w:rFonts w:asciiTheme="majorHAnsi" w:hAnsiTheme="majorHAnsi"/>
        </w:rPr>
      </w:pPr>
    </w:p>
    <w:p w14:paraId="79FC49CD" w14:textId="77777777" w:rsidR="00A50C17" w:rsidRPr="00BF46C3" w:rsidRDefault="00A50C17" w:rsidP="00A50C17">
      <w:pPr>
        <w:keepNext/>
        <w:rPr>
          <w:rFonts w:asciiTheme="majorHAnsi" w:hAnsiTheme="majorHAnsi"/>
        </w:rPr>
      </w:pPr>
      <w:r w:rsidRPr="00BF46C3">
        <w:rPr>
          <w:rFonts w:asciiTheme="majorHAnsi" w:hAnsiTheme="majorHAnsi"/>
        </w:rPr>
        <w:t xml:space="preserve">Please provide details for your service's recruitment and retention incentive: </w:t>
      </w:r>
      <w:r w:rsidRPr="00BF46C3">
        <w:rPr>
          <w:rFonts w:asciiTheme="majorHAnsi" w:hAnsiTheme="majorHAnsi"/>
          <w:b/>
        </w:rPr>
        <w:t>Other</w:t>
      </w:r>
      <w:r w:rsidRPr="00BF46C3">
        <w:rPr>
          <w:rFonts w:asciiTheme="majorHAnsi" w:hAnsiTheme="majorHAnsi"/>
        </w:rPr>
        <w:br/>
      </w:r>
    </w:p>
    <w:p w14:paraId="5EA83ECC" w14:textId="654EC8BE" w:rsidR="00A50C17" w:rsidRPr="00BF46C3" w:rsidRDefault="00A50C17" w:rsidP="00171325">
      <w:pPr>
        <w:pStyle w:val="ListParagraph"/>
        <w:keepNext/>
        <w:numPr>
          <w:ilvl w:val="0"/>
          <w:numId w:val="17"/>
        </w:numPr>
        <w:ind w:firstLine="0"/>
        <w:contextualSpacing w:val="0"/>
      </w:pPr>
      <w:r w:rsidRPr="00BF46C3">
        <w:t xml:space="preserve">What is the value of the incentive in dollars? </w:t>
      </w:r>
    </w:p>
    <w:p w14:paraId="777E05BA" w14:textId="1A781CF5" w:rsidR="00A50C17" w:rsidRPr="00BF46C3" w:rsidRDefault="00A50C17" w:rsidP="00171325">
      <w:pPr>
        <w:pStyle w:val="ListParagraph"/>
        <w:keepNext/>
        <w:numPr>
          <w:ilvl w:val="0"/>
          <w:numId w:val="17"/>
        </w:numPr>
        <w:ind w:firstLine="0"/>
        <w:contextualSpacing w:val="0"/>
      </w:pPr>
      <w:r w:rsidRPr="00BF46C3">
        <w:t xml:space="preserve">Please describe which educators are eligible for this incentive </w:t>
      </w:r>
    </w:p>
    <w:p w14:paraId="46AA429E" w14:textId="5183FFB9" w:rsidR="00A50C17" w:rsidRPr="00BF46C3" w:rsidRDefault="00A50C17">
      <w:pPr>
        <w:pStyle w:val="Surveyoptions"/>
        <w:rPr>
          <w:rFonts w:asciiTheme="majorHAnsi" w:hAnsiTheme="majorHAnsi"/>
        </w:rPr>
      </w:pPr>
      <w:r w:rsidRPr="00BF46C3">
        <w:t xml:space="preserve">Please use this space for any other comments on this incentive </w:t>
      </w:r>
    </w:p>
    <w:p w14:paraId="0CCA8849"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50DB06AD"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Do you offer any incentives or subsidies for staff to encourage recruitment or retention? = Yes</w:t>
      </w:r>
    </w:p>
    <w:p w14:paraId="7D9BF07D" w14:textId="77777777" w:rsidR="00A50C17" w:rsidRPr="00BF46C3" w:rsidRDefault="00A50C17" w:rsidP="00A50C17">
      <w:pPr>
        <w:rPr>
          <w:rFonts w:asciiTheme="majorHAnsi" w:hAnsiTheme="majorHAnsi"/>
        </w:rPr>
      </w:pPr>
    </w:p>
    <w:p w14:paraId="6265DCDA" w14:textId="77777777" w:rsidR="00A50C17" w:rsidRPr="00BF46C3" w:rsidRDefault="00A50C17" w:rsidP="00A50C17">
      <w:pPr>
        <w:keepNext/>
        <w:rPr>
          <w:rFonts w:asciiTheme="majorHAnsi" w:hAnsiTheme="majorHAnsi"/>
        </w:rPr>
      </w:pPr>
      <w:r w:rsidRPr="00BF46C3">
        <w:rPr>
          <w:rFonts w:asciiTheme="majorHAnsi" w:hAnsiTheme="majorHAnsi"/>
        </w:rPr>
        <w:lastRenderedPageBreak/>
        <w:t>Please use this space to describe any other retention or recruitment strategies your service has, or to provide any further detail on your answers above</w:t>
      </w:r>
    </w:p>
    <w:p w14:paraId="437799A7"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5E4E7954"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Do you offer any incentives or subsidies for staff to encourage recruitment or retention? = No</w:t>
      </w:r>
    </w:p>
    <w:p w14:paraId="0391674F"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Or Do you offer any incentives or subsidies for staff to encourage recruitment or retention? = Unsure</w:t>
      </w:r>
    </w:p>
    <w:p w14:paraId="7C34E25D" w14:textId="77777777" w:rsidR="00A50C17" w:rsidRPr="00BF46C3" w:rsidRDefault="00A50C17" w:rsidP="00A50C17">
      <w:pPr>
        <w:rPr>
          <w:rFonts w:asciiTheme="majorHAnsi" w:hAnsiTheme="majorHAnsi"/>
        </w:rPr>
      </w:pPr>
    </w:p>
    <w:p w14:paraId="13DD117C" w14:textId="1DA11950" w:rsidR="00A50C17" w:rsidRPr="00BF46C3" w:rsidRDefault="00A50C17" w:rsidP="00A50C17">
      <w:pPr>
        <w:keepNext/>
        <w:rPr>
          <w:rFonts w:asciiTheme="majorHAnsi" w:hAnsiTheme="majorHAnsi"/>
        </w:rPr>
      </w:pPr>
      <w:r w:rsidRPr="00BF46C3">
        <w:rPr>
          <w:rFonts w:asciiTheme="majorHAnsi" w:hAnsiTheme="majorHAnsi"/>
        </w:rPr>
        <w:t>Do you think your service would be able to better retain or recruit staff if it were able to offer any of the below items:</w:t>
      </w:r>
    </w:p>
    <w:tbl>
      <w:tblPr>
        <w:tblStyle w:val="QQuestionTable"/>
        <w:tblW w:w="9576" w:type="auto"/>
        <w:tblLook w:val="07E0" w:firstRow="1" w:lastRow="1" w:firstColumn="1" w:lastColumn="1" w:noHBand="1" w:noVBand="1"/>
      </w:tblPr>
      <w:tblGrid>
        <w:gridCol w:w="1520"/>
        <w:gridCol w:w="1505"/>
        <w:gridCol w:w="1491"/>
        <w:gridCol w:w="1491"/>
        <w:gridCol w:w="1504"/>
        <w:gridCol w:w="1515"/>
      </w:tblGrid>
      <w:tr w:rsidR="00A50C17" w:rsidRPr="00BF46C3" w14:paraId="01DB5EA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2F473BA" w14:textId="77777777" w:rsidR="00A50C17" w:rsidRPr="00BF46C3" w:rsidRDefault="00A50C17" w:rsidP="00054089">
            <w:pPr>
              <w:keepNext/>
              <w:spacing w:after="0"/>
              <w:rPr>
                <w:rFonts w:asciiTheme="majorHAnsi" w:hAnsiTheme="majorHAnsi"/>
                <w:sz w:val="18"/>
                <w:szCs w:val="18"/>
              </w:rPr>
            </w:pPr>
          </w:p>
        </w:tc>
        <w:tc>
          <w:tcPr>
            <w:tcW w:w="1596" w:type="dxa"/>
          </w:tcPr>
          <w:p w14:paraId="17086A75"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Definitely not</w:t>
            </w:r>
          </w:p>
        </w:tc>
        <w:tc>
          <w:tcPr>
            <w:tcW w:w="1596" w:type="dxa"/>
          </w:tcPr>
          <w:p w14:paraId="38E8D3B6"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Probably not</w:t>
            </w:r>
          </w:p>
        </w:tc>
        <w:tc>
          <w:tcPr>
            <w:tcW w:w="1596" w:type="dxa"/>
          </w:tcPr>
          <w:p w14:paraId="570EB25A"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Probably yes</w:t>
            </w:r>
          </w:p>
        </w:tc>
        <w:tc>
          <w:tcPr>
            <w:tcW w:w="1596" w:type="dxa"/>
          </w:tcPr>
          <w:p w14:paraId="69DCFA3D"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Definitely yes</w:t>
            </w:r>
          </w:p>
        </w:tc>
        <w:tc>
          <w:tcPr>
            <w:tcW w:w="1596" w:type="dxa"/>
          </w:tcPr>
          <w:p w14:paraId="5D78E44E" w14:textId="77777777" w:rsidR="00A50C17" w:rsidRPr="00BF46C3" w:rsidRDefault="00A50C17" w:rsidP="00054089">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BF46C3">
              <w:rPr>
                <w:rFonts w:asciiTheme="majorHAnsi" w:hAnsiTheme="majorHAnsi"/>
                <w:sz w:val="18"/>
                <w:szCs w:val="18"/>
              </w:rPr>
              <w:t>Not Applicable</w:t>
            </w:r>
          </w:p>
        </w:tc>
      </w:tr>
      <w:tr w:rsidR="00A50C17" w:rsidRPr="00BF46C3" w14:paraId="370B6E1F" w14:textId="77777777">
        <w:tc>
          <w:tcPr>
            <w:cnfStyle w:val="001000000000" w:firstRow="0" w:lastRow="0" w:firstColumn="1" w:lastColumn="0" w:oddVBand="0" w:evenVBand="0" w:oddHBand="0" w:evenHBand="0" w:firstRowFirstColumn="0" w:firstRowLastColumn="0" w:lastRowFirstColumn="0" w:lastRowLastColumn="0"/>
            <w:tcW w:w="1596" w:type="dxa"/>
          </w:tcPr>
          <w:p w14:paraId="57C9F53E"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Above award salary </w:t>
            </w:r>
          </w:p>
        </w:tc>
        <w:tc>
          <w:tcPr>
            <w:tcW w:w="1596" w:type="dxa"/>
          </w:tcPr>
          <w:p w14:paraId="79D2328D" w14:textId="77777777" w:rsidR="00A50C17" w:rsidRPr="00054089"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596" w:type="dxa"/>
          </w:tcPr>
          <w:p w14:paraId="0FEA32B4"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26A7D106" w14:textId="77777777" w:rsidR="00A50C17" w:rsidRPr="00054089"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596" w:type="dxa"/>
          </w:tcPr>
          <w:p w14:paraId="0F0A9E69" w14:textId="77777777" w:rsidR="00A50C17" w:rsidRPr="00054089"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596" w:type="dxa"/>
          </w:tcPr>
          <w:p w14:paraId="256BE3B5"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5C9CE748" w14:textId="77777777">
        <w:tc>
          <w:tcPr>
            <w:cnfStyle w:val="001000000000" w:firstRow="0" w:lastRow="0" w:firstColumn="1" w:lastColumn="0" w:oddVBand="0" w:evenVBand="0" w:oddHBand="0" w:evenHBand="0" w:firstRowFirstColumn="0" w:firstRowLastColumn="0" w:lastRowFirstColumn="0" w:lastRowLastColumn="0"/>
            <w:tcW w:w="1596" w:type="dxa"/>
          </w:tcPr>
          <w:p w14:paraId="4C8C6D28"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Relocation costs </w:t>
            </w:r>
          </w:p>
        </w:tc>
        <w:tc>
          <w:tcPr>
            <w:tcW w:w="1596" w:type="dxa"/>
          </w:tcPr>
          <w:p w14:paraId="424485D3" w14:textId="77777777" w:rsidR="00A50C17" w:rsidRPr="00054089"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596" w:type="dxa"/>
          </w:tcPr>
          <w:p w14:paraId="59CED7E0"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6F3C9F9D" w14:textId="77777777" w:rsidR="00A50C17" w:rsidRPr="00054089"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596" w:type="dxa"/>
          </w:tcPr>
          <w:p w14:paraId="03C431D1" w14:textId="77777777" w:rsidR="00A50C17" w:rsidRPr="00054089"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596" w:type="dxa"/>
          </w:tcPr>
          <w:p w14:paraId="18B7C212"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72E04F46" w14:textId="77777777">
        <w:tc>
          <w:tcPr>
            <w:cnfStyle w:val="001000000000" w:firstRow="0" w:lastRow="0" w:firstColumn="1" w:lastColumn="0" w:oddVBand="0" w:evenVBand="0" w:oddHBand="0" w:evenHBand="0" w:firstRowFirstColumn="0" w:firstRowLastColumn="0" w:lastRowFirstColumn="0" w:lastRowLastColumn="0"/>
            <w:tcW w:w="1596" w:type="dxa"/>
          </w:tcPr>
          <w:p w14:paraId="0A619E95"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Retention bonus </w:t>
            </w:r>
          </w:p>
        </w:tc>
        <w:tc>
          <w:tcPr>
            <w:tcW w:w="1596" w:type="dxa"/>
          </w:tcPr>
          <w:p w14:paraId="5E0D8368"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47771F59"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3FFA68C2"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0491A2A3" w14:textId="77777777" w:rsidR="00A50C17" w:rsidRPr="00054089"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596" w:type="dxa"/>
          </w:tcPr>
          <w:p w14:paraId="6218F79E"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513461EB" w14:textId="77777777">
        <w:tc>
          <w:tcPr>
            <w:cnfStyle w:val="001000000000" w:firstRow="0" w:lastRow="0" w:firstColumn="1" w:lastColumn="0" w:oddVBand="0" w:evenVBand="0" w:oddHBand="0" w:evenHBand="0" w:firstRowFirstColumn="0" w:firstRowLastColumn="0" w:lastRowFirstColumn="0" w:lastRowLastColumn="0"/>
            <w:tcW w:w="1596" w:type="dxa"/>
          </w:tcPr>
          <w:p w14:paraId="224E1955"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Additional paid leave </w:t>
            </w:r>
          </w:p>
        </w:tc>
        <w:tc>
          <w:tcPr>
            <w:tcW w:w="1596" w:type="dxa"/>
          </w:tcPr>
          <w:p w14:paraId="292E90BF"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7A73B212" w14:textId="77777777" w:rsidR="00A50C17" w:rsidRPr="00054089"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596" w:type="dxa"/>
          </w:tcPr>
          <w:p w14:paraId="43834FB4"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1F958D46"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47598AF3"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2051FC2D" w14:textId="77777777">
        <w:tc>
          <w:tcPr>
            <w:cnfStyle w:val="001000000000" w:firstRow="0" w:lastRow="0" w:firstColumn="1" w:lastColumn="0" w:oddVBand="0" w:evenVBand="0" w:oddHBand="0" w:evenHBand="0" w:firstRowFirstColumn="0" w:firstRowLastColumn="0" w:lastRowFirstColumn="0" w:lastRowLastColumn="0"/>
            <w:tcW w:w="1596" w:type="dxa"/>
          </w:tcPr>
          <w:p w14:paraId="619D65D0"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Free or subsidised housing </w:t>
            </w:r>
          </w:p>
        </w:tc>
        <w:tc>
          <w:tcPr>
            <w:tcW w:w="1596" w:type="dxa"/>
          </w:tcPr>
          <w:p w14:paraId="6E57B68D"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36031ED5"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30C2A287"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35E1E405"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35F55887"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A50C17" w:rsidRPr="00BF46C3" w14:paraId="130037F7" w14:textId="77777777">
        <w:tc>
          <w:tcPr>
            <w:cnfStyle w:val="001000000000" w:firstRow="0" w:lastRow="0" w:firstColumn="1" w:lastColumn="0" w:oddVBand="0" w:evenVBand="0" w:oddHBand="0" w:evenHBand="0" w:firstRowFirstColumn="0" w:firstRowLastColumn="0" w:lastRowFirstColumn="0" w:lastRowLastColumn="0"/>
            <w:tcW w:w="1596" w:type="dxa"/>
          </w:tcPr>
          <w:p w14:paraId="0444089E" w14:textId="77777777" w:rsidR="00A50C17" w:rsidRPr="00BF46C3" w:rsidRDefault="00A50C17" w:rsidP="00054089">
            <w:pPr>
              <w:keepNext/>
              <w:spacing w:after="0"/>
              <w:rPr>
                <w:rFonts w:asciiTheme="majorHAnsi" w:hAnsiTheme="majorHAnsi"/>
                <w:sz w:val="18"/>
                <w:szCs w:val="18"/>
              </w:rPr>
            </w:pPr>
            <w:r w:rsidRPr="00BF46C3">
              <w:rPr>
                <w:rFonts w:asciiTheme="majorHAnsi" w:hAnsiTheme="majorHAnsi"/>
                <w:sz w:val="18"/>
                <w:szCs w:val="18"/>
              </w:rPr>
              <w:t xml:space="preserve">Free or subsidised child care </w:t>
            </w:r>
          </w:p>
        </w:tc>
        <w:tc>
          <w:tcPr>
            <w:tcW w:w="1596" w:type="dxa"/>
          </w:tcPr>
          <w:p w14:paraId="410B46B4"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68A42ECC"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7DA425EB"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1D4F9219"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596" w:type="dxa"/>
          </w:tcPr>
          <w:p w14:paraId="10A487F3" w14:textId="77777777" w:rsidR="00A50C17" w:rsidRPr="00BF46C3" w:rsidRDefault="00A50C17" w:rsidP="00171325">
            <w:pPr>
              <w:pStyle w:val="ListParagraph"/>
              <w:keepNext/>
              <w:numPr>
                <w:ilvl w:val="0"/>
                <w:numId w:val="17"/>
              </w:numPr>
              <w:ind w:firstLine="0"/>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bl>
    <w:p w14:paraId="0A6FCB89" w14:textId="77777777" w:rsidR="00A50C17" w:rsidRPr="00BF46C3" w:rsidRDefault="00A50C17" w:rsidP="00A50C17">
      <w:pPr>
        <w:rPr>
          <w:rFonts w:asciiTheme="majorHAnsi" w:hAnsiTheme="majorHAnsi"/>
        </w:rPr>
      </w:pPr>
    </w:p>
    <w:p w14:paraId="06060340"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2FB7598F"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Do you offer any incentives or subsidies for staff to encourage recruitment or retention? = No</w:t>
      </w:r>
    </w:p>
    <w:p w14:paraId="27F39C57"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Or Do you offer any incentives or subsidies for staff to encourage recruitment or retention? = Unsure</w:t>
      </w:r>
    </w:p>
    <w:p w14:paraId="47C183D5" w14:textId="77777777" w:rsidR="00A50C17" w:rsidRPr="00BF46C3" w:rsidRDefault="00A50C17" w:rsidP="00A50C17">
      <w:pPr>
        <w:rPr>
          <w:rFonts w:asciiTheme="majorHAnsi" w:hAnsiTheme="majorHAnsi"/>
        </w:rPr>
      </w:pPr>
    </w:p>
    <w:p w14:paraId="08C78967" w14:textId="6DEE7957" w:rsidR="00A50C17" w:rsidRPr="00BF46C3" w:rsidRDefault="00A50C17" w:rsidP="00054089">
      <w:pPr>
        <w:keepNext/>
        <w:rPr>
          <w:rFonts w:asciiTheme="majorHAnsi" w:hAnsiTheme="majorHAnsi"/>
        </w:rPr>
      </w:pPr>
      <w:r w:rsidRPr="00BF46C3">
        <w:rPr>
          <w:rFonts w:asciiTheme="majorHAnsi" w:hAnsiTheme="majorHAnsi"/>
        </w:rPr>
        <w:t>Please use this space to describe any other possible staff retention or recruitment strategies, or to provide any further detail on your answers above</w:t>
      </w:r>
    </w:p>
    <w:p w14:paraId="69EEE292" w14:textId="77777777" w:rsidR="00A50C17" w:rsidRPr="00BF46C3" w:rsidRDefault="00A50C17" w:rsidP="00054089">
      <w:pPr>
        <w:pStyle w:val="Appendixhead3"/>
      </w:pPr>
      <w:r w:rsidRPr="00BF46C3">
        <w:t>Environmentally sustainable infrastructure</w:t>
      </w:r>
    </w:p>
    <w:p w14:paraId="4C310875" w14:textId="77777777" w:rsidR="00A50C17" w:rsidRPr="00BF46C3" w:rsidRDefault="00A50C17" w:rsidP="00A50C17">
      <w:pPr>
        <w:keepNext/>
        <w:rPr>
          <w:rFonts w:asciiTheme="majorHAnsi" w:hAnsiTheme="majorHAnsi"/>
        </w:rPr>
      </w:pPr>
      <w:r w:rsidRPr="00BF46C3">
        <w:rPr>
          <w:rFonts w:asciiTheme="majorHAnsi" w:hAnsiTheme="majorHAnsi"/>
        </w:rPr>
        <w:t>Does your service budget for environmentally sustainable infrastructure?</w:t>
      </w:r>
      <w:r w:rsidRPr="00BF46C3">
        <w:rPr>
          <w:rFonts w:asciiTheme="majorHAnsi" w:hAnsiTheme="majorHAnsi"/>
        </w:rPr>
        <w:br/>
      </w:r>
      <w:r w:rsidRPr="00BF46C3">
        <w:rPr>
          <w:rFonts w:asciiTheme="majorHAnsi" w:hAnsiTheme="majorHAnsi"/>
        </w:rPr>
        <w:br/>
      </w:r>
      <w:r w:rsidRPr="00BF46C3">
        <w:rPr>
          <w:rFonts w:asciiTheme="majorHAnsi" w:hAnsiTheme="majorHAnsi"/>
          <w:i/>
        </w:rPr>
        <w:lastRenderedPageBreak/>
        <w:t>For example, insulation, double glazing, solar panels, water tank, green energy provider, planting trees, awning to create shade, etc.</w:t>
      </w:r>
      <w:r w:rsidRPr="00BF46C3">
        <w:rPr>
          <w:rFonts w:asciiTheme="majorHAnsi" w:hAnsiTheme="majorHAnsi"/>
          <w:i/>
        </w:rPr>
        <w:br/>
      </w:r>
    </w:p>
    <w:p w14:paraId="101E41A8"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73C97E1B" w14:textId="77777777" w:rsidR="00A50C17" w:rsidRPr="00BF46C3" w:rsidRDefault="00A50C17" w:rsidP="00171325">
      <w:pPr>
        <w:pStyle w:val="ListParagraph"/>
        <w:keepNext/>
        <w:numPr>
          <w:ilvl w:val="0"/>
          <w:numId w:val="17"/>
        </w:numPr>
        <w:ind w:firstLine="0"/>
        <w:contextualSpacing w:val="0"/>
      </w:pPr>
      <w:r w:rsidRPr="00BF46C3">
        <w:t xml:space="preserve">No </w:t>
      </w:r>
    </w:p>
    <w:p w14:paraId="13F7B4DE" w14:textId="77777777" w:rsidR="00A50C17" w:rsidRPr="00BF46C3" w:rsidRDefault="00A50C17" w:rsidP="00171325">
      <w:pPr>
        <w:pStyle w:val="ListParagraph"/>
        <w:keepNext/>
        <w:numPr>
          <w:ilvl w:val="0"/>
          <w:numId w:val="17"/>
        </w:numPr>
        <w:ind w:firstLine="0"/>
        <w:contextualSpacing w:val="0"/>
      </w:pPr>
      <w:r w:rsidRPr="00BF46C3">
        <w:t xml:space="preserve">Not sure </w:t>
      </w:r>
    </w:p>
    <w:p w14:paraId="6C26A290"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21375604"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Does your service budget for environmentally sustainable infrastructure? For example, insulation,... = Yes</w:t>
      </w:r>
    </w:p>
    <w:p w14:paraId="62EB99EA" w14:textId="77777777" w:rsidR="00A50C17" w:rsidRPr="00BF46C3" w:rsidRDefault="00A50C17" w:rsidP="00A50C17">
      <w:pPr>
        <w:rPr>
          <w:rFonts w:asciiTheme="majorHAnsi" w:hAnsiTheme="majorHAnsi"/>
        </w:rPr>
      </w:pPr>
    </w:p>
    <w:p w14:paraId="037C8446" w14:textId="77777777" w:rsidR="00A50C17" w:rsidRPr="00BF46C3" w:rsidRDefault="00A50C17" w:rsidP="00A50C17">
      <w:pPr>
        <w:keepNext/>
        <w:rPr>
          <w:rFonts w:asciiTheme="majorHAnsi" w:hAnsiTheme="majorHAnsi"/>
        </w:rPr>
      </w:pPr>
      <w:r w:rsidRPr="00BF46C3">
        <w:rPr>
          <w:rFonts w:asciiTheme="majorHAnsi" w:hAnsiTheme="majorHAnsi"/>
        </w:rPr>
        <w:t>What is your service's annual budget for environmentally sustainable infrastructure?</w:t>
      </w:r>
    </w:p>
    <w:p w14:paraId="79EEBECC"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571AA0A1"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Does your service budget for environmentally sustainable infrastructure? For example, insulation,... = Yes</w:t>
      </w:r>
    </w:p>
    <w:p w14:paraId="33911888" w14:textId="77777777" w:rsidR="00A50C17" w:rsidRPr="00BF46C3" w:rsidRDefault="00A50C17" w:rsidP="00A50C17">
      <w:pPr>
        <w:rPr>
          <w:rFonts w:asciiTheme="majorHAnsi" w:hAnsiTheme="majorHAnsi"/>
        </w:rPr>
      </w:pPr>
    </w:p>
    <w:p w14:paraId="6066DD4A" w14:textId="77777777" w:rsidR="00A50C17" w:rsidRPr="00BF46C3" w:rsidRDefault="00A50C17" w:rsidP="00A50C17">
      <w:pPr>
        <w:keepNext/>
        <w:rPr>
          <w:rFonts w:asciiTheme="majorHAnsi" w:hAnsiTheme="majorHAnsi"/>
        </w:rPr>
      </w:pPr>
      <w:r w:rsidRPr="00BF46C3">
        <w:rPr>
          <w:rFonts w:asciiTheme="majorHAnsi" w:hAnsiTheme="majorHAnsi"/>
        </w:rPr>
        <w:t>Is this funded (partially or wholly) by the CCCFR grant?</w:t>
      </w:r>
    </w:p>
    <w:p w14:paraId="65444F73" w14:textId="77777777" w:rsidR="00A50C17" w:rsidRPr="00BF46C3" w:rsidRDefault="00A50C17" w:rsidP="00171325">
      <w:pPr>
        <w:pStyle w:val="ListParagraph"/>
        <w:keepNext/>
        <w:numPr>
          <w:ilvl w:val="0"/>
          <w:numId w:val="17"/>
        </w:numPr>
        <w:ind w:firstLine="0"/>
        <w:contextualSpacing w:val="0"/>
      </w:pPr>
      <w:r w:rsidRPr="00BF46C3">
        <w:t xml:space="preserve">Yes - fully funded by the CCCFR grant </w:t>
      </w:r>
    </w:p>
    <w:p w14:paraId="08A8DA61" w14:textId="77777777" w:rsidR="00A50C17" w:rsidRPr="00BF46C3" w:rsidRDefault="00A50C17" w:rsidP="00171325">
      <w:pPr>
        <w:pStyle w:val="ListParagraph"/>
        <w:keepNext/>
        <w:numPr>
          <w:ilvl w:val="0"/>
          <w:numId w:val="17"/>
        </w:numPr>
        <w:ind w:firstLine="0"/>
        <w:contextualSpacing w:val="0"/>
      </w:pPr>
      <w:r w:rsidRPr="00BF46C3">
        <w:t xml:space="preserve">Yes - partially funded by the CCCFR grant </w:t>
      </w:r>
    </w:p>
    <w:p w14:paraId="50CE686B" w14:textId="77777777" w:rsidR="00A50C17" w:rsidRPr="00BF46C3" w:rsidRDefault="00A50C17" w:rsidP="00171325">
      <w:pPr>
        <w:pStyle w:val="ListParagraph"/>
        <w:keepNext/>
        <w:numPr>
          <w:ilvl w:val="0"/>
          <w:numId w:val="17"/>
        </w:numPr>
        <w:ind w:firstLine="0"/>
        <w:contextualSpacing w:val="0"/>
      </w:pPr>
      <w:r w:rsidRPr="00BF46C3">
        <w:t xml:space="preserve">No </w:t>
      </w:r>
    </w:p>
    <w:p w14:paraId="1988BF05" w14:textId="77777777" w:rsidR="00A50C17" w:rsidRPr="00BF46C3" w:rsidRDefault="00A50C17" w:rsidP="00171325">
      <w:pPr>
        <w:pStyle w:val="ListParagraph"/>
        <w:keepNext/>
        <w:numPr>
          <w:ilvl w:val="0"/>
          <w:numId w:val="17"/>
        </w:numPr>
        <w:ind w:firstLine="0"/>
        <w:contextualSpacing w:val="0"/>
      </w:pPr>
      <w:r w:rsidRPr="00BF46C3">
        <w:t xml:space="preserve">Not sure </w:t>
      </w:r>
    </w:p>
    <w:p w14:paraId="5501A81B" w14:textId="77777777" w:rsidR="00A50C17" w:rsidRPr="00BF46C3" w:rsidRDefault="00A50C17" w:rsidP="00A50C17">
      <w:pPr>
        <w:pStyle w:val="QDisplayLogic"/>
        <w:keepNext/>
        <w:rPr>
          <w:rFonts w:asciiTheme="majorHAnsi" w:hAnsiTheme="majorHAnsi"/>
          <w:sz w:val="18"/>
          <w:szCs w:val="18"/>
        </w:rPr>
      </w:pPr>
      <w:r w:rsidRPr="00BF46C3">
        <w:rPr>
          <w:rFonts w:asciiTheme="majorHAnsi" w:hAnsiTheme="majorHAnsi"/>
          <w:sz w:val="18"/>
          <w:szCs w:val="18"/>
        </w:rPr>
        <w:t>Display This Question:</w:t>
      </w:r>
    </w:p>
    <w:p w14:paraId="3B9AE45B" w14:textId="77777777" w:rsidR="00A50C17" w:rsidRPr="00BF46C3" w:rsidRDefault="00A50C17" w:rsidP="00A50C17">
      <w:pPr>
        <w:pStyle w:val="QDisplayLogic"/>
        <w:keepNext/>
        <w:ind w:firstLine="400"/>
        <w:rPr>
          <w:rFonts w:asciiTheme="majorHAnsi" w:hAnsiTheme="majorHAnsi"/>
          <w:sz w:val="18"/>
          <w:szCs w:val="18"/>
        </w:rPr>
      </w:pPr>
      <w:r w:rsidRPr="00BF46C3">
        <w:rPr>
          <w:rFonts w:asciiTheme="majorHAnsi" w:hAnsiTheme="majorHAnsi"/>
          <w:sz w:val="18"/>
          <w:szCs w:val="18"/>
        </w:rPr>
        <w:t>If Does your service budget for environmentally sustainable infrastructure? For example, insulation,... = Yes</w:t>
      </w:r>
    </w:p>
    <w:p w14:paraId="40375B03" w14:textId="77777777" w:rsidR="00A50C17" w:rsidRPr="00BF46C3" w:rsidRDefault="00A50C17" w:rsidP="00A50C17">
      <w:pPr>
        <w:rPr>
          <w:rFonts w:asciiTheme="majorHAnsi" w:hAnsiTheme="majorHAnsi"/>
        </w:rPr>
      </w:pPr>
    </w:p>
    <w:p w14:paraId="26AB67C5" w14:textId="77777777" w:rsidR="00A50C17" w:rsidRPr="00BF46C3" w:rsidRDefault="00A50C17" w:rsidP="00A50C17">
      <w:pPr>
        <w:keepNext/>
        <w:spacing w:after="0"/>
        <w:rPr>
          <w:rFonts w:asciiTheme="majorHAnsi" w:hAnsiTheme="majorHAnsi"/>
        </w:rPr>
      </w:pPr>
      <w:r w:rsidRPr="00BF46C3">
        <w:rPr>
          <w:rFonts w:asciiTheme="majorHAnsi" w:hAnsiTheme="majorHAnsi"/>
        </w:rPr>
        <w:t>Do you have to order environmentally sustainable infrastructure from specific operators?</w:t>
      </w:r>
    </w:p>
    <w:p w14:paraId="18B8B6B4" w14:textId="77777777" w:rsidR="00A50C17" w:rsidRPr="00BF46C3" w:rsidRDefault="00A50C17" w:rsidP="00171325">
      <w:pPr>
        <w:pStyle w:val="ListParagraph"/>
        <w:keepNext/>
        <w:numPr>
          <w:ilvl w:val="0"/>
          <w:numId w:val="17"/>
        </w:numPr>
        <w:ind w:firstLine="0"/>
        <w:contextualSpacing w:val="0"/>
      </w:pPr>
      <w:r w:rsidRPr="00BF46C3">
        <w:t xml:space="preserve">Yes </w:t>
      </w:r>
    </w:p>
    <w:p w14:paraId="0145CB78" w14:textId="77777777" w:rsidR="00A50C17" w:rsidRPr="00BF46C3" w:rsidRDefault="00A50C17" w:rsidP="00171325">
      <w:pPr>
        <w:pStyle w:val="ListParagraph"/>
        <w:keepNext/>
        <w:numPr>
          <w:ilvl w:val="0"/>
          <w:numId w:val="17"/>
        </w:numPr>
        <w:ind w:firstLine="0"/>
        <w:contextualSpacing w:val="0"/>
      </w:pPr>
      <w:r w:rsidRPr="00BF46C3">
        <w:t xml:space="preserve">No </w:t>
      </w:r>
    </w:p>
    <w:p w14:paraId="6D9B7749" w14:textId="77777777" w:rsidR="00A50C17" w:rsidRPr="00BF46C3" w:rsidRDefault="00A50C17" w:rsidP="00171325">
      <w:pPr>
        <w:pStyle w:val="ListParagraph"/>
        <w:keepNext/>
        <w:numPr>
          <w:ilvl w:val="0"/>
          <w:numId w:val="17"/>
        </w:numPr>
        <w:ind w:firstLine="0"/>
        <w:contextualSpacing w:val="0"/>
      </w:pPr>
      <w:r w:rsidRPr="00BF46C3">
        <w:t xml:space="preserve">Not sure </w:t>
      </w:r>
    </w:p>
    <w:p w14:paraId="14AC0F34" w14:textId="77777777" w:rsidR="00A50C17" w:rsidRPr="00BF46C3" w:rsidRDefault="00A50C17" w:rsidP="00A50C17">
      <w:pPr>
        <w:keepNext/>
        <w:spacing w:after="0"/>
        <w:rPr>
          <w:rFonts w:asciiTheme="majorHAnsi" w:hAnsiTheme="majorHAnsi"/>
        </w:rPr>
      </w:pPr>
      <w:r w:rsidRPr="00BF46C3">
        <w:rPr>
          <w:rFonts w:asciiTheme="majorHAnsi" w:hAnsiTheme="majorHAnsi"/>
        </w:rPr>
        <w:t>Has your service implemented any of the below actions to support environmental sustainability at your service relating to the infrastructure?</w:t>
      </w:r>
      <w:r w:rsidRPr="00BF46C3">
        <w:rPr>
          <w:rFonts w:asciiTheme="majorHAnsi" w:hAnsiTheme="majorHAnsi"/>
        </w:rPr>
        <w:br/>
      </w:r>
      <w:r w:rsidRPr="00BF46C3">
        <w:rPr>
          <w:rFonts w:asciiTheme="majorHAnsi" w:hAnsiTheme="majorHAnsi"/>
        </w:rPr>
        <w:lastRenderedPageBreak/>
        <w:br/>
      </w:r>
      <w:r w:rsidRPr="00BF46C3">
        <w:rPr>
          <w:rFonts w:asciiTheme="majorHAnsi" w:hAnsiTheme="majorHAnsi"/>
          <w:i/>
        </w:rPr>
        <w:t>Please select all that apply</w:t>
      </w:r>
      <w:r w:rsidRPr="00BF46C3">
        <w:rPr>
          <w:rFonts w:asciiTheme="majorHAnsi" w:hAnsiTheme="majorHAnsi"/>
        </w:rPr>
        <w:br/>
      </w:r>
    </w:p>
    <w:p w14:paraId="27CFF7CB" w14:textId="77777777" w:rsidR="00A50C17" w:rsidRPr="00BF46C3" w:rsidRDefault="00A50C17" w:rsidP="00054089">
      <w:pPr>
        <w:pStyle w:val="Surveyoptions"/>
      </w:pPr>
      <w:r w:rsidRPr="00BF46C3">
        <w:t xml:space="preserve">Insulation </w:t>
      </w:r>
    </w:p>
    <w:p w14:paraId="7061F1BA" w14:textId="77777777" w:rsidR="00A50C17" w:rsidRPr="00BF46C3" w:rsidRDefault="00A50C17" w:rsidP="00054089">
      <w:pPr>
        <w:pStyle w:val="Surveyoptions"/>
      </w:pPr>
      <w:r w:rsidRPr="00BF46C3">
        <w:t xml:space="preserve">Double glazing </w:t>
      </w:r>
    </w:p>
    <w:p w14:paraId="78836DD2" w14:textId="77777777" w:rsidR="00A50C17" w:rsidRPr="00BF46C3" w:rsidRDefault="00A50C17" w:rsidP="00054089">
      <w:pPr>
        <w:pStyle w:val="Surveyoptions"/>
      </w:pPr>
      <w:r w:rsidRPr="00BF46C3">
        <w:t>Solar panel</w:t>
      </w:r>
      <w:r w:rsidRPr="00BF46C3">
        <w:tab/>
        <w:t xml:space="preserve"> </w:t>
      </w:r>
    </w:p>
    <w:p w14:paraId="6518F7DD" w14:textId="77777777" w:rsidR="00A50C17" w:rsidRPr="00BF46C3" w:rsidRDefault="00A50C17" w:rsidP="00054089">
      <w:pPr>
        <w:pStyle w:val="Surveyoptions"/>
      </w:pPr>
      <w:r w:rsidRPr="00BF46C3">
        <w:t xml:space="preserve">Water tank </w:t>
      </w:r>
    </w:p>
    <w:p w14:paraId="09E9CCC1" w14:textId="77777777" w:rsidR="00A50C17" w:rsidRPr="00BF46C3" w:rsidRDefault="00A50C17" w:rsidP="00054089">
      <w:pPr>
        <w:pStyle w:val="Surveyoptions"/>
      </w:pPr>
      <w:r w:rsidRPr="00BF46C3">
        <w:t xml:space="preserve">Solar hot water or heat pump </w:t>
      </w:r>
    </w:p>
    <w:p w14:paraId="6960B811" w14:textId="77777777" w:rsidR="00A50C17" w:rsidRPr="00BF46C3" w:rsidRDefault="00A50C17" w:rsidP="00054089">
      <w:pPr>
        <w:pStyle w:val="Surveyoptions"/>
      </w:pPr>
      <w:r w:rsidRPr="00BF46C3">
        <w:t xml:space="preserve">Green energy provider </w:t>
      </w:r>
    </w:p>
    <w:p w14:paraId="3E82479B" w14:textId="77777777" w:rsidR="00A50C17" w:rsidRPr="00BF46C3" w:rsidRDefault="00A50C17" w:rsidP="00054089">
      <w:pPr>
        <w:pStyle w:val="Surveyoptions"/>
      </w:pPr>
      <w:r w:rsidRPr="00BF46C3">
        <w:t xml:space="preserve">Planting trees </w:t>
      </w:r>
    </w:p>
    <w:p w14:paraId="2701E093" w14:textId="77777777" w:rsidR="00A50C17" w:rsidRPr="00BF46C3" w:rsidRDefault="00A50C17" w:rsidP="00054089">
      <w:pPr>
        <w:pStyle w:val="Surveyoptions"/>
      </w:pPr>
      <w:r w:rsidRPr="00BF46C3">
        <w:t xml:space="preserve">Community garden </w:t>
      </w:r>
    </w:p>
    <w:p w14:paraId="0E112406" w14:textId="77777777" w:rsidR="00A50C17" w:rsidRPr="00BF46C3" w:rsidRDefault="00A50C17" w:rsidP="00054089">
      <w:pPr>
        <w:pStyle w:val="Surveyoptions"/>
      </w:pPr>
      <w:r w:rsidRPr="00BF46C3">
        <w:t xml:space="preserve">Awning to create shade </w:t>
      </w:r>
    </w:p>
    <w:p w14:paraId="429FABA2" w14:textId="77777777" w:rsidR="00A50C17" w:rsidRPr="00BF46C3" w:rsidRDefault="00A50C17" w:rsidP="00054089">
      <w:pPr>
        <w:pStyle w:val="Surveyoptions"/>
      </w:pPr>
      <w:r w:rsidRPr="00BF46C3">
        <w:t>Other (please describe) __________________________________________________</w:t>
      </w:r>
    </w:p>
    <w:p w14:paraId="59990CE5" w14:textId="77777777" w:rsidR="00A50C17" w:rsidRPr="00BF46C3" w:rsidRDefault="00A50C17" w:rsidP="00A50C17">
      <w:pPr>
        <w:keepNext/>
        <w:rPr>
          <w:rFonts w:asciiTheme="majorHAnsi" w:hAnsiTheme="majorHAnsi"/>
        </w:rPr>
      </w:pPr>
      <w:r w:rsidRPr="00BF46C3">
        <w:rPr>
          <w:rFonts w:asciiTheme="majorHAnsi" w:hAnsiTheme="majorHAnsi"/>
        </w:rPr>
        <w:t>Please use this space for any other comments on your service's environmental sustainability, or to provide any further detail on your answers above</w:t>
      </w:r>
    </w:p>
    <w:p w14:paraId="39DE745D" w14:textId="77777777" w:rsidR="00A50C17" w:rsidRPr="00BF46C3" w:rsidRDefault="00A50C17" w:rsidP="00A50C17">
      <w:pPr>
        <w:keepNext/>
        <w:rPr>
          <w:rFonts w:asciiTheme="majorHAnsi" w:hAnsiTheme="majorHAnsi"/>
        </w:rPr>
      </w:pPr>
      <w:r w:rsidRPr="00BF46C3">
        <w:rPr>
          <w:rFonts w:asciiTheme="majorHAnsi" w:hAnsiTheme="majorHAnsi"/>
        </w:rPr>
        <w:t>Please review and submit the survey. If you have any other comments related to the survey, you are encouraged to write these below.</w:t>
      </w:r>
    </w:p>
    <w:p w14:paraId="6E511BA1" w14:textId="77777777" w:rsidR="00A50C17" w:rsidRPr="00BF46C3" w:rsidRDefault="00A50C17" w:rsidP="00A50C17">
      <w:pPr>
        <w:keepNext/>
        <w:rPr>
          <w:rFonts w:asciiTheme="majorHAnsi" w:hAnsiTheme="majorHAnsi"/>
        </w:rPr>
      </w:pPr>
      <w:r w:rsidRPr="00BF46C3">
        <w:rPr>
          <w:rFonts w:asciiTheme="majorHAnsi" w:hAnsiTheme="majorHAnsi"/>
        </w:rPr>
        <w:t>Do you have any additional comments in respect to the survey or the CCCFR grant review?</w:t>
      </w:r>
    </w:p>
    <w:p w14:paraId="46CE2C2F" w14:textId="7BBC3395" w:rsidR="00A50C17" w:rsidRPr="00054089" w:rsidRDefault="00A50C17" w:rsidP="00054089">
      <w:pPr>
        <w:keepNext/>
        <w:rPr>
          <w:rFonts w:asciiTheme="majorHAnsi" w:hAnsiTheme="majorHAnsi"/>
        </w:rPr>
      </w:pPr>
      <w:r w:rsidRPr="00BF46C3">
        <w:rPr>
          <w:rFonts w:asciiTheme="majorHAnsi" w:hAnsiTheme="majorHAnsi"/>
        </w:rPr>
        <w:t>Thank you for participating in the CCCFR grant review.</w:t>
      </w:r>
    </w:p>
    <w:p w14:paraId="12CA049F" w14:textId="77777777" w:rsidR="00B95821" w:rsidRPr="00B95821" w:rsidRDefault="00B95821" w:rsidP="00B95821">
      <w:pPr>
        <w:rPr>
          <w:highlight w:val="yellow"/>
        </w:rPr>
      </w:pPr>
    </w:p>
    <w:p w14:paraId="2631B05B" w14:textId="04107CB6" w:rsidR="00D47880" w:rsidRDefault="00967440" w:rsidP="00D47880">
      <w:pPr>
        <w:pStyle w:val="Appendixhead1"/>
      </w:pPr>
      <w:bookmarkStart w:id="433" w:name="_Ref152874862"/>
      <w:bookmarkStart w:id="434" w:name="_Toc158993789"/>
      <w:bookmarkStart w:id="435" w:name="_Toc170227439"/>
      <w:r>
        <w:lastRenderedPageBreak/>
        <w:t>Sampling process for</w:t>
      </w:r>
      <w:r w:rsidR="00035D01">
        <w:t xml:space="preserve"> service consultations</w:t>
      </w:r>
      <w:bookmarkEnd w:id="433"/>
      <w:bookmarkEnd w:id="434"/>
      <w:bookmarkEnd w:id="435"/>
    </w:p>
    <w:p w14:paraId="4481396C" w14:textId="078D0D3D" w:rsidR="00EA0636" w:rsidRPr="00A350DE" w:rsidRDefault="00EA0636" w:rsidP="00EA0636">
      <w:r>
        <w:t>This appendix sets out the approach to sampling that was undertaken to generate a representative sample for the service consultations.</w:t>
      </w:r>
    </w:p>
    <w:p w14:paraId="7F56A8A6" w14:textId="77777777" w:rsidR="00EA0636" w:rsidRDefault="00EA0636" w:rsidP="00EA0636">
      <w:r>
        <w:t>To generate a representative sample for the in-person and virtual service consultations, Deloitte Access Economics followed the below process.</w:t>
      </w:r>
    </w:p>
    <w:p w14:paraId="3A90E656" w14:textId="77777777" w:rsidR="00EA0636" w:rsidRDefault="00EA0636" w:rsidP="00EA0636">
      <w:r>
        <w:t xml:space="preserve">Four key service characteristics – service size, remoteness, proportion of Aboriginal and Torres Strait Islander children and regulation status – were selected. These characteristics are regarded to be of significant influence on the day-to-day operation of the services. It is expected that services that vary in these characteristics would operate in different contexts, therefore potentially offering different and unique insights. </w:t>
      </w:r>
    </w:p>
    <w:p w14:paraId="63E138CC" w14:textId="77777777" w:rsidR="00EA0636" w:rsidRDefault="00EA0636" w:rsidP="00EA0636">
      <w:r>
        <w:t xml:space="preserve">To create a representative sample, the four characteristics were used to categorise the CCCFR services into different strata. More specifically: </w:t>
      </w:r>
    </w:p>
    <w:p w14:paraId="524CD5DB" w14:textId="38B99A23" w:rsidR="00EA0636" w:rsidRDefault="00EA0636" w:rsidP="00EA0636">
      <w:pPr>
        <w:pStyle w:val="ListBullet"/>
      </w:pPr>
      <w:r>
        <w:t xml:space="preserve">For </w:t>
      </w:r>
      <w:r w:rsidRPr="2B91AEFB">
        <w:rPr>
          <w:b/>
          <w:bCs/>
        </w:rPr>
        <w:t>service size</w:t>
      </w:r>
      <w:r>
        <w:t xml:space="preserve">, a service can be small, medium, or large. Service size is based on the licenced capacity of the services as reported in the Compliance and Operations </w:t>
      </w:r>
      <w:r w:rsidR="009079D7">
        <w:t>Report</w:t>
      </w:r>
      <w:r>
        <w:t xml:space="preserve">s. </w:t>
      </w:r>
    </w:p>
    <w:p w14:paraId="68B5140A" w14:textId="52556E4F" w:rsidR="00EA0636" w:rsidRDefault="00EA0636" w:rsidP="00EA0636">
      <w:pPr>
        <w:pStyle w:val="ListBullet2"/>
      </w:pPr>
      <w:r>
        <w:t>The largest one-third of services are defined as large services, the smallest one-third defined as small services, the rest as medium services</w:t>
      </w:r>
      <w:r w:rsidR="00230685">
        <w:t>.</w:t>
      </w:r>
    </w:p>
    <w:p w14:paraId="05CEA98A" w14:textId="77777777" w:rsidR="00EA0636" w:rsidRDefault="00EA0636" w:rsidP="00EA0636">
      <w:pPr>
        <w:pStyle w:val="ListBullet"/>
      </w:pPr>
      <w:r>
        <w:t xml:space="preserve">For </w:t>
      </w:r>
      <w:r w:rsidRPr="2B91AEFB">
        <w:rPr>
          <w:b/>
          <w:bCs/>
        </w:rPr>
        <w:t>remoteness</w:t>
      </w:r>
      <w:r>
        <w:t xml:space="preserve">, a service can be metropolitan, regional, or remote. The remoteness of the service is based on the geolocation of the service and their ARIA category. The ABS categorises the ARIA scores into five different categories of remoteness: Major city, inner regional, outer regional, remote, and very remote. </w:t>
      </w:r>
    </w:p>
    <w:p w14:paraId="644AC7CE" w14:textId="77777777" w:rsidR="00EA0636" w:rsidRDefault="00EA0636" w:rsidP="00EA0636">
      <w:pPr>
        <w:pStyle w:val="ListBullet2"/>
      </w:pPr>
      <w:r>
        <w:t xml:space="preserve">For the stratification, services that are in an inner regional or outer regional area are defined as regional, services that are in a remote or very remote area are defined as remote. </w:t>
      </w:r>
    </w:p>
    <w:p w14:paraId="23E01E47" w14:textId="77777777" w:rsidR="00EA0636" w:rsidRDefault="00EA0636" w:rsidP="00EA0636">
      <w:pPr>
        <w:pStyle w:val="ListBullet"/>
      </w:pPr>
      <w:r>
        <w:t xml:space="preserve">For </w:t>
      </w:r>
      <w:r w:rsidRPr="2B91AEFB">
        <w:rPr>
          <w:b/>
          <w:bCs/>
        </w:rPr>
        <w:t>proportion of Aboriginal and Torres Strait Islander children</w:t>
      </w:r>
      <w:r>
        <w:t xml:space="preserve">, a service can either have a high proportion of Aboriginal and Torres Strait Islander children enrolled, or a low proportion. </w:t>
      </w:r>
    </w:p>
    <w:p w14:paraId="67F6479B" w14:textId="66D62A0D" w:rsidR="00EA0636" w:rsidRDefault="00EA0636" w:rsidP="00EA0636">
      <w:pPr>
        <w:pStyle w:val="ListBullet2"/>
      </w:pPr>
      <w:r>
        <w:t>On average, a CCCFR service has 43</w:t>
      </w:r>
      <w:r w:rsidR="00D97EF8" w:rsidRPr="00D97EF8">
        <w:t xml:space="preserve"> </w:t>
      </w:r>
      <w:r w:rsidR="00D97EF8">
        <w:t>per cent</w:t>
      </w:r>
      <w:r>
        <w:t xml:space="preserve"> of enrolments being Aboriginal and Torres Strait Islander children. Services that have higher than 43</w:t>
      </w:r>
      <w:r w:rsidR="00D97EF8" w:rsidRPr="00D97EF8">
        <w:t xml:space="preserve"> </w:t>
      </w:r>
      <w:r w:rsidR="00D97EF8">
        <w:t>per cent</w:t>
      </w:r>
      <w:r>
        <w:t xml:space="preserve"> enrolment by Aboriginal and Torres Strait Islander children are defined as having a high proportion of Aboriginal and Torres Strait Islander children. </w:t>
      </w:r>
    </w:p>
    <w:p w14:paraId="6E25FFE4" w14:textId="77777777" w:rsidR="00EA0636" w:rsidRPr="00757A64" w:rsidRDefault="00EA0636" w:rsidP="00EA0636">
      <w:pPr>
        <w:pStyle w:val="ListBullet"/>
      </w:pPr>
      <w:r>
        <w:t xml:space="preserve">For </w:t>
      </w:r>
      <w:r w:rsidRPr="2B91AEFB">
        <w:rPr>
          <w:b/>
          <w:bCs/>
        </w:rPr>
        <w:t>regulation status</w:t>
      </w:r>
      <w:r>
        <w:t>, services were categorised across two types:</w:t>
      </w:r>
    </w:p>
    <w:p w14:paraId="42D6ADF6" w14:textId="57F8622D" w:rsidR="00EA0636" w:rsidRPr="00757A64" w:rsidRDefault="00EA0636" w:rsidP="00171325">
      <w:pPr>
        <w:pStyle w:val="ListBullet"/>
        <w:numPr>
          <w:ilvl w:val="1"/>
          <w:numId w:val="2"/>
        </w:numPr>
      </w:pPr>
      <w:r w:rsidRPr="00757A64">
        <w:t>Services</w:t>
      </w:r>
      <w:r w:rsidRPr="00B36C74">
        <w:t xml:space="preserve"> regulated under the National Law and Regulations (i.e.</w:t>
      </w:r>
      <w:r w:rsidR="00D97EF8">
        <w:t>,</w:t>
      </w:r>
      <w:r w:rsidRPr="00B36C74">
        <w:t xml:space="preserve"> the National Quality Framework)</w:t>
      </w:r>
      <w:r w:rsidR="00230685">
        <w:t>.</w:t>
      </w:r>
    </w:p>
    <w:p w14:paraId="40DC9201" w14:textId="2BC4E35E" w:rsidR="00EA0636" w:rsidRDefault="00EA0636" w:rsidP="00171325">
      <w:pPr>
        <w:pStyle w:val="ListBullet"/>
        <w:numPr>
          <w:ilvl w:val="1"/>
          <w:numId w:val="2"/>
        </w:numPr>
      </w:pPr>
      <w:r w:rsidRPr="00757A64">
        <w:t>Services not regulated under the NQF</w:t>
      </w:r>
      <w:r w:rsidR="00D97EF8">
        <w:t>,</w:t>
      </w:r>
      <w:r w:rsidRPr="00757A64">
        <w:t xml:space="preserve"> however are expected to comply with the Minister’s Rules under the FAL.</w:t>
      </w:r>
    </w:p>
    <w:p w14:paraId="68DA0FD2" w14:textId="77777777" w:rsidR="00EA0636" w:rsidRDefault="00EA0636" w:rsidP="001C655F">
      <w:pPr>
        <w:pStyle w:val="ListBullet"/>
        <w:numPr>
          <w:ilvl w:val="0"/>
          <w:numId w:val="0"/>
        </w:numPr>
        <w:ind w:left="340" w:hanging="340"/>
      </w:pPr>
    </w:p>
    <w:p w14:paraId="109DD4DE" w14:textId="77777777" w:rsidR="00EA0636" w:rsidRPr="00757A64" w:rsidRDefault="00EA0636" w:rsidP="001C655F">
      <w:pPr>
        <w:pStyle w:val="ListBullet"/>
        <w:numPr>
          <w:ilvl w:val="0"/>
          <w:numId w:val="0"/>
        </w:numPr>
        <w:shd w:val="clear" w:color="auto" w:fill="FFF0E1"/>
        <w:ind w:left="340" w:hanging="340"/>
      </w:pPr>
      <w:r w:rsidRPr="00757A64">
        <w:rPr>
          <w:b/>
        </w:rPr>
        <w:t>Note:</w:t>
      </w:r>
      <w:r>
        <w:t xml:space="preserve"> while services not regulated under the NQF may be considered regulated under the relevant </w:t>
      </w:r>
      <w:r w:rsidRPr="004B6427">
        <w:t>state/territory residual legislation</w:t>
      </w:r>
      <w:r>
        <w:t xml:space="preserve">, these services were included within the second (Minister’s Rules) category for the purposes of early sampling. </w:t>
      </w:r>
    </w:p>
    <w:p w14:paraId="11FBF981" w14:textId="77777777" w:rsidR="00EA0636" w:rsidRDefault="00EA0636" w:rsidP="001C655F">
      <w:pPr>
        <w:pStyle w:val="ListBullet"/>
        <w:numPr>
          <w:ilvl w:val="0"/>
          <w:numId w:val="0"/>
        </w:numPr>
        <w:ind w:left="340" w:hanging="340"/>
        <w:rPr>
          <w:highlight w:val="yellow"/>
        </w:rPr>
      </w:pPr>
    </w:p>
    <w:p w14:paraId="0A9F8DD4" w14:textId="77777777" w:rsidR="00EA0636" w:rsidRDefault="00EA0636" w:rsidP="001C655F">
      <w:pPr>
        <w:pStyle w:val="ListBullet"/>
        <w:numPr>
          <w:ilvl w:val="0"/>
          <w:numId w:val="0"/>
        </w:numPr>
        <w:ind w:left="340" w:hanging="340"/>
      </w:pPr>
    </w:p>
    <w:p w14:paraId="2610A7D4" w14:textId="712DC383" w:rsidR="00EA0636" w:rsidRDefault="00EA0636" w:rsidP="00EA0636">
      <w:r>
        <w:lastRenderedPageBreak/>
        <w:t>The four characteristics create a total of 36 strata. Among the 36 strata, 29 are non-empty (that is, there is at least one CCCFR funded services within the strata). There are only 12 strata with at least five services. It is imperative for the sample to aim, to the</w:t>
      </w:r>
      <w:r w:rsidR="00452ED9">
        <w:t xml:space="preserve"> best</w:t>
      </w:r>
      <w:r>
        <w:t xml:space="preserve"> extent possible, to contain at least one service from each stratum such that no important and unique insights from the services operating in conditions significantly different from the others would be missed. Once that is achieved, the sample then aims to include more services from the strata that have more services. </w:t>
      </w:r>
    </w:p>
    <w:p w14:paraId="68033120" w14:textId="77777777" w:rsidR="00EA0636" w:rsidRDefault="00EA0636" w:rsidP="00EA0636">
      <w:r>
        <w:t>The consultation sample contains services from 28 out of the 29 non-empty services. The only non-empty strata that is not represented in the final consultation sample is s</w:t>
      </w:r>
      <w:r w:rsidRPr="00315F3D">
        <w:t xml:space="preserve">mall </w:t>
      </w:r>
      <w:r w:rsidRPr="00437B16">
        <w:rPr>
          <w:i/>
          <w:iCs/>
        </w:rPr>
        <w:t>x</w:t>
      </w:r>
      <w:r>
        <w:t xml:space="preserve"> metropolitan</w:t>
      </w:r>
      <w:r w:rsidRPr="00315F3D">
        <w:t xml:space="preserve"> </w:t>
      </w:r>
      <w:r w:rsidRPr="00437B16">
        <w:rPr>
          <w:i/>
          <w:iCs/>
        </w:rPr>
        <w:t>x</w:t>
      </w:r>
      <w:r w:rsidRPr="00315F3D">
        <w:t xml:space="preserve"> </w:t>
      </w:r>
      <w:r>
        <w:t>low proportion of Aboriginal and Torres Strait Islander children</w:t>
      </w:r>
      <w:r w:rsidRPr="00315F3D">
        <w:t xml:space="preserve"> </w:t>
      </w:r>
      <w:r w:rsidRPr="00437B16">
        <w:rPr>
          <w:i/>
          <w:iCs/>
        </w:rPr>
        <w:t>x</w:t>
      </w:r>
      <w:r w:rsidRPr="00315F3D">
        <w:t xml:space="preserve"> </w:t>
      </w:r>
      <w:r>
        <w:t>r</w:t>
      </w:r>
      <w:r w:rsidRPr="00315F3D">
        <w:t xml:space="preserve">egulated </w:t>
      </w:r>
      <w:r w:rsidRPr="00E64C58">
        <w:t>service</w:t>
      </w:r>
      <w:r>
        <w:t>.</w:t>
      </w:r>
    </w:p>
    <w:p w14:paraId="5D8092E8" w14:textId="77777777" w:rsidR="00EA0636" w:rsidRDefault="00EA0636" w:rsidP="00EA0636">
      <w:r>
        <w:t>The following charts show how the consultation sample compares to the full population of CCCFR services. While it is impossible to ensure that the distribution of service characteristics matches exactly with that of the entire population of all CCCFR services, it is important to ensure the distribution within the sample does not differ unreasonably from that in the population.</w:t>
      </w:r>
    </w:p>
    <w:p w14:paraId="2890B8E8" w14:textId="77777777" w:rsidR="00EA0636" w:rsidRDefault="00EA0636" w:rsidP="00EA0636">
      <w:pPr>
        <w:pStyle w:val="AppendixChartCaption"/>
      </w:pPr>
      <w:bookmarkStart w:id="436" w:name="_Toc151723899"/>
      <w:bookmarkStart w:id="437" w:name="_Toc158997947"/>
      <w:bookmarkStart w:id="438" w:name="_Toc167130566"/>
      <w:r>
        <w:t>: Service size comparison between sample and population</w:t>
      </w:r>
      <w:bookmarkEnd w:id="436"/>
      <w:bookmarkEnd w:id="437"/>
      <w:bookmarkEnd w:id="438"/>
    </w:p>
    <w:p w14:paraId="531261F7" w14:textId="7088E32C" w:rsidR="00EA0636" w:rsidRDefault="00D330C4" w:rsidP="00EA0636">
      <w:pPr>
        <w:jc w:val="center"/>
      </w:pPr>
      <w:r w:rsidRPr="00D330C4">
        <w:rPr>
          <w:noProof/>
        </w:rPr>
        <w:drawing>
          <wp:inline distT="0" distB="0" distL="0" distR="0" wp14:anchorId="4A186AAA" wp14:editId="5D013E43">
            <wp:extent cx="4326255" cy="2838450"/>
            <wp:effectExtent l="0" t="0" r="0" b="0"/>
            <wp:docPr id="838388553" name="Picture 838388553" descr="Bar chart comparing the breakdown of service size within the sample of CCCFR services, compared to the broader CCCFR service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53" name="Picture 838388553" descr="Bar chart comparing the breakdown of service size within the sample of CCCFR services, compared to the broader CCCFR service cohort."/>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26255" cy="2838450"/>
                    </a:xfrm>
                    <a:prstGeom prst="rect">
                      <a:avLst/>
                    </a:prstGeom>
                    <a:noFill/>
                    <a:ln>
                      <a:noFill/>
                    </a:ln>
                  </pic:spPr>
                </pic:pic>
              </a:graphicData>
            </a:graphic>
          </wp:inline>
        </w:drawing>
      </w:r>
    </w:p>
    <w:p w14:paraId="034517BA" w14:textId="77777777" w:rsidR="00EA0636" w:rsidRPr="00483071" w:rsidRDefault="00EA0636" w:rsidP="00EA0636">
      <w:pPr>
        <w:spacing w:after="0"/>
        <w:rPr>
          <w:iCs/>
          <w:color w:val="57595C" w:themeColor="accent6" w:themeShade="BF"/>
          <w:sz w:val="14"/>
        </w:rPr>
      </w:pPr>
      <w:r w:rsidRPr="00483071">
        <w:rPr>
          <w:iCs/>
          <w:color w:val="57595C" w:themeColor="accent6" w:themeShade="BF"/>
          <w:sz w:val="14"/>
        </w:rPr>
        <w:t xml:space="preserve">Source: Deloitte Access Economics analysis </w:t>
      </w:r>
    </w:p>
    <w:p w14:paraId="0CABE9A1" w14:textId="77777777" w:rsidR="00EA0636" w:rsidRPr="00FA0BAC" w:rsidRDefault="00EA0636" w:rsidP="00EA0636">
      <w:pPr>
        <w:spacing w:after="0"/>
        <w:rPr>
          <w:color w:val="767171" w:themeColor="background2" w:themeShade="80"/>
          <w:sz w:val="16"/>
          <w:szCs w:val="16"/>
        </w:rPr>
      </w:pPr>
    </w:p>
    <w:p w14:paraId="3A2E7BAA" w14:textId="77777777" w:rsidR="00EA0636" w:rsidRDefault="00EA0636" w:rsidP="00EA0636">
      <w:pPr>
        <w:pStyle w:val="AppendixChartCaption"/>
      </w:pPr>
      <w:bookmarkStart w:id="439" w:name="_Toc151723900"/>
      <w:bookmarkStart w:id="440" w:name="_Toc158997948"/>
      <w:bookmarkStart w:id="441" w:name="_Toc167130567"/>
      <w:r>
        <w:lastRenderedPageBreak/>
        <w:t>: Service remoteness comparison between sample and population</w:t>
      </w:r>
      <w:bookmarkEnd w:id="439"/>
      <w:bookmarkEnd w:id="440"/>
      <w:bookmarkEnd w:id="441"/>
    </w:p>
    <w:p w14:paraId="244AFFBE" w14:textId="77777777" w:rsidR="00EA0636" w:rsidRDefault="00EA0636" w:rsidP="00EA0636">
      <w:pPr>
        <w:jc w:val="center"/>
      </w:pPr>
      <w:r>
        <w:rPr>
          <w:noProof/>
        </w:rPr>
        <w:drawing>
          <wp:inline distT="0" distB="0" distL="0" distR="0" wp14:anchorId="657389A8" wp14:editId="5DE09930">
            <wp:extent cx="4320540" cy="2880360"/>
            <wp:effectExtent l="0" t="0" r="3810" b="0"/>
            <wp:docPr id="838388545" name="Picture 838388545" descr="Bar chart comparing breakdown of service remoteness within the sample of CCCFR services, compared to the broader CCCFR service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45" name="Picture 838388545" descr="Bar chart comparing breakdown of service remoteness within the sample of CCCFR services, compared to the broader CCCFR service cohort."/>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320540" cy="2880360"/>
                    </a:xfrm>
                    <a:prstGeom prst="rect">
                      <a:avLst/>
                    </a:prstGeom>
                    <a:noFill/>
                  </pic:spPr>
                </pic:pic>
              </a:graphicData>
            </a:graphic>
          </wp:inline>
        </w:drawing>
      </w:r>
    </w:p>
    <w:p w14:paraId="1C559002" w14:textId="77777777" w:rsidR="00D330C4" w:rsidRDefault="00D330C4" w:rsidP="00EA0636">
      <w:pPr>
        <w:jc w:val="center"/>
      </w:pPr>
    </w:p>
    <w:p w14:paraId="6C41E227" w14:textId="77777777" w:rsidR="00EA0636" w:rsidRPr="00FA0BAC" w:rsidRDefault="00EA0636" w:rsidP="00EA0636">
      <w:pPr>
        <w:spacing w:after="0"/>
        <w:rPr>
          <w:color w:val="767171" w:themeColor="background2" w:themeShade="80"/>
          <w:sz w:val="16"/>
          <w:szCs w:val="16"/>
        </w:rPr>
      </w:pPr>
      <w:r w:rsidRPr="00483071">
        <w:rPr>
          <w:iCs/>
          <w:color w:val="57595C" w:themeColor="accent6" w:themeShade="BF"/>
          <w:sz w:val="14"/>
        </w:rPr>
        <w:t xml:space="preserve">Source: Deloitte Access Economics analysis </w:t>
      </w:r>
    </w:p>
    <w:p w14:paraId="368DF2F8" w14:textId="77777777" w:rsidR="00EA0636" w:rsidRPr="0079001B" w:rsidRDefault="00EA0636" w:rsidP="00EA0636"/>
    <w:p w14:paraId="7EAEF738" w14:textId="77777777" w:rsidR="00EA0636" w:rsidRPr="00E009DF" w:rsidRDefault="00EA0636" w:rsidP="00EA0636">
      <w:pPr>
        <w:pStyle w:val="AppendixChartCaption"/>
      </w:pPr>
      <w:bookmarkStart w:id="442" w:name="_Toc151723901"/>
      <w:bookmarkStart w:id="443" w:name="_Toc158997949"/>
      <w:bookmarkStart w:id="444" w:name="_Toc167130568"/>
      <w:r>
        <w:t>: Regulation status comparison between sample and population</w:t>
      </w:r>
      <w:bookmarkEnd w:id="442"/>
      <w:bookmarkEnd w:id="443"/>
      <w:bookmarkEnd w:id="444"/>
    </w:p>
    <w:p w14:paraId="194F2B76" w14:textId="21151808" w:rsidR="00EA0636" w:rsidRDefault="00EA0636" w:rsidP="00EA0636">
      <w:pPr>
        <w:jc w:val="center"/>
      </w:pPr>
    </w:p>
    <w:p w14:paraId="687882BF" w14:textId="0AA363CB" w:rsidR="003A579E" w:rsidRDefault="003A579E" w:rsidP="00EA0636">
      <w:pPr>
        <w:jc w:val="center"/>
      </w:pPr>
      <w:r w:rsidRPr="003A579E">
        <w:rPr>
          <w:noProof/>
        </w:rPr>
        <w:drawing>
          <wp:inline distT="0" distB="0" distL="0" distR="0" wp14:anchorId="7317A3C2" wp14:editId="4E23C9C6">
            <wp:extent cx="4326255" cy="2838450"/>
            <wp:effectExtent l="0" t="0" r="0" b="0"/>
            <wp:docPr id="838388558" name="Picture 838388558" descr="Bar chart comparing the regulatory status of services within the sample of CCCFR services, compared to the broader CCCFR service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58" name="Picture 838388558" descr="Bar chart comparing the regulatory status of services within the sample of CCCFR services, compared to the broader CCCFR service cohort."/>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326255" cy="2838450"/>
                    </a:xfrm>
                    <a:prstGeom prst="rect">
                      <a:avLst/>
                    </a:prstGeom>
                    <a:noFill/>
                    <a:ln>
                      <a:noFill/>
                    </a:ln>
                  </pic:spPr>
                </pic:pic>
              </a:graphicData>
            </a:graphic>
          </wp:inline>
        </w:drawing>
      </w:r>
    </w:p>
    <w:p w14:paraId="0D431B1F" w14:textId="77777777" w:rsidR="00EA0636" w:rsidRPr="00483071" w:rsidRDefault="00EA0636" w:rsidP="00EA0636">
      <w:pPr>
        <w:spacing w:after="0"/>
        <w:rPr>
          <w:iCs/>
          <w:color w:val="57595C" w:themeColor="accent6" w:themeShade="BF"/>
          <w:sz w:val="14"/>
        </w:rPr>
      </w:pPr>
      <w:r w:rsidRPr="00483071">
        <w:rPr>
          <w:iCs/>
          <w:color w:val="57595C" w:themeColor="accent6" w:themeShade="BF"/>
          <w:sz w:val="14"/>
        </w:rPr>
        <w:t xml:space="preserve">Source: Deloitte Access Economics analysis </w:t>
      </w:r>
    </w:p>
    <w:p w14:paraId="62743227" w14:textId="77777777" w:rsidR="00EA0636" w:rsidRPr="00FA0BAC" w:rsidRDefault="00EA0636" w:rsidP="00EA0636">
      <w:pPr>
        <w:spacing w:after="0"/>
        <w:rPr>
          <w:color w:val="767171" w:themeColor="background2" w:themeShade="80"/>
          <w:sz w:val="16"/>
          <w:szCs w:val="16"/>
        </w:rPr>
      </w:pPr>
    </w:p>
    <w:p w14:paraId="1EB4DD5C" w14:textId="77777777" w:rsidR="00EA0636" w:rsidRDefault="00EA0636" w:rsidP="00EA0636">
      <w:pPr>
        <w:pStyle w:val="AppendixChartCaption"/>
      </w:pPr>
      <w:bookmarkStart w:id="445" w:name="_Toc151723902"/>
      <w:bookmarkStart w:id="446" w:name="_Toc158997950"/>
      <w:bookmarkStart w:id="447" w:name="_Toc167130569"/>
      <w:r>
        <w:lastRenderedPageBreak/>
        <w:t>: Proportion of Aboriginal and Torres Strait Islander children comparison between sample and population</w:t>
      </w:r>
      <w:bookmarkEnd w:id="445"/>
      <w:bookmarkEnd w:id="446"/>
      <w:bookmarkEnd w:id="447"/>
    </w:p>
    <w:p w14:paraId="1B9CC813" w14:textId="6A4F53B5" w:rsidR="00EA0636" w:rsidRDefault="00930B07" w:rsidP="000D2EF2">
      <w:r w:rsidRPr="00930B07">
        <w:rPr>
          <w:noProof/>
        </w:rPr>
        <w:drawing>
          <wp:inline distT="0" distB="0" distL="0" distR="0" wp14:anchorId="5BCE4C26" wp14:editId="2D2C595E">
            <wp:extent cx="3905250" cy="2978150"/>
            <wp:effectExtent l="0" t="0" r="0" b="0"/>
            <wp:docPr id="44" name="Picture 44" descr="Bar chart that shows the proportion of Aboriginal and/or Torres Strait Islander children enrolled in CCCFR services, in the consultation sample and the full population of CCCF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Bar chart that shows the proportion of Aboriginal and/or Torres Strait Islander children enrolled in CCCFR services, in the consultation sample and the full population of CCCFR services"/>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905250" cy="2978150"/>
                    </a:xfrm>
                    <a:prstGeom prst="rect">
                      <a:avLst/>
                    </a:prstGeom>
                    <a:noFill/>
                    <a:ln>
                      <a:noFill/>
                    </a:ln>
                  </pic:spPr>
                </pic:pic>
              </a:graphicData>
            </a:graphic>
          </wp:inline>
        </w:drawing>
      </w:r>
    </w:p>
    <w:p w14:paraId="37A797C7" w14:textId="30E0796E" w:rsidR="005E4D89" w:rsidRDefault="005E4D89" w:rsidP="00EA0636">
      <w:pPr>
        <w:jc w:val="center"/>
      </w:pPr>
    </w:p>
    <w:p w14:paraId="68B43679" w14:textId="0BFAE6B5" w:rsidR="00EA0636" w:rsidRPr="00483071" w:rsidRDefault="00EA0636" w:rsidP="00EA0636">
      <w:pPr>
        <w:spacing w:after="0"/>
        <w:rPr>
          <w:iCs/>
          <w:color w:val="57595C" w:themeColor="accent6" w:themeShade="BF"/>
          <w:sz w:val="14"/>
        </w:rPr>
      </w:pPr>
      <w:r w:rsidRPr="00483071">
        <w:rPr>
          <w:iCs/>
          <w:color w:val="57595C" w:themeColor="accent6" w:themeShade="BF"/>
          <w:sz w:val="14"/>
        </w:rPr>
        <w:t>Source: Deloitte Access Economics analysis</w:t>
      </w:r>
      <w:r w:rsidR="002102EE" w:rsidRPr="00483071">
        <w:rPr>
          <w:rStyle w:val="FootnoteReference"/>
          <w:iCs/>
          <w:color w:val="57595C" w:themeColor="accent6" w:themeShade="BF"/>
          <w:sz w:val="14"/>
        </w:rPr>
        <w:footnoteReference w:id="246"/>
      </w:r>
    </w:p>
    <w:p w14:paraId="649ABB49" w14:textId="77777777" w:rsidR="00EA0636" w:rsidRDefault="00EA0636" w:rsidP="00EA0636"/>
    <w:p w14:paraId="1F0FDEFA" w14:textId="35DA7F92" w:rsidR="00EA0636" w:rsidRDefault="00EA0636" w:rsidP="00EA0636">
      <w:pPr>
        <w:pStyle w:val="AppendixChartCaption"/>
      </w:pPr>
      <w:bookmarkStart w:id="448" w:name="_Toc151723903"/>
      <w:bookmarkStart w:id="449" w:name="_Toc158997951"/>
      <w:bookmarkStart w:id="450" w:name="_Toc167130570"/>
      <w:r>
        <w:t>: Service type comparison between sample and population</w:t>
      </w:r>
      <w:bookmarkEnd w:id="448"/>
      <w:bookmarkEnd w:id="449"/>
      <w:bookmarkEnd w:id="450"/>
    </w:p>
    <w:p w14:paraId="3EE9CF2C" w14:textId="568470D7" w:rsidR="00EA0636" w:rsidRPr="007F75EB" w:rsidRDefault="00B11A67" w:rsidP="00EA0636">
      <w:pPr>
        <w:rPr>
          <w:lang w:eastAsia="en-AU"/>
        </w:rPr>
      </w:pPr>
      <w:r w:rsidRPr="00B11A67">
        <w:rPr>
          <w:noProof/>
        </w:rPr>
        <w:drawing>
          <wp:inline distT="0" distB="0" distL="0" distR="0" wp14:anchorId="04A5ADED" wp14:editId="2A6AAA8A">
            <wp:extent cx="4591050" cy="2749550"/>
            <wp:effectExtent l="0" t="0" r="0" b="0"/>
            <wp:docPr id="48" name="Picture 48" descr="Horizontal bar chart that shows the number of services in the consultation sample and the full population of CCCFR services that are OSHC or centre based day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orizontal bar chart that shows the number of services in the consultation sample and the full population of CCCFR services that are OSHC or centre based day car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591050" cy="2749550"/>
                    </a:xfrm>
                    <a:prstGeom prst="rect">
                      <a:avLst/>
                    </a:prstGeom>
                    <a:noFill/>
                    <a:ln>
                      <a:noFill/>
                    </a:ln>
                  </pic:spPr>
                </pic:pic>
              </a:graphicData>
            </a:graphic>
          </wp:inline>
        </w:drawing>
      </w:r>
    </w:p>
    <w:p w14:paraId="2ABDA739" w14:textId="77777777" w:rsidR="00EA0636" w:rsidRPr="00483071" w:rsidRDefault="00EA0636" w:rsidP="00EA0636">
      <w:pPr>
        <w:rPr>
          <w:iCs/>
          <w:color w:val="57595C" w:themeColor="accent6" w:themeShade="BF"/>
          <w:sz w:val="14"/>
        </w:rPr>
      </w:pPr>
      <w:r w:rsidRPr="00483071">
        <w:rPr>
          <w:iCs/>
          <w:color w:val="57595C" w:themeColor="accent6" w:themeShade="BF"/>
          <w:sz w:val="14"/>
        </w:rPr>
        <w:t xml:space="preserve">Source: Deloitte Access Economics analysis </w:t>
      </w:r>
    </w:p>
    <w:p w14:paraId="48C5002F" w14:textId="77777777" w:rsidR="00EA0636" w:rsidRPr="00FA0BAC" w:rsidRDefault="00EA0636" w:rsidP="00EA0636">
      <w:pPr>
        <w:spacing w:after="0"/>
        <w:rPr>
          <w:color w:val="767171" w:themeColor="background2" w:themeShade="80"/>
          <w:sz w:val="16"/>
          <w:szCs w:val="16"/>
        </w:rPr>
      </w:pPr>
      <w:r w:rsidRPr="007C51EF">
        <w:rPr>
          <w:color w:val="767171" w:themeColor="background2" w:themeShade="80"/>
          <w:sz w:val="16"/>
          <w:szCs w:val="16"/>
        </w:rPr>
        <w:t xml:space="preserve">Note: </w:t>
      </w:r>
      <w:r>
        <w:rPr>
          <w:color w:val="767171" w:themeColor="background2" w:themeShade="80"/>
          <w:sz w:val="16"/>
          <w:szCs w:val="16"/>
        </w:rPr>
        <w:t xml:space="preserve">Services </w:t>
      </w:r>
      <w:r w:rsidRPr="007C51EF">
        <w:rPr>
          <w:color w:val="767171" w:themeColor="background2" w:themeShade="80"/>
          <w:sz w:val="16"/>
          <w:szCs w:val="16"/>
        </w:rPr>
        <w:t xml:space="preserve">funded </w:t>
      </w:r>
      <w:r>
        <w:rPr>
          <w:color w:val="767171" w:themeColor="background2" w:themeShade="80"/>
          <w:sz w:val="16"/>
          <w:szCs w:val="16"/>
        </w:rPr>
        <w:t>through</w:t>
      </w:r>
      <w:r w:rsidRPr="007C51EF">
        <w:rPr>
          <w:color w:val="767171" w:themeColor="background2" w:themeShade="80"/>
          <w:sz w:val="16"/>
          <w:szCs w:val="16"/>
        </w:rPr>
        <w:t xml:space="preserve"> the CCCFR grant are </w:t>
      </w:r>
      <w:r>
        <w:rPr>
          <w:color w:val="767171" w:themeColor="background2" w:themeShade="80"/>
          <w:sz w:val="16"/>
          <w:szCs w:val="16"/>
        </w:rPr>
        <w:t>generally c</w:t>
      </w:r>
      <w:r w:rsidRPr="007C51EF">
        <w:rPr>
          <w:color w:val="767171" w:themeColor="background2" w:themeShade="80"/>
          <w:sz w:val="16"/>
          <w:szCs w:val="16"/>
        </w:rPr>
        <w:t>entre-based day care (CBDC), outside school hours care (OSHC)</w:t>
      </w:r>
      <w:r>
        <w:rPr>
          <w:color w:val="767171" w:themeColor="background2" w:themeShade="80"/>
          <w:sz w:val="16"/>
          <w:szCs w:val="16"/>
        </w:rPr>
        <w:t xml:space="preserve">, </w:t>
      </w:r>
      <w:r w:rsidRPr="007C51EF">
        <w:rPr>
          <w:color w:val="767171" w:themeColor="background2" w:themeShade="80"/>
          <w:sz w:val="16"/>
          <w:szCs w:val="16"/>
        </w:rPr>
        <w:t xml:space="preserve">vacation care or mobile </w:t>
      </w:r>
      <w:r>
        <w:rPr>
          <w:color w:val="767171" w:themeColor="background2" w:themeShade="80"/>
          <w:sz w:val="16"/>
          <w:szCs w:val="16"/>
        </w:rPr>
        <w:t>ECEC</w:t>
      </w:r>
      <w:r w:rsidRPr="007C51EF">
        <w:rPr>
          <w:color w:val="767171" w:themeColor="background2" w:themeShade="80"/>
          <w:sz w:val="16"/>
          <w:szCs w:val="16"/>
        </w:rPr>
        <w:t xml:space="preserve"> services.</w:t>
      </w:r>
      <w:r>
        <w:rPr>
          <w:color w:val="767171" w:themeColor="background2" w:themeShade="80"/>
          <w:sz w:val="16"/>
          <w:szCs w:val="16"/>
        </w:rPr>
        <w:t xml:space="preserve"> Additional service types outlined above are captured from survey responses and will be further analysed to determine the most appropriate service and/or </w:t>
      </w:r>
      <w:r>
        <w:rPr>
          <w:color w:val="767171" w:themeColor="background2" w:themeShade="80"/>
          <w:sz w:val="16"/>
          <w:szCs w:val="16"/>
        </w:rPr>
        <w:lastRenderedPageBreak/>
        <w:t>primary care type.</w:t>
      </w:r>
      <w:r w:rsidRPr="007C51EF">
        <w:rPr>
          <w:color w:val="767171" w:themeColor="background2" w:themeShade="80"/>
          <w:sz w:val="16"/>
          <w:szCs w:val="16"/>
        </w:rPr>
        <w:br/>
      </w:r>
    </w:p>
    <w:p w14:paraId="48A4FA0B" w14:textId="2A7293AF" w:rsidR="00EA0636" w:rsidRDefault="00EA0636" w:rsidP="00EA0636">
      <w:pPr>
        <w:pStyle w:val="AppendixChartCaption"/>
      </w:pPr>
      <w:bookmarkStart w:id="451" w:name="_Toc151723904"/>
      <w:bookmarkStart w:id="452" w:name="_Toc158997952"/>
      <w:bookmarkStart w:id="453" w:name="_Toc167130571"/>
      <w:r>
        <w:t>: Previous funding programs comparison between sample and population</w:t>
      </w:r>
      <w:bookmarkEnd w:id="451"/>
      <w:bookmarkEnd w:id="452"/>
      <w:bookmarkEnd w:id="453"/>
    </w:p>
    <w:p w14:paraId="7273AFC4" w14:textId="2D698EDE" w:rsidR="00EA0636" w:rsidRDefault="00EA0636" w:rsidP="00EA0636">
      <w:pPr>
        <w:jc w:val="center"/>
      </w:pPr>
    </w:p>
    <w:p w14:paraId="01022D03" w14:textId="35BD98EA" w:rsidR="00545098" w:rsidRDefault="00545098" w:rsidP="00EA0636">
      <w:pPr>
        <w:jc w:val="center"/>
      </w:pPr>
      <w:r w:rsidRPr="00545098">
        <w:rPr>
          <w:noProof/>
        </w:rPr>
        <w:drawing>
          <wp:inline distT="0" distB="0" distL="0" distR="0" wp14:anchorId="79B478C2" wp14:editId="577A74EC">
            <wp:extent cx="4312920" cy="2838450"/>
            <wp:effectExtent l="0" t="0" r="0" b="0"/>
            <wp:docPr id="838388575" name="Picture 838388575" descr="Bar chart comparing the former funding program (for relevant services) within the sample of CCCFR services, compared to the broader CCCFR service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75" name="Picture 838388575" descr="Bar chart comparing the former funding program (for relevant services) within the sample of CCCFR services, compared to the broader CCCFR service cohor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312920" cy="2838450"/>
                    </a:xfrm>
                    <a:prstGeom prst="rect">
                      <a:avLst/>
                    </a:prstGeom>
                    <a:noFill/>
                    <a:ln>
                      <a:noFill/>
                    </a:ln>
                  </pic:spPr>
                </pic:pic>
              </a:graphicData>
            </a:graphic>
          </wp:inline>
        </w:drawing>
      </w:r>
    </w:p>
    <w:p w14:paraId="5B2ADD6D" w14:textId="77777777" w:rsidR="00EA0636" w:rsidRPr="00483071" w:rsidRDefault="00EA0636" w:rsidP="00EA0636">
      <w:pPr>
        <w:spacing w:after="0"/>
        <w:rPr>
          <w:iCs/>
          <w:color w:val="57595C" w:themeColor="accent6" w:themeShade="BF"/>
          <w:sz w:val="14"/>
        </w:rPr>
      </w:pPr>
      <w:r w:rsidRPr="00483071">
        <w:rPr>
          <w:iCs/>
          <w:color w:val="57595C" w:themeColor="accent6" w:themeShade="BF"/>
          <w:sz w:val="14"/>
        </w:rPr>
        <w:t xml:space="preserve">Source: Deloitte Access Economics analysis </w:t>
      </w:r>
    </w:p>
    <w:p w14:paraId="075CDAC6" w14:textId="77777777" w:rsidR="00737F52" w:rsidRPr="00483071" w:rsidRDefault="00737F52" w:rsidP="00EA0636">
      <w:pPr>
        <w:spacing w:after="0"/>
        <w:rPr>
          <w:iCs/>
          <w:color w:val="57595C" w:themeColor="accent6" w:themeShade="BF"/>
          <w:sz w:val="14"/>
        </w:rPr>
      </w:pPr>
    </w:p>
    <w:p w14:paraId="661AB703" w14:textId="77777777" w:rsidR="00EA0636" w:rsidRDefault="00EA0636" w:rsidP="00EA0636">
      <w:pPr>
        <w:pStyle w:val="AppendixChartCaption"/>
      </w:pPr>
      <w:bookmarkStart w:id="454" w:name="_Toc151723905"/>
      <w:bookmarkStart w:id="455" w:name="_Toc158997953"/>
      <w:bookmarkStart w:id="456" w:name="_Toc167130572"/>
      <w:r>
        <w:t>: Average CCS funding amount comparison between sample and population</w:t>
      </w:r>
      <w:bookmarkEnd w:id="454"/>
      <w:bookmarkEnd w:id="455"/>
      <w:bookmarkEnd w:id="456"/>
    </w:p>
    <w:p w14:paraId="29EBE8C0" w14:textId="3FF4A967" w:rsidR="00EA0636" w:rsidRDefault="00EA0636" w:rsidP="00EA0636">
      <w:pPr>
        <w:jc w:val="center"/>
      </w:pPr>
    </w:p>
    <w:p w14:paraId="50A7D9EF" w14:textId="03EB014C" w:rsidR="00405EFB" w:rsidRDefault="00405EFB" w:rsidP="00EA0636">
      <w:pPr>
        <w:jc w:val="center"/>
      </w:pPr>
      <w:r w:rsidRPr="00405EFB">
        <w:rPr>
          <w:noProof/>
        </w:rPr>
        <w:drawing>
          <wp:inline distT="0" distB="0" distL="0" distR="0" wp14:anchorId="24BEE334" wp14:editId="1F7ED0E0">
            <wp:extent cx="4326255" cy="2859405"/>
            <wp:effectExtent l="0" t="0" r="0" b="0"/>
            <wp:docPr id="838388577" name="Picture 838388577" descr="Bar chart comparing the average CCS revenue amount within the sample of CCCFR services, compared to the broader CCCFR service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77" name="Picture 838388577" descr="Bar chart comparing the average CCS revenue amount within the sample of CCCFR services, compared to the broader CCCFR service cohort."/>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326255" cy="2859405"/>
                    </a:xfrm>
                    <a:prstGeom prst="rect">
                      <a:avLst/>
                    </a:prstGeom>
                    <a:noFill/>
                    <a:ln>
                      <a:noFill/>
                    </a:ln>
                  </pic:spPr>
                </pic:pic>
              </a:graphicData>
            </a:graphic>
          </wp:inline>
        </w:drawing>
      </w:r>
    </w:p>
    <w:p w14:paraId="5A4CCE7D" w14:textId="77777777" w:rsidR="00EA0636" w:rsidRPr="00831F73" w:rsidRDefault="00EA0636" w:rsidP="00EA0636">
      <w:pPr>
        <w:spacing w:after="0"/>
        <w:rPr>
          <w:iCs/>
          <w:color w:val="57595C" w:themeColor="accent6" w:themeShade="BF"/>
          <w:sz w:val="14"/>
        </w:rPr>
      </w:pPr>
      <w:r w:rsidRPr="00831F73">
        <w:rPr>
          <w:iCs/>
          <w:color w:val="57595C" w:themeColor="accent6" w:themeShade="BF"/>
          <w:sz w:val="14"/>
        </w:rPr>
        <w:t xml:space="preserve">Source: Deloitte Access Economics analysis </w:t>
      </w:r>
    </w:p>
    <w:p w14:paraId="4F9A68DA" w14:textId="77777777" w:rsidR="00EA0636" w:rsidRPr="00816405" w:rsidRDefault="00EA0636" w:rsidP="00EA0636"/>
    <w:p w14:paraId="71B54C0F" w14:textId="77777777" w:rsidR="00EA0636" w:rsidRDefault="00EA0636" w:rsidP="00EA0636">
      <w:pPr>
        <w:pStyle w:val="AppendixChartCaption"/>
      </w:pPr>
      <w:bookmarkStart w:id="457" w:name="_Toc151723906"/>
      <w:bookmarkStart w:id="458" w:name="_Toc158997954"/>
      <w:bookmarkStart w:id="459" w:name="_Toc167130573"/>
      <w:r>
        <w:t>: Average CCCFR funding amount comparison between sample and population</w:t>
      </w:r>
      <w:bookmarkEnd w:id="457"/>
      <w:bookmarkEnd w:id="458"/>
      <w:bookmarkEnd w:id="459"/>
    </w:p>
    <w:p w14:paraId="5333C59F" w14:textId="62BDD6FE" w:rsidR="00EA0636" w:rsidRPr="00816405" w:rsidRDefault="00EA0636" w:rsidP="00EA0636">
      <w:pPr>
        <w:jc w:val="center"/>
      </w:pPr>
    </w:p>
    <w:p w14:paraId="385819C3" w14:textId="0C7AEFD9" w:rsidR="00BE35EF" w:rsidRPr="00816405" w:rsidRDefault="00BE35EF" w:rsidP="00EA0636">
      <w:pPr>
        <w:jc w:val="center"/>
      </w:pPr>
      <w:r w:rsidRPr="00BE35EF">
        <w:rPr>
          <w:noProof/>
        </w:rPr>
        <w:lastRenderedPageBreak/>
        <w:drawing>
          <wp:inline distT="0" distB="0" distL="0" distR="0" wp14:anchorId="2252E442" wp14:editId="13BFCDA3">
            <wp:extent cx="4326255" cy="2838450"/>
            <wp:effectExtent l="0" t="0" r="0" b="0"/>
            <wp:docPr id="838388578" name="Picture 838388578" descr="Bar chart comparing the average revenue received through CCCFR grant funding by services within the sample, compared to the broader CCCFR service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88578" name="Picture 838388578" descr="Bar chart comparing the average revenue received through CCCFR grant funding by services within the sample, compared to the broader CCCFR service cohort."/>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26255" cy="2838450"/>
                    </a:xfrm>
                    <a:prstGeom prst="rect">
                      <a:avLst/>
                    </a:prstGeom>
                    <a:noFill/>
                    <a:ln>
                      <a:noFill/>
                    </a:ln>
                  </pic:spPr>
                </pic:pic>
              </a:graphicData>
            </a:graphic>
          </wp:inline>
        </w:drawing>
      </w:r>
    </w:p>
    <w:p w14:paraId="04314D71" w14:textId="77777777" w:rsidR="00EA0636" w:rsidRPr="00FA0BAC" w:rsidRDefault="00EA0636" w:rsidP="00EA0636">
      <w:pPr>
        <w:spacing w:after="0"/>
        <w:rPr>
          <w:color w:val="767171" w:themeColor="background2" w:themeShade="80"/>
          <w:sz w:val="16"/>
          <w:szCs w:val="16"/>
        </w:rPr>
      </w:pPr>
      <w:r w:rsidRPr="00C76B1B">
        <w:rPr>
          <w:iCs/>
          <w:color w:val="57595C" w:themeColor="accent6" w:themeShade="BF"/>
          <w:sz w:val="14"/>
        </w:rPr>
        <w:t>Source: Deloitte Access Economics analysis</w:t>
      </w:r>
    </w:p>
    <w:p w14:paraId="72749202" w14:textId="77777777" w:rsidR="00EA0636" w:rsidRDefault="00EA0636" w:rsidP="00EA0636"/>
    <w:p w14:paraId="1E17679A" w14:textId="77777777" w:rsidR="006D6BA7" w:rsidRPr="006D6BA7" w:rsidRDefault="006D6BA7" w:rsidP="006D6BA7"/>
    <w:p w14:paraId="10436C8D" w14:textId="1A2A37AB" w:rsidR="00D9233F" w:rsidRDefault="001905F1" w:rsidP="00AB1114">
      <w:pPr>
        <w:pStyle w:val="Appendixhead1"/>
      </w:pPr>
      <w:bookmarkStart w:id="460" w:name="_Ref153450633"/>
      <w:bookmarkStart w:id="461" w:name="_Toc158993790"/>
      <w:bookmarkStart w:id="462" w:name="_Toc170227440"/>
      <w:bookmarkStart w:id="463" w:name="_Ref152834269"/>
      <w:bookmarkStart w:id="464" w:name="_Ref152834467"/>
      <w:r>
        <w:lastRenderedPageBreak/>
        <w:t xml:space="preserve">Summary of approach to multi-criteria </w:t>
      </w:r>
      <w:r w:rsidR="000D62F7" w:rsidDel="001905F1">
        <w:t>analysis</w:t>
      </w:r>
      <w:bookmarkEnd w:id="460"/>
      <w:bookmarkEnd w:id="461"/>
      <w:bookmarkEnd w:id="462"/>
    </w:p>
    <w:p w14:paraId="7041DCA8" w14:textId="77777777" w:rsidR="001905F1" w:rsidRPr="001905F1" w:rsidRDefault="001905F1" w:rsidP="001905F1">
      <w:pPr>
        <w:rPr>
          <w:rFonts w:eastAsia="Verdana" w:cs="Times New Roman"/>
        </w:rPr>
      </w:pPr>
      <w:r w:rsidRPr="001905F1">
        <w:rPr>
          <w:rFonts w:eastAsia="Verdana" w:cs="Times New Roman"/>
        </w:rPr>
        <w:t>In undertaking an assessment of CCCFR services’ overall compliance with obligations under the Minister’s Rules, the review team analysed relevant documentation from Compliance and Operations Reports materials (e.g., service documentation) to determine whether legislative obligations have been met at point of submission to the Department.</w:t>
      </w:r>
    </w:p>
    <w:p w14:paraId="29BB1BDC" w14:textId="77777777" w:rsidR="001905F1" w:rsidRPr="001905F1" w:rsidRDefault="001905F1" w:rsidP="008A6066">
      <w:pPr>
        <w:pStyle w:val="Appendixhead2"/>
        <w:rPr>
          <w:rFonts w:eastAsia="MingLiU"/>
        </w:rPr>
      </w:pPr>
      <w:r w:rsidRPr="001905F1">
        <w:rPr>
          <w:rFonts w:eastAsia="MingLiU"/>
        </w:rPr>
        <w:t>Types of evidence</w:t>
      </w:r>
    </w:p>
    <w:p w14:paraId="0A288019" w14:textId="77777777" w:rsidR="001905F1" w:rsidRPr="001905F1" w:rsidRDefault="001905F1" w:rsidP="001905F1">
      <w:pPr>
        <w:keepNext/>
        <w:keepLines/>
        <w:spacing w:before="60" w:after="60"/>
        <w:outlineLvl w:val="2"/>
        <w:rPr>
          <w:rFonts w:eastAsia="MingLiU" w:cs="Times New Roman"/>
        </w:rPr>
      </w:pPr>
      <w:r w:rsidRPr="001905F1">
        <w:rPr>
          <w:rFonts w:eastAsia="MingLiU" w:cs="Times New Roman"/>
        </w:rPr>
        <w:t xml:space="preserve">The assessment of an education and care service’s compliance with relevant legislative and regulatory frameworks requires the collection of evidence across different mediums. </w:t>
      </w:r>
    </w:p>
    <w:p w14:paraId="4EC6E2E6" w14:textId="77777777" w:rsidR="001905F1" w:rsidRPr="001905F1" w:rsidRDefault="001905F1" w:rsidP="001905F1">
      <w:pPr>
        <w:keepNext/>
        <w:keepLines/>
        <w:spacing w:before="60" w:after="60"/>
        <w:outlineLvl w:val="2"/>
        <w:rPr>
          <w:rFonts w:eastAsia="MingLiU" w:cs="Times New Roman"/>
        </w:rPr>
      </w:pPr>
      <w:r w:rsidRPr="001905F1">
        <w:rPr>
          <w:rFonts w:eastAsia="MingLiU" w:cs="Times New Roman"/>
        </w:rPr>
        <w:t>As an example, the process of assessment and rating (A&amp;R) undertaken by state and territory regulatory authorities often involves an authorised officer visiting the service and requesting key documentation in line with specific regulations, speaking with staff and children at the service, and importantly, observing educators to assess the educational practice being delivered at the service. This gathering of evidence across different mediums recognises the complex nature of compliance as both the management and governance of policies and processes, as well as their delivery in practice.</w:t>
      </w:r>
    </w:p>
    <w:p w14:paraId="3EFB64A7" w14:textId="141FDE90" w:rsidR="001905F1" w:rsidRPr="001905F1" w:rsidRDefault="001905F1" w:rsidP="001905F1">
      <w:pPr>
        <w:rPr>
          <w:rFonts w:eastAsia="Verdana" w:cs="Times New Roman"/>
        </w:rPr>
      </w:pPr>
      <w:r w:rsidRPr="001905F1">
        <w:rPr>
          <w:rFonts w:eastAsia="Verdana" w:cs="Times New Roman"/>
        </w:rPr>
        <w:t xml:space="preserve">For the purposes of this review, only service response and uploaded documents as part of the 2023 Compliance and Operations Reports have been considered when evaluating service compliance with the Minister’s </w:t>
      </w:r>
      <w:r w:rsidR="0004630E">
        <w:rPr>
          <w:rFonts w:eastAsia="Verdana" w:cs="Times New Roman"/>
        </w:rPr>
        <w:t>R</w:t>
      </w:r>
      <w:r w:rsidRPr="001905F1">
        <w:rPr>
          <w:rFonts w:eastAsia="Verdana" w:cs="Times New Roman"/>
        </w:rPr>
        <w:t>ules.</w:t>
      </w:r>
    </w:p>
    <w:p w14:paraId="4D511F01" w14:textId="2771BAE7" w:rsidR="001905F1" w:rsidRPr="001905F1" w:rsidRDefault="001905F1" w:rsidP="008A6066">
      <w:pPr>
        <w:pStyle w:val="Appendixhead2"/>
        <w:rPr>
          <w:rFonts w:eastAsia="MingLiU"/>
        </w:rPr>
      </w:pPr>
      <w:r w:rsidRPr="001905F1">
        <w:rPr>
          <w:rFonts w:eastAsia="MingLiU"/>
        </w:rPr>
        <w:t xml:space="preserve">Multi-Criteria Analysis (MCA) as </w:t>
      </w:r>
      <w:r>
        <w:t>a</w:t>
      </w:r>
      <w:r w:rsidR="00C02202">
        <w:t xml:space="preserve">n assessment tool </w:t>
      </w:r>
    </w:p>
    <w:p w14:paraId="3C1F3604" w14:textId="358B638A" w:rsidR="001905F1" w:rsidRPr="001905F1" w:rsidRDefault="001905F1" w:rsidP="001905F1">
      <w:pPr>
        <w:tabs>
          <w:tab w:val="left" w:pos="1206"/>
        </w:tabs>
        <w:rPr>
          <w:rFonts w:eastAsia="Verdana" w:cs="Times New Roman"/>
          <w:color w:val="000000"/>
        </w:rPr>
      </w:pPr>
      <w:r w:rsidRPr="001905F1">
        <w:rPr>
          <w:rFonts w:eastAsia="Verdana" w:cs="Times New Roman"/>
          <w:color w:val="000000"/>
        </w:rPr>
        <w:t>To understand the extent to which relevant CCCFR services are compliant with their legislative obligations under the Minister’s Rules, this evaluation has assessed available service documentation and adopted a Multi-Criteria Analysis (MCA) to evaluate each service</w:t>
      </w:r>
      <w:r w:rsidR="0004630E">
        <w:rPr>
          <w:rFonts w:eastAsia="Verdana" w:cs="Times New Roman"/>
          <w:color w:val="000000"/>
        </w:rPr>
        <w:t>’s</w:t>
      </w:r>
      <w:r w:rsidRPr="001905F1">
        <w:rPr>
          <w:rFonts w:eastAsia="Verdana" w:cs="Times New Roman"/>
          <w:color w:val="000000"/>
        </w:rPr>
        <w:t xml:space="preserve"> compliance across key aspects of the Minister’s Rules.</w:t>
      </w:r>
    </w:p>
    <w:p w14:paraId="14680A54" w14:textId="7EE05EDB" w:rsidR="001905F1" w:rsidRDefault="001905F1" w:rsidP="001905F1">
      <w:pPr>
        <w:tabs>
          <w:tab w:val="left" w:pos="1206"/>
        </w:tabs>
        <w:rPr>
          <w:rFonts w:eastAsia="Verdana" w:cs="Times New Roman"/>
          <w:color w:val="000000"/>
        </w:rPr>
      </w:pPr>
      <w:r w:rsidRPr="001905F1">
        <w:rPr>
          <w:rFonts w:eastAsia="Verdana" w:cs="Times New Roman"/>
          <w:color w:val="000000"/>
        </w:rPr>
        <w:t>As a general exercise, an MCA involves the assessment of a particular option or options against a set of pre-determined, relevant criteria, with each criteria assigned a particular weighting in line with its relevance and importance to the context of the subject matter and intent of analysis.</w:t>
      </w:r>
      <w:r w:rsidR="005D3F16">
        <w:rPr>
          <w:rStyle w:val="FootnoteReference"/>
          <w:rFonts w:eastAsia="Verdana" w:cs="Times New Roman"/>
          <w:color w:val="000000"/>
        </w:rPr>
        <w:footnoteReference w:id="247"/>
      </w:r>
    </w:p>
    <w:p w14:paraId="644EECCA" w14:textId="77777777" w:rsidR="00D574F6" w:rsidRDefault="00B40240" w:rsidP="001905F1">
      <w:pPr>
        <w:tabs>
          <w:tab w:val="left" w:pos="1206"/>
        </w:tabs>
        <w:rPr>
          <w:rFonts w:eastAsia="Verdana" w:cs="Times New Roman"/>
          <w:color w:val="000000"/>
        </w:rPr>
      </w:pPr>
      <w:r>
        <w:rPr>
          <w:rFonts w:eastAsia="Verdana" w:cs="Times New Roman"/>
          <w:color w:val="000000"/>
        </w:rPr>
        <w:t>However, it is important to note that MCA as a tool for assessment h</w:t>
      </w:r>
      <w:r w:rsidR="006F0D24">
        <w:rPr>
          <w:rFonts w:eastAsia="Verdana" w:cs="Times New Roman"/>
          <w:color w:val="000000"/>
        </w:rPr>
        <w:t xml:space="preserve">as </w:t>
      </w:r>
      <w:r w:rsidR="005C56E9">
        <w:rPr>
          <w:rFonts w:eastAsia="Verdana" w:cs="Times New Roman"/>
          <w:color w:val="000000"/>
        </w:rPr>
        <w:t>several</w:t>
      </w:r>
      <w:r w:rsidR="006F0D24">
        <w:rPr>
          <w:rFonts w:eastAsia="Verdana" w:cs="Times New Roman"/>
          <w:color w:val="000000"/>
        </w:rPr>
        <w:t xml:space="preserve"> limitations,</w:t>
      </w:r>
      <w:r w:rsidR="005C56E9">
        <w:rPr>
          <w:rFonts w:eastAsia="Verdana" w:cs="Times New Roman"/>
          <w:color w:val="000000"/>
        </w:rPr>
        <w:t xml:space="preserve"> most notably around perceived</w:t>
      </w:r>
      <w:r w:rsidR="006F0D24">
        <w:rPr>
          <w:rFonts w:eastAsia="Verdana" w:cs="Times New Roman"/>
          <w:color w:val="000000"/>
        </w:rPr>
        <w:t xml:space="preserve"> challenges </w:t>
      </w:r>
      <w:r w:rsidR="005C56E9">
        <w:rPr>
          <w:rFonts w:eastAsia="Verdana" w:cs="Times New Roman"/>
          <w:color w:val="000000"/>
        </w:rPr>
        <w:t xml:space="preserve">in </w:t>
      </w:r>
      <w:r w:rsidR="005C7634">
        <w:rPr>
          <w:rFonts w:eastAsia="Verdana" w:cs="Times New Roman"/>
          <w:color w:val="000000"/>
        </w:rPr>
        <w:t>maintaining objectivity</w:t>
      </w:r>
      <w:r w:rsidR="005C56E9">
        <w:rPr>
          <w:rFonts w:eastAsia="Verdana" w:cs="Times New Roman"/>
          <w:color w:val="000000"/>
        </w:rPr>
        <w:t xml:space="preserve"> within </w:t>
      </w:r>
      <w:r w:rsidR="00D574F6">
        <w:rPr>
          <w:rFonts w:eastAsia="Verdana" w:cs="Times New Roman"/>
          <w:color w:val="000000"/>
        </w:rPr>
        <w:t>the analytical process</w:t>
      </w:r>
      <w:r w:rsidR="005C7634">
        <w:rPr>
          <w:rFonts w:eastAsia="Verdana" w:cs="Times New Roman"/>
          <w:color w:val="000000"/>
        </w:rPr>
        <w:t>.</w:t>
      </w:r>
      <w:r w:rsidR="00C00B7E">
        <w:rPr>
          <w:rFonts w:eastAsia="Verdana" w:cs="Times New Roman"/>
          <w:color w:val="000000"/>
        </w:rPr>
        <w:t xml:space="preserve"> This is due to the design of an MCA being guided by </w:t>
      </w:r>
      <w:r w:rsidR="00860561">
        <w:rPr>
          <w:rFonts w:eastAsia="Verdana" w:cs="Times New Roman"/>
          <w:color w:val="000000"/>
        </w:rPr>
        <w:t xml:space="preserve">those undertaking the analysis, </w:t>
      </w:r>
      <w:r w:rsidR="005771C2">
        <w:rPr>
          <w:rFonts w:eastAsia="Verdana" w:cs="Times New Roman"/>
          <w:color w:val="000000"/>
        </w:rPr>
        <w:t xml:space="preserve">as the researcher is assumed to adopt their own subjective </w:t>
      </w:r>
      <w:r w:rsidR="005C56E9">
        <w:rPr>
          <w:rFonts w:eastAsia="Verdana" w:cs="Times New Roman"/>
          <w:color w:val="000000"/>
        </w:rPr>
        <w:t>views around relevant criteria for inclusion and analysis.</w:t>
      </w:r>
      <w:r w:rsidR="00D574F6">
        <w:rPr>
          <w:rStyle w:val="FootnoteReference"/>
          <w:rFonts w:eastAsia="Verdana" w:cs="Times New Roman"/>
          <w:color w:val="000000"/>
        </w:rPr>
        <w:footnoteReference w:id="248"/>
      </w:r>
    </w:p>
    <w:p w14:paraId="13EC35C1" w14:textId="0913100D" w:rsidR="00B40240" w:rsidRPr="001905F1" w:rsidRDefault="00D574F6" w:rsidP="001905F1">
      <w:pPr>
        <w:tabs>
          <w:tab w:val="left" w:pos="1206"/>
        </w:tabs>
        <w:rPr>
          <w:rFonts w:eastAsia="Verdana" w:cs="Times New Roman"/>
          <w:color w:val="000000"/>
        </w:rPr>
      </w:pPr>
      <w:r>
        <w:rPr>
          <w:rFonts w:eastAsia="Verdana" w:cs="Times New Roman"/>
          <w:color w:val="000000"/>
        </w:rPr>
        <w:t xml:space="preserve">Within the context of assessing </w:t>
      </w:r>
      <w:r w:rsidR="00D1606F">
        <w:rPr>
          <w:rFonts w:eastAsia="Verdana" w:cs="Times New Roman"/>
          <w:color w:val="000000"/>
        </w:rPr>
        <w:t xml:space="preserve">CCCFR </w:t>
      </w:r>
      <w:r>
        <w:rPr>
          <w:rFonts w:eastAsia="Verdana" w:cs="Times New Roman"/>
          <w:color w:val="000000"/>
        </w:rPr>
        <w:t>services’ compliance with the Minister’s Rules, th</w:t>
      </w:r>
      <w:r w:rsidR="00D1606F">
        <w:rPr>
          <w:rFonts w:eastAsia="Verdana" w:cs="Times New Roman"/>
          <w:color w:val="000000"/>
        </w:rPr>
        <w:t>ese challenges around subjectivity are present when considering which obligations are included for assessment, the types of documentation and/or responses to analyse and the associated weighting adopted for each theme (e.g.</w:t>
      </w:r>
      <w:r w:rsidR="00BB4109">
        <w:rPr>
          <w:rFonts w:eastAsia="Verdana" w:cs="Times New Roman"/>
          <w:color w:val="000000"/>
        </w:rPr>
        <w:t>,</w:t>
      </w:r>
      <w:r w:rsidR="00D1606F">
        <w:rPr>
          <w:rFonts w:eastAsia="Verdana" w:cs="Times New Roman"/>
          <w:color w:val="000000"/>
        </w:rPr>
        <w:t xml:space="preserve"> </w:t>
      </w:r>
      <w:r w:rsidR="00147AA7">
        <w:rPr>
          <w:rFonts w:eastAsia="Verdana" w:cs="Times New Roman"/>
          <w:color w:val="000000"/>
        </w:rPr>
        <w:t>tailored, individual educational program)</w:t>
      </w:r>
      <w:r w:rsidR="00D1606F">
        <w:rPr>
          <w:rFonts w:eastAsia="Verdana" w:cs="Times New Roman"/>
          <w:color w:val="000000"/>
        </w:rPr>
        <w:t xml:space="preserve"> or individual indicator (i.e.</w:t>
      </w:r>
      <w:r w:rsidR="00BB4109">
        <w:rPr>
          <w:rFonts w:eastAsia="Verdana" w:cs="Times New Roman"/>
          <w:color w:val="000000"/>
        </w:rPr>
        <w:t>,</w:t>
      </w:r>
      <w:r w:rsidR="00D1606F">
        <w:rPr>
          <w:rFonts w:eastAsia="Verdana" w:cs="Times New Roman"/>
          <w:color w:val="000000"/>
        </w:rPr>
        <w:t xml:space="preserve"> </w:t>
      </w:r>
      <w:r w:rsidR="00D1606F">
        <w:rPr>
          <w:rFonts w:eastAsia="Verdana" w:cs="Times New Roman"/>
          <w:color w:val="000000"/>
        </w:rPr>
        <w:lastRenderedPageBreak/>
        <w:t xml:space="preserve">document/response). </w:t>
      </w:r>
      <w:r w:rsidR="00147AA7">
        <w:rPr>
          <w:rFonts w:eastAsia="Verdana" w:cs="Times New Roman"/>
          <w:color w:val="000000"/>
        </w:rPr>
        <w:t xml:space="preserve">In considering these challenges, </w:t>
      </w:r>
      <w:r w:rsidR="00B93F18">
        <w:rPr>
          <w:rFonts w:eastAsia="Verdana" w:cs="Times New Roman"/>
          <w:color w:val="000000"/>
        </w:rPr>
        <w:t xml:space="preserve">the use of </w:t>
      </w:r>
      <w:r w:rsidR="00147AA7">
        <w:rPr>
          <w:rFonts w:eastAsia="Verdana" w:cs="Times New Roman"/>
          <w:color w:val="000000"/>
        </w:rPr>
        <w:t>multi-criteria analysis</w:t>
      </w:r>
      <w:r w:rsidR="00B93F18">
        <w:rPr>
          <w:rFonts w:eastAsia="Verdana" w:cs="Times New Roman"/>
          <w:color w:val="000000"/>
        </w:rPr>
        <w:t xml:space="preserve"> within this report should be seen as a useful tool to understand broa</w:t>
      </w:r>
      <w:r w:rsidR="0093015C">
        <w:rPr>
          <w:rFonts w:eastAsia="Verdana" w:cs="Times New Roman"/>
          <w:color w:val="000000"/>
        </w:rPr>
        <w:t xml:space="preserve">d capability or capacity challenges facing CCCFR services as a whole, and may not be suitable as a </w:t>
      </w:r>
      <w:r w:rsidR="006728EA">
        <w:rPr>
          <w:rFonts w:eastAsia="Verdana" w:cs="Times New Roman"/>
          <w:color w:val="000000"/>
        </w:rPr>
        <w:t xml:space="preserve">definitive, </w:t>
      </w:r>
      <w:r w:rsidR="0093015C">
        <w:rPr>
          <w:rFonts w:eastAsia="Verdana" w:cs="Times New Roman"/>
          <w:color w:val="000000"/>
        </w:rPr>
        <w:t>decision-making tool in relation to an individual service (at least</w:t>
      </w:r>
      <w:r w:rsidR="006728EA">
        <w:rPr>
          <w:rFonts w:eastAsia="Verdana" w:cs="Times New Roman"/>
          <w:color w:val="000000"/>
        </w:rPr>
        <w:t>,</w:t>
      </w:r>
      <w:r w:rsidR="0093015C">
        <w:rPr>
          <w:rFonts w:eastAsia="Verdana" w:cs="Times New Roman"/>
          <w:color w:val="000000"/>
        </w:rPr>
        <w:t xml:space="preserve"> without undertaking further engagement</w:t>
      </w:r>
      <w:r w:rsidR="006728EA">
        <w:rPr>
          <w:rFonts w:eastAsia="Verdana" w:cs="Times New Roman"/>
          <w:color w:val="000000"/>
        </w:rPr>
        <w:t xml:space="preserve"> and analysis of other available service documents and reports).</w:t>
      </w:r>
    </w:p>
    <w:p w14:paraId="7660E7F1" w14:textId="77777777" w:rsidR="001905F1" w:rsidRPr="001905F1" w:rsidRDefault="001905F1" w:rsidP="001905F1">
      <w:pPr>
        <w:tabs>
          <w:tab w:val="left" w:pos="1206"/>
        </w:tabs>
        <w:rPr>
          <w:rFonts w:eastAsia="Verdana" w:cs="Times New Roman"/>
          <w:color w:val="000000"/>
        </w:rPr>
      </w:pPr>
      <w:r w:rsidRPr="001905F1">
        <w:rPr>
          <w:rFonts w:eastAsia="Verdana" w:cs="Times New Roman"/>
          <w:color w:val="000000"/>
        </w:rPr>
        <w:t>A high-level overview of the approach to MCA undertaken for this review has been included below.</w:t>
      </w:r>
    </w:p>
    <w:p w14:paraId="7EAF07ED" w14:textId="6534A559" w:rsidR="001905F1" w:rsidRPr="001905F1" w:rsidRDefault="001905F1" w:rsidP="00A51AC2">
      <w:pPr>
        <w:pStyle w:val="AppendixFigureCaption"/>
      </w:pPr>
      <w:bookmarkStart w:id="465" w:name="_Toc152945476"/>
      <w:bookmarkStart w:id="466" w:name="_Toc158997995"/>
      <w:bookmarkStart w:id="467" w:name="_Toc170228798"/>
      <w:r w:rsidRPr="001905F1">
        <w:t>: Approach to Multi-Criteria Analysis to assess service compliance with Minister’s Rules</w:t>
      </w:r>
      <w:bookmarkEnd w:id="465"/>
      <w:bookmarkEnd w:id="466"/>
      <w:bookmarkEnd w:id="467"/>
      <w:r w:rsidRPr="001905F1">
        <w:t xml:space="preserve"> </w:t>
      </w:r>
    </w:p>
    <w:p w14:paraId="1BD00736" w14:textId="77777777" w:rsidR="001905F1" w:rsidRPr="001905F1" w:rsidRDefault="001905F1" w:rsidP="001905F1">
      <w:pPr>
        <w:tabs>
          <w:tab w:val="left" w:pos="1206"/>
        </w:tabs>
        <w:rPr>
          <w:rFonts w:eastAsia="Verdana" w:cs="Times New Roman"/>
          <w:color w:val="000000"/>
        </w:rPr>
      </w:pPr>
      <w:r w:rsidRPr="001905F1">
        <w:rPr>
          <w:rFonts w:eastAsia="Verdana" w:cs="Times New Roman"/>
          <w:noProof/>
          <w:color w:val="000000"/>
        </w:rPr>
        <w:drawing>
          <wp:inline distT="0" distB="0" distL="0" distR="0" wp14:anchorId="1CF48E51" wp14:editId="64B80141">
            <wp:extent cx="6108192" cy="3498886"/>
            <wp:effectExtent l="0" t="0" r="6985" b="0"/>
            <wp:docPr id="1489793623" name="Picture 1489793623" descr="High-level illustration of process to undertaking Multi-Criteria Analysis for the CCCF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3" name="Picture 1489793623" descr="High-level illustration of process to undertaking Multi-Criteria Analysis for the CCCFR review."/>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132713" cy="3512932"/>
                    </a:xfrm>
                    <a:prstGeom prst="rect">
                      <a:avLst/>
                    </a:prstGeom>
                    <a:noFill/>
                  </pic:spPr>
                </pic:pic>
              </a:graphicData>
            </a:graphic>
          </wp:inline>
        </w:drawing>
      </w:r>
    </w:p>
    <w:p w14:paraId="16B15CB1" w14:textId="34E76483" w:rsidR="001905F1" w:rsidRPr="001905F1" w:rsidRDefault="001905F1" w:rsidP="00F66334">
      <w:pPr>
        <w:pStyle w:val="Source"/>
      </w:pPr>
      <w:r w:rsidRPr="001905F1">
        <w:t>Source: Deloitte Access Economics (2023)</w:t>
      </w:r>
      <w:r w:rsidR="00F66334">
        <w:t>.</w:t>
      </w:r>
    </w:p>
    <w:p w14:paraId="2D3D9D03" w14:textId="77777777" w:rsidR="001905F1" w:rsidRPr="001905F1" w:rsidRDefault="001905F1" w:rsidP="001905F1">
      <w:pPr>
        <w:tabs>
          <w:tab w:val="left" w:pos="1206"/>
        </w:tabs>
        <w:rPr>
          <w:rFonts w:eastAsia="Verdana" w:cs="Times New Roman"/>
          <w:color w:val="000000"/>
        </w:rPr>
      </w:pPr>
      <w:r w:rsidRPr="001905F1">
        <w:rPr>
          <w:rFonts w:eastAsia="Verdana" w:cs="Times New Roman"/>
          <w:color w:val="000000"/>
        </w:rPr>
        <w:t xml:space="preserve">It is important to clarify that this approach of evaluating compliance with the Minister’s Rules through document analysis is inherently limited in its ability to assess the additional conditions of the Minister’s Rules which would require ongoing observation of practice at a service level. </w:t>
      </w:r>
    </w:p>
    <w:p w14:paraId="2FBD4419" w14:textId="77777777" w:rsidR="001905F1" w:rsidRPr="001905F1" w:rsidRDefault="001905F1" w:rsidP="001905F1">
      <w:pPr>
        <w:tabs>
          <w:tab w:val="left" w:pos="1206"/>
        </w:tabs>
        <w:rPr>
          <w:rFonts w:eastAsia="Verdana" w:cs="Times New Roman"/>
          <w:color w:val="000000"/>
        </w:rPr>
      </w:pPr>
      <w:r w:rsidRPr="001905F1">
        <w:rPr>
          <w:rFonts w:eastAsia="Verdana" w:cs="Times New Roman"/>
          <w:color w:val="000000"/>
        </w:rPr>
        <w:t>As such, documentary analysis and assessment of service compliance through an MCA will encompass specific elements under the Minister’s Rules, and should be considered as a reflection of a service’s ability to provide evidence of compliance rather than a real-time assessment of a service’s ability to meet obligations under the Minister’s Rules on an ongoing basis.</w:t>
      </w:r>
    </w:p>
    <w:p w14:paraId="0AEA3BEA" w14:textId="39C5BC49" w:rsidR="001905F1" w:rsidRPr="001905F1" w:rsidRDefault="001905F1" w:rsidP="001905F1">
      <w:pPr>
        <w:tabs>
          <w:tab w:val="left" w:pos="1206"/>
        </w:tabs>
        <w:rPr>
          <w:rFonts w:eastAsia="Verdana" w:cs="Times New Roman"/>
          <w:color w:val="000000"/>
        </w:rPr>
        <w:sectPr w:rsidR="001905F1" w:rsidRPr="001905F1" w:rsidSect="007C7004">
          <w:headerReference w:type="default" r:id="rId132"/>
          <w:footerReference w:type="default" r:id="rId133"/>
          <w:pgSz w:w="11906" w:h="16838" w:code="9"/>
          <w:pgMar w:top="1440" w:right="1440" w:bottom="1440" w:left="1440" w:header="680" w:footer="425" w:gutter="0"/>
          <w:cols w:space="284"/>
          <w:docGrid w:linePitch="360"/>
        </w:sectPr>
      </w:pPr>
      <w:r w:rsidRPr="001905F1">
        <w:rPr>
          <w:rFonts w:eastAsia="Verdana" w:cs="Times New Roman"/>
          <w:color w:val="000000"/>
        </w:rPr>
        <w:t>An overview of relevant obligations under the Minister’s Rules (Division 5, section 49) for CCCFR services not regulated under the NQF, as well as the suitability of elements and level of inclusion within the MCA</w:t>
      </w:r>
      <w:r w:rsidR="00A82C24">
        <w:rPr>
          <w:rFonts w:eastAsia="Verdana" w:cs="Times New Roman"/>
          <w:color w:val="000000"/>
        </w:rPr>
        <w:t>,</w:t>
      </w:r>
      <w:r w:rsidRPr="001905F1">
        <w:rPr>
          <w:rFonts w:eastAsia="Verdana" w:cs="Times New Roman"/>
          <w:color w:val="000000"/>
        </w:rPr>
        <w:t xml:space="preserve"> has been outlined in </w:t>
      </w:r>
      <w:r w:rsidR="00A82C24">
        <w:rPr>
          <w:rFonts w:eastAsia="Verdana" w:cs="Times New Roman"/>
          <w:color w:val="000000"/>
          <w:highlight w:val="yellow"/>
        </w:rPr>
        <w:fldChar w:fldCharType="begin"/>
      </w:r>
      <w:r w:rsidR="00A82C24">
        <w:rPr>
          <w:rFonts w:eastAsia="Verdana" w:cs="Times New Roman"/>
          <w:color w:val="000000"/>
        </w:rPr>
        <w:instrText xml:space="preserve"> REF _Ref153451260 \r \h </w:instrText>
      </w:r>
      <w:r w:rsidR="00A82C24">
        <w:rPr>
          <w:rFonts w:eastAsia="Verdana" w:cs="Times New Roman"/>
          <w:color w:val="000000"/>
          <w:highlight w:val="yellow"/>
        </w:rPr>
      </w:r>
      <w:r w:rsidR="00A82C24">
        <w:rPr>
          <w:rFonts w:eastAsia="Verdana" w:cs="Times New Roman"/>
          <w:color w:val="000000"/>
          <w:highlight w:val="yellow"/>
        </w:rPr>
        <w:fldChar w:fldCharType="separate"/>
      </w:r>
      <w:r w:rsidR="00D300D0">
        <w:rPr>
          <w:rFonts w:eastAsia="Verdana" w:cs="Times New Roman"/>
          <w:color w:val="000000"/>
        </w:rPr>
        <w:t>Table H.1</w:t>
      </w:r>
      <w:r w:rsidR="00A82C24">
        <w:rPr>
          <w:rFonts w:eastAsia="Verdana" w:cs="Times New Roman"/>
          <w:color w:val="000000"/>
          <w:highlight w:val="yellow"/>
        </w:rPr>
        <w:fldChar w:fldCharType="end"/>
      </w:r>
      <w:r w:rsidRPr="001905F1">
        <w:rPr>
          <w:rFonts w:eastAsia="Verdana" w:cs="Times New Roman"/>
          <w:color w:val="000000"/>
        </w:rPr>
        <w:t xml:space="preserve"> below.</w:t>
      </w:r>
    </w:p>
    <w:p w14:paraId="570948C3" w14:textId="2180136D" w:rsidR="001905F1" w:rsidRPr="001905F1" w:rsidRDefault="00A82C24" w:rsidP="00A82C24">
      <w:pPr>
        <w:pStyle w:val="AppendixTableCaption"/>
        <w:rPr>
          <w:rFonts w:eastAsia="Verdana"/>
        </w:rPr>
      </w:pPr>
      <w:bookmarkStart w:id="468" w:name="_Ref153451260"/>
      <w:bookmarkStart w:id="469" w:name="_Toc158997974"/>
      <w:bookmarkStart w:id="470" w:name="_Toc167130721"/>
      <w:r>
        <w:rPr>
          <w:rFonts w:eastAsia="Verdana"/>
        </w:rPr>
        <w:lastRenderedPageBreak/>
        <w:t>:</w:t>
      </w:r>
      <w:r w:rsidR="001905F1" w:rsidRPr="001905F1">
        <w:rPr>
          <w:rFonts w:eastAsia="Verdana"/>
        </w:rPr>
        <w:t xml:space="preserve"> Relevant obligations under Minister’s Rules and scope of inclusion within Multi-Criteria Analysis</w:t>
      </w:r>
      <w:bookmarkEnd w:id="468"/>
      <w:bookmarkEnd w:id="469"/>
      <w:bookmarkEnd w:id="470"/>
    </w:p>
    <w:tbl>
      <w:tblPr>
        <w:tblStyle w:val="Deloittetable"/>
        <w:tblW w:w="14029" w:type="dxa"/>
        <w:tblLook w:val="0420" w:firstRow="1" w:lastRow="0" w:firstColumn="0" w:lastColumn="0" w:noHBand="0" w:noVBand="1"/>
      </w:tblPr>
      <w:tblGrid>
        <w:gridCol w:w="2395"/>
        <w:gridCol w:w="921"/>
        <w:gridCol w:w="5641"/>
        <w:gridCol w:w="1873"/>
        <w:gridCol w:w="3199"/>
      </w:tblGrid>
      <w:tr w:rsidR="001905F1" w:rsidRPr="001905F1" w14:paraId="32AD187C" w14:textId="77777777" w:rsidTr="001C655F">
        <w:trPr>
          <w:cnfStyle w:val="100000000000" w:firstRow="1" w:lastRow="0" w:firstColumn="0" w:lastColumn="0" w:oddVBand="0" w:evenVBand="0" w:oddHBand="0" w:evenHBand="0" w:firstRowFirstColumn="0" w:firstRowLastColumn="0" w:lastRowFirstColumn="0" w:lastRowLastColumn="0"/>
          <w:trHeight w:val="115"/>
        </w:trPr>
        <w:tc>
          <w:tcPr>
            <w:tcW w:w="0" w:type="dxa"/>
          </w:tcPr>
          <w:p w14:paraId="1A3948FE" w14:textId="77777777" w:rsidR="001905F1" w:rsidRPr="001C655F" w:rsidRDefault="001905F1" w:rsidP="001905F1">
            <w:pPr>
              <w:tabs>
                <w:tab w:val="left" w:pos="1206"/>
              </w:tabs>
              <w:rPr>
                <w:b/>
                <w:lang w:val="en-GB"/>
              </w:rPr>
            </w:pPr>
            <w:r w:rsidRPr="001C655F">
              <w:rPr>
                <w:b/>
                <w:lang w:val="en-GB"/>
              </w:rPr>
              <w:t>Overarching obligation</w:t>
            </w:r>
          </w:p>
        </w:tc>
        <w:tc>
          <w:tcPr>
            <w:tcW w:w="0" w:type="dxa"/>
          </w:tcPr>
          <w:p w14:paraId="22B1FE2F" w14:textId="77777777" w:rsidR="001905F1" w:rsidRPr="001C655F" w:rsidRDefault="001905F1" w:rsidP="001905F1">
            <w:pPr>
              <w:tabs>
                <w:tab w:val="left" w:pos="1206"/>
              </w:tabs>
              <w:rPr>
                <w:b/>
                <w:lang w:val="en-GB"/>
              </w:rPr>
            </w:pPr>
            <w:r w:rsidRPr="001C655F">
              <w:rPr>
                <w:b/>
                <w:lang w:val="en-GB"/>
              </w:rPr>
              <w:t>Ref.</w:t>
            </w:r>
          </w:p>
        </w:tc>
        <w:tc>
          <w:tcPr>
            <w:tcW w:w="0" w:type="dxa"/>
          </w:tcPr>
          <w:p w14:paraId="2171169C" w14:textId="77777777" w:rsidR="001905F1" w:rsidRPr="001C655F" w:rsidRDefault="001905F1" w:rsidP="001905F1">
            <w:pPr>
              <w:tabs>
                <w:tab w:val="left" w:pos="1206"/>
              </w:tabs>
              <w:rPr>
                <w:b/>
                <w:lang w:val="en-GB"/>
              </w:rPr>
            </w:pPr>
            <w:r w:rsidRPr="001C655F">
              <w:rPr>
                <w:b/>
                <w:lang w:val="en-GB"/>
              </w:rPr>
              <w:t xml:space="preserve">Legislative wording </w:t>
            </w:r>
            <w:r w:rsidRPr="001C655F">
              <w:rPr>
                <w:b/>
                <w:i/>
                <w:lang w:val="en-GB"/>
              </w:rPr>
              <w:t>(Child Care Subsidy Minister's Rules 2017, part 4, division 5, section 49)</w:t>
            </w:r>
          </w:p>
        </w:tc>
        <w:tc>
          <w:tcPr>
            <w:tcW w:w="0" w:type="dxa"/>
          </w:tcPr>
          <w:p w14:paraId="0A7D27BB" w14:textId="77777777" w:rsidR="001905F1" w:rsidRPr="001C655F" w:rsidRDefault="001905F1" w:rsidP="001905F1">
            <w:pPr>
              <w:tabs>
                <w:tab w:val="left" w:pos="1206"/>
              </w:tabs>
              <w:rPr>
                <w:b/>
                <w:lang w:val="en-GB"/>
              </w:rPr>
            </w:pPr>
            <w:r w:rsidRPr="001C655F">
              <w:rPr>
                <w:b/>
                <w:lang w:val="en-GB"/>
              </w:rPr>
              <w:t xml:space="preserve">Inclusion </w:t>
            </w:r>
          </w:p>
        </w:tc>
        <w:tc>
          <w:tcPr>
            <w:tcW w:w="0" w:type="dxa"/>
          </w:tcPr>
          <w:p w14:paraId="7E69E83A" w14:textId="77777777" w:rsidR="001905F1" w:rsidRPr="001C655F" w:rsidRDefault="001905F1" w:rsidP="001905F1">
            <w:pPr>
              <w:tabs>
                <w:tab w:val="left" w:pos="1206"/>
              </w:tabs>
              <w:rPr>
                <w:b/>
                <w:lang w:val="en-GB"/>
              </w:rPr>
            </w:pPr>
            <w:r w:rsidRPr="001C655F">
              <w:rPr>
                <w:b/>
                <w:lang w:val="en-GB"/>
              </w:rPr>
              <w:t>Rationale</w:t>
            </w:r>
          </w:p>
        </w:tc>
      </w:tr>
      <w:tr w:rsidR="001905F1" w:rsidRPr="001905F1" w14:paraId="08118FC2" w14:textId="77777777" w:rsidTr="001C655F">
        <w:tc>
          <w:tcPr>
            <w:tcW w:w="0" w:type="dxa"/>
          </w:tcPr>
          <w:p w14:paraId="33F880D1" w14:textId="77777777" w:rsidR="001905F1" w:rsidRPr="001905F1" w:rsidRDefault="001905F1" w:rsidP="001905F1">
            <w:pPr>
              <w:tabs>
                <w:tab w:val="left" w:pos="1206"/>
              </w:tabs>
              <w:rPr>
                <w:rFonts w:eastAsia="Verdana" w:cs="Times New Roman"/>
                <w:i/>
                <w:color w:val="000000"/>
                <w:lang w:val="en-GB"/>
              </w:rPr>
            </w:pPr>
            <w:r w:rsidRPr="001905F1">
              <w:rPr>
                <w:rFonts w:eastAsia="Verdana" w:cs="Times New Roman"/>
                <w:i/>
                <w:color w:val="000000"/>
                <w:lang w:val="en-GB"/>
              </w:rPr>
              <w:t>Commitment to high quality child care</w:t>
            </w:r>
          </w:p>
        </w:tc>
        <w:tc>
          <w:tcPr>
            <w:tcW w:w="0" w:type="dxa"/>
          </w:tcPr>
          <w:p w14:paraId="5F7293DC"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(2)</w:t>
            </w:r>
          </w:p>
        </w:tc>
        <w:tc>
          <w:tcPr>
            <w:tcW w:w="0" w:type="dxa"/>
          </w:tcPr>
          <w:p w14:paraId="499F5921" w14:textId="77777777" w:rsidR="001905F1" w:rsidRPr="001905F1" w:rsidRDefault="001905F1" w:rsidP="001905F1">
            <w:pPr>
              <w:tabs>
                <w:tab w:val="left" w:pos="1206"/>
              </w:tabs>
              <w:rPr>
                <w:rFonts w:eastAsia="Verdana" w:cs="Times New Roman"/>
                <w:i/>
                <w:color w:val="000000"/>
                <w:lang w:val="en-GB"/>
              </w:rPr>
            </w:pPr>
            <w:r w:rsidRPr="001905F1">
              <w:rPr>
                <w:rFonts w:eastAsia="Verdana" w:cs="Times New Roman"/>
                <w:i/>
                <w:color w:val="000000"/>
                <w:lang w:val="en-GB"/>
              </w:rPr>
              <w:t>“</w:t>
            </w:r>
            <w:r w:rsidRPr="001905F1">
              <w:rPr>
                <w:rFonts w:eastAsia="Verdana" w:cs="Times New Roman"/>
                <w:b/>
                <w:i/>
                <w:color w:val="000000"/>
                <w:lang w:val="en-GB"/>
              </w:rPr>
              <w:t xml:space="preserve">The provider must, </w:t>
            </w:r>
            <w:r w:rsidRPr="001905F1">
              <w:rPr>
                <w:rFonts w:eastAsia="Verdana" w:cs="Times New Roman"/>
                <w:i/>
                <w:color w:val="000000"/>
                <w:lang w:val="en-GB"/>
              </w:rPr>
              <w:t>in the opinion of the Secretary,</w:t>
            </w:r>
            <w:r w:rsidRPr="001905F1">
              <w:rPr>
                <w:rFonts w:eastAsia="Verdana" w:cs="Times New Roman"/>
                <w:b/>
                <w:i/>
                <w:color w:val="000000"/>
                <w:lang w:val="en-GB"/>
              </w:rPr>
              <w:t xml:space="preserve"> be equipped to provide high quality child care at the service appropriate to the needs of families and the community</w:t>
            </w:r>
            <w:r w:rsidRPr="001905F1">
              <w:rPr>
                <w:rFonts w:eastAsia="Verdana" w:cs="Times New Roman"/>
                <w:i/>
                <w:color w:val="000000"/>
                <w:lang w:val="en-GB"/>
              </w:rPr>
              <w:t xml:space="preserve"> having regard to the provider’s ability and commitment to:</w:t>
            </w:r>
          </w:p>
          <w:p w14:paraId="012B2AA6" w14:textId="77777777" w:rsidR="001905F1" w:rsidRPr="001905F1" w:rsidRDefault="001905F1" w:rsidP="00171325">
            <w:pPr>
              <w:numPr>
                <w:ilvl w:val="0"/>
                <w:numId w:val="27"/>
              </w:numPr>
              <w:tabs>
                <w:tab w:val="left" w:pos="1206"/>
              </w:tabs>
              <w:spacing w:after="0"/>
              <w:contextualSpacing/>
              <w:rPr>
                <w:rFonts w:eastAsia="Verdana" w:cs="Times New Roman"/>
                <w:i/>
                <w:color w:val="000000"/>
                <w:lang w:val="en-GB"/>
              </w:rPr>
            </w:pPr>
            <w:r w:rsidRPr="001905F1">
              <w:rPr>
                <w:rFonts w:eastAsia="Verdana" w:cs="Times New Roman"/>
                <w:b/>
                <w:i/>
                <w:color w:val="000000"/>
                <w:lang w:val="en-GB"/>
              </w:rPr>
              <w:t>provide a tailored, individual education program</w:t>
            </w:r>
            <w:r w:rsidRPr="001905F1">
              <w:rPr>
                <w:rFonts w:eastAsia="Verdana" w:cs="Times New Roman"/>
                <w:i/>
                <w:color w:val="000000"/>
                <w:lang w:val="en-GB"/>
              </w:rPr>
              <w:t xml:space="preserve"> based on each child’s knowledge, ideas, culture, abilities and interests; and</w:t>
            </w:r>
          </w:p>
          <w:p w14:paraId="700FC5BE" w14:textId="77777777" w:rsidR="001905F1" w:rsidRPr="001905F1" w:rsidRDefault="001905F1" w:rsidP="00171325">
            <w:pPr>
              <w:numPr>
                <w:ilvl w:val="0"/>
                <w:numId w:val="27"/>
              </w:numPr>
              <w:tabs>
                <w:tab w:val="left" w:pos="1206"/>
              </w:tabs>
              <w:spacing w:after="0"/>
              <w:contextualSpacing/>
              <w:rPr>
                <w:rFonts w:eastAsia="Verdana" w:cs="Times New Roman"/>
                <w:i/>
                <w:color w:val="000000"/>
                <w:lang w:val="en-GB"/>
              </w:rPr>
            </w:pPr>
            <w:r w:rsidRPr="001905F1">
              <w:rPr>
                <w:rFonts w:eastAsia="Verdana" w:cs="Times New Roman"/>
                <w:b/>
                <w:i/>
                <w:color w:val="000000"/>
                <w:lang w:val="en-GB"/>
              </w:rPr>
              <w:t>develop a program that acknowledges and strengthens the cultural identity of children</w:t>
            </w:r>
            <w:r w:rsidRPr="001905F1">
              <w:rPr>
                <w:rFonts w:eastAsia="Verdana" w:cs="Times New Roman"/>
                <w:i/>
                <w:color w:val="000000"/>
                <w:lang w:val="en-GB"/>
              </w:rPr>
              <w:t xml:space="preserve"> to whom care is provided at the service; and</w:t>
            </w:r>
          </w:p>
          <w:p w14:paraId="28220702" w14:textId="77777777" w:rsidR="001905F1" w:rsidRPr="001905F1" w:rsidRDefault="001905F1" w:rsidP="00171325">
            <w:pPr>
              <w:numPr>
                <w:ilvl w:val="0"/>
                <w:numId w:val="27"/>
              </w:numPr>
              <w:tabs>
                <w:tab w:val="left" w:pos="1206"/>
              </w:tabs>
              <w:spacing w:after="0"/>
              <w:contextualSpacing/>
              <w:rPr>
                <w:rFonts w:eastAsia="Verdana" w:cs="Times New Roman"/>
                <w:i/>
                <w:color w:val="000000"/>
                <w:lang w:val="en-GB"/>
              </w:rPr>
            </w:pPr>
            <w:r w:rsidRPr="001905F1">
              <w:rPr>
                <w:rFonts w:eastAsia="Verdana" w:cs="Times New Roman"/>
                <w:b/>
                <w:i/>
                <w:color w:val="000000"/>
                <w:lang w:val="en-GB"/>
              </w:rPr>
              <w:t>ensure children are adequately supervised at all times</w:t>
            </w:r>
            <w:r w:rsidRPr="001905F1">
              <w:rPr>
                <w:rFonts w:eastAsia="Verdana" w:cs="Times New Roman"/>
                <w:i/>
                <w:color w:val="000000"/>
                <w:lang w:val="en-GB"/>
              </w:rPr>
              <w:t>; and</w:t>
            </w:r>
          </w:p>
          <w:p w14:paraId="3C7395D8" w14:textId="77777777" w:rsidR="001905F1" w:rsidRPr="001905F1" w:rsidRDefault="001905F1" w:rsidP="00171325">
            <w:pPr>
              <w:numPr>
                <w:ilvl w:val="0"/>
                <w:numId w:val="27"/>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 xml:space="preserve">ensure reasonable precautions are taken to </w:t>
            </w:r>
            <w:r w:rsidRPr="001905F1">
              <w:rPr>
                <w:rFonts w:eastAsia="Verdana" w:cs="Times New Roman"/>
                <w:b/>
                <w:i/>
                <w:color w:val="000000"/>
                <w:lang w:val="en-GB"/>
              </w:rPr>
              <w:t>protect children from harm or injury</w:t>
            </w:r>
            <w:r w:rsidRPr="001905F1">
              <w:rPr>
                <w:rFonts w:eastAsia="Verdana" w:cs="Times New Roman"/>
                <w:i/>
                <w:color w:val="000000"/>
                <w:lang w:val="en-GB"/>
              </w:rPr>
              <w:t xml:space="preserve"> and any hazard likely to cause harm or injury; and</w:t>
            </w:r>
          </w:p>
          <w:p w14:paraId="39484933" w14:textId="77777777" w:rsidR="001905F1" w:rsidRPr="001905F1" w:rsidRDefault="001905F1" w:rsidP="00171325">
            <w:pPr>
              <w:numPr>
                <w:ilvl w:val="0"/>
                <w:numId w:val="27"/>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 xml:space="preserve">ensure that </w:t>
            </w:r>
            <w:r w:rsidRPr="001905F1">
              <w:rPr>
                <w:rFonts w:eastAsia="Verdana" w:cs="Times New Roman"/>
                <w:b/>
                <w:i/>
                <w:color w:val="000000"/>
                <w:lang w:val="en-GB"/>
              </w:rPr>
              <w:t>at least one staff member who holds a current approved first aid qualification is on duty and present at the service at all times</w:t>
            </w:r>
            <w:r w:rsidRPr="001905F1">
              <w:rPr>
                <w:rFonts w:eastAsia="Verdana" w:cs="Times New Roman"/>
                <w:i/>
                <w:color w:val="000000"/>
                <w:lang w:val="en-GB"/>
              </w:rPr>
              <w:t xml:space="preserve"> that care is being provided by the service; and</w:t>
            </w:r>
          </w:p>
          <w:p w14:paraId="252CF92E" w14:textId="77777777" w:rsidR="001905F1" w:rsidRPr="001905F1" w:rsidRDefault="001905F1" w:rsidP="00171325">
            <w:pPr>
              <w:numPr>
                <w:ilvl w:val="0"/>
                <w:numId w:val="27"/>
              </w:numPr>
              <w:tabs>
                <w:tab w:val="left" w:pos="1206"/>
              </w:tabs>
              <w:spacing w:after="0"/>
              <w:contextualSpacing/>
              <w:rPr>
                <w:rFonts w:eastAsia="Verdana" w:cs="Times New Roman"/>
                <w:color w:val="000000"/>
                <w:lang w:val="en-GB"/>
              </w:rPr>
            </w:pPr>
            <w:r w:rsidRPr="001905F1">
              <w:rPr>
                <w:rFonts w:eastAsia="Verdana" w:cs="Times New Roman"/>
                <w:i/>
                <w:color w:val="000000"/>
                <w:lang w:val="en-GB"/>
              </w:rPr>
              <w:t>do anything else the Secretary considers necessary or appropriate for the provision of high quality child care at the service.”</w:t>
            </w:r>
          </w:p>
        </w:tc>
        <w:tc>
          <w:tcPr>
            <w:tcW w:w="0" w:type="dxa"/>
          </w:tcPr>
          <w:p w14:paraId="49601069"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Partial</w:t>
            </w:r>
          </w:p>
        </w:tc>
        <w:tc>
          <w:tcPr>
            <w:tcW w:w="0" w:type="dxa"/>
          </w:tcPr>
          <w:p w14:paraId="0562568D" w14:textId="77777777" w:rsidR="001905F1" w:rsidRPr="001905F1" w:rsidRDefault="001905F1" w:rsidP="00171325">
            <w:pPr>
              <w:numPr>
                <w:ilvl w:val="0"/>
                <w:numId w:val="28"/>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Documentation assumed to provide adequate evidence against (2)(a,b &amp;e).</w:t>
            </w:r>
          </w:p>
          <w:p w14:paraId="289F20DD" w14:textId="77777777" w:rsidR="001905F1" w:rsidRPr="001905F1" w:rsidRDefault="001905F1" w:rsidP="00171325">
            <w:pPr>
              <w:numPr>
                <w:ilvl w:val="0"/>
                <w:numId w:val="28"/>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 xml:space="preserve">Documentation of appropriate policies and procedures assumed to infer ‘reasonable precautions are taken to protect children from harm or injury’ (2)(d), however unable to assess the existence of </w:t>
            </w:r>
            <w:r w:rsidRPr="001905F1">
              <w:rPr>
                <w:rFonts w:eastAsia="Verdana" w:cs="Times New Roman"/>
                <w:i/>
                <w:color w:val="000000"/>
                <w:lang w:val="en-GB"/>
              </w:rPr>
              <w:t>‘hazards</w:t>
            </w:r>
            <w:r w:rsidRPr="001905F1">
              <w:rPr>
                <w:rFonts w:eastAsia="Verdana" w:cs="Times New Roman"/>
                <w:i/>
                <w:lang w:val="en-GB"/>
              </w:rPr>
              <w:t xml:space="preserve"> </w:t>
            </w:r>
            <w:r w:rsidRPr="001905F1">
              <w:rPr>
                <w:rFonts w:eastAsia="Verdana" w:cs="Times New Roman"/>
                <w:i/>
                <w:color w:val="000000"/>
                <w:lang w:val="en-GB"/>
              </w:rPr>
              <w:t>likely to cause harm or injury’.</w:t>
            </w:r>
          </w:p>
          <w:p w14:paraId="7BBC7641" w14:textId="77777777" w:rsidR="001905F1" w:rsidRPr="001905F1" w:rsidRDefault="001905F1" w:rsidP="00171325">
            <w:pPr>
              <w:numPr>
                <w:ilvl w:val="0"/>
                <w:numId w:val="28"/>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Documentary analysis unable to determine ‘supervision of children at all times’ (2)(c).</w:t>
            </w:r>
          </w:p>
        </w:tc>
      </w:tr>
      <w:tr w:rsidR="001905F1" w:rsidRPr="001905F1" w14:paraId="1545343E" w14:textId="77777777" w:rsidTr="001C655F">
        <w:tc>
          <w:tcPr>
            <w:tcW w:w="0" w:type="dxa"/>
          </w:tcPr>
          <w:p w14:paraId="24C4A792"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Serious incidents</w:t>
            </w:r>
          </w:p>
        </w:tc>
        <w:tc>
          <w:tcPr>
            <w:tcW w:w="0" w:type="dxa"/>
          </w:tcPr>
          <w:p w14:paraId="275D5851"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(3)</w:t>
            </w:r>
          </w:p>
        </w:tc>
        <w:tc>
          <w:tcPr>
            <w:tcW w:w="0" w:type="dxa"/>
          </w:tcPr>
          <w:p w14:paraId="4311F1D1" w14:textId="77777777" w:rsidR="001905F1" w:rsidRPr="001905F1" w:rsidRDefault="001905F1" w:rsidP="001905F1">
            <w:pPr>
              <w:tabs>
                <w:tab w:val="left" w:pos="1206"/>
              </w:tabs>
              <w:rPr>
                <w:rFonts w:eastAsia="Verdana" w:cs="Times New Roman"/>
                <w:i/>
                <w:color w:val="000000"/>
                <w:lang w:val="en-GB"/>
              </w:rPr>
            </w:pPr>
            <w:r w:rsidRPr="001905F1">
              <w:rPr>
                <w:rFonts w:eastAsia="Verdana" w:cs="Times New Roman"/>
                <w:i/>
                <w:color w:val="000000"/>
                <w:lang w:val="en-GB"/>
              </w:rPr>
              <w:t>“</w:t>
            </w:r>
            <w:r w:rsidRPr="001905F1">
              <w:rPr>
                <w:rFonts w:eastAsia="Verdana" w:cs="Times New Roman"/>
                <w:b/>
                <w:i/>
                <w:color w:val="000000"/>
                <w:lang w:val="en-GB"/>
              </w:rPr>
              <w:t xml:space="preserve">The provider must implement appropriate arrangements to manage serious incidents </w:t>
            </w:r>
            <w:r w:rsidRPr="001905F1">
              <w:rPr>
                <w:rFonts w:eastAsia="Verdana" w:cs="Times New Roman"/>
                <w:i/>
                <w:color w:val="000000"/>
                <w:lang w:val="en-GB"/>
              </w:rPr>
              <w:t>(see subsection (4)), including (without limitation) notifying the Secretary in writing within 24 hours after:”</w:t>
            </w:r>
          </w:p>
        </w:tc>
        <w:tc>
          <w:tcPr>
            <w:tcW w:w="0" w:type="dxa"/>
          </w:tcPr>
          <w:p w14:paraId="2276C953"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Partial</w:t>
            </w:r>
          </w:p>
        </w:tc>
        <w:tc>
          <w:tcPr>
            <w:tcW w:w="0" w:type="dxa"/>
          </w:tcPr>
          <w:p w14:paraId="42164C4B" w14:textId="77777777" w:rsidR="001905F1" w:rsidRPr="001905F1" w:rsidRDefault="001905F1" w:rsidP="00171325">
            <w:pPr>
              <w:numPr>
                <w:ilvl w:val="0"/>
                <w:numId w:val="29"/>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Documentation of policy and/or procedure in relation to serious incident considered to be element of ‘implementing appropriate arrangement’</w:t>
            </w:r>
          </w:p>
          <w:p w14:paraId="6C79BC99" w14:textId="77777777" w:rsidR="001905F1" w:rsidRPr="001905F1" w:rsidRDefault="001905F1" w:rsidP="00171325">
            <w:pPr>
              <w:numPr>
                <w:ilvl w:val="0"/>
                <w:numId w:val="29"/>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 xml:space="preserve">Documentary analysis unable to determine practice of </w:t>
            </w:r>
            <w:r w:rsidRPr="001905F1">
              <w:rPr>
                <w:rFonts w:eastAsia="Verdana" w:cs="Times New Roman"/>
                <w:color w:val="000000"/>
                <w:lang w:val="en-GB"/>
              </w:rPr>
              <w:lastRenderedPageBreak/>
              <w:t>staff/service if serious incident were to occur.</w:t>
            </w:r>
          </w:p>
        </w:tc>
      </w:tr>
      <w:tr w:rsidR="001905F1" w:rsidRPr="001905F1" w14:paraId="6CB9ED3F" w14:textId="77777777" w:rsidTr="001C655F">
        <w:tc>
          <w:tcPr>
            <w:tcW w:w="0" w:type="dxa"/>
          </w:tcPr>
          <w:p w14:paraId="1AF1EF57"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lastRenderedPageBreak/>
              <w:t>Work health and safety</w:t>
            </w:r>
          </w:p>
        </w:tc>
        <w:tc>
          <w:tcPr>
            <w:tcW w:w="0" w:type="dxa"/>
          </w:tcPr>
          <w:p w14:paraId="4E7794A7"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(5)</w:t>
            </w:r>
          </w:p>
        </w:tc>
        <w:tc>
          <w:tcPr>
            <w:tcW w:w="0" w:type="dxa"/>
          </w:tcPr>
          <w:p w14:paraId="5C8E9F69" w14:textId="77777777" w:rsidR="001905F1" w:rsidRPr="001905F1" w:rsidRDefault="001905F1" w:rsidP="001905F1">
            <w:pPr>
              <w:tabs>
                <w:tab w:val="left" w:pos="1206"/>
              </w:tabs>
              <w:rPr>
                <w:rFonts w:eastAsia="Verdana" w:cs="Times New Roman"/>
                <w:i/>
                <w:color w:val="000000"/>
                <w:lang w:val="en-GB"/>
              </w:rPr>
            </w:pPr>
            <w:r w:rsidRPr="001905F1">
              <w:rPr>
                <w:rFonts w:eastAsia="Verdana" w:cs="Times New Roman"/>
                <w:i/>
                <w:color w:val="000000"/>
                <w:lang w:val="en-GB"/>
              </w:rPr>
              <w:t>“</w:t>
            </w:r>
            <w:r w:rsidRPr="001905F1">
              <w:rPr>
                <w:rFonts w:eastAsia="Verdana" w:cs="Times New Roman"/>
                <w:b/>
                <w:i/>
                <w:color w:val="000000"/>
                <w:lang w:val="en-GB"/>
              </w:rPr>
              <w:t>The provider must do the following things as part of managing workplace health and safety</w:t>
            </w:r>
            <w:r w:rsidRPr="001905F1">
              <w:rPr>
                <w:rFonts w:eastAsia="Verdana" w:cs="Times New Roman"/>
                <w:i/>
                <w:color w:val="000000"/>
                <w:lang w:val="en-GB"/>
              </w:rPr>
              <w:t xml:space="preserve"> in relation to the service:</w:t>
            </w:r>
          </w:p>
          <w:p w14:paraId="668669B1" w14:textId="77777777" w:rsidR="001905F1" w:rsidRPr="001905F1" w:rsidRDefault="001905F1" w:rsidP="00171325">
            <w:pPr>
              <w:numPr>
                <w:ilvl w:val="0"/>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if required under the WHS laws to report to the Regulator a notifiable incident arising out of the provision of care by the service, the provider must also:</w:t>
            </w:r>
          </w:p>
          <w:p w14:paraId="4D919061" w14:textId="77777777" w:rsidR="001905F1" w:rsidRPr="001905F1" w:rsidRDefault="001905F1" w:rsidP="00171325">
            <w:pPr>
              <w:numPr>
                <w:ilvl w:val="1"/>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immediately, or as soon as possible afterwards, give written notice of the incident to the Secretary, together with a copy of any written notice given to the Regulator; and</w:t>
            </w:r>
          </w:p>
          <w:p w14:paraId="645CB459" w14:textId="77777777" w:rsidR="001905F1" w:rsidRPr="001905F1" w:rsidRDefault="001905F1" w:rsidP="00171325">
            <w:pPr>
              <w:numPr>
                <w:ilvl w:val="1"/>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give the Secretary, within 14 days after the incident occurred, a report detailing the circumstances of the incident, the results of investigations into its cause, and any recommendations or strategies for prevention in the future;</w:t>
            </w:r>
          </w:p>
          <w:p w14:paraId="537FB5BD" w14:textId="77777777" w:rsidR="001905F1" w:rsidRPr="001905F1" w:rsidRDefault="001905F1" w:rsidP="00171325">
            <w:pPr>
              <w:numPr>
                <w:ilvl w:val="0"/>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give the Secretary written notice with full details of the following:</w:t>
            </w:r>
          </w:p>
          <w:p w14:paraId="656BF3B7" w14:textId="77777777" w:rsidR="001905F1" w:rsidRPr="001905F1" w:rsidRDefault="001905F1" w:rsidP="00171325">
            <w:pPr>
              <w:numPr>
                <w:ilvl w:val="1"/>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any suspected contravention of the WHS laws relating to the provision of care by the service within 24 hours after becoming aware of the suspected contravention;</w:t>
            </w:r>
          </w:p>
          <w:p w14:paraId="7971AE6F" w14:textId="77777777" w:rsidR="001905F1" w:rsidRPr="001905F1" w:rsidRDefault="001905F1" w:rsidP="00171325">
            <w:pPr>
              <w:numPr>
                <w:ilvl w:val="1"/>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any cessation or direction to cease work under the WHS laws relating to the service due to unsafe work, immediately, or as soon as possible, after the provider is informed of any such cessation or direction;</w:t>
            </w:r>
          </w:p>
          <w:p w14:paraId="193DDB4D" w14:textId="77777777" w:rsidR="001905F1" w:rsidRPr="001905F1" w:rsidRDefault="001905F1" w:rsidP="00171325">
            <w:pPr>
              <w:numPr>
                <w:ilvl w:val="1"/>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any workplace entry under the WHS laws by a WHS Entry Permit Holder, or an Inspector, to any premises of the service where care is being provided, within 24 hours of becoming aware of any such workplace entry;</w:t>
            </w:r>
          </w:p>
          <w:p w14:paraId="7512DFED" w14:textId="77777777" w:rsidR="001905F1" w:rsidRPr="001905F1" w:rsidRDefault="001905F1" w:rsidP="00171325">
            <w:pPr>
              <w:numPr>
                <w:ilvl w:val="1"/>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lastRenderedPageBreak/>
              <w:t>any proceedings against the provider, or any decision or request by the Regulator given to the provider, under the WHS laws, within 24 hours of becoming aware of any such proceedings, decision or request;</w:t>
            </w:r>
          </w:p>
          <w:p w14:paraId="702587D2" w14:textId="77777777" w:rsidR="001905F1" w:rsidRPr="001905F1" w:rsidRDefault="001905F1" w:rsidP="00171325">
            <w:pPr>
              <w:numPr>
                <w:ilvl w:val="0"/>
                <w:numId w:val="30"/>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provide the Secretary with copies of all notices and correspondence issued to the provider by any person under the WHS laws, within 24 hours after receiving any such notice or correspondence.”</w:t>
            </w:r>
          </w:p>
        </w:tc>
        <w:tc>
          <w:tcPr>
            <w:tcW w:w="0" w:type="dxa"/>
          </w:tcPr>
          <w:p w14:paraId="6AD885E3"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lastRenderedPageBreak/>
              <w:t>No</w:t>
            </w:r>
          </w:p>
        </w:tc>
        <w:tc>
          <w:tcPr>
            <w:tcW w:w="0" w:type="dxa"/>
          </w:tcPr>
          <w:p w14:paraId="0F954663" w14:textId="77777777" w:rsidR="001905F1" w:rsidRPr="001905F1" w:rsidRDefault="001905F1" w:rsidP="00171325">
            <w:pPr>
              <w:numPr>
                <w:ilvl w:val="0"/>
                <w:numId w:val="31"/>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Service obligations under s49(5)(c) relate to response to WHS incident, and therefore not suitable for documentary analysis.</w:t>
            </w:r>
          </w:p>
        </w:tc>
      </w:tr>
      <w:tr w:rsidR="001905F1" w:rsidRPr="001905F1" w14:paraId="71DF264B" w14:textId="77777777" w:rsidTr="001C655F">
        <w:tc>
          <w:tcPr>
            <w:tcW w:w="0" w:type="dxa"/>
          </w:tcPr>
          <w:p w14:paraId="33CF8D50" w14:textId="77777777" w:rsidR="001905F1" w:rsidRPr="001905F1" w:rsidRDefault="001905F1" w:rsidP="001905F1">
            <w:pPr>
              <w:tabs>
                <w:tab w:val="left" w:pos="1206"/>
              </w:tabs>
              <w:rPr>
                <w:rFonts w:eastAsia="Verdana" w:cs="Times New Roman"/>
                <w:i/>
                <w:color w:val="000000"/>
                <w:lang w:val="en-GB"/>
              </w:rPr>
            </w:pPr>
            <w:r w:rsidRPr="001905F1">
              <w:rPr>
                <w:rFonts w:eastAsia="Verdana" w:cs="Times New Roman"/>
                <w:i/>
                <w:color w:val="000000"/>
                <w:lang w:val="en-GB"/>
              </w:rPr>
              <w:t>Insurance</w:t>
            </w:r>
          </w:p>
        </w:tc>
        <w:tc>
          <w:tcPr>
            <w:tcW w:w="0" w:type="dxa"/>
          </w:tcPr>
          <w:p w14:paraId="3C6D009E"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(8)</w:t>
            </w:r>
          </w:p>
        </w:tc>
        <w:tc>
          <w:tcPr>
            <w:tcW w:w="0" w:type="dxa"/>
          </w:tcPr>
          <w:p w14:paraId="3CBD7CF9" w14:textId="77777777" w:rsidR="001905F1" w:rsidRPr="001905F1" w:rsidRDefault="001905F1" w:rsidP="001905F1">
            <w:pPr>
              <w:tabs>
                <w:tab w:val="left" w:pos="1206"/>
              </w:tabs>
              <w:rPr>
                <w:rFonts w:eastAsia="Verdana" w:cs="Times New Roman"/>
                <w:b/>
                <w:i/>
                <w:color w:val="000000"/>
                <w:lang w:val="en-GB"/>
              </w:rPr>
            </w:pPr>
            <w:r w:rsidRPr="001905F1">
              <w:rPr>
                <w:rFonts w:eastAsia="Verdana" w:cs="Times New Roman"/>
                <w:i/>
                <w:color w:val="000000"/>
                <w:lang w:val="en-GB"/>
              </w:rPr>
              <w:t>“</w:t>
            </w:r>
            <w:r w:rsidRPr="001905F1">
              <w:rPr>
                <w:rFonts w:eastAsia="Verdana" w:cs="Times New Roman"/>
                <w:b/>
                <w:i/>
                <w:color w:val="000000"/>
                <w:lang w:val="en-GB"/>
              </w:rPr>
              <w:t>The provider must, at all times, have in place the following insurance policies:</w:t>
            </w:r>
          </w:p>
          <w:p w14:paraId="4C70328D" w14:textId="77777777" w:rsidR="001905F1" w:rsidRPr="001905F1" w:rsidRDefault="001905F1" w:rsidP="00171325">
            <w:pPr>
              <w:numPr>
                <w:ilvl w:val="0"/>
                <w:numId w:val="32"/>
              </w:numPr>
              <w:tabs>
                <w:tab w:val="left" w:pos="1206"/>
              </w:tabs>
              <w:spacing w:after="0"/>
              <w:contextualSpacing/>
              <w:rPr>
                <w:rFonts w:eastAsia="Verdana" w:cs="Times New Roman"/>
                <w:i/>
                <w:color w:val="000000"/>
                <w:lang w:val="en-GB"/>
              </w:rPr>
            </w:pPr>
            <w:r w:rsidRPr="001905F1">
              <w:rPr>
                <w:rFonts w:eastAsia="Verdana" w:cs="Times New Roman"/>
                <w:b/>
                <w:i/>
                <w:color w:val="000000"/>
                <w:lang w:val="en-GB"/>
              </w:rPr>
              <w:t>workers compensation insurance</w:t>
            </w:r>
            <w:r w:rsidRPr="001905F1">
              <w:rPr>
                <w:rFonts w:eastAsia="Verdana" w:cs="Times New Roman"/>
                <w:i/>
                <w:color w:val="000000"/>
                <w:lang w:val="en-GB"/>
              </w:rPr>
              <w:t xml:space="preserve"> in relation to the service as required by law; and</w:t>
            </w:r>
          </w:p>
          <w:p w14:paraId="075019C0" w14:textId="77777777" w:rsidR="001905F1" w:rsidRPr="001905F1" w:rsidRDefault="001905F1" w:rsidP="00171325">
            <w:pPr>
              <w:numPr>
                <w:ilvl w:val="0"/>
                <w:numId w:val="32"/>
              </w:numPr>
              <w:tabs>
                <w:tab w:val="left" w:pos="1206"/>
              </w:tabs>
              <w:spacing w:after="0"/>
              <w:contextualSpacing/>
              <w:rPr>
                <w:rFonts w:eastAsia="Verdana" w:cs="Times New Roman"/>
                <w:color w:val="000000"/>
                <w:lang w:val="en-GB"/>
              </w:rPr>
            </w:pPr>
            <w:r w:rsidRPr="001905F1">
              <w:rPr>
                <w:rFonts w:eastAsia="Verdana" w:cs="Times New Roman"/>
                <w:i/>
                <w:color w:val="000000"/>
                <w:lang w:val="en-GB"/>
              </w:rPr>
              <w:t xml:space="preserve">a current policy of </w:t>
            </w:r>
            <w:r w:rsidRPr="001905F1">
              <w:rPr>
                <w:rFonts w:eastAsia="Verdana" w:cs="Times New Roman"/>
                <w:b/>
                <w:i/>
                <w:color w:val="000000"/>
                <w:lang w:val="en-GB"/>
              </w:rPr>
              <w:t>insurance providing adequate cover for the service against public liability</w:t>
            </w:r>
            <w:r w:rsidRPr="001905F1">
              <w:rPr>
                <w:rFonts w:eastAsia="Verdana" w:cs="Times New Roman"/>
                <w:i/>
                <w:color w:val="000000"/>
                <w:lang w:val="en-GB"/>
              </w:rPr>
              <w:t xml:space="preserve"> with a minimum cover of $10,000,000.”</w:t>
            </w:r>
          </w:p>
        </w:tc>
        <w:tc>
          <w:tcPr>
            <w:tcW w:w="0" w:type="dxa"/>
          </w:tcPr>
          <w:p w14:paraId="26F89C04"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Yes</w:t>
            </w:r>
          </w:p>
        </w:tc>
        <w:tc>
          <w:tcPr>
            <w:tcW w:w="0" w:type="dxa"/>
          </w:tcPr>
          <w:p w14:paraId="2A8600F3" w14:textId="77777777" w:rsidR="001905F1" w:rsidRPr="001905F1" w:rsidRDefault="001905F1" w:rsidP="00171325">
            <w:pPr>
              <w:numPr>
                <w:ilvl w:val="0"/>
                <w:numId w:val="33"/>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 xml:space="preserve">Relevant certificates of insurance able to inform compliance with s49(8) </w:t>
            </w:r>
          </w:p>
        </w:tc>
      </w:tr>
      <w:tr w:rsidR="001905F1" w:rsidRPr="001905F1" w14:paraId="5EA7E3E7" w14:textId="77777777" w:rsidTr="001C655F">
        <w:tc>
          <w:tcPr>
            <w:tcW w:w="0" w:type="dxa"/>
            <w:vMerge w:val="restart"/>
          </w:tcPr>
          <w:p w14:paraId="18CCF80B" w14:textId="77777777" w:rsidR="001905F1" w:rsidRPr="001905F1" w:rsidRDefault="001905F1" w:rsidP="00065B14">
            <w:pPr>
              <w:rPr>
                <w:rFonts w:eastAsia="Verdana" w:cs="Times New Roman"/>
                <w:color w:val="000000"/>
                <w:lang w:val="en-GB"/>
              </w:rPr>
            </w:pPr>
            <w:r w:rsidRPr="001905F1">
              <w:rPr>
                <w:rFonts w:eastAsia="Verdana" w:cs="Times New Roman"/>
                <w:color w:val="000000"/>
                <w:lang w:val="en-GB"/>
              </w:rPr>
              <w:t>Quality Improvement Plan</w:t>
            </w:r>
          </w:p>
        </w:tc>
        <w:tc>
          <w:tcPr>
            <w:tcW w:w="0" w:type="dxa"/>
          </w:tcPr>
          <w:p w14:paraId="0A548DF3"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(9)</w:t>
            </w:r>
          </w:p>
        </w:tc>
        <w:tc>
          <w:tcPr>
            <w:tcW w:w="0" w:type="dxa"/>
          </w:tcPr>
          <w:p w14:paraId="68D64F7C" w14:textId="77777777" w:rsidR="001905F1" w:rsidRPr="001905F1" w:rsidRDefault="001905F1" w:rsidP="001905F1">
            <w:pPr>
              <w:tabs>
                <w:tab w:val="left" w:pos="1206"/>
              </w:tabs>
              <w:rPr>
                <w:rFonts w:eastAsia="Verdana" w:cs="Times New Roman"/>
                <w:i/>
                <w:color w:val="000000"/>
                <w:lang w:val="en-GB"/>
              </w:rPr>
            </w:pPr>
            <w:r w:rsidRPr="001905F1">
              <w:rPr>
                <w:rFonts w:eastAsia="Verdana" w:cs="Times New Roman"/>
                <w:i/>
                <w:color w:val="000000"/>
                <w:lang w:val="en-GB"/>
              </w:rPr>
              <w:t xml:space="preserve">“A provider is required to have, within 6 months after the approval of the service, </w:t>
            </w:r>
            <w:r w:rsidRPr="001905F1">
              <w:rPr>
                <w:rFonts w:eastAsia="Verdana" w:cs="Times New Roman"/>
                <w:b/>
                <w:i/>
                <w:color w:val="000000"/>
                <w:lang w:val="en-GB"/>
              </w:rPr>
              <w:t>a written Quality Improvement Plan</w:t>
            </w:r>
            <w:r w:rsidRPr="001905F1">
              <w:rPr>
                <w:rFonts w:eastAsia="Verdana" w:cs="Times New Roman"/>
                <w:i/>
                <w:color w:val="000000"/>
                <w:lang w:val="en-GB"/>
              </w:rPr>
              <w:t xml:space="preserve"> that:</w:t>
            </w:r>
          </w:p>
          <w:p w14:paraId="00B42855" w14:textId="77777777" w:rsidR="001905F1" w:rsidRPr="001905F1" w:rsidRDefault="001905F1" w:rsidP="00171325">
            <w:pPr>
              <w:numPr>
                <w:ilvl w:val="0"/>
                <w:numId w:val="34"/>
              </w:numPr>
              <w:tabs>
                <w:tab w:val="left" w:pos="1206"/>
              </w:tabs>
              <w:spacing w:after="0"/>
              <w:contextualSpacing/>
              <w:rPr>
                <w:rFonts w:eastAsia="Verdana" w:cs="Times New Roman"/>
                <w:i/>
                <w:color w:val="000000"/>
                <w:lang w:val="en-GB"/>
              </w:rPr>
            </w:pPr>
            <w:r w:rsidRPr="001905F1">
              <w:rPr>
                <w:rFonts w:eastAsia="Verdana" w:cs="Times New Roman"/>
                <w:i/>
                <w:color w:val="000000"/>
                <w:lang w:val="en-GB"/>
              </w:rPr>
              <w:t>is available to view by the Secretary on request; and</w:t>
            </w:r>
          </w:p>
          <w:p w14:paraId="1A7C0804" w14:textId="77777777" w:rsidR="001905F1" w:rsidRPr="001905F1" w:rsidRDefault="001905F1" w:rsidP="00171325">
            <w:pPr>
              <w:numPr>
                <w:ilvl w:val="0"/>
                <w:numId w:val="34"/>
              </w:numPr>
              <w:tabs>
                <w:tab w:val="left" w:pos="1206"/>
              </w:tabs>
              <w:spacing w:after="0"/>
              <w:contextualSpacing/>
              <w:rPr>
                <w:rFonts w:eastAsia="Verdana" w:cs="Times New Roman"/>
                <w:color w:val="000000"/>
                <w:lang w:val="en-GB"/>
              </w:rPr>
            </w:pPr>
            <w:r w:rsidRPr="001905F1">
              <w:rPr>
                <w:rFonts w:eastAsia="Verdana" w:cs="Times New Roman"/>
                <w:b/>
                <w:i/>
                <w:color w:val="000000"/>
                <w:lang w:val="en-GB"/>
              </w:rPr>
              <w:t>assesses the service’s strengths and weaknesses against each of the 7 key quality areas of the National Quality Standard</w:t>
            </w:r>
            <w:r w:rsidRPr="001905F1">
              <w:rPr>
                <w:rFonts w:eastAsia="Verdana" w:cs="Times New Roman"/>
                <w:i/>
                <w:color w:val="000000"/>
                <w:lang w:val="en-GB"/>
              </w:rPr>
              <w:t xml:space="preserve"> of the National Quality Framework.”</w:t>
            </w:r>
          </w:p>
        </w:tc>
        <w:tc>
          <w:tcPr>
            <w:tcW w:w="0" w:type="dxa"/>
          </w:tcPr>
          <w:p w14:paraId="234C51B4"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Yes</w:t>
            </w:r>
          </w:p>
        </w:tc>
        <w:tc>
          <w:tcPr>
            <w:tcW w:w="0" w:type="dxa"/>
          </w:tcPr>
          <w:p w14:paraId="41E739F9" w14:textId="77777777" w:rsidR="001905F1" w:rsidRPr="001905F1" w:rsidRDefault="001905F1" w:rsidP="00171325">
            <w:pPr>
              <w:numPr>
                <w:ilvl w:val="0"/>
                <w:numId w:val="33"/>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Determination of compliance against s49(9) is inferred to be the existence of a QIP relevant to the service, including evidence of assessment across seven (7) Quality Areas.</w:t>
            </w:r>
          </w:p>
        </w:tc>
      </w:tr>
      <w:tr w:rsidR="001905F1" w:rsidRPr="001905F1" w14:paraId="17D0E1C6" w14:textId="77777777" w:rsidTr="001C655F">
        <w:tc>
          <w:tcPr>
            <w:tcW w:w="0" w:type="dxa"/>
            <w:vMerge/>
          </w:tcPr>
          <w:p w14:paraId="69DF005D" w14:textId="77777777" w:rsidR="001905F1" w:rsidRPr="001905F1" w:rsidRDefault="001905F1" w:rsidP="001905F1">
            <w:pPr>
              <w:tabs>
                <w:tab w:val="left" w:pos="1206"/>
              </w:tabs>
              <w:rPr>
                <w:rFonts w:eastAsia="Verdana" w:cs="Times New Roman"/>
                <w:color w:val="000000"/>
                <w:lang w:val="en-GB"/>
              </w:rPr>
            </w:pPr>
          </w:p>
        </w:tc>
        <w:tc>
          <w:tcPr>
            <w:tcW w:w="0" w:type="dxa"/>
          </w:tcPr>
          <w:p w14:paraId="2B1DDBC2"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(10)</w:t>
            </w:r>
          </w:p>
        </w:tc>
        <w:tc>
          <w:tcPr>
            <w:tcW w:w="0" w:type="dxa"/>
          </w:tcPr>
          <w:p w14:paraId="33847180" w14:textId="77777777" w:rsidR="001905F1" w:rsidRPr="001905F1" w:rsidRDefault="001905F1" w:rsidP="001905F1">
            <w:pPr>
              <w:tabs>
                <w:tab w:val="left" w:pos="1206"/>
              </w:tabs>
              <w:rPr>
                <w:rFonts w:eastAsia="Verdana" w:cs="Times New Roman"/>
                <w:i/>
                <w:color w:val="000000"/>
                <w:lang w:val="en-GB"/>
              </w:rPr>
            </w:pPr>
            <w:r w:rsidRPr="001905F1">
              <w:rPr>
                <w:rFonts w:eastAsia="Verdana" w:cs="Times New Roman"/>
                <w:i/>
                <w:color w:val="000000"/>
                <w:lang w:val="en-GB"/>
              </w:rPr>
              <w:t>A provider is required to review annually the Quality Improvement Plan referred to in subsection (9) by reassessing the service’s strengths and weaknesses against each of the 7 key quality areas referred to in paragraph (9)(b), indicating progress and areas for improvement.</w:t>
            </w:r>
          </w:p>
        </w:tc>
        <w:tc>
          <w:tcPr>
            <w:tcW w:w="0" w:type="dxa"/>
          </w:tcPr>
          <w:p w14:paraId="7B031509" w14:textId="77777777" w:rsidR="001905F1" w:rsidRPr="001905F1" w:rsidRDefault="001905F1" w:rsidP="001905F1">
            <w:pPr>
              <w:tabs>
                <w:tab w:val="left" w:pos="1206"/>
              </w:tabs>
              <w:rPr>
                <w:rFonts w:eastAsia="Verdana" w:cs="Times New Roman"/>
                <w:color w:val="000000"/>
                <w:lang w:val="en-GB"/>
              </w:rPr>
            </w:pPr>
            <w:r w:rsidRPr="001905F1">
              <w:rPr>
                <w:rFonts w:eastAsia="Verdana" w:cs="Times New Roman"/>
                <w:color w:val="000000"/>
                <w:lang w:val="en-GB"/>
              </w:rPr>
              <w:t>Partial</w:t>
            </w:r>
          </w:p>
        </w:tc>
        <w:tc>
          <w:tcPr>
            <w:tcW w:w="0" w:type="dxa"/>
          </w:tcPr>
          <w:p w14:paraId="404AFCCC" w14:textId="77777777" w:rsidR="001905F1" w:rsidRPr="001905F1" w:rsidRDefault="001905F1" w:rsidP="00171325">
            <w:pPr>
              <w:numPr>
                <w:ilvl w:val="0"/>
                <w:numId w:val="33"/>
              </w:numPr>
              <w:tabs>
                <w:tab w:val="left" w:pos="1206"/>
              </w:tabs>
              <w:spacing w:after="0"/>
              <w:contextualSpacing/>
              <w:rPr>
                <w:rFonts w:eastAsia="Verdana" w:cs="Times New Roman"/>
                <w:color w:val="000000"/>
                <w:lang w:val="en-GB"/>
              </w:rPr>
            </w:pPr>
            <w:r w:rsidRPr="001905F1">
              <w:rPr>
                <w:rFonts w:eastAsia="Verdana" w:cs="Times New Roman"/>
                <w:color w:val="000000"/>
                <w:lang w:val="en-GB"/>
              </w:rPr>
              <w:t>Annual review of QIP determined through service’s response to relevant questions Compliance and Operations Report.</w:t>
            </w:r>
          </w:p>
        </w:tc>
      </w:tr>
    </w:tbl>
    <w:p w14:paraId="43721D3B" w14:textId="77777777" w:rsidR="001905F1" w:rsidRPr="001905F1" w:rsidRDefault="001905F1" w:rsidP="001905F1">
      <w:pPr>
        <w:tabs>
          <w:tab w:val="left" w:pos="1206"/>
        </w:tabs>
        <w:rPr>
          <w:rFonts w:eastAsia="Verdana" w:cs="Times New Roman"/>
          <w:color w:val="000000"/>
        </w:rPr>
      </w:pPr>
    </w:p>
    <w:p w14:paraId="0BD83209" w14:textId="77777777" w:rsidR="001905F1" w:rsidRPr="001905F1" w:rsidRDefault="001905F1" w:rsidP="001905F1">
      <w:pPr>
        <w:tabs>
          <w:tab w:val="left" w:pos="1206"/>
        </w:tabs>
        <w:rPr>
          <w:rFonts w:eastAsia="Verdana" w:cs="Times New Roman"/>
          <w:color w:val="000000"/>
        </w:rPr>
        <w:sectPr w:rsidR="001905F1" w:rsidRPr="001905F1">
          <w:headerReference w:type="even" r:id="rId134"/>
          <w:headerReference w:type="default" r:id="rId135"/>
          <w:footerReference w:type="default" r:id="rId136"/>
          <w:headerReference w:type="first" r:id="rId137"/>
          <w:footerReference w:type="first" r:id="rId138"/>
          <w:pgSz w:w="16838" w:h="11906" w:orient="landscape" w:code="9"/>
          <w:pgMar w:top="1440" w:right="1440" w:bottom="1440" w:left="1440" w:header="680" w:footer="425" w:gutter="0"/>
          <w:cols w:space="284"/>
          <w:docGrid w:linePitch="360"/>
        </w:sectPr>
      </w:pPr>
    </w:p>
    <w:p w14:paraId="09D0D76C" w14:textId="77777777" w:rsidR="00C80BBD" w:rsidRDefault="00C80BBD" w:rsidP="00C80BBD">
      <w:r>
        <w:rPr>
          <w:rFonts w:eastAsia="MingLiU" w:cs="Times New Roman"/>
          <w:b/>
          <w:bCs/>
        </w:rPr>
        <w:lastRenderedPageBreak/>
        <w:t>Documentation selected for analysis</w:t>
      </w:r>
      <w:r>
        <w:br/>
      </w:r>
      <w:r w:rsidRPr="00DA25A4">
        <w:t>The analysis relied on</w:t>
      </w:r>
      <w:r>
        <w:t xml:space="preserve"> survey responses and</w:t>
      </w:r>
      <w:r w:rsidRPr="00DA25A4">
        <w:t xml:space="preserve"> documentation submitted</w:t>
      </w:r>
      <w:r>
        <w:t xml:space="preserve"> to the Department</w:t>
      </w:r>
      <w:r w:rsidRPr="00DA25A4">
        <w:t xml:space="preserve"> as part of the Compliance and Operations Reports by CCCFR services</w:t>
      </w:r>
      <w:r>
        <w:t xml:space="preserve"> in March-April 2023</w:t>
      </w:r>
      <w:r w:rsidRPr="00DA25A4">
        <w:t>. Thi</w:t>
      </w:r>
      <w:r>
        <w:t xml:space="preserve">s evidence base </w:t>
      </w:r>
      <w:r w:rsidRPr="00DA25A4">
        <w:t xml:space="preserve">ensured that the evaluation was grounded in actual service submissions, reflecting their </w:t>
      </w:r>
      <w:r>
        <w:t>ability</w:t>
      </w:r>
      <w:r w:rsidRPr="00DA25A4">
        <w:t xml:space="preserve"> to meet</w:t>
      </w:r>
      <w:r>
        <w:t xml:space="preserve"> </w:t>
      </w:r>
      <w:r w:rsidRPr="00DA25A4">
        <w:t>compliance requirements</w:t>
      </w:r>
      <w:r>
        <w:t xml:space="preserve"> of the CCCFR grant.</w:t>
      </w:r>
    </w:p>
    <w:p w14:paraId="2BE4F206" w14:textId="77777777" w:rsidR="00C80BBD" w:rsidRPr="009934A8" w:rsidRDefault="00C80BBD" w:rsidP="00C80BBD">
      <w:r>
        <w:t>It is important to note that this analysis only considers initial documentation submitted to Program Officers as part of the Compliance and Operations Report survey portal and does not include subsequent communication or documentation submitted from services to Program Officers.</w:t>
      </w:r>
    </w:p>
    <w:p w14:paraId="541C5E0F" w14:textId="47483826" w:rsidR="00650C8E" w:rsidRDefault="49EAADA4" w:rsidP="1A6C3333">
      <w:r>
        <w:t>To provide a clear comparison across CCCFR services</w:t>
      </w:r>
      <w:r w:rsidR="78A98206">
        <w:t xml:space="preserve">, indicators for assessment were only considered where all services were expected to submit document or evidence. </w:t>
      </w:r>
      <w:r w:rsidR="3B115947">
        <w:t>Noting this</w:t>
      </w:r>
      <w:r w:rsidR="78A98206">
        <w:t>, other documentation colle</w:t>
      </w:r>
      <w:r w:rsidR="7D96768B">
        <w:t>cted as part of the Compliance and Operations report</w:t>
      </w:r>
      <w:r w:rsidR="78A98206">
        <w:t xml:space="preserve">, such as Transportation and/or Excursion policies </w:t>
      </w:r>
      <w:r w:rsidR="78A98206" w:rsidRPr="00CD38C6">
        <w:rPr>
          <w:i/>
          <w:iCs/>
        </w:rPr>
        <w:t>(where applicable)</w:t>
      </w:r>
      <w:r w:rsidR="06E9F420">
        <w:t xml:space="preserve"> have not been considered within this analysis.</w:t>
      </w:r>
      <w:r w:rsidR="0027691E">
        <w:t xml:space="preserve"> </w:t>
      </w:r>
    </w:p>
    <w:p w14:paraId="2EED5C12" w14:textId="23795196" w:rsidR="001131DE" w:rsidRDefault="00515A1B" w:rsidP="1A6C3333">
      <w:r w:rsidRPr="00E515B6">
        <w:t xml:space="preserve">To </w:t>
      </w:r>
      <w:r w:rsidR="00D81CB0" w:rsidRPr="00E515B6">
        <w:t>assess whether services’ transport</w:t>
      </w:r>
      <w:r w:rsidR="0077309C" w:rsidRPr="00E515B6">
        <w:t xml:space="preserve">ation offerings meet </w:t>
      </w:r>
      <w:r w:rsidR="0053553A" w:rsidRPr="00E515B6">
        <w:t>expectations</w:t>
      </w:r>
      <w:r w:rsidR="00D81CB0" w:rsidRPr="00E515B6">
        <w:t xml:space="preserve"> </w:t>
      </w:r>
      <w:r w:rsidR="0053553A" w:rsidRPr="00E515B6">
        <w:t>under the Minister’s Rules, the Department may wish to consider undertaking a similar analysis of transportation policies collected as part of the Compliance and Operations Reports.</w:t>
      </w:r>
      <w:r w:rsidR="00650C8E">
        <w:t xml:space="preserve"> </w:t>
      </w:r>
    </w:p>
    <w:p w14:paraId="00042F55" w14:textId="5FCFE4D9" w:rsidR="001905F1" w:rsidRPr="001905F1" w:rsidRDefault="001905F1" w:rsidP="00CD38C6">
      <w:pPr>
        <w:keepNext/>
        <w:keepLines/>
        <w:spacing w:after="0"/>
        <w:rPr>
          <w:rFonts w:eastAsia="MingLiU" w:cs="Times New Roman"/>
          <w:b/>
          <w:bCs/>
        </w:rPr>
      </w:pPr>
      <w:r w:rsidRPr="001905F1">
        <w:rPr>
          <w:rFonts w:eastAsia="MingLiU" w:cs="Times New Roman"/>
          <w:b/>
          <w:bCs/>
        </w:rPr>
        <w:t>Weighting of evidence for Multi-Criteria Analysis (MCA)</w:t>
      </w:r>
    </w:p>
    <w:p w14:paraId="3B987BDD" w14:textId="40E33C67" w:rsidR="001905F1" w:rsidRPr="00693921" w:rsidRDefault="001905F1" w:rsidP="001905F1">
      <w:pPr>
        <w:rPr>
          <w:rFonts w:eastAsia="Verdana" w:cs="Times New Roman"/>
        </w:rPr>
      </w:pPr>
      <w:r w:rsidRPr="001905F1">
        <w:rPr>
          <w:rFonts w:eastAsia="Verdana" w:cs="Times New Roman"/>
        </w:rPr>
        <w:t xml:space="preserve">MCA adopts a weighted approach to assessment. In the context of compliance with the Minister’s Rules, the use of weighting acknowledges the varying degrees of impact that different legislative obligations have on the overall quality and safety of a child care </w:t>
      </w:r>
      <w:r w:rsidRPr="00693921">
        <w:rPr>
          <w:rFonts w:eastAsia="Verdana" w:cs="Times New Roman"/>
        </w:rPr>
        <w:t>service.</w:t>
      </w:r>
    </w:p>
    <w:tbl>
      <w:tblPr>
        <w:tblStyle w:val="TableGrid"/>
        <w:tblW w:w="0" w:type="auto"/>
        <w:shd w:val="clear" w:color="auto" w:fill="E7F5CF" w:themeFill="accent1" w:themeFillTint="33"/>
        <w:tblLook w:val="04A0" w:firstRow="1" w:lastRow="0" w:firstColumn="1" w:lastColumn="0" w:noHBand="0" w:noVBand="1"/>
      </w:tblPr>
      <w:tblGrid>
        <w:gridCol w:w="9026"/>
      </w:tblGrid>
      <w:tr w:rsidR="007B2CA0" w14:paraId="069FADEB" w14:textId="77777777" w:rsidTr="007B2CA0">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6AB249BF" w14:textId="6916E43D" w:rsidR="007B2CA0" w:rsidRPr="00693921" w:rsidRDefault="007B2CA0" w:rsidP="001905F1">
            <w:pPr>
              <w:rPr>
                <w:rFonts w:eastAsia="Verdana" w:cs="Times New Roman"/>
              </w:rPr>
            </w:pPr>
            <w:r w:rsidRPr="00693921">
              <w:rPr>
                <w:rFonts w:eastAsia="Verdana" w:cs="Times New Roman"/>
                <w:b/>
              </w:rPr>
              <w:t>Note:</w:t>
            </w:r>
            <w:r w:rsidRPr="00693921">
              <w:rPr>
                <w:rFonts w:eastAsia="Verdana" w:cs="Times New Roman"/>
              </w:rPr>
              <w:t xml:space="preserve"> The review determined the relevant weighting for each element and underlying indicator as part of this MCA in line with the following </w:t>
            </w:r>
            <w:r w:rsidR="00214819" w:rsidRPr="00693921">
              <w:rPr>
                <w:rFonts w:eastAsia="Verdana" w:cs="Times New Roman"/>
              </w:rPr>
              <w:t>principles</w:t>
            </w:r>
            <w:r w:rsidR="00047275">
              <w:rPr>
                <w:rFonts w:eastAsia="Verdana" w:cs="Times New Roman"/>
              </w:rPr>
              <w:t>:</w:t>
            </w:r>
          </w:p>
          <w:p w14:paraId="5BBCCFBF" w14:textId="68911DCC" w:rsidR="00214819" w:rsidRPr="00693921" w:rsidRDefault="001C1C92" w:rsidP="00171325">
            <w:pPr>
              <w:pStyle w:val="ListParagraph"/>
              <w:numPr>
                <w:ilvl w:val="0"/>
                <w:numId w:val="33"/>
              </w:numPr>
              <w:rPr>
                <w:rFonts w:eastAsia="Verdana" w:cs="Times New Roman"/>
              </w:rPr>
            </w:pPr>
            <w:r w:rsidRPr="00693921">
              <w:rPr>
                <w:rFonts w:eastAsia="Verdana" w:cs="Times New Roman"/>
              </w:rPr>
              <w:t>The review adopted a risk-based approach when</w:t>
            </w:r>
            <w:r w:rsidR="00214819" w:rsidRPr="00693921">
              <w:rPr>
                <w:rFonts w:eastAsia="Verdana" w:cs="Times New Roman"/>
              </w:rPr>
              <w:t xml:space="preserve"> determining the relative weighting (e.g.</w:t>
            </w:r>
            <w:r w:rsidR="00F37C0C">
              <w:rPr>
                <w:rFonts w:eastAsia="Verdana" w:cs="Times New Roman"/>
              </w:rPr>
              <w:t>,</w:t>
            </w:r>
            <w:r w:rsidR="00214819" w:rsidRPr="00693921">
              <w:rPr>
                <w:rFonts w:eastAsia="Verdana" w:cs="Times New Roman"/>
              </w:rPr>
              <w:t xml:space="preserve"> educational program, insurances)</w:t>
            </w:r>
            <w:r w:rsidR="00A316BC" w:rsidRPr="00693921">
              <w:rPr>
                <w:rFonts w:eastAsia="Verdana" w:cs="Times New Roman"/>
              </w:rPr>
              <w:t>,</w:t>
            </w:r>
            <w:r w:rsidRPr="00693921">
              <w:rPr>
                <w:rFonts w:eastAsia="Verdana" w:cs="Times New Roman"/>
              </w:rPr>
              <w:t xml:space="preserve"> in line with</w:t>
            </w:r>
            <w:r w:rsidR="00214819" w:rsidRPr="00693921">
              <w:rPr>
                <w:rFonts w:eastAsia="Verdana" w:cs="Times New Roman"/>
              </w:rPr>
              <w:t xml:space="preserve"> the </w:t>
            </w:r>
            <w:r w:rsidRPr="00693921">
              <w:rPr>
                <w:rFonts w:eastAsia="Verdana" w:cs="Times New Roman"/>
              </w:rPr>
              <w:t xml:space="preserve">perceived risk of </w:t>
            </w:r>
            <w:r w:rsidR="00586E91" w:rsidRPr="00693921">
              <w:rPr>
                <w:rFonts w:eastAsia="Verdana" w:cs="Times New Roman"/>
              </w:rPr>
              <w:t>harm or hazard to children</w:t>
            </w:r>
            <w:r w:rsidR="00F37C0C">
              <w:rPr>
                <w:rFonts w:eastAsia="Verdana" w:cs="Times New Roman"/>
              </w:rPr>
              <w:t>.</w:t>
            </w:r>
          </w:p>
          <w:p w14:paraId="0431D406" w14:textId="53F1D56E" w:rsidR="007B2CA0" w:rsidRPr="00693921" w:rsidRDefault="00A316BC" w:rsidP="00171325">
            <w:pPr>
              <w:pStyle w:val="ListParagraph"/>
              <w:numPr>
                <w:ilvl w:val="0"/>
                <w:numId w:val="33"/>
              </w:numPr>
              <w:rPr>
                <w:rFonts w:eastAsia="Verdana" w:cs="Times New Roman"/>
              </w:rPr>
            </w:pPr>
            <w:r w:rsidRPr="00693921">
              <w:rPr>
                <w:rFonts w:eastAsia="Verdana" w:cs="Times New Roman"/>
              </w:rPr>
              <w:t xml:space="preserve">In considering the relative weighting of indicators under each Element, </w:t>
            </w:r>
            <w:r w:rsidR="00455F78" w:rsidRPr="00693921">
              <w:rPr>
                <w:rFonts w:eastAsia="Verdana" w:cs="Times New Roman"/>
              </w:rPr>
              <w:t xml:space="preserve">weighting </w:t>
            </w:r>
            <w:r w:rsidR="00E54AE4" w:rsidRPr="00693921">
              <w:rPr>
                <w:rFonts w:eastAsia="Verdana" w:cs="Times New Roman"/>
              </w:rPr>
              <w:t xml:space="preserve">the existence of </w:t>
            </w:r>
            <w:r w:rsidR="00455F78" w:rsidRPr="00693921">
              <w:rPr>
                <w:rFonts w:eastAsia="Verdana" w:cs="Times New Roman"/>
              </w:rPr>
              <w:t xml:space="preserve">documentation above </w:t>
            </w:r>
            <w:r w:rsidR="004B069F" w:rsidRPr="00693921">
              <w:rPr>
                <w:rFonts w:eastAsia="Verdana" w:cs="Times New Roman"/>
              </w:rPr>
              <w:t>aspects requiring interpretation, noting the broad nature of services and documentation</w:t>
            </w:r>
            <w:r w:rsidR="00693921" w:rsidRPr="00693921">
              <w:rPr>
                <w:rFonts w:eastAsia="Verdana" w:cs="Times New Roman"/>
              </w:rPr>
              <w:t>.</w:t>
            </w:r>
          </w:p>
        </w:tc>
      </w:tr>
    </w:tbl>
    <w:p w14:paraId="2BD85FAF" w14:textId="77777777" w:rsidR="007B2CA0" w:rsidRPr="001905F1" w:rsidRDefault="007B2CA0" w:rsidP="001905F1">
      <w:pPr>
        <w:rPr>
          <w:rFonts w:eastAsia="Verdana" w:cs="Times New Roman"/>
        </w:rPr>
      </w:pPr>
    </w:p>
    <w:p w14:paraId="63D498AA" w14:textId="4876AA04" w:rsidR="001905F1" w:rsidRPr="001905F1" w:rsidRDefault="001905F1" w:rsidP="001905F1">
      <w:pPr>
        <w:rPr>
          <w:rFonts w:eastAsia="Verdana" w:cs="Times New Roman"/>
        </w:rPr>
      </w:pPr>
      <w:r w:rsidRPr="001905F1">
        <w:rPr>
          <w:rFonts w:eastAsia="Verdana" w:cs="Times New Roman"/>
        </w:rPr>
        <w:t>For the purposes of this analysis, the following elements and associated weightings were determined by the review team, including a brief rationale for their proportionate weighting.</w:t>
      </w:r>
    </w:p>
    <w:tbl>
      <w:tblPr>
        <w:tblStyle w:val="Deloittetable"/>
        <w:tblW w:w="9634" w:type="dxa"/>
        <w:tblLook w:val="04A0" w:firstRow="1" w:lastRow="0" w:firstColumn="1" w:lastColumn="0" w:noHBand="0" w:noVBand="1"/>
      </w:tblPr>
      <w:tblGrid>
        <w:gridCol w:w="3608"/>
        <w:gridCol w:w="2675"/>
        <w:gridCol w:w="3351"/>
      </w:tblGrid>
      <w:tr w:rsidR="001905F1" w:rsidRPr="001905F1" w14:paraId="071516FE" w14:textId="77777777" w:rsidTr="001C655F">
        <w:trPr>
          <w:cnfStyle w:val="100000000000" w:firstRow="1" w:lastRow="0" w:firstColumn="0" w:lastColumn="0" w:oddVBand="0" w:evenVBand="0" w:oddHBand="0" w:evenHBand="0" w:firstRowFirstColumn="0" w:firstRowLastColumn="0" w:lastRowFirstColumn="0" w:lastRowLastColumn="0"/>
        </w:trPr>
        <w:tc>
          <w:tcPr>
            <w:tcW w:w="0" w:type="dxa"/>
          </w:tcPr>
          <w:p w14:paraId="6DF18F1E" w14:textId="77777777" w:rsidR="001905F1" w:rsidRPr="001C655F" w:rsidRDefault="001905F1" w:rsidP="001905F1">
            <w:pPr>
              <w:rPr>
                <w:b/>
                <w:lang w:val="en-GB"/>
              </w:rPr>
            </w:pPr>
            <w:r w:rsidRPr="001C655F">
              <w:rPr>
                <w:b/>
                <w:lang w:val="en-GB"/>
              </w:rPr>
              <w:t>Element</w:t>
            </w:r>
          </w:p>
        </w:tc>
        <w:tc>
          <w:tcPr>
            <w:tcW w:w="0" w:type="dxa"/>
          </w:tcPr>
          <w:p w14:paraId="670C582C" w14:textId="77777777" w:rsidR="001905F1" w:rsidRPr="001C655F" w:rsidRDefault="001905F1" w:rsidP="001905F1">
            <w:pPr>
              <w:rPr>
                <w:b/>
                <w:lang w:val="en-GB"/>
              </w:rPr>
            </w:pPr>
            <w:r w:rsidRPr="001C655F">
              <w:rPr>
                <w:b/>
                <w:lang w:val="en-GB"/>
              </w:rPr>
              <w:t>Weighting</w:t>
            </w:r>
          </w:p>
        </w:tc>
        <w:tc>
          <w:tcPr>
            <w:tcW w:w="0" w:type="dxa"/>
          </w:tcPr>
          <w:p w14:paraId="5F9F8DF0" w14:textId="77777777" w:rsidR="001905F1" w:rsidRPr="001C655F" w:rsidRDefault="001905F1" w:rsidP="001905F1">
            <w:pPr>
              <w:rPr>
                <w:b/>
                <w:lang w:val="en-GB"/>
              </w:rPr>
            </w:pPr>
            <w:r w:rsidRPr="001C655F">
              <w:rPr>
                <w:b/>
                <w:lang w:val="en-GB"/>
              </w:rPr>
              <w:t>Rationale</w:t>
            </w:r>
          </w:p>
        </w:tc>
      </w:tr>
      <w:tr w:rsidR="001905F1" w:rsidRPr="001905F1" w14:paraId="469BDA40" w14:textId="77777777" w:rsidTr="001C655F">
        <w:tc>
          <w:tcPr>
            <w:tcW w:w="0" w:type="dxa"/>
          </w:tcPr>
          <w:p w14:paraId="4F1FC9D7" w14:textId="77777777" w:rsidR="001905F1" w:rsidRPr="001C655F" w:rsidRDefault="001905F1" w:rsidP="001905F1">
            <w:pPr>
              <w:rPr>
                <w:b/>
                <w:lang w:val="en-GB"/>
              </w:rPr>
            </w:pPr>
            <w:r w:rsidRPr="001C655F">
              <w:rPr>
                <w:b/>
                <w:color w:val="000000"/>
                <w:lang w:val="en-GB"/>
              </w:rPr>
              <w:t>Tailored, individual educational program (as per s50(a))</w:t>
            </w:r>
          </w:p>
        </w:tc>
        <w:tc>
          <w:tcPr>
            <w:tcW w:w="0" w:type="dxa"/>
          </w:tcPr>
          <w:p w14:paraId="118F2675" w14:textId="77777777" w:rsidR="001905F1" w:rsidRPr="001905F1" w:rsidRDefault="001905F1" w:rsidP="001905F1">
            <w:pPr>
              <w:rPr>
                <w:rFonts w:eastAsia="Verdana" w:cs="Times New Roman"/>
                <w:lang w:val="en-GB"/>
              </w:rPr>
            </w:pPr>
            <w:r w:rsidRPr="001905F1">
              <w:rPr>
                <w:rFonts w:eastAsia="Verdana" w:cs="Times New Roman"/>
                <w:lang w:val="en-GB"/>
              </w:rPr>
              <w:t>20%</w:t>
            </w:r>
          </w:p>
        </w:tc>
        <w:tc>
          <w:tcPr>
            <w:tcW w:w="0" w:type="dxa"/>
          </w:tcPr>
          <w:p w14:paraId="3BC318D1" w14:textId="77777777" w:rsidR="001905F1" w:rsidRPr="001905F1" w:rsidRDefault="001905F1" w:rsidP="001905F1">
            <w:pPr>
              <w:rPr>
                <w:rFonts w:eastAsia="Verdana" w:cs="Times New Roman"/>
                <w:lang w:val="en-GB"/>
              </w:rPr>
            </w:pPr>
            <w:r w:rsidRPr="001905F1">
              <w:rPr>
                <w:rFonts w:eastAsia="Verdana" w:cs="Times New Roman"/>
                <w:lang w:val="en-GB"/>
              </w:rPr>
              <w:t>Tied to objectives and intent of CCCFR and strong impact on child developmental outcomes.</w:t>
            </w:r>
          </w:p>
        </w:tc>
      </w:tr>
      <w:tr w:rsidR="001905F1" w:rsidRPr="001905F1" w14:paraId="6EF245EC" w14:textId="77777777" w:rsidTr="001C655F">
        <w:trPr>
          <w:trHeight w:val="784"/>
        </w:trPr>
        <w:tc>
          <w:tcPr>
            <w:tcW w:w="0" w:type="dxa"/>
          </w:tcPr>
          <w:p w14:paraId="6410984C" w14:textId="77777777" w:rsidR="001905F1" w:rsidRPr="001C655F" w:rsidRDefault="001905F1" w:rsidP="001905F1">
            <w:pPr>
              <w:rPr>
                <w:b/>
                <w:color w:val="000000"/>
                <w:lang w:val="en-GB"/>
              </w:rPr>
            </w:pPr>
            <w:r w:rsidRPr="001C655F">
              <w:rPr>
                <w:b/>
                <w:color w:val="000000"/>
                <w:lang w:val="en-GB"/>
              </w:rPr>
              <w:t>Ensure reasonable precautions are taken to protect children from harm or injury</w:t>
            </w:r>
          </w:p>
        </w:tc>
        <w:tc>
          <w:tcPr>
            <w:tcW w:w="0" w:type="dxa"/>
          </w:tcPr>
          <w:p w14:paraId="6BAF8DA6" w14:textId="77777777" w:rsidR="001905F1" w:rsidRPr="001905F1" w:rsidRDefault="001905F1" w:rsidP="001905F1">
            <w:pPr>
              <w:rPr>
                <w:rFonts w:eastAsia="Verdana" w:cs="Times New Roman"/>
                <w:lang w:val="en-GB"/>
              </w:rPr>
            </w:pPr>
            <w:r w:rsidRPr="001905F1">
              <w:rPr>
                <w:rFonts w:eastAsia="Verdana" w:cs="Times New Roman"/>
                <w:lang w:val="en-GB"/>
              </w:rPr>
              <w:t>40%</w:t>
            </w:r>
          </w:p>
        </w:tc>
        <w:tc>
          <w:tcPr>
            <w:tcW w:w="0" w:type="dxa"/>
            <w:vMerge w:val="restart"/>
          </w:tcPr>
          <w:p w14:paraId="48DA04AD" w14:textId="77777777" w:rsidR="001905F1" w:rsidRPr="001905F1" w:rsidRDefault="001905F1" w:rsidP="001905F1">
            <w:pPr>
              <w:rPr>
                <w:rFonts w:eastAsia="Verdana" w:cs="Times New Roman"/>
                <w:b/>
                <w:bCs/>
                <w:lang w:val="en-GB"/>
              </w:rPr>
            </w:pPr>
            <w:r w:rsidRPr="001905F1">
              <w:rPr>
                <w:rFonts w:eastAsia="Verdana" w:cs="Times New Roman"/>
                <w:lang w:val="en-GB"/>
              </w:rPr>
              <w:t>Critical elements to ensure overall child health and wellbeing, particularly in response to harm or hazard and ensuring adequate supervision.</w:t>
            </w:r>
          </w:p>
        </w:tc>
      </w:tr>
      <w:tr w:rsidR="001905F1" w:rsidRPr="001905F1" w14:paraId="39F139BC" w14:textId="77777777" w:rsidTr="001C655F">
        <w:trPr>
          <w:trHeight w:val="654"/>
        </w:trPr>
        <w:tc>
          <w:tcPr>
            <w:tcW w:w="0" w:type="dxa"/>
          </w:tcPr>
          <w:p w14:paraId="5F717035" w14:textId="77777777" w:rsidR="001905F1" w:rsidRPr="001C655F" w:rsidRDefault="001905F1" w:rsidP="001905F1">
            <w:pPr>
              <w:rPr>
                <w:b/>
                <w:lang w:val="en-GB"/>
              </w:rPr>
            </w:pPr>
            <w:r w:rsidRPr="001C655F">
              <w:rPr>
                <w:b/>
                <w:color w:val="000000"/>
                <w:lang w:val="en-GB"/>
              </w:rPr>
              <w:t>Arrangements to manage serious incidents</w:t>
            </w:r>
          </w:p>
        </w:tc>
        <w:tc>
          <w:tcPr>
            <w:tcW w:w="0" w:type="dxa"/>
          </w:tcPr>
          <w:p w14:paraId="1DEA9CAA" w14:textId="77777777" w:rsidR="001905F1" w:rsidRPr="001905F1" w:rsidRDefault="001905F1" w:rsidP="001905F1">
            <w:pPr>
              <w:rPr>
                <w:rFonts w:eastAsia="Verdana" w:cs="Times New Roman"/>
                <w:lang w:val="en-GB"/>
              </w:rPr>
            </w:pPr>
            <w:r w:rsidRPr="001905F1">
              <w:rPr>
                <w:rFonts w:eastAsia="Verdana" w:cs="Times New Roman"/>
                <w:lang w:val="en-GB"/>
              </w:rPr>
              <w:t>25%</w:t>
            </w:r>
          </w:p>
        </w:tc>
        <w:tc>
          <w:tcPr>
            <w:tcW w:w="0" w:type="dxa"/>
            <w:vMerge/>
          </w:tcPr>
          <w:p w14:paraId="4C88DF74" w14:textId="77777777" w:rsidR="001905F1" w:rsidRPr="001905F1" w:rsidRDefault="001905F1" w:rsidP="001905F1">
            <w:pPr>
              <w:rPr>
                <w:rFonts w:eastAsia="Verdana" w:cs="Times New Roman"/>
                <w:lang w:val="en-GB"/>
              </w:rPr>
            </w:pPr>
          </w:p>
        </w:tc>
      </w:tr>
      <w:tr w:rsidR="001905F1" w:rsidRPr="001905F1" w14:paraId="1387B2A9" w14:textId="77777777" w:rsidTr="001C655F">
        <w:tc>
          <w:tcPr>
            <w:tcW w:w="0" w:type="dxa"/>
          </w:tcPr>
          <w:p w14:paraId="7640BDE8" w14:textId="77777777" w:rsidR="001905F1" w:rsidRPr="001C655F" w:rsidRDefault="001905F1" w:rsidP="001905F1">
            <w:pPr>
              <w:rPr>
                <w:b/>
                <w:lang w:val="en-GB"/>
              </w:rPr>
            </w:pPr>
            <w:r w:rsidRPr="001C655F">
              <w:rPr>
                <w:b/>
                <w:lang w:val="en-GB"/>
              </w:rPr>
              <w:t>Insurances</w:t>
            </w:r>
          </w:p>
        </w:tc>
        <w:tc>
          <w:tcPr>
            <w:tcW w:w="0" w:type="dxa"/>
          </w:tcPr>
          <w:p w14:paraId="2CC25A9A" w14:textId="77777777" w:rsidR="001905F1" w:rsidRPr="001905F1" w:rsidRDefault="001905F1" w:rsidP="001905F1">
            <w:pPr>
              <w:rPr>
                <w:rFonts w:eastAsia="Verdana" w:cs="Times New Roman"/>
                <w:lang w:val="en-GB"/>
              </w:rPr>
            </w:pPr>
            <w:r w:rsidRPr="001905F1">
              <w:rPr>
                <w:rFonts w:eastAsia="Verdana" w:cs="Times New Roman"/>
                <w:lang w:val="en-GB"/>
              </w:rPr>
              <w:t>15%</w:t>
            </w:r>
          </w:p>
        </w:tc>
        <w:tc>
          <w:tcPr>
            <w:tcW w:w="0" w:type="dxa"/>
          </w:tcPr>
          <w:p w14:paraId="371AA062" w14:textId="77777777" w:rsidR="001905F1" w:rsidRPr="001905F1" w:rsidRDefault="001905F1" w:rsidP="001905F1">
            <w:pPr>
              <w:rPr>
                <w:rFonts w:eastAsia="Verdana" w:cs="Times New Roman"/>
                <w:lang w:val="en-GB"/>
              </w:rPr>
            </w:pPr>
            <w:r w:rsidRPr="001905F1">
              <w:rPr>
                <w:rFonts w:eastAsia="Verdana" w:cs="Times New Roman"/>
                <w:lang w:val="en-GB"/>
              </w:rPr>
              <w:t>While important for operational and financial sustainability, limited day-to-day impact on child safety in response to risk/hazard</w:t>
            </w:r>
          </w:p>
        </w:tc>
      </w:tr>
      <w:tr w:rsidR="001905F1" w:rsidRPr="001905F1" w14:paraId="5529956A" w14:textId="77777777" w:rsidTr="001C655F">
        <w:tc>
          <w:tcPr>
            <w:tcW w:w="0" w:type="dxa"/>
          </w:tcPr>
          <w:p w14:paraId="57DDB5D0" w14:textId="77777777" w:rsidR="001905F1" w:rsidRPr="001C655F" w:rsidRDefault="001905F1" w:rsidP="001905F1">
            <w:pPr>
              <w:rPr>
                <w:b/>
                <w:lang w:val="en-GB"/>
              </w:rPr>
            </w:pPr>
            <w:r w:rsidRPr="001C655F">
              <w:rPr>
                <w:b/>
                <w:color w:val="000000"/>
                <w:lang w:val="en-GB"/>
              </w:rPr>
              <w:t>Quality Improvement Plan</w:t>
            </w:r>
          </w:p>
        </w:tc>
        <w:tc>
          <w:tcPr>
            <w:tcW w:w="0" w:type="dxa"/>
          </w:tcPr>
          <w:p w14:paraId="6F94E425" w14:textId="77777777" w:rsidR="001905F1" w:rsidRPr="001905F1" w:rsidRDefault="001905F1" w:rsidP="001905F1">
            <w:pPr>
              <w:rPr>
                <w:rFonts w:eastAsia="Verdana" w:cs="Times New Roman"/>
                <w:lang w:val="en-GB"/>
              </w:rPr>
            </w:pPr>
            <w:r w:rsidRPr="001905F1">
              <w:rPr>
                <w:rFonts w:eastAsia="Verdana" w:cs="Times New Roman"/>
                <w:lang w:val="en-GB"/>
              </w:rPr>
              <w:t>10%</w:t>
            </w:r>
          </w:p>
        </w:tc>
        <w:tc>
          <w:tcPr>
            <w:tcW w:w="0" w:type="dxa"/>
          </w:tcPr>
          <w:p w14:paraId="3E015BBF" w14:textId="77777777" w:rsidR="001905F1" w:rsidRPr="001905F1" w:rsidRDefault="001905F1" w:rsidP="001905F1">
            <w:pPr>
              <w:rPr>
                <w:rFonts w:eastAsia="Verdana" w:cs="Times New Roman"/>
                <w:lang w:val="en-GB"/>
              </w:rPr>
            </w:pPr>
            <w:r w:rsidRPr="001905F1">
              <w:rPr>
                <w:rFonts w:eastAsia="Verdana" w:cs="Times New Roman"/>
                <w:lang w:val="en-GB"/>
              </w:rPr>
              <w:t xml:space="preserve">While critical tool on supporting other elements outlined above, limited </w:t>
            </w:r>
            <w:r w:rsidRPr="001905F1">
              <w:rPr>
                <w:rFonts w:eastAsia="Verdana" w:cs="Times New Roman"/>
                <w:lang w:val="en-GB"/>
              </w:rPr>
              <w:lastRenderedPageBreak/>
              <w:t>day-to-day impact on child safety in response to risk/hazard.</w:t>
            </w:r>
          </w:p>
        </w:tc>
      </w:tr>
    </w:tbl>
    <w:p w14:paraId="3755D3FB" w14:textId="77777777" w:rsidR="001905F1" w:rsidRPr="001905F1" w:rsidRDefault="001905F1" w:rsidP="001905F1">
      <w:pPr>
        <w:rPr>
          <w:rFonts w:eastAsia="Verdana" w:cs="Times New Roman"/>
        </w:rPr>
      </w:pPr>
    </w:p>
    <w:p w14:paraId="72B2212B" w14:textId="47F9B692" w:rsidR="001905F1" w:rsidRPr="001905F1" w:rsidRDefault="001905F1" w:rsidP="001905F1">
      <w:pPr>
        <w:rPr>
          <w:rFonts w:eastAsia="Verdana" w:cs="Times New Roman"/>
        </w:rPr>
      </w:pPr>
      <w:r w:rsidRPr="001905F1">
        <w:rPr>
          <w:rFonts w:eastAsia="Verdana" w:cs="Times New Roman"/>
        </w:rPr>
        <w:t xml:space="preserve">When analysing services’ ability to meet each element, the following indicators were adopted. Furthermore, evidence within each element was weighted in line with their assumed </w:t>
      </w:r>
      <w:r w:rsidR="00113E2E">
        <w:rPr>
          <w:rFonts w:eastAsia="Verdana" w:cs="Times New Roman"/>
        </w:rPr>
        <w:t>importance</w:t>
      </w:r>
      <w:r w:rsidR="002E497C">
        <w:rPr>
          <w:rFonts w:eastAsia="Verdana" w:cs="Times New Roman"/>
        </w:rPr>
        <w:t xml:space="preserve"> </w:t>
      </w:r>
    </w:p>
    <w:tbl>
      <w:tblPr>
        <w:tblStyle w:val="Deloittetable"/>
        <w:tblW w:w="9634" w:type="dxa"/>
        <w:tblLook w:val="04A0" w:firstRow="1" w:lastRow="0" w:firstColumn="1" w:lastColumn="0" w:noHBand="0" w:noVBand="1"/>
      </w:tblPr>
      <w:tblGrid>
        <w:gridCol w:w="5490"/>
        <w:gridCol w:w="4144"/>
      </w:tblGrid>
      <w:tr w:rsidR="001905F1" w:rsidRPr="001905F1" w14:paraId="7FDFECFD" w14:textId="77777777" w:rsidTr="001C655F">
        <w:trPr>
          <w:cnfStyle w:val="100000000000" w:firstRow="1" w:lastRow="0" w:firstColumn="0" w:lastColumn="0" w:oddVBand="0" w:evenVBand="0" w:oddHBand="0" w:evenHBand="0" w:firstRowFirstColumn="0" w:firstRowLastColumn="0" w:lastRowFirstColumn="0" w:lastRowLastColumn="0"/>
        </w:trPr>
        <w:tc>
          <w:tcPr>
            <w:tcW w:w="0" w:type="dxa"/>
            <w:gridSpan w:val="2"/>
            <w:shd w:val="clear" w:color="auto" w:fill="DFF0F9" w:themeFill="accent3" w:themeFillTint="33"/>
          </w:tcPr>
          <w:p w14:paraId="36AF586C" w14:textId="77777777" w:rsidR="001905F1" w:rsidRPr="001C655F" w:rsidRDefault="001905F1" w:rsidP="001905F1">
            <w:pPr>
              <w:rPr>
                <w:b/>
                <w:lang w:val="en-GB"/>
              </w:rPr>
            </w:pPr>
            <w:r w:rsidRPr="001C655F">
              <w:rPr>
                <w:b/>
                <w:lang w:val="en-GB"/>
              </w:rPr>
              <w:t>Tailored, individual educational program</w:t>
            </w:r>
          </w:p>
        </w:tc>
      </w:tr>
      <w:tr w:rsidR="001905F1" w:rsidRPr="001905F1" w14:paraId="292EE25F" w14:textId="77777777" w:rsidTr="001C655F">
        <w:tc>
          <w:tcPr>
            <w:tcW w:w="0" w:type="dxa"/>
            <w:shd w:val="clear" w:color="auto" w:fill="E3E3E4" w:themeFill="accent6" w:themeFillTint="33"/>
          </w:tcPr>
          <w:p w14:paraId="4C93AA3C" w14:textId="77777777" w:rsidR="001905F1" w:rsidRPr="001C655F" w:rsidRDefault="001905F1" w:rsidP="001905F1">
            <w:pPr>
              <w:rPr>
                <w:b/>
                <w:lang w:val="en-GB"/>
              </w:rPr>
            </w:pPr>
            <w:r w:rsidRPr="001C655F">
              <w:rPr>
                <w:b/>
                <w:lang w:val="en-GB"/>
              </w:rPr>
              <w:t>Indicator</w:t>
            </w:r>
          </w:p>
        </w:tc>
        <w:tc>
          <w:tcPr>
            <w:tcW w:w="0" w:type="dxa"/>
            <w:shd w:val="clear" w:color="auto" w:fill="E3E3E4" w:themeFill="accent6" w:themeFillTint="33"/>
          </w:tcPr>
          <w:p w14:paraId="57F6913E" w14:textId="77777777" w:rsidR="001905F1" w:rsidRPr="001905F1" w:rsidRDefault="001905F1" w:rsidP="001905F1">
            <w:pPr>
              <w:rPr>
                <w:rFonts w:eastAsia="Verdana" w:cs="Times New Roman"/>
                <w:b/>
                <w:bCs/>
                <w:lang w:val="en-GB"/>
              </w:rPr>
            </w:pPr>
            <w:r w:rsidRPr="001905F1">
              <w:rPr>
                <w:rFonts w:eastAsia="Verdana" w:cs="Times New Roman"/>
                <w:b/>
                <w:bCs/>
                <w:lang w:val="en-GB"/>
              </w:rPr>
              <w:t>Weighting</w:t>
            </w:r>
          </w:p>
        </w:tc>
      </w:tr>
      <w:tr w:rsidR="001905F1" w:rsidRPr="001905F1" w14:paraId="0FFA1873" w14:textId="77777777" w:rsidTr="001C655F">
        <w:tc>
          <w:tcPr>
            <w:tcW w:w="0" w:type="dxa"/>
          </w:tcPr>
          <w:p w14:paraId="06AF311B" w14:textId="77777777" w:rsidR="001905F1" w:rsidRPr="001C655F" w:rsidRDefault="001905F1" w:rsidP="001905F1">
            <w:pPr>
              <w:rPr>
                <w:b/>
                <w:lang w:val="en-GB"/>
              </w:rPr>
            </w:pPr>
            <w:r w:rsidRPr="00065B14">
              <w:rPr>
                <w:lang w:val="en-GB"/>
              </w:rPr>
              <w:t>Responses to ‘High Quality Care’ descriptors within Compliance and Operations Report</w:t>
            </w:r>
          </w:p>
        </w:tc>
        <w:tc>
          <w:tcPr>
            <w:tcW w:w="0" w:type="dxa"/>
          </w:tcPr>
          <w:p w14:paraId="09FB7D14" w14:textId="77777777" w:rsidR="001905F1" w:rsidRPr="001905F1" w:rsidRDefault="001905F1" w:rsidP="001905F1">
            <w:pPr>
              <w:rPr>
                <w:rFonts w:eastAsia="Verdana" w:cs="Times New Roman"/>
                <w:lang w:val="en-GB"/>
              </w:rPr>
            </w:pPr>
            <w:r w:rsidRPr="001905F1">
              <w:rPr>
                <w:rFonts w:eastAsia="Verdana" w:cs="Times New Roman"/>
                <w:lang w:val="en-GB"/>
              </w:rPr>
              <w:t>30%</w:t>
            </w:r>
          </w:p>
        </w:tc>
      </w:tr>
      <w:tr w:rsidR="001905F1" w:rsidRPr="001905F1" w14:paraId="40386D64" w14:textId="77777777" w:rsidTr="001C655F">
        <w:tc>
          <w:tcPr>
            <w:tcW w:w="0" w:type="dxa"/>
          </w:tcPr>
          <w:p w14:paraId="08889F64" w14:textId="77777777" w:rsidR="001905F1" w:rsidRPr="001C655F" w:rsidRDefault="001905F1" w:rsidP="001905F1">
            <w:pPr>
              <w:rPr>
                <w:b/>
                <w:lang w:val="en-GB"/>
              </w:rPr>
            </w:pPr>
            <w:r w:rsidRPr="00065B14">
              <w:rPr>
                <w:lang w:val="en-GB"/>
              </w:rPr>
              <w:t>Educational program uploaded with Compliance and Operations Report</w:t>
            </w:r>
          </w:p>
        </w:tc>
        <w:tc>
          <w:tcPr>
            <w:tcW w:w="0" w:type="dxa"/>
          </w:tcPr>
          <w:p w14:paraId="7C5767DC" w14:textId="648516BE" w:rsidR="001905F1" w:rsidRPr="001905F1" w:rsidRDefault="00F26A2E" w:rsidP="001905F1">
            <w:pPr>
              <w:rPr>
                <w:rFonts w:eastAsia="Verdana" w:cs="Times New Roman"/>
                <w:lang w:val="en-GB"/>
              </w:rPr>
            </w:pPr>
            <w:r>
              <w:rPr>
                <w:rFonts w:eastAsia="Verdana" w:cs="Times New Roman"/>
                <w:lang w:val="en-GB"/>
              </w:rPr>
              <w:t>50</w:t>
            </w:r>
            <w:r w:rsidR="001905F1" w:rsidRPr="001905F1">
              <w:rPr>
                <w:rFonts w:eastAsia="Verdana" w:cs="Times New Roman"/>
                <w:lang w:val="en-GB"/>
              </w:rPr>
              <w:t>%</w:t>
            </w:r>
          </w:p>
        </w:tc>
      </w:tr>
      <w:tr w:rsidR="001905F1" w:rsidRPr="001905F1" w14:paraId="78D7E7AE" w14:textId="77777777" w:rsidTr="001C655F">
        <w:tc>
          <w:tcPr>
            <w:tcW w:w="0" w:type="dxa"/>
          </w:tcPr>
          <w:p w14:paraId="4FC96294" w14:textId="020D9848" w:rsidR="001905F1" w:rsidRPr="001C655F" w:rsidRDefault="001905F1" w:rsidP="001905F1">
            <w:pPr>
              <w:rPr>
                <w:b/>
                <w:lang w:val="en-GB"/>
              </w:rPr>
            </w:pPr>
            <w:r w:rsidRPr="00065B14">
              <w:rPr>
                <w:lang w:val="en-GB"/>
              </w:rPr>
              <w:t xml:space="preserve">Indication </w:t>
            </w:r>
            <w:r w:rsidR="00814C37" w:rsidRPr="00065B14">
              <w:rPr>
                <w:lang w:val="en-GB"/>
              </w:rPr>
              <w:t xml:space="preserve">or reference to tailored, individual, or </w:t>
            </w:r>
            <w:r w:rsidRPr="00065B14">
              <w:rPr>
                <w:lang w:val="en-GB"/>
              </w:rPr>
              <w:t xml:space="preserve">child-centred approaches within </w:t>
            </w:r>
            <w:r w:rsidR="00814C37" w:rsidRPr="00065B14">
              <w:rPr>
                <w:lang w:val="en-GB"/>
              </w:rPr>
              <w:t>e</w:t>
            </w:r>
            <w:r w:rsidRPr="00065B14">
              <w:rPr>
                <w:lang w:val="en-GB"/>
              </w:rPr>
              <w:t xml:space="preserve">ducational </w:t>
            </w:r>
            <w:r w:rsidR="00814C37" w:rsidRPr="00065B14">
              <w:rPr>
                <w:lang w:val="en-GB"/>
              </w:rPr>
              <w:t>p</w:t>
            </w:r>
            <w:r w:rsidRPr="00065B14">
              <w:rPr>
                <w:lang w:val="en-GB"/>
              </w:rPr>
              <w:t>rogram, such as:</w:t>
            </w:r>
          </w:p>
          <w:p w14:paraId="7BD7AC04" w14:textId="77777777" w:rsidR="001905F1" w:rsidRPr="001C655F" w:rsidRDefault="001905F1" w:rsidP="00171325">
            <w:pPr>
              <w:numPr>
                <w:ilvl w:val="0"/>
                <w:numId w:val="33"/>
              </w:numPr>
              <w:spacing w:after="0"/>
              <w:contextualSpacing/>
              <w:rPr>
                <w:b/>
                <w:lang w:val="en-GB"/>
              </w:rPr>
            </w:pPr>
            <w:r w:rsidRPr="00065B14">
              <w:rPr>
                <w:lang w:val="en-GB"/>
              </w:rPr>
              <w:t>reference to individual child and/or cohort of children</w:t>
            </w:r>
          </w:p>
          <w:p w14:paraId="1BEF1702" w14:textId="77777777" w:rsidR="001905F1" w:rsidRPr="001C655F" w:rsidRDefault="001905F1" w:rsidP="00171325">
            <w:pPr>
              <w:numPr>
                <w:ilvl w:val="0"/>
                <w:numId w:val="33"/>
              </w:numPr>
              <w:spacing w:after="0"/>
              <w:contextualSpacing/>
              <w:rPr>
                <w:b/>
                <w:lang w:val="en-GB"/>
              </w:rPr>
            </w:pPr>
            <w:r w:rsidRPr="00065B14">
              <w:rPr>
                <w:lang w:val="en-GB"/>
              </w:rPr>
              <w:t xml:space="preserve">evidence of child-level planning and/or evaluation. </w:t>
            </w:r>
          </w:p>
        </w:tc>
        <w:tc>
          <w:tcPr>
            <w:tcW w:w="0" w:type="dxa"/>
          </w:tcPr>
          <w:p w14:paraId="3E525D73" w14:textId="6D901284" w:rsidR="001905F1" w:rsidRPr="001905F1" w:rsidRDefault="00F26A2E" w:rsidP="001905F1">
            <w:pPr>
              <w:rPr>
                <w:rFonts w:eastAsia="Verdana" w:cs="Times New Roman"/>
                <w:lang w:val="en-GB"/>
              </w:rPr>
            </w:pPr>
            <w:r>
              <w:rPr>
                <w:rFonts w:eastAsia="Verdana" w:cs="Times New Roman"/>
                <w:lang w:val="en-GB"/>
              </w:rPr>
              <w:t>5</w:t>
            </w:r>
            <w:r w:rsidR="001905F1" w:rsidRPr="001905F1">
              <w:rPr>
                <w:rFonts w:eastAsia="Verdana" w:cs="Times New Roman"/>
                <w:lang w:val="en-GB"/>
              </w:rPr>
              <w:t>%</w:t>
            </w:r>
          </w:p>
        </w:tc>
      </w:tr>
      <w:tr w:rsidR="001905F1" w:rsidRPr="001905F1" w14:paraId="4B9ECD17" w14:textId="77777777" w:rsidTr="001C655F">
        <w:tc>
          <w:tcPr>
            <w:tcW w:w="0" w:type="dxa"/>
          </w:tcPr>
          <w:p w14:paraId="0DDFF56D" w14:textId="77777777" w:rsidR="001905F1" w:rsidRPr="001C655F" w:rsidRDefault="001905F1" w:rsidP="001905F1">
            <w:pPr>
              <w:rPr>
                <w:b/>
                <w:lang w:val="en-GB"/>
              </w:rPr>
            </w:pPr>
            <w:r w:rsidRPr="00065B14">
              <w:rPr>
                <w:lang w:val="en-GB"/>
              </w:rPr>
              <w:t>Response to "Our educational program includes activities that acknowledge and strengthen the cultural identity of children in our care."</w:t>
            </w:r>
          </w:p>
        </w:tc>
        <w:tc>
          <w:tcPr>
            <w:tcW w:w="0" w:type="dxa"/>
          </w:tcPr>
          <w:p w14:paraId="63D709C6" w14:textId="3089B82E" w:rsidR="001905F1" w:rsidRPr="001905F1" w:rsidRDefault="00F26A2E" w:rsidP="001905F1">
            <w:pPr>
              <w:rPr>
                <w:rFonts w:eastAsia="Verdana" w:cs="Times New Roman"/>
                <w:lang w:val="en-GB"/>
              </w:rPr>
            </w:pPr>
            <w:r>
              <w:rPr>
                <w:rFonts w:eastAsia="Verdana" w:cs="Times New Roman"/>
                <w:lang w:val="en-GB"/>
              </w:rPr>
              <w:t>5</w:t>
            </w:r>
            <w:r w:rsidR="001905F1" w:rsidRPr="001905F1">
              <w:rPr>
                <w:rFonts w:eastAsia="Verdana" w:cs="Times New Roman"/>
                <w:lang w:val="en-GB"/>
              </w:rPr>
              <w:t>%</w:t>
            </w:r>
          </w:p>
        </w:tc>
      </w:tr>
      <w:tr w:rsidR="001905F1" w:rsidRPr="001905F1" w14:paraId="214DCFBC" w14:textId="77777777" w:rsidTr="001C655F">
        <w:tc>
          <w:tcPr>
            <w:tcW w:w="0" w:type="dxa"/>
          </w:tcPr>
          <w:p w14:paraId="262ED53B" w14:textId="0F12F969" w:rsidR="001905F1" w:rsidRPr="001C655F" w:rsidRDefault="001905F1" w:rsidP="001905F1">
            <w:pPr>
              <w:rPr>
                <w:b/>
                <w:lang w:val="en-GB"/>
              </w:rPr>
            </w:pPr>
            <w:r w:rsidRPr="00065B14">
              <w:rPr>
                <w:lang w:val="en-GB"/>
              </w:rPr>
              <w:t xml:space="preserve">Indication or reference to cultural identity within </w:t>
            </w:r>
            <w:r w:rsidR="00814C37" w:rsidRPr="00065B14">
              <w:rPr>
                <w:lang w:val="en-GB"/>
              </w:rPr>
              <w:t>e</w:t>
            </w:r>
            <w:r w:rsidRPr="00065B14">
              <w:rPr>
                <w:lang w:val="en-GB"/>
              </w:rPr>
              <w:t xml:space="preserve">ducational </w:t>
            </w:r>
            <w:r w:rsidR="00814C37" w:rsidRPr="00065B14">
              <w:rPr>
                <w:lang w:val="en-GB"/>
              </w:rPr>
              <w:t>p</w:t>
            </w:r>
            <w:r w:rsidRPr="00065B14">
              <w:rPr>
                <w:lang w:val="en-GB"/>
              </w:rPr>
              <w:t>rogram</w:t>
            </w:r>
          </w:p>
        </w:tc>
        <w:tc>
          <w:tcPr>
            <w:tcW w:w="0" w:type="dxa"/>
          </w:tcPr>
          <w:p w14:paraId="6DB70528" w14:textId="39DD3F73" w:rsidR="001905F1" w:rsidRPr="001905F1" w:rsidRDefault="00F26A2E" w:rsidP="001905F1">
            <w:pPr>
              <w:rPr>
                <w:rFonts w:eastAsia="Verdana" w:cs="Times New Roman"/>
                <w:lang w:val="en-GB"/>
              </w:rPr>
            </w:pPr>
            <w:r>
              <w:rPr>
                <w:rFonts w:eastAsia="Verdana" w:cs="Times New Roman"/>
                <w:lang w:val="en-GB"/>
              </w:rPr>
              <w:t>5</w:t>
            </w:r>
            <w:r w:rsidR="001905F1" w:rsidRPr="001905F1">
              <w:rPr>
                <w:rFonts w:eastAsia="Verdana" w:cs="Times New Roman"/>
                <w:lang w:val="en-GB"/>
              </w:rPr>
              <w:t>%</w:t>
            </w:r>
          </w:p>
        </w:tc>
      </w:tr>
      <w:tr w:rsidR="001905F1" w:rsidRPr="001905F1" w14:paraId="3D37942A" w14:textId="77777777" w:rsidTr="001C655F">
        <w:tc>
          <w:tcPr>
            <w:tcW w:w="0" w:type="dxa"/>
          </w:tcPr>
          <w:p w14:paraId="4127310B" w14:textId="09002108" w:rsidR="001905F1" w:rsidRPr="001C655F" w:rsidRDefault="001905F1" w:rsidP="001905F1">
            <w:pPr>
              <w:rPr>
                <w:b/>
                <w:lang w:val="en-GB"/>
              </w:rPr>
            </w:pPr>
            <w:r w:rsidRPr="00065B14">
              <w:rPr>
                <w:lang w:val="en-GB"/>
              </w:rPr>
              <w:t xml:space="preserve">Indication or reference to assessment and planning cycle (or similar) reflection of child learning and development within </w:t>
            </w:r>
            <w:r w:rsidR="00814C37" w:rsidRPr="00065B14">
              <w:rPr>
                <w:lang w:val="en-GB"/>
              </w:rPr>
              <w:t>e</w:t>
            </w:r>
            <w:r w:rsidRPr="00065B14">
              <w:rPr>
                <w:lang w:val="en-GB"/>
              </w:rPr>
              <w:t xml:space="preserve">ducational </w:t>
            </w:r>
            <w:r w:rsidR="00814C37" w:rsidRPr="00065B14">
              <w:rPr>
                <w:lang w:val="en-GB"/>
              </w:rPr>
              <w:t>p</w:t>
            </w:r>
            <w:r w:rsidRPr="00065B14">
              <w:rPr>
                <w:lang w:val="en-GB"/>
              </w:rPr>
              <w:t>rogram</w:t>
            </w:r>
          </w:p>
        </w:tc>
        <w:tc>
          <w:tcPr>
            <w:tcW w:w="0" w:type="dxa"/>
          </w:tcPr>
          <w:p w14:paraId="1791535B" w14:textId="15631BD6" w:rsidR="001905F1" w:rsidRPr="001905F1" w:rsidRDefault="00F26A2E" w:rsidP="001905F1">
            <w:pPr>
              <w:rPr>
                <w:rFonts w:eastAsia="Verdana" w:cs="Times New Roman"/>
                <w:lang w:val="en-GB"/>
              </w:rPr>
            </w:pPr>
            <w:r>
              <w:rPr>
                <w:rFonts w:eastAsia="Verdana" w:cs="Times New Roman"/>
                <w:lang w:val="en-GB"/>
              </w:rPr>
              <w:t>5</w:t>
            </w:r>
            <w:r w:rsidR="001905F1" w:rsidRPr="001905F1">
              <w:rPr>
                <w:rFonts w:eastAsia="Verdana" w:cs="Times New Roman"/>
                <w:lang w:val="en-GB"/>
              </w:rPr>
              <w:t>%</w:t>
            </w:r>
          </w:p>
        </w:tc>
      </w:tr>
      <w:tr w:rsidR="001905F1" w:rsidRPr="001905F1" w14:paraId="4B5C2D6C" w14:textId="77777777" w:rsidTr="001C655F">
        <w:tc>
          <w:tcPr>
            <w:tcW w:w="0" w:type="dxa"/>
            <w:gridSpan w:val="2"/>
            <w:shd w:val="clear" w:color="auto" w:fill="DFF0F9" w:themeFill="accent3" w:themeFillTint="33"/>
          </w:tcPr>
          <w:p w14:paraId="183BDB63" w14:textId="46190024" w:rsidR="001905F1" w:rsidRPr="001C655F" w:rsidRDefault="001905F1" w:rsidP="001905F1">
            <w:pPr>
              <w:rPr>
                <w:b/>
                <w:lang w:val="en-GB"/>
              </w:rPr>
            </w:pPr>
            <w:r w:rsidRPr="001C655F">
              <w:rPr>
                <w:b/>
                <w:lang w:val="en-GB"/>
              </w:rPr>
              <w:t>Ensure reasonable precautions are taken to protect children from harm or injury</w:t>
            </w:r>
          </w:p>
        </w:tc>
      </w:tr>
      <w:tr w:rsidR="001905F1" w:rsidRPr="001905F1" w14:paraId="4EACB695" w14:textId="77777777" w:rsidTr="001C655F">
        <w:tc>
          <w:tcPr>
            <w:tcW w:w="0" w:type="dxa"/>
            <w:shd w:val="clear" w:color="auto" w:fill="E3E3E4" w:themeFill="accent6" w:themeFillTint="33"/>
          </w:tcPr>
          <w:p w14:paraId="2A475483" w14:textId="77777777" w:rsidR="001905F1" w:rsidRPr="001C655F" w:rsidRDefault="001905F1" w:rsidP="001905F1">
            <w:pPr>
              <w:rPr>
                <w:b/>
                <w:lang w:val="en-GB"/>
              </w:rPr>
            </w:pPr>
            <w:r w:rsidRPr="001C655F">
              <w:rPr>
                <w:b/>
                <w:lang w:val="en-GB"/>
              </w:rPr>
              <w:t>Indicator</w:t>
            </w:r>
          </w:p>
        </w:tc>
        <w:tc>
          <w:tcPr>
            <w:tcW w:w="0" w:type="dxa"/>
            <w:shd w:val="clear" w:color="auto" w:fill="E3E3E4" w:themeFill="accent6" w:themeFillTint="33"/>
          </w:tcPr>
          <w:p w14:paraId="0D81FBFC" w14:textId="77777777" w:rsidR="001905F1" w:rsidRPr="001905F1" w:rsidRDefault="001905F1" w:rsidP="001905F1">
            <w:pPr>
              <w:rPr>
                <w:rFonts w:eastAsia="Verdana" w:cs="Times New Roman"/>
                <w:b/>
                <w:bCs/>
                <w:lang w:val="en-GB"/>
              </w:rPr>
            </w:pPr>
            <w:r w:rsidRPr="001905F1">
              <w:rPr>
                <w:rFonts w:eastAsia="Verdana" w:cs="Times New Roman"/>
                <w:b/>
                <w:bCs/>
                <w:lang w:val="en-GB"/>
              </w:rPr>
              <w:t>Weighting</w:t>
            </w:r>
          </w:p>
        </w:tc>
      </w:tr>
      <w:tr w:rsidR="001905F1" w:rsidRPr="001905F1" w14:paraId="39146688" w14:textId="77777777" w:rsidTr="001C655F">
        <w:tc>
          <w:tcPr>
            <w:tcW w:w="0" w:type="dxa"/>
          </w:tcPr>
          <w:p w14:paraId="52E54945" w14:textId="77777777" w:rsidR="001905F1" w:rsidRPr="001C655F" w:rsidRDefault="001905F1" w:rsidP="001905F1">
            <w:pPr>
              <w:rPr>
                <w:b/>
                <w:lang w:val="en-GB"/>
              </w:rPr>
            </w:pPr>
            <w:r w:rsidRPr="00065B14">
              <w:rPr>
                <w:lang w:val="en-GB"/>
              </w:rPr>
              <w:t>Responses to supervision question within ‘High Quality Care’ question within Compliance and Operations Report</w:t>
            </w:r>
          </w:p>
        </w:tc>
        <w:tc>
          <w:tcPr>
            <w:tcW w:w="0" w:type="dxa"/>
          </w:tcPr>
          <w:p w14:paraId="4138BF6C" w14:textId="77777777" w:rsidR="001905F1" w:rsidRPr="001905F1" w:rsidRDefault="001905F1" w:rsidP="001905F1">
            <w:pPr>
              <w:rPr>
                <w:rFonts w:eastAsia="Verdana" w:cs="Times New Roman"/>
                <w:lang w:val="en-GB"/>
              </w:rPr>
            </w:pPr>
            <w:r w:rsidRPr="001905F1">
              <w:rPr>
                <w:rFonts w:eastAsia="Verdana" w:cs="Times New Roman"/>
                <w:lang w:val="en-GB"/>
              </w:rPr>
              <w:t>20%</w:t>
            </w:r>
          </w:p>
        </w:tc>
      </w:tr>
      <w:tr w:rsidR="001905F1" w:rsidRPr="001905F1" w14:paraId="0C835A8C" w14:textId="77777777" w:rsidTr="001C655F">
        <w:tc>
          <w:tcPr>
            <w:tcW w:w="0" w:type="dxa"/>
          </w:tcPr>
          <w:p w14:paraId="5ADDEDE7" w14:textId="77777777" w:rsidR="001905F1" w:rsidRPr="001C655F" w:rsidRDefault="001905F1" w:rsidP="001905F1">
            <w:pPr>
              <w:rPr>
                <w:b/>
                <w:lang w:val="en-GB"/>
              </w:rPr>
            </w:pPr>
            <w:r w:rsidRPr="00065B14">
              <w:rPr>
                <w:lang w:val="en-GB"/>
              </w:rPr>
              <w:t>Response to "Our service ensures the environment is safe for children, so they are protected from harm or injury. This includes daily safety checks and ensuring all dangerous and sharp items are locked away from children." (Q20)</w:t>
            </w:r>
          </w:p>
        </w:tc>
        <w:tc>
          <w:tcPr>
            <w:tcW w:w="0" w:type="dxa"/>
          </w:tcPr>
          <w:p w14:paraId="0EFC9F99" w14:textId="3D80FB61" w:rsidR="001905F1" w:rsidRPr="001905F1" w:rsidRDefault="0098446B" w:rsidP="001905F1">
            <w:pPr>
              <w:rPr>
                <w:rFonts w:eastAsia="Verdana" w:cs="Times New Roman"/>
                <w:lang w:val="en-GB"/>
              </w:rPr>
            </w:pPr>
            <w:r>
              <w:rPr>
                <w:rFonts w:eastAsia="Verdana" w:cs="Times New Roman"/>
                <w:lang w:val="en-GB"/>
              </w:rPr>
              <w:t>20</w:t>
            </w:r>
            <w:r w:rsidR="001905F1" w:rsidRPr="001905F1">
              <w:rPr>
                <w:rFonts w:eastAsia="Verdana" w:cs="Times New Roman"/>
                <w:lang w:val="en-GB"/>
              </w:rPr>
              <w:t>%</w:t>
            </w:r>
          </w:p>
        </w:tc>
      </w:tr>
      <w:tr w:rsidR="001905F1" w:rsidRPr="001905F1" w14:paraId="446B1E24" w14:textId="77777777" w:rsidTr="001C655F">
        <w:tc>
          <w:tcPr>
            <w:tcW w:w="0" w:type="dxa"/>
          </w:tcPr>
          <w:p w14:paraId="2635558C" w14:textId="77777777" w:rsidR="001905F1" w:rsidRPr="001C655F" w:rsidRDefault="001905F1" w:rsidP="001905F1">
            <w:pPr>
              <w:rPr>
                <w:b/>
                <w:lang w:val="en-GB"/>
              </w:rPr>
            </w:pPr>
            <w:r w:rsidRPr="00065B14">
              <w:rPr>
                <w:lang w:val="en-GB"/>
              </w:rPr>
              <w:t>Awareness and implementation of National Principles for Child Safe Organisations</w:t>
            </w:r>
          </w:p>
        </w:tc>
        <w:tc>
          <w:tcPr>
            <w:tcW w:w="0" w:type="dxa"/>
          </w:tcPr>
          <w:p w14:paraId="671FA789" w14:textId="0A077573" w:rsidR="001905F1" w:rsidRPr="001905F1" w:rsidRDefault="0098446B" w:rsidP="001905F1">
            <w:pPr>
              <w:rPr>
                <w:rFonts w:eastAsia="Verdana" w:cs="Times New Roman"/>
                <w:lang w:val="en-GB"/>
              </w:rPr>
            </w:pPr>
            <w:r>
              <w:rPr>
                <w:rFonts w:eastAsia="Verdana" w:cs="Times New Roman"/>
                <w:lang w:val="en-GB"/>
              </w:rPr>
              <w:t>20</w:t>
            </w:r>
            <w:r w:rsidR="001905F1" w:rsidRPr="001905F1">
              <w:rPr>
                <w:rFonts w:eastAsia="Verdana" w:cs="Times New Roman"/>
                <w:lang w:val="en-GB"/>
              </w:rPr>
              <w:t>%</w:t>
            </w:r>
          </w:p>
        </w:tc>
      </w:tr>
      <w:tr w:rsidR="001905F1" w:rsidRPr="001905F1" w14:paraId="0673AA19" w14:textId="77777777" w:rsidTr="001C655F">
        <w:tc>
          <w:tcPr>
            <w:tcW w:w="0" w:type="dxa"/>
          </w:tcPr>
          <w:p w14:paraId="5C703014" w14:textId="77777777" w:rsidR="001905F1" w:rsidRPr="001C655F" w:rsidRDefault="001905F1" w:rsidP="001905F1">
            <w:pPr>
              <w:rPr>
                <w:b/>
                <w:lang w:val="en-GB"/>
              </w:rPr>
            </w:pPr>
            <w:r w:rsidRPr="00065B14">
              <w:rPr>
                <w:lang w:val="en-GB"/>
              </w:rPr>
              <w:t>Number of serious incidents within last year</w:t>
            </w:r>
          </w:p>
        </w:tc>
        <w:tc>
          <w:tcPr>
            <w:tcW w:w="0" w:type="dxa"/>
          </w:tcPr>
          <w:p w14:paraId="56F169C6" w14:textId="2BEE6C34" w:rsidR="001905F1" w:rsidRPr="001905F1" w:rsidRDefault="0098446B" w:rsidP="001905F1">
            <w:pPr>
              <w:rPr>
                <w:rFonts w:eastAsia="Verdana" w:cs="Times New Roman"/>
                <w:lang w:val="en-GB"/>
              </w:rPr>
            </w:pPr>
            <w:r>
              <w:rPr>
                <w:rFonts w:eastAsia="Verdana" w:cs="Times New Roman"/>
                <w:lang w:val="en-GB"/>
              </w:rPr>
              <w:t>20</w:t>
            </w:r>
            <w:r w:rsidR="001905F1" w:rsidRPr="001905F1">
              <w:rPr>
                <w:rFonts w:eastAsia="Verdana" w:cs="Times New Roman"/>
                <w:lang w:val="en-GB"/>
              </w:rPr>
              <w:t>%</w:t>
            </w:r>
          </w:p>
        </w:tc>
      </w:tr>
      <w:tr w:rsidR="001905F1" w:rsidRPr="001905F1" w14:paraId="3289A7A0" w14:textId="77777777" w:rsidTr="001C655F">
        <w:tc>
          <w:tcPr>
            <w:tcW w:w="0" w:type="dxa"/>
          </w:tcPr>
          <w:p w14:paraId="1E513A68" w14:textId="77777777" w:rsidR="001905F1" w:rsidRPr="001C655F" w:rsidRDefault="001905F1" w:rsidP="001905F1">
            <w:pPr>
              <w:rPr>
                <w:b/>
                <w:lang w:val="en-GB"/>
              </w:rPr>
            </w:pPr>
            <w:r w:rsidRPr="00065B14">
              <w:rPr>
                <w:lang w:val="en-GB"/>
              </w:rPr>
              <w:t>Response to “we have at least one staff member who holds a current first aid certificate…” under Q20</w:t>
            </w:r>
          </w:p>
        </w:tc>
        <w:tc>
          <w:tcPr>
            <w:tcW w:w="0" w:type="dxa"/>
          </w:tcPr>
          <w:p w14:paraId="2D3A5989" w14:textId="77777777" w:rsidR="001905F1" w:rsidRPr="001905F1" w:rsidRDefault="001905F1" w:rsidP="001905F1">
            <w:pPr>
              <w:rPr>
                <w:rFonts w:eastAsia="Verdana" w:cs="Times New Roman"/>
                <w:lang w:val="en-GB"/>
              </w:rPr>
            </w:pPr>
            <w:r w:rsidRPr="001905F1">
              <w:rPr>
                <w:rFonts w:eastAsia="Verdana" w:cs="Times New Roman"/>
                <w:lang w:val="en-GB"/>
              </w:rPr>
              <w:t>20%</w:t>
            </w:r>
          </w:p>
        </w:tc>
      </w:tr>
      <w:tr w:rsidR="001905F1" w:rsidRPr="001905F1" w14:paraId="53275F3A" w14:textId="77777777" w:rsidTr="001C655F">
        <w:tc>
          <w:tcPr>
            <w:tcW w:w="0" w:type="dxa"/>
            <w:gridSpan w:val="2"/>
            <w:shd w:val="clear" w:color="auto" w:fill="DFF0F9" w:themeFill="accent3" w:themeFillTint="33"/>
          </w:tcPr>
          <w:p w14:paraId="65F06A35" w14:textId="77777777" w:rsidR="001905F1" w:rsidRPr="001C655F" w:rsidRDefault="001905F1" w:rsidP="001905F1">
            <w:pPr>
              <w:rPr>
                <w:b/>
                <w:lang w:val="en-GB"/>
              </w:rPr>
            </w:pPr>
            <w:r w:rsidRPr="001C655F">
              <w:rPr>
                <w:b/>
                <w:lang w:val="en-GB"/>
              </w:rPr>
              <w:lastRenderedPageBreak/>
              <w:t>Arrangements to manage serious incidents</w:t>
            </w:r>
          </w:p>
        </w:tc>
      </w:tr>
      <w:tr w:rsidR="001905F1" w:rsidRPr="001905F1" w14:paraId="73184E23" w14:textId="77777777" w:rsidTr="001C655F">
        <w:tc>
          <w:tcPr>
            <w:tcW w:w="0" w:type="dxa"/>
            <w:shd w:val="clear" w:color="auto" w:fill="E3E3E4" w:themeFill="accent6" w:themeFillTint="33"/>
          </w:tcPr>
          <w:p w14:paraId="287D0418" w14:textId="77777777" w:rsidR="001905F1" w:rsidRPr="001C655F" w:rsidRDefault="001905F1" w:rsidP="001905F1">
            <w:pPr>
              <w:rPr>
                <w:b/>
                <w:lang w:val="en-GB"/>
              </w:rPr>
            </w:pPr>
            <w:r w:rsidRPr="001C655F">
              <w:rPr>
                <w:b/>
                <w:lang w:val="en-GB"/>
              </w:rPr>
              <w:t>Indicator</w:t>
            </w:r>
          </w:p>
        </w:tc>
        <w:tc>
          <w:tcPr>
            <w:tcW w:w="0" w:type="dxa"/>
            <w:shd w:val="clear" w:color="auto" w:fill="E3E3E4" w:themeFill="accent6" w:themeFillTint="33"/>
          </w:tcPr>
          <w:p w14:paraId="5F12E642" w14:textId="77777777" w:rsidR="001905F1" w:rsidRPr="001905F1" w:rsidRDefault="001905F1" w:rsidP="001905F1">
            <w:pPr>
              <w:rPr>
                <w:rFonts w:eastAsia="Verdana" w:cs="Times New Roman"/>
                <w:b/>
                <w:bCs/>
                <w:lang w:val="en-GB"/>
              </w:rPr>
            </w:pPr>
            <w:r w:rsidRPr="001905F1">
              <w:rPr>
                <w:rFonts w:eastAsia="Verdana" w:cs="Times New Roman"/>
                <w:b/>
                <w:bCs/>
                <w:lang w:val="en-GB"/>
              </w:rPr>
              <w:t>Weighting</w:t>
            </w:r>
          </w:p>
        </w:tc>
      </w:tr>
      <w:tr w:rsidR="001905F1" w:rsidRPr="001905F1" w14:paraId="406594D7" w14:textId="77777777" w:rsidTr="001C655F">
        <w:tc>
          <w:tcPr>
            <w:tcW w:w="0" w:type="dxa"/>
          </w:tcPr>
          <w:p w14:paraId="067A7E98" w14:textId="77777777" w:rsidR="001905F1" w:rsidRPr="001C655F" w:rsidRDefault="001905F1" w:rsidP="001905F1">
            <w:pPr>
              <w:rPr>
                <w:b/>
                <w:lang w:val="en-GB"/>
              </w:rPr>
            </w:pPr>
            <w:r w:rsidRPr="00065B14">
              <w:rPr>
                <w:lang w:val="en-GB"/>
              </w:rPr>
              <w:t>Serious Incident Procedure uploaded</w:t>
            </w:r>
          </w:p>
        </w:tc>
        <w:tc>
          <w:tcPr>
            <w:tcW w:w="0" w:type="dxa"/>
          </w:tcPr>
          <w:p w14:paraId="245733A9" w14:textId="4BA68F2F" w:rsidR="001905F1" w:rsidRPr="001905F1" w:rsidRDefault="00787095" w:rsidP="001905F1">
            <w:pPr>
              <w:rPr>
                <w:rFonts w:eastAsia="Verdana" w:cs="Times New Roman"/>
                <w:lang w:val="en-GB"/>
              </w:rPr>
            </w:pPr>
            <w:r>
              <w:rPr>
                <w:rFonts w:eastAsia="Verdana" w:cs="Times New Roman"/>
                <w:lang w:val="en-GB"/>
              </w:rPr>
              <w:t>70</w:t>
            </w:r>
            <w:r w:rsidR="001905F1" w:rsidRPr="001905F1">
              <w:rPr>
                <w:rFonts w:eastAsia="Verdana" w:cs="Times New Roman"/>
                <w:lang w:val="en-GB"/>
              </w:rPr>
              <w:t>%</w:t>
            </w:r>
          </w:p>
        </w:tc>
      </w:tr>
      <w:tr w:rsidR="001905F1" w:rsidRPr="001905F1" w14:paraId="04855BD1" w14:textId="77777777" w:rsidTr="001C655F">
        <w:tc>
          <w:tcPr>
            <w:tcW w:w="0" w:type="dxa"/>
          </w:tcPr>
          <w:p w14:paraId="140BC9A9" w14:textId="04C800C2" w:rsidR="001905F1" w:rsidRPr="001C655F" w:rsidRDefault="001905F1" w:rsidP="001905F1">
            <w:pPr>
              <w:rPr>
                <w:b/>
                <w:lang w:val="en-GB"/>
              </w:rPr>
            </w:pPr>
            <w:r w:rsidRPr="00065B14">
              <w:rPr>
                <w:lang w:val="en-GB"/>
              </w:rPr>
              <w:t>Reference to relevant reporting requirements (e.g. Department of Education and state/territory regulatory authority within Serious Incident Procedure</w:t>
            </w:r>
            <w:r w:rsidR="00787095" w:rsidRPr="00065B14">
              <w:rPr>
                <w:lang w:val="en-GB"/>
              </w:rPr>
              <w:t>).</w:t>
            </w:r>
          </w:p>
        </w:tc>
        <w:tc>
          <w:tcPr>
            <w:tcW w:w="0" w:type="dxa"/>
          </w:tcPr>
          <w:p w14:paraId="23440BCC" w14:textId="5FBE8D1B" w:rsidR="001905F1" w:rsidRPr="001905F1" w:rsidRDefault="00787095" w:rsidP="001905F1">
            <w:pPr>
              <w:rPr>
                <w:rFonts w:eastAsia="Verdana" w:cs="Times New Roman"/>
                <w:lang w:val="en-GB"/>
              </w:rPr>
            </w:pPr>
            <w:r>
              <w:rPr>
                <w:rFonts w:eastAsia="Verdana" w:cs="Times New Roman"/>
                <w:lang w:val="en-GB"/>
              </w:rPr>
              <w:t>30</w:t>
            </w:r>
            <w:r w:rsidR="001905F1" w:rsidRPr="001905F1">
              <w:rPr>
                <w:rFonts w:eastAsia="Verdana" w:cs="Times New Roman"/>
                <w:lang w:val="en-GB"/>
              </w:rPr>
              <w:t>%</w:t>
            </w:r>
          </w:p>
        </w:tc>
      </w:tr>
      <w:tr w:rsidR="001905F1" w:rsidRPr="001905F1" w14:paraId="69485EC0" w14:textId="77777777" w:rsidTr="001C655F">
        <w:tc>
          <w:tcPr>
            <w:tcW w:w="0" w:type="dxa"/>
            <w:gridSpan w:val="2"/>
            <w:shd w:val="clear" w:color="auto" w:fill="DFF0F9" w:themeFill="accent3" w:themeFillTint="33"/>
          </w:tcPr>
          <w:p w14:paraId="0B201814" w14:textId="77777777" w:rsidR="001905F1" w:rsidRPr="001C655F" w:rsidRDefault="001905F1" w:rsidP="001905F1">
            <w:pPr>
              <w:rPr>
                <w:b/>
                <w:lang w:val="en-GB"/>
              </w:rPr>
            </w:pPr>
            <w:r w:rsidRPr="001C655F">
              <w:rPr>
                <w:b/>
                <w:lang w:val="en-GB"/>
              </w:rPr>
              <w:t>Insurances</w:t>
            </w:r>
          </w:p>
        </w:tc>
      </w:tr>
      <w:tr w:rsidR="001905F1" w:rsidRPr="001905F1" w14:paraId="4AE3A0DE" w14:textId="77777777" w:rsidTr="001C655F">
        <w:tc>
          <w:tcPr>
            <w:tcW w:w="0" w:type="dxa"/>
            <w:shd w:val="clear" w:color="auto" w:fill="E3E3E4" w:themeFill="accent6" w:themeFillTint="33"/>
          </w:tcPr>
          <w:p w14:paraId="1867E164" w14:textId="77777777" w:rsidR="001905F1" w:rsidRPr="001C655F" w:rsidRDefault="001905F1" w:rsidP="001905F1">
            <w:pPr>
              <w:rPr>
                <w:b/>
                <w:lang w:val="en-GB"/>
              </w:rPr>
            </w:pPr>
            <w:r w:rsidRPr="001C655F">
              <w:rPr>
                <w:b/>
                <w:lang w:val="en-GB"/>
              </w:rPr>
              <w:t>Indicator</w:t>
            </w:r>
          </w:p>
        </w:tc>
        <w:tc>
          <w:tcPr>
            <w:tcW w:w="0" w:type="dxa"/>
            <w:shd w:val="clear" w:color="auto" w:fill="E3E3E4" w:themeFill="accent6" w:themeFillTint="33"/>
          </w:tcPr>
          <w:p w14:paraId="643E738C" w14:textId="77777777" w:rsidR="001905F1" w:rsidRPr="001905F1" w:rsidRDefault="001905F1" w:rsidP="001905F1">
            <w:pPr>
              <w:rPr>
                <w:rFonts w:eastAsia="Verdana" w:cs="Times New Roman"/>
                <w:b/>
                <w:bCs/>
                <w:lang w:val="en-GB"/>
              </w:rPr>
            </w:pPr>
            <w:r w:rsidRPr="001905F1">
              <w:rPr>
                <w:rFonts w:eastAsia="Verdana" w:cs="Times New Roman"/>
                <w:b/>
                <w:bCs/>
                <w:lang w:val="en-GB"/>
              </w:rPr>
              <w:t>Weighting</w:t>
            </w:r>
          </w:p>
        </w:tc>
      </w:tr>
      <w:tr w:rsidR="001905F1" w:rsidRPr="001905F1" w14:paraId="3A5DBC16" w14:textId="77777777" w:rsidTr="001C655F">
        <w:tc>
          <w:tcPr>
            <w:tcW w:w="0" w:type="dxa"/>
          </w:tcPr>
          <w:p w14:paraId="199F4AC7" w14:textId="77777777" w:rsidR="001905F1" w:rsidRPr="001C655F" w:rsidRDefault="001905F1" w:rsidP="001905F1">
            <w:pPr>
              <w:rPr>
                <w:b/>
                <w:lang w:val="en-GB"/>
              </w:rPr>
            </w:pPr>
            <w:r w:rsidRPr="00065B14">
              <w:rPr>
                <w:lang w:val="en-GB"/>
              </w:rPr>
              <w:t>Workers Compensation Certificate uploaded</w:t>
            </w:r>
          </w:p>
        </w:tc>
        <w:tc>
          <w:tcPr>
            <w:tcW w:w="0" w:type="dxa"/>
          </w:tcPr>
          <w:p w14:paraId="0F047DE0" w14:textId="77777777" w:rsidR="001905F1" w:rsidRPr="001905F1" w:rsidRDefault="001905F1" w:rsidP="001905F1">
            <w:pPr>
              <w:rPr>
                <w:rFonts w:eastAsia="Verdana" w:cs="Times New Roman"/>
                <w:lang w:val="en-GB"/>
              </w:rPr>
            </w:pPr>
            <w:r w:rsidRPr="001905F1">
              <w:rPr>
                <w:rFonts w:eastAsia="Verdana" w:cs="Times New Roman"/>
                <w:lang w:val="en-GB"/>
              </w:rPr>
              <w:t>50%</w:t>
            </w:r>
          </w:p>
        </w:tc>
      </w:tr>
      <w:tr w:rsidR="001905F1" w:rsidRPr="001905F1" w14:paraId="1F257763" w14:textId="77777777" w:rsidTr="001C655F">
        <w:tc>
          <w:tcPr>
            <w:tcW w:w="0" w:type="dxa"/>
          </w:tcPr>
          <w:p w14:paraId="39057D4C" w14:textId="77777777" w:rsidR="001905F1" w:rsidRPr="001C655F" w:rsidRDefault="001905F1" w:rsidP="001905F1">
            <w:pPr>
              <w:rPr>
                <w:b/>
                <w:lang w:val="en-GB"/>
              </w:rPr>
            </w:pPr>
            <w:r w:rsidRPr="00065B14">
              <w:rPr>
                <w:lang w:val="en-GB"/>
              </w:rPr>
              <w:t>Public Liability Insurance Certificate uploaded</w:t>
            </w:r>
          </w:p>
        </w:tc>
        <w:tc>
          <w:tcPr>
            <w:tcW w:w="0" w:type="dxa"/>
          </w:tcPr>
          <w:p w14:paraId="22A49644" w14:textId="77777777" w:rsidR="001905F1" w:rsidRPr="001905F1" w:rsidRDefault="001905F1" w:rsidP="001905F1">
            <w:pPr>
              <w:rPr>
                <w:rFonts w:eastAsia="Verdana" w:cs="Times New Roman"/>
                <w:lang w:val="en-GB"/>
              </w:rPr>
            </w:pPr>
            <w:r w:rsidRPr="001905F1">
              <w:rPr>
                <w:rFonts w:eastAsia="Verdana" w:cs="Times New Roman"/>
                <w:lang w:val="en-GB"/>
              </w:rPr>
              <w:t>50%</w:t>
            </w:r>
          </w:p>
        </w:tc>
      </w:tr>
      <w:tr w:rsidR="001905F1" w:rsidRPr="001905F1" w14:paraId="71D3A80C" w14:textId="77777777" w:rsidTr="001C655F">
        <w:tc>
          <w:tcPr>
            <w:tcW w:w="0" w:type="dxa"/>
            <w:gridSpan w:val="2"/>
            <w:shd w:val="clear" w:color="auto" w:fill="DFF0F9" w:themeFill="accent3" w:themeFillTint="33"/>
          </w:tcPr>
          <w:p w14:paraId="7B61CBC8" w14:textId="77777777" w:rsidR="001905F1" w:rsidRPr="001C655F" w:rsidRDefault="001905F1" w:rsidP="001905F1">
            <w:pPr>
              <w:rPr>
                <w:b/>
                <w:lang w:val="en-GB"/>
              </w:rPr>
            </w:pPr>
            <w:r w:rsidRPr="001C655F">
              <w:rPr>
                <w:b/>
                <w:lang w:val="en-GB"/>
              </w:rPr>
              <w:t>Quality Improvement Plan (QIP)</w:t>
            </w:r>
          </w:p>
        </w:tc>
      </w:tr>
      <w:tr w:rsidR="001905F1" w:rsidRPr="001905F1" w14:paraId="196477FD" w14:textId="77777777" w:rsidTr="001C655F">
        <w:tc>
          <w:tcPr>
            <w:tcW w:w="0" w:type="dxa"/>
            <w:shd w:val="clear" w:color="auto" w:fill="E3E3E4" w:themeFill="accent6" w:themeFillTint="33"/>
          </w:tcPr>
          <w:p w14:paraId="5FE2BFE1" w14:textId="77777777" w:rsidR="001905F1" w:rsidRPr="001C655F" w:rsidRDefault="001905F1" w:rsidP="001905F1">
            <w:pPr>
              <w:rPr>
                <w:b/>
                <w:lang w:val="en-GB"/>
              </w:rPr>
            </w:pPr>
            <w:r w:rsidRPr="001C655F">
              <w:rPr>
                <w:b/>
                <w:lang w:val="en-GB"/>
              </w:rPr>
              <w:t>Indicator</w:t>
            </w:r>
          </w:p>
        </w:tc>
        <w:tc>
          <w:tcPr>
            <w:tcW w:w="0" w:type="dxa"/>
            <w:shd w:val="clear" w:color="auto" w:fill="E3E3E4" w:themeFill="accent6" w:themeFillTint="33"/>
          </w:tcPr>
          <w:p w14:paraId="18E80DC2" w14:textId="77777777" w:rsidR="001905F1" w:rsidRPr="001905F1" w:rsidRDefault="001905F1" w:rsidP="001905F1">
            <w:pPr>
              <w:rPr>
                <w:rFonts w:eastAsia="Verdana" w:cs="Times New Roman"/>
                <w:b/>
                <w:bCs/>
                <w:lang w:val="en-GB"/>
              </w:rPr>
            </w:pPr>
            <w:r w:rsidRPr="001905F1">
              <w:rPr>
                <w:rFonts w:eastAsia="Verdana" w:cs="Times New Roman"/>
                <w:b/>
                <w:bCs/>
                <w:lang w:val="en-GB"/>
              </w:rPr>
              <w:t>Weighting</w:t>
            </w:r>
          </w:p>
        </w:tc>
      </w:tr>
      <w:tr w:rsidR="001905F1" w:rsidRPr="001905F1" w14:paraId="38B53382" w14:textId="77777777" w:rsidTr="001C655F">
        <w:tc>
          <w:tcPr>
            <w:tcW w:w="0" w:type="dxa"/>
          </w:tcPr>
          <w:p w14:paraId="3E5BD457" w14:textId="77777777" w:rsidR="001905F1" w:rsidRPr="001C655F" w:rsidRDefault="001905F1" w:rsidP="001905F1">
            <w:pPr>
              <w:rPr>
                <w:b/>
                <w:lang w:val="en-GB"/>
              </w:rPr>
            </w:pPr>
            <w:r w:rsidRPr="00065B14">
              <w:rPr>
                <w:lang w:val="en-GB"/>
              </w:rPr>
              <w:t>Quality Improvement Plan uploaded</w:t>
            </w:r>
          </w:p>
        </w:tc>
        <w:tc>
          <w:tcPr>
            <w:tcW w:w="0" w:type="dxa"/>
          </w:tcPr>
          <w:p w14:paraId="63EDE69E" w14:textId="70FEC9BE" w:rsidR="001905F1" w:rsidRPr="001905F1" w:rsidRDefault="00D77821" w:rsidP="001905F1">
            <w:pPr>
              <w:rPr>
                <w:rFonts w:eastAsia="Verdana" w:cs="Times New Roman"/>
                <w:lang w:val="en-GB"/>
              </w:rPr>
            </w:pPr>
            <w:r>
              <w:rPr>
                <w:rFonts w:eastAsia="Verdana" w:cs="Times New Roman"/>
                <w:lang w:val="en-GB"/>
              </w:rPr>
              <w:t>65</w:t>
            </w:r>
            <w:r w:rsidR="001905F1" w:rsidRPr="001905F1">
              <w:rPr>
                <w:rFonts w:eastAsia="Verdana" w:cs="Times New Roman"/>
                <w:lang w:val="en-GB"/>
              </w:rPr>
              <w:t>%</w:t>
            </w:r>
          </w:p>
        </w:tc>
      </w:tr>
      <w:tr w:rsidR="001905F1" w:rsidRPr="001905F1" w14:paraId="7C03DFB5" w14:textId="77777777" w:rsidTr="001C655F">
        <w:tc>
          <w:tcPr>
            <w:tcW w:w="0" w:type="dxa"/>
          </w:tcPr>
          <w:p w14:paraId="1A85E296" w14:textId="0E4ACFD1" w:rsidR="001905F1" w:rsidRPr="001C655F" w:rsidRDefault="00537748" w:rsidP="001905F1">
            <w:pPr>
              <w:rPr>
                <w:b/>
                <w:lang w:val="en-GB"/>
              </w:rPr>
            </w:pPr>
            <w:r w:rsidRPr="00065B14">
              <w:rPr>
                <w:lang w:val="en-GB"/>
              </w:rPr>
              <w:t>Response/s around review and assessment against 7 Quality Areas (Q19)</w:t>
            </w:r>
          </w:p>
        </w:tc>
        <w:tc>
          <w:tcPr>
            <w:tcW w:w="0" w:type="dxa"/>
          </w:tcPr>
          <w:p w14:paraId="1D525E99" w14:textId="02052528" w:rsidR="001905F1" w:rsidRPr="001905F1" w:rsidRDefault="00D77821" w:rsidP="001905F1">
            <w:pPr>
              <w:rPr>
                <w:rFonts w:eastAsia="Verdana" w:cs="Times New Roman"/>
                <w:lang w:val="en-GB"/>
              </w:rPr>
            </w:pPr>
            <w:r>
              <w:rPr>
                <w:rFonts w:eastAsia="Verdana" w:cs="Times New Roman"/>
                <w:lang w:val="en-GB"/>
              </w:rPr>
              <w:t>35</w:t>
            </w:r>
            <w:r w:rsidR="001905F1" w:rsidRPr="001905F1">
              <w:rPr>
                <w:rFonts w:eastAsia="Verdana" w:cs="Times New Roman"/>
                <w:lang w:val="en-GB"/>
              </w:rPr>
              <w:t>%</w:t>
            </w:r>
          </w:p>
        </w:tc>
      </w:tr>
    </w:tbl>
    <w:p w14:paraId="28DC0D3C" w14:textId="77777777" w:rsidR="001905F1" w:rsidRPr="001905F1" w:rsidRDefault="001905F1" w:rsidP="001905F1">
      <w:pPr>
        <w:spacing w:after="160" w:line="259" w:lineRule="auto"/>
        <w:rPr>
          <w:rFonts w:ascii="Calibri" w:eastAsia="Calibri" w:hAnsi="Calibri" w:cs="Times New Roman"/>
          <w:sz w:val="22"/>
          <w:szCs w:val="22"/>
        </w:rPr>
      </w:pPr>
    </w:p>
    <w:p w14:paraId="70BACA4F" w14:textId="77777777" w:rsidR="00850516" w:rsidRPr="009934A8" w:rsidRDefault="00850516" w:rsidP="00850516">
      <w:pPr>
        <w:pStyle w:val="Heading5un-numbered"/>
      </w:pPr>
      <w:r>
        <w:t>Methodology for document coding and analysis</w:t>
      </w:r>
    </w:p>
    <w:p w14:paraId="48F01AB5" w14:textId="174B60E9" w:rsidR="00850516" w:rsidRDefault="00850516" w:rsidP="00850516">
      <w:r>
        <w:br/>
        <w:t>In nearly all indicators, the</w:t>
      </w:r>
      <w:r w:rsidRPr="00DA25A4">
        <w:t xml:space="preserve"> primary focus </w:t>
      </w:r>
      <w:r>
        <w:t xml:space="preserve">for analysis </w:t>
      </w:r>
      <w:r w:rsidRPr="00DA25A4">
        <w:t xml:space="preserve">was on the receipt of necessary documentation, rather than an in-depth assessment of its quality. This approach was adopted because many services </w:t>
      </w:r>
      <w:r>
        <w:t xml:space="preserve">are </w:t>
      </w:r>
      <w:r w:rsidRPr="00DA25A4">
        <w:t>not regulated by the National Quality Framework (NQF),</w:t>
      </w:r>
      <w:r>
        <w:t xml:space="preserve"> and as such, are not assessed against prescriptive criteria or indicators on an ongoing basis, such as the National Quality Standard (NQS).</w:t>
      </w:r>
    </w:p>
    <w:p w14:paraId="3E3D5BB5" w14:textId="77777777" w:rsidR="00850516" w:rsidRDefault="00850516" w:rsidP="00850516">
      <w:r>
        <w:t>In reviewing relevant documentation in relation to the indicators above, the</w:t>
      </w:r>
      <w:r w:rsidRPr="00DA25A4">
        <w:t xml:space="preserve"> </w:t>
      </w:r>
      <w:r>
        <w:t xml:space="preserve">review team adopted a coding scheme to determine the ampleness of submitted documentation and survey responses. </w:t>
      </w:r>
    </w:p>
    <w:tbl>
      <w:tblPr>
        <w:tblStyle w:val="Deloittetable"/>
        <w:tblW w:w="9639" w:type="dxa"/>
        <w:tblLook w:val="04A0" w:firstRow="1" w:lastRow="0" w:firstColumn="1" w:lastColumn="0" w:noHBand="0" w:noVBand="1"/>
      </w:tblPr>
      <w:tblGrid>
        <w:gridCol w:w="1549"/>
        <w:gridCol w:w="1286"/>
        <w:gridCol w:w="6804"/>
      </w:tblGrid>
      <w:tr w:rsidR="00850516" w14:paraId="2890F391" w14:textId="77777777" w:rsidTr="001C655F">
        <w:trPr>
          <w:cnfStyle w:val="100000000000" w:firstRow="1" w:lastRow="0" w:firstColumn="0" w:lastColumn="0" w:oddVBand="0" w:evenVBand="0" w:oddHBand="0" w:evenHBand="0" w:firstRowFirstColumn="0" w:firstRowLastColumn="0" w:lastRowFirstColumn="0" w:lastRowLastColumn="0"/>
        </w:trPr>
        <w:tc>
          <w:tcPr>
            <w:tcW w:w="1549" w:type="dxa"/>
          </w:tcPr>
          <w:p w14:paraId="52F4134F" w14:textId="77777777" w:rsidR="00850516" w:rsidRPr="001C655F" w:rsidRDefault="00850516">
            <w:pPr>
              <w:rPr>
                <w:b/>
              </w:rPr>
            </w:pPr>
            <w:r w:rsidRPr="001C655F">
              <w:rPr>
                <w:b/>
              </w:rPr>
              <w:t>Evidence source</w:t>
            </w:r>
          </w:p>
        </w:tc>
        <w:tc>
          <w:tcPr>
            <w:tcW w:w="1286" w:type="dxa"/>
          </w:tcPr>
          <w:p w14:paraId="78958E65" w14:textId="77777777" w:rsidR="00850516" w:rsidRPr="001C655F" w:rsidRDefault="00850516">
            <w:pPr>
              <w:rPr>
                <w:b/>
              </w:rPr>
            </w:pPr>
            <w:r w:rsidRPr="001C655F">
              <w:rPr>
                <w:b/>
              </w:rPr>
              <w:t>Code</w:t>
            </w:r>
          </w:p>
        </w:tc>
        <w:tc>
          <w:tcPr>
            <w:tcW w:w="6804" w:type="dxa"/>
          </w:tcPr>
          <w:p w14:paraId="1C84AA96" w14:textId="77777777" w:rsidR="00850516" w:rsidRPr="001C655F" w:rsidRDefault="00850516">
            <w:pPr>
              <w:rPr>
                <w:b/>
              </w:rPr>
            </w:pPr>
            <w:r w:rsidRPr="001C655F">
              <w:rPr>
                <w:b/>
              </w:rPr>
              <w:t>Application</w:t>
            </w:r>
          </w:p>
        </w:tc>
      </w:tr>
      <w:tr w:rsidR="00850516" w14:paraId="085D61E2" w14:textId="77777777" w:rsidTr="001C655F">
        <w:tc>
          <w:tcPr>
            <w:tcW w:w="1549" w:type="dxa"/>
            <w:vMerge w:val="restart"/>
          </w:tcPr>
          <w:p w14:paraId="5BDCC88E" w14:textId="77777777" w:rsidR="00850516" w:rsidRPr="001C655F" w:rsidRDefault="00850516">
            <w:pPr>
              <w:rPr>
                <w:b/>
              </w:rPr>
            </w:pPr>
            <w:r w:rsidRPr="001C655F">
              <w:rPr>
                <w:b/>
              </w:rPr>
              <w:t>Survey responses</w:t>
            </w:r>
          </w:p>
        </w:tc>
        <w:tc>
          <w:tcPr>
            <w:tcW w:w="1286" w:type="dxa"/>
          </w:tcPr>
          <w:p w14:paraId="4006E958" w14:textId="77777777" w:rsidR="00850516" w:rsidRDefault="00850516">
            <w:r w:rsidRPr="00DA25A4">
              <w:t>Yes (1.0)</w:t>
            </w:r>
            <w:r w:rsidRPr="00DA25A4">
              <w:tab/>
            </w:r>
          </w:p>
        </w:tc>
        <w:tc>
          <w:tcPr>
            <w:tcW w:w="6804" w:type="dxa"/>
          </w:tcPr>
          <w:p w14:paraId="6432B52D" w14:textId="77777777" w:rsidR="00850516" w:rsidRDefault="00850516">
            <w:r>
              <w:t>Where service has noted “yes” or affirmative response to survey question.</w:t>
            </w:r>
          </w:p>
        </w:tc>
      </w:tr>
      <w:tr w:rsidR="00850516" w14:paraId="424E1127" w14:textId="77777777" w:rsidTr="001C655F">
        <w:tc>
          <w:tcPr>
            <w:tcW w:w="1549" w:type="dxa"/>
            <w:vMerge/>
          </w:tcPr>
          <w:p w14:paraId="0180C91D" w14:textId="77777777" w:rsidR="00850516" w:rsidRPr="001C655F" w:rsidRDefault="00850516">
            <w:pPr>
              <w:rPr>
                <w:b/>
              </w:rPr>
            </w:pPr>
          </w:p>
        </w:tc>
        <w:tc>
          <w:tcPr>
            <w:tcW w:w="1286" w:type="dxa"/>
          </w:tcPr>
          <w:p w14:paraId="44AFFEE1" w14:textId="77777777" w:rsidR="00850516" w:rsidRDefault="00850516">
            <w:r w:rsidRPr="00DA25A4">
              <w:t>Partial (0.5)</w:t>
            </w:r>
            <w:r w:rsidRPr="00DA25A4">
              <w:tab/>
            </w:r>
          </w:p>
        </w:tc>
        <w:tc>
          <w:tcPr>
            <w:tcW w:w="6804" w:type="dxa"/>
          </w:tcPr>
          <w:p w14:paraId="2ED1D110" w14:textId="77777777" w:rsidR="00850516" w:rsidRDefault="00850516">
            <w:r>
              <w:t>Where service has noted “partially” or moderate response to survey question.</w:t>
            </w:r>
          </w:p>
        </w:tc>
      </w:tr>
      <w:tr w:rsidR="00850516" w14:paraId="45E9339E" w14:textId="77777777" w:rsidTr="001C655F">
        <w:trPr>
          <w:trHeight w:val="249"/>
        </w:trPr>
        <w:tc>
          <w:tcPr>
            <w:tcW w:w="1549" w:type="dxa"/>
            <w:vMerge/>
          </w:tcPr>
          <w:p w14:paraId="47F4E3CD" w14:textId="77777777" w:rsidR="00850516" w:rsidRPr="001C655F" w:rsidRDefault="00850516">
            <w:pPr>
              <w:rPr>
                <w:b/>
              </w:rPr>
            </w:pPr>
          </w:p>
        </w:tc>
        <w:tc>
          <w:tcPr>
            <w:tcW w:w="1286" w:type="dxa"/>
          </w:tcPr>
          <w:p w14:paraId="18D41920" w14:textId="77777777" w:rsidR="00850516" w:rsidRDefault="00850516">
            <w:r w:rsidRPr="00DA25A4">
              <w:t>No (0.0)</w:t>
            </w:r>
            <w:r w:rsidRPr="00DA25A4">
              <w:tab/>
            </w:r>
          </w:p>
        </w:tc>
        <w:tc>
          <w:tcPr>
            <w:tcW w:w="6804" w:type="dxa"/>
          </w:tcPr>
          <w:p w14:paraId="1BD49873" w14:textId="77777777" w:rsidR="00850516" w:rsidRDefault="00850516">
            <w:r>
              <w:t>Where service has noted “no” or low response to survey question.</w:t>
            </w:r>
          </w:p>
        </w:tc>
      </w:tr>
      <w:tr w:rsidR="00850516" w14:paraId="68C351B9" w14:textId="77777777" w:rsidTr="001C655F">
        <w:tc>
          <w:tcPr>
            <w:tcW w:w="1549" w:type="dxa"/>
            <w:vMerge w:val="restart"/>
          </w:tcPr>
          <w:p w14:paraId="1E6E04F3" w14:textId="206EED52" w:rsidR="00850516" w:rsidRPr="001C655F" w:rsidRDefault="00850516">
            <w:pPr>
              <w:rPr>
                <w:b/>
              </w:rPr>
            </w:pPr>
            <w:r w:rsidRPr="001C655F">
              <w:rPr>
                <w:b/>
              </w:rPr>
              <w:t>Quality Improvement Plan</w:t>
            </w:r>
            <w:r w:rsidR="001F404E" w:rsidRPr="001C655F">
              <w:rPr>
                <w:b/>
              </w:rPr>
              <w:t xml:space="preserve"> (QIP)</w:t>
            </w:r>
          </w:p>
        </w:tc>
        <w:tc>
          <w:tcPr>
            <w:tcW w:w="1286" w:type="dxa"/>
          </w:tcPr>
          <w:p w14:paraId="7DC09BDD" w14:textId="77777777" w:rsidR="00850516" w:rsidRDefault="00850516">
            <w:r>
              <w:t>Yes (1.0)</w:t>
            </w:r>
          </w:p>
        </w:tc>
        <w:tc>
          <w:tcPr>
            <w:tcW w:w="6804" w:type="dxa"/>
          </w:tcPr>
          <w:p w14:paraId="61287953" w14:textId="5D7E5B40" w:rsidR="00850516" w:rsidRDefault="10C3AECA">
            <w:r>
              <w:t>Service has uploaded a QIP with information included about the service.</w:t>
            </w:r>
          </w:p>
        </w:tc>
      </w:tr>
      <w:tr w:rsidR="00850516" w14:paraId="5DE54050" w14:textId="77777777" w:rsidTr="001C655F">
        <w:tc>
          <w:tcPr>
            <w:tcW w:w="1549" w:type="dxa"/>
            <w:vMerge/>
          </w:tcPr>
          <w:p w14:paraId="2823079E" w14:textId="77777777" w:rsidR="00850516" w:rsidRPr="001C655F" w:rsidRDefault="00850516">
            <w:pPr>
              <w:rPr>
                <w:b/>
              </w:rPr>
            </w:pPr>
          </w:p>
        </w:tc>
        <w:tc>
          <w:tcPr>
            <w:tcW w:w="1286" w:type="dxa"/>
          </w:tcPr>
          <w:p w14:paraId="62E7F0F8" w14:textId="77777777" w:rsidR="00850516" w:rsidRDefault="00850516">
            <w:r>
              <w:t>No (0.0)</w:t>
            </w:r>
          </w:p>
        </w:tc>
        <w:tc>
          <w:tcPr>
            <w:tcW w:w="6804" w:type="dxa"/>
          </w:tcPr>
          <w:p w14:paraId="77143940" w14:textId="594560A9" w:rsidR="00850516" w:rsidRDefault="20135246">
            <w:r>
              <w:t>Service has not uploaded a QIP or has uploaded an empty QIP template.</w:t>
            </w:r>
          </w:p>
        </w:tc>
      </w:tr>
      <w:tr w:rsidR="001F404E" w14:paraId="33803041" w14:textId="77777777" w:rsidTr="001C655F">
        <w:tc>
          <w:tcPr>
            <w:tcW w:w="1549" w:type="dxa"/>
            <w:vMerge w:val="restart"/>
          </w:tcPr>
          <w:p w14:paraId="7B6AE7ED" w14:textId="10A81772" w:rsidR="001F404E" w:rsidRPr="001C655F" w:rsidRDefault="003C6C40" w:rsidP="00776349">
            <w:pPr>
              <w:rPr>
                <w:b/>
              </w:rPr>
            </w:pPr>
            <w:r w:rsidRPr="001C655F">
              <w:rPr>
                <w:b/>
              </w:rPr>
              <w:lastRenderedPageBreak/>
              <w:t>Each Quality Area under the QIP</w:t>
            </w:r>
          </w:p>
        </w:tc>
        <w:tc>
          <w:tcPr>
            <w:tcW w:w="1286" w:type="dxa"/>
          </w:tcPr>
          <w:p w14:paraId="4F505A05" w14:textId="27BB9996" w:rsidR="001F404E" w:rsidRDefault="003C6C40" w:rsidP="00776349">
            <w:r>
              <w:t>Yes (1.0</w:t>
            </w:r>
          </w:p>
        </w:tc>
        <w:tc>
          <w:tcPr>
            <w:tcW w:w="6804" w:type="dxa"/>
          </w:tcPr>
          <w:p w14:paraId="08C7D73E" w14:textId="7C31226B" w:rsidR="77FCBF92" w:rsidRDefault="77FCBF92">
            <w:r>
              <w:t>Assessment of service against Quality Area has been made, including implementation of strategies for quality improvement.</w:t>
            </w:r>
          </w:p>
        </w:tc>
      </w:tr>
      <w:tr w:rsidR="001F404E" w14:paraId="53B3A367" w14:textId="77777777" w:rsidTr="001C655F">
        <w:tc>
          <w:tcPr>
            <w:tcW w:w="1549" w:type="dxa"/>
            <w:vMerge/>
          </w:tcPr>
          <w:p w14:paraId="3AF081DF" w14:textId="77777777" w:rsidR="001F404E" w:rsidRPr="001C655F" w:rsidRDefault="001F404E" w:rsidP="00776349">
            <w:pPr>
              <w:rPr>
                <w:b/>
              </w:rPr>
            </w:pPr>
          </w:p>
        </w:tc>
        <w:tc>
          <w:tcPr>
            <w:tcW w:w="1286" w:type="dxa"/>
          </w:tcPr>
          <w:p w14:paraId="37B30BAC" w14:textId="62D2434C" w:rsidR="001F404E" w:rsidRDefault="003C6C40" w:rsidP="00776349">
            <w:r>
              <w:t>Partial (0.5)</w:t>
            </w:r>
          </w:p>
        </w:tc>
        <w:tc>
          <w:tcPr>
            <w:tcW w:w="6804" w:type="dxa"/>
          </w:tcPr>
          <w:p w14:paraId="31A58802" w14:textId="51C31A84" w:rsidR="77FCBF92" w:rsidRDefault="77FCBF92">
            <w:r>
              <w:t>Assessment of service against Quality Area has been made, however no evidence of strategies or implementation for quality improvement.</w:t>
            </w:r>
          </w:p>
        </w:tc>
      </w:tr>
      <w:tr w:rsidR="001F404E" w14:paraId="6E2169AD" w14:textId="77777777" w:rsidTr="001C655F">
        <w:tc>
          <w:tcPr>
            <w:tcW w:w="1549" w:type="dxa"/>
            <w:vMerge/>
          </w:tcPr>
          <w:p w14:paraId="0DED6CEC" w14:textId="77777777" w:rsidR="001F404E" w:rsidRPr="001C655F" w:rsidRDefault="001F404E" w:rsidP="00776349">
            <w:pPr>
              <w:rPr>
                <w:b/>
              </w:rPr>
            </w:pPr>
          </w:p>
        </w:tc>
        <w:tc>
          <w:tcPr>
            <w:tcW w:w="1286" w:type="dxa"/>
          </w:tcPr>
          <w:p w14:paraId="6878505B" w14:textId="2367BDCE" w:rsidR="001F404E" w:rsidRDefault="003C6C40" w:rsidP="00776349">
            <w:r>
              <w:t>No (0.0)</w:t>
            </w:r>
          </w:p>
        </w:tc>
        <w:tc>
          <w:tcPr>
            <w:tcW w:w="6804" w:type="dxa"/>
          </w:tcPr>
          <w:p w14:paraId="18CD329F" w14:textId="4FA3A3A8" w:rsidR="77FCBF92" w:rsidRDefault="77FCBF92">
            <w:r>
              <w:t>No assessment has been made against the Quality Area</w:t>
            </w:r>
          </w:p>
        </w:tc>
      </w:tr>
      <w:tr w:rsidR="00776349" w14:paraId="17829A3C" w14:textId="77777777" w:rsidTr="001C655F">
        <w:tc>
          <w:tcPr>
            <w:tcW w:w="1549" w:type="dxa"/>
            <w:vMerge w:val="restart"/>
          </w:tcPr>
          <w:p w14:paraId="356450C6" w14:textId="031F01AF" w:rsidR="00776349" w:rsidRPr="001C655F" w:rsidRDefault="00776349" w:rsidP="00776349">
            <w:pPr>
              <w:rPr>
                <w:b/>
              </w:rPr>
            </w:pPr>
            <w:r w:rsidRPr="001C655F">
              <w:rPr>
                <w:b/>
              </w:rPr>
              <w:t xml:space="preserve">Insurance </w:t>
            </w:r>
            <w:r w:rsidR="27EB43EB" w:rsidRPr="001C655F">
              <w:rPr>
                <w:b/>
              </w:rPr>
              <w:t xml:space="preserve">and Workers Compensation </w:t>
            </w:r>
            <w:r w:rsidRPr="001C655F">
              <w:rPr>
                <w:b/>
              </w:rPr>
              <w:t>documentation</w:t>
            </w:r>
          </w:p>
        </w:tc>
        <w:tc>
          <w:tcPr>
            <w:tcW w:w="1286" w:type="dxa"/>
          </w:tcPr>
          <w:p w14:paraId="647B8D13" w14:textId="3F52FC4A" w:rsidR="00776349" w:rsidRDefault="00776349" w:rsidP="00776349">
            <w:r>
              <w:t>Yes (1.0)</w:t>
            </w:r>
          </w:p>
        </w:tc>
        <w:tc>
          <w:tcPr>
            <w:tcW w:w="6804" w:type="dxa"/>
          </w:tcPr>
          <w:p w14:paraId="2AEA6E65" w14:textId="03E637A4" w:rsidR="77FCBF92" w:rsidRDefault="77FCBF92">
            <w:r>
              <w:t>Documentation showing evidence of current and adequate insurance policy/coverage in line with obligations under Minister’s Rules.</w:t>
            </w:r>
          </w:p>
        </w:tc>
      </w:tr>
      <w:tr w:rsidR="00776349" w14:paraId="7E6896D1" w14:textId="77777777" w:rsidTr="001C655F">
        <w:tc>
          <w:tcPr>
            <w:tcW w:w="1549" w:type="dxa"/>
            <w:vMerge/>
          </w:tcPr>
          <w:p w14:paraId="6ED2F6D8" w14:textId="77777777" w:rsidR="00776349" w:rsidRPr="001C655F" w:rsidRDefault="00776349" w:rsidP="00776349">
            <w:pPr>
              <w:rPr>
                <w:b/>
              </w:rPr>
            </w:pPr>
          </w:p>
        </w:tc>
        <w:tc>
          <w:tcPr>
            <w:tcW w:w="1286" w:type="dxa"/>
          </w:tcPr>
          <w:p w14:paraId="2E549DBA" w14:textId="6DA58ACE" w:rsidR="00776349" w:rsidRDefault="00776349" w:rsidP="00776349">
            <w:r>
              <w:t>No (0.0)</w:t>
            </w:r>
          </w:p>
        </w:tc>
        <w:tc>
          <w:tcPr>
            <w:tcW w:w="6804" w:type="dxa"/>
          </w:tcPr>
          <w:p w14:paraId="24C2FFDB" w14:textId="2448F559" w:rsidR="77FCBF92" w:rsidRDefault="77FCBF92">
            <w:r>
              <w:t>No evidence available of current and/or adequate insurance policies.</w:t>
            </w:r>
          </w:p>
        </w:tc>
      </w:tr>
      <w:tr w:rsidR="00776349" w14:paraId="6B8B15DC" w14:textId="77777777" w:rsidTr="001C655F">
        <w:tc>
          <w:tcPr>
            <w:tcW w:w="1549" w:type="dxa"/>
            <w:vMerge w:val="restart"/>
          </w:tcPr>
          <w:p w14:paraId="7959EE4D" w14:textId="02CAFE92" w:rsidR="00776349" w:rsidRPr="001C655F" w:rsidRDefault="00776349" w:rsidP="00776349">
            <w:pPr>
              <w:rPr>
                <w:b/>
              </w:rPr>
            </w:pPr>
            <w:r w:rsidRPr="001C655F">
              <w:rPr>
                <w:b/>
              </w:rPr>
              <w:t>Serious Incident Procedure</w:t>
            </w:r>
          </w:p>
        </w:tc>
        <w:tc>
          <w:tcPr>
            <w:tcW w:w="1286" w:type="dxa"/>
          </w:tcPr>
          <w:p w14:paraId="0A180520" w14:textId="4094D2B9" w:rsidR="00776349" w:rsidRDefault="00776349" w:rsidP="00776349">
            <w:r>
              <w:t>Yes (1.0</w:t>
            </w:r>
          </w:p>
        </w:tc>
        <w:tc>
          <w:tcPr>
            <w:tcW w:w="6804" w:type="dxa"/>
          </w:tcPr>
          <w:p w14:paraId="45F7D7DE" w14:textId="321ED311" w:rsidR="77FCBF92" w:rsidRDefault="77FCBF92">
            <w:r>
              <w:t>Service has uploaded a Serious Incident Procedure, including explicit reference to reporting obligations to Australian Government Department of Education under the CCCFR grant.</w:t>
            </w:r>
          </w:p>
        </w:tc>
      </w:tr>
      <w:tr w:rsidR="00776349" w14:paraId="4FD8D282" w14:textId="77777777" w:rsidTr="001C655F">
        <w:tc>
          <w:tcPr>
            <w:tcW w:w="1549" w:type="dxa"/>
            <w:vMerge/>
          </w:tcPr>
          <w:p w14:paraId="3D5F4E86" w14:textId="77777777" w:rsidR="00776349" w:rsidRDefault="00776349" w:rsidP="00776349"/>
        </w:tc>
        <w:tc>
          <w:tcPr>
            <w:tcW w:w="1286" w:type="dxa"/>
          </w:tcPr>
          <w:p w14:paraId="0C543131" w14:textId="4C10A5E2" w:rsidR="00776349" w:rsidRDefault="00776349" w:rsidP="00776349">
            <w:r>
              <w:t>Partial (0.5)</w:t>
            </w:r>
          </w:p>
        </w:tc>
        <w:tc>
          <w:tcPr>
            <w:tcW w:w="6804" w:type="dxa"/>
          </w:tcPr>
          <w:p w14:paraId="59C795A0" w14:textId="6E865EC2" w:rsidR="77FCBF92" w:rsidRDefault="77FCBF92">
            <w:r>
              <w:t>Service has uploaded evidence of Serious Incident Procedure, however does not include explicit reference to reporting obligations to Australian Government Department of Education under the CCCFR grant.</w:t>
            </w:r>
          </w:p>
        </w:tc>
      </w:tr>
      <w:tr w:rsidR="00776349" w14:paraId="2875F0CE" w14:textId="77777777" w:rsidTr="001C655F">
        <w:tc>
          <w:tcPr>
            <w:tcW w:w="1549" w:type="dxa"/>
            <w:vMerge/>
          </w:tcPr>
          <w:p w14:paraId="47B29128" w14:textId="77777777" w:rsidR="00776349" w:rsidRDefault="00776349" w:rsidP="00776349"/>
        </w:tc>
        <w:tc>
          <w:tcPr>
            <w:tcW w:w="1286" w:type="dxa"/>
          </w:tcPr>
          <w:p w14:paraId="28777C3B" w14:textId="4FA3D5B8" w:rsidR="00776349" w:rsidRDefault="00776349" w:rsidP="00776349">
            <w:r>
              <w:t>No (0.0)</w:t>
            </w:r>
          </w:p>
        </w:tc>
        <w:tc>
          <w:tcPr>
            <w:tcW w:w="6804" w:type="dxa"/>
          </w:tcPr>
          <w:p w14:paraId="21872859" w14:textId="54525346" w:rsidR="77FCBF92" w:rsidRDefault="77FCBF92">
            <w:r>
              <w:t>Service has not uploaded evidence of a Serious Incident Procedure relevant to the individual service.</w:t>
            </w:r>
          </w:p>
        </w:tc>
      </w:tr>
    </w:tbl>
    <w:p w14:paraId="1FD9CE0F" w14:textId="77777777" w:rsidR="00850516" w:rsidRDefault="00850516" w:rsidP="00850516">
      <w:r>
        <w:br/>
        <w:t>For indicators relating to the Educational Program, the following coding approach was applied:</w:t>
      </w:r>
    </w:p>
    <w:tbl>
      <w:tblPr>
        <w:tblStyle w:val="Deloittetable"/>
        <w:tblW w:w="9639" w:type="dxa"/>
        <w:tblLook w:val="04A0" w:firstRow="1" w:lastRow="0" w:firstColumn="1" w:lastColumn="0" w:noHBand="0" w:noVBand="1"/>
      </w:tblPr>
      <w:tblGrid>
        <w:gridCol w:w="1560"/>
        <w:gridCol w:w="1275"/>
        <w:gridCol w:w="6804"/>
      </w:tblGrid>
      <w:tr w:rsidR="00850516" w14:paraId="6E004134" w14:textId="77777777" w:rsidTr="001C655F">
        <w:trPr>
          <w:cnfStyle w:val="100000000000" w:firstRow="1" w:lastRow="0" w:firstColumn="0" w:lastColumn="0" w:oddVBand="0" w:evenVBand="0" w:oddHBand="0" w:evenHBand="0" w:firstRowFirstColumn="0" w:firstRowLastColumn="0" w:lastRowFirstColumn="0" w:lastRowLastColumn="0"/>
        </w:trPr>
        <w:tc>
          <w:tcPr>
            <w:tcW w:w="1560" w:type="dxa"/>
          </w:tcPr>
          <w:p w14:paraId="01C2D870" w14:textId="77777777" w:rsidR="00850516" w:rsidRPr="001C655F" w:rsidRDefault="00850516">
            <w:pPr>
              <w:rPr>
                <w:b/>
              </w:rPr>
            </w:pPr>
            <w:r w:rsidRPr="001C655F">
              <w:rPr>
                <w:b/>
              </w:rPr>
              <w:t>Indicator</w:t>
            </w:r>
          </w:p>
        </w:tc>
        <w:tc>
          <w:tcPr>
            <w:tcW w:w="1275" w:type="dxa"/>
          </w:tcPr>
          <w:p w14:paraId="2AF60300" w14:textId="77777777" w:rsidR="00850516" w:rsidRPr="001C655F" w:rsidRDefault="00850516">
            <w:pPr>
              <w:rPr>
                <w:b/>
              </w:rPr>
            </w:pPr>
            <w:r w:rsidRPr="001C655F">
              <w:rPr>
                <w:b/>
              </w:rPr>
              <w:t>Code</w:t>
            </w:r>
          </w:p>
        </w:tc>
        <w:tc>
          <w:tcPr>
            <w:tcW w:w="6804" w:type="dxa"/>
          </w:tcPr>
          <w:p w14:paraId="3ADDE753" w14:textId="77777777" w:rsidR="00850516" w:rsidRPr="001C655F" w:rsidRDefault="00850516">
            <w:pPr>
              <w:rPr>
                <w:b/>
              </w:rPr>
            </w:pPr>
            <w:r w:rsidRPr="001C655F">
              <w:rPr>
                <w:b/>
              </w:rPr>
              <w:t>Application</w:t>
            </w:r>
          </w:p>
        </w:tc>
      </w:tr>
      <w:tr w:rsidR="00850516" w14:paraId="19414F1B" w14:textId="77777777" w:rsidTr="001C655F">
        <w:tc>
          <w:tcPr>
            <w:tcW w:w="1560" w:type="dxa"/>
            <w:vMerge w:val="restart"/>
          </w:tcPr>
          <w:p w14:paraId="1AD250DE" w14:textId="26868F7A" w:rsidR="00850516" w:rsidRPr="001C655F" w:rsidRDefault="00850516">
            <w:pPr>
              <w:rPr>
                <w:b/>
              </w:rPr>
            </w:pPr>
            <w:r w:rsidRPr="001C655F">
              <w:rPr>
                <w:b/>
              </w:rPr>
              <w:t xml:space="preserve">Educational </w:t>
            </w:r>
            <w:r w:rsidR="00780710" w:rsidRPr="001C655F">
              <w:rPr>
                <w:b/>
              </w:rPr>
              <w:t>P</w:t>
            </w:r>
            <w:r w:rsidRPr="001C655F">
              <w:rPr>
                <w:b/>
              </w:rPr>
              <w:t>rogram uploaded with Compliance and Operations Report</w:t>
            </w:r>
          </w:p>
        </w:tc>
        <w:tc>
          <w:tcPr>
            <w:tcW w:w="1275" w:type="dxa"/>
          </w:tcPr>
          <w:p w14:paraId="11751A8F" w14:textId="77777777" w:rsidR="00850516" w:rsidRDefault="00850516">
            <w:r w:rsidRPr="00DA25A4">
              <w:t>Yes (1.0)</w:t>
            </w:r>
            <w:r w:rsidRPr="00DA25A4">
              <w:tab/>
            </w:r>
          </w:p>
        </w:tc>
        <w:tc>
          <w:tcPr>
            <w:tcW w:w="6804" w:type="dxa"/>
          </w:tcPr>
          <w:p w14:paraId="5488A57B" w14:textId="76C0B11B" w:rsidR="00850516" w:rsidRPr="00C32B3A" w:rsidRDefault="006277D0">
            <w:r w:rsidRPr="00C32B3A">
              <w:t>Where service has uploaded a</w:t>
            </w:r>
            <w:r w:rsidR="006103A8" w:rsidRPr="00C32B3A">
              <w:t xml:space="preserve"> document showing evidence of an educational program at the service (</w:t>
            </w:r>
            <w:r w:rsidR="009B27F0" w:rsidRPr="00C32B3A">
              <w:t>e.g.</w:t>
            </w:r>
            <w:r w:rsidR="00780710">
              <w:t>,</w:t>
            </w:r>
            <w:r w:rsidR="009B27F0" w:rsidRPr="00C32B3A">
              <w:t xml:space="preserve"> a weekly schedule of educational activities)</w:t>
            </w:r>
          </w:p>
        </w:tc>
      </w:tr>
      <w:tr w:rsidR="00850516" w14:paraId="756E593C" w14:textId="77777777" w:rsidTr="001C655F">
        <w:tc>
          <w:tcPr>
            <w:tcW w:w="1560" w:type="dxa"/>
            <w:vMerge/>
          </w:tcPr>
          <w:p w14:paraId="7984761A" w14:textId="77777777" w:rsidR="00850516" w:rsidRPr="001C655F" w:rsidRDefault="00850516">
            <w:pPr>
              <w:rPr>
                <w:b/>
              </w:rPr>
            </w:pPr>
          </w:p>
        </w:tc>
        <w:tc>
          <w:tcPr>
            <w:tcW w:w="1275" w:type="dxa"/>
          </w:tcPr>
          <w:p w14:paraId="69B3C598" w14:textId="77777777" w:rsidR="00850516" w:rsidRDefault="00850516">
            <w:r w:rsidRPr="00DA25A4">
              <w:t>Partial (0.5)</w:t>
            </w:r>
            <w:r w:rsidRPr="00DA25A4">
              <w:tab/>
            </w:r>
          </w:p>
        </w:tc>
        <w:tc>
          <w:tcPr>
            <w:tcW w:w="6804" w:type="dxa"/>
          </w:tcPr>
          <w:p w14:paraId="30B045B1" w14:textId="14685D34" w:rsidR="00850516" w:rsidRPr="00C32B3A" w:rsidRDefault="009B27F0">
            <w:r w:rsidRPr="00C32B3A">
              <w:t>Where a service has uploade</w:t>
            </w:r>
            <w:r w:rsidR="008C1CF5" w:rsidRPr="00C32B3A">
              <w:t xml:space="preserve">d a document which implies an educational program at the service, however </w:t>
            </w:r>
            <w:r w:rsidR="002229C3" w:rsidRPr="00C32B3A">
              <w:t>does</w:t>
            </w:r>
            <w:r w:rsidR="008C1CF5" w:rsidRPr="00C32B3A">
              <w:t xml:space="preserve"> not </w:t>
            </w:r>
            <w:r w:rsidR="00C32B3A" w:rsidRPr="00C32B3A">
              <w:t>explicitly show that an</w:t>
            </w:r>
            <w:r w:rsidR="002229C3" w:rsidRPr="00C32B3A">
              <w:t xml:space="preserve"> educational </w:t>
            </w:r>
            <w:r w:rsidR="00C32B3A" w:rsidRPr="00C32B3A">
              <w:t>program is being delivered (e.g. a</w:t>
            </w:r>
            <w:r w:rsidR="00885044">
              <w:t>n empty</w:t>
            </w:r>
            <w:r w:rsidR="00C32B3A" w:rsidRPr="00C32B3A">
              <w:t xml:space="preserve"> template or provider’s educational policy</w:t>
            </w:r>
            <w:r w:rsidR="00B77A84" w:rsidRPr="00C32B3A">
              <w:t>)</w:t>
            </w:r>
          </w:p>
        </w:tc>
      </w:tr>
      <w:tr w:rsidR="00850516" w14:paraId="315E3445" w14:textId="77777777" w:rsidTr="001C655F">
        <w:trPr>
          <w:trHeight w:val="249"/>
        </w:trPr>
        <w:tc>
          <w:tcPr>
            <w:tcW w:w="1560" w:type="dxa"/>
            <w:vMerge/>
          </w:tcPr>
          <w:p w14:paraId="25624D02" w14:textId="77777777" w:rsidR="00850516" w:rsidRPr="001C655F" w:rsidRDefault="00850516">
            <w:pPr>
              <w:rPr>
                <w:b/>
              </w:rPr>
            </w:pPr>
          </w:p>
        </w:tc>
        <w:tc>
          <w:tcPr>
            <w:tcW w:w="1275" w:type="dxa"/>
          </w:tcPr>
          <w:p w14:paraId="47310318" w14:textId="77777777" w:rsidR="00850516" w:rsidRDefault="00850516">
            <w:r w:rsidRPr="00DA25A4">
              <w:t>No (0.0)</w:t>
            </w:r>
            <w:r w:rsidRPr="00DA25A4">
              <w:tab/>
            </w:r>
          </w:p>
        </w:tc>
        <w:tc>
          <w:tcPr>
            <w:tcW w:w="6804" w:type="dxa"/>
          </w:tcPr>
          <w:p w14:paraId="3E50807E" w14:textId="14FF6D8F" w:rsidR="00850516" w:rsidRPr="00C32B3A" w:rsidRDefault="00C32B3A">
            <w:r w:rsidRPr="00C32B3A">
              <w:t>Service has not uploaded educational program documentation or other evidence indicating an educational program</w:t>
            </w:r>
          </w:p>
        </w:tc>
      </w:tr>
      <w:tr w:rsidR="00850516" w14:paraId="61A2AF38" w14:textId="77777777" w:rsidTr="001C655F">
        <w:trPr>
          <w:trHeight w:val="1006"/>
        </w:trPr>
        <w:tc>
          <w:tcPr>
            <w:tcW w:w="1560" w:type="dxa"/>
            <w:vMerge w:val="restart"/>
          </w:tcPr>
          <w:p w14:paraId="06081463" w14:textId="44787196" w:rsidR="00850516" w:rsidRPr="001C655F" w:rsidRDefault="00850516">
            <w:pPr>
              <w:rPr>
                <w:b/>
              </w:rPr>
            </w:pPr>
            <w:r w:rsidRPr="001C655F">
              <w:rPr>
                <w:b/>
                <w:lang w:val="en-GB"/>
              </w:rPr>
              <w:t>Indication o</w:t>
            </w:r>
            <w:r w:rsidR="00264C5C" w:rsidRPr="001C655F">
              <w:rPr>
                <w:b/>
                <w:lang w:val="en-GB"/>
              </w:rPr>
              <w:t>r reference to tailored, individual</w:t>
            </w:r>
            <w:r w:rsidR="00814C37" w:rsidRPr="001C655F">
              <w:rPr>
                <w:b/>
                <w:lang w:val="en-GB"/>
              </w:rPr>
              <w:t>, or child-centred approaches in</w:t>
            </w:r>
            <w:r w:rsidR="00264C5C" w:rsidRPr="001C655F">
              <w:rPr>
                <w:b/>
                <w:lang w:val="en-GB"/>
              </w:rPr>
              <w:t xml:space="preserve"> educational program</w:t>
            </w:r>
            <w:r w:rsidRPr="001C655F">
              <w:rPr>
                <w:b/>
                <w:lang w:val="en-GB"/>
              </w:rPr>
              <w:t>, such as:</w:t>
            </w:r>
          </w:p>
          <w:p w14:paraId="7F02BADB" w14:textId="77777777" w:rsidR="00850516" w:rsidRPr="001C655F" w:rsidRDefault="00850516">
            <w:pPr>
              <w:rPr>
                <w:b/>
              </w:rPr>
            </w:pPr>
            <w:r w:rsidRPr="001C655F">
              <w:rPr>
                <w:b/>
                <w:lang w:val="en-GB"/>
              </w:rPr>
              <w:t>•</w:t>
            </w:r>
            <w:r w:rsidRPr="001C655F">
              <w:rPr>
                <w:b/>
                <w:lang w:val="en-GB"/>
              </w:rPr>
              <w:tab/>
              <w:t xml:space="preserve">reference to individual child and/or </w:t>
            </w:r>
            <w:r w:rsidRPr="001C655F">
              <w:rPr>
                <w:b/>
                <w:lang w:val="en-GB"/>
              </w:rPr>
              <w:lastRenderedPageBreak/>
              <w:t>cohort of children</w:t>
            </w:r>
          </w:p>
          <w:p w14:paraId="26C759CC" w14:textId="77777777" w:rsidR="00850516" w:rsidRPr="001C655F" w:rsidRDefault="00850516">
            <w:pPr>
              <w:rPr>
                <w:b/>
              </w:rPr>
            </w:pPr>
            <w:r w:rsidRPr="001C655F">
              <w:rPr>
                <w:b/>
              </w:rPr>
              <w:t>•</w:t>
            </w:r>
            <w:r w:rsidRPr="001C655F">
              <w:rPr>
                <w:b/>
              </w:rPr>
              <w:tab/>
              <w:t>evidence of child-level planning and/or evaluation.</w:t>
            </w:r>
          </w:p>
        </w:tc>
        <w:tc>
          <w:tcPr>
            <w:tcW w:w="1275" w:type="dxa"/>
          </w:tcPr>
          <w:p w14:paraId="48CCB2DD" w14:textId="77777777" w:rsidR="00850516" w:rsidRDefault="00850516">
            <w:r>
              <w:lastRenderedPageBreak/>
              <w:t>Yes (1.0)</w:t>
            </w:r>
          </w:p>
        </w:tc>
        <w:tc>
          <w:tcPr>
            <w:tcW w:w="6804" w:type="dxa"/>
          </w:tcPr>
          <w:p w14:paraId="2AD269ED" w14:textId="77777777" w:rsidR="00850516" w:rsidRDefault="00C32B3A">
            <w:r>
              <w:t>Evidence of child-centred approaches within educational program documentation</w:t>
            </w:r>
            <w:r w:rsidR="00EE3A19">
              <w:t>, notably:</w:t>
            </w:r>
          </w:p>
          <w:p w14:paraId="07513280" w14:textId="77777777" w:rsidR="00EE3A19" w:rsidRDefault="00EE3A19" w:rsidP="00171325">
            <w:pPr>
              <w:pStyle w:val="ListParagraph"/>
              <w:numPr>
                <w:ilvl w:val="0"/>
                <w:numId w:val="38"/>
              </w:numPr>
            </w:pPr>
            <w:r>
              <w:t>references to individual children within documentation</w:t>
            </w:r>
          </w:p>
          <w:p w14:paraId="6FF69443" w14:textId="5394AE6F" w:rsidR="00850516" w:rsidRDefault="00EE3A19" w:rsidP="00171325">
            <w:pPr>
              <w:pStyle w:val="ListParagraph"/>
              <w:numPr>
                <w:ilvl w:val="0"/>
                <w:numId w:val="38"/>
              </w:numPr>
            </w:pPr>
            <w:r>
              <w:t xml:space="preserve">references to </w:t>
            </w:r>
            <w:r w:rsidR="005A7A1A">
              <w:t xml:space="preserve">planning and/or critical reflection </w:t>
            </w:r>
            <w:r w:rsidR="00D61317">
              <w:t>in relation to</w:t>
            </w:r>
            <w:r w:rsidR="005A7A1A">
              <w:t xml:space="preserve"> learning and development of children</w:t>
            </w:r>
          </w:p>
        </w:tc>
      </w:tr>
      <w:tr w:rsidR="00850516" w14:paraId="26E58338" w14:textId="77777777" w:rsidTr="001C655F">
        <w:trPr>
          <w:trHeight w:val="1120"/>
        </w:trPr>
        <w:tc>
          <w:tcPr>
            <w:tcW w:w="1560" w:type="dxa"/>
            <w:vMerge/>
          </w:tcPr>
          <w:p w14:paraId="3928F24D" w14:textId="77777777" w:rsidR="00850516" w:rsidRPr="001C655F" w:rsidRDefault="00850516">
            <w:pPr>
              <w:rPr>
                <w:b/>
              </w:rPr>
            </w:pPr>
          </w:p>
        </w:tc>
        <w:tc>
          <w:tcPr>
            <w:tcW w:w="1275" w:type="dxa"/>
          </w:tcPr>
          <w:p w14:paraId="72E45095" w14:textId="77777777" w:rsidR="00850516" w:rsidRDefault="00850516">
            <w:r>
              <w:t>Partial (0.5)</w:t>
            </w:r>
          </w:p>
        </w:tc>
        <w:tc>
          <w:tcPr>
            <w:tcW w:w="6804" w:type="dxa"/>
          </w:tcPr>
          <w:p w14:paraId="3BF45173" w14:textId="65F4CD3D" w:rsidR="00850516" w:rsidRDefault="005A7A1A">
            <w:r w:rsidRPr="00C32B3A">
              <w:t xml:space="preserve">Where a service has uploaded a document which implies </w:t>
            </w:r>
            <w:r>
              <w:t>individualised or child-centred approache</w:t>
            </w:r>
            <w:r w:rsidR="00885044">
              <w:t>s</w:t>
            </w:r>
            <w:r w:rsidRPr="00C32B3A">
              <w:t xml:space="preserve"> at the service, however does not explicitly </w:t>
            </w:r>
            <w:r w:rsidR="00885044">
              <w:t>provide evidence through documentation</w:t>
            </w:r>
            <w:r w:rsidRPr="00C32B3A">
              <w:t xml:space="preserve"> (e.g. a</w:t>
            </w:r>
            <w:r w:rsidR="00885044">
              <w:t>n</w:t>
            </w:r>
            <w:r w:rsidRPr="00C32B3A">
              <w:t xml:space="preserve"> </w:t>
            </w:r>
            <w:r w:rsidR="00885044">
              <w:t xml:space="preserve">empty </w:t>
            </w:r>
            <w:r w:rsidRPr="00C32B3A">
              <w:t>template or provider’s educational policy)</w:t>
            </w:r>
          </w:p>
        </w:tc>
      </w:tr>
      <w:tr w:rsidR="00850516" w14:paraId="61083EA4" w14:textId="77777777" w:rsidTr="001C655F">
        <w:tc>
          <w:tcPr>
            <w:tcW w:w="1560" w:type="dxa"/>
            <w:vMerge/>
          </w:tcPr>
          <w:p w14:paraId="4DE7B809" w14:textId="77777777" w:rsidR="00850516" w:rsidRPr="001C655F" w:rsidRDefault="00850516">
            <w:pPr>
              <w:rPr>
                <w:b/>
              </w:rPr>
            </w:pPr>
          </w:p>
        </w:tc>
        <w:tc>
          <w:tcPr>
            <w:tcW w:w="1275" w:type="dxa"/>
          </w:tcPr>
          <w:p w14:paraId="4D8C100E" w14:textId="77777777" w:rsidR="00850516" w:rsidRDefault="00850516">
            <w:r>
              <w:t>No (0.0)</w:t>
            </w:r>
          </w:p>
        </w:tc>
        <w:tc>
          <w:tcPr>
            <w:tcW w:w="6804" w:type="dxa"/>
          </w:tcPr>
          <w:p w14:paraId="1150BA50" w14:textId="61204B63" w:rsidR="00850516" w:rsidRDefault="00096BF5">
            <w:r>
              <w:t>Educational program does not include references to individual children or individualised planning.</w:t>
            </w:r>
          </w:p>
        </w:tc>
      </w:tr>
      <w:tr w:rsidR="00850516" w14:paraId="586C682C" w14:textId="77777777" w:rsidTr="001C655F">
        <w:tc>
          <w:tcPr>
            <w:tcW w:w="1560" w:type="dxa"/>
            <w:vMerge w:val="restart"/>
          </w:tcPr>
          <w:p w14:paraId="14580088" w14:textId="77777777" w:rsidR="00850516" w:rsidRPr="001C655F" w:rsidRDefault="00850516">
            <w:pPr>
              <w:rPr>
                <w:b/>
              </w:rPr>
            </w:pPr>
            <w:r w:rsidRPr="001C655F">
              <w:rPr>
                <w:b/>
              </w:rPr>
              <w:t>Indication or reference to cultural identity within Educational Program</w:t>
            </w:r>
          </w:p>
        </w:tc>
        <w:tc>
          <w:tcPr>
            <w:tcW w:w="1275" w:type="dxa"/>
          </w:tcPr>
          <w:p w14:paraId="0F192AEA" w14:textId="77777777" w:rsidR="00850516" w:rsidRDefault="00850516">
            <w:r>
              <w:t>Yes (1.0)</w:t>
            </w:r>
          </w:p>
        </w:tc>
        <w:tc>
          <w:tcPr>
            <w:tcW w:w="6804" w:type="dxa"/>
          </w:tcPr>
          <w:p w14:paraId="7DD8208C" w14:textId="40C511FD" w:rsidR="00096BF5" w:rsidRDefault="00096BF5" w:rsidP="00096BF5">
            <w:r>
              <w:t xml:space="preserve">Educational program </w:t>
            </w:r>
            <w:r w:rsidR="00BF3915">
              <w:t>documentation</w:t>
            </w:r>
            <w:r>
              <w:t xml:space="preserve"> indicates or references cultural identity within Educational program, including:</w:t>
            </w:r>
          </w:p>
          <w:p w14:paraId="6E5673F7" w14:textId="49527450" w:rsidR="00096BF5" w:rsidRDefault="00DB14F8" w:rsidP="00171325">
            <w:pPr>
              <w:pStyle w:val="ListParagraph"/>
              <w:numPr>
                <w:ilvl w:val="0"/>
                <w:numId w:val="39"/>
              </w:numPr>
            </w:pPr>
            <w:r>
              <w:t>any reference</w:t>
            </w:r>
            <w:r w:rsidR="00096BF5">
              <w:t xml:space="preserve"> to </w:t>
            </w:r>
            <w:r>
              <w:t>Aboriginal and/or Torres Strait Islander language within programming</w:t>
            </w:r>
          </w:p>
          <w:p w14:paraId="52949FEE" w14:textId="7B6246C2" w:rsidR="00DB14F8" w:rsidRDefault="00DB14F8" w:rsidP="00171325">
            <w:pPr>
              <w:pStyle w:val="ListParagraph"/>
              <w:numPr>
                <w:ilvl w:val="0"/>
                <w:numId w:val="39"/>
              </w:numPr>
            </w:pPr>
            <w:r>
              <w:t>any reference to Aboriginal and/or Torres Strait Islander knowledge and/or history within programming</w:t>
            </w:r>
          </w:p>
          <w:p w14:paraId="3C8100AF" w14:textId="57A20338" w:rsidR="00DB14F8" w:rsidRDefault="00DB14F8" w:rsidP="00171325">
            <w:pPr>
              <w:pStyle w:val="ListParagraph"/>
              <w:numPr>
                <w:ilvl w:val="0"/>
                <w:numId w:val="39"/>
              </w:numPr>
            </w:pPr>
            <w:r>
              <w:t>any reference to cultural identity or diversity within educational programming</w:t>
            </w:r>
          </w:p>
          <w:p w14:paraId="53900DC0" w14:textId="3BB1D9BB" w:rsidR="00850516" w:rsidRDefault="00FC328C" w:rsidP="00171325">
            <w:pPr>
              <w:pStyle w:val="ListParagraph"/>
              <w:numPr>
                <w:ilvl w:val="0"/>
                <w:numId w:val="39"/>
              </w:numPr>
            </w:pPr>
            <w:r>
              <w:t>any reference to days of significance relating to cultural diversity or identity, including NAIDOC week, Harmony Day</w:t>
            </w:r>
            <w:r w:rsidR="00BF3915">
              <w:t xml:space="preserve"> or other days of significance.</w:t>
            </w:r>
            <w:r>
              <w:t xml:space="preserve"> </w:t>
            </w:r>
          </w:p>
        </w:tc>
      </w:tr>
      <w:tr w:rsidR="00850516" w14:paraId="517C5FBA" w14:textId="77777777" w:rsidTr="001C655F">
        <w:tc>
          <w:tcPr>
            <w:tcW w:w="1560" w:type="dxa"/>
            <w:vMerge/>
          </w:tcPr>
          <w:p w14:paraId="51E54FA0" w14:textId="77777777" w:rsidR="00850516" w:rsidRDefault="00850516"/>
        </w:tc>
        <w:tc>
          <w:tcPr>
            <w:tcW w:w="1275" w:type="dxa"/>
          </w:tcPr>
          <w:p w14:paraId="652C9FB0" w14:textId="77777777" w:rsidR="00850516" w:rsidRDefault="00850516">
            <w:r>
              <w:t>No (0.0)</w:t>
            </w:r>
          </w:p>
        </w:tc>
        <w:tc>
          <w:tcPr>
            <w:tcW w:w="6804" w:type="dxa"/>
          </w:tcPr>
          <w:p w14:paraId="7BF718B9" w14:textId="7A1CE942" w:rsidR="00850516" w:rsidRDefault="00BF3915">
            <w:r>
              <w:t>Educational program documentation does not include any indication or reference to cultural identity.</w:t>
            </w:r>
          </w:p>
        </w:tc>
      </w:tr>
      <w:tr w:rsidR="00850516" w14:paraId="5933E98A" w14:textId="77777777" w:rsidTr="001C655F">
        <w:tc>
          <w:tcPr>
            <w:tcW w:w="1560" w:type="dxa"/>
            <w:vMerge w:val="restart"/>
          </w:tcPr>
          <w:p w14:paraId="2B71396A" w14:textId="77777777" w:rsidR="00850516" w:rsidRDefault="00850516">
            <w:r w:rsidRPr="001905F1">
              <w:rPr>
                <w:rFonts w:eastAsia="Verdana" w:cs="Times New Roman"/>
              </w:rPr>
              <w:t>Indication or reference to assessment and planning cycle (or similar) reflection of child learning and development</w:t>
            </w:r>
          </w:p>
        </w:tc>
        <w:tc>
          <w:tcPr>
            <w:tcW w:w="1275" w:type="dxa"/>
          </w:tcPr>
          <w:p w14:paraId="31B45EFE" w14:textId="77777777" w:rsidR="00850516" w:rsidRDefault="00850516">
            <w:r>
              <w:t>Yes (1.0)</w:t>
            </w:r>
          </w:p>
        </w:tc>
        <w:tc>
          <w:tcPr>
            <w:tcW w:w="6804" w:type="dxa"/>
          </w:tcPr>
          <w:p w14:paraId="0B4A1E3D" w14:textId="77777777" w:rsidR="00BF3915" w:rsidRDefault="00174421" w:rsidP="00BF3915">
            <w:r>
              <w:t xml:space="preserve">Educational program documentation includes reference to </w:t>
            </w:r>
            <w:r w:rsidR="004019A7">
              <w:t>assessment and planning of child learning and development, including:</w:t>
            </w:r>
          </w:p>
          <w:p w14:paraId="4DE45E12" w14:textId="10383B21" w:rsidR="004019A7" w:rsidRDefault="004019A7" w:rsidP="00416EA8">
            <w:pPr>
              <w:pStyle w:val="ListParagraph"/>
              <w:numPr>
                <w:ilvl w:val="0"/>
                <w:numId w:val="42"/>
              </w:numPr>
            </w:pPr>
            <w:r>
              <w:t>reference to learning outcomes from the Early Years Learning Framework (EYLF) in relation to service activities</w:t>
            </w:r>
          </w:p>
          <w:p w14:paraId="679A8061" w14:textId="77777777" w:rsidR="004019A7" w:rsidRDefault="002259AB" w:rsidP="00416EA8">
            <w:pPr>
              <w:pStyle w:val="ListParagraph"/>
              <w:numPr>
                <w:ilvl w:val="0"/>
                <w:numId w:val="42"/>
              </w:numPr>
            </w:pPr>
            <w:r>
              <w:t>any reference to broader developmental outcomes</w:t>
            </w:r>
          </w:p>
          <w:p w14:paraId="6FACF4B0" w14:textId="405D9F8D" w:rsidR="00850516" w:rsidRDefault="002259AB" w:rsidP="00416EA8">
            <w:pPr>
              <w:pStyle w:val="ListParagraph"/>
              <w:numPr>
                <w:ilvl w:val="0"/>
                <w:numId w:val="42"/>
              </w:numPr>
            </w:pPr>
            <w:r>
              <w:t>any reference t</w:t>
            </w:r>
            <w:r w:rsidR="004725C0">
              <w:t>o critical reflection or planning to support learning or development.</w:t>
            </w:r>
          </w:p>
        </w:tc>
      </w:tr>
      <w:tr w:rsidR="00850516" w14:paraId="26EB8419" w14:textId="77777777" w:rsidTr="001C655F">
        <w:tc>
          <w:tcPr>
            <w:tcW w:w="1560" w:type="dxa"/>
            <w:vMerge/>
          </w:tcPr>
          <w:p w14:paraId="379338A9" w14:textId="77777777" w:rsidR="00850516" w:rsidRDefault="00850516"/>
        </w:tc>
        <w:tc>
          <w:tcPr>
            <w:tcW w:w="1275" w:type="dxa"/>
          </w:tcPr>
          <w:p w14:paraId="25F189F5" w14:textId="77777777" w:rsidR="00850516" w:rsidRDefault="00850516">
            <w:r>
              <w:t>Partial (0.5)</w:t>
            </w:r>
          </w:p>
        </w:tc>
        <w:tc>
          <w:tcPr>
            <w:tcW w:w="6804" w:type="dxa"/>
          </w:tcPr>
          <w:p w14:paraId="3E463852" w14:textId="684E8286" w:rsidR="00850516" w:rsidRDefault="002259AB">
            <w:r w:rsidRPr="00C32B3A">
              <w:t xml:space="preserve">Where a service has uploaded a document which implies </w:t>
            </w:r>
            <w:r>
              <w:t>that assessment and planning is being undertaken as part of the</w:t>
            </w:r>
            <w:r w:rsidRPr="00C32B3A">
              <w:t xml:space="preserve"> educational program at the service, however does not explicitly show that an educational program is being delivered (e.g. a</w:t>
            </w:r>
            <w:r>
              <w:t>n empty</w:t>
            </w:r>
            <w:r w:rsidRPr="00C32B3A">
              <w:t xml:space="preserve"> template or provider’s educational policy)</w:t>
            </w:r>
          </w:p>
        </w:tc>
      </w:tr>
      <w:tr w:rsidR="00850516" w14:paraId="6EF114D5" w14:textId="77777777" w:rsidTr="001C655F">
        <w:tc>
          <w:tcPr>
            <w:tcW w:w="1560" w:type="dxa"/>
            <w:vMerge/>
          </w:tcPr>
          <w:p w14:paraId="3437728C" w14:textId="77777777" w:rsidR="00850516" w:rsidRDefault="00850516"/>
        </w:tc>
        <w:tc>
          <w:tcPr>
            <w:tcW w:w="1275" w:type="dxa"/>
          </w:tcPr>
          <w:p w14:paraId="4E3238EE" w14:textId="77777777" w:rsidR="00850516" w:rsidRDefault="00850516">
            <w:r>
              <w:t>No (0.0)</w:t>
            </w:r>
          </w:p>
        </w:tc>
        <w:tc>
          <w:tcPr>
            <w:tcW w:w="6804" w:type="dxa"/>
          </w:tcPr>
          <w:p w14:paraId="77BED4A7" w14:textId="07D3881F" w:rsidR="00850516" w:rsidRDefault="004725C0">
            <w:r w:rsidRPr="00C32B3A">
              <w:t>Service has not uploaded educational program documentation or other evidence indicating an educational program</w:t>
            </w:r>
          </w:p>
        </w:tc>
      </w:tr>
    </w:tbl>
    <w:p w14:paraId="3D4B3A1A" w14:textId="3D039ED8" w:rsidR="00C94582" w:rsidRPr="00AB59F8" w:rsidRDefault="00C94582" w:rsidP="2083C9A5">
      <w:pPr>
        <w:rPr>
          <w:rFonts w:eastAsia="Verdana" w:cs="Times New Roman"/>
        </w:rPr>
      </w:pPr>
    </w:p>
    <w:tbl>
      <w:tblPr>
        <w:tblStyle w:val="TableGrid"/>
        <w:tblW w:w="0" w:type="auto"/>
        <w:shd w:val="clear" w:color="auto" w:fill="E7F5CF" w:themeFill="accent1" w:themeFillTint="33"/>
        <w:tblLook w:val="04A0" w:firstRow="1" w:lastRow="0" w:firstColumn="1" w:lastColumn="0" w:noHBand="0" w:noVBand="1"/>
      </w:tblPr>
      <w:tblGrid>
        <w:gridCol w:w="9026"/>
      </w:tblGrid>
      <w:tr w:rsidR="005076D6" w14:paraId="070A65C1" w14:textId="77777777" w:rsidTr="001F33CB">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E7F5CF" w:themeFill="accent1" w:themeFillTint="33"/>
          </w:tcPr>
          <w:p w14:paraId="16BEC6ED" w14:textId="7EA03B99" w:rsidR="0015506F" w:rsidRDefault="00DC544A" w:rsidP="00622480">
            <w:pPr>
              <w:rPr>
                <w:rFonts w:eastAsia="Verdana" w:cs="Times New Roman"/>
              </w:rPr>
            </w:pPr>
            <w:r w:rsidRPr="001F33CB">
              <w:rPr>
                <w:rFonts w:eastAsia="Verdana" w:cs="Times New Roman"/>
                <w:b/>
              </w:rPr>
              <w:t>Note:</w:t>
            </w:r>
            <w:r>
              <w:rPr>
                <w:rFonts w:eastAsia="Verdana" w:cs="Times New Roman"/>
              </w:rPr>
              <w:t xml:space="preserve"> </w:t>
            </w:r>
            <w:r w:rsidR="005076D6">
              <w:rPr>
                <w:rFonts w:eastAsia="Verdana" w:cs="Times New Roman"/>
              </w:rPr>
              <w:t xml:space="preserve">In assessing the following </w:t>
            </w:r>
            <w:r w:rsidR="008C1837">
              <w:rPr>
                <w:rFonts w:eastAsia="Verdana" w:cs="Times New Roman"/>
              </w:rPr>
              <w:t xml:space="preserve">aspects of the educational program as prescribed under division 5, section 49(2) of the Minister’s Rules, the review adopted </w:t>
            </w:r>
            <w:r w:rsidR="00D65845">
              <w:rPr>
                <w:rFonts w:eastAsia="Verdana" w:cs="Times New Roman"/>
              </w:rPr>
              <w:t xml:space="preserve">a broad approach to </w:t>
            </w:r>
            <w:r w:rsidR="007927B9">
              <w:rPr>
                <w:rFonts w:eastAsia="Verdana" w:cs="Times New Roman"/>
              </w:rPr>
              <w:t>interpreting</w:t>
            </w:r>
            <w:r w:rsidR="00622480">
              <w:rPr>
                <w:rFonts w:eastAsia="Verdana" w:cs="Times New Roman"/>
              </w:rPr>
              <w:t xml:space="preserve"> documentation provided </w:t>
            </w:r>
            <w:r w:rsidR="007927B9">
              <w:rPr>
                <w:rFonts w:eastAsia="Verdana" w:cs="Times New Roman"/>
              </w:rPr>
              <w:t>through</w:t>
            </w:r>
            <w:r w:rsidR="00622480">
              <w:rPr>
                <w:rFonts w:eastAsia="Verdana" w:cs="Times New Roman"/>
              </w:rPr>
              <w:t xml:space="preserve"> the Compliance and Operations Report. </w:t>
            </w:r>
          </w:p>
          <w:p w14:paraId="0243E076" w14:textId="605D975D" w:rsidR="005076D6" w:rsidRDefault="0015506F" w:rsidP="00622480">
            <w:pPr>
              <w:rPr>
                <w:rFonts w:eastAsia="Verdana" w:cs="Times New Roman"/>
              </w:rPr>
            </w:pPr>
            <w:r>
              <w:rPr>
                <w:rFonts w:eastAsia="Verdana" w:cs="Times New Roman"/>
              </w:rPr>
              <w:t xml:space="preserve">This included assessing documentation as meeting the indicators outlined above if any material </w:t>
            </w:r>
            <w:r w:rsidR="00D120B7">
              <w:rPr>
                <w:rFonts w:eastAsia="Verdana" w:cs="Times New Roman"/>
              </w:rPr>
              <w:t>includes reference</w:t>
            </w:r>
            <w:r>
              <w:rPr>
                <w:rFonts w:eastAsia="Verdana" w:cs="Times New Roman"/>
              </w:rPr>
              <w:t xml:space="preserve"> to individualised/</w:t>
            </w:r>
            <w:r w:rsidR="00D120B7">
              <w:rPr>
                <w:rFonts w:eastAsia="Verdana" w:cs="Times New Roman"/>
              </w:rPr>
              <w:t>child-</w:t>
            </w:r>
            <w:r>
              <w:rPr>
                <w:rFonts w:eastAsia="Verdana" w:cs="Times New Roman"/>
              </w:rPr>
              <w:t>centred approaches, cultural identity and assessment and</w:t>
            </w:r>
            <w:r w:rsidR="00D120B7">
              <w:rPr>
                <w:rFonts w:eastAsia="Verdana" w:cs="Times New Roman"/>
              </w:rPr>
              <w:t>/or</w:t>
            </w:r>
            <w:r>
              <w:rPr>
                <w:rFonts w:eastAsia="Verdana" w:cs="Times New Roman"/>
              </w:rPr>
              <w:t xml:space="preserve"> planning</w:t>
            </w:r>
            <w:r w:rsidR="00D120B7">
              <w:rPr>
                <w:rFonts w:eastAsia="Verdana" w:cs="Times New Roman"/>
              </w:rPr>
              <w:t xml:space="preserve">. </w:t>
            </w:r>
            <w:r w:rsidR="00FD0EA5">
              <w:rPr>
                <w:rFonts w:eastAsia="Verdana" w:cs="Times New Roman"/>
              </w:rPr>
              <w:t>The</w:t>
            </w:r>
            <w:r w:rsidR="00FE49CB">
              <w:rPr>
                <w:rFonts w:eastAsia="Verdana" w:cs="Times New Roman"/>
              </w:rPr>
              <w:t xml:space="preserve"> approach to interpreting documentation has been outlined </w:t>
            </w:r>
            <w:r w:rsidR="00D34FE5">
              <w:rPr>
                <w:rFonts w:eastAsia="Verdana" w:cs="Times New Roman"/>
              </w:rPr>
              <w:t xml:space="preserve">in the table </w:t>
            </w:r>
            <w:r w:rsidR="00FE49CB">
              <w:rPr>
                <w:rFonts w:eastAsia="Verdana" w:cs="Times New Roman"/>
              </w:rPr>
              <w:t>above.</w:t>
            </w:r>
          </w:p>
          <w:p w14:paraId="3DDBFEAE" w14:textId="77777777" w:rsidR="00D34FE5" w:rsidRDefault="00FE49CB" w:rsidP="00622480">
            <w:pPr>
              <w:rPr>
                <w:rFonts w:eastAsia="Verdana" w:cs="Times New Roman"/>
              </w:rPr>
            </w:pPr>
            <w:r>
              <w:rPr>
                <w:rFonts w:eastAsia="Verdana" w:cs="Times New Roman"/>
              </w:rPr>
              <w:t xml:space="preserve">Further, it is critical to note that </w:t>
            </w:r>
            <w:r w:rsidR="001F33CB">
              <w:rPr>
                <w:rFonts w:eastAsia="Verdana" w:cs="Times New Roman"/>
              </w:rPr>
              <w:t>expectations around delivering ‘</w:t>
            </w:r>
            <w:r>
              <w:rPr>
                <w:rFonts w:eastAsia="Verdana" w:cs="Times New Roman"/>
              </w:rPr>
              <w:t>high quality child care</w:t>
            </w:r>
            <w:r w:rsidR="001F33CB">
              <w:rPr>
                <w:rFonts w:eastAsia="Verdana" w:cs="Times New Roman"/>
              </w:rPr>
              <w:t>’</w:t>
            </w:r>
            <w:r>
              <w:rPr>
                <w:rFonts w:eastAsia="Verdana" w:cs="Times New Roman"/>
              </w:rPr>
              <w:t xml:space="preserve"> as outlined in the</w:t>
            </w:r>
            <w:r w:rsidR="001F33CB">
              <w:rPr>
                <w:rFonts w:eastAsia="Verdana" w:cs="Times New Roman"/>
              </w:rPr>
              <w:t xml:space="preserve"> section 49(2) of the Minister’s Rules are at the opinion of the Secretary of the Australian Government Department of Education, and as such, </w:t>
            </w:r>
            <w:r w:rsidR="00B60562">
              <w:rPr>
                <w:rFonts w:eastAsia="Verdana" w:cs="Times New Roman"/>
              </w:rPr>
              <w:t>do</w:t>
            </w:r>
            <w:r w:rsidR="001F33CB">
              <w:rPr>
                <w:rFonts w:eastAsia="Verdana" w:cs="Times New Roman"/>
              </w:rPr>
              <w:t xml:space="preserve"> not prescrib</w:t>
            </w:r>
            <w:r w:rsidR="00B60562">
              <w:rPr>
                <w:rFonts w:eastAsia="Verdana" w:cs="Times New Roman"/>
              </w:rPr>
              <w:t xml:space="preserve">e </w:t>
            </w:r>
            <w:r w:rsidR="001F33CB">
              <w:rPr>
                <w:rFonts w:eastAsia="Verdana" w:cs="Times New Roman"/>
              </w:rPr>
              <w:t xml:space="preserve">explicit </w:t>
            </w:r>
            <w:r w:rsidR="00B60562">
              <w:rPr>
                <w:rFonts w:eastAsia="Verdana" w:cs="Times New Roman"/>
              </w:rPr>
              <w:t>definition</w:t>
            </w:r>
            <w:r w:rsidR="00D34FE5">
              <w:rPr>
                <w:rFonts w:eastAsia="Verdana" w:cs="Times New Roman"/>
              </w:rPr>
              <w:t>s</w:t>
            </w:r>
            <w:r w:rsidR="00B60562">
              <w:rPr>
                <w:rFonts w:eastAsia="Verdana" w:cs="Times New Roman"/>
              </w:rPr>
              <w:t xml:space="preserve"> for terms</w:t>
            </w:r>
            <w:r w:rsidR="00E93A1F">
              <w:rPr>
                <w:rFonts w:eastAsia="Verdana" w:cs="Times New Roman"/>
              </w:rPr>
              <w:t xml:space="preserve"> such as ‘</w:t>
            </w:r>
            <w:r w:rsidR="00B60562">
              <w:rPr>
                <w:rFonts w:eastAsia="Verdana" w:cs="Times New Roman"/>
              </w:rPr>
              <w:t xml:space="preserve">tailored, individual </w:t>
            </w:r>
            <w:r w:rsidR="00E93A1F">
              <w:rPr>
                <w:rFonts w:eastAsia="Verdana" w:cs="Times New Roman"/>
              </w:rPr>
              <w:t>educational program’</w:t>
            </w:r>
            <w:r w:rsidR="00B60562">
              <w:rPr>
                <w:rFonts w:eastAsia="Verdana" w:cs="Times New Roman"/>
              </w:rPr>
              <w:t xml:space="preserve"> or</w:t>
            </w:r>
            <w:r w:rsidR="00E93A1F">
              <w:rPr>
                <w:rFonts w:eastAsia="Verdana" w:cs="Times New Roman"/>
              </w:rPr>
              <w:t xml:space="preserve"> ‘cultural identity’</w:t>
            </w:r>
            <w:r w:rsidR="00B60562">
              <w:rPr>
                <w:rFonts w:eastAsia="Verdana" w:cs="Times New Roman"/>
              </w:rPr>
              <w:t>.</w:t>
            </w:r>
          </w:p>
          <w:p w14:paraId="36E4EAA4" w14:textId="4E091F3B" w:rsidR="005076D6" w:rsidRDefault="00D34FE5" w:rsidP="2083C9A5">
            <w:pPr>
              <w:rPr>
                <w:rFonts w:eastAsia="Verdana" w:cs="Times New Roman"/>
              </w:rPr>
            </w:pPr>
            <w:r>
              <w:rPr>
                <w:rFonts w:eastAsia="Verdana" w:cs="Times New Roman"/>
              </w:rPr>
              <w:lastRenderedPageBreak/>
              <w:t xml:space="preserve">Therefore, while these references are </w:t>
            </w:r>
            <w:r w:rsidR="003E3D09">
              <w:rPr>
                <w:rFonts w:eastAsia="Verdana" w:cs="Times New Roman"/>
              </w:rPr>
              <w:t xml:space="preserve">reflective of </w:t>
            </w:r>
            <w:r w:rsidR="00696A84">
              <w:rPr>
                <w:rFonts w:eastAsia="Verdana" w:cs="Times New Roman"/>
              </w:rPr>
              <w:t xml:space="preserve">terminology adopted through the Early Years Learning Framework (EYLF) and the NQS, they should not </w:t>
            </w:r>
            <w:r w:rsidR="00FD0EA5">
              <w:rPr>
                <w:rFonts w:eastAsia="Verdana" w:cs="Times New Roman"/>
              </w:rPr>
              <w:t>interpreted</w:t>
            </w:r>
            <w:r w:rsidR="00696A84">
              <w:rPr>
                <w:rFonts w:eastAsia="Verdana" w:cs="Times New Roman"/>
              </w:rPr>
              <w:t xml:space="preserve"> as synonymous</w:t>
            </w:r>
            <w:r w:rsidR="00FD0EA5">
              <w:rPr>
                <w:rFonts w:eastAsia="Verdana" w:cs="Times New Roman"/>
              </w:rPr>
              <w:t xml:space="preserve"> for the purposes of assessment for this MCA</w:t>
            </w:r>
            <w:r w:rsidR="00696A84">
              <w:rPr>
                <w:rFonts w:eastAsia="Verdana" w:cs="Times New Roman"/>
              </w:rPr>
              <w:t>.</w:t>
            </w:r>
          </w:p>
        </w:tc>
      </w:tr>
    </w:tbl>
    <w:p w14:paraId="295DA502" w14:textId="77777777" w:rsidR="005076D6" w:rsidRPr="00AB59F8" w:rsidRDefault="005076D6" w:rsidP="2083C9A5">
      <w:pPr>
        <w:rPr>
          <w:rFonts w:eastAsia="Verdana" w:cs="Times New Roman"/>
        </w:rPr>
      </w:pPr>
    </w:p>
    <w:p w14:paraId="122C5985" w14:textId="243CD1CA" w:rsidR="00DE114B" w:rsidRDefault="00434AC1" w:rsidP="00AB1114">
      <w:pPr>
        <w:pStyle w:val="Appendixhead1"/>
      </w:pPr>
      <w:bookmarkStart w:id="471" w:name="_Ref153385620"/>
      <w:bookmarkStart w:id="472" w:name="_Toc158993791"/>
      <w:bookmarkStart w:id="473" w:name="_Toc170227441"/>
      <w:r>
        <w:lastRenderedPageBreak/>
        <w:t>Environmental sustainability guidelines</w:t>
      </w:r>
      <w:bookmarkEnd w:id="471"/>
      <w:bookmarkEnd w:id="472"/>
      <w:bookmarkEnd w:id="473"/>
    </w:p>
    <w:p w14:paraId="2A1BE132" w14:textId="311EDAB4" w:rsidR="00631831" w:rsidRDefault="0045704B" w:rsidP="007D71E3">
      <w:r>
        <w:t>The</w:t>
      </w:r>
      <w:r w:rsidR="00631831">
        <w:t xml:space="preserve"> objective</w:t>
      </w:r>
      <w:r>
        <w:t xml:space="preserve"> of this appendix</w:t>
      </w:r>
      <w:r w:rsidR="00631831">
        <w:t xml:space="preserve"> is to provide high-level recommendations and guidelines to encourage CCCFR services to operate in an environmentally sustainable fashion and support “green” capital investment.</w:t>
      </w:r>
    </w:p>
    <w:p w14:paraId="79176954" w14:textId="77777777" w:rsidR="00631831" w:rsidRDefault="00631831" w:rsidP="007D71E3">
      <w:r>
        <w:t>These guidelines include key principles around energy efficiency and renewable energy, sustainable transport, waste reduction, water efficiency, diet and green spaces to provide holistic environmental considerations for CCCFR services.</w:t>
      </w:r>
    </w:p>
    <w:p w14:paraId="1230A970" w14:textId="131A3CEE" w:rsidR="00631831" w:rsidRPr="00E64863" w:rsidRDefault="009978FB" w:rsidP="007D71E3">
      <w:r w:rsidRPr="00E64863">
        <w:t xml:space="preserve">These guidelines should apply, where possible, to both the refurbishment of </w:t>
      </w:r>
      <w:r w:rsidR="00264AA1" w:rsidRPr="00E64863">
        <w:t xml:space="preserve">existing services and new </w:t>
      </w:r>
      <w:r w:rsidR="00B47E8E" w:rsidRPr="00E64863">
        <w:t>build</w:t>
      </w:r>
      <w:r w:rsidR="00873D97" w:rsidRPr="00E64863">
        <w:t>s</w:t>
      </w:r>
      <w:r w:rsidR="00313A3E" w:rsidRPr="00E64863">
        <w:t xml:space="preserve"> – to help ensure that </w:t>
      </w:r>
      <w:r w:rsidR="004A0EAC" w:rsidRPr="00E64863">
        <w:t xml:space="preserve">decisions are made with reference to long-term environmental </w:t>
      </w:r>
      <w:r w:rsidR="00E64863" w:rsidRPr="00E64863">
        <w:t>sustainability.</w:t>
      </w:r>
    </w:p>
    <w:tbl>
      <w:tblPr>
        <w:tblStyle w:val="TableGrid10"/>
        <w:tblW w:w="9351" w:type="dxa"/>
        <w:tblBorders>
          <w:top w:val="single" w:sz="4" w:space="0" w:color="86BC25"/>
          <w:left w:val="single" w:sz="4" w:space="0" w:color="86BC25"/>
          <w:bottom w:val="single" w:sz="4" w:space="0" w:color="86BC25"/>
          <w:right w:val="single" w:sz="4" w:space="0" w:color="86BC25"/>
        </w:tblBorders>
        <w:shd w:val="clear" w:color="auto" w:fill="BCEBFF"/>
        <w:tblLook w:val="04A0" w:firstRow="1" w:lastRow="0" w:firstColumn="1" w:lastColumn="0" w:noHBand="0" w:noVBand="1"/>
      </w:tblPr>
      <w:tblGrid>
        <w:gridCol w:w="9351"/>
      </w:tblGrid>
      <w:tr w:rsidR="00631831" w:rsidRPr="00436754" w14:paraId="23DCBAE5" w14:textId="77777777">
        <w:trPr>
          <w:trHeight w:val="353"/>
        </w:trPr>
        <w:tc>
          <w:tcPr>
            <w:tcW w:w="9351" w:type="dxa"/>
            <w:shd w:val="clear" w:color="auto" w:fill="DBECD0"/>
            <w:vAlign w:val="center"/>
          </w:tcPr>
          <w:p w14:paraId="6FE0F325" w14:textId="77777777" w:rsidR="00631831" w:rsidRPr="00436754" w:rsidRDefault="00631831">
            <w:pPr>
              <w:rPr>
                <w:rFonts w:ascii="Verdana" w:eastAsia="Calibri Light" w:hAnsi="Verdana" w:cs="Times New Roman"/>
                <w:b/>
                <w:bCs/>
                <w:sz w:val="18"/>
                <w:szCs w:val="18"/>
              </w:rPr>
            </w:pPr>
            <w:r>
              <w:rPr>
                <w:rFonts w:ascii="Verdana" w:eastAsia="Calibri Light" w:hAnsi="Verdana" w:cs="Times New Roman"/>
                <w:b/>
                <w:bCs/>
                <w:color w:val="046A38"/>
                <w:sz w:val="18"/>
                <w:szCs w:val="18"/>
              </w:rPr>
              <w:t>ENERGY</w:t>
            </w:r>
          </w:p>
        </w:tc>
      </w:tr>
      <w:tr w:rsidR="00631831" w:rsidRPr="00436754" w14:paraId="0259E77C" w14:textId="77777777">
        <w:trPr>
          <w:trHeight w:val="318"/>
        </w:trPr>
        <w:tc>
          <w:tcPr>
            <w:tcW w:w="9351" w:type="dxa"/>
            <w:shd w:val="clear" w:color="auto" w:fill="auto"/>
            <w:vAlign w:val="center"/>
          </w:tcPr>
          <w:p w14:paraId="65FA9EC2" w14:textId="77777777" w:rsidR="00631831" w:rsidRPr="00436754" w:rsidRDefault="00631831">
            <w:pPr>
              <w:spacing w:before="80" w:after="80"/>
              <w:rPr>
                <w:rFonts w:ascii="Verdana" w:eastAsia="Calibri Light" w:hAnsi="Verdana" w:cs="Times New Roman"/>
                <w:b/>
                <w:bCs/>
                <w:color w:val="000000"/>
                <w:sz w:val="18"/>
                <w:szCs w:val="18"/>
              </w:rPr>
            </w:pPr>
            <w:r w:rsidRPr="00A0277B">
              <w:rPr>
                <w:rFonts w:ascii="Verdana" w:eastAsia="Calibri Light" w:hAnsi="Verdana" w:cs="Times New Roman"/>
                <w:b/>
                <w:bCs/>
                <w:sz w:val="18"/>
                <w:szCs w:val="18"/>
              </w:rPr>
              <w:t>Electrification</w:t>
            </w:r>
          </w:p>
          <w:p w14:paraId="5AA961D3" w14:textId="77777777" w:rsidR="00631831" w:rsidRPr="0011230B" w:rsidRDefault="00631831" w:rsidP="00171325">
            <w:pPr>
              <w:numPr>
                <w:ilvl w:val="0"/>
                <w:numId w:val="13"/>
              </w:numPr>
              <w:spacing w:before="80" w:after="80"/>
              <w:rPr>
                <w:rFonts w:ascii="Verdana" w:eastAsia="Calibri Light" w:hAnsi="Verdana" w:cs="Times New Roman"/>
                <w:sz w:val="18"/>
                <w:szCs w:val="18"/>
              </w:rPr>
            </w:pPr>
            <w:r>
              <w:rPr>
                <w:rFonts w:ascii="Verdana" w:eastAsia="Calibri Light" w:hAnsi="Verdana" w:cs="Times New Roman"/>
                <w:sz w:val="18"/>
                <w:szCs w:val="18"/>
              </w:rPr>
              <w:t xml:space="preserve">Undertake the </w:t>
            </w:r>
            <w:r w:rsidRPr="00A80E8A">
              <w:rPr>
                <w:rFonts w:ascii="Verdana" w:eastAsia="Calibri Light" w:hAnsi="Verdana" w:cs="Times New Roman"/>
                <w:b/>
                <w:bCs/>
                <w:sz w:val="18"/>
                <w:szCs w:val="18"/>
              </w:rPr>
              <w:t>removal of gas appliances</w:t>
            </w:r>
            <w:r>
              <w:rPr>
                <w:rFonts w:ascii="Verdana" w:eastAsia="Calibri Light" w:hAnsi="Verdana" w:cs="Times New Roman"/>
                <w:sz w:val="18"/>
                <w:szCs w:val="18"/>
              </w:rPr>
              <w:t xml:space="preserve"> in the service to make savings, protect children’s health and significantly reduce carbon dioxide emissions (See “</w:t>
            </w:r>
            <w:r w:rsidRPr="0011230B">
              <w:rPr>
                <w:rFonts w:ascii="Verdana" w:eastAsia="Calibri Light" w:hAnsi="Verdana" w:cs="Times New Roman"/>
                <w:sz w:val="18"/>
                <w:szCs w:val="18"/>
              </w:rPr>
              <w:t>Did you know?</w:t>
            </w:r>
            <w:r>
              <w:rPr>
                <w:rFonts w:ascii="Verdana" w:eastAsia="Calibri Light" w:hAnsi="Verdana" w:cs="Times New Roman"/>
                <w:sz w:val="18"/>
                <w:szCs w:val="18"/>
              </w:rPr>
              <w:t>” section below)</w:t>
            </w:r>
          </w:p>
          <w:p w14:paraId="2F1AC454" w14:textId="77777777" w:rsidR="00631831" w:rsidRPr="0011230B" w:rsidRDefault="00631831" w:rsidP="00171325">
            <w:pPr>
              <w:numPr>
                <w:ilvl w:val="0"/>
                <w:numId w:val="13"/>
              </w:numPr>
              <w:spacing w:before="80" w:after="80"/>
              <w:rPr>
                <w:rFonts w:ascii="Verdana" w:eastAsia="Calibri Light" w:hAnsi="Verdana" w:cs="Times New Roman"/>
                <w:sz w:val="18"/>
                <w:szCs w:val="18"/>
              </w:rPr>
            </w:pPr>
            <w:r w:rsidRPr="008F0143">
              <w:rPr>
                <w:rFonts w:ascii="Verdana" w:eastAsia="Calibri Light" w:hAnsi="Verdana" w:cs="Times New Roman"/>
                <w:sz w:val="18"/>
                <w:szCs w:val="18"/>
              </w:rPr>
              <w:t xml:space="preserve">In kitchen, favour </w:t>
            </w:r>
            <w:r w:rsidRPr="00A80E8A">
              <w:rPr>
                <w:rFonts w:ascii="Verdana" w:eastAsia="Calibri Light" w:hAnsi="Verdana" w:cs="Times New Roman"/>
                <w:b/>
                <w:bCs/>
                <w:sz w:val="18"/>
                <w:szCs w:val="18"/>
              </w:rPr>
              <w:t>electric-based cooktops</w:t>
            </w:r>
            <w:r w:rsidRPr="008F0143">
              <w:rPr>
                <w:rFonts w:ascii="Verdana" w:eastAsia="Calibri Light" w:hAnsi="Verdana" w:cs="Times New Roman"/>
                <w:sz w:val="18"/>
                <w:szCs w:val="18"/>
              </w:rPr>
              <w:t xml:space="preserve"> (induction) rather than gas </w:t>
            </w:r>
            <w:r w:rsidRPr="0011230B">
              <w:rPr>
                <w:rFonts w:ascii="Verdana" w:eastAsia="Calibri Light" w:hAnsi="Verdana" w:cs="Times New Roman"/>
                <w:sz w:val="18"/>
                <w:szCs w:val="18"/>
              </w:rPr>
              <w:t xml:space="preserve">for </w:t>
            </w:r>
            <w:r w:rsidRPr="008F0143">
              <w:rPr>
                <w:rFonts w:ascii="Verdana" w:eastAsia="Calibri Light" w:hAnsi="Verdana" w:cs="Times New Roman"/>
                <w:sz w:val="18"/>
                <w:szCs w:val="18"/>
              </w:rPr>
              <w:t>health and environmental benefits</w:t>
            </w:r>
          </w:p>
          <w:p w14:paraId="30EA9AD7" w14:textId="416B37E8" w:rsidR="00631831" w:rsidRPr="008F0143" w:rsidRDefault="00631831" w:rsidP="00171325">
            <w:pPr>
              <w:numPr>
                <w:ilvl w:val="0"/>
                <w:numId w:val="13"/>
              </w:numPr>
              <w:spacing w:before="80" w:after="80"/>
              <w:rPr>
                <w:rFonts w:ascii="Verdana" w:eastAsia="Calibri Light" w:hAnsi="Verdana" w:cs="Times New Roman"/>
                <w:sz w:val="18"/>
                <w:szCs w:val="18"/>
              </w:rPr>
            </w:pPr>
            <w:r>
              <w:rPr>
                <w:rFonts w:ascii="Verdana" w:eastAsia="Calibri Light" w:hAnsi="Verdana" w:cs="Times New Roman"/>
                <w:sz w:val="18"/>
                <w:szCs w:val="18"/>
              </w:rPr>
              <w:t xml:space="preserve">As part of the removal of gas appliances, install </w:t>
            </w:r>
            <w:r w:rsidRPr="00A80E8A">
              <w:rPr>
                <w:rFonts w:ascii="Verdana" w:eastAsia="Calibri Light" w:hAnsi="Verdana" w:cs="Times New Roman"/>
                <w:b/>
                <w:bCs/>
                <w:sz w:val="18"/>
                <w:szCs w:val="18"/>
              </w:rPr>
              <w:t>air source heat pump hot water system</w:t>
            </w:r>
            <w:r w:rsidRPr="0011230B">
              <w:rPr>
                <w:rFonts w:ascii="Verdana" w:eastAsia="Calibri Light" w:hAnsi="Verdana" w:cs="Times New Roman"/>
                <w:sz w:val="18"/>
                <w:szCs w:val="18"/>
              </w:rPr>
              <w:t xml:space="preserve"> </w:t>
            </w:r>
            <w:r>
              <w:rPr>
                <w:rFonts w:ascii="Verdana" w:eastAsia="Calibri Light" w:hAnsi="Verdana" w:cs="Times New Roman"/>
                <w:sz w:val="18"/>
                <w:szCs w:val="18"/>
              </w:rPr>
              <w:t>to</w:t>
            </w:r>
            <w:r w:rsidRPr="0011230B">
              <w:rPr>
                <w:rFonts w:ascii="Verdana" w:eastAsia="Calibri Light" w:hAnsi="Verdana" w:cs="Times New Roman"/>
                <w:sz w:val="18"/>
                <w:szCs w:val="18"/>
              </w:rPr>
              <w:t xml:space="preserve"> greatly reduce </w:t>
            </w:r>
            <w:r>
              <w:rPr>
                <w:rFonts w:ascii="Verdana" w:eastAsia="Calibri Light" w:hAnsi="Verdana" w:cs="Times New Roman"/>
                <w:sz w:val="18"/>
                <w:szCs w:val="18"/>
              </w:rPr>
              <w:t xml:space="preserve">greenhouse gas emissions and </w:t>
            </w:r>
            <w:r w:rsidRPr="0011230B">
              <w:rPr>
                <w:rFonts w:ascii="Verdana" w:eastAsia="Calibri Light" w:hAnsi="Verdana" w:cs="Times New Roman"/>
                <w:sz w:val="18"/>
                <w:szCs w:val="18"/>
              </w:rPr>
              <w:t>energy use</w:t>
            </w:r>
            <w:r>
              <w:rPr>
                <w:rFonts w:ascii="Verdana" w:eastAsia="Calibri Light" w:hAnsi="Verdana" w:cs="Times New Roman"/>
                <w:sz w:val="18"/>
                <w:szCs w:val="18"/>
              </w:rPr>
              <w:t>: it can be used year-round and is extremely efficient (solar hot water systems is vastly better than gas hot water but not as efficient as an air source heat pump hot water).</w:t>
            </w:r>
          </w:p>
          <w:p w14:paraId="3342F928" w14:textId="77777777" w:rsidR="00631831" w:rsidRPr="00436754" w:rsidRDefault="00631831">
            <w:pPr>
              <w:spacing w:before="80" w:after="80"/>
              <w:ind w:left="360"/>
              <w:rPr>
                <w:rFonts w:ascii="Verdana" w:eastAsia="Calibri Light" w:hAnsi="Verdana" w:cs="Times New Roman"/>
                <w:sz w:val="18"/>
                <w:szCs w:val="18"/>
              </w:rPr>
            </w:pPr>
          </w:p>
          <w:p w14:paraId="2B5D3F36" w14:textId="494C9987" w:rsidR="00631831" w:rsidRPr="00A0277B" w:rsidRDefault="00631831">
            <w:pPr>
              <w:spacing w:before="80" w:after="80"/>
              <w:rPr>
                <w:rFonts w:ascii="Verdana" w:eastAsia="Calibri Light" w:hAnsi="Verdana" w:cs="Times New Roman"/>
                <w:b/>
                <w:bCs/>
                <w:color w:val="000000"/>
                <w:sz w:val="18"/>
                <w:szCs w:val="18"/>
              </w:rPr>
            </w:pPr>
            <w:r w:rsidRPr="00A0277B">
              <w:rPr>
                <w:rFonts w:ascii="Verdana" w:eastAsia="Calibri Light" w:hAnsi="Verdana" w:cs="Times New Roman"/>
                <w:b/>
                <w:bCs/>
                <w:color w:val="000000"/>
                <w:sz w:val="18"/>
                <w:szCs w:val="18"/>
              </w:rPr>
              <w:t>Energy efficiency</w:t>
            </w:r>
          </w:p>
          <w:p w14:paraId="334EBFA1" w14:textId="6270C83A" w:rsidR="00631831" w:rsidRPr="00D5472D" w:rsidRDefault="00631831" w:rsidP="00171325">
            <w:pPr>
              <w:numPr>
                <w:ilvl w:val="0"/>
                <w:numId w:val="13"/>
              </w:numPr>
              <w:spacing w:before="80" w:after="80"/>
              <w:rPr>
                <w:rFonts w:ascii="Verdana" w:eastAsia="Calibri Light" w:hAnsi="Verdana" w:cs="Times New Roman"/>
                <w:sz w:val="18"/>
                <w:szCs w:val="18"/>
              </w:rPr>
            </w:pPr>
            <w:r w:rsidRPr="00435978">
              <w:rPr>
                <w:rFonts w:ascii="Verdana" w:eastAsia="Calibri Light" w:hAnsi="Verdana" w:cs="Times New Roman"/>
                <w:sz w:val="18"/>
                <w:szCs w:val="18"/>
              </w:rPr>
              <w:t xml:space="preserve">Undertake </w:t>
            </w:r>
            <w:r w:rsidRPr="00A80E8A">
              <w:rPr>
                <w:rFonts w:ascii="Verdana" w:eastAsia="Calibri Light" w:hAnsi="Verdana" w:cs="Times New Roman"/>
                <w:b/>
                <w:bCs/>
                <w:sz w:val="18"/>
                <w:szCs w:val="18"/>
              </w:rPr>
              <w:t>energy audits</w:t>
            </w:r>
            <w:r w:rsidRPr="00435978">
              <w:rPr>
                <w:rFonts w:ascii="Verdana" w:eastAsia="Calibri Light" w:hAnsi="Verdana" w:cs="Times New Roman"/>
                <w:sz w:val="18"/>
                <w:szCs w:val="18"/>
              </w:rPr>
              <w:t xml:space="preserve"> to gather information about energy usage and identify areas for improvement</w:t>
            </w:r>
            <w:r w:rsidR="00CF30C2">
              <w:rPr>
                <w:rFonts w:ascii="Verdana" w:eastAsia="Calibri Light" w:hAnsi="Verdana" w:cs="Times New Roman"/>
                <w:sz w:val="18"/>
                <w:szCs w:val="18"/>
              </w:rPr>
              <w:t>.</w:t>
            </w:r>
            <w:r w:rsidRPr="00435978">
              <w:rPr>
                <w:rFonts w:ascii="Verdana" w:eastAsia="Calibri Light" w:hAnsi="Verdana" w:cs="Times New Roman"/>
                <w:sz w:val="18"/>
                <w:szCs w:val="18"/>
              </w:rPr>
              <w:t xml:space="preserve"> </w:t>
            </w:r>
          </w:p>
          <w:p w14:paraId="6F1A4220" w14:textId="75FC12F9" w:rsidR="00631831" w:rsidRPr="00963708" w:rsidRDefault="00631831" w:rsidP="00171325">
            <w:pPr>
              <w:numPr>
                <w:ilvl w:val="0"/>
                <w:numId w:val="13"/>
              </w:numPr>
              <w:spacing w:before="80" w:after="80"/>
              <w:rPr>
                <w:rFonts w:ascii="Verdana" w:eastAsia="Calibri Light" w:hAnsi="Verdana" w:cs="Times New Roman"/>
                <w:sz w:val="18"/>
                <w:szCs w:val="18"/>
              </w:rPr>
            </w:pPr>
            <w:r w:rsidRPr="00963708">
              <w:rPr>
                <w:rFonts w:ascii="Verdana" w:eastAsia="Calibri Light" w:hAnsi="Verdana" w:cs="Times New Roman"/>
                <w:sz w:val="18"/>
                <w:szCs w:val="18"/>
              </w:rPr>
              <w:t xml:space="preserve">Install </w:t>
            </w:r>
            <w:r w:rsidRPr="00A80E8A">
              <w:rPr>
                <w:rFonts w:ascii="Verdana" w:eastAsia="Calibri Light" w:hAnsi="Verdana" w:cs="Times New Roman"/>
                <w:b/>
                <w:bCs/>
                <w:sz w:val="18"/>
                <w:szCs w:val="18"/>
              </w:rPr>
              <w:t>high-quality insulation</w:t>
            </w:r>
            <w:r w:rsidRPr="00963708">
              <w:rPr>
                <w:rFonts w:ascii="Verdana" w:eastAsia="Calibri Light" w:hAnsi="Verdana" w:cs="Times New Roman"/>
                <w:sz w:val="18"/>
                <w:szCs w:val="18"/>
              </w:rPr>
              <w:t xml:space="preserve"> </w:t>
            </w:r>
            <w:r>
              <w:rPr>
                <w:rFonts w:ascii="Verdana" w:eastAsia="Calibri Light" w:hAnsi="Verdana" w:cs="Times New Roman"/>
                <w:sz w:val="18"/>
                <w:szCs w:val="18"/>
              </w:rPr>
              <w:t xml:space="preserve">and </w:t>
            </w:r>
            <w:r w:rsidRPr="00A80E8A">
              <w:rPr>
                <w:rFonts w:ascii="Verdana" w:eastAsia="Calibri Light" w:hAnsi="Verdana" w:cs="Times New Roman"/>
                <w:b/>
                <w:bCs/>
                <w:sz w:val="18"/>
                <w:szCs w:val="18"/>
              </w:rPr>
              <w:t>double-glazed windows</w:t>
            </w:r>
            <w:r>
              <w:rPr>
                <w:rFonts w:ascii="Verdana" w:eastAsia="Calibri Light" w:hAnsi="Verdana" w:cs="Times New Roman"/>
                <w:sz w:val="18"/>
                <w:szCs w:val="18"/>
              </w:rPr>
              <w:t xml:space="preserve"> </w:t>
            </w:r>
            <w:r w:rsidRPr="00963708">
              <w:rPr>
                <w:rFonts w:ascii="Verdana" w:eastAsia="Calibri Light" w:hAnsi="Verdana" w:cs="Times New Roman"/>
                <w:sz w:val="18"/>
                <w:szCs w:val="18"/>
              </w:rPr>
              <w:t xml:space="preserve">to reduce the amount of energy needed to maintain a comfortable temperature inside the child care </w:t>
            </w:r>
            <w:r>
              <w:rPr>
                <w:rFonts w:ascii="Verdana" w:eastAsia="Calibri Light" w:hAnsi="Verdana" w:cs="Times New Roman"/>
                <w:sz w:val="18"/>
                <w:szCs w:val="18"/>
              </w:rPr>
              <w:t>service – it will</w:t>
            </w:r>
            <w:r w:rsidRPr="00963708">
              <w:rPr>
                <w:rFonts w:ascii="Verdana" w:eastAsia="Calibri Light" w:hAnsi="Verdana" w:cs="Times New Roman"/>
                <w:sz w:val="18"/>
                <w:szCs w:val="18"/>
              </w:rPr>
              <w:t xml:space="preserve"> keep heat inside in winter and outside in summer</w:t>
            </w:r>
            <w:r w:rsidR="00CF30C2">
              <w:rPr>
                <w:rFonts w:ascii="Verdana" w:eastAsia="Calibri Light" w:hAnsi="Verdana" w:cs="Times New Roman"/>
                <w:sz w:val="18"/>
                <w:szCs w:val="18"/>
              </w:rPr>
              <w:t>.</w:t>
            </w:r>
          </w:p>
          <w:p w14:paraId="5D67C022" w14:textId="4A95F59B" w:rsidR="00631831" w:rsidRPr="00D5472D" w:rsidRDefault="00631831" w:rsidP="00171325">
            <w:pPr>
              <w:numPr>
                <w:ilvl w:val="0"/>
                <w:numId w:val="13"/>
              </w:numPr>
              <w:spacing w:before="80" w:after="80"/>
              <w:rPr>
                <w:rFonts w:ascii="Verdana" w:eastAsia="Calibri Light" w:hAnsi="Verdana" w:cs="Times New Roman"/>
                <w:sz w:val="18"/>
                <w:szCs w:val="18"/>
              </w:rPr>
            </w:pPr>
            <w:r>
              <w:rPr>
                <w:rFonts w:ascii="Verdana" w:eastAsia="Calibri Light" w:hAnsi="Verdana" w:cs="Times New Roman"/>
                <w:sz w:val="18"/>
                <w:szCs w:val="18"/>
              </w:rPr>
              <w:t xml:space="preserve">Make use of </w:t>
            </w:r>
            <w:r w:rsidRPr="00A80E8A">
              <w:rPr>
                <w:rFonts w:ascii="Verdana" w:eastAsia="Calibri Light" w:hAnsi="Verdana" w:cs="Times New Roman"/>
                <w:b/>
                <w:bCs/>
                <w:sz w:val="18"/>
                <w:szCs w:val="18"/>
              </w:rPr>
              <w:t>natural ventilation and pedestal, desktop or ceiling fans</w:t>
            </w:r>
            <w:r>
              <w:rPr>
                <w:rFonts w:ascii="Verdana" w:eastAsia="Calibri Light" w:hAnsi="Verdana" w:cs="Times New Roman"/>
                <w:sz w:val="18"/>
                <w:szCs w:val="18"/>
              </w:rPr>
              <w:t xml:space="preserve"> as they use significantly less energy than air conditioning</w:t>
            </w:r>
            <w:r w:rsidR="00CF30C2">
              <w:rPr>
                <w:rFonts w:ascii="Verdana" w:eastAsia="Calibri Light" w:hAnsi="Verdana" w:cs="Times New Roman"/>
                <w:sz w:val="18"/>
                <w:szCs w:val="18"/>
              </w:rPr>
              <w:t>.</w:t>
            </w:r>
          </w:p>
          <w:p w14:paraId="7042B197" w14:textId="36966134" w:rsidR="00631831" w:rsidRDefault="00631831" w:rsidP="00171325">
            <w:pPr>
              <w:numPr>
                <w:ilvl w:val="0"/>
                <w:numId w:val="13"/>
              </w:numPr>
              <w:spacing w:before="80" w:after="80"/>
              <w:rPr>
                <w:rFonts w:ascii="Verdana" w:eastAsia="Calibri Light" w:hAnsi="Verdana" w:cs="Times New Roman"/>
                <w:sz w:val="18"/>
                <w:szCs w:val="18"/>
              </w:rPr>
            </w:pPr>
            <w:r>
              <w:rPr>
                <w:rFonts w:ascii="Verdana" w:eastAsia="Calibri Light" w:hAnsi="Verdana" w:cs="Times New Roman"/>
                <w:sz w:val="18"/>
                <w:szCs w:val="18"/>
              </w:rPr>
              <w:t xml:space="preserve">Install </w:t>
            </w:r>
            <w:r w:rsidRPr="00A80E8A">
              <w:rPr>
                <w:rFonts w:ascii="Verdana" w:eastAsia="Calibri Light" w:hAnsi="Verdana" w:cs="Times New Roman"/>
                <w:b/>
                <w:bCs/>
                <w:sz w:val="18"/>
                <w:szCs w:val="18"/>
              </w:rPr>
              <w:t>energy efficient appliances</w:t>
            </w:r>
            <w:r>
              <w:rPr>
                <w:rFonts w:ascii="Verdana" w:eastAsia="Calibri Light" w:hAnsi="Verdana" w:cs="Times New Roman"/>
                <w:sz w:val="18"/>
                <w:szCs w:val="18"/>
              </w:rPr>
              <w:t xml:space="preserve"> (e.g.</w:t>
            </w:r>
            <w:r w:rsidR="00CF30C2">
              <w:rPr>
                <w:rFonts w:ascii="Verdana" w:eastAsia="Calibri Light" w:hAnsi="Verdana" w:cs="Times New Roman"/>
                <w:sz w:val="18"/>
                <w:szCs w:val="18"/>
              </w:rPr>
              <w:t>,</w:t>
            </w:r>
            <w:r>
              <w:rPr>
                <w:rFonts w:ascii="Verdana" w:eastAsia="Calibri Light" w:hAnsi="Verdana" w:cs="Times New Roman"/>
                <w:sz w:val="18"/>
                <w:szCs w:val="18"/>
              </w:rPr>
              <w:t xml:space="preserve"> </w:t>
            </w:r>
            <w:hyperlink r:id="rId139" w:history="1">
              <w:r w:rsidRPr="001C655F">
                <w:rPr>
                  <w:rStyle w:val="cf01"/>
                  <w:rFonts w:asciiTheme="minorHAnsi" w:hAnsiTheme="minorHAnsi"/>
                  <w:color w:val="0000FF"/>
                  <w:u w:val="single"/>
                </w:rPr>
                <w:t>https://www.energy.gov.au/households/energy-rating</w:t>
              </w:r>
            </w:hyperlink>
            <w:r>
              <w:rPr>
                <w:rFonts w:ascii="Arial" w:hAnsi="Arial" w:cs="Arial"/>
              </w:rPr>
              <w:t>)</w:t>
            </w:r>
            <w:r w:rsidR="00CF30C2">
              <w:rPr>
                <w:rFonts w:ascii="Arial" w:hAnsi="Arial" w:cs="Arial"/>
              </w:rPr>
              <w:t>.</w:t>
            </w:r>
          </w:p>
          <w:p w14:paraId="49A3D482" w14:textId="77777777" w:rsidR="00631831" w:rsidRDefault="00631831" w:rsidP="00171325">
            <w:pPr>
              <w:numPr>
                <w:ilvl w:val="0"/>
                <w:numId w:val="13"/>
              </w:numPr>
              <w:spacing w:before="80" w:after="80"/>
              <w:rPr>
                <w:rFonts w:ascii="Verdana" w:eastAsia="Calibri Light" w:hAnsi="Verdana" w:cs="Times New Roman"/>
                <w:sz w:val="18"/>
                <w:szCs w:val="18"/>
              </w:rPr>
            </w:pPr>
            <w:r w:rsidRPr="00D5472D">
              <w:rPr>
                <w:rFonts w:ascii="Verdana" w:eastAsia="Calibri Light" w:hAnsi="Verdana" w:cs="Times New Roman"/>
                <w:sz w:val="18"/>
                <w:szCs w:val="18"/>
              </w:rPr>
              <w:t>Use resources and equipment as efficiently as possible. For example, nominate ‘</w:t>
            </w:r>
            <w:r w:rsidRPr="00A80E8A">
              <w:rPr>
                <w:rFonts w:ascii="Verdana" w:eastAsia="Calibri Light" w:hAnsi="Verdana" w:cs="Times New Roman"/>
                <w:b/>
                <w:bCs/>
                <w:sz w:val="18"/>
                <w:szCs w:val="18"/>
              </w:rPr>
              <w:t>Power Rangers’</w:t>
            </w:r>
            <w:r w:rsidRPr="00D5472D">
              <w:rPr>
                <w:rFonts w:ascii="Verdana" w:eastAsia="Calibri Light" w:hAnsi="Verdana" w:cs="Times New Roman"/>
                <w:sz w:val="18"/>
                <w:szCs w:val="18"/>
              </w:rPr>
              <w:t xml:space="preserve"> that check all lights/heat/AC are turned off before leaving classrooms for lunch/breaks/end of day and keeping doors and windows closed when artificially heating or cooling a space.</w:t>
            </w:r>
          </w:p>
          <w:p w14:paraId="2D1C535F" w14:textId="1AAAAD42" w:rsidR="00631831" w:rsidRPr="00D5472D" w:rsidRDefault="00631831" w:rsidP="00171325">
            <w:pPr>
              <w:numPr>
                <w:ilvl w:val="0"/>
                <w:numId w:val="13"/>
              </w:numPr>
              <w:spacing w:before="80" w:after="80"/>
              <w:rPr>
                <w:rFonts w:ascii="Verdana" w:eastAsia="Calibri Light" w:hAnsi="Verdana" w:cs="Times New Roman"/>
                <w:sz w:val="18"/>
                <w:szCs w:val="18"/>
              </w:rPr>
            </w:pPr>
            <w:r>
              <w:rPr>
                <w:rFonts w:ascii="Verdana" w:eastAsia="Calibri Light" w:hAnsi="Verdana" w:cs="Times New Roman"/>
                <w:sz w:val="18"/>
                <w:szCs w:val="18"/>
              </w:rPr>
              <w:t xml:space="preserve">Change lightning for </w:t>
            </w:r>
            <w:r w:rsidRPr="00A80E8A">
              <w:rPr>
                <w:rFonts w:ascii="Verdana" w:eastAsia="Calibri Light" w:hAnsi="Verdana" w:cs="Times New Roman"/>
                <w:b/>
                <w:bCs/>
                <w:sz w:val="18"/>
                <w:szCs w:val="18"/>
              </w:rPr>
              <w:t>LED</w:t>
            </w:r>
            <w:r>
              <w:rPr>
                <w:rFonts w:ascii="Verdana" w:eastAsia="Calibri Light" w:hAnsi="Verdana" w:cs="Times New Roman"/>
                <w:sz w:val="18"/>
                <w:szCs w:val="18"/>
              </w:rPr>
              <w:t xml:space="preserve"> (Light Emitting Diode) for a premium efficiency lighting option. Choose better light quality than older lightning solutions wherever possible.</w:t>
            </w:r>
          </w:p>
          <w:p w14:paraId="32B73CAD" w14:textId="77777777" w:rsidR="00631831" w:rsidRPr="00436754" w:rsidRDefault="00631831">
            <w:pPr>
              <w:spacing w:before="80" w:after="80"/>
              <w:ind w:left="360"/>
              <w:rPr>
                <w:rFonts w:ascii="Verdana" w:eastAsia="Calibri Light" w:hAnsi="Verdana" w:cs="Times New Roman"/>
                <w:sz w:val="18"/>
                <w:szCs w:val="18"/>
              </w:rPr>
            </w:pPr>
          </w:p>
          <w:p w14:paraId="3A9F9888" w14:textId="20C56EF5" w:rsidR="00631831" w:rsidRPr="00A0277B" w:rsidRDefault="00631831">
            <w:pPr>
              <w:spacing w:before="80" w:after="80"/>
              <w:rPr>
                <w:rFonts w:ascii="Verdana" w:eastAsia="Calibri Light" w:hAnsi="Verdana" w:cs="Times New Roman"/>
                <w:b/>
                <w:bCs/>
                <w:color w:val="000000"/>
                <w:sz w:val="18"/>
                <w:szCs w:val="18"/>
              </w:rPr>
            </w:pPr>
            <w:r w:rsidRPr="00A0277B">
              <w:rPr>
                <w:rFonts w:ascii="Verdana" w:eastAsia="Calibri Light" w:hAnsi="Verdana" w:cs="Times New Roman"/>
                <w:b/>
                <w:bCs/>
                <w:color w:val="000000"/>
                <w:sz w:val="18"/>
                <w:szCs w:val="18"/>
              </w:rPr>
              <w:t>Renewable energy</w:t>
            </w:r>
          </w:p>
          <w:p w14:paraId="17AB7186" w14:textId="06686A5B" w:rsidR="00631831" w:rsidRPr="00435978" w:rsidRDefault="00631831" w:rsidP="00171325">
            <w:pPr>
              <w:numPr>
                <w:ilvl w:val="0"/>
                <w:numId w:val="13"/>
              </w:numPr>
              <w:spacing w:before="80" w:after="80"/>
              <w:rPr>
                <w:rFonts w:ascii="Verdana" w:eastAsia="Calibri Light" w:hAnsi="Verdana" w:cs="Times New Roman"/>
                <w:sz w:val="18"/>
                <w:szCs w:val="18"/>
              </w:rPr>
            </w:pPr>
            <w:r w:rsidRPr="00435978">
              <w:rPr>
                <w:rFonts w:ascii="Verdana" w:eastAsia="Calibri Light" w:hAnsi="Verdana" w:cs="Times New Roman"/>
                <w:sz w:val="18"/>
                <w:szCs w:val="18"/>
              </w:rPr>
              <w:lastRenderedPageBreak/>
              <w:t>Instal</w:t>
            </w:r>
            <w:r>
              <w:rPr>
                <w:rFonts w:ascii="Verdana" w:eastAsia="Calibri Light" w:hAnsi="Verdana" w:cs="Times New Roman"/>
                <w:sz w:val="18"/>
                <w:szCs w:val="18"/>
              </w:rPr>
              <w:t>l</w:t>
            </w:r>
            <w:r w:rsidRPr="00435978">
              <w:rPr>
                <w:rFonts w:ascii="Verdana" w:eastAsia="Calibri Light" w:hAnsi="Verdana" w:cs="Times New Roman"/>
                <w:sz w:val="18"/>
                <w:szCs w:val="18"/>
              </w:rPr>
              <w:t xml:space="preserve"> </w:t>
            </w:r>
            <w:r w:rsidRPr="00A80E8A">
              <w:rPr>
                <w:rFonts w:ascii="Verdana" w:eastAsia="Calibri Light" w:hAnsi="Verdana" w:cs="Times New Roman"/>
                <w:b/>
                <w:bCs/>
                <w:sz w:val="18"/>
                <w:szCs w:val="18"/>
              </w:rPr>
              <w:t>solar panels</w:t>
            </w:r>
            <w:r w:rsidRPr="00435978">
              <w:rPr>
                <w:rFonts w:ascii="Verdana" w:eastAsia="Calibri Light" w:hAnsi="Verdana" w:cs="Times New Roman"/>
                <w:sz w:val="18"/>
                <w:szCs w:val="18"/>
              </w:rPr>
              <w:t xml:space="preserve"> </w:t>
            </w:r>
            <w:r>
              <w:rPr>
                <w:rFonts w:ascii="Verdana" w:eastAsia="Calibri Light" w:hAnsi="Verdana" w:cs="Times New Roman"/>
                <w:sz w:val="18"/>
                <w:szCs w:val="18"/>
              </w:rPr>
              <w:t>(</w:t>
            </w:r>
            <w:r w:rsidRPr="00435978">
              <w:rPr>
                <w:rFonts w:ascii="Verdana" w:eastAsia="Calibri Light" w:hAnsi="Verdana" w:cs="Times New Roman"/>
                <w:sz w:val="18"/>
                <w:szCs w:val="18"/>
              </w:rPr>
              <w:t xml:space="preserve">or increase the number of solar panels </w:t>
            </w:r>
            <w:r>
              <w:rPr>
                <w:rFonts w:ascii="Verdana" w:eastAsia="Calibri Light" w:hAnsi="Verdana" w:cs="Times New Roman"/>
                <w:sz w:val="18"/>
                <w:szCs w:val="18"/>
              </w:rPr>
              <w:t>on the child</w:t>
            </w:r>
            <w:r w:rsidR="00F90B2D">
              <w:rPr>
                <w:rFonts w:ascii="Verdana" w:eastAsia="Calibri Light" w:hAnsi="Verdana" w:cs="Times New Roman"/>
                <w:sz w:val="18"/>
                <w:szCs w:val="18"/>
              </w:rPr>
              <w:t xml:space="preserve"> </w:t>
            </w:r>
            <w:r>
              <w:rPr>
                <w:rFonts w:ascii="Verdana" w:eastAsia="Calibri Light" w:hAnsi="Verdana" w:cs="Times New Roman"/>
                <w:sz w:val="18"/>
                <w:szCs w:val="18"/>
              </w:rPr>
              <w:t xml:space="preserve">care roof </w:t>
            </w:r>
            <w:r w:rsidRPr="00435978">
              <w:rPr>
                <w:rFonts w:ascii="Verdana" w:eastAsia="Calibri Light" w:hAnsi="Verdana" w:cs="Times New Roman"/>
                <w:sz w:val="18"/>
                <w:szCs w:val="18"/>
              </w:rPr>
              <w:t>if energy needs are not met</w:t>
            </w:r>
            <w:r>
              <w:rPr>
                <w:rFonts w:ascii="Verdana" w:eastAsia="Calibri Light" w:hAnsi="Verdana" w:cs="Times New Roman"/>
                <w:sz w:val="18"/>
                <w:szCs w:val="18"/>
              </w:rPr>
              <w:t>) to reduce reliance on non-renewable energy and decrease overall carbon footprint</w:t>
            </w:r>
            <w:r w:rsidR="00CF30C2">
              <w:rPr>
                <w:rFonts w:ascii="Verdana" w:eastAsia="Calibri Light" w:hAnsi="Verdana" w:cs="Times New Roman"/>
                <w:sz w:val="18"/>
                <w:szCs w:val="18"/>
              </w:rPr>
              <w:t>.</w:t>
            </w:r>
          </w:p>
          <w:p w14:paraId="272EEC89" w14:textId="6EC4DC94" w:rsidR="00631831" w:rsidRDefault="00631831" w:rsidP="00171325">
            <w:pPr>
              <w:numPr>
                <w:ilvl w:val="0"/>
                <w:numId w:val="13"/>
              </w:numPr>
              <w:spacing w:before="80" w:after="80"/>
              <w:rPr>
                <w:rFonts w:ascii="Verdana" w:eastAsia="Calibri Light" w:hAnsi="Verdana" w:cs="Times New Roman"/>
                <w:color w:val="000000"/>
                <w:sz w:val="18"/>
                <w:szCs w:val="18"/>
              </w:rPr>
            </w:pPr>
            <w:r>
              <w:rPr>
                <w:rFonts w:ascii="Verdana" w:eastAsia="Calibri Light" w:hAnsi="Verdana" w:cs="Times New Roman"/>
                <w:sz w:val="18"/>
                <w:szCs w:val="18"/>
              </w:rPr>
              <w:t>Explore Green Power tariff options with electricity retailer</w:t>
            </w:r>
            <w:r w:rsidR="00CF30C2">
              <w:rPr>
                <w:rFonts w:ascii="Verdana" w:eastAsia="Calibri Light" w:hAnsi="Verdana" w:cs="Times New Roman"/>
                <w:sz w:val="18"/>
                <w:szCs w:val="18"/>
              </w:rPr>
              <w:t>.</w:t>
            </w:r>
            <w:r>
              <w:rPr>
                <w:rFonts w:ascii="Verdana" w:eastAsia="Calibri Light" w:hAnsi="Verdana" w:cs="Times New Roman"/>
                <w:color w:val="000000"/>
                <w:sz w:val="18"/>
                <w:szCs w:val="18"/>
              </w:rPr>
              <w:t xml:space="preserve"> </w:t>
            </w:r>
          </w:p>
          <w:p w14:paraId="4E3508DA" w14:textId="114F0A76" w:rsidR="00631831" w:rsidRDefault="00631831" w:rsidP="00171325">
            <w:pPr>
              <w:numPr>
                <w:ilvl w:val="0"/>
                <w:numId w:val="13"/>
              </w:numPr>
              <w:spacing w:before="80" w:after="80"/>
              <w:rPr>
                <w:rFonts w:ascii="Verdana" w:eastAsia="Calibri Light" w:hAnsi="Verdana" w:cs="Times New Roman"/>
                <w:color w:val="000000"/>
                <w:sz w:val="18"/>
                <w:szCs w:val="18"/>
              </w:rPr>
            </w:pPr>
            <w:r w:rsidRPr="00A80E8A">
              <w:rPr>
                <w:rFonts w:ascii="Verdana" w:eastAsia="Calibri Light" w:hAnsi="Verdana" w:cs="Times New Roman"/>
                <w:b/>
                <w:bCs/>
                <w:color w:val="000000"/>
                <w:sz w:val="18"/>
                <w:szCs w:val="18"/>
              </w:rPr>
              <w:t>Shift loads to daytime hours</w:t>
            </w:r>
            <w:r>
              <w:rPr>
                <w:rFonts w:ascii="Verdana" w:eastAsia="Calibri Light" w:hAnsi="Verdana" w:cs="Times New Roman"/>
                <w:color w:val="000000"/>
                <w:sz w:val="18"/>
                <w:szCs w:val="18"/>
              </w:rPr>
              <w:t xml:space="preserve"> when the sun is shining to ensure appliances are powered by the solar PV and not from electricity imported from the grid</w:t>
            </w:r>
            <w:r w:rsidR="00CF30C2">
              <w:rPr>
                <w:rFonts w:ascii="Verdana" w:eastAsia="Calibri Light" w:hAnsi="Verdana" w:cs="Times New Roman"/>
                <w:color w:val="000000"/>
                <w:sz w:val="18"/>
                <w:szCs w:val="18"/>
              </w:rPr>
              <w:t>.</w:t>
            </w:r>
          </w:p>
          <w:p w14:paraId="63A17F2A" w14:textId="29AEE671" w:rsidR="00631831" w:rsidRDefault="00631831" w:rsidP="00171325">
            <w:pPr>
              <w:numPr>
                <w:ilvl w:val="0"/>
                <w:numId w:val="13"/>
              </w:numPr>
              <w:spacing w:before="80" w:after="80"/>
              <w:rPr>
                <w:rFonts w:ascii="Verdana" w:eastAsia="Calibri Light" w:hAnsi="Verdana" w:cs="Times New Roman"/>
                <w:color w:val="000000"/>
                <w:sz w:val="18"/>
                <w:szCs w:val="18"/>
              </w:rPr>
            </w:pPr>
            <w:r>
              <w:rPr>
                <w:rFonts w:ascii="Verdana" w:eastAsia="Calibri Light" w:hAnsi="Verdana" w:cs="Times New Roman"/>
                <w:color w:val="000000"/>
                <w:sz w:val="18"/>
                <w:szCs w:val="18"/>
              </w:rPr>
              <w:t>Research</w:t>
            </w:r>
            <w:r w:rsidRPr="00A80E8A">
              <w:rPr>
                <w:rFonts w:ascii="Verdana" w:eastAsia="Calibri Light" w:hAnsi="Verdana" w:cs="Times New Roman"/>
                <w:color w:val="000000"/>
                <w:sz w:val="18"/>
                <w:szCs w:val="18"/>
              </w:rPr>
              <w:t xml:space="preserve"> the</w:t>
            </w:r>
            <w:r>
              <w:rPr>
                <w:rFonts w:ascii="Verdana" w:eastAsia="Calibri Light" w:hAnsi="Verdana" w:cs="Times New Roman"/>
                <w:b/>
                <w:bCs/>
                <w:color w:val="000000"/>
                <w:sz w:val="18"/>
                <w:szCs w:val="18"/>
              </w:rPr>
              <w:t xml:space="preserve"> feed in rate on the electricity tariff </w:t>
            </w:r>
            <w:r w:rsidRPr="00A80E8A">
              <w:rPr>
                <w:rFonts w:ascii="Verdana" w:eastAsia="Calibri Light" w:hAnsi="Verdana" w:cs="Times New Roman"/>
                <w:color w:val="000000"/>
                <w:sz w:val="18"/>
                <w:szCs w:val="18"/>
              </w:rPr>
              <w:t>(</w:t>
            </w:r>
            <w:r>
              <w:rPr>
                <w:rFonts w:ascii="Verdana" w:eastAsia="Calibri Light" w:hAnsi="Verdana" w:cs="Times New Roman"/>
                <w:color w:val="000000"/>
                <w:sz w:val="18"/>
                <w:szCs w:val="18"/>
              </w:rPr>
              <w:t>check which one provides the better rate per kWh when exporting electricity from the solar panels on the grid)</w:t>
            </w:r>
            <w:r w:rsidR="00CF30C2">
              <w:rPr>
                <w:rFonts w:ascii="Verdana" w:eastAsia="Calibri Light" w:hAnsi="Verdana" w:cs="Times New Roman"/>
                <w:color w:val="000000"/>
                <w:sz w:val="18"/>
                <w:szCs w:val="18"/>
              </w:rPr>
              <w:t>.</w:t>
            </w:r>
          </w:p>
          <w:p w14:paraId="459864A5" w14:textId="60346939" w:rsidR="00631831" w:rsidRPr="00436754" w:rsidRDefault="00631831" w:rsidP="00171325">
            <w:pPr>
              <w:numPr>
                <w:ilvl w:val="0"/>
                <w:numId w:val="13"/>
              </w:numPr>
              <w:spacing w:before="80" w:after="80"/>
              <w:rPr>
                <w:rFonts w:ascii="Verdana" w:eastAsia="Calibri Light" w:hAnsi="Verdana" w:cs="Times New Roman"/>
                <w:color w:val="000000"/>
                <w:sz w:val="18"/>
                <w:szCs w:val="18"/>
              </w:rPr>
            </w:pPr>
            <w:r>
              <w:rPr>
                <w:rFonts w:ascii="Verdana" w:eastAsia="Calibri Light" w:hAnsi="Verdana" w:cs="Times New Roman"/>
                <w:color w:val="000000"/>
                <w:sz w:val="18"/>
                <w:szCs w:val="18"/>
              </w:rPr>
              <w:t>Explore</w:t>
            </w:r>
            <w:r w:rsidRPr="00A80E8A">
              <w:rPr>
                <w:rFonts w:ascii="Verdana" w:eastAsia="Calibri Light" w:hAnsi="Verdana" w:cs="Times New Roman"/>
                <w:color w:val="000000"/>
                <w:sz w:val="18"/>
                <w:szCs w:val="18"/>
              </w:rPr>
              <w:t xml:space="preserve"> the</w:t>
            </w:r>
            <w:r>
              <w:rPr>
                <w:rFonts w:ascii="Verdana" w:eastAsia="Calibri Light" w:hAnsi="Verdana" w:cs="Times New Roman"/>
                <w:b/>
                <w:bCs/>
                <w:color w:val="000000"/>
                <w:sz w:val="18"/>
                <w:szCs w:val="18"/>
              </w:rPr>
              <w:t xml:space="preserve"> inclusion of batteries</w:t>
            </w:r>
            <w:r>
              <w:rPr>
                <w:rFonts w:ascii="Verdana" w:eastAsia="Calibri Light" w:hAnsi="Verdana" w:cs="Times New Roman"/>
                <w:color w:val="000000"/>
                <w:sz w:val="18"/>
                <w:szCs w:val="18"/>
              </w:rPr>
              <w:t xml:space="preserve"> as battery costs continue to decline and the return on investment quicker</w:t>
            </w:r>
            <w:r w:rsidR="00CF30C2">
              <w:rPr>
                <w:rFonts w:ascii="Verdana" w:eastAsia="Calibri Light" w:hAnsi="Verdana" w:cs="Times New Roman"/>
                <w:color w:val="000000"/>
                <w:sz w:val="18"/>
                <w:szCs w:val="18"/>
              </w:rPr>
              <w:t>.</w:t>
            </w:r>
          </w:p>
        </w:tc>
      </w:tr>
    </w:tbl>
    <w:p w14:paraId="4E1235D8" w14:textId="77777777" w:rsidR="00631831" w:rsidRPr="00D15B18" w:rsidRDefault="00631831" w:rsidP="00631831">
      <w:pPr>
        <w:spacing w:after="0"/>
        <w:rPr>
          <w:rFonts w:eastAsia="Calibri Light" w:cs="Times New Roman"/>
        </w:rPr>
      </w:pPr>
    </w:p>
    <w:p w14:paraId="7BA9D8B2" w14:textId="77777777" w:rsidR="00631831" w:rsidRPr="00033F76" w:rsidRDefault="00631831" w:rsidP="00631831">
      <w:pPr>
        <w:spacing w:after="0"/>
        <w:rPr>
          <w:rFonts w:eastAsia="Calibri Light" w:cs="Times New Roman"/>
          <w:b/>
          <w:bCs/>
          <w:i/>
          <w:iCs/>
          <w:color w:val="046A38"/>
        </w:rPr>
      </w:pPr>
      <w:r w:rsidRPr="00033F76">
        <w:rPr>
          <w:rFonts w:eastAsia="Calibri Light" w:cs="Times New Roman"/>
          <w:b/>
          <w:bCs/>
          <w:i/>
          <w:iCs/>
          <w:color w:val="046A38"/>
        </w:rPr>
        <w:t>Did you know?</w:t>
      </w:r>
    </w:p>
    <w:p w14:paraId="3DEB1BCD" w14:textId="77777777" w:rsidR="00631831" w:rsidRDefault="00631831" w:rsidP="00171325">
      <w:pPr>
        <w:pStyle w:val="ListParagraph"/>
        <w:numPr>
          <w:ilvl w:val="0"/>
          <w:numId w:val="14"/>
        </w:numPr>
        <w:spacing w:after="0"/>
        <w:rPr>
          <w:rFonts w:eastAsia="Calibri Light" w:cs="Times New Roman"/>
        </w:rPr>
      </w:pPr>
      <w:r w:rsidRPr="00240007">
        <w:rPr>
          <w:rFonts w:eastAsia="Calibri Light" w:cs="Times New Roman"/>
        </w:rPr>
        <w:t>If every Australian household equipped with gas went all-electric, it would save more than 30 million tonnes of CO</w:t>
      </w:r>
      <w:r w:rsidRPr="00240007">
        <w:rPr>
          <w:rFonts w:eastAsia="Calibri Light" w:cs="Times New Roman"/>
          <w:vertAlign w:val="subscript"/>
        </w:rPr>
        <w:t>2</w:t>
      </w:r>
      <w:r w:rsidRPr="00240007">
        <w:rPr>
          <w:rFonts w:eastAsia="Calibri Light" w:cs="Times New Roman"/>
        </w:rPr>
        <w:t xml:space="preserve"> emissions over the next ten years and significantly reduce their energy bills.</w:t>
      </w:r>
      <w:r>
        <w:rPr>
          <w:rStyle w:val="FootnoteReference"/>
          <w:rFonts w:eastAsia="Calibri Light" w:cs="Times New Roman"/>
        </w:rPr>
        <w:footnoteReference w:id="249"/>
      </w:r>
    </w:p>
    <w:p w14:paraId="460C1826" w14:textId="35CB4D4D" w:rsidR="00631831" w:rsidRPr="00A11D3A" w:rsidRDefault="00631831" w:rsidP="00171325">
      <w:pPr>
        <w:pStyle w:val="ListParagraph"/>
        <w:numPr>
          <w:ilvl w:val="0"/>
          <w:numId w:val="14"/>
        </w:numPr>
        <w:spacing w:after="0"/>
        <w:rPr>
          <w:rFonts w:eastAsia="Calibri Light" w:cs="Times New Roman"/>
        </w:rPr>
      </w:pPr>
      <w:r>
        <w:rPr>
          <w:rFonts w:eastAsia="Calibri Light" w:cs="Times New Roman"/>
        </w:rPr>
        <w:t>Gas stove use is estimated to cause 12</w:t>
      </w:r>
      <w:r w:rsidR="00D97EF8">
        <w:rPr>
          <w:rFonts w:eastAsia="Calibri Light" w:cs="Times New Roman"/>
        </w:rPr>
        <w:t xml:space="preserve"> </w:t>
      </w:r>
      <w:r w:rsidR="00D97EF8">
        <w:t>per cent</w:t>
      </w:r>
      <w:r>
        <w:rPr>
          <w:rFonts w:eastAsia="Calibri Light" w:cs="Times New Roman"/>
        </w:rPr>
        <w:t xml:space="preserve"> of childhood asthma in Australia.</w:t>
      </w:r>
      <w:r>
        <w:rPr>
          <w:rStyle w:val="FootnoteReference"/>
          <w:rFonts w:eastAsia="Calibri Light" w:cs="Times New Roman"/>
        </w:rPr>
        <w:footnoteReference w:id="250"/>
      </w:r>
    </w:p>
    <w:p w14:paraId="59074F55" w14:textId="77777777" w:rsidR="00631831" w:rsidRPr="00436754" w:rsidRDefault="00631831" w:rsidP="00631831">
      <w:pPr>
        <w:spacing w:after="0"/>
        <w:rPr>
          <w:rFonts w:eastAsia="Calibri Light" w:cs="Times New Roman"/>
        </w:rPr>
      </w:pPr>
    </w:p>
    <w:tbl>
      <w:tblPr>
        <w:tblStyle w:val="TableGrid10"/>
        <w:tblW w:w="9351" w:type="dxa"/>
        <w:tblBorders>
          <w:top w:val="single" w:sz="4" w:space="0" w:color="70AD47"/>
          <w:left w:val="single" w:sz="4" w:space="0" w:color="70AD47"/>
          <w:bottom w:val="single" w:sz="4" w:space="0" w:color="70AD47"/>
          <w:right w:val="single" w:sz="4" w:space="0" w:color="70AD47"/>
        </w:tblBorders>
        <w:shd w:val="clear" w:color="auto" w:fill="BCEBFF"/>
        <w:tblLook w:val="04A0" w:firstRow="1" w:lastRow="0" w:firstColumn="1" w:lastColumn="0" w:noHBand="0" w:noVBand="1"/>
      </w:tblPr>
      <w:tblGrid>
        <w:gridCol w:w="9351"/>
      </w:tblGrid>
      <w:tr w:rsidR="00631831" w:rsidRPr="00436754" w14:paraId="7D7D015D" w14:textId="77777777">
        <w:trPr>
          <w:trHeight w:val="364"/>
        </w:trPr>
        <w:tc>
          <w:tcPr>
            <w:tcW w:w="9351" w:type="dxa"/>
            <w:shd w:val="clear" w:color="auto" w:fill="DBECD0"/>
            <w:vAlign w:val="center"/>
          </w:tcPr>
          <w:p w14:paraId="087B4E71" w14:textId="77777777" w:rsidR="00631831" w:rsidRPr="00436754" w:rsidRDefault="00631831">
            <w:pPr>
              <w:rPr>
                <w:rFonts w:ascii="Verdana" w:eastAsia="Calibri Light" w:hAnsi="Verdana" w:cs="Times New Roman"/>
                <w:b/>
                <w:bCs/>
                <w:color w:val="003E58"/>
                <w:sz w:val="18"/>
                <w:szCs w:val="18"/>
              </w:rPr>
            </w:pPr>
            <w:r>
              <w:rPr>
                <w:rFonts w:ascii="Verdana" w:eastAsia="Calibri Light" w:hAnsi="Verdana" w:cs="Times New Roman"/>
                <w:b/>
                <w:bCs/>
                <w:color w:val="046A38"/>
                <w:sz w:val="18"/>
                <w:szCs w:val="18"/>
              </w:rPr>
              <w:t>SUSTAIN</w:t>
            </w:r>
            <w:r w:rsidRPr="00F6600E">
              <w:rPr>
                <w:rFonts w:ascii="Verdana" w:eastAsia="Calibri Light" w:hAnsi="Verdana" w:cs="Times New Roman"/>
                <w:b/>
                <w:bCs/>
                <w:color w:val="046A38"/>
                <w:sz w:val="18"/>
                <w:szCs w:val="18"/>
              </w:rPr>
              <w:t>ABLE</w:t>
            </w:r>
            <w:r>
              <w:rPr>
                <w:rFonts w:ascii="Verdana" w:eastAsia="Calibri Light" w:hAnsi="Verdana" w:cs="Times New Roman"/>
                <w:b/>
                <w:bCs/>
                <w:color w:val="046A38"/>
                <w:sz w:val="18"/>
                <w:szCs w:val="18"/>
              </w:rPr>
              <w:t xml:space="preserve"> TRANSPORT</w:t>
            </w:r>
          </w:p>
        </w:tc>
      </w:tr>
      <w:tr w:rsidR="00631831" w:rsidRPr="00436754" w14:paraId="627604F1" w14:textId="77777777">
        <w:trPr>
          <w:trHeight w:val="1424"/>
        </w:trPr>
        <w:tc>
          <w:tcPr>
            <w:tcW w:w="9351" w:type="dxa"/>
            <w:shd w:val="clear" w:color="auto" w:fill="auto"/>
          </w:tcPr>
          <w:p w14:paraId="3FAA5574" w14:textId="53614B0E" w:rsidR="00631831" w:rsidRDefault="00631831" w:rsidP="00171325">
            <w:pPr>
              <w:numPr>
                <w:ilvl w:val="0"/>
                <w:numId w:val="13"/>
              </w:numPr>
              <w:spacing w:before="80" w:after="80"/>
              <w:rPr>
                <w:rFonts w:ascii="Verdana" w:eastAsia="Calibri Light" w:hAnsi="Verdana" w:cs="Times New Roman"/>
                <w:sz w:val="18"/>
                <w:szCs w:val="18"/>
              </w:rPr>
            </w:pPr>
            <w:r w:rsidRPr="00435978">
              <w:rPr>
                <w:rFonts w:ascii="Verdana" w:eastAsia="Calibri Light" w:hAnsi="Verdana" w:cs="Times New Roman"/>
                <w:sz w:val="18"/>
                <w:szCs w:val="18"/>
              </w:rPr>
              <w:t>Promote</w:t>
            </w:r>
            <w:r w:rsidRPr="00FD2970">
              <w:rPr>
                <w:rFonts w:ascii="Verdana" w:eastAsia="Calibri Light" w:hAnsi="Verdana" w:cs="Times New Roman"/>
                <w:sz w:val="18"/>
                <w:szCs w:val="18"/>
              </w:rPr>
              <w:t xml:space="preserve"> sustainable </w:t>
            </w:r>
            <w:r w:rsidRPr="00435978">
              <w:rPr>
                <w:rFonts w:ascii="Verdana" w:eastAsia="Calibri Light" w:hAnsi="Verdana" w:cs="Times New Roman"/>
                <w:sz w:val="18"/>
                <w:szCs w:val="18"/>
              </w:rPr>
              <w:t>transport (e.g., walk to school</w:t>
            </w:r>
            <w:r>
              <w:rPr>
                <w:rFonts w:ascii="Verdana" w:eastAsia="Calibri Light" w:hAnsi="Verdana" w:cs="Times New Roman"/>
                <w:sz w:val="18"/>
                <w:szCs w:val="18"/>
              </w:rPr>
              <w:t xml:space="preserve">, cycle, </w:t>
            </w:r>
            <w:r w:rsidRPr="00435978">
              <w:rPr>
                <w:rFonts w:ascii="Verdana" w:eastAsia="Calibri Light" w:hAnsi="Verdana" w:cs="Times New Roman"/>
                <w:sz w:val="18"/>
                <w:szCs w:val="18"/>
              </w:rPr>
              <w:t>use public transport or implement car sharing/pooling)</w:t>
            </w:r>
            <w:r w:rsidR="00CF30C2">
              <w:rPr>
                <w:rFonts w:ascii="Verdana" w:eastAsia="Calibri Light" w:hAnsi="Verdana" w:cs="Times New Roman"/>
                <w:sz w:val="18"/>
                <w:szCs w:val="18"/>
              </w:rPr>
              <w:t>.</w:t>
            </w:r>
          </w:p>
          <w:p w14:paraId="049D28F9" w14:textId="568927E2" w:rsidR="00631831" w:rsidRPr="00FD2970" w:rsidRDefault="00631831" w:rsidP="00171325">
            <w:pPr>
              <w:numPr>
                <w:ilvl w:val="0"/>
                <w:numId w:val="13"/>
              </w:numPr>
              <w:spacing w:after="0" w:line="240" w:lineRule="auto"/>
              <w:textAlignment w:val="center"/>
              <w:rPr>
                <w:rFonts w:ascii="Verdana" w:eastAsia="Calibri Light" w:hAnsi="Verdana" w:cs="Times New Roman"/>
                <w:sz w:val="18"/>
                <w:szCs w:val="18"/>
              </w:rPr>
            </w:pPr>
            <w:r w:rsidRPr="00FD2970">
              <w:rPr>
                <w:rFonts w:ascii="Verdana" w:eastAsia="Calibri Light" w:hAnsi="Verdana" w:cs="Times New Roman"/>
                <w:sz w:val="18"/>
                <w:szCs w:val="18"/>
              </w:rPr>
              <w:t>Explore partnerships with local/council transportation initiatives to reduce environmental impact and costs for families</w:t>
            </w:r>
            <w:r w:rsidR="00CF30C2">
              <w:rPr>
                <w:rFonts w:ascii="Verdana" w:eastAsia="Calibri Light" w:hAnsi="Verdana" w:cs="Times New Roman"/>
                <w:sz w:val="18"/>
                <w:szCs w:val="18"/>
              </w:rPr>
              <w:t>.</w:t>
            </w:r>
          </w:p>
          <w:p w14:paraId="1C39862A" w14:textId="30C403AB" w:rsidR="00631831" w:rsidRPr="00C77F21" w:rsidRDefault="00631831" w:rsidP="00171325">
            <w:pPr>
              <w:numPr>
                <w:ilvl w:val="0"/>
                <w:numId w:val="13"/>
              </w:numPr>
              <w:spacing w:before="80" w:after="80"/>
              <w:rPr>
                <w:rFonts w:ascii="Calibri Light" w:eastAsia="Calibri Light" w:hAnsi="Calibri Light" w:cs="Times New Roman"/>
              </w:rPr>
            </w:pPr>
            <w:r w:rsidRPr="00435978">
              <w:rPr>
                <w:rFonts w:ascii="Verdana" w:eastAsia="Calibri Light" w:hAnsi="Verdana" w:cs="Times New Roman"/>
                <w:sz w:val="18"/>
                <w:szCs w:val="18"/>
              </w:rPr>
              <w:t>When the CCCFR service</w:t>
            </w:r>
            <w:r>
              <w:rPr>
                <w:rFonts w:ascii="Verdana" w:eastAsia="Calibri Light" w:hAnsi="Verdana" w:cs="Times New Roman"/>
                <w:sz w:val="18"/>
                <w:szCs w:val="18"/>
              </w:rPr>
              <w:t xml:space="preserve"> has a bus shuttle, ensure best route is taken to collect children</w:t>
            </w:r>
            <w:r w:rsidR="00CF30C2">
              <w:rPr>
                <w:rFonts w:ascii="Verdana" w:eastAsia="Calibri Light" w:hAnsi="Verdana" w:cs="Times New Roman"/>
                <w:sz w:val="18"/>
                <w:szCs w:val="18"/>
              </w:rPr>
              <w:t>.</w:t>
            </w:r>
          </w:p>
          <w:p w14:paraId="65DCCB74" w14:textId="6ACD893D" w:rsidR="00631831" w:rsidRPr="00436754" w:rsidRDefault="00631831" w:rsidP="00171325">
            <w:pPr>
              <w:numPr>
                <w:ilvl w:val="0"/>
                <w:numId w:val="13"/>
              </w:numPr>
              <w:spacing w:before="80" w:after="80"/>
              <w:rPr>
                <w:rFonts w:ascii="Calibri Light" w:eastAsia="Calibri Light" w:hAnsi="Calibri Light" w:cs="Times New Roman"/>
              </w:rPr>
            </w:pPr>
            <w:r>
              <w:rPr>
                <w:rFonts w:ascii="Verdana" w:eastAsia="Calibri Light" w:hAnsi="Verdana" w:cs="Times New Roman"/>
                <w:sz w:val="18"/>
                <w:szCs w:val="18"/>
              </w:rPr>
              <w:t>When the bus needs replacement, favour hybrid or fully electric buses</w:t>
            </w:r>
            <w:r w:rsidR="00CF30C2">
              <w:rPr>
                <w:rFonts w:ascii="Verdana" w:eastAsia="Calibri Light" w:hAnsi="Verdana" w:cs="Times New Roman"/>
                <w:sz w:val="18"/>
                <w:szCs w:val="18"/>
              </w:rPr>
              <w:t>.</w:t>
            </w:r>
          </w:p>
        </w:tc>
      </w:tr>
    </w:tbl>
    <w:p w14:paraId="64A88FA7" w14:textId="77777777" w:rsidR="00631831" w:rsidRPr="00436754" w:rsidRDefault="00631831" w:rsidP="00631831">
      <w:pPr>
        <w:spacing w:after="0"/>
        <w:rPr>
          <w:rFonts w:eastAsia="Calibri Light" w:cs="Times New Roman"/>
          <w:sz w:val="8"/>
          <w:szCs w:val="8"/>
        </w:rPr>
      </w:pPr>
    </w:p>
    <w:tbl>
      <w:tblPr>
        <w:tblStyle w:val="TableGrid10"/>
        <w:tblW w:w="9350" w:type="dxa"/>
        <w:tblBorders>
          <w:top w:val="single" w:sz="4" w:space="0" w:color="70AD47"/>
          <w:left w:val="single" w:sz="4" w:space="0" w:color="70AD47"/>
          <w:bottom w:val="single" w:sz="4" w:space="0" w:color="70AD47"/>
          <w:right w:val="single" w:sz="4" w:space="0" w:color="70AD47"/>
        </w:tblBorders>
        <w:shd w:val="clear" w:color="auto" w:fill="BCEBFF"/>
        <w:tblLook w:val="04A0" w:firstRow="1" w:lastRow="0" w:firstColumn="1" w:lastColumn="0" w:noHBand="0" w:noVBand="1"/>
      </w:tblPr>
      <w:tblGrid>
        <w:gridCol w:w="9350"/>
      </w:tblGrid>
      <w:tr w:rsidR="00631831" w:rsidRPr="00436754" w14:paraId="4615E578" w14:textId="77777777">
        <w:trPr>
          <w:trHeight w:val="398"/>
        </w:trPr>
        <w:tc>
          <w:tcPr>
            <w:tcW w:w="9402" w:type="dxa"/>
            <w:shd w:val="clear" w:color="auto" w:fill="DBECD0"/>
            <w:vAlign w:val="center"/>
          </w:tcPr>
          <w:p w14:paraId="319BEE68" w14:textId="61EB3623" w:rsidR="00631831" w:rsidRPr="00436754" w:rsidRDefault="00631831">
            <w:pPr>
              <w:rPr>
                <w:rFonts w:ascii="Verdana" w:eastAsia="Calibri Light" w:hAnsi="Verdana" w:cs="Times New Roman"/>
                <w:b/>
                <w:bCs/>
                <w:sz w:val="18"/>
                <w:szCs w:val="18"/>
              </w:rPr>
            </w:pPr>
            <w:r>
              <w:rPr>
                <w:rFonts w:ascii="Verdana" w:eastAsia="Calibri Light" w:hAnsi="Verdana" w:cs="Times New Roman"/>
                <w:b/>
                <w:bCs/>
                <w:color w:val="046A38"/>
                <w:sz w:val="18"/>
                <w:szCs w:val="18"/>
              </w:rPr>
              <w:t>WASTE</w:t>
            </w:r>
          </w:p>
        </w:tc>
      </w:tr>
      <w:tr w:rsidR="00631831" w:rsidRPr="00436754" w14:paraId="57FC0455" w14:textId="77777777">
        <w:trPr>
          <w:trHeight w:val="918"/>
        </w:trPr>
        <w:tc>
          <w:tcPr>
            <w:tcW w:w="9402" w:type="dxa"/>
            <w:shd w:val="clear" w:color="auto" w:fill="auto"/>
          </w:tcPr>
          <w:p w14:paraId="511116B1" w14:textId="6A16EC5B" w:rsidR="00631831" w:rsidRPr="00FD21E7" w:rsidRDefault="00631831" w:rsidP="00171325">
            <w:pPr>
              <w:numPr>
                <w:ilvl w:val="0"/>
                <w:numId w:val="13"/>
              </w:numPr>
              <w:spacing w:before="80" w:after="80"/>
              <w:rPr>
                <w:rFonts w:ascii="Verdana" w:eastAsia="Calibri Light" w:hAnsi="Verdana" w:cs="Times New Roman"/>
                <w:color w:val="000000"/>
                <w:sz w:val="18"/>
                <w:szCs w:val="18"/>
              </w:rPr>
            </w:pPr>
            <w:r>
              <w:rPr>
                <w:rFonts w:ascii="Verdana" w:eastAsia="Calibri Light" w:hAnsi="Verdana" w:cs="Times New Roman"/>
                <w:color w:val="000000"/>
                <w:sz w:val="18"/>
                <w:szCs w:val="18"/>
              </w:rPr>
              <w:t>Undertake waste and litter audits to gather information and identify areas for improvement</w:t>
            </w:r>
            <w:r w:rsidR="00CF30C2">
              <w:rPr>
                <w:rFonts w:ascii="Verdana" w:eastAsia="Calibri Light" w:hAnsi="Verdana" w:cs="Times New Roman"/>
                <w:color w:val="000000"/>
                <w:sz w:val="18"/>
                <w:szCs w:val="18"/>
              </w:rPr>
              <w:t>.</w:t>
            </w:r>
          </w:p>
          <w:p w14:paraId="17A065EF" w14:textId="66CBF419" w:rsidR="00631831" w:rsidRDefault="00631831" w:rsidP="00171325">
            <w:pPr>
              <w:numPr>
                <w:ilvl w:val="0"/>
                <w:numId w:val="13"/>
              </w:numPr>
              <w:spacing w:before="80" w:after="80"/>
              <w:rPr>
                <w:rFonts w:ascii="Verdana" w:eastAsia="Calibri Light" w:hAnsi="Verdana" w:cs="Times New Roman"/>
                <w:color w:val="000000"/>
                <w:sz w:val="18"/>
                <w:szCs w:val="18"/>
              </w:rPr>
            </w:pPr>
            <w:r>
              <w:rPr>
                <w:rFonts w:ascii="Verdana" w:eastAsia="Calibri Light" w:hAnsi="Verdana" w:cs="Times New Roman"/>
                <w:color w:val="000000"/>
                <w:sz w:val="18"/>
                <w:szCs w:val="18"/>
              </w:rPr>
              <w:t>Include the whole child care community in the process of developing a “Waste Wise” child care through the principles of “Rethink/Refuse, Reduce, Reuse and Recycle”</w:t>
            </w:r>
            <w:r w:rsidR="00CF30C2">
              <w:rPr>
                <w:rFonts w:ascii="Verdana" w:eastAsia="Calibri Light" w:hAnsi="Verdana" w:cs="Times New Roman"/>
                <w:color w:val="000000"/>
                <w:sz w:val="18"/>
                <w:szCs w:val="18"/>
              </w:rPr>
              <w:t>.</w:t>
            </w:r>
          </w:p>
          <w:p w14:paraId="7F734F4C" w14:textId="1788C9D0" w:rsidR="00631831" w:rsidRDefault="00631831" w:rsidP="00171325">
            <w:pPr>
              <w:numPr>
                <w:ilvl w:val="0"/>
                <w:numId w:val="13"/>
              </w:numPr>
              <w:spacing w:before="80" w:after="80"/>
              <w:rPr>
                <w:rFonts w:ascii="Verdana" w:eastAsia="Calibri Light" w:hAnsi="Verdana" w:cs="Times New Roman"/>
                <w:color w:val="000000"/>
                <w:sz w:val="18"/>
                <w:szCs w:val="18"/>
              </w:rPr>
            </w:pPr>
            <w:r>
              <w:rPr>
                <w:rFonts w:ascii="Verdana" w:eastAsia="Calibri Light" w:hAnsi="Verdana" w:cs="Times New Roman"/>
                <w:color w:val="000000"/>
                <w:sz w:val="18"/>
                <w:szCs w:val="18"/>
              </w:rPr>
              <w:t>Minimise landfill waste and maximise recycling and composting (e.g.</w:t>
            </w:r>
            <w:r>
              <w:rPr>
                <w:rFonts w:ascii="Verdana" w:eastAsia="Calibri Light" w:hAnsi="Verdana" w:cs="Times New Roman"/>
                <w:color w:val="000000"/>
                <w:sz w:val="18"/>
                <w:szCs w:val="18"/>
                <w:lang w:val="en-GB"/>
              </w:rPr>
              <w:t>,</w:t>
            </w:r>
            <w:r>
              <w:rPr>
                <w:rFonts w:ascii="Verdana" w:eastAsia="Calibri Light" w:hAnsi="Verdana" w:cs="Times New Roman"/>
                <w:color w:val="000000"/>
                <w:sz w:val="18"/>
                <w:szCs w:val="18"/>
              </w:rPr>
              <w:t xml:space="preserve"> nude lunches, recycling bins, worm farms, use of biodegradable nappies and wipes, etc.). Worm farms are educational and fun for children.</w:t>
            </w:r>
          </w:p>
          <w:p w14:paraId="05B60FC6" w14:textId="77777777" w:rsidR="00631831" w:rsidRDefault="00631831" w:rsidP="00171325">
            <w:pPr>
              <w:numPr>
                <w:ilvl w:val="0"/>
                <w:numId w:val="13"/>
              </w:numPr>
              <w:spacing w:before="80" w:after="80"/>
              <w:rPr>
                <w:rFonts w:ascii="Verdana" w:eastAsia="Calibri Light" w:hAnsi="Verdana" w:cs="Times New Roman"/>
                <w:color w:val="000000"/>
                <w:sz w:val="18"/>
                <w:szCs w:val="18"/>
              </w:rPr>
            </w:pPr>
            <w:r>
              <w:rPr>
                <w:rFonts w:ascii="Verdana" w:eastAsia="Calibri Light" w:hAnsi="Verdana" w:cs="Times New Roman"/>
                <w:color w:val="000000"/>
                <w:sz w:val="18"/>
                <w:szCs w:val="18"/>
              </w:rPr>
              <w:t>Include additional waste bins, e.g., batteries, electrical items, soft plastics, etc.</w:t>
            </w:r>
          </w:p>
          <w:p w14:paraId="3487C778" w14:textId="3481DB64" w:rsidR="00631831" w:rsidRPr="00436754" w:rsidRDefault="00631831" w:rsidP="00171325">
            <w:pPr>
              <w:numPr>
                <w:ilvl w:val="0"/>
                <w:numId w:val="13"/>
              </w:numPr>
              <w:spacing w:before="80" w:after="80"/>
              <w:rPr>
                <w:rFonts w:ascii="Verdana" w:eastAsia="Calibri Light" w:hAnsi="Verdana" w:cs="Times New Roman"/>
                <w:color w:val="000000"/>
                <w:sz w:val="18"/>
                <w:szCs w:val="18"/>
              </w:rPr>
            </w:pPr>
            <w:r w:rsidRPr="00FD21E7">
              <w:rPr>
                <w:rFonts w:ascii="Verdana" w:eastAsia="Calibri Light" w:hAnsi="Verdana" w:cs="Times New Roman"/>
                <w:color w:val="000000"/>
                <w:sz w:val="18"/>
                <w:szCs w:val="18"/>
              </w:rPr>
              <w:t>When capital work happens, implement responsible waste disposal practices</w:t>
            </w:r>
            <w:r w:rsidR="00CF30C2">
              <w:rPr>
                <w:rFonts w:ascii="Verdana" w:eastAsia="Calibri Light" w:hAnsi="Verdana" w:cs="Times New Roman"/>
                <w:color w:val="000000"/>
                <w:sz w:val="18"/>
                <w:szCs w:val="18"/>
              </w:rPr>
              <w:t>.</w:t>
            </w:r>
          </w:p>
        </w:tc>
      </w:tr>
    </w:tbl>
    <w:p w14:paraId="7A3F247D" w14:textId="77777777" w:rsidR="00631831" w:rsidRPr="00436754" w:rsidRDefault="00631831" w:rsidP="00631831">
      <w:pPr>
        <w:spacing w:after="0"/>
        <w:rPr>
          <w:rFonts w:eastAsia="Calibri Light" w:cs="Times New Roman"/>
          <w:sz w:val="8"/>
          <w:szCs w:val="8"/>
        </w:rPr>
      </w:pPr>
    </w:p>
    <w:tbl>
      <w:tblPr>
        <w:tblStyle w:val="TableGrid10"/>
        <w:tblW w:w="9350" w:type="dxa"/>
        <w:tblBorders>
          <w:top w:val="single" w:sz="4" w:space="0" w:color="70AD47"/>
          <w:left w:val="single" w:sz="4" w:space="0" w:color="70AD47"/>
          <w:bottom w:val="single" w:sz="4" w:space="0" w:color="70AD47"/>
          <w:right w:val="single" w:sz="4" w:space="0" w:color="70AD47"/>
        </w:tblBorders>
        <w:shd w:val="clear" w:color="auto" w:fill="BCEBFF"/>
        <w:tblLook w:val="04A0" w:firstRow="1" w:lastRow="0" w:firstColumn="1" w:lastColumn="0" w:noHBand="0" w:noVBand="1"/>
      </w:tblPr>
      <w:tblGrid>
        <w:gridCol w:w="9350"/>
      </w:tblGrid>
      <w:tr w:rsidR="00631831" w:rsidRPr="00436754" w14:paraId="222419E2" w14:textId="77777777">
        <w:trPr>
          <w:trHeight w:val="374"/>
        </w:trPr>
        <w:tc>
          <w:tcPr>
            <w:tcW w:w="10441" w:type="dxa"/>
            <w:shd w:val="clear" w:color="auto" w:fill="DBECD0"/>
            <w:vAlign w:val="center"/>
          </w:tcPr>
          <w:p w14:paraId="6367DA07" w14:textId="77777777" w:rsidR="00631831" w:rsidRPr="00436754" w:rsidRDefault="00631831">
            <w:pPr>
              <w:spacing w:before="60" w:after="60"/>
              <w:rPr>
                <w:rFonts w:ascii="Verdana" w:eastAsia="Calibri Light" w:hAnsi="Verdana" w:cs="Times New Roman"/>
                <w:b/>
                <w:bCs/>
                <w:color w:val="006600"/>
                <w:sz w:val="18"/>
                <w:szCs w:val="18"/>
              </w:rPr>
            </w:pPr>
            <w:r>
              <w:rPr>
                <w:rFonts w:ascii="Verdana" w:eastAsia="Calibri Light" w:hAnsi="Verdana" w:cs="Times New Roman"/>
                <w:b/>
                <w:bCs/>
                <w:color w:val="046A38"/>
                <w:sz w:val="18"/>
                <w:szCs w:val="18"/>
              </w:rPr>
              <w:t>WATER</w:t>
            </w:r>
          </w:p>
        </w:tc>
      </w:tr>
      <w:tr w:rsidR="00631831" w:rsidRPr="00436754" w14:paraId="39248547" w14:textId="77777777" w:rsidTr="000E0278">
        <w:trPr>
          <w:trHeight w:val="1994"/>
        </w:trPr>
        <w:tc>
          <w:tcPr>
            <w:tcW w:w="10441" w:type="dxa"/>
            <w:shd w:val="clear" w:color="auto" w:fill="auto"/>
          </w:tcPr>
          <w:p w14:paraId="5E01B6AF" w14:textId="39604B9C" w:rsidR="00631831" w:rsidRPr="008414E3" w:rsidRDefault="00631831" w:rsidP="00171325">
            <w:pPr>
              <w:numPr>
                <w:ilvl w:val="0"/>
                <w:numId w:val="13"/>
              </w:numPr>
              <w:spacing w:before="80" w:after="80"/>
              <w:rPr>
                <w:rFonts w:ascii="Verdana" w:eastAsia="Calibri Light" w:hAnsi="Verdana" w:cs="Times New Roman"/>
                <w:color w:val="000000"/>
                <w:sz w:val="18"/>
                <w:szCs w:val="18"/>
              </w:rPr>
            </w:pPr>
            <w:r w:rsidRPr="00BD6473">
              <w:rPr>
                <w:rFonts w:ascii="Verdana" w:eastAsia="Calibri Light" w:hAnsi="Verdana" w:cs="Times New Roman"/>
                <w:color w:val="000000"/>
                <w:sz w:val="18"/>
                <w:szCs w:val="18"/>
              </w:rPr>
              <w:lastRenderedPageBreak/>
              <w:t>Educate</w:t>
            </w:r>
            <w:r>
              <w:rPr>
                <w:rFonts w:ascii="Verdana" w:eastAsia="Calibri Light" w:hAnsi="Verdana" w:cs="Times New Roman"/>
                <w:color w:val="000000"/>
                <w:sz w:val="18"/>
                <w:szCs w:val="18"/>
              </w:rPr>
              <w:t xml:space="preserve"> child care staff, children and communities</w:t>
            </w:r>
            <w:r w:rsidRPr="0011230B">
              <w:rPr>
                <w:rFonts w:ascii="Verdana" w:eastAsia="Calibri Light" w:hAnsi="Verdana" w:cs="Times New Roman"/>
                <w:color w:val="000000"/>
                <w:sz w:val="18"/>
                <w:szCs w:val="18"/>
              </w:rPr>
              <w:t xml:space="preserve"> on the importance of water as a precious </w:t>
            </w:r>
            <w:r w:rsidRPr="008414E3">
              <w:rPr>
                <w:rFonts w:ascii="Verdana" w:eastAsia="Calibri Light" w:hAnsi="Verdana" w:cs="Times New Roman"/>
                <w:color w:val="000000"/>
                <w:sz w:val="18"/>
                <w:szCs w:val="18"/>
              </w:rPr>
              <w:t>natural resource and the natural processes (e.g., droughts and floods)</w:t>
            </w:r>
            <w:r w:rsidR="00CF30C2">
              <w:rPr>
                <w:rFonts w:ascii="Verdana" w:eastAsia="Calibri Light" w:hAnsi="Verdana" w:cs="Times New Roman"/>
                <w:color w:val="000000"/>
                <w:sz w:val="18"/>
                <w:szCs w:val="18"/>
              </w:rPr>
              <w:t>.</w:t>
            </w:r>
          </w:p>
          <w:p w14:paraId="02CA51A3" w14:textId="137B3597" w:rsidR="00631831" w:rsidRPr="008414E3" w:rsidRDefault="00631831" w:rsidP="00171325">
            <w:pPr>
              <w:numPr>
                <w:ilvl w:val="0"/>
                <w:numId w:val="13"/>
              </w:numPr>
              <w:spacing w:before="80" w:after="80"/>
              <w:rPr>
                <w:rFonts w:ascii="Verdana" w:eastAsia="Calibri Light" w:hAnsi="Verdana" w:cs="Times New Roman"/>
                <w:color w:val="000000"/>
                <w:sz w:val="18"/>
                <w:szCs w:val="18"/>
              </w:rPr>
            </w:pPr>
            <w:r w:rsidRPr="008414E3">
              <w:rPr>
                <w:rFonts w:ascii="Verdana" w:eastAsia="Calibri Light" w:hAnsi="Verdana" w:cs="Times New Roman"/>
                <w:color w:val="000000"/>
                <w:sz w:val="18"/>
                <w:szCs w:val="18"/>
              </w:rPr>
              <w:t>Become “Water Wise”, turning off taps and bubblers</w:t>
            </w:r>
            <w:r w:rsidR="00CF30C2">
              <w:rPr>
                <w:rFonts w:ascii="Verdana" w:eastAsia="Calibri Light" w:hAnsi="Verdana" w:cs="Times New Roman"/>
                <w:color w:val="000000"/>
                <w:sz w:val="18"/>
                <w:szCs w:val="18"/>
              </w:rPr>
              <w:t>.</w:t>
            </w:r>
          </w:p>
          <w:p w14:paraId="26AA8992" w14:textId="6D5BB0BD" w:rsidR="00631831" w:rsidRDefault="00631831" w:rsidP="00171325">
            <w:pPr>
              <w:numPr>
                <w:ilvl w:val="0"/>
                <w:numId w:val="13"/>
              </w:numPr>
              <w:spacing w:before="80" w:after="80"/>
              <w:rPr>
                <w:rFonts w:ascii="Verdana" w:eastAsia="Calibri Light" w:hAnsi="Verdana" w:cs="Times New Roman"/>
                <w:color w:val="000000"/>
                <w:sz w:val="18"/>
                <w:szCs w:val="18"/>
              </w:rPr>
            </w:pPr>
            <w:r w:rsidRPr="001B1B02">
              <w:rPr>
                <w:rFonts w:ascii="Verdana" w:eastAsia="Calibri Light" w:hAnsi="Verdana" w:cs="Times New Roman"/>
                <w:color w:val="000000"/>
                <w:sz w:val="18"/>
                <w:szCs w:val="18"/>
              </w:rPr>
              <w:t>Implement water-efficient systems to minimise water consumption</w:t>
            </w:r>
            <w:r w:rsidRPr="008414E3">
              <w:rPr>
                <w:rFonts w:ascii="Verdana" w:eastAsia="Calibri Light" w:hAnsi="Verdana" w:cs="Times New Roman"/>
                <w:color w:val="000000"/>
                <w:sz w:val="18"/>
                <w:szCs w:val="18"/>
              </w:rPr>
              <w:t xml:space="preserve"> (e.g.</w:t>
            </w:r>
            <w:r w:rsidR="00E461FE">
              <w:rPr>
                <w:rFonts w:ascii="Verdana" w:eastAsia="Calibri Light" w:hAnsi="Verdana" w:cs="Times New Roman"/>
                <w:color w:val="000000"/>
                <w:sz w:val="18"/>
                <w:szCs w:val="18"/>
              </w:rPr>
              <w:t>,</w:t>
            </w:r>
            <w:r w:rsidRPr="008414E3">
              <w:rPr>
                <w:rFonts w:ascii="Verdana" w:eastAsia="Calibri Light" w:hAnsi="Verdana" w:cs="Times New Roman"/>
                <w:color w:val="000000"/>
                <w:sz w:val="18"/>
                <w:szCs w:val="18"/>
              </w:rPr>
              <w:t xml:space="preserve"> </w:t>
            </w:r>
            <w:r>
              <w:rPr>
                <w:rFonts w:ascii="Verdana" w:eastAsia="Calibri Light" w:hAnsi="Verdana" w:cs="Times New Roman"/>
                <w:color w:val="000000"/>
                <w:sz w:val="18"/>
                <w:szCs w:val="18"/>
              </w:rPr>
              <w:t>water-efficient taps, showerheads if showers on facilities)</w:t>
            </w:r>
            <w:r w:rsidR="00CF30C2">
              <w:rPr>
                <w:rFonts w:ascii="Verdana" w:eastAsia="Calibri Light" w:hAnsi="Verdana" w:cs="Times New Roman"/>
                <w:color w:val="000000"/>
                <w:sz w:val="18"/>
                <w:szCs w:val="18"/>
              </w:rPr>
              <w:t>.</w:t>
            </w:r>
          </w:p>
          <w:p w14:paraId="1747D0DE" w14:textId="02A0AB6B" w:rsidR="00631831" w:rsidRPr="000E0278" w:rsidRDefault="00631831" w:rsidP="00171325">
            <w:pPr>
              <w:numPr>
                <w:ilvl w:val="0"/>
                <w:numId w:val="13"/>
              </w:numPr>
              <w:spacing w:before="80" w:after="80"/>
              <w:rPr>
                <w:rFonts w:ascii="Verdana" w:eastAsia="Calibri Light" w:hAnsi="Verdana" w:cs="Times New Roman"/>
                <w:color w:val="000000"/>
                <w:sz w:val="18"/>
                <w:szCs w:val="18"/>
              </w:rPr>
            </w:pPr>
            <w:r>
              <w:rPr>
                <w:rFonts w:ascii="Verdana" w:eastAsia="Calibri Light" w:hAnsi="Verdana" w:cs="Times New Roman"/>
                <w:color w:val="000000"/>
                <w:sz w:val="18"/>
                <w:szCs w:val="18"/>
              </w:rPr>
              <w:t xml:space="preserve">Use rainwater harvesting such as </w:t>
            </w:r>
            <w:r w:rsidRPr="008414E3">
              <w:rPr>
                <w:rFonts w:ascii="Verdana" w:eastAsia="Calibri Light" w:hAnsi="Verdana" w:cs="Times New Roman"/>
                <w:color w:val="000000"/>
                <w:sz w:val="18"/>
                <w:szCs w:val="18"/>
              </w:rPr>
              <w:t>water tanks</w:t>
            </w:r>
            <w:r>
              <w:rPr>
                <w:rFonts w:ascii="Verdana" w:eastAsia="Calibri Light" w:hAnsi="Verdana" w:cs="Times New Roman"/>
                <w:color w:val="000000"/>
                <w:sz w:val="18"/>
                <w:szCs w:val="18"/>
              </w:rPr>
              <w:t xml:space="preserve"> to minimise water consumption for landscaping</w:t>
            </w:r>
            <w:r w:rsidR="00CF30C2">
              <w:rPr>
                <w:rFonts w:ascii="Verdana" w:eastAsia="Calibri Light" w:hAnsi="Verdana" w:cs="Times New Roman"/>
                <w:color w:val="000000"/>
                <w:sz w:val="18"/>
                <w:szCs w:val="18"/>
              </w:rPr>
              <w:t>.</w:t>
            </w:r>
          </w:p>
        </w:tc>
      </w:tr>
    </w:tbl>
    <w:p w14:paraId="4919CA36" w14:textId="77777777" w:rsidR="00631831" w:rsidRPr="00436754" w:rsidRDefault="00631831" w:rsidP="00631831">
      <w:pPr>
        <w:spacing w:after="0"/>
        <w:rPr>
          <w:rFonts w:eastAsia="Calibri Light" w:cs="Times New Roman"/>
        </w:rPr>
      </w:pPr>
    </w:p>
    <w:tbl>
      <w:tblPr>
        <w:tblStyle w:val="TableGrid10"/>
        <w:tblW w:w="9350" w:type="dxa"/>
        <w:tblBorders>
          <w:top w:val="single" w:sz="4" w:space="0" w:color="70AD47"/>
          <w:left w:val="single" w:sz="4" w:space="0" w:color="70AD47"/>
          <w:bottom w:val="single" w:sz="4" w:space="0" w:color="70AD47"/>
          <w:right w:val="single" w:sz="4" w:space="0" w:color="70AD47"/>
        </w:tblBorders>
        <w:shd w:val="clear" w:color="auto" w:fill="BCEBFF"/>
        <w:tblLook w:val="04A0" w:firstRow="1" w:lastRow="0" w:firstColumn="1" w:lastColumn="0" w:noHBand="0" w:noVBand="1"/>
      </w:tblPr>
      <w:tblGrid>
        <w:gridCol w:w="9350"/>
      </w:tblGrid>
      <w:tr w:rsidR="00631831" w:rsidRPr="00436754" w14:paraId="3348FC85" w14:textId="77777777">
        <w:trPr>
          <w:trHeight w:val="374"/>
        </w:trPr>
        <w:tc>
          <w:tcPr>
            <w:tcW w:w="10441" w:type="dxa"/>
            <w:shd w:val="clear" w:color="auto" w:fill="DBECD0"/>
            <w:vAlign w:val="center"/>
          </w:tcPr>
          <w:p w14:paraId="7D6F5626" w14:textId="77777777" w:rsidR="00631831" w:rsidRPr="00436754" w:rsidRDefault="00631831">
            <w:pPr>
              <w:spacing w:before="60" w:after="60"/>
              <w:rPr>
                <w:rFonts w:ascii="Verdana" w:eastAsia="Calibri Light" w:hAnsi="Verdana" w:cs="Times New Roman"/>
                <w:b/>
                <w:bCs/>
                <w:color w:val="006600"/>
                <w:sz w:val="18"/>
                <w:szCs w:val="18"/>
              </w:rPr>
            </w:pPr>
            <w:r>
              <w:rPr>
                <w:rFonts w:ascii="Verdana" w:eastAsia="Calibri Light" w:hAnsi="Verdana" w:cs="Times New Roman"/>
                <w:b/>
                <w:bCs/>
                <w:color w:val="006600"/>
                <w:sz w:val="18"/>
                <w:szCs w:val="18"/>
              </w:rPr>
              <w:t>GREEN SPACES &amp; BIODIVERSITY</w:t>
            </w:r>
          </w:p>
        </w:tc>
      </w:tr>
      <w:tr w:rsidR="00631831" w:rsidRPr="00436754" w14:paraId="5379D2D7" w14:textId="77777777">
        <w:trPr>
          <w:trHeight w:val="121"/>
        </w:trPr>
        <w:tc>
          <w:tcPr>
            <w:tcW w:w="10441" w:type="dxa"/>
            <w:shd w:val="clear" w:color="auto" w:fill="auto"/>
          </w:tcPr>
          <w:p w14:paraId="120C58F4" w14:textId="7948547D" w:rsidR="00631831" w:rsidRPr="00604E21" w:rsidRDefault="00631831" w:rsidP="00171325">
            <w:pPr>
              <w:numPr>
                <w:ilvl w:val="0"/>
                <w:numId w:val="13"/>
              </w:numPr>
              <w:spacing w:before="80" w:after="80" w:line="240" w:lineRule="auto"/>
              <w:rPr>
                <w:rFonts w:ascii="Verdana" w:eastAsia="Calibri Light" w:hAnsi="Verdana" w:cs="Times New Roman"/>
                <w:sz w:val="18"/>
                <w:szCs w:val="18"/>
              </w:rPr>
            </w:pPr>
            <w:r w:rsidRPr="00604E21">
              <w:rPr>
                <w:rFonts w:ascii="Verdana" w:eastAsia="Calibri Light" w:hAnsi="Verdana" w:cs="Times New Roman"/>
                <w:sz w:val="18"/>
                <w:szCs w:val="18"/>
              </w:rPr>
              <w:t xml:space="preserve">Engage with </w:t>
            </w:r>
            <w:r>
              <w:rPr>
                <w:rFonts w:ascii="Verdana" w:eastAsia="Calibri Light" w:hAnsi="Verdana" w:cs="Times New Roman"/>
                <w:sz w:val="18"/>
                <w:szCs w:val="18"/>
              </w:rPr>
              <w:t>Aboriginal and Torres Strait Islander communities</w:t>
            </w:r>
            <w:r w:rsidRPr="00604E21">
              <w:rPr>
                <w:rFonts w:ascii="Verdana" w:eastAsia="Calibri Light" w:hAnsi="Verdana" w:cs="Times New Roman"/>
                <w:sz w:val="18"/>
                <w:szCs w:val="18"/>
              </w:rPr>
              <w:t xml:space="preserve"> to care for country and get their support</w:t>
            </w:r>
            <w:r>
              <w:rPr>
                <w:rFonts w:ascii="Verdana" w:eastAsia="Calibri Light" w:hAnsi="Verdana" w:cs="Times New Roman"/>
                <w:sz w:val="18"/>
                <w:szCs w:val="18"/>
              </w:rPr>
              <w:t xml:space="preserve"> / advice</w:t>
            </w:r>
            <w:r w:rsidRPr="00604E21">
              <w:rPr>
                <w:rFonts w:ascii="Verdana" w:eastAsia="Calibri Light" w:hAnsi="Verdana" w:cs="Times New Roman"/>
                <w:sz w:val="18"/>
                <w:szCs w:val="18"/>
              </w:rPr>
              <w:t xml:space="preserve"> in applying landscaping strategies that will promote </w:t>
            </w:r>
            <w:r>
              <w:rPr>
                <w:rFonts w:ascii="Verdana" w:eastAsia="Calibri Light" w:hAnsi="Verdana" w:cs="Times New Roman"/>
                <w:sz w:val="18"/>
                <w:szCs w:val="18"/>
              </w:rPr>
              <w:t xml:space="preserve">native </w:t>
            </w:r>
            <w:r w:rsidRPr="00604E21">
              <w:rPr>
                <w:rFonts w:ascii="Verdana" w:eastAsia="Calibri Light" w:hAnsi="Verdana" w:cs="Times New Roman"/>
                <w:sz w:val="18"/>
                <w:szCs w:val="18"/>
              </w:rPr>
              <w:t>flora and fauna</w:t>
            </w:r>
            <w:r w:rsidR="00CF30C2">
              <w:rPr>
                <w:rFonts w:ascii="Verdana" w:eastAsia="Calibri Light" w:hAnsi="Verdana" w:cs="Times New Roman"/>
                <w:sz w:val="18"/>
                <w:szCs w:val="18"/>
              </w:rPr>
              <w:t>.</w:t>
            </w:r>
          </w:p>
          <w:p w14:paraId="7EBD4BEC" w14:textId="68DCCA43" w:rsidR="00631831" w:rsidRPr="00604E21" w:rsidRDefault="00631831" w:rsidP="00171325">
            <w:pPr>
              <w:numPr>
                <w:ilvl w:val="0"/>
                <w:numId w:val="13"/>
              </w:numPr>
              <w:spacing w:before="80" w:after="80" w:line="240" w:lineRule="auto"/>
              <w:rPr>
                <w:rFonts w:ascii="Verdana" w:eastAsia="Calibri Light" w:hAnsi="Verdana" w:cs="Times New Roman"/>
                <w:sz w:val="18"/>
                <w:szCs w:val="18"/>
              </w:rPr>
            </w:pPr>
            <w:r w:rsidRPr="00604E21">
              <w:rPr>
                <w:rFonts w:ascii="Verdana" w:eastAsia="Calibri Light" w:hAnsi="Verdana" w:cs="Times New Roman"/>
                <w:sz w:val="18"/>
                <w:szCs w:val="18"/>
              </w:rPr>
              <w:t>Incorporate green spaces with native vegetation to enhance biodiversity, provide shade and reduce the air temperature by a few degrees</w:t>
            </w:r>
            <w:r w:rsidR="00CF30C2">
              <w:rPr>
                <w:rFonts w:ascii="Verdana" w:eastAsia="Calibri Light" w:hAnsi="Verdana" w:cs="Times New Roman"/>
                <w:sz w:val="18"/>
                <w:szCs w:val="18"/>
              </w:rPr>
              <w:t>.</w:t>
            </w:r>
          </w:p>
          <w:p w14:paraId="62362D6E" w14:textId="719833F3" w:rsidR="00631831" w:rsidRPr="000E0278" w:rsidRDefault="00631831" w:rsidP="00171325">
            <w:pPr>
              <w:numPr>
                <w:ilvl w:val="0"/>
                <w:numId w:val="13"/>
              </w:numPr>
              <w:spacing w:after="0"/>
              <w:rPr>
                <w:rFonts w:ascii="Verdana" w:hAnsi="Verdana" w:cs="Calibri"/>
                <w:sz w:val="18"/>
                <w:szCs w:val="18"/>
              </w:rPr>
            </w:pPr>
            <w:r w:rsidRPr="00E456FA">
              <w:rPr>
                <w:rFonts w:ascii="Verdana" w:hAnsi="Verdana" w:cs="Calibri"/>
                <w:sz w:val="18"/>
                <w:szCs w:val="18"/>
              </w:rPr>
              <w:t>Encourage an appreciation of the natural environment through learning experiences (e.g., curriculum, excursions and incursions; create an herbarium so children can learn about native plants’ names</w:t>
            </w:r>
            <w:r>
              <w:rPr>
                <w:rFonts w:ascii="Verdana" w:hAnsi="Verdana" w:cs="Calibri"/>
                <w:sz w:val="18"/>
                <w:szCs w:val="18"/>
              </w:rPr>
              <w:t>;</w:t>
            </w:r>
            <w:r w:rsidRPr="00E456FA">
              <w:rPr>
                <w:rFonts w:ascii="Verdana" w:hAnsi="Verdana" w:cs="Calibri"/>
                <w:sz w:val="18"/>
                <w:szCs w:val="18"/>
              </w:rPr>
              <w:t xml:space="preserve"> the same could be done with photos or drawings of native insects, birds, mammals, and reptiles)</w:t>
            </w:r>
            <w:r w:rsidR="00CF30C2">
              <w:rPr>
                <w:rFonts w:ascii="Verdana" w:hAnsi="Verdana" w:cs="Calibri"/>
                <w:sz w:val="18"/>
                <w:szCs w:val="18"/>
              </w:rPr>
              <w:t>.</w:t>
            </w:r>
          </w:p>
        </w:tc>
      </w:tr>
    </w:tbl>
    <w:p w14:paraId="039A61F1" w14:textId="77777777" w:rsidR="00631831" w:rsidRPr="001B34CE" w:rsidRDefault="00631831" w:rsidP="00631831">
      <w:pPr>
        <w:spacing w:after="120" w:line="120" w:lineRule="auto"/>
      </w:pPr>
    </w:p>
    <w:tbl>
      <w:tblPr>
        <w:tblStyle w:val="TableGrid10"/>
        <w:tblW w:w="9350" w:type="dxa"/>
        <w:tblBorders>
          <w:top w:val="single" w:sz="4" w:space="0" w:color="70AD47"/>
          <w:left w:val="single" w:sz="4" w:space="0" w:color="70AD47"/>
          <w:bottom w:val="single" w:sz="4" w:space="0" w:color="70AD47"/>
          <w:right w:val="single" w:sz="4" w:space="0" w:color="70AD47"/>
        </w:tblBorders>
        <w:shd w:val="clear" w:color="auto" w:fill="BCEBFF"/>
        <w:tblLook w:val="04A0" w:firstRow="1" w:lastRow="0" w:firstColumn="1" w:lastColumn="0" w:noHBand="0" w:noVBand="1"/>
      </w:tblPr>
      <w:tblGrid>
        <w:gridCol w:w="9350"/>
      </w:tblGrid>
      <w:tr w:rsidR="00631831" w:rsidRPr="00436754" w14:paraId="69777F22" w14:textId="77777777">
        <w:trPr>
          <w:trHeight w:val="374"/>
        </w:trPr>
        <w:tc>
          <w:tcPr>
            <w:tcW w:w="10441" w:type="dxa"/>
            <w:shd w:val="clear" w:color="auto" w:fill="DBECD0"/>
            <w:vAlign w:val="center"/>
          </w:tcPr>
          <w:p w14:paraId="54AC1A3D" w14:textId="77777777" w:rsidR="00631831" w:rsidRPr="00436754" w:rsidRDefault="00631831">
            <w:pPr>
              <w:spacing w:before="60" w:after="60"/>
              <w:rPr>
                <w:rFonts w:ascii="Verdana" w:eastAsia="Calibri Light" w:hAnsi="Verdana" w:cs="Times New Roman"/>
                <w:b/>
                <w:bCs/>
                <w:color w:val="006600"/>
                <w:sz w:val="18"/>
                <w:szCs w:val="18"/>
              </w:rPr>
            </w:pPr>
            <w:r>
              <w:rPr>
                <w:rFonts w:ascii="Verdana" w:eastAsia="Calibri Light" w:hAnsi="Verdana" w:cs="Times New Roman"/>
                <w:b/>
                <w:bCs/>
                <w:color w:val="046A38"/>
                <w:sz w:val="18"/>
                <w:szCs w:val="18"/>
              </w:rPr>
              <w:t>GREEN PURCHASING</w:t>
            </w:r>
          </w:p>
        </w:tc>
      </w:tr>
      <w:tr w:rsidR="00631831" w:rsidRPr="00436754" w14:paraId="77DF701A" w14:textId="77777777">
        <w:trPr>
          <w:trHeight w:val="121"/>
        </w:trPr>
        <w:tc>
          <w:tcPr>
            <w:tcW w:w="10441" w:type="dxa"/>
            <w:shd w:val="clear" w:color="auto" w:fill="auto"/>
          </w:tcPr>
          <w:p w14:paraId="2855278D" w14:textId="6D950644" w:rsidR="00631831" w:rsidRPr="0011230B" w:rsidRDefault="00631831" w:rsidP="00171325">
            <w:pPr>
              <w:numPr>
                <w:ilvl w:val="0"/>
                <w:numId w:val="13"/>
              </w:numPr>
              <w:spacing w:before="80" w:after="80" w:line="240" w:lineRule="auto"/>
              <w:rPr>
                <w:rFonts w:ascii="Verdana" w:eastAsia="Calibri Light" w:hAnsi="Verdana" w:cs="Times New Roman"/>
                <w:sz w:val="18"/>
                <w:szCs w:val="18"/>
              </w:rPr>
            </w:pPr>
            <w:r w:rsidRPr="0011230B">
              <w:rPr>
                <w:rFonts w:ascii="Verdana" w:eastAsia="Calibri Light" w:hAnsi="Verdana" w:cs="Times New Roman"/>
                <w:sz w:val="18"/>
                <w:szCs w:val="18"/>
              </w:rPr>
              <w:t>Purchase environmentally friendly paper for printers and photocopiers</w:t>
            </w:r>
            <w:r>
              <w:rPr>
                <w:rFonts w:ascii="Verdana" w:eastAsia="Calibri Light" w:hAnsi="Verdana" w:cs="Times New Roman"/>
                <w:sz w:val="18"/>
                <w:szCs w:val="18"/>
              </w:rPr>
              <w:t xml:space="preserve"> (FSC certification)</w:t>
            </w:r>
          </w:p>
          <w:p w14:paraId="65DB0AC9" w14:textId="770DE3B1" w:rsidR="00631831" w:rsidRPr="0011230B" w:rsidRDefault="00631831" w:rsidP="00171325">
            <w:pPr>
              <w:numPr>
                <w:ilvl w:val="0"/>
                <w:numId w:val="13"/>
              </w:numPr>
              <w:spacing w:before="80" w:after="80" w:line="240" w:lineRule="auto"/>
              <w:rPr>
                <w:rFonts w:ascii="Verdana" w:eastAsia="Calibri Light" w:hAnsi="Verdana" w:cs="Times New Roman"/>
                <w:sz w:val="18"/>
                <w:szCs w:val="18"/>
              </w:rPr>
            </w:pPr>
            <w:r w:rsidRPr="0011230B">
              <w:rPr>
                <w:rFonts w:ascii="Verdana" w:eastAsia="Calibri Light" w:hAnsi="Verdana" w:cs="Times New Roman"/>
                <w:sz w:val="18"/>
                <w:szCs w:val="18"/>
              </w:rPr>
              <w:t>Purchase environmentally friendly alternatives for items like toilet paper, hand towels, tissues, serviettes, cutlery (e.g., Who gives a crap)</w:t>
            </w:r>
            <w:r w:rsidR="00CF30C2">
              <w:rPr>
                <w:rFonts w:ascii="Verdana" w:eastAsia="Calibri Light" w:hAnsi="Verdana" w:cs="Times New Roman"/>
                <w:sz w:val="18"/>
                <w:szCs w:val="18"/>
              </w:rPr>
              <w:t>.</w:t>
            </w:r>
          </w:p>
          <w:p w14:paraId="1F39B490" w14:textId="6AE4E539" w:rsidR="00631831" w:rsidRPr="0011230B" w:rsidRDefault="00631831" w:rsidP="00171325">
            <w:pPr>
              <w:numPr>
                <w:ilvl w:val="0"/>
                <w:numId w:val="13"/>
              </w:numPr>
              <w:spacing w:before="80" w:after="80" w:line="240" w:lineRule="auto"/>
              <w:rPr>
                <w:rFonts w:ascii="Verdana" w:eastAsia="Calibri Light" w:hAnsi="Verdana" w:cs="Times New Roman"/>
                <w:sz w:val="18"/>
                <w:szCs w:val="18"/>
              </w:rPr>
            </w:pPr>
            <w:r w:rsidRPr="0011230B">
              <w:rPr>
                <w:rFonts w:ascii="Verdana" w:eastAsia="Calibri Light" w:hAnsi="Verdana" w:cs="Times New Roman"/>
                <w:sz w:val="18"/>
                <w:szCs w:val="18"/>
              </w:rPr>
              <w:t>Use more environmentally friendly products for cleaning (e.g., phosphate-free)</w:t>
            </w:r>
            <w:r w:rsidR="00CF30C2">
              <w:rPr>
                <w:rFonts w:ascii="Verdana" w:eastAsia="Calibri Light" w:hAnsi="Verdana" w:cs="Times New Roman"/>
                <w:sz w:val="18"/>
                <w:szCs w:val="18"/>
              </w:rPr>
              <w:t>.</w:t>
            </w:r>
          </w:p>
          <w:p w14:paraId="03D0AF3D" w14:textId="77B11667" w:rsidR="00631831" w:rsidRPr="00436754" w:rsidRDefault="00631831" w:rsidP="00171325">
            <w:pPr>
              <w:numPr>
                <w:ilvl w:val="0"/>
                <w:numId w:val="13"/>
              </w:numPr>
              <w:spacing w:before="80" w:after="80" w:line="240" w:lineRule="auto"/>
              <w:rPr>
                <w:rFonts w:ascii="Verdana" w:eastAsia="Calibri Light" w:hAnsi="Verdana" w:cs="Times New Roman"/>
                <w:sz w:val="18"/>
                <w:szCs w:val="18"/>
              </w:rPr>
            </w:pPr>
            <w:r w:rsidRPr="0011230B">
              <w:rPr>
                <w:rFonts w:ascii="Verdana" w:eastAsia="Calibri Light" w:hAnsi="Verdana" w:cs="Times New Roman"/>
                <w:sz w:val="18"/>
                <w:szCs w:val="18"/>
              </w:rPr>
              <w:t>Identify a collection point for plastic</w:t>
            </w:r>
            <w:r w:rsidRPr="00C42544">
              <w:rPr>
                <w:rFonts w:ascii="Verdana" w:eastAsia="Calibri Light" w:hAnsi="Verdana"/>
                <w:color w:val="000000"/>
                <w:sz w:val="18"/>
                <w:szCs w:val="18"/>
              </w:rPr>
              <w:t xml:space="preserve"> bags</w:t>
            </w:r>
            <w:r w:rsidR="00CF30C2">
              <w:rPr>
                <w:rFonts w:ascii="Verdana" w:eastAsia="Calibri Light" w:hAnsi="Verdana"/>
                <w:color w:val="000000"/>
                <w:sz w:val="18"/>
                <w:szCs w:val="18"/>
              </w:rPr>
              <w:t>.</w:t>
            </w:r>
          </w:p>
        </w:tc>
      </w:tr>
    </w:tbl>
    <w:p w14:paraId="51DC9772" w14:textId="77777777" w:rsidR="00631831" w:rsidRDefault="00631831" w:rsidP="00631831"/>
    <w:tbl>
      <w:tblPr>
        <w:tblStyle w:val="TableGrid10"/>
        <w:tblW w:w="9350" w:type="dxa"/>
        <w:tblBorders>
          <w:top w:val="single" w:sz="4" w:space="0" w:color="70AD47"/>
          <w:left w:val="single" w:sz="4" w:space="0" w:color="70AD47"/>
          <w:bottom w:val="single" w:sz="4" w:space="0" w:color="70AD47"/>
          <w:right w:val="single" w:sz="4" w:space="0" w:color="70AD47"/>
        </w:tblBorders>
        <w:shd w:val="clear" w:color="auto" w:fill="BCEBFF"/>
        <w:tblLook w:val="04A0" w:firstRow="1" w:lastRow="0" w:firstColumn="1" w:lastColumn="0" w:noHBand="0" w:noVBand="1"/>
      </w:tblPr>
      <w:tblGrid>
        <w:gridCol w:w="9350"/>
      </w:tblGrid>
      <w:tr w:rsidR="00631831" w:rsidRPr="00436754" w14:paraId="31F86775" w14:textId="77777777">
        <w:trPr>
          <w:trHeight w:val="374"/>
        </w:trPr>
        <w:tc>
          <w:tcPr>
            <w:tcW w:w="9350" w:type="dxa"/>
            <w:shd w:val="clear" w:color="auto" w:fill="DBECD0"/>
            <w:vAlign w:val="center"/>
          </w:tcPr>
          <w:p w14:paraId="16AACFF3" w14:textId="77777777" w:rsidR="00631831" w:rsidRPr="00436754" w:rsidRDefault="00631831">
            <w:pPr>
              <w:spacing w:before="60" w:after="60"/>
              <w:rPr>
                <w:rFonts w:ascii="Verdana" w:eastAsia="Calibri Light" w:hAnsi="Verdana" w:cs="Times New Roman"/>
                <w:b/>
                <w:bCs/>
                <w:color w:val="006600"/>
                <w:sz w:val="18"/>
                <w:szCs w:val="18"/>
              </w:rPr>
            </w:pPr>
            <w:r>
              <w:rPr>
                <w:rFonts w:ascii="Verdana" w:eastAsia="Calibri Light" w:hAnsi="Verdana" w:cs="Times New Roman"/>
                <w:b/>
                <w:bCs/>
                <w:color w:val="046A38"/>
                <w:sz w:val="18"/>
                <w:szCs w:val="18"/>
              </w:rPr>
              <w:t>DIET</w:t>
            </w:r>
          </w:p>
        </w:tc>
      </w:tr>
      <w:tr w:rsidR="00631831" w:rsidRPr="00436754" w14:paraId="6FC0C647" w14:textId="77777777">
        <w:trPr>
          <w:trHeight w:val="121"/>
        </w:trPr>
        <w:tc>
          <w:tcPr>
            <w:tcW w:w="9350" w:type="dxa"/>
            <w:shd w:val="clear" w:color="auto" w:fill="auto"/>
          </w:tcPr>
          <w:p w14:paraId="21A5C69A" w14:textId="1146A6BF" w:rsidR="00631831" w:rsidRPr="001D7E0D" w:rsidRDefault="00631831" w:rsidP="00171325">
            <w:pPr>
              <w:numPr>
                <w:ilvl w:val="0"/>
                <w:numId w:val="13"/>
              </w:numPr>
              <w:spacing w:before="80" w:after="80" w:line="240" w:lineRule="auto"/>
              <w:rPr>
                <w:rFonts w:ascii="Verdana" w:eastAsia="Calibri Light" w:hAnsi="Verdana" w:cs="Times New Roman"/>
                <w:sz w:val="18"/>
                <w:szCs w:val="18"/>
                <w:lang w:val="en-GB"/>
              </w:rPr>
            </w:pPr>
            <w:r>
              <w:rPr>
                <w:rFonts w:ascii="Verdana" w:eastAsia="Calibri Light" w:hAnsi="Verdana" w:cs="Times New Roman"/>
                <w:sz w:val="18"/>
                <w:szCs w:val="18"/>
              </w:rPr>
              <w:t>S</w:t>
            </w:r>
            <w:r w:rsidRPr="0084154F">
              <w:rPr>
                <w:rFonts w:ascii="Verdana" w:eastAsia="Calibri Light" w:hAnsi="Verdana" w:cs="Times New Roman"/>
                <w:sz w:val="18"/>
                <w:szCs w:val="18"/>
              </w:rPr>
              <w:t xml:space="preserve">hift </w:t>
            </w:r>
            <w:r>
              <w:rPr>
                <w:rFonts w:ascii="Verdana" w:eastAsia="Calibri Light" w:hAnsi="Verdana" w:cs="Times New Roman"/>
                <w:sz w:val="18"/>
                <w:szCs w:val="18"/>
              </w:rPr>
              <w:t>the child care menu</w:t>
            </w:r>
            <w:r w:rsidRPr="0084154F">
              <w:rPr>
                <w:rFonts w:ascii="Verdana" w:eastAsia="Calibri Light" w:hAnsi="Verdana" w:cs="Times New Roman"/>
                <w:sz w:val="18"/>
                <w:szCs w:val="18"/>
              </w:rPr>
              <w:t xml:space="preserve"> from meat heavy to </w:t>
            </w:r>
            <w:r>
              <w:rPr>
                <w:rFonts w:ascii="Verdana" w:eastAsia="Calibri Light" w:hAnsi="Verdana" w:cs="Times New Roman"/>
                <w:sz w:val="18"/>
                <w:szCs w:val="18"/>
              </w:rPr>
              <w:t xml:space="preserve">a </w:t>
            </w:r>
            <w:r w:rsidRPr="0084154F">
              <w:rPr>
                <w:rFonts w:ascii="Verdana" w:eastAsia="Calibri Light" w:hAnsi="Verdana" w:cs="Times New Roman"/>
                <w:sz w:val="18"/>
                <w:szCs w:val="18"/>
              </w:rPr>
              <w:t>plant</w:t>
            </w:r>
            <w:r>
              <w:rPr>
                <w:rFonts w:ascii="Verdana" w:eastAsia="Calibri Light" w:hAnsi="Verdana" w:cs="Times New Roman"/>
                <w:sz w:val="18"/>
                <w:szCs w:val="18"/>
              </w:rPr>
              <w:t>-</w:t>
            </w:r>
            <w:r w:rsidRPr="0084154F">
              <w:rPr>
                <w:rFonts w:ascii="Verdana" w:eastAsia="Calibri Light" w:hAnsi="Verdana" w:cs="Times New Roman"/>
                <w:sz w:val="18"/>
                <w:szCs w:val="18"/>
              </w:rPr>
              <w:t>rich</w:t>
            </w:r>
            <w:r>
              <w:rPr>
                <w:rFonts w:ascii="Verdana" w:eastAsia="Calibri Light" w:hAnsi="Verdana" w:cs="Times New Roman"/>
                <w:sz w:val="18"/>
                <w:szCs w:val="18"/>
              </w:rPr>
              <w:t xml:space="preserve"> diet</w:t>
            </w:r>
            <w:r w:rsidRPr="0084154F">
              <w:rPr>
                <w:rFonts w:ascii="Verdana" w:eastAsia="Calibri Light" w:hAnsi="Verdana" w:cs="Times New Roman"/>
                <w:sz w:val="18"/>
                <w:szCs w:val="18"/>
              </w:rPr>
              <w:t xml:space="preserve"> has great benefits for climate, nature and health</w:t>
            </w:r>
            <w:r w:rsidR="00CF30C2">
              <w:rPr>
                <w:rFonts w:ascii="Verdana" w:eastAsia="Calibri Light" w:hAnsi="Verdana" w:cs="Times New Roman"/>
                <w:sz w:val="18"/>
                <w:szCs w:val="18"/>
              </w:rPr>
              <w:t>.</w:t>
            </w:r>
          </w:p>
        </w:tc>
      </w:tr>
    </w:tbl>
    <w:p w14:paraId="518384CF" w14:textId="77777777" w:rsidR="00631831" w:rsidRDefault="00631831" w:rsidP="00631831">
      <w:pPr>
        <w:spacing w:after="0"/>
        <w:rPr>
          <w:rFonts w:eastAsia="Calibri Light" w:cs="Times New Roman"/>
          <w:b/>
          <w:bCs/>
          <w:i/>
          <w:iCs/>
          <w:color w:val="046A38"/>
        </w:rPr>
      </w:pPr>
    </w:p>
    <w:p w14:paraId="3D8ACC25" w14:textId="77777777" w:rsidR="00631831" w:rsidRPr="00033F76" w:rsidRDefault="00631831" w:rsidP="00631831">
      <w:pPr>
        <w:spacing w:after="0"/>
        <w:rPr>
          <w:rFonts w:eastAsia="Calibri Light" w:cs="Times New Roman"/>
          <w:b/>
          <w:bCs/>
          <w:i/>
          <w:iCs/>
          <w:color w:val="046A38"/>
        </w:rPr>
      </w:pPr>
      <w:r w:rsidRPr="00033F76">
        <w:rPr>
          <w:rFonts w:eastAsia="Calibri Light" w:cs="Times New Roman"/>
          <w:b/>
          <w:bCs/>
          <w:i/>
          <w:iCs/>
          <w:color w:val="046A38"/>
        </w:rPr>
        <w:t>Did you know?</w:t>
      </w:r>
    </w:p>
    <w:p w14:paraId="10C68435" w14:textId="77777777" w:rsidR="00631831" w:rsidRDefault="00631831" w:rsidP="00171325">
      <w:pPr>
        <w:pStyle w:val="ListParagraph"/>
        <w:numPr>
          <w:ilvl w:val="0"/>
          <w:numId w:val="14"/>
        </w:numPr>
        <w:spacing w:after="0"/>
        <w:rPr>
          <w:rFonts w:eastAsia="Calibri Light" w:cs="Times New Roman"/>
        </w:rPr>
      </w:pPr>
      <w:r>
        <w:rPr>
          <w:rFonts w:eastAsia="Calibri Light" w:cs="Times New Roman"/>
        </w:rPr>
        <w:t>Research shows that meat-based meals have 14 times higher environmental impact than vegan meals and replacing animal-based ingredients is more effective than sourcing ingredients locally</w:t>
      </w:r>
      <w:r>
        <w:rPr>
          <w:rStyle w:val="FootnoteReference"/>
          <w:rFonts w:eastAsia="Calibri Light" w:cs="Times New Roman"/>
        </w:rPr>
        <w:footnoteReference w:id="251"/>
      </w:r>
      <w:r>
        <w:rPr>
          <w:rFonts w:eastAsia="Calibri Light" w:cs="Times New Roman"/>
        </w:rPr>
        <w:t xml:space="preserve"> </w:t>
      </w:r>
    </w:p>
    <w:p w14:paraId="2ACA93C9" w14:textId="77777777" w:rsidR="00631831" w:rsidRDefault="00631831" w:rsidP="00171325">
      <w:pPr>
        <w:pStyle w:val="ListParagraph"/>
        <w:numPr>
          <w:ilvl w:val="0"/>
          <w:numId w:val="14"/>
        </w:numPr>
        <w:spacing w:after="0"/>
        <w:rPr>
          <w:rFonts w:eastAsia="Calibri Light" w:cs="Times New Roman"/>
        </w:rPr>
      </w:pPr>
      <w:r>
        <w:rPr>
          <w:rFonts w:eastAsia="Calibri Light" w:cs="Times New Roman"/>
        </w:rPr>
        <w:t>The more meat we eat, the higher our risk of diabetes, heart disease and strokes. Conversely, the more fruits and vegetables we eat, the lower our risk for these diseases and the lower our body mass index.</w:t>
      </w:r>
      <w:r>
        <w:rPr>
          <w:rStyle w:val="FootnoteReference"/>
          <w:rFonts w:eastAsia="Calibri Light" w:cs="Times New Roman"/>
        </w:rPr>
        <w:footnoteReference w:id="252"/>
      </w:r>
    </w:p>
    <w:p w14:paraId="6A8676DE" w14:textId="2C8ADEC2" w:rsidR="00434AC1" w:rsidRPr="00434AC1" w:rsidRDefault="00434AC1" w:rsidP="00434AC1">
      <w:bookmarkStart w:id="474" w:name="_Ref152939912"/>
    </w:p>
    <w:p w14:paraId="458A6B87" w14:textId="55F87AD0" w:rsidR="00811066" w:rsidRDefault="00811066" w:rsidP="00AB1114">
      <w:pPr>
        <w:pStyle w:val="Appendixhead1"/>
      </w:pPr>
      <w:bookmarkStart w:id="475" w:name="_Ref153381109"/>
      <w:bookmarkStart w:id="476" w:name="_Toc158993792"/>
      <w:bookmarkStart w:id="477" w:name="_Toc170227442"/>
      <w:bookmarkEnd w:id="463"/>
      <w:bookmarkEnd w:id="464"/>
      <w:bookmarkEnd w:id="474"/>
      <w:r>
        <w:lastRenderedPageBreak/>
        <w:t>Leasing arrangement summaries</w:t>
      </w:r>
      <w:bookmarkEnd w:id="475"/>
      <w:bookmarkEnd w:id="476"/>
      <w:bookmarkEnd w:id="477"/>
    </w:p>
    <w:p w14:paraId="7C9FC977" w14:textId="6A490F73" w:rsidR="00811066" w:rsidRPr="00811066" w:rsidRDefault="001A4A1A" w:rsidP="00201A40">
      <w:pPr>
        <w:pStyle w:val="Appendixhead2"/>
        <w:spacing w:after="120"/>
      </w:pPr>
      <w:r>
        <w:t>Land lease arrangement summary</w:t>
      </w:r>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2"/>
        <w:gridCol w:w="3938"/>
        <w:gridCol w:w="3942"/>
      </w:tblGrid>
      <w:tr w:rsidR="00055A63" w:rsidRPr="00055A63" w14:paraId="3B0A7F33" w14:textId="77777777" w:rsidTr="00055A63">
        <w:trPr>
          <w:divId w:val="464735382"/>
          <w:trHeight w:val="300"/>
        </w:trPr>
        <w:tc>
          <w:tcPr>
            <w:tcW w:w="9352" w:type="dxa"/>
            <w:gridSpan w:val="3"/>
            <w:tcBorders>
              <w:top w:val="nil"/>
              <w:left w:val="nil"/>
              <w:bottom w:val="single" w:sz="6" w:space="0" w:color="666666"/>
              <w:right w:val="single" w:sz="6" w:space="0" w:color="666666"/>
            </w:tcBorders>
            <w:shd w:val="clear" w:color="auto" w:fill="FFFFFF"/>
            <w:hideMark/>
          </w:tcPr>
          <w:p w14:paraId="4C3226E2" w14:textId="1A7E2B56" w:rsidR="00055A63" w:rsidRPr="00DB4074" w:rsidRDefault="00DB4074" w:rsidP="00DB4074">
            <w:pPr>
              <w:pStyle w:val="AppendixTableCaption"/>
              <w:divId w:val="1298338588"/>
            </w:pPr>
            <w:bookmarkStart w:id="478" w:name="_Toc158997975"/>
            <w:bookmarkStart w:id="479" w:name="_Toc167130722"/>
            <w:r w:rsidRPr="00DB4074">
              <w:t xml:space="preserve">: </w:t>
            </w:r>
            <w:r w:rsidR="00055A63" w:rsidRPr="00DB4074">
              <w:t>Land Leases</w:t>
            </w:r>
            <w:bookmarkEnd w:id="478"/>
            <w:bookmarkEnd w:id="479"/>
            <w:r w:rsidR="00055A63" w:rsidRPr="00DB4074">
              <w:t> </w:t>
            </w:r>
          </w:p>
        </w:tc>
      </w:tr>
      <w:tr w:rsidR="00055A63" w:rsidRPr="00055A63" w14:paraId="09E3E83F" w14:textId="77777777" w:rsidTr="00DB4074">
        <w:trPr>
          <w:divId w:val="464735382"/>
          <w:trHeight w:val="300"/>
        </w:trPr>
        <w:tc>
          <w:tcPr>
            <w:tcW w:w="1472" w:type="dxa"/>
            <w:tcBorders>
              <w:top w:val="single" w:sz="6" w:space="0" w:color="666666"/>
              <w:left w:val="nil"/>
              <w:bottom w:val="dotted" w:sz="6" w:space="0" w:color="auto"/>
              <w:right w:val="single" w:sz="6" w:space="0" w:color="666666"/>
            </w:tcBorders>
            <w:shd w:val="clear" w:color="auto" w:fill="FFFFFF"/>
            <w:hideMark/>
          </w:tcPr>
          <w:p w14:paraId="1CBE8BDD" w14:textId="77777777" w:rsidR="00055A63" w:rsidRPr="00055A63" w:rsidRDefault="00055A63" w:rsidP="00055A63">
            <w:pPr>
              <w:divId w:val="1298338588"/>
              <w:rPr>
                <w:i/>
                <w:iCs/>
                <w:lang w:eastAsia="en-AU"/>
              </w:rPr>
            </w:pPr>
            <w:r w:rsidRPr="00055A63">
              <w:rPr>
                <w:b/>
                <w:bCs/>
                <w:i/>
                <w:iCs/>
                <w:lang w:eastAsia="en-AU"/>
              </w:rPr>
              <w:t>Parties</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550869F0" w14:textId="77777777" w:rsidR="00055A63" w:rsidRPr="00055A63" w:rsidRDefault="00055A63" w:rsidP="00055A63">
            <w:pPr>
              <w:divId w:val="1298338588"/>
              <w:rPr>
                <w:lang w:eastAsia="en-AU"/>
              </w:rPr>
            </w:pPr>
            <w:r w:rsidRPr="00055A63">
              <w:rPr>
                <w:lang w:eastAsia="en-AU"/>
              </w:rPr>
              <w:t>Landowner: Land Trust c/- Central Land Council </w:t>
            </w:r>
          </w:p>
          <w:p w14:paraId="3ED4EF0F" w14:textId="253FD47C" w:rsidR="00055A63" w:rsidRPr="00055A63" w:rsidRDefault="00055A63" w:rsidP="00055A63">
            <w:pPr>
              <w:divId w:val="1298338588"/>
              <w:rPr>
                <w:lang w:eastAsia="en-AU"/>
              </w:rPr>
            </w:pPr>
            <w:r w:rsidRPr="00055A63">
              <w:rPr>
                <w:lang w:eastAsia="en-AU"/>
              </w:rPr>
              <w:t xml:space="preserve">Lessee: The Commonwealth of Australia </w:t>
            </w:r>
            <w:r w:rsidR="00E41641">
              <w:rPr>
                <w:lang w:eastAsia="en-AU"/>
              </w:rPr>
              <w:t>Department of Education</w:t>
            </w:r>
            <w:r w:rsidRPr="00055A63">
              <w:rPr>
                <w:lang w:eastAsia="en-AU"/>
              </w:rPr>
              <w:t xml:space="preserve"> (represented by EDTL) </w:t>
            </w:r>
          </w:p>
        </w:tc>
      </w:tr>
      <w:tr w:rsidR="00055A63" w:rsidRPr="00055A63" w14:paraId="1F1FBE19" w14:textId="77777777" w:rsidTr="00DB4074">
        <w:trPr>
          <w:divId w:val="46473538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07516B8B" w14:textId="77777777" w:rsidR="00055A63" w:rsidRPr="00055A63" w:rsidRDefault="00055A63" w:rsidP="00055A63">
            <w:pPr>
              <w:divId w:val="1298338588"/>
              <w:rPr>
                <w:i/>
                <w:iCs/>
                <w:lang w:eastAsia="en-AU"/>
              </w:rPr>
            </w:pPr>
            <w:r w:rsidRPr="00055A63">
              <w:rPr>
                <w:b/>
                <w:bCs/>
                <w:i/>
                <w:iCs/>
                <w:lang w:eastAsia="en-AU"/>
              </w:rPr>
              <w:t>Arrangement</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59975EE1" w14:textId="4A6FF757" w:rsidR="00055A63" w:rsidRPr="00055A63" w:rsidRDefault="00055A63" w:rsidP="00055A63">
            <w:pPr>
              <w:divId w:val="1298338588"/>
              <w:rPr>
                <w:lang w:eastAsia="en-AU"/>
              </w:rPr>
            </w:pPr>
            <w:r w:rsidRPr="00055A63">
              <w:rPr>
                <w:lang w:eastAsia="en-AU"/>
              </w:rPr>
              <w:t>The land is vested in the Land Trust who grants to the Lessee a lease of the Premises for the permitted use. </w:t>
            </w:r>
            <w:r w:rsidR="00BC7CC2">
              <w:rPr>
                <w:lang w:eastAsia="en-AU"/>
              </w:rPr>
              <w:t xml:space="preserve">The Land Councils represent </w:t>
            </w:r>
            <w:r w:rsidR="00217F96">
              <w:rPr>
                <w:lang w:eastAsia="en-AU"/>
              </w:rPr>
              <w:t xml:space="preserve">the Land Trusts, responsible for </w:t>
            </w:r>
            <w:r w:rsidR="00212250">
              <w:rPr>
                <w:lang w:eastAsia="en-AU"/>
              </w:rPr>
              <w:t>administering the Land (and Buildings) on the</w:t>
            </w:r>
            <w:r w:rsidR="008F39BC">
              <w:rPr>
                <w:lang w:eastAsia="en-AU"/>
              </w:rPr>
              <w:t xml:space="preserve"> Land Trusts behalf. </w:t>
            </w:r>
            <w:r w:rsidR="00F02C93">
              <w:rPr>
                <w:lang w:eastAsia="en-AU"/>
              </w:rPr>
              <w:t xml:space="preserve">The </w:t>
            </w:r>
            <w:r w:rsidR="000F0561" w:rsidRPr="000F0561">
              <w:rPr>
                <w:lang w:eastAsia="en-AU"/>
              </w:rPr>
              <w:t xml:space="preserve">Executive Director Township Leasing </w:t>
            </w:r>
            <w:r w:rsidR="000F0561">
              <w:rPr>
                <w:lang w:eastAsia="en-AU"/>
              </w:rPr>
              <w:t>(EDTL</w:t>
            </w:r>
            <w:r w:rsidR="00550F4A">
              <w:rPr>
                <w:lang w:eastAsia="en-AU"/>
              </w:rPr>
              <w:t>)</w:t>
            </w:r>
            <w:r w:rsidR="008E6B03">
              <w:rPr>
                <w:lang w:eastAsia="en-AU"/>
              </w:rPr>
              <w:t>, assisted by the Office of Township Leasing (OTL)</w:t>
            </w:r>
            <w:r w:rsidR="00550F4A">
              <w:rPr>
                <w:lang w:eastAsia="en-AU"/>
              </w:rPr>
              <w:t xml:space="preserve"> </w:t>
            </w:r>
            <w:r w:rsidR="00EF5643">
              <w:rPr>
                <w:lang w:eastAsia="en-AU"/>
              </w:rPr>
              <w:t xml:space="preserve">is the representative of the </w:t>
            </w:r>
            <w:r w:rsidR="00732519">
              <w:rPr>
                <w:lang w:eastAsia="en-AU"/>
              </w:rPr>
              <w:t>Lessee (</w:t>
            </w:r>
            <w:r w:rsidR="00A04321">
              <w:rPr>
                <w:lang w:eastAsia="en-AU"/>
              </w:rPr>
              <w:t>Department</w:t>
            </w:r>
            <w:r w:rsidR="00732519">
              <w:rPr>
                <w:lang w:eastAsia="en-AU"/>
              </w:rPr>
              <w:t>)</w:t>
            </w:r>
            <w:r w:rsidR="0028565E">
              <w:rPr>
                <w:lang w:eastAsia="en-AU"/>
              </w:rPr>
              <w:t xml:space="preserve">, responsible for administering the leases on the </w:t>
            </w:r>
            <w:r w:rsidR="00732519">
              <w:rPr>
                <w:lang w:eastAsia="en-AU"/>
              </w:rPr>
              <w:t xml:space="preserve">Lessee’s </w:t>
            </w:r>
            <w:r w:rsidR="008F58EB">
              <w:rPr>
                <w:lang w:eastAsia="en-AU"/>
              </w:rPr>
              <w:t>behalf.</w:t>
            </w:r>
          </w:p>
        </w:tc>
      </w:tr>
      <w:tr w:rsidR="00055A63" w:rsidRPr="00055A63" w14:paraId="6BA9554D" w14:textId="77777777" w:rsidTr="00DB4074">
        <w:trPr>
          <w:divId w:val="46473538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1FCC8F30" w14:textId="77777777" w:rsidR="00055A63" w:rsidRPr="00055A63" w:rsidRDefault="00055A63" w:rsidP="00055A63">
            <w:pPr>
              <w:divId w:val="1298338588"/>
              <w:rPr>
                <w:i/>
                <w:iCs/>
                <w:lang w:eastAsia="en-AU"/>
              </w:rPr>
            </w:pPr>
            <w:r w:rsidRPr="00055A63">
              <w:rPr>
                <w:b/>
                <w:bCs/>
                <w:i/>
                <w:iCs/>
                <w:lang w:eastAsia="en-AU"/>
              </w:rPr>
              <w:t>Obligations of the Parties</w:t>
            </w:r>
            <w:r w:rsidRPr="00055A63">
              <w:rPr>
                <w:i/>
                <w:iCs/>
                <w:lang w:eastAsia="en-AU"/>
              </w:rPr>
              <w:t> </w:t>
            </w:r>
          </w:p>
        </w:tc>
        <w:tc>
          <w:tcPr>
            <w:tcW w:w="3938" w:type="dxa"/>
            <w:tcBorders>
              <w:top w:val="single" w:sz="6" w:space="0" w:color="666666"/>
              <w:left w:val="single" w:sz="6" w:space="0" w:color="666666"/>
              <w:bottom w:val="single" w:sz="6" w:space="0" w:color="666666"/>
              <w:right w:val="single" w:sz="6" w:space="0" w:color="666666"/>
            </w:tcBorders>
            <w:shd w:val="clear" w:color="auto" w:fill="CCCCCC"/>
            <w:hideMark/>
          </w:tcPr>
          <w:p w14:paraId="059DF092" w14:textId="23286F77" w:rsidR="00055A63" w:rsidRPr="00055A63" w:rsidRDefault="00055A63" w:rsidP="00055A63">
            <w:pPr>
              <w:divId w:val="1298338588"/>
              <w:rPr>
                <w:lang w:eastAsia="en-AU"/>
              </w:rPr>
            </w:pPr>
            <w:r w:rsidRPr="00055A63">
              <w:rPr>
                <w:lang w:eastAsia="en-AU"/>
              </w:rPr>
              <w:t>Landowner:</w:t>
            </w:r>
            <w:r w:rsidR="002E497C">
              <w:rPr>
                <w:lang w:eastAsia="en-AU"/>
              </w:rPr>
              <w:t xml:space="preserve"> </w:t>
            </w:r>
          </w:p>
          <w:p w14:paraId="1722B322" w14:textId="46773A04" w:rsidR="00055A63" w:rsidRPr="00055A63" w:rsidRDefault="00055A63" w:rsidP="00055A63">
            <w:pPr>
              <w:divId w:val="1298338588"/>
              <w:rPr>
                <w:lang w:eastAsia="en-AU"/>
              </w:rPr>
            </w:pPr>
            <w:r w:rsidRPr="00055A63">
              <w:rPr>
                <w:lang w:eastAsia="en-AU"/>
              </w:rPr>
              <w:t>1. Grant an interest or right to use the land and buildings for the permitted use.</w:t>
            </w:r>
            <w:r w:rsidR="002E497C">
              <w:rPr>
                <w:lang w:eastAsia="en-AU"/>
              </w:rPr>
              <w:t xml:space="preserve"> </w:t>
            </w:r>
          </w:p>
          <w:p w14:paraId="293EEBA1" w14:textId="77777777" w:rsidR="00055A63" w:rsidRPr="00055A63" w:rsidRDefault="00055A63" w:rsidP="00055A63">
            <w:pPr>
              <w:divId w:val="1298338588"/>
              <w:rPr>
                <w:lang w:eastAsia="en-AU"/>
              </w:rPr>
            </w:pPr>
            <w:r w:rsidRPr="00055A63">
              <w:rPr>
                <w:lang w:eastAsia="en-AU"/>
              </w:rPr>
              <w:t> </w:t>
            </w:r>
          </w:p>
        </w:tc>
        <w:tc>
          <w:tcPr>
            <w:tcW w:w="3942" w:type="dxa"/>
            <w:tcBorders>
              <w:top w:val="single" w:sz="6" w:space="0" w:color="666666"/>
              <w:left w:val="single" w:sz="6" w:space="0" w:color="666666"/>
              <w:bottom w:val="single" w:sz="6" w:space="0" w:color="666666"/>
              <w:right w:val="single" w:sz="6" w:space="0" w:color="666666"/>
            </w:tcBorders>
            <w:shd w:val="clear" w:color="auto" w:fill="CCCCCC"/>
            <w:hideMark/>
          </w:tcPr>
          <w:p w14:paraId="6DE255E1" w14:textId="77777777" w:rsidR="00055A63" w:rsidRPr="00055A63" w:rsidRDefault="00055A63" w:rsidP="00055A63">
            <w:pPr>
              <w:divId w:val="1298338588"/>
              <w:rPr>
                <w:lang w:eastAsia="en-AU"/>
              </w:rPr>
            </w:pPr>
            <w:r w:rsidRPr="00055A63">
              <w:rPr>
                <w:lang w:eastAsia="en-AU"/>
              </w:rPr>
              <w:t>Lessee: </w:t>
            </w:r>
          </w:p>
          <w:p w14:paraId="1F058324" w14:textId="77777777" w:rsidR="00055A63" w:rsidRPr="00055A63" w:rsidRDefault="00055A63" w:rsidP="00055A63">
            <w:pPr>
              <w:divId w:val="1298338588"/>
              <w:rPr>
                <w:lang w:eastAsia="en-AU"/>
              </w:rPr>
            </w:pPr>
            <w:r w:rsidRPr="00055A63">
              <w:rPr>
                <w:lang w:eastAsia="en-AU"/>
              </w:rPr>
              <w:t>1. Pay all rates, charges and taxes </w:t>
            </w:r>
          </w:p>
          <w:p w14:paraId="3184ACDC" w14:textId="77777777" w:rsidR="00055A63" w:rsidRPr="00055A63" w:rsidRDefault="00055A63" w:rsidP="00055A63">
            <w:pPr>
              <w:divId w:val="1298338588"/>
              <w:rPr>
                <w:lang w:eastAsia="en-AU"/>
              </w:rPr>
            </w:pPr>
            <w:r w:rsidRPr="00055A63">
              <w:rPr>
                <w:lang w:eastAsia="en-AU"/>
              </w:rPr>
              <w:t>2. Pay all utilities and other charges </w:t>
            </w:r>
          </w:p>
          <w:p w14:paraId="49E830EA" w14:textId="77777777" w:rsidR="00055A63" w:rsidRPr="00055A63" w:rsidRDefault="00055A63" w:rsidP="00055A63">
            <w:pPr>
              <w:divId w:val="1298338588"/>
              <w:rPr>
                <w:lang w:eastAsia="en-AU"/>
              </w:rPr>
            </w:pPr>
            <w:r w:rsidRPr="00055A63">
              <w:rPr>
                <w:lang w:eastAsia="en-AU"/>
              </w:rPr>
              <w:t>3. Responsible for the maintenance and repair of any buildings, infrastructure and other improvements on the premises, subject to fair wear and tear </w:t>
            </w:r>
          </w:p>
        </w:tc>
      </w:tr>
      <w:tr w:rsidR="00055A63" w:rsidRPr="00055A63" w14:paraId="58415AD5" w14:textId="77777777" w:rsidTr="00DB4074">
        <w:trPr>
          <w:divId w:val="46473538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5A3A5213" w14:textId="77777777" w:rsidR="00055A63" w:rsidRPr="00055A63" w:rsidRDefault="00055A63" w:rsidP="00055A63">
            <w:pPr>
              <w:divId w:val="1298338588"/>
              <w:rPr>
                <w:i/>
                <w:iCs/>
                <w:lang w:eastAsia="en-AU"/>
              </w:rPr>
            </w:pPr>
            <w:r w:rsidRPr="00055A63">
              <w:rPr>
                <w:b/>
                <w:bCs/>
                <w:i/>
                <w:iCs/>
                <w:lang w:eastAsia="en-AU"/>
              </w:rPr>
              <w:t>Financial Consideration</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0A6B7A59" w14:textId="12CEDBF6" w:rsidR="00055A63" w:rsidRPr="00055A63" w:rsidRDefault="00055A63" w:rsidP="00055A63">
            <w:pPr>
              <w:divId w:val="1298338588"/>
              <w:rPr>
                <w:lang w:eastAsia="en-AU"/>
              </w:rPr>
            </w:pPr>
            <w:r w:rsidRPr="00055A63">
              <w:rPr>
                <w:lang w:eastAsia="en-AU"/>
              </w:rPr>
              <w:t>Rent based on 10</w:t>
            </w:r>
            <w:r w:rsidR="00D97EF8">
              <w:rPr>
                <w:lang w:eastAsia="en-AU"/>
              </w:rPr>
              <w:t xml:space="preserve"> </w:t>
            </w:r>
            <w:r w:rsidR="00D97EF8">
              <w:t>per cent</w:t>
            </w:r>
            <w:r w:rsidRPr="00055A63">
              <w:rPr>
                <w:lang w:eastAsia="en-AU"/>
              </w:rPr>
              <w:t xml:space="preserve"> of the unimproved land value (new unimproved capital value).</w:t>
            </w:r>
            <w:r w:rsidR="002E497C">
              <w:rPr>
                <w:lang w:eastAsia="en-AU"/>
              </w:rPr>
              <w:t xml:space="preserve"> </w:t>
            </w:r>
            <w:r w:rsidRPr="00055A63">
              <w:rPr>
                <w:lang w:eastAsia="en-AU"/>
              </w:rPr>
              <w:t>Annual rent review to CPI with a revaluation every fifth year. </w:t>
            </w:r>
          </w:p>
        </w:tc>
      </w:tr>
      <w:tr w:rsidR="00055A63" w:rsidRPr="00055A63" w14:paraId="53EAAC02" w14:textId="77777777" w:rsidTr="00DB4074">
        <w:trPr>
          <w:divId w:val="46473538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5E46878D" w14:textId="77777777" w:rsidR="00055A63" w:rsidRPr="00055A63" w:rsidRDefault="00055A63" w:rsidP="00055A63">
            <w:pPr>
              <w:divId w:val="1298338588"/>
              <w:rPr>
                <w:i/>
                <w:iCs/>
                <w:lang w:eastAsia="en-AU"/>
              </w:rPr>
            </w:pPr>
            <w:r w:rsidRPr="00055A63">
              <w:rPr>
                <w:b/>
                <w:bCs/>
                <w:i/>
                <w:iCs/>
                <w:lang w:eastAsia="en-AU"/>
              </w:rPr>
              <w:t>Term</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52CB14D2" w14:textId="77777777" w:rsidR="00055A63" w:rsidRPr="00055A63" w:rsidRDefault="00055A63" w:rsidP="00055A63">
            <w:pPr>
              <w:divId w:val="1298338588"/>
              <w:rPr>
                <w:lang w:eastAsia="en-AU"/>
              </w:rPr>
            </w:pPr>
            <w:r w:rsidRPr="00055A63">
              <w:rPr>
                <w:lang w:eastAsia="en-AU"/>
              </w:rPr>
              <w:t>20 to 40 years </w:t>
            </w:r>
          </w:p>
        </w:tc>
      </w:tr>
      <w:tr w:rsidR="00055A63" w:rsidRPr="00055A63" w14:paraId="4B4A6D87" w14:textId="77777777" w:rsidTr="00DB4074">
        <w:trPr>
          <w:divId w:val="46473538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6CD59BE5" w14:textId="77777777" w:rsidR="00055A63" w:rsidRPr="00055A63" w:rsidRDefault="00055A63" w:rsidP="00055A63">
            <w:pPr>
              <w:divId w:val="1298338588"/>
              <w:rPr>
                <w:i/>
                <w:iCs/>
                <w:lang w:eastAsia="en-AU"/>
              </w:rPr>
            </w:pPr>
            <w:r w:rsidRPr="00055A63">
              <w:rPr>
                <w:b/>
                <w:bCs/>
                <w:i/>
                <w:iCs/>
                <w:lang w:eastAsia="en-AU"/>
              </w:rPr>
              <w:t>Permitted Use</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59CA91DB" w14:textId="77777777" w:rsidR="00055A63" w:rsidRPr="00055A63" w:rsidRDefault="00055A63" w:rsidP="00055A63">
            <w:pPr>
              <w:divId w:val="1298338588"/>
              <w:rPr>
                <w:lang w:eastAsia="en-AU"/>
              </w:rPr>
            </w:pPr>
            <w:r w:rsidRPr="00055A63">
              <w:rPr>
                <w:lang w:eastAsia="en-AU"/>
              </w:rPr>
              <w:t>Early childhood education and care and other uses reasonably incidental to those purposes. </w:t>
            </w:r>
          </w:p>
        </w:tc>
      </w:tr>
      <w:tr w:rsidR="00055A63" w:rsidRPr="00055A63" w14:paraId="29D2FEC6" w14:textId="77777777" w:rsidTr="00DB4074">
        <w:trPr>
          <w:divId w:val="46473538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0158AE43" w14:textId="77777777" w:rsidR="00055A63" w:rsidRPr="00055A63" w:rsidRDefault="00055A63" w:rsidP="00055A63">
            <w:pPr>
              <w:divId w:val="1298338588"/>
              <w:rPr>
                <w:i/>
                <w:iCs/>
                <w:lang w:eastAsia="en-AU"/>
              </w:rPr>
            </w:pPr>
            <w:r w:rsidRPr="00055A63">
              <w:rPr>
                <w:b/>
                <w:bCs/>
                <w:i/>
                <w:iCs/>
                <w:lang w:eastAsia="en-AU"/>
              </w:rPr>
              <w:t>Operational Expenses</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4221E821" w14:textId="77777777" w:rsidR="00055A63" w:rsidRPr="00055A63" w:rsidRDefault="00055A63" w:rsidP="00055A63">
            <w:pPr>
              <w:divId w:val="1298338588"/>
              <w:rPr>
                <w:lang w:eastAsia="en-AU"/>
              </w:rPr>
            </w:pPr>
            <w:r w:rsidRPr="00055A63">
              <w:rPr>
                <w:lang w:eastAsia="en-AU"/>
              </w:rPr>
              <w:t>The Lessee is to pay all rates, charges and taxes in respect of the Premises and any building located upon the Premises. It is also the Lessee’s responsibility to pay electricity, water and gas. The Lessee is also responsible for the maintenance and repair of any buildings, infrastructure, and other improvements on the Premises, subject to fair wear and tear and the Lessee's normal policies as to maintenance, repair and replacement of remote buildings, infrastructure and other improvements. </w:t>
            </w:r>
          </w:p>
        </w:tc>
      </w:tr>
      <w:tr w:rsidR="00055A63" w:rsidRPr="00055A63" w14:paraId="1FD77F0A" w14:textId="77777777" w:rsidTr="00DB4074">
        <w:trPr>
          <w:divId w:val="46473538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1E84CD7F" w14:textId="77777777" w:rsidR="00055A63" w:rsidRPr="00055A63" w:rsidRDefault="00055A63" w:rsidP="00055A63">
            <w:pPr>
              <w:divId w:val="1298338588"/>
              <w:rPr>
                <w:i/>
                <w:iCs/>
                <w:lang w:eastAsia="en-AU"/>
              </w:rPr>
            </w:pPr>
            <w:r w:rsidRPr="00055A63">
              <w:rPr>
                <w:b/>
                <w:bCs/>
                <w:i/>
                <w:iCs/>
                <w:lang w:eastAsia="en-AU"/>
              </w:rPr>
              <w:t>Capital Expenditure</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67CC3343" w14:textId="37D1E6C9" w:rsidR="00055A63" w:rsidRPr="00055A63" w:rsidRDefault="00055A63" w:rsidP="00055A63">
            <w:pPr>
              <w:divId w:val="1298338588"/>
              <w:rPr>
                <w:lang w:eastAsia="en-AU"/>
              </w:rPr>
            </w:pPr>
            <w:r w:rsidRPr="00055A63">
              <w:rPr>
                <w:lang w:eastAsia="en-AU"/>
              </w:rPr>
              <w:t>Lessee must seek approval from the Lessor for any demolition or erection of any buildings, infrastructure or whether structures on the premises, or any removal of adult trees. Lessor must not unreasonably withhold consent for any request by the Lessee. If approved, the Lessee is responsible for the costs.</w:t>
            </w:r>
            <w:r w:rsidR="002E497C">
              <w:rPr>
                <w:lang w:eastAsia="en-AU"/>
              </w:rPr>
              <w:t xml:space="preserve"> </w:t>
            </w:r>
          </w:p>
        </w:tc>
      </w:tr>
      <w:tr w:rsidR="00055A63" w:rsidRPr="00055A63" w14:paraId="039F38CD" w14:textId="77777777" w:rsidTr="00DB4074">
        <w:trPr>
          <w:divId w:val="46473538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2931531D" w14:textId="77777777" w:rsidR="00055A63" w:rsidRPr="00055A63" w:rsidRDefault="00055A63" w:rsidP="00055A63">
            <w:pPr>
              <w:divId w:val="1298338588"/>
              <w:rPr>
                <w:i/>
                <w:iCs/>
                <w:lang w:eastAsia="en-AU"/>
              </w:rPr>
            </w:pPr>
            <w:r w:rsidRPr="00055A63">
              <w:rPr>
                <w:b/>
                <w:bCs/>
                <w:i/>
                <w:iCs/>
                <w:lang w:eastAsia="en-AU"/>
              </w:rPr>
              <w:t>Upon Expiry</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644E4704" w14:textId="77777777" w:rsidR="00055A63" w:rsidRPr="00055A63" w:rsidRDefault="00055A63" w:rsidP="00055A63">
            <w:pPr>
              <w:divId w:val="1298338588"/>
              <w:rPr>
                <w:lang w:eastAsia="en-AU"/>
              </w:rPr>
            </w:pPr>
            <w:r w:rsidRPr="00055A63">
              <w:rPr>
                <w:lang w:eastAsia="en-AU"/>
              </w:rPr>
              <w:t xml:space="preserve">Buildings, infrastructure or other improvements on the Premises will become the property of the Lessor, excluding those constructed upon the premises after the commencement date (similar with any plant, equipment, machinery, furniture or </w:t>
            </w:r>
            <w:r w:rsidRPr="00055A63">
              <w:rPr>
                <w:lang w:eastAsia="en-AU"/>
              </w:rPr>
              <w:lastRenderedPageBreak/>
              <w:t>other chattels). The Lessee may remove any buildings, infrastructure or improvements that it constructed after the commencement date prior to the expiration date, provided that the Lessee will make good any damage caused by such removal. </w:t>
            </w:r>
          </w:p>
          <w:p w14:paraId="74914209" w14:textId="77777777" w:rsidR="00055A63" w:rsidRPr="00055A63" w:rsidRDefault="00055A63" w:rsidP="00DB4074">
            <w:pPr>
              <w:divId w:val="1298338588"/>
              <w:rPr>
                <w:lang w:eastAsia="en-AU"/>
              </w:rPr>
            </w:pPr>
            <w:r w:rsidRPr="00055A63">
              <w:rPr>
                <w:lang w:eastAsia="en-AU"/>
              </w:rPr>
              <w:t>Without any demand for possession by the Lessor, the Lessee may remain in occupation of the premises on a monthly tenancy </w:t>
            </w:r>
          </w:p>
        </w:tc>
      </w:tr>
      <w:tr w:rsidR="00055A63" w:rsidRPr="00055A63" w14:paraId="326246AC" w14:textId="77777777" w:rsidTr="00DB4074">
        <w:trPr>
          <w:divId w:val="464735382"/>
          <w:trHeight w:val="300"/>
        </w:trPr>
        <w:tc>
          <w:tcPr>
            <w:tcW w:w="1472" w:type="dxa"/>
            <w:tcBorders>
              <w:top w:val="dotted" w:sz="6" w:space="0" w:color="auto"/>
              <w:left w:val="nil"/>
              <w:bottom w:val="single" w:sz="6" w:space="0" w:color="auto"/>
              <w:right w:val="single" w:sz="6" w:space="0" w:color="666666"/>
            </w:tcBorders>
            <w:shd w:val="clear" w:color="auto" w:fill="FFFFFF"/>
            <w:hideMark/>
          </w:tcPr>
          <w:p w14:paraId="0E52C8BF" w14:textId="77777777" w:rsidR="00055A63" w:rsidRPr="00055A63" w:rsidRDefault="00055A63" w:rsidP="00055A63">
            <w:pPr>
              <w:divId w:val="1298338588"/>
              <w:rPr>
                <w:i/>
                <w:iCs/>
                <w:lang w:eastAsia="en-AU"/>
              </w:rPr>
            </w:pPr>
            <w:r w:rsidRPr="00055A63">
              <w:rPr>
                <w:b/>
                <w:bCs/>
                <w:i/>
                <w:iCs/>
                <w:lang w:eastAsia="en-AU"/>
              </w:rPr>
              <w:lastRenderedPageBreak/>
              <w:t>Other</w:t>
            </w:r>
            <w:r w:rsidRPr="00055A63">
              <w:rPr>
                <w:i/>
                <w:iCs/>
                <w:lang w:eastAsia="en-AU"/>
              </w:rPr>
              <w:t> </w:t>
            </w:r>
          </w:p>
        </w:tc>
        <w:tc>
          <w:tcPr>
            <w:tcW w:w="7880"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18EC0AAD" w14:textId="77777777" w:rsidR="00055A63" w:rsidRPr="00055A63" w:rsidRDefault="00055A63" w:rsidP="00055A63">
            <w:pPr>
              <w:spacing w:after="0" w:line="240" w:lineRule="auto"/>
              <w:textAlignment w:val="baseline"/>
              <w:divId w:val="1298338588"/>
              <w:rPr>
                <w:rFonts w:ascii="Segoe UI" w:eastAsia="Times New Roman" w:hAnsi="Segoe UI" w:cs="Segoe UI"/>
                <w:lang w:eastAsia="en-AU"/>
              </w:rPr>
            </w:pPr>
            <w:r w:rsidRPr="00055A63">
              <w:rPr>
                <w:lang w:eastAsia="en-AU"/>
              </w:rPr>
              <w:t>Lessee will use its best endeavours to ensure maximum use of Aboriginal sub-contractors for the supply of goods or ser</w:t>
            </w:r>
            <w:r w:rsidRPr="00DB4074">
              <w:t>vices in relation to the premises</w:t>
            </w:r>
            <w:r w:rsidRPr="00055A63">
              <w:rPr>
                <w:rFonts w:ascii="Calibri Light" w:eastAsia="Times New Roman" w:hAnsi="Calibri Light" w:cs="Calibri Light"/>
                <w:sz w:val="16"/>
                <w:szCs w:val="16"/>
                <w:lang w:eastAsia="en-AU"/>
              </w:rPr>
              <w:t> </w:t>
            </w:r>
          </w:p>
        </w:tc>
      </w:tr>
    </w:tbl>
    <w:p w14:paraId="058DCE4D" w14:textId="77777777" w:rsidR="001A4A1A" w:rsidRDefault="001A4A1A" w:rsidP="001A4A1A">
      <w:pPr>
        <w:rPr>
          <w:lang w:eastAsia="en-AU"/>
        </w:rPr>
      </w:pPr>
    </w:p>
    <w:p w14:paraId="38C00685" w14:textId="7B36BFCF" w:rsidR="00137C12" w:rsidRDefault="00137C12" w:rsidP="00201A40">
      <w:pPr>
        <w:pStyle w:val="Appendixhead2"/>
        <w:spacing w:after="120"/>
      </w:pPr>
      <w:r w:rsidRPr="00137C12">
        <w:t>Memorandum of Understanding</w:t>
      </w:r>
      <w:r>
        <w:t xml:space="preserve"> arrangement summary</w:t>
      </w:r>
    </w:p>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2"/>
        <w:gridCol w:w="3287"/>
        <w:gridCol w:w="4196"/>
      </w:tblGrid>
      <w:tr w:rsidR="00137C12" w:rsidRPr="00137C12" w14:paraId="7B6DCA81" w14:textId="77777777" w:rsidTr="00137C12">
        <w:trPr>
          <w:divId w:val="1913662602"/>
          <w:trHeight w:val="300"/>
        </w:trPr>
        <w:tc>
          <w:tcPr>
            <w:tcW w:w="8955" w:type="dxa"/>
            <w:gridSpan w:val="3"/>
            <w:tcBorders>
              <w:top w:val="nil"/>
              <w:left w:val="nil"/>
              <w:bottom w:val="single" w:sz="6" w:space="0" w:color="666666"/>
              <w:right w:val="single" w:sz="6" w:space="0" w:color="666666"/>
            </w:tcBorders>
            <w:shd w:val="clear" w:color="auto" w:fill="FFFFFF"/>
            <w:hideMark/>
          </w:tcPr>
          <w:p w14:paraId="1D69B5BD" w14:textId="36E9F666" w:rsidR="00137C12" w:rsidRPr="00137C12" w:rsidRDefault="00137C12" w:rsidP="00137C12">
            <w:pPr>
              <w:pStyle w:val="AppendixTableCaption"/>
              <w:divId w:val="606694814"/>
              <w:rPr>
                <w:b/>
                <w:bCs/>
              </w:rPr>
            </w:pPr>
            <w:bookmarkStart w:id="480" w:name="_Toc158997976"/>
            <w:bookmarkStart w:id="481" w:name="_Toc167130723"/>
            <w:r w:rsidRPr="00137C12">
              <w:t>: Memorandum of Understanding</w:t>
            </w:r>
            <w:bookmarkEnd w:id="480"/>
            <w:bookmarkEnd w:id="481"/>
            <w:r w:rsidRPr="00137C12">
              <w:rPr>
                <w:b/>
                <w:bCs/>
              </w:rPr>
              <w:t> </w:t>
            </w:r>
          </w:p>
        </w:tc>
      </w:tr>
      <w:tr w:rsidR="00137C12" w:rsidRPr="00137C12" w14:paraId="667F3CEA" w14:textId="77777777" w:rsidTr="00137C12">
        <w:trPr>
          <w:divId w:val="1913662602"/>
          <w:trHeight w:val="300"/>
        </w:trPr>
        <w:tc>
          <w:tcPr>
            <w:tcW w:w="1472" w:type="dxa"/>
            <w:tcBorders>
              <w:top w:val="single" w:sz="6" w:space="0" w:color="666666"/>
              <w:left w:val="nil"/>
              <w:bottom w:val="dotted" w:sz="6" w:space="0" w:color="auto"/>
              <w:right w:val="single" w:sz="6" w:space="0" w:color="666666"/>
            </w:tcBorders>
            <w:shd w:val="clear" w:color="auto" w:fill="FFFFFF"/>
            <w:hideMark/>
          </w:tcPr>
          <w:p w14:paraId="3DFEB591" w14:textId="77777777" w:rsidR="00137C12" w:rsidRPr="00137C12" w:rsidRDefault="00137C12" w:rsidP="00137C12">
            <w:pPr>
              <w:divId w:val="606694814"/>
              <w:rPr>
                <w:i/>
                <w:iCs/>
                <w:lang w:eastAsia="en-AU"/>
              </w:rPr>
            </w:pPr>
            <w:r w:rsidRPr="00137C12">
              <w:rPr>
                <w:b/>
                <w:bCs/>
                <w:i/>
                <w:iCs/>
                <w:lang w:eastAsia="en-AU"/>
              </w:rPr>
              <w:t>Parties</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6F885B82" w14:textId="77777777" w:rsidR="00137C12" w:rsidRPr="00137C12" w:rsidRDefault="00137C12" w:rsidP="00137C12">
            <w:pPr>
              <w:divId w:val="606694814"/>
              <w:rPr>
                <w:lang w:eastAsia="en-AU"/>
              </w:rPr>
            </w:pPr>
            <w:r w:rsidRPr="00137C12">
              <w:rPr>
                <w:lang w:eastAsia="en-AU"/>
              </w:rPr>
              <w:t>The Executive Director of Township Leasing (EDTL); and </w:t>
            </w:r>
          </w:p>
          <w:p w14:paraId="5D2B7047" w14:textId="77777777" w:rsidR="00137C12" w:rsidRPr="00137C12" w:rsidRDefault="00137C12" w:rsidP="00137C12">
            <w:pPr>
              <w:divId w:val="606694814"/>
              <w:rPr>
                <w:lang w:eastAsia="en-AU"/>
              </w:rPr>
            </w:pPr>
            <w:r w:rsidRPr="00137C12">
              <w:rPr>
                <w:lang w:eastAsia="en-AU"/>
              </w:rPr>
              <w:t>The Commonwealth of Australia (represented by Department of Education and Training) </w:t>
            </w:r>
          </w:p>
        </w:tc>
      </w:tr>
      <w:tr w:rsidR="00137C12" w:rsidRPr="00137C12" w14:paraId="76F05D3A" w14:textId="77777777" w:rsidTr="00137C12">
        <w:trPr>
          <w:divId w:val="191366260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3A50D724" w14:textId="77777777" w:rsidR="00137C12" w:rsidRPr="00137C12" w:rsidRDefault="00137C12" w:rsidP="00137C12">
            <w:pPr>
              <w:divId w:val="606694814"/>
              <w:rPr>
                <w:i/>
                <w:iCs/>
                <w:lang w:eastAsia="en-AU"/>
              </w:rPr>
            </w:pPr>
            <w:r w:rsidRPr="00137C12">
              <w:rPr>
                <w:b/>
                <w:bCs/>
                <w:i/>
                <w:iCs/>
                <w:lang w:eastAsia="en-AU"/>
              </w:rPr>
              <w:t>Arrangement</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4A5A5CC4" w14:textId="77777777" w:rsidR="00137C12" w:rsidRPr="00137C12" w:rsidRDefault="00137C12" w:rsidP="00137C12">
            <w:pPr>
              <w:divId w:val="606694814"/>
              <w:rPr>
                <w:lang w:eastAsia="en-AU"/>
              </w:rPr>
            </w:pPr>
            <w:r w:rsidRPr="00137C12">
              <w:rPr>
                <w:lang w:eastAsia="en-AU"/>
              </w:rPr>
              <w:t>The MOUs relate to leases in the Central Land Council (CLC) and Northern Land Council (NLC) region, and leases located within townships, of the Northern Territory that have been granted to the EDTL, or who EDTL holds a township lease over, for premises (land and building) that will be occupied by the Department or a nominee of the Department. </w:t>
            </w:r>
          </w:p>
          <w:p w14:paraId="07A59922" w14:textId="3D66AC6A" w:rsidR="00137C12" w:rsidRPr="00137C12" w:rsidRDefault="00137C12" w:rsidP="00137C12">
            <w:pPr>
              <w:divId w:val="606694814"/>
              <w:rPr>
                <w:lang w:eastAsia="en-AU"/>
              </w:rPr>
            </w:pPr>
            <w:r w:rsidRPr="00137C12">
              <w:rPr>
                <w:lang w:eastAsia="en-AU"/>
              </w:rPr>
              <w:t>The MOUs between the EDTL and the Department document how the OTL will administer these Leases on behalf of the Department.</w:t>
            </w:r>
            <w:r w:rsidR="002E497C">
              <w:rPr>
                <w:lang w:eastAsia="en-AU"/>
              </w:rPr>
              <w:t xml:space="preserve"> </w:t>
            </w:r>
          </w:p>
        </w:tc>
      </w:tr>
      <w:tr w:rsidR="00137C12" w:rsidRPr="00137C12" w14:paraId="2C095B8B" w14:textId="77777777" w:rsidTr="00137C12">
        <w:trPr>
          <w:divId w:val="191366260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7E357CE4" w14:textId="77777777" w:rsidR="00137C12" w:rsidRPr="00137C12" w:rsidRDefault="00137C12" w:rsidP="00137C12">
            <w:pPr>
              <w:divId w:val="606694814"/>
              <w:rPr>
                <w:i/>
                <w:iCs/>
                <w:lang w:eastAsia="en-AU"/>
              </w:rPr>
            </w:pPr>
            <w:r w:rsidRPr="00137C12">
              <w:rPr>
                <w:b/>
                <w:bCs/>
                <w:i/>
                <w:iCs/>
                <w:lang w:eastAsia="en-AU"/>
              </w:rPr>
              <w:t>Obligations of the Parties</w:t>
            </w:r>
            <w:r w:rsidRPr="00137C12">
              <w:rPr>
                <w:i/>
                <w:iCs/>
                <w:lang w:eastAsia="en-AU"/>
              </w:rPr>
              <w:t> </w:t>
            </w:r>
          </w:p>
        </w:tc>
        <w:tc>
          <w:tcPr>
            <w:tcW w:w="3287" w:type="dxa"/>
            <w:tcBorders>
              <w:top w:val="single" w:sz="6" w:space="0" w:color="666666"/>
              <w:left w:val="single" w:sz="6" w:space="0" w:color="666666"/>
              <w:bottom w:val="single" w:sz="6" w:space="0" w:color="666666"/>
              <w:right w:val="single" w:sz="6" w:space="0" w:color="666666"/>
            </w:tcBorders>
            <w:shd w:val="clear" w:color="auto" w:fill="CCCCCC"/>
            <w:hideMark/>
          </w:tcPr>
          <w:p w14:paraId="65053CB9" w14:textId="77777777" w:rsidR="00137C12" w:rsidRPr="00137C12" w:rsidRDefault="00137C12" w:rsidP="00137C12">
            <w:pPr>
              <w:divId w:val="606694814"/>
              <w:rPr>
                <w:lang w:eastAsia="en-AU"/>
              </w:rPr>
            </w:pPr>
            <w:r w:rsidRPr="00137C12">
              <w:rPr>
                <w:lang w:eastAsia="en-AU"/>
              </w:rPr>
              <w:t>Party: EDTL </w:t>
            </w:r>
          </w:p>
          <w:p w14:paraId="14F775D4" w14:textId="10AC4D41" w:rsidR="00137C12" w:rsidRPr="00137C12" w:rsidRDefault="00137C12" w:rsidP="00137C12">
            <w:pPr>
              <w:divId w:val="606694814"/>
              <w:rPr>
                <w:lang w:eastAsia="en-AU"/>
              </w:rPr>
            </w:pPr>
            <w:r w:rsidRPr="00137C12">
              <w:rPr>
                <w:lang w:eastAsia="en-AU"/>
              </w:rPr>
              <w:t>1. To administer and manage the Leases on behalf of the Department. This may mean paying the rent or lease expenses and being reimbursed by the Department.</w:t>
            </w:r>
            <w:r w:rsidR="002E497C">
              <w:rPr>
                <w:lang w:eastAsia="en-AU"/>
              </w:rPr>
              <w:t xml:space="preserve"> </w:t>
            </w:r>
            <w:r w:rsidRPr="00137C12">
              <w:rPr>
                <w:lang w:eastAsia="en-AU"/>
              </w:rPr>
              <w:t> </w:t>
            </w:r>
          </w:p>
        </w:tc>
        <w:tc>
          <w:tcPr>
            <w:tcW w:w="4196" w:type="dxa"/>
            <w:tcBorders>
              <w:top w:val="single" w:sz="6" w:space="0" w:color="666666"/>
              <w:left w:val="single" w:sz="6" w:space="0" w:color="666666"/>
              <w:bottom w:val="single" w:sz="6" w:space="0" w:color="666666"/>
              <w:right w:val="single" w:sz="6" w:space="0" w:color="666666"/>
            </w:tcBorders>
            <w:shd w:val="clear" w:color="auto" w:fill="CCCCCC"/>
            <w:hideMark/>
          </w:tcPr>
          <w:p w14:paraId="746FF9B7" w14:textId="77777777" w:rsidR="00137C12" w:rsidRPr="00137C12" w:rsidRDefault="00137C12" w:rsidP="00137C12">
            <w:pPr>
              <w:divId w:val="606694814"/>
              <w:rPr>
                <w:lang w:eastAsia="en-AU"/>
              </w:rPr>
            </w:pPr>
            <w:r w:rsidRPr="00137C12">
              <w:rPr>
                <w:lang w:eastAsia="en-AU"/>
              </w:rPr>
              <w:t>Party: Department (Commonwealth) </w:t>
            </w:r>
          </w:p>
          <w:p w14:paraId="06CBC810" w14:textId="77777777" w:rsidR="00137C12" w:rsidRPr="00137C12" w:rsidRDefault="00137C12" w:rsidP="00137C12">
            <w:pPr>
              <w:divId w:val="606694814"/>
              <w:rPr>
                <w:lang w:eastAsia="en-AU"/>
              </w:rPr>
            </w:pPr>
            <w:r w:rsidRPr="00137C12">
              <w:rPr>
                <w:lang w:eastAsia="en-AU"/>
              </w:rPr>
              <w:t>1. The Department will pay the EDTL the Administration Fee on each anniversary of the MOU commencement date. </w:t>
            </w:r>
          </w:p>
          <w:p w14:paraId="52C6B48D" w14:textId="087D4ABE" w:rsidR="00137C12" w:rsidRPr="00137C12" w:rsidRDefault="00137C12" w:rsidP="00137C12">
            <w:pPr>
              <w:divId w:val="606694814"/>
              <w:rPr>
                <w:lang w:eastAsia="en-AU"/>
              </w:rPr>
            </w:pPr>
            <w:r w:rsidRPr="00137C12">
              <w:rPr>
                <w:lang w:eastAsia="en-AU"/>
              </w:rPr>
              <w:t>2. All responsibilities fall on the Department including yield up and repairs and maintenance requirements.</w:t>
            </w:r>
            <w:r w:rsidR="002E497C">
              <w:rPr>
                <w:lang w:eastAsia="en-AU"/>
              </w:rPr>
              <w:t xml:space="preserve"> </w:t>
            </w:r>
          </w:p>
        </w:tc>
      </w:tr>
      <w:tr w:rsidR="00137C12" w:rsidRPr="00137C12" w14:paraId="03CDDD89" w14:textId="77777777" w:rsidTr="00137C12">
        <w:trPr>
          <w:divId w:val="191366260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7E09A08F" w14:textId="77777777" w:rsidR="00137C12" w:rsidRPr="00137C12" w:rsidRDefault="00137C12" w:rsidP="00137C12">
            <w:pPr>
              <w:divId w:val="606694814"/>
              <w:rPr>
                <w:i/>
                <w:iCs/>
                <w:lang w:eastAsia="en-AU"/>
              </w:rPr>
            </w:pPr>
            <w:r w:rsidRPr="00137C12">
              <w:rPr>
                <w:b/>
                <w:bCs/>
                <w:i/>
                <w:iCs/>
                <w:lang w:eastAsia="en-AU"/>
              </w:rPr>
              <w:t>Financial Consideration</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52618F93" w14:textId="6D7E35B4" w:rsidR="00137C12" w:rsidRPr="00137C12" w:rsidRDefault="00137C12" w:rsidP="00137C12">
            <w:pPr>
              <w:divId w:val="606694814"/>
              <w:rPr>
                <w:lang w:eastAsia="en-AU"/>
              </w:rPr>
            </w:pPr>
            <w:r w:rsidRPr="00137C12">
              <w:rPr>
                <w:lang w:eastAsia="en-AU"/>
              </w:rPr>
              <w:t>The Department will pay the EDTL the Administration Fee for each lease on each anniversary of the MOU Commencement Date.</w:t>
            </w:r>
            <w:r w:rsidR="002E497C">
              <w:rPr>
                <w:lang w:eastAsia="en-AU"/>
              </w:rPr>
              <w:t xml:space="preserve"> </w:t>
            </w:r>
            <w:r w:rsidRPr="00137C12">
              <w:rPr>
                <w:lang w:eastAsia="en-AU"/>
              </w:rPr>
              <w:t>Under the NLC and CLC region leases, this fee is $1,000 per lease per annum.</w:t>
            </w:r>
            <w:r w:rsidR="002E497C">
              <w:rPr>
                <w:lang w:eastAsia="en-AU"/>
              </w:rPr>
              <w:t xml:space="preserve"> </w:t>
            </w:r>
          </w:p>
        </w:tc>
      </w:tr>
      <w:tr w:rsidR="00137C12" w:rsidRPr="00137C12" w14:paraId="2713A9F5" w14:textId="77777777" w:rsidTr="00137C12">
        <w:trPr>
          <w:divId w:val="191366260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0BB8902A" w14:textId="77777777" w:rsidR="00137C12" w:rsidRPr="00137C12" w:rsidRDefault="00137C12" w:rsidP="00137C12">
            <w:pPr>
              <w:divId w:val="606694814"/>
              <w:rPr>
                <w:i/>
                <w:iCs/>
                <w:lang w:eastAsia="en-AU"/>
              </w:rPr>
            </w:pPr>
            <w:r w:rsidRPr="00137C12">
              <w:rPr>
                <w:b/>
                <w:bCs/>
                <w:i/>
                <w:iCs/>
                <w:lang w:eastAsia="en-AU"/>
              </w:rPr>
              <w:t>Term</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427F41FF" w14:textId="77777777" w:rsidR="00137C12" w:rsidRPr="00137C12" w:rsidRDefault="00137C12" w:rsidP="00137C12">
            <w:pPr>
              <w:divId w:val="606694814"/>
              <w:rPr>
                <w:lang w:eastAsia="en-AU"/>
              </w:rPr>
            </w:pPr>
            <w:r w:rsidRPr="00137C12">
              <w:rPr>
                <w:lang w:eastAsia="en-AU"/>
              </w:rPr>
              <w:t>Unknown commencement date due to the unsigned copy of the MOU we were provided, with expiry date of 30 June 2026 for the MOU of the NLC and CLC leases. The MOU agreement for the Township leases has a term of 20 years, however the commencement date is unknown due to the unsigned copy of the MOU we were provided. </w:t>
            </w:r>
          </w:p>
        </w:tc>
      </w:tr>
      <w:tr w:rsidR="00137C12" w:rsidRPr="00137C12" w14:paraId="16E97AF6" w14:textId="77777777" w:rsidTr="00137C12">
        <w:trPr>
          <w:divId w:val="191366260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386BD912" w14:textId="77777777" w:rsidR="00137C12" w:rsidRPr="00137C12" w:rsidRDefault="00137C12" w:rsidP="00137C12">
            <w:pPr>
              <w:divId w:val="606694814"/>
              <w:rPr>
                <w:i/>
                <w:iCs/>
                <w:lang w:eastAsia="en-AU"/>
              </w:rPr>
            </w:pPr>
            <w:r w:rsidRPr="00137C12">
              <w:rPr>
                <w:b/>
                <w:bCs/>
                <w:i/>
                <w:iCs/>
                <w:lang w:eastAsia="en-AU"/>
              </w:rPr>
              <w:t>Permitted Use</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1C7362CE" w14:textId="77777777" w:rsidR="00137C12" w:rsidRPr="00137C12" w:rsidRDefault="00137C12" w:rsidP="00137C12">
            <w:pPr>
              <w:divId w:val="606694814"/>
              <w:rPr>
                <w:lang w:eastAsia="en-AU"/>
              </w:rPr>
            </w:pPr>
            <w:r w:rsidRPr="00137C12">
              <w:rPr>
                <w:lang w:eastAsia="en-AU"/>
              </w:rPr>
              <w:t>NLC and CLC MOUs: Permitted Use means early childhood education and care centre. </w:t>
            </w:r>
          </w:p>
          <w:p w14:paraId="11A23575" w14:textId="77777777" w:rsidR="00137C12" w:rsidRPr="00137C12" w:rsidRDefault="00137C12" w:rsidP="00137C12">
            <w:pPr>
              <w:divId w:val="606694814"/>
              <w:rPr>
                <w:lang w:eastAsia="en-AU"/>
              </w:rPr>
            </w:pPr>
            <w:r w:rsidRPr="00137C12">
              <w:rPr>
                <w:lang w:eastAsia="en-AU"/>
              </w:rPr>
              <w:t>Township MOU: Permitted Use means purposes associated with reducing community violence, including the provision of temporary emergency accommodation (primarily for women and children) as well as for training, counselling, mentoring and community meetings and for purposes reasonably incidental to these uses. </w:t>
            </w:r>
          </w:p>
        </w:tc>
      </w:tr>
      <w:tr w:rsidR="00137C12" w:rsidRPr="00137C12" w14:paraId="161DEEE8" w14:textId="77777777" w:rsidTr="00137C12">
        <w:trPr>
          <w:divId w:val="191366260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161EDE5A" w14:textId="77777777" w:rsidR="00137C12" w:rsidRPr="00137C12" w:rsidRDefault="00137C12" w:rsidP="00137C12">
            <w:pPr>
              <w:divId w:val="606694814"/>
              <w:rPr>
                <w:i/>
                <w:iCs/>
                <w:lang w:eastAsia="en-AU"/>
              </w:rPr>
            </w:pPr>
            <w:r w:rsidRPr="00137C12">
              <w:rPr>
                <w:b/>
                <w:bCs/>
                <w:i/>
                <w:iCs/>
                <w:lang w:eastAsia="en-AU"/>
              </w:rPr>
              <w:lastRenderedPageBreak/>
              <w:t>Operational Expenses</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3944D1E7" w14:textId="77777777" w:rsidR="00137C12" w:rsidRPr="00137C12" w:rsidRDefault="00137C12" w:rsidP="00137C12">
            <w:pPr>
              <w:divId w:val="606694814"/>
              <w:rPr>
                <w:lang w:eastAsia="en-AU"/>
              </w:rPr>
            </w:pPr>
            <w:r w:rsidRPr="00137C12">
              <w:rPr>
                <w:lang w:eastAsia="en-AU"/>
              </w:rPr>
              <w:t>Department to pay all outgoings including rates, duties and taxes (unless the Department premises is not separates, then Department pays its percentage). EDTL may pay these lease expenses, but the Department is to reimburse them. </w:t>
            </w:r>
          </w:p>
          <w:p w14:paraId="38259DA7" w14:textId="77777777" w:rsidR="00137C12" w:rsidRPr="00137C12" w:rsidRDefault="00137C12" w:rsidP="00137C12">
            <w:pPr>
              <w:divId w:val="606694814"/>
              <w:rPr>
                <w:lang w:eastAsia="en-AU"/>
              </w:rPr>
            </w:pPr>
            <w:r w:rsidRPr="00137C12">
              <w:rPr>
                <w:lang w:eastAsia="en-AU"/>
              </w:rPr>
              <w:t>Repairs and maintenance must be to a level that meets the standards and requirements under the Building Code of Australia. Department must, at Department's expense, maintain, repair or replace all Improvements and Services on the premises (including any works of a capital or structural nature). </w:t>
            </w:r>
          </w:p>
        </w:tc>
      </w:tr>
      <w:tr w:rsidR="00137C12" w:rsidRPr="00137C12" w14:paraId="1ECCE9BE" w14:textId="77777777" w:rsidTr="00137C12">
        <w:trPr>
          <w:divId w:val="191366260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1562E897" w14:textId="77777777" w:rsidR="00137C12" w:rsidRPr="00137C12" w:rsidRDefault="00137C12" w:rsidP="00137C12">
            <w:pPr>
              <w:divId w:val="606694814"/>
              <w:rPr>
                <w:i/>
                <w:iCs/>
                <w:lang w:eastAsia="en-AU"/>
              </w:rPr>
            </w:pPr>
            <w:r w:rsidRPr="00137C12">
              <w:rPr>
                <w:b/>
                <w:bCs/>
                <w:i/>
                <w:iCs/>
                <w:lang w:eastAsia="en-AU"/>
              </w:rPr>
              <w:t>Capital Expenditure</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0E81A613" w14:textId="16FA5500" w:rsidR="00137C12" w:rsidRPr="00137C12" w:rsidRDefault="00137C12" w:rsidP="00137C12">
            <w:pPr>
              <w:divId w:val="606694814"/>
              <w:rPr>
                <w:lang w:eastAsia="en-AU"/>
              </w:rPr>
            </w:pPr>
            <w:r w:rsidRPr="00137C12">
              <w:rPr>
                <w:lang w:eastAsia="en-AU"/>
              </w:rPr>
              <w:t>Department must not make any alterations or additions to the premises, improvements or services without express written consent of the EDTL.</w:t>
            </w:r>
            <w:r w:rsidR="002E497C">
              <w:rPr>
                <w:lang w:eastAsia="en-AU"/>
              </w:rPr>
              <w:t xml:space="preserve"> </w:t>
            </w:r>
          </w:p>
        </w:tc>
      </w:tr>
      <w:tr w:rsidR="00137C12" w:rsidRPr="00137C12" w14:paraId="28D88110" w14:textId="77777777" w:rsidTr="00137C12">
        <w:trPr>
          <w:divId w:val="1913662602"/>
          <w:trHeight w:val="300"/>
        </w:trPr>
        <w:tc>
          <w:tcPr>
            <w:tcW w:w="1472" w:type="dxa"/>
            <w:tcBorders>
              <w:top w:val="dotted" w:sz="6" w:space="0" w:color="auto"/>
              <w:left w:val="nil"/>
              <w:bottom w:val="dotted" w:sz="6" w:space="0" w:color="auto"/>
              <w:right w:val="single" w:sz="6" w:space="0" w:color="666666"/>
            </w:tcBorders>
            <w:shd w:val="clear" w:color="auto" w:fill="FFFFFF"/>
            <w:hideMark/>
          </w:tcPr>
          <w:p w14:paraId="362FD266" w14:textId="77777777" w:rsidR="00137C12" w:rsidRPr="00137C12" w:rsidRDefault="00137C12" w:rsidP="00137C12">
            <w:pPr>
              <w:divId w:val="606694814"/>
              <w:rPr>
                <w:i/>
                <w:iCs/>
                <w:lang w:eastAsia="en-AU"/>
              </w:rPr>
            </w:pPr>
            <w:r w:rsidRPr="00137C12">
              <w:rPr>
                <w:b/>
                <w:bCs/>
                <w:i/>
                <w:iCs/>
                <w:lang w:eastAsia="en-AU"/>
              </w:rPr>
              <w:t>Upon Expiry</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63A76B9E" w14:textId="77777777" w:rsidR="00137C12" w:rsidRPr="00137C12" w:rsidRDefault="00137C12" w:rsidP="00137C12">
            <w:pPr>
              <w:divId w:val="606694814"/>
              <w:rPr>
                <w:lang w:eastAsia="en-AU"/>
              </w:rPr>
            </w:pPr>
            <w:r w:rsidRPr="00137C12">
              <w:rPr>
                <w:lang w:eastAsia="en-AU"/>
              </w:rPr>
              <w:t>All improvements and services will become the property of the EDTL at the end of the term. The Department must yield up the premises, improvements and services at the end of the term in a clean and tidy condition subject to fair wear and tear. The Department may request that the EDTL consent to the Department removing the improvements from the premises at the end of the term (no later than 6 months before expiry). </w:t>
            </w:r>
          </w:p>
        </w:tc>
      </w:tr>
      <w:tr w:rsidR="00137C12" w:rsidRPr="00137C12" w14:paraId="523EF80F" w14:textId="77777777" w:rsidTr="00137C12">
        <w:trPr>
          <w:divId w:val="1913662602"/>
          <w:trHeight w:val="300"/>
        </w:trPr>
        <w:tc>
          <w:tcPr>
            <w:tcW w:w="1472" w:type="dxa"/>
            <w:tcBorders>
              <w:top w:val="dotted" w:sz="6" w:space="0" w:color="auto"/>
              <w:left w:val="nil"/>
              <w:bottom w:val="single" w:sz="6" w:space="0" w:color="auto"/>
              <w:right w:val="single" w:sz="6" w:space="0" w:color="666666"/>
            </w:tcBorders>
            <w:shd w:val="clear" w:color="auto" w:fill="FFFFFF"/>
            <w:hideMark/>
          </w:tcPr>
          <w:p w14:paraId="14DC1589" w14:textId="77777777" w:rsidR="00137C12" w:rsidRPr="00137C12" w:rsidRDefault="00137C12" w:rsidP="00137C12">
            <w:pPr>
              <w:divId w:val="606694814"/>
              <w:rPr>
                <w:i/>
                <w:iCs/>
                <w:lang w:eastAsia="en-AU"/>
              </w:rPr>
            </w:pPr>
            <w:r w:rsidRPr="00137C12">
              <w:rPr>
                <w:b/>
                <w:bCs/>
                <w:i/>
                <w:iCs/>
                <w:lang w:eastAsia="en-AU"/>
              </w:rPr>
              <w:t>Other</w:t>
            </w:r>
            <w:r w:rsidRPr="00137C12">
              <w:rPr>
                <w:i/>
                <w:iCs/>
                <w:lang w:eastAsia="en-AU"/>
              </w:rPr>
              <w:t> </w:t>
            </w:r>
          </w:p>
        </w:tc>
        <w:tc>
          <w:tcPr>
            <w:tcW w:w="7483"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5A32F0A0" w14:textId="77777777" w:rsidR="00137C12" w:rsidRPr="00137C12" w:rsidRDefault="00137C12" w:rsidP="00137C12">
            <w:pPr>
              <w:divId w:val="606694814"/>
              <w:rPr>
                <w:lang w:eastAsia="en-AU"/>
              </w:rPr>
            </w:pPr>
            <w:r w:rsidRPr="00137C12">
              <w:rPr>
                <w:lang w:eastAsia="en-AU"/>
              </w:rPr>
              <w:t>The parties agree the infrastructure and other improvements on the Premises will be insured by the EDTL. </w:t>
            </w:r>
          </w:p>
          <w:p w14:paraId="6D2F7F99" w14:textId="48B02FD0" w:rsidR="00137C12" w:rsidRPr="00137C12" w:rsidRDefault="00137C12" w:rsidP="00137C12">
            <w:pPr>
              <w:tabs>
                <w:tab w:val="left" w:pos="810"/>
              </w:tabs>
              <w:divId w:val="606694814"/>
              <w:rPr>
                <w:rFonts w:ascii="Segoe UI" w:eastAsia="Times New Roman" w:hAnsi="Segoe UI" w:cs="Segoe UI"/>
                <w:lang w:eastAsia="en-AU"/>
              </w:rPr>
            </w:pPr>
            <w:r w:rsidRPr="00137C12">
              <w:rPr>
                <w:lang w:eastAsia="en-AU"/>
              </w:rPr>
              <w:t>Representatives of the Department and the OTL will meet once every three months (or at such other intervals as agreed between the parties) to monitor the ongoing administration of the Leases.</w:t>
            </w:r>
            <w:r w:rsidRPr="00137C12">
              <w:rPr>
                <w:rFonts w:ascii="Calibri Light" w:eastAsia="Times New Roman" w:hAnsi="Calibri Light" w:cs="Calibri Light"/>
                <w:sz w:val="16"/>
                <w:szCs w:val="16"/>
                <w:lang w:eastAsia="en-AU"/>
              </w:rPr>
              <w:t> </w:t>
            </w:r>
          </w:p>
        </w:tc>
      </w:tr>
    </w:tbl>
    <w:p w14:paraId="57C9A03C" w14:textId="77777777" w:rsidR="00137C12" w:rsidRPr="00137C12" w:rsidRDefault="00137C12" w:rsidP="00137C12">
      <w:pPr>
        <w:rPr>
          <w:lang w:eastAsia="en-AU"/>
        </w:rPr>
      </w:pPr>
    </w:p>
    <w:p w14:paraId="13683F04" w14:textId="30FE38A7" w:rsidR="00AB3CE1" w:rsidRPr="00AB3CE1" w:rsidRDefault="00AB3CE1" w:rsidP="00201A40">
      <w:pPr>
        <w:pStyle w:val="Appendixhead2"/>
        <w:spacing w:after="120"/>
      </w:pPr>
      <w:r>
        <w:t>Management Agreement arrangement summary</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2"/>
        <w:gridCol w:w="3798"/>
        <w:gridCol w:w="3925"/>
      </w:tblGrid>
      <w:tr w:rsidR="00AB3CE1" w:rsidRPr="00AB3CE1" w14:paraId="7E4759FE" w14:textId="77777777" w:rsidTr="5693C372">
        <w:trPr>
          <w:divId w:val="1948779569"/>
          <w:trHeight w:val="330"/>
        </w:trPr>
        <w:tc>
          <w:tcPr>
            <w:tcW w:w="9195" w:type="dxa"/>
            <w:gridSpan w:val="3"/>
            <w:tcBorders>
              <w:top w:val="nil"/>
              <w:left w:val="nil"/>
              <w:bottom w:val="single" w:sz="6" w:space="0" w:color="666666"/>
              <w:right w:val="single" w:sz="6" w:space="0" w:color="666666"/>
            </w:tcBorders>
            <w:shd w:val="clear" w:color="auto" w:fill="FFFFFF" w:themeFill="background1"/>
            <w:hideMark/>
          </w:tcPr>
          <w:p w14:paraId="68A78933" w14:textId="23D0331D" w:rsidR="00AB3CE1" w:rsidRPr="00AB3CE1" w:rsidRDefault="00AB3CE1" w:rsidP="00AB3CE1">
            <w:pPr>
              <w:pStyle w:val="AppendixTableCaption"/>
              <w:divId w:val="872422077"/>
              <w:rPr>
                <w:b/>
                <w:bCs/>
              </w:rPr>
            </w:pPr>
            <w:bookmarkStart w:id="482" w:name="_Toc158997977"/>
            <w:bookmarkStart w:id="483" w:name="_Toc167130724"/>
            <w:r w:rsidRPr="00AB3CE1">
              <w:t>: Management Agreement</w:t>
            </w:r>
            <w:bookmarkEnd w:id="482"/>
            <w:bookmarkEnd w:id="483"/>
            <w:r w:rsidRPr="00AB3CE1">
              <w:rPr>
                <w:b/>
                <w:bCs/>
              </w:rPr>
              <w:t> </w:t>
            </w:r>
          </w:p>
        </w:tc>
      </w:tr>
      <w:tr w:rsidR="00AB3CE1" w:rsidRPr="00AB3CE1" w14:paraId="211B31E1" w14:textId="77777777" w:rsidTr="5693C372">
        <w:trPr>
          <w:divId w:val="1948779569"/>
          <w:trHeight w:val="300"/>
        </w:trPr>
        <w:tc>
          <w:tcPr>
            <w:tcW w:w="1410" w:type="dxa"/>
            <w:tcBorders>
              <w:top w:val="single" w:sz="6" w:space="0" w:color="666666"/>
              <w:left w:val="nil"/>
              <w:bottom w:val="dotted" w:sz="6" w:space="0" w:color="auto"/>
              <w:right w:val="single" w:sz="6" w:space="0" w:color="666666"/>
            </w:tcBorders>
            <w:shd w:val="clear" w:color="auto" w:fill="FFFFFF" w:themeFill="background1"/>
            <w:hideMark/>
          </w:tcPr>
          <w:p w14:paraId="125457C4" w14:textId="77777777" w:rsidR="00AB3CE1" w:rsidRPr="00AB3CE1" w:rsidRDefault="00AB3CE1" w:rsidP="00AB3CE1">
            <w:pPr>
              <w:divId w:val="872422077"/>
              <w:rPr>
                <w:i/>
                <w:iCs/>
                <w:lang w:eastAsia="en-AU"/>
              </w:rPr>
            </w:pPr>
            <w:r w:rsidRPr="00AB3CE1">
              <w:rPr>
                <w:b/>
                <w:bCs/>
                <w:i/>
                <w:iCs/>
                <w:lang w:eastAsia="en-AU"/>
              </w:rPr>
              <w:t>Parties</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48B7C2A9" w14:textId="77777777" w:rsidR="00AB3CE1" w:rsidRPr="00AB3CE1" w:rsidRDefault="00AB3CE1" w:rsidP="00AB3CE1">
            <w:pPr>
              <w:divId w:val="872422077"/>
              <w:rPr>
                <w:lang w:eastAsia="en-AU"/>
              </w:rPr>
            </w:pPr>
            <w:r w:rsidRPr="00AB3CE1">
              <w:rPr>
                <w:lang w:eastAsia="en-AU"/>
              </w:rPr>
              <w:t>Operator/Tenant: Commonwealth of Australia (represented by the Department of Education) </w:t>
            </w:r>
          </w:p>
          <w:p w14:paraId="4CB399AC" w14:textId="77777777" w:rsidR="00AB3CE1" w:rsidRPr="00AB3CE1" w:rsidRDefault="00AB3CE1" w:rsidP="00AB3CE1">
            <w:pPr>
              <w:divId w:val="872422077"/>
              <w:rPr>
                <w:lang w:eastAsia="en-AU"/>
              </w:rPr>
            </w:pPr>
            <w:r w:rsidRPr="00AB3CE1">
              <w:rPr>
                <w:lang w:eastAsia="en-AU"/>
              </w:rPr>
              <w:t>Landowner: Northern Territory of Australia (represented by Department of Education (DoE)) </w:t>
            </w:r>
          </w:p>
        </w:tc>
      </w:tr>
      <w:tr w:rsidR="00AB3CE1" w:rsidRPr="00AB3CE1" w14:paraId="7D10B4E4" w14:textId="77777777" w:rsidTr="5693C372">
        <w:trPr>
          <w:divId w:val="1948779569"/>
          <w:trHeight w:val="300"/>
        </w:trPr>
        <w:tc>
          <w:tcPr>
            <w:tcW w:w="1410" w:type="dxa"/>
            <w:tcBorders>
              <w:top w:val="dotted" w:sz="6" w:space="0" w:color="auto"/>
              <w:left w:val="nil"/>
              <w:bottom w:val="dotted" w:sz="6" w:space="0" w:color="auto"/>
              <w:right w:val="single" w:sz="6" w:space="0" w:color="666666"/>
            </w:tcBorders>
            <w:shd w:val="clear" w:color="auto" w:fill="FFFFFF" w:themeFill="background1"/>
            <w:hideMark/>
          </w:tcPr>
          <w:p w14:paraId="2B5548C6" w14:textId="77777777" w:rsidR="00AB3CE1" w:rsidRPr="00AB3CE1" w:rsidRDefault="00AB3CE1" w:rsidP="00AB3CE1">
            <w:pPr>
              <w:divId w:val="872422077"/>
              <w:rPr>
                <w:i/>
                <w:iCs/>
                <w:lang w:eastAsia="en-AU"/>
              </w:rPr>
            </w:pPr>
            <w:r w:rsidRPr="00AB3CE1">
              <w:rPr>
                <w:b/>
                <w:bCs/>
                <w:i/>
                <w:iCs/>
                <w:lang w:eastAsia="en-AU"/>
              </w:rPr>
              <w:t>Arrangement</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01D5AB13" w14:textId="46800E32" w:rsidR="00AB3CE1" w:rsidRPr="00AB3CE1" w:rsidRDefault="00AB3CE1" w:rsidP="00AB3CE1">
            <w:pPr>
              <w:divId w:val="872422077"/>
              <w:rPr>
                <w:lang w:eastAsia="en-AU"/>
              </w:rPr>
            </w:pPr>
            <w:r w:rsidRPr="00AB3CE1">
              <w:rPr>
                <w:lang w:eastAsia="en-AU"/>
              </w:rPr>
              <w:t>The Commonwealth has</w:t>
            </w:r>
            <w:r w:rsidR="00BF7254">
              <w:rPr>
                <w:lang w:eastAsia="en-AU"/>
              </w:rPr>
              <w:t>,</w:t>
            </w:r>
            <w:r w:rsidRPr="00AB3CE1">
              <w:rPr>
                <w:lang w:eastAsia="en-AU"/>
              </w:rPr>
              <w:t xml:space="preserve"> pursuant to various Capital Works Funding Agreements with Northern Territory </w:t>
            </w:r>
            <w:r w:rsidR="00E45ED9">
              <w:rPr>
                <w:lang w:eastAsia="en-AU"/>
              </w:rPr>
              <w:t>Government,</w:t>
            </w:r>
            <w:r w:rsidRPr="00AB3CE1">
              <w:rPr>
                <w:lang w:eastAsia="en-AU"/>
              </w:rPr>
              <w:t xml:space="preserve"> provided funding to Northern Territory for the construction of child</w:t>
            </w:r>
            <w:r w:rsidR="00F90B2D">
              <w:rPr>
                <w:lang w:eastAsia="en-AU"/>
              </w:rPr>
              <w:t xml:space="preserve"> </w:t>
            </w:r>
            <w:r w:rsidRPr="00AB3CE1">
              <w:rPr>
                <w:lang w:eastAsia="en-AU"/>
              </w:rPr>
              <w:t xml:space="preserve">care facilities on Northern Territory school land. </w:t>
            </w:r>
            <w:r w:rsidR="007D4E6A">
              <w:rPr>
                <w:lang w:eastAsia="en-AU"/>
              </w:rPr>
              <w:t xml:space="preserve">These Capital Works Funding Agreements were not provided in the review. </w:t>
            </w:r>
            <w:r w:rsidRPr="00AB3CE1">
              <w:rPr>
                <w:lang w:eastAsia="en-AU"/>
              </w:rPr>
              <w:t>The Commonwealth now wishes to enter into an arrangement with Northern Territory for the operation and maintenance of the child</w:t>
            </w:r>
            <w:r w:rsidR="00F90B2D">
              <w:rPr>
                <w:lang w:eastAsia="en-AU"/>
              </w:rPr>
              <w:t xml:space="preserve"> </w:t>
            </w:r>
            <w:r w:rsidRPr="00AB3CE1">
              <w:rPr>
                <w:lang w:eastAsia="en-AU"/>
              </w:rPr>
              <w:t>care facilities constructed on the on the Northern Territory school land subject to the terms set out in the agreement. Northern Territory has agreed to enter into an arrangement. The Commonwealth then engages a person or organisation to operate and manage the child</w:t>
            </w:r>
            <w:r w:rsidR="00F90B2D">
              <w:rPr>
                <w:lang w:eastAsia="en-AU"/>
              </w:rPr>
              <w:t xml:space="preserve"> </w:t>
            </w:r>
            <w:r w:rsidRPr="00AB3CE1">
              <w:rPr>
                <w:lang w:eastAsia="en-AU"/>
              </w:rPr>
              <w:t>care service out of the facility. Commonwealth's obligation to select, enter into an agreement with, and fund a service provider to manage and operate the child</w:t>
            </w:r>
            <w:r w:rsidR="00F90B2D">
              <w:rPr>
                <w:lang w:eastAsia="en-AU"/>
              </w:rPr>
              <w:t xml:space="preserve"> </w:t>
            </w:r>
            <w:r w:rsidRPr="00AB3CE1">
              <w:rPr>
                <w:lang w:eastAsia="en-AU"/>
              </w:rPr>
              <w:t>care service. </w:t>
            </w:r>
          </w:p>
        </w:tc>
      </w:tr>
      <w:tr w:rsidR="00AB3CE1" w:rsidRPr="00AB3CE1" w14:paraId="45452E9E" w14:textId="77777777" w:rsidTr="5693C372">
        <w:trPr>
          <w:divId w:val="1948779569"/>
          <w:trHeight w:val="300"/>
        </w:trPr>
        <w:tc>
          <w:tcPr>
            <w:tcW w:w="1410" w:type="dxa"/>
            <w:tcBorders>
              <w:top w:val="dotted" w:sz="6" w:space="0" w:color="auto"/>
              <w:left w:val="nil"/>
              <w:bottom w:val="dotted" w:sz="6" w:space="0" w:color="auto"/>
              <w:right w:val="single" w:sz="6" w:space="0" w:color="666666"/>
            </w:tcBorders>
            <w:shd w:val="clear" w:color="auto" w:fill="FFFFFF" w:themeFill="background1"/>
            <w:hideMark/>
          </w:tcPr>
          <w:p w14:paraId="04F8897E" w14:textId="77777777" w:rsidR="00AB3CE1" w:rsidRPr="00AB3CE1" w:rsidRDefault="00AB3CE1" w:rsidP="00AB3CE1">
            <w:pPr>
              <w:divId w:val="872422077"/>
              <w:rPr>
                <w:i/>
                <w:iCs/>
                <w:lang w:eastAsia="en-AU"/>
              </w:rPr>
            </w:pPr>
            <w:r w:rsidRPr="00AB3CE1">
              <w:rPr>
                <w:b/>
                <w:bCs/>
                <w:i/>
                <w:iCs/>
                <w:lang w:eastAsia="en-AU"/>
              </w:rPr>
              <w:t>Obligations of the Parties</w:t>
            </w:r>
            <w:r w:rsidRPr="00AB3CE1">
              <w:rPr>
                <w:i/>
                <w:iCs/>
                <w:lang w:eastAsia="en-AU"/>
              </w:rPr>
              <w:t> </w:t>
            </w:r>
          </w:p>
        </w:tc>
        <w:tc>
          <w:tcPr>
            <w:tcW w:w="3825" w:type="dxa"/>
            <w:tcBorders>
              <w:top w:val="single" w:sz="6" w:space="0" w:color="666666"/>
              <w:left w:val="single" w:sz="6" w:space="0" w:color="666666"/>
              <w:bottom w:val="single" w:sz="6" w:space="0" w:color="666666"/>
              <w:right w:val="single" w:sz="6" w:space="0" w:color="666666"/>
            </w:tcBorders>
            <w:shd w:val="clear" w:color="auto" w:fill="CCCCCC"/>
            <w:hideMark/>
          </w:tcPr>
          <w:p w14:paraId="4DBF5827" w14:textId="77777777" w:rsidR="00AB3CE1" w:rsidRPr="00AB3CE1" w:rsidRDefault="00AB3CE1" w:rsidP="00AB3CE1">
            <w:pPr>
              <w:divId w:val="872422077"/>
              <w:rPr>
                <w:lang w:eastAsia="en-AU"/>
              </w:rPr>
            </w:pPr>
            <w:r w:rsidRPr="00AB3CE1">
              <w:rPr>
                <w:lang w:eastAsia="en-AU"/>
              </w:rPr>
              <w:t>Operator/Tenant: </w:t>
            </w:r>
          </w:p>
          <w:p w14:paraId="40A59E8B" w14:textId="25DC62AB" w:rsidR="00AB3CE1" w:rsidRPr="00AB3CE1" w:rsidRDefault="00AB3CE1" w:rsidP="00AB3CE1">
            <w:pPr>
              <w:divId w:val="872422077"/>
              <w:rPr>
                <w:lang w:eastAsia="en-AU"/>
              </w:rPr>
            </w:pPr>
            <w:r w:rsidRPr="00AB3CE1">
              <w:rPr>
                <w:lang w:eastAsia="en-AU"/>
              </w:rPr>
              <w:t>1. Department of Education must select, enter into an agreement with, and fund a Service Provider to manage and operate the child</w:t>
            </w:r>
            <w:r w:rsidR="00F90B2D">
              <w:rPr>
                <w:lang w:eastAsia="en-AU"/>
              </w:rPr>
              <w:t xml:space="preserve"> </w:t>
            </w:r>
            <w:r w:rsidRPr="00AB3CE1">
              <w:rPr>
                <w:lang w:eastAsia="en-AU"/>
              </w:rPr>
              <w:t>care. </w:t>
            </w:r>
            <w:r w:rsidRPr="00AB3CE1">
              <w:rPr>
                <w:lang w:eastAsia="en-AU"/>
              </w:rPr>
              <w:br/>
              <w:t xml:space="preserve">2. Support the service provider to maintain the building and outside play area to a standard that continues to meet the requirements under the </w:t>
            </w:r>
            <w:r w:rsidRPr="00AB3CE1">
              <w:rPr>
                <w:lang w:eastAsia="en-AU"/>
              </w:rPr>
              <w:lastRenderedPageBreak/>
              <w:t>Building Code of Australia and the National Quality Framework for Early Childhood Education and Care.</w:t>
            </w:r>
            <w:r w:rsidR="002E497C">
              <w:rPr>
                <w:lang w:eastAsia="en-AU"/>
              </w:rPr>
              <w:t xml:space="preserve"> </w:t>
            </w:r>
            <w:r w:rsidRPr="00AB3CE1">
              <w:rPr>
                <w:lang w:eastAsia="en-AU"/>
              </w:rPr>
              <w:br/>
              <w:t>3. Ensure the service provider maintains the building and outdoor play area, repairs any damage to the facility and outdoor play area, and is responsible for the whole of life repairs and maintenance excluding mechanical and electrical fixed assets</w:t>
            </w:r>
            <w:r w:rsidR="002E497C">
              <w:rPr>
                <w:lang w:eastAsia="en-AU"/>
              </w:rPr>
              <w:t xml:space="preserve"> </w:t>
            </w:r>
          </w:p>
        </w:tc>
        <w:tc>
          <w:tcPr>
            <w:tcW w:w="3960" w:type="dxa"/>
            <w:tcBorders>
              <w:top w:val="single" w:sz="6" w:space="0" w:color="666666"/>
              <w:left w:val="single" w:sz="6" w:space="0" w:color="666666"/>
              <w:bottom w:val="single" w:sz="6" w:space="0" w:color="666666"/>
              <w:right w:val="single" w:sz="6" w:space="0" w:color="666666"/>
            </w:tcBorders>
            <w:shd w:val="clear" w:color="auto" w:fill="CCCCCC"/>
            <w:hideMark/>
          </w:tcPr>
          <w:p w14:paraId="2CC01430" w14:textId="77777777" w:rsidR="00AB3CE1" w:rsidRPr="00AB3CE1" w:rsidRDefault="00AB3CE1" w:rsidP="00AB3CE1">
            <w:pPr>
              <w:divId w:val="872422077"/>
              <w:rPr>
                <w:lang w:eastAsia="en-AU"/>
              </w:rPr>
            </w:pPr>
            <w:r w:rsidRPr="00AB3CE1">
              <w:rPr>
                <w:lang w:eastAsia="en-AU"/>
              </w:rPr>
              <w:lastRenderedPageBreak/>
              <w:t>Landowner: </w:t>
            </w:r>
          </w:p>
          <w:p w14:paraId="5FD3392C" w14:textId="77777777" w:rsidR="00AB3CE1" w:rsidRPr="00AB3CE1" w:rsidRDefault="00AB3CE1" w:rsidP="00AB3CE1">
            <w:pPr>
              <w:divId w:val="872422077"/>
              <w:rPr>
                <w:lang w:eastAsia="en-AU"/>
              </w:rPr>
            </w:pPr>
            <w:r w:rsidRPr="00AB3CE1">
              <w:rPr>
                <w:lang w:eastAsia="en-AU"/>
              </w:rPr>
              <w:t>1. Ensure cyclical maintenance is carried out for mechanical and electrical fixed assets </w:t>
            </w:r>
            <w:r w:rsidRPr="00AB3CE1">
              <w:rPr>
                <w:lang w:eastAsia="en-AU"/>
              </w:rPr>
              <w:br/>
              <w:t>2. Repair or replace mechanical and electrical fixed assets if deemed unusable through major fault. </w:t>
            </w:r>
          </w:p>
        </w:tc>
      </w:tr>
      <w:tr w:rsidR="00AB3CE1" w:rsidRPr="00AB3CE1" w14:paraId="71C56ACE" w14:textId="77777777" w:rsidTr="5693C372">
        <w:trPr>
          <w:divId w:val="1948779569"/>
          <w:trHeight w:val="300"/>
        </w:trPr>
        <w:tc>
          <w:tcPr>
            <w:tcW w:w="1410" w:type="dxa"/>
            <w:tcBorders>
              <w:top w:val="dotted" w:sz="6" w:space="0" w:color="auto"/>
              <w:left w:val="nil"/>
              <w:bottom w:val="dotted" w:sz="6" w:space="0" w:color="auto"/>
              <w:right w:val="single" w:sz="6" w:space="0" w:color="666666"/>
            </w:tcBorders>
            <w:shd w:val="clear" w:color="auto" w:fill="FFFFFF" w:themeFill="background1"/>
            <w:hideMark/>
          </w:tcPr>
          <w:p w14:paraId="0A1A30E1" w14:textId="77777777" w:rsidR="00AB3CE1" w:rsidRPr="00AB3CE1" w:rsidRDefault="00AB3CE1" w:rsidP="00AB3CE1">
            <w:pPr>
              <w:divId w:val="872422077"/>
              <w:rPr>
                <w:i/>
                <w:iCs/>
                <w:lang w:eastAsia="en-AU"/>
              </w:rPr>
            </w:pPr>
            <w:r w:rsidRPr="00AB3CE1">
              <w:rPr>
                <w:b/>
                <w:bCs/>
                <w:i/>
                <w:iCs/>
                <w:lang w:eastAsia="en-AU"/>
              </w:rPr>
              <w:t>Financial Consideration</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29D1D42C" w14:textId="77777777" w:rsidR="00AB3CE1" w:rsidRPr="00AB3CE1" w:rsidRDefault="00AB3CE1" w:rsidP="00AB3CE1">
            <w:pPr>
              <w:divId w:val="872422077"/>
              <w:rPr>
                <w:lang w:eastAsia="en-AU"/>
              </w:rPr>
            </w:pPr>
            <w:r w:rsidRPr="00AB3CE1">
              <w:rPr>
                <w:lang w:eastAsia="en-AU"/>
              </w:rPr>
              <w:t>None </w:t>
            </w:r>
          </w:p>
        </w:tc>
      </w:tr>
      <w:tr w:rsidR="00AB3CE1" w:rsidRPr="00AB3CE1" w14:paraId="6F2F32C8" w14:textId="77777777" w:rsidTr="5693C372">
        <w:trPr>
          <w:divId w:val="1948779569"/>
          <w:trHeight w:val="300"/>
        </w:trPr>
        <w:tc>
          <w:tcPr>
            <w:tcW w:w="1410" w:type="dxa"/>
            <w:tcBorders>
              <w:top w:val="dotted" w:sz="6" w:space="0" w:color="auto"/>
              <w:left w:val="nil"/>
              <w:bottom w:val="dotted" w:sz="6" w:space="0" w:color="auto"/>
              <w:right w:val="single" w:sz="6" w:space="0" w:color="666666"/>
            </w:tcBorders>
            <w:shd w:val="clear" w:color="auto" w:fill="FFFFFF" w:themeFill="background1"/>
            <w:hideMark/>
          </w:tcPr>
          <w:p w14:paraId="3D9F6456" w14:textId="77777777" w:rsidR="00AB3CE1" w:rsidRPr="00AB3CE1" w:rsidRDefault="00AB3CE1" w:rsidP="00AB3CE1">
            <w:pPr>
              <w:divId w:val="872422077"/>
              <w:rPr>
                <w:i/>
                <w:iCs/>
                <w:lang w:eastAsia="en-AU"/>
              </w:rPr>
            </w:pPr>
            <w:r w:rsidRPr="00AB3CE1">
              <w:rPr>
                <w:b/>
                <w:bCs/>
                <w:i/>
                <w:iCs/>
                <w:lang w:eastAsia="en-AU"/>
              </w:rPr>
              <w:t>Term</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26D908B1" w14:textId="77777777" w:rsidR="00AB3CE1" w:rsidRPr="00AB3CE1" w:rsidRDefault="00AB3CE1" w:rsidP="00AB3CE1">
            <w:pPr>
              <w:divId w:val="872422077"/>
              <w:rPr>
                <w:lang w:eastAsia="en-AU"/>
              </w:rPr>
            </w:pPr>
            <w:r w:rsidRPr="00AB3CE1">
              <w:rPr>
                <w:lang w:eastAsia="en-AU"/>
              </w:rPr>
              <w:t>20 years </w:t>
            </w:r>
          </w:p>
        </w:tc>
      </w:tr>
      <w:tr w:rsidR="00AB3CE1" w:rsidRPr="00AB3CE1" w14:paraId="6C2F5A62" w14:textId="77777777" w:rsidTr="5693C372">
        <w:trPr>
          <w:divId w:val="1948779569"/>
          <w:trHeight w:val="300"/>
        </w:trPr>
        <w:tc>
          <w:tcPr>
            <w:tcW w:w="1410" w:type="dxa"/>
            <w:tcBorders>
              <w:top w:val="dotted" w:sz="6" w:space="0" w:color="auto"/>
              <w:left w:val="nil"/>
              <w:bottom w:val="dotted" w:sz="6" w:space="0" w:color="auto"/>
              <w:right w:val="single" w:sz="6" w:space="0" w:color="666666"/>
            </w:tcBorders>
            <w:shd w:val="clear" w:color="auto" w:fill="FFFFFF" w:themeFill="background1"/>
            <w:hideMark/>
          </w:tcPr>
          <w:p w14:paraId="00BC239D" w14:textId="77777777" w:rsidR="00AB3CE1" w:rsidRPr="00AB3CE1" w:rsidRDefault="00AB3CE1" w:rsidP="00AB3CE1">
            <w:pPr>
              <w:divId w:val="872422077"/>
              <w:rPr>
                <w:i/>
                <w:iCs/>
                <w:lang w:eastAsia="en-AU"/>
              </w:rPr>
            </w:pPr>
            <w:r w:rsidRPr="00AB3CE1">
              <w:rPr>
                <w:b/>
                <w:bCs/>
                <w:i/>
                <w:iCs/>
                <w:lang w:eastAsia="en-AU"/>
              </w:rPr>
              <w:t>Permitted Use</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4CAEE260" w14:textId="4B738447" w:rsidR="00AB3CE1" w:rsidRPr="00AB3CE1" w:rsidRDefault="00AB3CE1" w:rsidP="00AB3CE1">
            <w:pPr>
              <w:divId w:val="872422077"/>
              <w:rPr>
                <w:lang w:eastAsia="en-AU"/>
              </w:rPr>
            </w:pPr>
            <w:r w:rsidRPr="00AB3CE1">
              <w:rPr>
                <w:lang w:eastAsia="en-AU"/>
              </w:rPr>
              <w:t>Child</w:t>
            </w:r>
            <w:r w:rsidR="00F90B2D">
              <w:rPr>
                <w:lang w:eastAsia="en-AU"/>
              </w:rPr>
              <w:t xml:space="preserve"> </w:t>
            </w:r>
            <w:r w:rsidRPr="00AB3CE1">
              <w:rPr>
                <w:lang w:eastAsia="en-AU"/>
              </w:rPr>
              <w:t>care </w:t>
            </w:r>
          </w:p>
        </w:tc>
      </w:tr>
      <w:tr w:rsidR="00AB3CE1" w:rsidRPr="00AB3CE1" w14:paraId="16A5C314" w14:textId="77777777" w:rsidTr="5693C372">
        <w:trPr>
          <w:divId w:val="1948779569"/>
          <w:trHeight w:val="300"/>
        </w:trPr>
        <w:tc>
          <w:tcPr>
            <w:tcW w:w="1410" w:type="dxa"/>
            <w:tcBorders>
              <w:top w:val="dotted" w:sz="6" w:space="0" w:color="auto"/>
              <w:left w:val="nil"/>
              <w:bottom w:val="dotted" w:sz="6" w:space="0" w:color="auto"/>
              <w:right w:val="single" w:sz="6" w:space="0" w:color="666666"/>
            </w:tcBorders>
            <w:shd w:val="clear" w:color="auto" w:fill="FFFFFF" w:themeFill="background1"/>
            <w:hideMark/>
          </w:tcPr>
          <w:p w14:paraId="6FAB6147" w14:textId="77777777" w:rsidR="00AB3CE1" w:rsidRPr="00AB3CE1" w:rsidRDefault="00AB3CE1" w:rsidP="00AB3CE1">
            <w:pPr>
              <w:divId w:val="872422077"/>
              <w:rPr>
                <w:i/>
                <w:iCs/>
                <w:lang w:eastAsia="en-AU"/>
              </w:rPr>
            </w:pPr>
            <w:r w:rsidRPr="00AB3CE1">
              <w:rPr>
                <w:b/>
                <w:bCs/>
                <w:i/>
                <w:iCs/>
                <w:lang w:eastAsia="en-AU"/>
              </w:rPr>
              <w:t>Operational Expenses</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1CBFCE6A" w14:textId="77777777" w:rsidR="00AB3CE1" w:rsidRPr="00AB3CE1" w:rsidRDefault="00AB3CE1" w:rsidP="00AB3CE1">
            <w:pPr>
              <w:divId w:val="872422077"/>
              <w:rPr>
                <w:lang w:eastAsia="en-AU"/>
              </w:rPr>
            </w:pPr>
            <w:r w:rsidRPr="00AB3CE1">
              <w:rPr>
                <w:lang w:eastAsia="en-AU"/>
              </w:rPr>
              <w:t>Tenant is responsible for all outgoings. </w:t>
            </w:r>
          </w:p>
          <w:p w14:paraId="055E8876" w14:textId="77777777" w:rsidR="00AB3CE1" w:rsidRPr="00AB3CE1" w:rsidRDefault="00AB3CE1" w:rsidP="00AB3CE1">
            <w:pPr>
              <w:divId w:val="872422077"/>
              <w:rPr>
                <w:lang w:eastAsia="en-AU"/>
              </w:rPr>
            </w:pPr>
            <w:r w:rsidRPr="00AB3CE1">
              <w:rPr>
                <w:lang w:eastAsia="en-AU"/>
              </w:rPr>
              <w:t>Tenant is responsible for the ongoing repairs and maintenance excluding mechanical and electrical fixed assets. </w:t>
            </w:r>
          </w:p>
        </w:tc>
      </w:tr>
      <w:tr w:rsidR="00AB3CE1" w:rsidRPr="00AB3CE1" w14:paraId="741C8BA6" w14:textId="77777777" w:rsidTr="5693C372">
        <w:trPr>
          <w:divId w:val="1948779569"/>
          <w:trHeight w:val="300"/>
        </w:trPr>
        <w:tc>
          <w:tcPr>
            <w:tcW w:w="1410" w:type="dxa"/>
            <w:tcBorders>
              <w:top w:val="dotted" w:sz="6" w:space="0" w:color="auto"/>
              <w:left w:val="nil"/>
              <w:bottom w:val="dotted" w:sz="6" w:space="0" w:color="auto"/>
              <w:right w:val="single" w:sz="6" w:space="0" w:color="666666"/>
            </w:tcBorders>
            <w:shd w:val="clear" w:color="auto" w:fill="FFFFFF" w:themeFill="background1"/>
            <w:hideMark/>
          </w:tcPr>
          <w:p w14:paraId="7039902F" w14:textId="77777777" w:rsidR="00AB3CE1" w:rsidRPr="00AB3CE1" w:rsidRDefault="00AB3CE1" w:rsidP="00AB3CE1">
            <w:pPr>
              <w:divId w:val="872422077"/>
              <w:rPr>
                <w:i/>
                <w:iCs/>
                <w:lang w:eastAsia="en-AU"/>
              </w:rPr>
            </w:pPr>
            <w:r w:rsidRPr="00AB3CE1">
              <w:rPr>
                <w:b/>
                <w:bCs/>
                <w:i/>
                <w:iCs/>
                <w:lang w:eastAsia="en-AU"/>
              </w:rPr>
              <w:t>Capital Expenditure</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6B5D4492" w14:textId="77777777" w:rsidR="00AB3CE1" w:rsidRPr="00AB3CE1" w:rsidRDefault="00AB3CE1" w:rsidP="00AB3CE1">
            <w:pPr>
              <w:divId w:val="872422077"/>
              <w:rPr>
                <w:lang w:eastAsia="en-AU"/>
              </w:rPr>
            </w:pPr>
            <w:r w:rsidRPr="00AB3CE1">
              <w:rPr>
                <w:lang w:eastAsia="en-AU"/>
              </w:rPr>
              <w:t>Nil. </w:t>
            </w:r>
          </w:p>
        </w:tc>
      </w:tr>
      <w:tr w:rsidR="00AB3CE1" w:rsidRPr="00AB3CE1" w14:paraId="218FC59F" w14:textId="77777777" w:rsidTr="5693C372">
        <w:trPr>
          <w:divId w:val="1948779569"/>
          <w:trHeight w:val="300"/>
        </w:trPr>
        <w:tc>
          <w:tcPr>
            <w:tcW w:w="1410" w:type="dxa"/>
            <w:tcBorders>
              <w:top w:val="dotted" w:sz="6" w:space="0" w:color="auto"/>
              <w:left w:val="nil"/>
              <w:bottom w:val="dotted" w:sz="6" w:space="0" w:color="auto"/>
              <w:right w:val="single" w:sz="6" w:space="0" w:color="666666"/>
            </w:tcBorders>
            <w:shd w:val="clear" w:color="auto" w:fill="FFFFFF" w:themeFill="background1"/>
            <w:hideMark/>
          </w:tcPr>
          <w:p w14:paraId="06264DD4" w14:textId="77777777" w:rsidR="00AB3CE1" w:rsidRPr="00AB3CE1" w:rsidRDefault="00AB3CE1" w:rsidP="00AB3CE1">
            <w:pPr>
              <w:divId w:val="872422077"/>
              <w:rPr>
                <w:i/>
                <w:iCs/>
                <w:lang w:eastAsia="en-AU"/>
              </w:rPr>
            </w:pPr>
            <w:r w:rsidRPr="00AB3CE1">
              <w:rPr>
                <w:b/>
                <w:bCs/>
                <w:i/>
                <w:iCs/>
                <w:lang w:eastAsia="en-AU"/>
              </w:rPr>
              <w:t>Upon Expiry</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CCCCCC"/>
            <w:hideMark/>
          </w:tcPr>
          <w:p w14:paraId="06846E80" w14:textId="77777777" w:rsidR="00AB3CE1" w:rsidRPr="00AB3CE1" w:rsidRDefault="00AB3CE1" w:rsidP="00AB3CE1">
            <w:pPr>
              <w:divId w:val="872422077"/>
              <w:rPr>
                <w:lang w:eastAsia="en-AU"/>
              </w:rPr>
            </w:pPr>
            <w:r w:rsidRPr="00AB3CE1">
              <w:rPr>
                <w:lang w:eastAsia="en-AU"/>
              </w:rPr>
              <w:t>Nil. </w:t>
            </w:r>
          </w:p>
        </w:tc>
      </w:tr>
      <w:tr w:rsidR="00AB3CE1" w:rsidRPr="00AB3CE1" w14:paraId="71BD01CD" w14:textId="77777777" w:rsidTr="5693C372">
        <w:trPr>
          <w:divId w:val="1948779569"/>
          <w:trHeight w:val="300"/>
        </w:trPr>
        <w:tc>
          <w:tcPr>
            <w:tcW w:w="1410" w:type="dxa"/>
            <w:tcBorders>
              <w:top w:val="dotted" w:sz="6" w:space="0" w:color="auto"/>
              <w:left w:val="nil"/>
              <w:bottom w:val="single" w:sz="6" w:space="0" w:color="auto"/>
              <w:right w:val="single" w:sz="6" w:space="0" w:color="666666"/>
            </w:tcBorders>
            <w:shd w:val="clear" w:color="auto" w:fill="FFFFFF" w:themeFill="background1"/>
            <w:hideMark/>
          </w:tcPr>
          <w:p w14:paraId="239D232E" w14:textId="77777777" w:rsidR="00AB3CE1" w:rsidRPr="00AB3CE1" w:rsidRDefault="00AB3CE1" w:rsidP="00AB3CE1">
            <w:pPr>
              <w:divId w:val="872422077"/>
              <w:rPr>
                <w:i/>
                <w:iCs/>
                <w:lang w:eastAsia="en-AU"/>
              </w:rPr>
            </w:pPr>
            <w:r w:rsidRPr="00AB3CE1">
              <w:rPr>
                <w:b/>
                <w:bCs/>
                <w:i/>
                <w:iCs/>
                <w:lang w:eastAsia="en-AU"/>
              </w:rPr>
              <w:t>Other</w:t>
            </w:r>
            <w:r w:rsidRPr="00AB3CE1">
              <w:rPr>
                <w:i/>
                <w:iCs/>
                <w:lang w:eastAsia="en-AU"/>
              </w:rPr>
              <w:t> </w:t>
            </w:r>
          </w:p>
        </w:tc>
        <w:tc>
          <w:tcPr>
            <w:tcW w:w="7785" w:type="dxa"/>
            <w:gridSpan w:val="2"/>
            <w:tcBorders>
              <w:top w:val="single" w:sz="6" w:space="0" w:color="666666"/>
              <w:left w:val="single" w:sz="6" w:space="0" w:color="666666"/>
              <w:bottom w:val="single" w:sz="6" w:space="0" w:color="666666"/>
              <w:right w:val="single" w:sz="6" w:space="0" w:color="666666"/>
            </w:tcBorders>
            <w:shd w:val="clear" w:color="auto" w:fill="auto"/>
            <w:hideMark/>
          </w:tcPr>
          <w:p w14:paraId="5E5B5AF3" w14:textId="77777777" w:rsidR="00AB3CE1" w:rsidRPr="00AB3CE1" w:rsidRDefault="00AB3CE1" w:rsidP="00AB3CE1">
            <w:pPr>
              <w:spacing w:after="0" w:line="240" w:lineRule="auto"/>
              <w:textAlignment w:val="baseline"/>
              <w:divId w:val="872422077"/>
              <w:rPr>
                <w:rFonts w:ascii="Segoe UI" w:eastAsia="Times New Roman" w:hAnsi="Segoe UI" w:cs="Segoe UI"/>
                <w:lang w:eastAsia="en-AU"/>
              </w:rPr>
            </w:pPr>
            <w:r w:rsidRPr="00AB3CE1">
              <w:rPr>
                <w:lang w:eastAsia="en-AU"/>
              </w:rPr>
              <w:t>Shared spaces and/or facilities with the school to be negotiated between the Service Provider and the school.</w:t>
            </w:r>
            <w:r w:rsidRPr="00AB3CE1">
              <w:rPr>
                <w:rFonts w:ascii="Calibri Light" w:eastAsia="Times New Roman" w:hAnsi="Calibri Light" w:cs="Calibri Light"/>
                <w:sz w:val="16"/>
                <w:szCs w:val="16"/>
                <w:lang w:eastAsia="en-AU"/>
              </w:rPr>
              <w:t> </w:t>
            </w:r>
          </w:p>
        </w:tc>
      </w:tr>
    </w:tbl>
    <w:p w14:paraId="0371EFAF" w14:textId="77777777" w:rsidR="003549F9" w:rsidRPr="003549F9" w:rsidRDefault="003549F9" w:rsidP="000B3DB8"/>
    <w:p w14:paraId="7B0877FE" w14:textId="77777777" w:rsidR="002D34EC" w:rsidRPr="003549F9" w:rsidRDefault="002D34EC" w:rsidP="002C1140">
      <w:pPr>
        <w:pStyle w:val="Reference"/>
      </w:pPr>
    </w:p>
    <w:p w14:paraId="7C04487A" w14:textId="79DAC6D4" w:rsidR="007778DE" w:rsidRDefault="00543F9F" w:rsidP="007778DE">
      <w:pPr>
        <w:pStyle w:val="Appendixhead1"/>
      </w:pPr>
      <w:bookmarkStart w:id="484" w:name="_Ref158904825"/>
      <w:bookmarkStart w:id="485" w:name="_Toc158993793"/>
      <w:bookmarkStart w:id="486" w:name="_Toc170227443"/>
      <w:r>
        <w:lastRenderedPageBreak/>
        <w:t>Methodology for outcomes analysis</w:t>
      </w:r>
      <w:bookmarkEnd w:id="484"/>
      <w:bookmarkEnd w:id="485"/>
      <w:bookmarkEnd w:id="486"/>
    </w:p>
    <w:p w14:paraId="4C62B224" w14:textId="63EFAAA7" w:rsidR="004A6045" w:rsidRDefault="004A6045" w:rsidP="00220453">
      <w:pPr>
        <w:pStyle w:val="Reference"/>
        <w:ind w:left="0" w:firstLine="0"/>
      </w:pPr>
      <w:r>
        <w:t>This appendix outlines the methodology that underpin the analysis on CCCFR outcomes</w:t>
      </w:r>
      <w:r w:rsidR="00774873">
        <w:t xml:space="preserve"> (Chapter</w:t>
      </w:r>
      <w:r w:rsidR="00543F9F">
        <w:t xml:space="preserve"> </w:t>
      </w:r>
      <w:r w:rsidR="00B625AB">
        <w:fldChar w:fldCharType="begin"/>
      </w:r>
      <w:r w:rsidR="00B625AB">
        <w:instrText xml:space="preserve"> REF _Ref153351190 \r \h </w:instrText>
      </w:r>
      <w:r w:rsidR="00B625AB">
        <w:fldChar w:fldCharType="separate"/>
      </w:r>
      <w:r w:rsidR="00D300D0">
        <w:t>5.1</w:t>
      </w:r>
      <w:r w:rsidR="00B625AB">
        <w:fldChar w:fldCharType="end"/>
      </w:r>
      <w:r w:rsidR="00774873">
        <w:t>)</w:t>
      </w:r>
      <w:r>
        <w:t>, including:</w:t>
      </w:r>
    </w:p>
    <w:p w14:paraId="27C35CD1" w14:textId="65CC2846" w:rsidR="004A6045" w:rsidRDefault="00DE6FD0" w:rsidP="00416EA8">
      <w:pPr>
        <w:pStyle w:val="ListBullet"/>
        <w:numPr>
          <w:ilvl w:val="0"/>
          <w:numId w:val="40"/>
        </w:numPr>
      </w:pPr>
      <w:r w:rsidRPr="00543F9F">
        <w:rPr>
          <w:b/>
          <w:bCs/>
        </w:rPr>
        <w:t xml:space="preserve">Child care </w:t>
      </w:r>
      <w:r w:rsidR="00543F9F">
        <w:rPr>
          <w:b/>
          <w:bCs/>
        </w:rPr>
        <w:t>participation</w:t>
      </w:r>
      <w:r>
        <w:t>, including</w:t>
      </w:r>
      <w:r w:rsidR="00543F9F">
        <w:t xml:space="preserve"> both in child care and preschool</w:t>
      </w:r>
      <w:r>
        <w:t xml:space="preserve"> </w:t>
      </w:r>
      <w:r w:rsidR="00543F9F">
        <w:t xml:space="preserve">programs, and trends in a key </w:t>
      </w:r>
      <w:r w:rsidR="00CC777A">
        <w:t>driver of participation</w:t>
      </w:r>
      <w:r w:rsidR="00543F9F">
        <w:t xml:space="preserve"> –</w:t>
      </w:r>
      <w:r w:rsidR="00CC777A">
        <w:t xml:space="preserve"> affordability. </w:t>
      </w:r>
    </w:p>
    <w:p w14:paraId="6A47F218" w14:textId="05FF5046" w:rsidR="00DE6FD0" w:rsidRDefault="00DE6FD0" w:rsidP="00416EA8">
      <w:pPr>
        <w:pStyle w:val="ListBullet"/>
        <w:numPr>
          <w:ilvl w:val="0"/>
          <w:numId w:val="40"/>
        </w:numPr>
      </w:pPr>
      <w:r w:rsidRPr="00543F9F">
        <w:rPr>
          <w:b/>
          <w:bCs/>
        </w:rPr>
        <w:t>Early childhood development outcomes</w:t>
      </w:r>
      <w:r w:rsidR="00543F9F">
        <w:t xml:space="preserve"> as proxied by the prevalence of </w:t>
      </w:r>
      <w:r w:rsidR="00CC777A">
        <w:t>developmental vulnerability</w:t>
      </w:r>
      <w:r w:rsidR="00543F9F">
        <w:t xml:space="preserve"> upon entering primary school</w:t>
      </w:r>
      <w:r w:rsidR="00CC777A">
        <w:t xml:space="preserve">. </w:t>
      </w:r>
    </w:p>
    <w:p w14:paraId="3D2FFD05" w14:textId="6BD57E9A" w:rsidR="00DE6FD0" w:rsidRDefault="00DE6FD0" w:rsidP="00416EA8">
      <w:pPr>
        <w:pStyle w:val="ListBullet"/>
        <w:numPr>
          <w:ilvl w:val="0"/>
          <w:numId w:val="40"/>
        </w:numPr>
      </w:pPr>
      <w:r w:rsidRPr="00543F9F">
        <w:rPr>
          <w:b/>
          <w:bCs/>
        </w:rPr>
        <w:t>Workforce participation outcomes</w:t>
      </w:r>
      <w:r>
        <w:t xml:space="preserve"> </w:t>
      </w:r>
      <w:r w:rsidR="00CC777A">
        <w:t xml:space="preserve">for the primary carers of children who engage with the CCCFR services. </w:t>
      </w:r>
    </w:p>
    <w:p w14:paraId="19E36BE6" w14:textId="599B6ACC" w:rsidR="00617D56" w:rsidRDefault="00543F9F" w:rsidP="004A6045">
      <w:pPr>
        <w:pStyle w:val="Reference"/>
        <w:ind w:left="0" w:firstLine="0"/>
      </w:pPr>
      <w:r>
        <w:t xml:space="preserve">In order to estimate the </w:t>
      </w:r>
      <w:r w:rsidR="004A6045">
        <w:t xml:space="preserve">causal impacts of the CCCFR </w:t>
      </w:r>
      <w:r w:rsidR="004048DB" w:rsidRPr="004048DB">
        <w:t>grant</w:t>
      </w:r>
      <w:r w:rsidR="004A6045">
        <w:t xml:space="preserve">, </w:t>
      </w:r>
      <w:r w:rsidR="00794BCC">
        <w:t xml:space="preserve">the </w:t>
      </w:r>
      <w:r w:rsidR="004A6045">
        <w:t xml:space="preserve">analysis </w:t>
      </w:r>
      <w:r>
        <w:t xml:space="preserve">would </w:t>
      </w:r>
      <w:r w:rsidR="004A6045">
        <w:t>look to compare the</w:t>
      </w:r>
      <w:r w:rsidR="00617D56">
        <w:t xml:space="preserve"> observed outcomes of services</w:t>
      </w:r>
      <w:r w:rsidR="00794BCC">
        <w:t>, children and families</w:t>
      </w:r>
      <w:r w:rsidR="00617D56">
        <w:t xml:space="preserve"> in the CCCFR </w:t>
      </w:r>
      <w:r w:rsidR="004048DB" w:rsidRPr="004048DB">
        <w:t>grant</w:t>
      </w:r>
      <w:r w:rsidR="00617D56">
        <w:t xml:space="preserve"> with a </w:t>
      </w:r>
      <w:r>
        <w:t xml:space="preserve">suitable </w:t>
      </w:r>
      <w:r w:rsidR="00794BCC">
        <w:t>‘</w:t>
      </w:r>
      <w:r w:rsidR="00617D56">
        <w:t xml:space="preserve">counterfactual’ where the service did not receive CCCFR funding. </w:t>
      </w:r>
    </w:p>
    <w:p w14:paraId="4C8B2214" w14:textId="598D3E92" w:rsidR="00617D56" w:rsidRDefault="00794BCC" w:rsidP="004A6045">
      <w:pPr>
        <w:pStyle w:val="Reference"/>
        <w:ind w:left="0" w:firstLine="0"/>
      </w:pPr>
      <w:r>
        <w:t xml:space="preserve">This would ideally </w:t>
      </w:r>
      <w:r w:rsidR="00617D56">
        <w:t xml:space="preserve">be </w:t>
      </w:r>
      <w:r>
        <w:t xml:space="preserve">completed </w:t>
      </w:r>
      <w:r w:rsidR="00617D56">
        <w:t xml:space="preserve">through </w:t>
      </w:r>
      <w:r w:rsidR="00543F9F">
        <w:t xml:space="preserve">the use of </w:t>
      </w:r>
      <w:r w:rsidR="00A23C65">
        <w:t>randomised controlled trials</w:t>
      </w:r>
      <w:r w:rsidR="00543F9F">
        <w:t>,</w:t>
      </w:r>
      <w:r w:rsidR="00A23C65">
        <w:t xml:space="preserve"> where </w:t>
      </w:r>
      <w:r w:rsidR="00543F9F">
        <w:t xml:space="preserve">child care services (that are otherwise similar) </w:t>
      </w:r>
      <w:r w:rsidR="00A23C65">
        <w:t xml:space="preserve">are </w:t>
      </w:r>
      <w:r w:rsidR="001927FC">
        <w:t xml:space="preserve">randomly </w:t>
      </w:r>
      <w:r w:rsidR="00543F9F">
        <w:t xml:space="preserve">assigned </w:t>
      </w:r>
      <w:r w:rsidR="00A23C65">
        <w:t>as</w:t>
      </w:r>
      <w:r w:rsidR="001927FC">
        <w:t xml:space="preserve"> either</w:t>
      </w:r>
      <w:r w:rsidR="00EC358E">
        <w:t xml:space="preserve"> </w:t>
      </w:r>
      <w:r w:rsidR="00543F9F">
        <w:t xml:space="preserve">being </w:t>
      </w:r>
      <w:r w:rsidR="00EC358E">
        <w:t xml:space="preserve">in the </w:t>
      </w:r>
      <w:r w:rsidR="001927FC">
        <w:t xml:space="preserve">CCCFR </w:t>
      </w:r>
      <w:r w:rsidR="004048DB" w:rsidRPr="004048DB">
        <w:t>grant</w:t>
      </w:r>
      <w:r w:rsidR="00EC358E">
        <w:t xml:space="preserve">, or not being in the CCCFR </w:t>
      </w:r>
      <w:r w:rsidR="004048DB" w:rsidRPr="004048DB">
        <w:t>grant</w:t>
      </w:r>
      <w:r w:rsidR="001927FC">
        <w:t>. Subsequent</w:t>
      </w:r>
      <w:r w:rsidR="00543F9F">
        <w:t xml:space="preserve"> </w:t>
      </w:r>
      <w:r w:rsidR="001927FC">
        <w:t>observe</w:t>
      </w:r>
      <w:r w:rsidR="0068134E">
        <w:t>d</w:t>
      </w:r>
      <w:r w:rsidR="001927FC">
        <w:t xml:space="preserve"> differences in outcomes</w:t>
      </w:r>
      <w:r w:rsidR="0068134E">
        <w:t xml:space="preserve"> </w:t>
      </w:r>
      <w:r w:rsidR="00EC358E">
        <w:t xml:space="preserve">between the two groups </w:t>
      </w:r>
      <w:r w:rsidR="0068134E">
        <w:t xml:space="preserve">over time could be attributed to </w:t>
      </w:r>
      <w:r w:rsidR="00543F9F">
        <w:t xml:space="preserve">being a part of the </w:t>
      </w:r>
      <w:r w:rsidR="0068134E">
        <w:t xml:space="preserve">CCCFR </w:t>
      </w:r>
      <w:r w:rsidR="004048DB" w:rsidRPr="004048DB">
        <w:t>grant</w:t>
      </w:r>
      <w:r w:rsidR="00543F9F">
        <w:t xml:space="preserve">. The </w:t>
      </w:r>
      <w:r w:rsidR="00032130">
        <w:t xml:space="preserve">random assignment is important in determining a causal link as it reduces selection bias and the presence of other </w:t>
      </w:r>
      <w:r w:rsidR="00EC358E">
        <w:t xml:space="preserve">factors that may contribute to a group of services </w:t>
      </w:r>
      <w:r w:rsidR="00032130">
        <w:t xml:space="preserve">choosing to be in their CCCFR </w:t>
      </w:r>
      <w:r w:rsidR="004048DB" w:rsidRPr="004048DB">
        <w:t>grant</w:t>
      </w:r>
      <w:r w:rsidR="00032130">
        <w:t>, and their subsequent outcomes</w:t>
      </w:r>
      <w:r w:rsidR="0068134E">
        <w:t>.</w:t>
      </w:r>
    </w:p>
    <w:p w14:paraId="1187578E" w14:textId="3DEDF293" w:rsidR="001B08E2" w:rsidRDefault="00032130" w:rsidP="004A6045">
      <w:pPr>
        <w:pStyle w:val="Reference"/>
        <w:ind w:left="0" w:firstLine="0"/>
      </w:pPr>
      <w:r>
        <w:t xml:space="preserve">While the </w:t>
      </w:r>
      <w:r w:rsidR="00EC358E">
        <w:t xml:space="preserve">analysis </w:t>
      </w:r>
      <w:r>
        <w:t xml:space="preserve">described </w:t>
      </w:r>
      <w:r w:rsidR="00EC358E">
        <w:t xml:space="preserve">above </w:t>
      </w:r>
      <w:r w:rsidR="001B08E2">
        <w:t xml:space="preserve">represents the ‘gold standard’ for determining a causal link between the CCCFR </w:t>
      </w:r>
      <w:r w:rsidR="004048DB" w:rsidRPr="004048DB">
        <w:t>grant</w:t>
      </w:r>
      <w:r w:rsidR="001B08E2">
        <w:t xml:space="preserve"> and its intended outcomes, such analysis is not feasible </w:t>
      </w:r>
      <w:r w:rsidR="00BD4E12">
        <w:t xml:space="preserve">given the structure and history of the </w:t>
      </w:r>
      <w:r w:rsidR="00EC358E">
        <w:t xml:space="preserve">CCCFR </w:t>
      </w:r>
      <w:r w:rsidR="004048DB" w:rsidRPr="004048DB">
        <w:t>grant</w:t>
      </w:r>
      <w:r w:rsidR="001B08E2">
        <w:t>.</w:t>
      </w:r>
      <w:r w:rsidR="00BD4E12">
        <w:t xml:space="preserve"> </w:t>
      </w:r>
      <w:r w:rsidR="001B08E2">
        <w:t xml:space="preserve">In particular, services are not randomly assigned to participate. </w:t>
      </w:r>
    </w:p>
    <w:p w14:paraId="50DCD5ED" w14:textId="24D92C5C" w:rsidR="00014DED" w:rsidRDefault="001B08E2" w:rsidP="004A6045">
      <w:pPr>
        <w:pStyle w:val="Reference"/>
        <w:ind w:left="0" w:firstLine="0"/>
      </w:pPr>
      <w:r>
        <w:t xml:space="preserve">In such instances, </w:t>
      </w:r>
      <w:r w:rsidR="00EC358E">
        <w:t xml:space="preserve">a </w:t>
      </w:r>
      <w:r>
        <w:t xml:space="preserve">plausible </w:t>
      </w:r>
      <w:r w:rsidR="00BD4E12">
        <w:t>co</w:t>
      </w:r>
      <w:r w:rsidR="00014DED">
        <w:t xml:space="preserve">unterfactual </w:t>
      </w:r>
      <w:r>
        <w:t xml:space="preserve">for the participating CCCFR services </w:t>
      </w:r>
      <w:r w:rsidR="00EC358E">
        <w:t xml:space="preserve">needs to be </w:t>
      </w:r>
      <w:r w:rsidR="00A63A7B">
        <w:t xml:space="preserve">constructed to </w:t>
      </w:r>
      <w:r>
        <w:t xml:space="preserve">isolate </w:t>
      </w:r>
      <w:r w:rsidR="00A63A7B">
        <w:t xml:space="preserve">the effects of </w:t>
      </w:r>
      <w:r w:rsidR="00014DED">
        <w:t>CCCFR funding.</w:t>
      </w:r>
      <w:r>
        <w:t xml:space="preserve"> </w:t>
      </w:r>
      <w:r w:rsidR="00844491">
        <w:t xml:space="preserve">This would involve </w:t>
      </w:r>
      <w:r w:rsidR="00974120">
        <w:t>matching CCCFR services with</w:t>
      </w:r>
      <w:r w:rsidR="00844491">
        <w:t xml:space="preserve"> </w:t>
      </w:r>
      <w:r>
        <w:t xml:space="preserve">non-CCCFR </w:t>
      </w:r>
      <w:r w:rsidR="00844491">
        <w:t>service</w:t>
      </w:r>
      <w:r>
        <w:t>s</w:t>
      </w:r>
      <w:r w:rsidR="00844491">
        <w:t xml:space="preserve"> that </w:t>
      </w:r>
      <w:r>
        <w:t xml:space="preserve">are </w:t>
      </w:r>
      <w:r w:rsidR="00974120">
        <w:t xml:space="preserve">otherwise </w:t>
      </w:r>
      <w:r w:rsidR="00844491">
        <w:t xml:space="preserve">similar </w:t>
      </w:r>
      <w:r>
        <w:t xml:space="preserve">in characteristics that can drive outcomes </w:t>
      </w:r>
      <w:r w:rsidR="00FD2942">
        <w:t>(</w:t>
      </w:r>
      <w:r>
        <w:t>e.g.</w:t>
      </w:r>
      <w:r w:rsidR="00864336">
        <w:t>,</w:t>
      </w:r>
      <w:r>
        <w:t xml:space="preserve"> cohort, </w:t>
      </w:r>
      <w:r w:rsidR="00FD2942">
        <w:t>location</w:t>
      </w:r>
      <w:r>
        <w:t xml:space="preserve"> and size</w:t>
      </w:r>
      <w:r w:rsidR="00FD2942">
        <w:t xml:space="preserve">). </w:t>
      </w:r>
      <w:r>
        <w:t xml:space="preserve">Any observed differences in </w:t>
      </w:r>
      <w:r w:rsidR="00FD2942">
        <w:t xml:space="preserve">outcomes between </w:t>
      </w:r>
      <w:r>
        <w:t xml:space="preserve">the CCCFR service and its counterfactual non-CCCFR service </w:t>
      </w:r>
      <w:r w:rsidR="00800598">
        <w:t xml:space="preserve">is then expected to be being in </w:t>
      </w:r>
      <w:r w:rsidR="00FD2942">
        <w:t xml:space="preserve">the CCCFR </w:t>
      </w:r>
      <w:r w:rsidR="004048DB" w:rsidRPr="004048DB">
        <w:t>grant</w:t>
      </w:r>
      <w:r w:rsidR="00800598">
        <w:t xml:space="preserve"> (or other non-observed characteristics)</w:t>
      </w:r>
      <w:r w:rsidR="00FD2942" w:rsidRPr="00FD2942">
        <w:t xml:space="preserve">. </w:t>
      </w:r>
      <w:r w:rsidR="00800598">
        <w:t xml:space="preserve">While this type of </w:t>
      </w:r>
      <w:r w:rsidR="00FD2942" w:rsidRPr="00FD2942">
        <w:t xml:space="preserve">analysis can establish statistical associations, the </w:t>
      </w:r>
      <w:r w:rsidR="00A63A7B" w:rsidRPr="00FD2942">
        <w:t xml:space="preserve">findings cannot be considered </w:t>
      </w:r>
      <w:r w:rsidR="00014DED" w:rsidRPr="00FD2942">
        <w:rPr>
          <w:i/>
          <w:iCs/>
        </w:rPr>
        <w:t>causal</w:t>
      </w:r>
      <w:r w:rsidR="00014DED" w:rsidRPr="00FD2942">
        <w:t xml:space="preserve"> in nature. </w:t>
      </w:r>
    </w:p>
    <w:p w14:paraId="06AE1BA6" w14:textId="0A402B32" w:rsidR="00AC4221" w:rsidRDefault="0049117D" w:rsidP="00D6566E">
      <w:pPr>
        <w:pStyle w:val="Reference"/>
        <w:ind w:left="0" w:firstLine="0"/>
      </w:pPr>
      <w:r>
        <w:t xml:space="preserve">The analysis that </w:t>
      </w:r>
      <w:r w:rsidR="00800598">
        <w:t xml:space="preserve">has been undertaken in this study </w:t>
      </w:r>
      <w:r>
        <w:t xml:space="preserve">adopts the above principles but </w:t>
      </w:r>
      <w:r w:rsidR="00800598">
        <w:t xml:space="preserve">the ‘counterfactual’ </w:t>
      </w:r>
      <w:r w:rsidR="001F079E">
        <w:t xml:space="preserve">that can be constructed </w:t>
      </w:r>
      <w:r w:rsidR="00800598">
        <w:t xml:space="preserve">is </w:t>
      </w:r>
      <w:r>
        <w:t>limited by the available data.</w:t>
      </w:r>
      <w:r w:rsidR="002574E8">
        <w:t xml:space="preserve"> </w:t>
      </w:r>
      <w:r w:rsidR="001F079E">
        <w:t>W</w:t>
      </w:r>
      <w:r w:rsidR="002574E8">
        <w:t xml:space="preserve">hile the CCS data allows </w:t>
      </w:r>
      <w:r w:rsidR="00800598">
        <w:t xml:space="preserve">CCCFR services to be identified and compared to non-CCCFR services that operate in the same community, there </w:t>
      </w:r>
      <w:r w:rsidR="002574E8">
        <w:t>are limited variables in the data</w:t>
      </w:r>
      <w:r w:rsidR="00800598">
        <w:t>set</w:t>
      </w:r>
      <w:r w:rsidR="002574E8">
        <w:t xml:space="preserve"> on child developmental outcomes and parental workforce participation. Consequently, in those instances, </w:t>
      </w:r>
      <w:r w:rsidR="00800598">
        <w:t xml:space="preserve">alternative datasets, such as the AEDC or ABS Census </w:t>
      </w:r>
      <w:r w:rsidR="001F079E">
        <w:t>have</w:t>
      </w:r>
      <w:r w:rsidR="00800598">
        <w:t xml:space="preserve"> been used. In those instances, </w:t>
      </w:r>
      <w:r w:rsidR="002574E8">
        <w:t>the scope of comparison is broader</w:t>
      </w:r>
      <w:r w:rsidR="00800598">
        <w:t xml:space="preserve"> – </w:t>
      </w:r>
      <w:r w:rsidR="001F079E">
        <w:t xml:space="preserve">comparing </w:t>
      </w:r>
      <w:r w:rsidR="002574E8">
        <w:t>SA2</w:t>
      </w:r>
      <w:r w:rsidR="001F079E">
        <w:t>s that have CCCFR services, with similar SA2s that do not have CCCFR services</w:t>
      </w:r>
      <w:r w:rsidR="00800598">
        <w:t>– as data is not available at the service level.</w:t>
      </w:r>
    </w:p>
    <w:p w14:paraId="0B55C557" w14:textId="59F2CBCC" w:rsidR="00C17979" w:rsidRDefault="00C17979" w:rsidP="00D6566E">
      <w:pPr>
        <w:pStyle w:val="Reference"/>
        <w:ind w:left="0" w:firstLine="0"/>
      </w:pPr>
      <w:r>
        <w:t xml:space="preserve">Further details on the available datasets for each of the outcomes, and implications for the comparison analysis that was undertaken is given in </w:t>
      </w:r>
      <w:r>
        <w:fldChar w:fldCharType="begin"/>
      </w:r>
      <w:r>
        <w:instrText xml:space="preserve"> REF _Ref158898339 \r \h </w:instrText>
      </w:r>
      <w:r>
        <w:fldChar w:fldCharType="separate"/>
      </w:r>
      <w:r w:rsidR="00D300D0">
        <w:t>Table K.1</w:t>
      </w:r>
      <w:r>
        <w:fldChar w:fldCharType="end"/>
      </w:r>
      <w:r>
        <w:t xml:space="preserve">. Further details on the approaches at the service-level and SA2 level are provided below, including any potential limitations. </w:t>
      </w:r>
    </w:p>
    <w:p w14:paraId="728E9E6C" w14:textId="7F64DAE1" w:rsidR="0049117D" w:rsidRDefault="002574E8" w:rsidP="002574E8">
      <w:pPr>
        <w:pStyle w:val="AppendixTableCaption"/>
      </w:pPr>
      <w:bookmarkStart w:id="487" w:name="_Ref158898339"/>
      <w:bookmarkStart w:id="488" w:name="_Toc158997978"/>
      <w:bookmarkStart w:id="489" w:name="_Toc167130725"/>
      <w:r>
        <w:lastRenderedPageBreak/>
        <w:t xml:space="preserve">: </w:t>
      </w:r>
      <w:r w:rsidR="007E65EF">
        <w:t>Analysis undertaken by outcome measure</w:t>
      </w:r>
      <w:bookmarkEnd w:id="487"/>
      <w:bookmarkEnd w:id="488"/>
      <w:bookmarkEnd w:id="489"/>
    </w:p>
    <w:tbl>
      <w:tblPr>
        <w:tblStyle w:val="Deloittetable"/>
        <w:tblW w:w="5000" w:type="pct"/>
        <w:tblCellMar>
          <w:left w:w="28" w:type="dxa"/>
          <w:right w:w="28" w:type="dxa"/>
        </w:tblCellMar>
        <w:tblLook w:val="04A0" w:firstRow="1" w:lastRow="0" w:firstColumn="1" w:lastColumn="0" w:noHBand="0" w:noVBand="1"/>
      </w:tblPr>
      <w:tblGrid>
        <w:gridCol w:w="1562"/>
        <w:gridCol w:w="1276"/>
        <w:gridCol w:w="2125"/>
        <w:gridCol w:w="2267"/>
        <w:gridCol w:w="1796"/>
      </w:tblGrid>
      <w:tr w:rsidR="007E65EF" w14:paraId="3D3D4E46" w14:textId="77777777" w:rsidTr="005A3717">
        <w:trPr>
          <w:cnfStyle w:val="100000000000" w:firstRow="1" w:lastRow="0" w:firstColumn="0" w:lastColumn="0" w:oddVBand="0" w:evenVBand="0" w:oddHBand="0" w:evenHBand="0" w:firstRowFirstColumn="0" w:firstRowLastColumn="0" w:lastRowFirstColumn="0" w:lastRowLastColumn="0"/>
          <w:trHeight w:val="23"/>
        </w:trPr>
        <w:tc>
          <w:tcPr>
            <w:tcW w:w="865" w:type="pct"/>
          </w:tcPr>
          <w:p w14:paraId="189907D9" w14:textId="491A7F6B" w:rsidR="007E65EF" w:rsidRPr="0049117D" w:rsidRDefault="007E65EF" w:rsidP="0049117D">
            <w:pPr>
              <w:pStyle w:val="Reference"/>
              <w:spacing w:before="0" w:after="0"/>
              <w:ind w:left="0" w:firstLine="0"/>
              <w:rPr>
                <w:b/>
                <w:bCs/>
              </w:rPr>
            </w:pPr>
            <w:r w:rsidRPr="0049117D">
              <w:rPr>
                <w:b/>
                <w:bCs/>
              </w:rPr>
              <w:t>Analysis</w:t>
            </w:r>
          </w:p>
        </w:tc>
        <w:tc>
          <w:tcPr>
            <w:tcW w:w="707" w:type="pct"/>
          </w:tcPr>
          <w:p w14:paraId="41CEC10F" w14:textId="0C53E792" w:rsidR="007E65EF" w:rsidRPr="0049117D" w:rsidRDefault="007E65EF" w:rsidP="0049117D">
            <w:pPr>
              <w:pStyle w:val="Reference"/>
              <w:spacing w:before="0" w:after="0"/>
              <w:ind w:left="0" w:firstLine="0"/>
              <w:rPr>
                <w:b/>
                <w:bCs/>
              </w:rPr>
            </w:pPr>
            <w:r w:rsidRPr="0049117D">
              <w:rPr>
                <w:b/>
                <w:bCs/>
              </w:rPr>
              <w:t>Dataset</w:t>
            </w:r>
          </w:p>
        </w:tc>
        <w:tc>
          <w:tcPr>
            <w:tcW w:w="1177" w:type="pct"/>
          </w:tcPr>
          <w:p w14:paraId="07E3C55A" w14:textId="564EC7B7" w:rsidR="007E65EF" w:rsidRPr="0049117D" w:rsidRDefault="007E65EF" w:rsidP="0049117D">
            <w:pPr>
              <w:pStyle w:val="Reference"/>
              <w:spacing w:before="0" w:after="0"/>
              <w:ind w:left="0" w:firstLine="0"/>
              <w:rPr>
                <w:b/>
                <w:bCs/>
              </w:rPr>
            </w:pPr>
            <w:r>
              <w:rPr>
                <w:b/>
                <w:bCs/>
              </w:rPr>
              <w:t>Key variables</w:t>
            </w:r>
          </w:p>
        </w:tc>
        <w:tc>
          <w:tcPr>
            <w:tcW w:w="1256" w:type="pct"/>
          </w:tcPr>
          <w:p w14:paraId="33D14340" w14:textId="0C0B1491" w:rsidR="007E65EF" w:rsidRPr="0049117D" w:rsidRDefault="007E65EF" w:rsidP="0049117D">
            <w:pPr>
              <w:pStyle w:val="Reference"/>
              <w:spacing w:before="0" w:after="0"/>
              <w:ind w:left="0" w:firstLine="0"/>
              <w:rPr>
                <w:b/>
                <w:bCs/>
              </w:rPr>
            </w:pPr>
            <w:r w:rsidRPr="0049117D">
              <w:rPr>
                <w:b/>
                <w:bCs/>
              </w:rPr>
              <w:t xml:space="preserve">Level of </w:t>
            </w:r>
            <w:r>
              <w:rPr>
                <w:b/>
                <w:bCs/>
              </w:rPr>
              <w:t xml:space="preserve">data </w:t>
            </w:r>
            <w:r w:rsidRPr="0049117D">
              <w:rPr>
                <w:b/>
                <w:bCs/>
              </w:rPr>
              <w:t>disaggregation</w:t>
            </w:r>
          </w:p>
        </w:tc>
        <w:tc>
          <w:tcPr>
            <w:tcW w:w="995" w:type="pct"/>
          </w:tcPr>
          <w:p w14:paraId="7E0DD02E" w14:textId="0D2D7437" w:rsidR="007E65EF" w:rsidRPr="0049117D" w:rsidRDefault="007E65EF" w:rsidP="0049117D">
            <w:pPr>
              <w:pStyle w:val="Reference"/>
              <w:spacing w:before="0" w:after="0"/>
              <w:ind w:left="0" w:firstLine="0"/>
              <w:rPr>
                <w:b/>
                <w:bCs/>
              </w:rPr>
            </w:pPr>
            <w:r w:rsidRPr="0049117D">
              <w:rPr>
                <w:b/>
                <w:bCs/>
              </w:rPr>
              <w:t>Comparison</w:t>
            </w:r>
          </w:p>
        </w:tc>
      </w:tr>
      <w:tr w:rsidR="001F4BED" w14:paraId="2927C2B8" w14:textId="77777777" w:rsidTr="005A3717">
        <w:tc>
          <w:tcPr>
            <w:tcW w:w="865" w:type="pct"/>
          </w:tcPr>
          <w:p w14:paraId="73F0B1C3" w14:textId="06F0629B" w:rsidR="001F4BED" w:rsidRPr="00254853" w:rsidRDefault="001F4BED" w:rsidP="0049117D">
            <w:pPr>
              <w:pStyle w:val="Reference"/>
              <w:spacing w:before="0" w:after="0"/>
              <w:ind w:left="0" w:firstLine="0"/>
              <w:rPr>
                <w:b/>
                <w:bCs/>
              </w:rPr>
            </w:pPr>
            <w:r w:rsidRPr="00254853">
              <w:rPr>
                <w:b/>
                <w:bCs/>
              </w:rPr>
              <w:t>Child care participation</w:t>
            </w:r>
          </w:p>
        </w:tc>
        <w:tc>
          <w:tcPr>
            <w:tcW w:w="707" w:type="pct"/>
          </w:tcPr>
          <w:p w14:paraId="73E079FA" w14:textId="2B178FA8" w:rsidR="001F4BED" w:rsidRDefault="001F4BED" w:rsidP="00254853">
            <w:pPr>
              <w:pStyle w:val="Reference"/>
              <w:spacing w:before="0" w:after="0"/>
              <w:ind w:left="0" w:firstLine="0"/>
            </w:pPr>
            <w:r>
              <w:t>CCS data</w:t>
            </w:r>
          </w:p>
        </w:tc>
        <w:tc>
          <w:tcPr>
            <w:tcW w:w="1177" w:type="pct"/>
          </w:tcPr>
          <w:p w14:paraId="2D1188A5" w14:textId="2FC96D33" w:rsidR="001F4BED" w:rsidRDefault="001F4BED" w:rsidP="0049117D">
            <w:pPr>
              <w:pStyle w:val="Reference"/>
              <w:spacing w:before="0" w:after="0"/>
              <w:ind w:left="0" w:firstLine="0"/>
            </w:pPr>
            <w:r>
              <w:t>Child care fees</w:t>
            </w:r>
          </w:p>
          <w:p w14:paraId="1B2975C2" w14:textId="69CB319A" w:rsidR="001F4BED" w:rsidRDefault="001F4BED" w:rsidP="0049117D">
            <w:pPr>
              <w:pStyle w:val="Reference"/>
              <w:spacing w:before="0" w:after="0"/>
              <w:ind w:left="0" w:firstLine="0"/>
            </w:pPr>
            <w:r>
              <w:t>Service usage and hours</w:t>
            </w:r>
          </w:p>
        </w:tc>
        <w:tc>
          <w:tcPr>
            <w:tcW w:w="1256" w:type="pct"/>
            <w:vAlign w:val="center"/>
          </w:tcPr>
          <w:p w14:paraId="05B45AA5" w14:textId="75E71E89" w:rsidR="001F4BED" w:rsidRDefault="001F4BED" w:rsidP="00C37909">
            <w:pPr>
              <w:pStyle w:val="Reference"/>
              <w:spacing w:before="0" w:after="0"/>
              <w:ind w:left="0" w:firstLine="0"/>
            </w:pPr>
            <w:r>
              <w:t>Service level</w:t>
            </w:r>
          </w:p>
        </w:tc>
        <w:tc>
          <w:tcPr>
            <w:tcW w:w="995" w:type="pct"/>
            <w:vAlign w:val="center"/>
          </w:tcPr>
          <w:p w14:paraId="730611ED" w14:textId="0E5D4579" w:rsidR="001F4BED" w:rsidRDefault="001F4BED" w:rsidP="00C37909">
            <w:pPr>
              <w:pStyle w:val="Reference"/>
              <w:spacing w:before="0" w:after="0"/>
              <w:ind w:left="0" w:firstLine="0"/>
            </w:pPr>
            <w:r>
              <w:t>CCCFR services, with non-CCCFR services within the same region</w:t>
            </w:r>
            <w:r w:rsidR="00C37909">
              <w:t>.</w:t>
            </w:r>
          </w:p>
        </w:tc>
      </w:tr>
      <w:tr w:rsidR="005A3717" w14:paraId="4B56D5B9" w14:textId="77777777" w:rsidTr="005A3717">
        <w:trPr>
          <w:gridBefore w:val="1"/>
          <w:wBefore w:w="865" w:type="pct"/>
        </w:trPr>
        <w:tc>
          <w:tcPr>
            <w:tcW w:w="707" w:type="pct"/>
          </w:tcPr>
          <w:p w14:paraId="1EBAEFDD" w14:textId="3D902636" w:rsidR="005A3717" w:rsidRPr="00C37909" w:rsidRDefault="005A3717" w:rsidP="0049117D">
            <w:pPr>
              <w:pStyle w:val="Reference"/>
              <w:spacing w:before="0" w:after="0"/>
              <w:ind w:left="0" w:firstLine="0"/>
            </w:pPr>
            <w:r w:rsidRPr="00C37909">
              <w:t>AEDC data</w:t>
            </w:r>
          </w:p>
        </w:tc>
        <w:tc>
          <w:tcPr>
            <w:tcW w:w="1177" w:type="pct"/>
          </w:tcPr>
          <w:p w14:paraId="0490B04E" w14:textId="27FE3081" w:rsidR="005A3717" w:rsidRDefault="005A3717" w:rsidP="0049117D">
            <w:pPr>
              <w:pStyle w:val="Reference"/>
              <w:spacing w:before="0" w:after="0"/>
              <w:ind w:left="0" w:firstLine="0"/>
            </w:pPr>
            <w:r>
              <w:t>Preschool participation</w:t>
            </w:r>
          </w:p>
        </w:tc>
        <w:tc>
          <w:tcPr>
            <w:tcW w:w="1256" w:type="pct"/>
            <w:vMerge w:val="restart"/>
            <w:vAlign w:val="center"/>
          </w:tcPr>
          <w:p w14:paraId="3DC84A99" w14:textId="70D4FE35" w:rsidR="005A3717" w:rsidRDefault="005A3717" w:rsidP="00C37909">
            <w:pPr>
              <w:pStyle w:val="Reference"/>
              <w:spacing w:before="0" w:after="0"/>
              <w:ind w:left="0" w:firstLine="0"/>
            </w:pPr>
            <w:r>
              <w:t xml:space="preserve">SA2 level, which is typically expected to represent a community that </w:t>
            </w:r>
            <w:r w:rsidRPr="000D5D60">
              <w:t>interacts together socially and economically</w:t>
            </w:r>
          </w:p>
        </w:tc>
        <w:tc>
          <w:tcPr>
            <w:tcW w:w="995" w:type="pct"/>
            <w:vMerge w:val="restart"/>
            <w:vAlign w:val="center"/>
          </w:tcPr>
          <w:p w14:paraId="77A96A5D" w14:textId="77777777" w:rsidR="005A3717" w:rsidRDefault="005A3717" w:rsidP="00C37909">
            <w:pPr>
              <w:pStyle w:val="Reference"/>
              <w:spacing w:before="0" w:after="0"/>
              <w:ind w:left="0"/>
            </w:pPr>
            <w:r>
              <w:t>SA2 le</w:t>
            </w:r>
          </w:p>
          <w:p w14:paraId="4457A361" w14:textId="77777777" w:rsidR="005A3717" w:rsidRDefault="005A3717" w:rsidP="00C37909">
            <w:pPr>
              <w:pStyle w:val="Reference"/>
              <w:spacing w:before="0" w:after="0"/>
              <w:ind w:left="0"/>
            </w:pPr>
            <w:r>
              <w:t xml:space="preserve">SA2s </w:t>
            </w:r>
          </w:p>
          <w:p w14:paraId="5290C8C3" w14:textId="77777777" w:rsidR="005A3717" w:rsidRDefault="005A3717" w:rsidP="00C37909">
            <w:pPr>
              <w:pStyle w:val="Reference"/>
              <w:spacing w:before="0" w:after="0"/>
              <w:ind w:left="0"/>
            </w:pPr>
          </w:p>
          <w:p w14:paraId="5A5A0AA2" w14:textId="1B081185" w:rsidR="005A3717" w:rsidRDefault="005A3717" w:rsidP="00C37909">
            <w:pPr>
              <w:pStyle w:val="Reference"/>
              <w:spacing w:before="0" w:after="0"/>
              <w:ind w:left="0"/>
            </w:pPr>
            <w:r>
              <w:t>with SSA2s with CCCFR services, with neighbouring SA2s that do not have CCCFR services</w:t>
            </w:r>
          </w:p>
        </w:tc>
      </w:tr>
      <w:tr w:rsidR="005A3717" w14:paraId="28BE0BB2" w14:textId="77777777" w:rsidTr="005A3717">
        <w:tc>
          <w:tcPr>
            <w:tcW w:w="865" w:type="pct"/>
          </w:tcPr>
          <w:p w14:paraId="7565CBEE" w14:textId="0C7414F4" w:rsidR="005A3717" w:rsidRPr="00254853" w:rsidRDefault="005A3717" w:rsidP="0049117D">
            <w:pPr>
              <w:pStyle w:val="Reference"/>
              <w:spacing w:before="0" w:after="0"/>
              <w:ind w:left="0" w:firstLine="0"/>
              <w:rPr>
                <w:b/>
                <w:bCs/>
              </w:rPr>
            </w:pPr>
            <w:r w:rsidRPr="00254853">
              <w:rPr>
                <w:b/>
                <w:bCs/>
              </w:rPr>
              <w:t>Early childhood developmental outcomes</w:t>
            </w:r>
          </w:p>
        </w:tc>
        <w:tc>
          <w:tcPr>
            <w:tcW w:w="707" w:type="pct"/>
          </w:tcPr>
          <w:p w14:paraId="5D4D676A" w14:textId="15810C66" w:rsidR="005A3717" w:rsidRDefault="005A3717" w:rsidP="0049117D">
            <w:pPr>
              <w:pStyle w:val="Reference"/>
              <w:spacing w:before="0" w:after="0"/>
              <w:ind w:left="0" w:firstLine="0"/>
            </w:pPr>
            <w:r>
              <w:t>AEDC data</w:t>
            </w:r>
          </w:p>
        </w:tc>
        <w:tc>
          <w:tcPr>
            <w:tcW w:w="1177" w:type="pct"/>
          </w:tcPr>
          <w:p w14:paraId="182AF475" w14:textId="77777777" w:rsidR="005A3717" w:rsidRDefault="005A3717" w:rsidP="0049117D">
            <w:pPr>
              <w:pStyle w:val="Reference"/>
              <w:spacing w:before="0" w:after="0"/>
              <w:ind w:left="0" w:firstLine="0"/>
            </w:pPr>
            <w:r>
              <w:t>Developmental vulnerability</w:t>
            </w:r>
          </w:p>
          <w:p w14:paraId="67608340" w14:textId="0AA385B9" w:rsidR="005A3717" w:rsidRDefault="005A3717" w:rsidP="0049117D">
            <w:pPr>
              <w:pStyle w:val="Reference"/>
              <w:spacing w:before="0" w:after="0"/>
              <w:ind w:left="0" w:firstLine="0"/>
            </w:pPr>
            <w:r>
              <w:t>Preschool participation</w:t>
            </w:r>
          </w:p>
        </w:tc>
        <w:tc>
          <w:tcPr>
            <w:tcW w:w="1256" w:type="pct"/>
            <w:vMerge/>
          </w:tcPr>
          <w:p w14:paraId="7D853462" w14:textId="0F8F45B1" w:rsidR="005A3717" w:rsidRDefault="005A3717" w:rsidP="0049117D">
            <w:pPr>
              <w:pStyle w:val="Reference"/>
              <w:spacing w:before="0" w:after="0"/>
              <w:ind w:left="0"/>
            </w:pPr>
          </w:p>
        </w:tc>
        <w:tc>
          <w:tcPr>
            <w:tcW w:w="995" w:type="pct"/>
            <w:vMerge/>
          </w:tcPr>
          <w:p w14:paraId="7A377C7F" w14:textId="56A116A7" w:rsidR="005A3717" w:rsidRDefault="005A3717" w:rsidP="0049117D">
            <w:pPr>
              <w:pStyle w:val="Reference"/>
              <w:spacing w:before="0" w:after="0"/>
              <w:ind w:left="0" w:firstLine="0"/>
            </w:pPr>
          </w:p>
        </w:tc>
      </w:tr>
      <w:tr w:rsidR="005A3717" w14:paraId="668C1E02" w14:textId="77777777" w:rsidTr="005A3717">
        <w:tc>
          <w:tcPr>
            <w:tcW w:w="865" w:type="pct"/>
          </w:tcPr>
          <w:p w14:paraId="1DD37F70" w14:textId="004A24D3" w:rsidR="005A3717" w:rsidRPr="00254853" w:rsidRDefault="005A3717" w:rsidP="0049117D">
            <w:pPr>
              <w:pStyle w:val="Reference"/>
              <w:spacing w:before="0" w:after="0"/>
              <w:ind w:left="0" w:firstLine="0"/>
              <w:rPr>
                <w:b/>
                <w:bCs/>
              </w:rPr>
            </w:pPr>
            <w:r w:rsidRPr="00254853">
              <w:rPr>
                <w:b/>
                <w:bCs/>
              </w:rPr>
              <w:t>Workforce participation</w:t>
            </w:r>
          </w:p>
        </w:tc>
        <w:tc>
          <w:tcPr>
            <w:tcW w:w="707" w:type="pct"/>
          </w:tcPr>
          <w:p w14:paraId="55CCA202" w14:textId="2A8E1CDE" w:rsidR="005A3717" w:rsidRDefault="005A3717" w:rsidP="0049117D">
            <w:pPr>
              <w:pStyle w:val="Reference"/>
              <w:spacing w:before="0" w:after="0"/>
              <w:ind w:left="0" w:firstLine="0"/>
            </w:pPr>
            <w:r>
              <w:t>ABS Census of Population and Housing</w:t>
            </w:r>
          </w:p>
        </w:tc>
        <w:tc>
          <w:tcPr>
            <w:tcW w:w="1177" w:type="pct"/>
          </w:tcPr>
          <w:p w14:paraId="768FBE72" w14:textId="1B2057FF" w:rsidR="005A3717" w:rsidRDefault="005A3717" w:rsidP="0049117D">
            <w:pPr>
              <w:pStyle w:val="Reference"/>
              <w:spacing w:before="0" w:after="0"/>
              <w:ind w:left="0" w:firstLine="0"/>
            </w:pPr>
            <w:r>
              <w:t>Primary carer labour force participation</w:t>
            </w:r>
          </w:p>
        </w:tc>
        <w:tc>
          <w:tcPr>
            <w:tcW w:w="1256" w:type="pct"/>
            <w:vMerge/>
          </w:tcPr>
          <w:p w14:paraId="26701B04" w14:textId="36DAD745" w:rsidR="005A3717" w:rsidRDefault="005A3717" w:rsidP="0049117D">
            <w:pPr>
              <w:pStyle w:val="Reference"/>
              <w:spacing w:before="0" w:after="0"/>
              <w:ind w:left="0" w:firstLine="0"/>
            </w:pPr>
          </w:p>
        </w:tc>
        <w:tc>
          <w:tcPr>
            <w:tcW w:w="995" w:type="pct"/>
            <w:vMerge/>
          </w:tcPr>
          <w:p w14:paraId="35C93EB2" w14:textId="77777777" w:rsidR="005A3717" w:rsidRDefault="005A3717" w:rsidP="0049117D">
            <w:pPr>
              <w:pStyle w:val="Reference"/>
              <w:spacing w:before="0" w:after="0"/>
              <w:ind w:left="0" w:firstLine="0"/>
            </w:pPr>
          </w:p>
        </w:tc>
      </w:tr>
    </w:tbl>
    <w:p w14:paraId="066AA1DD" w14:textId="52FB1FE0" w:rsidR="001F4BED" w:rsidRDefault="001F4BED" w:rsidP="00D6566E">
      <w:pPr>
        <w:pStyle w:val="Reference"/>
        <w:ind w:left="0" w:firstLine="0"/>
        <w:rPr>
          <w:b/>
          <w:bCs/>
        </w:rPr>
      </w:pPr>
      <w:r>
        <w:rPr>
          <w:b/>
          <w:bCs/>
        </w:rPr>
        <w:t>Service level analysis</w:t>
      </w:r>
    </w:p>
    <w:p w14:paraId="246F4512" w14:textId="2530E130" w:rsidR="00D860F1" w:rsidRDefault="00C17979" w:rsidP="00C17979">
      <w:pPr>
        <w:pStyle w:val="Reference"/>
        <w:ind w:left="0" w:firstLine="0"/>
      </w:pPr>
      <w:r>
        <w:t xml:space="preserve">For trends in child care usage and fees, the analysis compared trends in </w:t>
      </w:r>
      <w:r w:rsidR="00D860F1">
        <w:t xml:space="preserve">CCCFR services, with </w:t>
      </w:r>
      <w:r>
        <w:t xml:space="preserve">counterfactual </w:t>
      </w:r>
      <w:r w:rsidR="00D860F1">
        <w:t xml:space="preserve">non-CCCFR services </w:t>
      </w:r>
      <w:r>
        <w:t xml:space="preserve">that operate within the </w:t>
      </w:r>
      <w:r w:rsidR="00D860F1">
        <w:t>same SA2.</w:t>
      </w:r>
      <w:r>
        <w:t xml:space="preserve"> Doing so controls for factors that are common </w:t>
      </w:r>
      <w:r w:rsidR="00D860F1">
        <w:t>to the SA2</w:t>
      </w:r>
      <w:r w:rsidR="007E4B4A">
        <w:t>, which is typically recognised as being sufficiently small to represent communities and comparable in size to suburbs.</w:t>
      </w:r>
    </w:p>
    <w:p w14:paraId="7F3D3238" w14:textId="3A877D8B" w:rsidR="00D860F1" w:rsidRDefault="002C1634" w:rsidP="00D6566E">
      <w:pPr>
        <w:pStyle w:val="Reference"/>
        <w:ind w:left="0" w:firstLine="0"/>
      </w:pPr>
      <w:r>
        <w:t xml:space="preserve">Consequently, given </w:t>
      </w:r>
      <w:r w:rsidR="00C17979">
        <w:t xml:space="preserve">broadly similar </w:t>
      </w:r>
      <w:r>
        <w:t xml:space="preserve">external circumstances, </w:t>
      </w:r>
      <w:r w:rsidR="001824B1">
        <w:t xml:space="preserve">observed trend differences in </w:t>
      </w:r>
      <w:r>
        <w:t xml:space="preserve">CCCFR services </w:t>
      </w:r>
      <w:r w:rsidR="001824B1">
        <w:t xml:space="preserve">and non-CCCFR services could potentially be </w:t>
      </w:r>
      <w:r w:rsidR="008C7A03">
        <w:t xml:space="preserve">attributed to the CCCFR </w:t>
      </w:r>
      <w:r w:rsidR="004048DB" w:rsidRPr="004048DB">
        <w:t>grant</w:t>
      </w:r>
      <w:r>
        <w:t xml:space="preserve">. </w:t>
      </w:r>
      <w:r w:rsidR="008C7A03">
        <w:t>This analysis may not pick up differences in demographic and other trends within an SA2 (e.g.</w:t>
      </w:r>
      <w:r w:rsidR="00E812A9">
        <w:t>,</w:t>
      </w:r>
      <w:r w:rsidR="008C7A03">
        <w:t xml:space="preserve"> where a particular service operates in an area with higher birth rates compared to another neighbouring area). </w:t>
      </w:r>
    </w:p>
    <w:p w14:paraId="00007645" w14:textId="4A8A0A6A" w:rsidR="00D860F1" w:rsidRDefault="001F4BED" w:rsidP="00D6566E">
      <w:pPr>
        <w:pStyle w:val="Reference"/>
        <w:ind w:left="0" w:firstLine="0"/>
        <w:rPr>
          <w:b/>
          <w:bCs/>
        </w:rPr>
      </w:pPr>
      <w:r>
        <w:rPr>
          <w:b/>
          <w:bCs/>
        </w:rPr>
        <w:t>SA2 level analysis</w:t>
      </w:r>
    </w:p>
    <w:p w14:paraId="55BFB110" w14:textId="40928F50" w:rsidR="008358FF" w:rsidRDefault="007E4B4A" w:rsidP="007E4B4A">
      <w:pPr>
        <w:pStyle w:val="Reference"/>
        <w:ind w:left="0" w:firstLine="0"/>
      </w:pPr>
      <w:r>
        <w:t xml:space="preserve">Where it is </w:t>
      </w:r>
      <w:r w:rsidR="00402FBD" w:rsidRPr="00402FBD">
        <w:t xml:space="preserve">not possible to identify </w:t>
      </w:r>
      <w:r w:rsidR="00402FBD">
        <w:t>specific services</w:t>
      </w:r>
      <w:r>
        <w:t xml:space="preserve"> in a dataset, the analysis</w:t>
      </w:r>
      <w:r w:rsidR="00402FBD">
        <w:t xml:space="preserve"> </w:t>
      </w:r>
      <w:r>
        <w:t xml:space="preserve">compares </w:t>
      </w:r>
      <w:r w:rsidR="00A70C4C">
        <w:t>differences in outcomes</w:t>
      </w:r>
      <w:r>
        <w:t xml:space="preserve"> </w:t>
      </w:r>
      <w:r w:rsidR="00A70C4C">
        <w:t>for</w:t>
      </w:r>
      <w:r>
        <w:t xml:space="preserve"> </w:t>
      </w:r>
      <w:r w:rsidR="00402FBD">
        <w:t>SA</w:t>
      </w:r>
      <w:r w:rsidR="00A70C4C">
        <w:t>2s with CCCFR services, with neighbouring SA2s</w:t>
      </w:r>
      <w:r w:rsidR="00A70C4C">
        <w:rPr>
          <w:rStyle w:val="FootnoteReference"/>
        </w:rPr>
        <w:footnoteReference w:id="253"/>
      </w:r>
      <w:r w:rsidR="00A70C4C">
        <w:t xml:space="preserve"> without CCCFR services</w:t>
      </w:r>
      <w:r w:rsidR="00402FBD">
        <w:t xml:space="preserve">. </w:t>
      </w:r>
      <w:r w:rsidR="008358FF">
        <w:t xml:space="preserve">There are </w:t>
      </w:r>
      <w:r w:rsidR="00E41208">
        <w:t>113</w:t>
      </w:r>
      <w:r w:rsidR="008358FF">
        <w:t xml:space="preserve"> SA2s with CCCFR services</w:t>
      </w:r>
      <w:r w:rsidR="00F46B6F">
        <w:t xml:space="preserve">, which represents </w:t>
      </w:r>
      <w:r w:rsidR="00F92472">
        <w:t>5 per cent of all SA2s.</w:t>
      </w:r>
    </w:p>
    <w:p w14:paraId="6173C3C8" w14:textId="3589D733" w:rsidR="007E4B4A" w:rsidRDefault="00183CFA" w:rsidP="007E4B4A">
      <w:pPr>
        <w:pStyle w:val="Reference"/>
        <w:ind w:left="0" w:firstLine="0"/>
      </w:pPr>
      <w:r>
        <w:t xml:space="preserve">Difference-in-difference analysis is undertaken by </w:t>
      </w:r>
      <w:r w:rsidR="00AE6106">
        <w:t xml:space="preserve">comparing outcomes </w:t>
      </w:r>
      <w:r w:rsidR="00A70C4C">
        <w:t xml:space="preserve">following the introduction of the CCCFR </w:t>
      </w:r>
      <w:r w:rsidR="004048DB" w:rsidRPr="004048DB">
        <w:t>grant</w:t>
      </w:r>
      <w:r w:rsidR="00A70C4C">
        <w:t xml:space="preserve"> </w:t>
      </w:r>
      <w:r>
        <w:t>with</w:t>
      </w:r>
      <w:r w:rsidR="00AE6106">
        <w:t xml:space="preserve"> outcomes before the </w:t>
      </w:r>
      <w:r w:rsidR="005851C1" w:rsidRPr="005851C1">
        <w:t>grant</w:t>
      </w:r>
      <w:r>
        <w:t xml:space="preserve">. This aims to </w:t>
      </w:r>
      <w:r w:rsidR="00AE6106">
        <w:t xml:space="preserve">identify the potential impact of </w:t>
      </w:r>
      <w:r w:rsidR="00A70C4C">
        <w:t xml:space="preserve">the </w:t>
      </w:r>
      <w:r w:rsidR="00AE6106">
        <w:t>CCCFR</w:t>
      </w:r>
      <w:r w:rsidR="00A70C4C">
        <w:t xml:space="preserve"> outcome in </w:t>
      </w:r>
      <w:r w:rsidR="00A70C4C" w:rsidRPr="00A70C4C">
        <w:rPr>
          <w:i/>
          <w:iCs/>
        </w:rPr>
        <w:t>changing</w:t>
      </w:r>
      <w:r w:rsidR="00A70C4C">
        <w:t xml:space="preserve"> outcomes, which controlling for other factors that might lead to differences in starting outcomes between </w:t>
      </w:r>
      <w:r>
        <w:t xml:space="preserve">the comparator </w:t>
      </w:r>
      <w:r w:rsidR="00A70C4C">
        <w:t xml:space="preserve">SA2s. </w:t>
      </w:r>
    </w:p>
    <w:p w14:paraId="25C384E5" w14:textId="07F6C0A2" w:rsidR="003B715D" w:rsidRDefault="00183CFA" w:rsidP="007E4B4A">
      <w:pPr>
        <w:pStyle w:val="Reference"/>
        <w:ind w:left="0" w:firstLine="0"/>
      </w:pPr>
      <w:r w:rsidRPr="00113A37">
        <w:t xml:space="preserve">Given that there are </w:t>
      </w:r>
      <w:r w:rsidR="00113A37" w:rsidRPr="00113A37">
        <w:t xml:space="preserve">differences in demographic trends across SA2s, the </w:t>
      </w:r>
      <w:r w:rsidR="00392AFA" w:rsidRPr="00113A37">
        <w:t xml:space="preserve">analysis </w:t>
      </w:r>
      <w:r w:rsidR="00113A37" w:rsidRPr="00113A37">
        <w:t>compares</w:t>
      </w:r>
      <w:r w:rsidR="00392AFA" w:rsidRPr="00113A37">
        <w:t xml:space="preserve"> rates </w:t>
      </w:r>
      <w:r w:rsidR="00113A37" w:rsidRPr="00113A37">
        <w:t xml:space="preserve">across SA2s. </w:t>
      </w:r>
      <w:r w:rsidR="00113A37">
        <w:t xml:space="preserve">That is, the </w:t>
      </w:r>
      <w:r w:rsidR="009820A0" w:rsidRPr="00113A37">
        <w:t>proportion of children who are developmentally vulnerable</w:t>
      </w:r>
      <w:r w:rsidR="00113A37">
        <w:t xml:space="preserve"> or </w:t>
      </w:r>
      <w:r w:rsidR="009820A0" w:rsidRPr="00113A37">
        <w:t>the proportion of children who are participating in</w:t>
      </w:r>
      <w:r w:rsidR="003B715D" w:rsidRPr="00113A37">
        <w:t xml:space="preserve"> preschool</w:t>
      </w:r>
      <w:r w:rsidR="00113A37">
        <w:t>,</w:t>
      </w:r>
      <w:r w:rsidR="009820A0" w:rsidRPr="00113A37">
        <w:t xml:space="preserve"> </w:t>
      </w:r>
      <w:r w:rsidR="00392AFA" w:rsidRPr="00113A37">
        <w:t>rather</w:t>
      </w:r>
      <w:r w:rsidR="00392AFA">
        <w:rPr>
          <w:i/>
          <w:iCs/>
        </w:rPr>
        <w:t xml:space="preserve"> </w:t>
      </w:r>
      <w:r w:rsidR="00392AFA" w:rsidRPr="00392AFA">
        <w:t>than</w:t>
      </w:r>
      <w:r w:rsidR="003B715D">
        <w:t xml:space="preserve"> </w:t>
      </w:r>
      <w:r w:rsidR="003B715D" w:rsidRPr="003B715D">
        <w:t xml:space="preserve">the </w:t>
      </w:r>
      <w:r w:rsidR="00113A37">
        <w:t xml:space="preserve">growth in the </w:t>
      </w:r>
      <w:r w:rsidR="003B715D" w:rsidRPr="003B715D">
        <w:t>absolute number</w:t>
      </w:r>
      <w:r w:rsidR="00113A37">
        <w:t xml:space="preserve"> of children</w:t>
      </w:r>
      <w:r w:rsidR="003B715D">
        <w:t xml:space="preserve">. </w:t>
      </w:r>
    </w:p>
    <w:p w14:paraId="296CA9CE" w14:textId="3FC404AD" w:rsidR="007F2E98" w:rsidRPr="00872A8F" w:rsidRDefault="000A1EAA" w:rsidP="007E4B4A">
      <w:pPr>
        <w:pStyle w:val="Reference"/>
        <w:ind w:left="0" w:firstLine="0"/>
        <w:rPr>
          <w:highlight w:val="yellow"/>
        </w:rPr>
      </w:pPr>
      <w:r>
        <w:t xml:space="preserve">As </w:t>
      </w:r>
      <w:r w:rsidR="00D46B79">
        <w:t>SA2</w:t>
      </w:r>
      <w:r w:rsidR="002B726F" w:rsidRPr="00D46B79">
        <w:t xml:space="preserve"> analysis </w:t>
      </w:r>
      <w:r>
        <w:t xml:space="preserve">does not distinguish between CCCFR and non-CCCFR services, the results may also capturing the </w:t>
      </w:r>
      <w:r w:rsidR="002B726F" w:rsidRPr="00D46B79">
        <w:t xml:space="preserve">effects of </w:t>
      </w:r>
      <w:r>
        <w:t xml:space="preserve">other </w:t>
      </w:r>
      <w:r w:rsidR="002B726F" w:rsidRPr="00D46B79">
        <w:t>services</w:t>
      </w:r>
      <w:r>
        <w:t xml:space="preserve">. </w:t>
      </w:r>
      <w:r>
        <w:fldChar w:fldCharType="begin"/>
      </w:r>
      <w:r>
        <w:instrText xml:space="preserve"> REF _Ref166921494 \r \h </w:instrText>
      </w:r>
      <w:r>
        <w:fldChar w:fldCharType="separate"/>
      </w:r>
      <w:r w:rsidR="00D300D0">
        <w:t>Chart K.1</w:t>
      </w:r>
      <w:r>
        <w:fldChar w:fldCharType="end"/>
      </w:r>
      <w:r>
        <w:t xml:space="preserve"> shows the distribution of SA2s with CCCFR services by the number of CBDC and OSHC services</w:t>
      </w:r>
      <w:r w:rsidR="00671BFA">
        <w:t xml:space="preserve"> located within the SA2</w:t>
      </w:r>
      <w:r w:rsidR="00E60E91">
        <w:t xml:space="preserve">, with </w:t>
      </w:r>
      <w:r w:rsidR="00872A8F" w:rsidRPr="00B06EA6">
        <w:t>17% of SA2s hav</w:t>
      </w:r>
      <w:r w:rsidR="00E60E91">
        <w:t>ing</w:t>
      </w:r>
      <w:r w:rsidR="00872A8F" w:rsidRPr="00B06EA6">
        <w:t xml:space="preserve"> </w:t>
      </w:r>
      <w:r w:rsidR="00FE5B6B">
        <w:t xml:space="preserve">no </w:t>
      </w:r>
      <w:r w:rsidR="00B06EA6">
        <w:t>alternative child care services</w:t>
      </w:r>
      <w:r w:rsidR="00E60E91">
        <w:t xml:space="preserve">. </w:t>
      </w:r>
    </w:p>
    <w:p w14:paraId="4971D56E" w14:textId="6C391E99" w:rsidR="007F2E98" w:rsidRDefault="005A1C13" w:rsidP="005A1C13">
      <w:pPr>
        <w:pStyle w:val="AppendixChartCaption"/>
      </w:pPr>
      <w:bookmarkStart w:id="490" w:name="_Ref166921494"/>
      <w:bookmarkStart w:id="491" w:name="_Toc167130574"/>
      <w:r>
        <w:lastRenderedPageBreak/>
        <w:t>: Distribution of CBDC and OSHC services in SA2s with CCCFR</w:t>
      </w:r>
      <w:bookmarkEnd w:id="490"/>
      <w:r w:rsidR="00502B0E">
        <w:t xml:space="preserve"> services</w:t>
      </w:r>
      <w:bookmarkEnd w:id="491"/>
    </w:p>
    <w:p w14:paraId="2A1F7185" w14:textId="375A11E5" w:rsidR="00A514C5" w:rsidRDefault="00222325" w:rsidP="007E4B4A">
      <w:pPr>
        <w:pStyle w:val="Reference"/>
        <w:ind w:left="0" w:firstLine="0"/>
      </w:pPr>
      <w:r w:rsidRPr="00222325">
        <w:rPr>
          <w:noProof/>
        </w:rPr>
        <w:drawing>
          <wp:inline distT="0" distB="0" distL="0" distR="0" wp14:anchorId="07C74FF6" wp14:editId="7859730B">
            <wp:extent cx="4528820" cy="2812415"/>
            <wp:effectExtent l="0" t="0" r="5080" b="6985"/>
            <wp:docPr id="46" name="Picture 46" descr="Bar graph showing the number of centre-based day care and outside school hours care services within each SA2 that has a CCCFR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Bar graph showing the number of centre-based day care and outside school hours care services within each SA2 that has a CCCFR service."/>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528820" cy="2812415"/>
                    </a:xfrm>
                    <a:prstGeom prst="rect">
                      <a:avLst/>
                    </a:prstGeom>
                    <a:noFill/>
                    <a:ln>
                      <a:noFill/>
                    </a:ln>
                  </pic:spPr>
                </pic:pic>
              </a:graphicData>
            </a:graphic>
          </wp:inline>
        </w:drawing>
      </w:r>
    </w:p>
    <w:p w14:paraId="45592182" w14:textId="3807C2D3" w:rsidR="00A514C5" w:rsidRDefault="00A514C5" w:rsidP="005A1C13">
      <w:pPr>
        <w:pStyle w:val="Source"/>
      </w:pPr>
      <w:r>
        <w:t>Source: Deloitte Access Economics (2024) using ACECQA data.</w:t>
      </w:r>
      <w:r w:rsidR="00FE5B6B">
        <w:t xml:space="preserve"> Based on</w:t>
      </w:r>
      <w:r w:rsidR="00F92922">
        <w:t xml:space="preserve"> 2023 ACECQA regis</w:t>
      </w:r>
      <w:r w:rsidR="004F382C">
        <w:t>t</w:t>
      </w:r>
      <w:r w:rsidR="00F92922">
        <w:t xml:space="preserve">er, which may differ from the number of services historically. </w:t>
      </w:r>
    </w:p>
    <w:p w14:paraId="61D267EC" w14:textId="20F64D94" w:rsidR="00183CFA" w:rsidRDefault="00B42AB2" w:rsidP="00B625AB">
      <w:pPr>
        <w:pStyle w:val="Reference"/>
        <w:ind w:left="0" w:firstLine="0"/>
      </w:pPr>
      <w:r>
        <w:t>Given the above data limitations, t</w:t>
      </w:r>
      <w:r w:rsidR="00922EFA">
        <w:t xml:space="preserve">he SA2 analysis is </w:t>
      </w:r>
      <w:r w:rsidR="00922EFA" w:rsidRPr="00922EFA">
        <w:rPr>
          <w:i/>
          <w:iCs/>
        </w:rPr>
        <w:t>descriptive</w:t>
      </w:r>
      <w:r w:rsidR="00922EFA">
        <w:t xml:space="preserve"> </w:t>
      </w:r>
      <w:r w:rsidR="00324C73">
        <w:t>in nature</w:t>
      </w:r>
      <w:r w:rsidR="008F4223">
        <w:t xml:space="preserve">, and </w:t>
      </w:r>
      <w:r w:rsidR="00296EA0">
        <w:t>does not support causal claims.</w:t>
      </w:r>
      <w:r w:rsidR="00922EFA">
        <w:t xml:space="preserve"> </w:t>
      </w:r>
      <w:r w:rsidR="00113A37">
        <w:t xml:space="preserve">The SA2 analysis </w:t>
      </w:r>
      <w:r w:rsidR="00B625AB">
        <w:t>cannot determine whether observed differences across SA2s are the result of the presence of the CCCFR service or, moreover, the CCCFR grant. Inferences can be made but definitive conclusions cannot be reached.</w:t>
      </w:r>
    </w:p>
    <w:p w14:paraId="0DC53EA9" w14:textId="6AD7485C" w:rsidR="001F4BED" w:rsidRDefault="00764840" w:rsidP="00764840">
      <w:pPr>
        <w:pStyle w:val="Heading1un-numbered"/>
      </w:pPr>
      <w:bookmarkStart w:id="492" w:name="_Toc170227444"/>
      <w:r>
        <w:lastRenderedPageBreak/>
        <w:t>References</w:t>
      </w:r>
      <w:bookmarkEnd w:id="492"/>
    </w:p>
    <w:p w14:paraId="0DAD2342" w14:textId="34A5E6BE" w:rsidR="001F2558" w:rsidRPr="002119E4" w:rsidRDefault="001F2558" w:rsidP="001F2558">
      <w:pPr>
        <w:spacing w:line="240" w:lineRule="auto"/>
      </w:pPr>
      <w:r w:rsidRPr="002119E4">
        <w:t>ACECQA</w:t>
      </w:r>
      <w:r w:rsidRPr="002119E4">
        <w:rPr>
          <w:i/>
          <w:iCs/>
        </w:rPr>
        <w:t>, Active supervision: ensuring safety and promoting learning</w:t>
      </w:r>
      <w:r w:rsidRPr="002119E4">
        <w:t xml:space="preserve"> (2018), &lt;</w:t>
      </w:r>
      <w:hyperlink r:id="rId141" w:history="1">
        <w:r w:rsidRPr="002119E4">
          <w:rPr>
            <w:rStyle w:val="Hyperlink"/>
          </w:rPr>
          <w:t>https://www.acecqa.gov.au/sites/default/files/2018-04/QA2-ActiveSupervisionEnsuringSafetyAndPromotingLearning_1.pdf</w:t>
        </w:r>
      </w:hyperlink>
      <w:r w:rsidRPr="002119E4">
        <w:t xml:space="preserve">&gt; </w:t>
      </w:r>
    </w:p>
    <w:p w14:paraId="462E6455" w14:textId="77777777" w:rsidR="001F2558" w:rsidRPr="002119E4" w:rsidRDefault="001F2558" w:rsidP="001F2558">
      <w:pPr>
        <w:spacing w:line="240" w:lineRule="auto"/>
      </w:pPr>
      <w:r w:rsidRPr="002119E4">
        <w:t xml:space="preserve">ACECQA, </w:t>
      </w:r>
      <w:r w:rsidRPr="002119E4">
        <w:rPr>
          <w:i/>
          <w:iCs/>
        </w:rPr>
        <w:t>Community Child Care Fund Restricted (CCCFR) Quality and Training Package Evaluation Report</w:t>
      </w:r>
      <w:r w:rsidRPr="002119E4">
        <w:t xml:space="preserve"> (February 2023)</w:t>
      </w:r>
    </w:p>
    <w:p w14:paraId="7CCBE40C" w14:textId="0375721A" w:rsidR="001F2558" w:rsidRPr="002119E4" w:rsidRDefault="001F2558" w:rsidP="001F2558">
      <w:pPr>
        <w:spacing w:line="240" w:lineRule="auto"/>
      </w:pPr>
      <w:r w:rsidRPr="002119E4">
        <w:t xml:space="preserve">ACECQA, </w:t>
      </w:r>
      <w:r w:rsidRPr="002119E4">
        <w:rPr>
          <w:i/>
          <w:iCs/>
        </w:rPr>
        <w:t>Guide to the NQF (2023)</w:t>
      </w:r>
      <w:r w:rsidRPr="002119E4">
        <w:t>, &lt;</w:t>
      </w:r>
      <w:hyperlink r:id="rId142" w:history="1">
        <w:r w:rsidRPr="002119E4">
          <w:rPr>
            <w:rStyle w:val="Hyperlink"/>
          </w:rPr>
          <w:t>https://www.acecqa.gov.au/nqf/about/guide</w:t>
        </w:r>
      </w:hyperlink>
      <w:r w:rsidRPr="002119E4">
        <w:t xml:space="preserve">&gt;  </w:t>
      </w:r>
    </w:p>
    <w:p w14:paraId="34F89207" w14:textId="63279262" w:rsidR="001F2558" w:rsidRPr="002119E4" w:rsidRDefault="001F2558" w:rsidP="001F2558">
      <w:pPr>
        <w:spacing w:line="240" w:lineRule="auto"/>
      </w:pPr>
      <w:r w:rsidRPr="002119E4">
        <w:t xml:space="preserve">ACECQA, </w:t>
      </w:r>
      <w:r w:rsidRPr="002119E4">
        <w:rPr>
          <w:i/>
          <w:iCs/>
        </w:rPr>
        <w:t xml:space="preserve">Guide to the National Quality Framework </w:t>
      </w:r>
      <w:r w:rsidRPr="002119E4">
        <w:t>(updated October 2023), &lt;</w:t>
      </w:r>
      <w:hyperlink r:id="rId143" w:history="1">
        <w:r w:rsidRPr="002119E4">
          <w:rPr>
            <w:rStyle w:val="Hyperlink"/>
            <w:lang w:val="en-US"/>
          </w:rPr>
          <w:t>https://www.acecqa.gov.au/sites/default/files/2023-11/Guide-to-the-NQF-2310i-web.pdf</w:t>
        </w:r>
      </w:hyperlink>
      <w:r w:rsidRPr="002119E4">
        <w:rPr>
          <w:lang w:val="en-US"/>
        </w:rPr>
        <w:t xml:space="preserve">&gt; </w:t>
      </w:r>
    </w:p>
    <w:p w14:paraId="3F06DF26" w14:textId="0E4C6E4E" w:rsidR="001F2558" w:rsidRPr="002119E4" w:rsidRDefault="001F2558" w:rsidP="001F2558">
      <w:pPr>
        <w:spacing w:line="240" w:lineRule="auto"/>
      </w:pPr>
      <w:r w:rsidRPr="002119E4">
        <w:t xml:space="preserve">ACECQA, Information sheet: </w:t>
      </w:r>
      <w:r w:rsidRPr="002119E4">
        <w:rPr>
          <w:i/>
          <w:iCs/>
        </w:rPr>
        <w:t>Belonging, Being and Becoming. Aboriginal and Torres Strait Islander Perspectives</w:t>
      </w:r>
      <w:r w:rsidRPr="002119E4">
        <w:t xml:space="preserve"> (2022), &lt;</w:t>
      </w:r>
      <w:hyperlink r:id="rId144" w:history="1">
        <w:r w:rsidRPr="002119E4">
          <w:rPr>
            <w:rStyle w:val="Hyperlink"/>
          </w:rPr>
          <w:t>https://www.acecqa.gov.au/sites/default/files/2023-07/InformationSheet_EYLF-Aboriginal%20and%20Torres%20Strait%20Islander%20perspectives.pdf</w:t>
        </w:r>
      </w:hyperlink>
      <w:r w:rsidRPr="002119E4">
        <w:t xml:space="preserve">&gt; </w:t>
      </w:r>
    </w:p>
    <w:p w14:paraId="05AB8F06" w14:textId="4CA18D34" w:rsidR="001F2558" w:rsidRPr="002119E4" w:rsidRDefault="001F2558" w:rsidP="001F2558">
      <w:pPr>
        <w:tabs>
          <w:tab w:val="left" w:pos="1168"/>
        </w:tabs>
        <w:spacing w:line="240" w:lineRule="auto"/>
      </w:pPr>
      <w:r w:rsidRPr="002119E4">
        <w:t>ACECQA</w:t>
      </w:r>
      <w:r w:rsidRPr="002119E4">
        <w:rPr>
          <w:i/>
          <w:iCs/>
        </w:rPr>
        <w:t xml:space="preserve">, NQF Annual Performance Report </w:t>
      </w:r>
      <w:r w:rsidRPr="002119E4">
        <w:t>(2022) , &lt;</w:t>
      </w:r>
      <w:hyperlink r:id="rId145" w:history="1">
        <w:r w:rsidRPr="002119E4">
          <w:rPr>
            <w:rStyle w:val="Hyperlink"/>
          </w:rPr>
          <w:t>https://www.acecqa.gov.au/sites/default/files/2022-12/NQF%20Annual%20Performance%20Report%202022%20FINAL.pdf</w:t>
        </w:r>
      </w:hyperlink>
      <w:r w:rsidRPr="002119E4">
        <w:t xml:space="preserve">&gt; </w:t>
      </w:r>
    </w:p>
    <w:p w14:paraId="219A80F8" w14:textId="77777777" w:rsidR="001F2558" w:rsidRPr="002119E4" w:rsidRDefault="001F2558" w:rsidP="001F2558">
      <w:pPr>
        <w:spacing w:line="240" w:lineRule="auto"/>
      </w:pPr>
      <w:r w:rsidRPr="002119E4">
        <w:rPr>
          <w:i/>
          <w:iCs/>
        </w:rPr>
        <w:t>A New Tax System (Family Assistance) (Administration)</w:t>
      </w:r>
      <w:r w:rsidRPr="002119E4">
        <w:t xml:space="preserve"> Act 1999 Section 194F: Meaning of person with management or control. </w:t>
      </w:r>
      <w:r w:rsidRPr="002119E4">
        <w:rPr>
          <w:i/>
          <w:iCs/>
        </w:rPr>
        <w:t>A New Tax System (Family Assistance) (Administration)</w:t>
      </w:r>
      <w:r w:rsidRPr="002119E4">
        <w:t xml:space="preserve"> Act 1999</w:t>
      </w:r>
    </w:p>
    <w:p w14:paraId="3F526EE1" w14:textId="77777777" w:rsidR="001F2558" w:rsidRPr="002119E4" w:rsidRDefault="001F2558" w:rsidP="001F2558">
      <w:pPr>
        <w:spacing w:line="240" w:lineRule="auto"/>
      </w:pPr>
      <w:r w:rsidRPr="002119E4">
        <w:t xml:space="preserve">Alicia Jane Phillips, ‘An investigation of long day care services in Australia that are Exceeding the National Quality Standard’ (2020), </w:t>
      </w:r>
      <w:r w:rsidRPr="002119E4">
        <w:rPr>
          <w:i/>
          <w:iCs/>
        </w:rPr>
        <w:t>The University of Sydney</w:t>
      </w:r>
    </w:p>
    <w:p w14:paraId="58747DD6" w14:textId="6C2E5375" w:rsidR="001F2558" w:rsidRPr="002119E4" w:rsidRDefault="001F2558" w:rsidP="001F2558">
      <w:pPr>
        <w:spacing w:line="240" w:lineRule="auto"/>
      </w:pPr>
      <w:r w:rsidRPr="002119E4">
        <w:t>Australian Competition and Consumer Commission, ‘</w:t>
      </w:r>
      <w:r w:rsidRPr="002119E4">
        <w:rPr>
          <w:i/>
          <w:iCs/>
        </w:rPr>
        <w:t>Childcare Inquiry 2023: September 2023 Interim Report’</w:t>
      </w:r>
      <w:r w:rsidRPr="002119E4">
        <w:t xml:space="preserve">, </w:t>
      </w:r>
      <w:hyperlink r:id="rId146" w:history="1">
        <w:r w:rsidRPr="002119E4">
          <w:rPr>
            <w:rStyle w:val="Hyperlink"/>
          </w:rPr>
          <w:t>www.accc.gov.au</w:t>
        </w:r>
      </w:hyperlink>
      <w:r w:rsidRPr="002119E4">
        <w:t xml:space="preserve"> (1 October 2023) &lt;</w:t>
      </w:r>
      <w:hyperlink r:id="rId147" w:history="1">
        <w:r w:rsidRPr="002119E4">
          <w:rPr>
            <w:rStyle w:val="Hyperlink"/>
          </w:rPr>
          <w:t>https://www.accc.gov.au/inquiries-and-consultations/childcare-inquiry-2023/september-2023-interim-report</w:t>
        </w:r>
      </w:hyperlink>
      <w:r w:rsidRPr="002119E4">
        <w:t xml:space="preserve">&gt; </w:t>
      </w:r>
    </w:p>
    <w:p w14:paraId="080C5B41" w14:textId="0BFEDC8F" w:rsidR="001F2558" w:rsidRPr="002119E4" w:rsidRDefault="001F2558" w:rsidP="001F2558">
      <w:pPr>
        <w:spacing w:line="240" w:lineRule="auto"/>
      </w:pPr>
      <w:r w:rsidRPr="002119E4">
        <w:t xml:space="preserve">Australian Competition and Consumer Commission. </w:t>
      </w:r>
      <w:r w:rsidRPr="002119E4">
        <w:rPr>
          <w:i/>
          <w:iCs/>
        </w:rPr>
        <w:t>Final report – Childcare inquiry</w:t>
      </w:r>
      <w:r w:rsidRPr="002119E4">
        <w:t xml:space="preserve"> (December 2023) &lt; </w:t>
      </w:r>
      <w:hyperlink r:id="rId148" w:history="1">
        <w:r w:rsidRPr="002119E4">
          <w:rPr>
            <w:rStyle w:val="Hyperlink"/>
          </w:rPr>
          <w:t>https://www.accc.gov.au/inquiries-and-consultations/childcare-inquiry-2023/december-2023-final-report</w:t>
        </w:r>
      </w:hyperlink>
      <w:r w:rsidRPr="002119E4">
        <w:t xml:space="preserve">&gt; </w:t>
      </w:r>
    </w:p>
    <w:p w14:paraId="5D157E4A" w14:textId="3FCD3650" w:rsidR="001F2558" w:rsidRPr="002119E4" w:rsidRDefault="001F2558" w:rsidP="001F2558">
      <w:pPr>
        <w:spacing w:line="240" w:lineRule="auto"/>
      </w:pPr>
      <w:r w:rsidRPr="002119E4">
        <w:t xml:space="preserve">Australian Department of Education, </w:t>
      </w:r>
      <w:r w:rsidRPr="002119E4">
        <w:rPr>
          <w:i/>
          <w:iCs/>
        </w:rPr>
        <w:t>‘CCCF Restricted Grants – Guide for Grant Recipients’</w:t>
      </w:r>
      <w:r w:rsidRPr="002119E4">
        <w:t xml:space="preserve"> (2023), &lt;</w:t>
      </w:r>
      <w:hyperlink r:id="rId149" w:history="1">
        <w:r w:rsidRPr="002119E4">
          <w:rPr>
            <w:rStyle w:val="Hyperlink"/>
          </w:rPr>
          <w:t>https://www.education.gov.au/early-childhood/resources/community-child-care-fund-restricted-grants-guide-grant-recipients</w:t>
        </w:r>
      </w:hyperlink>
      <w:r w:rsidRPr="002119E4">
        <w:t xml:space="preserve">&gt; </w:t>
      </w:r>
    </w:p>
    <w:p w14:paraId="1C9AC722" w14:textId="0455C659" w:rsidR="001F2558" w:rsidRPr="002119E4" w:rsidRDefault="001F2558" w:rsidP="001F2558">
      <w:pPr>
        <w:spacing w:line="240" w:lineRule="auto"/>
      </w:pPr>
      <w:r w:rsidRPr="002119E4">
        <w:t xml:space="preserve">Australian Government, </w:t>
      </w:r>
      <w:r w:rsidRPr="002119E4">
        <w:rPr>
          <w:i/>
          <w:iCs/>
        </w:rPr>
        <w:t xml:space="preserve">1.2.6 Child care subsidy (CCS) – description </w:t>
      </w:r>
      <w:r w:rsidRPr="002119E4">
        <w:t>(2023), &lt;</w:t>
      </w:r>
      <w:hyperlink r:id="rId150" w:history="1">
        <w:r w:rsidRPr="002119E4">
          <w:rPr>
            <w:rStyle w:val="Hyperlink"/>
          </w:rPr>
          <w:t>https://guides.dss.gov.au/family-assistance-guide/1/2/6</w:t>
        </w:r>
      </w:hyperlink>
      <w:r w:rsidRPr="002119E4">
        <w:t xml:space="preserve">&gt; </w:t>
      </w:r>
    </w:p>
    <w:p w14:paraId="78D62C8E" w14:textId="6C2CED6D" w:rsidR="001F2558" w:rsidRPr="002119E4" w:rsidRDefault="001F2558" w:rsidP="001F2558">
      <w:pPr>
        <w:spacing w:line="240" w:lineRule="auto"/>
      </w:pPr>
      <w:r w:rsidRPr="002119E4">
        <w:t>Australian Government, ‘</w:t>
      </w:r>
      <w:r w:rsidRPr="002119E4">
        <w:rPr>
          <w:i/>
          <w:iCs/>
        </w:rPr>
        <w:t>National Agreement on Closing the Gap</w:t>
      </w:r>
      <w:r w:rsidRPr="002119E4">
        <w:t xml:space="preserve"> ’, </w:t>
      </w:r>
      <w:hyperlink r:id="rId151" w:history="1">
        <w:r w:rsidRPr="002119E4">
          <w:rPr>
            <w:rStyle w:val="Hyperlink"/>
          </w:rPr>
          <w:t>www.closingthegap.gov.au</w:t>
        </w:r>
      </w:hyperlink>
      <w:r w:rsidRPr="002119E4">
        <w:t xml:space="preserve"> (2020), &lt;</w:t>
      </w:r>
      <w:hyperlink r:id="rId152" w:history="1">
        <w:r w:rsidRPr="002119E4">
          <w:rPr>
            <w:rStyle w:val="Hyperlink"/>
          </w:rPr>
          <w:t>https://www.closingthegap.gov.au/national-agreement/national-agreement-closing-the-gap</w:t>
        </w:r>
      </w:hyperlink>
      <w:r w:rsidRPr="002119E4">
        <w:t>&gt;</w:t>
      </w:r>
    </w:p>
    <w:p w14:paraId="4B782F2F" w14:textId="378BFB74" w:rsidR="001F2558" w:rsidRPr="002119E4" w:rsidRDefault="001F2558" w:rsidP="001F2558">
      <w:pPr>
        <w:spacing w:line="240" w:lineRule="auto"/>
      </w:pPr>
      <w:r w:rsidRPr="002119E4">
        <w:t xml:space="preserve">Australian Government Aged Care Quality and Safety Commission, </w:t>
      </w:r>
      <w:r w:rsidRPr="002119E4">
        <w:rPr>
          <w:i/>
          <w:iCs/>
        </w:rPr>
        <w:t xml:space="preserve">Updates for Compliance and Enforcement Policy </w:t>
      </w:r>
      <w:r w:rsidRPr="002119E4">
        <w:t>– November 2022 (2022), &lt;</w:t>
      </w:r>
      <w:hyperlink r:id="rId153" w:history="1">
        <w:r w:rsidRPr="002119E4">
          <w:rPr>
            <w:rStyle w:val="Hyperlink"/>
          </w:rPr>
          <w:t>https://www.agedcarequality.gov.au/media/94534</w:t>
        </w:r>
      </w:hyperlink>
      <w:r w:rsidRPr="002119E4">
        <w:t xml:space="preserve">&gt; </w:t>
      </w:r>
    </w:p>
    <w:p w14:paraId="5CB6F19E" w14:textId="28867AA1" w:rsidR="001F2558" w:rsidRPr="002119E4" w:rsidRDefault="001F2558" w:rsidP="001F2558">
      <w:pPr>
        <w:spacing w:line="240" w:lineRule="auto"/>
      </w:pPr>
      <w:r w:rsidRPr="002119E4">
        <w:t>Australian Government Department of Education, ‘</w:t>
      </w:r>
      <w:r w:rsidRPr="002119E4">
        <w:rPr>
          <w:i/>
          <w:iCs/>
        </w:rPr>
        <w:t>Business support for CCCF grant recipients’</w:t>
      </w:r>
      <w:r w:rsidRPr="002119E4">
        <w:t xml:space="preserve"> (2023) &lt;</w:t>
      </w:r>
      <w:hyperlink r:id="rId154" w:history="1">
        <w:r w:rsidRPr="002119E4">
          <w:rPr>
            <w:rStyle w:val="Hyperlink"/>
          </w:rPr>
          <w:t>https://www.education.gov.au/early-childhood/community-child-care-fund/business-support</w:t>
        </w:r>
      </w:hyperlink>
      <w:r w:rsidRPr="002119E4">
        <w:t xml:space="preserve">&gt; </w:t>
      </w:r>
    </w:p>
    <w:p w14:paraId="7160288A" w14:textId="127D3903" w:rsidR="001F2558" w:rsidRPr="002119E4" w:rsidRDefault="001F2558" w:rsidP="001F2558">
      <w:pPr>
        <w:spacing w:line="240" w:lineRule="auto"/>
      </w:pPr>
      <w:r w:rsidRPr="002119E4">
        <w:t xml:space="preserve">Australian Government Department of Education, </w:t>
      </w:r>
      <w:r w:rsidRPr="002119E4">
        <w:rPr>
          <w:i/>
          <w:iCs/>
        </w:rPr>
        <w:t>Child care subsidy: Payments and fees</w:t>
      </w:r>
      <w:r w:rsidRPr="002119E4">
        <w:t xml:space="preserve"> (2023), &lt;</w:t>
      </w:r>
      <w:hyperlink r:id="rId155" w:history="1">
        <w:r w:rsidRPr="002119E4">
          <w:rPr>
            <w:rStyle w:val="Hyperlink"/>
          </w:rPr>
          <w:t>https://www.education.gov.au/early-childhood/child-care-subsidy/payments-and-fees</w:t>
        </w:r>
      </w:hyperlink>
      <w:r w:rsidRPr="002119E4">
        <w:t xml:space="preserve">&gt; </w:t>
      </w:r>
    </w:p>
    <w:p w14:paraId="110036CA" w14:textId="6294E898" w:rsidR="001F2558" w:rsidRPr="002119E4" w:rsidRDefault="001F2558" w:rsidP="001F2558">
      <w:pPr>
        <w:spacing w:line="240" w:lineRule="auto"/>
      </w:pPr>
      <w:r w:rsidRPr="002119E4">
        <w:t>Australian Government Department of Education</w:t>
      </w:r>
      <w:r w:rsidRPr="002119E4">
        <w:rPr>
          <w:i/>
          <w:iCs/>
        </w:rPr>
        <w:t xml:space="preserve">, Community Child Care Fund Restricted Grants – Guide for Grant Recipients </w:t>
      </w:r>
      <w:r w:rsidRPr="002119E4">
        <w:t>(August 2022), &lt;</w:t>
      </w:r>
      <w:hyperlink r:id="rId156" w:history="1">
        <w:r w:rsidRPr="002119E4">
          <w:rPr>
            <w:rStyle w:val="Hyperlink"/>
          </w:rPr>
          <w:t>https://www.education.gov.au/early-childhood/resources/community-child-care-fund-restricted-grants-guide-grant-recipients</w:t>
        </w:r>
      </w:hyperlink>
      <w:r w:rsidRPr="002119E4">
        <w:t xml:space="preserve">&gt; </w:t>
      </w:r>
    </w:p>
    <w:p w14:paraId="50429236" w14:textId="77777777" w:rsidR="001F2558" w:rsidRPr="002119E4" w:rsidRDefault="001F2558" w:rsidP="001F2558">
      <w:pPr>
        <w:pStyle w:val="FootnoteText"/>
        <w:rPr>
          <w:sz w:val="18"/>
          <w:szCs w:val="18"/>
        </w:rPr>
      </w:pPr>
      <w:r w:rsidRPr="002119E4">
        <w:rPr>
          <w:sz w:val="18"/>
          <w:szCs w:val="18"/>
        </w:rPr>
        <w:lastRenderedPageBreak/>
        <w:t xml:space="preserve">Australian Government Department of Education, </w:t>
      </w:r>
      <w:r w:rsidRPr="002119E4">
        <w:rPr>
          <w:i/>
          <w:sz w:val="18"/>
          <w:szCs w:val="18"/>
        </w:rPr>
        <w:t xml:space="preserve">Community Child Care Fund 2023 Compliance and Operations Report User </w:t>
      </w:r>
      <w:r w:rsidRPr="002119E4">
        <w:rPr>
          <w:i/>
          <w:iCs/>
          <w:sz w:val="18"/>
          <w:szCs w:val="18"/>
        </w:rPr>
        <w:t>Guide</w:t>
      </w:r>
      <w:r w:rsidRPr="002119E4">
        <w:rPr>
          <w:sz w:val="18"/>
          <w:szCs w:val="18"/>
        </w:rPr>
        <w:t xml:space="preserve"> (2023).</w:t>
      </w:r>
    </w:p>
    <w:p w14:paraId="24F00F9D" w14:textId="31773AD6" w:rsidR="001F2558" w:rsidRPr="002119E4" w:rsidRDefault="001F2558" w:rsidP="001F2558">
      <w:pPr>
        <w:spacing w:line="240" w:lineRule="auto"/>
      </w:pPr>
      <w:r w:rsidRPr="002119E4">
        <w:t>Australian Government Department of Education</w:t>
      </w:r>
      <w:r w:rsidRPr="002119E4">
        <w:rPr>
          <w:i/>
          <w:iCs/>
        </w:rPr>
        <w:t>, Early Childhood Education and Care National Workforce Census</w:t>
      </w:r>
      <w:r w:rsidRPr="002119E4">
        <w:t xml:space="preserve"> (2021), &lt;</w:t>
      </w:r>
      <w:hyperlink r:id="rId157" w:history="1">
        <w:r w:rsidRPr="002119E4">
          <w:rPr>
            <w:rStyle w:val="Hyperlink"/>
          </w:rPr>
          <w:t>https://www.education.gov.au/early-childhood/resources/2021-early-childhood-education-and-care-national-workforce-census-report</w:t>
        </w:r>
      </w:hyperlink>
      <w:r w:rsidRPr="002119E4">
        <w:t xml:space="preserve">&gt; </w:t>
      </w:r>
    </w:p>
    <w:p w14:paraId="2893C664" w14:textId="43DF9BAD" w:rsidR="001F2558" w:rsidRPr="002119E4" w:rsidRDefault="001F2558" w:rsidP="001F2558">
      <w:pPr>
        <w:spacing w:line="240" w:lineRule="auto"/>
      </w:pPr>
      <w:r w:rsidRPr="002119E4">
        <w:t xml:space="preserve"> Australian Government Department of Education, </w:t>
      </w:r>
      <w:r w:rsidRPr="002119E4">
        <w:rPr>
          <w:i/>
          <w:iCs/>
        </w:rPr>
        <w:t>Inclusion Support Program</w:t>
      </w:r>
      <w:r w:rsidRPr="002119E4">
        <w:t xml:space="preserve"> (2023), &lt;</w:t>
      </w:r>
      <w:hyperlink r:id="rId158" w:history="1">
        <w:r w:rsidRPr="002119E4">
          <w:rPr>
            <w:rStyle w:val="Hyperlink"/>
          </w:rPr>
          <w:t>https://www.education.gov.au/early-childhood/inclusion-support-program</w:t>
        </w:r>
      </w:hyperlink>
      <w:r w:rsidRPr="002119E4">
        <w:t>&gt;</w:t>
      </w:r>
    </w:p>
    <w:p w14:paraId="482EA153" w14:textId="4024E127" w:rsidR="001F2558" w:rsidRPr="002119E4" w:rsidRDefault="001F2558" w:rsidP="001F2558">
      <w:pPr>
        <w:spacing w:line="240" w:lineRule="auto"/>
      </w:pPr>
      <w:r w:rsidRPr="002119E4">
        <w:t xml:space="preserve">Australian Government Department of Education, </w:t>
      </w:r>
      <w:r w:rsidRPr="002119E4">
        <w:rPr>
          <w:i/>
          <w:iCs/>
        </w:rPr>
        <w:t>Preschool Reform Agreement – as varied</w:t>
      </w:r>
      <w:r w:rsidRPr="002119E4">
        <w:t xml:space="preserve"> (2021), &lt;</w:t>
      </w:r>
      <w:hyperlink r:id="rId159" w:history="1">
        <w:r w:rsidRPr="002119E4">
          <w:rPr>
            <w:rStyle w:val="Hyperlink"/>
          </w:rPr>
          <w:t>https://federalfinancialrelations.gov.au/sites/federalfinancialrelations.gov.au/files/2022-12/PRA%20Variation_compilation_All%20States.pdf</w:t>
        </w:r>
      </w:hyperlink>
      <w:r w:rsidRPr="002119E4">
        <w:t xml:space="preserve">&gt; </w:t>
      </w:r>
    </w:p>
    <w:p w14:paraId="3FEFD36E" w14:textId="2A645349" w:rsidR="001F2558" w:rsidRPr="002119E4" w:rsidRDefault="001F2558" w:rsidP="001F2558">
      <w:pPr>
        <w:spacing w:line="240" w:lineRule="auto"/>
      </w:pPr>
      <w:r w:rsidRPr="002119E4">
        <w:t xml:space="preserve">Australian Government Department of Education, </w:t>
      </w:r>
      <w:r w:rsidRPr="002119E4">
        <w:rPr>
          <w:i/>
          <w:iCs/>
        </w:rPr>
        <w:t>Provider obligations:</w:t>
      </w:r>
      <w:r w:rsidRPr="002119E4">
        <w:rPr>
          <w:i/>
        </w:rPr>
        <w:t xml:space="preserve"> collecting gap fees </w:t>
      </w:r>
      <w:r w:rsidRPr="002119E4">
        <w:t>(2023),</w:t>
      </w:r>
      <w:r w:rsidRPr="002119E4">
        <w:rPr>
          <w:lang w:val="en-US"/>
        </w:rPr>
        <w:t xml:space="preserve"> &lt;</w:t>
      </w:r>
      <w:hyperlink r:id="rId160" w:history="1">
        <w:r w:rsidRPr="002119E4">
          <w:rPr>
            <w:rStyle w:val="Hyperlink"/>
            <w:lang w:val="en-US"/>
          </w:rPr>
          <w:t>https://www.education.gov.au/early-childhood/provider-obligations/collecting-gap-fees</w:t>
        </w:r>
      </w:hyperlink>
      <w:r w:rsidRPr="002119E4">
        <w:rPr>
          <w:lang w:val="en-US"/>
        </w:rPr>
        <w:t xml:space="preserve">&gt; </w:t>
      </w:r>
    </w:p>
    <w:p w14:paraId="6E8EFA7A" w14:textId="3CCAE184" w:rsidR="001F2558" w:rsidRPr="002119E4" w:rsidRDefault="001F2558" w:rsidP="001F2558">
      <w:pPr>
        <w:spacing w:line="240" w:lineRule="auto"/>
      </w:pPr>
      <w:r w:rsidRPr="002119E4">
        <w:t xml:space="preserve">Australian Government Department of Education, </w:t>
      </w:r>
      <w:r w:rsidRPr="002119E4">
        <w:rPr>
          <w:i/>
          <w:iCs/>
        </w:rPr>
        <w:t>Provider obligations: Persons with management or control</w:t>
      </w:r>
      <w:r w:rsidRPr="002119E4">
        <w:t xml:space="preserve"> (2023), &lt;</w:t>
      </w:r>
      <w:hyperlink r:id="rId161" w:history="1">
        <w:r w:rsidRPr="002119E4">
          <w:rPr>
            <w:rStyle w:val="Hyperlink"/>
          </w:rPr>
          <w:t>http://www.education.gov.au/early-childhood/provider-obligations/persons-management-or-control</w:t>
        </w:r>
      </w:hyperlink>
      <w:r w:rsidRPr="002119E4">
        <w:t>&gt;</w:t>
      </w:r>
    </w:p>
    <w:p w14:paraId="7E2BFA26" w14:textId="2E81B85F" w:rsidR="001F2558" w:rsidRPr="002119E4" w:rsidRDefault="001F2558" w:rsidP="001F2558">
      <w:pPr>
        <w:spacing w:line="240" w:lineRule="auto"/>
      </w:pPr>
      <w:r w:rsidRPr="002119E4">
        <w:t xml:space="preserve">Australian Government Department of Education, </w:t>
      </w:r>
      <w:r w:rsidRPr="002119E4">
        <w:rPr>
          <w:i/>
          <w:iCs/>
        </w:rPr>
        <w:t>Provider obligations: Persons with management or control by organisation type</w:t>
      </w:r>
      <w:r w:rsidRPr="002119E4">
        <w:t xml:space="preserve"> (2023) &lt;</w:t>
      </w:r>
      <w:hyperlink r:id="rId162" w:history="1">
        <w:r w:rsidRPr="002119E4">
          <w:rPr>
            <w:rStyle w:val="Hyperlink"/>
          </w:rPr>
          <w:t>https://www.education.gov.au/early-childhood/provider-obligations/persons-management-or-control/pmcs-organisation-type</w:t>
        </w:r>
      </w:hyperlink>
      <w:r w:rsidRPr="002119E4">
        <w:t xml:space="preserve">&gt; </w:t>
      </w:r>
    </w:p>
    <w:p w14:paraId="7828904B" w14:textId="0665ECB8" w:rsidR="001F2558" w:rsidRPr="002119E4" w:rsidRDefault="001F2558" w:rsidP="001F2558">
      <w:pPr>
        <w:spacing w:line="240" w:lineRule="auto"/>
      </w:pPr>
      <w:r w:rsidRPr="002119E4">
        <w:t xml:space="preserve">Australian Government Department of Education and Training, </w:t>
      </w:r>
      <w:r w:rsidRPr="002119E4">
        <w:rPr>
          <w:i/>
          <w:iCs/>
        </w:rPr>
        <w:t>Community Child Care Fund- Restricted non-competitive grant opportunity (for specified services) Guidelines</w:t>
      </w:r>
      <w:r w:rsidRPr="002119E4">
        <w:t xml:space="preserve"> (February 2017), &lt;</w:t>
      </w:r>
      <w:hyperlink r:id="rId163" w:history="1">
        <w:r w:rsidRPr="002119E4">
          <w:rPr>
            <w:rStyle w:val="Hyperlink"/>
          </w:rPr>
          <w:t>https://www.grants.gov.au/Fo/DownloadDocument/e99c0c70-f434-c990-87d3-6ddebfa904f5?docType=Fo&amp;fileName=CCCF%20Restricted%20non-competitive%20grant%20opportunity%20guidelines%20%20311017.pdf&amp;location=s3Restricted</w:t>
        </w:r>
      </w:hyperlink>
      <w:r w:rsidRPr="002119E4">
        <w:t xml:space="preserve">&gt; </w:t>
      </w:r>
    </w:p>
    <w:p w14:paraId="47347D44" w14:textId="4F467418" w:rsidR="001F2558" w:rsidRPr="002119E4" w:rsidRDefault="001F2558" w:rsidP="001F2558">
      <w:pPr>
        <w:spacing w:line="240" w:lineRule="auto"/>
      </w:pPr>
      <w:r w:rsidRPr="002119E4">
        <w:t xml:space="preserve">Australian Government Department of Social Services, </w:t>
      </w:r>
      <w:r w:rsidRPr="002119E4">
        <w:rPr>
          <w:i/>
          <w:iCs/>
        </w:rPr>
        <w:t>‘Family Assistance Guide:1.1.A.05 Absences’</w:t>
      </w:r>
      <w:r w:rsidRPr="002119E4">
        <w:t xml:space="preserve"> (2023) &lt;</w:t>
      </w:r>
      <w:hyperlink r:id="rId164" w:history="1">
        <w:r w:rsidRPr="002119E4">
          <w:rPr>
            <w:rStyle w:val="Hyperlink"/>
          </w:rPr>
          <w:t>https://guides.dss.gov.au/family-assistance-guide/1/1/a/05</w:t>
        </w:r>
      </w:hyperlink>
      <w:r w:rsidRPr="002119E4">
        <w:t xml:space="preserve">&gt; </w:t>
      </w:r>
    </w:p>
    <w:p w14:paraId="43B66275" w14:textId="35C8C0C8" w:rsidR="001F2558" w:rsidRPr="002119E4" w:rsidRDefault="001F2558" w:rsidP="001F2558">
      <w:pPr>
        <w:spacing w:line="240" w:lineRule="auto"/>
      </w:pPr>
      <w:r w:rsidRPr="002119E4">
        <w:t xml:space="preserve">Australian Government Department of Social Services, </w:t>
      </w:r>
      <w:r w:rsidRPr="002119E4">
        <w:rPr>
          <w:i/>
          <w:iCs/>
        </w:rPr>
        <w:t>‘National Early Years Summit Summary and Agenda | Department of Social Services, Australian Government’</w:t>
      </w:r>
      <w:r w:rsidRPr="002119E4">
        <w:t xml:space="preserve">, </w:t>
      </w:r>
      <w:hyperlink r:id="rId165" w:history="1">
        <w:r w:rsidRPr="002119E4">
          <w:rPr>
            <w:rStyle w:val="Hyperlink"/>
          </w:rPr>
          <w:t>www.dss.gov.au</w:t>
        </w:r>
      </w:hyperlink>
      <w:r w:rsidRPr="002119E4">
        <w:t xml:space="preserve">  &lt;</w:t>
      </w:r>
      <w:hyperlink r:id="rId166" w:history="1">
        <w:r w:rsidRPr="002119E4">
          <w:rPr>
            <w:rStyle w:val="Hyperlink"/>
          </w:rPr>
          <w:t>https://www.dss.gov.au/families-and-children-programs-services-early-years-strategy/national-early-years-summit-summary-and-agenda</w:t>
        </w:r>
      </w:hyperlink>
      <w:r w:rsidRPr="002119E4">
        <w:t xml:space="preserve">&gt; </w:t>
      </w:r>
    </w:p>
    <w:p w14:paraId="46EC0AA7" w14:textId="03F6F24C" w:rsidR="001F2558" w:rsidRPr="002119E4" w:rsidRDefault="001F2558" w:rsidP="001F2558">
      <w:pPr>
        <w:spacing w:line="240" w:lineRule="auto"/>
      </w:pPr>
      <w:r w:rsidRPr="002119E4">
        <w:t>Australian Government, ‘</w:t>
      </w:r>
      <w:r w:rsidRPr="002119E4">
        <w:rPr>
          <w:i/>
          <w:iCs/>
        </w:rPr>
        <w:t>Minister Scullion: Backing Early Learning and Care for Disadvantaged Families’</w:t>
      </w:r>
      <w:r w:rsidRPr="002119E4">
        <w:t>, Indigenous.gov.au (2023), &lt;</w:t>
      </w:r>
      <w:hyperlink r:id="rId167" w:history="1">
        <w:r w:rsidRPr="002119E4">
          <w:rPr>
            <w:rStyle w:val="Hyperlink"/>
          </w:rPr>
          <w:t>https://www.indigenous.gov.au/news-and-media/announcements/minister-scullion-backing-early-learning-and-care-disadvantaged</w:t>
        </w:r>
      </w:hyperlink>
      <w:r w:rsidRPr="002119E4">
        <w:t>&gt;</w:t>
      </w:r>
    </w:p>
    <w:p w14:paraId="686194F0" w14:textId="01EAF91E" w:rsidR="001F2558" w:rsidRPr="002119E4" w:rsidRDefault="001F2558" w:rsidP="001F2558">
      <w:pPr>
        <w:spacing w:line="240" w:lineRule="auto"/>
      </w:pPr>
      <w:r w:rsidRPr="002119E4">
        <w:t xml:space="preserve">Australian Government Productivity Commission, </w:t>
      </w:r>
      <w:r w:rsidRPr="002119E4">
        <w:rPr>
          <w:i/>
          <w:iCs/>
        </w:rPr>
        <w:t>A path to universal early education and care: Draft report</w:t>
      </w:r>
      <w:r w:rsidRPr="002119E4">
        <w:t xml:space="preserve"> (November 2023), </w:t>
      </w:r>
      <w:hyperlink r:id="rId168" w:history="1">
        <w:r w:rsidRPr="002119E4">
          <w:rPr>
            <w:rStyle w:val="Hyperlink"/>
          </w:rPr>
          <w:t>https://www.pc.gov.au/inquiries/current/childhood/draft/childhood-draft.pdf</w:t>
        </w:r>
      </w:hyperlink>
      <w:r w:rsidRPr="002119E4">
        <w:t xml:space="preserve"> </w:t>
      </w:r>
    </w:p>
    <w:p w14:paraId="029BA717" w14:textId="3E5E3377" w:rsidR="001F2558" w:rsidRPr="002119E4" w:rsidRDefault="001F2558" w:rsidP="001F2558">
      <w:pPr>
        <w:spacing w:line="240" w:lineRule="auto"/>
      </w:pPr>
      <w:r w:rsidRPr="002119E4">
        <w:t xml:space="preserve">Australian Government Productivity Commission, </w:t>
      </w:r>
      <w:r w:rsidRPr="002119E4">
        <w:rPr>
          <w:i/>
          <w:iCs/>
        </w:rPr>
        <w:t>Review of the National Agreement on Closing the Gap, Study Report Volume 1</w:t>
      </w:r>
      <w:r w:rsidRPr="002119E4">
        <w:t xml:space="preserve"> (January 2024), &lt;</w:t>
      </w:r>
      <w:hyperlink r:id="rId169" w:history="1">
        <w:r w:rsidRPr="002119E4">
          <w:rPr>
            <w:rStyle w:val="Hyperlink"/>
          </w:rPr>
          <w:t>https://www.pc.gov.au/inquiries/completed/closing-the-gap-review/report/closing-the-gap-review-report.pdf</w:t>
        </w:r>
      </w:hyperlink>
      <w:r w:rsidRPr="002119E4">
        <w:t xml:space="preserve">&gt; </w:t>
      </w:r>
    </w:p>
    <w:p w14:paraId="2865C00D" w14:textId="148CB98D" w:rsidR="001F2558" w:rsidRPr="002119E4" w:rsidRDefault="001F2558" w:rsidP="001F2558">
      <w:pPr>
        <w:spacing w:line="240" w:lineRule="auto"/>
      </w:pPr>
      <w:r w:rsidRPr="002119E4">
        <w:t xml:space="preserve">Australian Government Services Australia, </w:t>
      </w:r>
      <w:r w:rsidRPr="002119E4">
        <w:rPr>
          <w:i/>
          <w:iCs/>
        </w:rPr>
        <w:t xml:space="preserve">Activity Test for Aboriginal and Torres Strait Islander children </w:t>
      </w:r>
      <w:r w:rsidRPr="002119E4">
        <w:t>(2023), &lt;</w:t>
      </w:r>
      <w:hyperlink r:id="rId170" w:history="1">
        <w:r w:rsidRPr="002119E4">
          <w:rPr>
            <w:rStyle w:val="Hyperlink"/>
          </w:rPr>
          <w:t>https://www.servicesaustralia.gov.au/activity-test-for-child-care-subsidy-for-aboriginal-and-torres-strait-islander-children?context=41186</w:t>
        </w:r>
      </w:hyperlink>
      <w:r w:rsidRPr="002119E4">
        <w:t xml:space="preserve">&gt; </w:t>
      </w:r>
    </w:p>
    <w:p w14:paraId="62856A05" w14:textId="08C8578A" w:rsidR="001F2558" w:rsidRPr="002119E4" w:rsidRDefault="001F2558" w:rsidP="001F2558">
      <w:pPr>
        <w:spacing w:line="240" w:lineRule="auto"/>
      </w:pPr>
      <w:r w:rsidRPr="002119E4">
        <w:t xml:space="preserve">Australian Institute of Family Studies, </w:t>
      </w:r>
      <w:r w:rsidRPr="002119E4">
        <w:rPr>
          <w:i/>
          <w:iCs/>
        </w:rPr>
        <w:t xml:space="preserve">Child Care Package Evaluation: Final Report </w:t>
      </w:r>
      <w:r w:rsidRPr="002119E4">
        <w:t>(2021) &lt;</w:t>
      </w:r>
      <w:hyperlink r:id="rId171" w:history="1">
        <w:r w:rsidRPr="002119E4">
          <w:rPr>
            <w:rStyle w:val="Hyperlink"/>
          </w:rPr>
          <w:t>https://aifs.gov.au/sites/default/files/2022-12/2021_child_care_package_evaluation_final_report.pdf</w:t>
        </w:r>
      </w:hyperlink>
      <w:r w:rsidRPr="002119E4">
        <w:t xml:space="preserve">&gt; </w:t>
      </w:r>
    </w:p>
    <w:p w14:paraId="3341349C" w14:textId="23FA9E46" w:rsidR="001F2558" w:rsidRPr="002119E4" w:rsidRDefault="001F2558" w:rsidP="001F2558">
      <w:pPr>
        <w:spacing w:line="240" w:lineRule="auto"/>
      </w:pPr>
      <w:r w:rsidRPr="002119E4">
        <w:t xml:space="preserve">Australian Institute of Health and Welfare, </w:t>
      </w:r>
      <w:r w:rsidRPr="002119E4">
        <w:rPr>
          <w:i/>
          <w:iCs/>
        </w:rPr>
        <w:t xml:space="preserve">Australia's children </w:t>
      </w:r>
      <w:r w:rsidRPr="002119E4">
        <w:t>(2022), &lt;</w:t>
      </w:r>
      <w:hyperlink r:id="rId172" w:history="1">
        <w:r w:rsidRPr="002119E4">
          <w:rPr>
            <w:rStyle w:val="Hyperlink"/>
          </w:rPr>
          <w:t>https://www.aihw.gov.au/reports/children-youth/australias-children</w:t>
        </w:r>
      </w:hyperlink>
      <w:r w:rsidRPr="002119E4">
        <w:t xml:space="preserve">&gt; </w:t>
      </w:r>
    </w:p>
    <w:p w14:paraId="678C02A3" w14:textId="77777777" w:rsidR="001F2558" w:rsidRPr="002119E4" w:rsidRDefault="001F2558" w:rsidP="001F2558">
      <w:pPr>
        <w:spacing w:line="240" w:lineRule="auto"/>
        <w:rPr>
          <w:i/>
          <w:iCs/>
        </w:rPr>
      </w:pPr>
      <w:r w:rsidRPr="002119E4">
        <w:t>Bray, J., et al., Child Care Package Evaluation: Final Report</w:t>
      </w:r>
      <w:r w:rsidRPr="002119E4">
        <w:rPr>
          <w:i/>
          <w:iCs/>
        </w:rPr>
        <w:t>.</w:t>
      </w:r>
      <w:r w:rsidRPr="002119E4">
        <w:t xml:space="preserve"> (Research Report) (2021)</w:t>
      </w:r>
      <w:r w:rsidRPr="002119E4">
        <w:rPr>
          <w:i/>
          <w:iCs/>
        </w:rPr>
        <w:t xml:space="preserve">, Melbourne: </w:t>
      </w:r>
    </w:p>
    <w:p w14:paraId="014E0960" w14:textId="77777777" w:rsidR="001F2558" w:rsidRPr="002119E4" w:rsidRDefault="001F2558" w:rsidP="001F2558">
      <w:pPr>
        <w:spacing w:line="240" w:lineRule="auto"/>
        <w:rPr>
          <w:i/>
          <w:iCs/>
        </w:rPr>
      </w:pPr>
      <w:r w:rsidRPr="002119E4">
        <w:rPr>
          <w:i/>
          <w:iCs/>
        </w:rPr>
        <w:t xml:space="preserve">Australian Institute of Family Studies </w:t>
      </w:r>
    </w:p>
    <w:p w14:paraId="29CA5967" w14:textId="0E27BCF0" w:rsidR="001F2558" w:rsidRPr="002119E4" w:rsidRDefault="001F2558" w:rsidP="001F2558">
      <w:pPr>
        <w:spacing w:line="240" w:lineRule="auto"/>
      </w:pPr>
      <w:r w:rsidRPr="002119E4">
        <w:lastRenderedPageBreak/>
        <w:t>Bray, J., et al, Discovering What Works for Families Child Care Package Evaluation: Final Report AUGUST 2021 (February 2022) &lt;</w:t>
      </w:r>
      <w:hyperlink r:id="rId173" w:history="1">
        <w:r w:rsidRPr="002119E4">
          <w:rPr>
            <w:rStyle w:val="Hyperlink"/>
          </w:rPr>
          <w:t>https://aifs.gov.au/sites/default/files/2022-12/2021_child_care_package_evaluation_final_report.pdf</w:t>
        </w:r>
      </w:hyperlink>
      <w:r w:rsidRPr="002119E4">
        <w:t>&gt;</w:t>
      </w:r>
    </w:p>
    <w:p w14:paraId="52D4A0BB" w14:textId="77777777" w:rsidR="001F2558" w:rsidRDefault="001F2558" w:rsidP="001F2558">
      <w:pPr>
        <w:pStyle w:val="FootnoteText"/>
        <w:rPr>
          <w:sz w:val="18"/>
          <w:szCs w:val="18"/>
        </w:rPr>
      </w:pPr>
      <w:r w:rsidRPr="002119E4">
        <w:rPr>
          <w:sz w:val="18"/>
          <w:szCs w:val="18"/>
        </w:rPr>
        <w:t xml:space="preserve">Binarri Binyja Yarrawoo Aboriginal Corporation (on behalf of Empowered Communities East Kimberley), </w:t>
      </w:r>
      <w:r w:rsidRPr="002119E4">
        <w:rPr>
          <w:i/>
          <w:iCs/>
          <w:sz w:val="18"/>
          <w:szCs w:val="18"/>
        </w:rPr>
        <w:t>Submission to the Early Years Strategy</w:t>
      </w:r>
      <w:r w:rsidRPr="002119E4">
        <w:rPr>
          <w:sz w:val="18"/>
          <w:szCs w:val="18"/>
        </w:rPr>
        <w:t xml:space="preserve"> (2023) </w:t>
      </w:r>
    </w:p>
    <w:p w14:paraId="66D74BF5" w14:textId="77777777" w:rsidR="00C53B09" w:rsidRPr="002119E4" w:rsidRDefault="00C53B09" w:rsidP="001F2558">
      <w:pPr>
        <w:pStyle w:val="FootnoteText"/>
        <w:rPr>
          <w:sz w:val="18"/>
          <w:szCs w:val="18"/>
          <w:lang w:val="en-US"/>
        </w:rPr>
      </w:pPr>
    </w:p>
    <w:p w14:paraId="422702E2" w14:textId="77777777" w:rsidR="001F2558" w:rsidRPr="002119E4" w:rsidRDefault="001F2558" w:rsidP="001F2558">
      <w:pPr>
        <w:spacing w:line="240" w:lineRule="auto"/>
        <w:rPr>
          <w:i/>
          <w:iCs/>
        </w:rPr>
      </w:pPr>
      <w:r w:rsidRPr="002119E4">
        <w:t xml:space="preserve">Camila A. Kairuz, Lisa M. Casanelia, Keziah Bennett-Brook, Julieann Coombes and Uday Narayan Yadav, ‘Impact of racism and discrimination on physical and mental health among Aboriginal and Torres Strait Islander peoples living in Australia: a systematic scoping review’ (2021), </w:t>
      </w:r>
      <w:r w:rsidRPr="002119E4">
        <w:rPr>
          <w:i/>
          <w:iCs/>
        </w:rPr>
        <w:t>21 BMC Public Health</w:t>
      </w:r>
    </w:p>
    <w:p w14:paraId="6DA66B45" w14:textId="77777777" w:rsidR="001F2558" w:rsidRPr="002119E4" w:rsidRDefault="001F2558" w:rsidP="001F2558">
      <w:pPr>
        <w:spacing w:line="240" w:lineRule="auto"/>
      </w:pPr>
      <w:r w:rsidRPr="002119E4">
        <w:t xml:space="preserve">Catherine Demosthenous, Boni Robertson, Anuja Cabraal and Supriya Singh, ‘Cultural Identity and Financial Literacy: Australian Aboriginal Experiences of Money and Money Management’ (2006) </w:t>
      </w:r>
      <w:r w:rsidRPr="002119E4">
        <w:rPr>
          <w:i/>
          <w:iCs/>
        </w:rPr>
        <w:t>Paper presented to Financial Literacy, Banking and Identity Conference, RMIT University Melbourne</w:t>
      </w:r>
    </w:p>
    <w:p w14:paraId="38D44AA9" w14:textId="4A5D8BDF" w:rsidR="00827A38" w:rsidRPr="001C655F" w:rsidRDefault="001F2558" w:rsidP="00827A38">
      <w:pPr>
        <w:spacing w:line="240" w:lineRule="auto"/>
        <w:rPr>
          <w:rStyle w:val="Hyperlink"/>
          <w:i/>
          <w:color w:val="auto"/>
          <w:u w:val="none"/>
        </w:rPr>
      </w:pPr>
      <w:r w:rsidRPr="002119E4">
        <w:rPr>
          <w:i/>
          <w:iCs/>
        </w:rPr>
        <w:t>Child Care Subsidy Secretary’s Rules 2017, subsection 85GB(2) of the A New Tax System (Family Assistance) Act 1999 (the Family Assistance Act)</w:t>
      </w:r>
    </w:p>
    <w:p w14:paraId="650CD856" w14:textId="6B4B3239" w:rsidR="00827A38" w:rsidRPr="002119E4" w:rsidRDefault="00827A38" w:rsidP="001F2558">
      <w:pPr>
        <w:spacing w:line="240" w:lineRule="auto"/>
      </w:pPr>
      <w:r>
        <w:t xml:space="preserve">Children and Family Intensive Support (CaFIS), </w:t>
      </w:r>
      <w:r w:rsidRPr="00722976">
        <w:rPr>
          <w:i/>
          <w:iCs/>
        </w:rPr>
        <w:t>STRENGTHS-BASED APPROACHES</w:t>
      </w:r>
      <w:r>
        <w:t xml:space="preserve"> (2022),&lt;</w:t>
      </w:r>
      <w:hyperlink r:id="rId174" w:history="1">
        <w:r w:rsidRPr="00921344">
          <w:rPr>
            <w:rStyle w:val="Hyperlink"/>
          </w:rPr>
          <w:t>https://www.dss.gov.au/sites/default/files/documents/04_2022/cafis_1h_-_strengths-based_approaches.pdf</w:t>
        </w:r>
      </w:hyperlink>
      <w:r w:rsidRPr="00722976">
        <w:rPr>
          <w:rStyle w:val="Hyperlink"/>
          <w:color w:val="auto"/>
          <w:u w:val="none"/>
        </w:rPr>
        <w:t>&gt;</w:t>
      </w:r>
    </w:p>
    <w:p w14:paraId="30F71FE7" w14:textId="77777777" w:rsidR="001F2558" w:rsidRPr="002119E4" w:rsidRDefault="001F2558" w:rsidP="001F2558">
      <w:pPr>
        <w:spacing w:line="240" w:lineRule="auto"/>
        <w:rPr>
          <w:i/>
          <w:iCs/>
        </w:rPr>
      </w:pPr>
      <w:r w:rsidRPr="002119E4">
        <w:rPr>
          <w:i/>
          <w:iCs/>
        </w:rPr>
        <w:t>Children (Education and Care Services) Supplementary Provisions Act 2011 NSW</w:t>
      </w:r>
    </w:p>
    <w:p w14:paraId="138FBB22" w14:textId="77777777" w:rsidR="001F2558" w:rsidRPr="002119E4" w:rsidRDefault="001F2558" w:rsidP="001F2558">
      <w:pPr>
        <w:spacing w:line="240" w:lineRule="auto"/>
      </w:pPr>
      <w:r w:rsidRPr="002119E4">
        <w:rPr>
          <w:i/>
        </w:rPr>
        <w:t>Children (Education and Care Services) Supplementary Provisions Regulation 2019</w:t>
      </w:r>
    </w:p>
    <w:p w14:paraId="0C0AD581" w14:textId="30628F35" w:rsidR="001F2558" w:rsidRPr="002119E4" w:rsidRDefault="001F2558" w:rsidP="001F2558">
      <w:pPr>
        <w:spacing w:line="240" w:lineRule="auto"/>
      </w:pPr>
      <w:r w:rsidRPr="002119E4">
        <w:t xml:space="preserve">Coalition of Aboriginal and Torres Strait Islander Peak Organisations, </w:t>
      </w:r>
      <w:r w:rsidRPr="002119E4">
        <w:rPr>
          <w:i/>
          <w:iCs/>
        </w:rPr>
        <w:t>‘Sector Strengthening Plan: Early childhood Education Care and Development’</w:t>
      </w:r>
      <w:r w:rsidRPr="002119E4">
        <w:t xml:space="preserve"> (2021), &lt;</w:t>
      </w:r>
      <w:hyperlink r:id="rId175" w:history="1">
        <w:r w:rsidRPr="002119E4">
          <w:rPr>
            <w:rStyle w:val="Hyperlink"/>
          </w:rPr>
          <w:t>https://www.closingthegap.gov.au/sites/default/files/2021-12/sector-strengthening-plan-early-childhood-care-development.pdf</w:t>
        </w:r>
      </w:hyperlink>
      <w:r w:rsidRPr="002119E4">
        <w:t xml:space="preserve">&gt; </w:t>
      </w:r>
    </w:p>
    <w:p w14:paraId="16AD7AA6" w14:textId="7A08CCA3" w:rsidR="001F2558" w:rsidRPr="002119E4" w:rsidRDefault="001F2558" w:rsidP="001F2558">
      <w:pPr>
        <w:spacing w:line="240" w:lineRule="auto"/>
      </w:pPr>
      <w:r w:rsidRPr="002119E4">
        <w:t xml:space="preserve">Commonwealth Department of Education, </w:t>
      </w:r>
      <w:r w:rsidRPr="002119E4">
        <w:rPr>
          <w:i/>
          <w:iCs/>
        </w:rPr>
        <w:t>Community Child Care Fund restricted grant review (</w:t>
      </w:r>
      <w:r w:rsidRPr="002119E4">
        <w:t>2023), &lt;</w:t>
      </w:r>
      <w:hyperlink r:id="rId176" w:history="1">
        <w:r w:rsidRPr="002119E4">
          <w:rPr>
            <w:rStyle w:val="Hyperlink"/>
          </w:rPr>
          <w:t>https://www.education.gov.au/early-childhood/community-child-care-fund/cccf-restricted-grant/community-child-care-fund-restricted-grant-review</w:t>
        </w:r>
      </w:hyperlink>
      <w:r w:rsidRPr="002119E4">
        <w:t xml:space="preserve">&gt; </w:t>
      </w:r>
    </w:p>
    <w:p w14:paraId="18470268" w14:textId="08ACC81A" w:rsidR="001F2558" w:rsidRPr="002119E4" w:rsidRDefault="001F2558" w:rsidP="001F2558">
      <w:pPr>
        <w:spacing w:line="240" w:lineRule="auto"/>
      </w:pPr>
      <w:r w:rsidRPr="002119E4">
        <w:t xml:space="preserve">Community Early Learning Australia (CELA), </w:t>
      </w:r>
      <w:r w:rsidRPr="002119E4">
        <w:rPr>
          <w:i/>
          <w:iCs/>
        </w:rPr>
        <w:t>‘Approved Provider and Governance Program’</w:t>
      </w:r>
      <w:r w:rsidRPr="002119E4">
        <w:t xml:space="preserve"> (2023) &lt;</w:t>
      </w:r>
      <w:hyperlink r:id="rId177" w:history="1">
        <w:r w:rsidRPr="002119E4">
          <w:rPr>
            <w:rStyle w:val="Hyperlink"/>
          </w:rPr>
          <w:t>https://www.cela.org.au/training/approved-provider-program</w:t>
        </w:r>
      </w:hyperlink>
      <w:r w:rsidRPr="002119E4">
        <w:t xml:space="preserve">&gt; </w:t>
      </w:r>
    </w:p>
    <w:p w14:paraId="773409EC" w14:textId="77777777" w:rsidR="001F2558" w:rsidRPr="002119E4" w:rsidRDefault="001F2558" w:rsidP="001F2558">
      <w:pPr>
        <w:spacing w:line="240" w:lineRule="auto"/>
        <w:rPr>
          <w:i/>
          <w:iCs/>
        </w:rPr>
      </w:pPr>
      <w:r w:rsidRPr="002119E4">
        <w:t xml:space="preserve">Crystal Jongen, Sandra Campbell, Janya McCalman, Ruth Fagan, Kingsley Pearson, and Suzanne Andrews, ‘Transitioning to Aboriginal community control of primary health care: the process and strategies of one community-controlled health organisation in Queensland’ (2020), </w:t>
      </w:r>
      <w:r w:rsidRPr="002119E4">
        <w:rPr>
          <w:i/>
          <w:iCs/>
        </w:rPr>
        <w:t>21 BMC Primary Care</w:t>
      </w:r>
    </w:p>
    <w:p w14:paraId="226DA124" w14:textId="77777777" w:rsidR="001F2558" w:rsidRPr="002119E4" w:rsidRDefault="001F2558" w:rsidP="001F2558">
      <w:pPr>
        <w:spacing w:line="240" w:lineRule="auto"/>
      </w:pPr>
      <w:r w:rsidRPr="002119E4">
        <w:t xml:space="preserve">Deloitte Access Economics, </w:t>
      </w:r>
      <w:r w:rsidRPr="002119E4">
        <w:rPr>
          <w:i/>
          <w:iCs/>
        </w:rPr>
        <w:t>CCCFR service survey</w:t>
      </w:r>
      <w:r w:rsidRPr="002119E4">
        <w:t xml:space="preserve"> (2023).</w:t>
      </w:r>
    </w:p>
    <w:p w14:paraId="62CBA609" w14:textId="0003F94C" w:rsidR="001F2558" w:rsidRPr="002119E4" w:rsidRDefault="001F2558" w:rsidP="001F2558">
      <w:pPr>
        <w:spacing w:line="240" w:lineRule="auto"/>
      </w:pPr>
      <w:r w:rsidRPr="002119E4">
        <w:t>Department of Education, Australian Government’</w:t>
      </w:r>
      <w:r w:rsidRPr="002119E4">
        <w:rPr>
          <w:i/>
          <w:iCs/>
        </w:rPr>
        <w:t>, Department of Education</w:t>
      </w:r>
      <w:r w:rsidRPr="002119E4">
        <w:t xml:space="preserve"> (2023) &lt;</w:t>
      </w:r>
      <w:hyperlink r:id="rId178" w:history="1">
        <w:r w:rsidRPr="002119E4">
          <w:rPr>
            <w:rStyle w:val="Hyperlink"/>
          </w:rPr>
          <w:t>https://www.education.gov.au/early-childhood/resources/community-child-care-fund-restricted-grants-guide-grant-recipients</w:t>
        </w:r>
      </w:hyperlink>
      <w:r w:rsidRPr="002119E4">
        <w:t>&gt;</w:t>
      </w:r>
    </w:p>
    <w:p w14:paraId="39AD9DCF" w14:textId="3CFD72E2" w:rsidR="001F2558" w:rsidRPr="002119E4" w:rsidRDefault="001F2558" w:rsidP="001F2558">
      <w:pPr>
        <w:spacing w:line="240" w:lineRule="auto"/>
      </w:pPr>
      <w:r w:rsidRPr="002119E4">
        <w:t xml:space="preserve">Department of Education Australian Government, </w:t>
      </w:r>
      <w:r w:rsidRPr="002119E4">
        <w:rPr>
          <w:i/>
          <w:iCs/>
        </w:rPr>
        <w:t>‘CCCF Restricted Grant</w:t>
      </w:r>
      <w:r w:rsidRPr="002119E4">
        <w:t>’ (2023), &lt;</w:t>
      </w:r>
      <w:hyperlink r:id="rId179" w:history="1">
        <w:r w:rsidRPr="002119E4">
          <w:rPr>
            <w:rStyle w:val="Hyperlink"/>
          </w:rPr>
          <w:t>https://www.education.gov.au/early-childhood/community-child-care-fund/cccf-restricted-grant</w:t>
        </w:r>
      </w:hyperlink>
      <w:r w:rsidRPr="002119E4">
        <w:t xml:space="preserve">  </w:t>
      </w:r>
    </w:p>
    <w:p w14:paraId="548BCF50" w14:textId="7A2F68AA" w:rsidR="001F2558" w:rsidRPr="002119E4" w:rsidRDefault="001F2558" w:rsidP="001F2558">
      <w:pPr>
        <w:spacing w:line="240" w:lineRule="auto"/>
      </w:pPr>
      <w:r w:rsidRPr="002119E4">
        <w:t xml:space="preserve">Department of Education. </w:t>
      </w:r>
      <w:r w:rsidRPr="002119E4">
        <w:rPr>
          <w:i/>
          <w:iCs/>
        </w:rPr>
        <w:t xml:space="preserve">CCCF Restricted grant expansion </w:t>
      </w:r>
      <w:r w:rsidRPr="002119E4">
        <w:t>(July 2023), &lt;</w:t>
      </w:r>
      <w:hyperlink r:id="rId180" w:history="1">
        <w:r w:rsidRPr="002119E4">
          <w:rPr>
            <w:rStyle w:val="Hyperlink"/>
          </w:rPr>
          <w:t>https://www.education.gov.au/early-childhood/community-child-care-fund-restricted-guide/introduction/cccf-restricted-grant-expansion</w:t>
        </w:r>
      </w:hyperlink>
      <w:r w:rsidRPr="002119E4">
        <w:t>&gt;</w:t>
      </w:r>
    </w:p>
    <w:p w14:paraId="129D03FC" w14:textId="3402D90C" w:rsidR="001F2558" w:rsidRPr="002119E4" w:rsidRDefault="001F2558" w:rsidP="001F2558">
      <w:pPr>
        <w:spacing w:line="240" w:lineRule="auto"/>
      </w:pPr>
      <w:r w:rsidRPr="002119E4">
        <w:t>Department of Education Australian Government, ‘</w:t>
      </w:r>
      <w:r w:rsidRPr="002119E4">
        <w:rPr>
          <w:i/>
          <w:iCs/>
        </w:rPr>
        <w:t>Minister Scullion: Backing Early Learning and Care for Disadvantaged Families’</w:t>
      </w:r>
      <w:r w:rsidRPr="002119E4">
        <w:t xml:space="preserve"> (2018)., Indigenous.gov.au </w:t>
      </w:r>
      <w:hyperlink r:id="rId181" w:history="1">
        <w:r w:rsidRPr="002119E4">
          <w:rPr>
            <w:rStyle w:val="Hyperlink"/>
          </w:rPr>
          <w:t>https://www.indigenous.gov.au/news-and-media/announcements/minister-scullion-backing-early-learning-and-care-disadvantaged</w:t>
        </w:r>
      </w:hyperlink>
      <w:r w:rsidRPr="002119E4">
        <w:t xml:space="preserve"> .</w:t>
      </w:r>
    </w:p>
    <w:p w14:paraId="2CAE9ECF" w14:textId="72FACB04" w:rsidR="001F2558" w:rsidRPr="002119E4" w:rsidRDefault="001F2558" w:rsidP="001F2558">
      <w:pPr>
        <w:spacing w:line="240" w:lineRule="auto"/>
      </w:pPr>
      <w:r w:rsidRPr="002119E4">
        <w:t xml:space="preserve">Department of Education, </w:t>
      </w:r>
      <w:r w:rsidRPr="002119E4">
        <w:rPr>
          <w:i/>
          <w:iCs/>
        </w:rPr>
        <w:t>Child care provider handbook</w:t>
      </w:r>
      <w:r w:rsidRPr="002119E4">
        <w:t xml:space="preserve"> (2019), &lt;</w:t>
      </w:r>
      <w:hyperlink r:id="rId182" w:history="1">
        <w:r w:rsidRPr="002119E4">
          <w:rPr>
            <w:rStyle w:val="Hyperlink"/>
          </w:rPr>
          <w:t>https://ihcsupportagency.org.au/wp-content/uploads/2019/07/ChildCareProviderHandbookV2.pdf</w:t>
        </w:r>
      </w:hyperlink>
      <w:r w:rsidRPr="002119E4">
        <w:t xml:space="preserve">&gt; </w:t>
      </w:r>
    </w:p>
    <w:p w14:paraId="420F30E2" w14:textId="5692426B" w:rsidR="001F2558" w:rsidRPr="002119E4" w:rsidRDefault="001F2558" w:rsidP="001F2558">
      <w:pPr>
        <w:spacing w:line="240" w:lineRule="auto"/>
      </w:pPr>
      <w:r w:rsidRPr="002119E4">
        <w:lastRenderedPageBreak/>
        <w:t>Department of Education</w:t>
      </w:r>
      <w:r w:rsidRPr="002119E4">
        <w:rPr>
          <w:i/>
          <w:iCs/>
        </w:rPr>
        <w:t>. Family assistance law</w:t>
      </w:r>
      <w:r w:rsidRPr="002119E4">
        <w:t xml:space="preserve"> (July 2023), &lt;</w:t>
      </w:r>
      <w:hyperlink r:id="rId183" w:history="1">
        <w:r w:rsidRPr="002119E4">
          <w:rPr>
            <w:rStyle w:val="Hyperlink"/>
          </w:rPr>
          <w:t>https://www.education.gov.au/early-childhood/provider-obligations/family-assistance-law</w:t>
        </w:r>
      </w:hyperlink>
      <w:r w:rsidRPr="002119E4">
        <w:t>&gt;</w:t>
      </w:r>
    </w:p>
    <w:p w14:paraId="5BD32518" w14:textId="6ED36E85" w:rsidR="001F2558" w:rsidRPr="002119E4" w:rsidRDefault="001F2558" w:rsidP="001F2558">
      <w:pPr>
        <w:spacing w:line="240" w:lineRule="auto"/>
      </w:pPr>
      <w:r w:rsidRPr="002119E4">
        <w:t xml:space="preserve">Department of Education, </w:t>
      </w:r>
      <w:r w:rsidRPr="002119E4">
        <w:rPr>
          <w:i/>
          <w:iCs/>
        </w:rPr>
        <w:t>National Vision for early childhood education and care, National vision for early childhood education and care (</w:t>
      </w:r>
      <w:r w:rsidRPr="002119E4">
        <w:t xml:space="preserve">February 2024), </w:t>
      </w:r>
      <w:hyperlink r:id="rId184" w:history="1">
        <w:r w:rsidRPr="002119E4">
          <w:rPr>
            <w:rStyle w:val="Hyperlink"/>
          </w:rPr>
          <w:t>https://www.education.gov.au/early-childhood/strategy-and-evaluation/national-vision-early-childhood-education-and-care</w:t>
        </w:r>
      </w:hyperlink>
      <w:r w:rsidRPr="002119E4">
        <w:t xml:space="preserve"> </w:t>
      </w:r>
    </w:p>
    <w:p w14:paraId="4E42DF23" w14:textId="77777777" w:rsidR="001F2558" w:rsidRPr="002119E4" w:rsidRDefault="001F2558" w:rsidP="001F2558">
      <w:pPr>
        <w:spacing w:line="240" w:lineRule="auto"/>
      </w:pPr>
      <w:r w:rsidRPr="002119E4">
        <w:t xml:space="preserve">Department of Education and Training, </w:t>
      </w:r>
      <w:r w:rsidRPr="002119E4">
        <w:rPr>
          <w:i/>
          <w:iCs/>
        </w:rPr>
        <w:t>Community Child Care Fund - Restricted non-competitive grant opportunity (for specified services) Guidelines</w:t>
      </w:r>
      <w:r w:rsidRPr="002119E4">
        <w:t xml:space="preserve">, (July 2017). </w:t>
      </w:r>
    </w:p>
    <w:p w14:paraId="76771E40" w14:textId="7299140A" w:rsidR="001F2558" w:rsidRPr="002119E4" w:rsidRDefault="001F2558" w:rsidP="001F2558">
      <w:pPr>
        <w:spacing w:line="240" w:lineRule="auto"/>
      </w:pPr>
      <w:r w:rsidRPr="002119E4">
        <w:t xml:space="preserve">Department of Social Services, Australian Government’, </w:t>
      </w:r>
      <w:hyperlink r:id="rId185" w:history="1">
        <w:r w:rsidRPr="002119E4">
          <w:rPr>
            <w:rStyle w:val="Hyperlink"/>
          </w:rPr>
          <w:t>www.dss.gov.au</w:t>
        </w:r>
      </w:hyperlink>
      <w:r w:rsidRPr="002119E4">
        <w:t xml:space="preserve">  &lt;</w:t>
      </w:r>
      <w:hyperlink r:id="rId186" w:history="1">
        <w:r w:rsidRPr="002119E4">
          <w:rPr>
            <w:rStyle w:val="Hyperlink"/>
          </w:rPr>
          <w:t>https://www.dss.gov.au/families-and-children-programs-services-early-years-strategy/national-early-years-summit-summary-and-agenda</w:t>
        </w:r>
      </w:hyperlink>
      <w:r w:rsidRPr="002119E4">
        <w:t xml:space="preserve">&gt; </w:t>
      </w:r>
    </w:p>
    <w:p w14:paraId="52D0639A" w14:textId="77777777" w:rsidR="001F2558" w:rsidRPr="002119E4" w:rsidRDefault="001F2558" w:rsidP="001F2558">
      <w:pPr>
        <w:spacing w:line="240" w:lineRule="auto"/>
      </w:pPr>
      <w:r w:rsidRPr="002119E4">
        <w:t xml:space="preserve">DiStefano, M. J., &amp; Krubiner, C. B., ‘Beyond the numbers: a critique of quantitative multi-criteria decision analysis’ (2020) </w:t>
      </w:r>
      <w:r w:rsidRPr="002119E4">
        <w:rPr>
          <w:i/>
          <w:iCs/>
        </w:rPr>
        <w:t>International Journal of Technology Assessment in Health Care</w:t>
      </w:r>
      <w:r w:rsidRPr="002119E4">
        <w:t xml:space="preserve"> 1 </w:t>
      </w:r>
    </w:p>
    <w:p w14:paraId="1F89E995" w14:textId="011D1076" w:rsidR="001F2558" w:rsidRPr="002119E4" w:rsidRDefault="001F2558" w:rsidP="001F2558">
      <w:pPr>
        <w:spacing w:line="240" w:lineRule="auto"/>
      </w:pPr>
      <w:r w:rsidRPr="002119E4">
        <w:t>Education Services Australia. “</w:t>
      </w:r>
      <w:r w:rsidRPr="002119E4">
        <w:rPr>
          <w:i/>
          <w:iCs/>
        </w:rPr>
        <w:t xml:space="preserve">Shaping Our Future” A ten-year strategy to ensure a sustainable, high-quality children’s education and care workforce 2022–2031 </w:t>
      </w:r>
      <w:r w:rsidRPr="002119E4">
        <w:t>(2022), &lt;</w:t>
      </w:r>
      <w:hyperlink r:id="rId187" w:history="1">
        <w:r w:rsidRPr="002119E4">
          <w:rPr>
            <w:rStyle w:val="Hyperlink"/>
          </w:rPr>
          <w:t>https://www.acecqa.gov.au/sites/default/files/2021-10/ShapingOurFutureChildrensEducationandCareNationalWorkforceStrategy-September2021.pdf</w:t>
        </w:r>
      </w:hyperlink>
      <w:r w:rsidRPr="002119E4">
        <w:t>&gt;</w:t>
      </w:r>
    </w:p>
    <w:p w14:paraId="08D2BC6B" w14:textId="3AB33E44" w:rsidR="001F2558" w:rsidRPr="002119E4" w:rsidRDefault="001F2558" w:rsidP="001F2558">
      <w:pPr>
        <w:spacing w:line="240" w:lineRule="auto"/>
      </w:pPr>
      <w:r w:rsidRPr="002119E4">
        <w:t xml:space="preserve">Edward Melhuish and Julian Gardiner, </w:t>
      </w:r>
      <w:r w:rsidRPr="002119E4">
        <w:rPr>
          <w:i/>
          <w:iCs/>
        </w:rPr>
        <w:t>EQUAL HOURS? The Impact of Hours Spent in Early Years Provision on Children’s Outcomes at Age Five, by Socio-Economic Background</w:t>
      </w:r>
      <w:r w:rsidRPr="002119E4">
        <w:t xml:space="preserve"> (2023), &lt;</w:t>
      </w:r>
      <w:hyperlink r:id="rId188" w:history="1">
        <w:r w:rsidRPr="002119E4">
          <w:rPr>
            <w:rStyle w:val="Hyperlink"/>
          </w:rPr>
          <w:t>https://www.suttontrust.com/wp-content/uploads/2023/01/Equal-Hours.pdf</w:t>
        </w:r>
      </w:hyperlink>
      <w:r w:rsidRPr="002119E4">
        <w:t xml:space="preserve">&gt; </w:t>
      </w:r>
    </w:p>
    <w:p w14:paraId="17930CB2" w14:textId="0A16A656" w:rsidR="001F2558" w:rsidRPr="002119E4" w:rsidRDefault="001F2558" w:rsidP="001F2558">
      <w:pPr>
        <w:spacing w:line="240" w:lineRule="auto"/>
      </w:pPr>
      <w:r w:rsidRPr="002119E4">
        <w:t xml:space="preserve">Edward Melhuish et al, ‘Pre-School Experience and Social/Behavioural Development at the End of Year 3 of Primary School’ (2004), </w:t>
      </w:r>
      <w:r w:rsidRPr="002119E4">
        <w:rPr>
          <w:i/>
          <w:iCs/>
        </w:rPr>
        <w:t>Faculty of Social Sciences - Papers (Archive),</w:t>
      </w:r>
      <w:r w:rsidRPr="002119E4">
        <w:t xml:space="preserve"> &lt;</w:t>
      </w:r>
      <w:hyperlink r:id="rId189" w:history="1">
        <w:r w:rsidRPr="002119E4">
          <w:rPr>
            <w:rStyle w:val="Hyperlink"/>
          </w:rPr>
          <w:t>https://ro.uow.edu.au/sspapers/1993/</w:t>
        </w:r>
      </w:hyperlink>
      <w:r w:rsidRPr="002119E4">
        <w:t xml:space="preserve">&gt; </w:t>
      </w:r>
    </w:p>
    <w:p w14:paraId="7F5AC880" w14:textId="40727CF8" w:rsidR="001F2558" w:rsidRPr="002119E4" w:rsidRDefault="001F2558" w:rsidP="001F2558">
      <w:pPr>
        <w:spacing w:line="240" w:lineRule="auto"/>
      </w:pPr>
      <w:r w:rsidRPr="002119E4">
        <w:t xml:space="preserve">Family Assistance Guide, Australian Government Department of Social Services (DSS) </w:t>
      </w:r>
      <w:r w:rsidRPr="002119E4">
        <w:rPr>
          <w:i/>
          <w:iCs/>
        </w:rPr>
        <w:t>’Approved provider, approved child care service</w:t>
      </w:r>
      <w:r w:rsidRPr="002119E4">
        <w:t xml:space="preserve">, </w:t>
      </w:r>
      <w:r w:rsidRPr="002119E4">
        <w:rPr>
          <w:i/>
          <w:iCs/>
        </w:rPr>
        <w:t>approved child care (CCS)‘</w:t>
      </w:r>
      <w:r w:rsidRPr="002119E4">
        <w:t xml:space="preserve"> (2024), &lt;</w:t>
      </w:r>
      <w:hyperlink r:id="rId190" w:history="1">
        <w:r w:rsidRPr="002119E4">
          <w:rPr>
            <w:rStyle w:val="Hyperlink"/>
          </w:rPr>
          <w:t>https://guides.dss.gov.au/family-assistance-guide/1/1/a/90</w:t>
        </w:r>
      </w:hyperlink>
      <w:r w:rsidRPr="002119E4">
        <w:t>&gt;</w:t>
      </w:r>
    </w:p>
    <w:p w14:paraId="58CACD69" w14:textId="0CDB2E63" w:rsidR="001F2558" w:rsidRPr="002119E4" w:rsidRDefault="001F2558" w:rsidP="001F2558">
      <w:pPr>
        <w:spacing w:line="240" w:lineRule="auto"/>
      </w:pPr>
      <w:r w:rsidRPr="002119E4">
        <w:t xml:space="preserve">Federal Register of Legislation, </w:t>
      </w:r>
      <w:r w:rsidRPr="002119E4">
        <w:rPr>
          <w:i/>
          <w:iCs/>
        </w:rPr>
        <w:t>'Child Care Subsidy Minister’s Rules 2017', Division 5, Section 49(b)</w:t>
      </w:r>
      <w:r w:rsidRPr="002119E4">
        <w:t xml:space="preserve"> (2017) &lt;</w:t>
      </w:r>
      <w:hyperlink r:id="rId191" w:history="1">
        <w:r w:rsidRPr="002119E4">
          <w:rPr>
            <w:rStyle w:val="Hyperlink"/>
          </w:rPr>
          <w:t>https://www.legislation.gov.au/Details/F2022C00009</w:t>
        </w:r>
      </w:hyperlink>
      <w:r w:rsidRPr="002119E4">
        <w:t xml:space="preserve">&gt; </w:t>
      </w:r>
    </w:p>
    <w:p w14:paraId="7737192C" w14:textId="45F7956A" w:rsidR="001F2558" w:rsidRPr="002119E4" w:rsidRDefault="001F2558" w:rsidP="001F2558">
      <w:pPr>
        <w:spacing w:line="240" w:lineRule="auto"/>
      </w:pPr>
      <w:r w:rsidRPr="002119E4">
        <w:t xml:space="preserve">Federal Register of Legislation, </w:t>
      </w:r>
      <w:r w:rsidRPr="002119E4">
        <w:rPr>
          <w:i/>
          <w:iCs/>
        </w:rPr>
        <w:t>Child care subsidy Minister’s Rules 2017. Division 5, section 49</w:t>
      </w:r>
      <w:r w:rsidRPr="002119E4">
        <w:t xml:space="preserve"> (2019) &lt;</w:t>
      </w:r>
      <w:hyperlink r:id="rId192" w:history="1">
        <w:r w:rsidRPr="002119E4">
          <w:rPr>
            <w:rStyle w:val="Hyperlink"/>
          </w:rPr>
          <w:t>https://www.legislation.gov.au/Details/F2022C00009</w:t>
        </w:r>
      </w:hyperlink>
      <w:r w:rsidRPr="002119E4">
        <w:t xml:space="preserve">&gt; </w:t>
      </w:r>
    </w:p>
    <w:p w14:paraId="17CD99A2" w14:textId="1B8CB45E" w:rsidR="001F2558" w:rsidRPr="002119E4" w:rsidRDefault="001F2558" w:rsidP="001F2558">
      <w:pPr>
        <w:spacing w:line="240" w:lineRule="auto"/>
      </w:pPr>
      <w:r w:rsidRPr="002119E4">
        <w:t xml:space="preserve">Former Ministers and Parliamentary Secretaries, </w:t>
      </w:r>
      <w:r w:rsidRPr="002119E4">
        <w:rPr>
          <w:i/>
          <w:iCs/>
        </w:rPr>
        <w:t>‘Job for Families Child Care Package Delivers Choice for Families</w:t>
      </w:r>
      <w:r w:rsidRPr="002119E4">
        <w:t>’ &lt;</w:t>
      </w:r>
      <w:hyperlink r:id="rId193" w:history="1">
        <w:r w:rsidRPr="002119E4">
          <w:rPr>
            <w:rStyle w:val="Hyperlink"/>
          </w:rPr>
          <w:t>https://formerministers.dss.gov.au/15859/job-for-families-child-care-package-delivers-choice-for-families/</w:t>
        </w:r>
      </w:hyperlink>
      <w:r w:rsidRPr="002119E4">
        <w:t xml:space="preserve">&gt; </w:t>
      </w:r>
    </w:p>
    <w:p w14:paraId="458B9E03" w14:textId="4090F111" w:rsidR="001F2558" w:rsidRPr="002119E4" w:rsidRDefault="001F2558" w:rsidP="001F2558">
      <w:pPr>
        <w:spacing w:line="240" w:lineRule="auto"/>
      </w:pPr>
      <w:r w:rsidRPr="002119E4">
        <w:t>Freya Lucas, ‘</w:t>
      </w:r>
      <w:r w:rsidRPr="002119E4">
        <w:rPr>
          <w:i/>
          <w:iCs/>
        </w:rPr>
        <w:t>Transition Pathways for Budget Based Funded Services Revealed’, The Sector</w:t>
      </w:r>
      <w:r w:rsidRPr="002119E4">
        <w:t xml:space="preserve"> (6 December 2018), &lt;</w:t>
      </w:r>
      <w:hyperlink r:id="rId194" w:history="1">
        <w:r w:rsidRPr="002119E4">
          <w:rPr>
            <w:rStyle w:val="Hyperlink"/>
          </w:rPr>
          <w:t>https://thesector.com.au/2018/12/06/transition-pathways-for-budget-based-funded-services-revealed-through-senate-questions/</w:t>
        </w:r>
      </w:hyperlink>
      <w:r w:rsidRPr="002119E4">
        <w:t>&gt;</w:t>
      </w:r>
    </w:p>
    <w:p w14:paraId="1839C1D8" w14:textId="3BA63093" w:rsidR="001F2558" w:rsidRPr="002119E4" w:rsidRDefault="001F2558" w:rsidP="001F2558">
      <w:pPr>
        <w:spacing w:line="240" w:lineRule="auto"/>
      </w:pPr>
      <w:r w:rsidRPr="002119E4">
        <w:t>Government of Canada</w:t>
      </w:r>
      <w:r w:rsidRPr="002119E4">
        <w:rPr>
          <w:i/>
          <w:iCs/>
        </w:rPr>
        <w:t>, Aboriginal Head Start in Urban and Northern Communities</w:t>
      </w:r>
      <w:r w:rsidRPr="002119E4">
        <w:t xml:space="preserve"> (2023)  &lt;</w:t>
      </w:r>
      <w:hyperlink r:id="rId195" w:history="1">
        <w:r w:rsidRPr="002119E4">
          <w:rPr>
            <w:rStyle w:val="Hyperlink"/>
          </w:rPr>
          <w:t>https://www.canada.ca/en/public-health/services/child-infant-health/supports-programs-pregnancy/aboriginal-head-start-urban-northern-communities-ahsunc.html</w:t>
        </w:r>
      </w:hyperlink>
      <w:r w:rsidRPr="002119E4">
        <w:t xml:space="preserve">&gt; </w:t>
      </w:r>
    </w:p>
    <w:p w14:paraId="7ACE2C65" w14:textId="7958DD1C" w:rsidR="001F2558" w:rsidRPr="002119E4" w:rsidRDefault="001F2558" w:rsidP="001F2558">
      <w:pPr>
        <w:spacing w:line="240" w:lineRule="auto"/>
        <w:rPr>
          <w:lang w:val="en-US"/>
        </w:rPr>
      </w:pPr>
      <w:r w:rsidRPr="002119E4">
        <w:rPr>
          <w:lang w:val="en-US"/>
        </w:rPr>
        <w:t xml:space="preserve">Guide to the NQF, pg36&lt; </w:t>
      </w:r>
      <w:hyperlink r:id="rId196" w:history="1">
        <w:r w:rsidRPr="002119E4">
          <w:rPr>
            <w:rStyle w:val="Hyperlink"/>
            <w:lang w:val="en-US"/>
          </w:rPr>
          <w:t>https://www.acecqa.gov.au/sites/default/files/2020-01/Guide-to-the-NQF_2.pdf</w:t>
        </w:r>
      </w:hyperlink>
      <w:r w:rsidRPr="002119E4">
        <w:rPr>
          <w:lang w:val="en-US"/>
        </w:rPr>
        <w:t xml:space="preserve">&gt; </w:t>
      </w:r>
    </w:p>
    <w:p w14:paraId="528A0FFB" w14:textId="400302A9" w:rsidR="001F2558" w:rsidRPr="002119E4" w:rsidRDefault="001F2558" w:rsidP="001F2558">
      <w:pPr>
        <w:spacing w:line="240" w:lineRule="auto"/>
      </w:pPr>
      <w:r w:rsidRPr="002119E4">
        <w:t xml:space="preserve">Health Canada and the Public Health Agency of Canada, </w:t>
      </w:r>
      <w:r w:rsidRPr="002119E4">
        <w:rPr>
          <w:i/>
          <w:iCs/>
        </w:rPr>
        <w:t xml:space="preserve">Evaluation of the Aboriginal Head Start in Urban and Northern Communities Program </w:t>
      </w:r>
      <w:r w:rsidRPr="002119E4">
        <w:t>(2022), &lt;</w:t>
      </w:r>
      <w:hyperlink r:id="rId197" w:history="1">
        <w:r w:rsidRPr="002119E4">
          <w:rPr>
            <w:rStyle w:val="Hyperlink"/>
          </w:rPr>
          <w:t>https://www.canada.ca/content/dam/phac-aspc/documents/corporate/transparency/corporate-management-reporting/evaluation/aboriginal-head-start-urban-northern-communities-program.pdf</w:t>
        </w:r>
      </w:hyperlink>
      <w:r w:rsidRPr="002119E4">
        <w:t xml:space="preserve">&gt; </w:t>
      </w:r>
    </w:p>
    <w:p w14:paraId="1594029A" w14:textId="77777777" w:rsidR="001F2558" w:rsidRPr="002119E4" w:rsidRDefault="001F2558" w:rsidP="001F2558">
      <w:pPr>
        <w:spacing w:line="240" w:lineRule="auto"/>
      </w:pPr>
      <w:r w:rsidRPr="002119E4">
        <w:t xml:space="preserve">Ian Ayres and John Braithwaite, Responsive Regulation: Transcending the Deregulation Debate (1992), </w:t>
      </w:r>
      <w:r w:rsidRPr="002119E4">
        <w:rPr>
          <w:i/>
          <w:iCs/>
        </w:rPr>
        <w:t>Oxford University Press</w:t>
      </w:r>
    </w:p>
    <w:p w14:paraId="6A348F6E" w14:textId="77777777" w:rsidR="001F2558" w:rsidRPr="002119E4" w:rsidRDefault="001F2558" w:rsidP="001F2558">
      <w:pPr>
        <w:spacing w:line="240" w:lineRule="auto"/>
      </w:pPr>
      <w:r w:rsidRPr="002119E4">
        <w:t xml:space="preserve">Jeroen van der Heijden, </w:t>
      </w:r>
      <w:r w:rsidRPr="002119E4">
        <w:rPr>
          <w:i/>
          <w:iCs/>
        </w:rPr>
        <w:t>Responsive Regulation in Practice: A Review of the International Academic Literature</w:t>
      </w:r>
      <w:r w:rsidRPr="002119E4">
        <w:t xml:space="preserve"> (2020)</w:t>
      </w:r>
    </w:p>
    <w:p w14:paraId="7D6F65B8" w14:textId="77777777" w:rsidR="001F2558" w:rsidRPr="002119E4" w:rsidRDefault="001F2558" w:rsidP="001F2558">
      <w:pPr>
        <w:spacing w:line="240" w:lineRule="auto"/>
      </w:pPr>
      <w:r w:rsidRPr="002119E4">
        <w:lastRenderedPageBreak/>
        <w:t xml:space="preserve">Karen Thorpe, Emily Westwood, Elena Jansen, Ryan Menner, Sandy Houen and Sally Staton, ‘Working Towards the National Quality Standard for ECEC: what do we know? Where should we go?’ (2021), </w:t>
      </w:r>
      <w:r w:rsidRPr="002119E4">
        <w:rPr>
          <w:i/>
          <w:iCs/>
        </w:rPr>
        <w:t>The Australian Educational Researcher 227</w:t>
      </w:r>
    </w:p>
    <w:p w14:paraId="359E403A" w14:textId="34250EE6" w:rsidR="001F2558" w:rsidRDefault="001F2558" w:rsidP="001F2558">
      <w:pPr>
        <w:spacing w:line="240" w:lineRule="auto"/>
      </w:pPr>
      <w:r w:rsidRPr="002119E4">
        <w:t xml:space="preserve">Karen Menzies, ‘Understanding the Australian Aboriginal experience of collective, historical and intergenerational trauma’ (2019) </w:t>
      </w:r>
      <w:r w:rsidRPr="002119E4">
        <w:rPr>
          <w:i/>
          <w:iCs/>
        </w:rPr>
        <w:t>Volume 62 (6) International Social Work Telethon Kids</w:t>
      </w:r>
    </w:p>
    <w:p w14:paraId="32EE5C83" w14:textId="1B30DDB4" w:rsidR="000A2AFA" w:rsidRPr="00722976" w:rsidRDefault="000A2AFA" w:rsidP="000A2AFA">
      <w:pPr>
        <w:spacing w:line="240" w:lineRule="auto"/>
        <w:rPr>
          <w:color w:val="00A3E0" w:themeColor="hyperlink"/>
          <w:u w:val="single"/>
        </w:rPr>
      </w:pPr>
      <w:r w:rsidRPr="00722976">
        <w:t xml:space="preserve">Karp P, A quarter of all Australian childcare centres say free scheme won't help them remain viable (May 2020), </w:t>
      </w:r>
      <w:r w:rsidRPr="00722976">
        <w:rPr>
          <w:i/>
          <w:iCs/>
        </w:rPr>
        <w:t>The Guardian</w:t>
      </w:r>
      <w:r w:rsidRPr="00722976">
        <w:t>, &lt;</w:t>
      </w:r>
      <w:hyperlink r:id="rId198" w:history="1">
        <w:r w:rsidRPr="00722976">
          <w:rPr>
            <w:rStyle w:val="Hyperlink"/>
          </w:rPr>
          <w:t>https://www.theguardian.com/australia-news/2020/may/18/a-quarter-of-all-childcare-centres-say-free-scheme-wont-help-them-remain-viable</w:t>
        </w:r>
      </w:hyperlink>
      <w:r w:rsidRPr="00722976">
        <w:t xml:space="preserve">&gt; </w:t>
      </w:r>
    </w:p>
    <w:p w14:paraId="1312B8A1" w14:textId="2F85CAB4" w:rsidR="001F2558" w:rsidRPr="002119E4" w:rsidRDefault="001F2558" w:rsidP="001F2558">
      <w:pPr>
        <w:spacing w:line="240" w:lineRule="auto"/>
      </w:pPr>
      <w:r w:rsidRPr="002119E4">
        <w:t xml:space="preserve">Knibbs, L., Woldeyohannes, S., Marks, G., Cowie, C, Damp housing, gas stoves, and the burden of childhood asthma in Australia (2018), </w:t>
      </w:r>
      <w:r w:rsidRPr="002119E4">
        <w:rPr>
          <w:i/>
          <w:iCs/>
        </w:rPr>
        <w:t>The Medical Journal of Australia</w:t>
      </w:r>
      <w:r w:rsidRPr="002119E4">
        <w:t>, &lt;</w:t>
      </w:r>
      <w:hyperlink r:id="rId199" w:history="1">
        <w:r w:rsidRPr="002119E4">
          <w:rPr>
            <w:rStyle w:val="Hyperlink"/>
          </w:rPr>
          <w:t>https://www.mja.com.au/journal/2018/208/7/damp-housing-gas-stoves-and-burden-childhood-asthma-australia</w:t>
        </w:r>
      </w:hyperlink>
      <w:r w:rsidRPr="002119E4">
        <w:t xml:space="preserve">&gt; </w:t>
      </w:r>
    </w:p>
    <w:p w14:paraId="5041BDDF" w14:textId="77777777" w:rsidR="001F2558" w:rsidRPr="002119E4" w:rsidRDefault="001F2558" w:rsidP="001F2558">
      <w:pPr>
        <w:spacing w:line="240" w:lineRule="auto"/>
        <w:rPr>
          <w:i/>
          <w:iCs/>
        </w:rPr>
      </w:pPr>
      <w:r w:rsidRPr="002119E4">
        <w:t xml:space="preserve">Linda J. Harrison, Manjula Waniganayake, Jude Brown, Rebecca Andrews, Hui Li, Fay Hadley, Susan Irvine, Lennie Barblett, Belinda Davis, and Maria Hatzigianni, ‘Structures and systems influencing quality improvement in Australian early childhood education and care centres’ (2022) </w:t>
      </w:r>
      <w:r w:rsidRPr="002119E4">
        <w:rPr>
          <w:i/>
          <w:iCs/>
        </w:rPr>
        <w:t>The Australian Educational Researcher</w:t>
      </w:r>
    </w:p>
    <w:p w14:paraId="051DF57F" w14:textId="77777777" w:rsidR="001F2558" w:rsidRPr="002119E4" w:rsidRDefault="001F2558" w:rsidP="001F2558">
      <w:pPr>
        <w:spacing w:line="240" w:lineRule="auto"/>
      </w:pPr>
      <w:r w:rsidRPr="002119E4">
        <w:t xml:space="preserve">Melhuish, Edward &amp; Ereky-Stevens, Katharina &amp; Petrogiannis, Konstantinos &amp; Ariescu, &amp; Penderi, Efthymia &amp; Rentzou, Konstantina &amp; Tawell, Alice &amp; Slot, &amp; Broekhuizen, Martine &amp; Leseman, Paul, A review of research on the effects of early childhood Education and Care (ECEC) upon child development. CARE project  (2015). </w:t>
      </w:r>
      <w:r w:rsidRPr="002119E4">
        <w:rPr>
          <w:i/>
          <w:iCs/>
        </w:rPr>
        <w:t xml:space="preserve">Curriculum Quality Analysis and Impact Review of European Early Childhood Education and Care (ECEC). </w:t>
      </w:r>
    </w:p>
    <w:p w14:paraId="695FC8AC" w14:textId="2DA28EE4" w:rsidR="001F2558" w:rsidRPr="002119E4" w:rsidRDefault="001F2558" w:rsidP="001F2558">
      <w:pPr>
        <w:spacing w:line="240" w:lineRule="auto"/>
      </w:pPr>
      <w:r w:rsidRPr="002119E4">
        <w:t xml:space="preserve">Michael Baker, Jonathan Gruber and Kevin Milligan, ‘The Long-Run Impacts of a Universal Child Care Program’ (2019) 11(3) </w:t>
      </w:r>
      <w:r w:rsidRPr="002119E4">
        <w:rPr>
          <w:i/>
          <w:iCs/>
        </w:rPr>
        <w:t>American Economic Journal: Economic Policy 1</w:t>
      </w:r>
      <w:r w:rsidRPr="002119E4">
        <w:t xml:space="preserve"> &lt;</w:t>
      </w:r>
      <w:hyperlink r:id="rId200" w:history="1">
        <w:r w:rsidRPr="002119E4">
          <w:rPr>
            <w:rStyle w:val="Hyperlink"/>
          </w:rPr>
          <w:t>https://www.jstor.org/stable/26754065</w:t>
        </w:r>
      </w:hyperlink>
      <w:r w:rsidRPr="002119E4">
        <w:t xml:space="preserve">&gt; </w:t>
      </w:r>
    </w:p>
    <w:p w14:paraId="1AA26FE3" w14:textId="3F13C640" w:rsidR="001F2558" w:rsidRPr="002119E4" w:rsidRDefault="001F2558" w:rsidP="001F2558">
      <w:pPr>
        <w:spacing w:line="240" w:lineRule="auto"/>
      </w:pPr>
      <w:r w:rsidRPr="002119E4">
        <w:t xml:space="preserve">Ministry of Education, </w:t>
      </w:r>
      <w:r w:rsidRPr="002119E4">
        <w:rPr>
          <w:i/>
          <w:iCs/>
        </w:rPr>
        <w:t>ECEC Funding Handbook</w:t>
      </w:r>
      <w:r w:rsidRPr="002119E4">
        <w:t xml:space="preserve"> (2020). &lt;</w:t>
      </w:r>
      <w:hyperlink r:id="rId201" w:history="1">
        <w:r w:rsidRPr="002119E4">
          <w:rPr>
            <w:rStyle w:val="Hyperlink"/>
          </w:rPr>
          <w:t>https://www.education.govt.nz/early-childhood/funding-and-data/funding-handbooks/ece-funding-handbook/</w:t>
        </w:r>
      </w:hyperlink>
      <w:r w:rsidRPr="002119E4">
        <w:t xml:space="preserve">&gt; </w:t>
      </w:r>
    </w:p>
    <w:p w14:paraId="64AB258A" w14:textId="20DCE517" w:rsidR="001F2558" w:rsidRPr="002119E4" w:rsidRDefault="001F2558" w:rsidP="001F2558">
      <w:pPr>
        <w:spacing w:line="240" w:lineRule="auto"/>
      </w:pPr>
      <w:r w:rsidRPr="002119E4">
        <w:t xml:space="preserve">Molloy et al., </w:t>
      </w:r>
      <w:r w:rsidRPr="002119E4">
        <w:rPr>
          <w:i/>
          <w:iCs/>
        </w:rPr>
        <w:t>Early childhood education and care: An evidence-based review of indicators to assess quality, quantity, and participation</w:t>
      </w:r>
      <w:r w:rsidRPr="002119E4">
        <w:t xml:space="preserve"> (2017), &lt;</w:t>
      </w:r>
      <w:hyperlink r:id="rId202" w:history="1">
        <w:r w:rsidRPr="002119E4">
          <w:rPr>
            <w:rStyle w:val="Hyperlink"/>
          </w:rPr>
          <w:t>https://www.rch.org.au/uploadedFiles/Main/Content/ccchdev/Restacking-the-Odds_ECEC_communication-summary.pdf</w:t>
        </w:r>
      </w:hyperlink>
      <w:r w:rsidRPr="002119E4">
        <w:t xml:space="preserve">&gt;. </w:t>
      </w:r>
    </w:p>
    <w:p w14:paraId="14CC0351" w14:textId="77777777" w:rsidR="001F2558" w:rsidRPr="002119E4" w:rsidRDefault="001F2558" w:rsidP="001F2558">
      <w:pPr>
        <w:spacing w:line="240" w:lineRule="auto"/>
      </w:pPr>
      <w:r w:rsidRPr="002119E4">
        <w:t xml:space="preserve">Munari SC, Wilson AN, Blow NJ, Homer CSE, Ward JE. Rethinking the use of 'vulnerable'. </w:t>
      </w:r>
      <w:r w:rsidRPr="002119E4">
        <w:rPr>
          <w:i/>
          <w:iCs/>
        </w:rPr>
        <w:t>Aust N Z J Public Health</w:t>
      </w:r>
      <w:r w:rsidRPr="002119E4">
        <w:t xml:space="preserve"> (June 2021), 45(3):197-199. doi: 10.1111/1753-6405.13098. Epub 2021 Apr 5. PMID: 33818873; PMCID: PMC9968560  </w:t>
      </w:r>
    </w:p>
    <w:p w14:paraId="71A7E847" w14:textId="77777777" w:rsidR="001F2558" w:rsidRPr="002119E4" w:rsidRDefault="001F2558" w:rsidP="001F2558">
      <w:pPr>
        <w:spacing w:line="240" w:lineRule="auto"/>
      </w:pPr>
      <w:r w:rsidRPr="002119E4">
        <w:t xml:space="preserve">National Aboriginal Community Controlled Health Organisation, </w:t>
      </w:r>
      <w:r w:rsidRPr="002119E4">
        <w:rPr>
          <w:i/>
          <w:iCs/>
        </w:rPr>
        <w:t>Submission to the Early Years Strategy</w:t>
      </w:r>
      <w:r w:rsidRPr="002119E4">
        <w:t xml:space="preserve"> (2023)</w:t>
      </w:r>
    </w:p>
    <w:p w14:paraId="5186F24A" w14:textId="1536A1F7" w:rsidR="001F2558" w:rsidRPr="002119E4" w:rsidRDefault="001F2558" w:rsidP="001F2558">
      <w:pPr>
        <w:spacing w:line="240" w:lineRule="auto"/>
      </w:pPr>
      <w:r w:rsidRPr="002119E4">
        <w:t xml:space="preserve">National Centre for Longitudinal Data, Department of Social Services (DSS), </w:t>
      </w:r>
      <w:r w:rsidRPr="002119E4">
        <w:rPr>
          <w:i/>
          <w:iCs/>
        </w:rPr>
        <w:t>Multiple disadvantage</w:t>
      </w:r>
      <w:r w:rsidRPr="002119E4">
        <w:t xml:space="preserve"> Research Paper (2014), &lt;</w:t>
      </w:r>
      <w:hyperlink r:id="rId203" w:history="1">
        <w:r w:rsidRPr="002119E4">
          <w:rPr>
            <w:rStyle w:val="Hyperlink"/>
          </w:rPr>
          <w:t>https://www.dss.gov.au/sites/default/files/documents/05_2015/research_summary_no1_2004_-_multiple_disadvantage_-_accessible_version_.pdf</w:t>
        </w:r>
      </w:hyperlink>
      <w:r w:rsidRPr="002119E4">
        <w:t xml:space="preserve"> &gt; </w:t>
      </w:r>
    </w:p>
    <w:p w14:paraId="4109DC85" w14:textId="190437DD" w:rsidR="001F2558" w:rsidRPr="002119E4" w:rsidRDefault="001F2558" w:rsidP="001F2558">
      <w:pPr>
        <w:spacing w:line="240" w:lineRule="auto"/>
      </w:pPr>
      <w:r w:rsidRPr="002119E4">
        <w:t>National Indigenous Australians Agency, ‘</w:t>
      </w:r>
      <w:r w:rsidRPr="002119E4">
        <w:rPr>
          <w:i/>
          <w:iCs/>
        </w:rPr>
        <w:t>National Aboriginal and Torres Strait Islander Early Childhood Strategy’</w:t>
      </w:r>
      <w:r w:rsidRPr="002119E4">
        <w:t xml:space="preserve">, </w:t>
      </w:r>
      <w:hyperlink r:id="rId204" w:history="1">
        <w:r w:rsidRPr="002119E4">
          <w:rPr>
            <w:rStyle w:val="Hyperlink"/>
          </w:rPr>
          <w:t>www.niaa.gov.au</w:t>
        </w:r>
      </w:hyperlink>
      <w:r w:rsidRPr="002119E4">
        <w:t xml:space="preserve"> (11 October 2021), &lt;</w:t>
      </w:r>
      <w:hyperlink r:id="rId205" w:history="1">
        <w:r w:rsidRPr="002119E4">
          <w:rPr>
            <w:rStyle w:val="Hyperlink"/>
          </w:rPr>
          <w:t>https://www.niaa.gov.au/resource-centre/indigenous-affairs/national-aboriginal-and-torres-strait-islander-early-childhood-strategy</w:t>
        </w:r>
      </w:hyperlink>
      <w:r w:rsidRPr="002119E4">
        <w:t xml:space="preserve">&gt; </w:t>
      </w:r>
    </w:p>
    <w:p w14:paraId="325DB9C7" w14:textId="77777777" w:rsidR="001F2558" w:rsidRPr="002119E4" w:rsidRDefault="001F2558" w:rsidP="001F2558">
      <w:pPr>
        <w:spacing w:line="240" w:lineRule="auto"/>
      </w:pPr>
      <w:r w:rsidRPr="002119E4">
        <w:t xml:space="preserve">National Indigenous Australians Agency, </w:t>
      </w:r>
      <w:r w:rsidRPr="002119E4">
        <w:rPr>
          <w:i/>
          <w:iCs/>
        </w:rPr>
        <w:t>Indigenous Advancement Strategy</w:t>
      </w:r>
      <w:r w:rsidRPr="002119E4">
        <w:t xml:space="preserve"> (2021),</w:t>
      </w:r>
    </w:p>
    <w:p w14:paraId="50ACCA81" w14:textId="15541D42" w:rsidR="001F2558" w:rsidRPr="002119E4" w:rsidRDefault="001F2558" w:rsidP="001F2558">
      <w:pPr>
        <w:spacing w:line="240" w:lineRule="auto"/>
      </w:pPr>
      <w:r w:rsidRPr="002119E4">
        <w:t>&lt;</w:t>
      </w:r>
      <w:hyperlink r:id="rId206" w:history="1">
        <w:r w:rsidRPr="002119E4">
          <w:rPr>
            <w:rStyle w:val="Hyperlink"/>
          </w:rPr>
          <w:t>https://www.niaa.gov.au/indigenous-affairs/grants-and-funding/indigenous-advancement-strategy</w:t>
        </w:r>
      </w:hyperlink>
      <w:r w:rsidRPr="002119E4">
        <w:t xml:space="preserve">&gt; </w:t>
      </w:r>
    </w:p>
    <w:p w14:paraId="0FE18E15" w14:textId="4C558417" w:rsidR="001F2558" w:rsidRPr="002119E4" w:rsidRDefault="001F2558" w:rsidP="001F2558">
      <w:pPr>
        <w:spacing w:line="240" w:lineRule="auto"/>
      </w:pPr>
      <w:r w:rsidRPr="002119E4">
        <w:t>NDIS</w:t>
      </w:r>
      <w:r w:rsidRPr="002119E4">
        <w:rPr>
          <w:i/>
          <w:iCs/>
        </w:rPr>
        <w:t>, NDIS Review</w:t>
      </w:r>
      <w:r w:rsidRPr="002119E4">
        <w:t xml:space="preserve"> (2023), &lt;</w:t>
      </w:r>
      <w:hyperlink r:id="rId207" w:history="1">
        <w:r w:rsidRPr="002119E4">
          <w:rPr>
            <w:rStyle w:val="Hyperlink"/>
          </w:rPr>
          <w:t>http://www.ndisreview.gov.au</w:t>
        </w:r>
      </w:hyperlink>
      <w:r w:rsidRPr="002119E4">
        <w:t xml:space="preserve">&gt; </w:t>
      </w:r>
    </w:p>
    <w:p w14:paraId="5B147F96" w14:textId="6AE318AF" w:rsidR="001F2558" w:rsidRPr="002119E4" w:rsidRDefault="001F2558" w:rsidP="001F2558">
      <w:pPr>
        <w:spacing w:line="240" w:lineRule="auto"/>
      </w:pPr>
      <w:r w:rsidRPr="002119E4">
        <w:t xml:space="preserve">NSW Department of Education, </w:t>
      </w:r>
      <w:r w:rsidRPr="002119E4">
        <w:rPr>
          <w:i/>
          <w:iCs/>
        </w:rPr>
        <w:t>The Regulatory NSW Regulatory Authority’s Approach to Monitoring and Compliance Policy</w:t>
      </w:r>
      <w:r w:rsidRPr="002119E4">
        <w:t xml:space="preserve"> (2022) &lt;</w:t>
      </w:r>
      <w:hyperlink r:id="rId208" w:history="1">
        <w:r w:rsidRPr="002119E4">
          <w:rPr>
            <w:rStyle w:val="Hyperlink"/>
          </w:rPr>
          <w:t>https://education.nsw.gov.au/content/dam/main-education/early-childhood-education/regulation-and-compliance/The_Regulatory_Authoritys_Approach_to_Compliance.pdf</w:t>
        </w:r>
      </w:hyperlink>
      <w:r w:rsidRPr="002119E4">
        <w:t xml:space="preserve">&gt; </w:t>
      </w:r>
    </w:p>
    <w:p w14:paraId="3C6F9407" w14:textId="4684A0DF" w:rsidR="001F2558" w:rsidRPr="002119E4" w:rsidRDefault="001F2558" w:rsidP="001F2558">
      <w:pPr>
        <w:spacing w:line="240" w:lineRule="auto"/>
      </w:pPr>
      <w:r w:rsidRPr="002119E4">
        <w:lastRenderedPageBreak/>
        <w:t>NSW Department of Education, ‘</w:t>
      </w:r>
      <w:r w:rsidRPr="002119E4">
        <w:rPr>
          <w:i/>
          <w:iCs/>
        </w:rPr>
        <w:t>Cultural Safety Framework’</w:t>
      </w:r>
      <w:r w:rsidRPr="002119E4">
        <w:t xml:space="preserve"> (2023), &lt;</w:t>
      </w:r>
      <w:hyperlink r:id="rId209" w:history="1">
        <w:r w:rsidRPr="002119E4">
          <w:rPr>
            <w:rStyle w:val="Hyperlink"/>
            <w:lang w:val="en-US"/>
          </w:rPr>
          <w:t>https://education.nsw.gov.au/early-childhood-education/operating-an-early-childhood-education-service/current-service-providers/making-services-accessible-for-all-children/aboriginal-access/cultural-safety-framework-consultation</w:t>
        </w:r>
      </w:hyperlink>
      <w:r w:rsidRPr="002119E4">
        <w:rPr>
          <w:lang w:val="en-US"/>
        </w:rPr>
        <w:t xml:space="preserve">&gt; </w:t>
      </w:r>
    </w:p>
    <w:p w14:paraId="1F8EB805" w14:textId="027DE38D" w:rsidR="001F2558" w:rsidRPr="002119E4" w:rsidRDefault="001F2558" w:rsidP="001F2558">
      <w:pPr>
        <w:spacing w:line="240" w:lineRule="auto"/>
      </w:pPr>
      <w:r w:rsidRPr="002119E4">
        <w:t xml:space="preserve">NSW Department of Education, </w:t>
      </w:r>
      <w:r w:rsidRPr="002119E4">
        <w:rPr>
          <w:i/>
          <w:iCs/>
        </w:rPr>
        <w:t xml:space="preserve">Quality and Participation Grants Program </w:t>
      </w:r>
      <w:r w:rsidRPr="002119E4">
        <w:t>(2023), &lt;</w:t>
      </w:r>
      <w:hyperlink r:id="rId210" w:history="1">
        <w:r w:rsidRPr="002119E4">
          <w:rPr>
            <w:rStyle w:val="Hyperlink"/>
          </w:rPr>
          <w:t>https://education.nsw.gov.au/early-childhood-education/operating-an-early-childhood-education-service/grants-and-funded-programs/quality-and-participation-grants-program</w:t>
        </w:r>
      </w:hyperlink>
      <w:r w:rsidRPr="002119E4">
        <w:t xml:space="preserve">&gt; </w:t>
      </w:r>
    </w:p>
    <w:p w14:paraId="41366BBD" w14:textId="3DE7C8BF" w:rsidR="001F2558" w:rsidRPr="002119E4" w:rsidRDefault="001F2558" w:rsidP="001F2558">
      <w:pPr>
        <w:spacing w:line="240" w:lineRule="auto"/>
      </w:pPr>
      <w:r w:rsidRPr="002119E4">
        <w:t xml:space="preserve">NSW Legislation, </w:t>
      </w:r>
      <w:r w:rsidRPr="002119E4">
        <w:rPr>
          <w:i/>
          <w:iCs/>
        </w:rPr>
        <w:t>Children (Education and Care Services) Supplementary Provisions Regulation</w:t>
      </w:r>
      <w:r w:rsidRPr="002119E4">
        <w:t xml:space="preserve"> </w:t>
      </w:r>
      <w:r w:rsidRPr="002119E4">
        <w:rPr>
          <w:i/>
          <w:iCs/>
        </w:rPr>
        <w:t>2019</w:t>
      </w:r>
      <w:r w:rsidRPr="002119E4">
        <w:t xml:space="preserve"> (2019), &lt;</w:t>
      </w:r>
      <w:hyperlink r:id="rId211" w:history="1">
        <w:r w:rsidRPr="002119E4">
          <w:rPr>
            <w:rStyle w:val="Hyperlink"/>
          </w:rPr>
          <w:t>https://legislation.nsw.gov.au/view/pdf/asmade/sl-2019-203</w:t>
        </w:r>
      </w:hyperlink>
      <w:r w:rsidRPr="002119E4">
        <w:t xml:space="preserve">&gt; </w:t>
      </w:r>
    </w:p>
    <w:p w14:paraId="5FCFF5EB" w14:textId="1178CE7D" w:rsidR="001F2558" w:rsidRPr="002119E4" w:rsidRDefault="001F2558" w:rsidP="001F2558">
      <w:pPr>
        <w:spacing w:line="240" w:lineRule="auto"/>
      </w:pPr>
      <w:r w:rsidRPr="002119E4">
        <w:t>ParlInfo</w:t>
      </w:r>
      <w:r w:rsidRPr="002119E4">
        <w:rPr>
          <w:i/>
          <w:iCs/>
        </w:rPr>
        <w:t>, Family Assistance Legislation Amendment (Jobs for Families Child Care Package) Bill 2015 (2015), &lt;</w:t>
      </w:r>
      <w:hyperlink r:id="rId212" w:history="1">
        <w:r w:rsidRPr="002119E4">
          <w:rPr>
            <w:rStyle w:val="Hyperlink"/>
          </w:rPr>
          <w:t>https://parlinfo.aph.gov.au/parlInfo/search/display/display.w3p;query=Id%3A%22legislation%2Fbillsdgs%2F4511107%22</w:t>
        </w:r>
      </w:hyperlink>
      <w:r w:rsidRPr="002119E4">
        <w:t xml:space="preserve">&gt; </w:t>
      </w:r>
    </w:p>
    <w:p w14:paraId="481A246B" w14:textId="3B368846" w:rsidR="001F2558" w:rsidRPr="002119E4" w:rsidRDefault="001F2558" w:rsidP="001F2558">
      <w:pPr>
        <w:spacing w:line="240" w:lineRule="auto"/>
      </w:pPr>
      <w:r w:rsidRPr="002119E4">
        <w:t>Pascoe, Susan and Deborah Brennan,</w:t>
      </w:r>
      <w:r w:rsidRPr="002119E4">
        <w:rPr>
          <w:i/>
          <w:iCs/>
        </w:rPr>
        <w:t xml:space="preserve"> Lifting Our Game </w:t>
      </w:r>
      <w:r w:rsidRPr="002119E4">
        <w:t>(December 2017), &lt;</w:t>
      </w:r>
      <w:hyperlink r:id="rId213" w:history="1">
        <w:r w:rsidRPr="002119E4">
          <w:rPr>
            <w:rStyle w:val="Hyperlink"/>
          </w:rPr>
          <w:t>https://www.education.vic.gov.au/Documents/about/research/LiftingOurGame.PDF</w:t>
        </w:r>
      </w:hyperlink>
      <w:r w:rsidRPr="002119E4">
        <w:t xml:space="preserve">&gt; </w:t>
      </w:r>
    </w:p>
    <w:p w14:paraId="2DF3F3DD" w14:textId="77777777" w:rsidR="001F2558" w:rsidRPr="002119E4" w:rsidRDefault="001F2558" w:rsidP="001F2558">
      <w:pPr>
        <w:spacing w:line="240" w:lineRule="auto"/>
      </w:pPr>
      <w:r w:rsidRPr="002119E4">
        <w:t>Pat Dudgeon, Helen Milroy and Roz Walke, ‘Addressing individual and community transgenerational trauma’ (2014)</w:t>
      </w:r>
      <w:r w:rsidRPr="002119E4">
        <w:rPr>
          <w:i/>
          <w:iCs/>
        </w:rPr>
        <w:t>, Working together</w:t>
      </w:r>
      <w:r w:rsidRPr="002119E4">
        <w:t xml:space="preserve"> (2nd ed, 2014) 289.</w:t>
      </w:r>
    </w:p>
    <w:p w14:paraId="02DF3AB5" w14:textId="216CAEF9" w:rsidR="001F2558" w:rsidRPr="002119E4" w:rsidRDefault="001F2558" w:rsidP="001F2558">
      <w:pPr>
        <w:spacing w:line="240" w:lineRule="auto"/>
      </w:pPr>
      <w:r w:rsidRPr="002119E4">
        <w:t xml:space="preserve">Paul Ramsay Foundation, </w:t>
      </w:r>
      <w:r w:rsidRPr="002119E4">
        <w:rPr>
          <w:i/>
          <w:iCs/>
        </w:rPr>
        <w:t>New investment to strengthen early years for children</w:t>
      </w:r>
      <w:r w:rsidRPr="002119E4">
        <w:t xml:space="preserve"> (2022),  &lt;</w:t>
      </w:r>
      <w:hyperlink r:id="rId214" w:anchor=":~:text=Strengthening%20Early%20Years%20focuses%20on,years%20of%20their%20child's%20life." w:history="1">
        <w:r w:rsidRPr="002119E4">
          <w:rPr>
            <w:rStyle w:val="Hyperlink"/>
          </w:rPr>
          <w:t>www.paulramsayfoundation.org.au/news-resources/new-investment-to-strengthen-early-years-for-children#:~:text=Strengthening%20Early%20Years%20focuses%20on,years%20of%20their%20child's%20life.</w:t>
        </w:r>
      </w:hyperlink>
      <w:r w:rsidRPr="002119E4">
        <w:t xml:space="preserve">&gt; </w:t>
      </w:r>
    </w:p>
    <w:p w14:paraId="48DBE7ED" w14:textId="77777777" w:rsidR="001F2558" w:rsidRPr="002119E4" w:rsidRDefault="001F2558" w:rsidP="001F2558">
      <w:pPr>
        <w:spacing w:line="240" w:lineRule="auto"/>
      </w:pPr>
    </w:p>
    <w:p w14:paraId="375D5574" w14:textId="39780AE1" w:rsidR="001F2558" w:rsidRPr="002119E4" w:rsidRDefault="001F2558" w:rsidP="001F2558">
      <w:pPr>
        <w:spacing w:line="240" w:lineRule="auto"/>
      </w:pPr>
      <w:r w:rsidRPr="002119E4">
        <w:t xml:space="preserve">Productivity Commission, </w:t>
      </w:r>
      <w:r w:rsidRPr="002119E4">
        <w:rPr>
          <w:i/>
          <w:iCs/>
        </w:rPr>
        <w:t>A path to universal early childhood education and care – Draft report (2023)</w:t>
      </w:r>
      <w:r w:rsidRPr="002119E4">
        <w:t xml:space="preserve"> &lt;</w:t>
      </w:r>
      <w:hyperlink r:id="rId215" w:history="1">
        <w:r w:rsidRPr="002119E4">
          <w:rPr>
            <w:rStyle w:val="Hyperlink"/>
          </w:rPr>
          <w:t>https://www.pc.gov.au/inquiries/current/childhood/draft</w:t>
        </w:r>
      </w:hyperlink>
      <w:r w:rsidRPr="002119E4">
        <w:t xml:space="preserve">&gt; </w:t>
      </w:r>
    </w:p>
    <w:p w14:paraId="12A41245" w14:textId="18CB2B3A" w:rsidR="001F2558" w:rsidRPr="002119E4" w:rsidRDefault="001F2558" w:rsidP="001F2558">
      <w:pPr>
        <w:spacing w:line="240" w:lineRule="auto"/>
      </w:pPr>
      <w:r w:rsidRPr="002119E4">
        <w:t>Productivity Commission, ‘</w:t>
      </w:r>
      <w:r w:rsidRPr="002119E4">
        <w:rPr>
          <w:i/>
          <w:iCs/>
        </w:rPr>
        <w:t>Review on the National Agreement on Closing the Gap – Study Report’ (</w:t>
      </w:r>
      <w:r w:rsidRPr="002119E4">
        <w:t>2024), &lt;</w:t>
      </w:r>
      <w:hyperlink r:id="rId216" w:history="1">
        <w:r w:rsidRPr="002119E4">
          <w:rPr>
            <w:rStyle w:val="Hyperlink"/>
          </w:rPr>
          <w:t>https://www.pc.gov.au/inquiries/completed/closing-the-gap-review/report</w:t>
        </w:r>
      </w:hyperlink>
      <w:r w:rsidRPr="002119E4">
        <w:t xml:space="preserve">&gt;. </w:t>
      </w:r>
    </w:p>
    <w:p w14:paraId="3B5D8D5A" w14:textId="29CC45FD" w:rsidR="001F2558" w:rsidRPr="002119E4" w:rsidRDefault="001F2558" w:rsidP="001F2558">
      <w:pPr>
        <w:spacing w:line="240" w:lineRule="auto"/>
      </w:pPr>
      <w:r w:rsidRPr="002119E4">
        <w:t xml:space="preserve">Ransdell, T. &amp; Boloorian, S, </w:t>
      </w:r>
      <w:r w:rsidRPr="002119E4">
        <w:rPr>
          <w:i/>
          <w:iCs/>
        </w:rPr>
        <w:t>Head Start</w:t>
      </w:r>
      <w:r w:rsidRPr="002119E4">
        <w:t xml:space="preserve"> (2003), &lt;</w:t>
      </w:r>
      <w:hyperlink r:id="rId217" w:history="1">
        <w:r w:rsidRPr="002119E4">
          <w:rPr>
            <w:rStyle w:val="Hyperlink"/>
          </w:rPr>
          <w:t>https://www.ppic.org/wp-content/uploads/content/pubs/ffg/FF_1003TRFF.pdf</w:t>
        </w:r>
      </w:hyperlink>
      <w:r w:rsidRPr="002119E4">
        <w:t xml:space="preserve">&gt; </w:t>
      </w:r>
    </w:p>
    <w:p w14:paraId="0F047696" w14:textId="77777777" w:rsidR="001F2558" w:rsidRPr="002119E4" w:rsidRDefault="001F2558" w:rsidP="001F2558">
      <w:pPr>
        <w:spacing w:line="240" w:lineRule="auto"/>
      </w:pPr>
      <w:r w:rsidRPr="002119E4">
        <w:rPr>
          <w:i/>
          <w:iCs/>
        </w:rPr>
        <w:t>Regulation 126, Education and Care Services National Regulations</w:t>
      </w:r>
    </w:p>
    <w:p w14:paraId="39461782" w14:textId="210AB97C" w:rsidR="001F2558" w:rsidRPr="002119E4" w:rsidRDefault="001F2558" w:rsidP="001F2558">
      <w:pPr>
        <w:spacing w:line="240" w:lineRule="auto"/>
      </w:pPr>
      <w:r w:rsidRPr="002119E4">
        <w:t xml:space="preserve">SA Education Standards Board, </w:t>
      </w:r>
      <w:r w:rsidRPr="002119E4">
        <w:rPr>
          <w:i/>
          <w:iCs/>
        </w:rPr>
        <w:t>For residual services</w:t>
      </w:r>
      <w:r w:rsidRPr="002119E4">
        <w:t xml:space="preserve"> &lt;</w:t>
      </w:r>
      <w:hyperlink r:id="rId218" w:history="1">
        <w:r w:rsidRPr="002119E4">
          <w:rPr>
            <w:rStyle w:val="Hyperlink"/>
          </w:rPr>
          <w:t>https://www.esb.sa.gov.au/early-childhood/residual-services</w:t>
        </w:r>
      </w:hyperlink>
      <w:r w:rsidRPr="002119E4">
        <w:t xml:space="preserve">&gt; </w:t>
      </w:r>
    </w:p>
    <w:p w14:paraId="5100A6D9" w14:textId="77777777" w:rsidR="001F2558" w:rsidRPr="002119E4" w:rsidRDefault="001F2558" w:rsidP="001F2558">
      <w:pPr>
        <w:spacing w:line="240" w:lineRule="auto"/>
        <w:rPr>
          <w:i/>
          <w:iCs/>
        </w:rPr>
      </w:pPr>
      <w:r w:rsidRPr="002119E4">
        <w:rPr>
          <w:i/>
          <w:iCs/>
        </w:rPr>
        <w:t>Section 5, Education and Care Services National Law Act 2010 VIC (National through applied law)</w:t>
      </w:r>
    </w:p>
    <w:p w14:paraId="210DBDC2" w14:textId="77777777" w:rsidR="001F2558" w:rsidRPr="002119E4" w:rsidRDefault="001F2558" w:rsidP="001F2558">
      <w:pPr>
        <w:spacing w:line="240" w:lineRule="auto"/>
        <w:rPr>
          <w:i/>
          <w:iCs/>
        </w:rPr>
      </w:pPr>
      <w:r w:rsidRPr="002119E4">
        <w:rPr>
          <w:i/>
          <w:iCs/>
        </w:rPr>
        <w:t>Section 12, Children (Education and Care Services) National Law (NSW)</w:t>
      </w:r>
    </w:p>
    <w:p w14:paraId="273576AC" w14:textId="77777777" w:rsidR="001F2558" w:rsidRPr="002119E4" w:rsidRDefault="001F2558" w:rsidP="001F2558">
      <w:pPr>
        <w:spacing w:line="240" w:lineRule="auto"/>
        <w:rPr>
          <w:i/>
          <w:iCs/>
        </w:rPr>
      </w:pPr>
      <w:r w:rsidRPr="002119E4">
        <w:rPr>
          <w:i/>
          <w:iCs/>
        </w:rPr>
        <w:t>Sections 14-15, Children (Education and Care Services) National Law (NSW)</w:t>
      </w:r>
    </w:p>
    <w:p w14:paraId="49166AFE" w14:textId="77777777" w:rsidR="001F2558" w:rsidRPr="002119E4" w:rsidRDefault="001F2558" w:rsidP="001F2558">
      <w:pPr>
        <w:spacing w:line="240" w:lineRule="auto"/>
        <w:rPr>
          <w:i/>
          <w:iCs/>
        </w:rPr>
      </w:pPr>
      <w:r w:rsidRPr="002119E4">
        <w:t>Section 201B: Enforcing payment of hourly session fees.</w:t>
      </w:r>
      <w:r w:rsidRPr="002119E4">
        <w:rPr>
          <w:i/>
          <w:iCs/>
        </w:rPr>
        <w:t xml:space="preserve"> A New Tax System (Family Assistance) (Administration) Act 1999</w:t>
      </w:r>
    </w:p>
    <w:p w14:paraId="7C136930" w14:textId="77777777" w:rsidR="001F2558" w:rsidRPr="002119E4" w:rsidRDefault="001F2558" w:rsidP="001F2558">
      <w:pPr>
        <w:spacing w:line="240" w:lineRule="auto"/>
        <w:rPr>
          <w:i/>
          <w:iCs/>
        </w:rPr>
      </w:pPr>
      <w:r w:rsidRPr="002119E4">
        <w:rPr>
          <w:i/>
          <w:iCs/>
        </w:rPr>
        <w:t>Section 49, Child Care Subsidy Minister's Rules 2017</w:t>
      </w:r>
    </w:p>
    <w:p w14:paraId="0FB74B41" w14:textId="77777777" w:rsidR="001F2558" w:rsidRPr="002119E4" w:rsidRDefault="001F2558" w:rsidP="001F2558">
      <w:pPr>
        <w:spacing w:line="240" w:lineRule="auto"/>
        <w:rPr>
          <w:i/>
          <w:iCs/>
        </w:rPr>
      </w:pPr>
      <w:r w:rsidRPr="002119E4">
        <w:rPr>
          <w:i/>
          <w:iCs/>
        </w:rPr>
        <w:t>Section 49(2), Child Care Subsidy Minister's Rules 2017</w:t>
      </w:r>
    </w:p>
    <w:p w14:paraId="05CEB6FC" w14:textId="7F591663" w:rsidR="001F2558" w:rsidRPr="002119E4" w:rsidRDefault="001F2558" w:rsidP="001F2558">
      <w:pPr>
        <w:spacing w:line="240" w:lineRule="auto"/>
      </w:pPr>
      <w:r w:rsidRPr="002119E4">
        <w:t xml:space="preserve">Services Australia, </w:t>
      </w:r>
      <w:r w:rsidRPr="002119E4">
        <w:rPr>
          <w:i/>
          <w:iCs/>
        </w:rPr>
        <w:t>Centrelink Customer Reference Number</w:t>
      </w:r>
      <w:r w:rsidRPr="002119E4">
        <w:t xml:space="preserve"> (CRN) (2023), &lt;</w:t>
      </w:r>
      <w:hyperlink r:id="rId219" w:history="1">
        <w:r w:rsidRPr="002119E4">
          <w:rPr>
            <w:rStyle w:val="Hyperlink"/>
          </w:rPr>
          <w:t>https://www.servicesaustralia.gov.au/centrelink-customer-reference-number-crn?context=64107</w:t>
        </w:r>
      </w:hyperlink>
      <w:r w:rsidRPr="002119E4">
        <w:t xml:space="preserve">&gt; </w:t>
      </w:r>
    </w:p>
    <w:p w14:paraId="664EA821" w14:textId="439CD680" w:rsidR="001F2558" w:rsidRPr="002119E4" w:rsidRDefault="001F2558" w:rsidP="001F2558">
      <w:pPr>
        <w:spacing w:line="240" w:lineRule="auto"/>
      </w:pPr>
      <w:r w:rsidRPr="002119E4">
        <w:t>Services Australia</w:t>
      </w:r>
      <w:r w:rsidRPr="002119E4">
        <w:rPr>
          <w:i/>
          <w:iCs/>
        </w:rPr>
        <w:t>, Child Care Subsidy</w:t>
      </w:r>
      <w:r w:rsidRPr="002119E4">
        <w:t xml:space="preserve"> (2023) </w:t>
      </w:r>
      <w:hyperlink r:id="rId220" w:history="1">
        <w:r w:rsidRPr="002119E4">
          <w:rPr>
            <w:rStyle w:val="Hyperlink"/>
          </w:rPr>
          <w:t>https://my.gov.au/en/services/raising-kids/toddlers-and-preschoolers/payments-for-toddlers-and-preschoolers/child-care-subsidy</w:t>
        </w:r>
      </w:hyperlink>
      <w:r w:rsidRPr="002119E4">
        <w:t xml:space="preserve"> </w:t>
      </w:r>
    </w:p>
    <w:p w14:paraId="7294D7DF" w14:textId="42A9D6C9" w:rsidR="001F2558" w:rsidRPr="002119E4" w:rsidRDefault="001F2558" w:rsidP="001F2558">
      <w:pPr>
        <w:spacing w:line="240" w:lineRule="auto"/>
      </w:pPr>
      <w:r w:rsidRPr="002119E4">
        <w:t>SNAICC</w:t>
      </w:r>
      <w:r w:rsidRPr="002119E4">
        <w:rPr>
          <w:i/>
          <w:iCs/>
        </w:rPr>
        <w:t>, Budget Based Funded Services (</w:t>
      </w:r>
      <w:r w:rsidRPr="002119E4">
        <w:t>2023), &lt;</w:t>
      </w:r>
      <w:hyperlink r:id="rId221" w:history="1">
        <w:r w:rsidRPr="002119E4">
          <w:rPr>
            <w:rStyle w:val="Hyperlink"/>
          </w:rPr>
          <w:t>https://www.snaicc.org.au/budget-based-funded-services/</w:t>
        </w:r>
      </w:hyperlink>
      <w:r w:rsidRPr="002119E4">
        <w:t xml:space="preserve">&gt; </w:t>
      </w:r>
    </w:p>
    <w:p w14:paraId="532A76B4" w14:textId="77777777" w:rsidR="001F2558" w:rsidRPr="002119E4" w:rsidRDefault="001F2558" w:rsidP="001F2558">
      <w:pPr>
        <w:spacing w:line="240" w:lineRule="auto"/>
      </w:pPr>
      <w:r w:rsidRPr="002119E4">
        <w:lastRenderedPageBreak/>
        <w:t xml:space="preserve">SNAICC, </w:t>
      </w:r>
      <w:r w:rsidRPr="002119E4">
        <w:rPr>
          <w:i/>
          <w:iCs/>
        </w:rPr>
        <w:t>Dandolo Partners, Rogers J.</w:t>
      </w:r>
      <w:r w:rsidRPr="002119E4">
        <w:t xml:space="preserve"> (2023, unpublished).</w:t>
      </w:r>
    </w:p>
    <w:p w14:paraId="1F18B86D" w14:textId="77777777" w:rsidR="001F2558" w:rsidRPr="002119E4" w:rsidRDefault="001F2558" w:rsidP="001F2558">
      <w:pPr>
        <w:spacing w:line="240" w:lineRule="auto"/>
      </w:pPr>
      <w:r w:rsidRPr="002119E4">
        <w:t xml:space="preserve">SNAICC, </w:t>
      </w:r>
      <w:r w:rsidRPr="002119E4">
        <w:rPr>
          <w:i/>
          <w:iCs/>
        </w:rPr>
        <w:t>Submission No 133 to Productivity Commission, Inquiry into early childhood education and care</w:t>
      </w:r>
      <w:r w:rsidRPr="002119E4">
        <w:t xml:space="preserve"> (31 May 2023).</w:t>
      </w:r>
    </w:p>
    <w:p w14:paraId="1267E9B1" w14:textId="3CCEC02B" w:rsidR="001F2558" w:rsidRPr="002119E4" w:rsidRDefault="001F2558" w:rsidP="001F2558">
      <w:pPr>
        <w:spacing w:line="240" w:lineRule="auto"/>
      </w:pPr>
      <w:r w:rsidRPr="002119E4">
        <w:t xml:space="preserve">SNAICC, </w:t>
      </w:r>
      <w:r w:rsidRPr="002119E4">
        <w:rPr>
          <w:i/>
          <w:iCs/>
        </w:rPr>
        <w:t>Secretariat of National Aboriginal and Islander Child Care SNAICC Submission to the Department of Education, Employment and Workplace Training (DEEWR) Quality Early Childhood Education and Care for Children in Regional, Remote and Indigenous Communities Review of the Budget Based Funding Program</w:t>
      </w:r>
      <w:r w:rsidRPr="002119E4">
        <w:t xml:space="preserve"> (2012), &lt;</w:t>
      </w:r>
      <w:hyperlink r:id="rId222" w:history="1">
        <w:r w:rsidRPr="002119E4">
          <w:rPr>
            <w:rStyle w:val="Hyperlink"/>
          </w:rPr>
          <w:t>https://www.snaicc.org.au/wp-content/uploads/2015/12/02897.pdf</w:t>
        </w:r>
      </w:hyperlink>
      <w:r w:rsidRPr="002119E4">
        <w:t>&gt;</w:t>
      </w:r>
    </w:p>
    <w:p w14:paraId="377CF8B4" w14:textId="6CE2275E" w:rsidR="001F2558" w:rsidRPr="002119E4" w:rsidRDefault="001F2558" w:rsidP="001F2558">
      <w:pPr>
        <w:spacing w:line="240" w:lineRule="auto"/>
      </w:pPr>
      <w:r w:rsidRPr="002119E4">
        <w:t xml:space="preserve">Suckling, E., All-electric homes are better for your hip pocket and the planet. Here’s how governments can help us get off gas (2023), </w:t>
      </w:r>
      <w:r w:rsidRPr="002119E4">
        <w:rPr>
          <w:i/>
          <w:iCs/>
        </w:rPr>
        <w:t>The Conversation</w:t>
      </w:r>
      <w:r w:rsidRPr="002119E4">
        <w:t xml:space="preserve">, </w:t>
      </w:r>
      <w:hyperlink r:id="rId223" w:history="1">
        <w:r w:rsidRPr="002119E4">
          <w:rPr>
            <w:rStyle w:val="Hyperlink"/>
          </w:rPr>
          <w:t>https://theconversation.com/all-electric-homes-are-better-for-your-hip-pocket-and-the-planet-heres-how-governments-can-help-us-get-off-gas-207409</w:t>
        </w:r>
      </w:hyperlink>
      <w:r w:rsidRPr="002119E4">
        <w:t xml:space="preserve"> </w:t>
      </w:r>
    </w:p>
    <w:p w14:paraId="505DDD38" w14:textId="06FE2688" w:rsidR="001F2558" w:rsidRPr="002119E4" w:rsidRDefault="001F2558" w:rsidP="001F2558">
      <w:pPr>
        <w:spacing w:line="240" w:lineRule="auto"/>
      </w:pPr>
      <w:r w:rsidRPr="002119E4">
        <w:t xml:space="preserve">Takacs, B., Stegemann, J., Kalea, A., Borrion, A., Comparison of environmental impacts of individuals meals – Does it really make a difference to choose plant-based meals instead of meat-based ones? 2022, </w:t>
      </w:r>
      <w:r w:rsidRPr="002119E4">
        <w:rPr>
          <w:i/>
          <w:iCs/>
        </w:rPr>
        <w:t>Journal of Cleaner Production</w:t>
      </w:r>
      <w:r w:rsidRPr="002119E4">
        <w:t>, &lt;</w:t>
      </w:r>
      <w:hyperlink r:id="rId224" w:anchor=":~:text=On%20average%2C%20meat%2Dbased%20meals,environmental%20impact%20than%20vegan%20meals" w:history="1">
        <w:r w:rsidRPr="002119E4">
          <w:rPr>
            <w:rStyle w:val="Hyperlink"/>
          </w:rPr>
          <w:t>https://www.sciencedirect.com/science/article/pii/S0959652622043542#:~:text=On%20average%2C%20meat%2Dbased%20meals,environmental%20impact%20than%20vegan%20meals</w:t>
        </w:r>
      </w:hyperlink>
      <w:r w:rsidRPr="002119E4">
        <w:t>&gt;</w:t>
      </w:r>
    </w:p>
    <w:p w14:paraId="3BFC804A" w14:textId="594623F4" w:rsidR="001F2558" w:rsidRPr="002119E4" w:rsidRDefault="001F2558" w:rsidP="001F2558">
      <w:pPr>
        <w:spacing w:line="240" w:lineRule="auto"/>
      </w:pPr>
      <w:r w:rsidRPr="002119E4">
        <w:t>Tello, M, Eat more plants, fewer animals (2018</w:t>
      </w:r>
      <w:r w:rsidRPr="002119E4">
        <w:rPr>
          <w:i/>
          <w:iCs/>
        </w:rPr>
        <w:t>), Harvard Health</w:t>
      </w:r>
      <w:r w:rsidRPr="002119E4">
        <w:t>, &lt;</w:t>
      </w:r>
      <w:hyperlink r:id="rId225" w:anchor=":~:text=Science%20has%20shown%20us%20over,lower%20our%20body%20mass%20index" w:history="1">
        <w:r w:rsidRPr="002119E4">
          <w:rPr>
            <w:rStyle w:val="Hyperlink"/>
          </w:rPr>
          <w:t>https://www.health.harvard.edu/blog/eat-more-plants-fewer-animals-2018112915198#:~:text=Science%20has%20shown%20us%20over,lower%20our%20body%20mass%20index</w:t>
        </w:r>
      </w:hyperlink>
      <w:r w:rsidRPr="002119E4">
        <w:t xml:space="preserve">.&gt; </w:t>
      </w:r>
    </w:p>
    <w:p w14:paraId="60D273A4" w14:textId="4F9A5323" w:rsidR="001F2558" w:rsidRPr="002119E4" w:rsidRDefault="001F2558" w:rsidP="001F2558">
      <w:pPr>
        <w:spacing w:line="240" w:lineRule="auto"/>
      </w:pPr>
      <w:r w:rsidRPr="002119E4">
        <w:t xml:space="preserve">The Royal Children’s Hospital Melbourne, </w:t>
      </w:r>
      <w:r w:rsidRPr="002119E4">
        <w:rPr>
          <w:i/>
          <w:iCs/>
        </w:rPr>
        <w:t>Measuring vulnerability and disadvantage in early childhood data collections</w:t>
      </w:r>
      <w:r w:rsidRPr="002119E4">
        <w:t xml:space="preserve"> (report commissioned by Australian Government Department of Education) (23 June 2023), &lt;</w:t>
      </w:r>
      <w:hyperlink r:id="rId226" w:history="1">
        <w:r w:rsidRPr="002119E4">
          <w:rPr>
            <w:rStyle w:val="Hyperlink"/>
          </w:rPr>
          <w:t>https://www.education.gov.au/early-childhood/resources/measuring-vulnerability-and-disadvantage-early-childhood-data-collections</w:t>
        </w:r>
      </w:hyperlink>
      <w:r w:rsidRPr="002119E4">
        <w:t>&gt;</w:t>
      </w:r>
    </w:p>
    <w:p w14:paraId="04AB55D7" w14:textId="7F9C9AE3" w:rsidR="001F2558" w:rsidRPr="002119E4" w:rsidRDefault="001F2558" w:rsidP="001F2558">
      <w:pPr>
        <w:spacing w:line="240" w:lineRule="auto"/>
      </w:pPr>
      <w:r w:rsidRPr="002119E4">
        <w:t xml:space="preserve">Queensland Office of Fair Trading, </w:t>
      </w:r>
      <w:r w:rsidRPr="002119E4">
        <w:rPr>
          <w:i/>
          <w:iCs/>
        </w:rPr>
        <w:t>Fair Trading Compliance Program</w:t>
      </w:r>
      <w:r w:rsidRPr="002119E4">
        <w:t xml:space="preserve"> (2023) &lt;</w:t>
      </w:r>
      <w:hyperlink r:id="rId227" w:history="1">
        <w:r w:rsidRPr="002119E4">
          <w:rPr>
            <w:rStyle w:val="Hyperlink"/>
          </w:rPr>
          <w:t>https://www.qld.gov.au/law/laws-regulated-industries-and-accountability/queensland-laws-and-regulations/regulated-industries-and-licensing/fair-trading-enforcement/compliance-program</w:t>
        </w:r>
      </w:hyperlink>
      <w:r w:rsidRPr="002119E4">
        <w:t xml:space="preserve">&gt; </w:t>
      </w:r>
    </w:p>
    <w:p w14:paraId="3C08C4DD" w14:textId="2D0C3DC4" w:rsidR="001F2558" w:rsidRPr="002119E4" w:rsidRDefault="001F2558" w:rsidP="001F2558">
      <w:pPr>
        <w:spacing w:line="240" w:lineRule="auto"/>
      </w:pPr>
      <w:r w:rsidRPr="002119E4">
        <w:t xml:space="preserve">UK Department of Communities and Local Government, </w:t>
      </w:r>
      <w:r w:rsidRPr="002119E4">
        <w:rPr>
          <w:i/>
          <w:iCs/>
        </w:rPr>
        <w:t xml:space="preserve">Multi-criteria analysis: a manual </w:t>
      </w:r>
      <w:r w:rsidRPr="002119E4">
        <w:t>(2009) &lt;</w:t>
      </w:r>
      <w:hyperlink r:id="rId228" w:history="1">
        <w:r w:rsidRPr="002119E4">
          <w:rPr>
            <w:rStyle w:val="Hyperlink"/>
          </w:rPr>
          <w:t>https://eprints.lse.ac.uk/12761/1/Multi-criteria_Analysis.pdf</w:t>
        </w:r>
      </w:hyperlink>
      <w:r w:rsidRPr="002119E4">
        <w:t xml:space="preserve">&gt; </w:t>
      </w:r>
    </w:p>
    <w:p w14:paraId="37752F1F" w14:textId="2380EB38" w:rsidR="001F2558" w:rsidRPr="002119E4" w:rsidRDefault="001F2558" w:rsidP="001F2558">
      <w:pPr>
        <w:spacing w:line="240" w:lineRule="auto"/>
      </w:pPr>
      <w:r w:rsidRPr="002119E4">
        <w:t>U.S. Department of Health and Human Services</w:t>
      </w:r>
      <w:r w:rsidRPr="002119E4">
        <w:rPr>
          <w:i/>
          <w:iCs/>
        </w:rPr>
        <w:t>, Head Start Services</w:t>
      </w:r>
      <w:r w:rsidRPr="002119E4">
        <w:t xml:space="preserve"> (2023), &lt;</w:t>
      </w:r>
      <w:hyperlink r:id="rId229" w:history="1">
        <w:r w:rsidRPr="002119E4">
          <w:rPr>
            <w:rStyle w:val="Hyperlink"/>
          </w:rPr>
          <w:t>https://www.acf.hhs.gov/ohs/about/head-start</w:t>
        </w:r>
      </w:hyperlink>
      <w:r w:rsidRPr="002119E4">
        <w:t xml:space="preserve">&gt; </w:t>
      </w:r>
    </w:p>
    <w:p w14:paraId="259D9420" w14:textId="77777777" w:rsidR="001F2558" w:rsidRPr="002119E4" w:rsidRDefault="001F2558" w:rsidP="001F2558">
      <w:pPr>
        <w:spacing w:line="240" w:lineRule="auto"/>
      </w:pPr>
      <w:r w:rsidRPr="002119E4">
        <w:t xml:space="preserve">Victorian Aboriginal Community Controlled Health Organisation (VACCHO), </w:t>
      </w:r>
      <w:r w:rsidRPr="002119E4">
        <w:rPr>
          <w:i/>
          <w:iCs/>
        </w:rPr>
        <w:t>Submission to the Early Years Strategy</w:t>
      </w:r>
      <w:r w:rsidRPr="002119E4">
        <w:t xml:space="preserve"> (2023)</w:t>
      </w:r>
    </w:p>
    <w:p w14:paraId="29485DA1" w14:textId="7A835395" w:rsidR="001F2558" w:rsidRDefault="001F2558" w:rsidP="001F2558">
      <w:pPr>
        <w:spacing w:line="240" w:lineRule="auto"/>
      </w:pPr>
      <w:r w:rsidRPr="002119E4">
        <w:t>Victorian Government</w:t>
      </w:r>
      <w:r w:rsidRPr="002119E4">
        <w:rPr>
          <w:i/>
          <w:iCs/>
        </w:rPr>
        <w:t>, Access to Early Learning (</w:t>
      </w:r>
      <w:r w:rsidRPr="002119E4">
        <w:t>2023), &lt;</w:t>
      </w:r>
      <w:hyperlink r:id="rId230" w:history="1">
        <w:r w:rsidRPr="002119E4">
          <w:rPr>
            <w:rStyle w:val="Hyperlink"/>
          </w:rPr>
          <w:t>https://www.vic.gov.au/access-early-learning</w:t>
        </w:r>
      </w:hyperlink>
      <w:r w:rsidRPr="002119E4">
        <w:t xml:space="preserve">&gt; </w:t>
      </w:r>
    </w:p>
    <w:p w14:paraId="5D56D4E6" w14:textId="77777777" w:rsidR="002B7047" w:rsidRPr="00B62803" w:rsidRDefault="002B7047" w:rsidP="002B7047">
      <w:pPr>
        <w:spacing w:line="240" w:lineRule="auto"/>
      </w:pPr>
      <w:r w:rsidRPr="000B3400">
        <w:t>William Fogarty, Hannah Bulloch,</w:t>
      </w:r>
      <w:r>
        <w:t xml:space="preserve"> </w:t>
      </w:r>
      <w:r w:rsidRPr="000B3400">
        <w:t xml:space="preserve">Siobhan McDonnell </w:t>
      </w:r>
      <w:r>
        <w:t>&amp;</w:t>
      </w:r>
      <w:r w:rsidRPr="000B3400">
        <w:t xml:space="preserve"> Michael Davis</w:t>
      </w:r>
      <w:r>
        <w:t xml:space="preserve">, </w:t>
      </w:r>
      <w:r w:rsidRPr="00B62803">
        <w:t>Deficit Discourse</w:t>
      </w:r>
    </w:p>
    <w:p w14:paraId="673259AA" w14:textId="44D07FF9" w:rsidR="002B7047" w:rsidRPr="002119E4" w:rsidRDefault="002B7047" w:rsidP="002B7047">
      <w:pPr>
        <w:spacing w:line="240" w:lineRule="auto"/>
      </w:pPr>
      <w:r w:rsidRPr="00B62803">
        <w:t>and Indigenous Health</w:t>
      </w:r>
      <w:r>
        <w:t xml:space="preserve"> (May 2018), </w:t>
      </w:r>
      <w:r w:rsidRPr="00B62803">
        <w:rPr>
          <w:i/>
          <w:iCs/>
        </w:rPr>
        <w:t>The Lowitja Institute &amp; National Centre for Indigenous Studies</w:t>
      </w:r>
      <w:r>
        <w:t>, &lt;</w:t>
      </w:r>
      <w:hyperlink r:id="rId231" w:history="1">
        <w:r w:rsidRPr="00921344">
          <w:rPr>
            <w:rStyle w:val="Hyperlink"/>
          </w:rPr>
          <w:t>https://www.lowitja.org.au/wp-content/uploads/2023/05/deficit-discourse.pdf</w:t>
        </w:r>
      </w:hyperlink>
      <w:r>
        <w:t xml:space="preserve">&gt; </w:t>
      </w:r>
    </w:p>
    <w:p w14:paraId="20EA7352" w14:textId="77777777" w:rsidR="002B7047" w:rsidRPr="002119E4" w:rsidRDefault="002B7047" w:rsidP="001F2558">
      <w:pPr>
        <w:spacing w:line="240" w:lineRule="auto"/>
      </w:pPr>
    </w:p>
    <w:p w14:paraId="4B940AAC" w14:textId="77777777" w:rsidR="0023447C" w:rsidRDefault="0023447C" w:rsidP="00D6566E">
      <w:pPr>
        <w:pStyle w:val="Reference"/>
        <w:ind w:left="0" w:firstLine="0"/>
      </w:pPr>
    </w:p>
    <w:p w14:paraId="6C5512DE" w14:textId="77777777" w:rsidR="001F2558" w:rsidRDefault="001F2558" w:rsidP="00D6566E">
      <w:pPr>
        <w:pStyle w:val="Reference"/>
        <w:ind w:left="0" w:firstLine="0"/>
      </w:pPr>
    </w:p>
    <w:p w14:paraId="336CD17E" w14:textId="4937ADD8" w:rsidR="002D34EC" w:rsidRPr="003549F9" w:rsidRDefault="002D34EC" w:rsidP="00D6566E">
      <w:pPr>
        <w:pStyle w:val="Reference"/>
        <w:ind w:left="0" w:firstLine="0"/>
        <w:sectPr w:rsidR="002D34EC" w:rsidRPr="003549F9" w:rsidSect="005F043A">
          <w:headerReference w:type="even" r:id="rId232"/>
          <w:headerReference w:type="default" r:id="rId233"/>
          <w:footerReference w:type="default" r:id="rId234"/>
          <w:headerReference w:type="first" r:id="rId235"/>
          <w:pgSz w:w="11906" w:h="16838" w:code="9"/>
          <w:pgMar w:top="1440" w:right="1440" w:bottom="1440" w:left="1440" w:header="680" w:footer="425" w:gutter="0"/>
          <w:cols w:space="284"/>
          <w:docGrid w:linePitch="360"/>
        </w:sectPr>
      </w:pPr>
    </w:p>
    <w:p w14:paraId="60881609" w14:textId="77777777" w:rsidR="005B00B8" w:rsidRPr="003549F9" w:rsidRDefault="00BF4216" w:rsidP="00BF4216">
      <w:pPr>
        <w:pStyle w:val="Heading1un-numbered"/>
        <w:rPr>
          <w:lang w:eastAsia="en-AU"/>
        </w:rPr>
      </w:pPr>
      <w:bookmarkStart w:id="493" w:name="_Toc463002439"/>
      <w:bookmarkStart w:id="494" w:name="_Toc472586353"/>
      <w:bookmarkStart w:id="495" w:name="_Toc482168131"/>
      <w:bookmarkStart w:id="496" w:name="_Toc482174916"/>
      <w:bookmarkStart w:id="497" w:name="_Toc158993794"/>
      <w:bookmarkStart w:id="498" w:name="_Toc170227445"/>
      <w:r w:rsidRPr="003549F9">
        <w:rPr>
          <w:lang w:eastAsia="en-AU"/>
        </w:rPr>
        <w:lastRenderedPageBreak/>
        <w:t>Limitation of our work</w:t>
      </w:r>
      <w:bookmarkEnd w:id="493"/>
      <w:bookmarkEnd w:id="494"/>
      <w:bookmarkEnd w:id="495"/>
      <w:bookmarkEnd w:id="496"/>
      <w:bookmarkEnd w:id="497"/>
      <w:bookmarkEnd w:id="498"/>
    </w:p>
    <w:p w14:paraId="5FC2300F" w14:textId="77777777" w:rsidR="00BF4216" w:rsidRPr="003549F9" w:rsidRDefault="00BF4216" w:rsidP="00BF4216">
      <w:pPr>
        <w:pStyle w:val="Heading2un-numbered"/>
      </w:pPr>
      <w:bookmarkStart w:id="499" w:name="_Toc463002440"/>
      <w:bookmarkStart w:id="500" w:name="_Toc472586354"/>
      <w:bookmarkStart w:id="501" w:name="_Toc482168132"/>
      <w:bookmarkStart w:id="502" w:name="_Toc482174917"/>
      <w:bookmarkStart w:id="503" w:name="_Toc158993795"/>
      <w:bookmarkStart w:id="504" w:name="_Toc170227446"/>
      <w:r w:rsidRPr="003549F9">
        <w:t>General use restriction</w:t>
      </w:r>
      <w:bookmarkEnd w:id="499"/>
      <w:bookmarkEnd w:id="500"/>
      <w:bookmarkEnd w:id="501"/>
      <w:bookmarkEnd w:id="502"/>
      <w:bookmarkEnd w:id="503"/>
      <w:bookmarkEnd w:id="504"/>
    </w:p>
    <w:p w14:paraId="6EEB2ED7" w14:textId="77777777" w:rsidR="00EA1910" w:rsidRDefault="00EA1910" w:rsidP="00EA1910">
      <w:r>
        <w:t>This report is prepared solely for the internal use of the Australian Government Department of Education. This report is not intended to and should not be used or relied upon by anyone else and we accept no duty of care to any other person or entity. The report has been prepared for the purpose of the CCCFR review. You should not refer to or use our name or the advice for any other purpose.</w:t>
      </w:r>
    </w:p>
    <w:p w14:paraId="0B98FD64" w14:textId="77777777" w:rsidR="00983929" w:rsidRPr="003549F9" w:rsidRDefault="004F1A53" w:rsidP="00983929">
      <w:pPr>
        <w:pageBreakBefore/>
      </w:pPr>
      <w:r w:rsidRPr="003549F9">
        <w:rPr>
          <w:noProof/>
          <w:lang w:eastAsia="en-AU"/>
        </w:rPr>
        <w:lastRenderedPageBreak/>
        <w:drawing>
          <wp:anchor distT="0" distB="0" distL="114300" distR="114300" simplePos="0" relativeHeight="251658262" behindDoc="1" locked="0" layoutInCell="1" allowOverlap="1" wp14:anchorId="73CD4F93" wp14:editId="0476DEF4">
            <wp:simplePos x="0" y="0"/>
            <wp:positionH relativeFrom="margin">
              <wp:align>left</wp:align>
            </wp:positionH>
            <wp:positionV relativeFrom="paragraph">
              <wp:posOffset>2540</wp:posOffset>
            </wp:positionV>
            <wp:extent cx="2085975" cy="914400"/>
            <wp:effectExtent l="0" t="0" r="0" b="0"/>
            <wp:wrapNone/>
            <wp:docPr id="266776721" name="Picture 2667767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6776721" name="Picture 26677672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a:stretch/>
                  </pic:blipFill>
                  <pic:spPr>
                    <a:xfrm>
                      <a:off x="0" y="0"/>
                      <a:ext cx="2085975" cy="914400"/>
                    </a:xfrm>
                    <a:prstGeom prst="rect">
                      <a:avLst/>
                    </a:prstGeom>
                  </pic:spPr>
                </pic:pic>
              </a:graphicData>
            </a:graphic>
            <wp14:sizeRelH relativeFrom="margin">
              <wp14:pctWidth>0</wp14:pctWidth>
            </wp14:sizeRelH>
            <wp14:sizeRelV relativeFrom="margin">
              <wp14:pctHeight>0</wp14:pctHeight>
            </wp14:sizeRelV>
          </wp:anchor>
        </w:drawing>
      </w:r>
    </w:p>
    <w:p w14:paraId="073DAE50" w14:textId="77777777" w:rsidR="00D01239" w:rsidRPr="003549F9" w:rsidRDefault="00D01239" w:rsidP="00983929"/>
    <w:tbl>
      <w:tblPr>
        <w:tblpPr w:horzAnchor="margin" w:tblpYSpec="bottom"/>
        <w:tblOverlap w:val="never"/>
        <w:tblW w:w="9185" w:type="dxa"/>
        <w:tblLook w:val="04A0" w:firstRow="1" w:lastRow="0" w:firstColumn="1" w:lastColumn="0" w:noHBand="0" w:noVBand="1"/>
      </w:tblPr>
      <w:tblGrid>
        <w:gridCol w:w="9185"/>
      </w:tblGrid>
      <w:tr w:rsidR="00493AF9" w:rsidRPr="003549F9" w14:paraId="634AD265" w14:textId="77777777" w:rsidTr="00CC75FD">
        <w:trPr>
          <w:trHeight w:val="6379"/>
        </w:trPr>
        <w:tc>
          <w:tcPr>
            <w:tcW w:w="9214" w:type="dxa"/>
            <w:vAlign w:val="bottom"/>
          </w:tcPr>
          <w:p w14:paraId="6454E364" w14:textId="77777777" w:rsidR="00493AF9" w:rsidRPr="003549F9" w:rsidRDefault="00493AF9" w:rsidP="004D6E06">
            <w:pPr>
              <w:pStyle w:val="Legaltext"/>
            </w:pPr>
          </w:p>
          <w:p w14:paraId="27A4533D" w14:textId="77777777" w:rsidR="00206BB8" w:rsidRPr="003549F9" w:rsidRDefault="00206BB8" w:rsidP="00206BB8">
            <w:pPr>
              <w:pStyle w:val="Legaltext"/>
            </w:pPr>
          </w:p>
          <w:p w14:paraId="5E55C882" w14:textId="77777777" w:rsidR="00BF3A09" w:rsidRPr="00462176" w:rsidRDefault="00BF3A09" w:rsidP="00BF3A09">
            <w:pPr>
              <w:pStyle w:val="Legaltext"/>
            </w:pPr>
            <w:r w:rsidRPr="00462176">
              <w:t>Deloitte Access Economics Pty Ltd</w:t>
            </w:r>
          </w:p>
          <w:p w14:paraId="1BFA0B61" w14:textId="77777777" w:rsidR="00BF3A09" w:rsidRPr="00462176" w:rsidRDefault="00BF3A09" w:rsidP="00BF3A09">
            <w:pPr>
              <w:pStyle w:val="Deloitteaddress"/>
              <w:rPr>
                <w:rFonts w:ascii="Verdana" w:hAnsi="Verdana"/>
                <w:sz w:val="14"/>
                <w:szCs w:val="18"/>
              </w:rPr>
            </w:pPr>
            <w:r w:rsidRPr="00462176">
              <w:rPr>
                <w:rFonts w:ascii="Verdana" w:hAnsi="Verdana"/>
                <w:sz w:val="14"/>
                <w:szCs w:val="18"/>
              </w:rPr>
              <w:t>ACN 149 633 116</w:t>
            </w:r>
          </w:p>
          <w:sdt>
            <w:sdtPr>
              <w:alias w:val="Address"/>
              <w:tag w:val="{&quot;templafy&quot;:{&quot;id&quot;:&quot;1271f718-3b74-4404-9318-f5525e31e74b&quot;}}"/>
              <w:id w:val="-1593926553"/>
              <w:placeholder>
                <w:docPart w:val="C81980B167D142B48D4842340FA4B581"/>
              </w:placeholder>
            </w:sdtPr>
            <w:sdtContent>
              <w:p w14:paraId="62934E25" w14:textId="77777777" w:rsidR="00BF3A09" w:rsidRPr="00462176" w:rsidRDefault="00BF3A09" w:rsidP="00BF3A09">
                <w:pPr>
                  <w:pStyle w:val="Legaltext"/>
                </w:pPr>
                <w:r w:rsidRPr="00462176">
                  <w:t>8 Brindabella Circuit</w:t>
                </w:r>
              </w:p>
              <w:p w14:paraId="4829CD57" w14:textId="77777777" w:rsidR="00BF3A09" w:rsidRPr="00462176" w:rsidRDefault="00BF3A09" w:rsidP="00BF3A09">
                <w:pPr>
                  <w:pStyle w:val="Legaltext"/>
                </w:pPr>
                <w:r w:rsidRPr="00462176">
                  <w:t>Brindabella Business Park</w:t>
                </w:r>
              </w:p>
              <w:p w14:paraId="06B74BAA" w14:textId="77777777" w:rsidR="00BF3A09" w:rsidRPr="00462176" w:rsidRDefault="00BF3A09" w:rsidP="00BF3A09">
                <w:pPr>
                  <w:pStyle w:val="Legaltext"/>
                </w:pPr>
                <w:r w:rsidRPr="00462176">
                  <w:t>Canberra Airport</w:t>
                </w:r>
              </w:p>
              <w:p w14:paraId="40DE700E" w14:textId="77777777" w:rsidR="00BF3A09" w:rsidRPr="00462176" w:rsidRDefault="00BF3A09" w:rsidP="00BF3A09">
                <w:pPr>
                  <w:pStyle w:val="Legaltext"/>
                </w:pPr>
                <w:r w:rsidRPr="00462176">
                  <w:t>Canberra, ACT, 2609</w:t>
                </w:r>
              </w:p>
              <w:p w14:paraId="307DA4E0" w14:textId="77777777" w:rsidR="00BF3A09" w:rsidRPr="00462176" w:rsidRDefault="00BF3A09" w:rsidP="00BF3A09">
                <w:pPr>
                  <w:pStyle w:val="Legaltext"/>
                </w:pPr>
                <w:r w:rsidRPr="00462176">
                  <w:t>Australia</w:t>
                </w:r>
              </w:p>
            </w:sdtContent>
          </w:sdt>
          <w:p w14:paraId="5F2AEC68" w14:textId="77777777" w:rsidR="00BF3A09" w:rsidRPr="00B56B68" w:rsidRDefault="00BF3A09" w:rsidP="00BF3A09">
            <w:pPr>
              <w:pStyle w:val="Legaltext"/>
              <w:rPr>
                <w:highlight w:val="yellow"/>
              </w:rPr>
            </w:pPr>
          </w:p>
          <w:sdt>
            <w:sdtPr>
              <w:rPr>
                <w:highlight w:val="yellow"/>
              </w:rPr>
              <w:alias w:val="group"/>
              <w:tag w:val="{&quot;templafy&quot;:{&quot;id&quot;:&quot;1a70c2ff-33b6-474e-82d1-9e160bb20797&quot;}}"/>
              <w:id w:val="58680603"/>
              <w:placeholder>
                <w:docPart w:val="20C687CC77C8468EBA16FECE8E82A80C"/>
              </w:placeholder>
              <w15:color w:val="FF0000"/>
            </w:sdtPr>
            <w:sdtEndPr>
              <w:rPr>
                <w:highlight w:val="none"/>
              </w:rPr>
            </w:sdtEndPr>
            <w:sdtContent>
              <w:p w14:paraId="0CBC331E" w14:textId="77777777" w:rsidR="00BF3A09" w:rsidRPr="00B24AF4" w:rsidRDefault="00000000" w:rsidP="00BF3A09">
                <w:pPr>
                  <w:pStyle w:val="Legaltext"/>
                </w:pPr>
                <w:sdt>
                  <w:sdtPr>
                    <w:alias w:val="Tel label"/>
                    <w:tag w:val="{&quot;templafy&quot;:{&quot;id&quot;:&quot;e9fea40d-a912-47f4-94be-0ffe472cb882&quot;}}"/>
                    <w:id w:val="1841654110"/>
                    <w:placeholder>
                      <w:docPart w:val="20C687CC77C8468EBA16FECE8E82A80C"/>
                    </w:placeholder>
                    <w15:color w:val="FF0000"/>
                  </w:sdtPr>
                  <w:sdtContent>
                    <w:r w:rsidR="00BF3A09" w:rsidRPr="00B24AF4">
                      <w:t>Tel</w:t>
                    </w:r>
                  </w:sdtContent>
                </w:sdt>
                <w:r w:rsidR="00BF3A09" w:rsidRPr="00B24AF4">
                  <w:t xml:space="preserve">: </w:t>
                </w:r>
                <w:sdt>
                  <w:sdtPr>
                    <w:alias w:val="Phone"/>
                    <w:tag w:val="{&quot;templafy&quot;:{&quot;id&quot;:&quot;b0905f05-14db-46b6-aa28-e5e06c609e62&quot;}}"/>
                    <w:id w:val="-65649594"/>
                    <w:placeholder>
                      <w:docPart w:val="20C687CC77C8468EBA16FECE8E82A80C"/>
                    </w:placeholder>
                    <w15:color w:val="FF0000"/>
                  </w:sdtPr>
                  <w:sdtContent>
                    <w:r w:rsidR="00BF3A09" w:rsidRPr="00B24AF4">
                      <w:t> +61 2 6263 7000</w:t>
                    </w:r>
                  </w:sdtContent>
                </w:sdt>
              </w:p>
            </w:sdtContent>
          </w:sdt>
          <w:sdt>
            <w:sdtPr>
              <w:alias w:val="group"/>
              <w:tag w:val="{&quot;templafy&quot;:{&quot;id&quot;:&quot;c30c2b8f-e8a6-4e43-b9fd-cdf14bc73785&quot;}}"/>
              <w:id w:val="182019294"/>
              <w:placeholder>
                <w:docPart w:val="20C687CC77C8468EBA16FECE8E82A80C"/>
              </w:placeholder>
              <w15:color w:val="FF0000"/>
            </w:sdtPr>
            <w:sdtContent>
              <w:p w14:paraId="2B01B781" w14:textId="77777777" w:rsidR="00BF3A09" w:rsidRDefault="00000000" w:rsidP="00BF3A09">
                <w:pPr>
                  <w:pStyle w:val="Legaltext"/>
                </w:pPr>
                <w:sdt>
                  <w:sdtPr>
                    <w:alias w:val="Fax label"/>
                    <w:tag w:val="{&quot;templafy&quot;:{&quot;id&quot;:&quot;57ef1793-6b24-4b83-899e-aba318afb193&quot;}}"/>
                    <w:id w:val="1234590413"/>
                    <w:placeholder>
                      <w:docPart w:val="20C687CC77C8468EBA16FECE8E82A80C"/>
                    </w:placeholder>
                    <w15:color w:val="FF0000"/>
                  </w:sdtPr>
                  <w:sdtContent>
                    <w:r w:rsidR="00BF3A09" w:rsidRPr="00B24AF4">
                      <w:t>Fax</w:t>
                    </w:r>
                  </w:sdtContent>
                </w:sdt>
                <w:r w:rsidR="00BF3A09" w:rsidRPr="00B24AF4">
                  <w:t xml:space="preserve">: </w:t>
                </w:r>
                <w:sdt>
                  <w:sdtPr>
                    <w:alias w:val="Fax"/>
                    <w:tag w:val="{&quot;templafy&quot;:{&quot;id&quot;:&quot;bdf9802e-1843-49f9-94cf-1f49aab5b4cb&quot;}}"/>
                    <w:id w:val="-1958319201"/>
                    <w:placeholder>
                      <w:docPart w:val="20C687CC77C8468EBA16FECE8E82A80C"/>
                    </w:placeholder>
                    <w15:color w:val="FF0000"/>
                  </w:sdtPr>
                  <w:sdtContent>
                    <w:r w:rsidR="00BF3A09" w:rsidRPr="00B24AF4">
                      <w:t>+61 2 6263 7004</w:t>
                    </w:r>
                  </w:sdtContent>
                </w:sdt>
              </w:p>
            </w:sdtContent>
          </w:sdt>
          <w:sdt>
            <w:sdtPr>
              <w:alias w:val="Web"/>
              <w:tag w:val="{&quot;templafy&quot;:{&quot;id&quot;:&quot;aecdad0f-e7da-4596-b465-2438180136f4&quot;}}"/>
              <w:id w:val="1526901332"/>
              <w:placeholder>
                <w:docPart w:val="0F6ED4FA61E74BF6AF91E18391F98F76"/>
              </w:placeholder>
            </w:sdtPr>
            <w:sdtContent>
              <w:p w14:paraId="7BE98CC7" w14:textId="77777777" w:rsidR="00BF3A09" w:rsidRDefault="00BF3A09" w:rsidP="00BF3A09">
                <w:pPr>
                  <w:pStyle w:val="Legaltext"/>
                </w:pPr>
                <w:r>
                  <w:t>www.deloitte.com.au</w:t>
                </w:r>
              </w:p>
            </w:sdtContent>
          </w:sdt>
          <w:p w14:paraId="06B35DA7" w14:textId="77777777" w:rsidR="00206BB8" w:rsidRPr="003549F9" w:rsidRDefault="00206BB8" w:rsidP="00206BB8">
            <w:pPr>
              <w:pStyle w:val="Legaltext"/>
            </w:pPr>
          </w:p>
          <w:p w14:paraId="2A1C93DB" w14:textId="4582D4EC" w:rsidR="0013686B" w:rsidRPr="003549F9" w:rsidRDefault="0013686B" w:rsidP="0013686B">
            <w:pPr>
              <w:pStyle w:val="Legaltext"/>
            </w:pPr>
            <w:r w:rsidRPr="003549F9">
              <w:t xml:space="preserve">Deloitte Access Economics is Australia’s pre-eminent economics advisory practice and a member of Deloitte's global economics group. For more information, please visit our website: </w:t>
            </w:r>
            <w:hyperlink r:id="rId236" w:history="1">
              <w:r w:rsidRPr="003549F9">
                <w:rPr>
                  <w:rStyle w:val="Hyperlink"/>
                </w:rPr>
                <w:t>www.deloitte.com/au/deloitte-access-economics</w:t>
              </w:r>
            </w:hyperlink>
            <w:r w:rsidRPr="003549F9">
              <w:t xml:space="preserve"> </w:t>
            </w:r>
          </w:p>
          <w:p w14:paraId="2560F747" w14:textId="77777777" w:rsidR="006C0A40" w:rsidRPr="003549F9" w:rsidRDefault="006C0A40" w:rsidP="0013686B">
            <w:pPr>
              <w:pStyle w:val="Legaltext"/>
            </w:pPr>
          </w:p>
          <w:p w14:paraId="13FB138C" w14:textId="77777777" w:rsidR="006C0A40" w:rsidRDefault="00000000" w:rsidP="0013686B">
            <w:pPr>
              <w:pStyle w:val="Legaltext"/>
            </w:pPr>
            <w:sdt>
              <w:sdtPr>
                <w:alias w:val="{{Form.Disclaimer.Disclaimer}}"/>
                <w:tag w:val="{&quot;templafy&quot;:{&quot;id&quot;:&quot;3c997bb5-4f88-4bfc-9109-d0d1e88234e0&quot;}}"/>
                <w:id w:val="459532176"/>
                <w:placeholder>
                  <w:docPart w:val="630F0CBBC093450CBF19FFECDC3D743B"/>
                </w:placeholder>
              </w:sdtPr>
              <w:sdtContent>
                <w:r w:rsidR="004F1A53" w:rsidRPr="003549F9">
                  <w:t>Deloitte refers to one or more of Deloitte Touche Tohmatsu Limited (“DTTL”), its global network of member firms, and their related entities (collectively, the “Deloitte organisation”). DTTL (also referred to as “Deloitte Global”) and each of its member firms and related entities are legally separate and independent entities, which cannot obligate or bind each other in respect of third parties. DTTL and each DTTL member firm and related entity is liable only for its own acts and omissions, and not those of each other. DTTL does not provide services to clients. Please see www.deloitte.com/about to learn more.</w:t>
                </w:r>
                <w:r w:rsidR="004F1A53" w:rsidRPr="003549F9">
                  <w:br/>
                </w:r>
                <w:r w:rsidR="004F1A53" w:rsidRPr="003549F9">
                  <w:br/>
                  <w:t>Deloitte is a leading global provider of audit and assurance, consulting, financial advisory, risk advisory, tax and related services. Our global network of member firms and related entities in more than 150 countries and territories (collectively, the “Deloitte organisation” serves four out of five Fortune Global 500® companies. Learn how Deloitte’s approximately 415,000 people make an impact that matters at www.deloitte.com.</w:t>
                </w:r>
                <w:r w:rsidR="004F1A53" w:rsidRPr="003549F9">
                  <w:br/>
                </w:r>
                <w:r w:rsidR="004F1A53" w:rsidRPr="003549F9">
                  <w:br/>
                  <w:t xml:space="preserve">Deloitte Asia Pacific </w:t>
                </w:r>
                <w:r w:rsidR="004F1A53" w:rsidRPr="003549F9">
                  <w:br/>
                  <w:t>Deloitte Asia Pacific Limited is a company limited by guarantee and a member firm of DTTL. Members of Deloitte Asia Pacific Limited and their related entities, each of which are separate and independent legal entities, provide services from more than 100 cities across the region, including Auckland, Bangkok, Beijing, Hanoi, Hong Kong, Jakarta, Kuala Lumpur, Manila, Melbourne, Mumbai, New Delhi, Osaka, Seoul, Shanghai, Singapore, Sydney, Taipei and Tokyo.</w:t>
                </w:r>
                <w:r w:rsidR="004F1A53" w:rsidRPr="003549F9">
                  <w:br/>
                </w:r>
                <w:r w:rsidR="004F1A53" w:rsidRPr="003549F9">
                  <w:br/>
                  <w:t>Deloitte Australia</w:t>
                </w:r>
                <w:r w:rsidR="004F1A53" w:rsidRPr="003549F9">
                  <w:br/>
                  <w:t>The Australian partnership of Deloitte Touche Tohmatsu is a member of Deloitte Asia Pacific Limited and the Deloitte organisation. As one of Australia’s leading professional services firms, Deloitte Touche Tohmatsu and its affiliates provide audit, tax, consulting, risk advisory, and financial advisory services through approximately 14,000 people across the country. Focused on the creation of value and growth, and known as an employer of choice for innovative human resources programs, we are dedicated to helping our clients and our people excel. For more information, please visit our web site at https://www2.deloitte.com/au/en.html.</w:t>
                </w:r>
                <w:r w:rsidR="004F1A53" w:rsidRPr="003549F9">
                  <w:br/>
                </w:r>
                <w:r w:rsidR="004F1A53" w:rsidRPr="003549F9">
                  <w:br/>
                  <w:t>Liability limited by a scheme approved under Professional Standards Legislation.</w:t>
                </w:r>
                <w:r w:rsidR="004F1A53" w:rsidRPr="003549F9">
                  <w:br/>
                  <w:t xml:space="preserve">Member of Deloitte Asia Pacific Limited and the Deloitte organisation. </w:t>
                </w:r>
                <w:r w:rsidR="004F1A53" w:rsidRPr="003549F9">
                  <w:br/>
                </w:r>
                <w:r w:rsidR="004F1A53" w:rsidRPr="003549F9">
                  <w:br/>
                  <w:t>This communication contains general information only, and none of Deloitte Touche Tohmatsu Limited (“DTTL”), its global network of member firms or their related entities (collectively, the “Deloitte organisation”) is, by means of this communication, rendering professional advice or services. Before making any decision or taking any action that may affect your finances or your business, you should consult a qualified professional adviser. No representations, warranties or undertakings (express or implied) are given as to the accuracy or completeness of the information in this communication, and none of DTTL, its member firms, related entities, employees or agents shall be liable or responsible for any loss or damage whatsoever arising directly or indirectly in connection with any person relying on this communication.</w:t>
                </w:r>
              </w:sdtContent>
            </w:sdt>
            <w:sdt>
              <w:sdtPr>
                <w:alias w:val="{{Form.Classification.Confidential}}"/>
                <w:tag w:val="{&quot;templafy&quot;:{&quot;id&quot;:&quot;403bce57-6add-46c6-a76d-2c17738f8b2d&quot;}}"/>
                <w:id w:val="548964171"/>
                <w:placeholder>
                  <w:docPart w:val="DFD5DD0D852F4F7B9DCC5A19FBAC40CF"/>
                </w:placeholder>
              </w:sdtPr>
              <w:sdtContent>
                <w:r w:rsidR="004F1A53" w:rsidRPr="003549F9">
                  <w:t>​</w:t>
                </w:r>
              </w:sdtContent>
            </w:sdt>
          </w:p>
          <w:p w14:paraId="344FEB27" w14:textId="77777777" w:rsidR="004D0E85" w:rsidRDefault="004D0E85" w:rsidP="0013686B">
            <w:pPr>
              <w:pStyle w:val="Legaltext"/>
            </w:pPr>
          </w:p>
          <w:p w14:paraId="1C2F71AE" w14:textId="556C0885" w:rsidR="004D0E85" w:rsidRPr="003549F9" w:rsidRDefault="004D0E85" w:rsidP="004D0E85">
            <w:pPr>
              <w:pStyle w:val="Legaltext"/>
            </w:pPr>
            <w:r>
              <w:t>©202</w:t>
            </w:r>
            <w:r w:rsidR="00201A40">
              <w:t>4</w:t>
            </w:r>
            <w:r>
              <w:t xml:space="preserve"> Deloitte Access Economics</w:t>
            </w:r>
          </w:p>
          <w:p w14:paraId="2229908B" w14:textId="77777777" w:rsidR="0013686B" w:rsidRPr="003549F9" w:rsidRDefault="0013686B" w:rsidP="0013686B">
            <w:pPr>
              <w:pStyle w:val="Legaltext"/>
            </w:pPr>
          </w:p>
          <w:p w14:paraId="2F9ADE31" w14:textId="77777777" w:rsidR="00417D85" w:rsidRPr="003549F9" w:rsidRDefault="00417D85" w:rsidP="0013686B">
            <w:pPr>
              <w:pStyle w:val="Legaltext"/>
              <w:spacing w:line="0" w:lineRule="atLeast"/>
              <w:rPr>
                <w:sz w:val="2"/>
                <w:szCs w:val="2"/>
              </w:rPr>
            </w:pPr>
          </w:p>
        </w:tc>
      </w:tr>
    </w:tbl>
    <w:p w14:paraId="4876494D" w14:textId="77777777" w:rsidR="00BF6F8B" w:rsidRPr="000F05E4" w:rsidRDefault="00680CEC" w:rsidP="009B139F">
      <w:r w:rsidRPr="003549F9">
        <w:rPr>
          <w:noProof/>
          <w:lang w:eastAsia="en-AU"/>
        </w:rPr>
        <mc:AlternateContent>
          <mc:Choice Requires="wps">
            <w:drawing>
              <wp:anchor distT="0" distB="0" distL="114300" distR="114300" simplePos="0" relativeHeight="251658249" behindDoc="1" locked="1" layoutInCell="1" allowOverlap="1" wp14:anchorId="1A7EDD48" wp14:editId="30172F1B">
                <wp:simplePos x="0" y="0"/>
                <wp:positionH relativeFrom="page">
                  <wp:posOffset>0</wp:posOffset>
                </wp:positionH>
                <wp:positionV relativeFrom="page">
                  <wp:posOffset>0</wp:posOffset>
                </wp:positionV>
                <wp:extent cx="7563600" cy="106956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7563600" cy="10695600"/>
                        </a:xfrm>
                        <a:prstGeom prst="rect">
                          <a:avLst/>
                        </a:prstGeom>
                        <a:solidFill>
                          <a:srgbClr val="FFFFFF"/>
                        </a:solidFill>
                        <a:ln w="19050" algn="ctr">
                          <a:noFill/>
                          <a:miter lim="800000"/>
                          <a:headEnd/>
                          <a:tailEnd/>
                        </a:ln>
                      </wps:spPr>
                      <wps:txbx>
                        <w:txbxContent>
                          <w:p w14:paraId="496DD439" w14:textId="77777777" w:rsidR="00A573F3" w:rsidRDefault="00A573F3" w:rsidP="00A573F3">
                            <w:pPr>
                              <w:jc w:val="center"/>
                            </w:pPr>
                          </w:p>
                        </w:txbxContent>
                      </wps:txbx>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EDD48" id="Rectangle 3" o:spid="_x0000_s1035" alt="&quot;&quot;" style="position:absolute;margin-left:0;margin-top:0;width:595.55pt;height:842.1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" stroked="f" strokeweight="1.5pt">
                <o:lock v:ext="edit" aspectratio="t"/>
                <v:textbox inset="7pt,7pt,7pt,7pt">
                  <w:txbxContent>
                    <w:p w14:paraId="496DD439" w14:textId="77777777" w:rsidR="00A573F3" w:rsidRDefault="00A573F3" w:rsidP="00A573F3">
                      <w:pPr>
                        <w:jc w:val="center"/>
                      </w:pPr>
                    </w:p>
                  </w:txbxContent>
                </v:textbox>
                <w10:wrap anchorx="page" anchory="page"/>
                <w10:anchorlock/>
              </v:rect>
            </w:pict>
          </mc:Fallback>
        </mc:AlternateContent>
      </w:r>
    </w:p>
    <w:p w14:paraId="7CE6FC4A" w14:textId="77777777" w:rsidR="007629C6" w:rsidRPr="000F05E4" w:rsidRDefault="007629C6" w:rsidP="009B139F"/>
    <w:sectPr w:rsidR="007629C6" w:rsidRPr="000F05E4" w:rsidSect="005F043A">
      <w:pgSz w:w="11906" w:h="16838" w:code="9"/>
      <w:pgMar w:top="1440" w:right="1440" w:bottom="1440" w:left="1440" w:header="680" w:footer="425"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814C6" w14:textId="77777777" w:rsidR="00CF0F37" w:rsidRDefault="00CF0F37" w:rsidP="00C702C7">
      <w:pPr>
        <w:spacing w:line="240" w:lineRule="auto"/>
      </w:pPr>
    </w:p>
  </w:endnote>
  <w:endnote w:type="continuationSeparator" w:id="0">
    <w:p w14:paraId="6A94B583" w14:textId="77777777" w:rsidR="00CF0F37" w:rsidRDefault="00CF0F37" w:rsidP="00C702C7">
      <w:pPr>
        <w:spacing w:line="240" w:lineRule="auto"/>
      </w:pPr>
      <w:r>
        <w:continuationSeparator/>
      </w:r>
    </w:p>
  </w:endnote>
  <w:endnote w:type="continuationNotice" w:id="1">
    <w:p w14:paraId="50FB7B2B" w14:textId="77777777" w:rsidR="00CF0F37" w:rsidRDefault="00CF0F37">
      <w:pPr>
        <w:spacing w:after="0" w:line="240" w:lineRule="auto"/>
      </w:pPr>
    </w:p>
  </w:endnote>
  <w:endnote w:id="2">
    <w:p w14:paraId="341345E1" w14:textId="431866A9" w:rsidR="00DC70B9" w:rsidRPr="00574385" w:rsidRDefault="00DC70B9" w:rsidP="00DC70B9">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544"/>
      <w:gridCol w:w="7002"/>
    </w:tblGrid>
    <w:tr w:rsidR="00137F51" w14:paraId="7833EA1A" w14:textId="77777777" w:rsidTr="00137F51">
      <w:tc>
        <w:tcPr>
          <w:tcW w:w="3544" w:type="dxa"/>
          <w:vAlign w:val="bottom"/>
        </w:tcPr>
        <w:p w14:paraId="11D835F4" w14:textId="77777777" w:rsidR="00137F51" w:rsidRDefault="00137F51"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85005B">
            <w:rPr>
              <w:rStyle w:val="PageNumber"/>
              <w:noProof/>
            </w:rPr>
            <w:t>1</w:t>
          </w:r>
          <w:r w:rsidRPr="006C4F67">
            <w:rPr>
              <w:rStyle w:val="PageNumber"/>
            </w:rPr>
            <w:fldChar w:fldCharType="end"/>
          </w:r>
        </w:p>
      </w:tc>
      <w:tc>
        <w:tcPr>
          <w:tcW w:w="7002" w:type="dxa"/>
          <w:vAlign w:val="bottom"/>
        </w:tcPr>
        <w:p w14:paraId="2E9A802C" w14:textId="77777777" w:rsidR="00137F51" w:rsidRPr="00904097" w:rsidRDefault="00137F51" w:rsidP="00536AB8">
          <w:pPr>
            <w:pStyle w:val="Footer"/>
            <w:spacing w:line="180" w:lineRule="atLeast"/>
            <w:rPr>
              <w:sz w:val="14"/>
              <w:szCs w:val="14"/>
            </w:rPr>
          </w:pPr>
        </w:p>
      </w:tc>
    </w:tr>
  </w:tbl>
  <w:p w14:paraId="7AA8EAA4" w14:textId="77777777" w:rsidR="00137F51" w:rsidRDefault="00137F51" w:rsidP="00536AB8">
    <w:pPr>
      <w:pStyle w:val="Footer"/>
      <w:spacing w:line="14"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E9AD" w14:textId="77777777" w:rsidR="001905F1" w:rsidRDefault="001905F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44032"/>
      <w:docPartObj>
        <w:docPartGallery w:val="Page Numbers (Bottom of Page)"/>
        <w:docPartUnique/>
      </w:docPartObj>
    </w:sdtPr>
    <w:sdtContent>
      <w:p w14:paraId="128708A7" w14:textId="77777777" w:rsidR="00711773" w:rsidRPr="001C655F" w:rsidRDefault="00A307B2">
        <w:pPr>
          <w:pStyle w:val="Footer"/>
        </w:pPr>
        <w:r>
          <w:fldChar w:fldCharType="begin"/>
        </w:r>
        <w:r>
          <w:instrText xml:space="preserve"> PAGE   \* MERGEFORMAT </w:instrText>
        </w:r>
        <w:r>
          <w:fldChar w:fldCharType="separate"/>
        </w:r>
        <w:r>
          <w:rPr>
            <w:noProof/>
          </w:rPr>
          <w:t>2</w:t>
        </w:r>
        <w:r>
          <w:rPr>
            <w:noProof/>
          </w:rPr>
          <w:fldChar w:fldCharType="end"/>
        </w:r>
      </w:p>
      <w:p w14:paraId="6163A7C3" w14:textId="7EFBD5BC" w:rsidR="00A307B2" w:rsidRPr="001C655F" w:rsidRDefault="00000000" w:rsidP="001C655F">
        <w:pPr>
          <w:pStyle w:val="Footer"/>
          <w:jc w:val="center"/>
          <w:rPr>
            <w:i/>
          </w:rPr>
        </w:pPr>
      </w:p>
    </w:sdtContent>
  </w:sdt>
  <w:p w14:paraId="4727CD6A" w14:textId="77777777" w:rsidR="001905F1" w:rsidRDefault="001905F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B79D4" w14:textId="77777777" w:rsidR="001905F1" w:rsidRDefault="001905F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190407"/>
      <w:docPartObj>
        <w:docPartGallery w:val="Page Numbers (Bottom of Page)"/>
        <w:docPartUnique/>
      </w:docPartObj>
    </w:sdtPr>
    <w:sdtContent>
      <w:p w14:paraId="54017BC7" w14:textId="77777777" w:rsidR="001D1245" w:rsidRPr="001C655F" w:rsidRDefault="001D1245">
        <w:pPr>
          <w:pStyle w:val="Footer"/>
        </w:pPr>
        <w:r>
          <w:fldChar w:fldCharType="begin"/>
        </w:r>
        <w:r>
          <w:instrText xml:space="preserve"> PAGE   \* MERGEFORMAT </w:instrText>
        </w:r>
        <w:r>
          <w:fldChar w:fldCharType="separate"/>
        </w:r>
        <w:r>
          <w:rPr>
            <w:noProof/>
          </w:rPr>
          <w:t>2</w:t>
        </w:r>
        <w:r>
          <w:rPr>
            <w:noProof/>
          </w:rPr>
          <w:fldChar w:fldCharType="end"/>
        </w:r>
      </w:p>
      <w:p w14:paraId="57F66938" w14:textId="5A13E6FF" w:rsidR="001D1245" w:rsidRPr="001C655F" w:rsidRDefault="00000000" w:rsidP="001C655F">
        <w:pPr>
          <w:pStyle w:val="Footer"/>
          <w:jc w:val="center"/>
          <w:rPr>
            <w:i/>
          </w:rPr>
        </w:pPr>
      </w:p>
    </w:sdtContent>
  </w:sdt>
  <w:p w14:paraId="232F60B6" w14:textId="77777777" w:rsidR="001D1245" w:rsidRDefault="001D124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8260" w14:textId="77777777" w:rsidR="001D1245" w:rsidRDefault="001D124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911510"/>
      <w:docPartObj>
        <w:docPartGallery w:val="Page Numbers (Bottom of Page)"/>
        <w:docPartUnique/>
      </w:docPartObj>
    </w:sdtPr>
    <w:sdtContent>
      <w:p w14:paraId="50DBD374" w14:textId="77777777" w:rsidR="00711773" w:rsidRPr="001C655F" w:rsidRDefault="00A307B2">
        <w:pPr>
          <w:pStyle w:val="Footer"/>
        </w:pPr>
        <w:r>
          <w:fldChar w:fldCharType="begin"/>
        </w:r>
        <w:r>
          <w:instrText xml:space="preserve"> PAGE   \* MERGEFORMAT </w:instrText>
        </w:r>
        <w:r>
          <w:fldChar w:fldCharType="separate"/>
        </w:r>
        <w:r>
          <w:rPr>
            <w:noProof/>
          </w:rPr>
          <w:t>2</w:t>
        </w:r>
        <w:r>
          <w:rPr>
            <w:noProof/>
          </w:rPr>
          <w:fldChar w:fldCharType="end"/>
        </w:r>
      </w:p>
      <w:p w14:paraId="1C4BF484" w14:textId="024C609B" w:rsidR="00A307B2" w:rsidRPr="001C655F" w:rsidRDefault="00000000" w:rsidP="001C655F">
        <w:pPr>
          <w:pStyle w:val="Footer"/>
          <w:jc w:val="center"/>
          <w:rPr>
            <w:i/>
          </w:rPr>
        </w:pPr>
      </w:p>
    </w:sdtContent>
  </w:sdt>
  <w:p w14:paraId="28F02A98" w14:textId="77777777" w:rsidR="001905F1" w:rsidRDefault="001905F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726988"/>
      <w:docPartObj>
        <w:docPartGallery w:val="Page Numbers (Bottom of Page)"/>
        <w:docPartUnique/>
      </w:docPartObj>
    </w:sdtPr>
    <w:sdtContent>
      <w:p w14:paraId="7CD942BB" w14:textId="77777777" w:rsidR="007C7004" w:rsidRPr="001C655F" w:rsidRDefault="007C7004">
        <w:pPr>
          <w:pStyle w:val="Footer"/>
        </w:pPr>
        <w:r>
          <w:fldChar w:fldCharType="begin"/>
        </w:r>
        <w:r>
          <w:instrText xml:space="preserve"> PAGE   \* MERGEFORMAT </w:instrText>
        </w:r>
        <w:r>
          <w:fldChar w:fldCharType="separate"/>
        </w:r>
        <w:r>
          <w:rPr>
            <w:noProof/>
          </w:rPr>
          <w:t>2</w:t>
        </w:r>
        <w:r>
          <w:rPr>
            <w:noProof/>
          </w:rPr>
          <w:fldChar w:fldCharType="end"/>
        </w:r>
      </w:p>
      <w:p w14:paraId="35E1F619" w14:textId="59845EA8" w:rsidR="007C7004" w:rsidRPr="001C655F" w:rsidRDefault="00000000" w:rsidP="001C655F">
        <w:pPr>
          <w:pStyle w:val="Footer"/>
          <w:jc w:val="center"/>
          <w:rPr>
            <w:i/>
          </w:rPr>
        </w:pPr>
      </w:p>
    </w:sdtContent>
  </w:sdt>
  <w:p w14:paraId="38AAE1CB" w14:textId="77777777" w:rsidR="007C7004" w:rsidRDefault="007C700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C714" w14:textId="77777777" w:rsidR="007C7004" w:rsidRDefault="007C700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9476"/>
      <w:docPartObj>
        <w:docPartGallery w:val="Page Numbers (Bottom of Page)"/>
        <w:docPartUnique/>
      </w:docPartObj>
    </w:sdtPr>
    <w:sdtContent>
      <w:p w14:paraId="346E6B51" w14:textId="77777777" w:rsidR="007C7004" w:rsidRPr="001C655F" w:rsidRDefault="007C7004">
        <w:pPr>
          <w:pStyle w:val="Footer"/>
        </w:pPr>
        <w:r>
          <w:fldChar w:fldCharType="begin"/>
        </w:r>
        <w:r>
          <w:instrText xml:space="preserve"> PAGE   \* MERGEFORMAT </w:instrText>
        </w:r>
        <w:r>
          <w:fldChar w:fldCharType="separate"/>
        </w:r>
        <w:r>
          <w:rPr>
            <w:noProof/>
          </w:rPr>
          <w:t>2</w:t>
        </w:r>
        <w:r>
          <w:rPr>
            <w:noProof/>
          </w:rPr>
          <w:fldChar w:fldCharType="end"/>
        </w:r>
      </w:p>
      <w:p w14:paraId="0B17C2B8" w14:textId="0D8B851A" w:rsidR="007C7004" w:rsidRPr="001C655F" w:rsidRDefault="00000000" w:rsidP="001C655F">
        <w:pPr>
          <w:pStyle w:val="Footer"/>
          <w:jc w:val="center"/>
          <w:rPr>
            <w:i/>
          </w:rPr>
        </w:pPr>
      </w:p>
    </w:sdtContent>
  </w:sdt>
  <w:p w14:paraId="2995BA7A" w14:textId="77777777" w:rsidR="007C7004" w:rsidRDefault="007C700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6550" w14:textId="77777777" w:rsidR="001905F1" w:rsidRDefault="001905F1" w:rsidP="007E7D93">
    <w:pPr>
      <w:pStyle w:val="Footer"/>
      <w:rPr>
        <w:rStyle w:val="PageNumber"/>
      </w:rP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ii</w:t>
    </w:r>
    <w:r w:rsidRPr="006C4F67">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F848" w14:textId="77777777" w:rsidR="00711773" w:rsidRDefault="00FB45CD" w:rsidP="00FD7D79">
    <w:pPr>
      <w:pStyle w:val="Footer"/>
      <w:rPr>
        <w:rStyle w:val="PageNumber"/>
      </w:rP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rPr>
      <w:t>i</w:t>
    </w:r>
    <w:r w:rsidRPr="006C4F67">
      <w:rPr>
        <w:rStyle w:val="PageNumber"/>
      </w:rPr>
      <w:fldChar w:fldCharType="end"/>
    </w:r>
    <w:r w:rsidR="003537D5">
      <w:rPr>
        <w:rStyle w:val="PageNumber"/>
      </w:rPr>
      <w:t xml:space="preserve"> </w:t>
    </w:r>
  </w:p>
  <w:p w14:paraId="3D199076" w14:textId="4147012E" w:rsidR="00137F51" w:rsidRPr="00FD7D79" w:rsidRDefault="00137F51" w:rsidP="001C655F">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87987" w14:textId="77777777" w:rsidR="001905F1" w:rsidRDefault="001905F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65E55" w14:textId="5E5D5513" w:rsidR="007E7D93" w:rsidRPr="001C655F" w:rsidRDefault="007E7D93" w:rsidP="007E7D93">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85005B">
      <w:rPr>
        <w:rStyle w:val="PageNumber"/>
        <w:noProof/>
      </w:rPr>
      <w:t>9</w:t>
    </w:r>
    <w:r w:rsidRPr="006C4F67">
      <w:rPr>
        <w:rStyle w:val="PageNumber"/>
      </w:rPr>
      <w:fldChar w:fldCharType="end"/>
    </w:r>
  </w:p>
  <w:p w14:paraId="353A5E44" w14:textId="77777777" w:rsidR="00344B14" w:rsidRDefault="00344B1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216F" w14:textId="77777777" w:rsidR="00A6563E" w:rsidRDefault="00FB45CD" w:rsidP="00FD7D79">
    <w:pPr>
      <w:pStyle w:val="Footer"/>
      <w:rPr>
        <w:rStyle w:val="PageNumber"/>
      </w:rP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rPr>
      <w:t>ii</w:t>
    </w:r>
    <w:r w:rsidRPr="006C4F6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1D0B8" w14:textId="77777777" w:rsidR="00891A65" w:rsidRDefault="00891A65" w:rsidP="007E7D93">
    <w:pPr>
      <w:pStyle w:val="Footer"/>
      <w:rPr>
        <w:rStyle w:val="PageNumber"/>
      </w:rPr>
    </w:pPr>
  </w:p>
  <w:p w14:paraId="73F6720B" w14:textId="2BB9B400" w:rsidR="00137F51" w:rsidRDefault="007E7D93" w:rsidP="00DB4008">
    <w:pPr>
      <w:pStyle w:val="Footer"/>
      <w:rPr>
        <w:rStyle w:val="PageNumber"/>
      </w:rP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13686B">
      <w:rPr>
        <w:rStyle w:val="PageNumber"/>
        <w:noProof/>
      </w:rPr>
      <w:t>ii</w:t>
    </w:r>
    <w:r w:rsidRPr="006C4F67">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52C2" w14:textId="77777777" w:rsidR="00711773" w:rsidRDefault="007E7D93" w:rsidP="00711773">
    <w:pPr>
      <w:pStyle w:val="Footer"/>
      <w:rPr>
        <w:rStyle w:val="PageNumber"/>
      </w:rP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13686B">
      <w:rPr>
        <w:rStyle w:val="PageNumber"/>
        <w:noProof/>
      </w:rPr>
      <w:t>ii</w:t>
    </w:r>
    <w:r w:rsidRPr="006C4F67">
      <w:rPr>
        <w:rStyle w:val="PageNumber"/>
      </w:rPr>
      <w:fldChar w:fldCharType="end"/>
    </w:r>
    <w:r w:rsidR="003537D5">
      <w:rPr>
        <w:rStyle w:val="PageNumber"/>
      </w:rPr>
      <w:t xml:space="preserve"> </w:t>
    </w:r>
  </w:p>
  <w:p w14:paraId="09C8F58B" w14:textId="09C6830E" w:rsidR="00137F51" w:rsidRPr="007E7D93" w:rsidRDefault="00137F51" w:rsidP="001C655F">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FE37" w14:textId="77777777" w:rsidR="007E0FCC" w:rsidRDefault="007E0FCC" w:rsidP="007E7D93">
    <w:pPr>
      <w:pStyle w:val="Footer"/>
      <w:rPr>
        <w:rStyle w:val="PageNumber"/>
      </w:rP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ii</w:t>
    </w:r>
    <w:r w:rsidRPr="006C4F67">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6210E" w14:textId="77777777" w:rsidR="003A2272" w:rsidRDefault="003A2272" w:rsidP="007E7D93">
    <w:pPr>
      <w:pStyle w:val="Footer"/>
      <w:rPr>
        <w:rStyle w:val="PageNumber"/>
      </w:rP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ii</w:t>
    </w:r>
    <w:r w:rsidRPr="006C4F67">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2509E" w14:textId="77777777" w:rsidR="003A2272" w:rsidRDefault="003A227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5597" w14:textId="77777777" w:rsidR="003A2272" w:rsidRDefault="003A2272" w:rsidP="007E7D93">
    <w:pPr>
      <w:pStyle w:val="Footer"/>
      <w:rPr>
        <w:rStyle w:val="PageNumber"/>
      </w:rP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ii</w:t>
    </w:r>
    <w:r w:rsidRPr="006C4F6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94F73" w14:textId="77777777" w:rsidR="00CF0F37" w:rsidRDefault="00CF0F37" w:rsidP="00C702C7">
      <w:pPr>
        <w:spacing w:line="240" w:lineRule="auto"/>
      </w:pPr>
      <w:r>
        <w:separator/>
      </w:r>
    </w:p>
  </w:footnote>
  <w:footnote w:type="continuationSeparator" w:id="0">
    <w:p w14:paraId="021FE8F1" w14:textId="77777777" w:rsidR="00CF0F37" w:rsidRDefault="00CF0F37" w:rsidP="00C702C7">
      <w:pPr>
        <w:spacing w:line="240" w:lineRule="auto"/>
      </w:pPr>
      <w:r>
        <w:continuationSeparator/>
      </w:r>
    </w:p>
  </w:footnote>
  <w:footnote w:type="continuationNotice" w:id="1">
    <w:p w14:paraId="0BE895F0" w14:textId="77777777" w:rsidR="00CF0F37" w:rsidRDefault="00CF0F37">
      <w:pPr>
        <w:spacing w:after="0" w:line="240" w:lineRule="auto"/>
      </w:pPr>
    </w:p>
  </w:footnote>
  <w:footnote w:id="2">
    <w:p w14:paraId="6CCF31C6" w14:textId="7960417E" w:rsidR="00F01F8A" w:rsidRDefault="00F01F8A">
      <w:pPr>
        <w:pStyle w:val="FootnoteText"/>
      </w:pPr>
      <w:r>
        <w:rPr>
          <w:rStyle w:val="FootnoteReference"/>
        </w:rPr>
        <w:footnoteRef/>
      </w:r>
      <w:r>
        <w:t xml:space="preserve"> The detailed Statement of Work for the review is provided at Appendix B.</w:t>
      </w:r>
    </w:p>
  </w:footnote>
  <w:footnote w:id="3">
    <w:p w14:paraId="1A374194" w14:textId="461D02D0" w:rsidR="009758C2" w:rsidRDefault="009758C2">
      <w:pPr>
        <w:pStyle w:val="FootnoteText"/>
      </w:pPr>
      <w:r>
        <w:rPr>
          <w:rStyle w:val="FootnoteReference"/>
        </w:rPr>
        <w:footnoteRef/>
      </w:r>
      <w:r>
        <w:t xml:space="preserve"> </w:t>
      </w:r>
      <w:r w:rsidR="00997038">
        <w:t>Australian Government Productivity Commission</w:t>
      </w:r>
      <w:r w:rsidR="0032579B">
        <w:t>,</w:t>
      </w:r>
      <w:r>
        <w:t xml:space="preserve"> </w:t>
      </w:r>
      <w:r w:rsidR="006E57B0">
        <w:t>A path to universal early education and care</w:t>
      </w:r>
      <w:r w:rsidR="00D522C6">
        <w:t>: Draft report</w:t>
      </w:r>
      <w:r w:rsidR="00402FD2" w:rsidRPr="00402FD2">
        <w:t xml:space="preserve"> (</w:t>
      </w:r>
      <w:r w:rsidR="00997038">
        <w:t>November 2023</w:t>
      </w:r>
      <w:r w:rsidR="00402FD2" w:rsidRPr="00402FD2">
        <w:t>),</w:t>
      </w:r>
      <w:r w:rsidR="00997038">
        <w:t xml:space="preserve"> </w:t>
      </w:r>
      <w:hyperlink r:id="rId1" w:history="1">
        <w:r w:rsidR="00BB421B" w:rsidRPr="00993A2A">
          <w:rPr>
            <w:rStyle w:val="Hyperlink"/>
          </w:rPr>
          <w:t>https://www.pc.gov.au/inquiries/current/childhood/draft/childhood-draft.pdf</w:t>
        </w:r>
      </w:hyperlink>
      <w:r w:rsidR="002E497C">
        <w:t xml:space="preserve"> </w:t>
      </w:r>
    </w:p>
  </w:footnote>
  <w:footnote w:id="4">
    <w:p w14:paraId="727CD9E2" w14:textId="77777777" w:rsidR="00B45E9C" w:rsidRDefault="00B45E9C" w:rsidP="00B45E9C">
      <w:pPr>
        <w:pStyle w:val="FootnoteText"/>
      </w:pPr>
      <w:r w:rsidRPr="00E804B0">
        <w:rPr>
          <w:rStyle w:val="FootnoteReference"/>
          <w:szCs w:val="16"/>
        </w:rPr>
        <w:footnoteRef/>
      </w:r>
      <w:r w:rsidRPr="00E804B0">
        <w:rPr>
          <w:szCs w:val="16"/>
        </w:rPr>
        <w:t xml:space="preserve"> </w:t>
      </w:r>
      <w:r w:rsidRPr="00DF1EBD">
        <w:rPr>
          <w:szCs w:val="16"/>
        </w:rPr>
        <w:t>Based on data from the 2022/2023 Compliance and Operations Reports completed</w:t>
      </w:r>
      <w:r w:rsidRPr="00DF1EBD">
        <w:t xml:space="preserve"> by CCCFR services. </w:t>
      </w:r>
    </w:p>
  </w:footnote>
  <w:footnote w:id="5">
    <w:p w14:paraId="7B3A73A0" w14:textId="7B099FCD" w:rsidR="00C10314" w:rsidRPr="00E804B0" w:rsidRDefault="00C10314" w:rsidP="005B2BAF">
      <w:pPr>
        <w:spacing w:after="0" w:line="240" w:lineRule="auto"/>
        <w:rPr>
          <w:sz w:val="16"/>
          <w:szCs w:val="16"/>
          <w:lang w:val="en-GB"/>
        </w:rPr>
      </w:pPr>
      <w:r w:rsidRPr="00E804B0">
        <w:rPr>
          <w:rStyle w:val="FootnoteReference"/>
          <w:sz w:val="16"/>
          <w:szCs w:val="16"/>
        </w:rPr>
        <w:footnoteRef/>
      </w:r>
      <w:r w:rsidR="00211A49" w:rsidRPr="00E804B0">
        <w:rPr>
          <w:sz w:val="16"/>
          <w:szCs w:val="16"/>
        </w:rPr>
        <w:t xml:space="preserve"> </w:t>
      </w:r>
      <w:r w:rsidR="00DF1EBD" w:rsidRPr="00DF1EBD">
        <w:rPr>
          <w:rStyle w:val="cf01"/>
          <w:rFonts w:asciiTheme="minorHAnsi" w:hAnsiTheme="minorHAnsi"/>
          <w:sz w:val="16"/>
          <w:szCs w:val="16"/>
        </w:rPr>
        <w:fldChar w:fldCharType="begin"/>
      </w:r>
      <w:r w:rsidR="00DF1EBD" w:rsidRPr="00DF1EBD">
        <w:rPr>
          <w:rStyle w:val="cf01"/>
          <w:rFonts w:asciiTheme="minorHAnsi" w:hAnsiTheme="minorHAnsi"/>
          <w:sz w:val="16"/>
          <w:szCs w:val="16"/>
        </w:rPr>
        <w:instrText xml:space="preserve"> REF _Ref153295585 \r \h  \* MERGEFORMAT </w:instrText>
      </w:r>
      <w:r w:rsidR="00DF1EBD" w:rsidRPr="00DF1EBD">
        <w:rPr>
          <w:rStyle w:val="cf01"/>
          <w:rFonts w:asciiTheme="minorHAnsi" w:hAnsiTheme="minorHAnsi"/>
          <w:sz w:val="16"/>
          <w:szCs w:val="16"/>
        </w:rPr>
      </w:r>
      <w:r w:rsidR="00DF1EBD" w:rsidRPr="00DF1EBD">
        <w:rPr>
          <w:rStyle w:val="cf01"/>
          <w:rFonts w:asciiTheme="minorHAnsi" w:hAnsiTheme="minorHAnsi"/>
          <w:sz w:val="16"/>
          <w:szCs w:val="16"/>
        </w:rPr>
        <w:fldChar w:fldCharType="separate"/>
      </w:r>
      <w:r w:rsidR="00D300D0">
        <w:rPr>
          <w:rStyle w:val="cf01"/>
          <w:rFonts w:asciiTheme="minorHAnsi" w:hAnsiTheme="minorHAnsi"/>
          <w:sz w:val="16"/>
          <w:szCs w:val="16"/>
        </w:rPr>
        <w:t>Chart 2.11</w:t>
      </w:r>
      <w:r w:rsidR="00DF1EBD" w:rsidRPr="00DF1EBD">
        <w:rPr>
          <w:rStyle w:val="cf01"/>
          <w:rFonts w:asciiTheme="minorHAnsi" w:hAnsiTheme="minorHAnsi"/>
          <w:sz w:val="16"/>
          <w:szCs w:val="16"/>
        </w:rPr>
        <w:fldChar w:fldCharType="end"/>
      </w:r>
      <w:r w:rsidR="000C42D3" w:rsidRPr="00DF1EBD">
        <w:rPr>
          <w:rStyle w:val="cf01"/>
          <w:rFonts w:asciiTheme="minorHAnsi" w:hAnsiTheme="minorHAnsi"/>
          <w:sz w:val="16"/>
          <w:szCs w:val="16"/>
        </w:rPr>
        <w:t xml:space="preserve"> in Chapter 2</w:t>
      </w:r>
      <w:r w:rsidR="00D31E6A" w:rsidRPr="00DF1EBD">
        <w:rPr>
          <w:rStyle w:val="cf01"/>
          <w:rFonts w:asciiTheme="minorHAnsi" w:hAnsiTheme="minorHAnsi"/>
          <w:sz w:val="16"/>
          <w:szCs w:val="16"/>
        </w:rPr>
        <w:t xml:space="preserve"> shows th</w:t>
      </w:r>
      <w:r w:rsidR="000C42D3" w:rsidRPr="00DF1EBD">
        <w:rPr>
          <w:rStyle w:val="cf01"/>
          <w:rFonts w:asciiTheme="minorHAnsi" w:hAnsiTheme="minorHAnsi"/>
          <w:sz w:val="16"/>
          <w:szCs w:val="16"/>
        </w:rPr>
        <w:t>e</w:t>
      </w:r>
      <w:r w:rsidR="00D31E6A" w:rsidRPr="00DF1EBD">
        <w:rPr>
          <w:rStyle w:val="cf01"/>
          <w:rFonts w:asciiTheme="minorHAnsi" w:hAnsiTheme="minorHAnsi"/>
          <w:sz w:val="16"/>
          <w:szCs w:val="16"/>
        </w:rPr>
        <w:t xml:space="preserve"> </w:t>
      </w:r>
      <w:r w:rsidR="000C42D3" w:rsidRPr="00DF1EBD">
        <w:rPr>
          <w:rStyle w:val="cf01"/>
          <w:rFonts w:asciiTheme="minorHAnsi" w:hAnsiTheme="minorHAnsi"/>
          <w:sz w:val="16"/>
          <w:szCs w:val="16"/>
        </w:rPr>
        <w:t xml:space="preserve">distribution of CCCFR locations by unemployment and </w:t>
      </w:r>
      <w:r w:rsidR="00D619E2" w:rsidRPr="00DF1EBD">
        <w:rPr>
          <w:rStyle w:val="cf01"/>
          <w:rFonts w:asciiTheme="minorHAnsi" w:hAnsiTheme="minorHAnsi"/>
          <w:sz w:val="16"/>
          <w:szCs w:val="16"/>
        </w:rPr>
        <w:t xml:space="preserve">proportion of children </w:t>
      </w:r>
      <w:r w:rsidR="00EF3DB2" w:rsidRPr="00DF1EBD">
        <w:rPr>
          <w:rStyle w:val="cf01"/>
          <w:rFonts w:asciiTheme="minorHAnsi" w:hAnsiTheme="minorHAnsi"/>
          <w:sz w:val="16"/>
          <w:szCs w:val="16"/>
        </w:rPr>
        <w:t>vulnerable on two or more Australian Early Development Census (AEDC) domains.</w:t>
      </w:r>
    </w:p>
  </w:footnote>
  <w:footnote w:id="6">
    <w:p w14:paraId="21325DD4" w14:textId="77777777" w:rsidR="00012E7C" w:rsidRPr="00E804B0" w:rsidRDefault="00012E7C" w:rsidP="00012E7C">
      <w:pPr>
        <w:pStyle w:val="FootnoteText"/>
        <w:rPr>
          <w:szCs w:val="16"/>
        </w:rPr>
      </w:pPr>
      <w:r w:rsidRPr="00E804B0">
        <w:rPr>
          <w:rStyle w:val="FootnoteReference"/>
          <w:szCs w:val="16"/>
        </w:rPr>
        <w:footnoteRef/>
      </w:r>
      <w:r w:rsidRPr="00E804B0">
        <w:rPr>
          <w:szCs w:val="16"/>
        </w:rPr>
        <w:t xml:space="preserve"> </w:t>
      </w:r>
      <w:r w:rsidRPr="00DF1EBD">
        <w:rPr>
          <w:szCs w:val="16"/>
        </w:rPr>
        <w:t>50 per cent of services are located in SEIFA Decile 1, which is the lowest 10 per cent of areas on the SEIFA.</w:t>
      </w:r>
    </w:p>
  </w:footnote>
  <w:footnote w:id="7">
    <w:p w14:paraId="78830331" w14:textId="3B5FDE36" w:rsidR="00654AEB" w:rsidRPr="00654AEB" w:rsidRDefault="00654AEB">
      <w:pPr>
        <w:pStyle w:val="FootnoteText"/>
        <w:rPr>
          <w:lang w:val="en-US"/>
        </w:rPr>
      </w:pPr>
      <w:r>
        <w:rPr>
          <w:rStyle w:val="FootnoteReference"/>
        </w:rPr>
        <w:footnoteRef/>
      </w:r>
      <w:r>
        <w:t xml:space="preserve"> </w:t>
      </w:r>
      <w:r w:rsidRPr="00654AEB">
        <w:rPr>
          <w:rStyle w:val="cf01"/>
          <w:rFonts w:asciiTheme="minorHAnsi" w:hAnsiTheme="minorHAnsi"/>
          <w:sz w:val="16"/>
          <w:szCs w:val="16"/>
        </w:rPr>
        <w:t>Australian Government Productivity Commission, Review of the National Agreement on Closing the Gap, Study Report Volume 1</w:t>
      </w:r>
      <w:r w:rsidR="00BE33B8" w:rsidRPr="00BE33B8">
        <w:rPr>
          <w:rStyle w:val="cf01"/>
          <w:rFonts w:asciiTheme="minorHAnsi" w:hAnsiTheme="minorHAnsi"/>
          <w:sz w:val="16"/>
          <w:szCs w:val="16"/>
        </w:rPr>
        <w:t xml:space="preserve"> (</w:t>
      </w:r>
      <w:r w:rsidRPr="00654AEB">
        <w:rPr>
          <w:rStyle w:val="cf01"/>
          <w:rFonts w:asciiTheme="minorHAnsi" w:hAnsiTheme="minorHAnsi"/>
          <w:sz w:val="16"/>
          <w:szCs w:val="16"/>
        </w:rPr>
        <w:t>January 2024</w:t>
      </w:r>
      <w:r w:rsidR="00BE33B8" w:rsidRPr="00BE33B8">
        <w:rPr>
          <w:rStyle w:val="cf01"/>
          <w:rFonts w:asciiTheme="minorHAnsi" w:hAnsiTheme="minorHAnsi"/>
          <w:sz w:val="16"/>
          <w:szCs w:val="16"/>
        </w:rPr>
        <w:t>),</w:t>
      </w:r>
      <w:r w:rsidRPr="00654AEB">
        <w:rPr>
          <w:rStyle w:val="cf01"/>
          <w:rFonts w:asciiTheme="minorHAnsi" w:hAnsiTheme="minorHAnsi"/>
          <w:sz w:val="16"/>
          <w:szCs w:val="16"/>
        </w:rPr>
        <w:t xml:space="preserve"> </w:t>
      </w:r>
      <w:hyperlink r:id="rId2" w:history="1">
        <w:r w:rsidR="00BB421B" w:rsidRPr="00993A2A">
          <w:rPr>
            <w:rStyle w:val="Hyperlink"/>
            <w:rFonts w:asciiTheme="minorHAnsi" w:hAnsiTheme="minorHAnsi" w:cs="Segoe UI"/>
            <w:szCs w:val="16"/>
          </w:rPr>
          <w:t>https://www.pc.gov.au/inquiries/completed/closing-the-gap-review/report/closing-the-gap-review-report.pdf</w:t>
        </w:r>
      </w:hyperlink>
      <w:r w:rsidR="00BE33B8">
        <w:rPr>
          <w:rStyle w:val="cf01"/>
          <w:rFonts w:asciiTheme="minorHAnsi" w:hAnsiTheme="minorHAnsi"/>
          <w:sz w:val="16"/>
          <w:szCs w:val="16"/>
        </w:rPr>
        <w:t xml:space="preserve"> </w:t>
      </w:r>
    </w:p>
  </w:footnote>
  <w:footnote w:id="8">
    <w:p w14:paraId="24BCCA97" w14:textId="49DF94E9" w:rsidR="009B111A" w:rsidRDefault="009B111A">
      <w:pPr>
        <w:pStyle w:val="FootnoteText"/>
      </w:pPr>
      <w:r>
        <w:rPr>
          <w:rStyle w:val="FootnoteReference"/>
        </w:rPr>
        <w:footnoteRef/>
      </w:r>
      <w:r>
        <w:t xml:space="preserve"> See </w:t>
      </w:r>
      <w:r w:rsidR="002B00BB">
        <w:t xml:space="preserve">section </w:t>
      </w:r>
      <w:r w:rsidR="002B00BB">
        <w:fldChar w:fldCharType="begin"/>
      </w:r>
      <w:r w:rsidR="002B00BB">
        <w:instrText xml:space="preserve"> REF _Ref152664728 \r \h </w:instrText>
      </w:r>
      <w:r w:rsidR="002B00BB">
        <w:fldChar w:fldCharType="separate"/>
      </w:r>
      <w:r w:rsidR="00D300D0">
        <w:t>5.4</w:t>
      </w:r>
      <w:r w:rsidR="002B00BB">
        <w:fldChar w:fldCharType="end"/>
      </w:r>
      <w:r w:rsidR="002B00BB">
        <w:t xml:space="preserve"> in Chapter 5 for further detail</w:t>
      </w:r>
      <w:r w:rsidR="00E85AEE">
        <w:t xml:space="preserve"> about alignment with service, family and community </w:t>
      </w:r>
      <w:r w:rsidR="00B42FB7">
        <w:t>needs and expectations.</w:t>
      </w:r>
    </w:p>
  </w:footnote>
  <w:footnote w:id="9">
    <w:p w14:paraId="004BCD53" w14:textId="00B12CDC" w:rsidR="00283776" w:rsidRDefault="00283776">
      <w:pPr>
        <w:pStyle w:val="FootnoteText"/>
      </w:pPr>
      <w:r>
        <w:rPr>
          <w:rStyle w:val="FootnoteReference"/>
        </w:rPr>
        <w:footnoteRef/>
      </w:r>
      <w:r>
        <w:t xml:space="preserve"> See Box 5.3 </w:t>
      </w:r>
      <w:r w:rsidRPr="00B573E2">
        <w:t xml:space="preserve">on page </w:t>
      </w:r>
      <w:r w:rsidR="00B573E2" w:rsidRPr="00B573E2">
        <w:t>82</w:t>
      </w:r>
      <w:r w:rsidR="00E60A15" w:rsidRPr="00B573E2">
        <w:t xml:space="preserve"> for</w:t>
      </w:r>
      <w:r w:rsidR="00E60A15">
        <w:t xml:space="preserve"> further information </w:t>
      </w:r>
      <w:r w:rsidR="00D478A0">
        <w:t>on deficit-framing and strength-based approaches.</w:t>
      </w:r>
    </w:p>
  </w:footnote>
  <w:footnote w:id="10">
    <w:p w14:paraId="6153A2C8" w14:textId="77777777" w:rsidR="00733FEA" w:rsidRDefault="00733FEA" w:rsidP="00733FEA">
      <w:pPr>
        <w:pStyle w:val="FootnoteText"/>
      </w:pPr>
      <w:r>
        <w:rPr>
          <w:rStyle w:val="FootnoteReference"/>
        </w:rPr>
        <w:footnoteRef/>
      </w:r>
      <w:r>
        <w:t xml:space="preserve"> This was determined by positive </w:t>
      </w:r>
      <w:r w:rsidRPr="00BC2EFD">
        <w:t xml:space="preserve">responses to the following questions asked in the </w:t>
      </w:r>
      <w:r>
        <w:t>CCCFR grant funding 2022/2023 Compliance</w:t>
      </w:r>
      <w:r w:rsidRPr="00BC2EFD">
        <w:t xml:space="preserve"> and </w:t>
      </w:r>
      <w:r>
        <w:t>Operations Report</w:t>
      </w:r>
      <w:r w:rsidRPr="00BC2EFD">
        <w:t xml:space="preserve"> of services</w:t>
      </w:r>
      <w:r>
        <w:t>:</w:t>
      </w:r>
    </w:p>
    <w:p w14:paraId="6098C392" w14:textId="77777777" w:rsidR="00733FEA" w:rsidRPr="007872AB" w:rsidRDefault="00733FEA" w:rsidP="00733FEA">
      <w:pPr>
        <w:pStyle w:val="FootnoteText"/>
        <w:rPr>
          <w:i/>
          <w:iCs/>
        </w:rPr>
      </w:pPr>
      <w:r w:rsidRPr="007872AB">
        <w:rPr>
          <w:i/>
          <w:iCs/>
        </w:rPr>
        <w:t>Q7 - Does your service identify as an Aboriginal and/or Torres Strait Islander service?</w:t>
      </w:r>
    </w:p>
    <w:p w14:paraId="5F93ADF9" w14:textId="77777777" w:rsidR="00733FEA" w:rsidRPr="007872AB" w:rsidRDefault="00733FEA" w:rsidP="00733FEA">
      <w:pPr>
        <w:pStyle w:val="FootnoteText"/>
        <w:rPr>
          <w:i/>
          <w:iCs/>
        </w:rPr>
      </w:pPr>
      <w:r w:rsidRPr="007872AB">
        <w:rPr>
          <w:i/>
          <w:iCs/>
        </w:rPr>
        <w:t>Q8 - Is the provider of this service:</w:t>
      </w:r>
    </w:p>
    <w:p w14:paraId="3F8625EA" w14:textId="77777777" w:rsidR="00733FEA" w:rsidRPr="007872AB" w:rsidRDefault="00733FEA" w:rsidP="00733FEA">
      <w:pPr>
        <w:pStyle w:val="FootnoteText"/>
        <w:rPr>
          <w:i/>
          <w:iCs/>
        </w:rPr>
      </w:pPr>
      <w:r w:rsidRPr="007872AB">
        <w:rPr>
          <w:i/>
          <w:iCs/>
        </w:rPr>
        <w:t>•</w:t>
      </w:r>
      <w:r>
        <w:rPr>
          <w:i/>
          <w:iCs/>
        </w:rPr>
        <w:t xml:space="preserve"> </w:t>
      </w:r>
      <w:r w:rsidRPr="007872AB">
        <w:rPr>
          <w:i/>
          <w:iCs/>
        </w:rPr>
        <w:t>An Aboriginal Controlled Community Organization (ACCO),</w:t>
      </w:r>
    </w:p>
    <w:p w14:paraId="18695089" w14:textId="77777777" w:rsidR="00733FEA" w:rsidRPr="007872AB" w:rsidRDefault="00733FEA" w:rsidP="00733FEA">
      <w:pPr>
        <w:pStyle w:val="FootnoteText"/>
        <w:rPr>
          <w:i/>
          <w:iCs/>
        </w:rPr>
      </w:pPr>
      <w:r w:rsidRPr="007872AB">
        <w:rPr>
          <w:i/>
          <w:iCs/>
        </w:rPr>
        <w:t>•</w:t>
      </w:r>
      <w:r>
        <w:rPr>
          <w:i/>
          <w:iCs/>
        </w:rPr>
        <w:t xml:space="preserve"> </w:t>
      </w:r>
      <w:r w:rsidRPr="007872AB">
        <w:rPr>
          <w:i/>
          <w:iCs/>
        </w:rPr>
        <w:t>Registered with the Office of the Registrar of Indigenous Corporations (ORIC),</w:t>
      </w:r>
    </w:p>
    <w:p w14:paraId="0DD54039" w14:textId="35D33FAA" w:rsidR="00733FEA" w:rsidRPr="007E0EDB" w:rsidRDefault="00733FEA" w:rsidP="00733FEA">
      <w:pPr>
        <w:pStyle w:val="FootnoteText"/>
        <w:rPr>
          <w:i/>
        </w:rPr>
      </w:pPr>
      <w:r w:rsidRPr="007872AB">
        <w:rPr>
          <w:i/>
          <w:iCs/>
        </w:rPr>
        <w:t>•</w:t>
      </w:r>
      <w:r>
        <w:rPr>
          <w:i/>
          <w:iCs/>
        </w:rPr>
        <w:t xml:space="preserve"> </w:t>
      </w:r>
      <w:r w:rsidRPr="007872AB">
        <w:rPr>
          <w:i/>
          <w:iCs/>
        </w:rPr>
        <w:t>A member of SNAICC - National Voice for our Children</w:t>
      </w:r>
    </w:p>
  </w:footnote>
  <w:footnote w:id="11">
    <w:p w14:paraId="20F345A3" w14:textId="50D20762" w:rsidR="00E930C1" w:rsidRPr="00CD38C6" w:rsidRDefault="00E930C1">
      <w:pPr>
        <w:pStyle w:val="FootnoteText"/>
        <w:rPr>
          <w:lang w:val="en-US"/>
        </w:rPr>
      </w:pPr>
      <w:r>
        <w:rPr>
          <w:rStyle w:val="FootnoteReference"/>
        </w:rPr>
        <w:footnoteRef/>
      </w:r>
      <w:r w:rsidR="00FD07DE">
        <w:t xml:space="preserve">Research in the Australian and New Zealand Journal of </w:t>
      </w:r>
      <w:r w:rsidR="00901934">
        <w:t xml:space="preserve">Public Health </w:t>
      </w:r>
      <w:r w:rsidR="007810B5">
        <w:t>finds that “</w:t>
      </w:r>
      <w:r w:rsidR="007B2F07" w:rsidRPr="007B2F07">
        <w:t>Widespread, indiscriminate use of the term ‘vulnerable’ is problematic. When used as a term to describe certain individuals or populations in a nondescript and vague manner, the reader ‘fills in the blanks’ of why a certain individual or group is vulnerable. Being vulnerable could be seen as an intrinsic deficit, inferiority or inability to protect the individual's own best interests. This can in turn reduce both perceived and actual agency of the individual or group, depicting them as ‘others’ who are powerless and in need of protection. This may also result in further stigmatisation and exclusion of these individuals and groups.</w:t>
      </w:r>
      <w:r w:rsidR="007B2F07">
        <w:t>”</w:t>
      </w:r>
      <w:r>
        <w:t xml:space="preserve"> </w:t>
      </w:r>
      <w:r w:rsidR="00DA3691" w:rsidRPr="00DA3691">
        <w:t>Munari SC, Wilson AN, Blow NJ, Homer CSE, Ward JE. Rethinking the use of 'vulnerable'. Aust N Z J Public Health. 2021 Jun;45(3):197-199. doi: 10.1111/1753-6405.13098. Epub 2021 Apr 5. PMID: 33818873; PMCID: PMC9968560.</w:t>
      </w:r>
    </w:p>
  </w:footnote>
  <w:footnote w:id="12">
    <w:p w14:paraId="44411E60" w14:textId="1779BB92" w:rsidR="0091641C" w:rsidRDefault="0091641C">
      <w:pPr>
        <w:pStyle w:val="FootnoteText"/>
      </w:pPr>
      <w:r>
        <w:rPr>
          <w:rStyle w:val="FootnoteReference"/>
        </w:rPr>
        <w:footnoteRef/>
      </w:r>
      <w:r>
        <w:t xml:space="preserve"> </w:t>
      </w:r>
      <w:r w:rsidRPr="0091641C">
        <w:t>The outcomes analysis draws on CCS and AECD data, as well as other publicly available information from the ABS. On child outcomes, the analysis looks at issues of equitable access and affordability for specific cohorts and communities, as well as patterns of enrolment and attendance. On workforce participation, the analysis looks at impact of ECEC provision and CCCFR funded services.</w:t>
      </w:r>
    </w:p>
  </w:footnote>
  <w:footnote w:id="13">
    <w:p w14:paraId="22764B7C" w14:textId="70B36BEF" w:rsidR="00710240" w:rsidRDefault="00710240">
      <w:pPr>
        <w:pStyle w:val="FootnoteText"/>
      </w:pPr>
      <w:r>
        <w:rPr>
          <w:rStyle w:val="FootnoteReference"/>
        </w:rPr>
        <w:footnoteRef/>
      </w:r>
      <w:r>
        <w:t xml:space="preserve"> </w:t>
      </w:r>
      <w:r w:rsidR="00604B68">
        <w:t>While there is no consensus on optimal dosage, 600 hours a year, or 15 hours a week for 40 weeks T</w:t>
      </w:r>
      <w:r w:rsidR="00604B68" w:rsidRPr="00604B68">
        <w:t>he Australian Government</w:t>
      </w:r>
      <w:r w:rsidR="00604B68">
        <w:t xml:space="preserve"> funds 600 hours of preschool a week under the Preschool Reform Agreement</w:t>
      </w:r>
      <w:r w:rsidR="00C41EA6">
        <w:t>.</w:t>
      </w:r>
      <w:r w:rsidR="00604B68">
        <w:t xml:space="preserve"> </w:t>
      </w:r>
    </w:p>
  </w:footnote>
  <w:footnote w:id="14">
    <w:p w14:paraId="42182044" w14:textId="69145963" w:rsidR="2A996E96" w:rsidRPr="00CD38C6" w:rsidRDefault="2A996E96">
      <w:pPr>
        <w:rPr>
          <w:sz w:val="16"/>
          <w:szCs w:val="16"/>
        </w:rPr>
      </w:pPr>
      <w:r w:rsidRPr="00CD38C6">
        <w:rPr>
          <w:sz w:val="16"/>
          <w:szCs w:val="16"/>
        </w:rPr>
        <w:footnoteRef/>
      </w:r>
      <w:r w:rsidRPr="00CD38C6">
        <w:rPr>
          <w:sz w:val="16"/>
          <w:szCs w:val="16"/>
        </w:rPr>
        <w:t xml:space="preserve"> </w:t>
      </w:r>
      <w:r w:rsidR="007B14B3" w:rsidRPr="007B14B3">
        <w:rPr>
          <w:sz w:val="16"/>
          <w:szCs w:val="16"/>
        </w:rPr>
        <w:t>Pascoe,</w:t>
      </w:r>
      <w:r w:rsidRPr="00CD38C6">
        <w:rPr>
          <w:sz w:val="16"/>
          <w:szCs w:val="16"/>
        </w:rPr>
        <w:t xml:space="preserve"> Susan and Deborah Brennan, Lifting Our Game (December 2017</w:t>
      </w:r>
      <w:r w:rsidR="007B14B3" w:rsidRPr="007B14B3">
        <w:rPr>
          <w:sz w:val="16"/>
          <w:szCs w:val="16"/>
        </w:rPr>
        <w:t>),</w:t>
      </w:r>
      <w:r w:rsidRPr="00CD38C6">
        <w:rPr>
          <w:sz w:val="16"/>
          <w:szCs w:val="16"/>
        </w:rPr>
        <w:t xml:space="preserve"> &lt;https://www.education.vic.gov.au/Documents/about/research/LiftingOurGame.PDF</w:t>
      </w:r>
      <w:r w:rsidR="007B14B3" w:rsidRPr="007B14B3">
        <w:rPr>
          <w:sz w:val="16"/>
          <w:szCs w:val="16"/>
        </w:rPr>
        <w:t>&gt;</w:t>
      </w:r>
    </w:p>
  </w:footnote>
  <w:footnote w:id="15">
    <w:p w14:paraId="444281D5" w14:textId="441FE55A" w:rsidR="00C0096A" w:rsidRDefault="00C0096A">
      <w:pPr>
        <w:pStyle w:val="FootnoteText"/>
      </w:pPr>
      <w:r>
        <w:rPr>
          <w:rStyle w:val="FootnoteReference"/>
        </w:rPr>
        <w:footnoteRef/>
      </w:r>
      <w:r>
        <w:t xml:space="preserve"> Closing the Gap is explicitly referred to here as </w:t>
      </w:r>
      <w:r w:rsidR="003A4D06">
        <w:t xml:space="preserve">a policy specified in </w:t>
      </w:r>
      <w:r>
        <w:t xml:space="preserve">the review’s </w:t>
      </w:r>
      <w:r w:rsidR="00464BFA">
        <w:t>statement</w:t>
      </w:r>
      <w:r>
        <w:t xml:space="preserve"> of work</w:t>
      </w:r>
      <w:r w:rsidR="003A4D06">
        <w:t xml:space="preserve">. It is understood this </w:t>
      </w:r>
      <w:r w:rsidR="00D715C3">
        <w:t>may reflect 1)</w:t>
      </w:r>
      <w:r w:rsidR="003A4D06">
        <w:t xml:space="preserve"> the number of CCCFR services operating in Aboriginal and</w:t>
      </w:r>
      <w:r w:rsidR="00D715C3">
        <w:t>/or</w:t>
      </w:r>
      <w:r w:rsidR="003A4D06">
        <w:t xml:space="preserve"> Torres Strait Islander </w:t>
      </w:r>
      <w:r w:rsidR="00D715C3">
        <w:t xml:space="preserve">communities; 2) </w:t>
      </w:r>
      <w:r w:rsidR="00FF54F2">
        <w:t>the CCCFR expansion’s stated alignment to Closing the Gap; and 3)</w:t>
      </w:r>
      <w:r w:rsidR="00D715C3">
        <w:t xml:space="preserve"> </w:t>
      </w:r>
      <w:r w:rsidR="00FF54F2">
        <w:t>one of the CCCFR’s intended outcomes to increase Indigenous participation in ECEC.</w:t>
      </w:r>
      <w:r w:rsidR="00D64481">
        <w:t xml:space="preserve"> </w:t>
      </w:r>
    </w:p>
  </w:footnote>
  <w:footnote w:id="16">
    <w:p w14:paraId="405B90DA" w14:textId="5AD46688" w:rsidR="008D35DD" w:rsidRDefault="008D35DD" w:rsidP="00CD38C6">
      <w:r>
        <w:rPr>
          <w:rStyle w:val="FootnoteReference"/>
        </w:rPr>
        <w:footnoteRef/>
      </w:r>
      <w:r>
        <w:t xml:space="preserve"> </w:t>
      </w:r>
      <w:r w:rsidRPr="008D35DD">
        <w:rPr>
          <w:sz w:val="16"/>
          <w:szCs w:val="20"/>
        </w:rPr>
        <w:t xml:space="preserve">The </w:t>
      </w:r>
      <w:r w:rsidR="008C0DCB">
        <w:rPr>
          <w:sz w:val="16"/>
          <w:szCs w:val="20"/>
        </w:rPr>
        <w:t>Australian Government</w:t>
      </w:r>
      <w:r w:rsidRPr="008D35DD">
        <w:rPr>
          <w:sz w:val="16"/>
          <w:szCs w:val="20"/>
        </w:rPr>
        <w:t xml:space="preserve">, through various Capital Works Funding Agreements with </w:t>
      </w:r>
      <w:r>
        <w:rPr>
          <w:sz w:val="16"/>
          <w:szCs w:val="20"/>
        </w:rPr>
        <w:t xml:space="preserve">the </w:t>
      </w:r>
      <w:r w:rsidRPr="008D35DD">
        <w:rPr>
          <w:sz w:val="16"/>
          <w:szCs w:val="20"/>
        </w:rPr>
        <w:t>Northern Territory, provided funding for the construction of 10 child</w:t>
      </w:r>
      <w:r w:rsidR="00F90B2D">
        <w:rPr>
          <w:sz w:val="16"/>
          <w:szCs w:val="20"/>
        </w:rPr>
        <w:t xml:space="preserve"> </w:t>
      </w:r>
      <w:r w:rsidRPr="008D35DD">
        <w:rPr>
          <w:sz w:val="16"/>
          <w:szCs w:val="20"/>
        </w:rPr>
        <w:t>care facilities on Northern Territory school land.</w:t>
      </w:r>
      <w:r w:rsidRPr="008C0DCB">
        <w:rPr>
          <w:sz w:val="16"/>
          <w:szCs w:val="20"/>
        </w:rPr>
        <w:t xml:space="preserve"> </w:t>
      </w:r>
      <w:r w:rsidRPr="00CD38C6">
        <w:rPr>
          <w:sz w:val="16"/>
          <w:szCs w:val="16"/>
        </w:rPr>
        <w:t xml:space="preserve">Following this, the </w:t>
      </w:r>
      <w:r w:rsidR="008C0DCB" w:rsidRPr="00CD38C6">
        <w:rPr>
          <w:sz w:val="16"/>
          <w:szCs w:val="20"/>
        </w:rPr>
        <w:t>Australian Government</w:t>
      </w:r>
      <w:r w:rsidRPr="00CD38C6">
        <w:rPr>
          <w:sz w:val="16"/>
          <w:szCs w:val="16"/>
        </w:rPr>
        <w:t xml:space="preserve"> entered into a Management Agreement with the Northern Territory for the peration </w:t>
      </w:r>
      <w:r w:rsidR="007A1DCC">
        <w:rPr>
          <w:sz w:val="16"/>
          <w:szCs w:val="16"/>
        </w:rPr>
        <w:t>Operation</w:t>
      </w:r>
      <w:r w:rsidRPr="00CD38C6">
        <w:rPr>
          <w:sz w:val="16"/>
          <w:szCs w:val="16"/>
        </w:rPr>
        <w:t xml:space="preserve"> and maintenance of the child</w:t>
      </w:r>
      <w:r w:rsidR="00F90B2D">
        <w:rPr>
          <w:sz w:val="16"/>
          <w:szCs w:val="16"/>
        </w:rPr>
        <w:t xml:space="preserve"> </w:t>
      </w:r>
      <w:r w:rsidRPr="00CD38C6">
        <w:rPr>
          <w:sz w:val="16"/>
          <w:szCs w:val="16"/>
        </w:rPr>
        <w:t xml:space="preserve">care facilities constructed on the Northern Territory school land subject to the terms set out in the agreement. </w:t>
      </w:r>
      <w:r w:rsidRPr="008C0DCB">
        <w:rPr>
          <w:sz w:val="16"/>
          <w:szCs w:val="20"/>
        </w:rPr>
        <w:t xml:space="preserve">The </w:t>
      </w:r>
      <w:r w:rsidR="008C0DCB" w:rsidRPr="00CD38C6">
        <w:rPr>
          <w:sz w:val="16"/>
          <w:szCs w:val="20"/>
        </w:rPr>
        <w:t>Australian Government</w:t>
      </w:r>
      <w:r w:rsidRPr="00CD38C6">
        <w:rPr>
          <w:sz w:val="16"/>
          <w:szCs w:val="16"/>
        </w:rPr>
        <w:t xml:space="preserve"> is obligated under the terms of the Management Agreement to engage a person or organisation to operate and manage the child</w:t>
      </w:r>
      <w:r w:rsidR="00F90B2D">
        <w:rPr>
          <w:sz w:val="16"/>
          <w:szCs w:val="16"/>
        </w:rPr>
        <w:t xml:space="preserve"> </w:t>
      </w:r>
      <w:r w:rsidRPr="00CD38C6">
        <w:rPr>
          <w:sz w:val="16"/>
          <w:szCs w:val="16"/>
        </w:rPr>
        <w:t>care service out of the facilities</w:t>
      </w:r>
      <w:r w:rsidR="008C0DCB" w:rsidRPr="00CD38C6">
        <w:rPr>
          <w:sz w:val="16"/>
          <w:szCs w:val="20"/>
        </w:rPr>
        <w:t>.</w:t>
      </w:r>
    </w:p>
  </w:footnote>
  <w:footnote w:id="17">
    <w:p w14:paraId="49186198" w14:textId="77777777" w:rsidR="006574C9" w:rsidRDefault="006574C9" w:rsidP="006574C9">
      <w:pPr>
        <w:pStyle w:val="FootnoteText"/>
      </w:pPr>
      <w:r>
        <w:rPr>
          <w:rStyle w:val="FootnoteReference"/>
        </w:rPr>
        <w:footnoteRef/>
      </w:r>
      <w:r>
        <w:t xml:space="preserve"> </w:t>
      </w:r>
      <w:r w:rsidRPr="004249A3">
        <w:t>Cohorts who may face barriers to participating in mainstream ECEC identified as part of this review include Aboriginal and</w:t>
      </w:r>
      <w:r>
        <w:t>/or</w:t>
      </w:r>
      <w:r w:rsidRPr="004249A3">
        <w:t xml:space="preserve"> Torres Strait Islander children, children of families experiencing specific vulnerability, disadvantage, and/or trauma, children of families for whom mainstream support such as CCS and ACCS is not available or appropriate and children living in areas without existing or sustained ECEC provision.</w:t>
      </w:r>
    </w:p>
  </w:footnote>
  <w:footnote w:id="18">
    <w:p w14:paraId="04E776FC" w14:textId="7AFEFD4A" w:rsidR="00036B84" w:rsidRDefault="00036B84" w:rsidP="00036B84">
      <w:pPr>
        <w:pStyle w:val="FootnoteText"/>
      </w:pPr>
      <w:r>
        <w:rPr>
          <w:rStyle w:val="FootnoteReference"/>
        </w:rPr>
        <w:footnoteRef/>
      </w:r>
      <w:r>
        <w:t>Commonwealth Department of Education</w:t>
      </w:r>
      <w:r w:rsidR="00A764E6" w:rsidRPr="00A764E6">
        <w:t>,</w:t>
      </w:r>
      <w:r>
        <w:t xml:space="preserve"> </w:t>
      </w:r>
      <w:r w:rsidRPr="00175E58">
        <w:t>Community Child Care Fund restricted grant review</w:t>
      </w:r>
      <w:r w:rsidR="00A764E6" w:rsidRPr="00A764E6">
        <w:t xml:space="preserve"> (2023), &lt;</w:t>
      </w:r>
      <w:r w:rsidRPr="00241B19">
        <w:t>https://www.education.gov.au/early-childhood/community-child-care-fund/cccf-restricted-grant/community-child-care-fund-restricted-grant-review</w:t>
      </w:r>
      <w:r w:rsidR="00A764E6" w:rsidRPr="00A764E6">
        <w:t>&gt;</w:t>
      </w:r>
    </w:p>
  </w:footnote>
  <w:footnote w:id="19">
    <w:p w14:paraId="3ECC5C24" w14:textId="77777777" w:rsidR="00036B84" w:rsidRPr="00727DF5" w:rsidRDefault="00036B84" w:rsidP="00036B84">
      <w:pPr>
        <w:pStyle w:val="FootnoteText"/>
      </w:pPr>
      <w:r>
        <w:rPr>
          <w:rStyle w:val="FootnoteReference"/>
        </w:rPr>
        <w:footnoteRef/>
      </w:r>
      <w:r>
        <w:t xml:space="preserve"> The majority of CCCFR grant recipients are former Budget Based Funded (BBF) services, former Non-Formula Funded Occasional Care (NFFOCC) services and former Indigenous Advancement Strategy (IAS) funded </w:t>
      </w:r>
      <w:r w:rsidRPr="00727DF5">
        <w:t>services.</w:t>
      </w:r>
    </w:p>
  </w:footnote>
  <w:footnote w:id="20">
    <w:p w14:paraId="40F7AC91" w14:textId="77777777" w:rsidR="00036B84" w:rsidRPr="006D0DDD" w:rsidRDefault="00036B84" w:rsidP="00036B84">
      <w:pPr>
        <w:pStyle w:val="FootnoteText"/>
        <w:rPr>
          <w:highlight w:val="green"/>
        </w:rPr>
      </w:pPr>
      <w:r w:rsidRPr="00E61DDD">
        <w:rPr>
          <w:rStyle w:val="FootnoteReference"/>
        </w:rPr>
        <w:footnoteRef/>
      </w:r>
      <w:r w:rsidRPr="00E61DDD">
        <w:t xml:space="preserve"> This figure is as of August 2023, when consultations started.</w:t>
      </w:r>
    </w:p>
  </w:footnote>
  <w:footnote w:id="21">
    <w:p w14:paraId="3217D4B4" w14:textId="584A76AC" w:rsidR="00554D95" w:rsidRDefault="00554D95" w:rsidP="00554D95">
      <w:pPr>
        <w:pStyle w:val="FootnoteText"/>
      </w:pPr>
      <w:r>
        <w:rPr>
          <w:rStyle w:val="FootnoteReference"/>
        </w:rPr>
        <w:footnoteRef/>
      </w:r>
      <w:r w:rsidR="00DB1D53" w:rsidRPr="00DB1D53">
        <w:t xml:space="preserve">Department of Education. CCCF Restricted grant expansion (July 2023), </w:t>
      </w:r>
      <w:hyperlink r:id="rId3" w:history="1">
        <w:r w:rsidR="00390814" w:rsidRPr="00712990">
          <w:rPr>
            <w:rStyle w:val="Hyperlink"/>
          </w:rPr>
          <w:t>https://www.education.gov.au/early-childhood/community-child-care-fund-restricted-guide/introduction/cccf-restricted-grant-expansion</w:t>
        </w:r>
      </w:hyperlink>
      <w:r w:rsidR="00390814">
        <w:t xml:space="preserve"> </w:t>
      </w:r>
    </w:p>
  </w:footnote>
  <w:footnote w:id="22">
    <w:p w14:paraId="77584652" w14:textId="5083D04B" w:rsidR="00950BA6" w:rsidRDefault="00950BA6" w:rsidP="00950BA6">
      <w:pPr>
        <w:pStyle w:val="FootnoteText"/>
      </w:pPr>
      <w:r>
        <w:rPr>
          <w:rStyle w:val="FootnoteReference"/>
        </w:rPr>
        <w:footnoteRef/>
      </w:r>
      <w:r>
        <w:t xml:space="preserve"> </w:t>
      </w:r>
      <w:r w:rsidRPr="00F343E7">
        <w:t>Department of Education</w:t>
      </w:r>
      <w:r w:rsidR="00BC6C12" w:rsidRPr="00BC6C12">
        <w:t>,</w:t>
      </w:r>
      <w:r>
        <w:t xml:space="preserve"> </w:t>
      </w:r>
      <w:r w:rsidRPr="00BC6C12">
        <w:t xml:space="preserve">National </w:t>
      </w:r>
      <w:r w:rsidR="00BC6C12" w:rsidRPr="00BC6C12">
        <w:t>Vision</w:t>
      </w:r>
      <w:r w:rsidRPr="00BC6C12">
        <w:t xml:space="preserve"> for early childhood education and care</w:t>
      </w:r>
      <w:r w:rsidRPr="00F343E7">
        <w:t xml:space="preserve">, National vision for early childhood education and care </w:t>
      </w:r>
      <w:r w:rsidR="00BC6C12" w:rsidRPr="00BC6C12">
        <w:t xml:space="preserve">(February 2024), </w:t>
      </w:r>
      <w:r w:rsidRPr="00F343E7">
        <w:t>https://www.education.gov.au/early-childhood/strategy-and-evaluation/national-vision-early-childhood-education-and-care</w:t>
      </w:r>
    </w:p>
  </w:footnote>
  <w:footnote w:id="23">
    <w:p w14:paraId="2C743ABF" w14:textId="77777777" w:rsidR="00056402" w:rsidRDefault="00056402" w:rsidP="00056402">
      <w:pPr>
        <w:pStyle w:val="FootnoteText"/>
      </w:pPr>
      <w:r>
        <w:rPr>
          <w:rStyle w:val="FootnoteReference"/>
        </w:rPr>
        <w:footnoteRef/>
      </w:r>
      <w:r>
        <w:t xml:space="preserve"> Note the final Early Years Strategy had not been released at the time this review was finalised.</w:t>
      </w:r>
    </w:p>
  </w:footnote>
  <w:footnote w:id="24">
    <w:p w14:paraId="3FEC9E07" w14:textId="4E514478" w:rsidR="00AE53A8" w:rsidRPr="006E5FD1" w:rsidRDefault="00AE53A8" w:rsidP="00AE53A8">
      <w:pPr>
        <w:pStyle w:val="FootnoteText"/>
      </w:pPr>
      <w:r>
        <w:rPr>
          <w:rStyle w:val="FootnoteReference"/>
        </w:rPr>
        <w:footnoteRef/>
      </w:r>
      <w:r>
        <w:t xml:space="preserve"> </w:t>
      </w:r>
      <w:r w:rsidR="00B552B8" w:rsidRPr="00B552B8">
        <w:t xml:space="preserve">Education Services Australia. “Shaping Our Future” A ten-year strategy to ensure a sustainable, high-quality children’s education and care workforce 2022–2031 (2022), </w:t>
      </w:r>
      <w:hyperlink r:id="rId4" w:history="1">
        <w:r w:rsidR="00717138" w:rsidRPr="00712990">
          <w:rPr>
            <w:rStyle w:val="Hyperlink"/>
          </w:rPr>
          <w:t>https://www.acecqa.gov.au/sites/default/files/2021-10/ShapingOurFutureChildrensEducationandCareNationalWorkforceStrategy-September2021.pdf</w:t>
        </w:r>
      </w:hyperlink>
      <w:r w:rsidR="00717138">
        <w:t xml:space="preserve"> </w:t>
      </w:r>
    </w:p>
  </w:footnote>
  <w:footnote w:id="25">
    <w:p w14:paraId="5F1D02BE" w14:textId="2FBAA294" w:rsidR="00EC3C9D" w:rsidRDefault="00EC3C9D">
      <w:pPr>
        <w:pStyle w:val="FootnoteText"/>
      </w:pPr>
      <w:r>
        <w:rPr>
          <w:rStyle w:val="FootnoteReference"/>
        </w:rPr>
        <w:footnoteRef/>
      </w:r>
      <w:r>
        <w:t xml:space="preserve"> </w:t>
      </w:r>
      <w:r w:rsidR="00B06BB7">
        <w:t xml:space="preserve">Australian Competition and Consumer Commission. </w:t>
      </w:r>
      <w:r w:rsidR="00AE56F9" w:rsidRPr="00A00BED">
        <w:t xml:space="preserve">Final </w:t>
      </w:r>
      <w:r w:rsidR="00E3572F" w:rsidRPr="00A00BED">
        <w:t xml:space="preserve">report </w:t>
      </w:r>
      <w:r w:rsidR="00FD76BF" w:rsidRPr="00A00BED">
        <w:t>–</w:t>
      </w:r>
      <w:r w:rsidR="00E3572F" w:rsidRPr="00A00BED">
        <w:t xml:space="preserve"> </w:t>
      </w:r>
      <w:r w:rsidR="00FD76BF" w:rsidRPr="00A00BED">
        <w:t xml:space="preserve">Childcare inquiry </w:t>
      </w:r>
      <w:r w:rsidR="00B25949" w:rsidRPr="00A00BED">
        <w:t>(</w:t>
      </w:r>
      <w:r w:rsidR="00985C87" w:rsidRPr="00A00BED">
        <w:t xml:space="preserve">December </w:t>
      </w:r>
      <w:r w:rsidR="00FD76BF" w:rsidRPr="00A00BED">
        <w:t>2023</w:t>
      </w:r>
      <w:r w:rsidR="00B25949" w:rsidRPr="00A00BED">
        <w:t>)</w:t>
      </w:r>
      <w:r w:rsidR="00FD76BF" w:rsidRPr="00A00BED">
        <w:t xml:space="preserve"> </w:t>
      </w:r>
      <w:r w:rsidR="00B06BB7">
        <w:t>&lt;</w:t>
      </w:r>
      <w:r w:rsidR="006249EE" w:rsidRPr="006249EE">
        <w:t xml:space="preserve"> https://www.accc.gov.au/inquiries-and-consultations/childcare-inquiry-2023/december-2023-final-report</w:t>
      </w:r>
      <w:r w:rsidR="00B06BB7">
        <w:t>&gt;</w:t>
      </w:r>
    </w:p>
  </w:footnote>
  <w:footnote w:id="26">
    <w:p w14:paraId="662782BB" w14:textId="703255D4" w:rsidR="00DE386E" w:rsidRDefault="00DE386E">
      <w:pPr>
        <w:pStyle w:val="FootnoteText"/>
      </w:pPr>
      <w:r>
        <w:rPr>
          <w:rStyle w:val="FootnoteReference"/>
        </w:rPr>
        <w:footnoteRef/>
      </w:r>
      <w:r>
        <w:t xml:space="preserve"> </w:t>
      </w:r>
      <w:r w:rsidR="00AA3FEA" w:rsidRPr="00AA3FEA">
        <w:t>Australian Government</w:t>
      </w:r>
      <w:r>
        <w:t xml:space="preserve"> </w:t>
      </w:r>
      <w:r w:rsidR="00341B82">
        <w:t>Productivity Commission</w:t>
      </w:r>
      <w:r w:rsidR="00AA3FEA" w:rsidRPr="00AA3FEA">
        <w:t>,</w:t>
      </w:r>
      <w:r w:rsidR="00CA3224">
        <w:t xml:space="preserve"> </w:t>
      </w:r>
      <w:r w:rsidR="00CA3224" w:rsidRPr="00AA3FEA">
        <w:t>A path to universal early education and care</w:t>
      </w:r>
      <w:r w:rsidR="00AA3FEA" w:rsidRPr="00AA3FEA">
        <w:t>:</w:t>
      </w:r>
      <w:r w:rsidR="00441E76" w:rsidRPr="00AA3FEA">
        <w:t xml:space="preserve"> Draft report</w:t>
      </w:r>
      <w:r w:rsidR="00FD602F" w:rsidRPr="00AA3FEA">
        <w:t xml:space="preserve"> </w:t>
      </w:r>
      <w:r w:rsidR="00AA3FEA" w:rsidRPr="00AA3FEA">
        <w:t>(November 2023), https://www.pc.gov.au/inquiries/current/childhood/draft/childhood-draft.pdf</w:t>
      </w:r>
    </w:p>
  </w:footnote>
  <w:footnote w:id="27">
    <w:p w14:paraId="240AD9D3" w14:textId="4BC52EA1" w:rsidR="00934C29" w:rsidRPr="00835A04" w:rsidRDefault="00934C29" w:rsidP="00934C29">
      <w:pPr>
        <w:pStyle w:val="FootnoteText"/>
        <w:rPr>
          <w:szCs w:val="16"/>
        </w:rPr>
      </w:pPr>
      <w:r>
        <w:rPr>
          <w:rStyle w:val="FootnoteReference"/>
        </w:rPr>
        <w:footnoteRef/>
      </w:r>
      <w:r>
        <w:t xml:space="preserve"> </w:t>
      </w:r>
      <w:r w:rsidRPr="00835A04">
        <w:rPr>
          <w:szCs w:val="16"/>
        </w:rPr>
        <w:t>Australian Government Department of Education and Training</w:t>
      </w:r>
      <w:r w:rsidR="00B003D7" w:rsidRPr="00B003D7">
        <w:rPr>
          <w:szCs w:val="16"/>
        </w:rPr>
        <w:t xml:space="preserve">, </w:t>
      </w:r>
      <w:r w:rsidRPr="00835A04">
        <w:rPr>
          <w:szCs w:val="16"/>
        </w:rPr>
        <w:t>Community Child Care Fund- Restricted non-competitive grant opportunity (for specified services) Guidelines</w:t>
      </w:r>
      <w:r w:rsidR="00B003D7" w:rsidRPr="00B003D7">
        <w:rPr>
          <w:szCs w:val="16"/>
        </w:rPr>
        <w:t xml:space="preserve"> (February 2017), &lt;</w:t>
      </w:r>
      <w:r w:rsidRPr="00835A04">
        <w:rPr>
          <w:szCs w:val="16"/>
        </w:rPr>
        <w:t>https://www.grants.gov.au/Fo/DownloadDocument/e99c0c70-f434-c990-87d3-6ddebfa904f5?docType=Fo&amp;fileName=CCCF%20Restricted%20non-competitive%20grant%20opportunity%20guidelines%20%20311017.pdf&amp;location=s3Restricted&gt;</w:t>
      </w:r>
    </w:p>
  </w:footnote>
  <w:footnote w:id="28">
    <w:p w14:paraId="27DD2F8F" w14:textId="6687C88D" w:rsidR="00845D63" w:rsidRPr="00835A04" w:rsidRDefault="00845D63">
      <w:pPr>
        <w:pStyle w:val="FootnoteText"/>
        <w:rPr>
          <w:szCs w:val="16"/>
        </w:rPr>
      </w:pPr>
      <w:r w:rsidRPr="00835A04">
        <w:rPr>
          <w:rStyle w:val="FootnoteReference"/>
          <w:szCs w:val="16"/>
        </w:rPr>
        <w:footnoteRef/>
      </w:r>
      <w:r w:rsidRPr="00835A04">
        <w:rPr>
          <w:szCs w:val="16"/>
        </w:rPr>
        <w:t xml:space="preserve"> </w:t>
      </w:r>
      <w:r w:rsidR="00C46BD9" w:rsidRPr="00835A04">
        <w:rPr>
          <w:szCs w:val="16"/>
        </w:rPr>
        <w:t>‘</w:t>
      </w:r>
      <w:r w:rsidR="00160818" w:rsidRPr="00160818">
        <w:rPr>
          <w:szCs w:val="16"/>
        </w:rPr>
        <w:t>Former Ministers and Parliamentary Secretaries,</w:t>
      </w:r>
      <w:r w:rsidRPr="00835A04">
        <w:rPr>
          <w:szCs w:val="16"/>
        </w:rPr>
        <w:t xml:space="preserve"> </w:t>
      </w:r>
      <w:r w:rsidR="00C46BD9" w:rsidRPr="00835A04">
        <w:rPr>
          <w:szCs w:val="16"/>
        </w:rPr>
        <w:t xml:space="preserve">‘Job for Families Child Care Package Delivers Choice for </w:t>
      </w:r>
      <w:r w:rsidR="00160818" w:rsidRPr="00160818">
        <w:rPr>
          <w:szCs w:val="16"/>
        </w:rPr>
        <w:t>Families’</w:t>
      </w:r>
      <w:r w:rsidR="00C46BD9" w:rsidRPr="00835A04">
        <w:rPr>
          <w:szCs w:val="16"/>
        </w:rPr>
        <w:t xml:space="preserve"> &lt;https://formerministers.dss.gov.au/15859/job-for-families-child-care-package-delivers-choice-for-families/&gt;</w:t>
      </w:r>
    </w:p>
  </w:footnote>
  <w:footnote w:id="29">
    <w:p w14:paraId="52BCD2A3" w14:textId="4F0BD2E6" w:rsidR="00260D66" w:rsidRDefault="00260D66">
      <w:pPr>
        <w:pStyle w:val="FootnoteText"/>
      </w:pPr>
      <w:r w:rsidRPr="00835A04">
        <w:rPr>
          <w:rStyle w:val="FootnoteReference"/>
          <w:szCs w:val="16"/>
        </w:rPr>
        <w:footnoteRef/>
      </w:r>
      <w:r w:rsidRPr="00835A04">
        <w:rPr>
          <w:szCs w:val="16"/>
        </w:rPr>
        <w:t xml:space="preserve"> ParlInfo</w:t>
      </w:r>
      <w:r w:rsidR="00DE2E8E" w:rsidRPr="00DE2E8E">
        <w:rPr>
          <w:szCs w:val="16"/>
        </w:rPr>
        <w:t>,</w:t>
      </w:r>
      <w:r w:rsidRPr="00835A04">
        <w:rPr>
          <w:szCs w:val="16"/>
        </w:rPr>
        <w:t xml:space="preserve"> Family Assistance Legislation Amendment (Jobs for Families Child Care Package) Bill </w:t>
      </w:r>
      <w:r w:rsidR="00DE2E8E" w:rsidRPr="00DE2E8E">
        <w:rPr>
          <w:szCs w:val="16"/>
        </w:rPr>
        <w:t>2015 (2015),</w:t>
      </w:r>
      <w:r w:rsidRPr="00835A04">
        <w:rPr>
          <w:szCs w:val="16"/>
        </w:rPr>
        <w:t xml:space="preserve"> &lt;https://parlinfo.aph.gov.au/parlInfo/search/display/display.w3p;query=Id%3A%22legislation%2Fbillsdgs%2F4511107%22&gt;</w:t>
      </w:r>
    </w:p>
  </w:footnote>
  <w:footnote w:id="30">
    <w:p w14:paraId="26387E80" w14:textId="2B0A3F70" w:rsidR="002231F8" w:rsidRDefault="002231F8">
      <w:pPr>
        <w:pStyle w:val="FootnoteText"/>
      </w:pPr>
      <w:r>
        <w:rPr>
          <w:rStyle w:val="FootnoteReference"/>
        </w:rPr>
        <w:footnoteRef/>
      </w:r>
      <w:r>
        <w:t xml:space="preserve"> </w:t>
      </w:r>
      <w:r w:rsidR="005F5E04" w:rsidRPr="005F5E04">
        <w:t>Australian Government Services Australia, ‘Activity Test for Aboriginal and Torres Strait Islander children’ (2023), &lt;https://www.servicesaustralia.gov.au/activity-test-for-child-care-subsidy-for-aboriginal-and-torres-strait-islander-children?context=41186&gt;</w:t>
      </w:r>
    </w:p>
  </w:footnote>
  <w:footnote w:id="31">
    <w:p w14:paraId="0D605F2C" w14:textId="70AA5FF9" w:rsidR="002F3453" w:rsidRPr="00EB2BB6" w:rsidRDefault="002F3453" w:rsidP="00EB2BB6">
      <w:pPr>
        <w:pStyle w:val="Footer"/>
      </w:pPr>
      <w:r w:rsidRPr="00EB2BB6">
        <w:rPr>
          <w:vertAlign w:val="superscript"/>
        </w:rPr>
        <w:footnoteRef/>
      </w:r>
      <w:r w:rsidRPr="00EB2BB6">
        <w:t xml:space="preserve"> </w:t>
      </w:r>
      <w:r w:rsidR="00C61C43">
        <w:t>Internal document provided by Department of Education</w:t>
      </w:r>
      <w:r w:rsidR="00835A04">
        <w:t>. (2018).</w:t>
      </w:r>
      <w:r w:rsidRPr="00EB2BB6">
        <w:t xml:space="preserve"> </w:t>
      </w:r>
      <w:r w:rsidR="00EB2BB6" w:rsidRPr="00EB2BB6">
        <w:t>Australian Government, ‘Minister Scullion: Backing Early Learning and Care for Disadvantaged Families’, Indigenous.gov.au &lt;https://www.indigenous.gov.au/news-and-media/announcements/minister-scullion-backing-early-learning-and-care-disadvantaged&gt;.</w:t>
      </w:r>
      <w:r w:rsidR="00C61C43">
        <w:t xml:space="preserve">; </w:t>
      </w:r>
      <w:r w:rsidR="008045EE" w:rsidRPr="008045EE">
        <w:t>SNAICC, Secretariat of National Aboriginal and Islander Child Care SNAICC Submission to the Department of Education, Employment and Workplace Training (DEEWR) Quality Early Childhood Education and Care for Children in Regional, Remote and Indigenous Communities Review of the Budget Based Funding Program (2012) &lt;https://www.snaicc.org.au/wp-content/uploads/2015/12/02897.pdf</w:t>
      </w:r>
      <w:r w:rsidR="00EB2BB6" w:rsidRPr="00EB2BB6">
        <w:t>&gt;.</w:t>
      </w:r>
    </w:p>
  </w:footnote>
  <w:footnote w:id="32">
    <w:p w14:paraId="4CC14496" w14:textId="77777777" w:rsidR="004E0870" w:rsidRDefault="00224567" w:rsidP="004E0870">
      <w:pPr>
        <w:pStyle w:val="Footer"/>
      </w:pPr>
      <w:r>
        <w:rPr>
          <w:rStyle w:val="FootnoteReference"/>
        </w:rPr>
        <w:footnoteRef/>
      </w:r>
      <w:r>
        <w:t xml:space="preserve"> </w:t>
      </w:r>
      <w:r w:rsidR="004E0870">
        <w:t xml:space="preserve">Bray, J., et al., Child Care Package Evaluation: Final Report. (Research Report) (2021), Melbourne: </w:t>
      </w:r>
    </w:p>
    <w:p w14:paraId="387A475B" w14:textId="2D711F56" w:rsidR="00224567" w:rsidRDefault="00E27DEE" w:rsidP="008F07F7">
      <w:pPr>
        <w:pStyle w:val="Footer"/>
      </w:pPr>
      <w:r w:rsidRPr="00E27DEE">
        <w:t>Australian Institute of Family Studies</w:t>
      </w:r>
    </w:p>
  </w:footnote>
  <w:footnote w:id="33">
    <w:p w14:paraId="766A1957" w14:textId="00C42856" w:rsidR="00224567" w:rsidRDefault="00224567" w:rsidP="008F07F7">
      <w:pPr>
        <w:pStyle w:val="Footer"/>
      </w:pPr>
      <w:r>
        <w:rPr>
          <w:rStyle w:val="FootnoteReference"/>
        </w:rPr>
        <w:footnoteRef/>
      </w:r>
      <w:r>
        <w:t xml:space="preserve"> </w:t>
      </w:r>
      <w:r w:rsidR="00E27DEE" w:rsidRPr="00E27DEE">
        <w:t>SNAICC</w:t>
      </w:r>
      <w:r w:rsidR="0007452E" w:rsidRPr="0007452E">
        <w:t>,</w:t>
      </w:r>
      <w:r w:rsidR="00E27DEE" w:rsidRPr="00E27DEE">
        <w:t xml:space="preserve"> Budget Based Funded Services</w:t>
      </w:r>
      <w:r w:rsidR="0007452E" w:rsidRPr="0007452E">
        <w:t xml:space="preserve"> (2023), &lt;</w:t>
      </w:r>
      <w:r w:rsidR="00E27DEE" w:rsidRPr="00E27DEE">
        <w:t>https://www.snaicc.org.au/budget-based-funded-services</w:t>
      </w:r>
      <w:r w:rsidR="0007452E" w:rsidRPr="0007452E">
        <w:t>/&gt;</w:t>
      </w:r>
    </w:p>
  </w:footnote>
  <w:footnote w:id="34">
    <w:p w14:paraId="37607124" w14:textId="7D72A6B6" w:rsidR="00837C13" w:rsidRPr="00CD38C6" w:rsidRDefault="00837C13">
      <w:pPr>
        <w:pStyle w:val="FootnoteText"/>
        <w:rPr>
          <w:lang w:val="en-US"/>
        </w:rPr>
      </w:pPr>
      <w:r>
        <w:rPr>
          <w:rStyle w:val="FootnoteReference"/>
        </w:rPr>
        <w:footnoteRef/>
      </w:r>
      <w:r>
        <w:t xml:space="preserve"> </w:t>
      </w:r>
      <w:r w:rsidR="0007435D">
        <w:t xml:space="preserve">Following </w:t>
      </w:r>
      <w:r w:rsidR="00FC08DF">
        <w:t xml:space="preserve">machinery of government changes, </w:t>
      </w:r>
      <w:r w:rsidR="00290F38">
        <w:t xml:space="preserve">ongoing responsibility </w:t>
      </w:r>
      <w:r w:rsidR="0007435D">
        <w:t>for these services has transitioned to the National Indigenous Australians Agency</w:t>
      </w:r>
      <w:r w:rsidR="00290F38">
        <w:t xml:space="preserve"> (NIAA).</w:t>
      </w:r>
    </w:p>
  </w:footnote>
  <w:footnote w:id="35">
    <w:p w14:paraId="47CDE5C8" w14:textId="77777777" w:rsidR="00061C96" w:rsidRDefault="00061C96" w:rsidP="008F07F7">
      <w:pPr>
        <w:pStyle w:val="Footer"/>
      </w:pPr>
      <w:r>
        <w:rPr>
          <w:rStyle w:val="FootnoteReference"/>
        </w:rPr>
        <w:footnoteRef/>
      </w:r>
      <w:r>
        <w:t xml:space="preserve"> </w:t>
      </w:r>
      <w:r w:rsidRPr="00405642">
        <w:t>Freya Lucas, ‘Transition Pathways for Budget Based Funded Services Revealed’, The Sector (6 December 2018) &lt;https://thesector.com.au/2018/12/06/transition-pathways-for-budget-based-funded-services-revealed-through-senate-questions/&gt;.</w:t>
      </w:r>
    </w:p>
  </w:footnote>
  <w:footnote w:id="36">
    <w:p w14:paraId="372ED9A9" w14:textId="47510CAF" w:rsidR="00061C96" w:rsidRDefault="00061C96" w:rsidP="008F07F7">
      <w:pPr>
        <w:pStyle w:val="Footer"/>
      </w:pPr>
      <w:r>
        <w:rPr>
          <w:rStyle w:val="FootnoteReference"/>
        </w:rPr>
        <w:footnoteRef/>
      </w:r>
      <w:r w:rsidRPr="00405642">
        <w:t xml:space="preserve"> Bray</w:t>
      </w:r>
      <w:r w:rsidR="009917D0" w:rsidRPr="009917D0">
        <w:t>, J.,</w:t>
      </w:r>
      <w:r w:rsidRPr="00405642">
        <w:t xml:space="preserve"> et al, Discovering What Works for Families Child Care Package Evaluation: Final Report AUGUST 2021 (February 2022) &lt;https://aifs.gov.au/sites/default/files/2022-12/2021_child_care_package_evaluation_final_report.pdf</w:t>
      </w:r>
      <w:r w:rsidR="009917D0" w:rsidRPr="009917D0">
        <w:t>&gt;</w:t>
      </w:r>
    </w:p>
  </w:footnote>
  <w:footnote w:id="37">
    <w:p w14:paraId="5E9DEFAF" w14:textId="77777777" w:rsidR="007B717D" w:rsidRDefault="00691A49" w:rsidP="007B717D">
      <w:pPr>
        <w:pStyle w:val="Footer"/>
      </w:pPr>
      <w:r w:rsidRPr="00AC77DD">
        <w:rPr>
          <w:rStyle w:val="FootnoteReference"/>
          <w:sz w:val="14"/>
        </w:rPr>
        <w:footnoteRef/>
      </w:r>
      <w:r w:rsidRPr="00AC77DD">
        <w:t xml:space="preserve"> </w:t>
      </w:r>
      <w:r w:rsidR="007B717D">
        <w:t>National Indigenous Australians Agency, Indigenous Advancement Strategy (2021),</w:t>
      </w:r>
    </w:p>
    <w:p w14:paraId="6AA821DB" w14:textId="6C00E703" w:rsidR="00691A49" w:rsidRPr="00AC77DD" w:rsidRDefault="00AC77DD" w:rsidP="008F07F7">
      <w:pPr>
        <w:pStyle w:val="Footer"/>
      </w:pPr>
      <w:r w:rsidRPr="00AC77DD">
        <w:t>&lt;https://www.niaa.gov.au/indigenous-affairs/grants-and-funding/indigenous-advancement-strategy&gt;</w:t>
      </w:r>
    </w:p>
  </w:footnote>
  <w:footnote w:id="38">
    <w:p w14:paraId="015AFF72" w14:textId="77777777" w:rsidR="004C16E6" w:rsidRDefault="00691A49" w:rsidP="004C16E6">
      <w:pPr>
        <w:pStyle w:val="Footer"/>
      </w:pPr>
      <w:r w:rsidRPr="00AC77DD">
        <w:rPr>
          <w:rStyle w:val="FootnoteReference"/>
          <w:sz w:val="14"/>
        </w:rPr>
        <w:footnoteRef/>
      </w:r>
      <w:r w:rsidRPr="00AC77DD">
        <w:t xml:space="preserve"> </w:t>
      </w:r>
      <w:r w:rsidR="004C16E6">
        <w:t xml:space="preserve">Bray, J., et al., Child Care Package Evaluation: Final Report. (Research Report) (2021), Melbourne: </w:t>
      </w:r>
    </w:p>
    <w:p w14:paraId="42D55BCD" w14:textId="1B067B54" w:rsidR="00691A49" w:rsidRDefault="00AC77DD" w:rsidP="008F07F7">
      <w:pPr>
        <w:pStyle w:val="Footer"/>
      </w:pPr>
      <w:r w:rsidRPr="00AC77DD">
        <w:t>Australian Institute of Family Studies</w:t>
      </w:r>
    </w:p>
  </w:footnote>
  <w:footnote w:id="39">
    <w:p w14:paraId="404E6E46" w14:textId="77777777" w:rsidR="004A7724" w:rsidRPr="004A7724" w:rsidRDefault="004A7724" w:rsidP="004A7724">
      <w:pPr>
        <w:pStyle w:val="Footer"/>
      </w:pPr>
      <w:r>
        <w:rPr>
          <w:rStyle w:val="FootnoteReference"/>
        </w:rPr>
        <w:footnoteRef/>
      </w:r>
      <w:r>
        <w:t xml:space="preserve"> </w:t>
      </w:r>
      <w:r w:rsidRPr="004A7724">
        <w:t xml:space="preserve">Internal </w:t>
      </w:r>
      <w:r>
        <w:t xml:space="preserve">document provided by Department of Education. </w:t>
      </w:r>
    </w:p>
  </w:footnote>
  <w:footnote w:id="40">
    <w:p w14:paraId="261228D6" w14:textId="77777777" w:rsidR="00294A9F" w:rsidRDefault="00294A9F" w:rsidP="00294A9F">
      <w:pPr>
        <w:pStyle w:val="Footer"/>
      </w:pPr>
      <w:r>
        <w:rPr>
          <w:rStyle w:val="FootnoteReference"/>
        </w:rPr>
        <w:footnoteRef/>
      </w:r>
      <w:r>
        <w:t xml:space="preserve"> </w:t>
      </w:r>
      <w:r w:rsidRPr="008F07F7">
        <w:t>Department of Education Australian Government, ‘CCCF Restricted Grant’, Department of Education (2023) &lt;https://www.education.gov.au/early-childhood/community-child-care-fund/cccf-restricted-grant&gt;.</w:t>
      </w:r>
    </w:p>
  </w:footnote>
  <w:footnote w:id="41">
    <w:p w14:paraId="0FE202FC" w14:textId="417240F2" w:rsidR="00372266" w:rsidRDefault="00372266">
      <w:pPr>
        <w:pStyle w:val="FootnoteText"/>
      </w:pPr>
      <w:r>
        <w:rPr>
          <w:rStyle w:val="FootnoteReference"/>
        </w:rPr>
        <w:footnoteRef/>
      </w:r>
      <w:r>
        <w:t xml:space="preserve"> </w:t>
      </w:r>
      <w:r w:rsidRPr="00372266">
        <w:t>Australian Government, ‘Minister Scullion: Backing Early Learning and Care for Disadvantaged Families’, Indigenous.gov.au (2023) &lt;https://www.indigenous.gov.au/news-and-media/announcements/minister-scullion-backing-early-learning-and-care-disadvantaged&gt;.</w:t>
      </w:r>
    </w:p>
  </w:footnote>
  <w:footnote w:id="42">
    <w:p w14:paraId="622B1F2F" w14:textId="77777777" w:rsidR="00294A9F" w:rsidRDefault="00294A9F" w:rsidP="00294A9F">
      <w:pPr>
        <w:pStyle w:val="FootnoteText"/>
      </w:pPr>
      <w:r>
        <w:rPr>
          <w:rStyle w:val="FootnoteReference"/>
        </w:rPr>
        <w:footnoteRef/>
      </w:r>
      <w:r>
        <w:t xml:space="preserve"> </w:t>
      </w:r>
      <w:r w:rsidRPr="004A7724">
        <w:t>‘Community Child Care Fund Restricted Grants – Guide for Grant Recipients - Department of Education, Australian Government’, Department of Education (2023) &lt;https://www.education.gov.au/early-childhood/resources/community-child-care-fund-restricted-grants-guide-grant-recipients&gt;.</w:t>
      </w:r>
    </w:p>
  </w:footnote>
  <w:footnote w:id="43">
    <w:p w14:paraId="76C9E28C" w14:textId="77777777" w:rsidR="00F31A9C" w:rsidRPr="000A1A95" w:rsidRDefault="00F31A9C" w:rsidP="000A1A95">
      <w:pPr>
        <w:pStyle w:val="FootnoteText"/>
        <w:rPr>
          <w:szCs w:val="16"/>
        </w:rPr>
      </w:pPr>
      <w:r w:rsidRPr="000A1A95">
        <w:rPr>
          <w:szCs w:val="16"/>
          <w:vertAlign w:val="superscript"/>
        </w:rPr>
        <w:footnoteRef/>
      </w:r>
      <w:r w:rsidRPr="000A1A95">
        <w:rPr>
          <w:szCs w:val="16"/>
          <w:vertAlign w:val="superscript"/>
        </w:rPr>
        <w:t xml:space="preserve"> </w:t>
      </w:r>
      <w:r w:rsidRPr="000A1A95">
        <w:rPr>
          <w:szCs w:val="16"/>
        </w:rPr>
        <w:t xml:space="preserve">Australian Government Department of Education, </w:t>
      </w:r>
      <w:r w:rsidRPr="00040898">
        <w:rPr>
          <w:i/>
          <w:szCs w:val="16"/>
        </w:rPr>
        <w:t>Preschool Reform Agreement – as varied</w:t>
      </w:r>
      <w:r w:rsidRPr="000A1A95">
        <w:rPr>
          <w:szCs w:val="16"/>
        </w:rPr>
        <w:t xml:space="preserve"> (2021), &lt; https://federalfinancialrelations.gov.au/sites/federalfinancialrelations.gov.au/files/2022-12/PRA%20Variation_compilation_All%20States.pdf&gt;</w:t>
      </w:r>
    </w:p>
  </w:footnote>
  <w:footnote w:id="44">
    <w:p w14:paraId="3A051AE8" w14:textId="4A8931F1" w:rsidR="00F31A9C" w:rsidRPr="000A1A95" w:rsidRDefault="00F31A9C" w:rsidP="000A1A95">
      <w:pPr>
        <w:pStyle w:val="FootnoteText"/>
        <w:rPr>
          <w:szCs w:val="16"/>
        </w:rPr>
      </w:pPr>
      <w:r w:rsidRPr="000A1A95">
        <w:rPr>
          <w:szCs w:val="16"/>
          <w:vertAlign w:val="superscript"/>
        </w:rPr>
        <w:footnoteRef/>
      </w:r>
      <w:r w:rsidRPr="000A1A95">
        <w:rPr>
          <w:szCs w:val="16"/>
        </w:rPr>
        <w:t xml:space="preserve"> </w:t>
      </w:r>
      <w:r w:rsidR="00933691">
        <w:rPr>
          <w:szCs w:val="16"/>
        </w:rPr>
        <w:t xml:space="preserve">National Centre for Longitudinal Data, Department of Social Services (DSS), </w:t>
      </w:r>
      <w:r w:rsidR="00933691" w:rsidRPr="00933691">
        <w:rPr>
          <w:i/>
          <w:iCs/>
          <w:szCs w:val="16"/>
        </w:rPr>
        <w:t>Multiple disadvantage</w:t>
      </w:r>
      <w:r w:rsidR="00933691">
        <w:rPr>
          <w:szCs w:val="16"/>
        </w:rPr>
        <w:t xml:space="preserve"> (Research paper, 2014)</w:t>
      </w:r>
      <w:r w:rsidR="00555920">
        <w:rPr>
          <w:szCs w:val="16"/>
        </w:rPr>
        <w:t>,</w:t>
      </w:r>
      <w:r w:rsidR="00933691">
        <w:rPr>
          <w:szCs w:val="16"/>
        </w:rPr>
        <w:t xml:space="preserve"> &lt;</w:t>
      </w:r>
      <w:r w:rsidRPr="00933691">
        <w:t>https://www.dss.gov.au/sites/default/files/documents/05_2015/research_summary_no1_2004_-_multiple_disadvantage_-_accessible_version_.pdf</w:t>
      </w:r>
      <w:r w:rsidR="00933691" w:rsidRPr="00933691">
        <w:t>&gt;.</w:t>
      </w:r>
    </w:p>
  </w:footnote>
  <w:footnote w:id="45">
    <w:p w14:paraId="70E60E78" w14:textId="530EBF5C" w:rsidR="00F31A9C" w:rsidRPr="000A1A95" w:rsidRDefault="00F31A9C" w:rsidP="000A1A95">
      <w:pPr>
        <w:pStyle w:val="FootnoteText"/>
        <w:rPr>
          <w:szCs w:val="16"/>
        </w:rPr>
      </w:pPr>
      <w:r w:rsidRPr="000A1A95">
        <w:rPr>
          <w:szCs w:val="16"/>
          <w:vertAlign w:val="superscript"/>
        </w:rPr>
        <w:footnoteRef/>
      </w:r>
      <w:r w:rsidRPr="000A1A95">
        <w:rPr>
          <w:szCs w:val="16"/>
        </w:rPr>
        <w:t xml:space="preserve"> </w:t>
      </w:r>
      <w:r w:rsidR="006631C0">
        <w:rPr>
          <w:szCs w:val="16"/>
        </w:rPr>
        <w:t xml:space="preserve">The Royal Children’s Hospital Melbourne, </w:t>
      </w:r>
      <w:r w:rsidR="006631C0" w:rsidRPr="00040898">
        <w:rPr>
          <w:i/>
          <w:szCs w:val="16"/>
        </w:rPr>
        <w:t>Measuring vulnerability and disadvantage in early childhood data collections</w:t>
      </w:r>
      <w:r w:rsidR="006631C0">
        <w:rPr>
          <w:szCs w:val="16"/>
        </w:rPr>
        <w:t xml:space="preserve"> (report commissioned by Australian Government Department of Education</w:t>
      </w:r>
      <w:r w:rsidR="00040898" w:rsidRPr="00040898">
        <w:rPr>
          <w:szCs w:val="16"/>
        </w:rPr>
        <w:t>, 23 June 2023) &lt;</w:t>
      </w:r>
      <w:r w:rsidRPr="00040898">
        <w:t>https://www.education.gov.au/early-childhood/resources/measuring-vulnerability-and-disadvantage-early-childhood-data-collections</w:t>
      </w:r>
      <w:r w:rsidR="00040898" w:rsidRPr="00040898">
        <w:t>&gt;.</w:t>
      </w:r>
    </w:p>
  </w:footnote>
  <w:footnote w:id="46">
    <w:p w14:paraId="44C609C7" w14:textId="2BDA3083" w:rsidR="00F31A9C" w:rsidRDefault="00F31A9C" w:rsidP="000A1A95">
      <w:pPr>
        <w:pStyle w:val="FootnoteText"/>
      </w:pPr>
      <w:r w:rsidRPr="000A1A95">
        <w:rPr>
          <w:szCs w:val="16"/>
          <w:vertAlign w:val="superscript"/>
        </w:rPr>
        <w:footnoteRef/>
      </w:r>
      <w:r w:rsidRPr="000A1A95">
        <w:rPr>
          <w:szCs w:val="16"/>
        </w:rPr>
        <w:t xml:space="preserve"> Family Assistance Guide, </w:t>
      </w:r>
      <w:r w:rsidR="00040898" w:rsidRPr="00040898">
        <w:rPr>
          <w:szCs w:val="16"/>
        </w:rPr>
        <w:t xml:space="preserve">Australian Government Department of Social Services (DSS) </w:t>
      </w:r>
      <w:r w:rsidRPr="00040898">
        <w:rPr>
          <w:i/>
          <w:szCs w:val="16"/>
        </w:rPr>
        <w:t>’Approved provider, approved child care service, approved child care (CCS)‘</w:t>
      </w:r>
      <w:r w:rsidRPr="000A1A95">
        <w:rPr>
          <w:szCs w:val="16"/>
        </w:rPr>
        <w:t xml:space="preserve"> (2024) &lt;https://guides.dss.gov.au/family-assistance-guide/1/1/a/90&gt;</w:t>
      </w:r>
      <w:r w:rsidR="00040898">
        <w:rPr>
          <w:szCs w:val="16"/>
        </w:rPr>
        <w:t>.</w:t>
      </w:r>
    </w:p>
  </w:footnote>
  <w:footnote w:id="47">
    <w:p w14:paraId="7C71FE9E" w14:textId="25F56711" w:rsidR="00F31A9C" w:rsidRPr="00EB1D82" w:rsidRDefault="00F31A9C" w:rsidP="00F567B8">
      <w:pPr>
        <w:spacing w:after="0"/>
        <w:rPr>
          <w:rFonts w:eastAsia="Verdana" w:cs="Verdana"/>
          <w:highlight w:val="yellow"/>
        </w:rPr>
      </w:pPr>
      <w:r w:rsidRPr="000A1A95">
        <w:rPr>
          <w:vertAlign w:val="superscript"/>
        </w:rPr>
        <w:footnoteRef/>
      </w:r>
      <w:r w:rsidRPr="00A35EBE">
        <w:t xml:space="preserve"> </w:t>
      </w:r>
      <w:r w:rsidR="00040898" w:rsidRPr="00A35EBE">
        <w:rPr>
          <w:i/>
          <w:sz w:val="16"/>
          <w:szCs w:val="16"/>
        </w:rPr>
        <w:t>Section 5,</w:t>
      </w:r>
      <w:r w:rsidRPr="00A35EBE">
        <w:rPr>
          <w:i/>
          <w:sz w:val="16"/>
          <w:szCs w:val="16"/>
        </w:rPr>
        <w:t xml:space="preserve"> Education and Care Services National Law Act 2010</w:t>
      </w:r>
      <w:r w:rsidR="00A35EBE" w:rsidRPr="00A35EBE">
        <w:rPr>
          <w:i/>
          <w:iCs/>
          <w:sz w:val="16"/>
          <w:szCs w:val="16"/>
        </w:rPr>
        <w:t xml:space="preserve"> </w:t>
      </w:r>
      <w:r w:rsidR="00F567B8">
        <w:rPr>
          <w:i/>
          <w:iCs/>
          <w:sz w:val="16"/>
          <w:szCs w:val="16"/>
        </w:rPr>
        <w:t>VIC (National through applied law)</w:t>
      </w:r>
    </w:p>
  </w:footnote>
  <w:footnote w:id="48">
    <w:p w14:paraId="1D66B112" w14:textId="747A70E1" w:rsidR="00851D7C" w:rsidRPr="00851D7C" w:rsidRDefault="00851D7C">
      <w:pPr>
        <w:pStyle w:val="FootnoteText"/>
        <w:rPr>
          <w:lang w:val="en-US"/>
        </w:rPr>
      </w:pPr>
      <w:r>
        <w:rPr>
          <w:rStyle w:val="FootnoteReference"/>
        </w:rPr>
        <w:footnoteRef/>
      </w:r>
      <w:r>
        <w:t xml:space="preserve"> </w:t>
      </w:r>
      <w:r w:rsidR="00270C2F" w:rsidRPr="00270C2F">
        <w:rPr>
          <w:i/>
          <w:iCs/>
        </w:rPr>
        <w:t xml:space="preserve">Children (Education and Care Services) Supplementary Provisions Act 2011 NSW </w:t>
      </w:r>
    </w:p>
  </w:footnote>
  <w:footnote w:id="49">
    <w:p w14:paraId="3C41DFBF" w14:textId="77777777" w:rsidR="00F31A9C" w:rsidRDefault="00F31A9C" w:rsidP="00CB403E">
      <w:pPr>
        <w:pStyle w:val="FootnoteText"/>
        <w:rPr>
          <w:rFonts w:eastAsia="Verdana" w:cs="Verdana"/>
        </w:rPr>
      </w:pPr>
      <w:r w:rsidRPr="00CB403E">
        <w:rPr>
          <w:szCs w:val="16"/>
          <w:vertAlign w:val="superscript"/>
        </w:rPr>
        <w:footnoteRef/>
      </w:r>
      <w:r w:rsidRPr="00CB403E">
        <w:rPr>
          <w:szCs w:val="16"/>
        </w:rPr>
        <w:t xml:space="preserve"> Molloy et al., Early childhood education and care: An evidence based review of indicators to assess quality, quantity, and participation (2017), &lt; https://www.rch.org.au/uploadedFiles/Main/Content/ccchdev/Restacking-the-Odds_ECEC_communication-summary.pdf&gt;.</w:t>
      </w:r>
    </w:p>
  </w:footnote>
  <w:footnote w:id="50">
    <w:p w14:paraId="60B8F661" w14:textId="4871EB11" w:rsidR="00F1495B" w:rsidRPr="001E667D" w:rsidRDefault="00F1495B">
      <w:pPr>
        <w:pStyle w:val="FootnoteText"/>
      </w:pPr>
      <w:r w:rsidRPr="001E667D">
        <w:rPr>
          <w:rStyle w:val="FootnoteReference"/>
        </w:rPr>
        <w:footnoteRef/>
      </w:r>
      <w:r w:rsidRPr="001E667D">
        <w:t xml:space="preserve"> </w:t>
      </w:r>
      <w:r w:rsidR="001E667D" w:rsidRPr="001E667D">
        <w:t>‘Community Child Care Fund Restricted Grants – Guide for Grant Recipients - Department of Education, Australian Government’, Department of Education (2023) &lt;https://www.education.gov.au/early-childhood/resources/community-child-care-fund-restricted-grants-guide-grant-recipients&gt;.</w:t>
      </w:r>
    </w:p>
  </w:footnote>
  <w:footnote w:id="51">
    <w:p w14:paraId="066BB5FE" w14:textId="646133DD" w:rsidR="006701DF" w:rsidRDefault="006701DF">
      <w:pPr>
        <w:pStyle w:val="FootnoteText"/>
      </w:pPr>
      <w:r w:rsidRPr="001E667D">
        <w:rPr>
          <w:rStyle w:val="FootnoteReference"/>
        </w:rPr>
        <w:footnoteRef/>
      </w:r>
      <w:r w:rsidRPr="001E667D">
        <w:t xml:space="preserve"> </w:t>
      </w:r>
      <w:r w:rsidRPr="001E667D">
        <w:rPr>
          <w:szCs w:val="16"/>
        </w:rPr>
        <w:t>Ibid.</w:t>
      </w:r>
    </w:p>
  </w:footnote>
  <w:footnote w:id="52">
    <w:p w14:paraId="0D42780F" w14:textId="0F8288D4" w:rsidR="00C04580" w:rsidRDefault="00C04580">
      <w:pPr>
        <w:pStyle w:val="FootnoteText"/>
      </w:pPr>
      <w:r>
        <w:rPr>
          <w:rStyle w:val="FootnoteReference"/>
        </w:rPr>
        <w:footnoteRef/>
      </w:r>
      <w:r>
        <w:t xml:space="preserve"> </w:t>
      </w:r>
      <w:r w:rsidR="00177314">
        <w:t xml:space="preserve">Confidential Documentation provided by the Department. </w:t>
      </w:r>
    </w:p>
  </w:footnote>
  <w:footnote w:id="53">
    <w:p w14:paraId="251E5E7B" w14:textId="0484EBCB" w:rsidR="004C1D40" w:rsidRPr="004A7724" w:rsidRDefault="004C1D40" w:rsidP="004C1D40">
      <w:pPr>
        <w:pStyle w:val="Footer"/>
      </w:pPr>
      <w:r>
        <w:rPr>
          <w:rStyle w:val="FootnoteReference"/>
        </w:rPr>
        <w:footnoteRef/>
      </w:r>
      <w:r>
        <w:t xml:space="preserve"> </w:t>
      </w:r>
      <w:r w:rsidRPr="004A7724">
        <w:t>Australian Government Department of Education and Training, Community Child Care Fund</w:t>
      </w:r>
    </w:p>
    <w:p w14:paraId="191B6456" w14:textId="4039AF25" w:rsidR="004C1D40" w:rsidRDefault="004C1D40" w:rsidP="004C1D40">
      <w:pPr>
        <w:pStyle w:val="Footer"/>
      </w:pPr>
      <w:r w:rsidRPr="004A7724">
        <w:t>- Restricted</w:t>
      </w:r>
      <w:r w:rsidRPr="00E05957">
        <w:t xml:space="preserve"> non-competitive grant opportunity (for specified services) Guidelines</w:t>
      </w:r>
      <w:r w:rsidR="00A95187">
        <w:t xml:space="preserve">, </w:t>
      </w:r>
      <w:r w:rsidR="00A95187" w:rsidRPr="004A7724">
        <w:t>(February 2017)</w:t>
      </w:r>
      <w:r w:rsidR="00C51CAD">
        <w:t>,</w:t>
      </w:r>
      <w:r w:rsidRPr="00E05957">
        <w:t xml:space="preserve"> &lt; https://www.grants.gov.au/Fo/DownloadDocument/e99c0c70-f434-c990-87d3-6ddebfa904f5?docType=Fo&amp;fileName=CCCF%20Restricted%20non-competitive%20grant%20opportunity%20guidelines%20%20311017.pdf&amp;location=s3Restricted</w:t>
      </w:r>
      <w:r w:rsidRPr="00122BEC">
        <w:t>&gt;</w:t>
      </w:r>
    </w:p>
  </w:footnote>
  <w:footnote w:id="54">
    <w:p w14:paraId="04D28705" w14:textId="46CCCD8E" w:rsidR="00667DA1" w:rsidRPr="00614FF6" w:rsidRDefault="00667DA1" w:rsidP="00667DA1">
      <w:pPr>
        <w:pStyle w:val="Footer"/>
        <w:rPr>
          <w:szCs w:val="16"/>
        </w:rPr>
      </w:pPr>
      <w:r w:rsidRPr="00614FF6">
        <w:rPr>
          <w:rStyle w:val="FootnoteReference"/>
          <w:sz w:val="12"/>
          <w:szCs w:val="12"/>
          <w:vertAlign w:val="baseline"/>
        </w:rPr>
        <w:footnoteRef/>
      </w:r>
      <w:r w:rsidRPr="00614FF6">
        <w:rPr>
          <w:szCs w:val="16"/>
        </w:rPr>
        <w:t xml:space="preserve"> Australian Government Department of Education and Training</w:t>
      </w:r>
      <w:r w:rsidR="00C51CAD">
        <w:rPr>
          <w:szCs w:val="16"/>
        </w:rPr>
        <w:t>,</w:t>
      </w:r>
      <w:r w:rsidRPr="00614FF6">
        <w:rPr>
          <w:szCs w:val="16"/>
        </w:rPr>
        <w:t xml:space="preserve"> Community Child Care Fund</w:t>
      </w:r>
    </w:p>
    <w:p w14:paraId="1B928D48" w14:textId="20F0B18F" w:rsidR="00667DA1" w:rsidRPr="00614FF6" w:rsidRDefault="00667DA1" w:rsidP="00667DA1">
      <w:pPr>
        <w:pStyle w:val="Footer"/>
        <w:rPr>
          <w:szCs w:val="16"/>
        </w:rPr>
      </w:pPr>
      <w:r w:rsidRPr="00614FF6">
        <w:rPr>
          <w:szCs w:val="16"/>
        </w:rPr>
        <w:t>- Restricted non-competitive grant opportunity (for specified services) Guidelines</w:t>
      </w:r>
      <w:r w:rsidR="00535680">
        <w:rPr>
          <w:szCs w:val="16"/>
        </w:rPr>
        <w:t xml:space="preserve">, </w:t>
      </w:r>
      <w:r w:rsidR="00535680" w:rsidRPr="004A7724">
        <w:t>(February 2017)</w:t>
      </w:r>
      <w:r w:rsidRPr="00614FF6">
        <w:rPr>
          <w:szCs w:val="16"/>
        </w:rPr>
        <w:t>. &lt; https://www.grants.gov.au/Fo/DownloadDocument/e99c0c70-f434-c990-87d3-6ddebfa904f5?docType=Fo&amp;fileName=CCCF%20Restricted%20non-competitive%20grant%20opportunity%20guidelines%20%20311017.pdf&amp;location=s3Restricted&gt;</w:t>
      </w:r>
    </w:p>
  </w:footnote>
  <w:footnote w:id="55">
    <w:p w14:paraId="6042BB0D" w14:textId="19B817A4" w:rsidR="00667DA1" w:rsidRPr="00614FF6" w:rsidRDefault="00667DA1" w:rsidP="00667DA1">
      <w:pPr>
        <w:pStyle w:val="Footer"/>
        <w:rPr>
          <w:szCs w:val="16"/>
        </w:rPr>
      </w:pPr>
      <w:r w:rsidRPr="00614FF6">
        <w:rPr>
          <w:rStyle w:val="FootnoteReference"/>
          <w:szCs w:val="16"/>
        </w:rPr>
        <w:footnoteRef/>
      </w:r>
      <w:r w:rsidRPr="00614FF6">
        <w:rPr>
          <w:szCs w:val="16"/>
        </w:rPr>
        <w:t xml:space="preserve"> Australian Government Department of Education</w:t>
      </w:r>
      <w:r w:rsidR="005C22FA">
        <w:rPr>
          <w:szCs w:val="16"/>
        </w:rPr>
        <w:t xml:space="preserve">, </w:t>
      </w:r>
      <w:r w:rsidRPr="00614FF6">
        <w:rPr>
          <w:szCs w:val="16"/>
        </w:rPr>
        <w:t>Community Child Care Fund Restricted Grants – Guide for Grant Recipients</w:t>
      </w:r>
      <w:r w:rsidR="005C22FA">
        <w:rPr>
          <w:szCs w:val="16"/>
        </w:rPr>
        <w:t xml:space="preserve">, </w:t>
      </w:r>
      <w:r w:rsidR="005C22FA" w:rsidRPr="00614FF6">
        <w:rPr>
          <w:szCs w:val="16"/>
        </w:rPr>
        <w:t>(August 2022),</w:t>
      </w:r>
      <w:r w:rsidRPr="00614FF6">
        <w:rPr>
          <w:szCs w:val="16"/>
        </w:rPr>
        <w:t xml:space="preserve"> &lt;https://www.education.gov.au/early-childhood/resources/community-child-care-fund-restricted-grants-guide-grant-recipients&gt;</w:t>
      </w:r>
    </w:p>
  </w:footnote>
  <w:footnote w:id="56">
    <w:p w14:paraId="7B0ECEE4" w14:textId="6F6AC15B" w:rsidR="00667DA1" w:rsidRPr="0040517D" w:rsidRDefault="00667DA1" w:rsidP="00667DA1">
      <w:pPr>
        <w:pStyle w:val="Footer"/>
        <w:rPr>
          <w:sz w:val="14"/>
          <w:szCs w:val="14"/>
        </w:rPr>
      </w:pPr>
      <w:r w:rsidRPr="00614FF6">
        <w:rPr>
          <w:rStyle w:val="FootnoteReference"/>
          <w:szCs w:val="16"/>
        </w:rPr>
        <w:footnoteRef/>
      </w:r>
      <w:r w:rsidRPr="00614FF6">
        <w:rPr>
          <w:szCs w:val="16"/>
        </w:rPr>
        <w:t xml:space="preserve"> Australian Government Department of Education, Community Child Care Fund Restricted Grants – Guide for Grant Recipients, pg. 17</w:t>
      </w:r>
      <w:r w:rsidR="005C22FA">
        <w:rPr>
          <w:szCs w:val="16"/>
        </w:rPr>
        <w:t xml:space="preserve">, </w:t>
      </w:r>
      <w:r w:rsidR="005C22FA" w:rsidRPr="00614FF6">
        <w:rPr>
          <w:szCs w:val="16"/>
        </w:rPr>
        <w:t>(August 2022)</w:t>
      </w:r>
      <w:r w:rsidRPr="00614FF6">
        <w:rPr>
          <w:szCs w:val="16"/>
        </w:rPr>
        <w:t xml:space="preserve"> &lt;</w:t>
      </w:r>
      <w:hyperlink r:id="rId5" w:history="1">
        <w:r w:rsidRPr="00614FF6">
          <w:rPr>
            <w:rStyle w:val="Hyperlink"/>
            <w:szCs w:val="16"/>
          </w:rPr>
          <w:t>https://www.education.gov.au/early-childhood/resources/community-child-care-fund-restricted-grants-guide-grant-recipients</w:t>
        </w:r>
      </w:hyperlink>
      <w:r w:rsidRPr="00614FF6">
        <w:rPr>
          <w:szCs w:val="16"/>
        </w:rPr>
        <w:t>&gt;.</w:t>
      </w:r>
    </w:p>
  </w:footnote>
  <w:footnote w:id="57">
    <w:p w14:paraId="344CDF90" w14:textId="7F3ECB6D" w:rsidR="001E2E9D" w:rsidRDefault="001E2E9D" w:rsidP="001E2E9D">
      <w:pPr>
        <w:pStyle w:val="FootnoteText"/>
      </w:pPr>
      <w:r>
        <w:rPr>
          <w:rStyle w:val="FootnoteReference"/>
        </w:rPr>
        <w:footnoteRef/>
      </w:r>
      <w:r>
        <w:t xml:space="preserve"> Department of Education</w:t>
      </w:r>
      <w:r w:rsidR="003C3273">
        <w:t>,</w:t>
      </w:r>
      <w:r>
        <w:t xml:space="preserve"> Family assistance law</w:t>
      </w:r>
      <w:r w:rsidR="00C53003">
        <w:t>,</w:t>
      </w:r>
      <w:r>
        <w:t xml:space="preserve"> &lt;</w:t>
      </w:r>
      <w:hyperlink r:id="rId6" w:history="1">
        <w:r w:rsidRPr="000B5B53">
          <w:rPr>
            <w:rStyle w:val="Hyperlink"/>
            <w:color w:val="auto"/>
          </w:rPr>
          <w:t>https://www.education.gov.au/early-childhood/provider-obligations/family-assistance-law</w:t>
        </w:r>
      </w:hyperlink>
      <w:r w:rsidRPr="000B5B53">
        <w:rPr>
          <w:u w:val="single"/>
        </w:rPr>
        <w:t xml:space="preserve">&gt;, </w:t>
      </w:r>
      <w:r>
        <w:t>accessed 17/7/2023</w:t>
      </w:r>
    </w:p>
  </w:footnote>
  <w:footnote w:id="58">
    <w:p w14:paraId="0429670A" w14:textId="00AEE3A9" w:rsidR="001E2E9D" w:rsidRDefault="001E2E9D" w:rsidP="001E2E9D">
      <w:pPr>
        <w:pStyle w:val="FootnoteText"/>
      </w:pPr>
      <w:r>
        <w:rPr>
          <w:rStyle w:val="FootnoteReference"/>
        </w:rPr>
        <w:footnoteRef/>
      </w:r>
      <w:r>
        <w:t xml:space="preserve"> Department of Education</w:t>
      </w:r>
      <w:r w:rsidR="00485259">
        <w:t>,</w:t>
      </w:r>
      <w:r>
        <w:t xml:space="preserve"> Child care </w:t>
      </w:r>
      <w:r w:rsidR="00C53003">
        <w:t>Provider Handbook</w:t>
      </w:r>
      <w:r w:rsidR="00485259">
        <w:t>, (2019),</w:t>
      </w:r>
      <w:r>
        <w:t xml:space="preserve"> &lt;</w:t>
      </w:r>
      <w:r w:rsidRPr="00CC5B49">
        <w:t>https://ihcsupportagency.org.au/wp-content/uploads/2019/07/ChildCareProviderHandbookV2.pdf</w:t>
      </w:r>
      <w:r>
        <w:t>&gt;</w:t>
      </w:r>
    </w:p>
  </w:footnote>
  <w:footnote w:id="59">
    <w:p w14:paraId="4362A84D" w14:textId="6D21F13C" w:rsidR="001E2E9D" w:rsidRDefault="001E2E9D" w:rsidP="001E2E9D">
      <w:pPr>
        <w:pStyle w:val="FootnoteText"/>
      </w:pPr>
      <w:r>
        <w:rPr>
          <w:rStyle w:val="FootnoteReference"/>
        </w:rPr>
        <w:footnoteRef/>
      </w:r>
      <w:r>
        <w:t xml:space="preserve"> </w:t>
      </w:r>
      <w:r w:rsidR="00614FF6" w:rsidRPr="00614FF6">
        <w:t>Department of Education</w:t>
      </w:r>
      <w:r w:rsidR="00492904">
        <w:t xml:space="preserve">, </w:t>
      </w:r>
      <w:r w:rsidR="00614FF6" w:rsidRPr="00492904">
        <w:rPr>
          <w:i/>
        </w:rPr>
        <w:t xml:space="preserve">Child care </w:t>
      </w:r>
      <w:r w:rsidR="00C53003">
        <w:rPr>
          <w:i/>
        </w:rPr>
        <w:t>Provider Handbook,</w:t>
      </w:r>
      <w:r w:rsidR="00492904">
        <w:t xml:space="preserve">  (2019</w:t>
      </w:r>
      <w:r w:rsidR="00C53003">
        <w:t>),</w:t>
      </w:r>
      <w:r w:rsidR="00614FF6" w:rsidRPr="00614FF6">
        <w:t xml:space="preserve"> &lt;https://ihcsupportagency.org.au/wp-content/uploads/2019/07/ChildCareProviderHandbookV2.pdf&gt;</w:t>
      </w:r>
    </w:p>
  </w:footnote>
  <w:footnote w:id="60">
    <w:p w14:paraId="0425DBA5" w14:textId="0F8188F1" w:rsidR="00CA1BE4" w:rsidRDefault="00CA1BE4" w:rsidP="00CA1BE4">
      <w:pPr>
        <w:pStyle w:val="FootnoteText"/>
      </w:pPr>
      <w:r>
        <w:rPr>
          <w:rStyle w:val="FootnoteReference"/>
        </w:rPr>
        <w:footnoteRef/>
      </w:r>
      <w:r>
        <w:t xml:space="preserve"> </w:t>
      </w:r>
      <w:r w:rsidRPr="00B92F0D">
        <w:t>ACECQA</w:t>
      </w:r>
      <w:r w:rsidR="00492904">
        <w:t xml:space="preserve">, </w:t>
      </w:r>
      <w:r w:rsidRPr="00492904">
        <w:rPr>
          <w:i/>
        </w:rPr>
        <w:t>Guide to the NQF</w:t>
      </w:r>
      <w:r w:rsidR="00C53003">
        <w:rPr>
          <w:i/>
        </w:rPr>
        <w:t>,</w:t>
      </w:r>
      <w:r w:rsidR="00492904">
        <w:t xml:space="preserve"> (2023</w:t>
      </w:r>
      <w:r w:rsidR="00E77CE8">
        <w:t>)</w:t>
      </w:r>
      <w:r w:rsidR="00C53003">
        <w:t>,</w:t>
      </w:r>
      <w:r>
        <w:t xml:space="preserve"> &lt;</w:t>
      </w:r>
      <w:r w:rsidR="00492904" w:rsidRPr="00492904">
        <w:t>https://www.acecqa.gov.au/nqf/about/guide</w:t>
      </w:r>
      <w:r>
        <w:t>&gt;</w:t>
      </w:r>
    </w:p>
  </w:footnote>
  <w:footnote w:id="61">
    <w:p w14:paraId="49E6CF36" w14:textId="5ACEBBF1" w:rsidR="002856A6" w:rsidRPr="002856A6" w:rsidRDefault="002856A6">
      <w:pPr>
        <w:pStyle w:val="FootnoteText"/>
        <w:rPr>
          <w:lang w:val="en-US"/>
        </w:rPr>
      </w:pPr>
      <w:r>
        <w:rPr>
          <w:rStyle w:val="FootnoteReference"/>
        </w:rPr>
        <w:footnoteRef/>
      </w:r>
      <w:r>
        <w:t xml:space="preserve"> </w:t>
      </w:r>
      <w:r w:rsidR="00492904">
        <w:t>SA Education Standards Board,</w:t>
      </w:r>
      <w:r w:rsidR="00A5150F">
        <w:t xml:space="preserve"> </w:t>
      </w:r>
      <w:r w:rsidR="00A5150F" w:rsidRPr="00A5150F">
        <w:rPr>
          <w:i/>
          <w:iCs/>
        </w:rPr>
        <w:t>For residual services</w:t>
      </w:r>
      <w:r w:rsidR="00A5150F">
        <w:t xml:space="preserve"> &lt;</w:t>
      </w:r>
      <w:r w:rsidRPr="002856A6">
        <w:t>https://www.esb.sa.gov.au/early-childhood/residual-service</w:t>
      </w:r>
      <w:r>
        <w:t>s</w:t>
      </w:r>
      <w:r w:rsidR="00A5150F">
        <w:t>&gt;</w:t>
      </w:r>
    </w:p>
  </w:footnote>
  <w:footnote w:id="62">
    <w:p w14:paraId="0EFBABC0" w14:textId="4DF10C96" w:rsidR="00C2278F" w:rsidRPr="00C2278F" w:rsidRDefault="003742D9" w:rsidP="00C2278F">
      <w:pPr>
        <w:pStyle w:val="FootnoteText"/>
        <w:rPr>
          <w:i/>
          <w:iCs/>
          <w:lang w:val="en-US"/>
        </w:rPr>
      </w:pPr>
      <w:r>
        <w:rPr>
          <w:rStyle w:val="FootnoteReference"/>
        </w:rPr>
        <w:footnoteRef/>
      </w:r>
      <w:r>
        <w:t xml:space="preserve"> </w:t>
      </w:r>
      <w:r w:rsidR="00C2278F">
        <w:rPr>
          <w:lang w:val="en-US"/>
        </w:rPr>
        <w:t xml:space="preserve">NSW Legislation, </w:t>
      </w:r>
      <w:r w:rsidR="00C2278F" w:rsidRPr="00C2278F">
        <w:rPr>
          <w:i/>
          <w:iCs/>
          <w:lang w:val="en-US"/>
        </w:rPr>
        <w:t>Children (Education and Care Services)</w:t>
      </w:r>
    </w:p>
    <w:p w14:paraId="00241D4B" w14:textId="24888E18" w:rsidR="003742D9" w:rsidRPr="003742D9" w:rsidRDefault="00C2278F" w:rsidP="00C2278F">
      <w:pPr>
        <w:pStyle w:val="FootnoteText"/>
        <w:rPr>
          <w:lang w:val="en-US"/>
        </w:rPr>
      </w:pPr>
      <w:r w:rsidRPr="00C2278F">
        <w:rPr>
          <w:i/>
          <w:iCs/>
          <w:lang w:val="en-US"/>
        </w:rPr>
        <w:t>Supplementary Provisions Regulation 2019</w:t>
      </w:r>
      <w:r w:rsidR="00E77CE8">
        <w:rPr>
          <w:i/>
          <w:iCs/>
          <w:lang w:val="en-US"/>
        </w:rPr>
        <w:t>,</w:t>
      </w:r>
      <w:r w:rsidRPr="00C2278F">
        <w:rPr>
          <w:i/>
          <w:iCs/>
          <w:lang w:val="en-US"/>
        </w:rPr>
        <w:t xml:space="preserve"> (2019)</w:t>
      </w:r>
      <w:r w:rsidR="00E77CE8">
        <w:rPr>
          <w:i/>
          <w:iCs/>
          <w:lang w:val="en-US"/>
        </w:rPr>
        <w:t>,</w:t>
      </w:r>
      <w:r>
        <w:rPr>
          <w:lang w:val="en-US"/>
        </w:rPr>
        <w:t xml:space="preserve"> &lt;</w:t>
      </w:r>
      <w:r w:rsidR="003742D9" w:rsidRPr="003742D9">
        <w:rPr>
          <w:lang w:val="en-US"/>
        </w:rPr>
        <w:t>https://legislation.nsw.gov.au/view/pdf/asmade/sl-2019-203</w:t>
      </w:r>
      <w:r>
        <w:rPr>
          <w:lang w:val="en-US"/>
        </w:rPr>
        <w:t>&gt;</w:t>
      </w:r>
    </w:p>
  </w:footnote>
  <w:footnote w:id="63">
    <w:p w14:paraId="092A02DA" w14:textId="34C78D31" w:rsidR="006032C9" w:rsidRDefault="006032C9" w:rsidP="006032C9">
      <w:pPr>
        <w:pStyle w:val="FootnoteText"/>
      </w:pPr>
      <w:r>
        <w:rPr>
          <w:rStyle w:val="FootnoteReference"/>
        </w:rPr>
        <w:footnoteRef/>
      </w:r>
      <w:r>
        <w:t xml:space="preserve"> </w:t>
      </w:r>
      <w:r w:rsidR="00BF26C4" w:rsidRPr="00BF26C4">
        <w:t xml:space="preserve">Federal Register of Legislation, </w:t>
      </w:r>
      <w:r w:rsidR="00BF26C4" w:rsidRPr="00A5150F">
        <w:rPr>
          <w:i/>
        </w:rPr>
        <w:t>'Child Care Subsidy Minister’s Rules 2017', Division 5, Section 49(b)</w:t>
      </w:r>
      <w:r w:rsidR="00BF26C4" w:rsidRPr="00BF26C4">
        <w:t xml:space="preserve"> (2017) </w:t>
      </w:r>
      <w:r w:rsidR="00A5150F">
        <w:t>&lt;</w:t>
      </w:r>
      <w:r w:rsidR="00BF26C4" w:rsidRPr="00BF26C4">
        <w:t>https://www.legislation.gov.au/Details/F2022C00009</w:t>
      </w:r>
      <w:r w:rsidR="00A5150F">
        <w:t>&gt;</w:t>
      </w:r>
    </w:p>
  </w:footnote>
  <w:footnote w:id="64">
    <w:p w14:paraId="2BBC0F4E" w14:textId="7ED09249" w:rsidR="006032C9" w:rsidRDefault="006032C9" w:rsidP="006032C9">
      <w:pPr>
        <w:pStyle w:val="FootnoteText"/>
      </w:pPr>
      <w:r>
        <w:rPr>
          <w:rStyle w:val="FootnoteReference"/>
        </w:rPr>
        <w:footnoteRef/>
      </w:r>
      <w:r>
        <w:t xml:space="preserve"> </w:t>
      </w:r>
      <w:r w:rsidRPr="007752F5">
        <w:t>Federal Register of Legislation</w:t>
      </w:r>
      <w:r w:rsidR="0088649D">
        <w:t xml:space="preserve">, </w:t>
      </w:r>
      <w:r w:rsidRPr="0088649D">
        <w:rPr>
          <w:i/>
        </w:rPr>
        <w:t>Child care subsidy Minister’s Rules 2017. Division 5, section 49(3) and 49(4</w:t>
      </w:r>
      <w:r w:rsidRPr="0088649D">
        <w:rPr>
          <w:i/>
          <w:iCs/>
        </w:rPr>
        <w:t>)</w:t>
      </w:r>
      <w:r w:rsidR="0088649D">
        <w:rPr>
          <w:i/>
          <w:iCs/>
        </w:rPr>
        <w:t xml:space="preserve"> </w:t>
      </w:r>
      <w:r w:rsidR="0088649D" w:rsidRPr="0088649D">
        <w:t>(2019)</w:t>
      </w:r>
      <w:r w:rsidR="0088649D">
        <w:rPr>
          <w:i/>
        </w:rPr>
        <w:t xml:space="preserve"> </w:t>
      </w:r>
      <w:r w:rsidRPr="007752F5">
        <w:t>&lt;https://www.legislation.gov.au/Details/F2022C00009&gt;</w:t>
      </w:r>
    </w:p>
  </w:footnote>
  <w:footnote w:id="65">
    <w:p w14:paraId="68A40052" w14:textId="6CC220BA" w:rsidR="006032C9" w:rsidRDefault="006032C9" w:rsidP="006032C9">
      <w:pPr>
        <w:pStyle w:val="FootnoteText"/>
      </w:pPr>
      <w:r>
        <w:rPr>
          <w:rStyle w:val="FootnoteReference"/>
        </w:rPr>
        <w:footnoteRef/>
      </w:r>
      <w:r>
        <w:t xml:space="preserve"> </w:t>
      </w:r>
      <w:r w:rsidR="0088649D" w:rsidRPr="007752F5">
        <w:t>Federal Register of Legislation</w:t>
      </w:r>
      <w:r w:rsidR="0088649D">
        <w:t xml:space="preserve">, </w:t>
      </w:r>
      <w:r w:rsidR="0088649D" w:rsidRPr="0088649D">
        <w:rPr>
          <w:i/>
        </w:rPr>
        <w:t>Child care subsidy Minister’s Rules 2017. Division 5, section 49(</w:t>
      </w:r>
      <w:r w:rsidR="0088649D">
        <w:rPr>
          <w:i/>
        </w:rPr>
        <w:t>5</w:t>
      </w:r>
      <w:r w:rsidR="0088649D" w:rsidRPr="0088649D">
        <w:rPr>
          <w:i/>
          <w:iCs/>
        </w:rPr>
        <w:t>)</w:t>
      </w:r>
      <w:r w:rsidR="0088649D">
        <w:rPr>
          <w:i/>
          <w:iCs/>
        </w:rPr>
        <w:t xml:space="preserve"> </w:t>
      </w:r>
      <w:r w:rsidR="0088649D" w:rsidRPr="0088649D">
        <w:t>(2019)</w:t>
      </w:r>
      <w:r w:rsidR="0088649D">
        <w:rPr>
          <w:i/>
        </w:rPr>
        <w:t xml:space="preserve"> </w:t>
      </w:r>
      <w:r w:rsidR="0088649D" w:rsidRPr="007752F5">
        <w:t>&lt;https://www.legislation.gov.au/Details/F2022C00009&gt;</w:t>
      </w:r>
    </w:p>
  </w:footnote>
  <w:footnote w:id="66">
    <w:p w14:paraId="76AD3396" w14:textId="11E47C8A" w:rsidR="006032C9" w:rsidRDefault="006032C9" w:rsidP="006032C9">
      <w:pPr>
        <w:pStyle w:val="FootnoteText"/>
      </w:pPr>
      <w:r>
        <w:rPr>
          <w:rStyle w:val="FootnoteReference"/>
        </w:rPr>
        <w:footnoteRef/>
      </w:r>
      <w:r>
        <w:t xml:space="preserve"> </w:t>
      </w:r>
      <w:r w:rsidR="0088649D" w:rsidRPr="007752F5">
        <w:t>Federal Register of Legislation</w:t>
      </w:r>
      <w:r w:rsidR="0088649D">
        <w:t xml:space="preserve">, </w:t>
      </w:r>
      <w:r w:rsidR="0088649D" w:rsidRPr="0088649D">
        <w:rPr>
          <w:i/>
        </w:rPr>
        <w:t>Child care subsidy Minister’s Rules 2017. Division 5, section 49(</w:t>
      </w:r>
      <w:r w:rsidR="0088649D">
        <w:rPr>
          <w:i/>
        </w:rPr>
        <w:t>8</w:t>
      </w:r>
      <w:r w:rsidR="0088649D" w:rsidRPr="0088649D">
        <w:rPr>
          <w:i/>
          <w:iCs/>
        </w:rPr>
        <w:t>)</w:t>
      </w:r>
      <w:r w:rsidR="0088649D">
        <w:rPr>
          <w:i/>
          <w:iCs/>
        </w:rPr>
        <w:t xml:space="preserve"> </w:t>
      </w:r>
      <w:r w:rsidR="0088649D" w:rsidRPr="0088649D">
        <w:t>(2019)</w:t>
      </w:r>
      <w:r w:rsidR="0088649D">
        <w:rPr>
          <w:i/>
        </w:rPr>
        <w:t xml:space="preserve"> </w:t>
      </w:r>
      <w:r w:rsidR="0088649D" w:rsidRPr="007752F5">
        <w:t>&lt;https://www.legislation.gov.au/Details/F2022C00009&gt;</w:t>
      </w:r>
    </w:p>
  </w:footnote>
  <w:footnote w:id="67">
    <w:p w14:paraId="6DA0ED9C" w14:textId="190D0795" w:rsidR="006032C9" w:rsidRPr="007C7004" w:rsidRDefault="006032C9" w:rsidP="006032C9">
      <w:pPr>
        <w:pStyle w:val="FootnoteText"/>
        <w:rPr>
          <w:lang w:val="fr-FR"/>
        </w:rPr>
      </w:pPr>
      <w:r>
        <w:rPr>
          <w:rStyle w:val="FootnoteReference"/>
        </w:rPr>
        <w:footnoteRef/>
      </w:r>
      <w:r>
        <w:t xml:space="preserve"> </w:t>
      </w:r>
      <w:r w:rsidR="000C7158" w:rsidRPr="007752F5">
        <w:t>Federal Register of Legislation</w:t>
      </w:r>
      <w:r w:rsidR="000C7158">
        <w:t xml:space="preserve">, </w:t>
      </w:r>
      <w:r w:rsidR="000C7158" w:rsidRPr="0088649D">
        <w:rPr>
          <w:i/>
        </w:rPr>
        <w:t xml:space="preserve">Child care subsidy Minister’s Rules 2017. </w:t>
      </w:r>
      <w:r w:rsidR="000C7158" w:rsidRPr="007C7004">
        <w:rPr>
          <w:i/>
          <w:lang w:val="fr-FR"/>
        </w:rPr>
        <w:t>Division 5, section 49(c</w:t>
      </w:r>
      <w:r w:rsidR="000C7158" w:rsidRPr="007C7004">
        <w:rPr>
          <w:i/>
          <w:iCs/>
          <w:lang w:val="fr-FR"/>
        </w:rPr>
        <w:t xml:space="preserve">) </w:t>
      </w:r>
      <w:r w:rsidR="000C7158" w:rsidRPr="007C7004">
        <w:rPr>
          <w:lang w:val="fr-FR"/>
        </w:rPr>
        <w:t>(2019)</w:t>
      </w:r>
      <w:r w:rsidR="000C7158" w:rsidRPr="007C7004">
        <w:rPr>
          <w:i/>
          <w:lang w:val="fr-FR"/>
        </w:rPr>
        <w:t xml:space="preserve"> </w:t>
      </w:r>
      <w:r w:rsidR="000C7158" w:rsidRPr="007C7004">
        <w:rPr>
          <w:lang w:val="fr-FR"/>
        </w:rPr>
        <w:t>&lt;https://www.legislation.gov.au/Details/F2022C00009&gt;</w:t>
      </w:r>
    </w:p>
  </w:footnote>
  <w:footnote w:id="68">
    <w:p w14:paraId="72D50AAE" w14:textId="6799FC87" w:rsidR="00117C37" w:rsidRDefault="00117C37" w:rsidP="00117C37">
      <w:pPr>
        <w:pStyle w:val="FootnoteText"/>
      </w:pPr>
      <w:r>
        <w:rPr>
          <w:rStyle w:val="FootnoteReference"/>
        </w:rPr>
        <w:footnoteRef/>
      </w:r>
      <w:r>
        <w:t xml:space="preserve"> </w:t>
      </w:r>
      <w:r w:rsidR="000C7158">
        <w:t xml:space="preserve">Australian </w:t>
      </w:r>
      <w:r w:rsidR="009663D5">
        <w:t xml:space="preserve">Government </w:t>
      </w:r>
      <w:r w:rsidRPr="00A72FC0">
        <w:t>Department of Education</w:t>
      </w:r>
      <w:r w:rsidR="000C7158">
        <w:t xml:space="preserve">, </w:t>
      </w:r>
      <w:r w:rsidRPr="000C7158">
        <w:rPr>
          <w:i/>
        </w:rPr>
        <w:t>Community Child Care Fund - Restricted non-competitive grant opportunity (for specified services) Guidelines</w:t>
      </w:r>
      <w:r w:rsidR="000C7158">
        <w:t xml:space="preserve"> </w:t>
      </w:r>
      <w:r w:rsidR="000C7158" w:rsidRPr="00A72FC0">
        <w:t>(2017)</w:t>
      </w:r>
      <w:r w:rsidRPr="00A72FC0">
        <w:t>.</w:t>
      </w:r>
    </w:p>
  </w:footnote>
  <w:footnote w:id="69">
    <w:p w14:paraId="7207BCAE" w14:textId="77777777" w:rsidR="00117C37" w:rsidRPr="005154C6" w:rsidRDefault="00117C37" w:rsidP="00117C37">
      <w:pPr>
        <w:pStyle w:val="FootnoteText"/>
      </w:pPr>
      <w:r>
        <w:rPr>
          <w:rStyle w:val="FootnoteReference"/>
        </w:rPr>
        <w:footnoteRef/>
      </w:r>
      <w:r>
        <w:t xml:space="preserve"> Services are not expected to comply with Section 49 of the Ministers Rules if they are approved under the National Law </w:t>
      </w:r>
      <w:r w:rsidRPr="005154C6">
        <w:rPr>
          <w:i/>
          <w:iCs/>
        </w:rPr>
        <w:t>(Education and Care Services National Law)</w:t>
      </w:r>
      <w:r>
        <w:rPr>
          <w:i/>
          <w:iCs/>
        </w:rPr>
        <w:t xml:space="preserve">. </w:t>
      </w:r>
      <w:r w:rsidRPr="005154C6">
        <w:t>This is assumedly due to the National Law being</w:t>
      </w:r>
      <w:r>
        <w:t xml:space="preserve"> more comprehensive than requirements under Section 49 of the Minister’s Rules</w:t>
      </w:r>
      <w:r w:rsidRPr="005154C6">
        <w:t xml:space="preserve"> </w:t>
      </w:r>
      <w:r>
        <w:t>(</w:t>
      </w:r>
      <w:r w:rsidRPr="005154C6">
        <w:rPr>
          <w:i/>
          <w:iCs/>
        </w:rPr>
        <w:t>Child Care Subsidy Minister's Rules 2017</w:t>
      </w:r>
      <w:r>
        <w:t>).</w:t>
      </w:r>
    </w:p>
  </w:footnote>
  <w:footnote w:id="70">
    <w:p w14:paraId="670FAD6B" w14:textId="4E7E4461" w:rsidR="00626D78" w:rsidRDefault="00626D78">
      <w:pPr>
        <w:pStyle w:val="FootnoteText"/>
      </w:pPr>
      <w:r>
        <w:rPr>
          <w:rStyle w:val="FootnoteReference"/>
        </w:rPr>
        <w:footnoteRef/>
      </w:r>
      <w:r>
        <w:t xml:space="preserve"> Note there are no </w:t>
      </w:r>
      <w:r w:rsidRPr="008A7B3B">
        <w:t>commercial or occupancy arrangements between the Commonwealth and the service provider</w:t>
      </w:r>
      <w:r>
        <w:t>.</w:t>
      </w:r>
    </w:p>
  </w:footnote>
  <w:footnote w:id="71">
    <w:p w14:paraId="67572056" w14:textId="7266DB34" w:rsidR="00C06F4C" w:rsidRPr="00C87EA8" w:rsidRDefault="00C06F4C" w:rsidP="00C06F4C">
      <w:pPr>
        <w:pStyle w:val="FootnoteText"/>
      </w:pPr>
      <w:r w:rsidRPr="00C87EA8">
        <w:rPr>
          <w:rStyle w:val="FootnoteReference"/>
        </w:rPr>
        <w:footnoteRef/>
      </w:r>
      <w:r w:rsidRPr="00C87EA8">
        <w:t xml:space="preserve"> Data provided by the Department of Education</w:t>
      </w:r>
      <w:r w:rsidR="009C20D0">
        <w:t>.</w:t>
      </w:r>
    </w:p>
  </w:footnote>
  <w:footnote w:id="72">
    <w:p w14:paraId="14807B21" w14:textId="77777777" w:rsidR="00C06F4C" w:rsidRDefault="00C06F4C" w:rsidP="00C06F4C">
      <w:pPr>
        <w:pStyle w:val="FootnoteText"/>
      </w:pPr>
      <w:r w:rsidRPr="00C87EA8">
        <w:rPr>
          <w:rStyle w:val="FootnoteReference"/>
        </w:rPr>
        <w:footnoteRef/>
      </w:r>
      <w:r w:rsidRPr="00C87EA8">
        <w:t xml:space="preserve"> These providers may operate other ECEC services not receiving CCCFR funding</w:t>
      </w:r>
      <w:r w:rsidRPr="0040517D">
        <w:rPr>
          <w:sz w:val="14"/>
          <w:szCs w:val="18"/>
        </w:rPr>
        <w:t>.</w:t>
      </w:r>
    </w:p>
  </w:footnote>
  <w:footnote w:id="73">
    <w:p w14:paraId="4F9268DA" w14:textId="1F02CC7A" w:rsidR="00816426" w:rsidRDefault="00816426">
      <w:pPr>
        <w:pStyle w:val="FootnoteText"/>
      </w:pPr>
      <w:r>
        <w:rPr>
          <w:rStyle w:val="FootnoteReference"/>
        </w:rPr>
        <w:footnoteRef/>
      </w:r>
      <w:r>
        <w:t xml:space="preserve"> </w:t>
      </w:r>
      <w:r w:rsidR="00F71111" w:rsidRPr="00AA4382">
        <w:rPr>
          <w:rFonts w:asciiTheme="minorHAnsi" w:hAnsiTheme="minorHAnsi" w:cs="Segoe UI"/>
          <w:shd w:val="clear" w:color="auto" w:fill="FFFFFF"/>
        </w:rPr>
        <w:t>The chart</w:t>
      </w:r>
      <w:r w:rsidR="00F71111" w:rsidRPr="00A618F5">
        <w:t xml:space="preserve"> is based on available data for the </w:t>
      </w:r>
      <w:r w:rsidR="006D66A4" w:rsidRPr="00A618F5">
        <w:t>2022-2023</w:t>
      </w:r>
      <w:r w:rsidR="00F71111" w:rsidRPr="00A618F5">
        <w:t xml:space="preserve"> period due to inherent limitations in the completeness and quality of the dataset. The decision to exclude data from all five years to date is deliberate, as including incomplete or varying-quality data could potentially misrepresent the distribution and compromise</w:t>
      </w:r>
      <w:r w:rsidR="00F71111" w:rsidRPr="009C20D0">
        <w:rPr>
          <w:rFonts w:asciiTheme="minorHAnsi" w:hAnsiTheme="minorHAnsi" w:cs="Segoe UI"/>
          <w:color w:val="374151"/>
          <w:shd w:val="clear" w:color="auto" w:fill="FFFFFF"/>
        </w:rPr>
        <w:t xml:space="preserve"> </w:t>
      </w:r>
      <w:r w:rsidR="00F71111" w:rsidRPr="00AA4382">
        <w:t>the accuracy of the analysis. We have opted for a more reliable and representative dataset to ensure the integrity of our findings.</w:t>
      </w:r>
    </w:p>
  </w:footnote>
  <w:footnote w:id="74">
    <w:p w14:paraId="520DDA4F" w14:textId="4DC52033" w:rsidR="00A618F5" w:rsidRPr="00A618F5" w:rsidRDefault="00A618F5">
      <w:pPr>
        <w:pStyle w:val="FootnoteText"/>
        <w:rPr>
          <w:lang w:val="en-US"/>
        </w:rPr>
      </w:pPr>
      <w:r>
        <w:rPr>
          <w:rStyle w:val="FootnoteReference"/>
        </w:rPr>
        <w:footnoteRef/>
      </w:r>
      <w:r>
        <w:t xml:space="preserve"> </w:t>
      </w:r>
      <w:r w:rsidR="00002447">
        <w:t xml:space="preserve">At the time of reporting, there were still 7 services without data, or which were closed and not receiving the grant. </w:t>
      </w:r>
      <w:r w:rsidR="003613C5">
        <w:t xml:space="preserve">This comprises 2 services which were transferred, </w:t>
      </w:r>
      <w:r w:rsidR="00AA4382">
        <w:t xml:space="preserve">4 services pending/granted an extension and 1 service closed and not receiving the CCCFR grant. </w:t>
      </w:r>
    </w:p>
  </w:footnote>
  <w:footnote w:id="75">
    <w:p w14:paraId="6D8269B7" w14:textId="4943B8B6" w:rsidR="005B1D10" w:rsidRDefault="005B1D10">
      <w:pPr>
        <w:pStyle w:val="FootnoteText"/>
      </w:pPr>
      <w:r>
        <w:rPr>
          <w:rStyle w:val="FootnoteReference"/>
        </w:rPr>
        <w:footnoteRef/>
      </w:r>
      <w:r>
        <w:t xml:space="preserve"> As discussed elsewhere in this report, </w:t>
      </w:r>
      <w:r w:rsidR="00797306">
        <w:t xml:space="preserve">enrolment </w:t>
      </w:r>
      <w:r w:rsidR="00E04B1C">
        <w:t xml:space="preserve">and participation </w:t>
      </w:r>
      <w:r w:rsidR="00040514">
        <w:t>figures an be complex, especially for CCCFR services.</w:t>
      </w:r>
      <w:r w:rsidR="002B08D7">
        <w:t xml:space="preserve"> </w:t>
      </w:r>
      <w:r w:rsidR="00C00679">
        <w:t xml:space="preserve">However, this figure illustrates that the </w:t>
      </w:r>
      <w:r w:rsidR="000F3DAB">
        <w:t xml:space="preserve">process of identifying a service as Aboriginal and/or Torres Strait Islander is complex, and cannot be derived from a singular data source. </w:t>
      </w:r>
    </w:p>
  </w:footnote>
  <w:footnote w:id="76">
    <w:p w14:paraId="20006C71" w14:textId="1DE4E0B6" w:rsidR="00C06F4C" w:rsidRDefault="00C06F4C" w:rsidP="00C06F4C">
      <w:pPr>
        <w:pStyle w:val="FootnoteText"/>
      </w:pPr>
      <w:r>
        <w:rPr>
          <w:rStyle w:val="FootnoteReference"/>
        </w:rPr>
        <w:footnoteRef/>
      </w:r>
      <w:r>
        <w:t xml:space="preserve"> For one service there is no SEIFA data for 2021, represented here as #N/A</w:t>
      </w:r>
      <w:r w:rsidR="006B0F58">
        <w:t xml:space="preserve">. </w:t>
      </w:r>
      <w:r w:rsidR="00A71924">
        <w:t>The ABS reports that ‘</w:t>
      </w:r>
      <w:r w:rsidR="00A56FB3" w:rsidRPr="00A56FB3">
        <w:t>Due to non-response and low population counts, not every SA1 can be given a meaningful index score. ABS maximises the number of areas that receive a score, while maintaining confidentiality and an acceptable level of quality.</w:t>
      </w:r>
      <w:r w:rsidR="00A71924">
        <w:t xml:space="preserve">’ SA1 scores </w:t>
      </w:r>
      <w:r w:rsidR="00326AE1">
        <w:t>form the basis of SA2 scores.</w:t>
      </w:r>
      <w:r w:rsidR="00326AE1">
        <w:br/>
      </w:r>
      <w:r w:rsidR="00A50994">
        <w:t xml:space="preserve">This analysis uses the </w:t>
      </w:r>
      <w:r w:rsidR="00A50994" w:rsidRPr="00A50994">
        <w:t>Index of Relative Socio-economic Disadvantage</w:t>
      </w:r>
      <w:r w:rsidR="00A50994">
        <w:t>.</w:t>
      </w:r>
      <w:r w:rsidR="006B0F58">
        <w:t xml:space="preserve"> </w:t>
      </w:r>
    </w:p>
  </w:footnote>
  <w:footnote w:id="77">
    <w:p w14:paraId="75A17793" w14:textId="43594424" w:rsidR="00A50994" w:rsidRDefault="00A50994" w:rsidP="00A50994">
      <w:pPr>
        <w:pStyle w:val="FootnoteText"/>
      </w:pPr>
      <w:r>
        <w:rPr>
          <w:rStyle w:val="FootnoteReference"/>
        </w:rPr>
        <w:footnoteRef/>
      </w:r>
      <w:r>
        <w:t xml:space="preserve"> This analysis uses the </w:t>
      </w:r>
      <w:r w:rsidRPr="00A50994">
        <w:t>Index of Relative Socio-economic Disadvantage</w:t>
      </w:r>
      <w:r>
        <w:t xml:space="preserve">. </w:t>
      </w:r>
    </w:p>
  </w:footnote>
  <w:footnote w:id="78">
    <w:p w14:paraId="4251E88B" w14:textId="01822930" w:rsidR="00101560" w:rsidRPr="00101560" w:rsidRDefault="00101560">
      <w:pPr>
        <w:pStyle w:val="FootnoteText"/>
        <w:rPr>
          <w:lang w:val="en-US"/>
        </w:rPr>
      </w:pPr>
      <w:r>
        <w:rPr>
          <w:rStyle w:val="FootnoteReference"/>
        </w:rPr>
        <w:footnoteRef/>
      </w:r>
      <w:r>
        <w:t xml:space="preserve"> </w:t>
      </w:r>
      <w:r>
        <w:rPr>
          <w:lang w:val="en-US"/>
        </w:rPr>
        <w:t xml:space="preserve">The NWC data </w:t>
      </w:r>
      <w:r w:rsidR="009D5F42">
        <w:rPr>
          <w:lang w:val="en-US"/>
        </w:rPr>
        <w:t xml:space="preserve">only captures </w:t>
      </w:r>
      <w:r w:rsidR="00450019">
        <w:rPr>
          <w:lang w:val="en-US"/>
        </w:rPr>
        <w:t>children’s</w:t>
      </w:r>
      <w:r w:rsidR="009D5F42">
        <w:rPr>
          <w:lang w:val="en-US"/>
        </w:rPr>
        <w:t xml:space="preserve"> attendance in a reference week</w:t>
      </w:r>
      <w:r w:rsidR="00450019">
        <w:rPr>
          <w:lang w:val="en-US"/>
        </w:rPr>
        <w:t xml:space="preserve"> and a small number of services did not specify the number of children from a LOTE background. </w:t>
      </w:r>
      <w:r w:rsidR="001B4050">
        <w:rPr>
          <w:lang w:val="en-US"/>
        </w:rPr>
        <w:t xml:space="preserve">This </w:t>
      </w:r>
      <w:r w:rsidR="00384BA3">
        <w:rPr>
          <w:lang w:val="en-US"/>
        </w:rPr>
        <w:t xml:space="preserve">statistic captures the number of children from </w:t>
      </w:r>
      <w:r w:rsidR="00317681">
        <w:rPr>
          <w:lang w:val="en-US"/>
        </w:rPr>
        <w:t xml:space="preserve">LOTE backgrounds as a proportion of attendance in the reference week. </w:t>
      </w:r>
      <w:r w:rsidR="001B0F43">
        <w:rPr>
          <w:lang w:val="en-US"/>
        </w:rPr>
        <w:t xml:space="preserve">Note that enrolment rates could differ from attendance rates. </w:t>
      </w:r>
    </w:p>
  </w:footnote>
  <w:footnote w:id="79">
    <w:p w14:paraId="12523611" w14:textId="62F4DE65" w:rsidR="00377CF0" w:rsidRPr="00377CF0" w:rsidRDefault="00377CF0">
      <w:pPr>
        <w:pStyle w:val="FootnoteText"/>
        <w:rPr>
          <w:lang w:val="en-US"/>
        </w:rPr>
      </w:pPr>
      <w:r>
        <w:rPr>
          <w:rStyle w:val="FootnoteReference"/>
        </w:rPr>
        <w:footnoteRef/>
      </w:r>
      <w:r>
        <w:t xml:space="preserve"> </w:t>
      </w:r>
      <w:r w:rsidR="00F506AA">
        <w:t>2021 Early Childhood Education and Care National Workforce Census, &lt;</w:t>
      </w:r>
      <w:r w:rsidR="00675620" w:rsidRPr="00675620">
        <w:t>https://www.education.gov.au/early-childhood/resources/2021-early-childhood-education-and-care-national-workforce-census-report</w:t>
      </w:r>
      <w:r w:rsidR="00F506AA">
        <w:t xml:space="preserve">&gt; </w:t>
      </w:r>
    </w:p>
  </w:footnote>
  <w:footnote w:id="80">
    <w:p w14:paraId="56D3A59D" w14:textId="77777777" w:rsidR="005E3EF2" w:rsidRDefault="005E3EF2" w:rsidP="005E3EF2">
      <w:pPr>
        <w:pStyle w:val="FootnoteText"/>
        <w:rPr>
          <w:lang w:val="en-US"/>
        </w:rPr>
      </w:pPr>
      <w:r>
        <w:rPr>
          <w:rStyle w:val="FootnoteReference"/>
        </w:rPr>
        <w:footnoteRef/>
      </w:r>
      <w:r>
        <w:t xml:space="preserve"> </w:t>
      </w:r>
      <w:r>
        <w:rPr>
          <w:lang w:val="en-US"/>
        </w:rPr>
        <w:t>This statistic captures the number of children from a refugee or humanitarian background as a proportion of attendance in the reference week.</w:t>
      </w:r>
    </w:p>
  </w:footnote>
  <w:footnote w:id="81">
    <w:p w14:paraId="185F74EB" w14:textId="77777777" w:rsidR="00633EC8" w:rsidRPr="00C31C0D" w:rsidRDefault="00633EC8" w:rsidP="00C31C0D">
      <w:pPr>
        <w:pStyle w:val="FootnoteText"/>
        <w:rPr>
          <w:lang w:val="en-US"/>
        </w:rPr>
      </w:pPr>
      <w:r w:rsidRPr="00C31C0D">
        <w:rPr>
          <w:vertAlign w:val="superscript"/>
          <w:lang w:val="en-US"/>
        </w:rPr>
        <w:footnoteRef/>
      </w:r>
      <w:r w:rsidRPr="00C31C0D">
        <w:rPr>
          <w:lang w:val="en-US"/>
        </w:rPr>
        <w:t xml:space="preserve"> Australian Government Department of Education, Inclusion Support Program (2023), &lt;https://www.education.gov.au/early-childhood/inclusion-support-program&gt;.</w:t>
      </w:r>
    </w:p>
  </w:footnote>
  <w:footnote w:id="82">
    <w:p w14:paraId="21152687" w14:textId="77777777" w:rsidR="00633EC8" w:rsidRPr="00C31C0D" w:rsidRDefault="00633EC8" w:rsidP="00C31C0D">
      <w:pPr>
        <w:pStyle w:val="FootnoteText"/>
        <w:rPr>
          <w:lang w:val="en-US"/>
        </w:rPr>
      </w:pPr>
      <w:r w:rsidRPr="00C31C0D">
        <w:rPr>
          <w:vertAlign w:val="superscript"/>
          <w:lang w:val="en-US"/>
        </w:rPr>
        <w:footnoteRef/>
      </w:r>
      <w:r w:rsidRPr="00C31C0D">
        <w:rPr>
          <w:lang w:val="en-US"/>
        </w:rPr>
        <w:t xml:space="preserve"> Australian Government Department of Education, Inclusion Support Program Review (2023), &lt; https://www.education.gov.au/early-childhood/inclusion-support-program/inclusion-support-program-review&gt;.</w:t>
      </w:r>
    </w:p>
  </w:footnote>
  <w:footnote w:id="83">
    <w:p w14:paraId="4373C3A3" w14:textId="77777777" w:rsidR="00633EC8" w:rsidRDefault="00633EC8" w:rsidP="00C31C0D">
      <w:pPr>
        <w:pStyle w:val="FootnoteText"/>
      </w:pPr>
      <w:r w:rsidRPr="00C31C0D">
        <w:rPr>
          <w:vertAlign w:val="superscript"/>
          <w:lang w:val="en-US"/>
        </w:rPr>
        <w:footnoteRef/>
      </w:r>
      <w:r w:rsidRPr="00C31C0D">
        <w:rPr>
          <w:lang w:val="en-US"/>
        </w:rPr>
        <w:t xml:space="preserve"> NDIS Review, NDIS Review (2023), &lt;http://www.ndisreview.gov.au&gt;.</w:t>
      </w:r>
    </w:p>
  </w:footnote>
  <w:footnote w:id="84">
    <w:p w14:paraId="787337EA" w14:textId="03767E34" w:rsidR="00824897" w:rsidRDefault="00824897" w:rsidP="00824897">
      <w:pPr>
        <w:pStyle w:val="FootnoteText"/>
      </w:pPr>
      <w:r>
        <w:rPr>
          <w:rStyle w:val="FootnoteReference"/>
        </w:rPr>
        <w:footnoteRef/>
      </w:r>
      <w:r>
        <w:t xml:space="preserve"> This was determined by positive </w:t>
      </w:r>
      <w:r w:rsidRPr="00BC2EFD">
        <w:t xml:space="preserve">responses to the following questions asked in the </w:t>
      </w:r>
      <w:r>
        <w:t xml:space="preserve">2022/2023 </w:t>
      </w:r>
      <w:r w:rsidR="009079D7">
        <w:t>Compliance</w:t>
      </w:r>
      <w:r w:rsidRPr="00BC2EFD">
        <w:t xml:space="preserve"> and </w:t>
      </w:r>
      <w:r w:rsidR="009079D7">
        <w:t>Operations Report</w:t>
      </w:r>
      <w:r w:rsidRPr="00BC2EFD">
        <w:t xml:space="preserve"> of services</w:t>
      </w:r>
      <w:r>
        <w:t>:</w:t>
      </w:r>
    </w:p>
    <w:p w14:paraId="77350623" w14:textId="77777777" w:rsidR="00824897" w:rsidRDefault="00824897" w:rsidP="00824897">
      <w:pPr>
        <w:pStyle w:val="FootnoteText"/>
      </w:pPr>
    </w:p>
    <w:p w14:paraId="48396FEA" w14:textId="77777777" w:rsidR="00824897" w:rsidRPr="007872AB" w:rsidRDefault="00824897" w:rsidP="00824897">
      <w:pPr>
        <w:pStyle w:val="FootnoteText"/>
        <w:rPr>
          <w:i/>
          <w:iCs/>
        </w:rPr>
      </w:pPr>
      <w:r w:rsidRPr="007872AB">
        <w:rPr>
          <w:i/>
          <w:iCs/>
        </w:rPr>
        <w:t>Q7 - Does your service identify as an Aboriginal and/or Torres Strait Islander service?</w:t>
      </w:r>
    </w:p>
    <w:p w14:paraId="5E873FF1" w14:textId="77777777" w:rsidR="00824897" w:rsidRPr="007872AB" w:rsidRDefault="00824897" w:rsidP="00824897">
      <w:pPr>
        <w:pStyle w:val="FootnoteText"/>
        <w:rPr>
          <w:i/>
          <w:iCs/>
        </w:rPr>
      </w:pPr>
    </w:p>
    <w:p w14:paraId="05ACFBE3" w14:textId="77777777" w:rsidR="00824897" w:rsidRPr="007872AB" w:rsidRDefault="00824897" w:rsidP="00824897">
      <w:pPr>
        <w:pStyle w:val="FootnoteText"/>
        <w:rPr>
          <w:i/>
          <w:iCs/>
        </w:rPr>
      </w:pPr>
      <w:r w:rsidRPr="007872AB">
        <w:rPr>
          <w:i/>
          <w:iCs/>
        </w:rPr>
        <w:t>Q8 - Is the provider of this service:</w:t>
      </w:r>
    </w:p>
    <w:p w14:paraId="5847E631" w14:textId="77777777" w:rsidR="00824897" w:rsidRPr="007872AB" w:rsidRDefault="00824897" w:rsidP="00824897">
      <w:pPr>
        <w:pStyle w:val="FootnoteText"/>
        <w:rPr>
          <w:i/>
          <w:iCs/>
        </w:rPr>
      </w:pPr>
      <w:r w:rsidRPr="007872AB">
        <w:rPr>
          <w:i/>
          <w:iCs/>
        </w:rPr>
        <w:t>•</w:t>
      </w:r>
      <w:r>
        <w:rPr>
          <w:i/>
          <w:iCs/>
        </w:rPr>
        <w:t xml:space="preserve"> </w:t>
      </w:r>
      <w:r w:rsidRPr="007872AB">
        <w:rPr>
          <w:i/>
          <w:iCs/>
        </w:rPr>
        <w:t>An Aboriginal Controlled Community Organization (ACCO),</w:t>
      </w:r>
    </w:p>
    <w:p w14:paraId="5956BE84" w14:textId="77777777" w:rsidR="00824897" w:rsidRPr="007872AB" w:rsidRDefault="00824897" w:rsidP="00824897">
      <w:pPr>
        <w:pStyle w:val="FootnoteText"/>
        <w:rPr>
          <w:i/>
          <w:iCs/>
        </w:rPr>
      </w:pPr>
      <w:r w:rsidRPr="007872AB">
        <w:rPr>
          <w:i/>
          <w:iCs/>
        </w:rPr>
        <w:t>•</w:t>
      </w:r>
      <w:r>
        <w:rPr>
          <w:i/>
          <w:iCs/>
        </w:rPr>
        <w:t xml:space="preserve"> </w:t>
      </w:r>
      <w:r w:rsidRPr="007872AB">
        <w:rPr>
          <w:i/>
          <w:iCs/>
        </w:rPr>
        <w:t>Registered with the Office of the Registrar of Indigenous Corporations (ORIC),</w:t>
      </w:r>
    </w:p>
    <w:p w14:paraId="6FD7AA30" w14:textId="77777777" w:rsidR="00824897" w:rsidRDefault="00824897" w:rsidP="00824897">
      <w:pPr>
        <w:pStyle w:val="FootnoteText"/>
      </w:pPr>
      <w:r w:rsidRPr="007872AB">
        <w:rPr>
          <w:i/>
          <w:iCs/>
        </w:rPr>
        <w:t>•</w:t>
      </w:r>
      <w:r>
        <w:rPr>
          <w:i/>
          <w:iCs/>
        </w:rPr>
        <w:t xml:space="preserve"> </w:t>
      </w:r>
      <w:r w:rsidRPr="007872AB">
        <w:rPr>
          <w:i/>
          <w:iCs/>
        </w:rPr>
        <w:t>A member of SNAICC - National Voice for our Children</w:t>
      </w:r>
    </w:p>
  </w:footnote>
  <w:footnote w:id="85">
    <w:p w14:paraId="3FA8E448" w14:textId="31161E68" w:rsidR="00824897" w:rsidRPr="00423921" w:rsidRDefault="00824897" w:rsidP="00824897">
      <w:pPr>
        <w:pStyle w:val="FootnoteText"/>
      </w:pPr>
      <w:r w:rsidRPr="00423921">
        <w:rPr>
          <w:rStyle w:val="FootnoteReference"/>
        </w:rPr>
        <w:footnoteRef/>
      </w:r>
      <w:r w:rsidRPr="00423921">
        <w:t xml:space="preserve"> This was determined by positive responses to the following questions asked in the 2022/2023 </w:t>
      </w:r>
      <w:r w:rsidR="009079D7">
        <w:t>Compliance</w:t>
      </w:r>
      <w:r w:rsidRPr="00423921">
        <w:t xml:space="preserve"> and </w:t>
      </w:r>
      <w:r w:rsidR="009079D7">
        <w:t>Operations Report</w:t>
      </w:r>
      <w:r w:rsidRPr="00423921">
        <w:t xml:space="preserve"> of services:</w:t>
      </w:r>
    </w:p>
    <w:p w14:paraId="4D4A66E9" w14:textId="77777777" w:rsidR="00824897" w:rsidRPr="00423921" w:rsidRDefault="00824897" w:rsidP="00824897">
      <w:pPr>
        <w:pStyle w:val="FootnoteText"/>
      </w:pPr>
    </w:p>
    <w:p w14:paraId="3A5AE0CC" w14:textId="77777777" w:rsidR="00824897" w:rsidRPr="007872AB" w:rsidRDefault="00824897" w:rsidP="00824897">
      <w:pPr>
        <w:pStyle w:val="FootnoteText"/>
        <w:rPr>
          <w:i/>
          <w:iCs/>
        </w:rPr>
      </w:pPr>
      <w:r w:rsidRPr="007872AB">
        <w:rPr>
          <w:i/>
          <w:iCs/>
        </w:rPr>
        <w:t>Q7 - Does your service identify as an Aboriginal and/or Torres Strait Islander service?</w:t>
      </w:r>
    </w:p>
    <w:p w14:paraId="4B6EB804" w14:textId="77777777" w:rsidR="00824897" w:rsidRPr="007872AB" w:rsidRDefault="00824897" w:rsidP="00824897">
      <w:pPr>
        <w:pStyle w:val="FootnoteText"/>
        <w:rPr>
          <w:i/>
          <w:iCs/>
        </w:rPr>
      </w:pPr>
    </w:p>
    <w:p w14:paraId="71965D59" w14:textId="77777777" w:rsidR="00824897" w:rsidRPr="007872AB" w:rsidRDefault="00824897" w:rsidP="00824897">
      <w:pPr>
        <w:pStyle w:val="FootnoteText"/>
        <w:rPr>
          <w:i/>
          <w:iCs/>
        </w:rPr>
      </w:pPr>
      <w:r w:rsidRPr="007872AB">
        <w:rPr>
          <w:i/>
          <w:iCs/>
        </w:rPr>
        <w:t>Q8 - Is the provider of this service:</w:t>
      </w:r>
    </w:p>
    <w:p w14:paraId="30880EC0" w14:textId="77777777" w:rsidR="00824897" w:rsidRPr="007872AB" w:rsidRDefault="00824897" w:rsidP="00824897">
      <w:pPr>
        <w:pStyle w:val="FootnoteText"/>
        <w:rPr>
          <w:i/>
          <w:iCs/>
        </w:rPr>
      </w:pPr>
      <w:r w:rsidRPr="007872AB">
        <w:rPr>
          <w:i/>
          <w:iCs/>
        </w:rPr>
        <w:t>•</w:t>
      </w:r>
      <w:r>
        <w:rPr>
          <w:i/>
          <w:iCs/>
        </w:rPr>
        <w:t xml:space="preserve"> </w:t>
      </w:r>
      <w:r w:rsidRPr="007872AB">
        <w:rPr>
          <w:i/>
          <w:iCs/>
        </w:rPr>
        <w:t>An Aboriginal Controlled Community Organization (ACCO),</w:t>
      </w:r>
    </w:p>
    <w:p w14:paraId="6EAAB97C" w14:textId="77777777" w:rsidR="00824897" w:rsidRPr="007872AB" w:rsidRDefault="00824897" w:rsidP="00824897">
      <w:pPr>
        <w:pStyle w:val="FootnoteText"/>
        <w:rPr>
          <w:i/>
          <w:iCs/>
        </w:rPr>
      </w:pPr>
      <w:r w:rsidRPr="007872AB">
        <w:rPr>
          <w:i/>
          <w:iCs/>
        </w:rPr>
        <w:t>•</w:t>
      </w:r>
      <w:r>
        <w:rPr>
          <w:i/>
          <w:iCs/>
        </w:rPr>
        <w:t xml:space="preserve"> </w:t>
      </w:r>
      <w:r w:rsidRPr="007872AB">
        <w:rPr>
          <w:i/>
          <w:iCs/>
        </w:rPr>
        <w:t>Registered with the Office of the Registrar of Indigenous Corporations (ORIC),</w:t>
      </w:r>
    </w:p>
    <w:p w14:paraId="269AACCE" w14:textId="77777777" w:rsidR="00824897" w:rsidRDefault="00824897" w:rsidP="00824897">
      <w:pPr>
        <w:pStyle w:val="FootnoteText"/>
      </w:pPr>
      <w:r w:rsidRPr="007872AB">
        <w:rPr>
          <w:i/>
          <w:iCs/>
        </w:rPr>
        <w:t>•</w:t>
      </w:r>
      <w:r>
        <w:rPr>
          <w:i/>
          <w:iCs/>
        </w:rPr>
        <w:t xml:space="preserve"> </w:t>
      </w:r>
      <w:r w:rsidRPr="007872AB">
        <w:rPr>
          <w:i/>
          <w:iCs/>
        </w:rPr>
        <w:t>A member of SNAICC - National Voice for our Children</w:t>
      </w:r>
    </w:p>
  </w:footnote>
  <w:footnote w:id="86">
    <w:p w14:paraId="16E41DE6" w14:textId="77777777" w:rsidR="00824897" w:rsidRDefault="00824897" w:rsidP="00824897">
      <w:pPr>
        <w:pStyle w:val="FootnoteText"/>
      </w:pPr>
      <w:r>
        <w:rPr>
          <w:rStyle w:val="FootnoteReference"/>
        </w:rPr>
        <w:footnoteRef/>
      </w:r>
      <w:r>
        <w:t xml:space="preserve"> </w:t>
      </w:r>
      <w:r w:rsidRPr="003B250C">
        <w:rPr>
          <w:szCs w:val="16"/>
        </w:rPr>
        <w:t>Due to the small sample size of interviewees, the research team has not provided a detailed breakdown of this group.</w:t>
      </w:r>
    </w:p>
  </w:footnote>
  <w:footnote w:id="87">
    <w:p w14:paraId="5B3E1639" w14:textId="62EBE54B" w:rsidR="00C42D47" w:rsidRDefault="00C42D47" w:rsidP="00C42D47">
      <w:pPr>
        <w:pStyle w:val="FootnoteText"/>
      </w:pPr>
      <w:r>
        <w:rPr>
          <w:rStyle w:val="FootnoteReference"/>
        </w:rPr>
        <w:footnoteRef/>
      </w:r>
      <w:r>
        <w:t xml:space="preserve"> The ABS reports that ‘Due to non-response and low population counts, not every SA1 can be given a meaningful index score. ABS maximises the number of areas that receive a score, while maintaining confidentiality and an acceptable level of quality.’ SA1 scores form the basis of SA2 scores.</w:t>
      </w:r>
    </w:p>
  </w:footnote>
  <w:footnote w:id="88">
    <w:p w14:paraId="5E54604A" w14:textId="77AF1028" w:rsidR="00651189" w:rsidRPr="00737149" w:rsidRDefault="00651189">
      <w:pPr>
        <w:pStyle w:val="FootnoteText"/>
      </w:pPr>
      <w:r>
        <w:rPr>
          <w:rStyle w:val="FootnoteReference"/>
        </w:rPr>
        <w:footnoteRef/>
      </w:r>
      <w:r>
        <w:t xml:space="preserve"> </w:t>
      </w:r>
      <w:r w:rsidR="000F7791">
        <w:t xml:space="preserve">Although the NWC is </w:t>
      </w:r>
      <w:r w:rsidR="000F7791" w:rsidRPr="000F7791">
        <w:t>mandatory for all CCS approved providers and services to participate</w:t>
      </w:r>
      <w:r w:rsidR="000F7791">
        <w:t xml:space="preserve"> under Family Assistance Law, </w:t>
      </w:r>
      <w:r w:rsidR="00C43B75">
        <w:t xml:space="preserve">the 2021 National Report estimates that 99% of services </w:t>
      </w:r>
      <w:r w:rsidR="00737149">
        <w:t xml:space="preserve">responded to the </w:t>
      </w:r>
      <w:r w:rsidR="00737149">
        <w:rPr>
          <w:b/>
          <w:bCs/>
        </w:rPr>
        <w:t xml:space="preserve">Service Section, </w:t>
      </w:r>
      <w:r w:rsidR="00737149">
        <w:t xml:space="preserve">and 98.7% of services responded to the </w:t>
      </w:r>
      <w:r w:rsidR="00737149" w:rsidRPr="00CD38C6">
        <w:rPr>
          <w:b/>
          <w:bCs/>
        </w:rPr>
        <w:t>Staff Section</w:t>
      </w:r>
      <w:r w:rsidR="00737149">
        <w:rPr>
          <w:b/>
          <w:bCs/>
        </w:rPr>
        <w:t xml:space="preserve">. </w:t>
      </w:r>
      <w:r w:rsidR="00A265E0">
        <w:t xml:space="preserve">The NWC excludes services </w:t>
      </w:r>
      <w:r w:rsidR="00D07FC9">
        <w:t xml:space="preserve">that </w:t>
      </w:r>
      <w:r w:rsidR="00A265E0">
        <w:t>did not have any children attending during the reference week</w:t>
      </w:r>
      <w:r w:rsidR="009E1E9F">
        <w:t xml:space="preserve"> </w:t>
      </w:r>
      <w:r w:rsidR="00D07FC9">
        <w:t xml:space="preserve">from the Service Section and </w:t>
      </w:r>
      <w:r w:rsidR="00C145B9">
        <w:t xml:space="preserve">that did not have staff or did not indicate if any workers were working at the service during the reference week from the Staff Section. </w:t>
      </w:r>
      <w:r w:rsidR="00BC62FC">
        <w:t xml:space="preserve">Some CCCFR services may therefore either have not completed the NWC or did not have any children attending during the reference week. This would likely include closure for Sorry Business or COVID-19 reasons. </w:t>
      </w:r>
    </w:p>
  </w:footnote>
  <w:footnote w:id="89">
    <w:p w14:paraId="668105E5" w14:textId="77777777" w:rsidR="00E142B3" w:rsidRDefault="00E142B3" w:rsidP="00E142B3">
      <w:pPr>
        <w:pStyle w:val="FootnoteText"/>
      </w:pPr>
      <w:r>
        <w:rPr>
          <w:rStyle w:val="FootnoteReference"/>
        </w:rPr>
        <w:footnoteRef/>
      </w:r>
      <w:r>
        <w:t xml:space="preserve"> </w:t>
      </w:r>
      <w:r w:rsidRPr="00B629F3">
        <w:t>J Bray et al, Discovering What Works for Families Child Care Package Evaluation: Final Report AUGUST 2021 (February 2022) &lt;https://aifs.gov.au/sites/default/files/2022-12/2021_child_care_package_evaluation_final_report.pdf&gt;.</w:t>
      </w:r>
    </w:p>
  </w:footnote>
  <w:footnote w:id="90">
    <w:p w14:paraId="5306BB20" w14:textId="77777777" w:rsidR="00EE61F0" w:rsidRDefault="00EE61F0" w:rsidP="00EE61F0">
      <w:pPr>
        <w:pStyle w:val="FootnoteText"/>
      </w:pPr>
      <w:r w:rsidRPr="2A996E96">
        <w:rPr>
          <w:rStyle w:val="FootnoteReference"/>
        </w:rPr>
        <w:footnoteRef/>
      </w:r>
      <w:r>
        <w:t xml:space="preserve"> Discussed in many studies, for a comprehensive overview see Pascoe, Susan and Deborah Brennan, Lifting Our Game (December 2017) &lt;https://www.education.vic.gov.au/Documents/about/research/LiftingOurGame.PDF&gt;</w:t>
      </w:r>
    </w:p>
  </w:footnote>
  <w:footnote w:id="91">
    <w:p w14:paraId="4445AB3E" w14:textId="77777777" w:rsidR="00EE61F0" w:rsidRDefault="00EE61F0" w:rsidP="00EE61F0">
      <w:pPr>
        <w:pStyle w:val="FootnoteText"/>
      </w:pPr>
      <w:r w:rsidRPr="2A996E96">
        <w:rPr>
          <w:rStyle w:val="FootnoteReference"/>
        </w:rPr>
        <w:footnoteRef/>
      </w:r>
      <w:r>
        <w:t xml:space="preserve"> Productivity Commission, ‘Draft Report - a Path to Universal Early Childhood Education and Care’ (November 2023) &lt;https://www.pc.gov.au/inquiries/current/childhood/draft/childhood-draft.pdf&gt;.</w:t>
      </w:r>
    </w:p>
  </w:footnote>
  <w:footnote w:id="92">
    <w:p w14:paraId="3651A0F3" w14:textId="3914663E" w:rsidR="006E043D" w:rsidRPr="00CD38C6" w:rsidRDefault="006E043D">
      <w:pPr>
        <w:pStyle w:val="FootnoteText"/>
        <w:rPr>
          <w:lang w:val="en-US"/>
        </w:rPr>
      </w:pPr>
      <w:r>
        <w:rPr>
          <w:rStyle w:val="FootnoteReference"/>
        </w:rPr>
        <w:footnoteRef/>
      </w:r>
      <w:r>
        <w:t xml:space="preserve"> </w:t>
      </w:r>
      <w:r w:rsidR="001A4A9A" w:rsidRPr="001A4A9A">
        <w:t>SNAICC, Dandolo Partners, Rogers J. (2023, unpublished).</w:t>
      </w:r>
    </w:p>
  </w:footnote>
  <w:footnote w:id="93">
    <w:p w14:paraId="3FC74396" w14:textId="24020F64" w:rsidR="00EE61F0" w:rsidRDefault="00EE61F0" w:rsidP="00EE61F0">
      <w:pPr>
        <w:pStyle w:val="FootnoteText"/>
      </w:pPr>
      <w:r w:rsidRPr="2A996E96">
        <w:rPr>
          <w:rStyle w:val="FootnoteReference"/>
        </w:rPr>
        <w:footnoteRef/>
      </w:r>
      <w:r>
        <w:t xml:space="preserve"> Michael Baker, Jonathan Gruber and Kevin Milligan, ‘The Long-Run Impacts of a Universal Child Care Program’ (2019) 11(3) American Economic Journal: Economic Policy 1 &lt;https://www.jstor.org/stable/26754065&gt;; Edward Melhuish et al, ‘Pre-School Experience and Social/Behavioural Development at the End of Year 3 of Primary School’ [2004] Faculty of Social Sciences - Papers (Archive) &lt;https://ro.uow.edu.au/sspapers/1993/&gt;.; Melhuish, Edward &amp; Ereky-Stevens, Katharina &amp; Petrogiannis, Konstantinos &amp; Ariescu, &amp; Penderi, Efthymia &amp; Rentzou, Konstantina &amp; Tawell, Alice &amp; Slot, &amp; Broekhuizen, Martine &amp; Leseman, Paul. A review of research on the effects of early childhood Education and Care (ECEC) upon child development</w:t>
      </w:r>
      <w:r w:rsidR="00FC0894">
        <w:t xml:space="preserve">, </w:t>
      </w:r>
      <w:r w:rsidR="00CF289C">
        <w:t>(2019)</w:t>
      </w:r>
      <w:r w:rsidR="00FC0894">
        <w:t>,</w:t>
      </w:r>
      <w:r>
        <w:t xml:space="preserve"> CARE project. Curriculum Quality Analysis and Impact Review of European Early Childhood Education and Care (ECEC).</w:t>
      </w:r>
    </w:p>
  </w:footnote>
  <w:footnote w:id="94">
    <w:p w14:paraId="5A78B811" w14:textId="77777777" w:rsidR="00EE61F0" w:rsidRDefault="00EE61F0" w:rsidP="00CD38C6">
      <w:pPr>
        <w:pStyle w:val="FootnoteText"/>
      </w:pPr>
      <w:r w:rsidRPr="00CD38C6">
        <w:rPr>
          <w:vertAlign w:val="superscript"/>
        </w:rPr>
        <w:footnoteRef/>
      </w:r>
      <w:r w:rsidRPr="00CD38C6">
        <w:rPr>
          <w:vertAlign w:val="superscript"/>
        </w:rPr>
        <w:t xml:space="preserve"> </w:t>
      </w:r>
      <w:r>
        <w:t>Edward Melhuish and Julian Gardiner, EQUAL HOURS? The Impact of Hours Spent in Early Years Provision on Children’s Outcomes at Age Five, by Socio-Economic Background (2023) &lt;https://www.suttontrust.com/wp-content/uploads/2023/01/Equal-Hours.pdf&gt;.</w:t>
      </w:r>
    </w:p>
  </w:footnote>
  <w:footnote w:id="95">
    <w:p w14:paraId="643A5790" w14:textId="3B15C96B" w:rsidR="00EE61F0" w:rsidRDefault="00EE61F0" w:rsidP="00EE61F0">
      <w:pPr>
        <w:pStyle w:val="FootnoteText"/>
      </w:pPr>
      <w:r w:rsidRPr="2A996E96">
        <w:rPr>
          <w:rStyle w:val="FootnoteReference"/>
        </w:rPr>
        <w:footnoteRef/>
      </w:r>
      <w:r>
        <w:t xml:space="preserve"> Pascoe, Susan and Deborah Brennan, Lifting Our Game (December 2017) &lt;https://www.education.vic.gov.au/Documents/about/research/LiftingOurGame.PDF&gt;; The Australian Government has funded 15 hours of preschool for 40 weeks a year (600 hours), for children in the year before school since 2008, and this measure is used in ABS reporting.</w:t>
      </w:r>
      <w:r w:rsidR="002E497C">
        <w:t xml:space="preserve"> </w:t>
      </w:r>
      <w:r>
        <w:t xml:space="preserve"> </w:t>
      </w:r>
    </w:p>
  </w:footnote>
  <w:footnote w:id="96">
    <w:p w14:paraId="4DBE290A" w14:textId="29D78BA8" w:rsidR="00823D06" w:rsidRPr="00CD38C6" w:rsidRDefault="00823D06">
      <w:pPr>
        <w:pStyle w:val="FootnoteText"/>
        <w:rPr>
          <w:lang w:val="en-US"/>
        </w:rPr>
      </w:pPr>
      <w:r>
        <w:rPr>
          <w:rStyle w:val="FootnoteReference"/>
        </w:rPr>
        <w:footnoteRef/>
      </w:r>
      <w:r>
        <w:t xml:space="preserve"> </w:t>
      </w:r>
      <w:r w:rsidRPr="00823D06">
        <w:t>SNAICC, Dandolo Partners, Rogers J. (2023, unpublished).</w:t>
      </w:r>
    </w:p>
  </w:footnote>
  <w:footnote w:id="97">
    <w:p w14:paraId="51045A35" w14:textId="2B5F7F8D" w:rsidR="006E3FEE" w:rsidRDefault="00A200DC" w:rsidP="006E3FEE">
      <w:pPr>
        <w:pStyle w:val="FootnoteText"/>
      </w:pPr>
      <w:r>
        <w:rPr>
          <w:rStyle w:val="FootnoteReference"/>
        </w:rPr>
        <w:footnoteRef/>
      </w:r>
      <w:r>
        <w:t xml:space="preserve"> </w:t>
      </w:r>
      <w:r w:rsidR="006E3FEE">
        <w:t xml:space="preserve">Productivity Commission, ‘Draft Report - a Path to Universal Early Childhood Education and Care’ (November 2023) </w:t>
      </w:r>
      <w:hyperlink r:id="rId7" w:history="1">
        <w:r w:rsidR="006E3FEE" w:rsidRPr="00465889">
          <w:rPr>
            <w:rStyle w:val="Hyperlink"/>
          </w:rPr>
          <w:t>https://www.pc.gov.au/inquiries/current/childhood/draft/childhood-draft.pdf</w:t>
        </w:r>
      </w:hyperlink>
      <w:r w:rsidR="006E3FEE">
        <w:t xml:space="preserve">, p30. </w:t>
      </w:r>
    </w:p>
    <w:p w14:paraId="6D59915E" w14:textId="2F0594EC" w:rsidR="00A200DC" w:rsidRPr="00CD38C6" w:rsidRDefault="00A200DC">
      <w:pPr>
        <w:pStyle w:val="FootnoteText"/>
        <w:rPr>
          <w:lang w:val="en-US"/>
        </w:rPr>
      </w:pPr>
    </w:p>
  </w:footnote>
  <w:footnote w:id="98">
    <w:p w14:paraId="4E73A343" w14:textId="16AE8CA2" w:rsidR="00192FF9" w:rsidRDefault="00192FF9" w:rsidP="00192FF9">
      <w:pPr>
        <w:pStyle w:val="FootnoteText"/>
      </w:pPr>
      <w:r>
        <w:rPr>
          <w:rStyle w:val="FootnoteReference"/>
        </w:rPr>
        <w:footnoteRef/>
      </w:r>
      <w:r>
        <w:t xml:space="preserve"> Utilisation in services </w:t>
      </w:r>
      <w:r w:rsidR="00512607">
        <w:t>can</w:t>
      </w:r>
      <w:r>
        <w:t xml:space="preserve">not </w:t>
      </w:r>
      <w:r w:rsidR="00512607">
        <w:t xml:space="preserve">be </w:t>
      </w:r>
      <w:r>
        <w:t>directly observed</w:t>
      </w:r>
      <w:r w:rsidR="00512607">
        <w:t xml:space="preserve"> in the data</w:t>
      </w:r>
      <w:r>
        <w:t xml:space="preserve">. </w:t>
      </w:r>
      <w:r w:rsidR="00512607">
        <w:t xml:space="preserve">Consequently, </w:t>
      </w:r>
      <w:r>
        <w:t>‘</w:t>
      </w:r>
      <w:r w:rsidR="00512607">
        <w:t xml:space="preserve">service </w:t>
      </w:r>
      <w:r>
        <w:t xml:space="preserve">utilisation’ is proxied as </w:t>
      </w:r>
      <w:r w:rsidR="00F62740">
        <w:t xml:space="preserve">total </w:t>
      </w:r>
      <w:r>
        <w:t>charged hours</w:t>
      </w:r>
      <w:r w:rsidR="00F62740">
        <w:t xml:space="preserve"> divided by the maximum potential hours</w:t>
      </w:r>
      <w:r>
        <w:t xml:space="preserve">. </w:t>
      </w:r>
      <w:r w:rsidR="00F62740">
        <w:t>‘</w:t>
      </w:r>
      <w:r>
        <w:t>Charged hours</w:t>
      </w:r>
      <w:r w:rsidR="00F62740">
        <w:t>’ represents the</w:t>
      </w:r>
      <w:r w:rsidR="006E4B11">
        <w:t xml:space="preserve"> t</w:t>
      </w:r>
      <w:r w:rsidR="006E4B11" w:rsidRPr="006E4B11">
        <w:t>otal hours for which fees are charged for the week</w:t>
      </w:r>
      <w:r w:rsidR="006E4B11">
        <w:t xml:space="preserve"> across all children</w:t>
      </w:r>
      <w:r w:rsidR="004A4573">
        <w:t xml:space="preserve"> and ca</w:t>
      </w:r>
      <w:r w:rsidR="004E4307">
        <w:t>n</w:t>
      </w:r>
      <w:r w:rsidR="004A4573">
        <w:t xml:space="preserve"> include hours where children do not attend the service</w:t>
      </w:r>
      <w:r w:rsidR="006E4B11">
        <w:t xml:space="preserve">. ‘Maximum potential hours’ represents the total hours </w:t>
      </w:r>
      <w:r w:rsidR="008D2631">
        <w:t xml:space="preserve">of delivery </w:t>
      </w:r>
      <w:r w:rsidR="008B2A7A">
        <w:t xml:space="preserve">that could be supported if the service was fully utilised. </w:t>
      </w:r>
      <w:r w:rsidR="008D2631">
        <w:t xml:space="preserve">Charged hours is </w:t>
      </w:r>
      <w:r w:rsidR="00512607">
        <w:t xml:space="preserve">calculated using </w:t>
      </w:r>
      <w:r>
        <w:t xml:space="preserve">the CCS data across all children within a service. Maximum </w:t>
      </w:r>
      <w:r w:rsidR="00F62740">
        <w:t>‘</w:t>
      </w:r>
      <w:r>
        <w:t>potential hours</w:t>
      </w:r>
      <w:r w:rsidR="00F62740">
        <w:t>’</w:t>
      </w:r>
      <w:r>
        <w:t xml:space="preserve"> is estimated based on licensed capacity X maximum sessions offered per week </w:t>
      </w:r>
      <w:r w:rsidR="004E4307">
        <w:t xml:space="preserve">by services </w:t>
      </w:r>
      <w:r>
        <w:t xml:space="preserve">X maximum charged hours per session. </w:t>
      </w:r>
      <w:r w:rsidR="00512607">
        <w:t xml:space="preserve">Note that </w:t>
      </w:r>
      <w:r w:rsidR="004E4307">
        <w:t xml:space="preserve">this is an imperfect measure of service capacity as only children in the CCS system are captured in the numerator. </w:t>
      </w:r>
    </w:p>
  </w:footnote>
  <w:footnote w:id="99">
    <w:p w14:paraId="6B22F889" w14:textId="10CA7FD0" w:rsidR="00EB76C7" w:rsidRDefault="00EB76C7">
      <w:pPr>
        <w:pStyle w:val="FootnoteText"/>
      </w:pPr>
      <w:r>
        <w:rPr>
          <w:rStyle w:val="FootnoteReference"/>
        </w:rPr>
        <w:footnoteRef/>
      </w:r>
      <w:r>
        <w:t xml:space="preserve"> </w:t>
      </w:r>
      <w:r w:rsidR="00BF6B5A">
        <w:t xml:space="preserve">While preschool participation is not a direct objective of the CCCFR program, it is </w:t>
      </w:r>
      <w:r w:rsidR="006A46E5">
        <w:t xml:space="preserve">one of the few available measures that </w:t>
      </w:r>
      <w:r w:rsidR="00BF6B5A">
        <w:t xml:space="preserve">is associated with improved child developmental outcomes, and transition to schooling. </w:t>
      </w:r>
    </w:p>
  </w:footnote>
  <w:footnote w:id="100">
    <w:p w14:paraId="4D2A788B" w14:textId="7D53CF03" w:rsidR="00496572" w:rsidRDefault="00496572">
      <w:pPr>
        <w:pStyle w:val="FootnoteText"/>
      </w:pPr>
      <w:r>
        <w:rPr>
          <w:rStyle w:val="FootnoteReference"/>
        </w:rPr>
        <w:footnoteRef/>
      </w:r>
      <w:r>
        <w:t xml:space="preserve"> Percentages do not total 100 as children can be enrolled in multiple programs.</w:t>
      </w:r>
    </w:p>
  </w:footnote>
  <w:footnote w:id="101">
    <w:p w14:paraId="6A1CB7D9" w14:textId="25D13BF9" w:rsidR="006A3356" w:rsidRDefault="006A3356">
      <w:pPr>
        <w:pStyle w:val="FootnoteText"/>
      </w:pPr>
      <w:r>
        <w:rPr>
          <w:rStyle w:val="FootnoteReference"/>
        </w:rPr>
        <w:footnoteRef/>
      </w:r>
      <w:r>
        <w:t xml:space="preserve"> I.e. the </w:t>
      </w:r>
      <w:r w:rsidR="00393055">
        <w:t xml:space="preserve">smaller </w:t>
      </w:r>
      <w:r>
        <w:t xml:space="preserve">geographic area </w:t>
      </w:r>
      <w:r w:rsidR="00BB7F37">
        <w:t>in which the CCCFR service is located is compared to the</w:t>
      </w:r>
      <w:r w:rsidR="00393055">
        <w:t xml:space="preserve"> other geographic areas near it that do not have a CCCFR service. </w:t>
      </w:r>
    </w:p>
  </w:footnote>
  <w:footnote w:id="102">
    <w:p w14:paraId="5DE8022C" w14:textId="3E07814B" w:rsidR="006616D7" w:rsidRDefault="006616D7">
      <w:pPr>
        <w:pStyle w:val="FootnoteText"/>
      </w:pPr>
      <w:r>
        <w:rPr>
          <w:rStyle w:val="FootnoteReference"/>
        </w:rPr>
        <w:footnoteRef/>
      </w:r>
      <w:r>
        <w:t xml:space="preserve"> </w:t>
      </w:r>
      <w:r w:rsidR="00DA621C">
        <w:t xml:space="preserve">‘Pp’ represents ‘percentage point’. </w:t>
      </w:r>
    </w:p>
  </w:footnote>
  <w:footnote w:id="103">
    <w:p w14:paraId="3293306E" w14:textId="6C282DDA" w:rsidR="00077E82" w:rsidRDefault="00077E82" w:rsidP="00077E82">
      <w:pPr>
        <w:pStyle w:val="FootnoteText"/>
      </w:pPr>
      <w:r>
        <w:rPr>
          <w:rStyle w:val="FootnoteReference"/>
        </w:rPr>
        <w:footnoteRef/>
      </w:r>
      <w:r>
        <w:t xml:space="preserve"> Primary carer workforce participation is proxied by women aged 20-39 years old, with children.</w:t>
      </w:r>
    </w:p>
  </w:footnote>
  <w:footnote w:id="104">
    <w:p w14:paraId="45985D08" w14:textId="4FAE507E" w:rsidR="00C46A1D" w:rsidRDefault="00C46A1D">
      <w:pPr>
        <w:pStyle w:val="FootnoteText"/>
      </w:pPr>
      <w:r>
        <w:rPr>
          <w:rStyle w:val="FootnoteReference"/>
        </w:rPr>
        <w:footnoteRef/>
      </w:r>
      <w:r>
        <w:t xml:space="preserve"> </w:t>
      </w:r>
      <w:r w:rsidRPr="00C46A1D">
        <w:t>While ‘building capacity’ is ambiguous as to whether it involves building operational and financial capacity, or building physical capacity to cater for child care, most services which spoke to this theme discussed it in a business sense.</w:t>
      </w:r>
    </w:p>
  </w:footnote>
  <w:footnote w:id="105">
    <w:p w14:paraId="27EBD3C0" w14:textId="46C7160F" w:rsidR="00845808" w:rsidRDefault="00845808">
      <w:pPr>
        <w:pStyle w:val="FootnoteText"/>
      </w:pPr>
      <w:r>
        <w:rPr>
          <w:rStyle w:val="FootnoteReference"/>
        </w:rPr>
        <w:footnoteRef/>
      </w:r>
      <w:r>
        <w:t xml:space="preserve"> </w:t>
      </w:r>
      <w:r w:rsidR="00C70D2D" w:rsidRPr="00C70D2D">
        <w:t>Department of Education, ‘Community Child Care Fund Restricted Grants – Guide for Grant Recipients - Department of Education, Australian Government’, Department of Education (2023) &lt;https://www.education.gov.au/early-childhood/resources/community-child-care-fund-restricted-grants-guide-grant-recipients&gt;.</w:t>
      </w:r>
    </w:p>
  </w:footnote>
  <w:footnote w:id="106">
    <w:p w14:paraId="3BACB10B" w14:textId="67249342" w:rsidR="000F6426" w:rsidRDefault="000F6426">
      <w:pPr>
        <w:pStyle w:val="FootnoteText"/>
      </w:pPr>
      <w:r>
        <w:rPr>
          <w:rStyle w:val="FootnoteReference"/>
        </w:rPr>
        <w:footnoteRef/>
      </w:r>
      <w:r>
        <w:t xml:space="preserve"> </w:t>
      </w:r>
      <w:r w:rsidR="009F4BA6" w:rsidRPr="00C70D2D">
        <w:t>Department of Education, Australian Government’, Department of Education (2023) &lt;https://www.education.gov.au/early-childhood/resources/community-child-care-fund-restricted-grants-guide-grant-recipients&gt;.</w:t>
      </w:r>
    </w:p>
  </w:footnote>
  <w:footnote w:id="107">
    <w:p w14:paraId="22ABA0BB" w14:textId="77777777" w:rsidR="00AA6CDC" w:rsidRPr="0037691D" w:rsidRDefault="00AA6CDC" w:rsidP="00AA6CDC">
      <w:pPr>
        <w:pStyle w:val="FootnoteText"/>
      </w:pPr>
      <w:r w:rsidRPr="0037691D">
        <w:rPr>
          <w:rStyle w:val="FootnoteReference"/>
        </w:rPr>
        <w:footnoteRef/>
      </w:r>
      <w:r w:rsidRPr="0037691D">
        <w:t xml:space="preserve"> The Department was asked to define a number of phrases used within the CCCFR (non-competitive) grant guidelines. A working definition of vulnerability and disadvantage was supplied</w:t>
      </w:r>
      <w:r>
        <w:t xml:space="preserve"> and workshopped with the Deloitte Access Economics team</w:t>
      </w:r>
      <w:r w:rsidRPr="0037691D">
        <w:t>:</w:t>
      </w:r>
      <w:r>
        <w:t xml:space="preserve"> </w:t>
      </w:r>
      <w:r w:rsidRPr="0037691D">
        <w:t>Vulnerability could be considered as encompassing a number of individual and environmental elements, such as:</w:t>
      </w:r>
    </w:p>
    <w:p w14:paraId="2D41DBA9" w14:textId="77777777" w:rsidR="00AA6CDC" w:rsidRPr="006B3AAE" w:rsidRDefault="2B91AEFB" w:rsidP="00171325">
      <w:pPr>
        <w:pStyle w:val="FootnoteText"/>
        <w:numPr>
          <w:ilvl w:val="0"/>
          <w:numId w:val="3"/>
        </w:numPr>
        <w:ind w:left="641" w:hanging="357"/>
      </w:pPr>
      <w:r>
        <w:t>Socio-economic vulnerability – e.g. limited financial resources, economic and resource insecurity</w:t>
      </w:r>
    </w:p>
    <w:p w14:paraId="52949EF0" w14:textId="77777777" w:rsidR="00AA6CDC" w:rsidRPr="006B3AAE" w:rsidRDefault="2B91AEFB" w:rsidP="00171325">
      <w:pPr>
        <w:pStyle w:val="FootnoteText"/>
        <w:numPr>
          <w:ilvl w:val="0"/>
          <w:numId w:val="3"/>
        </w:numPr>
        <w:ind w:left="641" w:hanging="357"/>
      </w:pPr>
      <w:r>
        <w:t>Social vulnerability – e.g. marginalisation and barriers to social and cultural inclusion and connectedness</w:t>
      </w:r>
    </w:p>
    <w:p w14:paraId="2AA22E09" w14:textId="77777777" w:rsidR="00AA6CDC" w:rsidRPr="006B3AAE" w:rsidRDefault="2B91AEFB" w:rsidP="00171325">
      <w:pPr>
        <w:pStyle w:val="FootnoteText"/>
        <w:numPr>
          <w:ilvl w:val="0"/>
          <w:numId w:val="3"/>
        </w:numPr>
        <w:ind w:left="641" w:hanging="357"/>
      </w:pPr>
      <w:r>
        <w:t>Health vulnerability – e.g. limits around access to health services, intergenerational health conditions, children with a disability (or chronic health condition), and children of parents/carers with a disability, as well as broader limited knowledge of preventative health practices</w:t>
      </w:r>
    </w:p>
    <w:p w14:paraId="2ACCE8BC" w14:textId="77777777" w:rsidR="00AA6CDC" w:rsidRPr="006B3AAE" w:rsidRDefault="2B91AEFB" w:rsidP="00171325">
      <w:pPr>
        <w:pStyle w:val="FootnoteText"/>
        <w:numPr>
          <w:ilvl w:val="0"/>
          <w:numId w:val="3"/>
        </w:numPr>
        <w:ind w:left="641" w:hanging="357"/>
      </w:pPr>
      <w:r>
        <w:t>Housing vulnerability – e.g. lack of access to safe and affordable housing</w:t>
      </w:r>
    </w:p>
    <w:p w14:paraId="1209497E" w14:textId="77777777" w:rsidR="00AA6CDC" w:rsidRPr="0037691D" w:rsidRDefault="2B91AEFB" w:rsidP="00171325">
      <w:pPr>
        <w:pStyle w:val="FootnoteText"/>
        <w:numPr>
          <w:ilvl w:val="0"/>
          <w:numId w:val="3"/>
        </w:numPr>
        <w:ind w:left="641" w:hanging="357"/>
      </w:pPr>
      <w:r>
        <w:t>Educational vulnerability – e.g. reduced or limited access to high quality education</w:t>
      </w:r>
    </w:p>
    <w:p w14:paraId="09552E69" w14:textId="77777777" w:rsidR="00AA6CDC" w:rsidRPr="0037691D" w:rsidRDefault="2B91AEFB" w:rsidP="00171325">
      <w:pPr>
        <w:pStyle w:val="FootnoteText"/>
        <w:numPr>
          <w:ilvl w:val="0"/>
          <w:numId w:val="3"/>
        </w:numPr>
        <w:ind w:left="641" w:hanging="357"/>
      </w:pPr>
      <w:r>
        <w:t>Rural and remote – vulnerable and geographically disadvantaged access</w:t>
      </w:r>
    </w:p>
  </w:footnote>
  <w:footnote w:id="108">
    <w:p w14:paraId="6BCC8132" w14:textId="77777777" w:rsidR="00B34E38" w:rsidRDefault="003F07C9" w:rsidP="00B34E38">
      <w:pPr>
        <w:pStyle w:val="FootnoteText"/>
      </w:pPr>
      <w:r>
        <w:rPr>
          <w:rStyle w:val="FootnoteReference"/>
        </w:rPr>
        <w:footnoteRef/>
      </w:r>
      <w:r>
        <w:t xml:space="preserve"> </w:t>
      </w:r>
      <w:r w:rsidR="00B34E38">
        <w:t>William Fogarty, Hannah Bulloch, Siobhan McDonnell &amp; Michael Davis, Deficit Discourse</w:t>
      </w:r>
    </w:p>
    <w:p w14:paraId="679AC18B" w14:textId="1F8542A4" w:rsidR="003F07C9" w:rsidRPr="004C4EA9" w:rsidRDefault="00B34E38" w:rsidP="003F07C9">
      <w:pPr>
        <w:pStyle w:val="FootnoteText"/>
      </w:pPr>
      <w:r>
        <w:t>and Indigenous Health (May 2018), The Lowitja Institute &amp; National Centre for Indigenous Studies, &lt;https://www.lowitja.org.au/wp-content/uploads/2023/05/deficit-discourse.pdf&gt;</w:t>
      </w:r>
    </w:p>
    <w:p w14:paraId="36FFE017" w14:textId="77777777" w:rsidR="003F07C9" w:rsidRPr="00CD38C6" w:rsidRDefault="003F07C9" w:rsidP="003F07C9">
      <w:pPr>
        <w:pStyle w:val="FootnoteText"/>
        <w:rPr>
          <w:lang w:val="en-US"/>
        </w:rPr>
      </w:pPr>
    </w:p>
  </w:footnote>
  <w:footnote w:id="109">
    <w:p w14:paraId="07C8B9C2" w14:textId="0ABF0119" w:rsidR="008420C6" w:rsidRDefault="008420C6">
      <w:pPr>
        <w:pStyle w:val="FootnoteText"/>
      </w:pPr>
      <w:r>
        <w:rPr>
          <w:rStyle w:val="FootnoteReference"/>
        </w:rPr>
        <w:footnoteRef/>
      </w:r>
      <w:r>
        <w:t xml:space="preserve"> </w:t>
      </w:r>
      <w:r w:rsidR="00D40289">
        <w:t>Note the final Early Years Strategy had not been released at the time this review was finalised.</w:t>
      </w:r>
    </w:p>
  </w:footnote>
  <w:footnote w:id="110">
    <w:p w14:paraId="0ACE464F" w14:textId="09B6F149" w:rsidR="00DD6ECA" w:rsidRDefault="00DD6ECA" w:rsidP="00DD6ECA">
      <w:pPr>
        <w:pStyle w:val="FootnoteText"/>
      </w:pPr>
      <w:r>
        <w:rPr>
          <w:rStyle w:val="FootnoteReference"/>
        </w:rPr>
        <w:footnoteRef/>
      </w:r>
      <w:r>
        <w:t xml:space="preserve"> </w:t>
      </w:r>
      <w:r w:rsidRPr="008245A3">
        <w:t>Department of Education, ‘Draft National Vision for Early Childhood Education and Care - Department of Education, Australian Government’, Department of Education (2023) &lt;https://www.education.gov.au/early-childhood/resources/draft-national-vision-early-childhood-education-and-care</w:t>
      </w:r>
      <w:r w:rsidRPr="008647ED">
        <w:t>&gt;.</w:t>
      </w:r>
      <w:r>
        <w:t xml:space="preserve">; </w:t>
      </w:r>
      <w:r w:rsidRPr="008647ED">
        <w:t>Australian Government Department of Social Services, ‘National Early Years Summit Summary and Agenda | Department of Social Services, Australian Government’, www.dss.gov.au &lt;https://www.dss.gov.au/families-and-children-programs-services-early-years-strategy/national-early-years-summit-summary-and-agenda&gt;.</w:t>
      </w:r>
    </w:p>
  </w:footnote>
  <w:footnote w:id="111">
    <w:p w14:paraId="266BECA3" w14:textId="77777777" w:rsidR="00DD6ECA" w:rsidRDefault="00DD6ECA" w:rsidP="00DD6ECA">
      <w:pPr>
        <w:pStyle w:val="FootnoteText"/>
      </w:pPr>
      <w:r>
        <w:rPr>
          <w:rStyle w:val="FootnoteReference"/>
        </w:rPr>
        <w:footnoteRef/>
      </w:r>
      <w:r>
        <w:t xml:space="preserve"> </w:t>
      </w:r>
      <w:r w:rsidRPr="005B2D00">
        <w:t>Productivity Commission, ‘Draft Report - Early Childhood Education and Care’, www.pc.gov.au (23 November 2023) &lt;https://www.pc.gov.au/inquiries/current/childhood/draft&gt;</w:t>
      </w:r>
      <w:r>
        <w:t xml:space="preserve">; </w:t>
      </w:r>
      <w:r w:rsidRPr="001A2E49">
        <w:t>Australian Competition and Consumer Commission, ‘Childcare Inquiry 2023: September 2023 Interim Report’, www.accc.gov.au (1 October 2023) &lt;https://www.accc.gov.au/inquiries-and-consultations/childcare-inquiry-2023/september-2023-interim-report&gt;.</w:t>
      </w:r>
    </w:p>
  </w:footnote>
  <w:footnote w:id="112">
    <w:p w14:paraId="1561FBF0" w14:textId="77777777" w:rsidR="00DD6ECA" w:rsidRDefault="00DD6ECA" w:rsidP="00DD6ECA">
      <w:pPr>
        <w:pStyle w:val="FootnoteText"/>
      </w:pPr>
      <w:r>
        <w:rPr>
          <w:rStyle w:val="FootnoteReference"/>
        </w:rPr>
        <w:footnoteRef/>
      </w:r>
      <w:r>
        <w:t xml:space="preserve"> </w:t>
      </w:r>
      <w:r w:rsidRPr="00286589">
        <w:t>National Indigenous Australians Agency, ‘National Aboriginal and Torres Strait Islander Early Childhood Strategy’, www.niaa.gov.au (11 October 2021) &lt;https://www.niaa.gov.au/resource-centre/indigenous-affairs/national-aboriginal-and-torres-strait-islander-early-childhood-strategy&gt;.</w:t>
      </w:r>
      <w:r>
        <w:t xml:space="preserve">; </w:t>
      </w:r>
      <w:r w:rsidRPr="008647ED">
        <w:t>Australian Government Department of Social Services, ‘National Early Years Summit Summary and Agenda | Department of Social Services, Australian Government’, www.dss.gov.au &lt;https://www.dss.gov.au/families-and-children-programs-services-early-years-strategy/national-early-years-summit-summary-and-agenda&gt;</w:t>
      </w:r>
      <w:r>
        <w:t xml:space="preserve">.; </w:t>
      </w:r>
      <w:r w:rsidRPr="00993CD5">
        <w:t>Australian Government, ‘National Agreement on Closing the Gap ’, www.closingthegap.gov.au (2020) &lt;https://www.closingthegap.gov.au/national-agreement/national-agreement-closing-the-gap&gt;.</w:t>
      </w:r>
    </w:p>
  </w:footnote>
  <w:footnote w:id="113">
    <w:p w14:paraId="6B0AEE0B" w14:textId="4155DBA6" w:rsidR="00DD6ECA" w:rsidRDefault="00DD6ECA" w:rsidP="00DD6ECA">
      <w:pPr>
        <w:pStyle w:val="FootnoteText"/>
      </w:pPr>
      <w:r>
        <w:rPr>
          <w:rStyle w:val="FootnoteReference"/>
        </w:rPr>
        <w:footnoteRef/>
      </w:r>
      <w:r>
        <w:t xml:space="preserve"> </w:t>
      </w:r>
      <w:r w:rsidRPr="00993CD5">
        <w:t xml:space="preserve">Australian Government, ‘National Agreement on Closing the </w:t>
      </w:r>
      <w:r w:rsidR="00A068C3" w:rsidRPr="00993CD5">
        <w:t>Gap’</w:t>
      </w:r>
      <w:r w:rsidRPr="00993CD5">
        <w:t>, www.closingthegap.gov.au (2020) &lt;https://www.closingthegap.gov.au/national-agreement/national-agreement-closing-the-gap&gt;.</w:t>
      </w:r>
    </w:p>
  </w:footnote>
  <w:footnote w:id="114">
    <w:p w14:paraId="1D5AFD41" w14:textId="77777777" w:rsidR="00DD6ECA" w:rsidRDefault="00DD6ECA" w:rsidP="00DD6ECA">
      <w:pPr>
        <w:pStyle w:val="FootnoteText"/>
      </w:pPr>
      <w:r>
        <w:rPr>
          <w:rStyle w:val="FootnoteReference"/>
        </w:rPr>
        <w:footnoteRef/>
      </w:r>
      <w:r>
        <w:t xml:space="preserve"> </w:t>
      </w:r>
      <w:r w:rsidRPr="008647ED">
        <w:t>Department of Social Services, Australian Government’, www.dss.gov.au &lt;https://www.dss.gov.au/families-and-children-programs-services-early-years-strategy/national-early-years-summit-summary-and-agenda&gt;</w:t>
      </w:r>
    </w:p>
  </w:footnote>
  <w:footnote w:id="115">
    <w:p w14:paraId="46B277C3" w14:textId="77777777" w:rsidR="00DD6ECA" w:rsidRDefault="00DD6ECA" w:rsidP="00DD6ECA">
      <w:pPr>
        <w:pStyle w:val="FootnoteText"/>
      </w:pPr>
      <w:r>
        <w:rPr>
          <w:rStyle w:val="FootnoteReference"/>
        </w:rPr>
        <w:footnoteRef/>
      </w:r>
      <w:r>
        <w:t xml:space="preserve"> </w:t>
      </w:r>
      <w:r w:rsidRPr="005B2D00">
        <w:t>Productivity Commission, ‘Draft Report - Early Childhood Education and Care’, www.pc.gov.au (23 November 2023) &lt;https://www.pc.gov.au/inquiries/current/childhood/draft&gt;</w:t>
      </w:r>
      <w:r>
        <w:t xml:space="preserve">; </w:t>
      </w:r>
      <w:r w:rsidRPr="001A2E49">
        <w:t>Australian Competition and Consumer Commission, ‘Childcare Inquiry 2023: September 2023 Interim Report’, www.accc.gov.au (1 October 2023) &lt;https://www.accc.gov.au/inquiries-and-consultations/childcare-inquiry-2023/september-2023-interim-report&gt;.</w:t>
      </w:r>
    </w:p>
  </w:footnote>
  <w:footnote w:id="116">
    <w:p w14:paraId="17EB0379" w14:textId="2FEBCB9A" w:rsidR="001F546E" w:rsidRDefault="001F546E">
      <w:pPr>
        <w:pStyle w:val="FootnoteText"/>
      </w:pPr>
      <w:r>
        <w:rPr>
          <w:rStyle w:val="FootnoteReference"/>
        </w:rPr>
        <w:footnoteRef/>
      </w:r>
      <w:r>
        <w:t xml:space="preserve"> T</w:t>
      </w:r>
      <w:r w:rsidRPr="001F546E">
        <w:t xml:space="preserve">his should be treated with caution, as the many and varied barriers to accessing child care mean that the reasons for low utilisation and low engagement may warrant </w:t>
      </w:r>
      <w:r w:rsidRPr="001F546E">
        <w:rPr>
          <w:i/>
          <w:iCs/>
        </w:rPr>
        <w:t xml:space="preserve">additional </w:t>
      </w:r>
      <w:r w:rsidRPr="001F546E">
        <w:t xml:space="preserve">funding, rather than less. The review recommendations 5-19 aim to ensure </w:t>
      </w:r>
      <w:r>
        <w:t xml:space="preserve">that </w:t>
      </w:r>
      <w:r w:rsidR="005062D1">
        <w:t>CCCFR services are able to improve their delivery profile, and their outcomes, meaning that utilisation and engagement may improve.</w:t>
      </w:r>
    </w:p>
  </w:footnote>
  <w:footnote w:id="117">
    <w:p w14:paraId="712DE740" w14:textId="2A0541D2" w:rsidR="004C7084" w:rsidRDefault="004C7084">
      <w:pPr>
        <w:pStyle w:val="FootnoteText"/>
      </w:pPr>
      <w:r>
        <w:rPr>
          <w:rStyle w:val="FootnoteReference"/>
        </w:rPr>
        <w:footnoteRef/>
      </w:r>
      <w:r>
        <w:t xml:space="preserve"> Note the final Early Years Strategy had not been released at the time this review was finalised.</w:t>
      </w:r>
    </w:p>
  </w:footnote>
  <w:footnote w:id="118">
    <w:p w14:paraId="60C44504" w14:textId="77777777" w:rsidR="001A2605" w:rsidRDefault="001A2605" w:rsidP="001A2605">
      <w:pPr>
        <w:pStyle w:val="FootnoteText"/>
      </w:pPr>
      <w:r>
        <w:rPr>
          <w:rStyle w:val="FootnoteReference"/>
        </w:rPr>
        <w:footnoteRef/>
      </w:r>
      <w:r>
        <w:t xml:space="preserve"> Some BBF services moved to DSS funding in 2018 instead of to the CCCFR grant. In 2023 these services were transitioned into the </w:t>
      </w:r>
      <w:r w:rsidRPr="00221B18">
        <w:t>Children and Parenting Support</w:t>
      </w:r>
      <w:r>
        <w:t xml:space="preserve"> program under a solely administrative change which did not affect service delivery. </w:t>
      </w:r>
    </w:p>
  </w:footnote>
  <w:footnote w:id="119">
    <w:p w14:paraId="0B3278A9" w14:textId="2DBDF603" w:rsidR="00B95A8E" w:rsidRDefault="00B95A8E">
      <w:pPr>
        <w:pStyle w:val="FootnoteText"/>
      </w:pPr>
      <w:r>
        <w:rPr>
          <w:rStyle w:val="FootnoteReference"/>
        </w:rPr>
        <w:footnoteRef/>
      </w:r>
      <w:r>
        <w:t xml:space="preserve"> </w:t>
      </w:r>
      <w:r w:rsidR="00236073" w:rsidRPr="00236073">
        <w:t xml:space="preserve">Productivity Commission, </w:t>
      </w:r>
      <w:r w:rsidR="00236073" w:rsidRPr="00236073">
        <w:rPr>
          <w:i/>
          <w:iCs/>
        </w:rPr>
        <w:t>Review of the National Agreement on Closing the Gap Study Report Volume 1</w:t>
      </w:r>
      <w:r w:rsidR="00236073" w:rsidRPr="00236073">
        <w:t xml:space="preserve"> (January 2024) &lt;</w:t>
      </w:r>
      <w:hyperlink r:id="rId8" w:history="1">
        <w:r w:rsidR="00236073" w:rsidRPr="00236073">
          <w:rPr>
            <w:rStyle w:val="Hyperlink"/>
          </w:rPr>
          <w:t>https://www.pc.gov.au/inquiries/completed/closing-the-gap-review/report/closing-the-gap-review-report.pdf</w:t>
        </w:r>
      </w:hyperlink>
      <w:r w:rsidR="00236073" w:rsidRPr="00236073">
        <w:t>&gt;.</w:t>
      </w:r>
    </w:p>
  </w:footnote>
  <w:footnote w:id="120">
    <w:p w14:paraId="1F5EDFE2" w14:textId="4677F52D" w:rsidR="00F72D9D" w:rsidRDefault="00F72D9D">
      <w:pPr>
        <w:pStyle w:val="FootnoteText"/>
      </w:pPr>
      <w:r>
        <w:rPr>
          <w:rStyle w:val="FootnoteReference"/>
        </w:rPr>
        <w:footnoteRef/>
      </w:r>
      <w:r>
        <w:t xml:space="preserve"> Noting that in some cases, </w:t>
      </w:r>
      <w:r w:rsidR="0079344B">
        <w:t xml:space="preserve">the types of activities and services offered under previous funding models were distinct from those offered under the CCCFR grant, for instance, some services were not offering child care under the Department’s definition under the BBF modle. </w:t>
      </w:r>
    </w:p>
  </w:footnote>
  <w:footnote w:id="121">
    <w:p w14:paraId="0A5741C0" w14:textId="33357200" w:rsidR="004B7F0E" w:rsidRDefault="004B7F0E">
      <w:pPr>
        <w:pStyle w:val="FootnoteText"/>
      </w:pPr>
      <w:r>
        <w:rPr>
          <w:rStyle w:val="FootnoteReference"/>
        </w:rPr>
        <w:footnoteRef/>
      </w:r>
      <w:r>
        <w:t xml:space="preserve"> The Inclusion Support Program (ISP) </w:t>
      </w:r>
      <w:r w:rsidR="008075E8" w:rsidRPr="008075E8">
        <w:t>helps children with additional needs participate in early childhood education and care. It provides tailored support and funding to services to address barriers to inclusion.</w:t>
      </w:r>
      <w:r w:rsidR="008075E8">
        <w:t xml:space="preserve"> </w:t>
      </w:r>
      <w:r w:rsidR="00C22F50">
        <w:t xml:space="preserve">For more information on the ISP. </w:t>
      </w:r>
    </w:p>
  </w:footnote>
  <w:footnote w:id="122">
    <w:p w14:paraId="1C63A53F" w14:textId="5FEB5CF5" w:rsidR="00E447A6" w:rsidRDefault="00E447A6">
      <w:pPr>
        <w:pStyle w:val="FootnoteText"/>
      </w:pPr>
      <w:r w:rsidRPr="002F5C78">
        <w:rPr>
          <w:rStyle w:val="FootnoteReference"/>
        </w:rPr>
        <w:footnoteRef/>
      </w:r>
      <w:r w:rsidRPr="002F5C78">
        <w:t xml:space="preserve"> Deloitte Access Economics, CCCFR service survey</w:t>
      </w:r>
      <w:r w:rsidR="003F2ED4">
        <w:t xml:space="preserve"> (</w:t>
      </w:r>
      <w:r w:rsidR="00FB6E39">
        <w:t>2</w:t>
      </w:r>
      <w:r w:rsidR="003F2ED4">
        <w:t>023)</w:t>
      </w:r>
      <w:r w:rsidRPr="002F5C78">
        <w:t>.</w:t>
      </w:r>
      <w:r>
        <w:t xml:space="preserve"> </w:t>
      </w:r>
    </w:p>
  </w:footnote>
  <w:footnote w:id="123">
    <w:p w14:paraId="4DF4E8A4" w14:textId="601943B4" w:rsidR="00664343" w:rsidRDefault="00664343" w:rsidP="00664343">
      <w:pPr>
        <w:pStyle w:val="FootnoteText"/>
      </w:pPr>
      <w:r>
        <w:rPr>
          <w:rStyle w:val="FootnoteReference"/>
        </w:rPr>
        <w:footnoteRef/>
      </w:r>
      <w:r>
        <w:t xml:space="preserve"> </w:t>
      </w:r>
      <w:r w:rsidRPr="00576FA9">
        <w:t>Note: while ‘early childhood’ often refers to ages 0-5 years old in policy discussions, some CCCFR grant recipients provide services to older, primary school age, children as OSHC and Vacation Care. These services did not distinguish between early childhood development outcomes and the cohorts they care for.</w:t>
      </w:r>
      <w:r>
        <w:t xml:space="preserve"> </w:t>
      </w:r>
    </w:p>
  </w:footnote>
  <w:footnote w:id="124">
    <w:p w14:paraId="04C5FDFD" w14:textId="632B8B29" w:rsidR="0018350D" w:rsidRDefault="0018350D">
      <w:pPr>
        <w:pStyle w:val="FootnoteText"/>
      </w:pPr>
      <w:r>
        <w:rPr>
          <w:rStyle w:val="FootnoteReference"/>
        </w:rPr>
        <w:footnoteRef/>
      </w:r>
      <w:r>
        <w:t xml:space="preserve"> Th</w:t>
      </w:r>
      <w:r w:rsidR="00A779B4">
        <w:t xml:space="preserve">e CCCFR grant expansion is out of the scope of this review. </w:t>
      </w:r>
    </w:p>
  </w:footnote>
  <w:footnote w:id="125">
    <w:p w14:paraId="5CA4ACD4" w14:textId="7FF46F7D" w:rsidR="005062D1" w:rsidRDefault="005062D1">
      <w:pPr>
        <w:pStyle w:val="FootnoteText"/>
      </w:pPr>
      <w:r>
        <w:rPr>
          <w:rStyle w:val="FootnoteReference"/>
        </w:rPr>
        <w:footnoteRef/>
      </w:r>
      <w:r>
        <w:t xml:space="preserve"> </w:t>
      </w:r>
      <w:r w:rsidR="00CC4BEF">
        <w:t xml:space="preserve">Using 2023 CCS data and </w:t>
      </w:r>
      <w:r w:rsidR="00A444D4">
        <w:t xml:space="preserve">where </w:t>
      </w:r>
      <w:r w:rsidR="0060307C">
        <w:t>utilisation is not equal to 0.</w:t>
      </w:r>
    </w:p>
  </w:footnote>
  <w:footnote w:id="126">
    <w:p w14:paraId="49F2428D" w14:textId="40872A37" w:rsidR="003046D5" w:rsidRDefault="003046D5">
      <w:pPr>
        <w:pStyle w:val="FootnoteText"/>
      </w:pPr>
      <w:r>
        <w:rPr>
          <w:rStyle w:val="FootnoteReference"/>
        </w:rPr>
        <w:footnoteRef/>
      </w:r>
      <w:r>
        <w:t xml:space="preserve"> Deloitte Access Economics (2023), CCCFR service survey. </w:t>
      </w:r>
    </w:p>
  </w:footnote>
  <w:footnote w:id="127">
    <w:p w14:paraId="5727BED9" w14:textId="0DCE27B7" w:rsidR="00C35A2D" w:rsidRPr="008B6199" w:rsidRDefault="00C35A2D" w:rsidP="00C35A2D">
      <w:pPr>
        <w:pStyle w:val="FootnoteText"/>
      </w:pPr>
      <w:r w:rsidRPr="008B6199">
        <w:rPr>
          <w:rStyle w:val="FootnoteReference"/>
        </w:rPr>
        <w:footnoteRef/>
      </w:r>
      <w:r w:rsidRPr="008B6199">
        <w:t xml:space="preserve"> Australian Government Department of Education and Training, Community Child Care Fund</w:t>
      </w:r>
    </w:p>
    <w:p w14:paraId="7A86F030" w14:textId="28D11FAA" w:rsidR="00C35A2D" w:rsidRDefault="00C35A2D" w:rsidP="00C35A2D">
      <w:pPr>
        <w:pStyle w:val="FootnoteText"/>
      </w:pPr>
      <w:r w:rsidRPr="008B6199">
        <w:t>- Restricted non-competitive grant opportunity (for specified services) Guidelines</w:t>
      </w:r>
      <w:r w:rsidR="007B2032">
        <w:t xml:space="preserve"> (February 2017)</w:t>
      </w:r>
      <w:r w:rsidRPr="008B6199">
        <w:t>. &lt; https://www.grants.gov.au/Fo/DownloadDocument/e99c0c70-f434-c990-87d3-6ddebfa904f5?docType=Fo&amp;fileName=CCCF%20Restricted%20non-competitive%20grant%20opportunity%20guidelines%20%20311017.pdf&amp;location=s3Restricted&gt;</w:t>
      </w:r>
    </w:p>
  </w:footnote>
  <w:footnote w:id="128">
    <w:p w14:paraId="41A9ED81" w14:textId="5C305C0D" w:rsidR="005056D7" w:rsidRDefault="005056D7">
      <w:pPr>
        <w:pStyle w:val="FootnoteText"/>
      </w:pPr>
      <w:r>
        <w:rPr>
          <w:rStyle w:val="FootnoteReference"/>
        </w:rPr>
        <w:footnoteRef/>
      </w:r>
      <w:r>
        <w:t xml:space="preserve"> </w:t>
      </w:r>
      <w:r w:rsidR="000543AD">
        <w:t xml:space="preserve">This detail is yet to be confirmed, and it may be the case that it was only NFFOCC or IAS services who initially declined. </w:t>
      </w:r>
    </w:p>
  </w:footnote>
  <w:footnote w:id="129">
    <w:p w14:paraId="5D7E0AF8" w14:textId="4ED43388" w:rsidR="003D6A3C" w:rsidRPr="008B6199" w:rsidRDefault="003D6A3C" w:rsidP="003D6A3C">
      <w:pPr>
        <w:pStyle w:val="FootnoteText"/>
      </w:pPr>
      <w:r w:rsidRPr="008B6199">
        <w:rPr>
          <w:rStyle w:val="FootnoteReference"/>
        </w:rPr>
        <w:footnoteRef/>
      </w:r>
      <w:r w:rsidRPr="008B6199">
        <w:t xml:space="preserve"> Australian Government Department of Education and Training, Community Child Care Fund</w:t>
      </w:r>
    </w:p>
    <w:p w14:paraId="7769B2E6" w14:textId="59F3AC67" w:rsidR="003D6A3C" w:rsidRDefault="003D6A3C" w:rsidP="003D6A3C">
      <w:pPr>
        <w:pStyle w:val="FootnoteText"/>
      </w:pPr>
      <w:r w:rsidRPr="008B6199">
        <w:t>- Restricted non-competitive grant opportunity (for specified services) Guidelines</w:t>
      </w:r>
      <w:r w:rsidR="00BA38EE">
        <w:t xml:space="preserve"> (February 2017)</w:t>
      </w:r>
      <w:r w:rsidRPr="008B6199">
        <w:t>. &lt; https://www.grants.gov.au/Fo/DownloadDocument/e99c0c70-f434-c990-87d3-6ddebfa904f5?docType=Fo&amp;fileName=CCCF%20Restricted%20non-competitive%20grant%20opportunity%20guidelines%20%20311017.pdf&amp;location=s3Restricted&gt;</w:t>
      </w:r>
    </w:p>
  </w:footnote>
  <w:footnote w:id="130">
    <w:p w14:paraId="5A14BEBE" w14:textId="37F3B71E" w:rsidR="00435B4E" w:rsidRDefault="00435B4E">
      <w:pPr>
        <w:pStyle w:val="FootnoteText"/>
      </w:pPr>
      <w:r>
        <w:rPr>
          <w:rStyle w:val="FootnoteReference"/>
        </w:rPr>
        <w:footnoteRef/>
      </w:r>
      <w:r>
        <w:t xml:space="preserve"> </w:t>
      </w:r>
      <w:r w:rsidR="00D41C1B">
        <w:t xml:space="preserve">The </w:t>
      </w:r>
      <w:r w:rsidR="009A0437">
        <w:t>intercept i</w:t>
      </w:r>
      <w:r w:rsidR="009E4C31">
        <w:t xml:space="preserve">s a positive value </w:t>
      </w:r>
      <w:r w:rsidR="00F73870">
        <w:t>and</w:t>
      </w:r>
      <w:r w:rsidR="006C78E1">
        <w:t xml:space="preserve"> statistically significant, as indicated by a p value of </w:t>
      </w:r>
      <w:r w:rsidR="00467E43">
        <w:t>0.01</w:t>
      </w:r>
      <w:r w:rsidR="002D35AB">
        <w:t xml:space="preserve"> </w:t>
      </w:r>
      <w:r w:rsidR="005E7E02">
        <w:t xml:space="preserve">at a 5% level. </w:t>
      </w:r>
    </w:p>
  </w:footnote>
  <w:footnote w:id="131">
    <w:p w14:paraId="58C180C9" w14:textId="51C72B73" w:rsidR="00132274" w:rsidRDefault="00132274">
      <w:pPr>
        <w:pStyle w:val="FootnoteText"/>
      </w:pPr>
      <w:r>
        <w:rPr>
          <w:rStyle w:val="FootnoteReference"/>
        </w:rPr>
        <w:footnoteRef/>
      </w:r>
      <w:r>
        <w:t xml:space="preserve"> </w:t>
      </w:r>
      <w:r w:rsidR="008E774A">
        <w:t>Australian Competition and Consumer Commussion (ACCC). (202</w:t>
      </w:r>
      <w:r w:rsidR="00675D10">
        <w:t xml:space="preserve">3). Childcare inquiry. Retrieved from: </w:t>
      </w:r>
      <w:r w:rsidR="00492440" w:rsidRPr="00492440">
        <w:t>https://www.accc.gov.au/system/files/ACCC%20Childcare%20Inquiry-final%20report%20December%202023.pdf</w:t>
      </w:r>
    </w:p>
  </w:footnote>
  <w:footnote w:id="132">
    <w:p w14:paraId="41E55C58" w14:textId="406F9B07" w:rsidR="00492440" w:rsidRDefault="00492440" w:rsidP="00492440">
      <w:pPr>
        <w:pStyle w:val="FootnoteText"/>
      </w:pPr>
      <w:r>
        <w:rPr>
          <w:rStyle w:val="FootnoteReference"/>
        </w:rPr>
        <w:footnoteRef/>
      </w:r>
      <w:r>
        <w:t xml:space="preserve"> ACCC. (2023). Childcare inquiry. Retrieved from: h</w:t>
      </w:r>
      <w:r w:rsidRPr="00492440">
        <w:t>ttps://www.accc.gov.au/system/files/ACCC%20Childcare%20Inquiry-final%20report%20December%202023.pdf</w:t>
      </w:r>
    </w:p>
  </w:footnote>
  <w:footnote w:id="133">
    <w:p w14:paraId="7D356058" w14:textId="77777777" w:rsidR="00F7000A" w:rsidRPr="008B6199" w:rsidRDefault="00F7000A" w:rsidP="00F7000A">
      <w:pPr>
        <w:pStyle w:val="FootnoteText"/>
      </w:pPr>
      <w:r w:rsidRPr="008B6199">
        <w:rPr>
          <w:rStyle w:val="FootnoteReference"/>
        </w:rPr>
        <w:footnoteRef/>
      </w:r>
      <w:r w:rsidRPr="008B6199">
        <w:t xml:space="preserve"> Australian Government Department of Education and Training (February 2017), Community Child Care Fund</w:t>
      </w:r>
    </w:p>
    <w:p w14:paraId="03BE0E27" w14:textId="77777777" w:rsidR="00F7000A" w:rsidRDefault="00F7000A" w:rsidP="00F7000A">
      <w:pPr>
        <w:pStyle w:val="FootnoteText"/>
      </w:pPr>
      <w:r w:rsidRPr="008B6199">
        <w:t>- Restricted non-competitive grant opportunity (for specified services) Guidelines. &lt; https://www.grants.gov.au/Fo/DownloadDocument/e99c0c70-f434-c990-87d3-6ddebfa904f5?docType=Fo&amp;fileName=CCCF%20Restricted%20non-competitive%20grant%20opportunity%20guidelines%20%20311017.pdf&amp;location=s3Restricted&gt;</w:t>
      </w:r>
    </w:p>
  </w:footnote>
  <w:footnote w:id="134">
    <w:p w14:paraId="0DF9E146" w14:textId="3ABA2045" w:rsidR="004D6457" w:rsidRPr="008B6199" w:rsidRDefault="004D6457" w:rsidP="00177F7C">
      <w:pPr>
        <w:pStyle w:val="FootnoteText"/>
        <w:rPr>
          <w:sz w:val="18"/>
          <w:szCs w:val="22"/>
        </w:rPr>
      </w:pPr>
      <w:r w:rsidRPr="008B6199">
        <w:rPr>
          <w:rStyle w:val="FootnoteReference"/>
        </w:rPr>
        <w:footnoteRef/>
      </w:r>
      <w:r w:rsidRPr="008B6199">
        <w:t xml:space="preserve"> </w:t>
      </w:r>
      <w:r w:rsidR="00177F7C" w:rsidRPr="008B6199">
        <w:t>Paul Ramsay Foundation</w:t>
      </w:r>
      <w:r w:rsidR="004E10C3">
        <w:t>,</w:t>
      </w:r>
      <w:r w:rsidR="00177F7C" w:rsidRPr="008B6199">
        <w:t xml:space="preserve"> New investment to strengthen early years for children</w:t>
      </w:r>
      <w:r w:rsidR="004E10C3">
        <w:t xml:space="preserve"> (2022),</w:t>
      </w:r>
      <w:r w:rsidR="00177F7C" w:rsidRPr="008B6199">
        <w:t xml:space="preserve"> &lt;www.paulramsayfoundation.org.au/news-resources/new-investment-to-strengthen-early-years-for-children#:~:text=Strengthening%20Early%20Years%20focuses%20on,years%20of%20their%20child's%20life.&gt;</w:t>
      </w:r>
    </w:p>
  </w:footnote>
  <w:footnote w:id="135">
    <w:p w14:paraId="25448A6F" w14:textId="5B3D122C" w:rsidR="005378F3" w:rsidRDefault="005378F3">
      <w:pPr>
        <w:pStyle w:val="FootnoteText"/>
      </w:pPr>
      <w:r w:rsidRPr="008B6199">
        <w:rPr>
          <w:rStyle w:val="FootnoteReference"/>
        </w:rPr>
        <w:footnoteRef/>
      </w:r>
      <w:r w:rsidRPr="008B6199">
        <w:t xml:space="preserve"> Ibid.</w:t>
      </w:r>
    </w:p>
  </w:footnote>
  <w:footnote w:id="136">
    <w:p w14:paraId="2825ED35" w14:textId="67A2A275" w:rsidR="0063524E" w:rsidRPr="008B6199" w:rsidRDefault="0063524E">
      <w:pPr>
        <w:pStyle w:val="FootnoteText"/>
        <w:rPr>
          <w:sz w:val="18"/>
          <w:szCs w:val="22"/>
        </w:rPr>
      </w:pPr>
      <w:r w:rsidRPr="008B6199">
        <w:rPr>
          <w:rStyle w:val="FootnoteReference"/>
        </w:rPr>
        <w:footnoteRef/>
      </w:r>
      <w:r w:rsidRPr="008B6199">
        <w:t xml:space="preserve"> </w:t>
      </w:r>
      <w:r w:rsidR="009A29A7" w:rsidRPr="008B6199">
        <w:t>NSW Department of Education. Quality and Participation Grants Program</w:t>
      </w:r>
      <w:r w:rsidR="004E10C3">
        <w:t xml:space="preserve"> (2023)</w:t>
      </w:r>
      <w:r w:rsidR="009A29A7" w:rsidRPr="008B6199">
        <w:t>. &lt;https://education.nsw.gov.au/early-childhood-education/operating-an-early-childhood-education-service/grants-and-funded-programs/quality-and-participation-grants-program&gt;</w:t>
      </w:r>
    </w:p>
  </w:footnote>
  <w:footnote w:id="137">
    <w:p w14:paraId="6EE15308" w14:textId="1AC1898D" w:rsidR="008F6850" w:rsidRPr="008B6199" w:rsidRDefault="008F6850">
      <w:pPr>
        <w:pStyle w:val="FootnoteText"/>
        <w:rPr>
          <w:sz w:val="18"/>
          <w:szCs w:val="22"/>
        </w:rPr>
      </w:pPr>
      <w:r w:rsidRPr="008B6199">
        <w:rPr>
          <w:rStyle w:val="FootnoteReference"/>
        </w:rPr>
        <w:footnoteRef/>
      </w:r>
      <w:r w:rsidRPr="008B6199">
        <w:t xml:space="preserve"> Ibid. </w:t>
      </w:r>
    </w:p>
  </w:footnote>
  <w:footnote w:id="138">
    <w:p w14:paraId="7E55ADF5" w14:textId="429DE945" w:rsidR="009A29A7" w:rsidRDefault="009A29A7">
      <w:pPr>
        <w:pStyle w:val="FootnoteText"/>
      </w:pPr>
      <w:r w:rsidRPr="008B6199">
        <w:rPr>
          <w:rStyle w:val="FootnoteReference"/>
        </w:rPr>
        <w:footnoteRef/>
      </w:r>
      <w:r w:rsidRPr="008B6199">
        <w:t xml:space="preserve"> </w:t>
      </w:r>
      <w:r w:rsidR="00FD1DF3" w:rsidRPr="008B6199">
        <w:t>Victorian Government. Access to Early Learning</w:t>
      </w:r>
      <w:r w:rsidR="004E10C3">
        <w:t xml:space="preserve"> (2023),</w:t>
      </w:r>
      <w:r w:rsidR="00FD1DF3" w:rsidRPr="008B6199">
        <w:t xml:space="preserve"> &lt;https://www.vic.gov.au/access-early-learning&gt;</w:t>
      </w:r>
    </w:p>
  </w:footnote>
  <w:footnote w:id="139">
    <w:p w14:paraId="2D074ED1" w14:textId="354AD5DB" w:rsidR="006062A7" w:rsidRDefault="006062A7">
      <w:pPr>
        <w:pStyle w:val="FootnoteText"/>
      </w:pPr>
      <w:r>
        <w:rPr>
          <w:rStyle w:val="FootnoteReference"/>
        </w:rPr>
        <w:footnoteRef/>
      </w:r>
      <w:r>
        <w:t xml:space="preserve"> </w:t>
      </w:r>
      <w:r w:rsidR="00D078A8" w:rsidRPr="00D078A8">
        <w:t>U.S. Department of Health and Human Services. Head Start Services</w:t>
      </w:r>
      <w:r w:rsidR="00E77FE6">
        <w:t xml:space="preserve"> (2023)</w:t>
      </w:r>
      <w:r w:rsidR="00D078A8" w:rsidRPr="00D078A8">
        <w:t xml:space="preserve"> https://www.acf.hhs.gov/ohs/about/head-start</w:t>
      </w:r>
    </w:p>
  </w:footnote>
  <w:footnote w:id="140">
    <w:p w14:paraId="1EE33CCA" w14:textId="6E50859B" w:rsidR="00F77ECD" w:rsidRDefault="00F77ECD">
      <w:pPr>
        <w:pStyle w:val="FootnoteText"/>
      </w:pPr>
      <w:r>
        <w:rPr>
          <w:rStyle w:val="FootnoteReference"/>
        </w:rPr>
        <w:footnoteRef/>
      </w:r>
      <w:r>
        <w:t xml:space="preserve"> </w:t>
      </w:r>
      <w:r w:rsidRPr="00F77ECD">
        <w:t>Ransdell, T. &amp; Boloorian, S.  Head Start</w:t>
      </w:r>
      <w:r w:rsidR="00C87EB3">
        <w:t>, (2003),</w:t>
      </w:r>
      <w:r w:rsidRPr="00F77ECD">
        <w:t xml:space="preserve"> https://www.ppic.org/wp-content/uploads/content/pubs/ffg/FF_1003TRFF.pdf</w:t>
      </w:r>
    </w:p>
  </w:footnote>
  <w:footnote w:id="141">
    <w:p w14:paraId="68890E9D" w14:textId="1F749C56" w:rsidR="004C3D7A" w:rsidRDefault="004C3D7A">
      <w:pPr>
        <w:pStyle w:val="FootnoteText"/>
      </w:pPr>
      <w:r>
        <w:rPr>
          <w:rStyle w:val="FootnoteReference"/>
        </w:rPr>
        <w:footnoteRef/>
      </w:r>
      <w:r>
        <w:t xml:space="preserve"> </w:t>
      </w:r>
      <w:r w:rsidR="00DD6F53" w:rsidRPr="00DD6F53">
        <w:t xml:space="preserve">U.S. Department of Health and Human Services. Head Start Services. </w:t>
      </w:r>
      <w:r w:rsidR="00E77FE6">
        <w:t>(2023)</w:t>
      </w:r>
      <w:r w:rsidR="00DD6F53" w:rsidRPr="00DD6F53">
        <w:t xml:space="preserve"> https://www.acf.hhs.gov/ohs/about/head-start</w:t>
      </w:r>
    </w:p>
  </w:footnote>
  <w:footnote w:id="142">
    <w:p w14:paraId="7A9526EA" w14:textId="0E531E53" w:rsidR="00412C5E" w:rsidRDefault="00412C5E" w:rsidP="00412C5E">
      <w:pPr>
        <w:pStyle w:val="FootnoteText"/>
      </w:pPr>
      <w:r>
        <w:rPr>
          <w:rStyle w:val="FootnoteReference"/>
        </w:rPr>
        <w:footnoteRef/>
      </w:r>
      <w:r>
        <w:t xml:space="preserve"> Government of Canada. Aboriginal Head Start in urban and Northern Communities</w:t>
      </w:r>
      <w:r w:rsidR="002E7503">
        <w:t xml:space="preserve"> (2023)</w:t>
      </w:r>
      <w:r>
        <w:t xml:space="preserve"> </w:t>
      </w:r>
      <w:r w:rsidRPr="00A858A3">
        <w:t>https://www.canada.ca/en/public-health/services/child-infant-health/supports-programs-pregnancy/aboriginal-head-start-urban-northern-communities-ahsunc.html</w:t>
      </w:r>
    </w:p>
  </w:footnote>
  <w:footnote w:id="143">
    <w:p w14:paraId="4702DA6A" w14:textId="2B033689" w:rsidR="00412C5E" w:rsidRDefault="00412C5E" w:rsidP="00412C5E">
      <w:pPr>
        <w:pStyle w:val="FootnoteText"/>
      </w:pPr>
      <w:r>
        <w:rPr>
          <w:rStyle w:val="FootnoteReference"/>
        </w:rPr>
        <w:footnoteRef/>
      </w:r>
      <w:r>
        <w:t xml:space="preserve"> Health Canada and the Public Health Agency of Canada. Evaluation of the Aboriginal Head Start in Urban and Northern Communities Program. </w:t>
      </w:r>
      <w:r w:rsidR="002E7503">
        <w:t>(2022)</w:t>
      </w:r>
      <w:r>
        <w:t xml:space="preserve"> </w:t>
      </w:r>
      <w:r w:rsidRPr="001A77C3">
        <w:t>https://www.canada.ca/content/dam/phac-aspc/documents/corporate/transparency/corporate-management-reporting/evaluation/aboriginal-head-start-urban-northern-communities-program.pdf</w:t>
      </w:r>
    </w:p>
  </w:footnote>
  <w:footnote w:id="144">
    <w:p w14:paraId="2674488C" w14:textId="1FAA9F4B" w:rsidR="00A54127" w:rsidRDefault="00A54127" w:rsidP="00A54127">
      <w:pPr>
        <w:pStyle w:val="FootnoteText"/>
      </w:pPr>
      <w:r>
        <w:rPr>
          <w:rStyle w:val="FootnoteReference"/>
        </w:rPr>
        <w:footnoteRef/>
      </w:r>
      <w:r>
        <w:t xml:space="preserve"> </w:t>
      </w:r>
      <w:r w:rsidRPr="001F2C98">
        <w:t>Health Canada and the Public Health Agency of Canada</w:t>
      </w:r>
      <w:r w:rsidR="006450B8">
        <w:t>,</w:t>
      </w:r>
      <w:r w:rsidRPr="001F2C98">
        <w:t xml:space="preserve"> Evaluation of the Aboriginal Head Start in Urban and Northern Communities Program. </w:t>
      </w:r>
      <w:r w:rsidR="006450B8">
        <w:t>(2022)</w:t>
      </w:r>
      <w:r w:rsidRPr="001F2C98">
        <w:t xml:space="preserve"> https://www.canada.ca/content/dam/phac-aspc/documents/corporate/transparency/corporate-management-reporting/evaluation/aboriginal-head-start-urban-northern-communities-program.pdf</w:t>
      </w:r>
    </w:p>
  </w:footnote>
  <w:footnote w:id="145">
    <w:p w14:paraId="02FB99A1" w14:textId="5C8DFC2D" w:rsidR="000E36D5" w:rsidRDefault="000E36D5">
      <w:pPr>
        <w:pStyle w:val="FootnoteText"/>
      </w:pPr>
      <w:r>
        <w:rPr>
          <w:rStyle w:val="FootnoteReference"/>
        </w:rPr>
        <w:footnoteRef/>
      </w:r>
      <w:r>
        <w:t xml:space="preserve"> Ibid.</w:t>
      </w:r>
    </w:p>
  </w:footnote>
  <w:footnote w:id="146">
    <w:p w14:paraId="19AB1F5C" w14:textId="3FFC5E09" w:rsidR="00796ECE" w:rsidRDefault="00796ECE">
      <w:pPr>
        <w:pStyle w:val="FootnoteText"/>
      </w:pPr>
      <w:r>
        <w:rPr>
          <w:rStyle w:val="FootnoteReference"/>
        </w:rPr>
        <w:footnoteRef/>
      </w:r>
      <w:r>
        <w:t xml:space="preserve"> </w:t>
      </w:r>
      <w:r w:rsidRPr="00796ECE">
        <w:t xml:space="preserve">Health Canada and the Public Health Agency of Canada. Evaluation of the Aboriginal Head Start in Urban and Northern Communities Program. </w:t>
      </w:r>
      <w:r w:rsidR="006450B8">
        <w:t>(2022)</w:t>
      </w:r>
      <w:r w:rsidRPr="00796ECE">
        <w:t xml:space="preserve"> https://www.canada.ca/content/dam/phac-aspc/documents/corporate/transparency/corporate-management-reporting/evaluation/aboriginal-head-start-urban-northern-communities-program.pdf</w:t>
      </w:r>
    </w:p>
  </w:footnote>
  <w:footnote w:id="147">
    <w:p w14:paraId="48B85A18" w14:textId="3D4EC83B" w:rsidR="00A022D1" w:rsidRDefault="00A022D1" w:rsidP="00A022D1">
      <w:pPr>
        <w:pStyle w:val="FootnoteText"/>
      </w:pPr>
      <w:r>
        <w:rPr>
          <w:rStyle w:val="FootnoteReference"/>
        </w:rPr>
        <w:footnoteRef/>
      </w:r>
      <w:r>
        <w:t xml:space="preserve"> </w:t>
      </w:r>
      <w:r w:rsidR="00796ECE">
        <w:t>Ibid.</w:t>
      </w:r>
    </w:p>
  </w:footnote>
  <w:footnote w:id="148">
    <w:p w14:paraId="155948CC" w14:textId="43BF5FEA" w:rsidR="00593B9A" w:rsidRDefault="00593B9A">
      <w:pPr>
        <w:pStyle w:val="FootnoteText"/>
      </w:pPr>
      <w:r>
        <w:rPr>
          <w:rStyle w:val="FootnoteReference"/>
        </w:rPr>
        <w:footnoteRef/>
      </w:r>
      <w:r>
        <w:t xml:space="preserve"> Ibid.</w:t>
      </w:r>
    </w:p>
  </w:footnote>
  <w:footnote w:id="149">
    <w:p w14:paraId="7E980981" w14:textId="4BCF1628" w:rsidR="00BC2998" w:rsidRDefault="00BC2998">
      <w:pPr>
        <w:pStyle w:val="FootnoteText"/>
      </w:pPr>
      <w:r w:rsidRPr="008B6199">
        <w:rPr>
          <w:rStyle w:val="FootnoteReference"/>
        </w:rPr>
        <w:footnoteRef/>
      </w:r>
      <w:r w:rsidRPr="008B6199">
        <w:t xml:space="preserve"> </w:t>
      </w:r>
      <w:r w:rsidR="00531189" w:rsidRPr="008B6199">
        <w:t xml:space="preserve">Ministry of Education. ECEC Funding Handbook. </w:t>
      </w:r>
      <w:r w:rsidR="00F3179A">
        <w:t xml:space="preserve">(2020) </w:t>
      </w:r>
      <w:r w:rsidR="00531189" w:rsidRPr="008B6199">
        <w:t>&lt;https://www.education.govt.nz/early-childhood/funding-and-data/funding-handbooks/ece-funding-handbook/&gt;</w:t>
      </w:r>
    </w:p>
  </w:footnote>
  <w:footnote w:id="150">
    <w:p w14:paraId="10C06E76" w14:textId="4BA8B0C0" w:rsidR="00176813" w:rsidRDefault="00176813">
      <w:pPr>
        <w:pStyle w:val="FootnoteText"/>
      </w:pPr>
      <w:r>
        <w:rPr>
          <w:rStyle w:val="FootnoteReference"/>
        </w:rPr>
        <w:footnoteRef/>
      </w:r>
      <w:r>
        <w:t xml:space="preserve"> </w:t>
      </w:r>
      <w:r w:rsidR="000D4D57">
        <w:t xml:space="preserve">NSW Government Department of Education. </w:t>
      </w:r>
      <w:r w:rsidR="0067151E">
        <w:t xml:space="preserve">Quality and Participation Grants program. </w:t>
      </w:r>
      <w:r w:rsidR="00F3179A">
        <w:t>(2023).</w:t>
      </w:r>
      <w:r w:rsidR="0067151E">
        <w:t xml:space="preserve"> </w:t>
      </w:r>
      <w:r w:rsidR="00F16236" w:rsidRPr="00F16236">
        <w:t>https://education.nsw.gov.au/early-childhood-education/operating-an-early-childhood-education-service/grants-and-funded-programs/quality-and-participation-grants-program#Program0</w:t>
      </w:r>
    </w:p>
  </w:footnote>
  <w:footnote w:id="151">
    <w:p w14:paraId="7F58ED3F" w14:textId="72A23818" w:rsidR="006370DA" w:rsidRDefault="006370DA">
      <w:pPr>
        <w:pStyle w:val="FootnoteText"/>
      </w:pPr>
      <w:r>
        <w:rPr>
          <w:rStyle w:val="FootnoteReference"/>
        </w:rPr>
        <w:footnoteRef/>
      </w:r>
      <w:r>
        <w:t xml:space="preserve"> </w:t>
      </w:r>
      <w:r w:rsidRPr="006370DA">
        <w:t>Australian Competition &amp; Consumer Commission (ACCC), Childcare Inquiry, Final Report, (December 2023), &lt; https://www.accc.gov.au/system/files/ACCC%20Childcare%20Inquiry-final%20report%20December%202023.pdf&gt;</w:t>
      </w:r>
    </w:p>
  </w:footnote>
  <w:footnote w:id="152">
    <w:p w14:paraId="5BCB4844" w14:textId="0E6F9A8D" w:rsidR="00533520" w:rsidRDefault="00533520">
      <w:pPr>
        <w:pStyle w:val="FootnoteText"/>
      </w:pPr>
      <w:r>
        <w:rPr>
          <w:rStyle w:val="FootnoteReference"/>
        </w:rPr>
        <w:footnoteRef/>
      </w:r>
      <w:r>
        <w:t xml:space="preserve"> </w:t>
      </w:r>
      <w:r w:rsidRPr="00533520">
        <w:t>ACCC, Childcare Inquiry, Final Report, (December 2023), &lt;https://www.accc.gov.au/system/files/ACCC%20Childcare%20Inquiry-final%20report%20December%202023.pdf&gt;</w:t>
      </w:r>
    </w:p>
  </w:footnote>
  <w:footnote w:id="153">
    <w:p w14:paraId="03A56BA0" w14:textId="27580350" w:rsidR="003E1443" w:rsidRDefault="003E1443">
      <w:pPr>
        <w:pStyle w:val="FootnoteText"/>
      </w:pPr>
      <w:r>
        <w:rPr>
          <w:rStyle w:val="FootnoteReference"/>
        </w:rPr>
        <w:footnoteRef/>
      </w:r>
      <w:r>
        <w:t xml:space="preserve"> </w:t>
      </w:r>
      <w:r w:rsidR="00EC6330" w:rsidRPr="00EC6330">
        <w:t xml:space="preserve">Australian Institute of Health and Welfare. Australia's children. </w:t>
      </w:r>
      <w:r w:rsidR="00F3179A" w:rsidRPr="00EC6330">
        <w:t xml:space="preserve">(2022). </w:t>
      </w:r>
      <w:r w:rsidR="00EC6330" w:rsidRPr="00EC6330">
        <w:t xml:space="preserve"> https://www.aihw.gov.au/reports/children-youth/australias-children</w:t>
      </w:r>
    </w:p>
  </w:footnote>
  <w:footnote w:id="154">
    <w:p w14:paraId="3393392A" w14:textId="6FE7F83B" w:rsidR="00502EA1" w:rsidRDefault="00502EA1">
      <w:pPr>
        <w:pStyle w:val="FootnoteText"/>
      </w:pPr>
      <w:r>
        <w:rPr>
          <w:rStyle w:val="FootnoteReference"/>
        </w:rPr>
        <w:footnoteRef/>
      </w:r>
      <w:r>
        <w:t xml:space="preserve"> Ibid.</w:t>
      </w:r>
    </w:p>
  </w:footnote>
  <w:footnote w:id="155">
    <w:p w14:paraId="016F1B4F" w14:textId="7DF211AD" w:rsidR="0064053F" w:rsidRDefault="0064053F">
      <w:pPr>
        <w:pStyle w:val="FootnoteText"/>
      </w:pPr>
      <w:r>
        <w:rPr>
          <w:rStyle w:val="FootnoteReference"/>
        </w:rPr>
        <w:footnoteRef/>
      </w:r>
      <w:r>
        <w:t xml:space="preserve"> </w:t>
      </w:r>
      <w:r w:rsidR="007B057D">
        <w:t xml:space="preserve">Victorian Inclusion Agency. Access inclusion support. Retrieved from: </w:t>
      </w:r>
      <w:r w:rsidR="007B057D" w:rsidRPr="007B057D">
        <w:t>https://viac.com.au/support#:~:text=Children%20with%20disability%2C%20undergoing%20assessment,from%20refugee%20or%20humanitarian%20backgrounds</w:t>
      </w:r>
    </w:p>
  </w:footnote>
  <w:footnote w:id="156">
    <w:p w14:paraId="429ABB3B" w14:textId="735599E7" w:rsidR="002659F9" w:rsidRDefault="002659F9">
      <w:pPr>
        <w:pStyle w:val="FootnoteText"/>
      </w:pPr>
      <w:r>
        <w:rPr>
          <w:rStyle w:val="FootnoteReference"/>
        </w:rPr>
        <w:footnoteRef/>
      </w:r>
      <w:r>
        <w:t xml:space="preserve"> </w:t>
      </w:r>
      <w:r w:rsidR="008F5858">
        <w:t>ACECQA</w:t>
      </w:r>
      <w:r w:rsidR="00AC43A7">
        <w:t xml:space="preserve">. </w:t>
      </w:r>
      <w:r w:rsidR="0077708C">
        <w:t xml:space="preserve">Active supervision: ensuring safety and promoting learning. </w:t>
      </w:r>
      <w:r w:rsidR="00525C48">
        <w:t>(2018)</w:t>
      </w:r>
      <w:r w:rsidR="0077708C">
        <w:t xml:space="preserve"> </w:t>
      </w:r>
      <w:r w:rsidR="00826F71" w:rsidRPr="00826F71">
        <w:t>https://www.acecqa.gov.au/sites/default/files/2018-04/QA2-ActiveSupervisionEnsuringSafetyAndPromotingLearning_1.pdf</w:t>
      </w:r>
    </w:p>
  </w:footnote>
  <w:footnote w:id="157">
    <w:p w14:paraId="426E562D" w14:textId="413E8EBA" w:rsidR="00D47F14" w:rsidRPr="00D47F14" w:rsidRDefault="00D47F14">
      <w:pPr>
        <w:pStyle w:val="FootnoteText"/>
        <w:rPr>
          <w:lang w:val="en-US"/>
        </w:rPr>
      </w:pPr>
      <w:r>
        <w:rPr>
          <w:rStyle w:val="FootnoteReference"/>
        </w:rPr>
        <w:footnoteRef/>
      </w:r>
      <w:r>
        <w:t xml:space="preserve"> </w:t>
      </w:r>
      <w:r w:rsidR="00535D0E">
        <w:t xml:space="preserve">Community Early Learning Australia (CELA), </w:t>
      </w:r>
      <w:r w:rsidR="002A5FC6">
        <w:t>‘Approved Provider and Governance Program’ (2023) &lt;</w:t>
      </w:r>
      <w:r w:rsidR="003E7EF6" w:rsidRPr="003E7EF6">
        <w:t>https://www.cela.org.au/training/approved-provider-program</w:t>
      </w:r>
      <w:r w:rsidR="002A5FC6">
        <w:t>&gt;</w:t>
      </w:r>
    </w:p>
  </w:footnote>
  <w:footnote w:id="158">
    <w:p w14:paraId="162EB6CB" w14:textId="360D33A8" w:rsidR="4D94D27D" w:rsidRDefault="4D94D27D" w:rsidP="00660A57">
      <w:pPr>
        <w:spacing w:after="0"/>
        <w:rPr>
          <w:lang w:val="en-US"/>
        </w:rPr>
      </w:pPr>
      <w:r w:rsidRPr="00201A40">
        <w:rPr>
          <w:vertAlign w:val="superscript"/>
        </w:rPr>
        <w:footnoteRef/>
      </w:r>
      <w:r w:rsidRPr="00201A40">
        <w:t xml:space="preserve"> </w:t>
      </w:r>
      <w:r w:rsidRPr="00201A40">
        <w:rPr>
          <w:sz w:val="16"/>
          <w:szCs w:val="20"/>
        </w:rPr>
        <w:t>Australian Government Department of Education and Training</w:t>
      </w:r>
      <w:r w:rsidR="65688D3A" w:rsidRPr="00201A40">
        <w:rPr>
          <w:sz w:val="16"/>
          <w:szCs w:val="20"/>
        </w:rPr>
        <w:t>, ‘</w:t>
      </w:r>
      <w:r w:rsidRPr="00201A40">
        <w:rPr>
          <w:sz w:val="16"/>
          <w:szCs w:val="20"/>
        </w:rPr>
        <w:t xml:space="preserve">Community Child Care Fund </w:t>
      </w:r>
      <w:r w:rsidR="65688D3A" w:rsidRPr="00201A40">
        <w:rPr>
          <w:sz w:val="16"/>
          <w:szCs w:val="20"/>
        </w:rPr>
        <w:t>–</w:t>
      </w:r>
      <w:r w:rsidRPr="00201A40">
        <w:rPr>
          <w:sz w:val="16"/>
          <w:szCs w:val="20"/>
        </w:rPr>
        <w:t xml:space="preserve"> Restricted non-competitive grant opportunity (for specified services) Guidelines </w:t>
      </w:r>
      <w:r w:rsidR="65688D3A" w:rsidRPr="00201A40">
        <w:rPr>
          <w:sz w:val="16"/>
          <w:szCs w:val="20"/>
        </w:rPr>
        <w:t>(2017) 20</w:t>
      </w:r>
    </w:p>
  </w:footnote>
  <w:footnote w:id="159">
    <w:p w14:paraId="12CCE54D" w14:textId="70AB8E95" w:rsidR="007D1D0B" w:rsidRPr="007D1D0B" w:rsidRDefault="007D1D0B">
      <w:pPr>
        <w:pStyle w:val="FootnoteText"/>
        <w:rPr>
          <w:lang w:val="en-US"/>
        </w:rPr>
      </w:pPr>
      <w:r>
        <w:rPr>
          <w:rStyle w:val="FootnoteReference"/>
        </w:rPr>
        <w:footnoteRef/>
      </w:r>
      <w:r>
        <w:t xml:space="preserve"> </w:t>
      </w:r>
      <w:r w:rsidR="002A5FC6">
        <w:rPr>
          <w:lang w:val="en-US"/>
        </w:rPr>
        <w:t>Australian Government Department of Education and Training,</w:t>
      </w:r>
      <w:r w:rsidR="0072001F">
        <w:rPr>
          <w:lang w:val="en-US"/>
        </w:rPr>
        <w:t xml:space="preserve"> ‘Community Child Care Fund – Restricted non-competitive grant opportunity (for specified services) Guidelines (2017) 20</w:t>
      </w:r>
    </w:p>
  </w:footnote>
  <w:footnote w:id="160">
    <w:p w14:paraId="430ADCAE" w14:textId="10436A63" w:rsidR="009D7A2C" w:rsidRPr="009D7A2C" w:rsidRDefault="009D7A2C">
      <w:pPr>
        <w:pStyle w:val="FootnoteText"/>
        <w:rPr>
          <w:lang w:val="en-US"/>
        </w:rPr>
      </w:pPr>
      <w:r>
        <w:rPr>
          <w:rStyle w:val="FootnoteReference"/>
        </w:rPr>
        <w:footnoteRef/>
      </w:r>
      <w:r>
        <w:t xml:space="preserve"> </w:t>
      </w:r>
      <w:r w:rsidR="0072001F">
        <w:rPr>
          <w:lang w:val="en-US"/>
        </w:rPr>
        <w:t>Ibid. 21</w:t>
      </w:r>
    </w:p>
  </w:footnote>
  <w:footnote w:id="161">
    <w:p w14:paraId="5BFB7C28" w14:textId="437462CD" w:rsidR="00F558CB" w:rsidRPr="00F558CB" w:rsidRDefault="00F558CB">
      <w:pPr>
        <w:pStyle w:val="FootnoteText"/>
        <w:rPr>
          <w:lang w:val="en-US"/>
        </w:rPr>
      </w:pPr>
      <w:r>
        <w:rPr>
          <w:rStyle w:val="FootnoteReference"/>
        </w:rPr>
        <w:footnoteRef/>
      </w:r>
      <w:r>
        <w:t xml:space="preserve"> </w:t>
      </w:r>
      <w:r w:rsidR="00432770">
        <w:rPr>
          <w:lang w:val="en-US"/>
        </w:rPr>
        <w:t>Australian Department of Education</w:t>
      </w:r>
      <w:r w:rsidR="008348B1">
        <w:rPr>
          <w:lang w:val="en-US"/>
        </w:rPr>
        <w:t>, ‘CCCF Restricted Grants – Guide for Grant Recipients’ (2023), &lt;</w:t>
      </w:r>
      <w:r w:rsidR="008348B1" w:rsidRPr="008348B1">
        <w:t xml:space="preserve"> </w:t>
      </w:r>
      <w:r w:rsidR="008348B1" w:rsidRPr="008348B1">
        <w:rPr>
          <w:lang w:val="en-US"/>
        </w:rPr>
        <w:t>https://www.education.gov.au/early-childhood/resources/community-child-care-fund-restricted-grants-guide-grant-recipients</w:t>
      </w:r>
      <w:r w:rsidR="008348B1">
        <w:rPr>
          <w:lang w:val="en-US"/>
        </w:rPr>
        <w:t xml:space="preserve">&gt; </w:t>
      </w:r>
      <w:r>
        <w:rPr>
          <w:lang w:val="en-US"/>
        </w:rPr>
        <w:t>6</w:t>
      </w:r>
    </w:p>
  </w:footnote>
  <w:footnote w:id="162">
    <w:p w14:paraId="0BEC3223" w14:textId="7AA2DC97" w:rsidR="00423470" w:rsidRPr="00423470" w:rsidRDefault="00423470">
      <w:pPr>
        <w:pStyle w:val="FootnoteText"/>
        <w:rPr>
          <w:lang w:val="en-US"/>
        </w:rPr>
      </w:pPr>
      <w:r>
        <w:rPr>
          <w:rStyle w:val="FootnoteReference"/>
        </w:rPr>
        <w:footnoteRef/>
      </w:r>
      <w:r w:rsidR="00E526FE" w:rsidRPr="00EE3BA7">
        <w:rPr>
          <w:i/>
          <w:iCs/>
        </w:rPr>
        <w:t xml:space="preserve">Email correspondence </w:t>
      </w:r>
      <w:r w:rsidR="00C16A00">
        <w:rPr>
          <w:i/>
          <w:iCs/>
        </w:rPr>
        <w:t>between</w:t>
      </w:r>
      <w:r w:rsidR="00A64509" w:rsidRPr="00EE3BA7">
        <w:rPr>
          <w:i/>
          <w:iCs/>
        </w:rPr>
        <w:t xml:space="preserve"> </w:t>
      </w:r>
      <w:r w:rsidR="00E526FE" w:rsidRPr="00EE3BA7">
        <w:rPr>
          <w:i/>
          <w:iCs/>
        </w:rPr>
        <w:t xml:space="preserve">CCCFR team member </w:t>
      </w:r>
      <w:r w:rsidR="00C16A00">
        <w:rPr>
          <w:i/>
          <w:iCs/>
        </w:rPr>
        <w:t>and</w:t>
      </w:r>
      <w:r w:rsidR="00E526FE" w:rsidRPr="00EE3BA7">
        <w:rPr>
          <w:i/>
          <w:iCs/>
        </w:rPr>
        <w:t xml:space="preserve"> CCCFR servic</w:t>
      </w:r>
      <w:r w:rsidR="00A64509" w:rsidRPr="00EE3BA7">
        <w:rPr>
          <w:i/>
          <w:iCs/>
        </w:rPr>
        <w:t>e</w:t>
      </w:r>
      <w:r w:rsidR="002B5E06">
        <w:rPr>
          <w:i/>
          <w:iCs/>
        </w:rPr>
        <w:t xml:space="preserve"> on 13 March 2023</w:t>
      </w:r>
      <w:r w:rsidR="00A64509" w:rsidRPr="00EE3BA7">
        <w:rPr>
          <w:i/>
          <w:iCs/>
        </w:rPr>
        <w:t xml:space="preserve"> </w:t>
      </w:r>
      <w:r w:rsidR="00C16A00">
        <w:rPr>
          <w:i/>
          <w:iCs/>
        </w:rPr>
        <w:t>about</w:t>
      </w:r>
      <w:r w:rsidR="00A64509" w:rsidRPr="00EE3BA7">
        <w:rPr>
          <w:i/>
          <w:iCs/>
        </w:rPr>
        <w:t xml:space="preserve"> Compliance and Operations Report</w:t>
      </w:r>
      <w:r w:rsidR="00A64509" w:rsidRPr="00EE3BA7">
        <w:rPr>
          <w:i/>
          <w:iCs/>
          <w:lang w:val="en-US"/>
        </w:rPr>
        <w:t xml:space="preserve"> [</w:t>
      </w:r>
      <w:r w:rsidR="005971D3" w:rsidRPr="00EE3BA7">
        <w:rPr>
          <w:i/>
          <w:iCs/>
          <w:lang w:val="en-US"/>
        </w:rPr>
        <w:t>provided by Department]</w:t>
      </w:r>
      <w:r w:rsidR="003F7D49" w:rsidRPr="00EE3BA7">
        <w:rPr>
          <w:i/>
          <w:iCs/>
          <w:lang w:val="en-US"/>
        </w:rPr>
        <w:t>.</w:t>
      </w:r>
    </w:p>
  </w:footnote>
  <w:footnote w:id="163">
    <w:p w14:paraId="5522E0AE" w14:textId="7E5EF831" w:rsidR="005C025B" w:rsidRPr="000C3789" w:rsidRDefault="005C025B" w:rsidP="005C025B">
      <w:pPr>
        <w:pStyle w:val="FootnoteText"/>
        <w:rPr>
          <w:lang w:val="en-US"/>
        </w:rPr>
      </w:pPr>
      <w:r>
        <w:rPr>
          <w:rStyle w:val="FootnoteReference"/>
        </w:rPr>
        <w:footnoteRef/>
      </w:r>
      <w:r>
        <w:t xml:space="preserve"> </w:t>
      </w:r>
      <w:r w:rsidR="007B2A73">
        <w:t xml:space="preserve">Ian Ayres and John Braithwaite, </w:t>
      </w:r>
      <w:r w:rsidRPr="007B2A73">
        <w:rPr>
          <w:i/>
          <w:lang w:val="en-US"/>
        </w:rPr>
        <w:t>Responsive Regulation: Transcending the Deregulation Debate</w:t>
      </w:r>
      <w:r w:rsidRPr="005C025B">
        <w:rPr>
          <w:lang w:val="en-US"/>
        </w:rPr>
        <w:t xml:space="preserve"> (</w:t>
      </w:r>
      <w:r w:rsidR="007B2A73">
        <w:rPr>
          <w:lang w:val="en-US"/>
        </w:rPr>
        <w:t xml:space="preserve">Oxford University Press </w:t>
      </w:r>
      <w:r w:rsidRPr="005C025B">
        <w:rPr>
          <w:lang w:val="en-US"/>
        </w:rPr>
        <w:t>1992)</w:t>
      </w:r>
    </w:p>
  </w:footnote>
  <w:footnote w:id="164">
    <w:p w14:paraId="3054C84E" w14:textId="745FF361" w:rsidR="00D83C50" w:rsidRPr="007B2A73" w:rsidRDefault="00D83C50" w:rsidP="007B2A73">
      <w:pPr>
        <w:pStyle w:val="FootnoteText"/>
      </w:pPr>
      <w:r>
        <w:rPr>
          <w:rStyle w:val="FootnoteReference"/>
        </w:rPr>
        <w:footnoteRef/>
      </w:r>
      <w:r>
        <w:t xml:space="preserve"> </w:t>
      </w:r>
      <w:r w:rsidR="007B2A73">
        <w:t xml:space="preserve">NSW Department of Education, </w:t>
      </w:r>
      <w:r w:rsidR="007B2A73" w:rsidRPr="007B2A73">
        <w:rPr>
          <w:i/>
          <w:iCs/>
        </w:rPr>
        <w:t>The Regulatory NSW Regulatory Authority’s Approach to Monitoring and Compliance Policy</w:t>
      </w:r>
      <w:r w:rsidR="007B2A73">
        <w:t xml:space="preserve"> (2022) &lt;</w:t>
      </w:r>
      <w:r w:rsidRPr="00D83C50">
        <w:rPr>
          <w:lang w:val="en-US"/>
        </w:rPr>
        <w:t>https://education.nsw.gov.au/content/dam/main-education/early-childhood-education/regulation-and-compliance/The_Regulatory_Authoritys_Approach_to_Compliance.pdf</w:t>
      </w:r>
      <w:r w:rsidR="007B2A73">
        <w:rPr>
          <w:lang w:val="en-US"/>
        </w:rPr>
        <w:t>&gt;</w:t>
      </w:r>
    </w:p>
  </w:footnote>
  <w:footnote w:id="165">
    <w:p w14:paraId="699EE2FB" w14:textId="1010A5E3" w:rsidR="00B339F1" w:rsidRPr="00E811F2" w:rsidRDefault="00D83C50">
      <w:pPr>
        <w:pStyle w:val="FootnoteText"/>
      </w:pPr>
      <w:r>
        <w:rPr>
          <w:rStyle w:val="FootnoteReference"/>
        </w:rPr>
        <w:footnoteRef/>
      </w:r>
      <w:r w:rsidR="007B2A73">
        <w:rPr>
          <w:lang w:val="en-US"/>
        </w:rPr>
        <w:t xml:space="preserve"> ACECQA, </w:t>
      </w:r>
      <w:r w:rsidR="00E811F2">
        <w:rPr>
          <w:lang w:val="en-US"/>
        </w:rPr>
        <w:t xml:space="preserve">‘Good regulatory practice’, </w:t>
      </w:r>
      <w:r w:rsidR="00E811F2" w:rsidRPr="00E811F2">
        <w:rPr>
          <w:i/>
          <w:iCs/>
          <w:lang w:val="en-US"/>
        </w:rPr>
        <w:t>Guide to the NQF</w:t>
      </w:r>
      <w:r w:rsidR="00E811F2">
        <w:rPr>
          <w:lang w:val="en-US"/>
        </w:rPr>
        <w:t xml:space="preserve"> (2023)</w:t>
      </w:r>
      <w:r w:rsidR="00B339F1">
        <w:t xml:space="preserve"> </w:t>
      </w:r>
      <w:r w:rsidR="00E811F2">
        <w:t>&lt;</w:t>
      </w:r>
      <w:r w:rsidR="00E811F2" w:rsidRPr="00E811F2">
        <w:t xml:space="preserve"> https://www.acecqa.gov.au/national-quality-framework/guide-nqf/section-5-regulatory-authority-powers/15-good-regulatory-practice</w:t>
      </w:r>
      <w:r w:rsidR="00E811F2">
        <w:t>&gt;</w:t>
      </w:r>
    </w:p>
  </w:footnote>
  <w:footnote w:id="166">
    <w:p w14:paraId="3273476D" w14:textId="1FEAFD63" w:rsidR="00B339F1" w:rsidRPr="00B339F1" w:rsidRDefault="00B339F1">
      <w:pPr>
        <w:pStyle w:val="FootnoteText"/>
        <w:rPr>
          <w:lang w:val="en-US"/>
        </w:rPr>
      </w:pPr>
      <w:r>
        <w:rPr>
          <w:rStyle w:val="FootnoteReference"/>
        </w:rPr>
        <w:footnoteRef/>
      </w:r>
      <w:r>
        <w:t xml:space="preserve"> </w:t>
      </w:r>
      <w:r w:rsidR="00E811F2">
        <w:t xml:space="preserve">Queensland Office of Fair Trading, </w:t>
      </w:r>
      <w:r w:rsidR="00E811F2" w:rsidRPr="00E811F2">
        <w:rPr>
          <w:i/>
          <w:iCs/>
        </w:rPr>
        <w:t>Fair Trading Compliance Program</w:t>
      </w:r>
      <w:r w:rsidR="00E811F2">
        <w:t xml:space="preserve"> (2023)</w:t>
      </w:r>
      <w:r w:rsidR="00062107">
        <w:t xml:space="preserve"> </w:t>
      </w:r>
      <w:r w:rsidR="00E811F2">
        <w:t>&lt;</w:t>
      </w:r>
      <w:r w:rsidRPr="00B339F1">
        <w:rPr>
          <w:lang w:val="en-US"/>
        </w:rPr>
        <w:t>https://www.qld.gov.au/law/laws-regulated-industries-and-accountability/queensland-laws-and-regulations/regulated-industries-and-licensing/fair-trading-enforcement/compliance-program</w:t>
      </w:r>
      <w:r w:rsidR="00E811F2">
        <w:rPr>
          <w:lang w:val="en-US"/>
        </w:rPr>
        <w:t>&gt;</w:t>
      </w:r>
    </w:p>
  </w:footnote>
  <w:footnote w:id="167">
    <w:p w14:paraId="4B4A130B" w14:textId="243E8BE3" w:rsidR="00062107" w:rsidRPr="00062107" w:rsidRDefault="00062107">
      <w:pPr>
        <w:pStyle w:val="FootnoteText"/>
        <w:rPr>
          <w:lang w:val="en-US"/>
        </w:rPr>
      </w:pPr>
      <w:r>
        <w:rPr>
          <w:rStyle w:val="FootnoteReference"/>
        </w:rPr>
        <w:footnoteRef/>
      </w:r>
      <w:r>
        <w:t xml:space="preserve"> </w:t>
      </w:r>
      <w:r>
        <w:rPr>
          <w:lang w:val="en-US"/>
        </w:rPr>
        <w:t xml:space="preserve">Australian Government Aged Care Quality and Safety Commission, </w:t>
      </w:r>
      <w:r w:rsidRPr="00062107">
        <w:rPr>
          <w:i/>
          <w:iCs/>
          <w:lang w:val="en-US"/>
        </w:rPr>
        <w:t>Updates for Compliance and Enforcement Policy – November 2022</w:t>
      </w:r>
      <w:r>
        <w:rPr>
          <w:lang w:val="en-US"/>
        </w:rPr>
        <w:t xml:space="preserve"> (2022), &lt;</w:t>
      </w:r>
      <w:r w:rsidRPr="00515434">
        <w:rPr>
          <w:lang w:val="en-US"/>
        </w:rPr>
        <w:t>https://www.agedcarequality.gov.au/media/94534</w:t>
      </w:r>
      <w:r>
        <w:rPr>
          <w:lang w:val="en-US"/>
        </w:rPr>
        <w:t>&gt;</w:t>
      </w:r>
    </w:p>
  </w:footnote>
  <w:footnote w:id="168">
    <w:p w14:paraId="56EC940E" w14:textId="5485F5C7" w:rsidR="006438E6" w:rsidRPr="006438E6" w:rsidRDefault="006438E6">
      <w:pPr>
        <w:pStyle w:val="FootnoteText"/>
        <w:rPr>
          <w:lang w:val="en-US"/>
        </w:rPr>
      </w:pPr>
      <w:r>
        <w:rPr>
          <w:rStyle w:val="FootnoteReference"/>
        </w:rPr>
        <w:footnoteRef/>
      </w:r>
      <w:r>
        <w:t xml:space="preserve"> </w:t>
      </w:r>
      <w:r w:rsidR="00A6251D" w:rsidRPr="00A6251D">
        <w:rPr>
          <w:lang w:val="en-US"/>
        </w:rPr>
        <w:t>Jeroen van der Heijden</w:t>
      </w:r>
      <w:r w:rsidR="00A6251D">
        <w:rPr>
          <w:lang w:val="en-US"/>
        </w:rPr>
        <w:t xml:space="preserve">, </w:t>
      </w:r>
      <w:r w:rsidR="00A6251D" w:rsidRPr="00A6251D">
        <w:rPr>
          <w:i/>
          <w:iCs/>
          <w:lang w:val="en-US"/>
        </w:rPr>
        <w:t>Responsive Regulation in Practice: A Review of the International Academic Literature</w:t>
      </w:r>
      <w:r w:rsidR="00A6251D">
        <w:rPr>
          <w:lang w:val="en-US"/>
        </w:rPr>
        <w:t xml:space="preserve"> (2020)</w:t>
      </w:r>
    </w:p>
  </w:footnote>
  <w:footnote w:id="169">
    <w:p w14:paraId="27E48D30" w14:textId="64D1A0BD" w:rsidR="0042165D" w:rsidRPr="006E6F8F" w:rsidRDefault="0042165D">
      <w:pPr>
        <w:pStyle w:val="FootnoteText"/>
      </w:pPr>
      <w:r>
        <w:rPr>
          <w:rStyle w:val="FootnoteReference"/>
        </w:rPr>
        <w:footnoteRef/>
      </w:r>
      <w:r>
        <w:t xml:space="preserve"> </w:t>
      </w:r>
      <w:r w:rsidR="006E6F8F">
        <w:rPr>
          <w:lang w:val="en-US"/>
        </w:rPr>
        <w:t xml:space="preserve">ACECQA, ‘Good regulatory practice’, </w:t>
      </w:r>
      <w:r w:rsidR="006E6F8F" w:rsidRPr="00E811F2">
        <w:rPr>
          <w:i/>
          <w:iCs/>
          <w:lang w:val="en-US"/>
        </w:rPr>
        <w:t>Guide to the NQF</w:t>
      </w:r>
      <w:r w:rsidR="006E6F8F">
        <w:rPr>
          <w:lang w:val="en-US"/>
        </w:rPr>
        <w:t xml:space="preserve"> (2023)</w:t>
      </w:r>
      <w:r w:rsidR="006E6F8F">
        <w:t xml:space="preserve"> &lt;</w:t>
      </w:r>
      <w:r w:rsidR="006E6F8F" w:rsidRPr="00E811F2">
        <w:t xml:space="preserve"> https://www.acecqa.gov.au/national-quality-framework/guide-nqf/section-5-regulatory-authority-powers/15-good-regulatory-practice</w:t>
      </w:r>
      <w:r w:rsidR="006E6F8F">
        <w:t>&gt;</w:t>
      </w:r>
    </w:p>
  </w:footnote>
  <w:footnote w:id="170">
    <w:p w14:paraId="22FCC150" w14:textId="3459FBF5" w:rsidR="006E6F8F" w:rsidRPr="00E811F2" w:rsidRDefault="006A2768" w:rsidP="006E6F8F">
      <w:pPr>
        <w:pStyle w:val="FootnoteText"/>
      </w:pPr>
      <w:r>
        <w:rPr>
          <w:rStyle w:val="FootnoteReference"/>
        </w:rPr>
        <w:footnoteRef/>
      </w:r>
      <w:r>
        <w:t xml:space="preserve"> </w:t>
      </w:r>
      <w:r w:rsidR="006E6F8F">
        <w:rPr>
          <w:lang w:val="en-US"/>
        </w:rPr>
        <w:t>Ibid.</w:t>
      </w:r>
    </w:p>
    <w:p w14:paraId="5CDF5FBA" w14:textId="5590DDCC" w:rsidR="006A2768" w:rsidRPr="006A2768" w:rsidRDefault="006A2768">
      <w:pPr>
        <w:pStyle w:val="FootnoteText"/>
        <w:rPr>
          <w:lang w:val="en-US"/>
        </w:rPr>
      </w:pPr>
    </w:p>
  </w:footnote>
  <w:footnote w:id="171">
    <w:p w14:paraId="08AB1BD8" w14:textId="4150CBA8" w:rsidR="002A7E10" w:rsidRDefault="002A7E10" w:rsidP="002A7E10">
      <w:pPr>
        <w:pStyle w:val="FootnoteText"/>
      </w:pPr>
      <w:r>
        <w:rPr>
          <w:rStyle w:val="FootnoteReference"/>
        </w:rPr>
        <w:footnoteRef/>
      </w:r>
      <w:r>
        <w:t xml:space="preserve"> </w:t>
      </w:r>
      <w:r w:rsidR="00B15694">
        <w:t xml:space="preserve">Australian Government Department of Education, </w:t>
      </w:r>
      <w:r w:rsidR="00985CA7" w:rsidRPr="00985CA7">
        <w:rPr>
          <w:i/>
          <w:iCs/>
        </w:rPr>
        <w:t>Provider Obligations</w:t>
      </w:r>
      <w:r w:rsidR="00985CA7">
        <w:t xml:space="preserve">: </w:t>
      </w:r>
      <w:r w:rsidRPr="00B15694">
        <w:rPr>
          <w:i/>
          <w:iCs/>
        </w:rPr>
        <w:t>Fit and proper</w:t>
      </w:r>
      <w:r w:rsidR="00B15694">
        <w:t xml:space="preserve"> (2023) </w:t>
      </w:r>
      <w:r w:rsidR="00985CA7">
        <w:t>&lt;</w:t>
      </w:r>
      <w:r w:rsidR="00985CA7" w:rsidRPr="00985CA7">
        <w:t>https://www.education.gov.au/early-childhood/provider-obligations/fit-and-proper</w:t>
      </w:r>
      <w:r w:rsidR="00985CA7">
        <w:t>&gt;</w:t>
      </w:r>
    </w:p>
  </w:footnote>
  <w:footnote w:id="172">
    <w:p w14:paraId="2757DAA7" w14:textId="22024DCF" w:rsidR="002A7E10" w:rsidRDefault="002A7E10" w:rsidP="002A7E10">
      <w:pPr>
        <w:pStyle w:val="FootnoteText"/>
      </w:pPr>
      <w:r>
        <w:rPr>
          <w:rStyle w:val="FootnoteReference"/>
        </w:rPr>
        <w:footnoteRef/>
      </w:r>
      <w:r>
        <w:t xml:space="preserve"> </w:t>
      </w:r>
      <w:r w:rsidR="00985CA7">
        <w:t xml:space="preserve">Australian Government Department of Education, </w:t>
      </w:r>
      <w:r w:rsidR="00D70925">
        <w:rPr>
          <w:i/>
          <w:iCs/>
        </w:rPr>
        <w:t>Child care subsidy: Payments and fees</w:t>
      </w:r>
      <w:r w:rsidR="00985CA7">
        <w:t xml:space="preserve"> (2023)</w:t>
      </w:r>
      <w:r w:rsidR="00D70925">
        <w:t xml:space="preserve"> &lt;</w:t>
      </w:r>
      <w:r w:rsidRPr="00F90D1F">
        <w:t>https://www.education.gov.au/early-childhood/child-care-subsidy/payments-and-fees</w:t>
      </w:r>
      <w:r w:rsidR="00D70925">
        <w:t>&gt;</w:t>
      </w:r>
    </w:p>
  </w:footnote>
  <w:footnote w:id="173">
    <w:p w14:paraId="706C0072" w14:textId="277BF7D7" w:rsidR="002A7E10" w:rsidRDefault="002A7E10" w:rsidP="002A7E10">
      <w:pPr>
        <w:pStyle w:val="FootnoteText"/>
      </w:pPr>
      <w:r>
        <w:rPr>
          <w:rStyle w:val="FootnoteReference"/>
        </w:rPr>
        <w:footnoteRef/>
      </w:r>
      <w:r>
        <w:t xml:space="preserve"> </w:t>
      </w:r>
      <w:r w:rsidRPr="00920296">
        <w:rPr>
          <w:i/>
        </w:rPr>
        <w:t>A New Tax System (Family Assistance) (Administration) Act 1999</w:t>
      </w:r>
    </w:p>
  </w:footnote>
  <w:footnote w:id="174">
    <w:p w14:paraId="12C78BD6" w14:textId="7A13FFC1" w:rsidR="001410D5" w:rsidRPr="00161A51" w:rsidRDefault="001410D5" w:rsidP="001410D5">
      <w:pPr>
        <w:pStyle w:val="FootnoteText"/>
        <w:rPr>
          <w:lang w:val="en-US"/>
        </w:rPr>
      </w:pPr>
      <w:r>
        <w:rPr>
          <w:rStyle w:val="FootnoteReference"/>
        </w:rPr>
        <w:footnoteRef/>
      </w:r>
      <w:r>
        <w:t xml:space="preserve"> </w:t>
      </w:r>
      <w:r w:rsidR="007C3B73" w:rsidRPr="007C3B73">
        <w:t>Section 194F: Meaning of person with management or control.</w:t>
      </w:r>
      <w:r w:rsidR="007C3B73">
        <w:rPr>
          <w:i/>
        </w:rPr>
        <w:t xml:space="preserve"> </w:t>
      </w:r>
      <w:r w:rsidR="005331D0" w:rsidRPr="00920296">
        <w:rPr>
          <w:i/>
          <w:iCs/>
        </w:rPr>
        <w:t>A New Tax System (Family Assistance) (Administration) Act 1999</w:t>
      </w:r>
    </w:p>
  </w:footnote>
  <w:footnote w:id="175">
    <w:p w14:paraId="0C4C4904" w14:textId="20EB1B20" w:rsidR="001410D5" w:rsidRPr="00CB6C89" w:rsidRDefault="001410D5" w:rsidP="001410D5">
      <w:pPr>
        <w:pStyle w:val="FootnoteText"/>
        <w:rPr>
          <w:lang w:val="en-US"/>
        </w:rPr>
      </w:pPr>
      <w:r>
        <w:rPr>
          <w:rStyle w:val="FootnoteReference"/>
        </w:rPr>
        <w:footnoteRef/>
      </w:r>
      <w:r>
        <w:t xml:space="preserve"> </w:t>
      </w:r>
      <w:r w:rsidR="007C3B73">
        <w:t>Australian Government Department of Education,</w:t>
      </w:r>
      <w:r w:rsidR="00D649B5">
        <w:t xml:space="preserve"> </w:t>
      </w:r>
      <w:r w:rsidR="00D649B5" w:rsidRPr="00D649B5">
        <w:rPr>
          <w:i/>
          <w:iCs/>
        </w:rPr>
        <w:t xml:space="preserve">Provider obligations: </w:t>
      </w:r>
      <w:r w:rsidR="007C3B73" w:rsidRPr="00D649B5">
        <w:rPr>
          <w:i/>
        </w:rPr>
        <w:t>Persons with management or control</w:t>
      </w:r>
      <w:r w:rsidR="007C3B73">
        <w:t xml:space="preserve"> (</w:t>
      </w:r>
      <w:r w:rsidR="00D649B5">
        <w:t>2023</w:t>
      </w:r>
      <w:r w:rsidR="007C3B73">
        <w:t>) &lt;http:</w:t>
      </w:r>
      <w:r w:rsidRPr="00CB6C89">
        <w:rPr>
          <w:lang w:val="en-US"/>
        </w:rPr>
        <w:t>//www.education.gov.au/early-childhood/provider-obligations/persons-management-or-control</w:t>
      </w:r>
      <w:r w:rsidR="007C3B73">
        <w:rPr>
          <w:lang w:val="en-US"/>
        </w:rPr>
        <w:t>&gt;</w:t>
      </w:r>
    </w:p>
  </w:footnote>
  <w:footnote w:id="176">
    <w:p w14:paraId="6599E1BD" w14:textId="3DD552AE" w:rsidR="001410D5" w:rsidRPr="005D5B52" w:rsidRDefault="001410D5" w:rsidP="001410D5">
      <w:pPr>
        <w:pStyle w:val="FootnoteText"/>
        <w:rPr>
          <w:lang w:val="en-US"/>
        </w:rPr>
      </w:pPr>
      <w:r>
        <w:rPr>
          <w:rStyle w:val="FootnoteReference"/>
        </w:rPr>
        <w:footnoteRef/>
      </w:r>
      <w:r>
        <w:t xml:space="preserve"> </w:t>
      </w:r>
      <w:r w:rsidR="00D649B5">
        <w:t xml:space="preserve">Australian Government Department of Education, </w:t>
      </w:r>
      <w:r w:rsidR="00D649B5" w:rsidRPr="00D649B5">
        <w:rPr>
          <w:i/>
          <w:iCs/>
        </w:rPr>
        <w:t>Provider obligations: Persons with management or control</w:t>
      </w:r>
      <w:r w:rsidR="00D649B5">
        <w:rPr>
          <w:i/>
          <w:iCs/>
        </w:rPr>
        <w:t xml:space="preserve"> by organisation type</w:t>
      </w:r>
      <w:r w:rsidR="00D649B5">
        <w:t xml:space="preserve"> (2023) &lt;</w:t>
      </w:r>
      <w:r w:rsidRPr="005D5B52">
        <w:rPr>
          <w:lang w:val="en-US"/>
        </w:rPr>
        <w:t>https://www.education.gov.au/early-childhood/provider-obligations/persons-management-or-control/pmcs-organisation-type</w:t>
      </w:r>
      <w:r w:rsidR="00D649B5">
        <w:rPr>
          <w:lang w:val="en-US"/>
        </w:rPr>
        <w:t>&gt;</w:t>
      </w:r>
    </w:p>
  </w:footnote>
  <w:footnote w:id="177">
    <w:p w14:paraId="56325DAB" w14:textId="2032935E" w:rsidR="001410D5" w:rsidRPr="00B16C59" w:rsidRDefault="001410D5" w:rsidP="001410D5">
      <w:pPr>
        <w:pStyle w:val="FootnoteText"/>
        <w:rPr>
          <w:lang w:val="en-US"/>
        </w:rPr>
      </w:pPr>
      <w:r>
        <w:rPr>
          <w:rStyle w:val="FootnoteReference"/>
        </w:rPr>
        <w:footnoteRef/>
      </w:r>
      <w:r>
        <w:t xml:space="preserve"> </w:t>
      </w:r>
      <w:r w:rsidR="00D649B5">
        <w:t xml:space="preserve">Australian Government Department of Education, </w:t>
      </w:r>
      <w:r w:rsidR="00D649B5" w:rsidRPr="00D649B5">
        <w:rPr>
          <w:i/>
          <w:iCs/>
        </w:rPr>
        <w:t>Provider obligations: Persons with management or control</w:t>
      </w:r>
      <w:r w:rsidR="00D649B5">
        <w:t xml:space="preserve"> (2023) &lt;http:</w:t>
      </w:r>
      <w:r w:rsidR="00D649B5" w:rsidRPr="00CB6C89">
        <w:rPr>
          <w:lang w:val="en-US"/>
        </w:rPr>
        <w:t>//www.education.gov.au/early-childhood/provider-obligations/persons-management-or-control</w:t>
      </w:r>
      <w:r w:rsidR="00D649B5">
        <w:rPr>
          <w:lang w:val="en-US"/>
        </w:rPr>
        <w:t>&gt;</w:t>
      </w:r>
    </w:p>
  </w:footnote>
  <w:footnote w:id="178">
    <w:p w14:paraId="65406008" w14:textId="06E4509D" w:rsidR="001410D5" w:rsidRPr="0016622C" w:rsidRDefault="001410D5" w:rsidP="001410D5">
      <w:pPr>
        <w:pStyle w:val="FootnoteText"/>
        <w:rPr>
          <w:lang w:val="en-US"/>
        </w:rPr>
      </w:pPr>
      <w:r>
        <w:rPr>
          <w:rStyle w:val="FootnoteReference"/>
        </w:rPr>
        <w:footnoteRef/>
      </w:r>
      <w:r>
        <w:t xml:space="preserve"> </w:t>
      </w:r>
      <w:r w:rsidR="00D649B5">
        <w:t xml:space="preserve">Australian Government Department of Education, </w:t>
      </w:r>
      <w:r w:rsidR="00D649B5" w:rsidRPr="00D649B5">
        <w:rPr>
          <w:i/>
          <w:iCs/>
        </w:rPr>
        <w:t>Provider obligations:</w:t>
      </w:r>
      <w:r w:rsidR="00D649B5" w:rsidRPr="00D649B5">
        <w:rPr>
          <w:i/>
        </w:rPr>
        <w:t xml:space="preserve"> </w:t>
      </w:r>
      <w:r w:rsidR="00D649B5">
        <w:rPr>
          <w:i/>
        </w:rPr>
        <w:t xml:space="preserve">collecting gap fees </w:t>
      </w:r>
      <w:r w:rsidR="00D649B5" w:rsidRPr="00D649B5">
        <w:t>(2023)</w:t>
      </w:r>
      <w:r w:rsidR="00D649B5">
        <w:rPr>
          <w:lang w:val="en-US"/>
        </w:rPr>
        <w:t xml:space="preserve"> &lt;</w:t>
      </w:r>
      <w:r w:rsidRPr="0016622C">
        <w:rPr>
          <w:lang w:val="en-US"/>
        </w:rPr>
        <w:t>https://www.education.gov.au/early-childhood/provider-obligations/collecting-gap-fees</w:t>
      </w:r>
      <w:r w:rsidR="00D649B5">
        <w:rPr>
          <w:lang w:val="en-US"/>
        </w:rPr>
        <w:t>&gt;</w:t>
      </w:r>
    </w:p>
  </w:footnote>
  <w:footnote w:id="179">
    <w:p w14:paraId="71B0F6DC" w14:textId="515DA8C3" w:rsidR="001410D5" w:rsidRPr="000D1A1F" w:rsidRDefault="001410D5" w:rsidP="001410D5">
      <w:pPr>
        <w:pStyle w:val="FootnoteText"/>
        <w:rPr>
          <w:lang w:val="en-US"/>
        </w:rPr>
      </w:pPr>
      <w:r>
        <w:rPr>
          <w:rStyle w:val="FootnoteReference"/>
        </w:rPr>
        <w:footnoteRef/>
      </w:r>
      <w:r>
        <w:t xml:space="preserve"> </w:t>
      </w:r>
      <w:r w:rsidR="00D649B5" w:rsidRPr="007C3B73">
        <w:t xml:space="preserve">Section </w:t>
      </w:r>
      <w:r w:rsidR="00D649B5">
        <w:t>201B</w:t>
      </w:r>
      <w:r w:rsidR="00D649B5" w:rsidRPr="007C3B73">
        <w:t xml:space="preserve">: </w:t>
      </w:r>
      <w:r w:rsidR="007A4F73">
        <w:t>Enforcing payment of hourly session fees</w:t>
      </w:r>
      <w:r w:rsidR="00D649B5" w:rsidRPr="007C3B73">
        <w:t>.</w:t>
      </w:r>
      <w:r w:rsidR="00D649B5">
        <w:rPr>
          <w:i/>
          <w:iCs/>
        </w:rPr>
        <w:t xml:space="preserve"> </w:t>
      </w:r>
      <w:r w:rsidR="00D649B5" w:rsidRPr="00920296">
        <w:rPr>
          <w:i/>
          <w:iCs/>
        </w:rPr>
        <w:t>A New Tax System (Family Assistance) (Administration) Act 1999</w:t>
      </w:r>
    </w:p>
  </w:footnote>
  <w:footnote w:id="180">
    <w:p w14:paraId="2CFB3B9A" w14:textId="35AA51F0" w:rsidR="001410D5" w:rsidRPr="00CF6287" w:rsidRDefault="001410D5" w:rsidP="001410D5">
      <w:pPr>
        <w:pStyle w:val="FootnoteText"/>
        <w:rPr>
          <w:lang w:val="en-US"/>
        </w:rPr>
      </w:pPr>
      <w:r>
        <w:rPr>
          <w:rStyle w:val="FootnoteReference"/>
        </w:rPr>
        <w:footnoteRef/>
      </w:r>
      <w:r>
        <w:t xml:space="preserve"> </w:t>
      </w:r>
      <w:r w:rsidR="007A4F73">
        <w:t xml:space="preserve">Australian Government Department of Education, </w:t>
      </w:r>
      <w:r w:rsidR="007A4F73" w:rsidRPr="00D649B5">
        <w:rPr>
          <w:i/>
          <w:iCs/>
        </w:rPr>
        <w:t xml:space="preserve">Provider obligations: </w:t>
      </w:r>
      <w:r w:rsidR="007A4F73">
        <w:rPr>
          <w:i/>
          <w:iCs/>
        </w:rPr>
        <w:t xml:space="preserve">collecting gap fees </w:t>
      </w:r>
      <w:r w:rsidR="007A4F73" w:rsidRPr="00D649B5">
        <w:t>(2023)</w:t>
      </w:r>
      <w:r w:rsidR="007A4F73">
        <w:rPr>
          <w:lang w:val="en-US"/>
        </w:rPr>
        <w:t xml:space="preserve"> &lt;</w:t>
      </w:r>
      <w:r w:rsidR="007A4F73" w:rsidRPr="0016622C">
        <w:rPr>
          <w:lang w:val="en-US"/>
        </w:rPr>
        <w:t>https://www.education.gov.au/early-childhood/provider-obligations/collecting-gap-fees</w:t>
      </w:r>
      <w:r w:rsidR="007A4F73">
        <w:rPr>
          <w:lang w:val="en-US"/>
        </w:rPr>
        <w:t>&gt;</w:t>
      </w:r>
      <w:r>
        <w:rPr>
          <w:lang w:val="en-US"/>
        </w:rPr>
        <w:t>-</w:t>
      </w:r>
      <w:r w:rsidRPr="00CF6287">
        <w:rPr>
          <w:lang w:val="en-US"/>
        </w:rPr>
        <w:t>.</w:t>
      </w:r>
    </w:p>
  </w:footnote>
  <w:footnote w:id="181">
    <w:p w14:paraId="3D2A4927" w14:textId="1C3C3753" w:rsidR="001410D5" w:rsidRPr="00CF6287" w:rsidRDefault="001410D5" w:rsidP="001410D5">
      <w:pPr>
        <w:pStyle w:val="FootnoteText"/>
        <w:rPr>
          <w:lang w:val="en-US"/>
        </w:rPr>
      </w:pPr>
      <w:r>
        <w:rPr>
          <w:rStyle w:val="FootnoteReference"/>
        </w:rPr>
        <w:footnoteRef/>
      </w:r>
      <w:r>
        <w:t xml:space="preserve"> </w:t>
      </w:r>
      <w:r w:rsidR="007A4F73">
        <w:t>Ibid.</w:t>
      </w:r>
    </w:p>
  </w:footnote>
  <w:footnote w:id="182">
    <w:p w14:paraId="56578090" w14:textId="788E59C1" w:rsidR="00D45109" w:rsidRPr="00D45109" w:rsidRDefault="00D45109" w:rsidP="00D45109">
      <w:pPr>
        <w:pStyle w:val="FootnoteText"/>
      </w:pPr>
      <w:r>
        <w:rPr>
          <w:rStyle w:val="FootnoteReference"/>
        </w:rPr>
        <w:footnoteRef/>
      </w:r>
      <w:r>
        <w:t xml:space="preserve"> </w:t>
      </w:r>
      <w:r w:rsidRPr="00D45109">
        <w:t>Catherine Demosthenous, Boni Robertson, Anuja Cabraal</w:t>
      </w:r>
      <w:r>
        <w:t xml:space="preserve"> and </w:t>
      </w:r>
      <w:r w:rsidRPr="00D45109">
        <w:t>Supriya Singh</w:t>
      </w:r>
      <w:r>
        <w:t>, ‘Cultural Identity and Financial Literacy: Australian Aboriginal Experiences of Money and Money Management’ (2006)</w:t>
      </w:r>
      <w:r w:rsidR="000B119E">
        <w:t xml:space="preserve"> </w:t>
      </w:r>
      <w:r w:rsidR="000B119E" w:rsidRPr="000B119E">
        <w:rPr>
          <w:i/>
          <w:iCs/>
        </w:rPr>
        <w:t>Paper presented to Financial Literacy, Banking and Identity Conference, RMIT University Melbourne</w:t>
      </w:r>
    </w:p>
  </w:footnote>
  <w:footnote w:id="183">
    <w:p w14:paraId="6D7E6C56" w14:textId="03154269" w:rsidR="001410D5" w:rsidRPr="00631DC7" w:rsidRDefault="001410D5" w:rsidP="001410D5">
      <w:pPr>
        <w:pStyle w:val="FootnoteText"/>
        <w:rPr>
          <w:lang w:val="en-US"/>
        </w:rPr>
      </w:pPr>
      <w:r>
        <w:rPr>
          <w:rStyle w:val="FootnoteReference"/>
        </w:rPr>
        <w:footnoteRef/>
      </w:r>
      <w:r>
        <w:t xml:space="preserve"> </w:t>
      </w:r>
      <w:r w:rsidR="001274CA">
        <w:t xml:space="preserve">Services Australia, </w:t>
      </w:r>
      <w:r w:rsidR="001274CA" w:rsidRPr="001274CA">
        <w:rPr>
          <w:i/>
          <w:iCs/>
        </w:rPr>
        <w:t>Child Care Subsidy</w:t>
      </w:r>
      <w:r w:rsidR="001274CA">
        <w:t xml:space="preserve"> (2023) &lt;</w:t>
      </w:r>
      <w:r w:rsidRPr="00631DC7">
        <w:t>https://my.gov.au/en/services/raising-kids/toddlers-and-preschoolers/payments-for-toddlers-and-preschoolers/child-care-subsidy</w:t>
      </w:r>
      <w:r w:rsidR="001274CA">
        <w:t>&gt;</w:t>
      </w:r>
    </w:p>
  </w:footnote>
  <w:footnote w:id="184">
    <w:p w14:paraId="260EFE67" w14:textId="15EE1684" w:rsidR="001410D5" w:rsidRPr="00FF28A3" w:rsidRDefault="001410D5" w:rsidP="001410D5">
      <w:pPr>
        <w:pStyle w:val="FootnoteText"/>
        <w:rPr>
          <w:lang w:val="en-US"/>
        </w:rPr>
      </w:pPr>
      <w:r>
        <w:rPr>
          <w:rStyle w:val="FootnoteReference"/>
        </w:rPr>
        <w:footnoteRef/>
      </w:r>
      <w:r>
        <w:t xml:space="preserve"> </w:t>
      </w:r>
      <w:r w:rsidR="001274CA" w:rsidRPr="001274CA">
        <w:rPr>
          <w:i/>
          <w:iCs/>
        </w:rPr>
        <w:t>Child Care Subsidy Secretary’s Rules 2017</w:t>
      </w:r>
      <w:r w:rsidR="00AF3BA8">
        <w:rPr>
          <w:i/>
          <w:iCs/>
        </w:rPr>
        <w:t xml:space="preserve">, subsection </w:t>
      </w:r>
      <w:r w:rsidR="00AF3BA8" w:rsidRPr="00AF3BA8">
        <w:rPr>
          <w:i/>
          <w:iCs/>
        </w:rPr>
        <w:t>85GB(2) of the A New Tax System (Family Assistance) Act 1999 (the Family Assistance Act)</w:t>
      </w:r>
    </w:p>
  </w:footnote>
  <w:footnote w:id="185">
    <w:p w14:paraId="28428345" w14:textId="53335338" w:rsidR="001410D5" w:rsidRPr="00067A60" w:rsidRDefault="001410D5" w:rsidP="001410D5">
      <w:pPr>
        <w:pStyle w:val="FootnoteText"/>
        <w:rPr>
          <w:lang w:val="en-US"/>
        </w:rPr>
      </w:pPr>
      <w:r>
        <w:rPr>
          <w:rStyle w:val="FootnoteReference"/>
        </w:rPr>
        <w:footnoteRef/>
      </w:r>
      <w:r>
        <w:t xml:space="preserve"> </w:t>
      </w:r>
      <w:r w:rsidR="00AF3BA8">
        <w:t xml:space="preserve">Services Australia, </w:t>
      </w:r>
      <w:r w:rsidR="00AF3BA8" w:rsidRPr="00AF3BA8">
        <w:rPr>
          <w:i/>
          <w:iCs/>
        </w:rPr>
        <w:t>Centrelink Customer Reference Number</w:t>
      </w:r>
      <w:r w:rsidR="00AF3BA8" w:rsidRPr="00AF3BA8">
        <w:t xml:space="preserve"> (CRN)</w:t>
      </w:r>
      <w:r w:rsidR="00AF3BA8">
        <w:t xml:space="preserve"> (2023) &lt;</w:t>
      </w:r>
      <w:r w:rsidRPr="00067A60">
        <w:t>https://www.servicesaustralia.gov.au/centrelink-customer-reference-number-crn?context=64107</w:t>
      </w:r>
      <w:r w:rsidR="00AF3BA8">
        <w:t>&gt;</w:t>
      </w:r>
    </w:p>
  </w:footnote>
  <w:footnote w:id="186">
    <w:p w14:paraId="1B63056C" w14:textId="19E53C07" w:rsidR="000E4244" w:rsidRPr="00CD38C6" w:rsidRDefault="000E4244">
      <w:pPr>
        <w:pStyle w:val="FootnoteText"/>
        <w:rPr>
          <w:i/>
          <w:iCs/>
          <w:lang w:val="en-US"/>
        </w:rPr>
      </w:pPr>
      <w:r>
        <w:rPr>
          <w:rStyle w:val="FootnoteReference"/>
        </w:rPr>
        <w:footnoteRef/>
      </w:r>
      <w:r>
        <w:t xml:space="preserve"> Australian Institute of Family Studies, </w:t>
      </w:r>
      <w:r>
        <w:rPr>
          <w:i/>
          <w:iCs/>
        </w:rPr>
        <w:t>Child Care Package Evaluation</w:t>
      </w:r>
      <w:r w:rsidR="00860863">
        <w:rPr>
          <w:i/>
          <w:iCs/>
        </w:rPr>
        <w:t>: Final Report</w:t>
      </w:r>
      <w:r>
        <w:rPr>
          <w:i/>
          <w:iCs/>
        </w:rPr>
        <w:t xml:space="preserve"> </w:t>
      </w:r>
      <w:r w:rsidRPr="00CD38C6">
        <w:t>(2021)</w:t>
      </w:r>
      <w:r>
        <w:t xml:space="preserve"> &lt;</w:t>
      </w:r>
      <w:r w:rsidR="00860863" w:rsidRPr="00860863">
        <w:t>https://aifs.gov.au/sites/default/files/2022-12/2021_child_care_package_evaluation_final_report.pdf</w:t>
      </w:r>
      <w:r w:rsidR="00860863">
        <w:t>&gt;</w:t>
      </w:r>
    </w:p>
  </w:footnote>
  <w:footnote w:id="187">
    <w:p w14:paraId="1AB2BD58" w14:textId="5EF7D699" w:rsidR="001410D5" w:rsidRPr="003759F5" w:rsidRDefault="001410D5" w:rsidP="001410D5">
      <w:pPr>
        <w:pStyle w:val="FootnoteText"/>
      </w:pPr>
      <w:r>
        <w:rPr>
          <w:rStyle w:val="FootnoteReference"/>
        </w:rPr>
        <w:footnoteRef/>
      </w:r>
      <w:r>
        <w:t xml:space="preserve"> </w:t>
      </w:r>
      <w:r w:rsidR="0026654E" w:rsidRPr="0026654E">
        <w:t>Crystal Jongen, Sandra Campbell, Janya McCalman, Ruth Fagan, Kingsley Pearson, and Suzanne Andrews, ‘Transitioning to Aboriginal community control of primary health care: the process and strategies of one community-controlled health organisation in Queensland’ (2020) 21 BMC Primary Care</w:t>
      </w:r>
    </w:p>
  </w:footnote>
  <w:footnote w:id="188">
    <w:p w14:paraId="56169330" w14:textId="1973A59A" w:rsidR="001410D5" w:rsidRPr="003C6492" w:rsidRDefault="001410D5" w:rsidP="001410D5">
      <w:pPr>
        <w:pStyle w:val="FootnoteText"/>
        <w:rPr>
          <w:lang w:val="en-US"/>
        </w:rPr>
      </w:pPr>
      <w:r>
        <w:rPr>
          <w:rStyle w:val="FootnoteReference"/>
        </w:rPr>
        <w:footnoteRef/>
      </w:r>
      <w:r>
        <w:t xml:space="preserve"> </w:t>
      </w:r>
      <w:r w:rsidR="00091C63">
        <w:t>‘</w:t>
      </w:r>
      <w:r w:rsidR="00091C63" w:rsidRPr="00091C63">
        <w:t xml:space="preserve">Camila A. Kairuz, Lisa M. Casanelia, Keziah Bennett-Brook, Julieann Coombes </w:t>
      </w:r>
      <w:r w:rsidR="00091C63">
        <w:t>and</w:t>
      </w:r>
      <w:r w:rsidR="00091C63" w:rsidRPr="00091C63">
        <w:t xml:space="preserve"> Uday Narayan Yadav</w:t>
      </w:r>
      <w:r w:rsidR="00091C63">
        <w:t>,</w:t>
      </w:r>
      <w:r w:rsidR="00091C63" w:rsidRPr="00091C63">
        <w:t xml:space="preserve"> </w:t>
      </w:r>
      <w:r w:rsidR="00091C63">
        <w:t>‘</w:t>
      </w:r>
      <w:r w:rsidRPr="003759F5">
        <w:t>Impact of racism and discrimination on physical and mental health among Aboriginal and Torres Strait islander peoples living in Australia: a systematic scoping review</w:t>
      </w:r>
      <w:r w:rsidR="00091C63">
        <w:t xml:space="preserve">’ (2021) </w:t>
      </w:r>
      <w:r w:rsidR="009A11C0">
        <w:t xml:space="preserve">21 </w:t>
      </w:r>
      <w:r w:rsidR="00091C63">
        <w:t xml:space="preserve">BMC Public Health </w:t>
      </w:r>
    </w:p>
  </w:footnote>
  <w:footnote w:id="189">
    <w:p w14:paraId="3B197772" w14:textId="6CDCC00E" w:rsidR="001410D5" w:rsidRPr="00C47557" w:rsidRDefault="001410D5" w:rsidP="001410D5">
      <w:pPr>
        <w:pStyle w:val="FootnoteText"/>
      </w:pPr>
      <w:r>
        <w:rPr>
          <w:rStyle w:val="FootnoteReference"/>
        </w:rPr>
        <w:footnoteRef/>
      </w:r>
      <w:r>
        <w:t xml:space="preserve"> </w:t>
      </w:r>
      <w:r w:rsidR="009A11C0">
        <w:t>Karen Menzies, ‘</w:t>
      </w:r>
      <w:r w:rsidRPr="001E20D1">
        <w:t>Understanding the Australian Aboriginal experience of collective, historical and intergenerational trauma</w:t>
      </w:r>
      <w:r w:rsidR="009A11C0">
        <w:t>’ (</w:t>
      </w:r>
      <w:r w:rsidR="001F0B20">
        <w:t xml:space="preserve">2019) </w:t>
      </w:r>
      <w:r w:rsidR="006B7D88">
        <w:t xml:space="preserve">Volume 62 (6) </w:t>
      </w:r>
      <w:r w:rsidR="001F0B20">
        <w:t>International Social Work</w:t>
      </w:r>
    </w:p>
  </w:footnote>
  <w:footnote w:id="190">
    <w:p w14:paraId="65213C13" w14:textId="58BC28D7" w:rsidR="001410D5" w:rsidRPr="001E20D1" w:rsidRDefault="001410D5" w:rsidP="001410D5">
      <w:pPr>
        <w:pStyle w:val="FootnoteText"/>
        <w:rPr>
          <w:lang w:val="en-US"/>
        </w:rPr>
      </w:pPr>
      <w:r>
        <w:rPr>
          <w:rStyle w:val="FootnoteReference"/>
        </w:rPr>
        <w:footnoteRef/>
      </w:r>
      <w:r>
        <w:t xml:space="preserve"> </w:t>
      </w:r>
      <w:r>
        <w:rPr>
          <w:lang w:val="en-US"/>
        </w:rPr>
        <w:t>Telethon Kids</w:t>
      </w:r>
      <w:r w:rsidR="00B25B9E">
        <w:rPr>
          <w:lang w:val="en-US"/>
        </w:rPr>
        <w:t>, ‘</w:t>
      </w:r>
      <w:r>
        <w:rPr>
          <w:lang w:val="en-US"/>
        </w:rPr>
        <w:t>Addressing individual and community transgenerational trauma</w:t>
      </w:r>
      <w:r w:rsidR="00B25B9E">
        <w:rPr>
          <w:lang w:val="en-US"/>
        </w:rPr>
        <w:t>’</w:t>
      </w:r>
      <w:r w:rsidR="00383D2D">
        <w:rPr>
          <w:lang w:val="en-US"/>
        </w:rPr>
        <w:t xml:space="preserve">, </w:t>
      </w:r>
      <w:r w:rsidR="00383D2D" w:rsidRPr="00383D2D">
        <w:rPr>
          <w:lang w:val="en-US"/>
        </w:rPr>
        <w:t>Working together</w:t>
      </w:r>
      <w:r w:rsidR="005B3525">
        <w:rPr>
          <w:lang w:val="en-US"/>
        </w:rPr>
        <w:t xml:space="preserve"> </w:t>
      </w:r>
      <w:r w:rsidR="002D4B48">
        <w:rPr>
          <w:lang w:val="en-US"/>
        </w:rPr>
        <w:t>(</w:t>
      </w:r>
      <w:r w:rsidR="005B3525">
        <w:rPr>
          <w:lang w:val="en-US"/>
        </w:rPr>
        <w:t>2</w:t>
      </w:r>
      <w:r w:rsidR="005B3525" w:rsidRPr="005B3525">
        <w:rPr>
          <w:vertAlign w:val="superscript"/>
          <w:lang w:val="en-US"/>
        </w:rPr>
        <w:t>nd</w:t>
      </w:r>
      <w:r w:rsidR="005B3525">
        <w:rPr>
          <w:lang w:val="en-US"/>
        </w:rPr>
        <w:t xml:space="preserve"> ed, </w:t>
      </w:r>
      <w:r w:rsidR="002D4B48">
        <w:rPr>
          <w:lang w:val="en-US"/>
        </w:rPr>
        <w:t>2014)</w:t>
      </w:r>
      <w:r w:rsidR="005B3525">
        <w:rPr>
          <w:lang w:val="en-US"/>
        </w:rPr>
        <w:t xml:space="preserve"> </w:t>
      </w:r>
      <w:r w:rsidR="004A0A99">
        <w:rPr>
          <w:lang w:val="en-US"/>
        </w:rPr>
        <w:t>289</w:t>
      </w:r>
    </w:p>
  </w:footnote>
  <w:footnote w:id="191">
    <w:p w14:paraId="470A8CFA" w14:textId="72D45467" w:rsidR="001410D5" w:rsidRPr="00A05F32" w:rsidRDefault="001410D5" w:rsidP="001410D5">
      <w:pPr>
        <w:pStyle w:val="FootnoteText"/>
        <w:rPr>
          <w:lang w:val="en-US"/>
        </w:rPr>
      </w:pPr>
      <w:r>
        <w:rPr>
          <w:rStyle w:val="FootnoteReference"/>
        </w:rPr>
        <w:footnoteRef/>
      </w:r>
      <w:r>
        <w:t xml:space="preserve"> </w:t>
      </w:r>
      <w:r w:rsidR="004A0A99">
        <w:t xml:space="preserve">Australian Government Department of Social Services, </w:t>
      </w:r>
      <w:r w:rsidR="004A0A99" w:rsidRPr="004A0A99">
        <w:rPr>
          <w:i/>
          <w:iCs/>
        </w:rPr>
        <w:t>‘Family Assistance Guide:1.1.A.05 Absences’</w:t>
      </w:r>
      <w:r w:rsidR="004A0A99">
        <w:t xml:space="preserve"> (2023) &lt;</w:t>
      </w:r>
      <w:r w:rsidR="004A0A99" w:rsidRPr="004A0A99">
        <w:t>https://guides.dss.gov.au/family-assistance-guide/1/1/a/05</w:t>
      </w:r>
      <w:r w:rsidR="004A0A99">
        <w:t>&gt;</w:t>
      </w:r>
    </w:p>
  </w:footnote>
  <w:footnote w:id="192">
    <w:p w14:paraId="1178FE62" w14:textId="3A3B76A5" w:rsidR="004F05D9" w:rsidRPr="00E61A3E" w:rsidRDefault="004F05D9" w:rsidP="004F05D9">
      <w:pPr>
        <w:pStyle w:val="FootnoteText"/>
        <w:rPr>
          <w:i/>
          <w:lang w:val="en-US"/>
        </w:rPr>
      </w:pPr>
      <w:r>
        <w:rPr>
          <w:rStyle w:val="FootnoteReference"/>
        </w:rPr>
        <w:footnoteRef/>
      </w:r>
      <w:r>
        <w:t xml:space="preserve"> </w:t>
      </w:r>
      <w:r w:rsidR="00E61A3E" w:rsidRPr="00E61A3E">
        <w:rPr>
          <w:i/>
          <w:iCs/>
        </w:rPr>
        <w:t>Regulation 126, Education and Care Services National Regulations</w:t>
      </w:r>
    </w:p>
  </w:footnote>
  <w:footnote w:id="193">
    <w:p w14:paraId="29CDD400" w14:textId="3A53EDEE" w:rsidR="00F83484" w:rsidRPr="003207B5" w:rsidRDefault="00F83484" w:rsidP="003207B5">
      <w:pPr>
        <w:pStyle w:val="FootnoteText"/>
      </w:pPr>
      <w:r>
        <w:rPr>
          <w:rStyle w:val="FootnoteReference"/>
        </w:rPr>
        <w:footnoteRef/>
      </w:r>
      <w:r>
        <w:t xml:space="preserve"> </w:t>
      </w:r>
      <w:r w:rsidR="003207B5" w:rsidRPr="00C34246">
        <w:rPr>
          <w:i/>
        </w:rPr>
        <w:t>Children (Education and Care Services) Supplementary Provisions Regulation 2019</w:t>
      </w:r>
    </w:p>
  </w:footnote>
  <w:footnote w:id="194">
    <w:p w14:paraId="0BC56CFF" w14:textId="482ACA32" w:rsidR="0034687D" w:rsidRPr="0034687D" w:rsidRDefault="0034687D">
      <w:pPr>
        <w:pStyle w:val="FootnoteText"/>
        <w:rPr>
          <w:lang w:val="en-US"/>
        </w:rPr>
      </w:pPr>
      <w:r>
        <w:rPr>
          <w:rStyle w:val="FootnoteReference"/>
        </w:rPr>
        <w:footnoteRef/>
      </w:r>
      <w:r>
        <w:t xml:space="preserve"> </w:t>
      </w:r>
      <w:r>
        <w:rPr>
          <w:lang w:val="en-US"/>
        </w:rPr>
        <w:t xml:space="preserve">Guide to the NQF, pg36 - </w:t>
      </w:r>
      <w:r w:rsidRPr="0034687D">
        <w:rPr>
          <w:lang w:val="en-US"/>
        </w:rPr>
        <w:t>https://www.acecqa.gov.au/sites/default/files/2020-01/Guide-to-the-NQF_2.pdf</w:t>
      </w:r>
    </w:p>
  </w:footnote>
  <w:footnote w:id="195">
    <w:p w14:paraId="50FB96A7" w14:textId="33C83FE4" w:rsidR="00407120" w:rsidRPr="003004C0" w:rsidRDefault="00407120" w:rsidP="00407120">
      <w:pPr>
        <w:pStyle w:val="FootnoteText"/>
        <w:rPr>
          <w:lang w:val="en-US"/>
        </w:rPr>
      </w:pPr>
      <w:r>
        <w:rPr>
          <w:rStyle w:val="FootnoteReference"/>
        </w:rPr>
        <w:footnoteRef/>
      </w:r>
      <w:r>
        <w:t xml:space="preserve"> </w:t>
      </w:r>
      <w:r w:rsidR="00510E26">
        <w:t xml:space="preserve">Section 12, </w:t>
      </w:r>
      <w:r w:rsidR="00CE0361" w:rsidRPr="00510E26">
        <w:rPr>
          <w:i/>
        </w:rPr>
        <w:t xml:space="preserve">Children (Education and Care </w:t>
      </w:r>
      <w:r w:rsidR="00CE0361" w:rsidRPr="00510E26">
        <w:rPr>
          <w:i/>
          <w:iCs/>
        </w:rPr>
        <w:t>Services</w:t>
      </w:r>
      <w:r w:rsidR="00510E26" w:rsidRPr="00510E26">
        <w:rPr>
          <w:i/>
          <w:iCs/>
        </w:rPr>
        <w:t>) National Law (NSW)</w:t>
      </w:r>
    </w:p>
  </w:footnote>
  <w:footnote w:id="196">
    <w:p w14:paraId="5ECF7343" w14:textId="0D52CF87" w:rsidR="00407120" w:rsidRPr="00583E2E" w:rsidRDefault="00407120" w:rsidP="00407120">
      <w:pPr>
        <w:pStyle w:val="FootnoteText"/>
        <w:rPr>
          <w:lang w:val="en-US"/>
        </w:rPr>
      </w:pPr>
      <w:r>
        <w:rPr>
          <w:rStyle w:val="FootnoteReference"/>
        </w:rPr>
        <w:footnoteRef/>
      </w:r>
      <w:r>
        <w:t xml:space="preserve"> </w:t>
      </w:r>
      <w:r>
        <w:rPr>
          <w:lang w:val="en-US"/>
        </w:rPr>
        <w:t>Section</w:t>
      </w:r>
      <w:r w:rsidR="00510E26">
        <w:rPr>
          <w:lang w:val="en-US"/>
        </w:rPr>
        <w:t>s</w:t>
      </w:r>
      <w:r>
        <w:rPr>
          <w:lang w:val="en-US"/>
        </w:rPr>
        <w:t xml:space="preserve"> 14-15</w:t>
      </w:r>
      <w:r w:rsidR="00510E26">
        <w:rPr>
          <w:lang w:val="en-US"/>
        </w:rPr>
        <w:t xml:space="preserve">, </w:t>
      </w:r>
      <w:r w:rsidR="00510E26" w:rsidRPr="00510E26">
        <w:rPr>
          <w:i/>
          <w:iCs/>
        </w:rPr>
        <w:t>Children (Education and Care Services) National Law (NSW)</w:t>
      </w:r>
    </w:p>
  </w:footnote>
  <w:footnote w:id="197">
    <w:p w14:paraId="0B989DFA" w14:textId="3C2F7A90" w:rsidR="00EA2167" w:rsidRPr="00F1116E" w:rsidRDefault="00EA2167" w:rsidP="00425FAA">
      <w:pPr>
        <w:pStyle w:val="FootnoteText"/>
        <w:rPr>
          <w:i/>
        </w:rPr>
      </w:pPr>
      <w:r>
        <w:rPr>
          <w:rStyle w:val="FootnoteReference"/>
        </w:rPr>
        <w:footnoteRef/>
      </w:r>
      <w:r>
        <w:t xml:space="preserve"> </w:t>
      </w:r>
      <w:r w:rsidR="00425FAA">
        <w:t>Linda J. Harrison, Manjula Waniganayake, Jude Brown, Rebecca Andrews, Hui Li, Fay Hadley, Susan Irvine, Lennie Barblett, Belinda Davis, and Maria Hatzigianni, ‘Structures and systems influencing quality improvement in Australian early childhood education and care centres’</w:t>
      </w:r>
      <w:r w:rsidR="00F1116E">
        <w:t xml:space="preserve"> </w:t>
      </w:r>
      <w:r w:rsidR="00550A15">
        <w:t>(</w:t>
      </w:r>
      <w:r w:rsidR="00F1116E">
        <w:t>2022)</w:t>
      </w:r>
      <w:r w:rsidR="00425FAA">
        <w:t xml:space="preserve"> </w:t>
      </w:r>
      <w:r w:rsidR="00425FAA" w:rsidRPr="00F1116E">
        <w:rPr>
          <w:i/>
        </w:rPr>
        <w:t>The Australian Educational Researcher</w:t>
      </w:r>
    </w:p>
  </w:footnote>
  <w:footnote w:id="198">
    <w:p w14:paraId="691D670C" w14:textId="2309DA3E" w:rsidR="00941696" w:rsidRPr="00941696" w:rsidRDefault="00941696">
      <w:pPr>
        <w:pStyle w:val="FootnoteText"/>
        <w:rPr>
          <w:lang w:val="en-US"/>
        </w:rPr>
      </w:pPr>
      <w:r>
        <w:rPr>
          <w:rStyle w:val="FootnoteReference"/>
        </w:rPr>
        <w:footnoteRef/>
      </w:r>
      <w:r>
        <w:t xml:space="preserve"> </w:t>
      </w:r>
      <w:r w:rsidR="00A93E5F">
        <w:t>Karen Thorpe, Emily Westwood, Elena Jansen, Ryan Menner, Sandy Houen</w:t>
      </w:r>
      <w:r w:rsidR="00325563">
        <w:t xml:space="preserve"> and Sally Staton, ‘Working Towards the National Quality Standard for ECEC: what do we know? Where should we go?’ (2021) The Australian Educational Researcher 227</w:t>
      </w:r>
    </w:p>
  </w:footnote>
  <w:footnote w:id="199">
    <w:p w14:paraId="77C415D4" w14:textId="326E258C" w:rsidR="001C50E2" w:rsidRPr="001C50E2" w:rsidRDefault="001C50E2">
      <w:pPr>
        <w:pStyle w:val="FootnoteText"/>
        <w:rPr>
          <w:lang w:val="en-US"/>
        </w:rPr>
      </w:pPr>
      <w:r>
        <w:rPr>
          <w:rStyle w:val="FootnoteReference"/>
        </w:rPr>
        <w:footnoteRef/>
      </w:r>
      <w:r>
        <w:t xml:space="preserve"> </w:t>
      </w:r>
      <w:r w:rsidR="006E3D8D">
        <w:t xml:space="preserve">Linda J. Harrison, Manjula Waniganayake, Jude Brown, Rebecca Andrews, Hui Li, Fay Hadley, Susan Irvine, Lennie Barblett, Belinda Davis, and Maria Hatzigianni, ‘Structures and systems influencing quality improvement in Australian early childhood education and care centres’ 2022) </w:t>
      </w:r>
      <w:r w:rsidR="006E3D8D" w:rsidRPr="00F1116E">
        <w:rPr>
          <w:i/>
          <w:iCs/>
        </w:rPr>
        <w:t>The Australian Educational Researcher</w:t>
      </w:r>
      <w:r w:rsidR="00A768C3">
        <w:rPr>
          <w:i/>
          <w:iCs/>
        </w:rPr>
        <w:t xml:space="preserve"> </w:t>
      </w:r>
    </w:p>
  </w:footnote>
  <w:footnote w:id="200">
    <w:p w14:paraId="16E17FEF" w14:textId="693B862C" w:rsidR="00556BE3" w:rsidRPr="00556BE3" w:rsidRDefault="00556BE3">
      <w:pPr>
        <w:pStyle w:val="FootnoteText"/>
        <w:rPr>
          <w:lang w:val="en-US"/>
        </w:rPr>
      </w:pPr>
      <w:r>
        <w:rPr>
          <w:rStyle w:val="FootnoteReference"/>
        </w:rPr>
        <w:footnoteRef/>
      </w:r>
      <w:r>
        <w:t xml:space="preserve"> </w:t>
      </w:r>
      <w:r w:rsidR="005C767C">
        <w:t xml:space="preserve">Education Services Australia, </w:t>
      </w:r>
      <w:r w:rsidR="005C767C" w:rsidRPr="00B83907">
        <w:rPr>
          <w:i/>
        </w:rPr>
        <w:t>Shaping our future: a ten-year strategy to ensure a sustainable high-quality children’s education and care workforce 2022-</w:t>
      </w:r>
      <w:r w:rsidR="005C767C" w:rsidRPr="00B83907">
        <w:rPr>
          <w:i/>
          <w:iCs/>
        </w:rPr>
        <w:t>2031</w:t>
      </w:r>
      <w:r w:rsidR="00D31F9B">
        <w:t xml:space="preserve"> </w:t>
      </w:r>
      <w:r w:rsidR="00B83907">
        <w:rPr>
          <w:lang w:val="en-US"/>
        </w:rPr>
        <w:t>(2021)</w:t>
      </w:r>
      <w:r w:rsidR="00D34917">
        <w:rPr>
          <w:lang w:val="en-US"/>
        </w:rPr>
        <w:t>.</w:t>
      </w:r>
    </w:p>
  </w:footnote>
  <w:footnote w:id="201">
    <w:p w14:paraId="6F5EB483" w14:textId="6A8D2F2C" w:rsidR="00E63904" w:rsidRPr="00E63904" w:rsidRDefault="00E63904">
      <w:pPr>
        <w:pStyle w:val="FootnoteText"/>
        <w:rPr>
          <w:lang w:val="en-US"/>
        </w:rPr>
      </w:pPr>
      <w:r>
        <w:rPr>
          <w:rStyle w:val="FootnoteReference"/>
        </w:rPr>
        <w:footnoteRef/>
      </w:r>
      <w:r>
        <w:t xml:space="preserve"> </w:t>
      </w:r>
      <w:r w:rsidR="006235E0">
        <w:t>Alicia Jane Phillips,</w:t>
      </w:r>
      <w:r w:rsidR="007E3A95">
        <w:t xml:space="preserve"> ‘</w:t>
      </w:r>
      <w:r w:rsidR="007E3A95" w:rsidRPr="007E3A95">
        <w:t>An investigation of long day care services in Australia that are Exceeding the National Quality Standard</w:t>
      </w:r>
      <w:r w:rsidR="007E3A95">
        <w:t xml:space="preserve">’ (2020) </w:t>
      </w:r>
      <w:r w:rsidR="007E3A95" w:rsidRPr="007E3A95">
        <w:rPr>
          <w:i/>
          <w:iCs/>
        </w:rPr>
        <w:t>The University of Sydney</w:t>
      </w:r>
      <w:r w:rsidR="007E3A95">
        <w:t xml:space="preserve"> </w:t>
      </w:r>
    </w:p>
  </w:footnote>
  <w:footnote w:id="202">
    <w:p w14:paraId="6F427794" w14:textId="7414E473" w:rsidR="00D20C8A" w:rsidRPr="00D20C8A" w:rsidRDefault="00D20C8A">
      <w:pPr>
        <w:pStyle w:val="FootnoteText"/>
        <w:rPr>
          <w:lang w:val="en-US"/>
        </w:rPr>
      </w:pPr>
      <w:r>
        <w:rPr>
          <w:rStyle w:val="FootnoteReference"/>
        </w:rPr>
        <w:footnoteRef/>
      </w:r>
      <w:r>
        <w:t xml:space="preserve"> </w:t>
      </w:r>
      <w:r w:rsidR="00CC7BBB">
        <w:rPr>
          <w:lang w:val="en-US"/>
        </w:rPr>
        <w:t>Ibid.</w:t>
      </w:r>
    </w:p>
  </w:footnote>
  <w:footnote w:id="203">
    <w:p w14:paraId="2F328735" w14:textId="091D8CF9" w:rsidR="00D27397" w:rsidRPr="00D27397" w:rsidRDefault="00D27397">
      <w:pPr>
        <w:pStyle w:val="FootnoteText"/>
        <w:rPr>
          <w:lang w:val="en-US"/>
        </w:rPr>
      </w:pPr>
      <w:r>
        <w:rPr>
          <w:rStyle w:val="FootnoteReference"/>
        </w:rPr>
        <w:footnoteRef/>
      </w:r>
      <w:r w:rsidR="00CC7BBB">
        <w:t>Ibid.</w:t>
      </w:r>
    </w:p>
  </w:footnote>
  <w:footnote w:id="204">
    <w:p w14:paraId="64BEC0C0" w14:textId="2C0BF6A6" w:rsidR="00865A1F" w:rsidRPr="00865A1F" w:rsidRDefault="00865A1F">
      <w:pPr>
        <w:pStyle w:val="FootnoteText"/>
        <w:rPr>
          <w:lang w:val="en-US"/>
        </w:rPr>
      </w:pPr>
      <w:r>
        <w:rPr>
          <w:rStyle w:val="FootnoteReference"/>
        </w:rPr>
        <w:footnoteRef/>
      </w:r>
      <w:r>
        <w:t xml:space="preserve"> </w:t>
      </w:r>
      <w:r w:rsidR="00CC7BBB">
        <w:t xml:space="preserve">ACECQA, </w:t>
      </w:r>
      <w:r w:rsidR="00C33633" w:rsidRPr="00C33633">
        <w:rPr>
          <w:i/>
          <w:iCs/>
        </w:rPr>
        <w:t>Information sheet: Belonging, Being and Becoming. Aboriginal and Torres Strait Islander Perspectives</w:t>
      </w:r>
      <w:r w:rsidR="00C33633">
        <w:t xml:space="preserve"> (2022) &lt;</w:t>
      </w:r>
      <w:r w:rsidR="001A300F" w:rsidRPr="001A300F">
        <w:rPr>
          <w:lang w:val="en-US"/>
        </w:rPr>
        <w:t>https://www.acecqa.gov.au/sites/default/files/2023-07/InformationSheet_EYLF-Aboriginal%20and%20Torres%20Strait%20Islander%20perspectives.pdf</w:t>
      </w:r>
      <w:r w:rsidR="00C33633">
        <w:rPr>
          <w:lang w:val="en-US"/>
        </w:rPr>
        <w:t>&gt;</w:t>
      </w:r>
    </w:p>
  </w:footnote>
  <w:footnote w:id="205">
    <w:p w14:paraId="40D77109" w14:textId="77C64267" w:rsidR="00F81305" w:rsidRPr="00F81305" w:rsidRDefault="00F81305">
      <w:pPr>
        <w:pStyle w:val="FootnoteText"/>
        <w:rPr>
          <w:lang w:val="en-US"/>
        </w:rPr>
      </w:pPr>
      <w:r>
        <w:rPr>
          <w:rStyle w:val="FootnoteReference"/>
        </w:rPr>
        <w:footnoteRef/>
      </w:r>
      <w:r>
        <w:t xml:space="preserve"> </w:t>
      </w:r>
      <w:r w:rsidR="00C33633">
        <w:t xml:space="preserve">Note: </w:t>
      </w:r>
      <w:r>
        <w:rPr>
          <w:lang w:val="en-US"/>
        </w:rPr>
        <w:t>Authorised officers of state and territory regulatory authorities.</w:t>
      </w:r>
    </w:p>
  </w:footnote>
  <w:footnote w:id="206">
    <w:p w14:paraId="66841A65" w14:textId="6ECF1B8A" w:rsidR="00EB714C" w:rsidRPr="00EB714C" w:rsidRDefault="00EB714C">
      <w:pPr>
        <w:pStyle w:val="FootnoteText"/>
        <w:rPr>
          <w:lang w:val="en-US"/>
        </w:rPr>
      </w:pPr>
      <w:r>
        <w:rPr>
          <w:rStyle w:val="FootnoteReference"/>
        </w:rPr>
        <w:footnoteRef/>
      </w:r>
      <w:r>
        <w:t xml:space="preserve"> </w:t>
      </w:r>
      <w:r w:rsidR="00B95A19">
        <w:t>NSW Department of Education, ‘Cultural Safety Framework’ (2023) &lt;</w:t>
      </w:r>
      <w:r w:rsidRPr="00EB714C">
        <w:rPr>
          <w:lang w:val="en-US"/>
        </w:rPr>
        <w:t>https://education.nsw.gov.au/early-childhood-education/operating-an-early-childhood-education-service/current-service-providers/making-services-accessible-for-all-children/aboriginal-access/cultural-safety-framework-consultation</w:t>
      </w:r>
      <w:r w:rsidR="00B95A19">
        <w:rPr>
          <w:lang w:val="en-US"/>
        </w:rPr>
        <w:t>&gt;</w:t>
      </w:r>
    </w:p>
  </w:footnote>
  <w:footnote w:id="207">
    <w:p w14:paraId="67D40020" w14:textId="0F5B5C93" w:rsidR="008C5A34" w:rsidRPr="008C5A34" w:rsidRDefault="008C5A34">
      <w:pPr>
        <w:pStyle w:val="FootnoteText"/>
        <w:rPr>
          <w:lang w:val="en-US"/>
        </w:rPr>
      </w:pPr>
      <w:r>
        <w:rPr>
          <w:rStyle w:val="FootnoteReference"/>
        </w:rPr>
        <w:footnoteRef/>
      </w:r>
      <w:r>
        <w:t xml:space="preserve"> </w:t>
      </w:r>
      <w:r w:rsidR="00934F0C">
        <w:t xml:space="preserve">Productivity Commission, </w:t>
      </w:r>
      <w:r w:rsidR="007C214D">
        <w:t xml:space="preserve">Draft report – A path to universal early childhood education and care (November 2023) </w:t>
      </w:r>
      <w:r w:rsidR="009E5ECE">
        <w:t>&lt;</w:t>
      </w:r>
      <w:r w:rsidR="00451498" w:rsidRPr="00451498">
        <w:t>https://www.pc.gov.au/inquiries/current/childhood/draft/childhood-draft-full.pdf</w:t>
      </w:r>
      <w:r w:rsidR="009E5ECE">
        <w:t>&gt;</w:t>
      </w:r>
    </w:p>
  </w:footnote>
  <w:footnote w:id="208">
    <w:p w14:paraId="098B21B1" w14:textId="749C5E26" w:rsidR="005A6E7D" w:rsidRPr="005A6E7D" w:rsidRDefault="005A6E7D">
      <w:pPr>
        <w:pStyle w:val="FootnoteText"/>
        <w:rPr>
          <w:lang w:val="en-US"/>
        </w:rPr>
      </w:pPr>
      <w:r>
        <w:rPr>
          <w:rStyle w:val="FootnoteReference"/>
        </w:rPr>
        <w:footnoteRef/>
      </w:r>
      <w:r>
        <w:t xml:space="preserve"> </w:t>
      </w:r>
      <w:r w:rsidR="009E5ECE">
        <w:t xml:space="preserve">SNAICC, Submission No 133 to Productivity Commission, </w:t>
      </w:r>
      <w:r w:rsidR="002D7C31" w:rsidRPr="00282157">
        <w:rPr>
          <w:i/>
        </w:rPr>
        <w:t>Inquiry into early childhood education and care</w:t>
      </w:r>
      <w:r w:rsidR="002D7C31">
        <w:t xml:space="preserve"> </w:t>
      </w:r>
      <w:r w:rsidR="00876CCD">
        <w:t>(31 May 2023).</w:t>
      </w:r>
    </w:p>
  </w:footnote>
  <w:footnote w:id="209">
    <w:p w14:paraId="41D95211" w14:textId="61037D3B" w:rsidR="00B57966" w:rsidRPr="00B57966" w:rsidRDefault="00B57966">
      <w:pPr>
        <w:pStyle w:val="FootnoteText"/>
        <w:rPr>
          <w:lang w:val="en-US"/>
        </w:rPr>
      </w:pPr>
      <w:r>
        <w:rPr>
          <w:rStyle w:val="FootnoteReference"/>
        </w:rPr>
        <w:footnoteRef/>
      </w:r>
      <w:r>
        <w:t xml:space="preserve"> </w:t>
      </w:r>
      <w:r w:rsidR="00282157">
        <w:t>Ibid.</w:t>
      </w:r>
    </w:p>
  </w:footnote>
  <w:footnote w:id="210">
    <w:p w14:paraId="4453A251" w14:textId="78AD9F20" w:rsidR="00204993" w:rsidRPr="00204993" w:rsidRDefault="00204993">
      <w:pPr>
        <w:pStyle w:val="FootnoteText"/>
        <w:rPr>
          <w:lang w:val="en-US"/>
        </w:rPr>
      </w:pPr>
      <w:r>
        <w:rPr>
          <w:rStyle w:val="FootnoteReference"/>
        </w:rPr>
        <w:footnoteRef/>
      </w:r>
      <w:r>
        <w:t xml:space="preserve"> </w:t>
      </w:r>
      <w:r w:rsidR="004E0FB8">
        <w:t>VACCA</w:t>
      </w:r>
      <w:r w:rsidR="00821A03">
        <w:t xml:space="preserve">, </w:t>
      </w:r>
      <w:r w:rsidR="001A05F8" w:rsidRPr="00A10435">
        <w:rPr>
          <w:i/>
        </w:rPr>
        <w:t>Submission to the Early Years Strategy</w:t>
      </w:r>
      <w:r w:rsidR="009B095C">
        <w:t xml:space="preserve"> (2023)</w:t>
      </w:r>
      <w:r w:rsidR="001A05F8">
        <w:t xml:space="preserve"> </w:t>
      </w:r>
    </w:p>
  </w:footnote>
  <w:footnote w:id="211">
    <w:p w14:paraId="6DE3006D" w14:textId="6EF694A1" w:rsidR="009F71F9" w:rsidRPr="009F71F9" w:rsidRDefault="009F71F9">
      <w:pPr>
        <w:pStyle w:val="FootnoteText"/>
        <w:rPr>
          <w:lang w:val="en-US"/>
        </w:rPr>
      </w:pPr>
      <w:r>
        <w:rPr>
          <w:rStyle w:val="FootnoteReference"/>
        </w:rPr>
        <w:footnoteRef/>
      </w:r>
      <w:r>
        <w:t xml:space="preserve"> </w:t>
      </w:r>
      <w:r>
        <w:rPr>
          <w:lang w:val="en-US"/>
        </w:rPr>
        <w:t>Ibid.</w:t>
      </w:r>
    </w:p>
  </w:footnote>
  <w:footnote w:id="212">
    <w:p w14:paraId="5F5F5586" w14:textId="7F45934E" w:rsidR="001A5A2B" w:rsidRPr="001A5A2B" w:rsidRDefault="001A5A2B">
      <w:pPr>
        <w:pStyle w:val="FootnoteText"/>
        <w:rPr>
          <w:lang w:val="en-US"/>
        </w:rPr>
      </w:pPr>
      <w:r>
        <w:rPr>
          <w:rStyle w:val="FootnoteReference"/>
        </w:rPr>
        <w:footnoteRef/>
      </w:r>
      <w:r>
        <w:t xml:space="preserve"> </w:t>
      </w:r>
      <w:r w:rsidRPr="001A5A2B">
        <w:rPr>
          <w:szCs w:val="16"/>
        </w:rPr>
        <w:t xml:space="preserve">Victorian Aboriginal Community Controlled Health Organisation (VACCHO), </w:t>
      </w:r>
      <w:r w:rsidRPr="001A5A2B">
        <w:rPr>
          <w:i/>
          <w:iCs/>
          <w:szCs w:val="16"/>
        </w:rPr>
        <w:t>Submission to the Early Years Strategy</w:t>
      </w:r>
      <w:r w:rsidRPr="001A5A2B">
        <w:rPr>
          <w:szCs w:val="16"/>
        </w:rPr>
        <w:t xml:space="preserve"> (2023) </w:t>
      </w:r>
    </w:p>
  </w:footnote>
  <w:footnote w:id="213">
    <w:p w14:paraId="2B1A1671" w14:textId="75A6927D" w:rsidR="00801A1B" w:rsidRPr="00801A1B" w:rsidRDefault="00801A1B">
      <w:pPr>
        <w:pStyle w:val="FootnoteText"/>
        <w:rPr>
          <w:lang w:val="en-US"/>
        </w:rPr>
      </w:pPr>
      <w:r>
        <w:rPr>
          <w:rStyle w:val="FootnoteReference"/>
        </w:rPr>
        <w:footnoteRef/>
      </w:r>
      <w:r>
        <w:t xml:space="preserve"> </w:t>
      </w:r>
      <w:r w:rsidRPr="00801A1B">
        <w:rPr>
          <w:szCs w:val="16"/>
        </w:rPr>
        <w:t>National Aboriginal Community Controlled Health Organisation</w:t>
      </w:r>
      <w:r>
        <w:rPr>
          <w:szCs w:val="16"/>
        </w:rPr>
        <w:t xml:space="preserve">, </w:t>
      </w:r>
      <w:r w:rsidRPr="001A5A2B">
        <w:rPr>
          <w:i/>
          <w:iCs/>
          <w:szCs w:val="16"/>
        </w:rPr>
        <w:t>Submission to the Early Years Strategy</w:t>
      </w:r>
      <w:r w:rsidRPr="001A5A2B">
        <w:rPr>
          <w:szCs w:val="16"/>
        </w:rPr>
        <w:t xml:space="preserve"> (2023)</w:t>
      </w:r>
    </w:p>
  </w:footnote>
  <w:footnote w:id="214">
    <w:p w14:paraId="34827F1E" w14:textId="3C504744" w:rsidR="00FD348E" w:rsidRPr="00FD348E" w:rsidRDefault="00FD348E">
      <w:pPr>
        <w:pStyle w:val="FootnoteText"/>
        <w:rPr>
          <w:lang w:val="en-US"/>
        </w:rPr>
      </w:pPr>
      <w:r>
        <w:rPr>
          <w:rStyle w:val="FootnoteReference"/>
        </w:rPr>
        <w:footnoteRef/>
      </w:r>
      <w:r>
        <w:rPr>
          <w:szCs w:val="16"/>
        </w:rPr>
        <w:t xml:space="preserve">Binarri Binyja Yarrawoo Aboriginal Corporation (on behalf of </w:t>
      </w:r>
      <w:r w:rsidR="00531D9A">
        <w:rPr>
          <w:szCs w:val="16"/>
        </w:rPr>
        <w:t xml:space="preserve">Empowered Communities East Kimberley), </w:t>
      </w:r>
      <w:r w:rsidRPr="001A5A2B">
        <w:rPr>
          <w:i/>
          <w:iCs/>
          <w:szCs w:val="16"/>
        </w:rPr>
        <w:t>Submission to the Early Years Strategy</w:t>
      </w:r>
      <w:r w:rsidRPr="001A5A2B">
        <w:rPr>
          <w:szCs w:val="16"/>
        </w:rPr>
        <w:t xml:space="preserve"> (2023) </w:t>
      </w:r>
    </w:p>
  </w:footnote>
  <w:footnote w:id="215">
    <w:p w14:paraId="23831251" w14:textId="6AF3E6C6" w:rsidR="00410C74" w:rsidRPr="00410C74" w:rsidRDefault="00410C74">
      <w:pPr>
        <w:pStyle w:val="FootnoteText"/>
        <w:rPr>
          <w:lang w:val="en-US"/>
        </w:rPr>
      </w:pPr>
      <w:r>
        <w:rPr>
          <w:rStyle w:val="FootnoteReference"/>
        </w:rPr>
        <w:footnoteRef/>
      </w:r>
      <w:r>
        <w:t xml:space="preserve"> </w:t>
      </w:r>
      <w:r w:rsidR="009D1F37">
        <w:t xml:space="preserve">National Indigenous Australians Agency (NIAA), </w:t>
      </w:r>
      <w:r w:rsidR="009D1F37" w:rsidRPr="009D1F37">
        <w:rPr>
          <w:i/>
          <w:iCs/>
        </w:rPr>
        <w:t>National Aboriginal and Torres Strait Islander Early Childhood Strategy</w:t>
      </w:r>
      <w:r w:rsidR="009D1F37">
        <w:t xml:space="preserve"> (2021) &lt;</w:t>
      </w:r>
      <w:r w:rsidR="009D1F37" w:rsidRPr="009D1F37">
        <w:t>https://www.niaa.gov.au/resource-centre/indigenous-affairs/national-aboriginal-and-torres-strait-islander-early-childhood-strategy</w:t>
      </w:r>
      <w:r w:rsidR="009D1F37">
        <w:t>&gt;.</w:t>
      </w:r>
    </w:p>
  </w:footnote>
  <w:footnote w:id="216">
    <w:p w14:paraId="7204C6C7" w14:textId="2F5D8424" w:rsidR="009A0DED" w:rsidRPr="007655CF" w:rsidRDefault="009A0DED" w:rsidP="00506832">
      <w:pPr>
        <w:pStyle w:val="FootnoteText"/>
        <w:spacing w:line="20" w:lineRule="atLeast"/>
      </w:pPr>
      <w:r>
        <w:rPr>
          <w:rStyle w:val="FootnoteReference"/>
        </w:rPr>
        <w:footnoteRef/>
      </w:r>
      <w:r>
        <w:t xml:space="preserve"> </w:t>
      </w:r>
      <w:r w:rsidR="007655CF" w:rsidRPr="00993CD5">
        <w:t>Australian Government, ‘National Agreement on Closing the Gap’, www.closingthegap.gov.au (2020) &lt;https://www.closingthegap.gov.au/national-agreement/national-agreement-closing-the-gap&gt;.</w:t>
      </w:r>
    </w:p>
  </w:footnote>
  <w:footnote w:id="217">
    <w:p w14:paraId="08DA2298" w14:textId="68EFE87C" w:rsidR="009F712D" w:rsidRPr="009F712D" w:rsidRDefault="009F712D" w:rsidP="00506832">
      <w:pPr>
        <w:pStyle w:val="FootnoteText"/>
        <w:spacing w:line="20" w:lineRule="atLeast"/>
        <w:rPr>
          <w:lang w:val="en-US"/>
        </w:rPr>
      </w:pPr>
      <w:r w:rsidRPr="0044132C">
        <w:rPr>
          <w:rStyle w:val="FootnoteReference"/>
        </w:rPr>
        <w:footnoteRef/>
      </w:r>
      <w:r w:rsidRPr="0044132C">
        <w:t xml:space="preserve"> </w:t>
      </w:r>
      <w:r w:rsidR="0044132C" w:rsidRPr="0044132C">
        <w:t>Productivity Commission, ‘Review on the National Agreement on Closing the Gap – Study Report’ (2024) &lt;https://www.pc.gov.au/inquiries/completed/closing-the-gap-review/report&gt;.</w:t>
      </w:r>
    </w:p>
  </w:footnote>
  <w:footnote w:id="218">
    <w:p w14:paraId="3AF3BDFE" w14:textId="536635B8" w:rsidR="3BF3B37B" w:rsidRPr="006B5566" w:rsidRDefault="3BF3B37B" w:rsidP="00506832">
      <w:pPr>
        <w:spacing w:after="0" w:line="20" w:lineRule="atLeast"/>
        <w:rPr>
          <w:sz w:val="16"/>
          <w:szCs w:val="16"/>
        </w:rPr>
      </w:pPr>
      <w:r w:rsidRPr="006B5566">
        <w:rPr>
          <w:rStyle w:val="FootnoteReference"/>
          <w:sz w:val="16"/>
          <w:szCs w:val="16"/>
        </w:rPr>
        <w:footnoteRef/>
      </w:r>
      <w:r w:rsidR="003A7E81" w:rsidRPr="006B5566">
        <w:rPr>
          <w:sz w:val="16"/>
          <w:szCs w:val="16"/>
          <w:lang w:val="en-US"/>
        </w:rPr>
        <w:t xml:space="preserve">Coalition of Aboriginal and Torres Strait Islander Peak Organisations, </w:t>
      </w:r>
      <w:r w:rsidR="00B25949" w:rsidRPr="006B5566">
        <w:rPr>
          <w:sz w:val="16"/>
          <w:szCs w:val="16"/>
          <w:lang w:val="en-US"/>
        </w:rPr>
        <w:t>‘</w:t>
      </w:r>
      <w:r w:rsidR="003A7E81" w:rsidRPr="006B5566">
        <w:rPr>
          <w:sz w:val="16"/>
          <w:szCs w:val="16"/>
          <w:lang w:val="en-US"/>
        </w:rPr>
        <w:t xml:space="preserve">Sector Strengthening Plan: </w:t>
      </w:r>
      <w:r w:rsidR="00B25949" w:rsidRPr="006B5566">
        <w:rPr>
          <w:sz w:val="16"/>
          <w:szCs w:val="16"/>
          <w:lang w:val="en-US"/>
        </w:rPr>
        <w:t>E</w:t>
      </w:r>
      <w:r w:rsidR="003A7E81" w:rsidRPr="006B5566">
        <w:rPr>
          <w:sz w:val="16"/>
          <w:szCs w:val="16"/>
          <w:lang w:val="en-US"/>
        </w:rPr>
        <w:t xml:space="preserve">arly childhood </w:t>
      </w:r>
      <w:r w:rsidR="00B25949" w:rsidRPr="006B5566">
        <w:rPr>
          <w:sz w:val="16"/>
          <w:szCs w:val="16"/>
          <w:lang w:val="en-US"/>
        </w:rPr>
        <w:t>Education Care</w:t>
      </w:r>
      <w:r w:rsidR="003A7E81" w:rsidRPr="006B5566">
        <w:rPr>
          <w:sz w:val="16"/>
          <w:szCs w:val="16"/>
          <w:lang w:val="en-US"/>
        </w:rPr>
        <w:t xml:space="preserve"> and </w:t>
      </w:r>
      <w:r w:rsidR="00B25949" w:rsidRPr="006B5566">
        <w:rPr>
          <w:sz w:val="16"/>
          <w:szCs w:val="16"/>
          <w:lang w:val="en-US"/>
        </w:rPr>
        <w:t>D</w:t>
      </w:r>
      <w:r w:rsidR="003A7E81" w:rsidRPr="006B5566">
        <w:rPr>
          <w:sz w:val="16"/>
          <w:szCs w:val="16"/>
          <w:lang w:val="en-US"/>
        </w:rPr>
        <w:t>evelopment’ (2021) &lt;</w:t>
      </w:r>
      <w:r w:rsidR="00B25949" w:rsidRPr="006B5566">
        <w:rPr>
          <w:sz w:val="16"/>
          <w:szCs w:val="16"/>
          <w:lang w:val="en-US"/>
        </w:rPr>
        <w:t>https://www.closingthegap.gov.au/sites/default/files/2021-12/sector-strengthening-plan-early-childhood-care-development.pdf&gt;.</w:t>
      </w:r>
    </w:p>
  </w:footnote>
  <w:footnote w:id="219">
    <w:p w14:paraId="7E25F55E" w14:textId="2666DE2D" w:rsidR="1C154B80" w:rsidRPr="006B5566" w:rsidRDefault="1C154B80" w:rsidP="00506832">
      <w:pPr>
        <w:spacing w:after="0" w:line="20" w:lineRule="atLeast"/>
        <w:rPr>
          <w:sz w:val="16"/>
          <w:szCs w:val="16"/>
        </w:rPr>
      </w:pPr>
      <w:r w:rsidRPr="006B5566">
        <w:rPr>
          <w:rStyle w:val="FootnoteReference"/>
          <w:sz w:val="16"/>
          <w:szCs w:val="16"/>
        </w:rPr>
        <w:footnoteRef/>
      </w:r>
      <w:r w:rsidR="00B25949" w:rsidRPr="006B5566">
        <w:rPr>
          <w:sz w:val="16"/>
          <w:szCs w:val="16"/>
        </w:rPr>
        <w:t>Australian Competition &amp; Consumer Commission, Childcare Inquiry, Final Report, December 2023, &lt; https://www.accc.gov.au/system/files/ACCC%20Childcare%20Inquiry-final%20report%20December%202023.pdf&gt;</w:t>
      </w:r>
    </w:p>
  </w:footnote>
  <w:footnote w:id="220">
    <w:p w14:paraId="5075767A" w14:textId="0E640697" w:rsidR="6D2E0FB1" w:rsidRPr="00506832" w:rsidRDefault="6D2E0FB1" w:rsidP="00506832">
      <w:pPr>
        <w:spacing w:after="0" w:line="20" w:lineRule="atLeast"/>
        <w:rPr>
          <w:sz w:val="16"/>
          <w:szCs w:val="16"/>
        </w:rPr>
      </w:pPr>
      <w:r w:rsidRPr="00506832">
        <w:rPr>
          <w:rStyle w:val="FootnoteReference"/>
          <w:sz w:val="16"/>
          <w:szCs w:val="16"/>
        </w:rPr>
        <w:footnoteRef/>
      </w:r>
      <w:r w:rsidR="00B57B1E" w:rsidRPr="00506832">
        <w:rPr>
          <w:sz w:val="16"/>
          <w:szCs w:val="16"/>
        </w:rPr>
        <w:t xml:space="preserve">Australian Government Productivity Commission, A path to universal early education and care: Draft report, November 2023, https://www.pc.gov.au/inquiries/current/childhood/draft/childhood-draft.pdf </w:t>
      </w:r>
    </w:p>
  </w:footnote>
  <w:footnote w:id="221">
    <w:p w14:paraId="02AD07EB" w14:textId="1D2E7715" w:rsidR="17059A42" w:rsidRPr="00691071" w:rsidRDefault="17059A42" w:rsidP="00691071">
      <w:pPr>
        <w:spacing w:after="0"/>
        <w:rPr>
          <w:i/>
          <w:sz w:val="16"/>
          <w:szCs w:val="16"/>
        </w:rPr>
      </w:pPr>
      <w:r w:rsidRPr="00065A42">
        <w:rPr>
          <w:rStyle w:val="FootnoteReference"/>
          <w:sz w:val="16"/>
          <w:szCs w:val="16"/>
        </w:rPr>
        <w:footnoteRef/>
      </w:r>
      <w:r w:rsidR="00506832" w:rsidRPr="00065A42">
        <w:rPr>
          <w:sz w:val="16"/>
          <w:szCs w:val="16"/>
          <w:lang w:val="en-US"/>
        </w:rPr>
        <w:t xml:space="preserve"> Cairney et al., ‘</w:t>
      </w:r>
      <w:r w:rsidR="00506832" w:rsidRPr="00065A42">
        <w:rPr>
          <w:i/>
          <w:sz w:val="16"/>
          <w:szCs w:val="16"/>
          <w:lang w:val="en-US"/>
        </w:rPr>
        <w:t xml:space="preserve">Interplay wellbeing framework: a collaborative methodology ‘bringing together stories and numbers’ to qualify Aboriginal cultural values in remote Australia’ </w:t>
      </w:r>
      <w:r w:rsidR="00506832" w:rsidRPr="00065A42">
        <w:rPr>
          <w:sz w:val="16"/>
          <w:szCs w:val="16"/>
          <w:lang w:val="en-US"/>
        </w:rPr>
        <w:t>(2017</w:t>
      </w:r>
      <w:r w:rsidR="00506832" w:rsidRPr="00691071">
        <w:rPr>
          <w:sz w:val="16"/>
          <w:szCs w:val="16"/>
          <w:lang w:val="en-US"/>
        </w:rPr>
        <w:t>)</w:t>
      </w:r>
      <w:r w:rsidR="00691071" w:rsidRPr="00691071">
        <w:rPr>
          <w:sz w:val="16"/>
          <w:szCs w:val="16"/>
          <w:lang w:val="en-US"/>
        </w:rPr>
        <w:t xml:space="preserve">, 18 </w:t>
      </w:r>
      <w:r w:rsidR="00691071" w:rsidRPr="00691071">
        <w:rPr>
          <w:i/>
          <w:iCs/>
          <w:sz w:val="16"/>
          <w:szCs w:val="16"/>
          <w:lang w:val="en-US"/>
        </w:rPr>
        <w:t>International Journal for Equity in Health</w:t>
      </w:r>
      <w:r w:rsidR="00BC269B">
        <w:rPr>
          <w:i/>
          <w:iCs/>
          <w:sz w:val="16"/>
          <w:szCs w:val="16"/>
          <w:lang w:val="en-US"/>
        </w:rPr>
        <w:t>.</w:t>
      </w:r>
    </w:p>
  </w:footnote>
  <w:footnote w:id="222">
    <w:p w14:paraId="55FCB659" w14:textId="7C0E55FF" w:rsidR="293EE15D" w:rsidRPr="001C655F" w:rsidRDefault="293EE15D" w:rsidP="001C655F">
      <w:pPr>
        <w:rPr>
          <w:i/>
          <w:szCs w:val="16"/>
        </w:rPr>
      </w:pPr>
      <w:r w:rsidRPr="00691071">
        <w:rPr>
          <w:rStyle w:val="FootnoteReference"/>
          <w:sz w:val="16"/>
          <w:szCs w:val="16"/>
        </w:rPr>
        <w:footnoteRef/>
      </w:r>
      <w:r w:rsidR="00691071" w:rsidRPr="00691071">
        <w:rPr>
          <w:sz w:val="16"/>
          <w:szCs w:val="16"/>
        </w:rPr>
        <w:t xml:space="preserve">Burgess et al., </w:t>
      </w:r>
      <w:r w:rsidR="00691071" w:rsidRPr="00691071">
        <w:rPr>
          <w:i/>
          <w:iCs/>
          <w:sz w:val="16"/>
          <w:szCs w:val="16"/>
        </w:rPr>
        <w:t>‘Learning from Country to conceptualise what an Aboriginal curriculum narrative might look like in education’</w:t>
      </w:r>
      <w:r w:rsidR="00691071" w:rsidRPr="00691071">
        <w:rPr>
          <w:sz w:val="16"/>
          <w:szCs w:val="16"/>
        </w:rPr>
        <w:t xml:space="preserve"> (2022),</w:t>
      </w:r>
      <w:r w:rsidR="00BC269B">
        <w:rPr>
          <w:sz w:val="16"/>
          <w:szCs w:val="16"/>
        </w:rPr>
        <w:t xml:space="preserve"> 42 </w:t>
      </w:r>
      <w:r w:rsidR="00BC269B" w:rsidRPr="00BC269B">
        <w:rPr>
          <w:i/>
          <w:iCs/>
          <w:sz w:val="16"/>
          <w:szCs w:val="16"/>
        </w:rPr>
        <w:t>Curriculum Perspectives</w:t>
      </w:r>
      <w:r w:rsidR="00BC269B">
        <w:rPr>
          <w:i/>
          <w:iCs/>
          <w:sz w:val="16"/>
          <w:szCs w:val="16"/>
        </w:rPr>
        <w:t xml:space="preserve"> </w:t>
      </w:r>
      <w:r w:rsidR="00BC269B" w:rsidRPr="00BC269B">
        <w:rPr>
          <w:sz w:val="16"/>
          <w:szCs w:val="16"/>
        </w:rPr>
        <w:t>160</w:t>
      </w:r>
      <w:r w:rsidR="00BC269B">
        <w:rPr>
          <w:sz w:val="16"/>
          <w:szCs w:val="16"/>
        </w:rPr>
        <w:t>.</w:t>
      </w:r>
    </w:p>
  </w:footnote>
  <w:footnote w:id="223">
    <w:p w14:paraId="23B122D6" w14:textId="1BD840BC" w:rsidR="00824240" w:rsidRPr="00824240" w:rsidRDefault="00824240">
      <w:pPr>
        <w:pStyle w:val="FootnoteText"/>
        <w:rPr>
          <w:lang w:val="en-US"/>
        </w:rPr>
      </w:pPr>
      <w:r>
        <w:rPr>
          <w:rStyle w:val="FootnoteReference"/>
        </w:rPr>
        <w:footnoteRef/>
      </w:r>
      <w:r>
        <w:t xml:space="preserve"> </w:t>
      </w:r>
      <w:r w:rsidR="00685A2D">
        <w:t>Former BBF and IAS services that are not approved under the National Law are required to meet additional conditions for continued CCS approval, outlined in Division 5, Section 49 of the Minister’s Rules.</w:t>
      </w:r>
    </w:p>
  </w:footnote>
  <w:footnote w:id="224">
    <w:p w14:paraId="65ACE2FF" w14:textId="4F10B18B" w:rsidR="00C42DFA" w:rsidRPr="00C42DFA" w:rsidRDefault="00C42DFA">
      <w:pPr>
        <w:pStyle w:val="FootnoteText"/>
        <w:rPr>
          <w:lang w:val="en-US"/>
        </w:rPr>
      </w:pPr>
      <w:r>
        <w:rPr>
          <w:rStyle w:val="FootnoteReference"/>
        </w:rPr>
        <w:footnoteRef/>
      </w:r>
      <w:r>
        <w:t xml:space="preserve"> </w:t>
      </w:r>
      <w:r w:rsidR="00876CCD" w:rsidRPr="00876CCD">
        <w:rPr>
          <w:lang w:val="en-US"/>
        </w:rPr>
        <w:t>Education Services Australia, Shaping our future: a ten-year strategy to ensure a sustainable high-quality children’s education and care workforce 2022-2031 (2021)</w:t>
      </w:r>
      <w:r w:rsidR="00876CCD">
        <w:rPr>
          <w:lang w:val="en-US"/>
        </w:rPr>
        <w:t>.</w:t>
      </w:r>
    </w:p>
  </w:footnote>
  <w:footnote w:id="225">
    <w:p w14:paraId="519E82AF" w14:textId="0C26602D" w:rsidR="007932A8" w:rsidRPr="007932A8" w:rsidRDefault="007932A8">
      <w:pPr>
        <w:pStyle w:val="FootnoteText"/>
        <w:rPr>
          <w:lang w:val="en-US"/>
        </w:rPr>
      </w:pPr>
      <w:r>
        <w:rPr>
          <w:rStyle w:val="FootnoteReference"/>
        </w:rPr>
        <w:footnoteRef/>
      </w:r>
      <w:r>
        <w:t xml:space="preserve"> </w:t>
      </w:r>
      <w:r w:rsidR="00B935C8">
        <w:t xml:space="preserve">ACECQA, NQF Annual Performance Report </w:t>
      </w:r>
      <w:r w:rsidR="00965D58">
        <w:t>(</w:t>
      </w:r>
      <w:r w:rsidR="00B935C8">
        <w:t>2022</w:t>
      </w:r>
      <w:r w:rsidR="00965D58">
        <w:t>)</w:t>
      </w:r>
      <w:r w:rsidR="00B935C8">
        <w:t xml:space="preserve"> &lt;</w:t>
      </w:r>
      <w:r w:rsidRPr="007932A8">
        <w:rPr>
          <w:lang w:val="en-US"/>
        </w:rPr>
        <w:t>https://www.acecqa.gov.au/sites/default/files/2022-12/NQF%20Annual%20Performance%20Report%202022%20FINAL.pdf</w:t>
      </w:r>
      <w:r w:rsidR="00D71118">
        <w:rPr>
          <w:lang w:val="en-US"/>
        </w:rPr>
        <w:t>&gt;</w:t>
      </w:r>
    </w:p>
  </w:footnote>
  <w:footnote w:id="226">
    <w:p w14:paraId="7ECB9CD6" w14:textId="78EE238E" w:rsidR="006D7E61" w:rsidRPr="006D7E61" w:rsidRDefault="006D7E61">
      <w:pPr>
        <w:pStyle w:val="FootnoteText"/>
        <w:rPr>
          <w:lang w:val="en-US"/>
        </w:rPr>
      </w:pPr>
      <w:r>
        <w:rPr>
          <w:rStyle w:val="FootnoteReference"/>
        </w:rPr>
        <w:footnoteRef/>
      </w:r>
      <w:r>
        <w:t xml:space="preserve"> </w:t>
      </w:r>
      <w:r w:rsidR="00D71118">
        <w:t>ACECQA, Guide to the National Quality Framework (updated October 2023) &lt;</w:t>
      </w:r>
      <w:r w:rsidRPr="006D7E61">
        <w:rPr>
          <w:lang w:val="en-US"/>
        </w:rPr>
        <w:t>https://www.acecqa.gov.au/sites/default/files/2023-11/Guide-to-the-NQF-2310i-web.pdf</w:t>
      </w:r>
      <w:r w:rsidR="00D71118">
        <w:rPr>
          <w:lang w:val="en-US"/>
        </w:rPr>
        <w:t>&gt;</w:t>
      </w:r>
    </w:p>
  </w:footnote>
  <w:footnote w:id="227">
    <w:p w14:paraId="1E9D9EA4" w14:textId="72CACDCA" w:rsidR="00D71118" w:rsidRPr="00835A04" w:rsidRDefault="00CF683D" w:rsidP="00D71118">
      <w:pPr>
        <w:pStyle w:val="FootnoteText"/>
        <w:rPr>
          <w:szCs w:val="16"/>
        </w:rPr>
      </w:pPr>
      <w:r>
        <w:rPr>
          <w:rStyle w:val="FootnoteReference"/>
        </w:rPr>
        <w:footnoteRef/>
      </w:r>
      <w:r>
        <w:t xml:space="preserve"> </w:t>
      </w:r>
      <w:r w:rsidR="00D71118" w:rsidRPr="00835A04">
        <w:rPr>
          <w:szCs w:val="16"/>
        </w:rPr>
        <w:t>Australian Government Department of Education and Training</w:t>
      </w:r>
      <w:r w:rsidR="000A7547">
        <w:rPr>
          <w:szCs w:val="16"/>
        </w:rPr>
        <w:t>,</w:t>
      </w:r>
      <w:r w:rsidR="00D71118" w:rsidRPr="00835A04">
        <w:rPr>
          <w:szCs w:val="16"/>
        </w:rPr>
        <w:t xml:space="preserve"> Community Child Care Fund</w:t>
      </w:r>
    </w:p>
    <w:p w14:paraId="0C36A3A0" w14:textId="55DC82C5" w:rsidR="00CF683D" w:rsidRPr="00CD0ADA" w:rsidRDefault="00D71118">
      <w:pPr>
        <w:pStyle w:val="FootnoteText"/>
        <w:rPr>
          <w:szCs w:val="16"/>
        </w:rPr>
      </w:pPr>
      <w:r w:rsidRPr="00835A04">
        <w:rPr>
          <w:szCs w:val="16"/>
        </w:rPr>
        <w:t>- Restricted non-competitive grant opportunity (for specified services) Guidelines</w:t>
      </w:r>
      <w:r w:rsidR="000A7547">
        <w:rPr>
          <w:szCs w:val="16"/>
        </w:rPr>
        <w:t xml:space="preserve"> </w:t>
      </w:r>
      <w:r w:rsidR="000A7547" w:rsidRPr="00835A04">
        <w:rPr>
          <w:szCs w:val="16"/>
        </w:rPr>
        <w:t xml:space="preserve">(February 2017), </w:t>
      </w:r>
      <w:r w:rsidRPr="00835A04">
        <w:rPr>
          <w:szCs w:val="16"/>
        </w:rPr>
        <w:t xml:space="preserve"> &lt;https://www.grants.gov.au/Fo/DownloadDocument/e99c0c70-f434-c990-87d3-6ddebfa904f5?docType=Fo&amp;fileName=CCCF%20Restricted%20non-competitive%20grant%20opportunity%20guidelines%20%20311017.pdf&amp;location=s3Restricted&gt;</w:t>
      </w:r>
    </w:p>
  </w:footnote>
  <w:footnote w:id="228">
    <w:p w14:paraId="272FFBAE" w14:textId="0D8D1AA1" w:rsidR="00211B64" w:rsidRPr="00211B64" w:rsidRDefault="00211B64">
      <w:pPr>
        <w:pStyle w:val="FootnoteText"/>
        <w:rPr>
          <w:lang w:val="en-US"/>
        </w:rPr>
      </w:pPr>
      <w:r>
        <w:rPr>
          <w:rStyle w:val="FootnoteReference"/>
        </w:rPr>
        <w:footnoteRef/>
      </w:r>
      <w:r>
        <w:t xml:space="preserve"> </w:t>
      </w:r>
      <w:r w:rsidR="00CD0ADA" w:rsidRPr="00CD0ADA">
        <w:rPr>
          <w:i/>
          <w:iCs/>
        </w:rPr>
        <w:t>Section 49,</w:t>
      </w:r>
      <w:r w:rsidR="00CD0ADA" w:rsidRPr="00CD0ADA">
        <w:rPr>
          <w:i/>
        </w:rPr>
        <w:t xml:space="preserve"> Child Care Subsidy Minister's Rules 2017</w:t>
      </w:r>
    </w:p>
  </w:footnote>
  <w:footnote w:id="229">
    <w:p w14:paraId="16790AA3" w14:textId="2A4985A4" w:rsidR="00EE258E" w:rsidRPr="00EE258E" w:rsidRDefault="00EE258E">
      <w:pPr>
        <w:pStyle w:val="FootnoteText"/>
        <w:rPr>
          <w:lang w:val="en-US"/>
        </w:rPr>
      </w:pPr>
      <w:r>
        <w:rPr>
          <w:rStyle w:val="FootnoteReference"/>
        </w:rPr>
        <w:footnoteRef/>
      </w:r>
      <w:r>
        <w:t xml:space="preserve"> </w:t>
      </w:r>
      <w:r w:rsidR="00CD0ADA" w:rsidRPr="00CD0ADA">
        <w:rPr>
          <w:i/>
          <w:iCs/>
        </w:rPr>
        <w:t>Section 49</w:t>
      </w:r>
      <w:r w:rsidR="00CD0ADA">
        <w:rPr>
          <w:i/>
          <w:iCs/>
        </w:rPr>
        <w:t>(2)</w:t>
      </w:r>
      <w:r w:rsidR="00CD0ADA" w:rsidRPr="00CD0ADA">
        <w:rPr>
          <w:i/>
          <w:iCs/>
        </w:rPr>
        <w:t>, Child Care Subsidy Minister's Rules 2017</w:t>
      </w:r>
    </w:p>
  </w:footnote>
  <w:footnote w:id="230">
    <w:p w14:paraId="23BEC0AC" w14:textId="574B11A8" w:rsidR="00851CE6" w:rsidRPr="00851CE6" w:rsidRDefault="00851CE6">
      <w:pPr>
        <w:pStyle w:val="FootnoteText"/>
        <w:rPr>
          <w:lang w:val="en-US"/>
        </w:rPr>
      </w:pPr>
      <w:r>
        <w:rPr>
          <w:rStyle w:val="FootnoteReference"/>
        </w:rPr>
        <w:footnoteRef/>
      </w:r>
      <w:r>
        <w:t xml:space="preserve"> </w:t>
      </w:r>
      <w:r w:rsidR="00CD0ADA">
        <w:t xml:space="preserve">Australian Government Department of Education, </w:t>
      </w:r>
      <w:r w:rsidR="00A121DB" w:rsidRPr="000F683F">
        <w:rPr>
          <w:i/>
        </w:rPr>
        <w:t xml:space="preserve">Community Child Care Fund 2023 Compliance and Operations Report User </w:t>
      </w:r>
      <w:r w:rsidR="00A121DB" w:rsidRPr="000F683F">
        <w:rPr>
          <w:i/>
          <w:iCs/>
        </w:rPr>
        <w:t>Guide</w:t>
      </w:r>
      <w:r w:rsidR="00A121DB">
        <w:t xml:space="preserve"> (</w:t>
      </w:r>
      <w:r w:rsidR="000F683F">
        <w:t>2023</w:t>
      </w:r>
      <w:r w:rsidR="00A10CB8">
        <w:t>)</w:t>
      </w:r>
    </w:p>
  </w:footnote>
  <w:footnote w:id="231">
    <w:p w14:paraId="201B05C0" w14:textId="017FED37" w:rsidR="00395751" w:rsidRPr="00395751" w:rsidRDefault="00395751">
      <w:pPr>
        <w:pStyle w:val="FootnoteText"/>
        <w:rPr>
          <w:lang w:val="en-US"/>
        </w:rPr>
      </w:pPr>
      <w:r>
        <w:rPr>
          <w:rStyle w:val="FootnoteReference"/>
        </w:rPr>
        <w:footnoteRef/>
      </w:r>
      <w:r>
        <w:t xml:space="preserve"> </w:t>
      </w:r>
      <w:r w:rsidR="00061572">
        <w:t xml:space="preserve">Australian Government Department of Education, </w:t>
      </w:r>
      <w:r w:rsidR="00061572" w:rsidRPr="000F683F">
        <w:rPr>
          <w:i/>
        </w:rPr>
        <w:t xml:space="preserve">Community Child Care Fund </w:t>
      </w:r>
      <w:r w:rsidR="00061572" w:rsidRPr="000F683F">
        <w:rPr>
          <w:i/>
          <w:iCs/>
        </w:rPr>
        <w:t>2023</w:t>
      </w:r>
      <w:r w:rsidR="00061572" w:rsidRPr="000F683F">
        <w:rPr>
          <w:i/>
        </w:rPr>
        <w:t xml:space="preserve"> Compliance and Operations Report</w:t>
      </w:r>
      <w:r w:rsidR="00061572">
        <w:rPr>
          <w:i/>
        </w:rPr>
        <w:t xml:space="preserve"> 2021-22 (</w:t>
      </w:r>
      <w:r w:rsidR="00A8083A">
        <w:rPr>
          <w:i/>
          <w:iCs/>
        </w:rPr>
        <w:t>Internal summary document provided by Department)</w:t>
      </w:r>
    </w:p>
  </w:footnote>
  <w:footnote w:id="232">
    <w:p w14:paraId="76AD237C" w14:textId="65DA2F4C" w:rsidR="00C80F9F" w:rsidRPr="00C80F9F" w:rsidRDefault="00C80F9F">
      <w:pPr>
        <w:pStyle w:val="FootnoteText"/>
        <w:rPr>
          <w:lang w:val="en-US"/>
        </w:rPr>
      </w:pPr>
      <w:r>
        <w:rPr>
          <w:rStyle w:val="FootnoteReference"/>
        </w:rPr>
        <w:footnoteRef/>
      </w:r>
      <w:r>
        <w:t xml:space="preserve"> </w:t>
      </w:r>
      <w:r w:rsidR="00A8083A" w:rsidRPr="00CD0ADA">
        <w:rPr>
          <w:i/>
          <w:iCs/>
        </w:rPr>
        <w:t>Section 49</w:t>
      </w:r>
      <w:r w:rsidR="00A8083A">
        <w:rPr>
          <w:i/>
          <w:iCs/>
        </w:rPr>
        <w:t>(2)(a-f)</w:t>
      </w:r>
      <w:r w:rsidR="00A8083A" w:rsidRPr="00CD0ADA">
        <w:rPr>
          <w:i/>
          <w:iCs/>
        </w:rPr>
        <w:t>, Child Care Subsidy Minister's Rules 2017</w:t>
      </w:r>
    </w:p>
  </w:footnote>
  <w:footnote w:id="233">
    <w:p w14:paraId="501F519E" w14:textId="67CCE40E" w:rsidR="00E86CDD" w:rsidRPr="00E86CDD" w:rsidRDefault="00E86CDD">
      <w:pPr>
        <w:pStyle w:val="FootnoteText"/>
        <w:rPr>
          <w:lang w:val="en-US"/>
        </w:rPr>
      </w:pPr>
      <w:r>
        <w:rPr>
          <w:rStyle w:val="FootnoteReference"/>
        </w:rPr>
        <w:footnoteRef/>
      </w:r>
      <w:r>
        <w:t xml:space="preserve"> </w:t>
      </w:r>
      <w:r w:rsidR="003D3E69">
        <w:rPr>
          <w:lang w:val="en-US"/>
        </w:rPr>
        <w:t>Ibid.</w:t>
      </w:r>
    </w:p>
  </w:footnote>
  <w:footnote w:id="234">
    <w:p w14:paraId="1959F1E7" w14:textId="7E8F20D0" w:rsidR="00771935" w:rsidRPr="00771935" w:rsidRDefault="00771935">
      <w:pPr>
        <w:pStyle w:val="FootnoteText"/>
        <w:rPr>
          <w:lang w:val="en-US"/>
        </w:rPr>
      </w:pPr>
      <w:r>
        <w:rPr>
          <w:rStyle w:val="FootnoteReference"/>
        </w:rPr>
        <w:footnoteRef/>
      </w:r>
      <w:r>
        <w:t xml:space="preserve"> </w:t>
      </w:r>
      <w:r w:rsidR="001728EC">
        <w:t xml:space="preserve">ACECQA, </w:t>
      </w:r>
      <w:r w:rsidR="001728EC" w:rsidRPr="00E002C7">
        <w:rPr>
          <w:i/>
        </w:rPr>
        <w:t>Community Child Care Fund Restricted (</w:t>
      </w:r>
      <w:r w:rsidRPr="00E002C7">
        <w:rPr>
          <w:i/>
        </w:rPr>
        <w:t>CCCFR</w:t>
      </w:r>
      <w:r w:rsidR="001728EC" w:rsidRPr="00E002C7">
        <w:rPr>
          <w:i/>
        </w:rPr>
        <w:t>)</w:t>
      </w:r>
      <w:r w:rsidRPr="00E002C7">
        <w:rPr>
          <w:i/>
        </w:rPr>
        <w:t xml:space="preserve"> Quality and Training </w:t>
      </w:r>
      <w:r w:rsidR="001728EC" w:rsidRPr="00E002C7">
        <w:rPr>
          <w:i/>
        </w:rPr>
        <w:t>Package</w:t>
      </w:r>
      <w:r w:rsidRPr="00E002C7">
        <w:rPr>
          <w:i/>
        </w:rPr>
        <w:t xml:space="preserve"> Evaluation Report</w:t>
      </w:r>
      <w:r>
        <w:t xml:space="preserve"> (</w:t>
      </w:r>
      <w:r w:rsidR="001728EC">
        <w:t>February 2023</w:t>
      </w:r>
      <w:r w:rsidR="00E002C7">
        <w:t>)</w:t>
      </w:r>
    </w:p>
  </w:footnote>
  <w:footnote w:id="235">
    <w:p w14:paraId="5AD48FEB" w14:textId="49E31D28" w:rsidR="00770EFA" w:rsidRPr="007D6C56" w:rsidRDefault="00770EFA">
      <w:pPr>
        <w:pStyle w:val="FootnoteText"/>
        <w:rPr>
          <w:b/>
          <w:bCs/>
          <w:lang w:val="en-US"/>
        </w:rPr>
      </w:pPr>
      <w:r>
        <w:rPr>
          <w:rStyle w:val="FootnoteReference"/>
        </w:rPr>
        <w:footnoteRef/>
      </w:r>
      <w:r>
        <w:t xml:space="preserve"> </w:t>
      </w:r>
      <w:r w:rsidR="00E002C7">
        <w:t>Australian Government Department of Education, ‘Business</w:t>
      </w:r>
      <w:r w:rsidR="007D6C56">
        <w:t xml:space="preserve"> support </w:t>
      </w:r>
      <w:r w:rsidR="00E002C7">
        <w:t>for CCCF grant recipients’ (2023) &lt;</w:t>
      </w:r>
      <w:r w:rsidR="007D6C56" w:rsidRPr="007D6C56">
        <w:t>https://www.education.gov.au/early-childhood/community-child-care-fund/business-support</w:t>
      </w:r>
      <w:r w:rsidR="00E002C7">
        <w:t>&gt;</w:t>
      </w:r>
    </w:p>
  </w:footnote>
  <w:footnote w:id="236">
    <w:p w14:paraId="352B8D72" w14:textId="54F2EB45" w:rsidR="00D34828" w:rsidRPr="00D34828" w:rsidRDefault="00D34828">
      <w:pPr>
        <w:pStyle w:val="FootnoteText"/>
        <w:rPr>
          <w:lang w:val="en-US"/>
        </w:rPr>
      </w:pPr>
      <w:r>
        <w:rPr>
          <w:rStyle w:val="FootnoteReference"/>
        </w:rPr>
        <w:footnoteRef/>
      </w:r>
      <w:r>
        <w:t xml:space="preserve"> </w:t>
      </w:r>
      <w:r w:rsidRPr="00D34828">
        <w:t xml:space="preserve"> </w:t>
      </w:r>
      <w:r>
        <w:t xml:space="preserve">Regardless of whether services apply for </w:t>
      </w:r>
      <w:r w:rsidRPr="00D34828">
        <w:t>ACCS child wellbeing on a family’s behalf</w:t>
      </w:r>
      <w:r>
        <w:t>,</w:t>
      </w:r>
      <w:r w:rsidRPr="00D34828">
        <w:t xml:space="preserve"> services must follow reporting obligations in their state or territory </w:t>
      </w:r>
      <w:r>
        <w:t>if a child is identified as potentially at risk of abuse or neglect</w:t>
      </w:r>
      <w:r w:rsidRPr="00D34828">
        <w:t xml:space="preserve">. </w:t>
      </w:r>
    </w:p>
  </w:footnote>
  <w:footnote w:id="237">
    <w:p w14:paraId="70A64BC2" w14:textId="2A86D1F9" w:rsidR="005475AD" w:rsidRPr="005475AD" w:rsidRDefault="005475AD">
      <w:pPr>
        <w:pStyle w:val="FootnoteText"/>
        <w:rPr>
          <w:lang w:val="en-US"/>
        </w:rPr>
      </w:pPr>
      <w:r>
        <w:rPr>
          <w:rStyle w:val="FootnoteReference"/>
        </w:rPr>
        <w:footnoteRef/>
      </w:r>
      <w:r>
        <w:t xml:space="preserve"> A </w:t>
      </w:r>
      <w:r w:rsidR="00406681" w:rsidRPr="00406681">
        <w:t xml:space="preserve">statutory declaration </w:t>
      </w:r>
      <w:r w:rsidR="00406681">
        <w:t>is accepted</w:t>
      </w:r>
      <w:r w:rsidR="00406681" w:rsidRPr="00406681">
        <w:t xml:space="preserve"> if other sources of evidence are not available</w:t>
      </w:r>
      <w:r w:rsidR="00406681">
        <w:t>, but Services Australia highlight that this is rare and that services must</w:t>
      </w:r>
      <w:r w:rsidR="00406681" w:rsidRPr="00406681">
        <w:t xml:space="preserve"> describe the steps </w:t>
      </w:r>
      <w:r w:rsidR="00406681">
        <w:t>taken</w:t>
      </w:r>
      <w:r w:rsidR="00406681" w:rsidRPr="00406681">
        <w:t xml:space="preserve"> to try and gather evidence</w:t>
      </w:r>
      <w:r w:rsidR="00406681">
        <w:t>.</w:t>
      </w:r>
    </w:p>
  </w:footnote>
  <w:footnote w:id="238">
    <w:p w14:paraId="72AE612E" w14:textId="214DB9A4" w:rsidR="00D03040" w:rsidRPr="00D03040" w:rsidRDefault="00D03040">
      <w:pPr>
        <w:pStyle w:val="FootnoteText"/>
        <w:rPr>
          <w:lang w:val="en-US"/>
        </w:rPr>
      </w:pPr>
      <w:r>
        <w:rPr>
          <w:rStyle w:val="FootnoteReference"/>
        </w:rPr>
        <w:footnoteRef/>
      </w:r>
      <w:r>
        <w:t xml:space="preserve"> </w:t>
      </w:r>
      <w:r w:rsidR="009955AE" w:rsidRPr="009955AE">
        <w:t xml:space="preserve">Parliament of Australia, </w:t>
      </w:r>
      <w:r w:rsidR="009955AE" w:rsidRPr="009955AE">
        <w:rPr>
          <w:i/>
          <w:iCs/>
        </w:rPr>
        <w:t xml:space="preserve">Services Australia - Senate Additional Estimates - Senators Information Requests </w:t>
      </w:r>
      <w:r w:rsidR="009955AE" w:rsidRPr="009955AE">
        <w:t>(Social Services Portfolio Senate Additional Estimates, 2024) &lt;</w:t>
      </w:r>
      <w:hyperlink r:id="rId9" w:tgtFrame="_blank" w:tooltip="https://www.aph.gov.au/-/media/estimates/ca/add2324/social_services/01_tableddoc_servicesaustralia_responsetosenatorsinformationrequests.pdf?la=en&amp;hash=d0d29d50d5638fc659090ded5ebfbea75e4dec45" w:history="1">
        <w:r w:rsidR="009955AE" w:rsidRPr="009955AE">
          <w:rPr>
            <w:rStyle w:val="Hyperlink"/>
          </w:rPr>
          <w:t>01_TabledDoc_ServicesAustralia_ResponseToSenatorsInformationRequests.pdf (aph.gov.au)</w:t>
        </w:r>
      </w:hyperlink>
      <w:r w:rsidR="009955AE" w:rsidRPr="009955AE">
        <w:t>&gt;</w:t>
      </w:r>
    </w:p>
  </w:footnote>
  <w:footnote w:id="239">
    <w:p w14:paraId="787F9689" w14:textId="77777777" w:rsidR="00257B00" w:rsidRPr="00CD38C6" w:rsidRDefault="00257B00" w:rsidP="00257B00">
      <w:pPr>
        <w:pStyle w:val="FootnoteText"/>
        <w:rPr>
          <w:lang w:val="en-US"/>
        </w:rPr>
      </w:pPr>
      <w:r>
        <w:rPr>
          <w:rStyle w:val="FootnoteReference"/>
        </w:rPr>
        <w:footnoteRef/>
      </w:r>
      <w:r>
        <w:t xml:space="preserve"> </w:t>
      </w:r>
      <w:r w:rsidRPr="004B2C37">
        <w:t>https://www.theguardian.com/australia-news/2020/may/18/a-quarter-of-all-childcare-centres-say-free-scheme-wont-help-them-remain-viable</w:t>
      </w:r>
    </w:p>
  </w:footnote>
  <w:footnote w:id="240">
    <w:p w14:paraId="6BFD5DA6" w14:textId="77777777" w:rsidR="008B0021" w:rsidRDefault="008B0021" w:rsidP="008B0021">
      <w:pPr>
        <w:pStyle w:val="FootnoteText"/>
      </w:pPr>
      <w:r>
        <w:rPr>
          <w:rStyle w:val="FootnoteReference"/>
        </w:rPr>
        <w:footnoteRef/>
      </w:r>
      <w:r>
        <w:t xml:space="preserve"> </w:t>
      </w:r>
      <w:r w:rsidRPr="004249A3">
        <w:t>Cohorts who may face barriers to participating in mainstream ECEC identified as part of this review include Aboriginal and</w:t>
      </w:r>
      <w:r>
        <w:t>/or</w:t>
      </w:r>
      <w:r w:rsidRPr="004249A3">
        <w:t xml:space="preserve"> Torres Strait Islander children, children of families experiencing specific vulnerability, disadvantage, and/or trauma, children of families for whom mainstream support such as CCS and ACCS is not available or appropriate and children living in areas without existing or sustained ECEC provision.</w:t>
      </w:r>
    </w:p>
  </w:footnote>
  <w:footnote w:id="241">
    <w:p w14:paraId="522A769F" w14:textId="4DCDA2D8" w:rsidR="00F32702" w:rsidRDefault="00F32702">
      <w:pPr>
        <w:pStyle w:val="FootnoteText"/>
      </w:pPr>
      <w:r>
        <w:rPr>
          <w:rStyle w:val="FootnoteReference"/>
        </w:rPr>
        <w:footnoteRef/>
      </w:r>
      <w:r>
        <w:t xml:space="preserve"> Supporting evidence is drawn from consultations with services, the Department and desktop review.</w:t>
      </w:r>
    </w:p>
  </w:footnote>
  <w:footnote w:id="242">
    <w:p w14:paraId="00548140" w14:textId="30A12295" w:rsidR="00F96275" w:rsidRPr="00F96275" w:rsidRDefault="00F96275">
      <w:pPr>
        <w:pStyle w:val="FootnoteText"/>
        <w:rPr>
          <w:lang w:val="en-US"/>
        </w:rPr>
      </w:pPr>
      <w:r>
        <w:rPr>
          <w:rStyle w:val="FootnoteReference"/>
        </w:rPr>
        <w:footnoteRef/>
      </w:r>
      <w:r>
        <w:t xml:space="preserve"> </w:t>
      </w:r>
      <w:r>
        <w:rPr>
          <w:lang w:val="en-US"/>
        </w:rPr>
        <w:t>I.e. Centre-Based Day Care or Out of School Hours Care</w:t>
      </w:r>
    </w:p>
  </w:footnote>
  <w:footnote w:id="243">
    <w:p w14:paraId="0330F74B" w14:textId="424DE877" w:rsidR="00B86A35" w:rsidRDefault="00B86A35">
      <w:pPr>
        <w:pStyle w:val="FootnoteText"/>
      </w:pPr>
      <w:r>
        <w:rPr>
          <w:rStyle w:val="FootnoteReference"/>
        </w:rPr>
        <w:footnoteRef/>
      </w:r>
      <w:r>
        <w:t xml:space="preserve"> The complexities of defining an Aboriginal and/or Torres Strait Islander service are discussed in the review more fully. Several indicators have been provided in the environmental scan dashboard to support the Department </w:t>
      </w:r>
      <w:r w:rsidR="00272617">
        <w:t xml:space="preserve">to use several evidence sources to narrow down </w:t>
      </w:r>
      <w:r w:rsidR="00D75B44">
        <w:t xml:space="preserve">lists of services as part of determining the destination for </w:t>
      </w:r>
      <w:r w:rsidR="00D872A1">
        <w:t xml:space="preserve">individual services. </w:t>
      </w:r>
    </w:p>
  </w:footnote>
  <w:footnote w:id="244">
    <w:p w14:paraId="3F446BDF" w14:textId="77777777" w:rsidR="007E2C6E" w:rsidRDefault="007E2C6E" w:rsidP="007E2C6E">
      <w:pPr>
        <w:pStyle w:val="FootnoteText"/>
      </w:pPr>
      <w:r w:rsidRPr="008646E6">
        <w:rPr>
          <w:rStyle w:val="FootnoteReference"/>
        </w:rPr>
        <w:footnoteRef/>
      </w:r>
      <w:r w:rsidRPr="008646E6">
        <w:t xml:space="preserve"> Department of Education and Training, Community Child Care Fund - Restricted non-competitive grant opportunity (for specified services) Guidelines, (July 2017)</w:t>
      </w:r>
    </w:p>
  </w:footnote>
  <w:footnote w:id="245">
    <w:p w14:paraId="3EEB1D2F" w14:textId="222F804E" w:rsidR="007E2C6E" w:rsidRDefault="007E2C6E" w:rsidP="007E2C6E">
      <w:pPr>
        <w:pStyle w:val="FootnoteText"/>
      </w:pPr>
      <w:r>
        <w:rPr>
          <w:rStyle w:val="FootnoteReference"/>
        </w:rPr>
        <w:footnoteRef/>
      </w:r>
      <w:r>
        <w:t xml:space="preserve"> Australian </w:t>
      </w:r>
      <w:r w:rsidR="00985288">
        <w:t>G</w:t>
      </w:r>
      <w:r>
        <w:t xml:space="preserve">overnment. </w:t>
      </w:r>
      <w:r w:rsidRPr="001B76B1">
        <w:t xml:space="preserve">1.2.6 Child care subsidy (CCS) </w:t>
      </w:r>
      <w:r>
        <w:t>–</w:t>
      </w:r>
      <w:r w:rsidRPr="001B76B1">
        <w:t xml:space="preserve"> description</w:t>
      </w:r>
      <w:r>
        <w:t xml:space="preserve"> </w:t>
      </w:r>
      <w:r w:rsidR="00985288">
        <w:t>(2023),</w:t>
      </w:r>
      <w:r>
        <w:t xml:space="preserve"> </w:t>
      </w:r>
      <w:r w:rsidRPr="00805ED0">
        <w:t>https://guides.dss.gov.au/family-assistance-guide/1/2/6</w:t>
      </w:r>
    </w:p>
  </w:footnote>
  <w:footnote w:id="246">
    <w:p w14:paraId="3371680D" w14:textId="6643C4DD" w:rsidR="002102EE" w:rsidRPr="002102EE" w:rsidRDefault="002102EE">
      <w:pPr>
        <w:pStyle w:val="FootnoteText"/>
        <w:rPr>
          <w:lang w:val="en-US"/>
        </w:rPr>
      </w:pPr>
      <w:r>
        <w:rPr>
          <w:rStyle w:val="FootnoteReference"/>
        </w:rPr>
        <w:footnoteRef/>
      </w:r>
      <w:r>
        <w:t xml:space="preserve"> </w:t>
      </w:r>
      <w:r>
        <w:rPr>
          <w:lang w:val="en-US"/>
        </w:rPr>
        <w:t>Proportion of Aboriginal and/or Torres Strait Islander children enrolled is sourced from 2022-2023 Compliance and Operations Data. High here means over the average enrolment</w:t>
      </w:r>
      <w:r w:rsidR="000402B3">
        <w:rPr>
          <w:lang w:val="en-US"/>
        </w:rPr>
        <w:t xml:space="preserve"> (43 per cent)</w:t>
      </w:r>
      <w:r>
        <w:rPr>
          <w:lang w:val="en-US"/>
        </w:rPr>
        <w:t xml:space="preserve">, and low is below the average enrolment. </w:t>
      </w:r>
    </w:p>
  </w:footnote>
  <w:footnote w:id="247">
    <w:p w14:paraId="08A1DB30" w14:textId="0571E2B9" w:rsidR="008B23E7" w:rsidRPr="007C79E7" w:rsidRDefault="005D3F16">
      <w:pPr>
        <w:pStyle w:val="FootnoteText"/>
        <w:rPr>
          <w:lang w:val="en-US"/>
        </w:rPr>
      </w:pPr>
      <w:r>
        <w:rPr>
          <w:rStyle w:val="FootnoteReference"/>
        </w:rPr>
        <w:footnoteRef/>
      </w:r>
      <w:r>
        <w:t xml:space="preserve"> </w:t>
      </w:r>
      <w:r w:rsidR="008B23E7">
        <w:rPr>
          <w:lang w:val="en-US"/>
        </w:rPr>
        <w:t>UK Department of Communities and Local Government</w:t>
      </w:r>
      <w:r w:rsidR="007B2A73">
        <w:rPr>
          <w:lang w:val="en-US"/>
        </w:rPr>
        <w:t xml:space="preserve">, </w:t>
      </w:r>
      <w:r w:rsidR="007B2A73" w:rsidRPr="007B2A73">
        <w:rPr>
          <w:i/>
          <w:iCs/>
          <w:lang w:val="en-US"/>
        </w:rPr>
        <w:t>Multi-criteria analysis: a manual</w:t>
      </w:r>
      <w:r w:rsidR="007B2A73">
        <w:rPr>
          <w:lang w:val="en-US"/>
        </w:rPr>
        <w:t>,</w:t>
      </w:r>
      <w:r w:rsidR="008B23E7">
        <w:rPr>
          <w:lang w:val="en-US"/>
        </w:rPr>
        <w:t xml:space="preserve"> (2009)</w:t>
      </w:r>
      <w:r w:rsidR="007B2A73">
        <w:rPr>
          <w:lang w:val="en-US"/>
        </w:rPr>
        <w:t xml:space="preserve"> &lt;</w:t>
      </w:r>
      <w:hyperlink r:id="rId10" w:history="1">
        <w:r w:rsidR="007B2A73" w:rsidRPr="001D100F">
          <w:rPr>
            <w:rStyle w:val="Hyperlink"/>
            <w:lang w:val="en-US"/>
          </w:rPr>
          <w:t>https://eprints.lse.ac.uk/12761/1/Multi-criteria_Analysis.pdf</w:t>
        </w:r>
      </w:hyperlink>
      <w:r w:rsidR="007B2A73">
        <w:rPr>
          <w:lang w:val="en-US"/>
        </w:rPr>
        <w:t>&gt;</w:t>
      </w:r>
    </w:p>
  </w:footnote>
  <w:footnote w:id="248">
    <w:p w14:paraId="74CF690B" w14:textId="2548E759" w:rsidR="00D574F6" w:rsidRPr="008A6066" w:rsidRDefault="00D574F6">
      <w:pPr>
        <w:pStyle w:val="FootnoteText"/>
        <w:rPr>
          <w:lang w:val="en-US"/>
        </w:rPr>
      </w:pPr>
      <w:r>
        <w:rPr>
          <w:rStyle w:val="FootnoteReference"/>
        </w:rPr>
        <w:footnoteRef/>
      </w:r>
      <w:r>
        <w:t xml:space="preserve"> </w:t>
      </w:r>
      <w:r w:rsidR="007D4171" w:rsidRPr="007D4171">
        <w:t>DiStefano, M. J., &amp; Krubiner, C. B.</w:t>
      </w:r>
      <w:r w:rsidR="006B034E">
        <w:t>, ‘</w:t>
      </w:r>
      <w:r w:rsidR="006B034E" w:rsidRPr="007D4171">
        <w:t>Beyond the numbers: a critique of quantitative multi-criteria decision analysis</w:t>
      </w:r>
      <w:r w:rsidR="006B034E">
        <w:t xml:space="preserve">’ </w:t>
      </w:r>
      <w:r w:rsidR="007D4171" w:rsidRPr="007D4171">
        <w:t xml:space="preserve">(2020) </w:t>
      </w:r>
      <w:r w:rsidR="007D4171" w:rsidRPr="006B034E">
        <w:rPr>
          <w:i/>
        </w:rPr>
        <w:t>International Journal of Technology Assessment in Health Care</w:t>
      </w:r>
      <w:r w:rsidR="006B034E">
        <w:t xml:space="preserve"> 1</w:t>
      </w:r>
    </w:p>
  </w:footnote>
  <w:footnote w:id="249">
    <w:p w14:paraId="3385C81D" w14:textId="29DC4AB7" w:rsidR="00631831" w:rsidRDefault="00631831" w:rsidP="000E0278">
      <w:pPr>
        <w:pStyle w:val="Footer"/>
      </w:pPr>
      <w:r w:rsidRPr="000E0278">
        <w:rPr>
          <w:rStyle w:val="FootnoteReference"/>
          <w:vertAlign w:val="baseline"/>
        </w:rPr>
        <w:footnoteRef/>
      </w:r>
      <w:r>
        <w:t xml:space="preserve"> </w:t>
      </w:r>
      <w:r w:rsidRPr="000E0278">
        <w:t>Suckling, E., 2023, All-electric homes are better for your hip pocket and the planet. Here’s how governments can help us get off gas, The Conversation, &lt;</w:t>
      </w:r>
      <w:hyperlink r:id="rId11" w:history="1">
        <w:r w:rsidRPr="000E0278">
          <w:rPr>
            <w:rStyle w:val="Hyperlink"/>
            <w:color w:val="auto"/>
            <w:u w:val="none"/>
          </w:rPr>
          <w:t>https://theconversation.com/all-electric-homes-are-better-for-your-hip-pocket-and-the-planet-heres-how-governments-can-help-us-get-off-gas-207409</w:t>
        </w:r>
      </w:hyperlink>
      <w:r w:rsidRPr="000E0278">
        <w:t>&gt;</w:t>
      </w:r>
    </w:p>
  </w:footnote>
  <w:footnote w:id="250">
    <w:p w14:paraId="2E5ABF2D" w14:textId="77777777" w:rsidR="00631831" w:rsidRDefault="00631831" w:rsidP="000E0278">
      <w:pPr>
        <w:pStyle w:val="Footer"/>
      </w:pPr>
      <w:r w:rsidRPr="000E0278">
        <w:rPr>
          <w:rStyle w:val="FootnoteReference"/>
          <w:vertAlign w:val="baseline"/>
        </w:rPr>
        <w:footnoteRef/>
      </w:r>
      <w:r>
        <w:t xml:space="preserve"> Knibbs, L., Woldeyohannes, S., Marks, G., Cowie, C. 2018, Damp housing, gas stoves, and the burden of childhood asthma in Australia, The Medical Journal if Australia, &lt;</w:t>
      </w:r>
      <w:r w:rsidRPr="006E5EF8">
        <w:t xml:space="preserve"> </w:t>
      </w:r>
      <w:hyperlink r:id="rId12" w:history="1">
        <w:r w:rsidRPr="000E0278">
          <w:rPr>
            <w:rStyle w:val="Hyperlink"/>
            <w:color w:val="auto"/>
            <w:u w:val="none"/>
          </w:rPr>
          <w:t>https://www.mja.com.au/journal/2018/208/7/damp-housing-gas-stoves-and-burden-childhood-asthma-australia</w:t>
        </w:r>
      </w:hyperlink>
      <w:r>
        <w:t>&gt;</w:t>
      </w:r>
    </w:p>
    <w:p w14:paraId="6A64F57D" w14:textId="77777777" w:rsidR="00631831" w:rsidRDefault="00631831" w:rsidP="00631831">
      <w:pPr>
        <w:pStyle w:val="FootnoteText"/>
      </w:pPr>
    </w:p>
  </w:footnote>
  <w:footnote w:id="251">
    <w:p w14:paraId="3E2ABBF0" w14:textId="7E8BBF42" w:rsidR="00631831" w:rsidRDefault="00631831" w:rsidP="00631831">
      <w:pPr>
        <w:pStyle w:val="FootnoteText"/>
      </w:pPr>
      <w:r>
        <w:rPr>
          <w:rStyle w:val="FootnoteReference"/>
        </w:rPr>
        <w:footnoteRef/>
      </w:r>
      <w:r>
        <w:t xml:space="preserve"> Takacs, B., Stegemann, J., Kalea, A., Borrion, A</w:t>
      </w:r>
      <w:r w:rsidR="00B22810">
        <w:t>.</w:t>
      </w:r>
      <w:r>
        <w:t xml:space="preserve">, Comparison of environmental impacts of individuals meals – Does it really make a difference to choose plant-based meals instead of meat-based ones?, Journal of Cleaner Production, </w:t>
      </w:r>
      <w:r w:rsidR="008639CC">
        <w:t xml:space="preserve">(2022), </w:t>
      </w:r>
      <w:r>
        <w:t>&lt;</w:t>
      </w:r>
      <w:hyperlink r:id="rId13" w:anchor=":~:text=On%20average%2C%20meat%2Dbased%20meals,environmental%20impact%20than%20vegan%20meals" w:history="1">
        <w:r w:rsidRPr="00301FDD">
          <w:rPr>
            <w:rStyle w:val="Hyperlink"/>
          </w:rPr>
          <w:t>https://www.sciencedirect.com/science/article/pii/S0959652622043542#:~:text=On%20average%2C%20meat%2Dbased%20meals,environmental%20impact%20than%20vegan%20meals</w:t>
        </w:r>
      </w:hyperlink>
      <w:r w:rsidRPr="00301FDD">
        <w:t>.</w:t>
      </w:r>
      <w:r>
        <w:t xml:space="preserve">&gt; </w:t>
      </w:r>
    </w:p>
  </w:footnote>
  <w:footnote w:id="252">
    <w:p w14:paraId="0878C5E0" w14:textId="64B6E6C6" w:rsidR="00631831" w:rsidRDefault="00631831" w:rsidP="00631831">
      <w:pPr>
        <w:pStyle w:val="FootnoteText"/>
      </w:pPr>
      <w:r>
        <w:rPr>
          <w:rStyle w:val="FootnoteReference"/>
        </w:rPr>
        <w:footnoteRef/>
      </w:r>
      <w:r>
        <w:t xml:space="preserve"> Tello, M., Eat more plants, fewer animals, Harvard Health</w:t>
      </w:r>
      <w:r w:rsidR="00B22810">
        <w:t xml:space="preserve"> (2018)</w:t>
      </w:r>
      <w:r>
        <w:t>, &lt;</w:t>
      </w:r>
      <w:hyperlink r:id="rId14" w:anchor=":~:text=Science%20has%20shown%20us%20over,lower%20our%20body%20mass%20index" w:history="1">
        <w:r w:rsidRPr="00C476FF">
          <w:rPr>
            <w:rStyle w:val="Hyperlink"/>
          </w:rPr>
          <w:t>https://www.health.harvard.edu/blog/eat-more-plants-fewer-animals-2018112915198#:~:text=Science%20has%20shown%20us%20over,lower%20our%20body%20mass%20index</w:t>
        </w:r>
      </w:hyperlink>
      <w:r w:rsidRPr="00655844">
        <w:t>.</w:t>
      </w:r>
      <w:r>
        <w:t xml:space="preserve">&gt; </w:t>
      </w:r>
    </w:p>
  </w:footnote>
  <w:footnote w:id="253">
    <w:p w14:paraId="32F59965" w14:textId="7C03A455" w:rsidR="00A70C4C" w:rsidRDefault="00A70C4C">
      <w:pPr>
        <w:pStyle w:val="FootnoteText"/>
      </w:pPr>
      <w:r>
        <w:rPr>
          <w:rStyle w:val="FootnoteReference"/>
        </w:rPr>
        <w:footnoteRef/>
      </w:r>
      <w:r>
        <w:t xml:space="preserve"> In this study, similar SA2s are based on SA2s within the same SA3.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557E" w14:textId="2B048A32" w:rsidR="00137F51" w:rsidRDefault="004F38E3" w:rsidP="00474643">
    <w:pPr>
      <w:pStyle w:val="Header"/>
    </w:pPr>
    <w:r>
      <w:rPr>
        <w:lang w:val="en-US"/>
      </w:rPr>
      <w:t>Review of the CCCFR grant – Final report</w:t>
    </w:r>
  </w:p>
  <w:p w14:paraId="2B1FADB3" w14:textId="77777777" w:rsidR="00137F51" w:rsidRPr="00474643" w:rsidRDefault="00137F51" w:rsidP="0047464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B5EE" w14:textId="70F614EE" w:rsidR="00065B14" w:rsidRDefault="00065B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94114" w14:textId="4FF6E45F" w:rsidR="00065B14" w:rsidRDefault="00065B1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3CF8" w14:textId="77777777" w:rsidR="009045AA" w:rsidRDefault="009045AA" w:rsidP="009045AA">
    <w:pPr>
      <w:pStyle w:val="Footer"/>
    </w:pPr>
  </w:p>
  <w:p w14:paraId="09F03E12" w14:textId="4DA3F55D" w:rsidR="00065B14" w:rsidRDefault="009045AA">
    <w:pPr>
      <w:pStyle w:val="Header"/>
    </w:pPr>
    <w:r>
      <w:rPr>
        <w:noProof/>
        <w:lang w:eastAsia="en-AU"/>
      </w:rPr>
      <mc:AlternateContent>
        <mc:Choice Requires="wps">
          <w:drawing>
            <wp:anchor distT="0" distB="0" distL="0" distR="0" simplePos="0" relativeHeight="251667456" behindDoc="1" locked="1" layoutInCell="1" allowOverlap="1" wp14:anchorId="607DEA97" wp14:editId="0BA8CBEB">
              <wp:simplePos x="0" y="0"/>
              <wp:positionH relativeFrom="page">
                <wp:posOffset>15875</wp:posOffset>
              </wp:positionH>
              <wp:positionV relativeFrom="page">
                <wp:posOffset>-171450</wp:posOffset>
              </wp:positionV>
              <wp:extent cx="2967355" cy="770255"/>
              <wp:effectExtent l="0" t="0" r="4445" b="10795"/>
              <wp:wrapNone/>
              <wp:docPr id="51" name="Text Box 51"/>
              <wp:cNvGraphicFramePr/>
              <a:graphic xmlns:a="http://schemas.openxmlformats.org/drawingml/2006/main">
                <a:graphicData uri="http://schemas.microsoft.com/office/word/2010/wordprocessingShape">
                  <wps:wsp>
                    <wps:cNvSpPr txBox="1"/>
                    <wps:spPr>
                      <a:xfrm>
                        <a:off x="0" y="0"/>
                        <a:ext cx="2967355" cy="7702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4C0ED7" w14:textId="609781A9" w:rsidR="009045AA" w:rsidRPr="000116B0" w:rsidRDefault="009045AA" w:rsidP="009045AA">
                          <w:pPr>
                            <w:pStyle w:val="Header"/>
                          </w:pPr>
                          <w:r>
                            <w:t>Review of the CCCFR grant – Final report</w:t>
                          </w:r>
                        </w:p>
                        <w:p w14:paraId="620F3FF3" w14:textId="31BCD744" w:rsidR="009045AA" w:rsidRDefault="009045AA" w:rsidP="009045AA">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DEA97" id="_x0000_t202" coordsize="21600,21600" o:spt="202" path="m,l,21600r21600,l21600,xe">
              <v:stroke joinstyle="miter"/>
              <v:path gradientshapeok="t" o:connecttype="rect"/>
            </v:shapetype>
            <v:shape id="Text Box 51" o:spid="_x0000_s1038" type="#_x0000_t202" style="position:absolute;margin-left:1.25pt;margin-top:-13.5pt;width:233.65pt;height:60.6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" filled="f" stroked="f" strokeweight=".5pt">
              <v:textbox inset="1in,0,0,0">
                <w:txbxContent>
                  <w:p w14:paraId="4B4C0ED7" w14:textId="609781A9" w:rsidR="009045AA" w:rsidRPr="000116B0" w:rsidRDefault="009045AA" w:rsidP="009045AA">
                    <w:pPr>
                      <w:pStyle w:val="Header"/>
                    </w:pPr>
                    <w:r>
                      <w:t>Review of the CCCFR grant – Final report</w:t>
                    </w:r>
                  </w:p>
                  <w:p w14:paraId="620F3FF3" w14:textId="31BCD744" w:rsidR="009045AA" w:rsidRDefault="009045AA" w:rsidP="009045AA">
                    <w:pPr>
                      <w:pStyle w:val="Footer"/>
                    </w:pPr>
                  </w:p>
                </w:txbxContent>
              </v:textbox>
              <w10:wrap anchorx="page" anchory="page"/>
              <w10:anchorlock/>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5E13" w14:textId="328C6B23" w:rsidR="00065B14" w:rsidRDefault="00065B1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E5E0" w14:textId="3D20CD77" w:rsidR="00065B14" w:rsidRDefault="00065B1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BEB3" w14:textId="2E772D2A" w:rsidR="007E0FCC" w:rsidRPr="000116B0" w:rsidRDefault="004F38E3" w:rsidP="00E33B5F">
    <w:pPr>
      <w:pStyle w:val="Header"/>
    </w:pPr>
    <w:r>
      <w:t>Review of the CCCFR grant – Final report</w:t>
    </w:r>
  </w:p>
  <w:p w14:paraId="0675C142" w14:textId="77777777" w:rsidR="007E0FCC" w:rsidRPr="00E33B5F" w:rsidRDefault="001C328F" w:rsidP="00E33B5F">
    <w:pPr>
      <w:pStyle w:val="Header"/>
    </w:pPr>
    <w:r>
      <w:rPr>
        <w:noProof/>
        <w:lang w:eastAsia="en-AU"/>
      </w:rPr>
      <mc:AlternateContent>
        <mc:Choice Requires="wps">
          <w:drawing>
            <wp:anchor distT="0" distB="0" distL="0" distR="0" simplePos="0" relativeHeight="251652096" behindDoc="1" locked="1" layoutInCell="1" allowOverlap="1" wp14:anchorId="6E83A77D" wp14:editId="4BBD4E2F">
              <wp:simplePos x="0" y="0"/>
              <wp:positionH relativeFrom="page">
                <wp:posOffset>0</wp:posOffset>
              </wp:positionH>
              <wp:positionV relativeFrom="page">
                <wp:posOffset>0</wp:posOffset>
              </wp:positionV>
              <wp:extent cx="2880000" cy="770400"/>
              <wp:effectExtent l="0" t="0" r="0" b="10795"/>
              <wp:wrapNone/>
              <wp:docPr id="10" name="Text Box 10"/>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C1D000" w14:textId="00F829FA" w:rsidR="001C328F" w:rsidRDefault="001C328F"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3A77D" id="_x0000_t202" coordsize="21600,21600" o:spt="202" path="m,l,21600r21600,l21600,xe">
              <v:stroke joinstyle="miter"/>
              <v:path gradientshapeok="t" o:connecttype="rect"/>
            </v:shapetype>
            <v:shape id="Text Box 10" o:spid="_x0000_s1039" type="#_x0000_t202" style="position:absolute;margin-left:0;margin-top:0;width:226.75pt;height:60.6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" filled="f" stroked="f" strokeweight=".5pt">
              <v:textbox inset="1in,0,0,0">
                <w:txbxContent>
                  <w:p w14:paraId="04C1D000" w14:textId="00F829FA" w:rsidR="001C328F" w:rsidRDefault="001C328F" w:rsidP="00E33B5F">
                    <w:pPr>
                      <w:pStyle w:val="Footer"/>
                    </w:pPr>
                  </w:p>
                </w:txbxContent>
              </v:textbox>
              <w10:wrap anchorx="page" anchory="page"/>
              <w10:anchorlock/>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CB029" w14:textId="2608DD5C" w:rsidR="00065B14" w:rsidRDefault="00065B1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30A7" w14:textId="5A1FCFFA" w:rsidR="003A2272" w:rsidRPr="000116B0" w:rsidRDefault="003A2272" w:rsidP="00E33B5F">
    <w:pPr>
      <w:pStyle w:val="Header"/>
    </w:pPr>
    <w:r>
      <w:t>Review of the CCCFR grant – Final report</w:t>
    </w:r>
  </w:p>
  <w:p w14:paraId="57CF5E25" w14:textId="77777777" w:rsidR="003A2272" w:rsidRPr="00E33B5F" w:rsidRDefault="003A2272" w:rsidP="00E33B5F">
    <w:pPr>
      <w:pStyle w:val="Header"/>
    </w:pPr>
    <w:r>
      <w:rPr>
        <w:noProof/>
        <w:lang w:eastAsia="en-AU"/>
      </w:rPr>
      <mc:AlternateContent>
        <mc:Choice Requires="wps">
          <w:drawing>
            <wp:anchor distT="0" distB="0" distL="0" distR="0" simplePos="0" relativeHeight="251662336" behindDoc="1" locked="1" layoutInCell="1" allowOverlap="1" wp14:anchorId="495B855C" wp14:editId="5718050B">
              <wp:simplePos x="0" y="0"/>
              <wp:positionH relativeFrom="page">
                <wp:posOffset>0</wp:posOffset>
              </wp:positionH>
              <wp:positionV relativeFrom="page">
                <wp:posOffset>0</wp:posOffset>
              </wp:positionV>
              <wp:extent cx="2880000" cy="770400"/>
              <wp:effectExtent l="0" t="0" r="0" b="10795"/>
              <wp:wrapNone/>
              <wp:docPr id="31" name="Text Box 31"/>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F715B4" w14:textId="6188CE02" w:rsidR="003A2272" w:rsidRDefault="003A2272"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5B855C" id="_x0000_t202" coordsize="21600,21600" o:spt="202" path="m,l,21600r21600,l21600,xe">
              <v:stroke joinstyle="miter"/>
              <v:path gradientshapeok="t" o:connecttype="rect"/>
            </v:shapetype>
            <v:shape id="Text Box 31" o:spid="_x0000_s1040" type="#_x0000_t202" style="position:absolute;margin-left:0;margin-top:0;width:226.75pt;height:60.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" filled="f" stroked="f" strokeweight=".5pt">
              <v:textbox inset="1in,0,0,0">
                <w:txbxContent>
                  <w:p w14:paraId="48F715B4" w14:textId="6188CE02" w:rsidR="003A2272" w:rsidRDefault="003A2272" w:rsidP="00E33B5F">
                    <w:pPr>
                      <w:pStyle w:val="Footer"/>
                    </w:pPr>
                  </w:p>
                </w:txbxContent>
              </v:textbox>
              <w10:wrap anchorx="page" anchory="page"/>
              <w10:anchorlock/>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387E" w14:textId="77777777" w:rsidR="003A2272" w:rsidRDefault="00000000">
    <w:pPr>
      <w:pStyle w:val="Header"/>
    </w:pPr>
    <w:r>
      <w:rPr>
        <w:noProof/>
      </w:rPr>
      <w:pict w14:anchorId="76FFC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margin-left:0;margin-top:0;width:565.55pt;height:70.65pt;rotation:315;z-index:-251658204;mso-position-horizontal:center;mso-position-horizontal-relative:margin;mso-position-vertical:center;mso-position-vertical-relative:margin" o:allowincell="f" fillcolor="silver" stroked="f">
          <v:fill opacity=".5"/>
          <v:textpath style="font-family:&quot;Verdana&quot;;font-size:1pt" string="CONFIDENTIAL"/>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2172" w14:textId="117A8B28" w:rsidR="003A2272" w:rsidRPr="000116B0" w:rsidRDefault="003A2272" w:rsidP="00E33B5F">
    <w:pPr>
      <w:pStyle w:val="Header"/>
    </w:pPr>
    <w:r>
      <w:t>Review of the CCCFR grant – Final report</w:t>
    </w:r>
  </w:p>
  <w:p w14:paraId="7A8B2268" w14:textId="77777777" w:rsidR="00FB5549" w:rsidRDefault="003A2272">
    <w:pPr>
      <w:pStyle w:val="Header"/>
    </w:pPr>
    <w:r>
      <w:rPr>
        <w:noProof/>
        <w:lang w:eastAsia="en-AU"/>
      </w:rPr>
      <mc:AlternateContent>
        <mc:Choice Requires="wps">
          <w:drawing>
            <wp:anchor distT="0" distB="0" distL="0" distR="0" simplePos="0" relativeHeight="251664384" behindDoc="1" locked="1" layoutInCell="1" allowOverlap="1" wp14:anchorId="0375B6F2" wp14:editId="55F80EDF">
              <wp:simplePos x="0" y="0"/>
              <wp:positionH relativeFrom="page">
                <wp:posOffset>0</wp:posOffset>
              </wp:positionH>
              <wp:positionV relativeFrom="page">
                <wp:posOffset>0</wp:posOffset>
              </wp:positionV>
              <wp:extent cx="2880000" cy="770400"/>
              <wp:effectExtent l="0" t="0" r="0" b="10795"/>
              <wp:wrapNone/>
              <wp:docPr id="23" name="Text Box 23"/>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4C3469" w14:textId="58540EB2" w:rsidR="003A2272" w:rsidRDefault="003A2272"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5B6F2" id="_x0000_t202" coordsize="21600,21600" o:spt="202" path="m,l,21600r21600,l21600,xe">
              <v:stroke joinstyle="miter"/>
              <v:path gradientshapeok="t" o:connecttype="rect"/>
            </v:shapetype>
            <v:shape id="Text Box 23" o:spid="_x0000_s1041" type="#_x0000_t202" style="position:absolute;margin-left:0;margin-top:0;width:226.75pt;height:60.6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" filled="f" stroked="f" strokeweight=".5pt">
              <v:textbox inset="1in,0,0,0">
                <w:txbxContent>
                  <w:p w14:paraId="0B4C3469" w14:textId="58540EB2" w:rsidR="003A2272" w:rsidRDefault="003A2272" w:rsidP="00E33B5F">
                    <w:pPr>
                      <w:pStyle w:val="Foote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71CF" w14:textId="09A63010" w:rsidR="00065B14" w:rsidRDefault="00065B1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B0A5" w14:textId="541A6D92" w:rsidR="001905F1" w:rsidRDefault="001905F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A7A3" w14:textId="14EA61BE" w:rsidR="00201A40" w:rsidRPr="000116B0" w:rsidRDefault="00201A40" w:rsidP="00201A40">
    <w:pPr>
      <w:pStyle w:val="Header"/>
    </w:pPr>
    <w:r>
      <w:t>Review of the CCCFR grant – Final report</w:t>
    </w:r>
  </w:p>
  <w:p w14:paraId="0D32EDF0" w14:textId="77777777" w:rsidR="00201A40" w:rsidRDefault="00201A40" w:rsidP="00201A40">
    <w:pPr>
      <w:pStyle w:val="Footer"/>
    </w:pPr>
  </w:p>
  <w:p w14:paraId="75DEBBDE" w14:textId="5A159D94" w:rsidR="00201A40" w:rsidRDefault="00201A40" w:rsidP="00201A40">
    <w:pPr>
      <w:pStyle w:val="Footer"/>
    </w:pPr>
  </w:p>
  <w:p w14:paraId="7CDA2FE0" w14:textId="77777777" w:rsidR="001905F1" w:rsidRDefault="001905F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56FA" w14:textId="2D0C836B" w:rsidR="001905F1" w:rsidRDefault="001905F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1D4C" w14:textId="5577336A" w:rsidR="001D1245" w:rsidRPr="000116B0" w:rsidRDefault="001D1245" w:rsidP="00201A40">
    <w:pPr>
      <w:pStyle w:val="Header"/>
    </w:pPr>
    <w:r>
      <w:t>Review of the CCCFR grant – Final report</w:t>
    </w:r>
  </w:p>
  <w:p w14:paraId="6FC0DE20" w14:textId="77777777" w:rsidR="001D1245" w:rsidRDefault="001D1245" w:rsidP="00201A40">
    <w:pPr>
      <w:pStyle w:val="Footer"/>
    </w:pPr>
  </w:p>
  <w:p w14:paraId="546DD990" w14:textId="77777777" w:rsidR="001D1245" w:rsidRDefault="001D124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C6E7" w14:textId="77777777" w:rsidR="001D1245" w:rsidRDefault="00000000">
    <w:pPr>
      <w:pStyle w:val="Header"/>
    </w:pPr>
    <w:r>
      <w:rPr>
        <w:noProof/>
      </w:rPr>
      <w:pict w14:anchorId="796093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0" type="#_x0000_t136" style="position:absolute;margin-left:0;margin-top:0;width:565.55pt;height:70.65pt;rotation:315;z-index:-251658200;mso-position-horizontal:center;mso-position-horizontal-relative:margin;mso-position-vertical:center;mso-position-vertical-relative:margin" o:allowincell="f" fillcolor="silver" stroked="f">
          <v:fill opacity=".5"/>
          <v:textpath style="font-family:&quot;Verdana&quot;;font-size:1pt" string="CONFIDENTIAL"/>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1D688" w14:textId="29B527BC" w:rsidR="00201A40" w:rsidRPr="000116B0" w:rsidRDefault="00201A40" w:rsidP="00201A40">
    <w:pPr>
      <w:pStyle w:val="Header"/>
    </w:pPr>
    <w:r>
      <w:t>Review of the CCCFR grant – Final report</w:t>
    </w:r>
  </w:p>
  <w:p w14:paraId="1C5029F3" w14:textId="77777777" w:rsidR="00201A40" w:rsidRDefault="00201A40" w:rsidP="00201A40">
    <w:pPr>
      <w:pStyle w:val="Footer"/>
    </w:pPr>
  </w:p>
  <w:p w14:paraId="4B6F7F24" w14:textId="77777777" w:rsidR="001905F1" w:rsidRDefault="001905F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5FF4" w14:textId="54079512" w:rsidR="007C7004" w:rsidRPr="000116B0" w:rsidRDefault="007C7004" w:rsidP="00201A40">
    <w:pPr>
      <w:pStyle w:val="Header"/>
    </w:pPr>
    <w:r>
      <w:t>Review of the CCCFR grant – Final report</w:t>
    </w:r>
  </w:p>
  <w:p w14:paraId="2B99C039" w14:textId="77777777" w:rsidR="007C7004" w:rsidRDefault="007C7004" w:rsidP="00201A40">
    <w:pPr>
      <w:pStyle w:val="Footer"/>
    </w:pPr>
  </w:p>
  <w:p w14:paraId="1DA6FB7D" w14:textId="77777777" w:rsidR="007C7004" w:rsidRDefault="007C700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4042" w14:textId="77777777" w:rsidR="007C7004" w:rsidRDefault="00000000">
    <w:pPr>
      <w:pStyle w:val="Header"/>
    </w:pPr>
    <w:r>
      <w:rPr>
        <w:noProof/>
      </w:rPr>
      <w:pict w14:anchorId="32389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margin-left:0;margin-top:0;width:565.55pt;height:70.65pt;rotation:315;z-index:-251658208;mso-position-horizontal:center;mso-position-horizontal-relative:margin;mso-position-vertical:center;mso-position-vertical-relative:margin" o:allowincell="f" fillcolor="silver" stroked="f">
          <v:fill opacity=".5"/>
          <v:textpath style="font-family:&quot;Verdana&quot;;font-size:1pt" string="CONFIDENTIAL"/>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0A8A" w14:textId="06676236" w:rsidR="007C7004" w:rsidRPr="000116B0" w:rsidRDefault="007C7004" w:rsidP="00201A40">
    <w:pPr>
      <w:pStyle w:val="Header"/>
    </w:pPr>
    <w:r>
      <w:t>Review of the CCCFR grant – Final report</w:t>
    </w:r>
  </w:p>
  <w:p w14:paraId="349C1D03" w14:textId="77777777" w:rsidR="007C7004" w:rsidRDefault="007C7004" w:rsidP="00201A40">
    <w:pPr>
      <w:pStyle w:val="Footer"/>
    </w:pPr>
  </w:p>
  <w:p w14:paraId="179FC74C" w14:textId="77777777" w:rsidR="007C7004" w:rsidRDefault="007C700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0E5B" w14:textId="6C7F0B4E" w:rsidR="00065B14" w:rsidRDefault="00065B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0090" w14:textId="478E78CE" w:rsidR="00137F51" w:rsidRDefault="00137F51" w:rsidP="00612D76">
    <w:pPr>
      <w:pStyle w:val="Header"/>
      <w:spacing w:line="14" w:lineRule="exact"/>
    </w:pPr>
  </w:p>
  <w:p w14:paraId="46BC53C7" w14:textId="0DA7BF34" w:rsidR="00612D76" w:rsidRPr="000116B0" w:rsidRDefault="004F38E3" w:rsidP="00474643">
    <w:pPr>
      <w:pStyle w:val="Header"/>
    </w:pPr>
    <w:r>
      <w:t>Review of the CCCFR grant – Final report</w:t>
    </w:r>
  </w:p>
  <w:p w14:paraId="41E6CD5D" w14:textId="77777777" w:rsidR="00137F51" w:rsidRDefault="00E33B5F" w:rsidP="00474643">
    <w:pPr>
      <w:pStyle w:val="Header"/>
    </w:pPr>
    <w:r>
      <w:rPr>
        <w:noProof/>
        <w:lang w:eastAsia="en-AU"/>
      </w:rPr>
      <mc:AlternateContent>
        <mc:Choice Requires="wps">
          <w:drawing>
            <wp:anchor distT="0" distB="0" distL="0" distR="0" simplePos="0" relativeHeight="251649024" behindDoc="1" locked="1" layoutInCell="1" allowOverlap="1" wp14:anchorId="79E9932F" wp14:editId="10C0744E">
              <wp:simplePos x="0" y="0"/>
              <wp:positionH relativeFrom="page">
                <wp:posOffset>0</wp:posOffset>
              </wp:positionH>
              <wp:positionV relativeFrom="page">
                <wp:posOffset>0</wp:posOffset>
              </wp:positionV>
              <wp:extent cx="2880000" cy="770400"/>
              <wp:effectExtent l="0" t="0" r="0" b="10795"/>
              <wp:wrapNone/>
              <wp:docPr id="14" name="Text Box 14"/>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DDD14B" w14:textId="19C86723" w:rsidR="00E33B5F" w:rsidRDefault="00E33B5F"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9932F" id="_x0000_t202" coordsize="21600,21600" o:spt="202" path="m,l,21600r21600,l21600,xe">
              <v:stroke joinstyle="miter"/>
              <v:path gradientshapeok="t" o:connecttype="rect"/>
            </v:shapetype>
            <v:shape id="Text Box 14" o:spid="_x0000_s1036" type="#_x0000_t202" style="position:absolute;margin-left:0;margin-top:0;width:226.75pt;height:60.6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" filled="f" stroked="f" strokeweight=".5pt">
              <v:textbox inset="1in,0,0,0">
                <w:txbxContent>
                  <w:p w14:paraId="4BDDD14B" w14:textId="19C86723" w:rsidR="00E33B5F" w:rsidRDefault="00E33B5F" w:rsidP="00E33B5F">
                    <w:pPr>
                      <w:pStyle w:val="Footer"/>
                    </w:pPr>
                  </w:p>
                </w:txbxContent>
              </v:textbox>
              <w10:wrap anchorx="page" anchory="page"/>
              <w10:anchorlock/>
            </v:shape>
          </w:pict>
        </mc:Fallback>
      </mc:AlternateContent>
    </w:r>
  </w:p>
  <w:p w14:paraId="4E613AFB" w14:textId="6467F2D5" w:rsidR="00176898" w:rsidRDefault="00176898" w:rsidP="00176898">
    <w:pPr>
      <w:pStyle w:val="Header"/>
    </w:pPr>
  </w:p>
  <w:p w14:paraId="032092FE" w14:textId="77777777" w:rsidR="00E33B5F" w:rsidRDefault="00E33B5F" w:rsidP="0047464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70E2" w14:textId="60E19CA8" w:rsidR="001905F1" w:rsidRPr="000116B0" w:rsidRDefault="004F38E3" w:rsidP="00E33B5F">
    <w:pPr>
      <w:pStyle w:val="Header"/>
    </w:pPr>
    <w:r>
      <w:t>Review of the CCCFR grant – Final report</w:t>
    </w:r>
  </w:p>
  <w:p w14:paraId="79546564" w14:textId="77777777" w:rsidR="001905F1" w:rsidRPr="00E33B5F" w:rsidRDefault="001905F1" w:rsidP="00E33B5F">
    <w:pPr>
      <w:pStyle w:val="Header"/>
    </w:pPr>
    <w:r>
      <w:rPr>
        <w:noProof/>
        <w:lang w:eastAsia="en-AU"/>
      </w:rPr>
      <mc:AlternateContent>
        <mc:Choice Requires="wps">
          <w:drawing>
            <wp:anchor distT="0" distB="0" distL="0" distR="0" simplePos="0" relativeHeight="251657216" behindDoc="1" locked="1" layoutInCell="1" allowOverlap="1" wp14:anchorId="0945F5DE" wp14:editId="5BF60543">
              <wp:simplePos x="0" y="0"/>
              <wp:positionH relativeFrom="page">
                <wp:posOffset>0</wp:posOffset>
              </wp:positionH>
              <wp:positionV relativeFrom="page">
                <wp:posOffset>0</wp:posOffset>
              </wp:positionV>
              <wp:extent cx="2880000" cy="770400"/>
              <wp:effectExtent l="0" t="0" r="0" b="10795"/>
              <wp:wrapNone/>
              <wp:docPr id="45" name="Text Box 45"/>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B8A13E" w14:textId="73FAEDE1" w:rsidR="001905F1" w:rsidRDefault="001905F1"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5F5DE" id="_x0000_t202" coordsize="21600,21600" o:spt="202" path="m,l,21600r21600,l21600,xe">
              <v:stroke joinstyle="miter"/>
              <v:path gradientshapeok="t" o:connecttype="rect"/>
            </v:shapetype>
            <v:shape id="Text Box 45" o:spid="_x0000_s1042" type="#_x0000_t202" style="position:absolute;margin-left:0;margin-top:0;width:226.75pt;height:60.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" filled="f" stroked="f" strokeweight=".5pt">
              <v:textbox inset="1in,0,0,0">
                <w:txbxContent>
                  <w:p w14:paraId="5EB8A13E" w14:textId="73FAEDE1" w:rsidR="001905F1" w:rsidRDefault="001905F1" w:rsidP="00E33B5F">
                    <w:pPr>
                      <w:pStyle w:val="Footer"/>
                    </w:pPr>
                  </w:p>
                </w:txbxContent>
              </v:textbox>
              <w10:wrap anchorx="page" anchory="page"/>
              <w10:anchorlock/>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86E8" w14:textId="7EB4787B" w:rsidR="001905F1" w:rsidRDefault="001905F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DBEA" w14:textId="2248E5A7" w:rsidR="00065B14" w:rsidRDefault="00065B1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3205" w14:textId="77777777" w:rsidR="00603521" w:rsidRPr="000116B0" w:rsidRDefault="00603521" w:rsidP="00603521">
    <w:pPr>
      <w:pStyle w:val="Header"/>
    </w:pPr>
    <w:r>
      <w:t>Review of the CCCFR grant – Final report</w:t>
    </w:r>
  </w:p>
  <w:p w14:paraId="2A43845A" w14:textId="619EF016" w:rsidR="00065B14" w:rsidRDefault="00065B1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E989" w14:textId="4A43B378" w:rsidR="00065B14" w:rsidRDefault="00065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4653" w14:textId="683663F9" w:rsidR="00065B14" w:rsidRDefault="00065B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92BF" w14:textId="5BCCFA07" w:rsidR="00065B14" w:rsidRDefault="00065B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D51F" w14:textId="77777777" w:rsidR="004C68E7" w:rsidRDefault="004C68E7" w:rsidP="004C68E7">
    <w:pPr>
      <w:pStyle w:val="Header"/>
      <w:spacing w:line="14" w:lineRule="exact"/>
    </w:pPr>
  </w:p>
  <w:p w14:paraId="6C3ACE6A" w14:textId="77777777" w:rsidR="004C68E7" w:rsidRPr="000116B0" w:rsidRDefault="004C68E7" w:rsidP="004C68E7">
    <w:pPr>
      <w:pStyle w:val="Header"/>
    </w:pPr>
    <w:r>
      <w:t>Review of the CCCFR grant – Final report</w:t>
    </w:r>
  </w:p>
  <w:p w14:paraId="5862EF36" w14:textId="61A0CD6F" w:rsidR="00065B14" w:rsidRDefault="00065B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1A13" w14:textId="3FBD4A02" w:rsidR="00065B14" w:rsidRDefault="00065B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A73B" w14:textId="2B8DE719" w:rsidR="00065B14" w:rsidRDefault="00065B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A454" w14:textId="7DE76EA3" w:rsidR="00E33B5F" w:rsidRPr="000116B0" w:rsidRDefault="004F38E3" w:rsidP="00E33B5F">
    <w:pPr>
      <w:pStyle w:val="Header"/>
    </w:pPr>
    <w:r>
      <w:t>Review of the CCCFR grant – Final report</w:t>
    </w:r>
  </w:p>
  <w:p w14:paraId="4B9410A4" w14:textId="77777777" w:rsidR="00E33B5F" w:rsidRDefault="00E33B5F" w:rsidP="00E33B5F">
    <w:pPr>
      <w:pStyle w:val="Header"/>
    </w:pPr>
    <w:r>
      <w:rPr>
        <w:noProof/>
        <w:lang w:eastAsia="en-AU"/>
      </w:rPr>
      <mc:AlternateContent>
        <mc:Choice Requires="wps">
          <w:drawing>
            <wp:anchor distT="0" distB="0" distL="0" distR="0" simplePos="0" relativeHeight="251655168" behindDoc="1" locked="1" layoutInCell="1" allowOverlap="1" wp14:anchorId="55096333" wp14:editId="642F7643">
              <wp:simplePos x="0" y="0"/>
              <wp:positionH relativeFrom="page">
                <wp:posOffset>0</wp:posOffset>
              </wp:positionH>
              <wp:positionV relativeFrom="page">
                <wp:posOffset>0</wp:posOffset>
              </wp:positionV>
              <wp:extent cx="2880000" cy="770400"/>
              <wp:effectExtent l="0" t="0" r="0" b="10795"/>
              <wp:wrapNone/>
              <wp:docPr id="838388551" name="Text Box 838388551"/>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50E5F" w14:textId="07E5E680" w:rsidR="00E33B5F" w:rsidRDefault="00E33B5F"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96333" id="_x0000_t202" coordsize="21600,21600" o:spt="202" path="m,l,21600r21600,l21600,xe">
              <v:stroke joinstyle="miter"/>
              <v:path gradientshapeok="t" o:connecttype="rect"/>
            </v:shapetype>
            <v:shape id="Text Box 838388551" o:spid="_x0000_s1037" type="#_x0000_t202" style="position:absolute;margin-left:0;margin-top:0;width:226.75pt;height:60.6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" filled="f" stroked="f" strokeweight=".5pt">
              <v:textbox inset="1in,0,0,0">
                <w:txbxContent>
                  <w:p w14:paraId="3CF50E5F" w14:textId="07E5E680" w:rsidR="00E33B5F" w:rsidRDefault="00E33B5F" w:rsidP="00E33B5F">
                    <w:pPr>
                      <w:pStyle w:val="Footer"/>
                    </w:pPr>
                  </w:p>
                </w:txbxContent>
              </v:textbox>
              <w10:wrap anchorx="page" anchory="page"/>
              <w10:anchorlock/>
            </v:shape>
          </w:pict>
        </mc:Fallback>
      </mc:AlternateContent>
    </w:r>
  </w:p>
  <w:p w14:paraId="0A4F5386" w14:textId="5798B175" w:rsidR="006C43DE" w:rsidRDefault="006C43DE" w:rsidP="006C43DE">
    <w:pPr>
      <w:pStyle w:val="Header"/>
    </w:pPr>
  </w:p>
  <w:p w14:paraId="2043FD65" w14:textId="77777777" w:rsidR="00137F51" w:rsidRPr="00E33B5F" w:rsidRDefault="00137F51" w:rsidP="00E33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DCC77F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344AA0"/>
    <w:multiLevelType w:val="hybridMultilevel"/>
    <w:tmpl w:val="5AB8AFA8"/>
    <w:lvl w:ilvl="0" w:tplc="68669EDA">
      <w:start w:val="1"/>
      <w:numFmt w:val="bullet"/>
      <w:pStyle w:val="ListParagraph"/>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1BD4E4D"/>
    <w:multiLevelType w:val="hybridMultilevel"/>
    <w:tmpl w:val="3A2C2E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7" w15:restartNumberingAfterBreak="0">
    <w:nsid w:val="05EB42D1"/>
    <w:multiLevelType w:val="hybridMultilevel"/>
    <w:tmpl w:val="2848DF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7045A5C"/>
    <w:multiLevelType w:val="multilevel"/>
    <w:tmpl w:val="106E8AEC"/>
    <w:lvl w:ilvl="0">
      <w:start w:val="1"/>
      <w:numFmt w:val="bullet"/>
      <w:lvlText w:val=""/>
      <w:lvlJc w:val="left"/>
      <w:pPr>
        <w:ind w:left="340" w:hanging="340"/>
      </w:pPr>
      <w:rPr>
        <w:rFonts w:ascii="Symbol" w:hAnsi="Symbol" w:hint="default"/>
        <w:color w:val="auto"/>
      </w:rPr>
    </w:lvl>
    <w:lvl w:ilvl="1">
      <w:start w:val="1"/>
      <w:numFmt w:val="bullet"/>
      <w:lvlText w:val=""/>
      <w:lvlJc w:val="left"/>
      <w:pPr>
        <w:ind w:left="700" w:hanging="360"/>
      </w:pPr>
      <w:rPr>
        <w:rFonts w:ascii="Symbol" w:hAnsi="Symbol"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9" w15:restartNumberingAfterBreak="0">
    <w:nsid w:val="091345AD"/>
    <w:multiLevelType w:val="hybridMultilevel"/>
    <w:tmpl w:val="8AEAD0F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C149AA"/>
    <w:multiLevelType w:val="hybridMultilevel"/>
    <w:tmpl w:val="5972EDA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BE805CD"/>
    <w:multiLevelType w:val="multilevel"/>
    <w:tmpl w:val="795EA1CA"/>
    <w:lvl w:ilvl="0">
      <w:start w:val="1"/>
      <w:numFmt w:val="upperLetter"/>
      <w:pStyle w:val="Appendixhead1"/>
      <w:lvlText w:val="Appendix %1"/>
      <w:lvlJc w:val="left"/>
      <w:pPr>
        <w:ind w:left="3856" w:hanging="385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2"/>
      <w:lvlText w:val="%1.%2."/>
      <w:lvlJc w:val="left"/>
      <w:pPr>
        <w:ind w:left="792" w:hanging="792"/>
      </w:pPr>
      <w:rPr>
        <w:rFonts w:hint="default"/>
        <w:b/>
        <w:bCs/>
      </w:rPr>
    </w:lvl>
    <w:lvl w:ilvl="2">
      <w:start w:val="1"/>
      <w:numFmt w:val="decimal"/>
      <w:pStyle w:val="Appendixhead3"/>
      <w:lvlText w:val="%1.%2.%3."/>
      <w:lvlJc w:val="left"/>
      <w:pPr>
        <w:ind w:left="794" w:hanging="794"/>
      </w:pPr>
      <w:rPr>
        <w:rFonts w:hint="default"/>
        <w:b/>
        <w:bCs/>
        <w:color w:val="auto"/>
      </w:rPr>
    </w:lvl>
    <w:lvl w:ilvl="3">
      <w:start w:val="1"/>
      <w:numFmt w:val="decimal"/>
      <w:pStyle w:val="Appendixhead4"/>
      <w:lvlText w:val="%1.%2.%3.%4."/>
      <w:lvlJc w:val="left"/>
      <w:pPr>
        <w:ind w:left="794" w:hanging="794"/>
      </w:pPr>
      <w:rPr>
        <w:rFonts w:hint="default"/>
        <w:b/>
        <w:bCs/>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pStyle w:val="AppendixTableCaption"/>
      <w:suff w:val="nothing"/>
      <w:lvlText w:val="Table %1.%7"/>
      <w:lvlJc w:val="left"/>
      <w:pPr>
        <w:ind w:left="0" w:firstLine="0"/>
      </w:pPr>
      <w:rPr>
        <w:rFonts w:hint="default"/>
      </w:rPr>
    </w:lvl>
    <w:lvl w:ilvl="7">
      <w:start w:val="1"/>
      <w:numFmt w:val="decimal"/>
      <w:lvlRestart w:val="1"/>
      <w:pStyle w:val="AppendixChartCaption"/>
      <w:suff w:val="nothing"/>
      <w:lvlText w:val="Chart %1.%8"/>
      <w:lvlJc w:val="left"/>
      <w:pPr>
        <w:ind w:left="0" w:firstLine="0"/>
      </w:pPr>
      <w:rPr>
        <w:rFonts w:hint="default"/>
      </w:rPr>
    </w:lvl>
    <w:lvl w:ilvl="8">
      <w:start w:val="1"/>
      <w:numFmt w:val="decimal"/>
      <w:lvlRestart w:val="1"/>
      <w:pStyle w:val="AppendixFigureCaption"/>
      <w:suff w:val="nothing"/>
      <w:lvlText w:val="Figure %1.%9"/>
      <w:lvlJc w:val="left"/>
      <w:pPr>
        <w:ind w:left="0" w:firstLine="0"/>
      </w:pPr>
      <w:rPr>
        <w:rFonts w:hint="default"/>
      </w:rPr>
    </w:lvl>
  </w:abstractNum>
  <w:abstractNum w:abstractNumId="12" w15:restartNumberingAfterBreak="0">
    <w:nsid w:val="0E1A2DC6"/>
    <w:multiLevelType w:val="hybridMultilevel"/>
    <w:tmpl w:val="8E2CD2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E85325C"/>
    <w:multiLevelType w:val="hybridMultilevel"/>
    <w:tmpl w:val="CFF8F92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EF75C5F"/>
    <w:multiLevelType w:val="singleLevel"/>
    <w:tmpl w:val="0C090001"/>
    <w:lvl w:ilvl="0">
      <w:start w:val="1"/>
      <w:numFmt w:val="bullet"/>
      <w:lvlText w:val=""/>
      <w:lvlJc w:val="left"/>
      <w:pPr>
        <w:spacing w:before="120"/>
        <w:ind w:left="360"/>
      </w:pPr>
      <w:rPr>
        <w:rFonts w:ascii="Symbol" w:hAnsi="Symbol" w:hint="default"/>
        <w:color w:val="BFBFBF"/>
        <w:sz w:val="52"/>
      </w:rPr>
    </w:lvl>
  </w:abstractNum>
  <w:abstractNum w:abstractNumId="15" w15:restartNumberingAfterBreak="0">
    <w:nsid w:val="0FD628B1"/>
    <w:multiLevelType w:val="hybridMultilevel"/>
    <w:tmpl w:val="73702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4A0729"/>
    <w:multiLevelType w:val="hybridMultilevel"/>
    <w:tmpl w:val="AFC23A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21C6690"/>
    <w:multiLevelType w:val="hybridMultilevel"/>
    <w:tmpl w:val="C42C8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2200378"/>
    <w:multiLevelType w:val="hybridMultilevel"/>
    <w:tmpl w:val="F16A0A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2CB2C54"/>
    <w:multiLevelType w:val="hybridMultilevel"/>
    <w:tmpl w:val="B65A39F6"/>
    <w:lvl w:ilvl="0" w:tplc="0C090001">
      <w:start w:val="1"/>
      <w:numFmt w:val="bullet"/>
      <w:lvlText w:val=""/>
      <w:lvlJc w:val="left"/>
      <w:pPr>
        <w:ind w:left="690" w:hanging="360"/>
      </w:pPr>
      <w:rPr>
        <w:rFonts w:ascii="Symbol" w:hAnsi="Symbol" w:hint="default"/>
      </w:rPr>
    </w:lvl>
    <w:lvl w:ilvl="1" w:tplc="0C090003" w:tentative="1">
      <w:start w:val="1"/>
      <w:numFmt w:val="bullet"/>
      <w:lvlText w:val="o"/>
      <w:lvlJc w:val="left"/>
      <w:pPr>
        <w:ind w:left="1410" w:hanging="360"/>
      </w:pPr>
      <w:rPr>
        <w:rFonts w:ascii="Courier New" w:hAnsi="Courier New" w:cs="Courier New" w:hint="default"/>
      </w:rPr>
    </w:lvl>
    <w:lvl w:ilvl="2" w:tplc="0C090005" w:tentative="1">
      <w:start w:val="1"/>
      <w:numFmt w:val="bullet"/>
      <w:lvlText w:val=""/>
      <w:lvlJc w:val="left"/>
      <w:pPr>
        <w:ind w:left="2130" w:hanging="360"/>
      </w:pPr>
      <w:rPr>
        <w:rFonts w:ascii="Wingdings" w:hAnsi="Wingdings" w:hint="default"/>
      </w:rPr>
    </w:lvl>
    <w:lvl w:ilvl="3" w:tplc="0C090001" w:tentative="1">
      <w:start w:val="1"/>
      <w:numFmt w:val="bullet"/>
      <w:lvlText w:val=""/>
      <w:lvlJc w:val="left"/>
      <w:pPr>
        <w:ind w:left="2850" w:hanging="360"/>
      </w:pPr>
      <w:rPr>
        <w:rFonts w:ascii="Symbol" w:hAnsi="Symbol" w:hint="default"/>
      </w:rPr>
    </w:lvl>
    <w:lvl w:ilvl="4" w:tplc="0C090003" w:tentative="1">
      <w:start w:val="1"/>
      <w:numFmt w:val="bullet"/>
      <w:lvlText w:val="o"/>
      <w:lvlJc w:val="left"/>
      <w:pPr>
        <w:ind w:left="3570" w:hanging="360"/>
      </w:pPr>
      <w:rPr>
        <w:rFonts w:ascii="Courier New" w:hAnsi="Courier New" w:cs="Courier New" w:hint="default"/>
      </w:rPr>
    </w:lvl>
    <w:lvl w:ilvl="5" w:tplc="0C090005" w:tentative="1">
      <w:start w:val="1"/>
      <w:numFmt w:val="bullet"/>
      <w:lvlText w:val=""/>
      <w:lvlJc w:val="left"/>
      <w:pPr>
        <w:ind w:left="4290" w:hanging="360"/>
      </w:pPr>
      <w:rPr>
        <w:rFonts w:ascii="Wingdings" w:hAnsi="Wingdings" w:hint="default"/>
      </w:rPr>
    </w:lvl>
    <w:lvl w:ilvl="6" w:tplc="0C090001" w:tentative="1">
      <w:start w:val="1"/>
      <w:numFmt w:val="bullet"/>
      <w:lvlText w:val=""/>
      <w:lvlJc w:val="left"/>
      <w:pPr>
        <w:ind w:left="5010" w:hanging="360"/>
      </w:pPr>
      <w:rPr>
        <w:rFonts w:ascii="Symbol" w:hAnsi="Symbol" w:hint="default"/>
      </w:rPr>
    </w:lvl>
    <w:lvl w:ilvl="7" w:tplc="0C090003" w:tentative="1">
      <w:start w:val="1"/>
      <w:numFmt w:val="bullet"/>
      <w:lvlText w:val="o"/>
      <w:lvlJc w:val="left"/>
      <w:pPr>
        <w:ind w:left="5730" w:hanging="360"/>
      </w:pPr>
      <w:rPr>
        <w:rFonts w:ascii="Courier New" w:hAnsi="Courier New" w:cs="Courier New" w:hint="default"/>
      </w:rPr>
    </w:lvl>
    <w:lvl w:ilvl="8" w:tplc="0C090005" w:tentative="1">
      <w:start w:val="1"/>
      <w:numFmt w:val="bullet"/>
      <w:lvlText w:val=""/>
      <w:lvlJc w:val="left"/>
      <w:pPr>
        <w:ind w:left="6450" w:hanging="360"/>
      </w:pPr>
      <w:rPr>
        <w:rFonts w:ascii="Wingdings" w:hAnsi="Wingdings" w:hint="default"/>
      </w:rPr>
    </w:lvl>
  </w:abstractNum>
  <w:abstractNum w:abstractNumId="20" w15:restartNumberingAfterBreak="0">
    <w:nsid w:val="130431E9"/>
    <w:multiLevelType w:val="hybridMultilevel"/>
    <w:tmpl w:val="F3A49A42"/>
    <w:lvl w:ilvl="0" w:tplc="0C090017">
      <w:start w:val="1"/>
      <w:numFmt w:val="lowerLetter"/>
      <w:lvlText w:val="%1)"/>
      <w:lvlJc w:val="left"/>
      <w:pPr>
        <w:ind w:left="788" w:hanging="360"/>
      </w:pPr>
    </w:lvl>
    <w:lvl w:ilvl="1" w:tplc="0C090019">
      <w:start w:val="1"/>
      <w:numFmt w:val="lowerLetter"/>
      <w:lvlText w:val="%2."/>
      <w:lvlJc w:val="left"/>
      <w:pPr>
        <w:ind w:left="1508" w:hanging="360"/>
      </w:pPr>
    </w:lvl>
    <w:lvl w:ilvl="2" w:tplc="0C09001B" w:tentative="1">
      <w:start w:val="1"/>
      <w:numFmt w:val="lowerRoman"/>
      <w:lvlText w:val="%3."/>
      <w:lvlJc w:val="right"/>
      <w:pPr>
        <w:ind w:left="2228" w:hanging="180"/>
      </w:pPr>
    </w:lvl>
    <w:lvl w:ilvl="3" w:tplc="0C09000F">
      <w:start w:val="1"/>
      <w:numFmt w:val="decimal"/>
      <w:lvlText w:val="%4."/>
      <w:lvlJc w:val="left"/>
      <w:pPr>
        <w:ind w:left="2948" w:hanging="360"/>
      </w:pPr>
    </w:lvl>
    <w:lvl w:ilvl="4" w:tplc="0C090019" w:tentative="1">
      <w:start w:val="1"/>
      <w:numFmt w:val="lowerLetter"/>
      <w:lvlText w:val="%5."/>
      <w:lvlJc w:val="left"/>
      <w:pPr>
        <w:ind w:left="3668" w:hanging="360"/>
      </w:pPr>
    </w:lvl>
    <w:lvl w:ilvl="5" w:tplc="0C09001B" w:tentative="1">
      <w:start w:val="1"/>
      <w:numFmt w:val="lowerRoman"/>
      <w:lvlText w:val="%6."/>
      <w:lvlJc w:val="right"/>
      <w:pPr>
        <w:ind w:left="4388" w:hanging="180"/>
      </w:pPr>
    </w:lvl>
    <w:lvl w:ilvl="6" w:tplc="0C09000F" w:tentative="1">
      <w:start w:val="1"/>
      <w:numFmt w:val="decimal"/>
      <w:lvlText w:val="%7."/>
      <w:lvlJc w:val="left"/>
      <w:pPr>
        <w:ind w:left="5108" w:hanging="360"/>
      </w:pPr>
    </w:lvl>
    <w:lvl w:ilvl="7" w:tplc="0C090019" w:tentative="1">
      <w:start w:val="1"/>
      <w:numFmt w:val="lowerLetter"/>
      <w:lvlText w:val="%8."/>
      <w:lvlJc w:val="left"/>
      <w:pPr>
        <w:ind w:left="5828" w:hanging="360"/>
      </w:pPr>
    </w:lvl>
    <w:lvl w:ilvl="8" w:tplc="0C09001B" w:tentative="1">
      <w:start w:val="1"/>
      <w:numFmt w:val="lowerRoman"/>
      <w:lvlText w:val="%9."/>
      <w:lvlJc w:val="right"/>
      <w:pPr>
        <w:ind w:left="6548" w:hanging="180"/>
      </w:pPr>
    </w:lvl>
  </w:abstractNum>
  <w:abstractNum w:abstractNumId="21" w15:restartNumberingAfterBreak="0">
    <w:nsid w:val="13DB7B0B"/>
    <w:multiLevelType w:val="hybridMultilevel"/>
    <w:tmpl w:val="0A50D864"/>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4703BF9"/>
    <w:multiLevelType w:val="hybridMultilevel"/>
    <w:tmpl w:val="237A4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579747A"/>
    <w:multiLevelType w:val="multilevel"/>
    <w:tmpl w:val="9FB8ED98"/>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0" w:firstLine="0"/>
      </w:pPr>
      <w:rPr>
        <w:rFonts w:hint="default"/>
      </w:rPr>
    </w:lvl>
    <w:lvl w:ilvl="2">
      <w:start w:val="1"/>
      <w:numFmt w:val="lowerRoman"/>
      <w:lvlRestart w:val="0"/>
      <w:pStyle w:val="ExecChartCaption"/>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4" w15:restartNumberingAfterBreak="0">
    <w:nsid w:val="17EA2BCB"/>
    <w:multiLevelType w:val="hybridMultilevel"/>
    <w:tmpl w:val="456E085A"/>
    <w:lvl w:ilvl="0" w:tplc="3FDAE04C">
      <w:start w:val="1"/>
      <w:numFmt w:val="decimal"/>
      <w:pStyle w:val="ListNumb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26" w15:restartNumberingAfterBreak="0">
    <w:nsid w:val="1A167020"/>
    <w:multiLevelType w:val="hybridMultilevel"/>
    <w:tmpl w:val="D86E9AA6"/>
    <w:lvl w:ilvl="0" w:tplc="0C090001">
      <w:start w:val="1"/>
      <w:numFmt w:val="bullet"/>
      <w:lvlText w:val=""/>
      <w:lvlJc w:val="left"/>
      <w:pPr>
        <w:ind w:left="720" w:hanging="360"/>
      </w:pPr>
      <w:rPr>
        <w:rFonts w:ascii="Symbol" w:hAnsi="Symbol" w:hint="default"/>
      </w:rPr>
    </w:lvl>
    <w:lvl w:ilvl="1" w:tplc="64CA100E">
      <w:numFmt w:val="bullet"/>
      <w:lvlText w:val="•"/>
      <w:lvlJc w:val="left"/>
      <w:pPr>
        <w:ind w:left="1440" w:hanging="360"/>
      </w:pPr>
      <w:rPr>
        <w:rFonts w:ascii="Verdana" w:eastAsiaTheme="minorHAnsi" w:hAnsi="Verdana"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B2F0D23"/>
    <w:multiLevelType w:val="hybridMultilevel"/>
    <w:tmpl w:val="9FA64742"/>
    <w:lvl w:ilvl="0" w:tplc="BA34CB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1BDB57B0"/>
    <w:multiLevelType w:val="hybridMultilevel"/>
    <w:tmpl w:val="88FE09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EE2010"/>
    <w:multiLevelType w:val="hybridMultilevel"/>
    <w:tmpl w:val="309E682A"/>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0C97AE8"/>
    <w:multiLevelType w:val="hybridMultilevel"/>
    <w:tmpl w:val="CEB80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0D53B28"/>
    <w:multiLevelType w:val="hybridMultilevel"/>
    <w:tmpl w:val="3C54B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3AF1FC6"/>
    <w:multiLevelType w:val="hybridMultilevel"/>
    <w:tmpl w:val="35E05E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25E87F7A"/>
    <w:multiLevelType w:val="hybridMultilevel"/>
    <w:tmpl w:val="6AEC55A4"/>
    <w:lvl w:ilvl="0" w:tplc="0C090001">
      <w:start w:val="1"/>
      <w:numFmt w:val="bullet"/>
      <w:lvlText w:val=""/>
      <w:lvlJc w:val="left"/>
      <w:pPr>
        <w:ind w:left="417" w:hanging="360"/>
      </w:pPr>
      <w:rPr>
        <w:rFonts w:ascii="Symbol" w:hAnsi="Symbol" w:hint="default"/>
      </w:rPr>
    </w:lvl>
    <w:lvl w:ilvl="1" w:tplc="0C090003">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4" w15:restartNumberingAfterBreak="0">
    <w:nsid w:val="27AA5CC3"/>
    <w:multiLevelType w:val="hybridMultilevel"/>
    <w:tmpl w:val="D098D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A9C543C"/>
    <w:multiLevelType w:val="hybridMultilevel"/>
    <w:tmpl w:val="82A0A5F8"/>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B71470E"/>
    <w:multiLevelType w:val="hybridMultilevel"/>
    <w:tmpl w:val="3162F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38" w15:restartNumberingAfterBreak="0">
    <w:nsid w:val="2CD806EF"/>
    <w:multiLevelType w:val="hybridMultilevel"/>
    <w:tmpl w:val="4AE8013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2CDD4567"/>
    <w:multiLevelType w:val="hybridMultilevel"/>
    <w:tmpl w:val="B82630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2E3720D3"/>
    <w:multiLevelType w:val="hybridMultilevel"/>
    <w:tmpl w:val="89CCBA9E"/>
    <w:lvl w:ilvl="0" w:tplc="FFFFFFFF">
      <w:start w:val="1"/>
      <w:numFmt w:val="decimal"/>
      <w:lvlText w:val="%1."/>
      <w:lvlJc w:val="left"/>
      <w:pPr>
        <w:ind w:left="588" w:hanging="360"/>
      </w:pPr>
      <w:rPr>
        <w:rFonts w:hint="default"/>
      </w:rPr>
    </w:lvl>
    <w:lvl w:ilvl="1" w:tplc="0C090003" w:tentative="1">
      <w:start w:val="1"/>
      <w:numFmt w:val="bullet"/>
      <w:lvlText w:val="o"/>
      <w:lvlJc w:val="left"/>
      <w:pPr>
        <w:ind w:left="1308" w:hanging="360"/>
      </w:pPr>
      <w:rPr>
        <w:rFonts w:ascii="Courier New" w:hAnsi="Courier New" w:cs="Courier New" w:hint="default"/>
      </w:rPr>
    </w:lvl>
    <w:lvl w:ilvl="2" w:tplc="0C090005" w:tentative="1">
      <w:start w:val="1"/>
      <w:numFmt w:val="bullet"/>
      <w:lvlText w:val=""/>
      <w:lvlJc w:val="left"/>
      <w:pPr>
        <w:ind w:left="2028" w:hanging="360"/>
      </w:pPr>
      <w:rPr>
        <w:rFonts w:ascii="Wingdings" w:hAnsi="Wingdings" w:hint="default"/>
      </w:rPr>
    </w:lvl>
    <w:lvl w:ilvl="3" w:tplc="0C090001" w:tentative="1">
      <w:start w:val="1"/>
      <w:numFmt w:val="bullet"/>
      <w:lvlText w:val=""/>
      <w:lvlJc w:val="left"/>
      <w:pPr>
        <w:ind w:left="2748" w:hanging="360"/>
      </w:pPr>
      <w:rPr>
        <w:rFonts w:ascii="Symbol" w:hAnsi="Symbol" w:hint="default"/>
      </w:rPr>
    </w:lvl>
    <w:lvl w:ilvl="4" w:tplc="0C090003" w:tentative="1">
      <w:start w:val="1"/>
      <w:numFmt w:val="bullet"/>
      <w:lvlText w:val="o"/>
      <w:lvlJc w:val="left"/>
      <w:pPr>
        <w:ind w:left="3468" w:hanging="360"/>
      </w:pPr>
      <w:rPr>
        <w:rFonts w:ascii="Courier New" w:hAnsi="Courier New" w:cs="Courier New" w:hint="default"/>
      </w:rPr>
    </w:lvl>
    <w:lvl w:ilvl="5" w:tplc="0C090005" w:tentative="1">
      <w:start w:val="1"/>
      <w:numFmt w:val="bullet"/>
      <w:lvlText w:val=""/>
      <w:lvlJc w:val="left"/>
      <w:pPr>
        <w:ind w:left="4188" w:hanging="360"/>
      </w:pPr>
      <w:rPr>
        <w:rFonts w:ascii="Wingdings" w:hAnsi="Wingdings" w:hint="default"/>
      </w:rPr>
    </w:lvl>
    <w:lvl w:ilvl="6" w:tplc="0C090001" w:tentative="1">
      <w:start w:val="1"/>
      <w:numFmt w:val="bullet"/>
      <w:lvlText w:val=""/>
      <w:lvlJc w:val="left"/>
      <w:pPr>
        <w:ind w:left="4908" w:hanging="360"/>
      </w:pPr>
      <w:rPr>
        <w:rFonts w:ascii="Symbol" w:hAnsi="Symbol" w:hint="default"/>
      </w:rPr>
    </w:lvl>
    <w:lvl w:ilvl="7" w:tplc="0C090003" w:tentative="1">
      <w:start w:val="1"/>
      <w:numFmt w:val="bullet"/>
      <w:lvlText w:val="o"/>
      <w:lvlJc w:val="left"/>
      <w:pPr>
        <w:ind w:left="5628" w:hanging="360"/>
      </w:pPr>
      <w:rPr>
        <w:rFonts w:ascii="Courier New" w:hAnsi="Courier New" w:cs="Courier New" w:hint="default"/>
      </w:rPr>
    </w:lvl>
    <w:lvl w:ilvl="8" w:tplc="0C090005" w:tentative="1">
      <w:start w:val="1"/>
      <w:numFmt w:val="bullet"/>
      <w:lvlText w:val=""/>
      <w:lvlJc w:val="left"/>
      <w:pPr>
        <w:ind w:left="6348" w:hanging="360"/>
      </w:pPr>
      <w:rPr>
        <w:rFonts w:ascii="Wingdings" w:hAnsi="Wingdings" w:hint="default"/>
      </w:rPr>
    </w:lvl>
  </w:abstractNum>
  <w:abstractNum w:abstractNumId="41" w15:restartNumberingAfterBreak="0">
    <w:nsid w:val="2EE716BF"/>
    <w:multiLevelType w:val="hybridMultilevel"/>
    <w:tmpl w:val="3260E2F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128055D"/>
    <w:multiLevelType w:val="hybridMultilevel"/>
    <w:tmpl w:val="DF86A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31F52E35"/>
    <w:multiLevelType w:val="singleLevel"/>
    <w:tmpl w:val="0C090001"/>
    <w:lvl w:ilvl="0">
      <w:start w:val="1"/>
      <w:numFmt w:val="bullet"/>
      <w:lvlText w:val=""/>
      <w:lvlJc w:val="left"/>
      <w:pPr>
        <w:ind w:left="720" w:hanging="360"/>
      </w:pPr>
      <w:rPr>
        <w:rFonts w:ascii="Symbol" w:hAnsi="Symbol" w:hint="default"/>
        <w:color w:val="BFBFBF"/>
        <w:sz w:val="56"/>
      </w:rPr>
    </w:lvl>
  </w:abstractNum>
  <w:abstractNum w:abstractNumId="44" w15:restartNumberingAfterBreak="0">
    <w:nsid w:val="357F1786"/>
    <w:multiLevelType w:val="hybridMultilevel"/>
    <w:tmpl w:val="BA04CA46"/>
    <w:lvl w:ilvl="0" w:tplc="761478EE">
      <w:start w:val="1"/>
      <w:numFmt w:val="bullet"/>
      <w:pStyle w:val="ListBullet2"/>
      <w:lvlText w:val="─"/>
      <w:lvlJc w:val="left"/>
      <w:pPr>
        <w:ind w:left="700" w:hanging="360"/>
      </w:pPr>
      <w:rPr>
        <w:rFonts w:ascii="Calibri Light" w:hAnsi="Calibri Light" w:hint="default"/>
      </w:rPr>
    </w:lvl>
    <w:lvl w:ilvl="1" w:tplc="0C090003" w:tentative="1">
      <w:start w:val="1"/>
      <w:numFmt w:val="bullet"/>
      <w:lvlText w:val="o"/>
      <w:lvlJc w:val="left"/>
      <w:pPr>
        <w:ind w:left="1725" w:hanging="360"/>
      </w:pPr>
      <w:rPr>
        <w:rFonts w:ascii="Courier New" w:hAnsi="Courier New" w:cs="Courier New" w:hint="default"/>
      </w:rPr>
    </w:lvl>
    <w:lvl w:ilvl="2" w:tplc="0C090005" w:tentative="1">
      <w:start w:val="1"/>
      <w:numFmt w:val="bullet"/>
      <w:lvlText w:val=""/>
      <w:lvlJc w:val="left"/>
      <w:pPr>
        <w:ind w:left="2445" w:hanging="360"/>
      </w:pPr>
      <w:rPr>
        <w:rFonts w:ascii="Wingdings" w:hAnsi="Wingdings" w:hint="default"/>
      </w:rPr>
    </w:lvl>
    <w:lvl w:ilvl="3" w:tplc="0C090001" w:tentative="1">
      <w:start w:val="1"/>
      <w:numFmt w:val="bullet"/>
      <w:lvlText w:val=""/>
      <w:lvlJc w:val="left"/>
      <w:pPr>
        <w:ind w:left="3165" w:hanging="360"/>
      </w:pPr>
      <w:rPr>
        <w:rFonts w:ascii="Symbol" w:hAnsi="Symbol" w:hint="default"/>
      </w:rPr>
    </w:lvl>
    <w:lvl w:ilvl="4" w:tplc="0C090003" w:tentative="1">
      <w:start w:val="1"/>
      <w:numFmt w:val="bullet"/>
      <w:lvlText w:val="o"/>
      <w:lvlJc w:val="left"/>
      <w:pPr>
        <w:ind w:left="3885" w:hanging="360"/>
      </w:pPr>
      <w:rPr>
        <w:rFonts w:ascii="Courier New" w:hAnsi="Courier New" w:cs="Courier New" w:hint="default"/>
      </w:rPr>
    </w:lvl>
    <w:lvl w:ilvl="5" w:tplc="0C090005" w:tentative="1">
      <w:start w:val="1"/>
      <w:numFmt w:val="bullet"/>
      <w:lvlText w:val=""/>
      <w:lvlJc w:val="left"/>
      <w:pPr>
        <w:ind w:left="4605" w:hanging="360"/>
      </w:pPr>
      <w:rPr>
        <w:rFonts w:ascii="Wingdings" w:hAnsi="Wingdings" w:hint="default"/>
      </w:rPr>
    </w:lvl>
    <w:lvl w:ilvl="6" w:tplc="0C090001" w:tentative="1">
      <w:start w:val="1"/>
      <w:numFmt w:val="bullet"/>
      <w:lvlText w:val=""/>
      <w:lvlJc w:val="left"/>
      <w:pPr>
        <w:ind w:left="5325" w:hanging="360"/>
      </w:pPr>
      <w:rPr>
        <w:rFonts w:ascii="Symbol" w:hAnsi="Symbol" w:hint="default"/>
      </w:rPr>
    </w:lvl>
    <w:lvl w:ilvl="7" w:tplc="0C090003" w:tentative="1">
      <w:start w:val="1"/>
      <w:numFmt w:val="bullet"/>
      <w:lvlText w:val="o"/>
      <w:lvlJc w:val="left"/>
      <w:pPr>
        <w:ind w:left="6045" w:hanging="360"/>
      </w:pPr>
      <w:rPr>
        <w:rFonts w:ascii="Courier New" w:hAnsi="Courier New" w:cs="Courier New" w:hint="default"/>
      </w:rPr>
    </w:lvl>
    <w:lvl w:ilvl="8" w:tplc="0C090005" w:tentative="1">
      <w:start w:val="1"/>
      <w:numFmt w:val="bullet"/>
      <w:lvlText w:val=""/>
      <w:lvlJc w:val="left"/>
      <w:pPr>
        <w:ind w:left="6765" w:hanging="360"/>
      </w:pPr>
      <w:rPr>
        <w:rFonts w:ascii="Wingdings" w:hAnsi="Wingdings" w:hint="default"/>
      </w:rPr>
    </w:lvl>
  </w:abstractNum>
  <w:abstractNum w:abstractNumId="45" w15:restartNumberingAfterBreak="0">
    <w:nsid w:val="35DA2B6D"/>
    <w:multiLevelType w:val="hybridMultilevel"/>
    <w:tmpl w:val="71FEA1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99E0EBB"/>
    <w:multiLevelType w:val="hybridMultilevel"/>
    <w:tmpl w:val="8BD609F6"/>
    <w:lvl w:ilvl="0" w:tplc="58D20B22">
      <w:start w:val="3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D121283"/>
    <w:multiLevelType w:val="hybridMultilevel"/>
    <w:tmpl w:val="BFCEF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DC45B8D"/>
    <w:multiLevelType w:val="hybridMultilevel"/>
    <w:tmpl w:val="E72416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3DDE3E09"/>
    <w:multiLevelType w:val="hybridMultilevel"/>
    <w:tmpl w:val="248C81F4"/>
    <w:lvl w:ilvl="0" w:tplc="5EC6308A">
      <w:start w:val="1"/>
      <w:numFmt w:val="bullet"/>
      <w:lvlText w:val="−"/>
      <w:lvlJc w:val="left"/>
      <w:pPr>
        <w:ind w:left="1080" w:hanging="360"/>
      </w:pPr>
      <w:rPr>
        <w:rFonts w:ascii="Century Gothic" w:hAnsi="Century Gothic"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3DFA6BCE"/>
    <w:multiLevelType w:val="hybridMultilevel"/>
    <w:tmpl w:val="0EB243E2"/>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51" w15:restartNumberingAfterBreak="0">
    <w:nsid w:val="3FAD01D2"/>
    <w:multiLevelType w:val="multilevel"/>
    <w:tmpl w:val="41CC7BC8"/>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color w:val="007CB0"/>
        <w:sz w:val="22"/>
        <w:szCs w:val="22"/>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52" w15:restartNumberingAfterBreak="0">
    <w:nsid w:val="405F4842"/>
    <w:multiLevelType w:val="multilevel"/>
    <w:tmpl w:val="2F9CB9EC"/>
    <w:lvl w:ilvl="0">
      <w:start w:val="1"/>
      <w:numFmt w:val="bullet"/>
      <w:lvlText w:val="–"/>
      <w:lvlJc w:val="left"/>
      <w:pPr>
        <w:ind w:left="907"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53" w15:restartNumberingAfterBreak="0">
    <w:nsid w:val="421C7592"/>
    <w:multiLevelType w:val="hybridMultilevel"/>
    <w:tmpl w:val="4DD0B4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2D479BD"/>
    <w:multiLevelType w:val="hybridMultilevel"/>
    <w:tmpl w:val="61568C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3A7151D"/>
    <w:multiLevelType w:val="hybridMultilevel"/>
    <w:tmpl w:val="E26CE3A2"/>
    <w:lvl w:ilvl="0" w:tplc="0C09001B">
      <w:start w:val="1"/>
      <w:numFmt w:val="lowerRoman"/>
      <w:lvlText w:val="%1."/>
      <w:lvlJc w:val="righ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451578A7"/>
    <w:multiLevelType w:val="multilevel"/>
    <w:tmpl w:val="1356211C"/>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57"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5A161F3"/>
    <w:multiLevelType w:val="hybridMultilevel"/>
    <w:tmpl w:val="0A5A6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46667B9D"/>
    <w:multiLevelType w:val="hybridMultilevel"/>
    <w:tmpl w:val="23EED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A277A14"/>
    <w:multiLevelType w:val="hybridMultilevel"/>
    <w:tmpl w:val="01BCD97A"/>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4B4B3D17"/>
    <w:multiLevelType w:val="hybridMultilevel"/>
    <w:tmpl w:val="34CA82A4"/>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CBE4DD5"/>
    <w:multiLevelType w:val="hybridMultilevel"/>
    <w:tmpl w:val="4A340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D492C13"/>
    <w:multiLevelType w:val="hybridMultilevel"/>
    <w:tmpl w:val="552E45F4"/>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4E0676C2"/>
    <w:multiLevelType w:val="hybridMultilevel"/>
    <w:tmpl w:val="FFFFFFFF"/>
    <w:styleLink w:val="Multipunch"/>
    <w:lvl w:ilvl="0" w:tplc="32343CC6">
      <w:start w:val="1"/>
      <w:numFmt w:val="bullet"/>
      <w:lvlText w:val=""/>
      <w:lvlJc w:val="left"/>
      <w:pPr>
        <w:ind w:left="720" w:hanging="360"/>
      </w:pPr>
      <w:rPr>
        <w:rFonts w:ascii="Symbol" w:hAnsi="Symbol" w:hint="default"/>
      </w:rPr>
    </w:lvl>
    <w:lvl w:ilvl="1" w:tplc="01CC543E">
      <w:start w:val="1"/>
      <w:numFmt w:val="bullet"/>
      <w:lvlText w:val="o"/>
      <w:lvlJc w:val="left"/>
      <w:pPr>
        <w:ind w:left="1440" w:hanging="360"/>
      </w:pPr>
      <w:rPr>
        <w:rFonts w:ascii="Courier New" w:hAnsi="Courier New" w:hint="default"/>
      </w:rPr>
    </w:lvl>
    <w:lvl w:ilvl="2" w:tplc="68F86A74">
      <w:start w:val="1"/>
      <w:numFmt w:val="bullet"/>
      <w:lvlText w:val=""/>
      <w:lvlJc w:val="left"/>
      <w:pPr>
        <w:ind w:left="2160" w:hanging="360"/>
      </w:pPr>
      <w:rPr>
        <w:rFonts w:ascii="Wingdings" w:hAnsi="Wingdings" w:hint="default"/>
      </w:rPr>
    </w:lvl>
    <w:lvl w:ilvl="3" w:tplc="6F463446">
      <w:start w:val="1"/>
      <w:numFmt w:val="bullet"/>
      <w:lvlText w:val=""/>
      <w:lvlJc w:val="left"/>
      <w:pPr>
        <w:ind w:left="2880" w:hanging="360"/>
      </w:pPr>
      <w:rPr>
        <w:rFonts w:ascii="Symbol" w:hAnsi="Symbol" w:hint="default"/>
      </w:rPr>
    </w:lvl>
    <w:lvl w:ilvl="4" w:tplc="ADA6270E">
      <w:start w:val="1"/>
      <w:numFmt w:val="bullet"/>
      <w:lvlText w:val="o"/>
      <w:lvlJc w:val="left"/>
      <w:pPr>
        <w:ind w:left="3600" w:hanging="360"/>
      </w:pPr>
      <w:rPr>
        <w:rFonts w:ascii="Courier New" w:hAnsi="Courier New" w:hint="default"/>
      </w:rPr>
    </w:lvl>
    <w:lvl w:ilvl="5" w:tplc="8902A8DA">
      <w:start w:val="1"/>
      <w:numFmt w:val="bullet"/>
      <w:lvlText w:val=""/>
      <w:lvlJc w:val="left"/>
      <w:pPr>
        <w:ind w:left="4320" w:hanging="360"/>
      </w:pPr>
      <w:rPr>
        <w:rFonts w:ascii="Wingdings" w:hAnsi="Wingdings" w:hint="default"/>
      </w:rPr>
    </w:lvl>
    <w:lvl w:ilvl="6" w:tplc="3D148BCE">
      <w:start w:val="1"/>
      <w:numFmt w:val="bullet"/>
      <w:lvlText w:val=""/>
      <w:lvlJc w:val="left"/>
      <w:pPr>
        <w:ind w:left="5040" w:hanging="360"/>
      </w:pPr>
      <w:rPr>
        <w:rFonts w:ascii="Symbol" w:hAnsi="Symbol" w:hint="default"/>
      </w:rPr>
    </w:lvl>
    <w:lvl w:ilvl="7" w:tplc="C52EEE44">
      <w:start w:val="1"/>
      <w:numFmt w:val="bullet"/>
      <w:lvlText w:val="o"/>
      <w:lvlJc w:val="left"/>
      <w:pPr>
        <w:ind w:left="5760" w:hanging="360"/>
      </w:pPr>
      <w:rPr>
        <w:rFonts w:ascii="Courier New" w:hAnsi="Courier New" w:hint="default"/>
      </w:rPr>
    </w:lvl>
    <w:lvl w:ilvl="8" w:tplc="53487E0E">
      <w:start w:val="1"/>
      <w:numFmt w:val="bullet"/>
      <w:lvlText w:val=""/>
      <w:lvlJc w:val="left"/>
      <w:pPr>
        <w:ind w:left="6480" w:hanging="360"/>
      </w:pPr>
      <w:rPr>
        <w:rFonts w:ascii="Wingdings" w:hAnsi="Wingdings" w:hint="default"/>
      </w:rPr>
    </w:lvl>
  </w:abstractNum>
  <w:abstractNum w:abstractNumId="67" w15:restartNumberingAfterBreak="0">
    <w:nsid w:val="5238772E"/>
    <w:multiLevelType w:val="hybridMultilevel"/>
    <w:tmpl w:val="08865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2E32729"/>
    <w:multiLevelType w:val="hybridMultilevel"/>
    <w:tmpl w:val="0ACE0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3C61763"/>
    <w:multiLevelType w:val="hybridMultilevel"/>
    <w:tmpl w:val="D6064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67F7BBA"/>
    <w:multiLevelType w:val="hybridMultilevel"/>
    <w:tmpl w:val="D55E1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7FC1788"/>
    <w:multiLevelType w:val="hybridMultilevel"/>
    <w:tmpl w:val="FB42D6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8BF7020"/>
    <w:multiLevelType w:val="hybridMultilevel"/>
    <w:tmpl w:val="94AAC9C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94D2643"/>
    <w:multiLevelType w:val="hybridMultilevel"/>
    <w:tmpl w:val="D606470E"/>
    <w:styleLink w:val="Multipunch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BEC26C6"/>
    <w:multiLevelType w:val="hybridMultilevel"/>
    <w:tmpl w:val="AD1EE9B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5" w15:restartNumberingAfterBreak="0">
    <w:nsid w:val="5C672CC3"/>
    <w:multiLevelType w:val="hybridMultilevel"/>
    <w:tmpl w:val="7046AF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5EA22791"/>
    <w:multiLevelType w:val="hybridMultilevel"/>
    <w:tmpl w:val="B4AA8846"/>
    <w:lvl w:ilvl="0" w:tplc="0C09000F">
      <w:start w:val="1"/>
      <w:numFmt w:val="decimal"/>
      <w:lvlText w:val="%1."/>
      <w:lvlJc w:val="left"/>
      <w:pPr>
        <w:ind w:left="788" w:hanging="360"/>
      </w:pPr>
    </w:lvl>
    <w:lvl w:ilvl="1" w:tplc="FFFFFFFF">
      <w:start w:val="1"/>
      <w:numFmt w:val="lowerLetter"/>
      <w:lvlText w:val="%2."/>
      <w:lvlJc w:val="left"/>
      <w:pPr>
        <w:ind w:left="1508" w:hanging="360"/>
      </w:pPr>
    </w:lvl>
    <w:lvl w:ilvl="2" w:tplc="FFFFFFFF">
      <w:start w:val="1"/>
      <w:numFmt w:val="lowerRoman"/>
      <w:lvlText w:val="%3."/>
      <w:lvlJc w:val="right"/>
      <w:pPr>
        <w:ind w:left="2228" w:hanging="180"/>
      </w:pPr>
    </w:lvl>
    <w:lvl w:ilvl="3" w:tplc="FFFFFFFF">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77"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78" w15:restartNumberingAfterBreak="0">
    <w:nsid w:val="6140285A"/>
    <w:multiLevelType w:val="hybridMultilevel"/>
    <w:tmpl w:val="88083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2F46508"/>
    <w:multiLevelType w:val="multilevel"/>
    <w:tmpl w:val="7B862A1A"/>
    <w:lvl w:ilvl="0">
      <w:start w:val="1"/>
      <w:numFmt w:val="bullet"/>
      <w:lvlText w:val="–"/>
      <w:lvlJc w:val="left"/>
      <w:pPr>
        <w:ind w:left="680" w:hanging="340"/>
      </w:pPr>
      <w:rPr>
        <w:rFonts w:ascii="Verdana" w:hAnsi="Verdana" w:hint="default"/>
      </w:rPr>
    </w:lvl>
    <w:lvl w:ilvl="1">
      <w:start w:val="1"/>
      <w:numFmt w:val="bullet"/>
      <w:lvlText w:val="−"/>
      <w:lvlJc w:val="left"/>
      <w:pPr>
        <w:ind w:left="1040" w:hanging="360"/>
      </w:pPr>
      <w:rPr>
        <w:rFonts w:ascii="Century Gothic" w:hAnsi="Century Gothic"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80" w15:restartNumberingAfterBreak="0">
    <w:nsid w:val="6C4C74EA"/>
    <w:multiLevelType w:val="hybridMultilevel"/>
    <w:tmpl w:val="FB4ACBD4"/>
    <w:lvl w:ilvl="0" w:tplc="FFFFFFFF">
      <w:start w:val="1"/>
      <w:numFmt w:val="decimal"/>
      <w:lvlText w:val="%1."/>
      <w:lvlJc w:val="left"/>
      <w:pPr>
        <w:ind w:left="720" w:hanging="360"/>
      </w:pPr>
      <w:rPr>
        <w:rFonts w:hint="default"/>
      </w:rPr>
    </w:lvl>
    <w:lvl w:ilvl="1" w:tplc="5EC6308A">
      <w:start w:val="1"/>
      <w:numFmt w:val="bullet"/>
      <w:lvlText w:val="−"/>
      <w:lvlJc w:val="left"/>
      <w:pPr>
        <w:ind w:left="1080" w:hanging="360"/>
      </w:pPr>
      <w:rPr>
        <w:rFonts w:ascii="Century Gothic" w:hAnsi="Century Gothic" w:hint="default"/>
      </w:rPr>
    </w:lvl>
    <w:lvl w:ilvl="2" w:tplc="0C090001">
      <w:start w:val="1"/>
      <w:numFmt w:val="bullet"/>
      <w:lvlText w:val=""/>
      <w:lvlJc w:val="left"/>
      <w:pPr>
        <w:ind w:left="720" w:hanging="360"/>
      </w:pPr>
      <w:rPr>
        <w:rFonts w:ascii="Symbol" w:hAnsi="Symbol" w:hint="default"/>
      </w:rPr>
    </w:lvl>
    <w:lvl w:ilvl="3" w:tplc="0C090001">
      <w:start w:val="1"/>
      <w:numFmt w:val="bullet"/>
      <w:lvlText w:val=""/>
      <w:lvlJc w:val="left"/>
      <w:pPr>
        <w:ind w:left="720" w:hanging="360"/>
      </w:pPr>
      <w:rPr>
        <w:rFonts w:ascii="Symbol" w:hAnsi="Symbol"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6EEC21D6"/>
    <w:multiLevelType w:val="hybridMultilevel"/>
    <w:tmpl w:val="775802F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82" w15:restartNumberingAfterBreak="0">
    <w:nsid w:val="6EF03765"/>
    <w:multiLevelType w:val="hybridMultilevel"/>
    <w:tmpl w:val="2BF6CEAE"/>
    <w:lvl w:ilvl="0" w:tplc="82D2512A">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3" w15:restartNumberingAfterBreak="0">
    <w:nsid w:val="6F986AA0"/>
    <w:multiLevelType w:val="hybridMultilevel"/>
    <w:tmpl w:val="B0C89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0454B63"/>
    <w:multiLevelType w:val="hybridMultilevel"/>
    <w:tmpl w:val="99166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3235248"/>
    <w:multiLevelType w:val="hybridMultilevel"/>
    <w:tmpl w:val="A0FC5E9C"/>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86" w15:restartNumberingAfterBreak="0">
    <w:nsid w:val="77693FC3"/>
    <w:multiLevelType w:val="multilevel"/>
    <w:tmpl w:val="0409001D"/>
    <w:styleLink w:val="Singlepunch1"/>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79D2692"/>
    <w:multiLevelType w:val="hybridMultilevel"/>
    <w:tmpl w:val="CCA68C14"/>
    <w:lvl w:ilvl="0" w:tplc="75F0FB0A">
      <w:start w:val="1"/>
      <w:numFmt w:val="bullet"/>
      <w:pStyle w:val="Surveyoptions"/>
      <w:lvlText w:val="o"/>
      <w:lvlJc w:val="left"/>
      <w:pPr>
        <w:ind w:left="1062" w:hanging="360"/>
      </w:pPr>
      <w:rPr>
        <w:rFonts w:ascii="Courier New" w:hAnsi="Courier New" w:cs="Courier New" w:hint="default"/>
      </w:rPr>
    </w:lvl>
    <w:lvl w:ilvl="1" w:tplc="0C090003" w:tentative="1">
      <w:start w:val="1"/>
      <w:numFmt w:val="bullet"/>
      <w:lvlText w:val="o"/>
      <w:lvlJc w:val="left"/>
      <w:pPr>
        <w:ind w:left="1782" w:hanging="360"/>
      </w:pPr>
      <w:rPr>
        <w:rFonts w:ascii="Courier New" w:hAnsi="Courier New" w:cs="Courier New" w:hint="default"/>
      </w:rPr>
    </w:lvl>
    <w:lvl w:ilvl="2" w:tplc="0C090005" w:tentative="1">
      <w:start w:val="1"/>
      <w:numFmt w:val="bullet"/>
      <w:lvlText w:val=""/>
      <w:lvlJc w:val="left"/>
      <w:pPr>
        <w:ind w:left="2502" w:hanging="360"/>
      </w:pPr>
      <w:rPr>
        <w:rFonts w:ascii="Wingdings" w:hAnsi="Wingdings" w:hint="default"/>
      </w:rPr>
    </w:lvl>
    <w:lvl w:ilvl="3" w:tplc="0C090001" w:tentative="1">
      <w:start w:val="1"/>
      <w:numFmt w:val="bullet"/>
      <w:lvlText w:val=""/>
      <w:lvlJc w:val="left"/>
      <w:pPr>
        <w:ind w:left="3222" w:hanging="360"/>
      </w:pPr>
      <w:rPr>
        <w:rFonts w:ascii="Symbol" w:hAnsi="Symbol" w:hint="default"/>
      </w:rPr>
    </w:lvl>
    <w:lvl w:ilvl="4" w:tplc="0C090003" w:tentative="1">
      <w:start w:val="1"/>
      <w:numFmt w:val="bullet"/>
      <w:lvlText w:val="o"/>
      <w:lvlJc w:val="left"/>
      <w:pPr>
        <w:ind w:left="3942" w:hanging="360"/>
      </w:pPr>
      <w:rPr>
        <w:rFonts w:ascii="Courier New" w:hAnsi="Courier New" w:cs="Courier New" w:hint="default"/>
      </w:rPr>
    </w:lvl>
    <w:lvl w:ilvl="5" w:tplc="0C090005" w:tentative="1">
      <w:start w:val="1"/>
      <w:numFmt w:val="bullet"/>
      <w:lvlText w:val=""/>
      <w:lvlJc w:val="left"/>
      <w:pPr>
        <w:ind w:left="4662" w:hanging="360"/>
      </w:pPr>
      <w:rPr>
        <w:rFonts w:ascii="Wingdings" w:hAnsi="Wingdings" w:hint="default"/>
      </w:rPr>
    </w:lvl>
    <w:lvl w:ilvl="6" w:tplc="0C090001" w:tentative="1">
      <w:start w:val="1"/>
      <w:numFmt w:val="bullet"/>
      <w:lvlText w:val=""/>
      <w:lvlJc w:val="left"/>
      <w:pPr>
        <w:ind w:left="5382" w:hanging="360"/>
      </w:pPr>
      <w:rPr>
        <w:rFonts w:ascii="Symbol" w:hAnsi="Symbol" w:hint="default"/>
      </w:rPr>
    </w:lvl>
    <w:lvl w:ilvl="7" w:tplc="0C090003" w:tentative="1">
      <w:start w:val="1"/>
      <w:numFmt w:val="bullet"/>
      <w:lvlText w:val="o"/>
      <w:lvlJc w:val="left"/>
      <w:pPr>
        <w:ind w:left="6102" w:hanging="360"/>
      </w:pPr>
      <w:rPr>
        <w:rFonts w:ascii="Courier New" w:hAnsi="Courier New" w:cs="Courier New" w:hint="default"/>
      </w:rPr>
    </w:lvl>
    <w:lvl w:ilvl="8" w:tplc="0C090005" w:tentative="1">
      <w:start w:val="1"/>
      <w:numFmt w:val="bullet"/>
      <w:lvlText w:val=""/>
      <w:lvlJc w:val="left"/>
      <w:pPr>
        <w:ind w:left="6822" w:hanging="360"/>
      </w:pPr>
      <w:rPr>
        <w:rFonts w:ascii="Wingdings" w:hAnsi="Wingdings" w:hint="default"/>
      </w:rPr>
    </w:lvl>
  </w:abstractNum>
  <w:abstractNum w:abstractNumId="88" w15:restartNumberingAfterBreak="0">
    <w:nsid w:val="7913114F"/>
    <w:multiLevelType w:val="hybridMultilevel"/>
    <w:tmpl w:val="E5188274"/>
    <w:lvl w:ilvl="0" w:tplc="F6E8DFDE">
      <w:start w:val="36"/>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9" w15:restartNumberingAfterBreak="0">
    <w:nsid w:val="7A240506"/>
    <w:multiLevelType w:val="hybridMultilevel"/>
    <w:tmpl w:val="E81E8BC2"/>
    <w:lvl w:ilvl="0" w:tplc="6A5A5F72">
      <w:start w:val="1"/>
      <w:numFmt w:val="bullet"/>
      <w:lvlText w:val="►"/>
      <w:lvlJc w:val="left"/>
      <w:pPr>
        <w:ind w:left="360" w:hanging="360"/>
      </w:pPr>
      <w:rPr>
        <w:rFonts w:ascii="Abadi" w:hAnsi="Abadi" w:hint="default"/>
      </w:rPr>
    </w:lvl>
    <w:lvl w:ilvl="1" w:tplc="5EC6308A">
      <w:start w:val="1"/>
      <w:numFmt w:val="bullet"/>
      <w:lvlText w:val="−"/>
      <w:lvlJc w:val="left"/>
      <w:pPr>
        <w:ind w:left="644" w:hanging="360"/>
      </w:pPr>
      <w:rPr>
        <w:rFonts w:ascii="Century Gothic" w:hAnsi="Century Gothic"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7CB3202B"/>
    <w:multiLevelType w:val="hybridMultilevel"/>
    <w:tmpl w:val="9C12E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CE077E6"/>
    <w:multiLevelType w:val="hybridMultilevel"/>
    <w:tmpl w:val="F03027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7E4148A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378778">
    <w:abstractNumId w:val="51"/>
  </w:num>
  <w:num w:numId="2" w16cid:durableId="1356810672">
    <w:abstractNumId w:val="56"/>
  </w:num>
  <w:num w:numId="3" w16cid:durableId="1780369086">
    <w:abstractNumId w:val="35"/>
  </w:num>
  <w:num w:numId="4" w16cid:durableId="48237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7041261">
    <w:abstractNumId w:val="82"/>
  </w:num>
  <w:num w:numId="6" w16cid:durableId="502279922">
    <w:abstractNumId w:val="28"/>
  </w:num>
  <w:num w:numId="7" w16cid:durableId="742138693">
    <w:abstractNumId w:val="83"/>
  </w:num>
  <w:num w:numId="8" w16cid:durableId="1412462790">
    <w:abstractNumId w:val="47"/>
  </w:num>
  <w:num w:numId="9" w16cid:durableId="1058090157">
    <w:abstractNumId w:val="13"/>
  </w:num>
  <w:num w:numId="10" w16cid:durableId="487865408">
    <w:abstractNumId w:val="30"/>
  </w:num>
  <w:num w:numId="11" w16cid:durableId="468936585">
    <w:abstractNumId w:val="17"/>
  </w:num>
  <w:num w:numId="12" w16cid:durableId="1080828406">
    <w:abstractNumId w:val="43"/>
  </w:num>
  <w:num w:numId="13" w16cid:durableId="920067750">
    <w:abstractNumId w:val="89"/>
  </w:num>
  <w:num w:numId="14" w16cid:durableId="282153353">
    <w:abstractNumId w:val="70"/>
  </w:num>
  <w:num w:numId="15" w16cid:durableId="1613169253">
    <w:abstractNumId w:val="62"/>
  </w:num>
  <w:num w:numId="16" w16cid:durableId="22675737">
    <w:abstractNumId w:val="22"/>
  </w:num>
  <w:num w:numId="17" w16cid:durableId="274800377">
    <w:abstractNumId w:val="14"/>
  </w:num>
  <w:num w:numId="18" w16cid:durableId="806244347">
    <w:abstractNumId w:val="9"/>
  </w:num>
  <w:num w:numId="19" w16cid:durableId="612984205">
    <w:abstractNumId w:val="19"/>
  </w:num>
  <w:num w:numId="20" w16cid:durableId="835271168">
    <w:abstractNumId w:val="78"/>
  </w:num>
  <w:num w:numId="21" w16cid:durableId="1333988861">
    <w:abstractNumId w:val="67"/>
  </w:num>
  <w:num w:numId="22" w16cid:durableId="1478187291">
    <w:abstractNumId w:val="36"/>
  </w:num>
  <w:num w:numId="23" w16cid:durableId="157812576">
    <w:abstractNumId w:val="15"/>
  </w:num>
  <w:num w:numId="24" w16cid:durableId="1773209419">
    <w:abstractNumId w:val="31"/>
  </w:num>
  <w:num w:numId="25" w16cid:durableId="983387539">
    <w:abstractNumId w:val="20"/>
  </w:num>
  <w:num w:numId="26" w16cid:durableId="74314313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7977701">
    <w:abstractNumId w:val="12"/>
  </w:num>
  <w:num w:numId="28" w16cid:durableId="1891185051">
    <w:abstractNumId w:val="91"/>
  </w:num>
  <w:num w:numId="29" w16cid:durableId="1468015503">
    <w:abstractNumId w:val="34"/>
  </w:num>
  <w:num w:numId="30" w16cid:durableId="1291090814">
    <w:abstractNumId w:val="21"/>
  </w:num>
  <w:num w:numId="31" w16cid:durableId="1785273407">
    <w:abstractNumId w:val="55"/>
  </w:num>
  <w:num w:numId="32" w16cid:durableId="1710370797">
    <w:abstractNumId w:val="7"/>
  </w:num>
  <w:num w:numId="33" w16cid:durableId="1502238617">
    <w:abstractNumId w:val="18"/>
  </w:num>
  <w:num w:numId="34" w16cid:durableId="1542472647">
    <w:abstractNumId w:val="5"/>
  </w:num>
  <w:num w:numId="35" w16cid:durableId="1875342124">
    <w:abstractNumId w:val="27"/>
  </w:num>
  <w:num w:numId="36" w16cid:durableId="1621649491">
    <w:abstractNumId w:val="32"/>
  </w:num>
  <w:num w:numId="37" w16cid:durableId="1813063222">
    <w:abstractNumId w:val="26"/>
  </w:num>
  <w:num w:numId="38" w16cid:durableId="638418765">
    <w:abstractNumId w:val="63"/>
  </w:num>
  <w:num w:numId="39" w16cid:durableId="1863937401">
    <w:abstractNumId w:val="71"/>
  </w:num>
  <w:num w:numId="40" w16cid:durableId="1351418923">
    <w:abstractNumId w:val="74"/>
  </w:num>
  <w:num w:numId="41" w16cid:durableId="12391220">
    <w:abstractNumId w:val="54"/>
  </w:num>
  <w:num w:numId="42" w16cid:durableId="1840732134">
    <w:abstractNumId w:val="69"/>
  </w:num>
  <w:num w:numId="43" w16cid:durableId="1167012252">
    <w:abstractNumId w:val="40"/>
  </w:num>
  <w:num w:numId="44" w16cid:durableId="266085956">
    <w:abstractNumId w:val="44"/>
  </w:num>
  <w:num w:numId="45" w16cid:durableId="84032761">
    <w:abstractNumId w:val="80"/>
  </w:num>
  <w:num w:numId="46" w16cid:durableId="651716793">
    <w:abstractNumId w:val="49"/>
  </w:num>
  <w:num w:numId="47" w16cid:durableId="1259633674">
    <w:abstractNumId w:val="79"/>
  </w:num>
  <w:num w:numId="48" w16cid:durableId="217978886">
    <w:abstractNumId w:val="53"/>
  </w:num>
  <w:num w:numId="49" w16cid:durableId="692413323">
    <w:abstractNumId w:val="16"/>
  </w:num>
  <w:num w:numId="50" w16cid:durableId="652300262">
    <w:abstractNumId w:val="76"/>
  </w:num>
  <w:num w:numId="51" w16cid:durableId="211818259">
    <w:abstractNumId w:val="6"/>
  </w:num>
  <w:num w:numId="52" w16cid:durableId="2095130071">
    <w:abstractNumId w:val="11"/>
  </w:num>
  <w:num w:numId="53" w16cid:durableId="74475369">
    <w:abstractNumId w:val="37"/>
  </w:num>
  <w:num w:numId="54" w16cid:durableId="461383107">
    <w:abstractNumId w:val="23"/>
  </w:num>
  <w:num w:numId="55" w16cid:durableId="1063526542">
    <w:abstractNumId w:val="25"/>
  </w:num>
  <w:num w:numId="56" w16cid:durableId="281814614">
    <w:abstractNumId w:val="3"/>
  </w:num>
  <w:num w:numId="57" w16cid:durableId="229653634">
    <w:abstractNumId w:val="2"/>
  </w:num>
  <w:num w:numId="58" w16cid:durableId="1963415674">
    <w:abstractNumId w:val="24"/>
  </w:num>
  <w:num w:numId="59" w16cid:durableId="467212435">
    <w:abstractNumId w:val="1"/>
  </w:num>
  <w:num w:numId="60" w16cid:durableId="2134249622">
    <w:abstractNumId w:val="0"/>
  </w:num>
  <w:num w:numId="61" w16cid:durableId="2087218589">
    <w:abstractNumId w:val="4"/>
  </w:num>
  <w:num w:numId="62" w16cid:durableId="954219107">
    <w:abstractNumId w:val="60"/>
  </w:num>
  <w:num w:numId="63" w16cid:durableId="1224607794">
    <w:abstractNumId w:val="87"/>
  </w:num>
  <w:num w:numId="64" w16cid:durableId="115297404">
    <w:abstractNumId w:val="57"/>
  </w:num>
  <w:num w:numId="65" w16cid:durableId="1934895727">
    <w:abstractNumId w:val="77"/>
  </w:num>
  <w:num w:numId="66" w16cid:durableId="1100956562">
    <w:abstractNumId w:val="8"/>
  </w:num>
  <w:num w:numId="67" w16cid:durableId="1356076167">
    <w:abstractNumId w:val="38"/>
  </w:num>
  <w:num w:numId="68" w16cid:durableId="1958442476">
    <w:abstractNumId w:val="50"/>
  </w:num>
  <w:num w:numId="69" w16cid:durableId="1094017097">
    <w:abstractNumId w:val="33"/>
  </w:num>
  <w:num w:numId="70" w16cid:durableId="349455415">
    <w:abstractNumId w:val="64"/>
  </w:num>
  <w:num w:numId="71" w16cid:durableId="1704359757">
    <w:abstractNumId w:val="41"/>
  </w:num>
  <w:num w:numId="72" w16cid:durableId="301733672">
    <w:abstractNumId w:val="61"/>
  </w:num>
  <w:num w:numId="73" w16cid:durableId="796223648">
    <w:abstractNumId w:val="29"/>
  </w:num>
  <w:num w:numId="74" w16cid:durableId="872153916">
    <w:abstractNumId w:val="42"/>
  </w:num>
  <w:num w:numId="75" w16cid:durableId="76293190">
    <w:abstractNumId w:val="48"/>
  </w:num>
  <w:num w:numId="76" w16cid:durableId="1131437288">
    <w:abstractNumId w:val="85"/>
  </w:num>
  <w:num w:numId="77" w16cid:durableId="905803809">
    <w:abstractNumId w:val="81"/>
  </w:num>
  <w:num w:numId="78" w16cid:durableId="1433361822">
    <w:abstractNumId w:val="24"/>
    <w:lvlOverride w:ilvl="0">
      <w:startOverride w:val="6"/>
    </w:lvlOverride>
  </w:num>
  <w:num w:numId="79" w16cid:durableId="606470387">
    <w:abstractNumId w:val="10"/>
  </w:num>
  <w:num w:numId="80" w16cid:durableId="59783817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46100093">
    <w:abstractNumId w:val="39"/>
  </w:num>
  <w:num w:numId="82" w16cid:durableId="664212200">
    <w:abstractNumId w:val="45"/>
  </w:num>
  <w:num w:numId="83" w16cid:durableId="154154412">
    <w:abstractNumId w:val="84"/>
  </w:num>
  <w:num w:numId="84" w16cid:durableId="1218472063">
    <w:abstractNumId w:val="90"/>
  </w:num>
  <w:num w:numId="85" w16cid:durableId="766316352">
    <w:abstractNumId w:val="72"/>
  </w:num>
  <w:num w:numId="86" w16cid:durableId="1872457005">
    <w:abstractNumId w:val="68"/>
  </w:num>
  <w:num w:numId="87" w16cid:durableId="1890266219">
    <w:abstractNumId w:val="59"/>
  </w:num>
  <w:num w:numId="88" w16cid:durableId="788158642">
    <w:abstractNumId w:val="86"/>
    <w:lvlOverride w:ilvl="0">
      <w:startOverride w:val="2"/>
    </w:lvlOverride>
  </w:num>
  <w:num w:numId="89" w16cid:durableId="640619125">
    <w:abstractNumId w:val="66"/>
  </w:num>
  <w:num w:numId="90" w16cid:durableId="1514029386">
    <w:abstractNumId w:val="75"/>
  </w:num>
  <w:num w:numId="91" w16cid:durableId="78871444">
    <w:abstractNumId w:val="58"/>
  </w:num>
  <w:num w:numId="92" w16cid:durableId="741759030">
    <w:abstractNumId w:val="92"/>
  </w:num>
  <w:num w:numId="93" w16cid:durableId="1500195522">
    <w:abstractNumId w:val="86"/>
  </w:num>
  <w:num w:numId="94" w16cid:durableId="581597898">
    <w:abstractNumId w:val="73"/>
  </w:num>
  <w:num w:numId="95" w16cid:durableId="1221208247">
    <w:abstractNumId w:val="46"/>
  </w:num>
  <w:num w:numId="96" w16cid:durableId="80565433">
    <w:abstractNumId w:val="8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PersonalInformation/>
  <w:removeDateAndTime/>
  <w:hideSpellingErrors/>
  <w:hideGrammaticalErrors/>
  <w:activeWritingStyle w:appName="MSWord" w:lang="fr-FR" w:vendorID="64" w:dllVersion="0"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defaultTabStop w:val="57"/>
  <w:hyphenationZone w:val="425"/>
  <w:characterSpacingControl w:val="doNotCompress"/>
  <w:hdrShapeDefaults>
    <o:shapedefaults v:ext="edit" spidmax="2050"/>
    <o:shapelayout v:ext="edit">
      <o:idmap v:ext="edit" data="1"/>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DCC"/>
    <w:rsid w:val="00000060"/>
    <w:rsid w:val="00000493"/>
    <w:rsid w:val="0000049F"/>
    <w:rsid w:val="0000050D"/>
    <w:rsid w:val="000005E2"/>
    <w:rsid w:val="000005FE"/>
    <w:rsid w:val="000007F3"/>
    <w:rsid w:val="000009B5"/>
    <w:rsid w:val="00000A03"/>
    <w:rsid w:val="00000A87"/>
    <w:rsid w:val="00000BCF"/>
    <w:rsid w:val="00000CA2"/>
    <w:rsid w:val="00000D7F"/>
    <w:rsid w:val="00000E45"/>
    <w:rsid w:val="00000FB1"/>
    <w:rsid w:val="000010A9"/>
    <w:rsid w:val="000010E7"/>
    <w:rsid w:val="0000114D"/>
    <w:rsid w:val="000011C6"/>
    <w:rsid w:val="000011D8"/>
    <w:rsid w:val="00001442"/>
    <w:rsid w:val="0000147F"/>
    <w:rsid w:val="00001753"/>
    <w:rsid w:val="000017DD"/>
    <w:rsid w:val="00001853"/>
    <w:rsid w:val="000018C0"/>
    <w:rsid w:val="0000190D"/>
    <w:rsid w:val="00001936"/>
    <w:rsid w:val="00001BE6"/>
    <w:rsid w:val="00001C48"/>
    <w:rsid w:val="00001C9C"/>
    <w:rsid w:val="00001E4D"/>
    <w:rsid w:val="00001E6D"/>
    <w:rsid w:val="00001E81"/>
    <w:rsid w:val="00001EE3"/>
    <w:rsid w:val="00001FFF"/>
    <w:rsid w:val="0000210A"/>
    <w:rsid w:val="000021E9"/>
    <w:rsid w:val="00002331"/>
    <w:rsid w:val="00002447"/>
    <w:rsid w:val="00002564"/>
    <w:rsid w:val="00002646"/>
    <w:rsid w:val="00002783"/>
    <w:rsid w:val="00002AED"/>
    <w:rsid w:val="00002B73"/>
    <w:rsid w:val="00002BC1"/>
    <w:rsid w:val="00002C41"/>
    <w:rsid w:val="00002C4C"/>
    <w:rsid w:val="00002CF5"/>
    <w:rsid w:val="00002D15"/>
    <w:rsid w:val="00002DAC"/>
    <w:rsid w:val="00002E66"/>
    <w:rsid w:val="00002ECC"/>
    <w:rsid w:val="00002F63"/>
    <w:rsid w:val="00002F7E"/>
    <w:rsid w:val="000030D2"/>
    <w:rsid w:val="00003119"/>
    <w:rsid w:val="00003352"/>
    <w:rsid w:val="000033B2"/>
    <w:rsid w:val="000033E7"/>
    <w:rsid w:val="0000340F"/>
    <w:rsid w:val="00003425"/>
    <w:rsid w:val="00003518"/>
    <w:rsid w:val="0000355F"/>
    <w:rsid w:val="0000358B"/>
    <w:rsid w:val="000035D1"/>
    <w:rsid w:val="000035EA"/>
    <w:rsid w:val="000036BD"/>
    <w:rsid w:val="00003735"/>
    <w:rsid w:val="0000384B"/>
    <w:rsid w:val="00003876"/>
    <w:rsid w:val="0000394C"/>
    <w:rsid w:val="00003993"/>
    <w:rsid w:val="000039E8"/>
    <w:rsid w:val="00003BBC"/>
    <w:rsid w:val="00003C64"/>
    <w:rsid w:val="00003D3C"/>
    <w:rsid w:val="00003DA3"/>
    <w:rsid w:val="00003DF9"/>
    <w:rsid w:val="00003E4E"/>
    <w:rsid w:val="0000408D"/>
    <w:rsid w:val="000042D7"/>
    <w:rsid w:val="00004340"/>
    <w:rsid w:val="00004447"/>
    <w:rsid w:val="000044F3"/>
    <w:rsid w:val="00004500"/>
    <w:rsid w:val="00004538"/>
    <w:rsid w:val="000045A1"/>
    <w:rsid w:val="000046A7"/>
    <w:rsid w:val="00004707"/>
    <w:rsid w:val="0000472E"/>
    <w:rsid w:val="00004987"/>
    <w:rsid w:val="00004A70"/>
    <w:rsid w:val="00004B65"/>
    <w:rsid w:val="00004CED"/>
    <w:rsid w:val="00004D1C"/>
    <w:rsid w:val="00004DB0"/>
    <w:rsid w:val="00004E41"/>
    <w:rsid w:val="00004E5E"/>
    <w:rsid w:val="00004EB1"/>
    <w:rsid w:val="00004F08"/>
    <w:rsid w:val="00004F19"/>
    <w:rsid w:val="00004F3C"/>
    <w:rsid w:val="00004F58"/>
    <w:rsid w:val="00004FD4"/>
    <w:rsid w:val="000051CC"/>
    <w:rsid w:val="0000529D"/>
    <w:rsid w:val="00005506"/>
    <w:rsid w:val="000055E6"/>
    <w:rsid w:val="0000567F"/>
    <w:rsid w:val="000056FD"/>
    <w:rsid w:val="0000583D"/>
    <w:rsid w:val="00005899"/>
    <w:rsid w:val="000059C7"/>
    <w:rsid w:val="000059DA"/>
    <w:rsid w:val="00005A57"/>
    <w:rsid w:val="00005A78"/>
    <w:rsid w:val="00005AC5"/>
    <w:rsid w:val="00005B48"/>
    <w:rsid w:val="00005BC7"/>
    <w:rsid w:val="00005C1F"/>
    <w:rsid w:val="00005DA4"/>
    <w:rsid w:val="00005E66"/>
    <w:rsid w:val="00005F65"/>
    <w:rsid w:val="00005FC2"/>
    <w:rsid w:val="000060DA"/>
    <w:rsid w:val="000061C3"/>
    <w:rsid w:val="000062DA"/>
    <w:rsid w:val="000063C9"/>
    <w:rsid w:val="0000640D"/>
    <w:rsid w:val="000065F5"/>
    <w:rsid w:val="00006623"/>
    <w:rsid w:val="0000668A"/>
    <w:rsid w:val="00006730"/>
    <w:rsid w:val="00006764"/>
    <w:rsid w:val="000067D0"/>
    <w:rsid w:val="000067FF"/>
    <w:rsid w:val="00006844"/>
    <w:rsid w:val="00006A16"/>
    <w:rsid w:val="00006A8B"/>
    <w:rsid w:val="00006AFA"/>
    <w:rsid w:val="00006BB5"/>
    <w:rsid w:val="00006D5D"/>
    <w:rsid w:val="00006D83"/>
    <w:rsid w:val="00006E33"/>
    <w:rsid w:val="00006E58"/>
    <w:rsid w:val="00006EAD"/>
    <w:rsid w:val="00006F82"/>
    <w:rsid w:val="00006F9E"/>
    <w:rsid w:val="00006FCD"/>
    <w:rsid w:val="00007259"/>
    <w:rsid w:val="00007329"/>
    <w:rsid w:val="00007361"/>
    <w:rsid w:val="000073A8"/>
    <w:rsid w:val="000073E1"/>
    <w:rsid w:val="00007406"/>
    <w:rsid w:val="00007461"/>
    <w:rsid w:val="0000750F"/>
    <w:rsid w:val="00007565"/>
    <w:rsid w:val="00007590"/>
    <w:rsid w:val="000075D3"/>
    <w:rsid w:val="000075EA"/>
    <w:rsid w:val="00007689"/>
    <w:rsid w:val="000078B8"/>
    <w:rsid w:val="00007908"/>
    <w:rsid w:val="00007931"/>
    <w:rsid w:val="00007A09"/>
    <w:rsid w:val="00007A0B"/>
    <w:rsid w:val="00007A2E"/>
    <w:rsid w:val="00007B4E"/>
    <w:rsid w:val="00007B71"/>
    <w:rsid w:val="00007C30"/>
    <w:rsid w:val="00007D23"/>
    <w:rsid w:val="00007D3D"/>
    <w:rsid w:val="00007DB3"/>
    <w:rsid w:val="00007DB9"/>
    <w:rsid w:val="00007E0C"/>
    <w:rsid w:val="00007F1A"/>
    <w:rsid w:val="00007F1D"/>
    <w:rsid w:val="00007F28"/>
    <w:rsid w:val="00007FF2"/>
    <w:rsid w:val="0000ACED"/>
    <w:rsid w:val="0001003C"/>
    <w:rsid w:val="0001008F"/>
    <w:rsid w:val="000100DF"/>
    <w:rsid w:val="000100F3"/>
    <w:rsid w:val="00010226"/>
    <w:rsid w:val="0001026B"/>
    <w:rsid w:val="00010467"/>
    <w:rsid w:val="000104DD"/>
    <w:rsid w:val="00010750"/>
    <w:rsid w:val="00010862"/>
    <w:rsid w:val="00010B0F"/>
    <w:rsid w:val="00010B1F"/>
    <w:rsid w:val="00010B76"/>
    <w:rsid w:val="00010B9B"/>
    <w:rsid w:val="00010C8C"/>
    <w:rsid w:val="00010CA7"/>
    <w:rsid w:val="00010CBC"/>
    <w:rsid w:val="00010D07"/>
    <w:rsid w:val="00010D4C"/>
    <w:rsid w:val="00010E41"/>
    <w:rsid w:val="00010E88"/>
    <w:rsid w:val="00010EE5"/>
    <w:rsid w:val="000111B8"/>
    <w:rsid w:val="00011221"/>
    <w:rsid w:val="000112CC"/>
    <w:rsid w:val="000112D2"/>
    <w:rsid w:val="000112EC"/>
    <w:rsid w:val="00011464"/>
    <w:rsid w:val="000114E9"/>
    <w:rsid w:val="000115C2"/>
    <w:rsid w:val="00011635"/>
    <w:rsid w:val="000116B0"/>
    <w:rsid w:val="00011942"/>
    <w:rsid w:val="00011977"/>
    <w:rsid w:val="00011AA8"/>
    <w:rsid w:val="00011AE3"/>
    <w:rsid w:val="00011DF4"/>
    <w:rsid w:val="00011F95"/>
    <w:rsid w:val="00012030"/>
    <w:rsid w:val="00012069"/>
    <w:rsid w:val="000120D4"/>
    <w:rsid w:val="000120EE"/>
    <w:rsid w:val="0001214D"/>
    <w:rsid w:val="0001217E"/>
    <w:rsid w:val="000121B9"/>
    <w:rsid w:val="00012342"/>
    <w:rsid w:val="0001237F"/>
    <w:rsid w:val="000123AD"/>
    <w:rsid w:val="0001246C"/>
    <w:rsid w:val="000124BB"/>
    <w:rsid w:val="0001251C"/>
    <w:rsid w:val="0001253E"/>
    <w:rsid w:val="00012541"/>
    <w:rsid w:val="0001265E"/>
    <w:rsid w:val="00012667"/>
    <w:rsid w:val="000127BB"/>
    <w:rsid w:val="000128E1"/>
    <w:rsid w:val="00012AC7"/>
    <w:rsid w:val="00012B77"/>
    <w:rsid w:val="00012D01"/>
    <w:rsid w:val="00012D7C"/>
    <w:rsid w:val="00012DED"/>
    <w:rsid w:val="00012E7C"/>
    <w:rsid w:val="00012F82"/>
    <w:rsid w:val="00012FA2"/>
    <w:rsid w:val="00013080"/>
    <w:rsid w:val="000130E4"/>
    <w:rsid w:val="00013166"/>
    <w:rsid w:val="000131A3"/>
    <w:rsid w:val="000131C5"/>
    <w:rsid w:val="0001328F"/>
    <w:rsid w:val="0001343A"/>
    <w:rsid w:val="0001343D"/>
    <w:rsid w:val="00013446"/>
    <w:rsid w:val="00013493"/>
    <w:rsid w:val="00013593"/>
    <w:rsid w:val="0001381F"/>
    <w:rsid w:val="0001392A"/>
    <w:rsid w:val="00013953"/>
    <w:rsid w:val="00013A48"/>
    <w:rsid w:val="00013A65"/>
    <w:rsid w:val="00013AF3"/>
    <w:rsid w:val="00013B61"/>
    <w:rsid w:val="00013B96"/>
    <w:rsid w:val="00013C3C"/>
    <w:rsid w:val="00013CB7"/>
    <w:rsid w:val="00013D63"/>
    <w:rsid w:val="00013DA7"/>
    <w:rsid w:val="00013E41"/>
    <w:rsid w:val="00013EE9"/>
    <w:rsid w:val="00013EF9"/>
    <w:rsid w:val="00013F22"/>
    <w:rsid w:val="00013F9E"/>
    <w:rsid w:val="00013FD5"/>
    <w:rsid w:val="000140A9"/>
    <w:rsid w:val="0001412F"/>
    <w:rsid w:val="0001428F"/>
    <w:rsid w:val="00014332"/>
    <w:rsid w:val="00014403"/>
    <w:rsid w:val="000144DE"/>
    <w:rsid w:val="00014595"/>
    <w:rsid w:val="0001470C"/>
    <w:rsid w:val="0001480F"/>
    <w:rsid w:val="0001486E"/>
    <w:rsid w:val="00014874"/>
    <w:rsid w:val="000148F9"/>
    <w:rsid w:val="0001494F"/>
    <w:rsid w:val="00014AB4"/>
    <w:rsid w:val="00014B47"/>
    <w:rsid w:val="00014B89"/>
    <w:rsid w:val="00014BFB"/>
    <w:rsid w:val="00014D3C"/>
    <w:rsid w:val="00014DC6"/>
    <w:rsid w:val="00014DED"/>
    <w:rsid w:val="00014EC9"/>
    <w:rsid w:val="00014F84"/>
    <w:rsid w:val="00014FED"/>
    <w:rsid w:val="00015065"/>
    <w:rsid w:val="0001508E"/>
    <w:rsid w:val="00015142"/>
    <w:rsid w:val="000151A6"/>
    <w:rsid w:val="00015307"/>
    <w:rsid w:val="00015420"/>
    <w:rsid w:val="000154E2"/>
    <w:rsid w:val="00015578"/>
    <w:rsid w:val="0001557A"/>
    <w:rsid w:val="0001562B"/>
    <w:rsid w:val="0001562E"/>
    <w:rsid w:val="00015786"/>
    <w:rsid w:val="000159B8"/>
    <w:rsid w:val="000159D3"/>
    <w:rsid w:val="00015AA2"/>
    <w:rsid w:val="00015B46"/>
    <w:rsid w:val="00015D2C"/>
    <w:rsid w:val="00015D4E"/>
    <w:rsid w:val="00015E42"/>
    <w:rsid w:val="00015E86"/>
    <w:rsid w:val="00015EB8"/>
    <w:rsid w:val="00015F32"/>
    <w:rsid w:val="00015F34"/>
    <w:rsid w:val="00015FE2"/>
    <w:rsid w:val="000160E7"/>
    <w:rsid w:val="00016437"/>
    <w:rsid w:val="0001643F"/>
    <w:rsid w:val="000166A7"/>
    <w:rsid w:val="0001678A"/>
    <w:rsid w:val="000167B1"/>
    <w:rsid w:val="000167EC"/>
    <w:rsid w:val="000168B2"/>
    <w:rsid w:val="00016933"/>
    <w:rsid w:val="00016AAA"/>
    <w:rsid w:val="00016B67"/>
    <w:rsid w:val="00016BE3"/>
    <w:rsid w:val="00016BF2"/>
    <w:rsid w:val="00016C03"/>
    <w:rsid w:val="00016C08"/>
    <w:rsid w:val="00016C2B"/>
    <w:rsid w:val="00016D60"/>
    <w:rsid w:val="00016DCD"/>
    <w:rsid w:val="00016DD1"/>
    <w:rsid w:val="00016E9C"/>
    <w:rsid w:val="00016F4A"/>
    <w:rsid w:val="0001706E"/>
    <w:rsid w:val="000170EA"/>
    <w:rsid w:val="00017136"/>
    <w:rsid w:val="00017250"/>
    <w:rsid w:val="000173B3"/>
    <w:rsid w:val="000174E9"/>
    <w:rsid w:val="000176E6"/>
    <w:rsid w:val="0001783D"/>
    <w:rsid w:val="000179DD"/>
    <w:rsid w:val="000179DF"/>
    <w:rsid w:val="00017A9D"/>
    <w:rsid w:val="00017AAF"/>
    <w:rsid w:val="00017C5C"/>
    <w:rsid w:val="00017C65"/>
    <w:rsid w:val="00017D2C"/>
    <w:rsid w:val="00017D39"/>
    <w:rsid w:val="00017D84"/>
    <w:rsid w:val="00017DB5"/>
    <w:rsid w:val="00017E7A"/>
    <w:rsid w:val="00020203"/>
    <w:rsid w:val="00020297"/>
    <w:rsid w:val="000202D1"/>
    <w:rsid w:val="0002036C"/>
    <w:rsid w:val="00020395"/>
    <w:rsid w:val="000204D5"/>
    <w:rsid w:val="0002053E"/>
    <w:rsid w:val="00020657"/>
    <w:rsid w:val="000207CC"/>
    <w:rsid w:val="000207D4"/>
    <w:rsid w:val="00020884"/>
    <w:rsid w:val="0002097B"/>
    <w:rsid w:val="0002099A"/>
    <w:rsid w:val="00020A1F"/>
    <w:rsid w:val="00020AAB"/>
    <w:rsid w:val="00020B4A"/>
    <w:rsid w:val="00020BB4"/>
    <w:rsid w:val="00020C70"/>
    <w:rsid w:val="00020D16"/>
    <w:rsid w:val="00020D44"/>
    <w:rsid w:val="00020D56"/>
    <w:rsid w:val="00020E8C"/>
    <w:rsid w:val="00020EBA"/>
    <w:rsid w:val="00021017"/>
    <w:rsid w:val="0002107C"/>
    <w:rsid w:val="000210B5"/>
    <w:rsid w:val="00021115"/>
    <w:rsid w:val="00021298"/>
    <w:rsid w:val="00021342"/>
    <w:rsid w:val="0002135F"/>
    <w:rsid w:val="000213AA"/>
    <w:rsid w:val="00021402"/>
    <w:rsid w:val="00021706"/>
    <w:rsid w:val="000217CF"/>
    <w:rsid w:val="000218DC"/>
    <w:rsid w:val="00021999"/>
    <w:rsid w:val="00021A39"/>
    <w:rsid w:val="00021A7A"/>
    <w:rsid w:val="00021C5E"/>
    <w:rsid w:val="00021CAE"/>
    <w:rsid w:val="00021D14"/>
    <w:rsid w:val="00021DF2"/>
    <w:rsid w:val="00021E4C"/>
    <w:rsid w:val="00021E57"/>
    <w:rsid w:val="00021E6A"/>
    <w:rsid w:val="00021F83"/>
    <w:rsid w:val="00022168"/>
    <w:rsid w:val="00022398"/>
    <w:rsid w:val="000224DE"/>
    <w:rsid w:val="00022541"/>
    <w:rsid w:val="00022832"/>
    <w:rsid w:val="00022851"/>
    <w:rsid w:val="000228F5"/>
    <w:rsid w:val="0002290B"/>
    <w:rsid w:val="0002292C"/>
    <w:rsid w:val="00022CBE"/>
    <w:rsid w:val="00022D20"/>
    <w:rsid w:val="00022D81"/>
    <w:rsid w:val="00022D89"/>
    <w:rsid w:val="00022E0F"/>
    <w:rsid w:val="00022ED7"/>
    <w:rsid w:val="00022F20"/>
    <w:rsid w:val="00022F6D"/>
    <w:rsid w:val="000230B8"/>
    <w:rsid w:val="00023129"/>
    <w:rsid w:val="00023169"/>
    <w:rsid w:val="00023192"/>
    <w:rsid w:val="000232BD"/>
    <w:rsid w:val="000233DC"/>
    <w:rsid w:val="00023477"/>
    <w:rsid w:val="000234AE"/>
    <w:rsid w:val="00023606"/>
    <w:rsid w:val="00023728"/>
    <w:rsid w:val="000237AE"/>
    <w:rsid w:val="0002380C"/>
    <w:rsid w:val="00023905"/>
    <w:rsid w:val="00023912"/>
    <w:rsid w:val="0002394A"/>
    <w:rsid w:val="000239A0"/>
    <w:rsid w:val="00023B5F"/>
    <w:rsid w:val="00023C77"/>
    <w:rsid w:val="00023CAF"/>
    <w:rsid w:val="00023E71"/>
    <w:rsid w:val="00023F14"/>
    <w:rsid w:val="00023F2D"/>
    <w:rsid w:val="00024066"/>
    <w:rsid w:val="00024079"/>
    <w:rsid w:val="00024121"/>
    <w:rsid w:val="00024160"/>
    <w:rsid w:val="0002425A"/>
    <w:rsid w:val="0002427F"/>
    <w:rsid w:val="0002435E"/>
    <w:rsid w:val="0002437B"/>
    <w:rsid w:val="000243BF"/>
    <w:rsid w:val="00024445"/>
    <w:rsid w:val="00024493"/>
    <w:rsid w:val="000244C1"/>
    <w:rsid w:val="00024603"/>
    <w:rsid w:val="0002465E"/>
    <w:rsid w:val="00024753"/>
    <w:rsid w:val="0002477A"/>
    <w:rsid w:val="0002479F"/>
    <w:rsid w:val="000247A3"/>
    <w:rsid w:val="000248FF"/>
    <w:rsid w:val="00024919"/>
    <w:rsid w:val="000249DB"/>
    <w:rsid w:val="00024A4F"/>
    <w:rsid w:val="00024CB3"/>
    <w:rsid w:val="00024CC5"/>
    <w:rsid w:val="00024D42"/>
    <w:rsid w:val="00024D46"/>
    <w:rsid w:val="00024D4B"/>
    <w:rsid w:val="00024F0C"/>
    <w:rsid w:val="00024F3D"/>
    <w:rsid w:val="00025041"/>
    <w:rsid w:val="0002507B"/>
    <w:rsid w:val="00025130"/>
    <w:rsid w:val="00025213"/>
    <w:rsid w:val="00025390"/>
    <w:rsid w:val="0002543D"/>
    <w:rsid w:val="00025466"/>
    <w:rsid w:val="00025467"/>
    <w:rsid w:val="0002557F"/>
    <w:rsid w:val="000256D3"/>
    <w:rsid w:val="0002577C"/>
    <w:rsid w:val="0002584C"/>
    <w:rsid w:val="00025927"/>
    <w:rsid w:val="000259C2"/>
    <w:rsid w:val="00025A64"/>
    <w:rsid w:val="00025A89"/>
    <w:rsid w:val="00025ADC"/>
    <w:rsid w:val="00025D83"/>
    <w:rsid w:val="00025DF1"/>
    <w:rsid w:val="00025E7D"/>
    <w:rsid w:val="000262EB"/>
    <w:rsid w:val="0002642B"/>
    <w:rsid w:val="00026468"/>
    <w:rsid w:val="000264CE"/>
    <w:rsid w:val="0002654A"/>
    <w:rsid w:val="0002655A"/>
    <w:rsid w:val="00026712"/>
    <w:rsid w:val="0002676A"/>
    <w:rsid w:val="00026799"/>
    <w:rsid w:val="00026853"/>
    <w:rsid w:val="00026874"/>
    <w:rsid w:val="00026942"/>
    <w:rsid w:val="0002697B"/>
    <w:rsid w:val="00026A17"/>
    <w:rsid w:val="00026A41"/>
    <w:rsid w:val="00026AAA"/>
    <w:rsid w:val="00026AE9"/>
    <w:rsid w:val="00026B17"/>
    <w:rsid w:val="00026C67"/>
    <w:rsid w:val="00026C6B"/>
    <w:rsid w:val="00026CC1"/>
    <w:rsid w:val="00026EE5"/>
    <w:rsid w:val="00026EEF"/>
    <w:rsid w:val="00026F6F"/>
    <w:rsid w:val="00026F78"/>
    <w:rsid w:val="00026FD6"/>
    <w:rsid w:val="0002701B"/>
    <w:rsid w:val="00027224"/>
    <w:rsid w:val="00027337"/>
    <w:rsid w:val="0002738A"/>
    <w:rsid w:val="000273AC"/>
    <w:rsid w:val="0002744D"/>
    <w:rsid w:val="00027490"/>
    <w:rsid w:val="00027512"/>
    <w:rsid w:val="00027538"/>
    <w:rsid w:val="0002753B"/>
    <w:rsid w:val="00027624"/>
    <w:rsid w:val="000276A3"/>
    <w:rsid w:val="000276F0"/>
    <w:rsid w:val="00027739"/>
    <w:rsid w:val="000277AD"/>
    <w:rsid w:val="00027803"/>
    <w:rsid w:val="0002788D"/>
    <w:rsid w:val="000278FC"/>
    <w:rsid w:val="00027A5B"/>
    <w:rsid w:val="00027B68"/>
    <w:rsid w:val="00027BD9"/>
    <w:rsid w:val="00027C1A"/>
    <w:rsid w:val="00027C5D"/>
    <w:rsid w:val="00027D0C"/>
    <w:rsid w:val="00027D50"/>
    <w:rsid w:val="00027DD7"/>
    <w:rsid w:val="00027E16"/>
    <w:rsid w:val="00027E17"/>
    <w:rsid w:val="00027E3E"/>
    <w:rsid w:val="00027EC7"/>
    <w:rsid w:val="00027F0E"/>
    <w:rsid w:val="00030075"/>
    <w:rsid w:val="00030292"/>
    <w:rsid w:val="00030393"/>
    <w:rsid w:val="0003039C"/>
    <w:rsid w:val="000305BF"/>
    <w:rsid w:val="000305CB"/>
    <w:rsid w:val="0003063F"/>
    <w:rsid w:val="0003077A"/>
    <w:rsid w:val="000307D5"/>
    <w:rsid w:val="000308CC"/>
    <w:rsid w:val="00030920"/>
    <w:rsid w:val="00030979"/>
    <w:rsid w:val="00030A85"/>
    <w:rsid w:val="00030ACA"/>
    <w:rsid w:val="00030B5F"/>
    <w:rsid w:val="00030B86"/>
    <w:rsid w:val="00030C09"/>
    <w:rsid w:val="00030C35"/>
    <w:rsid w:val="00030C4F"/>
    <w:rsid w:val="00030E77"/>
    <w:rsid w:val="00030EE4"/>
    <w:rsid w:val="00031008"/>
    <w:rsid w:val="00031094"/>
    <w:rsid w:val="000310C8"/>
    <w:rsid w:val="00031103"/>
    <w:rsid w:val="00031185"/>
    <w:rsid w:val="000312F1"/>
    <w:rsid w:val="00031449"/>
    <w:rsid w:val="00031546"/>
    <w:rsid w:val="00031668"/>
    <w:rsid w:val="000316D7"/>
    <w:rsid w:val="00031767"/>
    <w:rsid w:val="000318F2"/>
    <w:rsid w:val="00031A20"/>
    <w:rsid w:val="00031AF1"/>
    <w:rsid w:val="00031B2A"/>
    <w:rsid w:val="00031B8C"/>
    <w:rsid w:val="00031D46"/>
    <w:rsid w:val="00031F08"/>
    <w:rsid w:val="00031FD8"/>
    <w:rsid w:val="0003201A"/>
    <w:rsid w:val="000320A1"/>
    <w:rsid w:val="00032130"/>
    <w:rsid w:val="000322E9"/>
    <w:rsid w:val="000323EB"/>
    <w:rsid w:val="0003255B"/>
    <w:rsid w:val="0003271B"/>
    <w:rsid w:val="000327F3"/>
    <w:rsid w:val="00032956"/>
    <w:rsid w:val="00032B15"/>
    <w:rsid w:val="00032B23"/>
    <w:rsid w:val="00032B59"/>
    <w:rsid w:val="00032C44"/>
    <w:rsid w:val="00032C93"/>
    <w:rsid w:val="00032D28"/>
    <w:rsid w:val="00032E3F"/>
    <w:rsid w:val="00032F86"/>
    <w:rsid w:val="000331E3"/>
    <w:rsid w:val="000331FA"/>
    <w:rsid w:val="00033222"/>
    <w:rsid w:val="000332B9"/>
    <w:rsid w:val="00033305"/>
    <w:rsid w:val="00033397"/>
    <w:rsid w:val="00033466"/>
    <w:rsid w:val="0003363C"/>
    <w:rsid w:val="0003365C"/>
    <w:rsid w:val="00033660"/>
    <w:rsid w:val="0003374E"/>
    <w:rsid w:val="000337A9"/>
    <w:rsid w:val="000339AC"/>
    <w:rsid w:val="00033AA0"/>
    <w:rsid w:val="00033B58"/>
    <w:rsid w:val="00033B9F"/>
    <w:rsid w:val="00033CD5"/>
    <w:rsid w:val="00033CEE"/>
    <w:rsid w:val="000340A3"/>
    <w:rsid w:val="000340F7"/>
    <w:rsid w:val="0003410D"/>
    <w:rsid w:val="00034172"/>
    <w:rsid w:val="000341E9"/>
    <w:rsid w:val="0003420D"/>
    <w:rsid w:val="0003427F"/>
    <w:rsid w:val="00034329"/>
    <w:rsid w:val="00034358"/>
    <w:rsid w:val="00034365"/>
    <w:rsid w:val="00034392"/>
    <w:rsid w:val="0003439D"/>
    <w:rsid w:val="000344AE"/>
    <w:rsid w:val="000344F1"/>
    <w:rsid w:val="000345FA"/>
    <w:rsid w:val="000346C6"/>
    <w:rsid w:val="00034753"/>
    <w:rsid w:val="0003476B"/>
    <w:rsid w:val="00034862"/>
    <w:rsid w:val="000348C8"/>
    <w:rsid w:val="00034918"/>
    <w:rsid w:val="00034C3B"/>
    <w:rsid w:val="00034C68"/>
    <w:rsid w:val="00034C6C"/>
    <w:rsid w:val="00034D5B"/>
    <w:rsid w:val="00034DB0"/>
    <w:rsid w:val="00034DED"/>
    <w:rsid w:val="00034E14"/>
    <w:rsid w:val="00034E91"/>
    <w:rsid w:val="00034F46"/>
    <w:rsid w:val="00034FAA"/>
    <w:rsid w:val="0003516F"/>
    <w:rsid w:val="00035290"/>
    <w:rsid w:val="000352DF"/>
    <w:rsid w:val="00035342"/>
    <w:rsid w:val="0003534F"/>
    <w:rsid w:val="00035463"/>
    <w:rsid w:val="0003548B"/>
    <w:rsid w:val="000355A4"/>
    <w:rsid w:val="00035691"/>
    <w:rsid w:val="000356D7"/>
    <w:rsid w:val="00035730"/>
    <w:rsid w:val="000357E0"/>
    <w:rsid w:val="0003582B"/>
    <w:rsid w:val="00035881"/>
    <w:rsid w:val="000358AA"/>
    <w:rsid w:val="000358B6"/>
    <w:rsid w:val="00035A99"/>
    <w:rsid w:val="00035BA0"/>
    <w:rsid w:val="00035BF9"/>
    <w:rsid w:val="00035D01"/>
    <w:rsid w:val="00035DBA"/>
    <w:rsid w:val="00035E61"/>
    <w:rsid w:val="00035E63"/>
    <w:rsid w:val="00035EAE"/>
    <w:rsid w:val="00035FD4"/>
    <w:rsid w:val="00036009"/>
    <w:rsid w:val="0003628C"/>
    <w:rsid w:val="000362CC"/>
    <w:rsid w:val="0003646C"/>
    <w:rsid w:val="00036548"/>
    <w:rsid w:val="000365B0"/>
    <w:rsid w:val="0003667C"/>
    <w:rsid w:val="00036827"/>
    <w:rsid w:val="00036874"/>
    <w:rsid w:val="00036A8D"/>
    <w:rsid w:val="00036AB2"/>
    <w:rsid w:val="00036AC1"/>
    <w:rsid w:val="00036B5C"/>
    <w:rsid w:val="00036B84"/>
    <w:rsid w:val="00036BDD"/>
    <w:rsid w:val="00036BE4"/>
    <w:rsid w:val="00036C02"/>
    <w:rsid w:val="00036CBC"/>
    <w:rsid w:val="00036D67"/>
    <w:rsid w:val="00036E17"/>
    <w:rsid w:val="00036ED9"/>
    <w:rsid w:val="00036F15"/>
    <w:rsid w:val="00036F7C"/>
    <w:rsid w:val="00036FB3"/>
    <w:rsid w:val="00036FE0"/>
    <w:rsid w:val="00036FEB"/>
    <w:rsid w:val="00037026"/>
    <w:rsid w:val="000370B5"/>
    <w:rsid w:val="000370F9"/>
    <w:rsid w:val="000371B9"/>
    <w:rsid w:val="00037244"/>
    <w:rsid w:val="00037253"/>
    <w:rsid w:val="00037458"/>
    <w:rsid w:val="00037520"/>
    <w:rsid w:val="00037639"/>
    <w:rsid w:val="00037868"/>
    <w:rsid w:val="00037A01"/>
    <w:rsid w:val="00037A23"/>
    <w:rsid w:val="00037A3C"/>
    <w:rsid w:val="00037A5B"/>
    <w:rsid w:val="00037A60"/>
    <w:rsid w:val="00037A9B"/>
    <w:rsid w:val="00037B68"/>
    <w:rsid w:val="00037C17"/>
    <w:rsid w:val="00037C6B"/>
    <w:rsid w:val="00037CA7"/>
    <w:rsid w:val="00037F06"/>
    <w:rsid w:val="00037FCF"/>
    <w:rsid w:val="00040090"/>
    <w:rsid w:val="00040168"/>
    <w:rsid w:val="000401DB"/>
    <w:rsid w:val="000402B3"/>
    <w:rsid w:val="000402D2"/>
    <w:rsid w:val="000402E4"/>
    <w:rsid w:val="00040302"/>
    <w:rsid w:val="000403EF"/>
    <w:rsid w:val="000403F3"/>
    <w:rsid w:val="0004040B"/>
    <w:rsid w:val="0004050E"/>
    <w:rsid w:val="00040514"/>
    <w:rsid w:val="0004051D"/>
    <w:rsid w:val="00040689"/>
    <w:rsid w:val="00040898"/>
    <w:rsid w:val="00040905"/>
    <w:rsid w:val="00040B60"/>
    <w:rsid w:val="00040BCC"/>
    <w:rsid w:val="00040BDD"/>
    <w:rsid w:val="00040C75"/>
    <w:rsid w:val="00040CF4"/>
    <w:rsid w:val="00040D72"/>
    <w:rsid w:val="00040DAF"/>
    <w:rsid w:val="00040DE6"/>
    <w:rsid w:val="00040DF4"/>
    <w:rsid w:val="00040ED2"/>
    <w:rsid w:val="00040F41"/>
    <w:rsid w:val="000414C1"/>
    <w:rsid w:val="000414EC"/>
    <w:rsid w:val="0004150E"/>
    <w:rsid w:val="00041545"/>
    <w:rsid w:val="00041571"/>
    <w:rsid w:val="0004157D"/>
    <w:rsid w:val="000415B1"/>
    <w:rsid w:val="0004174B"/>
    <w:rsid w:val="00041795"/>
    <w:rsid w:val="00041835"/>
    <w:rsid w:val="0004192E"/>
    <w:rsid w:val="000419A0"/>
    <w:rsid w:val="00041ACD"/>
    <w:rsid w:val="00041B47"/>
    <w:rsid w:val="00041CA3"/>
    <w:rsid w:val="00041DB4"/>
    <w:rsid w:val="00041E81"/>
    <w:rsid w:val="00041F0D"/>
    <w:rsid w:val="00041FE9"/>
    <w:rsid w:val="0004207C"/>
    <w:rsid w:val="00042169"/>
    <w:rsid w:val="00042249"/>
    <w:rsid w:val="00042269"/>
    <w:rsid w:val="000422BA"/>
    <w:rsid w:val="000423FB"/>
    <w:rsid w:val="0004240B"/>
    <w:rsid w:val="00042486"/>
    <w:rsid w:val="000424BA"/>
    <w:rsid w:val="0004251A"/>
    <w:rsid w:val="00042539"/>
    <w:rsid w:val="000425CB"/>
    <w:rsid w:val="00042651"/>
    <w:rsid w:val="000426DD"/>
    <w:rsid w:val="000429AC"/>
    <w:rsid w:val="00042B3D"/>
    <w:rsid w:val="00042B48"/>
    <w:rsid w:val="00042B6A"/>
    <w:rsid w:val="00042B99"/>
    <w:rsid w:val="00042C3C"/>
    <w:rsid w:val="00042C6B"/>
    <w:rsid w:val="00042D25"/>
    <w:rsid w:val="00042DB5"/>
    <w:rsid w:val="00042DC3"/>
    <w:rsid w:val="00042DD1"/>
    <w:rsid w:val="00042DE0"/>
    <w:rsid w:val="00042E77"/>
    <w:rsid w:val="00042E8F"/>
    <w:rsid w:val="00042ED5"/>
    <w:rsid w:val="00042EDF"/>
    <w:rsid w:val="00042EF7"/>
    <w:rsid w:val="00042F31"/>
    <w:rsid w:val="0004301D"/>
    <w:rsid w:val="000430AE"/>
    <w:rsid w:val="00043139"/>
    <w:rsid w:val="0004322C"/>
    <w:rsid w:val="00043261"/>
    <w:rsid w:val="00043304"/>
    <w:rsid w:val="00043342"/>
    <w:rsid w:val="0004338D"/>
    <w:rsid w:val="000433DA"/>
    <w:rsid w:val="00043429"/>
    <w:rsid w:val="00043479"/>
    <w:rsid w:val="0004354F"/>
    <w:rsid w:val="00043665"/>
    <w:rsid w:val="000437D1"/>
    <w:rsid w:val="0004381A"/>
    <w:rsid w:val="00043881"/>
    <w:rsid w:val="0004394D"/>
    <w:rsid w:val="00043AEF"/>
    <w:rsid w:val="00043B1E"/>
    <w:rsid w:val="00043C24"/>
    <w:rsid w:val="00043DD3"/>
    <w:rsid w:val="00043DD8"/>
    <w:rsid w:val="00043E60"/>
    <w:rsid w:val="0004400A"/>
    <w:rsid w:val="0004402D"/>
    <w:rsid w:val="00044031"/>
    <w:rsid w:val="000440C8"/>
    <w:rsid w:val="00044113"/>
    <w:rsid w:val="0004425E"/>
    <w:rsid w:val="000442FA"/>
    <w:rsid w:val="00044375"/>
    <w:rsid w:val="00044390"/>
    <w:rsid w:val="000443E0"/>
    <w:rsid w:val="000444DF"/>
    <w:rsid w:val="0004460F"/>
    <w:rsid w:val="00044881"/>
    <w:rsid w:val="00044A18"/>
    <w:rsid w:val="00044A7C"/>
    <w:rsid w:val="00044AB4"/>
    <w:rsid w:val="00044C33"/>
    <w:rsid w:val="00044D63"/>
    <w:rsid w:val="00044DAD"/>
    <w:rsid w:val="00044E09"/>
    <w:rsid w:val="00044F29"/>
    <w:rsid w:val="00044FCB"/>
    <w:rsid w:val="00044FFF"/>
    <w:rsid w:val="0004531A"/>
    <w:rsid w:val="0004537D"/>
    <w:rsid w:val="000453BA"/>
    <w:rsid w:val="000453FF"/>
    <w:rsid w:val="0004554D"/>
    <w:rsid w:val="0004556E"/>
    <w:rsid w:val="0004558D"/>
    <w:rsid w:val="00045603"/>
    <w:rsid w:val="00045635"/>
    <w:rsid w:val="0004572D"/>
    <w:rsid w:val="0004580A"/>
    <w:rsid w:val="000458CD"/>
    <w:rsid w:val="00045ABD"/>
    <w:rsid w:val="00045AE4"/>
    <w:rsid w:val="00045AFB"/>
    <w:rsid w:val="00045B14"/>
    <w:rsid w:val="00045B18"/>
    <w:rsid w:val="00045B31"/>
    <w:rsid w:val="00045B59"/>
    <w:rsid w:val="00045B7D"/>
    <w:rsid w:val="00045B96"/>
    <w:rsid w:val="00045BFB"/>
    <w:rsid w:val="00045CBC"/>
    <w:rsid w:val="00045D3B"/>
    <w:rsid w:val="00045DBD"/>
    <w:rsid w:val="00045E8D"/>
    <w:rsid w:val="00045ECD"/>
    <w:rsid w:val="0004618D"/>
    <w:rsid w:val="00046216"/>
    <w:rsid w:val="00046217"/>
    <w:rsid w:val="000462CC"/>
    <w:rsid w:val="0004630E"/>
    <w:rsid w:val="0004635A"/>
    <w:rsid w:val="0004646E"/>
    <w:rsid w:val="0004647A"/>
    <w:rsid w:val="000464CC"/>
    <w:rsid w:val="000464D9"/>
    <w:rsid w:val="000465F6"/>
    <w:rsid w:val="00046601"/>
    <w:rsid w:val="00046634"/>
    <w:rsid w:val="0004666D"/>
    <w:rsid w:val="0004666E"/>
    <w:rsid w:val="00046694"/>
    <w:rsid w:val="000466A4"/>
    <w:rsid w:val="00046813"/>
    <w:rsid w:val="0004689A"/>
    <w:rsid w:val="00046925"/>
    <w:rsid w:val="0004693C"/>
    <w:rsid w:val="00046952"/>
    <w:rsid w:val="00046A38"/>
    <w:rsid w:val="00046B20"/>
    <w:rsid w:val="00046C04"/>
    <w:rsid w:val="00046C60"/>
    <w:rsid w:val="00046C78"/>
    <w:rsid w:val="00046E55"/>
    <w:rsid w:val="00046F19"/>
    <w:rsid w:val="00046FC6"/>
    <w:rsid w:val="000471CA"/>
    <w:rsid w:val="00047235"/>
    <w:rsid w:val="00047275"/>
    <w:rsid w:val="0004764C"/>
    <w:rsid w:val="000477D5"/>
    <w:rsid w:val="00047902"/>
    <w:rsid w:val="00047B41"/>
    <w:rsid w:val="00047B91"/>
    <w:rsid w:val="00047CC5"/>
    <w:rsid w:val="00047CC6"/>
    <w:rsid w:val="00047E34"/>
    <w:rsid w:val="00050033"/>
    <w:rsid w:val="00050265"/>
    <w:rsid w:val="00050295"/>
    <w:rsid w:val="000502B9"/>
    <w:rsid w:val="00050383"/>
    <w:rsid w:val="000503E3"/>
    <w:rsid w:val="00050595"/>
    <w:rsid w:val="000505DD"/>
    <w:rsid w:val="00050648"/>
    <w:rsid w:val="0005068C"/>
    <w:rsid w:val="000506AA"/>
    <w:rsid w:val="000506E6"/>
    <w:rsid w:val="00050B40"/>
    <w:rsid w:val="00050BE9"/>
    <w:rsid w:val="00050C52"/>
    <w:rsid w:val="00050CB5"/>
    <w:rsid w:val="00050E2F"/>
    <w:rsid w:val="00050EAB"/>
    <w:rsid w:val="00050F70"/>
    <w:rsid w:val="0005103B"/>
    <w:rsid w:val="00051089"/>
    <w:rsid w:val="0005109E"/>
    <w:rsid w:val="00051237"/>
    <w:rsid w:val="00051294"/>
    <w:rsid w:val="000514D4"/>
    <w:rsid w:val="000514FB"/>
    <w:rsid w:val="0005156F"/>
    <w:rsid w:val="0005164B"/>
    <w:rsid w:val="0005166E"/>
    <w:rsid w:val="000516C4"/>
    <w:rsid w:val="0005172E"/>
    <w:rsid w:val="00051748"/>
    <w:rsid w:val="000517C0"/>
    <w:rsid w:val="00051829"/>
    <w:rsid w:val="00051921"/>
    <w:rsid w:val="00051BA8"/>
    <w:rsid w:val="00051BC4"/>
    <w:rsid w:val="00051BF7"/>
    <w:rsid w:val="00051C45"/>
    <w:rsid w:val="00051CD6"/>
    <w:rsid w:val="00051CFB"/>
    <w:rsid w:val="00051DF0"/>
    <w:rsid w:val="00051F4F"/>
    <w:rsid w:val="00052044"/>
    <w:rsid w:val="0005215B"/>
    <w:rsid w:val="000521B2"/>
    <w:rsid w:val="000521B7"/>
    <w:rsid w:val="000521FF"/>
    <w:rsid w:val="00052233"/>
    <w:rsid w:val="000522D5"/>
    <w:rsid w:val="00052379"/>
    <w:rsid w:val="0005243C"/>
    <w:rsid w:val="00052549"/>
    <w:rsid w:val="000526F5"/>
    <w:rsid w:val="00052844"/>
    <w:rsid w:val="0005285E"/>
    <w:rsid w:val="000528C2"/>
    <w:rsid w:val="0005294E"/>
    <w:rsid w:val="00052A1D"/>
    <w:rsid w:val="00052A7E"/>
    <w:rsid w:val="00052A94"/>
    <w:rsid w:val="00052BCC"/>
    <w:rsid w:val="00052CAF"/>
    <w:rsid w:val="00052D25"/>
    <w:rsid w:val="00052DEB"/>
    <w:rsid w:val="00052EA4"/>
    <w:rsid w:val="00052EDF"/>
    <w:rsid w:val="00052F34"/>
    <w:rsid w:val="000530F1"/>
    <w:rsid w:val="000531EE"/>
    <w:rsid w:val="00053352"/>
    <w:rsid w:val="0005338A"/>
    <w:rsid w:val="000533AA"/>
    <w:rsid w:val="00053404"/>
    <w:rsid w:val="00053409"/>
    <w:rsid w:val="000535A2"/>
    <w:rsid w:val="000536E6"/>
    <w:rsid w:val="00053851"/>
    <w:rsid w:val="00053887"/>
    <w:rsid w:val="0005390C"/>
    <w:rsid w:val="00053959"/>
    <w:rsid w:val="000539A7"/>
    <w:rsid w:val="00053A24"/>
    <w:rsid w:val="00053AE5"/>
    <w:rsid w:val="00053B7A"/>
    <w:rsid w:val="00053DA1"/>
    <w:rsid w:val="00053E31"/>
    <w:rsid w:val="00053EAA"/>
    <w:rsid w:val="00053F70"/>
    <w:rsid w:val="00053FC2"/>
    <w:rsid w:val="00054089"/>
    <w:rsid w:val="00054343"/>
    <w:rsid w:val="000543AD"/>
    <w:rsid w:val="0005441C"/>
    <w:rsid w:val="00054423"/>
    <w:rsid w:val="00054458"/>
    <w:rsid w:val="000544B4"/>
    <w:rsid w:val="00054683"/>
    <w:rsid w:val="00054878"/>
    <w:rsid w:val="0005489C"/>
    <w:rsid w:val="00054BBC"/>
    <w:rsid w:val="00055066"/>
    <w:rsid w:val="000550BB"/>
    <w:rsid w:val="000550D1"/>
    <w:rsid w:val="00055169"/>
    <w:rsid w:val="000551B8"/>
    <w:rsid w:val="000552AB"/>
    <w:rsid w:val="0005536B"/>
    <w:rsid w:val="000553EC"/>
    <w:rsid w:val="000554AA"/>
    <w:rsid w:val="0005592F"/>
    <w:rsid w:val="00055992"/>
    <w:rsid w:val="00055A63"/>
    <w:rsid w:val="00055A9B"/>
    <w:rsid w:val="00055C58"/>
    <w:rsid w:val="00055C69"/>
    <w:rsid w:val="00055D7C"/>
    <w:rsid w:val="00055E45"/>
    <w:rsid w:val="00055EEC"/>
    <w:rsid w:val="00055F13"/>
    <w:rsid w:val="00055F21"/>
    <w:rsid w:val="00056026"/>
    <w:rsid w:val="000560EB"/>
    <w:rsid w:val="00056157"/>
    <w:rsid w:val="0005624F"/>
    <w:rsid w:val="000563BC"/>
    <w:rsid w:val="00056402"/>
    <w:rsid w:val="000564CA"/>
    <w:rsid w:val="0005651E"/>
    <w:rsid w:val="00056536"/>
    <w:rsid w:val="0005656F"/>
    <w:rsid w:val="00056673"/>
    <w:rsid w:val="000566AF"/>
    <w:rsid w:val="000566CB"/>
    <w:rsid w:val="0005678E"/>
    <w:rsid w:val="000568B7"/>
    <w:rsid w:val="000568D2"/>
    <w:rsid w:val="00056C6C"/>
    <w:rsid w:val="00056D69"/>
    <w:rsid w:val="00056DDD"/>
    <w:rsid w:val="000570CC"/>
    <w:rsid w:val="00057115"/>
    <w:rsid w:val="00057150"/>
    <w:rsid w:val="00057230"/>
    <w:rsid w:val="00057332"/>
    <w:rsid w:val="000574E2"/>
    <w:rsid w:val="00057592"/>
    <w:rsid w:val="00057641"/>
    <w:rsid w:val="0005773E"/>
    <w:rsid w:val="00057803"/>
    <w:rsid w:val="0005784A"/>
    <w:rsid w:val="00057852"/>
    <w:rsid w:val="0005787A"/>
    <w:rsid w:val="000579FD"/>
    <w:rsid w:val="00057A3B"/>
    <w:rsid w:val="00057B23"/>
    <w:rsid w:val="00057BB0"/>
    <w:rsid w:val="00057BFB"/>
    <w:rsid w:val="00057C98"/>
    <w:rsid w:val="00057D47"/>
    <w:rsid w:val="00057DC4"/>
    <w:rsid w:val="00057EC5"/>
    <w:rsid w:val="0006004B"/>
    <w:rsid w:val="00060236"/>
    <w:rsid w:val="0006046A"/>
    <w:rsid w:val="000604B6"/>
    <w:rsid w:val="00060581"/>
    <w:rsid w:val="000605EA"/>
    <w:rsid w:val="000605EE"/>
    <w:rsid w:val="00060669"/>
    <w:rsid w:val="000606B4"/>
    <w:rsid w:val="00060744"/>
    <w:rsid w:val="00060783"/>
    <w:rsid w:val="00060817"/>
    <w:rsid w:val="00060854"/>
    <w:rsid w:val="000609E7"/>
    <w:rsid w:val="000609F0"/>
    <w:rsid w:val="00060A30"/>
    <w:rsid w:val="00060C6F"/>
    <w:rsid w:val="00060CBB"/>
    <w:rsid w:val="00060DF9"/>
    <w:rsid w:val="00060E74"/>
    <w:rsid w:val="00060ED7"/>
    <w:rsid w:val="00060EE8"/>
    <w:rsid w:val="00060F13"/>
    <w:rsid w:val="00060F23"/>
    <w:rsid w:val="00061017"/>
    <w:rsid w:val="000611A1"/>
    <w:rsid w:val="00061480"/>
    <w:rsid w:val="0006154E"/>
    <w:rsid w:val="00061572"/>
    <w:rsid w:val="000615A8"/>
    <w:rsid w:val="00061601"/>
    <w:rsid w:val="00061679"/>
    <w:rsid w:val="00061693"/>
    <w:rsid w:val="000616D0"/>
    <w:rsid w:val="0006171A"/>
    <w:rsid w:val="00061738"/>
    <w:rsid w:val="0006184E"/>
    <w:rsid w:val="0006191B"/>
    <w:rsid w:val="000619E6"/>
    <w:rsid w:val="00061B2A"/>
    <w:rsid w:val="00061B69"/>
    <w:rsid w:val="00061BBB"/>
    <w:rsid w:val="00061C08"/>
    <w:rsid w:val="00061C96"/>
    <w:rsid w:val="00061CCA"/>
    <w:rsid w:val="00061D6C"/>
    <w:rsid w:val="00061E37"/>
    <w:rsid w:val="00061E77"/>
    <w:rsid w:val="00061ED7"/>
    <w:rsid w:val="00061F2A"/>
    <w:rsid w:val="00061FE9"/>
    <w:rsid w:val="00062107"/>
    <w:rsid w:val="00062416"/>
    <w:rsid w:val="00062713"/>
    <w:rsid w:val="0006284A"/>
    <w:rsid w:val="00062891"/>
    <w:rsid w:val="00062ABB"/>
    <w:rsid w:val="00062D44"/>
    <w:rsid w:val="00062D82"/>
    <w:rsid w:val="00062DD0"/>
    <w:rsid w:val="00062DDE"/>
    <w:rsid w:val="00062DFB"/>
    <w:rsid w:val="00062E4E"/>
    <w:rsid w:val="00062F1B"/>
    <w:rsid w:val="00062F25"/>
    <w:rsid w:val="00062F27"/>
    <w:rsid w:val="00062F62"/>
    <w:rsid w:val="00062FAB"/>
    <w:rsid w:val="00062FE7"/>
    <w:rsid w:val="00063107"/>
    <w:rsid w:val="000633E0"/>
    <w:rsid w:val="000634B4"/>
    <w:rsid w:val="000634F1"/>
    <w:rsid w:val="00063555"/>
    <w:rsid w:val="000636F9"/>
    <w:rsid w:val="00063740"/>
    <w:rsid w:val="000637A6"/>
    <w:rsid w:val="000637D0"/>
    <w:rsid w:val="000637E3"/>
    <w:rsid w:val="000638AC"/>
    <w:rsid w:val="0006392B"/>
    <w:rsid w:val="000639E1"/>
    <w:rsid w:val="00063A61"/>
    <w:rsid w:val="00063ABA"/>
    <w:rsid w:val="00063CD7"/>
    <w:rsid w:val="00063DA2"/>
    <w:rsid w:val="00063E69"/>
    <w:rsid w:val="00063EFE"/>
    <w:rsid w:val="00063F75"/>
    <w:rsid w:val="00064094"/>
    <w:rsid w:val="000640C7"/>
    <w:rsid w:val="000641C1"/>
    <w:rsid w:val="0006423C"/>
    <w:rsid w:val="00064258"/>
    <w:rsid w:val="00064265"/>
    <w:rsid w:val="00064300"/>
    <w:rsid w:val="0006435A"/>
    <w:rsid w:val="000643C6"/>
    <w:rsid w:val="00064429"/>
    <w:rsid w:val="00064474"/>
    <w:rsid w:val="0006457B"/>
    <w:rsid w:val="000645AC"/>
    <w:rsid w:val="0006464C"/>
    <w:rsid w:val="000646B9"/>
    <w:rsid w:val="00064780"/>
    <w:rsid w:val="000647E6"/>
    <w:rsid w:val="00064811"/>
    <w:rsid w:val="000649F6"/>
    <w:rsid w:val="00064AD9"/>
    <w:rsid w:val="00064B74"/>
    <w:rsid w:val="00064D49"/>
    <w:rsid w:val="00064DB1"/>
    <w:rsid w:val="00064F25"/>
    <w:rsid w:val="00065124"/>
    <w:rsid w:val="000651BD"/>
    <w:rsid w:val="000651EC"/>
    <w:rsid w:val="00065229"/>
    <w:rsid w:val="0006536D"/>
    <w:rsid w:val="0006538C"/>
    <w:rsid w:val="000653B1"/>
    <w:rsid w:val="000655A3"/>
    <w:rsid w:val="000655B2"/>
    <w:rsid w:val="000655B8"/>
    <w:rsid w:val="000655EF"/>
    <w:rsid w:val="000657CE"/>
    <w:rsid w:val="0006581B"/>
    <w:rsid w:val="00065855"/>
    <w:rsid w:val="00065929"/>
    <w:rsid w:val="00065A42"/>
    <w:rsid w:val="00065AAA"/>
    <w:rsid w:val="00065B14"/>
    <w:rsid w:val="00065BAE"/>
    <w:rsid w:val="00065D26"/>
    <w:rsid w:val="00065F95"/>
    <w:rsid w:val="00066039"/>
    <w:rsid w:val="00066131"/>
    <w:rsid w:val="0006614A"/>
    <w:rsid w:val="000661F1"/>
    <w:rsid w:val="0006622D"/>
    <w:rsid w:val="000662C7"/>
    <w:rsid w:val="0006636F"/>
    <w:rsid w:val="00066423"/>
    <w:rsid w:val="00066444"/>
    <w:rsid w:val="0006651C"/>
    <w:rsid w:val="00066701"/>
    <w:rsid w:val="0006678F"/>
    <w:rsid w:val="00066837"/>
    <w:rsid w:val="0006689D"/>
    <w:rsid w:val="00066943"/>
    <w:rsid w:val="000669C0"/>
    <w:rsid w:val="00066AB1"/>
    <w:rsid w:val="00066BBA"/>
    <w:rsid w:val="00066C62"/>
    <w:rsid w:val="00066CDD"/>
    <w:rsid w:val="00066CDF"/>
    <w:rsid w:val="00066D40"/>
    <w:rsid w:val="00066D46"/>
    <w:rsid w:val="00066D86"/>
    <w:rsid w:val="00066E41"/>
    <w:rsid w:val="00066E5F"/>
    <w:rsid w:val="00066EFC"/>
    <w:rsid w:val="00066F1F"/>
    <w:rsid w:val="00066F45"/>
    <w:rsid w:val="00066FD4"/>
    <w:rsid w:val="00067063"/>
    <w:rsid w:val="0006706E"/>
    <w:rsid w:val="0006709C"/>
    <w:rsid w:val="0006710D"/>
    <w:rsid w:val="00067144"/>
    <w:rsid w:val="00067297"/>
    <w:rsid w:val="0006731D"/>
    <w:rsid w:val="000674ED"/>
    <w:rsid w:val="0006753B"/>
    <w:rsid w:val="000675EB"/>
    <w:rsid w:val="000676A1"/>
    <w:rsid w:val="000676EB"/>
    <w:rsid w:val="0006784D"/>
    <w:rsid w:val="000678F6"/>
    <w:rsid w:val="000678FE"/>
    <w:rsid w:val="00067948"/>
    <w:rsid w:val="00067999"/>
    <w:rsid w:val="0006799C"/>
    <w:rsid w:val="00067D33"/>
    <w:rsid w:val="00067D8D"/>
    <w:rsid w:val="00067DD7"/>
    <w:rsid w:val="00067E20"/>
    <w:rsid w:val="00067EAB"/>
    <w:rsid w:val="00067F15"/>
    <w:rsid w:val="00067FCB"/>
    <w:rsid w:val="0007009F"/>
    <w:rsid w:val="000700A2"/>
    <w:rsid w:val="00070279"/>
    <w:rsid w:val="000702A5"/>
    <w:rsid w:val="000702B3"/>
    <w:rsid w:val="0007031A"/>
    <w:rsid w:val="000704BA"/>
    <w:rsid w:val="00070515"/>
    <w:rsid w:val="00070597"/>
    <w:rsid w:val="0007077A"/>
    <w:rsid w:val="00070A40"/>
    <w:rsid w:val="00070B68"/>
    <w:rsid w:val="00070B6B"/>
    <w:rsid w:val="00070BAA"/>
    <w:rsid w:val="00070D18"/>
    <w:rsid w:val="00070D32"/>
    <w:rsid w:val="00070D36"/>
    <w:rsid w:val="00070D84"/>
    <w:rsid w:val="00070DC5"/>
    <w:rsid w:val="00070E13"/>
    <w:rsid w:val="00070E2E"/>
    <w:rsid w:val="00070EC3"/>
    <w:rsid w:val="00070F00"/>
    <w:rsid w:val="00070FC2"/>
    <w:rsid w:val="0007106A"/>
    <w:rsid w:val="000710B7"/>
    <w:rsid w:val="00071138"/>
    <w:rsid w:val="00071201"/>
    <w:rsid w:val="00071341"/>
    <w:rsid w:val="00071416"/>
    <w:rsid w:val="00071458"/>
    <w:rsid w:val="000714A8"/>
    <w:rsid w:val="00071509"/>
    <w:rsid w:val="0007152E"/>
    <w:rsid w:val="00071599"/>
    <w:rsid w:val="000716E8"/>
    <w:rsid w:val="0007174F"/>
    <w:rsid w:val="00071763"/>
    <w:rsid w:val="0007177A"/>
    <w:rsid w:val="000717A6"/>
    <w:rsid w:val="00071919"/>
    <w:rsid w:val="00071A47"/>
    <w:rsid w:val="00071A53"/>
    <w:rsid w:val="00071A9E"/>
    <w:rsid w:val="00071ABB"/>
    <w:rsid w:val="00071AF2"/>
    <w:rsid w:val="00071BA0"/>
    <w:rsid w:val="00071CFF"/>
    <w:rsid w:val="00071D37"/>
    <w:rsid w:val="00071D73"/>
    <w:rsid w:val="00071DC1"/>
    <w:rsid w:val="00071DF7"/>
    <w:rsid w:val="00071E93"/>
    <w:rsid w:val="00071F2E"/>
    <w:rsid w:val="00071FF3"/>
    <w:rsid w:val="000720B0"/>
    <w:rsid w:val="0007211D"/>
    <w:rsid w:val="00072177"/>
    <w:rsid w:val="0007230C"/>
    <w:rsid w:val="00072321"/>
    <w:rsid w:val="00072355"/>
    <w:rsid w:val="0007248E"/>
    <w:rsid w:val="00072546"/>
    <w:rsid w:val="0007258A"/>
    <w:rsid w:val="00072673"/>
    <w:rsid w:val="00072772"/>
    <w:rsid w:val="000727FE"/>
    <w:rsid w:val="00072812"/>
    <w:rsid w:val="000728B2"/>
    <w:rsid w:val="0007291D"/>
    <w:rsid w:val="00072931"/>
    <w:rsid w:val="000729D3"/>
    <w:rsid w:val="00072B84"/>
    <w:rsid w:val="00072BFB"/>
    <w:rsid w:val="00072CDF"/>
    <w:rsid w:val="00072D40"/>
    <w:rsid w:val="00072D4F"/>
    <w:rsid w:val="00072D52"/>
    <w:rsid w:val="00072D94"/>
    <w:rsid w:val="00072F41"/>
    <w:rsid w:val="00072F58"/>
    <w:rsid w:val="0007300E"/>
    <w:rsid w:val="0007305F"/>
    <w:rsid w:val="000732A3"/>
    <w:rsid w:val="00073500"/>
    <w:rsid w:val="00073552"/>
    <w:rsid w:val="000735C0"/>
    <w:rsid w:val="000735CD"/>
    <w:rsid w:val="000735F4"/>
    <w:rsid w:val="0007363B"/>
    <w:rsid w:val="0007365C"/>
    <w:rsid w:val="0007366C"/>
    <w:rsid w:val="000736A2"/>
    <w:rsid w:val="000736BD"/>
    <w:rsid w:val="000737EF"/>
    <w:rsid w:val="00073852"/>
    <w:rsid w:val="0007386C"/>
    <w:rsid w:val="00073A96"/>
    <w:rsid w:val="00073AD2"/>
    <w:rsid w:val="00073BFF"/>
    <w:rsid w:val="00073C73"/>
    <w:rsid w:val="00073EDE"/>
    <w:rsid w:val="00073F79"/>
    <w:rsid w:val="00073FAB"/>
    <w:rsid w:val="00073FB6"/>
    <w:rsid w:val="00073FE4"/>
    <w:rsid w:val="0007404F"/>
    <w:rsid w:val="00074053"/>
    <w:rsid w:val="000740E2"/>
    <w:rsid w:val="000740E6"/>
    <w:rsid w:val="000741B5"/>
    <w:rsid w:val="0007435D"/>
    <w:rsid w:val="0007452E"/>
    <w:rsid w:val="000748B7"/>
    <w:rsid w:val="000748C0"/>
    <w:rsid w:val="000748CD"/>
    <w:rsid w:val="000749C1"/>
    <w:rsid w:val="00074A25"/>
    <w:rsid w:val="00074A66"/>
    <w:rsid w:val="00074A85"/>
    <w:rsid w:val="00074A99"/>
    <w:rsid w:val="00074A9B"/>
    <w:rsid w:val="00074B60"/>
    <w:rsid w:val="00074B82"/>
    <w:rsid w:val="00074BB1"/>
    <w:rsid w:val="00074C70"/>
    <w:rsid w:val="00074CE7"/>
    <w:rsid w:val="00074E4E"/>
    <w:rsid w:val="00074F34"/>
    <w:rsid w:val="00074F80"/>
    <w:rsid w:val="00074FC4"/>
    <w:rsid w:val="00074FE0"/>
    <w:rsid w:val="00075045"/>
    <w:rsid w:val="0007506D"/>
    <w:rsid w:val="00075162"/>
    <w:rsid w:val="00075239"/>
    <w:rsid w:val="0007524D"/>
    <w:rsid w:val="000752C0"/>
    <w:rsid w:val="00075339"/>
    <w:rsid w:val="000753BC"/>
    <w:rsid w:val="000754AB"/>
    <w:rsid w:val="00075546"/>
    <w:rsid w:val="00075674"/>
    <w:rsid w:val="0007569E"/>
    <w:rsid w:val="000756D3"/>
    <w:rsid w:val="00075706"/>
    <w:rsid w:val="0007573F"/>
    <w:rsid w:val="00075741"/>
    <w:rsid w:val="00075844"/>
    <w:rsid w:val="0007589D"/>
    <w:rsid w:val="00075977"/>
    <w:rsid w:val="000759A5"/>
    <w:rsid w:val="000759E3"/>
    <w:rsid w:val="00075A99"/>
    <w:rsid w:val="00075A9A"/>
    <w:rsid w:val="00075B73"/>
    <w:rsid w:val="00075CFB"/>
    <w:rsid w:val="00075D7A"/>
    <w:rsid w:val="00075E50"/>
    <w:rsid w:val="00075FF2"/>
    <w:rsid w:val="00076054"/>
    <w:rsid w:val="000761C6"/>
    <w:rsid w:val="00076294"/>
    <w:rsid w:val="0007629C"/>
    <w:rsid w:val="0007637E"/>
    <w:rsid w:val="00076517"/>
    <w:rsid w:val="0007651E"/>
    <w:rsid w:val="000765C0"/>
    <w:rsid w:val="000766C0"/>
    <w:rsid w:val="000766EB"/>
    <w:rsid w:val="00076711"/>
    <w:rsid w:val="00076776"/>
    <w:rsid w:val="000767AA"/>
    <w:rsid w:val="0007682E"/>
    <w:rsid w:val="00076AD4"/>
    <w:rsid w:val="00076B1E"/>
    <w:rsid w:val="00076B85"/>
    <w:rsid w:val="00076B9C"/>
    <w:rsid w:val="00076C36"/>
    <w:rsid w:val="00076CA6"/>
    <w:rsid w:val="00076EB8"/>
    <w:rsid w:val="00076F27"/>
    <w:rsid w:val="00077022"/>
    <w:rsid w:val="00077181"/>
    <w:rsid w:val="0007727A"/>
    <w:rsid w:val="000774AC"/>
    <w:rsid w:val="00077501"/>
    <w:rsid w:val="00077508"/>
    <w:rsid w:val="0007758C"/>
    <w:rsid w:val="000775B5"/>
    <w:rsid w:val="000775FC"/>
    <w:rsid w:val="000777FF"/>
    <w:rsid w:val="00077953"/>
    <w:rsid w:val="000779BB"/>
    <w:rsid w:val="00077A82"/>
    <w:rsid w:val="00077BCF"/>
    <w:rsid w:val="00077C91"/>
    <w:rsid w:val="00077CAF"/>
    <w:rsid w:val="00077D1E"/>
    <w:rsid w:val="00077D83"/>
    <w:rsid w:val="00077E6E"/>
    <w:rsid w:val="00077E82"/>
    <w:rsid w:val="00077F73"/>
    <w:rsid w:val="00077FAF"/>
    <w:rsid w:val="00080026"/>
    <w:rsid w:val="00080059"/>
    <w:rsid w:val="0008009B"/>
    <w:rsid w:val="00080256"/>
    <w:rsid w:val="00080278"/>
    <w:rsid w:val="000802F3"/>
    <w:rsid w:val="0008032B"/>
    <w:rsid w:val="0008041B"/>
    <w:rsid w:val="0008043E"/>
    <w:rsid w:val="000804C3"/>
    <w:rsid w:val="0008062D"/>
    <w:rsid w:val="0008063F"/>
    <w:rsid w:val="00080685"/>
    <w:rsid w:val="000807A3"/>
    <w:rsid w:val="00080839"/>
    <w:rsid w:val="00080845"/>
    <w:rsid w:val="000808C3"/>
    <w:rsid w:val="0008094E"/>
    <w:rsid w:val="00080B09"/>
    <w:rsid w:val="00080C5F"/>
    <w:rsid w:val="00080D54"/>
    <w:rsid w:val="00080DA9"/>
    <w:rsid w:val="00080F9E"/>
    <w:rsid w:val="000810A5"/>
    <w:rsid w:val="00081293"/>
    <w:rsid w:val="00081300"/>
    <w:rsid w:val="000814FD"/>
    <w:rsid w:val="00081600"/>
    <w:rsid w:val="000816D6"/>
    <w:rsid w:val="0008174D"/>
    <w:rsid w:val="00081770"/>
    <w:rsid w:val="00081788"/>
    <w:rsid w:val="000817EB"/>
    <w:rsid w:val="0008198B"/>
    <w:rsid w:val="00081A68"/>
    <w:rsid w:val="00081D07"/>
    <w:rsid w:val="00081E2D"/>
    <w:rsid w:val="00081F02"/>
    <w:rsid w:val="00081F67"/>
    <w:rsid w:val="00082040"/>
    <w:rsid w:val="0008217C"/>
    <w:rsid w:val="000821C4"/>
    <w:rsid w:val="00082528"/>
    <w:rsid w:val="00082573"/>
    <w:rsid w:val="000825E1"/>
    <w:rsid w:val="0008261C"/>
    <w:rsid w:val="0008267D"/>
    <w:rsid w:val="0008276A"/>
    <w:rsid w:val="000827E7"/>
    <w:rsid w:val="000827F1"/>
    <w:rsid w:val="000827FB"/>
    <w:rsid w:val="000828A8"/>
    <w:rsid w:val="000828C0"/>
    <w:rsid w:val="00082960"/>
    <w:rsid w:val="0008297F"/>
    <w:rsid w:val="000829F7"/>
    <w:rsid w:val="00082A1E"/>
    <w:rsid w:val="00082A2B"/>
    <w:rsid w:val="00082B9D"/>
    <w:rsid w:val="00082BA7"/>
    <w:rsid w:val="00082D11"/>
    <w:rsid w:val="00082D97"/>
    <w:rsid w:val="00082DC6"/>
    <w:rsid w:val="00082E3E"/>
    <w:rsid w:val="00082E86"/>
    <w:rsid w:val="00082F26"/>
    <w:rsid w:val="00082F31"/>
    <w:rsid w:val="00082F61"/>
    <w:rsid w:val="00082FE6"/>
    <w:rsid w:val="000830BC"/>
    <w:rsid w:val="00083151"/>
    <w:rsid w:val="00083170"/>
    <w:rsid w:val="00083238"/>
    <w:rsid w:val="00083278"/>
    <w:rsid w:val="00083391"/>
    <w:rsid w:val="000833C0"/>
    <w:rsid w:val="0008348D"/>
    <w:rsid w:val="000834C3"/>
    <w:rsid w:val="000834F6"/>
    <w:rsid w:val="00083598"/>
    <w:rsid w:val="00083840"/>
    <w:rsid w:val="000838C6"/>
    <w:rsid w:val="00083941"/>
    <w:rsid w:val="00083AA2"/>
    <w:rsid w:val="00083B2F"/>
    <w:rsid w:val="00083B86"/>
    <w:rsid w:val="00083BD4"/>
    <w:rsid w:val="00083BE6"/>
    <w:rsid w:val="00083DA2"/>
    <w:rsid w:val="00083DD5"/>
    <w:rsid w:val="00083E54"/>
    <w:rsid w:val="00083EC5"/>
    <w:rsid w:val="0008408D"/>
    <w:rsid w:val="000840C5"/>
    <w:rsid w:val="00084113"/>
    <w:rsid w:val="0008417D"/>
    <w:rsid w:val="00084276"/>
    <w:rsid w:val="000842A6"/>
    <w:rsid w:val="000842F0"/>
    <w:rsid w:val="00084325"/>
    <w:rsid w:val="0008434A"/>
    <w:rsid w:val="0008438F"/>
    <w:rsid w:val="000843F5"/>
    <w:rsid w:val="00084417"/>
    <w:rsid w:val="0008443A"/>
    <w:rsid w:val="000844B5"/>
    <w:rsid w:val="00084565"/>
    <w:rsid w:val="00084594"/>
    <w:rsid w:val="000845DD"/>
    <w:rsid w:val="0008473E"/>
    <w:rsid w:val="000847F0"/>
    <w:rsid w:val="000847F9"/>
    <w:rsid w:val="00084835"/>
    <w:rsid w:val="000848FE"/>
    <w:rsid w:val="00084909"/>
    <w:rsid w:val="00084951"/>
    <w:rsid w:val="00084A22"/>
    <w:rsid w:val="00084B35"/>
    <w:rsid w:val="00084BD5"/>
    <w:rsid w:val="00084C3D"/>
    <w:rsid w:val="00084C50"/>
    <w:rsid w:val="00084C67"/>
    <w:rsid w:val="00084DE1"/>
    <w:rsid w:val="00084E63"/>
    <w:rsid w:val="00084EA6"/>
    <w:rsid w:val="000851AA"/>
    <w:rsid w:val="0008567A"/>
    <w:rsid w:val="00085807"/>
    <w:rsid w:val="00085860"/>
    <w:rsid w:val="000858B1"/>
    <w:rsid w:val="000858B8"/>
    <w:rsid w:val="00085928"/>
    <w:rsid w:val="0008596E"/>
    <w:rsid w:val="000859D8"/>
    <w:rsid w:val="00085A66"/>
    <w:rsid w:val="00085ADB"/>
    <w:rsid w:val="00085B03"/>
    <w:rsid w:val="00085B3E"/>
    <w:rsid w:val="00085B54"/>
    <w:rsid w:val="00085BDE"/>
    <w:rsid w:val="00085BED"/>
    <w:rsid w:val="00085BF8"/>
    <w:rsid w:val="00085C61"/>
    <w:rsid w:val="00085E28"/>
    <w:rsid w:val="00085ECC"/>
    <w:rsid w:val="00085F6E"/>
    <w:rsid w:val="00086160"/>
    <w:rsid w:val="0008618E"/>
    <w:rsid w:val="000861C0"/>
    <w:rsid w:val="000861CF"/>
    <w:rsid w:val="00086240"/>
    <w:rsid w:val="0008630C"/>
    <w:rsid w:val="00086316"/>
    <w:rsid w:val="000863DA"/>
    <w:rsid w:val="000864E4"/>
    <w:rsid w:val="000865B3"/>
    <w:rsid w:val="00086740"/>
    <w:rsid w:val="0008681D"/>
    <w:rsid w:val="00086919"/>
    <w:rsid w:val="000869A9"/>
    <w:rsid w:val="00086A20"/>
    <w:rsid w:val="00086A21"/>
    <w:rsid w:val="00086B5D"/>
    <w:rsid w:val="00086BA0"/>
    <w:rsid w:val="00086C0A"/>
    <w:rsid w:val="00086C33"/>
    <w:rsid w:val="00086C73"/>
    <w:rsid w:val="00086DA8"/>
    <w:rsid w:val="00086E11"/>
    <w:rsid w:val="00086E38"/>
    <w:rsid w:val="00086E39"/>
    <w:rsid w:val="00086EB3"/>
    <w:rsid w:val="00087003"/>
    <w:rsid w:val="00087080"/>
    <w:rsid w:val="000870EA"/>
    <w:rsid w:val="00087154"/>
    <w:rsid w:val="000871C0"/>
    <w:rsid w:val="0008722A"/>
    <w:rsid w:val="000872FF"/>
    <w:rsid w:val="0008731C"/>
    <w:rsid w:val="000873B6"/>
    <w:rsid w:val="000873C0"/>
    <w:rsid w:val="00087478"/>
    <w:rsid w:val="0008750E"/>
    <w:rsid w:val="000875EC"/>
    <w:rsid w:val="00087647"/>
    <w:rsid w:val="00087691"/>
    <w:rsid w:val="000877AC"/>
    <w:rsid w:val="000877F9"/>
    <w:rsid w:val="00087808"/>
    <w:rsid w:val="00087831"/>
    <w:rsid w:val="0008798D"/>
    <w:rsid w:val="00087A38"/>
    <w:rsid w:val="00087A46"/>
    <w:rsid w:val="00087AC5"/>
    <w:rsid w:val="00087C5F"/>
    <w:rsid w:val="00087E0A"/>
    <w:rsid w:val="00087F90"/>
    <w:rsid w:val="00087FE2"/>
    <w:rsid w:val="0009000B"/>
    <w:rsid w:val="000900E6"/>
    <w:rsid w:val="0009011C"/>
    <w:rsid w:val="0009019B"/>
    <w:rsid w:val="00090370"/>
    <w:rsid w:val="00090447"/>
    <w:rsid w:val="000905B5"/>
    <w:rsid w:val="000905D7"/>
    <w:rsid w:val="000906CF"/>
    <w:rsid w:val="00090722"/>
    <w:rsid w:val="000907BB"/>
    <w:rsid w:val="000907D2"/>
    <w:rsid w:val="00090808"/>
    <w:rsid w:val="000908F7"/>
    <w:rsid w:val="000909E3"/>
    <w:rsid w:val="00090B03"/>
    <w:rsid w:val="00090B74"/>
    <w:rsid w:val="00090BEF"/>
    <w:rsid w:val="00090CB9"/>
    <w:rsid w:val="00090CFD"/>
    <w:rsid w:val="00090D1C"/>
    <w:rsid w:val="00090D68"/>
    <w:rsid w:val="00090DAF"/>
    <w:rsid w:val="00090DC3"/>
    <w:rsid w:val="00090E3E"/>
    <w:rsid w:val="00090EE9"/>
    <w:rsid w:val="000910FB"/>
    <w:rsid w:val="0009113A"/>
    <w:rsid w:val="00091143"/>
    <w:rsid w:val="000911F5"/>
    <w:rsid w:val="000913AE"/>
    <w:rsid w:val="0009143C"/>
    <w:rsid w:val="00091553"/>
    <w:rsid w:val="00091681"/>
    <w:rsid w:val="0009169A"/>
    <w:rsid w:val="000917C3"/>
    <w:rsid w:val="000917C7"/>
    <w:rsid w:val="000917F0"/>
    <w:rsid w:val="000918DF"/>
    <w:rsid w:val="00091971"/>
    <w:rsid w:val="00091A78"/>
    <w:rsid w:val="00091B73"/>
    <w:rsid w:val="00091C54"/>
    <w:rsid w:val="00091C63"/>
    <w:rsid w:val="00091E1A"/>
    <w:rsid w:val="00091E51"/>
    <w:rsid w:val="00091EA9"/>
    <w:rsid w:val="00091EF6"/>
    <w:rsid w:val="00091F61"/>
    <w:rsid w:val="00091FFC"/>
    <w:rsid w:val="00092021"/>
    <w:rsid w:val="00092174"/>
    <w:rsid w:val="000921F8"/>
    <w:rsid w:val="000922D5"/>
    <w:rsid w:val="00092313"/>
    <w:rsid w:val="00092341"/>
    <w:rsid w:val="000923F6"/>
    <w:rsid w:val="0009240C"/>
    <w:rsid w:val="00092552"/>
    <w:rsid w:val="0009263D"/>
    <w:rsid w:val="000926A4"/>
    <w:rsid w:val="000926F4"/>
    <w:rsid w:val="00092708"/>
    <w:rsid w:val="00092742"/>
    <w:rsid w:val="000928B9"/>
    <w:rsid w:val="000928C6"/>
    <w:rsid w:val="00092B5A"/>
    <w:rsid w:val="00092B73"/>
    <w:rsid w:val="00092DB6"/>
    <w:rsid w:val="000930E2"/>
    <w:rsid w:val="00093210"/>
    <w:rsid w:val="000933F0"/>
    <w:rsid w:val="00093479"/>
    <w:rsid w:val="000934ED"/>
    <w:rsid w:val="00093532"/>
    <w:rsid w:val="0009363C"/>
    <w:rsid w:val="00093650"/>
    <w:rsid w:val="000936F3"/>
    <w:rsid w:val="0009373D"/>
    <w:rsid w:val="00093783"/>
    <w:rsid w:val="000937A8"/>
    <w:rsid w:val="000937F3"/>
    <w:rsid w:val="00093800"/>
    <w:rsid w:val="000939A8"/>
    <w:rsid w:val="00093AA3"/>
    <w:rsid w:val="00093AA8"/>
    <w:rsid w:val="00093B1A"/>
    <w:rsid w:val="00093B57"/>
    <w:rsid w:val="00093C5E"/>
    <w:rsid w:val="00093CCA"/>
    <w:rsid w:val="00093D86"/>
    <w:rsid w:val="00093E3F"/>
    <w:rsid w:val="00093F2F"/>
    <w:rsid w:val="00094047"/>
    <w:rsid w:val="00094173"/>
    <w:rsid w:val="000943EC"/>
    <w:rsid w:val="00094408"/>
    <w:rsid w:val="00094429"/>
    <w:rsid w:val="000944DC"/>
    <w:rsid w:val="00094560"/>
    <w:rsid w:val="00094565"/>
    <w:rsid w:val="000945BD"/>
    <w:rsid w:val="000945D6"/>
    <w:rsid w:val="000946B5"/>
    <w:rsid w:val="000946CB"/>
    <w:rsid w:val="0009471F"/>
    <w:rsid w:val="0009495D"/>
    <w:rsid w:val="00094973"/>
    <w:rsid w:val="00094982"/>
    <w:rsid w:val="00094A04"/>
    <w:rsid w:val="00094A9C"/>
    <w:rsid w:val="00094BE4"/>
    <w:rsid w:val="00094C23"/>
    <w:rsid w:val="00094D46"/>
    <w:rsid w:val="00094E1E"/>
    <w:rsid w:val="00094EF6"/>
    <w:rsid w:val="00095016"/>
    <w:rsid w:val="00095151"/>
    <w:rsid w:val="000952D6"/>
    <w:rsid w:val="00095320"/>
    <w:rsid w:val="000953A7"/>
    <w:rsid w:val="00095475"/>
    <w:rsid w:val="00095591"/>
    <w:rsid w:val="00095677"/>
    <w:rsid w:val="00095A0D"/>
    <w:rsid w:val="00095AEE"/>
    <w:rsid w:val="00095B76"/>
    <w:rsid w:val="00095D5C"/>
    <w:rsid w:val="00095EC9"/>
    <w:rsid w:val="00095EE2"/>
    <w:rsid w:val="0009602A"/>
    <w:rsid w:val="00096099"/>
    <w:rsid w:val="0009609B"/>
    <w:rsid w:val="000960B6"/>
    <w:rsid w:val="000961D8"/>
    <w:rsid w:val="000961FF"/>
    <w:rsid w:val="000962D8"/>
    <w:rsid w:val="00096396"/>
    <w:rsid w:val="0009643D"/>
    <w:rsid w:val="0009670E"/>
    <w:rsid w:val="0009671F"/>
    <w:rsid w:val="000967B2"/>
    <w:rsid w:val="0009680E"/>
    <w:rsid w:val="0009686A"/>
    <w:rsid w:val="00096964"/>
    <w:rsid w:val="00096BF5"/>
    <w:rsid w:val="00096D66"/>
    <w:rsid w:val="00096DC0"/>
    <w:rsid w:val="00096E1F"/>
    <w:rsid w:val="00096E29"/>
    <w:rsid w:val="00097068"/>
    <w:rsid w:val="000970F0"/>
    <w:rsid w:val="0009711F"/>
    <w:rsid w:val="0009721F"/>
    <w:rsid w:val="00097261"/>
    <w:rsid w:val="00097271"/>
    <w:rsid w:val="000972E5"/>
    <w:rsid w:val="000972F6"/>
    <w:rsid w:val="000974E0"/>
    <w:rsid w:val="000975D0"/>
    <w:rsid w:val="0009760C"/>
    <w:rsid w:val="000976BD"/>
    <w:rsid w:val="00097775"/>
    <w:rsid w:val="0009785C"/>
    <w:rsid w:val="000978B4"/>
    <w:rsid w:val="00097929"/>
    <w:rsid w:val="0009798C"/>
    <w:rsid w:val="00097B3F"/>
    <w:rsid w:val="00097B56"/>
    <w:rsid w:val="00097B73"/>
    <w:rsid w:val="00097BED"/>
    <w:rsid w:val="00097C5C"/>
    <w:rsid w:val="00097CC3"/>
    <w:rsid w:val="00097E7A"/>
    <w:rsid w:val="00097E7F"/>
    <w:rsid w:val="00097EF9"/>
    <w:rsid w:val="000A0039"/>
    <w:rsid w:val="000A005D"/>
    <w:rsid w:val="000A0183"/>
    <w:rsid w:val="000A02F5"/>
    <w:rsid w:val="000A0317"/>
    <w:rsid w:val="000A0324"/>
    <w:rsid w:val="000A03D4"/>
    <w:rsid w:val="000A0490"/>
    <w:rsid w:val="000A04DE"/>
    <w:rsid w:val="000A0614"/>
    <w:rsid w:val="000A075F"/>
    <w:rsid w:val="000A0806"/>
    <w:rsid w:val="000A084E"/>
    <w:rsid w:val="000A0957"/>
    <w:rsid w:val="000A0AF0"/>
    <w:rsid w:val="000A0B2E"/>
    <w:rsid w:val="000A0C25"/>
    <w:rsid w:val="000A0C73"/>
    <w:rsid w:val="000A0CFC"/>
    <w:rsid w:val="000A0D2D"/>
    <w:rsid w:val="000A0D47"/>
    <w:rsid w:val="000A0DAD"/>
    <w:rsid w:val="000A0DEF"/>
    <w:rsid w:val="000A0FC5"/>
    <w:rsid w:val="000A0FE4"/>
    <w:rsid w:val="000A1072"/>
    <w:rsid w:val="000A10E9"/>
    <w:rsid w:val="000A12B1"/>
    <w:rsid w:val="000A1391"/>
    <w:rsid w:val="000A13D6"/>
    <w:rsid w:val="000A15E1"/>
    <w:rsid w:val="000A1614"/>
    <w:rsid w:val="000A17A7"/>
    <w:rsid w:val="000A17EC"/>
    <w:rsid w:val="000A1990"/>
    <w:rsid w:val="000A1A70"/>
    <w:rsid w:val="000A1A95"/>
    <w:rsid w:val="000A1BD7"/>
    <w:rsid w:val="000A1C51"/>
    <w:rsid w:val="000A1C64"/>
    <w:rsid w:val="000A1EAA"/>
    <w:rsid w:val="000A1FDC"/>
    <w:rsid w:val="000A2002"/>
    <w:rsid w:val="000A2018"/>
    <w:rsid w:val="000A2075"/>
    <w:rsid w:val="000A20A0"/>
    <w:rsid w:val="000A20CB"/>
    <w:rsid w:val="000A216F"/>
    <w:rsid w:val="000A2255"/>
    <w:rsid w:val="000A244F"/>
    <w:rsid w:val="000A2684"/>
    <w:rsid w:val="000A26A8"/>
    <w:rsid w:val="000A26DF"/>
    <w:rsid w:val="000A2709"/>
    <w:rsid w:val="000A270D"/>
    <w:rsid w:val="000A283B"/>
    <w:rsid w:val="000A2951"/>
    <w:rsid w:val="000A29BB"/>
    <w:rsid w:val="000A29C7"/>
    <w:rsid w:val="000A2A04"/>
    <w:rsid w:val="000A2AFA"/>
    <w:rsid w:val="000A2AFF"/>
    <w:rsid w:val="000A2B1F"/>
    <w:rsid w:val="000A2B3F"/>
    <w:rsid w:val="000A2B87"/>
    <w:rsid w:val="000A2D39"/>
    <w:rsid w:val="000A2D5D"/>
    <w:rsid w:val="000A2E12"/>
    <w:rsid w:val="000A2E25"/>
    <w:rsid w:val="000A2E7C"/>
    <w:rsid w:val="000A2FB9"/>
    <w:rsid w:val="000A308D"/>
    <w:rsid w:val="000A317E"/>
    <w:rsid w:val="000A3282"/>
    <w:rsid w:val="000A32A8"/>
    <w:rsid w:val="000A32E2"/>
    <w:rsid w:val="000A3342"/>
    <w:rsid w:val="000A3416"/>
    <w:rsid w:val="000A34AE"/>
    <w:rsid w:val="000A3588"/>
    <w:rsid w:val="000A3598"/>
    <w:rsid w:val="000A369B"/>
    <w:rsid w:val="000A377F"/>
    <w:rsid w:val="000A37E3"/>
    <w:rsid w:val="000A3844"/>
    <w:rsid w:val="000A3AE7"/>
    <w:rsid w:val="000A3B06"/>
    <w:rsid w:val="000A3B29"/>
    <w:rsid w:val="000A3B41"/>
    <w:rsid w:val="000A3B94"/>
    <w:rsid w:val="000A3BB4"/>
    <w:rsid w:val="000A3C2E"/>
    <w:rsid w:val="000A3DB9"/>
    <w:rsid w:val="000A3E65"/>
    <w:rsid w:val="000A4059"/>
    <w:rsid w:val="000A407D"/>
    <w:rsid w:val="000A40E3"/>
    <w:rsid w:val="000A413A"/>
    <w:rsid w:val="000A439D"/>
    <w:rsid w:val="000A44C9"/>
    <w:rsid w:val="000A44E1"/>
    <w:rsid w:val="000A452E"/>
    <w:rsid w:val="000A4663"/>
    <w:rsid w:val="000A4688"/>
    <w:rsid w:val="000A46CA"/>
    <w:rsid w:val="000A46FB"/>
    <w:rsid w:val="000A49C1"/>
    <w:rsid w:val="000A4A5B"/>
    <w:rsid w:val="000A4AAC"/>
    <w:rsid w:val="000A4AAE"/>
    <w:rsid w:val="000A4B75"/>
    <w:rsid w:val="000A4C59"/>
    <w:rsid w:val="000A4C96"/>
    <w:rsid w:val="000A4D06"/>
    <w:rsid w:val="000A4F71"/>
    <w:rsid w:val="000A4FC7"/>
    <w:rsid w:val="000A529F"/>
    <w:rsid w:val="000A557A"/>
    <w:rsid w:val="000A55AE"/>
    <w:rsid w:val="000A57F4"/>
    <w:rsid w:val="000A581B"/>
    <w:rsid w:val="000A5894"/>
    <w:rsid w:val="000A5899"/>
    <w:rsid w:val="000A58E5"/>
    <w:rsid w:val="000A5B0F"/>
    <w:rsid w:val="000A5B44"/>
    <w:rsid w:val="000A5B5A"/>
    <w:rsid w:val="000A5C08"/>
    <w:rsid w:val="000A5D20"/>
    <w:rsid w:val="000A5DB8"/>
    <w:rsid w:val="000A5DF3"/>
    <w:rsid w:val="000A5FD0"/>
    <w:rsid w:val="000A60E8"/>
    <w:rsid w:val="000A60FD"/>
    <w:rsid w:val="000A6133"/>
    <w:rsid w:val="000A6160"/>
    <w:rsid w:val="000A6196"/>
    <w:rsid w:val="000A621B"/>
    <w:rsid w:val="000A62AF"/>
    <w:rsid w:val="000A640E"/>
    <w:rsid w:val="000A675E"/>
    <w:rsid w:val="000A681E"/>
    <w:rsid w:val="000A6B0F"/>
    <w:rsid w:val="000A6C60"/>
    <w:rsid w:val="000A6DCB"/>
    <w:rsid w:val="000A6E5B"/>
    <w:rsid w:val="000A6E6A"/>
    <w:rsid w:val="000A6EA4"/>
    <w:rsid w:val="000A6EAE"/>
    <w:rsid w:val="000A6F14"/>
    <w:rsid w:val="000A6F1A"/>
    <w:rsid w:val="000A701C"/>
    <w:rsid w:val="000A7020"/>
    <w:rsid w:val="000A70A2"/>
    <w:rsid w:val="000A7122"/>
    <w:rsid w:val="000A713E"/>
    <w:rsid w:val="000A7163"/>
    <w:rsid w:val="000A73CE"/>
    <w:rsid w:val="000A73D7"/>
    <w:rsid w:val="000A745F"/>
    <w:rsid w:val="000A7547"/>
    <w:rsid w:val="000A764A"/>
    <w:rsid w:val="000A7664"/>
    <w:rsid w:val="000A7691"/>
    <w:rsid w:val="000A77F3"/>
    <w:rsid w:val="000A77FB"/>
    <w:rsid w:val="000A7A36"/>
    <w:rsid w:val="000A7A7A"/>
    <w:rsid w:val="000A7AAB"/>
    <w:rsid w:val="000A7B56"/>
    <w:rsid w:val="000A7BD8"/>
    <w:rsid w:val="000A7C98"/>
    <w:rsid w:val="000A7CB6"/>
    <w:rsid w:val="000A7D74"/>
    <w:rsid w:val="000A7F05"/>
    <w:rsid w:val="000B0062"/>
    <w:rsid w:val="000B00C7"/>
    <w:rsid w:val="000B042A"/>
    <w:rsid w:val="000B04E7"/>
    <w:rsid w:val="000B0568"/>
    <w:rsid w:val="000B0630"/>
    <w:rsid w:val="000B078A"/>
    <w:rsid w:val="000B07AC"/>
    <w:rsid w:val="000B09AC"/>
    <w:rsid w:val="000B0C8C"/>
    <w:rsid w:val="000B0C9A"/>
    <w:rsid w:val="000B0DDD"/>
    <w:rsid w:val="000B0E30"/>
    <w:rsid w:val="000B0E5C"/>
    <w:rsid w:val="000B0ED0"/>
    <w:rsid w:val="000B0FE6"/>
    <w:rsid w:val="000B10F6"/>
    <w:rsid w:val="000B114D"/>
    <w:rsid w:val="000B119E"/>
    <w:rsid w:val="000B11BE"/>
    <w:rsid w:val="000B11DC"/>
    <w:rsid w:val="000B1215"/>
    <w:rsid w:val="000B135B"/>
    <w:rsid w:val="000B136C"/>
    <w:rsid w:val="000B144E"/>
    <w:rsid w:val="000B1462"/>
    <w:rsid w:val="000B1496"/>
    <w:rsid w:val="000B1592"/>
    <w:rsid w:val="000B1610"/>
    <w:rsid w:val="000B1690"/>
    <w:rsid w:val="000B1860"/>
    <w:rsid w:val="000B18F2"/>
    <w:rsid w:val="000B19CE"/>
    <w:rsid w:val="000B1AB3"/>
    <w:rsid w:val="000B1B67"/>
    <w:rsid w:val="000B1C2B"/>
    <w:rsid w:val="000B1C48"/>
    <w:rsid w:val="000B1F18"/>
    <w:rsid w:val="000B1F21"/>
    <w:rsid w:val="000B2146"/>
    <w:rsid w:val="000B2155"/>
    <w:rsid w:val="000B218E"/>
    <w:rsid w:val="000B2481"/>
    <w:rsid w:val="000B2519"/>
    <w:rsid w:val="000B25F1"/>
    <w:rsid w:val="000B275E"/>
    <w:rsid w:val="000B2774"/>
    <w:rsid w:val="000B2891"/>
    <w:rsid w:val="000B2961"/>
    <w:rsid w:val="000B2B62"/>
    <w:rsid w:val="000B2B8B"/>
    <w:rsid w:val="000B2C58"/>
    <w:rsid w:val="000B2E3C"/>
    <w:rsid w:val="000B2F9F"/>
    <w:rsid w:val="000B2FD7"/>
    <w:rsid w:val="000B2FE5"/>
    <w:rsid w:val="000B3103"/>
    <w:rsid w:val="000B313E"/>
    <w:rsid w:val="000B31DB"/>
    <w:rsid w:val="000B33DE"/>
    <w:rsid w:val="000B33EB"/>
    <w:rsid w:val="000B34AA"/>
    <w:rsid w:val="000B3735"/>
    <w:rsid w:val="000B374B"/>
    <w:rsid w:val="000B3815"/>
    <w:rsid w:val="000B3A1F"/>
    <w:rsid w:val="000B3DB8"/>
    <w:rsid w:val="000B3F51"/>
    <w:rsid w:val="000B4008"/>
    <w:rsid w:val="000B4067"/>
    <w:rsid w:val="000B4144"/>
    <w:rsid w:val="000B4178"/>
    <w:rsid w:val="000B41AE"/>
    <w:rsid w:val="000B426A"/>
    <w:rsid w:val="000B438F"/>
    <w:rsid w:val="000B43EF"/>
    <w:rsid w:val="000B44B9"/>
    <w:rsid w:val="000B46EA"/>
    <w:rsid w:val="000B486B"/>
    <w:rsid w:val="000B48A5"/>
    <w:rsid w:val="000B4943"/>
    <w:rsid w:val="000B4979"/>
    <w:rsid w:val="000B49E8"/>
    <w:rsid w:val="000B4A22"/>
    <w:rsid w:val="000B4AB6"/>
    <w:rsid w:val="000B4B86"/>
    <w:rsid w:val="000B4DE3"/>
    <w:rsid w:val="000B4E01"/>
    <w:rsid w:val="000B4EE6"/>
    <w:rsid w:val="000B4F35"/>
    <w:rsid w:val="000B50A4"/>
    <w:rsid w:val="000B5119"/>
    <w:rsid w:val="000B5147"/>
    <w:rsid w:val="000B524A"/>
    <w:rsid w:val="000B52E0"/>
    <w:rsid w:val="000B54F1"/>
    <w:rsid w:val="000B5696"/>
    <w:rsid w:val="000B5885"/>
    <w:rsid w:val="000B58A7"/>
    <w:rsid w:val="000B595E"/>
    <w:rsid w:val="000B5A30"/>
    <w:rsid w:val="000B5A54"/>
    <w:rsid w:val="000B5C86"/>
    <w:rsid w:val="000B5C91"/>
    <w:rsid w:val="000B5CB0"/>
    <w:rsid w:val="000B5E34"/>
    <w:rsid w:val="000B5E6A"/>
    <w:rsid w:val="000B5E9D"/>
    <w:rsid w:val="000B600B"/>
    <w:rsid w:val="000B6478"/>
    <w:rsid w:val="000B65FD"/>
    <w:rsid w:val="000B68D3"/>
    <w:rsid w:val="000B68DF"/>
    <w:rsid w:val="000B69F6"/>
    <w:rsid w:val="000B6AB4"/>
    <w:rsid w:val="000B6B56"/>
    <w:rsid w:val="000B6B64"/>
    <w:rsid w:val="000B6C05"/>
    <w:rsid w:val="000B6C28"/>
    <w:rsid w:val="000B6CF9"/>
    <w:rsid w:val="000B6D49"/>
    <w:rsid w:val="000B6EDE"/>
    <w:rsid w:val="000B6F85"/>
    <w:rsid w:val="000B71B6"/>
    <w:rsid w:val="000B7322"/>
    <w:rsid w:val="000B745D"/>
    <w:rsid w:val="000B750E"/>
    <w:rsid w:val="000B75AB"/>
    <w:rsid w:val="000B75E2"/>
    <w:rsid w:val="000B787F"/>
    <w:rsid w:val="000B78DF"/>
    <w:rsid w:val="000B7A18"/>
    <w:rsid w:val="000B7BA4"/>
    <w:rsid w:val="000B7C0A"/>
    <w:rsid w:val="000B7D45"/>
    <w:rsid w:val="000B7EB2"/>
    <w:rsid w:val="000B7EC9"/>
    <w:rsid w:val="000B7F46"/>
    <w:rsid w:val="000C00F4"/>
    <w:rsid w:val="000C01FF"/>
    <w:rsid w:val="000C0231"/>
    <w:rsid w:val="000C040E"/>
    <w:rsid w:val="000C0453"/>
    <w:rsid w:val="000C0567"/>
    <w:rsid w:val="000C057B"/>
    <w:rsid w:val="000C060B"/>
    <w:rsid w:val="000C0668"/>
    <w:rsid w:val="000C0755"/>
    <w:rsid w:val="000C0786"/>
    <w:rsid w:val="000C07BC"/>
    <w:rsid w:val="000C08AE"/>
    <w:rsid w:val="000C0947"/>
    <w:rsid w:val="000C0BB2"/>
    <w:rsid w:val="000C0DE9"/>
    <w:rsid w:val="000C0DFE"/>
    <w:rsid w:val="000C0E89"/>
    <w:rsid w:val="000C0ED3"/>
    <w:rsid w:val="000C0FC0"/>
    <w:rsid w:val="000C10EC"/>
    <w:rsid w:val="000C1140"/>
    <w:rsid w:val="000C114C"/>
    <w:rsid w:val="000C128F"/>
    <w:rsid w:val="000C133C"/>
    <w:rsid w:val="000C15DE"/>
    <w:rsid w:val="000C16C1"/>
    <w:rsid w:val="000C1702"/>
    <w:rsid w:val="000C1789"/>
    <w:rsid w:val="000C191B"/>
    <w:rsid w:val="000C19F3"/>
    <w:rsid w:val="000C1BEF"/>
    <w:rsid w:val="000C1CA4"/>
    <w:rsid w:val="000C1CDC"/>
    <w:rsid w:val="000C1D58"/>
    <w:rsid w:val="000C1E17"/>
    <w:rsid w:val="000C1E3F"/>
    <w:rsid w:val="000C1E91"/>
    <w:rsid w:val="000C1EF1"/>
    <w:rsid w:val="000C1FE8"/>
    <w:rsid w:val="000C2039"/>
    <w:rsid w:val="000C2087"/>
    <w:rsid w:val="000C208F"/>
    <w:rsid w:val="000C20BD"/>
    <w:rsid w:val="000C210F"/>
    <w:rsid w:val="000C2256"/>
    <w:rsid w:val="000C23C4"/>
    <w:rsid w:val="000C23F9"/>
    <w:rsid w:val="000C2407"/>
    <w:rsid w:val="000C248F"/>
    <w:rsid w:val="000C257B"/>
    <w:rsid w:val="000C25C3"/>
    <w:rsid w:val="000C274F"/>
    <w:rsid w:val="000C28C8"/>
    <w:rsid w:val="000C29F7"/>
    <w:rsid w:val="000C2ACF"/>
    <w:rsid w:val="000C2B24"/>
    <w:rsid w:val="000C2D6F"/>
    <w:rsid w:val="000C2D96"/>
    <w:rsid w:val="000C2F3D"/>
    <w:rsid w:val="000C302B"/>
    <w:rsid w:val="000C305E"/>
    <w:rsid w:val="000C3093"/>
    <w:rsid w:val="000C30E3"/>
    <w:rsid w:val="000C30E4"/>
    <w:rsid w:val="000C3193"/>
    <w:rsid w:val="000C31C0"/>
    <w:rsid w:val="000C3233"/>
    <w:rsid w:val="000C3355"/>
    <w:rsid w:val="000C34C0"/>
    <w:rsid w:val="000C350D"/>
    <w:rsid w:val="000C364C"/>
    <w:rsid w:val="000C375A"/>
    <w:rsid w:val="000C3789"/>
    <w:rsid w:val="000C3927"/>
    <w:rsid w:val="000C395C"/>
    <w:rsid w:val="000C39BE"/>
    <w:rsid w:val="000C3AD5"/>
    <w:rsid w:val="000C3B71"/>
    <w:rsid w:val="000C3BCA"/>
    <w:rsid w:val="000C3BF5"/>
    <w:rsid w:val="000C3C97"/>
    <w:rsid w:val="000C3D49"/>
    <w:rsid w:val="000C3E24"/>
    <w:rsid w:val="000C3E91"/>
    <w:rsid w:val="000C3E93"/>
    <w:rsid w:val="000C3E9C"/>
    <w:rsid w:val="000C3EC5"/>
    <w:rsid w:val="000C412F"/>
    <w:rsid w:val="000C42D3"/>
    <w:rsid w:val="000C44BB"/>
    <w:rsid w:val="000C455D"/>
    <w:rsid w:val="000C45E7"/>
    <w:rsid w:val="000C4663"/>
    <w:rsid w:val="000C4668"/>
    <w:rsid w:val="000C466B"/>
    <w:rsid w:val="000C4717"/>
    <w:rsid w:val="000C479C"/>
    <w:rsid w:val="000C4B2D"/>
    <w:rsid w:val="000C4BAD"/>
    <w:rsid w:val="000C4CD4"/>
    <w:rsid w:val="000C4D7A"/>
    <w:rsid w:val="000C4D9B"/>
    <w:rsid w:val="000C4E21"/>
    <w:rsid w:val="000C4E58"/>
    <w:rsid w:val="000C4F16"/>
    <w:rsid w:val="000C5103"/>
    <w:rsid w:val="000C52DE"/>
    <w:rsid w:val="000C533F"/>
    <w:rsid w:val="000C5341"/>
    <w:rsid w:val="000C536C"/>
    <w:rsid w:val="000C537B"/>
    <w:rsid w:val="000C5394"/>
    <w:rsid w:val="000C53AE"/>
    <w:rsid w:val="000C54A6"/>
    <w:rsid w:val="000C5671"/>
    <w:rsid w:val="000C567C"/>
    <w:rsid w:val="000C57C2"/>
    <w:rsid w:val="000C5873"/>
    <w:rsid w:val="000C5A6A"/>
    <w:rsid w:val="000C5B61"/>
    <w:rsid w:val="000C5C84"/>
    <w:rsid w:val="000C5D3B"/>
    <w:rsid w:val="000C5DA1"/>
    <w:rsid w:val="000C5E1F"/>
    <w:rsid w:val="000C5E9D"/>
    <w:rsid w:val="000C5EA5"/>
    <w:rsid w:val="000C5EEC"/>
    <w:rsid w:val="000C5FD3"/>
    <w:rsid w:val="000C6008"/>
    <w:rsid w:val="000C6033"/>
    <w:rsid w:val="000C6086"/>
    <w:rsid w:val="000C6099"/>
    <w:rsid w:val="000C617A"/>
    <w:rsid w:val="000C61D0"/>
    <w:rsid w:val="000C622B"/>
    <w:rsid w:val="000C629F"/>
    <w:rsid w:val="000C63A4"/>
    <w:rsid w:val="000C63EE"/>
    <w:rsid w:val="000C64D6"/>
    <w:rsid w:val="000C6578"/>
    <w:rsid w:val="000C65A0"/>
    <w:rsid w:val="000C65D3"/>
    <w:rsid w:val="000C661B"/>
    <w:rsid w:val="000C687E"/>
    <w:rsid w:val="000C691F"/>
    <w:rsid w:val="000C6991"/>
    <w:rsid w:val="000C6B92"/>
    <w:rsid w:val="000C6BF5"/>
    <w:rsid w:val="000C6CCF"/>
    <w:rsid w:val="000C6EC5"/>
    <w:rsid w:val="000C6F56"/>
    <w:rsid w:val="000C6F97"/>
    <w:rsid w:val="000C6FD4"/>
    <w:rsid w:val="000C7081"/>
    <w:rsid w:val="000C70B1"/>
    <w:rsid w:val="000C7141"/>
    <w:rsid w:val="000C7158"/>
    <w:rsid w:val="000C71A4"/>
    <w:rsid w:val="000C7332"/>
    <w:rsid w:val="000C733A"/>
    <w:rsid w:val="000C766B"/>
    <w:rsid w:val="000C7784"/>
    <w:rsid w:val="000C78E6"/>
    <w:rsid w:val="000C7B34"/>
    <w:rsid w:val="000C7B7D"/>
    <w:rsid w:val="000C7C84"/>
    <w:rsid w:val="000C7CCB"/>
    <w:rsid w:val="000C7CFA"/>
    <w:rsid w:val="000C7D6A"/>
    <w:rsid w:val="000C7DF0"/>
    <w:rsid w:val="000C7E32"/>
    <w:rsid w:val="000C7EC2"/>
    <w:rsid w:val="000C7F11"/>
    <w:rsid w:val="000C7F80"/>
    <w:rsid w:val="000C7FCE"/>
    <w:rsid w:val="000D0190"/>
    <w:rsid w:val="000D0273"/>
    <w:rsid w:val="000D02BE"/>
    <w:rsid w:val="000D0424"/>
    <w:rsid w:val="000D04AC"/>
    <w:rsid w:val="000D04D8"/>
    <w:rsid w:val="000D04FD"/>
    <w:rsid w:val="000D0591"/>
    <w:rsid w:val="000D0595"/>
    <w:rsid w:val="000D060F"/>
    <w:rsid w:val="000D08E9"/>
    <w:rsid w:val="000D095F"/>
    <w:rsid w:val="000D0A53"/>
    <w:rsid w:val="000D0D7D"/>
    <w:rsid w:val="000D0D90"/>
    <w:rsid w:val="000D0DCD"/>
    <w:rsid w:val="000D0F4F"/>
    <w:rsid w:val="000D0FB8"/>
    <w:rsid w:val="000D1054"/>
    <w:rsid w:val="000D107A"/>
    <w:rsid w:val="000D1129"/>
    <w:rsid w:val="000D1199"/>
    <w:rsid w:val="000D120F"/>
    <w:rsid w:val="000D1211"/>
    <w:rsid w:val="000D1235"/>
    <w:rsid w:val="000D12B1"/>
    <w:rsid w:val="000D1313"/>
    <w:rsid w:val="000D13AF"/>
    <w:rsid w:val="000D150A"/>
    <w:rsid w:val="000D1538"/>
    <w:rsid w:val="000D15B4"/>
    <w:rsid w:val="000D1617"/>
    <w:rsid w:val="000D166A"/>
    <w:rsid w:val="000D16FF"/>
    <w:rsid w:val="000D1885"/>
    <w:rsid w:val="000D19F9"/>
    <w:rsid w:val="000D1C1D"/>
    <w:rsid w:val="000D1CB9"/>
    <w:rsid w:val="000D1CE3"/>
    <w:rsid w:val="000D1D49"/>
    <w:rsid w:val="000D1D93"/>
    <w:rsid w:val="000D1DB3"/>
    <w:rsid w:val="000D1DD4"/>
    <w:rsid w:val="000D1E50"/>
    <w:rsid w:val="000D1EFB"/>
    <w:rsid w:val="000D1F1C"/>
    <w:rsid w:val="000D1F31"/>
    <w:rsid w:val="000D1F98"/>
    <w:rsid w:val="000D22C4"/>
    <w:rsid w:val="000D239B"/>
    <w:rsid w:val="000D23A6"/>
    <w:rsid w:val="000D2448"/>
    <w:rsid w:val="000D24AA"/>
    <w:rsid w:val="000D24C6"/>
    <w:rsid w:val="000D255F"/>
    <w:rsid w:val="000D2564"/>
    <w:rsid w:val="000D2703"/>
    <w:rsid w:val="000D2793"/>
    <w:rsid w:val="000D283E"/>
    <w:rsid w:val="000D2872"/>
    <w:rsid w:val="000D2873"/>
    <w:rsid w:val="000D28E3"/>
    <w:rsid w:val="000D2AB1"/>
    <w:rsid w:val="000D2AB6"/>
    <w:rsid w:val="000D2CAE"/>
    <w:rsid w:val="000D2DCC"/>
    <w:rsid w:val="000D2DE0"/>
    <w:rsid w:val="000D2E01"/>
    <w:rsid w:val="000D2EF2"/>
    <w:rsid w:val="000D2F0E"/>
    <w:rsid w:val="000D2F5C"/>
    <w:rsid w:val="000D2FA6"/>
    <w:rsid w:val="000D2FDA"/>
    <w:rsid w:val="000D30BA"/>
    <w:rsid w:val="000D32C0"/>
    <w:rsid w:val="000D338D"/>
    <w:rsid w:val="000D3401"/>
    <w:rsid w:val="000D34BF"/>
    <w:rsid w:val="000D34CE"/>
    <w:rsid w:val="000D34EB"/>
    <w:rsid w:val="000D34FE"/>
    <w:rsid w:val="000D3527"/>
    <w:rsid w:val="000D3591"/>
    <w:rsid w:val="000D35CE"/>
    <w:rsid w:val="000D363B"/>
    <w:rsid w:val="000D375B"/>
    <w:rsid w:val="000D37C3"/>
    <w:rsid w:val="000D37E2"/>
    <w:rsid w:val="000D3A1A"/>
    <w:rsid w:val="000D3A73"/>
    <w:rsid w:val="000D3B2B"/>
    <w:rsid w:val="000D3E27"/>
    <w:rsid w:val="000D3E4A"/>
    <w:rsid w:val="000D3EBE"/>
    <w:rsid w:val="000D3F25"/>
    <w:rsid w:val="000D3FC2"/>
    <w:rsid w:val="000D4060"/>
    <w:rsid w:val="000D40C1"/>
    <w:rsid w:val="000D4174"/>
    <w:rsid w:val="000D41A2"/>
    <w:rsid w:val="000D41B5"/>
    <w:rsid w:val="000D42F6"/>
    <w:rsid w:val="000D4357"/>
    <w:rsid w:val="000D4389"/>
    <w:rsid w:val="000D43BA"/>
    <w:rsid w:val="000D445D"/>
    <w:rsid w:val="000D44DA"/>
    <w:rsid w:val="000D45A6"/>
    <w:rsid w:val="000D45C5"/>
    <w:rsid w:val="000D4626"/>
    <w:rsid w:val="000D46B8"/>
    <w:rsid w:val="000D4713"/>
    <w:rsid w:val="000D4723"/>
    <w:rsid w:val="000D478E"/>
    <w:rsid w:val="000D47D7"/>
    <w:rsid w:val="000D48BE"/>
    <w:rsid w:val="000D4904"/>
    <w:rsid w:val="000D4975"/>
    <w:rsid w:val="000D4A79"/>
    <w:rsid w:val="000D4AA4"/>
    <w:rsid w:val="000D4BC4"/>
    <w:rsid w:val="000D4CAF"/>
    <w:rsid w:val="000D4D44"/>
    <w:rsid w:val="000D4D57"/>
    <w:rsid w:val="000D4DA3"/>
    <w:rsid w:val="000D4E87"/>
    <w:rsid w:val="000D4F42"/>
    <w:rsid w:val="000D4F8F"/>
    <w:rsid w:val="000D5265"/>
    <w:rsid w:val="000D52F9"/>
    <w:rsid w:val="000D5364"/>
    <w:rsid w:val="000D5395"/>
    <w:rsid w:val="000D53A6"/>
    <w:rsid w:val="000D53AC"/>
    <w:rsid w:val="000D53D3"/>
    <w:rsid w:val="000D548D"/>
    <w:rsid w:val="000D5581"/>
    <w:rsid w:val="000D5629"/>
    <w:rsid w:val="000D5644"/>
    <w:rsid w:val="000D576C"/>
    <w:rsid w:val="000D579A"/>
    <w:rsid w:val="000D57E6"/>
    <w:rsid w:val="000D5894"/>
    <w:rsid w:val="000D5929"/>
    <w:rsid w:val="000D5976"/>
    <w:rsid w:val="000D5A14"/>
    <w:rsid w:val="000D5ADB"/>
    <w:rsid w:val="000D5BC8"/>
    <w:rsid w:val="000D5C8E"/>
    <w:rsid w:val="000D5D60"/>
    <w:rsid w:val="000D5D97"/>
    <w:rsid w:val="000D5E64"/>
    <w:rsid w:val="000D5F16"/>
    <w:rsid w:val="000D5F17"/>
    <w:rsid w:val="000D5F30"/>
    <w:rsid w:val="000D6160"/>
    <w:rsid w:val="000D6283"/>
    <w:rsid w:val="000D62BF"/>
    <w:rsid w:val="000D62F7"/>
    <w:rsid w:val="000D633B"/>
    <w:rsid w:val="000D63D4"/>
    <w:rsid w:val="000D6501"/>
    <w:rsid w:val="000D652C"/>
    <w:rsid w:val="000D6565"/>
    <w:rsid w:val="000D66AD"/>
    <w:rsid w:val="000D67AA"/>
    <w:rsid w:val="000D68E2"/>
    <w:rsid w:val="000D6A42"/>
    <w:rsid w:val="000D6AA9"/>
    <w:rsid w:val="000D6AF8"/>
    <w:rsid w:val="000D6B1F"/>
    <w:rsid w:val="000D6B87"/>
    <w:rsid w:val="000D6C0E"/>
    <w:rsid w:val="000D6D5A"/>
    <w:rsid w:val="000D6DED"/>
    <w:rsid w:val="000D6DFB"/>
    <w:rsid w:val="000D6E26"/>
    <w:rsid w:val="000D6EE3"/>
    <w:rsid w:val="000D6FA0"/>
    <w:rsid w:val="000D70CA"/>
    <w:rsid w:val="000D710A"/>
    <w:rsid w:val="000D7130"/>
    <w:rsid w:val="000D72A6"/>
    <w:rsid w:val="000D7386"/>
    <w:rsid w:val="000D73BB"/>
    <w:rsid w:val="000D73D2"/>
    <w:rsid w:val="000D73FC"/>
    <w:rsid w:val="000D7407"/>
    <w:rsid w:val="000D7456"/>
    <w:rsid w:val="000D7577"/>
    <w:rsid w:val="000D765F"/>
    <w:rsid w:val="000D7869"/>
    <w:rsid w:val="000D78AB"/>
    <w:rsid w:val="000D7917"/>
    <w:rsid w:val="000D7AD7"/>
    <w:rsid w:val="000D7C00"/>
    <w:rsid w:val="000D7C25"/>
    <w:rsid w:val="000D7CFE"/>
    <w:rsid w:val="000D7DB8"/>
    <w:rsid w:val="000D7DBF"/>
    <w:rsid w:val="000D7DCC"/>
    <w:rsid w:val="000D7E86"/>
    <w:rsid w:val="000D7EA6"/>
    <w:rsid w:val="000D7FB0"/>
    <w:rsid w:val="000D7FF0"/>
    <w:rsid w:val="000E0078"/>
    <w:rsid w:val="000E0278"/>
    <w:rsid w:val="000E02F9"/>
    <w:rsid w:val="000E0418"/>
    <w:rsid w:val="000E0449"/>
    <w:rsid w:val="000E050E"/>
    <w:rsid w:val="000E051E"/>
    <w:rsid w:val="000E0590"/>
    <w:rsid w:val="000E05FD"/>
    <w:rsid w:val="000E064F"/>
    <w:rsid w:val="000E0746"/>
    <w:rsid w:val="000E0751"/>
    <w:rsid w:val="000E0806"/>
    <w:rsid w:val="000E09A1"/>
    <w:rsid w:val="000E09B7"/>
    <w:rsid w:val="000E09FC"/>
    <w:rsid w:val="000E0C85"/>
    <w:rsid w:val="000E0DA8"/>
    <w:rsid w:val="000E0E35"/>
    <w:rsid w:val="000E0E4C"/>
    <w:rsid w:val="000E0F63"/>
    <w:rsid w:val="000E10FA"/>
    <w:rsid w:val="000E1164"/>
    <w:rsid w:val="000E12CB"/>
    <w:rsid w:val="000E14B6"/>
    <w:rsid w:val="000E1525"/>
    <w:rsid w:val="000E1532"/>
    <w:rsid w:val="000E1581"/>
    <w:rsid w:val="000E15B8"/>
    <w:rsid w:val="000E1604"/>
    <w:rsid w:val="000E164D"/>
    <w:rsid w:val="000E18E3"/>
    <w:rsid w:val="000E1976"/>
    <w:rsid w:val="000E1A3D"/>
    <w:rsid w:val="000E1CA4"/>
    <w:rsid w:val="000E1CB7"/>
    <w:rsid w:val="000E1F0F"/>
    <w:rsid w:val="000E1F5C"/>
    <w:rsid w:val="000E2036"/>
    <w:rsid w:val="000E2112"/>
    <w:rsid w:val="000E2157"/>
    <w:rsid w:val="000E2176"/>
    <w:rsid w:val="000E22E3"/>
    <w:rsid w:val="000E234C"/>
    <w:rsid w:val="000E240D"/>
    <w:rsid w:val="000E250E"/>
    <w:rsid w:val="000E255E"/>
    <w:rsid w:val="000E25C5"/>
    <w:rsid w:val="000E2635"/>
    <w:rsid w:val="000E2696"/>
    <w:rsid w:val="000E26F8"/>
    <w:rsid w:val="000E27A1"/>
    <w:rsid w:val="000E2805"/>
    <w:rsid w:val="000E280C"/>
    <w:rsid w:val="000E2830"/>
    <w:rsid w:val="000E2869"/>
    <w:rsid w:val="000E29A8"/>
    <w:rsid w:val="000E2A05"/>
    <w:rsid w:val="000E2C11"/>
    <w:rsid w:val="000E2C94"/>
    <w:rsid w:val="000E2D53"/>
    <w:rsid w:val="000E2EA6"/>
    <w:rsid w:val="000E30A2"/>
    <w:rsid w:val="000E3142"/>
    <w:rsid w:val="000E336F"/>
    <w:rsid w:val="000E3455"/>
    <w:rsid w:val="000E366F"/>
    <w:rsid w:val="000E3676"/>
    <w:rsid w:val="000E367C"/>
    <w:rsid w:val="000E36D5"/>
    <w:rsid w:val="000E36E8"/>
    <w:rsid w:val="000E3891"/>
    <w:rsid w:val="000E38B1"/>
    <w:rsid w:val="000E39B8"/>
    <w:rsid w:val="000E3A1A"/>
    <w:rsid w:val="000E3AB3"/>
    <w:rsid w:val="000E3B4C"/>
    <w:rsid w:val="000E3B6D"/>
    <w:rsid w:val="000E3E10"/>
    <w:rsid w:val="000E3E6D"/>
    <w:rsid w:val="000E3E76"/>
    <w:rsid w:val="000E3EBC"/>
    <w:rsid w:val="000E3F47"/>
    <w:rsid w:val="000E4045"/>
    <w:rsid w:val="000E4149"/>
    <w:rsid w:val="000E4244"/>
    <w:rsid w:val="000E4348"/>
    <w:rsid w:val="000E4495"/>
    <w:rsid w:val="000E4554"/>
    <w:rsid w:val="000E4567"/>
    <w:rsid w:val="000E457F"/>
    <w:rsid w:val="000E45E9"/>
    <w:rsid w:val="000E4630"/>
    <w:rsid w:val="000E4691"/>
    <w:rsid w:val="000E494C"/>
    <w:rsid w:val="000E49B6"/>
    <w:rsid w:val="000E4AA4"/>
    <w:rsid w:val="000E4B1F"/>
    <w:rsid w:val="000E4C40"/>
    <w:rsid w:val="000E4DB3"/>
    <w:rsid w:val="000E4F77"/>
    <w:rsid w:val="000E4F92"/>
    <w:rsid w:val="000E50B7"/>
    <w:rsid w:val="000E50D0"/>
    <w:rsid w:val="000E50F1"/>
    <w:rsid w:val="000E51DB"/>
    <w:rsid w:val="000E527F"/>
    <w:rsid w:val="000E52F5"/>
    <w:rsid w:val="000E541B"/>
    <w:rsid w:val="000E562C"/>
    <w:rsid w:val="000E566A"/>
    <w:rsid w:val="000E5783"/>
    <w:rsid w:val="000E57DE"/>
    <w:rsid w:val="000E57E4"/>
    <w:rsid w:val="000E5809"/>
    <w:rsid w:val="000E5B5F"/>
    <w:rsid w:val="000E5B93"/>
    <w:rsid w:val="000E5DD7"/>
    <w:rsid w:val="000E5DFC"/>
    <w:rsid w:val="000E5F11"/>
    <w:rsid w:val="000E5F77"/>
    <w:rsid w:val="000E5F83"/>
    <w:rsid w:val="000E6064"/>
    <w:rsid w:val="000E6168"/>
    <w:rsid w:val="000E6275"/>
    <w:rsid w:val="000E63BB"/>
    <w:rsid w:val="000E65A5"/>
    <w:rsid w:val="000E6712"/>
    <w:rsid w:val="000E67D0"/>
    <w:rsid w:val="000E68AF"/>
    <w:rsid w:val="000E69DF"/>
    <w:rsid w:val="000E6ADF"/>
    <w:rsid w:val="000E6CB2"/>
    <w:rsid w:val="000E6CBE"/>
    <w:rsid w:val="000E6DD9"/>
    <w:rsid w:val="000E6E5C"/>
    <w:rsid w:val="000E6EF2"/>
    <w:rsid w:val="000E6F27"/>
    <w:rsid w:val="000E708E"/>
    <w:rsid w:val="000E71BE"/>
    <w:rsid w:val="000E720F"/>
    <w:rsid w:val="000E72E2"/>
    <w:rsid w:val="000E7388"/>
    <w:rsid w:val="000E741C"/>
    <w:rsid w:val="000E7440"/>
    <w:rsid w:val="000E74BD"/>
    <w:rsid w:val="000E7580"/>
    <w:rsid w:val="000E758D"/>
    <w:rsid w:val="000E768A"/>
    <w:rsid w:val="000E76B0"/>
    <w:rsid w:val="000E76CC"/>
    <w:rsid w:val="000E77C6"/>
    <w:rsid w:val="000E77FC"/>
    <w:rsid w:val="000E7855"/>
    <w:rsid w:val="000E7885"/>
    <w:rsid w:val="000E78A7"/>
    <w:rsid w:val="000E78F2"/>
    <w:rsid w:val="000E7A0F"/>
    <w:rsid w:val="000E7C1F"/>
    <w:rsid w:val="000E7C5F"/>
    <w:rsid w:val="000E7CC0"/>
    <w:rsid w:val="000E7D44"/>
    <w:rsid w:val="000E7DCA"/>
    <w:rsid w:val="000E7E5F"/>
    <w:rsid w:val="000E7F75"/>
    <w:rsid w:val="000E7FE2"/>
    <w:rsid w:val="000F0047"/>
    <w:rsid w:val="000F02AA"/>
    <w:rsid w:val="000F02DC"/>
    <w:rsid w:val="000F034E"/>
    <w:rsid w:val="000F04BF"/>
    <w:rsid w:val="000F0510"/>
    <w:rsid w:val="000F054D"/>
    <w:rsid w:val="000F0561"/>
    <w:rsid w:val="000F05E4"/>
    <w:rsid w:val="000F0750"/>
    <w:rsid w:val="000F0759"/>
    <w:rsid w:val="000F0803"/>
    <w:rsid w:val="000F0837"/>
    <w:rsid w:val="000F09FF"/>
    <w:rsid w:val="000F0AC8"/>
    <w:rsid w:val="000F0B0F"/>
    <w:rsid w:val="000F0BBA"/>
    <w:rsid w:val="000F0C1F"/>
    <w:rsid w:val="000F0C32"/>
    <w:rsid w:val="000F0C61"/>
    <w:rsid w:val="000F0C98"/>
    <w:rsid w:val="000F0CA9"/>
    <w:rsid w:val="000F0CB1"/>
    <w:rsid w:val="000F0D5B"/>
    <w:rsid w:val="000F0DF5"/>
    <w:rsid w:val="000F0E4B"/>
    <w:rsid w:val="000F1047"/>
    <w:rsid w:val="000F1238"/>
    <w:rsid w:val="000F12AA"/>
    <w:rsid w:val="000F134A"/>
    <w:rsid w:val="000F138E"/>
    <w:rsid w:val="000F1540"/>
    <w:rsid w:val="000F170E"/>
    <w:rsid w:val="000F174A"/>
    <w:rsid w:val="000F189B"/>
    <w:rsid w:val="000F1915"/>
    <w:rsid w:val="000F1947"/>
    <w:rsid w:val="000F1A99"/>
    <w:rsid w:val="000F1AAC"/>
    <w:rsid w:val="000F1D94"/>
    <w:rsid w:val="000F1DEF"/>
    <w:rsid w:val="000F1DF7"/>
    <w:rsid w:val="000F1E06"/>
    <w:rsid w:val="000F1E72"/>
    <w:rsid w:val="000F1EC7"/>
    <w:rsid w:val="000F1EDB"/>
    <w:rsid w:val="000F1FB3"/>
    <w:rsid w:val="000F1FF6"/>
    <w:rsid w:val="000F2020"/>
    <w:rsid w:val="000F2029"/>
    <w:rsid w:val="000F2034"/>
    <w:rsid w:val="000F20BE"/>
    <w:rsid w:val="000F20FB"/>
    <w:rsid w:val="000F21E8"/>
    <w:rsid w:val="000F22F0"/>
    <w:rsid w:val="000F23E7"/>
    <w:rsid w:val="000F2447"/>
    <w:rsid w:val="000F24DE"/>
    <w:rsid w:val="000F272B"/>
    <w:rsid w:val="000F2827"/>
    <w:rsid w:val="000F282A"/>
    <w:rsid w:val="000F2935"/>
    <w:rsid w:val="000F2998"/>
    <w:rsid w:val="000F29F2"/>
    <w:rsid w:val="000F29FF"/>
    <w:rsid w:val="000F2A00"/>
    <w:rsid w:val="000F2B85"/>
    <w:rsid w:val="000F2D15"/>
    <w:rsid w:val="000F2F28"/>
    <w:rsid w:val="000F30A2"/>
    <w:rsid w:val="000F351D"/>
    <w:rsid w:val="000F352D"/>
    <w:rsid w:val="000F3580"/>
    <w:rsid w:val="000F368B"/>
    <w:rsid w:val="000F36C0"/>
    <w:rsid w:val="000F36C7"/>
    <w:rsid w:val="000F370C"/>
    <w:rsid w:val="000F380D"/>
    <w:rsid w:val="000F3813"/>
    <w:rsid w:val="000F3908"/>
    <w:rsid w:val="000F397A"/>
    <w:rsid w:val="000F399E"/>
    <w:rsid w:val="000F3A3E"/>
    <w:rsid w:val="000F3A6D"/>
    <w:rsid w:val="000F3AA5"/>
    <w:rsid w:val="000F3B59"/>
    <w:rsid w:val="000F3D37"/>
    <w:rsid w:val="000F3D38"/>
    <w:rsid w:val="000F3DAB"/>
    <w:rsid w:val="000F3E32"/>
    <w:rsid w:val="000F3EF5"/>
    <w:rsid w:val="000F3F04"/>
    <w:rsid w:val="000F3F3E"/>
    <w:rsid w:val="000F3F69"/>
    <w:rsid w:val="000F3F6E"/>
    <w:rsid w:val="000F3FA7"/>
    <w:rsid w:val="000F4169"/>
    <w:rsid w:val="000F41B6"/>
    <w:rsid w:val="000F41C2"/>
    <w:rsid w:val="000F429D"/>
    <w:rsid w:val="000F431C"/>
    <w:rsid w:val="000F43AD"/>
    <w:rsid w:val="000F43DC"/>
    <w:rsid w:val="000F441E"/>
    <w:rsid w:val="000F4484"/>
    <w:rsid w:val="000F45B3"/>
    <w:rsid w:val="000F45E5"/>
    <w:rsid w:val="000F4656"/>
    <w:rsid w:val="000F4687"/>
    <w:rsid w:val="000F46DB"/>
    <w:rsid w:val="000F4799"/>
    <w:rsid w:val="000F4817"/>
    <w:rsid w:val="000F49A3"/>
    <w:rsid w:val="000F49DE"/>
    <w:rsid w:val="000F4A36"/>
    <w:rsid w:val="000F4C0B"/>
    <w:rsid w:val="000F4C1C"/>
    <w:rsid w:val="000F4DE5"/>
    <w:rsid w:val="000F4F72"/>
    <w:rsid w:val="000F5020"/>
    <w:rsid w:val="000F5055"/>
    <w:rsid w:val="000F509F"/>
    <w:rsid w:val="000F50E8"/>
    <w:rsid w:val="000F5134"/>
    <w:rsid w:val="000F51D2"/>
    <w:rsid w:val="000F523A"/>
    <w:rsid w:val="000F5347"/>
    <w:rsid w:val="000F54B0"/>
    <w:rsid w:val="000F5541"/>
    <w:rsid w:val="000F5545"/>
    <w:rsid w:val="000F556A"/>
    <w:rsid w:val="000F56D5"/>
    <w:rsid w:val="000F580F"/>
    <w:rsid w:val="000F58C1"/>
    <w:rsid w:val="000F591A"/>
    <w:rsid w:val="000F5933"/>
    <w:rsid w:val="000F5A0B"/>
    <w:rsid w:val="000F5C07"/>
    <w:rsid w:val="000F5C22"/>
    <w:rsid w:val="000F5C70"/>
    <w:rsid w:val="000F5C87"/>
    <w:rsid w:val="000F5DB7"/>
    <w:rsid w:val="000F5F3A"/>
    <w:rsid w:val="000F5FA2"/>
    <w:rsid w:val="000F5FDE"/>
    <w:rsid w:val="000F615F"/>
    <w:rsid w:val="000F6165"/>
    <w:rsid w:val="000F6180"/>
    <w:rsid w:val="000F6232"/>
    <w:rsid w:val="000F63C3"/>
    <w:rsid w:val="000F6426"/>
    <w:rsid w:val="000F65D9"/>
    <w:rsid w:val="000F6668"/>
    <w:rsid w:val="000F669B"/>
    <w:rsid w:val="000F66DD"/>
    <w:rsid w:val="000F675A"/>
    <w:rsid w:val="000F682A"/>
    <w:rsid w:val="000F683F"/>
    <w:rsid w:val="000F6855"/>
    <w:rsid w:val="000F6884"/>
    <w:rsid w:val="000F6A84"/>
    <w:rsid w:val="000F6AD1"/>
    <w:rsid w:val="000F6B3C"/>
    <w:rsid w:val="000F6C1E"/>
    <w:rsid w:val="000F6C3E"/>
    <w:rsid w:val="000F6D91"/>
    <w:rsid w:val="000F6DA5"/>
    <w:rsid w:val="000F6DB8"/>
    <w:rsid w:val="000F6F8C"/>
    <w:rsid w:val="000F706B"/>
    <w:rsid w:val="000F711A"/>
    <w:rsid w:val="000F7122"/>
    <w:rsid w:val="000F7533"/>
    <w:rsid w:val="000F75D3"/>
    <w:rsid w:val="000F75E9"/>
    <w:rsid w:val="000F7689"/>
    <w:rsid w:val="000F76E4"/>
    <w:rsid w:val="000F7731"/>
    <w:rsid w:val="000F7791"/>
    <w:rsid w:val="000F7827"/>
    <w:rsid w:val="000F783C"/>
    <w:rsid w:val="000F794C"/>
    <w:rsid w:val="000F794D"/>
    <w:rsid w:val="000F7968"/>
    <w:rsid w:val="000F7A1C"/>
    <w:rsid w:val="000F7A98"/>
    <w:rsid w:val="000F7C73"/>
    <w:rsid w:val="000F7F22"/>
    <w:rsid w:val="000FEC8D"/>
    <w:rsid w:val="001003E0"/>
    <w:rsid w:val="001003FB"/>
    <w:rsid w:val="00100502"/>
    <w:rsid w:val="0010053A"/>
    <w:rsid w:val="00100552"/>
    <w:rsid w:val="0010068E"/>
    <w:rsid w:val="001006CB"/>
    <w:rsid w:val="001006F3"/>
    <w:rsid w:val="0010073A"/>
    <w:rsid w:val="0010085F"/>
    <w:rsid w:val="00100A5C"/>
    <w:rsid w:val="00100A95"/>
    <w:rsid w:val="00100B60"/>
    <w:rsid w:val="00100C04"/>
    <w:rsid w:val="00100C19"/>
    <w:rsid w:val="00100C30"/>
    <w:rsid w:val="00100FC3"/>
    <w:rsid w:val="00100FC5"/>
    <w:rsid w:val="00101017"/>
    <w:rsid w:val="0010113D"/>
    <w:rsid w:val="001012E6"/>
    <w:rsid w:val="0010141B"/>
    <w:rsid w:val="00101503"/>
    <w:rsid w:val="0010155C"/>
    <w:rsid w:val="00101560"/>
    <w:rsid w:val="0010159D"/>
    <w:rsid w:val="001016D8"/>
    <w:rsid w:val="001016E1"/>
    <w:rsid w:val="001017AF"/>
    <w:rsid w:val="0010183D"/>
    <w:rsid w:val="001018A6"/>
    <w:rsid w:val="001018AB"/>
    <w:rsid w:val="00101977"/>
    <w:rsid w:val="00101ABE"/>
    <w:rsid w:val="00101B35"/>
    <w:rsid w:val="00101B91"/>
    <w:rsid w:val="00101BBD"/>
    <w:rsid w:val="00101C66"/>
    <w:rsid w:val="00101C68"/>
    <w:rsid w:val="00101D33"/>
    <w:rsid w:val="00101D7A"/>
    <w:rsid w:val="00101DCD"/>
    <w:rsid w:val="00101DE4"/>
    <w:rsid w:val="00101DF0"/>
    <w:rsid w:val="00101E2E"/>
    <w:rsid w:val="00101E7C"/>
    <w:rsid w:val="00101EF2"/>
    <w:rsid w:val="0010206E"/>
    <w:rsid w:val="001020D0"/>
    <w:rsid w:val="00102212"/>
    <w:rsid w:val="0010246B"/>
    <w:rsid w:val="0010246E"/>
    <w:rsid w:val="00102552"/>
    <w:rsid w:val="001025D6"/>
    <w:rsid w:val="0010261A"/>
    <w:rsid w:val="001026B9"/>
    <w:rsid w:val="0010274E"/>
    <w:rsid w:val="00102793"/>
    <w:rsid w:val="001028AB"/>
    <w:rsid w:val="00102AC1"/>
    <w:rsid w:val="00102F58"/>
    <w:rsid w:val="00102F59"/>
    <w:rsid w:val="00102F94"/>
    <w:rsid w:val="001030C3"/>
    <w:rsid w:val="00103158"/>
    <w:rsid w:val="001031AE"/>
    <w:rsid w:val="001031E3"/>
    <w:rsid w:val="001031E9"/>
    <w:rsid w:val="00103362"/>
    <w:rsid w:val="001034E6"/>
    <w:rsid w:val="0010358D"/>
    <w:rsid w:val="001036FA"/>
    <w:rsid w:val="0010372B"/>
    <w:rsid w:val="00103754"/>
    <w:rsid w:val="001037BA"/>
    <w:rsid w:val="00103831"/>
    <w:rsid w:val="0010387F"/>
    <w:rsid w:val="00103894"/>
    <w:rsid w:val="001038EA"/>
    <w:rsid w:val="00103917"/>
    <w:rsid w:val="00103922"/>
    <w:rsid w:val="00103923"/>
    <w:rsid w:val="00103924"/>
    <w:rsid w:val="00103CD6"/>
    <w:rsid w:val="00103D53"/>
    <w:rsid w:val="00103D85"/>
    <w:rsid w:val="00103E6A"/>
    <w:rsid w:val="00103F6C"/>
    <w:rsid w:val="0010427E"/>
    <w:rsid w:val="00104336"/>
    <w:rsid w:val="0010443B"/>
    <w:rsid w:val="0010453C"/>
    <w:rsid w:val="0010462B"/>
    <w:rsid w:val="0010480C"/>
    <w:rsid w:val="0010484D"/>
    <w:rsid w:val="0010484E"/>
    <w:rsid w:val="001048DC"/>
    <w:rsid w:val="001049EE"/>
    <w:rsid w:val="00104A48"/>
    <w:rsid w:val="00104AF4"/>
    <w:rsid w:val="00104B33"/>
    <w:rsid w:val="00104BD6"/>
    <w:rsid w:val="00104BFF"/>
    <w:rsid w:val="00104C35"/>
    <w:rsid w:val="00104F34"/>
    <w:rsid w:val="00104F81"/>
    <w:rsid w:val="00105091"/>
    <w:rsid w:val="0010509A"/>
    <w:rsid w:val="00105128"/>
    <w:rsid w:val="00105163"/>
    <w:rsid w:val="001051A1"/>
    <w:rsid w:val="00105268"/>
    <w:rsid w:val="001052B5"/>
    <w:rsid w:val="001053FB"/>
    <w:rsid w:val="0010542D"/>
    <w:rsid w:val="00105561"/>
    <w:rsid w:val="00105586"/>
    <w:rsid w:val="001055C9"/>
    <w:rsid w:val="001055CE"/>
    <w:rsid w:val="0010569B"/>
    <w:rsid w:val="00105740"/>
    <w:rsid w:val="001057FD"/>
    <w:rsid w:val="00105939"/>
    <w:rsid w:val="00105960"/>
    <w:rsid w:val="001059DA"/>
    <w:rsid w:val="00105A08"/>
    <w:rsid w:val="00105A0E"/>
    <w:rsid w:val="00105AD5"/>
    <w:rsid w:val="00105B65"/>
    <w:rsid w:val="00105CEE"/>
    <w:rsid w:val="00105DD0"/>
    <w:rsid w:val="00105DD5"/>
    <w:rsid w:val="00105E60"/>
    <w:rsid w:val="00105F0D"/>
    <w:rsid w:val="00105FDA"/>
    <w:rsid w:val="001060F7"/>
    <w:rsid w:val="00106138"/>
    <w:rsid w:val="001061EC"/>
    <w:rsid w:val="0010626D"/>
    <w:rsid w:val="00106315"/>
    <w:rsid w:val="0010634F"/>
    <w:rsid w:val="0010643B"/>
    <w:rsid w:val="001064FD"/>
    <w:rsid w:val="001065BD"/>
    <w:rsid w:val="001065FB"/>
    <w:rsid w:val="00106678"/>
    <w:rsid w:val="00106692"/>
    <w:rsid w:val="0010673D"/>
    <w:rsid w:val="0010673E"/>
    <w:rsid w:val="001067ED"/>
    <w:rsid w:val="001067EE"/>
    <w:rsid w:val="00106872"/>
    <w:rsid w:val="001068C5"/>
    <w:rsid w:val="001069A7"/>
    <w:rsid w:val="001069AD"/>
    <w:rsid w:val="001069D4"/>
    <w:rsid w:val="00106A5E"/>
    <w:rsid w:val="00106ABD"/>
    <w:rsid w:val="00106AEB"/>
    <w:rsid w:val="00106B3C"/>
    <w:rsid w:val="00106B40"/>
    <w:rsid w:val="00106BE0"/>
    <w:rsid w:val="00106CB2"/>
    <w:rsid w:val="00106D02"/>
    <w:rsid w:val="00106E64"/>
    <w:rsid w:val="00106EDA"/>
    <w:rsid w:val="00106F9D"/>
    <w:rsid w:val="00106FCB"/>
    <w:rsid w:val="00107045"/>
    <w:rsid w:val="0010732A"/>
    <w:rsid w:val="001073DC"/>
    <w:rsid w:val="00107526"/>
    <w:rsid w:val="001075CA"/>
    <w:rsid w:val="0010761F"/>
    <w:rsid w:val="00107622"/>
    <w:rsid w:val="00107648"/>
    <w:rsid w:val="001076B6"/>
    <w:rsid w:val="0010770A"/>
    <w:rsid w:val="00107742"/>
    <w:rsid w:val="00107752"/>
    <w:rsid w:val="00107765"/>
    <w:rsid w:val="001077C8"/>
    <w:rsid w:val="0010783B"/>
    <w:rsid w:val="0010784C"/>
    <w:rsid w:val="001078D7"/>
    <w:rsid w:val="001078FE"/>
    <w:rsid w:val="00107942"/>
    <w:rsid w:val="00107A30"/>
    <w:rsid w:val="00107B9A"/>
    <w:rsid w:val="00107C9F"/>
    <w:rsid w:val="00107D23"/>
    <w:rsid w:val="00107DD7"/>
    <w:rsid w:val="00107ED5"/>
    <w:rsid w:val="0010E610"/>
    <w:rsid w:val="00110071"/>
    <w:rsid w:val="0011013F"/>
    <w:rsid w:val="0011020A"/>
    <w:rsid w:val="0011041A"/>
    <w:rsid w:val="00110585"/>
    <w:rsid w:val="00110602"/>
    <w:rsid w:val="0011063B"/>
    <w:rsid w:val="0011066F"/>
    <w:rsid w:val="00110679"/>
    <w:rsid w:val="00110726"/>
    <w:rsid w:val="001108B7"/>
    <w:rsid w:val="001108C4"/>
    <w:rsid w:val="0011097B"/>
    <w:rsid w:val="00110A03"/>
    <w:rsid w:val="00110A3B"/>
    <w:rsid w:val="00110B2C"/>
    <w:rsid w:val="00110BD2"/>
    <w:rsid w:val="00110C92"/>
    <w:rsid w:val="00111096"/>
    <w:rsid w:val="00111146"/>
    <w:rsid w:val="00111231"/>
    <w:rsid w:val="00111533"/>
    <w:rsid w:val="00111645"/>
    <w:rsid w:val="001116A9"/>
    <w:rsid w:val="001116EC"/>
    <w:rsid w:val="00111702"/>
    <w:rsid w:val="0011178D"/>
    <w:rsid w:val="001117A7"/>
    <w:rsid w:val="0011181C"/>
    <w:rsid w:val="001118C6"/>
    <w:rsid w:val="0011193C"/>
    <w:rsid w:val="001119A4"/>
    <w:rsid w:val="001119B0"/>
    <w:rsid w:val="00111CB3"/>
    <w:rsid w:val="00111DA3"/>
    <w:rsid w:val="00111DD2"/>
    <w:rsid w:val="00111FA8"/>
    <w:rsid w:val="0011200B"/>
    <w:rsid w:val="001121FB"/>
    <w:rsid w:val="00112270"/>
    <w:rsid w:val="00112339"/>
    <w:rsid w:val="00112404"/>
    <w:rsid w:val="00112430"/>
    <w:rsid w:val="00112435"/>
    <w:rsid w:val="00112506"/>
    <w:rsid w:val="00112569"/>
    <w:rsid w:val="001125EF"/>
    <w:rsid w:val="0011268B"/>
    <w:rsid w:val="001126AA"/>
    <w:rsid w:val="00112704"/>
    <w:rsid w:val="00112745"/>
    <w:rsid w:val="0011274C"/>
    <w:rsid w:val="0011277C"/>
    <w:rsid w:val="0011288A"/>
    <w:rsid w:val="001128F5"/>
    <w:rsid w:val="001129C9"/>
    <w:rsid w:val="00112AA5"/>
    <w:rsid w:val="00112B60"/>
    <w:rsid w:val="00112BB6"/>
    <w:rsid w:val="00112BCE"/>
    <w:rsid w:val="00112BD9"/>
    <w:rsid w:val="00112CCA"/>
    <w:rsid w:val="00112D08"/>
    <w:rsid w:val="00112D8B"/>
    <w:rsid w:val="00112EC2"/>
    <w:rsid w:val="00112EEA"/>
    <w:rsid w:val="00112F2F"/>
    <w:rsid w:val="00112FA6"/>
    <w:rsid w:val="0011315E"/>
    <w:rsid w:val="00113163"/>
    <w:rsid w:val="001131DE"/>
    <w:rsid w:val="001131F5"/>
    <w:rsid w:val="0011320E"/>
    <w:rsid w:val="001133A1"/>
    <w:rsid w:val="00113497"/>
    <w:rsid w:val="0011351B"/>
    <w:rsid w:val="0011357F"/>
    <w:rsid w:val="001135CF"/>
    <w:rsid w:val="001137E2"/>
    <w:rsid w:val="001137FD"/>
    <w:rsid w:val="0011386A"/>
    <w:rsid w:val="001138DA"/>
    <w:rsid w:val="0011393A"/>
    <w:rsid w:val="0011396C"/>
    <w:rsid w:val="001139C2"/>
    <w:rsid w:val="00113A37"/>
    <w:rsid w:val="00113A8A"/>
    <w:rsid w:val="00113AC7"/>
    <w:rsid w:val="00113AE3"/>
    <w:rsid w:val="00113B50"/>
    <w:rsid w:val="00113C12"/>
    <w:rsid w:val="00113C64"/>
    <w:rsid w:val="00113C6A"/>
    <w:rsid w:val="00113C96"/>
    <w:rsid w:val="00113CB0"/>
    <w:rsid w:val="00113D09"/>
    <w:rsid w:val="00113D0D"/>
    <w:rsid w:val="00113DE8"/>
    <w:rsid w:val="00113E2E"/>
    <w:rsid w:val="00113E68"/>
    <w:rsid w:val="00113F92"/>
    <w:rsid w:val="00113FEB"/>
    <w:rsid w:val="0011403F"/>
    <w:rsid w:val="0011407D"/>
    <w:rsid w:val="00114178"/>
    <w:rsid w:val="001141DA"/>
    <w:rsid w:val="001142BB"/>
    <w:rsid w:val="00114393"/>
    <w:rsid w:val="0011439F"/>
    <w:rsid w:val="001143B3"/>
    <w:rsid w:val="001146DD"/>
    <w:rsid w:val="0011472A"/>
    <w:rsid w:val="001147D4"/>
    <w:rsid w:val="00114830"/>
    <w:rsid w:val="001148CB"/>
    <w:rsid w:val="00114A54"/>
    <w:rsid w:val="00114A80"/>
    <w:rsid w:val="00114B78"/>
    <w:rsid w:val="00114BCF"/>
    <w:rsid w:val="00114BDE"/>
    <w:rsid w:val="00114C64"/>
    <w:rsid w:val="00114D60"/>
    <w:rsid w:val="00114DA9"/>
    <w:rsid w:val="00114F18"/>
    <w:rsid w:val="00114F22"/>
    <w:rsid w:val="00114FBE"/>
    <w:rsid w:val="00115060"/>
    <w:rsid w:val="0011507E"/>
    <w:rsid w:val="001150EA"/>
    <w:rsid w:val="00115155"/>
    <w:rsid w:val="0011523B"/>
    <w:rsid w:val="0011526C"/>
    <w:rsid w:val="001152FF"/>
    <w:rsid w:val="00115471"/>
    <w:rsid w:val="00115479"/>
    <w:rsid w:val="001154DA"/>
    <w:rsid w:val="00115534"/>
    <w:rsid w:val="0011555B"/>
    <w:rsid w:val="00115565"/>
    <w:rsid w:val="00115580"/>
    <w:rsid w:val="0011573D"/>
    <w:rsid w:val="0011574F"/>
    <w:rsid w:val="001157A0"/>
    <w:rsid w:val="001157CE"/>
    <w:rsid w:val="00115822"/>
    <w:rsid w:val="0011592C"/>
    <w:rsid w:val="00115B22"/>
    <w:rsid w:val="00115B79"/>
    <w:rsid w:val="00115CBA"/>
    <w:rsid w:val="00115E56"/>
    <w:rsid w:val="00115EC9"/>
    <w:rsid w:val="0011607F"/>
    <w:rsid w:val="00116092"/>
    <w:rsid w:val="00116149"/>
    <w:rsid w:val="0011614D"/>
    <w:rsid w:val="001161DE"/>
    <w:rsid w:val="00116363"/>
    <w:rsid w:val="00116446"/>
    <w:rsid w:val="00116593"/>
    <w:rsid w:val="001166A4"/>
    <w:rsid w:val="001166F7"/>
    <w:rsid w:val="001167D1"/>
    <w:rsid w:val="00116807"/>
    <w:rsid w:val="00116854"/>
    <w:rsid w:val="00116942"/>
    <w:rsid w:val="001169F5"/>
    <w:rsid w:val="00116AAA"/>
    <w:rsid w:val="00116AE8"/>
    <w:rsid w:val="00116B13"/>
    <w:rsid w:val="00116B3D"/>
    <w:rsid w:val="00116B9B"/>
    <w:rsid w:val="00116C8B"/>
    <w:rsid w:val="00116CE4"/>
    <w:rsid w:val="00116CE8"/>
    <w:rsid w:val="00116D21"/>
    <w:rsid w:val="00116D91"/>
    <w:rsid w:val="00116DC4"/>
    <w:rsid w:val="00116DD7"/>
    <w:rsid w:val="00116EA2"/>
    <w:rsid w:val="0011703F"/>
    <w:rsid w:val="00117079"/>
    <w:rsid w:val="00117193"/>
    <w:rsid w:val="001171AA"/>
    <w:rsid w:val="00117398"/>
    <w:rsid w:val="00117471"/>
    <w:rsid w:val="001175D1"/>
    <w:rsid w:val="00117600"/>
    <w:rsid w:val="00117641"/>
    <w:rsid w:val="001176CA"/>
    <w:rsid w:val="001176F0"/>
    <w:rsid w:val="00117709"/>
    <w:rsid w:val="001178EB"/>
    <w:rsid w:val="00117A36"/>
    <w:rsid w:val="00117A88"/>
    <w:rsid w:val="00117AB8"/>
    <w:rsid w:val="00117AC4"/>
    <w:rsid w:val="00117B0A"/>
    <w:rsid w:val="00117B16"/>
    <w:rsid w:val="00117B4D"/>
    <w:rsid w:val="00117B4F"/>
    <w:rsid w:val="00117C37"/>
    <w:rsid w:val="00117D56"/>
    <w:rsid w:val="00117DD6"/>
    <w:rsid w:val="00117DDD"/>
    <w:rsid w:val="00117EA5"/>
    <w:rsid w:val="00117F1E"/>
    <w:rsid w:val="00117F3F"/>
    <w:rsid w:val="00117F6F"/>
    <w:rsid w:val="0012001F"/>
    <w:rsid w:val="001200C8"/>
    <w:rsid w:val="0012015E"/>
    <w:rsid w:val="00120192"/>
    <w:rsid w:val="0012032D"/>
    <w:rsid w:val="001203F8"/>
    <w:rsid w:val="0012045B"/>
    <w:rsid w:val="001204BC"/>
    <w:rsid w:val="00120528"/>
    <w:rsid w:val="001205A4"/>
    <w:rsid w:val="001205F4"/>
    <w:rsid w:val="00120777"/>
    <w:rsid w:val="00120822"/>
    <w:rsid w:val="001208FB"/>
    <w:rsid w:val="00120912"/>
    <w:rsid w:val="00120AEC"/>
    <w:rsid w:val="00120BF2"/>
    <w:rsid w:val="00120C0F"/>
    <w:rsid w:val="00120C24"/>
    <w:rsid w:val="00120C49"/>
    <w:rsid w:val="00120C60"/>
    <w:rsid w:val="00120CD4"/>
    <w:rsid w:val="00120EBA"/>
    <w:rsid w:val="00121051"/>
    <w:rsid w:val="00121325"/>
    <w:rsid w:val="001213C2"/>
    <w:rsid w:val="001213D7"/>
    <w:rsid w:val="00121416"/>
    <w:rsid w:val="00121418"/>
    <w:rsid w:val="0012143B"/>
    <w:rsid w:val="0012150A"/>
    <w:rsid w:val="00121597"/>
    <w:rsid w:val="001215AF"/>
    <w:rsid w:val="0012161D"/>
    <w:rsid w:val="00121654"/>
    <w:rsid w:val="0012170B"/>
    <w:rsid w:val="00121898"/>
    <w:rsid w:val="00121B80"/>
    <w:rsid w:val="00121E22"/>
    <w:rsid w:val="00121F2E"/>
    <w:rsid w:val="00122049"/>
    <w:rsid w:val="001220AF"/>
    <w:rsid w:val="001220CA"/>
    <w:rsid w:val="00122135"/>
    <w:rsid w:val="00122163"/>
    <w:rsid w:val="0012220A"/>
    <w:rsid w:val="00122298"/>
    <w:rsid w:val="0012248D"/>
    <w:rsid w:val="001224B1"/>
    <w:rsid w:val="00122625"/>
    <w:rsid w:val="001227A7"/>
    <w:rsid w:val="001227DD"/>
    <w:rsid w:val="00122993"/>
    <w:rsid w:val="001229E2"/>
    <w:rsid w:val="00122A44"/>
    <w:rsid w:val="00122BF7"/>
    <w:rsid w:val="00122C64"/>
    <w:rsid w:val="00122D52"/>
    <w:rsid w:val="00122E20"/>
    <w:rsid w:val="00123072"/>
    <w:rsid w:val="00123118"/>
    <w:rsid w:val="0012312E"/>
    <w:rsid w:val="001231A9"/>
    <w:rsid w:val="001232ED"/>
    <w:rsid w:val="001233A0"/>
    <w:rsid w:val="001234A6"/>
    <w:rsid w:val="001235A2"/>
    <w:rsid w:val="001235AB"/>
    <w:rsid w:val="001235E8"/>
    <w:rsid w:val="0012367B"/>
    <w:rsid w:val="001236B3"/>
    <w:rsid w:val="001237BE"/>
    <w:rsid w:val="001238CC"/>
    <w:rsid w:val="001239F6"/>
    <w:rsid w:val="00123A2C"/>
    <w:rsid w:val="00123A7E"/>
    <w:rsid w:val="00123AD3"/>
    <w:rsid w:val="00123CA5"/>
    <w:rsid w:val="00123D5E"/>
    <w:rsid w:val="00123E11"/>
    <w:rsid w:val="00123E94"/>
    <w:rsid w:val="00123E9E"/>
    <w:rsid w:val="00123F60"/>
    <w:rsid w:val="00123F81"/>
    <w:rsid w:val="00124002"/>
    <w:rsid w:val="0012401E"/>
    <w:rsid w:val="0012402A"/>
    <w:rsid w:val="00124107"/>
    <w:rsid w:val="0012411A"/>
    <w:rsid w:val="001241D8"/>
    <w:rsid w:val="001241F0"/>
    <w:rsid w:val="001241FC"/>
    <w:rsid w:val="001242DB"/>
    <w:rsid w:val="001243B8"/>
    <w:rsid w:val="0012463A"/>
    <w:rsid w:val="001247E6"/>
    <w:rsid w:val="001249C3"/>
    <w:rsid w:val="00124A41"/>
    <w:rsid w:val="00124B34"/>
    <w:rsid w:val="00124C7F"/>
    <w:rsid w:val="00124DA6"/>
    <w:rsid w:val="00124DE3"/>
    <w:rsid w:val="00124E77"/>
    <w:rsid w:val="00124F9D"/>
    <w:rsid w:val="00124FF6"/>
    <w:rsid w:val="0012515B"/>
    <w:rsid w:val="001251DC"/>
    <w:rsid w:val="00125257"/>
    <w:rsid w:val="0012528A"/>
    <w:rsid w:val="001252D5"/>
    <w:rsid w:val="0012535D"/>
    <w:rsid w:val="001253A0"/>
    <w:rsid w:val="0012540A"/>
    <w:rsid w:val="00125484"/>
    <w:rsid w:val="001254DD"/>
    <w:rsid w:val="00125555"/>
    <w:rsid w:val="001255A7"/>
    <w:rsid w:val="0012561A"/>
    <w:rsid w:val="001256A7"/>
    <w:rsid w:val="001256B4"/>
    <w:rsid w:val="00125721"/>
    <w:rsid w:val="00125724"/>
    <w:rsid w:val="001257F4"/>
    <w:rsid w:val="00125A09"/>
    <w:rsid w:val="00125A4E"/>
    <w:rsid w:val="00125A82"/>
    <w:rsid w:val="00125AAF"/>
    <w:rsid w:val="00125B42"/>
    <w:rsid w:val="00125C09"/>
    <w:rsid w:val="00125C22"/>
    <w:rsid w:val="00125D30"/>
    <w:rsid w:val="00126025"/>
    <w:rsid w:val="001260B9"/>
    <w:rsid w:val="001260C2"/>
    <w:rsid w:val="0012615C"/>
    <w:rsid w:val="001261FF"/>
    <w:rsid w:val="00126226"/>
    <w:rsid w:val="00126358"/>
    <w:rsid w:val="0012647C"/>
    <w:rsid w:val="001265CF"/>
    <w:rsid w:val="00126603"/>
    <w:rsid w:val="0012673A"/>
    <w:rsid w:val="0012685D"/>
    <w:rsid w:val="00126967"/>
    <w:rsid w:val="00126B7A"/>
    <w:rsid w:val="00126BEE"/>
    <w:rsid w:val="00126C48"/>
    <w:rsid w:val="00126DA1"/>
    <w:rsid w:val="00126E26"/>
    <w:rsid w:val="00126E76"/>
    <w:rsid w:val="00126EB3"/>
    <w:rsid w:val="00126F06"/>
    <w:rsid w:val="00126F8B"/>
    <w:rsid w:val="00126FB0"/>
    <w:rsid w:val="0012704D"/>
    <w:rsid w:val="0012709B"/>
    <w:rsid w:val="001270F5"/>
    <w:rsid w:val="001271BC"/>
    <w:rsid w:val="001271DE"/>
    <w:rsid w:val="001272F6"/>
    <w:rsid w:val="00127436"/>
    <w:rsid w:val="00127455"/>
    <w:rsid w:val="00127471"/>
    <w:rsid w:val="001274B9"/>
    <w:rsid w:val="001274CA"/>
    <w:rsid w:val="001275EF"/>
    <w:rsid w:val="0012761C"/>
    <w:rsid w:val="001276D0"/>
    <w:rsid w:val="0012774E"/>
    <w:rsid w:val="0012776F"/>
    <w:rsid w:val="001277B7"/>
    <w:rsid w:val="0012785A"/>
    <w:rsid w:val="001279A7"/>
    <w:rsid w:val="00127C10"/>
    <w:rsid w:val="00127D7D"/>
    <w:rsid w:val="00127EEF"/>
    <w:rsid w:val="0012D3AB"/>
    <w:rsid w:val="0013003B"/>
    <w:rsid w:val="001300D2"/>
    <w:rsid w:val="001300FE"/>
    <w:rsid w:val="0013012F"/>
    <w:rsid w:val="00130175"/>
    <w:rsid w:val="00130191"/>
    <w:rsid w:val="00130250"/>
    <w:rsid w:val="00130283"/>
    <w:rsid w:val="001302C0"/>
    <w:rsid w:val="0013034B"/>
    <w:rsid w:val="0013037C"/>
    <w:rsid w:val="00130435"/>
    <w:rsid w:val="00130523"/>
    <w:rsid w:val="0013052E"/>
    <w:rsid w:val="001305AF"/>
    <w:rsid w:val="001306C6"/>
    <w:rsid w:val="0013071B"/>
    <w:rsid w:val="00130771"/>
    <w:rsid w:val="00130798"/>
    <w:rsid w:val="0013081E"/>
    <w:rsid w:val="0013088F"/>
    <w:rsid w:val="001309D4"/>
    <w:rsid w:val="001309FE"/>
    <w:rsid w:val="00130A45"/>
    <w:rsid w:val="00130C80"/>
    <w:rsid w:val="00130D40"/>
    <w:rsid w:val="00130DDD"/>
    <w:rsid w:val="00130E89"/>
    <w:rsid w:val="00130EC7"/>
    <w:rsid w:val="00130FF9"/>
    <w:rsid w:val="00131142"/>
    <w:rsid w:val="00131177"/>
    <w:rsid w:val="001311C4"/>
    <w:rsid w:val="001311CE"/>
    <w:rsid w:val="001311E6"/>
    <w:rsid w:val="001313ED"/>
    <w:rsid w:val="001314F5"/>
    <w:rsid w:val="0013158F"/>
    <w:rsid w:val="001315AB"/>
    <w:rsid w:val="001315C5"/>
    <w:rsid w:val="00131608"/>
    <w:rsid w:val="001316BD"/>
    <w:rsid w:val="00131840"/>
    <w:rsid w:val="0013186A"/>
    <w:rsid w:val="00131905"/>
    <w:rsid w:val="0013198E"/>
    <w:rsid w:val="00131BA9"/>
    <w:rsid w:val="00131CA0"/>
    <w:rsid w:val="00131CAB"/>
    <w:rsid w:val="00131DED"/>
    <w:rsid w:val="00131E14"/>
    <w:rsid w:val="00131E44"/>
    <w:rsid w:val="00131F2E"/>
    <w:rsid w:val="001320C7"/>
    <w:rsid w:val="00132115"/>
    <w:rsid w:val="00132212"/>
    <w:rsid w:val="00132274"/>
    <w:rsid w:val="00132284"/>
    <w:rsid w:val="001323FC"/>
    <w:rsid w:val="00132409"/>
    <w:rsid w:val="001324A3"/>
    <w:rsid w:val="0013251F"/>
    <w:rsid w:val="00132677"/>
    <w:rsid w:val="00132764"/>
    <w:rsid w:val="00132890"/>
    <w:rsid w:val="001328D1"/>
    <w:rsid w:val="00132A7A"/>
    <w:rsid w:val="00132B5D"/>
    <w:rsid w:val="00132BFB"/>
    <w:rsid w:val="00132D2E"/>
    <w:rsid w:val="00132E27"/>
    <w:rsid w:val="00132ECB"/>
    <w:rsid w:val="00132F04"/>
    <w:rsid w:val="00133057"/>
    <w:rsid w:val="00133108"/>
    <w:rsid w:val="001331CF"/>
    <w:rsid w:val="001331F0"/>
    <w:rsid w:val="00133248"/>
    <w:rsid w:val="00133324"/>
    <w:rsid w:val="001333C1"/>
    <w:rsid w:val="001333D6"/>
    <w:rsid w:val="0013342B"/>
    <w:rsid w:val="001334D6"/>
    <w:rsid w:val="001334E0"/>
    <w:rsid w:val="001335FB"/>
    <w:rsid w:val="001336BF"/>
    <w:rsid w:val="0013375D"/>
    <w:rsid w:val="001337D6"/>
    <w:rsid w:val="00133930"/>
    <w:rsid w:val="001339AF"/>
    <w:rsid w:val="00133A4F"/>
    <w:rsid w:val="00133A82"/>
    <w:rsid w:val="00133E73"/>
    <w:rsid w:val="00133ED9"/>
    <w:rsid w:val="00133F1F"/>
    <w:rsid w:val="00133F9F"/>
    <w:rsid w:val="00133FCD"/>
    <w:rsid w:val="0013403C"/>
    <w:rsid w:val="00134148"/>
    <w:rsid w:val="0013418D"/>
    <w:rsid w:val="001341A4"/>
    <w:rsid w:val="001341EA"/>
    <w:rsid w:val="00134276"/>
    <w:rsid w:val="00134296"/>
    <w:rsid w:val="001342A0"/>
    <w:rsid w:val="0013430B"/>
    <w:rsid w:val="001343E3"/>
    <w:rsid w:val="00134492"/>
    <w:rsid w:val="001344A3"/>
    <w:rsid w:val="0013458E"/>
    <w:rsid w:val="00134591"/>
    <w:rsid w:val="001346D2"/>
    <w:rsid w:val="001346D4"/>
    <w:rsid w:val="001346DD"/>
    <w:rsid w:val="00134710"/>
    <w:rsid w:val="00134745"/>
    <w:rsid w:val="0013475C"/>
    <w:rsid w:val="00134B0E"/>
    <w:rsid w:val="00134B4B"/>
    <w:rsid w:val="00134D94"/>
    <w:rsid w:val="00134DF6"/>
    <w:rsid w:val="00135040"/>
    <w:rsid w:val="00135238"/>
    <w:rsid w:val="00135319"/>
    <w:rsid w:val="0013536C"/>
    <w:rsid w:val="00135465"/>
    <w:rsid w:val="00135514"/>
    <w:rsid w:val="0013553A"/>
    <w:rsid w:val="001355E7"/>
    <w:rsid w:val="0013567E"/>
    <w:rsid w:val="001356D1"/>
    <w:rsid w:val="0013572C"/>
    <w:rsid w:val="0013572F"/>
    <w:rsid w:val="0013581E"/>
    <w:rsid w:val="0013582C"/>
    <w:rsid w:val="0013585F"/>
    <w:rsid w:val="00135954"/>
    <w:rsid w:val="00135983"/>
    <w:rsid w:val="0013598E"/>
    <w:rsid w:val="001359C5"/>
    <w:rsid w:val="00135A48"/>
    <w:rsid w:val="00135A55"/>
    <w:rsid w:val="00135A64"/>
    <w:rsid w:val="00135AE2"/>
    <w:rsid w:val="00135B03"/>
    <w:rsid w:val="00135CD6"/>
    <w:rsid w:val="00135E1E"/>
    <w:rsid w:val="00135E2D"/>
    <w:rsid w:val="00135E34"/>
    <w:rsid w:val="00135E7C"/>
    <w:rsid w:val="00135ECA"/>
    <w:rsid w:val="00135F6B"/>
    <w:rsid w:val="00135FD0"/>
    <w:rsid w:val="0013601D"/>
    <w:rsid w:val="00136227"/>
    <w:rsid w:val="00136252"/>
    <w:rsid w:val="00136294"/>
    <w:rsid w:val="001362F2"/>
    <w:rsid w:val="001362FA"/>
    <w:rsid w:val="00136483"/>
    <w:rsid w:val="001364A0"/>
    <w:rsid w:val="00136650"/>
    <w:rsid w:val="0013672C"/>
    <w:rsid w:val="00136841"/>
    <w:rsid w:val="0013686B"/>
    <w:rsid w:val="001369D2"/>
    <w:rsid w:val="00136C6E"/>
    <w:rsid w:val="00136C90"/>
    <w:rsid w:val="00136D9A"/>
    <w:rsid w:val="00136DB9"/>
    <w:rsid w:val="00136DE3"/>
    <w:rsid w:val="00136E29"/>
    <w:rsid w:val="00136EC5"/>
    <w:rsid w:val="00136F8A"/>
    <w:rsid w:val="00136F9B"/>
    <w:rsid w:val="00136FB1"/>
    <w:rsid w:val="00136FE7"/>
    <w:rsid w:val="001370A0"/>
    <w:rsid w:val="001371C3"/>
    <w:rsid w:val="001371EA"/>
    <w:rsid w:val="00137289"/>
    <w:rsid w:val="001373E3"/>
    <w:rsid w:val="00137533"/>
    <w:rsid w:val="00137620"/>
    <w:rsid w:val="001376B7"/>
    <w:rsid w:val="00137736"/>
    <w:rsid w:val="001377E0"/>
    <w:rsid w:val="00137A71"/>
    <w:rsid w:val="00137C12"/>
    <w:rsid w:val="00137C4B"/>
    <w:rsid w:val="00137CB0"/>
    <w:rsid w:val="00137D5A"/>
    <w:rsid w:val="00137DD1"/>
    <w:rsid w:val="00137E02"/>
    <w:rsid w:val="00137F26"/>
    <w:rsid w:val="00137F51"/>
    <w:rsid w:val="00137F5A"/>
    <w:rsid w:val="00137F7B"/>
    <w:rsid w:val="001400D1"/>
    <w:rsid w:val="00140200"/>
    <w:rsid w:val="00140231"/>
    <w:rsid w:val="00140456"/>
    <w:rsid w:val="001404B2"/>
    <w:rsid w:val="00140587"/>
    <w:rsid w:val="00140591"/>
    <w:rsid w:val="0014065A"/>
    <w:rsid w:val="0014087F"/>
    <w:rsid w:val="001409A0"/>
    <w:rsid w:val="00140A32"/>
    <w:rsid w:val="00140B3D"/>
    <w:rsid w:val="00140C31"/>
    <w:rsid w:val="00140E1E"/>
    <w:rsid w:val="00140E3D"/>
    <w:rsid w:val="00140E4F"/>
    <w:rsid w:val="00140FB5"/>
    <w:rsid w:val="00140FF6"/>
    <w:rsid w:val="001410D5"/>
    <w:rsid w:val="00141127"/>
    <w:rsid w:val="00141148"/>
    <w:rsid w:val="0014122F"/>
    <w:rsid w:val="00141234"/>
    <w:rsid w:val="0014129B"/>
    <w:rsid w:val="001416C2"/>
    <w:rsid w:val="00141746"/>
    <w:rsid w:val="0014174D"/>
    <w:rsid w:val="001417AD"/>
    <w:rsid w:val="001417EE"/>
    <w:rsid w:val="00141886"/>
    <w:rsid w:val="001418E2"/>
    <w:rsid w:val="00141A3D"/>
    <w:rsid w:val="00141B51"/>
    <w:rsid w:val="00141CA1"/>
    <w:rsid w:val="00141CB4"/>
    <w:rsid w:val="00141DD1"/>
    <w:rsid w:val="00141DF7"/>
    <w:rsid w:val="00141E27"/>
    <w:rsid w:val="00141E96"/>
    <w:rsid w:val="00141F0E"/>
    <w:rsid w:val="00141F25"/>
    <w:rsid w:val="00141FD0"/>
    <w:rsid w:val="0014200E"/>
    <w:rsid w:val="00142036"/>
    <w:rsid w:val="00142192"/>
    <w:rsid w:val="001422C9"/>
    <w:rsid w:val="00142337"/>
    <w:rsid w:val="00142376"/>
    <w:rsid w:val="0014239F"/>
    <w:rsid w:val="0014249B"/>
    <w:rsid w:val="001425BD"/>
    <w:rsid w:val="00142609"/>
    <w:rsid w:val="001426EF"/>
    <w:rsid w:val="001426FA"/>
    <w:rsid w:val="00142782"/>
    <w:rsid w:val="001427B4"/>
    <w:rsid w:val="0014288A"/>
    <w:rsid w:val="00142988"/>
    <w:rsid w:val="00142A46"/>
    <w:rsid w:val="00142AA6"/>
    <w:rsid w:val="00142C02"/>
    <w:rsid w:val="00142C61"/>
    <w:rsid w:val="00142E38"/>
    <w:rsid w:val="00142F10"/>
    <w:rsid w:val="00142F4A"/>
    <w:rsid w:val="00143060"/>
    <w:rsid w:val="00143111"/>
    <w:rsid w:val="001431D9"/>
    <w:rsid w:val="001431F4"/>
    <w:rsid w:val="00143323"/>
    <w:rsid w:val="00143368"/>
    <w:rsid w:val="0014340D"/>
    <w:rsid w:val="00143432"/>
    <w:rsid w:val="001434A3"/>
    <w:rsid w:val="0014353B"/>
    <w:rsid w:val="00143569"/>
    <w:rsid w:val="001435E1"/>
    <w:rsid w:val="001436F8"/>
    <w:rsid w:val="00143764"/>
    <w:rsid w:val="00143785"/>
    <w:rsid w:val="00143805"/>
    <w:rsid w:val="00143959"/>
    <w:rsid w:val="001439F8"/>
    <w:rsid w:val="00143A08"/>
    <w:rsid w:val="00143A45"/>
    <w:rsid w:val="00143C64"/>
    <w:rsid w:val="00143D81"/>
    <w:rsid w:val="00143FB4"/>
    <w:rsid w:val="00144004"/>
    <w:rsid w:val="0014402F"/>
    <w:rsid w:val="00144041"/>
    <w:rsid w:val="0014411A"/>
    <w:rsid w:val="0014413D"/>
    <w:rsid w:val="0014414C"/>
    <w:rsid w:val="001444A0"/>
    <w:rsid w:val="001444F6"/>
    <w:rsid w:val="0014462B"/>
    <w:rsid w:val="00144633"/>
    <w:rsid w:val="00144662"/>
    <w:rsid w:val="00144723"/>
    <w:rsid w:val="00144727"/>
    <w:rsid w:val="00144777"/>
    <w:rsid w:val="0014477F"/>
    <w:rsid w:val="001447D7"/>
    <w:rsid w:val="001447D8"/>
    <w:rsid w:val="00144840"/>
    <w:rsid w:val="00144972"/>
    <w:rsid w:val="001449AD"/>
    <w:rsid w:val="00144A1C"/>
    <w:rsid w:val="00144A6C"/>
    <w:rsid w:val="00144A97"/>
    <w:rsid w:val="00144AC4"/>
    <w:rsid w:val="00144AE5"/>
    <w:rsid w:val="00144B78"/>
    <w:rsid w:val="00144B8E"/>
    <w:rsid w:val="00144BB3"/>
    <w:rsid w:val="00144C58"/>
    <w:rsid w:val="00144CF7"/>
    <w:rsid w:val="00144D18"/>
    <w:rsid w:val="00144D41"/>
    <w:rsid w:val="00144E4C"/>
    <w:rsid w:val="00144E55"/>
    <w:rsid w:val="00144E7E"/>
    <w:rsid w:val="00144FF8"/>
    <w:rsid w:val="00145006"/>
    <w:rsid w:val="00145017"/>
    <w:rsid w:val="0014507F"/>
    <w:rsid w:val="00145320"/>
    <w:rsid w:val="0014538C"/>
    <w:rsid w:val="0014555C"/>
    <w:rsid w:val="0014562D"/>
    <w:rsid w:val="00145691"/>
    <w:rsid w:val="001457BC"/>
    <w:rsid w:val="001457D1"/>
    <w:rsid w:val="00145A2F"/>
    <w:rsid w:val="00145ADC"/>
    <w:rsid w:val="00145B4E"/>
    <w:rsid w:val="00145C3C"/>
    <w:rsid w:val="00145DA4"/>
    <w:rsid w:val="00145DE0"/>
    <w:rsid w:val="00145DE1"/>
    <w:rsid w:val="00145EA3"/>
    <w:rsid w:val="00145F11"/>
    <w:rsid w:val="00145F40"/>
    <w:rsid w:val="00146006"/>
    <w:rsid w:val="00146135"/>
    <w:rsid w:val="001461FC"/>
    <w:rsid w:val="00146304"/>
    <w:rsid w:val="00146353"/>
    <w:rsid w:val="00146357"/>
    <w:rsid w:val="00146392"/>
    <w:rsid w:val="001464DF"/>
    <w:rsid w:val="0014674A"/>
    <w:rsid w:val="00146811"/>
    <w:rsid w:val="00146857"/>
    <w:rsid w:val="00146A0D"/>
    <w:rsid w:val="00146B10"/>
    <w:rsid w:val="00146C02"/>
    <w:rsid w:val="00146D3F"/>
    <w:rsid w:val="00146D42"/>
    <w:rsid w:val="00146F1B"/>
    <w:rsid w:val="00146F2D"/>
    <w:rsid w:val="00147049"/>
    <w:rsid w:val="0014705A"/>
    <w:rsid w:val="001471D2"/>
    <w:rsid w:val="001471E8"/>
    <w:rsid w:val="00147241"/>
    <w:rsid w:val="0014730E"/>
    <w:rsid w:val="00147479"/>
    <w:rsid w:val="001474AE"/>
    <w:rsid w:val="001474E4"/>
    <w:rsid w:val="0014755C"/>
    <w:rsid w:val="0014756C"/>
    <w:rsid w:val="001476BA"/>
    <w:rsid w:val="00147790"/>
    <w:rsid w:val="001477EE"/>
    <w:rsid w:val="001478A4"/>
    <w:rsid w:val="001478C8"/>
    <w:rsid w:val="001478D1"/>
    <w:rsid w:val="00147A2C"/>
    <w:rsid w:val="00147A8A"/>
    <w:rsid w:val="00147AA7"/>
    <w:rsid w:val="00147BDE"/>
    <w:rsid w:val="00147D53"/>
    <w:rsid w:val="00147E34"/>
    <w:rsid w:val="00147E88"/>
    <w:rsid w:val="00150013"/>
    <w:rsid w:val="0015011F"/>
    <w:rsid w:val="001501B9"/>
    <w:rsid w:val="00150235"/>
    <w:rsid w:val="0015032C"/>
    <w:rsid w:val="00150471"/>
    <w:rsid w:val="00150551"/>
    <w:rsid w:val="001505C5"/>
    <w:rsid w:val="001505DA"/>
    <w:rsid w:val="00150613"/>
    <w:rsid w:val="00150615"/>
    <w:rsid w:val="00150651"/>
    <w:rsid w:val="001508C9"/>
    <w:rsid w:val="00150925"/>
    <w:rsid w:val="00150976"/>
    <w:rsid w:val="00150AF6"/>
    <w:rsid w:val="00150B92"/>
    <w:rsid w:val="00150BE8"/>
    <w:rsid w:val="00150C79"/>
    <w:rsid w:val="00150CDC"/>
    <w:rsid w:val="00150CFF"/>
    <w:rsid w:val="00150DE9"/>
    <w:rsid w:val="00150DF2"/>
    <w:rsid w:val="00150EBF"/>
    <w:rsid w:val="00150F66"/>
    <w:rsid w:val="00150FB0"/>
    <w:rsid w:val="00150FB2"/>
    <w:rsid w:val="00151034"/>
    <w:rsid w:val="001510B4"/>
    <w:rsid w:val="001511AF"/>
    <w:rsid w:val="0015137B"/>
    <w:rsid w:val="00151655"/>
    <w:rsid w:val="001516AA"/>
    <w:rsid w:val="00151708"/>
    <w:rsid w:val="00151769"/>
    <w:rsid w:val="00151A42"/>
    <w:rsid w:val="00151A79"/>
    <w:rsid w:val="00151A7E"/>
    <w:rsid w:val="00151AF7"/>
    <w:rsid w:val="00151CA3"/>
    <w:rsid w:val="00151E74"/>
    <w:rsid w:val="00151E92"/>
    <w:rsid w:val="00151FE4"/>
    <w:rsid w:val="00152135"/>
    <w:rsid w:val="0015221A"/>
    <w:rsid w:val="001522E2"/>
    <w:rsid w:val="001524BA"/>
    <w:rsid w:val="00152688"/>
    <w:rsid w:val="001526D8"/>
    <w:rsid w:val="0015279B"/>
    <w:rsid w:val="0015281D"/>
    <w:rsid w:val="001528CB"/>
    <w:rsid w:val="001528F9"/>
    <w:rsid w:val="00152913"/>
    <w:rsid w:val="0015298A"/>
    <w:rsid w:val="00152AE4"/>
    <w:rsid w:val="00152B0D"/>
    <w:rsid w:val="00152B2F"/>
    <w:rsid w:val="00152C8A"/>
    <w:rsid w:val="00152DF0"/>
    <w:rsid w:val="00152F89"/>
    <w:rsid w:val="0015304D"/>
    <w:rsid w:val="00153083"/>
    <w:rsid w:val="00153157"/>
    <w:rsid w:val="00153194"/>
    <w:rsid w:val="00153261"/>
    <w:rsid w:val="001534F4"/>
    <w:rsid w:val="001535A2"/>
    <w:rsid w:val="001536A7"/>
    <w:rsid w:val="001536E6"/>
    <w:rsid w:val="00153780"/>
    <w:rsid w:val="0015379F"/>
    <w:rsid w:val="001538AB"/>
    <w:rsid w:val="001538D6"/>
    <w:rsid w:val="0015397A"/>
    <w:rsid w:val="00153AD0"/>
    <w:rsid w:val="00153AF6"/>
    <w:rsid w:val="00153C11"/>
    <w:rsid w:val="00153C7A"/>
    <w:rsid w:val="00153DBC"/>
    <w:rsid w:val="00153DF1"/>
    <w:rsid w:val="00153E17"/>
    <w:rsid w:val="00153E6C"/>
    <w:rsid w:val="00153F01"/>
    <w:rsid w:val="00153FFB"/>
    <w:rsid w:val="001542A7"/>
    <w:rsid w:val="001543D2"/>
    <w:rsid w:val="001545A0"/>
    <w:rsid w:val="001545A7"/>
    <w:rsid w:val="001545B2"/>
    <w:rsid w:val="0015475D"/>
    <w:rsid w:val="00154840"/>
    <w:rsid w:val="001548B2"/>
    <w:rsid w:val="00154AE5"/>
    <w:rsid w:val="00154B9D"/>
    <w:rsid w:val="00154CF1"/>
    <w:rsid w:val="00154E57"/>
    <w:rsid w:val="00154ED8"/>
    <w:rsid w:val="00154FA3"/>
    <w:rsid w:val="00154FC5"/>
    <w:rsid w:val="0015506F"/>
    <w:rsid w:val="00155083"/>
    <w:rsid w:val="001550B5"/>
    <w:rsid w:val="00155134"/>
    <w:rsid w:val="0015517E"/>
    <w:rsid w:val="00155194"/>
    <w:rsid w:val="0015523A"/>
    <w:rsid w:val="00155266"/>
    <w:rsid w:val="0015530B"/>
    <w:rsid w:val="00155316"/>
    <w:rsid w:val="001553A2"/>
    <w:rsid w:val="00155497"/>
    <w:rsid w:val="001554F8"/>
    <w:rsid w:val="001555D2"/>
    <w:rsid w:val="001555E4"/>
    <w:rsid w:val="001555ED"/>
    <w:rsid w:val="00155771"/>
    <w:rsid w:val="001559DC"/>
    <w:rsid w:val="00155AD6"/>
    <w:rsid w:val="00155B93"/>
    <w:rsid w:val="00155DBF"/>
    <w:rsid w:val="00155F60"/>
    <w:rsid w:val="0015606F"/>
    <w:rsid w:val="001560EB"/>
    <w:rsid w:val="001561EE"/>
    <w:rsid w:val="0015634F"/>
    <w:rsid w:val="00156360"/>
    <w:rsid w:val="0015638C"/>
    <w:rsid w:val="00156571"/>
    <w:rsid w:val="00156657"/>
    <w:rsid w:val="001566ED"/>
    <w:rsid w:val="00156844"/>
    <w:rsid w:val="0015688F"/>
    <w:rsid w:val="00156895"/>
    <w:rsid w:val="00156A01"/>
    <w:rsid w:val="00156AD5"/>
    <w:rsid w:val="00156B9A"/>
    <w:rsid w:val="00156BFB"/>
    <w:rsid w:val="00156DF4"/>
    <w:rsid w:val="00156DFC"/>
    <w:rsid w:val="00156F2A"/>
    <w:rsid w:val="0015709D"/>
    <w:rsid w:val="001570E8"/>
    <w:rsid w:val="001571A8"/>
    <w:rsid w:val="001571B7"/>
    <w:rsid w:val="001572DA"/>
    <w:rsid w:val="001573FC"/>
    <w:rsid w:val="00157417"/>
    <w:rsid w:val="00157423"/>
    <w:rsid w:val="001574E0"/>
    <w:rsid w:val="001575C3"/>
    <w:rsid w:val="001575D2"/>
    <w:rsid w:val="0015763C"/>
    <w:rsid w:val="0015773A"/>
    <w:rsid w:val="0015773F"/>
    <w:rsid w:val="00157791"/>
    <w:rsid w:val="001577B8"/>
    <w:rsid w:val="001579E8"/>
    <w:rsid w:val="00157B94"/>
    <w:rsid w:val="00157BD7"/>
    <w:rsid w:val="00157CCD"/>
    <w:rsid w:val="00157D8C"/>
    <w:rsid w:val="00157D9C"/>
    <w:rsid w:val="00157EBB"/>
    <w:rsid w:val="0016000A"/>
    <w:rsid w:val="0016012E"/>
    <w:rsid w:val="00160356"/>
    <w:rsid w:val="0016037D"/>
    <w:rsid w:val="001603A0"/>
    <w:rsid w:val="001604B7"/>
    <w:rsid w:val="0016063B"/>
    <w:rsid w:val="00160688"/>
    <w:rsid w:val="001606B1"/>
    <w:rsid w:val="001606BC"/>
    <w:rsid w:val="00160818"/>
    <w:rsid w:val="00160857"/>
    <w:rsid w:val="0016098E"/>
    <w:rsid w:val="0016099E"/>
    <w:rsid w:val="001609CB"/>
    <w:rsid w:val="001609FE"/>
    <w:rsid w:val="00160A0C"/>
    <w:rsid w:val="00160AA8"/>
    <w:rsid w:val="00160B60"/>
    <w:rsid w:val="00160BA6"/>
    <w:rsid w:val="00160C12"/>
    <w:rsid w:val="00160C38"/>
    <w:rsid w:val="00160CDA"/>
    <w:rsid w:val="00160E07"/>
    <w:rsid w:val="00160E6F"/>
    <w:rsid w:val="00160E7E"/>
    <w:rsid w:val="00160F9D"/>
    <w:rsid w:val="00160FA2"/>
    <w:rsid w:val="00161093"/>
    <w:rsid w:val="00161105"/>
    <w:rsid w:val="00161191"/>
    <w:rsid w:val="00161198"/>
    <w:rsid w:val="00161219"/>
    <w:rsid w:val="00161286"/>
    <w:rsid w:val="00161295"/>
    <w:rsid w:val="00161376"/>
    <w:rsid w:val="001615AD"/>
    <w:rsid w:val="001615DB"/>
    <w:rsid w:val="00161663"/>
    <w:rsid w:val="001616F5"/>
    <w:rsid w:val="001617EA"/>
    <w:rsid w:val="00161814"/>
    <w:rsid w:val="0016181D"/>
    <w:rsid w:val="00161A08"/>
    <w:rsid w:val="00161AFD"/>
    <w:rsid w:val="00161B85"/>
    <w:rsid w:val="00161BC2"/>
    <w:rsid w:val="00161C1B"/>
    <w:rsid w:val="00161E67"/>
    <w:rsid w:val="00161E93"/>
    <w:rsid w:val="00161ECA"/>
    <w:rsid w:val="00161F0A"/>
    <w:rsid w:val="00161F0E"/>
    <w:rsid w:val="00161F61"/>
    <w:rsid w:val="00161F79"/>
    <w:rsid w:val="00161FDA"/>
    <w:rsid w:val="00162055"/>
    <w:rsid w:val="001620B8"/>
    <w:rsid w:val="001620F9"/>
    <w:rsid w:val="001620FE"/>
    <w:rsid w:val="0016212C"/>
    <w:rsid w:val="001622F4"/>
    <w:rsid w:val="001623D8"/>
    <w:rsid w:val="001623E5"/>
    <w:rsid w:val="0016253A"/>
    <w:rsid w:val="00162683"/>
    <w:rsid w:val="00162902"/>
    <w:rsid w:val="00162B72"/>
    <w:rsid w:val="00162B76"/>
    <w:rsid w:val="00162D56"/>
    <w:rsid w:val="00162F18"/>
    <w:rsid w:val="00162F3A"/>
    <w:rsid w:val="00162F72"/>
    <w:rsid w:val="0016302F"/>
    <w:rsid w:val="0016307C"/>
    <w:rsid w:val="00163115"/>
    <w:rsid w:val="0016317F"/>
    <w:rsid w:val="001631F3"/>
    <w:rsid w:val="00163217"/>
    <w:rsid w:val="00163361"/>
    <w:rsid w:val="001633A8"/>
    <w:rsid w:val="001634C4"/>
    <w:rsid w:val="001634D0"/>
    <w:rsid w:val="001636C7"/>
    <w:rsid w:val="001637A8"/>
    <w:rsid w:val="001637F9"/>
    <w:rsid w:val="00163881"/>
    <w:rsid w:val="0016388B"/>
    <w:rsid w:val="001638A5"/>
    <w:rsid w:val="00163CE5"/>
    <w:rsid w:val="00163CF7"/>
    <w:rsid w:val="00163D76"/>
    <w:rsid w:val="00163DDF"/>
    <w:rsid w:val="00163E8D"/>
    <w:rsid w:val="00163E9B"/>
    <w:rsid w:val="00163EF5"/>
    <w:rsid w:val="00163F0E"/>
    <w:rsid w:val="00164054"/>
    <w:rsid w:val="00164091"/>
    <w:rsid w:val="0016411F"/>
    <w:rsid w:val="00164212"/>
    <w:rsid w:val="0016426E"/>
    <w:rsid w:val="001642DF"/>
    <w:rsid w:val="001642FC"/>
    <w:rsid w:val="0016433B"/>
    <w:rsid w:val="00164400"/>
    <w:rsid w:val="0016440C"/>
    <w:rsid w:val="00164462"/>
    <w:rsid w:val="001645D1"/>
    <w:rsid w:val="0016468B"/>
    <w:rsid w:val="0016474B"/>
    <w:rsid w:val="00164751"/>
    <w:rsid w:val="00164767"/>
    <w:rsid w:val="001648C0"/>
    <w:rsid w:val="0016498D"/>
    <w:rsid w:val="0016499E"/>
    <w:rsid w:val="001649DF"/>
    <w:rsid w:val="00164A54"/>
    <w:rsid w:val="00164A61"/>
    <w:rsid w:val="00164B66"/>
    <w:rsid w:val="00164B8A"/>
    <w:rsid w:val="00164DBB"/>
    <w:rsid w:val="00164EE0"/>
    <w:rsid w:val="00164EEB"/>
    <w:rsid w:val="00164EFC"/>
    <w:rsid w:val="00164F0C"/>
    <w:rsid w:val="0016500E"/>
    <w:rsid w:val="0016501F"/>
    <w:rsid w:val="00165145"/>
    <w:rsid w:val="001651AB"/>
    <w:rsid w:val="001651D6"/>
    <w:rsid w:val="00165213"/>
    <w:rsid w:val="00165261"/>
    <w:rsid w:val="001652B2"/>
    <w:rsid w:val="001652C6"/>
    <w:rsid w:val="00165314"/>
    <w:rsid w:val="00165377"/>
    <w:rsid w:val="00165393"/>
    <w:rsid w:val="001653EA"/>
    <w:rsid w:val="0016543B"/>
    <w:rsid w:val="001654AC"/>
    <w:rsid w:val="00165503"/>
    <w:rsid w:val="0016550D"/>
    <w:rsid w:val="001655A8"/>
    <w:rsid w:val="001655B1"/>
    <w:rsid w:val="00165905"/>
    <w:rsid w:val="00165934"/>
    <w:rsid w:val="001659E4"/>
    <w:rsid w:val="00165B73"/>
    <w:rsid w:val="00165C1C"/>
    <w:rsid w:val="00165C1E"/>
    <w:rsid w:val="00165C4E"/>
    <w:rsid w:val="00165CCC"/>
    <w:rsid w:val="00165CF7"/>
    <w:rsid w:val="00165D55"/>
    <w:rsid w:val="00165EC4"/>
    <w:rsid w:val="00165F17"/>
    <w:rsid w:val="00165F1C"/>
    <w:rsid w:val="00165F6E"/>
    <w:rsid w:val="00166128"/>
    <w:rsid w:val="0016616E"/>
    <w:rsid w:val="001661A7"/>
    <w:rsid w:val="001661B4"/>
    <w:rsid w:val="00166201"/>
    <w:rsid w:val="00166390"/>
    <w:rsid w:val="00166527"/>
    <w:rsid w:val="001665B2"/>
    <w:rsid w:val="00166818"/>
    <w:rsid w:val="0016692D"/>
    <w:rsid w:val="00166A88"/>
    <w:rsid w:val="00166A9B"/>
    <w:rsid w:val="00166AD0"/>
    <w:rsid w:val="00166AE2"/>
    <w:rsid w:val="00166B3F"/>
    <w:rsid w:val="00167165"/>
    <w:rsid w:val="00167306"/>
    <w:rsid w:val="00167344"/>
    <w:rsid w:val="001674CD"/>
    <w:rsid w:val="001674FC"/>
    <w:rsid w:val="0016755B"/>
    <w:rsid w:val="0016756F"/>
    <w:rsid w:val="001675E3"/>
    <w:rsid w:val="001675EB"/>
    <w:rsid w:val="0016768A"/>
    <w:rsid w:val="0016772B"/>
    <w:rsid w:val="0016772E"/>
    <w:rsid w:val="0016777E"/>
    <w:rsid w:val="0016798C"/>
    <w:rsid w:val="001679D8"/>
    <w:rsid w:val="001679DD"/>
    <w:rsid w:val="00167A60"/>
    <w:rsid w:val="00167A73"/>
    <w:rsid w:val="00167A86"/>
    <w:rsid w:val="00167BEE"/>
    <w:rsid w:val="00167C92"/>
    <w:rsid w:val="00167DD0"/>
    <w:rsid w:val="00167E72"/>
    <w:rsid w:val="00167F62"/>
    <w:rsid w:val="00167FFA"/>
    <w:rsid w:val="00170043"/>
    <w:rsid w:val="001700D6"/>
    <w:rsid w:val="001701C0"/>
    <w:rsid w:val="00170241"/>
    <w:rsid w:val="001702ED"/>
    <w:rsid w:val="0017030D"/>
    <w:rsid w:val="001703F4"/>
    <w:rsid w:val="0017040A"/>
    <w:rsid w:val="00170449"/>
    <w:rsid w:val="0017054D"/>
    <w:rsid w:val="001705CB"/>
    <w:rsid w:val="001705DE"/>
    <w:rsid w:val="00170622"/>
    <w:rsid w:val="001706AE"/>
    <w:rsid w:val="001708B9"/>
    <w:rsid w:val="0017090F"/>
    <w:rsid w:val="0017097F"/>
    <w:rsid w:val="00170AA3"/>
    <w:rsid w:val="00170B8C"/>
    <w:rsid w:val="00170D0E"/>
    <w:rsid w:val="00171325"/>
    <w:rsid w:val="00171366"/>
    <w:rsid w:val="001713B1"/>
    <w:rsid w:val="00171427"/>
    <w:rsid w:val="0017149D"/>
    <w:rsid w:val="00171510"/>
    <w:rsid w:val="00171799"/>
    <w:rsid w:val="001717A6"/>
    <w:rsid w:val="00171816"/>
    <w:rsid w:val="00171A79"/>
    <w:rsid w:val="00171B41"/>
    <w:rsid w:val="00171B9C"/>
    <w:rsid w:val="00171C01"/>
    <w:rsid w:val="00171D0F"/>
    <w:rsid w:val="00171D56"/>
    <w:rsid w:val="00171E4C"/>
    <w:rsid w:val="00171EAB"/>
    <w:rsid w:val="00171F0F"/>
    <w:rsid w:val="00171F37"/>
    <w:rsid w:val="00171FD8"/>
    <w:rsid w:val="0017206E"/>
    <w:rsid w:val="001720A4"/>
    <w:rsid w:val="00172123"/>
    <w:rsid w:val="00172186"/>
    <w:rsid w:val="001721B0"/>
    <w:rsid w:val="0017230A"/>
    <w:rsid w:val="00172345"/>
    <w:rsid w:val="001723F7"/>
    <w:rsid w:val="00172483"/>
    <w:rsid w:val="0017251E"/>
    <w:rsid w:val="0017259D"/>
    <w:rsid w:val="0017260D"/>
    <w:rsid w:val="0017280D"/>
    <w:rsid w:val="001728E2"/>
    <w:rsid w:val="001728EC"/>
    <w:rsid w:val="001728EE"/>
    <w:rsid w:val="001729D0"/>
    <w:rsid w:val="001729FE"/>
    <w:rsid w:val="00172C96"/>
    <w:rsid w:val="00172D86"/>
    <w:rsid w:val="00172D8B"/>
    <w:rsid w:val="00172DF1"/>
    <w:rsid w:val="00172F56"/>
    <w:rsid w:val="00172F8B"/>
    <w:rsid w:val="00172F9D"/>
    <w:rsid w:val="00172FA4"/>
    <w:rsid w:val="00173063"/>
    <w:rsid w:val="0017307E"/>
    <w:rsid w:val="001730CF"/>
    <w:rsid w:val="00173101"/>
    <w:rsid w:val="0017325E"/>
    <w:rsid w:val="00173287"/>
    <w:rsid w:val="00173323"/>
    <w:rsid w:val="00173402"/>
    <w:rsid w:val="001735C4"/>
    <w:rsid w:val="0017368A"/>
    <w:rsid w:val="00173731"/>
    <w:rsid w:val="001737E1"/>
    <w:rsid w:val="0017380D"/>
    <w:rsid w:val="0017394A"/>
    <w:rsid w:val="00173A54"/>
    <w:rsid w:val="00173AA8"/>
    <w:rsid w:val="00173C0B"/>
    <w:rsid w:val="00173EDD"/>
    <w:rsid w:val="00173EEF"/>
    <w:rsid w:val="00173F88"/>
    <w:rsid w:val="00174055"/>
    <w:rsid w:val="001740B9"/>
    <w:rsid w:val="0017428F"/>
    <w:rsid w:val="001742A1"/>
    <w:rsid w:val="001742A4"/>
    <w:rsid w:val="0017437A"/>
    <w:rsid w:val="00174398"/>
    <w:rsid w:val="00174421"/>
    <w:rsid w:val="001744C2"/>
    <w:rsid w:val="00174531"/>
    <w:rsid w:val="001745CD"/>
    <w:rsid w:val="00174602"/>
    <w:rsid w:val="00174618"/>
    <w:rsid w:val="0017466D"/>
    <w:rsid w:val="00174673"/>
    <w:rsid w:val="001746DC"/>
    <w:rsid w:val="001747A0"/>
    <w:rsid w:val="00174A5E"/>
    <w:rsid w:val="00174A6E"/>
    <w:rsid w:val="00174A91"/>
    <w:rsid w:val="00174C49"/>
    <w:rsid w:val="00174C4C"/>
    <w:rsid w:val="00174C51"/>
    <w:rsid w:val="00174CAE"/>
    <w:rsid w:val="00174CC0"/>
    <w:rsid w:val="00174CE1"/>
    <w:rsid w:val="00174CF9"/>
    <w:rsid w:val="00174DED"/>
    <w:rsid w:val="001750C6"/>
    <w:rsid w:val="001750F0"/>
    <w:rsid w:val="0017515B"/>
    <w:rsid w:val="00175205"/>
    <w:rsid w:val="001754B8"/>
    <w:rsid w:val="001755BB"/>
    <w:rsid w:val="00175639"/>
    <w:rsid w:val="00175750"/>
    <w:rsid w:val="001757CE"/>
    <w:rsid w:val="001759FB"/>
    <w:rsid w:val="00175A43"/>
    <w:rsid w:val="00175A8F"/>
    <w:rsid w:val="00175A92"/>
    <w:rsid w:val="00175AA4"/>
    <w:rsid w:val="00175B63"/>
    <w:rsid w:val="00175B7B"/>
    <w:rsid w:val="00175BF2"/>
    <w:rsid w:val="00175D28"/>
    <w:rsid w:val="00175DF3"/>
    <w:rsid w:val="00175E6E"/>
    <w:rsid w:val="00175F13"/>
    <w:rsid w:val="00176034"/>
    <w:rsid w:val="0017605E"/>
    <w:rsid w:val="0017630C"/>
    <w:rsid w:val="0017636B"/>
    <w:rsid w:val="001763C5"/>
    <w:rsid w:val="001764F9"/>
    <w:rsid w:val="00176528"/>
    <w:rsid w:val="00176532"/>
    <w:rsid w:val="00176610"/>
    <w:rsid w:val="00176709"/>
    <w:rsid w:val="001767E0"/>
    <w:rsid w:val="001767E7"/>
    <w:rsid w:val="001767E9"/>
    <w:rsid w:val="00176813"/>
    <w:rsid w:val="0017685A"/>
    <w:rsid w:val="00176898"/>
    <w:rsid w:val="00176956"/>
    <w:rsid w:val="00176987"/>
    <w:rsid w:val="001769DB"/>
    <w:rsid w:val="00176AA8"/>
    <w:rsid w:val="00176ADA"/>
    <w:rsid w:val="00176AEB"/>
    <w:rsid w:val="00176AF6"/>
    <w:rsid w:val="00176BA4"/>
    <w:rsid w:val="00176C2B"/>
    <w:rsid w:val="00176C96"/>
    <w:rsid w:val="00176CF4"/>
    <w:rsid w:val="00176E3F"/>
    <w:rsid w:val="00176E80"/>
    <w:rsid w:val="00177041"/>
    <w:rsid w:val="00177079"/>
    <w:rsid w:val="00177135"/>
    <w:rsid w:val="001771C9"/>
    <w:rsid w:val="00177314"/>
    <w:rsid w:val="0017734C"/>
    <w:rsid w:val="0017737E"/>
    <w:rsid w:val="0017744F"/>
    <w:rsid w:val="0017753E"/>
    <w:rsid w:val="001775A5"/>
    <w:rsid w:val="0017772A"/>
    <w:rsid w:val="00177737"/>
    <w:rsid w:val="0017775A"/>
    <w:rsid w:val="00177771"/>
    <w:rsid w:val="00177953"/>
    <w:rsid w:val="001779A8"/>
    <w:rsid w:val="00177B13"/>
    <w:rsid w:val="00177C74"/>
    <w:rsid w:val="00177CDE"/>
    <w:rsid w:val="00177D32"/>
    <w:rsid w:val="00177DB2"/>
    <w:rsid w:val="00177DEA"/>
    <w:rsid w:val="00177E96"/>
    <w:rsid w:val="00177F5E"/>
    <w:rsid w:val="00177F70"/>
    <w:rsid w:val="00177F7C"/>
    <w:rsid w:val="0018001F"/>
    <w:rsid w:val="00180030"/>
    <w:rsid w:val="00180072"/>
    <w:rsid w:val="00180203"/>
    <w:rsid w:val="00180232"/>
    <w:rsid w:val="00180282"/>
    <w:rsid w:val="001802EC"/>
    <w:rsid w:val="00180355"/>
    <w:rsid w:val="0018046E"/>
    <w:rsid w:val="001804F8"/>
    <w:rsid w:val="001805C3"/>
    <w:rsid w:val="001805C4"/>
    <w:rsid w:val="001805C5"/>
    <w:rsid w:val="0018065C"/>
    <w:rsid w:val="0018068A"/>
    <w:rsid w:val="00180746"/>
    <w:rsid w:val="00180856"/>
    <w:rsid w:val="00180905"/>
    <w:rsid w:val="00180942"/>
    <w:rsid w:val="001809D0"/>
    <w:rsid w:val="00180B0B"/>
    <w:rsid w:val="00180B45"/>
    <w:rsid w:val="00180BBE"/>
    <w:rsid w:val="00180BDA"/>
    <w:rsid w:val="00180C82"/>
    <w:rsid w:val="00180D5A"/>
    <w:rsid w:val="00180DAB"/>
    <w:rsid w:val="00180DE5"/>
    <w:rsid w:val="00180E92"/>
    <w:rsid w:val="00180F06"/>
    <w:rsid w:val="00180FD6"/>
    <w:rsid w:val="00181074"/>
    <w:rsid w:val="0018108F"/>
    <w:rsid w:val="0018109B"/>
    <w:rsid w:val="001810D5"/>
    <w:rsid w:val="0018113C"/>
    <w:rsid w:val="00181313"/>
    <w:rsid w:val="00181331"/>
    <w:rsid w:val="001814E6"/>
    <w:rsid w:val="0018152B"/>
    <w:rsid w:val="00181554"/>
    <w:rsid w:val="0018156E"/>
    <w:rsid w:val="00181595"/>
    <w:rsid w:val="00181634"/>
    <w:rsid w:val="0018169B"/>
    <w:rsid w:val="00181757"/>
    <w:rsid w:val="0018175E"/>
    <w:rsid w:val="00181869"/>
    <w:rsid w:val="001818C3"/>
    <w:rsid w:val="00181921"/>
    <w:rsid w:val="00181932"/>
    <w:rsid w:val="0018194C"/>
    <w:rsid w:val="00181968"/>
    <w:rsid w:val="00181972"/>
    <w:rsid w:val="00181B0D"/>
    <w:rsid w:val="00181C29"/>
    <w:rsid w:val="00181DA4"/>
    <w:rsid w:val="00181F73"/>
    <w:rsid w:val="0018212A"/>
    <w:rsid w:val="001821D8"/>
    <w:rsid w:val="001821F5"/>
    <w:rsid w:val="001822C5"/>
    <w:rsid w:val="00182339"/>
    <w:rsid w:val="00182405"/>
    <w:rsid w:val="00182435"/>
    <w:rsid w:val="0018248C"/>
    <w:rsid w:val="001824B1"/>
    <w:rsid w:val="001825D9"/>
    <w:rsid w:val="0018269A"/>
    <w:rsid w:val="00182713"/>
    <w:rsid w:val="00182750"/>
    <w:rsid w:val="00182804"/>
    <w:rsid w:val="00182840"/>
    <w:rsid w:val="00182857"/>
    <w:rsid w:val="0018285A"/>
    <w:rsid w:val="001828DD"/>
    <w:rsid w:val="0018290B"/>
    <w:rsid w:val="0018292F"/>
    <w:rsid w:val="00182BEB"/>
    <w:rsid w:val="00182C48"/>
    <w:rsid w:val="00182C5B"/>
    <w:rsid w:val="00182C60"/>
    <w:rsid w:val="00182C6F"/>
    <w:rsid w:val="00182DA4"/>
    <w:rsid w:val="00182E2F"/>
    <w:rsid w:val="00182F51"/>
    <w:rsid w:val="00182F83"/>
    <w:rsid w:val="001830F2"/>
    <w:rsid w:val="0018313D"/>
    <w:rsid w:val="001831DA"/>
    <w:rsid w:val="00183235"/>
    <w:rsid w:val="001834CF"/>
    <w:rsid w:val="001834DF"/>
    <w:rsid w:val="0018350D"/>
    <w:rsid w:val="001835ED"/>
    <w:rsid w:val="00183744"/>
    <w:rsid w:val="0018389A"/>
    <w:rsid w:val="00183918"/>
    <w:rsid w:val="001839DA"/>
    <w:rsid w:val="001839EB"/>
    <w:rsid w:val="00183A42"/>
    <w:rsid w:val="00183CA2"/>
    <w:rsid w:val="00183CFA"/>
    <w:rsid w:val="00183E30"/>
    <w:rsid w:val="00183EDC"/>
    <w:rsid w:val="00183FD8"/>
    <w:rsid w:val="00184027"/>
    <w:rsid w:val="0018402C"/>
    <w:rsid w:val="00184131"/>
    <w:rsid w:val="0018443F"/>
    <w:rsid w:val="0018459E"/>
    <w:rsid w:val="001845AF"/>
    <w:rsid w:val="0018466A"/>
    <w:rsid w:val="001847BF"/>
    <w:rsid w:val="001847CB"/>
    <w:rsid w:val="001847E3"/>
    <w:rsid w:val="00184825"/>
    <w:rsid w:val="001848DF"/>
    <w:rsid w:val="00184A47"/>
    <w:rsid w:val="00184A72"/>
    <w:rsid w:val="00184C66"/>
    <w:rsid w:val="00184CEA"/>
    <w:rsid w:val="00184D02"/>
    <w:rsid w:val="00184D75"/>
    <w:rsid w:val="00184DC5"/>
    <w:rsid w:val="00184E6D"/>
    <w:rsid w:val="00184ECA"/>
    <w:rsid w:val="00184EDC"/>
    <w:rsid w:val="00184F05"/>
    <w:rsid w:val="00184F3A"/>
    <w:rsid w:val="00184FF7"/>
    <w:rsid w:val="0018512B"/>
    <w:rsid w:val="00185479"/>
    <w:rsid w:val="00185611"/>
    <w:rsid w:val="001856D1"/>
    <w:rsid w:val="001856D7"/>
    <w:rsid w:val="001856FC"/>
    <w:rsid w:val="0018574F"/>
    <w:rsid w:val="00185763"/>
    <w:rsid w:val="0018585A"/>
    <w:rsid w:val="00185896"/>
    <w:rsid w:val="00185988"/>
    <w:rsid w:val="001859B6"/>
    <w:rsid w:val="00185B31"/>
    <w:rsid w:val="00185B71"/>
    <w:rsid w:val="00185BA3"/>
    <w:rsid w:val="00185BE3"/>
    <w:rsid w:val="00185ECF"/>
    <w:rsid w:val="00185FED"/>
    <w:rsid w:val="0018612A"/>
    <w:rsid w:val="00186130"/>
    <w:rsid w:val="001861A5"/>
    <w:rsid w:val="001861AE"/>
    <w:rsid w:val="00186281"/>
    <w:rsid w:val="00186350"/>
    <w:rsid w:val="0018644C"/>
    <w:rsid w:val="00186532"/>
    <w:rsid w:val="00186568"/>
    <w:rsid w:val="00186642"/>
    <w:rsid w:val="001866B4"/>
    <w:rsid w:val="00186739"/>
    <w:rsid w:val="001867B5"/>
    <w:rsid w:val="001867EA"/>
    <w:rsid w:val="001867ED"/>
    <w:rsid w:val="0018691F"/>
    <w:rsid w:val="00186AE8"/>
    <w:rsid w:val="00186B20"/>
    <w:rsid w:val="00186C74"/>
    <w:rsid w:val="00186CDC"/>
    <w:rsid w:val="00186CEE"/>
    <w:rsid w:val="00186D1E"/>
    <w:rsid w:val="00186D88"/>
    <w:rsid w:val="00186D8C"/>
    <w:rsid w:val="00186DBB"/>
    <w:rsid w:val="00186E71"/>
    <w:rsid w:val="00186F32"/>
    <w:rsid w:val="00186F34"/>
    <w:rsid w:val="00186FA1"/>
    <w:rsid w:val="00186FC8"/>
    <w:rsid w:val="001870D5"/>
    <w:rsid w:val="00187112"/>
    <w:rsid w:val="00187220"/>
    <w:rsid w:val="00187404"/>
    <w:rsid w:val="0018740D"/>
    <w:rsid w:val="0018751F"/>
    <w:rsid w:val="0018756B"/>
    <w:rsid w:val="001875BE"/>
    <w:rsid w:val="0018792C"/>
    <w:rsid w:val="00187A2F"/>
    <w:rsid w:val="00187A43"/>
    <w:rsid w:val="00187A84"/>
    <w:rsid w:val="00187ACA"/>
    <w:rsid w:val="00187B25"/>
    <w:rsid w:val="00187C37"/>
    <w:rsid w:val="00187D79"/>
    <w:rsid w:val="00187E98"/>
    <w:rsid w:val="00187F38"/>
    <w:rsid w:val="0019004F"/>
    <w:rsid w:val="0019010C"/>
    <w:rsid w:val="0019011A"/>
    <w:rsid w:val="0019016F"/>
    <w:rsid w:val="0019017C"/>
    <w:rsid w:val="001902BC"/>
    <w:rsid w:val="001903E5"/>
    <w:rsid w:val="001904C1"/>
    <w:rsid w:val="001904F3"/>
    <w:rsid w:val="001904F4"/>
    <w:rsid w:val="0019052A"/>
    <w:rsid w:val="001905F1"/>
    <w:rsid w:val="001906DB"/>
    <w:rsid w:val="0019076B"/>
    <w:rsid w:val="001907CE"/>
    <w:rsid w:val="00190A08"/>
    <w:rsid w:val="00190A47"/>
    <w:rsid w:val="00190B14"/>
    <w:rsid w:val="00190B60"/>
    <w:rsid w:val="00190B7E"/>
    <w:rsid w:val="00190D34"/>
    <w:rsid w:val="00190D9C"/>
    <w:rsid w:val="00191055"/>
    <w:rsid w:val="00191097"/>
    <w:rsid w:val="001910D6"/>
    <w:rsid w:val="0019122A"/>
    <w:rsid w:val="0019122D"/>
    <w:rsid w:val="00191243"/>
    <w:rsid w:val="00191419"/>
    <w:rsid w:val="0019141F"/>
    <w:rsid w:val="00191462"/>
    <w:rsid w:val="0019146B"/>
    <w:rsid w:val="0019167C"/>
    <w:rsid w:val="00191687"/>
    <w:rsid w:val="001917AE"/>
    <w:rsid w:val="001917BC"/>
    <w:rsid w:val="00191821"/>
    <w:rsid w:val="00191893"/>
    <w:rsid w:val="001918A2"/>
    <w:rsid w:val="001918F4"/>
    <w:rsid w:val="0019192C"/>
    <w:rsid w:val="00191ADA"/>
    <w:rsid w:val="00191CF0"/>
    <w:rsid w:val="00191D9F"/>
    <w:rsid w:val="00191DBD"/>
    <w:rsid w:val="00191DF9"/>
    <w:rsid w:val="00191E64"/>
    <w:rsid w:val="00191F58"/>
    <w:rsid w:val="00191FA6"/>
    <w:rsid w:val="00192226"/>
    <w:rsid w:val="00192295"/>
    <w:rsid w:val="001922E5"/>
    <w:rsid w:val="0019238D"/>
    <w:rsid w:val="0019240C"/>
    <w:rsid w:val="00192411"/>
    <w:rsid w:val="001925DE"/>
    <w:rsid w:val="0019261A"/>
    <w:rsid w:val="0019261E"/>
    <w:rsid w:val="00192644"/>
    <w:rsid w:val="001926D7"/>
    <w:rsid w:val="001927FC"/>
    <w:rsid w:val="00192882"/>
    <w:rsid w:val="00192A75"/>
    <w:rsid w:val="00192AD8"/>
    <w:rsid w:val="00192EEE"/>
    <w:rsid w:val="00192F24"/>
    <w:rsid w:val="00192F59"/>
    <w:rsid w:val="00192FF9"/>
    <w:rsid w:val="00193042"/>
    <w:rsid w:val="0019305C"/>
    <w:rsid w:val="0019316D"/>
    <w:rsid w:val="0019319C"/>
    <w:rsid w:val="001931EE"/>
    <w:rsid w:val="001931F3"/>
    <w:rsid w:val="00193339"/>
    <w:rsid w:val="0019337C"/>
    <w:rsid w:val="00193478"/>
    <w:rsid w:val="00193494"/>
    <w:rsid w:val="001934C0"/>
    <w:rsid w:val="001934FC"/>
    <w:rsid w:val="00193539"/>
    <w:rsid w:val="001936C8"/>
    <w:rsid w:val="00193732"/>
    <w:rsid w:val="001937DD"/>
    <w:rsid w:val="00193837"/>
    <w:rsid w:val="00193947"/>
    <w:rsid w:val="00193A62"/>
    <w:rsid w:val="00193A89"/>
    <w:rsid w:val="00193ABE"/>
    <w:rsid w:val="00193B72"/>
    <w:rsid w:val="00193BBB"/>
    <w:rsid w:val="00193D9B"/>
    <w:rsid w:val="00193DCB"/>
    <w:rsid w:val="00193F2D"/>
    <w:rsid w:val="00193F64"/>
    <w:rsid w:val="00193F9F"/>
    <w:rsid w:val="00193FAD"/>
    <w:rsid w:val="00193FDF"/>
    <w:rsid w:val="0019414A"/>
    <w:rsid w:val="00194230"/>
    <w:rsid w:val="0019431C"/>
    <w:rsid w:val="001945AD"/>
    <w:rsid w:val="001946BD"/>
    <w:rsid w:val="001947B2"/>
    <w:rsid w:val="0019481C"/>
    <w:rsid w:val="0019482E"/>
    <w:rsid w:val="00194832"/>
    <w:rsid w:val="0019487A"/>
    <w:rsid w:val="0019488E"/>
    <w:rsid w:val="0019496C"/>
    <w:rsid w:val="00194A33"/>
    <w:rsid w:val="00194AAF"/>
    <w:rsid w:val="00194B0A"/>
    <w:rsid w:val="00194C37"/>
    <w:rsid w:val="00194E65"/>
    <w:rsid w:val="0019507D"/>
    <w:rsid w:val="00195121"/>
    <w:rsid w:val="0019528C"/>
    <w:rsid w:val="00195359"/>
    <w:rsid w:val="00195361"/>
    <w:rsid w:val="001953EE"/>
    <w:rsid w:val="001954C8"/>
    <w:rsid w:val="0019550D"/>
    <w:rsid w:val="00195624"/>
    <w:rsid w:val="00195663"/>
    <w:rsid w:val="00195783"/>
    <w:rsid w:val="001957D0"/>
    <w:rsid w:val="0019596D"/>
    <w:rsid w:val="00195997"/>
    <w:rsid w:val="001959C0"/>
    <w:rsid w:val="00195A7A"/>
    <w:rsid w:val="00195AD1"/>
    <w:rsid w:val="00195B00"/>
    <w:rsid w:val="00195C16"/>
    <w:rsid w:val="00195CA9"/>
    <w:rsid w:val="00195D2B"/>
    <w:rsid w:val="00195DE0"/>
    <w:rsid w:val="00195DEE"/>
    <w:rsid w:val="00195EE5"/>
    <w:rsid w:val="00195EEF"/>
    <w:rsid w:val="00195FD9"/>
    <w:rsid w:val="0019610A"/>
    <w:rsid w:val="0019630A"/>
    <w:rsid w:val="001963A1"/>
    <w:rsid w:val="001963B3"/>
    <w:rsid w:val="00196485"/>
    <w:rsid w:val="001964C5"/>
    <w:rsid w:val="0019651C"/>
    <w:rsid w:val="001966DC"/>
    <w:rsid w:val="00196875"/>
    <w:rsid w:val="0019691B"/>
    <w:rsid w:val="00196AF1"/>
    <w:rsid w:val="00196B4D"/>
    <w:rsid w:val="00196BCA"/>
    <w:rsid w:val="00196CCA"/>
    <w:rsid w:val="00196E80"/>
    <w:rsid w:val="00196E85"/>
    <w:rsid w:val="00196FD0"/>
    <w:rsid w:val="001972C7"/>
    <w:rsid w:val="001972F4"/>
    <w:rsid w:val="00197324"/>
    <w:rsid w:val="001975B9"/>
    <w:rsid w:val="001975EF"/>
    <w:rsid w:val="0019765A"/>
    <w:rsid w:val="0019769B"/>
    <w:rsid w:val="001976F2"/>
    <w:rsid w:val="00197847"/>
    <w:rsid w:val="0019787B"/>
    <w:rsid w:val="0019788A"/>
    <w:rsid w:val="001978EC"/>
    <w:rsid w:val="001978F1"/>
    <w:rsid w:val="0019796C"/>
    <w:rsid w:val="00197AE4"/>
    <w:rsid w:val="00197B87"/>
    <w:rsid w:val="00197BB3"/>
    <w:rsid w:val="00197C58"/>
    <w:rsid w:val="00197C91"/>
    <w:rsid w:val="00197FE0"/>
    <w:rsid w:val="001A0002"/>
    <w:rsid w:val="001A011C"/>
    <w:rsid w:val="001A0148"/>
    <w:rsid w:val="001A01A5"/>
    <w:rsid w:val="001A030E"/>
    <w:rsid w:val="001A04B5"/>
    <w:rsid w:val="001A054C"/>
    <w:rsid w:val="001A05F8"/>
    <w:rsid w:val="001A06D5"/>
    <w:rsid w:val="001A0798"/>
    <w:rsid w:val="001A0844"/>
    <w:rsid w:val="001A08E6"/>
    <w:rsid w:val="001A095F"/>
    <w:rsid w:val="001A0B7D"/>
    <w:rsid w:val="001A0C4D"/>
    <w:rsid w:val="001A0CD1"/>
    <w:rsid w:val="001A0D20"/>
    <w:rsid w:val="001A0E66"/>
    <w:rsid w:val="001A0FF0"/>
    <w:rsid w:val="001A127F"/>
    <w:rsid w:val="001A1493"/>
    <w:rsid w:val="001A1524"/>
    <w:rsid w:val="001A1596"/>
    <w:rsid w:val="001A15A8"/>
    <w:rsid w:val="001A166B"/>
    <w:rsid w:val="001A1783"/>
    <w:rsid w:val="001A18B5"/>
    <w:rsid w:val="001A19A4"/>
    <w:rsid w:val="001A19E5"/>
    <w:rsid w:val="001A1A1A"/>
    <w:rsid w:val="001A1ABA"/>
    <w:rsid w:val="001A1AC4"/>
    <w:rsid w:val="001A1BD5"/>
    <w:rsid w:val="001A1CA4"/>
    <w:rsid w:val="001A1E4B"/>
    <w:rsid w:val="001A1F9D"/>
    <w:rsid w:val="001A1FCA"/>
    <w:rsid w:val="001A2140"/>
    <w:rsid w:val="001A22E1"/>
    <w:rsid w:val="001A2329"/>
    <w:rsid w:val="001A2361"/>
    <w:rsid w:val="001A2371"/>
    <w:rsid w:val="001A2475"/>
    <w:rsid w:val="001A247A"/>
    <w:rsid w:val="001A2550"/>
    <w:rsid w:val="001A256E"/>
    <w:rsid w:val="001A2605"/>
    <w:rsid w:val="001A26BE"/>
    <w:rsid w:val="001A2822"/>
    <w:rsid w:val="001A28A3"/>
    <w:rsid w:val="001A2939"/>
    <w:rsid w:val="001A2972"/>
    <w:rsid w:val="001A2D3C"/>
    <w:rsid w:val="001A2DD0"/>
    <w:rsid w:val="001A2E49"/>
    <w:rsid w:val="001A2E7C"/>
    <w:rsid w:val="001A2FB8"/>
    <w:rsid w:val="001A2FDA"/>
    <w:rsid w:val="001A2FE9"/>
    <w:rsid w:val="001A2FF7"/>
    <w:rsid w:val="001A300F"/>
    <w:rsid w:val="001A30C1"/>
    <w:rsid w:val="001A3134"/>
    <w:rsid w:val="001A3213"/>
    <w:rsid w:val="001A327A"/>
    <w:rsid w:val="001A3381"/>
    <w:rsid w:val="001A341A"/>
    <w:rsid w:val="001A342E"/>
    <w:rsid w:val="001A345E"/>
    <w:rsid w:val="001A34DD"/>
    <w:rsid w:val="001A34E5"/>
    <w:rsid w:val="001A34FA"/>
    <w:rsid w:val="001A3575"/>
    <w:rsid w:val="001A3627"/>
    <w:rsid w:val="001A3750"/>
    <w:rsid w:val="001A37A6"/>
    <w:rsid w:val="001A37CB"/>
    <w:rsid w:val="001A37EE"/>
    <w:rsid w:val="001A389E"/>
    <w:rsid w:val="001A38A8"/>
    <w:rsid w:val="001A394C"/>
    <w:rsid w:val="001A397F"/>
    <w:rsid w:val="001A39E7"/>
    <w:rsid w:val="001A39EA"/>
    <w:rsid w:val="001A3A39"/>
    <w:rsid w:val="001A3A4E"/>
    <w:rsid w:val="001A3A7A"/>
    <w:rsid w:val="001A3B1F"/>
    <w:rsid w:val="001A3BDC"/>
    <w:rsid w:val="001A3CFC"/>
    <w:rsid w:val="001A3EE2"/>
    <w:rsid w:val="001A3F36"/>
    <w:rsid w:val="001A3F45"/>
    <w:rsid w:val="001A3F59"/>
    <w:rsid w:val="001A4082"/>
    <w:rsid w:val="001A4153"/>
    <w:rsid w:val="001A41D5"/>
    <w:rsid w:val="001A4212"/>
    <w:rsid w:val="001A4231"/>
    <w:rsid w:val="001A43B9"/>
    <w:rsid w:val="001A44AF"/>
    <w:rsid w:val="001A44B6"/>
    <w:rsid w:val="001A44FC"/>
    <w:rsid w:val="001A4511"/>
    <w:rsid w:val="001A4528"/>
    <w:rsid w:val="001A455B"/>
    <w:rsid w:val="001A455F"/>
    <w:rsid w:val="001A45A6"/>
    <w:rsid w:val="001A45AD"/>
    <w:rsid w:val="001A45CF"/>
    <w:rsid w:val="001A465B"/>
    <w:rsid w:val="001A47B9"/>
    <w:rsid w:val="001A4857"/>
    <w:rsid w:val="001A48B3"/>
    <w:rsid w:val="001A4970"/>
    <w:rsid w:val="001A4A1A"/>
    <w:rsid w:val="001A4A9A"/>
    <w:rsid w:val="001A4AEE"/>
    <w:rsid w:val="001A4B29"/>
    <w:rsid w:val="001A4B69"/>
    <w:rsid w:val="001A4B92"/>
    <w:rsid w:val="001A4BB4"/>
    <w:rsid w:val="001A4BE6"/>
    <w:rsid w:val="001A4C9D"/>
    <w:rsid w:val="001A4CE9"/>
    <w:rsid w:val="001A4D2F"/>
    <w:rsid w:val="001A4D95"/>
    <w:rsid w:val="001A4F5A"/>
    <w:rsid w:val="001A5073"/>
    <w:rsid w:val="001A50B1"/>
    <w:rsid w:val="001A51AE"/>
    <w:rsid w:val="001A51E5"/>
    <w:rsid w:val="001A5222"/>
    <w:rsid w:val="001A52A5"/>
    <w:rsid w:val="001A5366"/>
    <w:rsid w:val="001A53BD"/>
    <w:rsid w:val="001A554E"/>
    <w:rsid w:val="001A563D"/>
    <w:rsid w:val="001A5785"/>
    <w:rsid w:val="001A588A"/>
    <w:rsid w:val="001A58BD"/>
    <w:rsid w:val="001A58C1"/>
    <w:rsid w:val="001A590A"/>
    <w:rsid w:val="001A5949"/>
    <w:rsid w:val="001A5954"/>
    <w:rsid w:val="001A59ED"/>
    <w:rsid w:val="001A5A2B"/>
    <w:rsid w:val="001A5A40"/>
    <w:rsid w:val="001A5AAF"/>
    <w:rsid w:val="001A5AC9"/>
    <w:rsid w:val="001A5BAA"/>
    <w:rsid w:val="001A5DF5"/>
    <w:rsid w:val="001A5E25"/>
    <w:rsid w:val="001A5F14"/>
    <w:rsid w:val="001A5F23"/>
    <w:rsid w:val="001A609D"/>
    <w:rsid w:val="001A60E4"/>
    <w:rsid w:val="001A611A"/>
    <w:rsid w:val="001A6131"/>
    <w:rsid w:val="001A618C"/>
    <w:rsid w:val="001A61F5"/>
    <w:rsid w:val="001A63D2"/>
    <w:rsid w:val="001A64EC"/>
    <w:rsid w:val="001A65AF"/>
    <w:rsid w:val="001A699E"/>
    <w:rsid w:val="001A6A53"/>
    <w:rsid w:val="001A6AAD"/>
    <w:rsid w:val="001A6ACB"/>
    <w:rsid w:val="001A6BF8"/>
    <w:rsid w:val="001A6C5F"/>
    <w:rsid w:val="001A6C97"/>
    <w:rsid w:val="001A6D38"/>
    <w:rsid w:val="001A6E0F"/>
    <w:rsid w:val="001A6F78"/>
    <w:rsid w:val="001A6FBC"/>
    <w:rsid w:val="001A7033"/>
    <w:rsid w:val="001A703E"/>
    <w:rsid w:val="001A7064"/>
    <w:rsid w:val="001A707D"/>
    <w:rsid w:val="001A70A7"/>
    <w:rsid w:val="001A714A"/>
    <w:rsid w:val="001A7198"/>
    <w:rsid w:val="001A71F6"/>
    <w:rsid w:val="001A7264"/>
    <w:rsid w:val="001A72E1"/>
    <w:rsid w:val="001A7426"/>
    <w:rsid w:val="001A7449"/>
    <w:rsid w:val="001A74CC"/>
    <w:rsid w:val="001A751E"/>
    <w:rsid w:val="001A7554"/>
    <w:rsid w:val="001A77AC"/>
    <w:rsid w:val="001A792C"/>
    <w:rsid w:val="001A79AA"/>
    <w:rsid w:val="001A7A7A"/>
    <w:rsid w:val="001A7AF0"/>
    <w:rsid w:val="001A7BE4"/>
    <w:rsid w:val="001A7BE5"/>
    <w:rsid w:val="001A7C61"/>
    <w:rsid w:val="001A7D14"/>
    <w:rsid w:val="001A7D96"/>
    <w:rsid w:val="001A7E2E"/>
    <w:rsid w:val="001A7EDB"/>
    <w:rsid w:val="001A7EF4"/>
    <w:rsid w:val="001A7EFF"/>
    <w:rsid w:val="001B002D"/>
    <w:rsid w:val="001B0041"/>
    <w:rsid w:val="001B0106"/>
    <w:rsid w:val="001B0299"/>
    <w:rsid w:val="001B02A1"/>
    <w:rsid w:val="001B02A8"/>
    <w:rsid w:val="001B02C0"/>
    <w:rsid w:val="001B02FF"/>
    <w:rsid w:val="001B045A"/>
    <w:rsid w:val="001B0597"/>
    <w:rsid w:val="001B059B"/>
    <w:rsid w:val="001B0630"/>
    <w:rsid w:val="001B06EF"/>
    <w:rsid w:val="001B0724"/>
    <w:rsid w:val="001B08A9"/>
    <w:rsid w:val="001B08E2"/>
    <w:rsid w:val="001B0956"/>
    <w:rsid w:val="001B0958"/>
    <w:rsid w:val="001B0AC6"/>
    <w:rsid w:val="001B0B24"/>
    <w:rsid w:val="001B0BAB"/>
    <w:rsid w:val="001B0C2E"/>
    <w:rsid w:val="001B0C9B"/>
    <w:rsid w:val="001B0D95"/>
    <w:rsid w:val="001B0DD1"/>
    <w:rsid w:val="001B0F43"/>
    <w:rsid w:val="001B0F94"/>
    <w:rsid w:val="001B10DB"/>
    <w:rsid w:val="001B10F6"/>
    <w:rsid w:val="001B116D"/>
    <w:rsid w:val="001B1207"/>
    <w:rsid w:val="001B1220"/>
    <w:rsid w:val="001B1267"/>
    <w:rsid w:val="001B12A4"/>
    <w:rsid w:val="001B1426"/>
    <w:rsid w:val="001B1457"/>
    <w:rsid w:val="001B147E"/>
    <w:rsid w:val="001B148B"/>
    <w:rsid w:val="001B14AA"/>
    <w:rsid w:val="001B1512"/>
    <w:rsid w:val="001B152E"/>
    <w:rsid w:val="001B158E"/>
    <w:rsid w:val="001B15D9"/>
    <w:rsid w:val="001B15E9"/>
    <w:rsid w:val="001B1615"/>
    <w:rsid w:val="001B16D1"/>
    <w:rsid w:val="001B19BC"/>
    <w:rsid w:val="001B1A59"/>
    <w:rsid w:val="001B1CF1"/>
    <w:rsid w:val="001B1EA4"/>
    <w:rsid w:val="001B1FCF"/>
    <w:rsid w:val="001B214C"/>
    <w:rsid w:val="001B219A"/>
    <w:rsid w:val="001B21E8"/>
    <w:rsid w:val="001B2442"/>
    <w:rsid w:val="001B25A2"/>
    <w:rsid w:val="001B25E6"/>
    <w:rsid w:val="001B2619"/>
    <w:rsid w:val="001B2648"/>
    <w:rsid w:val="001B2692"/>
    <w:rsid w:val="001B2732"/>
    <w:rsid w:val="001B279A"/>
    <w:rsid w:val="001B27B6"/>
    <w:rsid w:val="001B27CD"/>
    <w:rsid w:val="001B27EA"/>
    <w:rsid w:val="001B28F5"/>
    <w:rsid w:val="001B2A7F"/>
    <w:rsid w:val="001B2BA1"/>
    <w:rsid w:val="001B2C82"/>
    <w:rsid w:val="001B2CB3"/>
    <w:rsid w:val="001B2CE0"/>
    <w:rsid w:val="001B2D26"/>
    <w:rsid w:val="001B2E0E"/>
    <w:rsid w:val="001B2E1E"/>
    <w:rsid w:val="001B300A"/>
    <w:rsid w:val="001B3046"/>
    <w:rsid w:val="001B3139"/>
    <w:rsid w:val="001B321A"/>
    <w:rsid w:val="001B3392"/>
    <w:rsid w:val="001B34BE"/>
    <w:rsid w:val="001B35D2"/>
    <w:rsid w:val="001B3631"/>
    <w:rsid w:val="001B3665"/>
    <w:rsid w:val="001B3687"/>
    <w:rsid w:val="001B37CE"/>
    <w:rsid w:val="001B3967"/>
    <w:rsid w:val="001B3C26"/>
    <w:rsid w:val="001B3C7F"/>
    <w:rsid w:val="001B3CFF"/>
    <w:rsid w:val="001B3D18"/>
    <w:rsid w:val="001B3D68"/>
    <w:rsid w:val="001B3E2A"/>
    <w:rsid w:val="001B3E59"/>
    <w:rsid w:val="001B3E95"/>
    <w:rsid w:val="001B3E9C"/>
    <w:rsid w:val="001B3EAF"/>
    <w:rsid w:val="001B3F9A"/>
    <w:rsid w:val="001B4050"/>
    <w:rsid w:val="001B40D7"/>
    <w:rsid w:val="001B4197"/>
    <w:rsid w:val="001B41C4"/>
    <w:rsid w:val="001B42F1"/>
    <w:rsid w:val="001B43F0"/>
    <w:rsid w:val="001B44E9"/>
    <w:rsid w:val="001B4529"/>
    <w:rsid w:val="001B4593"/>
    <w:rsid w:val="001B460C"/>
    <w:rsid w:val="001B46CA"/>
    <w:rsid w:val="001B472A"/>
    <w:rsid w:val="001B4781"/>
    <w:rsid w:val="001B4878"/>
    <w:rsid w:val="001B48E2"/>
    <w:rsid w:val="001B4967"/>
    <w:rsid w:val="001B4A53"/>
    <w:rsid w:val="001B4A66"/>
    <w:rsid w:val="001B4ACF"/>
    <w:rsid w:val="001B4AE2"/>
    <w:rsid w:val="001B4CA7"/>
    <w:rsid w:val="001B4D39"/>
    <w:rsid w:val="001B4D9D"/>
    <w:rsid w:val="001B4F58"/>
    <w:rsid w:val="001B505F"/>
    <w:rsid w:val="001B50AB"/>
    <w:rsid w:val="001B5216"/>
    <w:rsid w:val="001B5293"/>
    <w:rsid w:val="001B52BE"/>
    <w:rsid w:val="001B52E7"/>
    <w:rsid w:val="001B530F"/>
    <w:rsid w:val="001B5360"/>
    <w:rsid w:val="001B562F"/>
    <w:rsid w:val="001B564B"/>
    <w:rsid w:val="001B5665"/>
    <w:rsid w:val="001B566C"/>
    <w:rsid w:val="001B56F3"/>
    <w:rsid w:val="001B56FE"/>
    <w:rsid w:val="001B5751"/>
    <w:rsid w:val="001B59B2"/>
    <w:rsid w:val="001B5B2C"/>
    <w:rsid w:val="001B5B58"/>
    <w:rsid w:val="001B5C19"/>
    <w:rsid w:val="001B5C43"/>
    <w:rsid w:val="001B5E3D"/>
    <w:rsid w:val="001B5F4B"/>
    <w:rsid w:val="001B5F93"/>
    <w:rsid w:val="001B5FEA"/>
    <w:rsid w:val="001B61A0"/>
    <w:rsid w:val="001B626C"/>
    <w:rsid w:val="001B6296"/>
    <w:rsid w:val="001B63B2"/>
    <w:rsid w:val="001B643F"/>
    <w:rsid w:val="001B6514"/>
    <w:rsid w:val="001B6540"/>
    <w:rsid w:val="001B6576"/>
    <w:rsid w:val="001B6794"/>
    <w:rsid w:val="001B6839"/>
    <w:rsid w:val="001B6873"/>
    <w:rsid w:val="001B69A6"/>
    <w:rsid w:val="001B6A73"/>
    <w:rsid w:val="001B6AB7"/>
    <w:rsid w:val="001B6D2B"/>
    <w:rsid w:val="001B6D69"/>
    <w:rsid w:val="001B6EBD"/>
    <w:rsid w:val="001B6EE9"/>
    <w:rsid w:val="001B7030"/>
    <w:rsid w:val="001B7078"/>
    <w:rsid w:val="001B707B"/>
    <w:rsid w:val="001B71A9"/>
    <w:rsid w:val="001B7263"/>
    <w:rsid w:val="001B72B9"/>
    <w:rsid w:val="001B742C"/>
    <w:rsid w:val="001B743D"/>
    <w:rsid w:val="001B7471"/>
    <w:rsid w:val="001B7493"/>
    <w:rsid w:val="001B74F9"/>
    <w:rsid w:val="001B754E"/>
    <w:rsid w:val="001B7870"/>
    <w:rsid w:val="001B7A5B"/>
    <w:rsid w:val="001B7A6B"/>
    <w:rsid w:val="001B7AFA"/>
    <w:rsid w:val="001B7B5D"/>
    <w:rsid w:val="001B7B82"/>
    <w:rsid w:val="001B7BE2"/>
    <w:rsid w:val="001B7D12"/>
    <w:rsid w:val="001B7D8D"/>
    <w:rsid w:val="001B7E36"/>
    <w:rsid w:val="001B7E76"/>
    <w:rsid w:val="001B7F18"/>
    <w:rsid w:val="001B7F7D"/>
    <w:rsid w:val="001B7F84"/>
    <w:rsid w:val="001BA6FF"/>
    <w:rsid w:val="001C0112"/>
    <w:rsid w:val="001C016E"/>
    <w:rsid w:val="001C02C5"/>
    <w:rsid w:val="001C02D5"/>
    <w:rsid w:val="001C03C6"/>
    <w:rsid w:val="001C03FC"/>
    <w:rsid w:val="001C040A"/>
    <w:rsid w:val="001C0580"/>
    <w:rsid w:val="001C0741"/>
    <w:rsid w:val="001C07D1"/>
    <w:rsid w:val="001C07DD"/>
    <w:rsid w:val="001C09A5"/>
    <w:rsid w:val="001C09BD"/>
    <w:rsid w:val="001C0A25"/>
    <w:rsid w:val="001C0A79"/>
    <w:rsid w:val="001C0BE2"/>
    <w:rsid w:val="001C0CCE"/>
    <w:rsid w:val="001C0DBB"/>
    <w:rsid w:val="001C0DD0"/>
    <w:rsid w:val="001C0ED4"/>
    <w:rsid w:val="001C0F9A"/>
    <w:rsid w:val="001C0FEA"/>
    <w:rsid w:val="001C0FF8"/>
    <w:rsid w:val="001C100B"/>
    <w:rsid w:val="001C106C"/>
    <w:rsid w:val="001C10CE"/>
    <w:rsid w:val="001C10D5"/>
    <w:rsid w:val="001C10F5"/>
    <w:rsid w:val="001C111A"/>
    <w:rsid w:val="001C1245"/>
    <w:rsid w:val="001C127D"/>
    <w:rsid w:val="001C128A"/>
    <w:rsid w:val="001C129D"/>
    <w:rsid w:val="001C1586"/>
    <w:rsid w:val="001C1889"/>
    <w:rsid w:val="001C195D"/>
    <w:rsid w:val="001C19BD"/>
    <w:rsid w:val="001C19FC"/>
    <w:rsid w:val="001C1A35"/>
    <w:rsid w:val="001C1B82"/>
    <w:rsid w:val="001C1C74"/>
    <w:rsid w:val="001C1C8F"/>
    <w:rsid w:val="001C1C92"/>
    <w:rsid w:val="001C1D64"/>
    <w:rsid w:val="001C1E55"/>
    <w:rsid w:val="001C1F18"/>
    <w:rsid w:val="001C2021"/>
    <w:rsid w:val="001C2072"/>
    <w:rsid w:val="001C2074"/>
    <w:rsid w:val="001C215F"/>
    <w:rsid w:val="001C2235"/>
    <w:rsid w:val="001C223F"/>
    <w:rsid w:val="001C2266"/>
    <w:rsid w:val="001C2277"/>
    <w:rsid w:val="001C2383"/>
    <w:rsid w:val="001C23BD"/>
    <w:rsid w:val="001C23CF"/>
    <w:rsid w:val="001C23E7"/>
    <w:rsid w:val="001C240D"/>
    <w:rsid w:val="001C2422"/>
    <w:rsid w:val="001C2482"/>
    <w:rsid w:val="001C24BD"/>
    <w:rsid w:val="001C2538"/>
    <w:rsid w:val="001C257F"/>
    <w:rsid w:val="001C260A"/>
    <w:rsid w:val="001C26DB"/>
    <w:rsid w:val="001C27F9"/>
    <w:rsid w:val="001C2877"/>
    <w:rsid w:val="001C291E"/>
    <w:rsid w:val="001C2A7C"/>
    <w:rsid w:val="001C2AF1"/>
    <w:rsid w:val="001C2B25"/>
    <w:rsid w:val="001C2B74"/>
    <w:rsid w:val="001C2C12"/>
    <w:rsid w:val="001C2C54"/>
    <w:rsid w:val="001C2C72"/>
    <w:rsid w:val="001C2C92"/>
    <w:rsid w:val="001C2E70"/>
    <w:rsid w:val="001C2F5A"/>
    <w:rsid w:val="001C2FE7"/>
    <w:rsid w:val="001C30C9"/>
    <w:rsid w:val="001C31AD"/>
    <w:rsid w:val="001C31F9"/>
    <w:rsid w:val="001C328F"/>
    <w:rsid w:val="001C331C"/>
    <w:rsid w:val="001C33C2"/>
    <w:rsid w:val="001C33F6"/>
    <w:rsid w:val="001C3453"/>
    <w:rsid w:val="001C3478"/>
    <w:rsid w:val="001C348B"/>
    <w:rsid w:val="001C34C3"/>
    <w:rsid w:val="001C3539"/>
    <w:rsid w:val="001C356D"/>
    <w:rsid w:val="001C3577"/>
    <w:rsid w:val="001C3604"/>
    <w:rsid w:val="001C3637"/>
    <w:rsid w:val="001C363C"/>
    <w:rsid w:val="001C3730"/>
    <w:rsid w:val="001C37D7"/>
    <w:rsid w:val="001C3801"/>
    <w:rsid w:val="001C38E3"/>
    <w:rsid w:val="001C3922"/>
    <w:rsid w:val="001C3995"/>
    <w:rsid w:val="001C3B17"/>
    <w:rsid w:val="001C3B88"/>
    <w:rsid w:val="001C3C35"/>
    <w:rsid w:val="001C3D1E"/>
    <w:rsid w:val="001C3DEB"/>
    <w:rsid w:val="001C404A"/>
    <w:rsid w:val="001C409A"/>
    <w:rsid w:val="001C416E"/>
    <w:rsid w:val="001C41B4"/>
    <w:rsid w:val="001C41C8"/>
    <w:rsid w:val="001C427A"/>
    <w:rsid w:val="001C431A"/>
    <w:rsid w:val="001C4464"/>
    <w:rsid w:val="001C451D"/>
    <w:rsid w:val="001C45E7"/>
    <w:rsid w:val="001C462D"/>
    <w:rsid w:val="001C4655"/>
    <w:rsid w:val="001C4669"/>
    <w:rsid w:val="001C46AA"/>
    <w:rsid w:val="001C46DC"/>
    <w:rsid w:val="001C4830"/>
    <w:rsid w:val="001C4850"/>
    <w:rsid w:val="001C4871"/>
    <w:rsid w:val="001C48D0"/>
    <w:rsid w:val="001C4A06"/>
    <w:rsid w:val="001C4BC1"/>
    <w:rsid w:val="001C4BC9"/>
    <w:rsid w:val="001C4CA2"/>
    <w:rsid w:val="001C4D8E"/>
    <w:rsid w:val="001C4E3C"/>
    <w:rsid w:val="001C4F0A"/>
    <w:rsid w:val="001C4FE4"/>
    <w:rsid w:val="001C506C"/>
    <w:rsid w:val="001C5072"/>
    <w:rsid w:val="001C50E2"/>
    <w:rsid w:val="001C526F"/>
    <w:rsid w:val="001C53BF"/>
    <w:rsid w:val="001C53EF"/>
    <w:rsid w:val="001C548E"/>
    <w:rsid w:val="001C562F"/>
    <w:rsid w:val="001C56CA"/>
    <w:rsid w:val="001C5728"/>
    <w:rsid w:val="001C5824"/>
    <w:rsid w:val="001C5871"/>
    <w:rsid w:val="001C59A0"/>
    <w:rsid w:val="001C5A55"/>
    <w:rsid w:val="001C5B92"/>
    <w:rsid w:val="001C5BBD"/>
    <w:rsid w:val="001C5C85"/>
    <w:rsid w:val="001C5CD8"/>
    <w:rsid w:val="001C5D85"/>
    <w:rsid w:val="001C5F1D"/>
    <w:rsid w:val="001C5F58"/>
    <w:rsid w:val="001C5F62"/>
    <w:rsid w:val="001C606E"/>
    <w:rsid w:val="001C637F"/>
    <w:rsid w:val="001C63C0"/>
    <w:rsid w:val="001C655F"/>
    <w:rsid w:val="001C65DF"/>
    <w:rsid w:val="001C66DD"/>
    <w:rsid w:val="001C66F0"/>
    <w:rsid w:val="001C67B2"/>
    <w:rsid w:val="001C67CB"/>
    <w:rsid w:val="001C689D"/>
    <w:rsid w:val="001C6A19"/>
    <w:rsid w:val="001C6D8B"/>
    <w:rsid w:val="001C6DE0"/>
    <w:rsid w:val="001C6EDC"/>
    <w:rsid w:val="001C6F5B"/>
    <w:rsid w:val="001C6F9C"/>
    <w:rsid w:val="001C708F"/>
    <w:rsid w:val="001C7307"/>
    <w:rsid w:val="001C73AB"/>
    <w:rsid w:val="001C741E"/>
    <w:rsid w:val="001C75FB"/>
    <w:rsid w:val="001C7693"/>
    <w:rsid w:val="001C777E"/>
    <w:rsid w:val="001C780D"/>
    <w:rsid w:val="001C7863"/>
    <w:rsid w:val="001C7B01"/>
    <w:rsid w:val="001C7C95"/>
    <w:rsid w:val="001C7CA7"/>
    <w:rsid w:val="001C7CF3"/>
    <w:rsid w:val="001C7D10"/>
    <w:rsid w:val="001C7D17"/>
    <w:rsid w:val="001C7DE4"/>
    <w:rsid w:val="001C7FE8"/>
    <w:rsid w:val="001CD8AD"/>
    <w:rsid w:val="001D005C"/>
    <w:rsid w:val="001D0077"/>
    <w:rsid w:val="001D01E1"/>
    <w:rsid w:val="001D030C"/>
    <w:rsid w:val="001D0357"/>
    <w:rsid w:val="001D0365"/>
    <w:rsid w:val="001D0374"/>
    <w:rsid w:val="001D03A7"/>
    <w:rsid w:val="001D04FC"/>
    <w:rsid w:val="001D05BA"/>
    <w:rsid w:val="001D0606"/>
    <w:rsid w:val="001D0641"/>
    <w:rsid w:val="001D07A5"/>
    <w:rsid w:val="001D07CF"/>
    <w:rsid w:val="001D095D"/>
    <w:rsid w:val="001D09E4"/>
    <w:rsid w:val="001D0A4B"/>
    <w:rsid w:val="001D0A5B"/>
    <w:rsid w:val="001D0A76"/>
    <w:rsid w:val="001D0ACC"/>
    <w:rsid w:val="001D0B39"/>
    <w:rsid w:val="001D0C1D"/>
    <w:rsid w:val="001D0CCF"/>
    <w:rsid w:val="001D0F5B"/>
    <w:rsid w:val="001D1245"/>
    <w:rsid w:val="001D133F"/>
    <w:rsid w:val="001D13B1"/>
    <w:rsid w:val="001D1478"/>
    <w:rsid w:val="001D1511"/>
    <w:rsid w:val="001D1784"/>
    <w:rsid w:val="001D184F"/>
    <w:rsid w:val="001D18C7"/>
    <w:rsid w:val="001D197D"/>
    <w:rsid w:val="001D1A00"/>
    <w:rsid w:val="001D1ACC"/>
    <w:rsid w:val="001D1B9D"/>
    <w:rsid w:val="001D1CD1"/>
    <w:rsid w:val="001D1D79"/>
    <w:rsid w:val="001D1FF9"/>
    <w:rsid w:val="001D2025"/>
    <w:rsid w:val="001D203C"/>
    <w:rsid w:val="001D206E"/>
    <w:rsid w:val="001D20BB"/>
    <w:rsid w:val="001D20C0"/>
    <w:rsid w:val="001D232D"/>
    <w:rsid w:val="001D234F"/>
    <w:rsid w:val="001D23C4"/>
    <w:rsid w:val="001D23E4"/>
    <w:rsid w:val="001D24B6"/>
    <w:rsid w:val="001D2555"/>
    <w:rsid w:val="001D2576"/>
    <w:rsid w:val="001D2601"/>
    <w:rsid w:val="001D261D"/>
    <w:rsid w:val="001D273D"/>
    <w:rsid w:val="001D27FE"/>
    <w:rsid w:val="001D2855"/>
    <w:rsid w:val="001D29D8"/>
    <w:rsid w:val="001D2A6B"/>
    <w:rsid w:val="001D2BAC"/>
    <w:rsid w:val="001D2BF8"/>
    <w:rsid w:val="001D2C55"/>
    <w:rsid w:val="001D2C76"/>
    <w:rsid w:val="001D2C78"/>
    <w:rsid w:val="001D2D08"/>
    <w:rsid w:val="001D2D24"/>
    <w:rsid w:val="001D2DC7"/>
    <w:rsid w:val="001D2EB4"/>
    <w:rsid w:val="001D2F66"/>
    <w:rsid w:val="001D31AF"/>
    <w:rsid w:val="001D328D"/>
    <w:rsid w:val="001D3361"/>
    <w:rsid w:val="001D336D"/>
    <w:rsid w:val="001D33E0"/>
    <w:rsid w:val="001D342E"/>
    <w:rsid w:val="001D3457"/>
    <w:rsid w:val="001D34EE"/>
    <w:rsid w:val="001D3684"/>
    <w:rsid w:val="001D369A"/>
    <w:rsid w:val="001D3738"/>
    <w:rsid w:val="001D3874"/>
    <w:rsid w:val="001D39A0"/>
    <w:rsid w:val="001D3A4B"/>
    <w:rsid w:val="001D3B36"/>
    <w:rsid w:val="001D3B85"/>
    <w:rsid w:val="001D3C3F"/>
    <w:rsid w:val="001D3C84"/>
    <w:rsid w:val="001D3CDA"/>
    <w:rsid w:val="001D3CF3"/>
    <w:rsid w:val="001D3D89"/>
    <w:rsid w:val="001D3DCD"/>
    <w:rsid w:val="001D3DEE"/>
    <w:rsid w:val="001D3F07"/>
    <w:rsid w:val="001D3F1C"/>
    <w:rsid w:val="001D3FD6"/>
    <w:rsid w:val="001D400C"/>
    <w:rsid w:val="001D40C5"/>
    <w:rsid w:val="001D4174"/>
    <w:rsid w:val="001D41ED"/>
    <w:rsid w:val="001D41FC"/>
    <w:rsid w:val="001D4315"/>
    <w:rsid w:val="001D43EC"/>
    <w:rsid w:val="001D440C"/>
    <w:rsid w:val="001D441A"/>
    <w:rsid w:val="001D461D"/>
    <w:rsid w:val="001D461E"/>
    <w:rsid w:val="001D465B"/>
    <w:rsid w:val="001D4670"/>
    <w:rsid w:val="001D47E5"/>
    <w:rsid w:val="001D4880"/>
    <w:rsid w:val="001D4898"/>
    <w:rsid w:val="001D49A9"/>
    <w:rsid w:val="001D49AD"/>
    <w:rsid w:val="001D4AD9"/>
    <w:rsid w:val="001D4AE3"/>
    <w:rsid w:val="001D4C30"/>
    <w:rsid w:val="001D4C3F"/>
    <w:rsid w:val="001D4DC1"/>
    <w:rsid w:val="001D51E0"/>
    <w:rsid w:val="001D52EE"/>
    <w:rsid w:val="001D5350"/>
    <w:rsid w:val="001D53FE"/>
    <w:rsid w:val="001D5415"/>
    <w:rsid w:val="001D54CF"/>
    <w:rsid w:val="001D550B"/>
    <w:rsid w:val="001D5534"/>
    <w:rsid w:val="001D5738"/>
    <w:rsid w:val="001D5779"/>
    <w:rsid w:val="001D587C"/>
    <w:rsid w:val="001D5895"/>
    <w:rsid w:val="001D58D5"/>
    <w:rsid w:val="001D58EE"/>
    <w:rsid w:val="001D592D"/>
    <w:rsid w:val="001D5A06"/>
    <w:rsid w:val="001D5A41"/>
    <w:rsid w:val="001D5A73"/>
    <w:rsid w:val="001D5AF3"/>
    <w:rsid w:val="001D5B16"/>
    <w:rsid w:val="001D5B79"/>
    <w:rsid w:val="001D5C68"/>
    <w:rsid w:val="001D5DC4"/>
    <w:rsid w:val="001D5E9E"/>
    <w:rsid w:val="001D5F1B"/>
    <w:rsid w:val="001D5F30"/>
    <w:rsid w:val="001D6007"/>
    <w:rsid w:val="001D629F"/>
    <w:rsid w:val="001D6311"/>
    <w:rsid w:val="001D6365"/>
    <w:rsid w:val="001D637B"/>
    <w:rsid w:val="001D6432"/>
    <w:rsid w:val="001D657F"/>
    <w:rsid w:val="001D65BE"/>
    <w:rsid w:val="001D67FE"/>
    <w:rsid w:val="001D6820"/>
    <w:rsid w:val="001D6C4A"/>
    <w:rsid w:val="001D6C69"/>
    <w:rsid w:val="001D6D15"/>
    <w:rsid w:val="001D6D51"/>
    <w:rsid w:val="001D6D63"/>
    <w:rsid w:val="001D6DE7"/>
    <w:rsid w:val="001D6E19"/>
    <w:rsid w:val="001D6E1B"/>
    <w:rsid w:val="001D6EDE"/>
    <w:rsid w:val="001D6F24"/>
    <w:rsid w:val="001D6F71"/>
    <w:rsid w:val="001D6F8F"/>
    <w:rsid w:val="001D6FF8"/>
    <w:rsid w:val="001D711F"/>
    <w:rsid w:val="001D7130"/>
    <w:rsid w:val="001D7181"/>
    <w:rsid w:val="001D719E"/>
    <w:rsid w:val="001D71CE"/>
    <w:rsid w:val="001D7209"/>
    <w:rsid w:val="001D73C1"/>
    <w:rsid w:val="001D7485"/>
    <w:rsid w:val="001D74E7"/>
    <w:rsid w:val="001D75B0"/>
    <w:rsid w:val="001D75BB"/>
    <w:rsid w:val="001D7843"/>
    <w:rsid w:val="001D7878"/>
    <w:rsid w:val="001D7A02"/>
    <w:rsid w:val="001D7BE6"/>
    <w:rsid w:val="001D7CCB"/>
    <w:rsid w:val="001D7CCD"/>
    <w:rsid w:val="001D7E1A"/>
    <w:rsid w:val="001D7EF0"/>
    <w:rsid w:val="001D7FC0"/>
    <w:rsid w:val="001D7FC1"/>
    <w:rsid w:val="001E0058"/>
    <w:rsid w:val="001E00FD"/>
    <w:rsid w:val="001E016B"/>
    <w:rsid w:val="001E0378"/>
    <w:rsid w:val="001E03B8"/>
    <w:rsid w:val="001E0406"/>
    <w:rsid w:val="001E04C9"/>
    <w:rsid w:val="001E05B3"/>
    <w:rsid w:val="001E063D"/>
    <w:rsid w:val="001E0645"/>
    <w:rsid w:val="001E08D0"/>
    <w:rsid w:val="001E0948"/>
    <w:rsid w:val="001E09CB"/>
    <w:rsid w:val="001E09EB"/>
    <w:rsid w:val="001E0A7B"/>
    <w:rsid w:val="001E0AD3"/>
    <w:rsid w:val="001E0C4E"/>
    <w:rsid w:val="001E0C83"/>
    <w:rsid w:val="001E0D60"/>
    <w:rsid w:val="001E0D62"/>
    <w:rsid w:val="001E1022"/>
    <w:rsid w:val="001E1042"/>
    <w:rsid w:val="001E117B"/>
    <w:rsid w:val="001E11FD"/>
    <w:rsid w:val="001E1263"/>
    <w:rsid w:val="001E12FB"/>
    <w:rsid w:val="001E132F"/>
    <w:rsid w:val="001E134B"/>
    <w:rsid w:val="001E1437"/>
    <w:rsid w:val="001E14AE"/>
    <w:rsid w:val="001E14C5"/>
    <w:rsid w:val="001E15B2"/>
    <w:rsid w:val="001E18AD"/>
    <w:rsid w:val="001E18CA"/>
    <w:rsid w:val="001E1A12"/>
    <w:rsid w:val="001E1AE7"/>
    <w:rsid w:val="001E1B1A"/>
    <w:rsid w:val="001E1B70"/>
    <w:rsid w:val="001E1CBE"/>
    <w:rsid w:val="001E1E81"/>
    <w:rsid w:val="001E1EE8"/>
    <w:rsid w:val="001E209B"/>
    <w:rsid w:val="001E24D5"/>
    <w:rsid w:val="001E2507"/>
    <w:rsid w:val="001E2670"/>
    <w:rsid w:val="001E2703"/>
    <w:rsid w:val="001E274E"/>
    <w:rsid w:val="001E274F"/>
    <w:rsid w:val="001E28A3"/>
    <w:rsid w:val="001E28EB"/>
    <w:rsid w:val="001E2933"/>
    <w:rsid w:val="001E2953"/>
    <w:rsid w:val="001E2B32"/>
    <w:rsid w:val="001E2BE4"/>
    <w:rsid w:val="001E2C0A"/>
    <w:rsid w:val="001E2D2D"/>
    <w:rsid w:val="001E2D41"/>
    <w:rsid w:val="001E2E4E"/>
    <w:rsid w:val="001E2E71"/>
    <w:rsid w:val="001E2E9D"/>
    <w:rsid w:val="001E2E9F"/>
    <w:rsid w:val="001E3064"/>
    <w:rsid w:val="001E30D0"/>
    <w:rsid w:val="001E3213"/>
    <w:rsid w:val="001E3243"/>
    <w:rsid w:val="001E3260"/>
    <w:rsid w:val="001E32F6"/>
    <w:rsid w:val="001E339A"/>
    <w:rsid w:val="001E33CD"/>
    <w:rsid w:val="001E349B"/>
    <w:rsid w:val="001E34AE"/>
    <w:rsid w:val="001E350C"/>
    <w:rsid w:val="001E36C3"/>
    <w:rsid w:val="001E36CF"/>
    <w:rsid w:val="001E36D4"/>
    <w:rsid w:val="001E36E2"/>
    <w:rsid w:val="001E37D4"/>
    <w:rsid w:val="001E37F6"/>
    <w:rsid w:val="001E3934"/>
    <w:rsid w:val="001E39D0"/>
    <w:rsid w:val="001E3A11"/>
    <w:rsid w:val="001E3A7A"/>
    <w:rsid w:val="001E3BDD"/>
    <w:rsid w:val="001E3BF6"/>
    <w:rsid w:val="001E3F01"/>
    <w:rsid w:val="001E3F5B"/>
    <w:rsid w:val="001E409A"/>
    <w:rsid w:val="001E413F"/>
    <w:rsid w:val="001E41E7"/>
    <w:rsid w:val="001E423B"/>
    <w:rsid w:val="001E43C2"/>
    <w:rsid w:val="001E43D7"/>
    <w:rsid w:val="001E445C"/>
    <w:rsid w:val="001E4681"/>
    <w:rsid w:val="001E479C"/>
    <w:rsid w:val="001E47C4"/>
    <w:rsid w:val="001E47E7"/>
    <w:rsid w:val="001E48B7"/>
    <w:rsid w:val="001E4A05"/>
    <w:rsid w:val="001E4ADE"/>
    <w:rsid w:val="001E4B88"/>
    <w:rsid w:val="001E4D28"/>
    <w:rsid w:val="001E4E00"/>
    <w:rsid w:val="001E4F86"/>
    <w:rsid w:val="001E5002"/>
    <w:rsid w:val="001E5108"/>
    <w:rsid w:val="001E51F8"/>
    <w:rsid w:val="001E5222"/>
    <w:rsid w:val="001E527A"/>
    <w:rsid w:val="001E531A"/>
    <w:rsid w:val="001E5402"/>
    <w:rsid w:val="001E5458"/>
    <w:rsid w:val="001E54AB"/>
    <w:rsid w:val="001E54B3"/>
    <w:rsid w:val="001E553A"/>
    <w:rsid w:val="001E5718"/>
    <w:rsid w:val="001E573B"/>
    <w:rsid w:val="001E57D6"/>
    <w:rsid w:val="001E58CA"/>
    <w:rsid w:val="001E594D"/>
    <w:rsid w:val="001E5A41"/>
    <w:rsid w:val="001E5A5F"/>
    <w:rsid w:val="001E5B4F"/>
    <w:rsid w:val="001E5C5C"/>
    <w:rsid w:val="001E5CDA"/>
    <w:rsid w:val="001E5DA4"/>
    <w:rsid w:val="001E5E6B"/>
    <w:rsid w:val="001E60CA"/>
    <w:rsid w:val="001E61B4"/>
    <w:rsid w:val="001E62B1"/>
    <w:rsid w:val="001E633F"/>
    <w:rsid w:val="001E6418"/>
    <w:rsid w:val="001E644A"/>
    <w:rsid w:val="001E64BD"/>
    <w:rsid w:val="001E6549"/>
    <w:rsid w:val="001E65BD"/>
    <w:rsid w:val="001E65C4"/>
    <w:rsid w:val="001E667D"/>
    <w:rsid w:val="001E672E"/>
    <w:rsid w:val="001E6760"/>
    <w:rsid w:val="001E679D"/>
    <w:rsid w:val="001E680A"/>
    <w:rsid w:val="001E6813"/>
    <w:rsid w:val="001E69E4"/>
    <w:rsid w:val="001E6ACD"/>
    <w:rsid w:val="001E6BAE"/>
    <w:rsid w:val="001E6C67"/>
    <w:rsid w:val="001E6D06"/>
    <w:rsid w:val="001E6E66"/>
    <w:rsid w:val="001E6E6A"/>
    <w:rsid w:val="001E6F9C"/>
    <w:rsid w:val="001E7063"/>
    <w:rsid w:val="001E7191"/>
    <w:rsid w:val="001E7304"/>
    <w:rsid w:val="001E730A"/>
    <w:rsid w:val="001E758A"/>
    <w:rsid w:val="001E7655"/>
    <w:rsid w:val="001E7790"/>
    <w:rsid w:val="001E77B8"/>
    <w:rsid w:val="001E7809"/>
    <w:rsid w:val="001E787F"/>
    <w:rsid w:val="001E78D6"/>
    <w:rsid w:val="001E791E"/>
    <w:rsid w:val="001E7A74"/>
    <w:rsid w:val="001E7A88"/>
    <w:rsid w:val="001E7AC9"/>
    <w:rsid w:val="001E7ACC"/>
    <w:rsid w:val="001E7ADA"/>
    <w:rsid w:val="001E7BAA"/>
    <w:rsid w:val="001E7BBC"/>
    <w:rsid w:val="001E7D3E"/>
    <w:rsid w:val="001E7DDE"/>
    <w:rsid w:val="001E7DE1"/>
    <w:rsid w:val="001E7EA7"/>
    <w:rsid w:val="001E7F30"/>
    <w:rsid w:val="001F00A3"/>
    <w:rsid w:val="001F00F0"/>
    <w:rsid w:val="001F0293"/>
    <w:rsid w:val="001F0349"/>
    <w:rsid w:val="001F03AA"/>
    <w:rsid w:val="001F054D"/>
    <w:rsid w:val="001F05A5"/>
    <w:rsid w:val="001F0650"/>
    <w:rsid w:val="001F0793"/>
    <w:rsid w:val="001F079E"/>
    <w:rsid w:val="001F08F0"/>
    <w:rsid w:val="001F0A61"/>
    <w:rsid w:val="001F0A69"/>
    <w:rsid w:val="001F0B20"/>
    <w:rsid w:val="001F0BC0"/>
    <w:rsid w:val="001F0BF5"/>
    <w:rsid w:val="001F0C60"/>
    <w:rsid w:val="001F0F9E"/>
    <w:rsid w:val="001F105D"/>
    <w:rsid w:val="001F1468"/>
    <w:rsid w:val="001F14E9"/>
    <w:rsid w:val="001F1646"/>
    <w:rsid w:val="001F175F"/>
    <w:rsid w:val="001F1795"/>
    <w:rsid w:val="001F195F"/>
    <w:rsid w:val="001F19F5"/>
    <w:rsid w:val="001F19F9"/>
    <w:rsid w:val="001F1B91"/>
    <w:rsid w:val="001F1D5B"/>
    <w:rsid w:val="001F1DCA"/>
    <w:rsid w:val="001F1E69"/>
    <w:rsid w:val="001F1E7C"/>
    <w:rsid w:val="001F1F10"/>
    <w:rsid w:val="001F1FC0"/>
    <w:rsid w:val="001F1FF7"/>
    <w:rsid w:val="001F2167"/>
    <w:rsid w:val="001F231D"/>
    <w:rsid w:val="001F23BB"/>
    <w:rsid w:val="001F242F"/>
    <w:rsid w:val="001F2558"/>
    <w:rsid w:val="001F274E"/>
    <w:rsid w:val="001F27DF"/>
    <w:rsid w:val="001F2845"/>
    <w:rsid w:val="001F2B40"/>
    <w:rsid w:val="001F2BAE"/>
    <w:rsid w:val="001F2C01"/>
    <w:rsid w:val="001F2C08"/>
    <w:rsid w:val="001F2EE7"/>
    <w:rsid w:val="001F2F94"/>
    <w:rsid w:val="001F2FE5"/>
    <w:rsid w:val="001F30F4"/>
    <w:rsid w:val="001F3235"/>
    <w:rsid w:val="001F32A1"/>
    <w:rsid w:val="001F32AE"/>
    <w:rsid w:val="001F32EB"/>
    <w:rsid w:val="001F331A"/>
    <w:rsid w:val="001F33B6"/>
    <w:rsid w:val="001F33CA"/>
    <w:rsid w:val="001F33CB"/>
    <w:rsid w:val="001F340F"/>
    <w:rsid w:val="001F359E"/>
    <w:rsid w:val="001F35DA"/>
    <w:rsid w:val="001F3623"/>
    <w:rsid w:val="001F3727"/>
    <w:rsid w:val="001F3864"/>
    <w:rsid w:val="001F38BE"/>
    <w:rsid w:val="001F3AE4"/>
    <w:rsid w:val="001F3BC5"/>
    <w:rsid w:val="001F3BD4"/>
    <w:rsid w:val="001F3EB4"/>
    <w:rsid w:val="001F3EEE"/>
    <w:rsid w:val="001F404E"/>
    <w:rsid w:val="001F4089"/>
    <w:rsid w:val="001F41EC"/>
    <w:rsid w:val="001F4227"/>
    <w:rsid w:val="001F42EF"/>
    <w:rsid w:val="001F43E3"/>
    <w:rsid w:val="001F4443"/>
    <w:rsid w:val="001F4454"/>
    <w:rsid w:val="001F44CC"/>
    <w:rsid w:val="001F4523"/>
    <w:rsid w:val="001F4533"/>
    <w:rsid w:val="001F4535"/>
    <w:rsid w:val="001F453B"/>
    <w:rsid w:val="001F467E"/>
    <w:rsid w:val="001F4697"/>
    <w:rsid w:val="001F46E7"/>
    <w:rsid w:val="001F4768"/>
    <w:rsid w:val="001F498B"/>
    <w:rsid w:val="001F4ACF"/>
    <w:rsid w:val="001F4B59"/>
    <w:rsid w:val="001F4BED"/>
    <w:rsid w:val="001F4CD4"/>
    <w:rsid w:val="001F4F22"/>
    <w:rsid w:val="001F4FC4"/>
    <w:rsid w:val="001F505E"/>
    <w:rsid w:val="001F508C"/>
    <w:rsid w:val="001F51EE"/>
    <w:rsid w:val="001F52E7"/>
    <w:rsid w:val="001F53D1"/>
    <w:rsid w:val="001F543F"/>
    <w:rsid w:val="001F546E"/>
    <w:rsid w:val="001F5511"/>
    <w:rsid w:val="001F55B6"/>
    <w:rsid w:val="001F55E3"/>
    <w:rsid w:val="001F55EF"/>
    <w:rsid w:val="001F5740"/>
    <w:rsid w:val="001F574F"/>
    <w:rsid w:val="001F58CA"/>
    <w:rsid w:val="001F5BDA"/>
    <w:rsid w:val="001F5BEB"/>
    <w:rsid w:val="001F5C0D"/>
    <w:rsid w:val="001F5C33"/>
    <w:rsid w:val="001F5C50"/>
    <w:rsid w:val="001F5E7D"/>
    <w:rsid w:val="001F5F26"/>
    <w:rsid w:val="001F5F9B"/>
    <w:rsid w:val="001F6124"/>
    <w:rsid w:val="001F61B8"/>
    <w:rsid w:val="001F6213"/>
    <w:rsid w:val="001F62A7"/>
    <w:rsid w:val="001F630A"/>
    <w:rsid w:val="001F6373"/>
    <w:rsid w:val="001F63D6"/>
    <w:rsid w:val="001F63FD"/>
    <w:rsid w:val="001F64CF"/>
    <w:rsid w:val="001F64D2"/>
    <w:rsid w:val="001F6529"/>
    <w:rsid w:val="001F6692"/>
    <w:rsid w:val="001F6713"/>
    <w:rsid w:val="001F6746"/>
    <w:rsid w:val="001F674B"/>
    <w:rsid w:val="001F67AC"/>
    <w:rsid w:val="001F6839"/>
    <w:rsid w:val="001F6864"/>
    <w:rsid w:val="001F686B"/>
    <w:rsid w:val="001F6973"/>
    <w:rsid w:val="001F6B4F"/>
    <w:rsid w:val="001F6B81"/>
    <w:rsid w:val="001F6C75"/>
    <w:rsid w:val="001F6E25"/>
    <w:rsid w:val="001F6F2D"/>
    <w:rsid w:val="001F6F41"/>
    <w:rsid w:val="001F707E"/>
    <w:rsid w:val="001F7094"/>
    <w:rsid w:val="001F7099"/>
    <w:rsid w:val="001F7233"/>
    <w:rsid w:val="001F7245"/>
    <w:rsid w:val="001F72A3"/>
    <w:rsid w:val="001F7337"/>
    <w:rsid w:val="001F734B"/>
    <w:rsid w:val="001F77AB"/>
    <w:rsid w:val="001F781D"/>
    <w:rsid w:val="001F7835"/>
    <w:rsid w:val="001F783A"/>
    <w:rsid w:val="001F78AD"/>
    <w:rsid w:val="001F78B0"/>
    <w:rsid w:val="001F7A28"/>
    <w:rsid w:val="001F7B03"/>
    <w:rsid w:val="001F7C85"/>
    <w:rsid w:val="001F7C97"/>
    <w:rsid w:val="001F7D0C"/>
    <w:rsid w:val="001F7E4E"/>
    <w:rsid w:val="00200001"/>
    <w:rsid w:val="0020003F"/>
    <w:rsid w:val="002000E8"/>
    <w:rsid w:val="002001FA"/>
    <w:rsid w:val="002002E5"/>
    <w:rsid w:val="002002F8"/>
    <w:rsid w:val="00200433"/>
    <w:rsid w:val="0020046A"/>
    <w:rsid w:val="00200660"/>
    <w:rsid w:val="00200666"/>
    <w:rsid w:val="002006CE"/>
    <w:rsid w:val="002006D1"/>
    <w:rsid w:val="002006D6"/>
    <w:rsid w:val="002007C6"/>
    <w:rsid w:val="00200819"/>
    <w:rsid w:val="00200A77"/>
    <w:rsid w:val="00200AE3"/>
    <w:rsid w:val="00200BE4"/>
    <w:rsid w:val="00200BF4"/>
    <w:rsid w:val="00200C62"/>
    <w:rsid w:val="00200C81"/>
    <w:rsid w:val="00200CC6"/>
    <w:rsid w:val="00200CD7"/>
    <w:rsid w:val="00200CEE"/>
    <w:rsid w:val="00200DF2"/>
    <w:rsid w:val="00200E35"/>
    <w:rsid w:val="00200EE7"/>
    <w:rsid w:val="00200F02"/>
    <w:rsid w:val="00200F7D"/>
    <w:rsid w:val="00201038"/>
    <w:rsid w:val="0020105F"/>
    <w:rsid w:val="00201199"/>
    <w:rsid w:val="002011FF"/>
    <w:rsid w:val="002012AA"/>
    <w:rsid w:val="0020143C"/>
    <w:rsid w:val="0020144B"/>
    <w:rsid w:val="0020149D"/>
    <w:rsid w:val="002014DB"/>
    <w:rsid w:val="002016F9"/>
    <w:rsid w:val="00201717"/>
    <w:rsid w:val="00201730"/>
    <w:rsid w:val="00201763"/>
    <w:rsid w:val="00201774"/>
    <w:rsid w:val="0020189D"/>
    <w:rsid w:val="002019F4"/>
    <w:rsid w:val="00201A40"/>
    <w:rsid w:val="00201B75"/>
    <w:rsid w:val="00201CEE"/>
    <w:rsid w:val="00201D3A"/>
    <w:rsid w:val="00201F2A"/>
    <w:rsid w:val="00201F86"/>
    <w:rsid w:val="00201F93"/>
    <w:rsid w:val="00201FB7"/>
    <w:rsid w:val="0020210D"/>
    <w:rsid w:val="002021DB"/>
    <w:rsid w:val="0020220A"/>
    <w:rsid w:val="00202393"/>
    <w:rsid w:val="00202644"/>
    <w:rsid w:val="00202668"/>
    <w:rsid w:val="002026F6"/>
    <w:rsid w:val="00202733"/>
    <w:rsid w:val="00202752"/>
    <w:rsid w:val="002027FC"/>
    <w:rsid w:val="0020281F"/>
    <w:rsid w:val="0020289A"/>
    <w:rsid w:val="002028C7"/>
    <w:rsid w:val="002029A5"/>
    <w:rsid w:val="002029B5"/>
    <w:rsid w:val="00202BAD"/>
    <w:rsid w:val="00202C23"/>
    <w:rsid w:val="00202C34"/>
    <w:rsid w:val="00202C5E"/>
    <w:rsid w:val="00202C9B"/>
    <w:rsid w:val="00202D16"/>
    <w:rsid w:val="00202D44"/>
    <w:rsid w:val="00202EF6"/>
    <w:rsid w:val="00202F2B"/>
    <w:rsid w:val="00202F7D"/>
    <w:rsid w:val="0020313F"/>
    <w:rsid w:val="00203160"/>
    <w:rsid w:val="0020318A"/>
    <w:rsid w:val="00203269"/>
    <w:rsid w:val="0020333E"/>
    <w:rsid w:val="002033BE"/>
    <w:rsid w:val="002033EB"/>
    <w:rsid w:val="002033F4"/>
    <w:rsid w:val="00203449"/>
    <w:rsid w:val="002034A5"/>
    <w:rsid w:val="00203674"/>
    <w:rsid w:val="00203763"/>
    <w:rsid w:val="0020381E"/>
    <w:rsid w:val="00203986"/>
    <w:rsid w:val="002039B3"/>
    <w:rsid w:val="00203B6E"/>
    <w:rsid w:val="00203C70"/>
    <w:rsid w:val="00203D45"/>
    <w:rsid w:val="00203DE1"/>
    <w:rsid w:val="00203DEE"/>
    <w:rsid w:val="00203DF0"/>
    <w:rsid w:val="00203FC7"/>
    <w:rsid w:val="0020407E"/>
    <w:rsid w:val="00204134"/>
    <w:rsid w:val="00204358"/>
    <w:rsid w:val="00204367"/>
    <w:rsid w:val="00204378"/>
    <w:rsid w:val="00204394"/>
    <w:rsid w:val="002043D5"/>
    <w:rsid w:val="0020442D"/>
    <w:rsid w:val="0020447D"/>
    <w:rsid w:val="002046A9"/>
    <w:rsid w:val="002046BB"/>
    <w:rsid w:val="002046FE"/>
    <w:rsid w:val="00204734"/>
    <w:rsid w:val="002047E9"/>
    <w:rsid w:val="00204800"/>
    <w:rsid w:val="002048BC"/>
    <w:rsid w:val="00204993"/>
    <w:rsid w:val="00204A92"/>
    <w:rsid w:val="00204B42"/>
    <w:rsid w:val="00204C87"/>
    <w:rsid w:val="00204C9A"/>
    <w:rsid w:val="00204CBA"/>
    <w:rsid w:val="00204D63"/>
    <w:rsid w:val="00204E2B"/>
    <w:rsid w:val="00204EF0"/>
    <w:rsid w:val="00204FD5"/>
    <w:rsid w:val="00204FDB"/>
    <w:rsid w:val="0020503F"/>
    <w:rsid w:val="00205084"/>
    <w:rsid w:val="00205099"/>
    <w:rsid w:val="002050F9"/>
    <w:rsid w:val="002051E0"/>
    <w:rsid w:val="002052B5"/>
    <w:rsid w:val="002052CE"/>
    <w:rsid w:val="002052D9"/>
    <w:rsid w:val="002053C5"/>
    <w:rsid w:val="002053EA"/>
    <w:rsid w:val="002053F6"/>
    <w:rsid w:val="00205452"/>
    <w:rsid w:val="002055A8"/>
    <w:rsid w:val="00205732"/>
    <w:rsid w:val="00205792"/>
    <w:rsid w:val="002057C7"/>
    <w:rsid w:val="00205812"/>
    <w:rsid w:val="0020585B"/>
    <w:rsid w:val="002058DA"/>
    <w:rsid w:val="00205906"/>
    <w:rsid w:val="00205930"/>
    <w:rsid w:val="0020599E"/>
    <w:rsid w:val="002059CF"/>
    <w:rsid w:val="00205A2B"/>
    <w:rsid w:val="00205ABD"/>
    <w:rsid w:val="00205B0D"/>
    <w:rsid w:val="00205B80"/>
    <w:rsid w:val="00205C4C"/>
    <w:rsid w:val="00205CB4"/>
    <w:rsid w:val="00205CD6"/>
    <w:rsid w:val="00205D76"/>
    <w:rsid w:val="00205EA8"/>
    <w:rsid w:val="00205F77"/>
    <w:rsid w:val="00205FA6"/>
    <w:rsid w:val="0020607D"/>
    <w:rsid w:val="002060AC"/>
    <w:rsid w:val="002060EE"/>
    <w:rsid w:val="002061D4"/>
    <w:rsid w:val="002062BB"/>
    <w:rsid w:val="002063BA"/>
    <w:rsid w:val="002063F2"/>
    <w:rsid w:val="0020641B"/>
    <w:rsid w:val="002064B7"/>
    <w:rsid w:val="002064C0"/>
    <w:rsid w:val="002064CE"/>
    <w:rsid w:val="002065EF"/>
    <w:rsid w:val="00206649"/>
    <w:rsid w:val="00206710"/>
    <w:rsid w:val="0020671F"/>
    <w:rsid w:val="00206789"/>
    <w:rsid w:val="00206815"/>
    <w:rsid w:val="002069C2"/>
    <w:rsid w:val="00206B81"/>
    <w:rsid w:val="00206BB6"/>
    <w:rsid w:val="00206BB8"/>
    <w:rsid w:val="00206D19"/>
    <w:rsid w:val="00206F28"/>
    <w:rsid w:val="00206FD3"/>
    <w:rsid w:val="00206FF9"/>
    <w:rsid w:val="00207035"/>
    <w:rsid w:val="002070D4"/>
    <w:rsid w:val="002070E8"/>
    <w:rsid w:val="002071AB"/>
    <w:rsid w:val="002071D1"/>
    <w:rsid w:val="0020724C"/>
    <w:rsid w:val="002073EF"/>
    <w:rsid w:val="0020740B"/>
    <w:rsid w:val="002074B5"/>
    <w:rsid w:val="0020750B"/>
    <w:rsid w:val="00207600"/>
    <w:rsid w:val="00207602"/>
    <w:rsid w:val="0020766E"/>
    <w:rsid w:val="002076D3"/>
    <w:rsid w:val="002077E4"/>
    <w:rsid w:val="002078A4"/>
    <w:rsid w:val="002078E7"/>
    <w:rsid w:val="00207C3A"/>
    <w:rsid w:val="00207CC3"/>
    <w:rsid w:val="00207D80"/>
    <w:rsid w:val="00207DED"/>
    <w:rsid w:val="00207EEE"/>
    <w:rsid w:val="00207F1C"/>
    <w:rsid w:val="0021005C"/>
    <w:rsid w:val="00210229"/>
    <w:rsid w:val="00210293"/>
    <w:rsid w:val="002102EE"/>
    <w:rsid w:val="00210312"/>
    <w:rsid w:val="00210314"/>
    <w:rsid w:val="002103CF"/>
    <w:rsid w:val="00210453"/>
    <w:rsid w:val="0021052D"/>
    <w:rsid w:val="0021062C"/>
    <w:rsid w:val="002106AA"/>
    <w:rsid w:val="002106E9"/>
    <w:rsid w:val="00210728"/>
    <w:rsid w:val="0021076D"/>
    <w:rsid w:val="002107D0"/>
    <w:rsid w:val="002108ED"/>
    <w:rsid w:val="00210994"/>
    <w:rsid w:val="002109ED"/>
    <w:rsid w:val="002109F0"/>
    <w:rsid w:val="00210AC4"/>
    <w:rsid w:val="00210ACA"/>
    <w:rsid w:val="00210B02"/>
    <w:rsid w:val="00210B27"/>
    <w:rsid w:val="00210B61"/>
    <w:rsid w:val="00210BB6"/>
    <w:rsid w:val="00210BDF"/>
    <w:rsid w:val="00210C22"/>
    <w:rsid w:val="00210C79"/>
    <w:rsid w:val="00210D68"/>
    <w:rsid w:val="00210F44"/>
    <w:rsid w:val="00210F46"/>
    <w:rsid w:val="00211060"/>
    <w:rsid w:val="002110D6"/>
    <w:rsid w:val="00211108"/>
    <w:rsid w:val="002111B7"/>
    <w:rsid w:val="0021127F"/>
    <w:rsid w:val="0021153C"/>
    <w:rsid w:val="002117A8"/>
    <w:rsid w:val="002117D5"/>
    <w:rsid w:val="00211801"/>
    <w:rsid w:val="002118A0"/>
    <w:rsid w:val="0021190E"/>
    <w:rsid w:val="002119CF"/>
    <w:rsid w:val="002119F0"/>
    <w:rsid w:val="002119F9"/>
    <w:rsid w:val="00211A28"/>
    <w:rsid w:val="00211A49"/>
    <w:rsid w:val="00211A4E"/>
    <w:rsid w:val="00211A53"/>
    <w:rsid w:val="00211A6B"/>
    <w:rsid w:val="00211B64"/>
    <w:rsid w:val="00211B67"/>
    <w:rsid w:val="00211C7B"/>
    <w:rsid w:val="00211C85"/>
    <w:rsid w:val="00211CA3"/>
    <w:rsid w:val="00211CC1"/>
    <w:rsid w:val="00211DBD"/>
    <w:rsid w:val="00211DC1"/>
    <w:rsid w:val="00211E02"/>
    <w:rsid w:val="00211EF6"/>
    <w:rsid w:val="00211FBC"/>
    <w:rsid w:val="002120F4"/>
    <w:rsid w:val="00212111"/>
    <w:rsid w:val="00212250"/>
    <w:rsid w:val="00212282"/>
    <w:rsid w:val="00212284"/>
    <w:rsid w:val="002122AC"/>
    <w:rsid w:val="002122C4"/>
    <w:rsid w:val="0021233A"/>
    <w:rsid w:val="00212423"/>
    <w:rsid w:val="0021249A"/>
    <w:rsid w:val="0021252F"/>
    <w:rsid w:val="0021256B"/>
    <w:rsid w:val="00212748"/>
    <w:rsid w:val="0021284E"/>
    <w:rsid w:val="00212852"/>
    <w:rsid w:val="002128CC"/>
    <w:rsid w:val="00212A1F"/>
    <w:rsid w:val="00212A87"/>
    <w:rsid w:val="00212AAC"/>
    <w:rsid w:val="00212B90"/>
    <w:rsid w:val="00212C0F"/>
    <w:rsid w:val="00212CCD"/>
    <w:rsid w:val="00212CFF"/>
    <w:rsid w:val="00212E07"/>
    <w:rsid w:val="00212E1E"/>
    <w:rsid w:val="00212E47"/>
    <w:rsid w:val="00212F85"/>
    <w:rsid w:val="00212F88"/>
    <w:rsid w:val="00212F99"/>
    <w:rsid w:val="00212FA0"/>
    <w:rsid w:val="00213087"/>
    <w:rsid w:val="0021308B"/>
    <w:rsid w:val="00213105"/>
    <w:rsid w:val="00213132"/>
    <w:rsid w:val="002131AE"/>
    <w:rsid w:val="00213263"/>
    <w:rsid w:val="00213290"/>
    <w:rsid w:val="00213310"/>
    <w:rsid w:val="002133D9"/>
    <w:rsid w:val="002133EA"/>
    <w:rsid w:val="00213407"/>
    <w:rsid w:val="002135F1"/>
    <w:rsid w:val="002135F9"/>
    <w:rsid w:val="0021364B"/>
    <w:rsid w:val="00213668"/>
    <w:rsid w:val="002136E7"/>
    <w:rsid w:val="0021388E"/>
    <w:rsid w:val="0021393D"/>
    <w:rsid w:val="0021394D"/>
    <w:rsid w:val="00213A5D"/>
    <w:rsid w:val="00213A78"/>
    <w:rsid w:val="00213B48"/>
    <w:rsid w:val="00213B65"/>
    <w:rsid w:val="00213BA2"/>
    <w:rsid w:val="00213BEC"/>
    <w:rsid w:val="00213C7E"/>
    <w:rsid w:val="00213CBE"/>
    <w:rsid w:val="00213CC2"/>
    <w:rsid w:val="00213DA9"/>
    <w:rsid w:val="00214186"/>
    <w:rsid w:val="0021433F"/>
    <w:rsid w:val="0021434B"/>
    <w:rsid w:val="002143E4"/>
    <w:rsid w:val="00214462"/>
    <w:rsid w:val="0021477E"/>
    <w:rsid w:val="002147AA"/>
    <w:rsid w:val="00214819"/>
    <w:rsid w:val="00214857"/>
    <w:rsid w:val="00214952"/>
    <w:rsid w:val="00214966"/>
    <w:rsid w:val="00214A0A"/>
    <w:rsid w:val="00214BA2"/>
    <w:rsid w:val="00214C14"/>
    <w:rsid w:val="00214CA8"/>
    <w:rsid w:val="00214CD6"/>
    <w:rsid w:val="00214D46"/>
    <w:rsid w:val="00214D69"/>
    <w:rsid w:val="00214DB0"/>
    <w:rsid w:val="00214E54"/>
    <w:rsid w:val="00214E8D"/>
    <w:rsid w:val="00214E9A"/>
    <w:rsid w:val="00214F34"/>
    <w:rsid w:val="00215045"/>
    <w:rsid w:val="002150C1"/>
    <w:rsid w:val="002150CD"/>
    <w:rsid w:val="00215100"/>
    <w:rsid w:val="002151C4"/>
    <w:rsid w:val="00215207"/>
    <w:rsid w:val="00215335"/>
    <w:rsid w:val="002153B2"/>
    <w:rsid w:val="002153BB"/>
    <w:rsid w:val="00215599"/>
    <w:rsid w:val="002155A6"/>
    <w:rsid w:val="002155CB"/>
    <w:rsid w:val="0021581D"/>
    <w:rsid w:val="002158A4"/>
    <w:rsid w:val="0021591A"/>
    <w:rsid w:val="00215A1A"/>
    <w:rsid w:val="00215A60"/>
    <w:rsid w:val="00215AF1"/>
    <w:rsid w:val="00215C20"/>
    <w:rsid w:val="00215C8D"/>
    <w:rsid w:val="00215CE5"/>
    <w:rsid w:val="00215D12"/>
    <w:rsid w:val="00215D78"/>
    <w:rsid w:val="00215DCB"/>
    <w:rsid w:val="00215E7B"/>
    <w:rsid w:val="00215F6A"/>
    <w:rsid w:val="002160C0"/>
    <w:rsid w:val="00216168"/>
    <w:rsid w:val="00216271"/>
    <w:rsid w:val="002162F5"/>
    <w:rsid w:val="002163B4"/>
    <w:rsid w:val="00216526"/>
    <w:rsid w:val="0021652A"/>
    <w:rsid w:val="00216549"/>
    <w:rsid w:val="002165BB"/>
    <w:rsid w:val="00216604"/>
    <w:rsid w:val="002166C2"/>
    <w:rsid w:val="002166C5"/>
    <w:rsid w:val="00216754"/>
    <w:rsid w:val="0021678C"/>
    <w:rsid w:val="0021686D"/>
    <w:rsid w:val="00216A71"/>
    <w:rsid w:val="00216C67"/>
    <w:rsid w:val="00216CF6"/>
    <w:rsid w:val="00216D3B"/>
    <w:rsid w:val="00216DE2"/>
    <w:rsid w:val="00216E55"/>
    <w:rsid w:val="00216E5E"/>
    <w:rsid w:val="00216F81"/>
    <w:rsid w:val="00216FF8"/>
    <w:rsid w:val="00217022"/>
    <w:rsid w:val="0021708E"/>
    <w:rsid w:val="00217192"/>
    <w:rsid w:val="002171FA"/>
    <w:rsid w:val="002172C1"/>
    <w:rsid w:val="002172DB"/>
    <w:rsid w:val="00217454"/>
    <w:rsid w:val="00217549"/>
    <w:rsid w:val="00217613"/>
    <w:rsid w:val="0021761A"/>
    <w:rsid w:val="00217902"/>
    <w:rsid w:val="00217971"/>
    <w:rsid w:val="00217B4E"/>
    <w:rsid w:val="00217B5B"/>
    <w:rsid w:val="00217CDE"/>
    <w:rsid w:val="00217D65"/>
    <w:rsid w:val="00217DA9"/>
    <w:rsid w:val="00217E46"/>
    <w:rsid w:val="00217E52"/>
    <w:rsid w:val="00217EB6"/>
    <w:rsid w:val="00217F8F"/>
    <w:rsid w:val="00217F96"/>
    <w:rsid w:val="0022021B"/>
    <w:rsid w:val="00220424"/>
    <w:rsid w:val="00220453"/>
    <w:rsid w:val="002204E3"/>
    <w:rsid w:val="00220532"/>
    <w:rsid w:val="00220539"/>
    <w:rsid w:val="002206A3"/>
    <w:rsid w:val="00220783"/>
    <w:rsid w:val="0022085C"/>
    <w:rsid w:val="0022085D"/>
    <w:rsid w:val="002209AE"/>
    <w:rsid w:val="002209CD"/>
    <w:rsid w:val="00220ABB"/>
    <w:rsid w:val="00220B74"/>
    <w:rsid w:val="00220BEB"/>
    <w:rsid w:val="00220C90"/>
    <w:rsid w:val="00220CB6"/>
    <w:rsid w:val="00220CCF"/>
    <w:rsid w:val="00220D14"/>
    <w:rsid w:val="00220D89"/>
    <w:rsid w:val="00220DAA"/>
    <w:rsid w:val="00220E0A"/>
    <w:rsid w:val="00220FE5"/>
    <w:rsid w:val="0022106A"/>
    <w:rsid w:val="00221104"/>
    <w:rsid w:val="00221188"/>
    <w:rsid w:val="002211CC"/>
    <w:rsid w:val="0022124E"/>
    <w:rsid w:val="0022130E"/>
    <w:rsid w:val="0022132A"/>
    <w:rsid w:val="002213A8"/>
    <w:rsid w:val="002213CB"/>
    <w:rsid w:val="00221521"/>
    <w:rsid w:val="002215F4"/>
    <w:rsid w:val="00221625"/>
    <w:rsid w:val="00221655"/>
    <w:rsid w:val="00221780"/>
    <w:rsid w:val="002217BD"/>
    <w:rsid w:val="00221962"/>
    <w:rsid w:val="002219B3"/>
    <w:rsid w:val="002219D5"/>
    <w:rsid w:val="002219FA"/>
    <w:rsid w:val="00221A86"/>
    <w:rsid w:val="00221B18"/>
    <w:rsid w:val="00221B42"/>
    <w:rsid w:val="00221B9B"/>
    <w:rsid w:val="00221D4B"/>
    <w:rsid w:val="00221DBF"/>
    <w:rsid w:val="00221E85"/>
    <w:rsid w:val="00221EEB"/>
    <w:rsid w:val="00221F02"/>
    <w:rsid w:val="0022210C"/>
    <w:rsid w:val="0022215B"/>
    <w:rsid w:val="0022222C"/>
    <w:rsid w:val="00222325"/>
    <w:rsid w:val="00222385"/>
    <w:rsid w:val="0022238E"/>
    <w:rsid w:val="0022242E"/>
    <w:rsid w:val="002224EF"/>
    <w:rsid w:val="00222585"/>
    <w:rsid w:val="002225C1"/>
    <w:rsid w:val="0022278F"/>
    <w:rsid w:val="00222922"/>
    <w:rsid w:val="0022293D"/>
    <w:rsid w:val="002229C0"/>
    <w:rsid w:val="002229C3"/>
    <w:rsid w:val="002229D2"/>
    <w:rsid w:val="002229F6"/>
    <w:rsid w:val="00222C95"/>
    <w:rsid w:val="00222E83"/>
    <w:rsid w:val="00223083"/>
    <w:rsid w:val="002230EC"/>
    <w:rsid w:val="002231F1"/>
    <w:rsid w:val="002231F8"/>
    <w:rsid w:val="002232F4"/>
    <w:rsid w:val="0022335A"/>
    <w:rsid w:val="00223378"/>
    <w:rsid w:val="002233F7"/>
    <w:rsid w:val="00223563"/>
    <w:rsid w:val="00223611"/>
    <w:rsid w:val="00223623"/>
    <w:rsid w:val="002238D9"/>
    <w:rsid w:val="002239B8"/>
    <w:rsid w:val="00223A96"/>
    <w:rsid w:val="00223AA5"/>
    <w:rsid w:val="00223C43"/>
    <w:rsid w:val="00223C76"/>
    <w:rsid w:val="00223C81"/>
    <w:rsid w:val="00223D0B"/>
    <w:rsid w:val="00223D1E"/>
    <w:rsid w:val="00223D85"/>
    <w:rsid w:val="00223E77"/>
    <w:rsid w:val="00223EDA"/>
    <w:rsid w:val="00223F52"/>
    <w:rsid w:val="00223F63"/>
    <w:rsid w:val="002240FD"/>
    <w:rsid w:val="00224155"/>
    <w:rsid w:val="0022418F"/>
    <w:rsid w:val="00224246"/>
    <w:rsid w:val="002242B2"/>
    <w:rsid w:val="002242D4"/>
    <w:rsid w:val="002242E5"/>
    <w:rsid w:val="00224398"/>
    <w:rsid w:val="002243AA"/>
    <w:rsid w:val="00224567"/>
    <w:rsid w:val="00224568"/>
    <w:rsid w:val="002245D6"/>
    <w:rsid w:val="002245F5"/>
    <w:rsid w:val="00224670"/>
    <w:rsid w:val="00224A56"/>
    <w:rsid w:val="00224C52"/>
    <w:rsid w:val="00224D46"/>
    <w:rsid w:val="00224EEE"/>
    <w:rsid w:val="00224F48"/>
    <w:rsid w:val="00225064"/>
    <w:rsid w:val="002250C2"/>
    <w:rsid w:val="002251E8"/>
    <w:rsid w:val="0022525D"/>
    <w:rsid w:val="002252B2"/>
    <w:rsid w:val="0022530C"/>
    <w:rsid w:val="002253C2"/>
    <w:rsid w:val="002253F2"/>
    <w:rsid w:val="00225596"/>
    <w:rsid w:val="002258FF"/>
    <w:rsid w:val="0022591F"/>
    <w:rsid w:val="00225997"/>
    <w:rsid w:val="002259AB"/>
    <w:rsid w:val="00225A21"/>
    <w:rsid w:val="00225A5B"/>
    <w:rsid w:val="00225B0F"/>
    <w:rsid w:val="00225B72"/>
    <w:rsid w:val="00225C97"/>
    <w:rsid w:val="00225E6F"/>
    <w:rsid w:val="00225E93"/>
    <w:rsid w:val="00225EF4"/>
    <w:rsid w:val="0022603D"/>
    <w:rsid w:val="002260C7"/>
    <w:rsid w:val="002261DC"/>
    <w:rsid w:val="002261F5"/>
    <w:rsid w:val="00226254"/>
    <w:rsid w:val="002262ED"/>
    <w:rsid w:val="00226337"/>
    <w:rsid w:val="00226358"/>
    <w:rsid w:val="00226489"/>
    <w:rsid w:val="002268A2"/>
    <w:rsid w:val="002268CC"/>
    <w:rsid w:val="002268CD"/>
    <w:rsid w:val="0022692B"/>
    <w:rsid w:val="00226961"/>
    <w:rsid w:val="002269D7"/>
    <w:rsid w:val="00226A35"/>
    <w:rsid w:val="00226A79"/>
    <w:rsid w:val="00226B7D"/>
    <w:rsid w:val="00226DC3"/>
    <w:rsid w:val="00226F9B"/>
    <w:rsid w:val="00226FBF"/>
    <w:rsid w:val="0022723B"/>
    <w:rsid w:val="002272B1"/>
    <w:rsid w:val="002275B2"/>
    <w:rsid w:val="002275BA"/>
    <w:rsid w:val="0022762C"/>
    <w:rsid w:val="0022781F"/>
    <w:rsid w:val="00227A04"/>
    <w:rsid w:val="00227ACD"/>
    <w:rsid w:val="00227AEF"/>
    <w:rsid w:val="00227D26"/>
    <w:rsid w:val="00227D81"/>
    <w:rsid w:val="00227DD5"/>
    <w:rsid w:val="00227DD7"/>
    <w:rsid w:val="00227EF8"/>
    <w:rsid w:val="00227F1F"/>
    <w:rsid w:val="00230466"/>
    <w:rsid w:val="00230635"/>
    <w:rsid w:val="00230685"/>
    <w:rsid w:val="002306A8"/>
    <w:rsid w:val="002306D5"/>
    <w:rsid w:val="0023072A"/>
    <w:rsid w:val="00230792"/>
    <w:rsid w:val="002307FD"/>
    <w:rsid w:val="00230880"/>
    <w:rsid w:val="00230902"/>
    <w:rsid w:val="00230A5D"/>
    <w:rsid w:val="00230AB0"/>
    <w:rsid w:val="00230B30"/>
    <w:rsid w:val="00230BF6"/>
    <w:rsid w:val="00230DEB"/>
    <w:rsid w:val="00231055"/>
    <w:rsid w:val="002310D2"/>
    <w:rsid w:val="002311CF"/>
    <w:rsid w:val="00231212"/>
    <w:rsid w:val="002312A2"/>
    <w:rsid w:val="00231342"/>
    <w:rsid w:val="00231389"/>
    <w:rsid w:val="00231444"/>
    <w:rsid w:val="00231457"/>
    <w:rsid w:val="00231492"/>
    <w:rsid w:val="002314CE"/>
    <w:rsid w:val="0023151D"/>
    <w:rsid w:val="00231567"/>
    <w:rsid w:val="00231618"/>
    <w:rsid w:val="00231661"/>
    <w:rsid w:val="0023167B"/>
    <w:rsid w:val="00231694"/>
    <w:rsid w:val="00231760"/>
    <w:rsid w:val="00231836"/>
    <w:rsid w:val="002318C3"/>
    <w:rsid w:val="002318F6"/>
    <w:rsid w:val="00231924"/>
    <w:rsid w:val="00231A09"/>
    <w:rsid w:val="00231B44"/>
    <w:rsid w:val="00231C03"/>
    <w:rsid w:val="00231CEC"/>
    <w:rsid w:val="00232016"/>
    <w:rsid w:val="002322D6"/>
    <w:rsid w:val="002323E9"/>
    <w:rsid w:val="00232678"/>
    <w:rsid w:val="00232795"/>
    <w:rsid w:val="00232866"/>
    <w:rsid w:val="002328AC"/>
    <w:rsid w:val="00232911"/>
    <w:rsid w:val="002329E3"/>
    <w:rsid w:val="00232B4D"/>
    <w:rsid w:val="00232BC6"/>
    <w:rsid w:val="00232C48"/>
    <w:rsid w:val="00232D33"/>
    <w:rsid w:val="00232E4C"/>
    <w:rsid w:val="00232E5C"/>
    <w:rsid w:val="00232FAC"/>
    <w:rsid w:val="00233194"/>
    <w:rsid w:val="002331FE"/>
    <w:rsid w:val="00233322"/>
    <w:rsid w:val="002333E3"/>
    <w:rsid w:val="002334B8"/>
    <w:rsid w:val="0023355F"/>
    <w:rsid w:val="00233563"/>
    <w:rsid w:val="00233573"/>
    <w:rsid w:val="002335D3"/>
    <w:rsid w:val="002335EE"/>
    <w:rsid w:val="0023363E"/>
    <w:rsid w:val="0023363F"/>
    <w:rsid w:val="002336AC"/>
    <w:rsid w:val="0023370B"/>
    <w:rsid w:val="0023379D"/>
    <w:rsid w:val="002338E7"/>
    <w:rsid w:val="002339C1"/>
    <w:rsid w:val="00233B58"/>
    <w:rsid w:val="00233BA6"/>
    <w:rsid w:val="00233BF2"/>
    <w:rsid w:val="00233D2D"/>
    <w:rsid w:val="00233DA1"/>
    <w:rsid w:val="00233DB5"/>
    <w:rsid w:val="00233DF9"/>
    <w:rsid w:val="00233F26"/>
    <w:rsid w:val="00233F5D"/>
    <w:rsid w:val="00234019"/>
    <w:rsid w:val="0023406F"/>
    <w:rsid w:val="002340B6"/>
    <w:rsid w:val="0023411B"/>
    <w:rsid w:val="00234135"/>
    <w:rsid w:val="00234144"/>
    <w:rsid w:val="0023419D"/>
    <w:rsid w:val="002341CC"/>
    <w:rsid w:val="00234216"/>
    <w:rsid w:val="00234461"/>
    <w:rsid w:val="0023447C"/>
    <w:rsid w:val="00234679"/>
    <w:rsid w:val="002346F2"/>
    <w:rsid w:val="002347C6"/>
    <w:rsid w:val="00234941"/>
    <w:rsid w:val="00234996"/>
    <w:rsid w:val="00234A9F"/>
    <w:rsid w:val="00234B51"/>
    <w:rsid w:val="00234BA2"/>
    <w:rsid w:val="00234C06"/>
    <w:rsid w:val="00234C0E"/>
    <w:rsid w:val="00234C63"/>
    <w:rsid w:val="00234D41"/>
    <w:rsid w:val="00234DD5"/>
    <w:rsid w:val="00234E6F"/>
    <w:rsid w:val="00234ED0"/>
    <w:rsid w:val="00234F3E"/>
    <w:rsid w:val="00234FDB"/>
    <w:rsid w:val="00234FF5"/>
    <w:rsid w:val="00234FF6"/>
    <w:rsid w:val="00235103"/>
    <w:rsid w:val="002351BC"/>
    <w:rsid w:val="002352B3"/>
    <w:rsid w:val="002353E2"/>
    <w:rsid w:val="00235414"/>
    <w:rsid w:val="002354EF"/>
    <w:rsid w:val="00235570"/>
    <w:rsid w:val="00235582"/>
    <w:rsid w:val="002355BB"/>
    <w:rsid w:val="002355DB"/>
    <w:rsid w:val="002355FF"/>
    <w:rsid w:val="00235606"/>
    <w:rsid w:val="00235614"/>
    <w:rsid w:val="00235673"/>
    <w:rsid w:val="00235892"/>
    <w:rsid w:val="00235962"/>
    <w:rsid w:val="00235AC4"/>
    <w:rsid w:val="00235FA7"/>
    <w:rsid w:val="00236054"/>
    <w:rsid w:val="00236063"/>
    <w:rsid w:val="00236073"/>
    <w:rsid w:val="00236086"/>
    <w:rsid w:val="002360D4"/>
    <w:rsid w:val="00236128"/>
    <w:rsid w:val="00236160"/>
    <w:rsid w:val="002361BC"/>
    <w:rsid w:val="00236239"/>
    <w:rsid w:val="002362A8"/>
    <w:rsid w:val="0023648D"/>
    <w:rsid w:val="0023659F"/>
    <w:rsid w:val="002366F2"/>
    <w:rsid w:val="0023681D"/>
    <w:rsid w:val="00236B39"/>
    <w:rsid w:val="00236BA1"/>
    <w:rsid w:val="00236BD0"/>
    <w:rsid w:val="00236C35"/>
    <w:rsid w:val="00236EF8"/>
    <w:rsid w:val="00236F19"/>
    <w:rsid w:val="002370AB"/>
    <w:rsid w:val="002370EF"/>
    <w:rsid w:val="0023723D"/>
    <w:rsid w:val="002372ED"/>
    <w:rsid w:val="00237373"/>
    <w:rsid w:val="002373B1"/>
    <w:rsid w:val="002373B5"/>
    <w:rsid w:val="002373F8"/>
    <w:rsid w:val="002374E0"/>
    <w:rsid w:val="00237533"/>
    <w:rsid w:val="002375AF"/>
    <w:rsid w:val="0023760F"/>
    <w:rsid w:val="002376D0"/>
    <w:rsid w:val="00237784"/>
    <w:rsid w:val="002377F4"/>
    <w:rsid w:val="00237872"/>
    <w:rsid w:val="00237A16"/>
    <w:rsid w:val="00237AF8"/>
    <w:rsid w:val="00237C12"/>
    <w:rsid w:val="00237C49"/>
    <w:rsid w:val="00237CCD"/>
    <w:rsid w:val="00237D90"/>
    <w:rsid w:val="00237DE6"/>
    <w:rsid w:val="00237DEA"/>
    <w:rsid w:val="00237E2F"/>
    <w:rsid w:val="00237FAB"/>
    <w:rsid w:val="00237FB1"/>
    <w:rsid w:val="0024004C"/>
    <w:rsid w:val="00240055"/>
    <w:rsid w:val="002400AD"/>
    <w:rsid w:val="002401F6"/>
    <w:rsid w:val="0024021F"/>
    <w:rsid w:val="002402C4"/>
    <w:rsid w:val="00240306"/>
    <w:rsid w:val="00240492"/>
    <w:rsid w:val="00240517"/>
    <w:rsid w:val="002405C0"/>
    <w:rsid w:val="00240660"/>
    <w:rsid w:val="00240665"/>
    <w:rsid w:val="002406D8"/>
    <w:rsid w:val="0024088D"/>
    <w:rsid w:val="00240A38"/>
    <w:rsid w:val="00240B86"/>
    <w:rsid w:val="00240DF6"/>
    <w:rsid w:val="00240EA7"/>
    <w:rsid w:val="00241005"/>
    <w:rsid w:val="002410BF"/>
    <w:rsid w:val="002410FC"/>
    <w:rsid w:val="0024118F"/>
    <w:rsid w:val="002411BE"/>
    <w:rsid w:val="002411E4"/>
    <w:rsid w:val="0024123C"/>
    <w:rsid w:val="00241281"/>
    <w:rsid w:val="002412CD"/>
    <w:rsid w:val="002413C1"/>
    <w:rsid w:val="0024149D"/>
    <w:rsid w:val="002415FA"/>
    <w:rsid w:val="0024163C"/>
    <w:rsid w:val="0024187E"/>
    <w:rsid w:val="0024199D"/>
    <w:rsid w:val="00241AB1"/>
    <w:rsid w:val="00241AC7"/>
    <w:rsid w:val="00241BBD"/>
    <w:rsid w:val="00241BD5"/>
    <w:rsid w:val="00241C1C"/>
    <w:rsid w:val="00241C2D"/>
    <w:rsid w:val="00241D35"/>
    <w:rsid w:val="00241EB8"/>
    <w:rsid w:val="002420FB"/>
    <w:rsid w:val="002421CC"/>
    <w:rsid w:val="00242202"/>
    <w:rsid w:val="0024221C"/>
    <w:rsid w:val="00242237"/>
    <w:rsid w:val="00242363"/>
    <w:rsid w:val="00242502"/>
    <w:rsid w:val="00242511"/>
    <w:rsid w:val="0024253C"/>
    <w:rsid w:val="00242694"/>
    <w:rsid w:val="002427B5"/>
    <w:rsid w:val="002427DC"/>
    <w:rsid w:val="002427E6"/>
    <w:rsid w:val="00242863"/>
    <w:rsid w:val="0024288E"/>
    <w:rsid w:val="002428B4"/>
    <w:rsid w:val="002429A1"/>
    <w:rsid w:val="00242D34"/>
    <w:rsid w:val="00242D57"/>
    <w:rsid w:val="00242DBB"/>
    <w:rsid w:val="00243003"/>
    <w:rsid w:val="0024324A"/>
    <w:rsid w:val="0024326C"/>
    <w:rsid w:val="002432B3"/>
    <w:rsid w:val="00243584"/>
    <w:rsid w:val="002435A1"/>
    <w:rsid w:val="00243614"/>
    <w:rsid w:val="00243678"/>
    <w:rsid w:val="00243688"/>
    <w:rsid w:val="002437B4"/>
    <w:rsid w:val="002437F0"/>
    <w:rsid w:val="00243878"/>
    <w:rsid w:val="00243B1C"/>
    <w:rsid w:val="00243B32"/>
    <w:rsid w:val="00243E0B"/>
    <w:rsid w:val="00243F64"/>
    <w:rsid w:val="00244010"/>
    <w:rsid w:val="0024409D"/>
    <w:rsid w:val="002440A0"/>
    <w:rsid w:val="00244108"/>
    <w:rsid w:val="0024417E"/>
    <w:rsid w:val="00244203"/>
    <w:rsid w:val="00244255"/>
    <w:rsid w:val="0024433B"/>
    <w:rsid w:val="00244354"/>
    <w:rsid w:val="00244447"/>
    <w:rsid w:val="0024459D"/>
    <w:rsid w:val="002445A6"/>
    <w:rsid w:val="00244654"/>
    <w:rsid w:val="0024473C"/>
    <w:rsid w:val="0024479E"/>
    <w:rsid w:val="00244843"/>
    <w:rsid w:val="00244860"/>
    <w:rsid w:val="002448F0"/>
    <w:rsid w:val="00244917"/>
    <w:rsid w:val="00244944"/>
    <w:rsid w:val="00244AEE"/>
    <w:rsid w:val="00244B00"/>
    <w:rsid w:val="00244B21"/>
    <w:rsid w:val="00244BCD"/>
    <w:rsid w:val="00244C3D"/>
    <w:rsid w:val="00244CF3"/>
    <w:rsid w:val="00244D0E"/>
    <w:rsid w:val="00244D97"/>
    <w:rsid w:val="00245046"/>
    <w:rsid w:val="00245087"/>
    <w:rsid w:val="002450D7"/>
    <w:rsid w:val="00245221"/>
    <w:rsid w:val="002454B7"/>
    <w:rsid w:val="002454DB"/>
    <w:rsid w:val="00245628"/>
    <w:rsid w:val="0024568E"/>
    <w:rsid w:val="00245810"/>
    <w:rsid w:val="00245883"/>
    <w:rsid w:val="00245892"/>
    <w:rsid w:val="002458DA"/>
    <w:rsid w:val="00245925"/>
    <w:rsid w:val="00245950"/>
    <w:rsid w:val="00245960"/>
    <w:rsid w:val="002459FA"/>
    <w:rsid w:val="00245A82"/>
    <w:rsid w:val="00245BDA"/>
    <w:rsid w:val="00245D25"/>
    <w:rsid w:val="00245D63"/>
    <w:rsid w:val="00245DBA"/>
    <w:rsid w:val="00245E3C"/>
    <w:rsid w:val="00245E8F"/>
    <w:rsid w:val="00245EE5"/>
    <w:rsid w:val="0024606D"/>
    <w:rsid w:val="0024610D"/>
    <w:rsid w:val="00246156"/>
    <w:rsid w:val="002461A5"/>
    <w:rsid w:val="0024632F"/>
    <w:rsid w:val="002463BB"/>
    <w:rsid w:val="002463ED"/>
    <w:rsid w:val="00246507"/>
    <w:rsid w:val="002465B2"/>
    <w:rsid w:val="002465FA"/>
    <w:rsid w:val="00246619"/>
    <w:rsid w:val="0024662C"/>
    <w:rsid w:val="0024664E"/>
    <w:rsid w:val="0024667B"/>
    <w:rsid w:val="00246724"/>
    <w:rsid w:val="002468FA"/>
    <w:rsid w:val="0024694E"/>
    <w:rsid w:val="00246A86"/>
    <w:rsid w:val="00246AAD"/>
    <w:rsid w:val="00246B1E"/>
    <w:rsid w:val="00246C1B"/>
    <w:rsid w:val="00246C32"/>
    <w:rsid w:val="00246CE9"/>
    <w:rsid w:val="00246D88"/>
    <w:rsid w:val="00246F7A"/>
    <w:rsid w:val="00246FD8"/>
    <w:rsid w:val="00246FF9"/>
    <w:rsid w:val="0024709E"/>
    <w:rsid w:val="002470D8"/>
    <w:rsid w:val="002471EB"/>
    <w:rsid w:val="0024721D"/>
    <w:rsid w:val="00247258"/>
    <w:rsid w:val="00247373"/>
    <w:rsid w:val="00247491"/>
    <w:rsid w:val="00247605"/>
    <w:rsid w:val="00247758"/>
    <w:rsid w:val="0024787A"/>
    <w:rsid w:val="002478BF"/>
    <w:rsid w:val="002479C0"/>
    <w:rsid w:val="002479DD"/>
    <w:rsid w:val="00247A94"/>
    <w:rsid w:val="00247A9A"/>
    <w:rsid w:val="00247B42"/>
    <w:rsid w:val="00247BD9"/>
    <w:rsid w:val="00247C0C"/>
    <w:rsid w:val="00247C42"/>
    <w:rsid w:val="00247C66"/>
    <w:rsid w:val="00247D05"/>
    <w:rsid w:val="00247D20"/>
    <w:rsid w:val="00247D46"/>
    <w:rsid w:val="00247D89"/>
    <w:rsid w:val="00247DC6"/>
    <w:rsid w:val="00247E0E"/>
    <w:rsid w:val="00247ED2"/>
    <w:rsid w:val="00247F5B"/>
    <w:rsid w:val="00247FA2"/>
    <w:rsid w:val="00247FBA"/>
    <w:rsid w:val="00247FDB"/>
    <w:rsid w:val="00250088"/>
    <w:rsid w:val="0025020B"/>
    <w:rsid w:val="00250244"/>
    <w:rsid w:val="00250257"/>
    <w:rsid w:val="00250463"/>
    <w:rsid w:val="002506C8"/>
    <w:rsid w:val="002507D4"/>
    <w:rsid w:val="00250A22"/>
    <w:rsid w:val="00250A3E"/>
    <w:rsid w:val="00250A60"/>
    <w:rsid w:val="00250BFB"/>
    <w:rsid w:val="00250C23"/>
    <w:rsid w:val="00250E7B"/>
    <w:rsid w:val="00250F13"/>
    <w:rsid w:val="00250F53"/>
    <w:rsid w:val="00250F80"/>
    <w:rsid w:val="00250FF7"/>
    <w:rsid w:val="00251040"/>
    <w:rsid w:val="002510AB"/>
    <w:rsid w:val="00251197"/>
    <w:rsid w:val="00251255"/>
    <w:rsid w:val="0025126B"/>
    <w:rsid w:val="00251362"/>
    <w:rsid w:val="00251432"/>
    <w:rsid w:val="00251541"/>
    <w:rsid w:val="0025155A"/>
    <w:rsid w:val="00251595"/>
    <w:rsid w:val="002516AA"/>
    <w:rsid w:val="0025175C"/>
    <w:rsid w:val="00251786"/>
    <w:rsid w:val="002517C3"/>
    <w:rsid w:val="00251808"/>
    <w:rsid w:val="0025185F"/>
    <w:rsid w:val="002518DC"/>
    <w:rsid w:val="00251967"/>
    <w:rsid w:val="00251991"/>
    <w:rsid w:val="002519B0"/>
    <w:rsid w:val="00251D05"/>
    <w:rsid w:val="00251D7A"/>
    <w:rsid w:val="00251EB0"/>
    <w:rsid w:val="00251ED6"/>
    <w:rsid w:val="00251EDE"/>
    <w:rsid w:val="00251F83"/>
    <w:rsid w:val="00251FA7"/>
    <w:rsid w:val="00251FA9"/>
    <w:rsid w:val="0025216E"/>
    <w:rsid w:val="00252187"/>
    <w:rsid w:val="00252321"/>
    <w:rsid w:val="0025233D"/>
    <w:rsid w:val="0025236A"/>
    <w:rsid w:val="00252414"/>
    <w:rsid w:val="00252534"/>
    <w:rsid w:val="0025256C"/>
    <w:rsid w:val="00252747"/>
    <w:rsid w:val="002527C8"/>
    <w:rsid w:val="00252827"/>
    <w:rsid w:val="00252943"/>
    <w:rsid w:val="002529A1"/>
    <w:rsid w:val="00252AB3"/>
    <w:rsid w:val="00252ABC"/>
    <w:rsid w:val="00252BE1"/>
    <w:rsid w:val="00252C04"/>
    <w:rsid w:val="00252C13"/>
    <w:rsid w:val="00252C51"/>
    <w:rsid w:val="00252D55"/>
    <w:rsid w:val="00252DB6"/>
    <w:rsid w:val="00252EC3"/>
    <w:rsid w:val="00252FF0"/>
    <w:rsid w:val="0025301D"/>
    <w:rsid w:val="0025304C"/>
    <w:rsid w:val="00253180"/>
    <w:rsid w:val="0025318D"/>
    <w:rsid w:val="00253346"/>
    <w:rsid w:val="002533BB"/>
    <w:rsid w:val="0025340F"/>
    <w:rsid w:val="0025341A"/>
    <w:rsid w:val="002534DA"/>
    <w:rsid w:val="00253645"/>
    <w:rsid w:val="002536ED"/>
    <w:rsid w:val="002537B5"/>
    <w:rsid w:val="00253879"/>
    <w:rsid w:val="002538AB"/>
    <w:rsid w:val="00253989"/>
    <w:rsid w:val="002539F3"/>
    <w:rsid w:val="00253A5D"/>
    <w:rsid w:val="00253BBE"/>
    <w:rsid w:val="00253D2A"/>
    <w:rsid w:val="00253EFD"/>
    <w:rsid w:val="0025402E"/>
    <w:rsid w:val="002540AA"/>
    <w:rsid w:val="00254130"/>
    <w:rsid w:val="0025413B"/>
    <w:rsid w:val="002541B6"/>
    <w:rsid w:val="00254239"/>
    <w:rsid w:val="00254275"/>
    <w:rsid w:val="002542A7"/>
    <w:rsid w:val="002542D1"/>
    <w:rsid w:val="00254386"/>
    <w:rsid w:val="002545B4"/>
    <w:rsid w:val="0025461F"/>
    <w:rsid w:val="002546B7"/>
    <w:rsid w:val="00254728"/>
    <w:rsid w:val="00254853"/>
    <w:rsid w:val="00254977"/>
    <w:rsid w:val="002549CF"/>
    <w:rsid w:val="00254A91"/>
    <w:rsid w:val="00254B9E"/>
    <w:rsid w:val="00254BD0"/>
    <w:rsid w:val="00255052"/>
    <w:rsid w:val="002550AF"/>
    <w:rsid w:val="00255188"/>
    <w:rsid w:val="002551C0"/>
    <w:rsid w:val="002551F8"/>
    <w:rsid w:val="0025526A"/>
    <w:rsid w:val="002552D9"/>
    <w:rsid w:val="00255301"/>
    <w:rsid w:val="00255307"/>
    <w:rsid w:val="00255315"/>
    <w:rsid w:val="0025551E"/>
    <w:rsid w:val="00255537"/>
    <w:rsid w:val="00255638"/>
    <w:rsid w:val="002557CC"/>
    <w:rsid w:val="00255874"/>
    <w:rsid w:val="00255875"/>
    <w:rsid w:val="002558E0"/>
    <w:rsid w:val="00255927"/>
    <w:rsid w:val="00255993"/>
    <w:rsid w:val="00255A76"/>
    <w:rsid w:val="00255A83"/>
    <w:rsid w:val="00255BBD"/>
    <w:rsid w:val="00255C18"/>
    <w:rsid w:val="00255C2C"/>
    <w:rsid w:val="00255CF3"/>
    <w:rsid w:val="00255D53"/>
    <w:rsid w:val="00255D55"/>
    <w:rsid w:val="00255D9D"/>
    <w:rsid w:val="00255DAD"/>
    <w:rsid w:val="00255E8E"/>
    <w:rsid w:val="00255F50"/>
    <w:rsid w:val="00255FFB"/>
    <w:rsid w:val="00256274"/>
    <w:rsid w:val="00256355"/>
    <w:rsid w:val="002564FD"/>
    <w:rsid w:val="002564FE"/>
    <w:rsid w:val="002565B3"/>
    <w:rsid w:val="002565D3"/>
    <w:rsid w:val="002566C6"/>
    <w:rsid w:val="002566CD"/>
    <w:rsid w:val="0025674C"/>
    <w:rsid w:val="002569E4"/>
    <w:rsid w:val="00256A1D"/>
    <w:rsid w:val="00256B88"/>
    <w:rsid w:val="00256C6F"/>
    <w:rsid w:val="00256D73"/>
    <w:rsid w:val="00256E28"/>
    <w:rsid w:val="00256F56"/>
    <w:rsid w:val="00257000"/>
    <w:rsid w:val="00257066"/>
    <w:rsid w:val="00257072"/>
    <w:rsid w:val="0025723D"/>
    <w:rsid w:val="00257347"/>
    <w:rsid w:val="00257350"/>
    <w:rsid w:val="0025740D"/>
    <w:rsid w:val="002574E8"/>
    <w:rsid w:val="00257593"/>
    <w:rsid w:val="0025793A"/>
    <w:rsid w:val="00257AA7"/>
    <w:rsid w:val="00257B00"/>
    <w:rsid w:val="00257B5C"/>
    <w:rsid w:val="00257B6E"/>
    <w:rsid w:val="00257BE9"/>
    <w:rsid w:val="00257BF8"/>
    <w:rsid w:val="00257D4F"/>
    <w:rsid w:val="00257DF9"/>
    <w:rsid w:val="00257E15"/>
    <w:rsid w:val="00257F2F"/>
    <w:rsid w:val="00257F8B"/>
    <w:rsid w:val="00257FC1"/>
    <w:rsid w:val="0026003F"/>
    <w:rsid w:val="002601B9"/>
    <w:rsid w:val="0026027E"/>
    <w:rsid w:val="0026034E"/>
    <w:rsid w:val="00260443"/>
    <w:rsid w:val="002604CF"/>
    <w:rsid w:val="002605BD"/>
    <w:rsid w:val="002605D7"/>
    <w:rsid w:val="002605F5"/>
    <w:rsid w:val="002607F0"/>
    <w:rsid w:val="0026097F"/>
    <w:rsid w:val="00260A26"/>
    <w:rsid w:val="00260A69"/>
    <w:rsid w:val="00260B23"/>
    <w:rsid w:val="00260B3C"/>
    <w:rsid w:val="00260B72"/>
    <w:rsid w:val="00260BEA"/>
    <w:rsid w:val="00260CDE"/>
    <w:rsid w:val="00260CEB"/>
    <w:rsid w:val="00260D38"/>
    <w:rsid w:val="00260D66"/>
    <w:rsid w:val="00260D8F"/>
    <w:rsid w:val="00260DE3"/>
    <w:rsid w:val="00260E29"/>
    <w:rsid w:val="00260F14"/>
    <w:rsid w:val="00260F5D"/>
    <w:rsid w:val="00260F7A"/>
    <w:rsid w:val="00260FBF"/>
    <w:rsid w:val="00261005"/>
    <w:rsid w:val="00261030"/>
    <w:rsid w:val="0026105D"/>
    <w:rsid w:val="00261076"/>
    <w:rsid w:val="002610E0"/>
    <w:rsid w:val="002610F3"/>
    <w:rsid w:val="00261283"/>
    <w:rsid w:val="00261367"/>
    <w:rsid w:val="002613A0"/>
    <w:rsid w:val="002613BF"/>
    <w:rsid w:val="00261403"/>
    <w:rsid w:val="002614E7"/>
    <w:rsid w:val="00261617"/>
    <w:rsid w:val="0026161E"/>
    <w:rsid w:val="00261648"/>
    <w:rsid w:val="0026165B"/>
    <w:rsid w:val="00261833"/>
    <w:rsid w:val="002618BB"/>
    <w:rsid w:val="00261916"/>
    <w:rsid w:val="00261997"/>
    <w:rsid w:val="002619F2"/>
    <w:rsid w:val="00261AB1"/>
    <w:rsid w:val="00261C62"/>
    <w:rsid w:val="00261DE9"/>
    <w:rsid w:val="00261EA9"/>
    <w:rsid w:val="00261F27"/>
    <w:rsid w:val="00261F82"/>
    <w:rsid w:val="00261FDF"/>
    <w:rsid w:val="00262177"/>
    <w:rsid w:val="002621C8"/>
    <w:rsid w:val="00262308"/>
    <w:rsid w:val="002624BB"/>
    <w:rsid w:val="002624F9"/>
    <w:rsid w:val="0026250B"/>
    <w:rsid w:val="002626B3"/>
    <w:rsid w:val="00262775"/>
    <w:rsid w:val="0026297B"/>
    <w:rsid w:val="002629FC"/>
    <w:rsid w:val="00262B65"/>
    <w:rsid w:val="00262D3E"/>
    <w:rsid w:val="00262E98"/>
    <w:rsid w:val="00262F8A"/>
    <w:rsid w:val="00262F8B"/>
    <w:rsid w:val="0026309B"/>
    <w:rsid w:val="00263113"/>
    <w:rsid w:val="00263152"/>
    <w:rsid w:val="002631CF"/>
    <w:rsid w:val="00263241"/>
    <w:rsid w:val="00263340"/>
    <w:rsid w:val="00263373"/>
    <w:rsid w:val="002633C4"/>
    <w:rsid w:val="00263408"/>
    <w:rsid w:val="00263476"/>
    <w:rsid w:val="0026356C"/>
    <w:rsid w:val="00263609"/>
    <w:rsid w:val="0026362A"/>
    <w:rsid w:val="0026376F"/>
    <w:rsid w:val="002637D3"/>
    <w:rsid w:val="002637FB"/>
    <w:rsid w:val="00263AF7"/>
    <w:rsid w:val="00263BD6"/>
    <w:rsid w:val="00263C77"/>
    <w:rsid w:val="00263D02"/>
    <w:rsid w:val="00263E88"/>
    <w:rsid w:val="00263EAA"/>
    <w:rsid w:val="00263EBC"/>
    <w:rsid w:val="00263F12"/>
    <w:rsid w:val="00263F62"/>
    <w:rsid w:val="0026407F"/>
    <w:rsid w:val="00264150"/>
    <w:rsid w:val="0026419E"/>
    <w:rsid w:val="00264409"/>
    <w:rsid w:val="0026445B"/>
    <w:rsid w:val="002644A5"/>
    <w:rsid w:val="00264525"/>
    <w:rsid w:val="00264693"/>
    <w:rsid w:val="002646E6"/>
    <w:rsid w:val="002646F1"/>
    <w:rsid w:val="0026476C"/>
    <w:rsid w:val="002647C5"/>
    <w:rsid w:val="0026487D"/>
    <w:rsid w:val="002648EC"/>
    <w:rsid w:val="00264911"/>
    <w:rsid w:val="00264977"/>
    <w:rsid w:val="00264A41"/>
    <w:rsid w:val="00264AA1"/>
    <w:rsid w:val="00264AA9"/>
    <w:rsid w:val="00264AAE"/>
    <w:rsid w:val="00264B03"/>
    <w:rsid w:val="00264B63"/>
    <w:rsid w:val="00264B7F"/>
    <w:rsid w:val="00264C5C"/>
    <w:rsid w:val="00264D7F"/>
    <w:rsid w:val="00264E11"/>
    <w:rsid w:val="00264E21"/>
    <w:rsid w:val="00264E31"/>
    <w:rsid w:val="00264F5D"/>
    <w:rsid w:val="00264FA9"/>
    <w:rsid w:val="002650E6"/>
    <w:rsid w:val="0026516D"/>
    <w:rsid w:val="0026527D"/>
    <w:rsid w:val="002652A5"/>
    <w:rsid w:val="002652DA"/>
    <w:rsid w:val="00265476"/>
    <w:rsid w:val="002655C6"/>
    <w:rsid w:val="002655FC"/>
    <w:rsid w:val="002657EF"/>
    <w:rsid w:val="00265863"/>
    <w:rsid w:val="002659A7"/>
    <w:rsid w:val="002659F9"/>
    <w:rsid w:val="00265B22"/>
    <w:rsid w:val="00265B55"/>
    <w:rsid w:val="00265CF6"/>
    <w:rsid w:val="00265D62"/>
    <w:rsid w:val="00265D8B"/>
    <w:rsid w:val="00265DFC"/>
    <w:rsid w:val="00265E1C"/>
    <w:rsid w:val="00265FD7"/>
    <w:rsid w:val="00266004"/>
    <w:rsid w:val="00266015"/>
    <w:rsid w:val="002660A1"/>
    <w:rsid w:val="002661B8"/>
    <w:rsid w:val="00266306"/>
    <w:rsid w:val="002663AA"/>
    <w:rsid w:val="002663B3"/>
    <w:rsid w:val="002663D9"/>
    <w:rsid w:val="0026654E"/>
    <w:rsid w:val="0026659C"/>
    <w:rsid w:val="002666C8"/>
    <w:rsid w:val="002666C9"/>
    <w:rsid w:val="00266705"/>
    <w:rsid w:val="002668D5"/>
    <w:rsid w:val="00266982"/>
    <w:rsid w:val="00266A52"/>
    <w:rsid w:val="00266AFD"/>
    <w:rsid w:val="00266B77"/>
    <w:rsid w:val="00266BE2"/>
    <w:rsid w:val="00266C54"/>
    <w:rsid w:val="00266D18"/>
    <w:rsid w:val="00266DD3"/>
    <w:rsid w:val="00266E4C"/>
    <w:rsid w:val="002670E7"/>
    <w:rsid w:val="0026738E"/>
    <w:rsid w:val="002673BD"/>
    <w:rsid w:val="002675E7"/>
    <w:rsid w:val="00267815"/>
    <w:rsid w:val="0026783D"/>
    <w:rsid w:val="00267854"/>
    <w:rsid w:val="00267869"/>
    <w:rsid w:val="002678DF"/>
    <w:rsid w:val="00267922"/>
    <w:rsid w:val="00267992"/>
    <w:rsid w:val="00267A71"/>
    <w:rsid w:val="00267BE2"/>
    <w:rsid w:val="00267BFF"/>
    <w:rsid w:val="00267C5D"/>
    <w:rsid w:val="00267C6D"/>
    <w:rsid w:val="00267D02"/>
    <w:rsid w:val="00267DB4"/>
    <w:rsid w:val="00267E0D"/>
    <w:rsid w:val="00267EF0"/>
    <w:rsid w:val="00270025"/>
    <w:rsid w:val="00270117"/>
    <w:rsid w:val="00270176"/>
    <w:rsid w:val="00270306"/>
    <w:rsid w:val="0027058A"/>
    <w:rsid w:val="002705EF"/>
    <w:rsid w:val="0027069A"/>
    <w:rsid w:val="00270721"/>
    <w:rsid w:val="0027087E"/>
    <w:rsid w:val="00270911"/>
    <w:rsid w:val="0027091D"/>
    <w:rsid w:val="0027093F"/>
    <w:rsid w:val="0027097A"/>
    <w:rsid w:val="002709E1"/>
    <w:rsid w:val="00270BE3"/>
    <w:rsid w:val="00270C2F"/>
    <w:rsid w:val="00270D04"/>
    <w:rsid w:val="00270D72"/>
    <w:rsid w:val="00270DAA"/>
    <w:rsid w:val="00270E5F"/>
    <w:rsid w:val="00270F13"/>
    <w:rsid w:val="00270FB1"/>
    <w:rsid w:val="00270FCB"/>
    <w:rsid w:val="00270FDE"/>
    <w:rsid w:val="00271052"/>
    <w:rsid w:val="002710A1"/>
    <w:rsid w:val="00271120"/>
    <w:rsid w:val="002711A8"/>
    <w:rsid w:val="002714E9"/>
    <w:rsid w:val="0027170D"/>
    <w:rsid w:val="002717B9"/>
    <w:rsid w:val="002717BF"/>
    <w:rsid w:val="002717CD"/>
    <w:rsid w:val="002718C1"/>
    <w:rsid w:val="002718C2"/>
    <w:rsid w:val="002718CB"/>
    <w:rsid w:val="00271959"/>
    <w:rsid w:val="002719AF"/>
    <w:rsid w:val="00271AEB"/>
    <w:rsid w:val="00271BD1"/>
    <w:rsid w:val="00271BE4"/>
    <w:rsid w:val="00271BE7"/>
    <w:rsid w:val="00271C9C"/>
    <w:rsid w:val="00271CB8"/>
    <w:rsid w:val="00271CEE"/>
    <w:rsid w:val="00271D10"/>
    <w:rsid w:val="00271E7F"/>
    <w:rsid w:val="00271F0D"/>
    <w:rsid w:val="00271F72"/>
    <w:rsid w:val="00272022"/>
    <w:rsid w:val="002720B3"/>
    <w:rsid w:val="002721C1"/>
    <w:rsid w:val="0027238C"/>
    <w:rsid w:val="00272392"/>
    <w:rsid w:val="0027242D"/>
    <w:rsid w:val="0027244B"/>
    <w:rsid w:val="00272518"/>
    <w:rsid w:val="00272596"/>
    <w:rsid w:val="00272617"/>
    <w:rsid w:val="002726C4"/>
    <w:rsid w:val="002726FC"/>
    <w:rsid w:val="00272996"/>
    <w:rsid w:val="00272BDE"/>
    <w:rsid w:val="00272BE2"/>
    <w:rsid w:val="00272BE5"/>
    <w:rsid w:val="00272D80"/>
    <w:rsid w:val="00272E20"/>
    <w:rsid w:val="00272E60"/>
    <w:rsid w:val="002730FE"/>
    <w:rsid w:val="00273130"/>
    <w:rsid w:val="00273154"/>
    <w:rsid w:val="002734BC"/>
    <w:rsid w:val="002734E4"/>
    <w:rsid w:val="0027358D"/>
    <w:rsid w:val="0027369A"/>
    <w:rsid w:val="00273719"/>
    <w:rsid w:val="00273797"/>
    <w:rsid w:val="00273819"/>
    <w:rsid w:val="002739F8"/>
    <w:rsid w:val="00273A38"/>
    <w:rsid w:val="00273A4F"/>
    <w:rsid w:val="00273A5B"/>
    <w:rsid w:val="00273B05"/>
    <w:rsid w:val="00273B26"/>
    <w:rsid w:val="00273B2D"/>
    <w:rsid w:val="00273BB1"/>
    <w:rsid w:val="00273C03"/>
    <w:rsid w:val="00273C93"/>
    <w:rsid w:val="00273CAB"/>
    <w:rsid w:val="00273D7E"/>
    <w:rsid w:val="00273D82"/>
    <w:rsid w:val="00273DA4"/>
    <w:rsid w:val="00273FCA"/>
    <w:rsid w:val="00274081"/>
    <w:rsid w:val="0027414C"/>
    <w:rsid w:val="002741DF"/>
    <w:rsid w:val="002743E2"/>
    <w:rsid w:val="00274581"/>
    <w:rsid w:val="00274586"/>
    <w:rsid w:val="002745AF"/>
    <w:rsid w:val="00274712"/>
    <w:rsid w:val="00274731"/>
    <w:rsid w:val="0027477C"/>
    <w:rsid w:val="00274796"/>
    <w:rsid w:val="00274801"/>
    <w:rsid w:val="00274836"/>
    <w:rsid w:val="00274853"/>
    <w:rsid w:val="00274891"/>
    <w:rsid w:val="002748AC"/>
    <w:rsid w:val="0027498C"/>
    <w:rsid w:val="002749C9"/>
    <w:rsid w:val="00274B4F"/>
    <w:rsid w:val="00274B63"/>
    <w:rsid w:val="00274D68"/>
    <w:rsid w:val="00274D69"/>
    <w:rsid w:val="00274D89"/>
    <w:rsid w:val="00274DD9"/>
    <w:rsid w:val="00274E47"/>
    <w:rsid w:val="00274EB6"/>
    <w:rsid w:val="00274F4E"/>
    <w:rsid w:val="00274F6F"/>
    <w:rsid w:val="002750B4"/>
    <w:rsid w:val="0027510D"/>
    <w:rsid w:val="002751B2"/>
    <w:rsid w:val="002751DB"/>
    <w:rsid w:val="002751DD"/>
    <w:rsid w:val="0027523D"/>
    <w:rsid w:val="00275293"/>
    <w:rsid w:val="00275483"/>
    <w:rsid w:val="00275564"/>
    <w:rsid w:val="00275581"/>
    <w:rsid w:val="00275709"/>
    <w:rsid w:val="002757D8"/>
    <w:rsid w:val="0027598B"/>
    <w:rsid w:val="00275A7F"/>
    <w:rsid w:val="00275A9C"/>
    <w:rsid w:val="00275AC5"/>
    <w:rsid w:val="00275B36"/>
    <w:rsid w:val="00275B65"/>
    <w:rsid w:val="00275CC3"/>
    <w:rsid w:val="00275D3E"/>
    <w:rsid w:val="00275D79"/>
    <w:rsid w:val="00275E01"/>
    <w:rsid w:val="00275E0F"/>
    <w:rsid w:val="00275E71"/>
    <w:rsid w:val="00275E81"/>
    <w:rsid w:val="00275EDB"/>
    <w:rsid w:val="00275EEB"/>
    <w:rsid w:val="00275EF1"/>
    <w:rsid w:val="00275F14"/>
    <w:rsid w:val="00276029"/>
    <w:rsid w:val="002760C9"/>
    <w:rsid w:val="0027611E"/>
    <w:rsid w:val="00276154"/>
    <w:rsid w:val="002761E6"/>
    <w:rsid w:val="00276231"/>
    <w:rsid w:val="002762AC"/>
    <w:rsid w:val="002762C8"/>
    <w:rsid w:val="0027639E"/>
    <w:rsid w:val="002764EB"/>
    <w:rsid w:val="00276568"/>
    <w:rsid w:val="00276670"/>
    <w:rsid w:val="002766A7"/>
    <w:rsid w:val="002766C1"/>
    <w:rsid w:val="002766DC"/>
    <w:rsid w:val="0027670A"/>
    <w:rsid w:val="00276736"/>
    <w:rsid w:val="002767C9"/>
    <w:rsid w:val="002767EE"/>
    <w:rsid w:val="00276802"/>
    <w:rsid w:val="0027683E"/>
    <w:rsid w:val="00276846"/>
    <w:rsid w:val="00276879"/>
    <w:rsid w:val="0027689B"/>
    <w:rsid w:val="002768D3"/>
    <w:rsid w:val="002768E8"/>
    <w:rsid w:val="00276908"/>
    <w:rsid w:val="0027691E"/>
    <w:rsid w:val="0027696A"/>
    <w:rsid w:val="00276A74"/>
    <w:rsid w:val="00276A75"/>
    <w:rsid w:val="00276ABA"/>
    <w:rsid w:val="00276B3A"/>
    <w:rsid w:val="00276CAB"/>
    <w:rsid w:val="00276D0D"/>
    <w:rsid w:val="00276D19"/>
    <w:rsid w:val="00276DDE"/>
    <w:rsid w:val="00276E0E"/>
    <w:rsid w:val="00276EF8"/>
    <w:rsid w:val="00277123"/>
    <w:rsid w:val="00277177"/>
    <w:rsid w:val="002771FF"/>
    <w:rsid w:val="002773BD"/>
    <w:rsid w:val="0027742C"/>
    <w:rsid w:val="00277475"/>
    <w:rsid w:val="002774AF"/>
    <w:rsid w:val="0027754A"/>
    <w:rsid w:val="00277684"/>
    <w:rsid w:val="002777A6"/>
    <w:rsid w:val="002777EE"/>
    <w:rsid w:val="0027782A"/>
    <w:rsid w:val="0027798A"/>
    <w:rsid w:val="00277ADF"/>
    <w:rsid w:val="00277C51"/>
    <w:rsid w:val="00277C7F"/>
    <w:rsid w:val="00277D2A"/>
    <w:rsid w:val="00277F51"/>
    <w:rsid w:val="00277F66"/>
    <w:rsid w:val="00280034"/>
    <w:rsid w:val="00280156"/>
    <w:rsid w:val="0028017C"/>
    <w:rsid w:val="002801ED"/>
    <w:rsid w:val="002802A5"/>
    <w:rsid w:val="002802AB"/>
    <w:rsid w:val="00280360"/>
    <w:rsid w:val="002803F0"/>
    <w:rsid w:val="0028044D"/>
    <w:rsid w:val="0028066C"/>
    <w:rsid w:val="002807D1"/>
    <w:rsid w:val="00280955"/>
    <w:rsid w:val="00280963"/>
    <w:rsid w:val="00280A81"/>
    <w:rsid w:val="00280AA7"/>
    <w:rsid w:val="00280B11"/>
    <w:rsid w:val="00280BFC"/>
    <w:rsid w:val="00280CBE"/>
    <w:rsid w:val="00280DAA"/>
    <w:rsid w:val="00280DB6"/>
    <w:rsid w:val="00280DC4"/>
    <w:rsid w:val="00280EC8"/>
    <w:rsid w:val="00280FDE"/>
    <w:rsid w:val="00280FF4"/>
    <w:rsid w:val="00281184"/>
    <w:rsid w:val="002812F6"/>
    <w:rsid w:val="0028151C"/>
    <w:rsid w:val="0028153E"/>
    <w:rsid w:val="0028177E"/>
    <w:rsid w:val="002818A1"/>
    <w:rsid w:val="0028193C"/>
    <w:rsid w:val="00281942"/>
    <w:rsid w:val="002819F7"/>
    <w:rsid w:val="00281B57"/>
    <w:rsid w:val="00281B65"/>
    <w:rsid w:val="00281D61"/>
    <w:rsid w:val="00281D9C"/>
    <w:rsid w:val="00281F59"/>
    <w:rsid w:val="00281F73"/>
    <w:rsid w:val="00282157"/>
    <w:rsid w:val="0028217F"/>
    <w:rsid w:val="0028227D"/>
    <w:rsid w:val="0028227F"/>
    <w:rsid w:val="002822F0"/>
    <w:rsid w:val="00282322"/>
    <w:rsid w:val="00282387"/>
    <w:rsid w:val="0028243E"/>
    <w:rsid w:val="0028245E"/>
    <w:rsid w:val="00282543"/>
    <w:rsid w:val="0028255D"/>
    <w:rsid w:val="002825E8"/>
    <w:rsid w:val="0028268E"/>
    <w:rsid w:val="002826AF"/>
    <w:rsid w:val="00282701"/>
    <w:rsid w:val="0028271B"/>
    <w:rsid w:val="00282766"/>
    <w:rsid w:val="00282893"/>
    <w:rsid w:val="002828EE"/>
    <w:rsid w:val="00282942"/>
    <w:rsid w:val="00282998"/>
    <w:rsid w:val="00282A88"/>
    <w:rsid w:val="00282ABE"/>
    <w:rsid w:val="00282C49"/>
    <w:rsid w:val="00282D30"/>
    <w:rsid w:val="00282D96"/>
    <w:rsid w:val="00282E19"/>
    <w:rsid w:val="00282E5D"/>
    <w:rsid w:val="00282E94"/>
    <w:rsid w:val="00282F46"/>
    <w:rsid w:val="00282FCA"/>
    <w:rsid w:val="0028333A"/>
    <w:rsid w:val="0028337A"/>
    <w:rsid w:val="00283450"/>
    <w:rsid w:val="002834B9"/>
    <w:rsid w:val="002834D4"/>
    <w:rsid w:val="00283541"/>
    <w:rsid w:val="002836CE"/>
    <w:rsid w:val="0028372B"/>
    <w:rsid w:val="00283776"/>
    <w:rsid w:val="002837CD"/>
    <w:rsid w:val="002837EF"/>
    <w:rsid w:val="002838D1"/>
    <w:rsid w:val="002839DB"/>
    <w:rsid w:val="00283A79"/>
    <w:rsid w:val="00283B90"/>
    <w:rsid w:val="00283BE1"/>
    <w:rsid w:val="00283DF4"/>
    <w:rsid w:val="00283F1B"/>
    <w:rsid w:val="0028409F"/>
    <w:rsid w:val="002840A1"/>
    <w:rsid w:val="0028410A"/>
    <w:rsid w:val="0028419F"/>
    <w:rsid w:val="002841A7"/>
    <w:rsid w:val="00284217"/>
    <w:rsid w:val="0028428F"/>
    <w:rsid w:val="0028429E"/>
    <w:rsid w:val="002842BA"/>
    <w:rsid w:val="0028431D"/>
    <w:rsid w:val="00284393"/>
    <w:rsid w:val="002843E5"/>
    <w:rsid w:val="00284604"/>
    <w:rsid w:val="002848B3"/>
    <w:rsid w:val="00284A87"/>
    <w:rsid w:val="00284B3C"/>
    <w:rsid w:val="00284D6A"/>
    <w:rsid w:val="00285091"/>
    <w:rsid w:val="00285131"/>
    <w:rsid w:val="00285186"/>
    <w:rsid w:val="002853A0"/>
    <w:rsid w:val="002853BD"/>
    <w:rsid w:val="002853D8"/>
    <w:rsid w:val="00285542"/>
    <w:rsid w:val="00285553"/>
    <w:rsid w:val="00285567"/>
    <w:rsid w:val="00285607"/>
    <w:rsid w:val="00285630"/>
    <w:rsid w:val="0028565E"/>
    <w:rsid w:val="002856A6"/>
    <w:rsid w:val="00285750"/>
    <w:rsid w:val="00285758"/>
    <w:rsid w:val="00285787"/>
    <w:rsid w:val="00285796"/>
    <w:rsid w:val="00285845"/>
    <w:rsid w:val="0028592A"/>
    <w:rsid w:val="002859E3"/>
    <w:rsid w:val="00285D1E"/>
    <w:rsid w:val="00285D83"/>
    <w:rsid w:val="00285ECB"/>
    <w:rsid w:val="00285F88"/>
    <w:rsid w:val="00285FD1"/>
    <w:rsid w:val="00286088"/>
    <w:rsid w:val="002860EB"/>
    <w:rsid w:val="0028613F"/>
    <w:rsid w:val="00286292"/>
    <w:rsid w:val="00286345"/>
    <w:rsid w:val="00286400"/>
    <w:rsid w:val="00286411"/>
    <w:rsid w:val="00286589"/>
    <w:rsid w:val="00286632"/>
    <w:rsid w:val="002867D2"/>
    <w:rsid w:val="00286827"/>
    <w:rsid w:val="00286AF8"/>
    <w:rsid w:val="00286C63"/>
    <w:rsid w:val="00286CF2"/>
    <w:rsid w:val="00286DCB"/>
    <w:rsid w:val="00286EBF"/>
    <w:rsid w:val="00286FA5"/>
    <w:rsid w:val="00287019"/>
    <w:rsid w:val="00287116"/>
    <w:rsid w:val="0028714C"/>
    <w:rsid w:val="0028720B"/>
    <w:rsid w:val="002872F6"/>
    <w:rsid w:val="00287371"/>
    <w:rsid w:val="002873C9"/>
    <w:rsid w:val="0028747B"/>
    <w:rsid w:val="002875A9"/>
    <w:rsid w:val="002875F6"/>
    <w:rsid w:val="002876BF"/>
    <w:rsid w:val="0028773C"/>
    <w:rsid w:val="00287835"/>
    <w:rsid w:val="00287843"/>
    <w:rsid w:val="002878AC"/>
    <w:rsid w:val="00287A7E"/>
    <w:rsid w:val="00287AC7"/>
    <w:rsid w:val="00287AEF"/>
    <w:rsid w:val="00287B92"/>
    <w:rsid w:val="00287E0D"/>
    <w:rsid w:val="00287EB6"/>
    <w:rsid w:val="00287F05"/>
    <w:rsid w:val="00287F37"/>
    <w:rsid w:val="00290009"/>
    <w:rsid w:val="0029009A"/>
    <w:rsid w:val="002900AE"/>
    <w:rsid w:val="002900CC"/>
    <w:rsid w:val="002903A4"/>
    <w:rsid w:val="0029043C"/>
    <w:rsid w:val="002904A0"/>
    <w:rsid w:val="002905D7"/>
    <w:rsid w:val="00290764"/>
    <w:rsid w:val="002908B8"/>
    <w:rsid w:val="002908CB"/>
    <w:rsid w:val="00290952"/>
    <w:rsid w:val="00290987"/>
    <w:rsid w:val="00290ABA"/>
    <w:rsid w:val="00290B0F"/>
    <w:rsid w:val="00290B32"/>
    <w:rsid w:val="00290B97"/>
    <w:rsid w:val="00290C8D"/>
    <w:rsid w:val="00290D26"/>
    <w:rsid w:val="00290F38"/>
    <w:rsid w:val="00290F8C"/>
    <w:rsid w:val="00290FD0"/>
    <w:rsid w:val="00290FF0"/>
    <w:rsid w:val="0029108E"/>
    <w:rsid w:val="002910BD"/>
    <w:rsid w:val="002911BA"/>
    <w:rsid w:val="002911CC"/>
    <w:rsid w:val="00291310"/>
    <w:rsid w:val="0029133E"/>
    <w:rsid w:val="00291396"/>
    <w:rsid w:val="002913EF"/>
    <w:rsid w:val="00291568"/>
    <w:rsid w:val="002915FD"/>
    <w:rsid w:val="00291610"/>
    <w:rsid w:val="002916DE"/>
    <w:rsid w:val="002916E5"/>
    <w:rsid w:val="002917AE"/>
    <w:rsid w:val="002917ED"/>
    <w:rsid w:val="002917F1"/>
    <w:rsid w:val="0029186B"/>
    <w:rsid w:val="0029188A"/>
    <w:rsid w:val="00291984"/>
    <w:rsid w:val="00291B29"/>
    <w:rsid w:val="00291B5D"/>
    <w:rsid w:val="00291B97"/>
    <w:rsid w:val="00291D15"/>
    <w:rsid w:val="00291D3B"/>
    <w:rsid w:val="00291FB0"/>
    <w:rsid w:val="002920D0"/>
    <w:rsid w:val="002921FE"/>
    <w:rsid w:val="0029224B"/>
    <w:rsid w:val="0029225F"/>
    <w:rsid w:val="00292438"/>
    <w:rsid w:val="002924C6"/>
    <w:rsid w:val="002925C5"/>
    <w:rsid w:val="002925EC"/>
    <w:rsid w:val="002925EF"/>
    <w:rsid w:val="002926AC"/>
    <w:rsid w:val="002926BE"/>
    <w:rsid w:val="00292768"/>
    <w:rsid w:val="00292777"/>
    <w:rsid w:val="002927F3"/>
    <w:rsid w:val="00292848"/>
    <w:rsid w:val="00292931"/>
    <w:rsid w:val="0029295B"/>
    <w:rsid w:val="002929B8"/>
    <w:rsid w:val="00292A7B"/>
    <w:rsid w:val="00292BB7"/>
    <w:rsid w:val="00292C46"/>
    <w:rsid w:val="00292C8A"/>
    <w:rsid w:val="00292CEE"/>
    <w:rsid w:val="00292D16"/>
    <w:rsid w:val="00292DB3"/>
    <w:rsid w:val="002930B2"/>
    <w:rsid w:val="00293131"/>
    <w:rsid w:val="00293202"/>
    <w:rsid w:val="0029331D"/>
    <w:rsid w:val="00293336"/>
    <w:rsid w:val="0029338E"/>
    <w:rsid w:val="002933EC"/>
    <w:rsid w:val="00293400"/>
    <w:rsid w:val="00293410"/>
    <w:rsid w:val="00293427"/>
    <w:rsid w:val="002934A4"/>
    <w:rsid w:val="002934C1"/>
    <w:rsid w:val="00293526"/>
    <w:rsid w:val="00293546"/>
    <w:rsid w:val="002935BB"/>
    <w:rsid w:val="002936A2"/>
    <w:rsid w:val="0029374C"/>
    <w:rsid w:val="00293B0B"/>
    <w:rsid w:val="00293B34"/>
    <w:rsid w:val="00293B9C"/>
    <w:rsid w:val="00293C85"/>
    <w:rsid w:val="00293CD4"/>
    <w:rsid w:val="00293D2D"/>
    <w:rsid w:val="00293DBE"/>
    <w:rsid w:val="00293EBB"/>
    <w:rsid w:val="00293FAA"/>
    <w:rsid w:val="00294035"/>
    <w:rsid w:val="002940EC"/>
    <w:rsid w:val="00294130"/>
    <w:rsid w:val="0029432D"/>
    <w:rsid w:val="0029435F"/>
    <w:rsid w:val="002943E5"/>
    <w:rsid w:val="002943F9"/>
    <w:rsid w:val="002944A2"/>
    <w:rsid w:val="0029454D"/>
    <w:rsid w:val="00294561"/>
    <w:rsid w:val="00294566"/>
    <w:rsid w:val="002945DF"/>
    <w:rsid w:val="002945E7"/>
    <w:rsid w:val="002945F4"/>
    <w:rsid w:val="00294648"/>
    <w:rsid w:val="00294882"/>
    <w:rsid w:val="00294916"/>
    <w:rsid w:val="00294930"/>
    <w:rsid w:val="00294934"/>
    <w:rsid w:val="002949E9"/>
    <w:rsid w:val="00294A10"/>
    <w:rsid w:val="00294A2C"/>
    <w:rsid w:val="00294A9F"/>
    <w:rsid w:val="00294AA0"/>
    <w:rsid w:val="00294B0D"/>
    <w:rsid w:val="00294B40"/>
    <w:rsid w:val="00294BBA"/>
    <w:rsid w:val="00294BC9"/>
    <w:rsid w:val="00294CA8"/>
    <w:rsid w:val="00294D31"/>
    <w:rsid w:val="00294D3C"/>
    <w:rsid w:val="00294D78"/>
    <w:rsid w:val="00294D8A"/>
    <w:rsid w:val="00294E18"/>
    <w:rsid w:val="00294E70"/>
    <w:rsid w:val="00294EF8"/>
    <w:rsid w:val="0029504B"/>
    <w:rsid w:val="0029509D"/>
    <w:rsid w:val="002950DC"/>
    <w:rsid w:val="002951FA"/>
    <w:rsid w:val="0029523E"/>
    <w:rsid w:val="00295250"/>
    <w:rsid w:val="00295265"/>
    <w:rsid w:val="00295274"/>
    <w:rsid w:val="00295396"/>
    <w:rsid w:val="002953A3"/>
    <w:rsid w:val="002953E1"/>
    <w:rsid w:val="00295483"/>
    <w:rsid w:val="002954E0"/>
    <w:rsid w:val="002954E5"/>
    <w:rsid w:val="00295635"/>
    <w:rsid w:val="0029568E"/>
    <w:rsid w:val="002956E4"/>
    <w:rsid w:val="00295717"/>
    <w:rsid w:val="00295755"/>
    <w:rsid w:val="002958E2"/>
    <w:rsid w:val="0029592E"/>
    <w:rsid w:val="0029597D"/>
    <w:rsid w:val="002959BB"/>
    <w:rsid w:val="00295B04"/>
    <w:rsid w:val="00295B96"/>
    <w:rsid w:val="00295C2A"/>
    <w:rsid w:val="00295DF1"/>
    <w:rsid w:val="00295F01"/>
    <w:rsid w:val="00295F7C"/>
    <w:rsid w:val="00295FD0"/>
    <w:rsid w:val="0029605A"/>
    <w:rsid w:val="002960DC"/>
    <w:rsid w:val="0029614D"/>
    <w:rsid w:val="0029619F"/>
    <w:rsid w:val="002962FA"/>
    <w:rsid w:val="00296384"/>
    <w:rsid w:val="00296456"/>
    <w:rsid w:val="00296645"/>
    <w:rsid w:val="002966D6"/>
    <w:rsid w:val="002967A9"/>
    <w:rsid w:val="0029685C"/>
    <w:rsid w:val="00296867"/>
    <w:rsid w:val="002968B3"/>
    <w:rsid w:val="002968D5"/>
    <w:rsid w:val="00296A42"/>
    <w:rsid w:val="00296A44"/>
    <w:rsid w:val="00296AC9"/>
    <w:rsid w:val="00296B16"/>
    <w:rsid w:val="00296C0A"/>
    <w:rsid w:val="00296CAD"/>
    <w:rsid w:val="00296D48"/>
    <w:rsid w:val="00296EA0"/>
    <w:rsid w:val="00296F29"/>
    <w:rsid w:val="00296F53"/>
    <w:rsid w:val="00297018"/>
    <w:rsid w:val="0029708E"/>
    <w:rsid w:val="00297161"/>
    <w:rsid w:val="002971EC"/>
    <w:rsid w:val="00297214"/>
    <w:rsid w:val="0029726F"/>
    <w:rsid w:val="0029734D"/>
    <w:rsid w:val="00297351"/>
    <w:rsid w:val="00297412"/>
    <w:rsid w:val="0029748C"/>
    <w:rsid w:val="00297505"/>
    <w:rsid w:val="002975E0"/>
    <w:rsid w:val="002975F1"/>
    <w:rsid w:val="00297674"/>
    <w:rsid w:val="002976DD"/>
    <w:rsid w:val="0029777D"/>
    <w:rsid w:val="00297932"/>
    <w:rsid w:val="00297936"/>
    <w:rsid w:val="00297A67"/>
    <w:rsid w:val="00297ADB"/>
    <w:rsid w:val="00297BC8"/>
    <w:rsid w:val="00297D2E"/>
    <w:rsid w:val="00297DDF"/>
    <w:rsid w:val="00297EFA"/>
    <w:rsid w:val="00297F26"/>
    <w:rsid w:val="00297FD5"/>
    <w:rsid w:val="0029F152"/>
    <w:rsid w:val="002A000C"/>
    <w:rsid w:val="002A00FD"/>
    <w:rsid w:val="002A0165"/>
    <w:rsid w:val="002A01B9"/>
    <w:rsid w:val="002A0332"/>
    <w:rsid w:val="002A03B6"/>
    <w:rsid w:val="002A041D"/>
    <w:rsid w:val="002A0481"/>
    <w:rsid w:val="002A04B0"/>
    <w:rsid w:val="002A0512"/>
    <w:rsid w:val="002A05C2"/>
    <w:rsid w:val="002A0763"/>
    <w:rsid w:val="002A07EF"/>
    <w:rsid w:val="002A0806"/>
    <w:rsid w:val="002A084F"/>
    <w:rsid w:val="002A08B1"/>
    <w:rsid w:val="002A0966"/>
    <w:rsid w:val="002A09ED"/>
    <w:rsid w:val="002A0A92"/>
    <w:rsid w:val="002A0AD2"/>
    <w:rsid w:val="002A0ADE"/>
    <w:rsid w:val="002A0AF8"/>
    <w:rsid w:val="002A0AFB"/>
    <w:rsid w:val="002A0B11"/>
    <w:rsid w:val="002A0B70"/>
    <w:rsid w:val="002A0C7E"/>
    <w:rsid w:val="002A0CC0"/>
    <w:rsid w:val="002A0CFC"/>
    <w:rsid w:val="002A0D27"/>
    <w:rsid w:val="002A1078"/>
    <w:rsid w:val="002A108F"/>
    <w:rsid w:val="002A10F4"/>
    <w:rsid w:val="002A1135"/>
    <w:rsid w:val="002A1214"/>
    <w:rsid w:val="002A1235"/>
    <w:rsid w:val="002A1253"/>
    <w:rsid w:val="002A1302"/>
    <w:rsid w:val="002A1443"/>
    <w:rsid w:val="002A1446"/>
    <w:rsid w:val="002A14B2"/>
    <w:rsid w:val="002A14DD"/>
    <w:rsid w:val="002A15A8"/>
    <w:rsid w:val="002A166A"/>
    <w:rsid w:val="002A1889"/>
    <w:rsid w:val="002A1894"/>
    <w:rsid w:val="002A18EA"/>
    <w:rsid w:val="002A1A42"/>
    <w:rsid w:val="002A1B2C"/>
    <w:rsid w:val="002A1B52"/>
    <w:rsid w:val="002A1B5D"/>
    <w:rsid w:val="002A1CDE"/>
    <w:rsid w:val="002A1D3A"/>
    <w:rsid w:val="002A1F02"/>
    <w:rsid w:val="002A1F36"/>
    <w:rsid w:val="002A2023"/>
    <w:rsid w:val="002A20D3"/>
    <w:rsid w:val="002A214F"/>
    <w:rsid w:val="002A22D0"/>
    <w:rsid w:val="002A235C"/>
    <w:rsid w:val="002A2473"/>
    <w:rsid w:val="002A2476"/>
    <w:rsid w:val="002A249B"/>
    <w:rsid w:val="002A24ED"/>
    <w:rsid w:val="002A2659"/>
    <w:rsid w:val="002A27FD"/>
    <w:rsid w:val="002A28D2"/>
    <w:rsid w:val="002A2A35"/>
    <w:rsid w:val="002A2A5F"/>
    <w:rsid w:val="002A2A7E"/>
    <w:rsid w:val="002A2B34"/>
    <w:rsid w:val="002A2BA1"/>
    <w:rsid w:val="002A2D10"/>
    <w:rsid w:val="002A2D6F"/>
    <w:rsid w:val="002A2DB4"/>
    <w:rsid w:val="002A2DD1"/>
    <w:rsid w:val="002A2E34"/>
    <w:rsid w:val="002A2EAD"/>
    <w:rsid w:val="002A2F22"/>
    <w:rsid w:val="002A2FCA"/>
    <w:rsid w:val="002A308A"/>
    <w:rsid w:val="002A311D"/>
    <w:rsid w:val="002A3213"/>
    <w:rsid w:val="002A32B3"/>
    <w:rsid w:val="002A330F"/>
    <w:rsid w:val="002A3470"/>
    <w:rsid w:val="002A3493"/>
    <w:rsid w:val="002A34C1"/>
    <w:rsid w:val="002A34D1"/>
    <w:rsid w:val="002A36A5"/>
    <w:rsid w:val="002A36A9"/>
    <w:rsid w:val="002A371A"/>
    <w:rsid w:val="002A3742"/>
    <w:rsid w:val="002A37B0"/>
    <w:rsid w:val="002A3956"/>
    <w:rsid w:val="002A3A7B"/>
    <w:rsid w:val="002A3B02"/>
    <w:rsid w:val="002A3BB8"/>
    <w:rsid w:val="002A3D1A"/>
    <w:rsid w:val="002A3F42"/>
    <w:rsid w:val="002A3F6F"/>
    <w:rsid w:val="002A41A8"/>
    <w:rsid w:val="002A43C0"/>
    <w:rsid w:val="002A448C"/>
    <w:rsid w:val="002A4533"/>
    <w:rsid w:val="002A4570"/>
    <w:rsid w:val="002A4591"/>
    <w:rsid w:val="002A4628"/>
    <w:rsid w:val="002A475B"/>
    <w:rsid w:val="002A4780"/>
    <w:rsid w:val="002A4834"/>
    <w:rsid w:val="002A495D"/>
    <w:rsid w:val="002A49AE"/>
    <w:rsid w:val="002A4A4A"/>
    <w:rsid w:val="002A4AC2"/>
    <w:rsid w:val="002A4B75"/>
    <w:rsid w:val="002A4BA5"/>
    <w:rsid w:val="002A4BCE"/>
    <w:rsid w:val="002A4CA2"/>
    <w:rsid w:val="002A4CFC"/>
    <w:rsid w:val="002A4D5C"/>
    <w:rsid w:val="002A4D77"/>
    <w:rsid w:val="002A4D8C"/>
    <w:rsid w:val="002A4D91"/>
    <w:rsid w:val="002A4EBB"/>
    <w:rsid w:val="002A4ECD"/>
    <w:rsid w:val="002A4F0A"/>
    <w:rsid w:val="002A4F13"/>
    <w:rsid w:val="002A4F78"/>
    <w:rsid w:val="002A5011"/>
    <w:rsid w:val="002A5015"/>
    <w:rsid w:val="002A5023"/>
    <w:rsid w:val="002A506C"/>
    <w:rsid w:val="002A510B"/>
    <w:rsid w:val="002A5135"/>
    <w:rsid w:val="002A51AC"/>
    <w:rsid w:val="002A51B1"/>
    <w:rsid w:val="002A529B"/>
    <w:rsid w:val="002A5346"/>
    <w:rsid w:val="002A5456"/>
    <w:rsid w:val="002A5486"/>
    <w:rsid w:val="002A54BD"/>
    <w:rsid w:val="002A54D7"/>
    <w:rsid w:val="002A5512"/>
    <w:rsid w:val="002A5561"/>
    <w:rsid w:val="002A5581"/>
    <w:rsid w:val="002A558F"/>
    <w:rsid w:val="002A5680"/>
    <w:rsid w:val="002A572D"/>
    <w:rsid w:val="002A57A6"/>
    <w:rsid w:val="002A5874"/>
    <w:rsid w:val="002A59C7"/>
    <w:rsid w:val="002A59D0"/>
    <w:rsid w:val="002A5A03"/>
    <w:rsid w:val="002A5B5F"/>
    <w:rsid w:val="002A5C76"/>
    <w:rsid w:val="002A5D34"/>
    <w:rsid w:val="002A5DF1"/>
    <w:rsid w:val="002A5E48"/>
    <w:rsid w:val="002A5EE6"/>
    <w:rsid w:val="002A5F26"/>
    <w:rsid w:val="002A5FC6"/>
    <w:rsid w:val="002A616E"/>
    <w:rsid w:val="002A61B8"/>
    <w:rsid w:val="002A62D4"/>
    <w:rsid w:val="002A6412"/>
    <w:rsid w:val="002A64CC"/>
    <w:rsid w:val="002A6523"/>
    <w:rsid w:val="002A67D6"/>
    <w:rsid w:val="002A6887"/>
    <w:rsid w:val="002A68ED"/>
    <w:rsid w:val="002A692A"/>
    <w:rsid w:val="002A69C7"/>
    <w:rsid w:val="002A6C68"/>
    <w:rsid w:val="002A6D00"/>
    <w:rsid w:val="002A6D10"/>
    <w:rsid w:val="002A6D81"/>
    <w:rsid w:val="002A6D9C"/>
    <w:rsid w:val="002A6F63"/>
    <w:rsid w:val="002A6F95"/>
    <w:rsid w:val="002A71A0"/>
    <w:rsid w:val="002A737C"/>
    <w:rsid w:val="002A73C1"/>
    <w:rsid w:val="002A7524"/>
    <w:rsid w:val="002A7558"/>
    <w:rsid w:val="002A7777"/>
    <w:rsid w:val="002A77BB"/>
    <w:rsid w:val="002A7878"/>
    <w:rsid w:val="002A790F"/>
    <w:rsid w:val="002A796C"/>
    <w:rsid w:val="002A7A29"/>
    <w:rsid w:val="002A7A79"/>
    <w:rsid w:val="002A7ACF"/>
    <w:rsid w:val="002A7B44"/>
    <w:rsid w:val="002A7B52"/>
    <w:rsid w:val="002A7B61"/>
    <w:rsid w:val="002A7C24"/>
    <w:rsid w:val="002A7C8C"/>
    <w:rsid w:val="002A7D43"/>
    <w:rsid w:val="002A7DD0"/>
    <w:rsid w:val="002A7E10"/>
    <w:rsid w:val="002A7ECE"/>
    <w:rsid w:val="002A7EEB"/>
    <w:rsid w:val="002B00BB"/>
    <w:rsid w:val="002B017A"/>
    <w:rsid w:val="002B0259"/>
    <w:rsid w:val="002B02D4"/>
    <w:rsid w:val="002B04C0"/>
    <w:rsid w:val="002B05FC"/>
    <w:rsid w:val="002B0613"/>
    <w:rsid w:val="002B0640"/>
    <w:rsid w:val="002B0686"/>
    <w:rsid w:val="002B0793"/>
    <w:rsid w:val="002B08D7"/>
    <w:rsid w:val="002B0947"/>
    <w:rsid w:val="002B09C6"/>
    <w:rsid w:val="002B0A05"/>
    <w:rsid w:val="002B0ABC"/>
    <w:rsid w:val="002B0B36"/>
    <w:rsid w:val="002B0E93"/>
    <w:rsid w:val="002B0EF4"/>
    <w:rsid w:val="002B1000"/>
    <w:rsid w:val="002B1144"/>
    <w:rsid w:val="002B124E"/>
    <w:rsid w:val="002B14C6"/>
    <w:rsid w:val="002B15AE"/>
    <w:rsid w:val="002B16E9"/>
    <w:rsid w:val="002B1700"/>
    <w:rsid w:val="002B1830"/>
    <w:rsid w:val="002B193C"/>
    <w:rsid w:val="002B1980"/>
    <w:rsid w:val="002B19A3"/>
    <w:rsid w:val="002B1A37"/>
    <w:rsid w:val="002B1B15"/>
    <w:rsid w:val="002B1BDE"/>
    <w:rsid w:val="002B1C88"/>
    <w:rsid w:val="002B1DFE"/>
    <w:rsid w:val="002B1E86"/>
    <w:rsid w:val="002B1F1F"/>
    <w:rsid w:val="002B1F86"/>
    <w:rsid w:val="002B1F8D"/>
    <w:rsid w:val="002B20C0"/>
    <w:rsid w:val="002B213B"/>
    <w:rsid w:val="002B21FE"/>
    <w:rsid w:val="002B22D5"/>
    <w:rsid w:val="002B22E6"/>
    <w:rsid w:val="002B22F8"/>
    <w:rsid w:val="002B2332"/>
    <w:rsid w:val="002B2345"/>
    <w:rsid w:val="002B2376"/>
    <w:rsid w:val="002B2382"/>
    <w:rsid w:val="002B24F7"/>
    <w:rsid w:val="002B25B2"/>
    <w:rsid w:val="002B25F3"/>
    <w:rsid w:val="002B278A"/>
    <w:rsid w:val="002B28A9"/>
    <w:rsid w:val="002B29F5"/>
    <w:rsid w:val="002B2AA4"/>
    <w:rsid w:val="002B2B67"/>
    <w:rsid w:val="002B2B7E"/>
    <w:rsid w:val="002B2C9F"/>
    <w:rsid w:val="002B2CB0"/>
    <w:rsid w:val="002B2D05"/>
    <w:rsid w:val="002B2FE1"/>
    <w:rsid w:val="002B3064"/>
    <w:rsid w:val="002B308D"/>
    <w:rsid w:val="002B30C0"/>
    <w:rsid w:val="002B30EC"/>
    <w:rsid w:val="002B31CA"/>
    <w:rsid w:val="002B3229"/>
    <w:rsid w:val="002B32D1"/>
    <w:rsid w:val="002B32E4"/>
    <w:rsid w:val="002B339C"/>
    <w:rsid w:val="002B348A"/>
    <w:rsid w:val="002B3553"/>
    <w:rsid w:val="002B371E"/>
    <w:rsid w:val="002B37E9"/>
    <w:rsid w:val="002B3821"/>
    <w:rsid w:val="002B3A1E"/>
    <w:rsid w:val="002B3A29"/>
    <w:rsid w:val="002B3AA3"/>
    <w:rsid w:val="002B3BDA"/>
    <w:rsid w:val="002B3BE8"/>
    <w:rsid w:val="002B3C60"/>
    <w:rsid w:val="002B3DBA"/>
    <w:rsid w:val="002B3E3A"/>
    <w:rsid w:val="002B3EC1"/>
    <w:rsid w:val="002B4054"/>
    <w:rsid w:val="002B406E"/>
    <w:rsid w:val="002B40E9"/>
    <w:rsid w:val="002B4123"/>
    <w:rsid w:val="002B4164"/>
    <w:rsid w:val="002B431D"/>
    <w:rsid w:val="002B4396"/>
    <w:rsid w:val="002B4473"/>
    <w:rsid w:val="002B4514"/>
    <w:rsid w:val="002B4584"/>
    <w:rsid w:val="002B468C"/>
    <w:rsid w:val="002B46E1"/>
    <w:rsid w:val="002B47A2"/>
    <w:rsid w:val="002B47FC"/>
    <w:rsid w:val="002B48EB"/>
    <w:rsid w:val="002B4A09"/>
    <w:rsid w:val="002B4AF1"/>
    <w:rsid w:val="002B4B53"/>
    <w:rsid w:val="002B4C8B"/>
    <w:rsid w:val="002B4D02"/>
    <w:rsid w:val="002B4D8D"/>
    <w:rsid w:val="002B4DC1"/>
    <w:rsid w:val="002B4E55"/>
    <w:rsid w:val="002B4E8F"/>
    <w:rsid w:val="002B4EA0"/>
    <w:rsid w:val="002B50EA"/>
    <w:rsid w:val="002B51CD"/>
    <w:rsid w:val="002B5317"/>
    <w:rsid w:val="002B5444"/>
    <w:rsid w:val="002B54FA"/>
    <w:rsid w:val="002B5516"/>
    <w:rsid w:val="002B556E"/>
    <w:rsid w:val="002B5581"/>
    <w:rsid w:val="002B559B"/>
    <w:rsid w:val="002B560D"/>
    <w:rsid w:val="002B5698"/>
    <w:rsid w:val="002B5707"/>
    <w:rsid w:val="002B580F"/>
    <w:rsid w:val="002B5979"/>
    <w:rsid w:val="002B5A9F"/>
    <w:rsid w:val="002B5E06"/>
    <w:rsid w:val="002B5E19"/>
    <w:rsid w:val="002B5F04"/>
    <w:rsid w:val="002B5F36"/>
    <w:rsid w:val="002B5F3C"/>
    <w:rsid w:val="002B5F7D"/>
    <w:rsid w:val="002B5FAC"/>
    <w:rsid w:val="002B6045"/>
    <w:rsid w:val="002B605F"/>
    <w:rsid w:val="002B617D"/>
    <w:rsid w:val="002B6183"/>
    <w:rsid w:val="002B6196"/>
    <w:rsid w:val="002B61F0"/>
    <w:rsid w:val="002B623C"/>
    <w:rsid w:val="002B636A"/>
    <w:rsid w:val="002B63D9"/>
    <w:rsid w:val="002B6418"/>
    <w:rsid w:val="002B6447"/>
    <w:rsid w:val="002B6471"/>
    <w:rsid w:val="002B65E4"/>
    <w:rsid w:val="002B6768"/>
    <w:rsid w:val="002B6816"/>
    <w:rsid w:val="002B681D"/>
    <w:rsid w:val="002B687D"/>
    <w:rsid w:val="002B6937"/>
    <w:rsid w:val="002B698C"/>
    <w:rsid w:val="002B69E9"/>
    <w:rsid w:val="002B6AAE"/>
    <w:rsid w:val="002B6B68"/>
    <w:rsid w:val="002B6C1D"/>
    <w:rsid w:val="002B6CB9"/>
    <w:rsid w:val="002B6D2E"/>
    <w:rsid w:val="002B6D73"/>
    <w:rsid w:val="002B6D8A"/>
    <w:rsid w:val="002B6F01"/>
    <w:rsid w:val="002B6F90"/>
    <w:rsid w:val="002B7033"/>
    <w:rsid w:val="002B7047"/>
    <w:rsid w:val="002B7114"/>
    <w:rsid w:val="002B726F"/>
    <w:rsid w:val="002B7283"/>
    <w:rsid w:val="002B7359"/>
    <w:rsid w:val="002B735F"/>
    <w:rsid w:val="002B741D"/>
    <w:rsid w:val="002B759B"/>
    <w:rsid w:val="002B7629"/>
    <w:rsid w:val="002B7634"/>
    <w:rsid w:val="002B77EC"/>
    <w:rsid w:val="002B798D"/>
    <w:rsid w:val="002B79CB"/>
    <w:rsid w:val="002B7A56"/>
    <w:rsid w:val="002B7B55"/>
    <w:rsid w:val="002B7BE5"/>
    <w:rsid w:val="002B7C45"/>
    <w:rsid w:val="002B7C46"/>
    <w:rsid w:val="002B7C83"/>
    <w:rsid w:val="002B7DD7"/>
    <w:rsid w:val="002B7EF5"/>
    <w:rsid w:val="002B7FF1"/>
    <w:rsid w:val="002C00EA"/>
    <w:rsid w:val="002C0113"/>
    <w:rsid w:val="002C016D"/>
    <w:rsid w:val="002C01AE"/>
    <w:rsid w:val="002C029A"/>
    <w:rsid w:val="002C0305"/>
    <w:rsid w:val="002C0606"/>
    <w:rsid w:val="002C06A6"/>
    <w:rsid w:val="002C074E"/>
    <w:rsid w:val="002C0857"/>
    <w:rsid w:val="002C0890"/>
    <w:rsid w:val="002C0A74"/>
    <w:rsid w:val="002C0AFA"/>
    <w:rsid w:val="002C0B9E"/>
    <w:rsid w:val="002C0BD4"/>
    <w:rsid w:val="002C0D37"/>
    <w:rsid w:val="002C0E9A"/>
    <w:rsid w:val="002C0EEC"/>
    <w:rsid w:val="002C0FC8"/>
    <w:rsid w:val="002C105A"/>
    <w:rsid w:val="002C1084"/>
    <w:rsid w:val="002C1140"/>
    <w:rsid w:val="002C1147"/>
    <w:rsid w:val="002C1307"/>
    <w:rsid w:val="002C136B"/>
    <w:rsid w:val="002C13ED"/>
    <w:rsid w:val="002C1504"/>
    <w:rsid w:val="002C1559"/>
    <w:rsid w:val="002C1576"/>
    <w:rsid w:val="002C1589"/>
    <w:rsid w:val="002C15BC"/>
    <w:rsid w:val="002C15D2"/>
    <w:rsid w:val="002C15F6"/>
    <w:rsid w:val="002C1631"/>
    <w:rsid w:val="002C1634"/>
    <w:rsid w:val="002C16EE"/>
    <w:rsid w:val="002C19B1"/>
    <w:rsid w:val="002C19EF"/>
    <w:rsid w:val="002C19F1"/>
    <w:rsid w:val="002C19F9"/>
    <w:rsid w:val="002C1A20"/>
    <w:rsid w:val="002C1AC4"/>
    <w:rsid w:val="002C1B28"/>
    <w:rsid w:val="002C1C8F"/>
    <w:rsid w:val="002C1EE5"/>
    <w:rsid w:val="002C2107"/>
    <w:rsid w:val="002C214E"/>
    <w:rsid w:val="002C2188"/>
    <w:rsid w:val="002C21EE"/>
    <w:rsid w:val="002C2436"/>
    <w:rsid w:val="002C244E"/>
    <w:rsid w:val="002C2510"/>
    <w:rsid w:val="002C264E"/>
    <w:rsid w:val="002C276F"/>
    <w:rsid w:val="002C2775"/>
    <w:rsid w:val="002C2832"/>
    <w:rsid w:val="002C2842"/>
    <w:rsid w:val="002C287D"/>
    <w:rsid w:val="002C28CB"/>
    <w:rsid w:val="002C2A45"/>
    <w:rsid w:val="002C2AB3"/>
    <w:rsid w:val="002C2BEE"/>
    <w:rsid w:val="002C2C49"/>
    <w:rsid w:val="002C2D4E"/>
    <w:rsid w:val="002C2DF3"/>
    <w:rsid w:val="002C2EB6"/>
    <w:rsid w:val="002C2F31"/>
    <w:rsid w:val="002C2F39"/>
    <w:rsid w:val="002C2F76"/>
    <w:rsid w:val="002C300C"/>
    <w:rsid w:val="002C301D"/>
    <w:rsid w:val="002C30A7"/>
    <w:rsid w:val="002C30AF"/>
    <w:rsid w:val="002C3300"/>
    <w:rsid w:val="002C33BF"/>
    <w:rsid w:val="002C3411"/>
    <w:rsid w:val="002C3577"/>
    <w:rsid w:val="002C35C2"/>
    <w:rsid w:val="002C3675"/>
    <w:rsid w:val="002C3745"/>
    <w:rsid w:val="002C37DE"/>
    <w:rsid w:val="002C3869"/>
    <w:rsid w:val="002C3A6B"/>
    <w:rsid w:val="002C3A79"/>
    <w:rsid w:val="002C3AA1"/>
    <w:rsid w:val="002C3AC8"/>
    <w:rsid w:val="002C3B29"/>
    <w:rsid w:val="002C3B43"/>
    <w:rsid w:val="002C3B58"/>
    <w:rsid w:val="002C3D1C"/>
    <w:rsid w:val="002C3DAD"/>
    <w:rsid w:val="002C3E66"/>
    <w:rsid w:val="002C3EE5"/>
    <w:rsid w:val="002C3FF2"/>
    <w:rsid w:val="002C4195"/>
    <w:rsid w:val="002C4344"/>
    <w:rsid w:val="002C44AD"/>
    <w:rsid w:val="002C44B6"/>
    <w:rsid w:val="002C4616"/>
    <w:rsid w:val="002C4632"/>
    <w:rsid w:val="002C463B"/>
    <w:rsid w:val="002C4657"/>
    <w:rsid w:val="002C4715"/>
    <w:rsid w:val="002C4765"/>
    <w:rsid w:val="002C47C5"/>
    <w:rsid w:val="002C47E2"/>
    <w:rsid w:val="002C47F4"/>
    <w:rsid w:val="002C4CD5"/>
    <w:rsid w:val="002C4E26"/>
    <w:rsid w:val="002C4ED6"/>
    <w:rsid w:val="002C4EEB"/>
    <w:rsid w:val="002C4F72"/>
    <w:rsid w:val="002C5147"/>
    <w:rsid w:val="002C51E2"/>
    <w:rsid w:val="002C5278"/>
    <w:rsid w:val="002C52BD"/>
    <w:rsid w:val="002C52CE"/>
    <w:rsid w:val="002C5302"/>
    <w:rsid w:val="002C5393"/>
    <w:rsid w:val="002C544B"/>
    <w:rsid w:val="002C5465"/>
    <w:rsid w:val="002C550A"/>
    <w:rsid w:val="002C5634"/>
    <w:rsid w:val="002C566C"/>
    <w:rsid w:val="002C56A4"/>
    <w:rsid w:val="002C56F7"/>
    <w:rsid w:val="002C593E"/>
    <w:rsid w:val="002C5A01"/>
    <w:rsid w:val="002C5D07"/>
    <w:rsid w:val="002C5D6F"/>
    <w:rsid w:val="002C5DA7"/>
    <w:rsid w:val="002C5FEA"/>
    <w:rsid w:val="002C6129"/>
    <w:rsid w:val="002C618F"/>
    <w:rsid w:val="002C6439"/>
    <w:rsid w:val="002C66DE"/>
    <w:rsid w:val="002C68F1"/>
    <w:rsid w:val="002C6902"/>
    <w:rsid w:val="002C690A"/>
    <w:rsid w:val="002C6989"/>
    <w:rsid w:val="002C6A3A"/>
    <w:rsid w:val="002C6B03"/>
    <w:rsid w:val="002C6E6C"/>
    <w:rsid w:val="002C6F50"/>
    <w:rsid w:val="002C7004"/>
    <w:rsid w:val="002C70DA"/>
    <w:rsid w:val="002C713F"/>
    <w:rsid w:val="002C7249"/>
    <w:rsid w:val="002C7269"/>
    <w:rsid w:val="002C7407"/>
    <w:rsid w:val="002C7462"/>
    <w:rsid w:val="002C78F6"/>
    <w:rsid w:val="002C7935"/>
    <w:rsid w:val="002C7C13"/>
    <w:rsid w:val="002C7C3F"/>
    <w:rsid w:val="002C7CAE"/>
    <w:rsid w:val="002C7D11"/>
    <w:rsid w:val="002C7E6E"/>
    <w:rsid w:val="002C7E92"/>
    <w:rsid w:val="002C7F0E"/>
    <w:rsid w:val="002C7FAC"/>
    <w:rsid w:val="002C7FC0"/>
    <w:rsid w:val="002C7FC7"/>
    <w:rsid w:val="002D0018"/>
    <w:rsid w:val="002D009F"/>
    <w:rsid w:val="002D0186"/>
    <w:rsid w:val="002D0238"/>
    <w:rsid w:val="002D037A"/>
    <w:rsid w:val="002D03E1"/>
    <w:rsid w:val="002D04A8"/>
    <w:rsid w:val="002D04BD"/>
    <w:rsid w:val="002D0545"/>
    <w:rsid w:val="002D05BA"/>
    <w:rsid w:val="002D0716"/>
    <w:rsid w:val="002D0720"/>
    <w:rsid w:val="002D075F"/>
    <w:rsid w:val="002D0833"/>
    <w:rsid w:val="002D08F4"/>
    <w:rsid w:val="002D0922"/>
    <w:rsid w:val="002D0A54"/>
    <w:rsid w:val="002D0BE7"/>
    <w:rsid w:val="002D0C67"/>
    <w:rsid w:val="002D0C88"/>
    <w:rsid w:val="002D0DD4"/>
    <w:rsid w:val="002D0E26"/>
    <w:rsid w:val="002D0E35"/>
    <w:rsid w:val="002D0E8E"/>
    <w:rsid w:val="002D0E9C"/>
    <w:rsid w:val="002D0EB7"/>
    <w:rsid w:val="002D0F3F"/>
    <w:rsid w:val="002D0F41"/>
    <w:rsid w:val="002D0F4F"/>
    <w:rsid w:val="002D0F5B"/>
    <w:rsid w:val="002D0F68"/>
    <w:rsid w:val="002D0FB5"/>
    <w:rsid w:val="002D0FC2"/>
    <w:rsid w:val="002D0FC7"/>
    <w:rsid w:val="002D1075"/>
    <w:rsid w:val="002D11C7"/>
    <w:rsid w:val="002D121A"/>
    <w:rsid w:val="002D12A8"/>
    <w:rsid w:val="002D1367"/>
    <w:rsid w:val="002D13FB"/>
    <w:rsid w:val="002D1502"/>
    <w:rsid w:val="002D1591"/>
    <w:rsid w:val="002D15C0"/>
    <w:rsid w:val="002D15E7"/>
    <w:rsid w:val="002D170A"/>
    <w:rsid w:val="002D17AE"/>
    <w:rsid w:val="002D1992"/>
    <w:rsid w:val="002D1BF7"/>
    <w:rsid w:val="002D1C8D"/>
    <w:rsid w:val="002D1D11"/>
    <w:rsid w:val="002D1D5A"/>
    <w:rsid w:val="002D1EF4"/>
    <w:rsid w:val="002D2136"/>
    <w:rsid w:val="002D218B"/>
    <w:rsid w:val="002D218E"/>
    <w:rsid w:val="002D22EC"/>
    <w:rsid w:val="002D2334"/>
    <w:rsid w:val="002D2394"/>
    <w:rsid w:val="002D23E6"/>
    <w:rsid w:val="002D2403"/>
    <w:rsid w:val="002D24A3"/>
    <w:rsid w:val="002D2646"/>
    <w:rsid w:val="002D265D"/>
    <w:rsid w:val="002D2756"/>
    <w:rsid w:val="002D2781"/>
    <w:rsid w:val="002D27F2"/>
    <w:rsid w:val="002D288C"/>
    <w:rsid w:val="002D28FC"/>
    <w:rsid w:val="002D292B"/>
    <w:rsid w:val="002D2984"/>
    <w:rsid w:val="002D29E0"/>
    <w:rsid w:val="002D2A05"/>
    <w:rsid w:val="002D2B05"/>
    <w:rsid w:val="002D2CF1"/>
    <w:rsid w:val="002D2CFA"/>
    <w:rsid w:val="002D2D00"/>
    <w:rsid w:val="002D2D55"/>
    <w:rsid w:val="002D2E1C"/>
    <w:rsid w:val="002D2F71"/>
    <w:rsid w:val="002D2F7C"/>
    <w:rsid w:val="002D3048"/>
    <w:rsid w:val="002D304A"/>
    <w:rsid w:val="002D305E"/>
    <w:rsid w:val="002D306D"/>
    <w:rsid w:val="002D317D"/>
    <w:rsid w:val="002D31FA"/>
    <w:rsid w:val="002D3341"/>
    <w:rsid w:val="002D3386"/>
    <w:rsid w:val="002D34EC"/>
    <w:rsid w:val="002D3528"/>
    <w:rsid w:val="002D35AB"/>
    <w:rsid w:val="002D35E3"/>
    <w:rsid w:val="002D383E"/>
    <w:rsid w:val="002D3842"/>
    <w:rsid w:val="002D3884"/>
    <w:rsid w:val="002D38BB"/>
    <w:rsid w:val="002D39F7"/>
    <w:rsid w:val="002D3A3A"/>
    <w:rsid w:val="002D3A45"/>
    <w:rsid w:val="002D3B25"/>
    <w:rsid w:val="002D3B4D"/>
    <w:rsid w:val="002D3C25"/>
    <w:rsid w:val="002D3C5F"/>
    <w:rsid w:val="002D3DE8"/>
    <w:rsid w:val="002D40A5"/>
    <w:rsid w:val="002D4102"/>
    <w:rsid w:val="002D418E"/>
    <w:rsid w:val="002D41F7"/>
    <w:rsid w:val="002D4294"/>
    <w:rsid w:val="002D42CA"/>
    <w:rsid w:val="002D42FB"/>
    <w:rsid w:val="002D430C"/>
    <w:rsid w:val="002D4359"/>
    <w:rsid w:val="002D463B"/>
    <w:rsid w:val="002D467F"/>
    <w:rsid w:val="002D46E1"/>
    <w:rsid w:val="002D4795"/>
    <w:rsid w:val="002D4824"/>
    <w:rsid w:val="002D4917"/>
    <w:rsid w:val="002D4959"/>
    <w:rsid w:val="002D49C6"/>
    <w:rsid w:val="002D4A2F"/>
    <w:rsid w:val="002D4B48"/>
    <w:rsid w:val="002D4B57"/>
    <w:rsid w:val="002D4BA0"/>
    <w:rsid w:val="002D4BEA"/>
    <w:rsid w:val="002D4C37"/>
    <w:rsid w:val="002D4CBE"/>
    <w:rsid w:val="002D4DAB"/>
    <w:rsid w:val="002D4E43"/>
    <w:rsid w:val="002D4ED9"/>
    <w:rsid w:val="002D4F00"/>
    <w:rsid w:val="002D4FF1"/>
    <w:rsid w:val="002D5093"/>
    <w:rsid w:val="002D50BD"/>
    <w:rsid w:val="002D50D0"/>
    <w:rsid w:val="002D51A9"/>
    <w:rsid w:val="002D51DE"/>
    <w:rsid w:val="002D5209"/>
    <w:rsid w:val="002D5221"/>
    <w:rsid w:val="002D53EB"/>
    <w:rsid w:val="002D5655"/>
    <w:rsid w:val="002D56F9"/>
    <w:rsid w:val="002D5800"/>
    <w:rsid w:val="002D5823"/>
    <w:rsid w:val="002D58C3"/>
    <w:rsid w:val="002D594D"/>
    <w:rsid w:val="002D59FA"/>
    <w:rsid w:val="002D5A14"/>
    <w:rsid w:val="002D5A63"/>
    <w:rsid w:val="002D5B63"/>
    <w:rsid w:val="002D5CD6"/>
    <w:rsid w:val="002D5D32"/>
    <w:rsid w:val="002D5DFA"/>
    <w:rsid w:val="002D5E0A"/>
    <w:rsid w:val="002D5EBD"/>
    <w:rsid w:val="002D5F20"/>
    <w:rsid w:val="002D5F71"/>
    <w:rsid w:val="002D603E"/>
    <w:rsid w:val="002D6145"/>
    <w:rsid w:val="002D6379"/>
    <w:rsid w:val="002D6462"/>
    <w:rsid w:val="002D6486"/>
    <w:rsid w:val="002D6563"/>
    <w:rsid w:val="002D6662"/>
    <w:rsid w:val="002D6692"/>
    <w:rsid w:val="002D66F6"/>
    <w:rsid w:val="002D68CA"/>
    <w:rsid w:val="002D68D7"/>
    <w:rsid w:val="002D69FB"/>
    <w:rsid w:val="002D6A5A"/>
    <w:rsid w:val="002D6C76"/>
    <w:rsid w:val="002D6CC0"/>
    <w:rsid w:val="002D6CF2"/>
    <w:rsid w:val="002D6CF7"/>
    <w:rsid w:val="002D6D62"/>
    <w:rsid w:val="002D6E2B"/>
    <w:rsid w:val="002D6FC6"/>
    <w:rsid w:val="002D70F0"/>
    <w:rsid w:val="002D7274"/>
    <w:rsid w:val="002D72E3"/>
    <w:rsid w:val="002D73CB"/>
    <w:rsid w:val="002D73DD"/>
    <w:rsid w:val="002D7463"/>
    <w:rsid w:val="002D746C"/>
    <w:rsid w:val="002D7474"/>
    <w:rsid w:val="002D7482"/>
    <w:rsid w:val="002D74D8"/>
    <w:rsid w:val="002D74E9"/>
    <w:rsid w:val="002D750D"/>
    <w:rsid w:val="002D7520"/>
    <w:rsid w:val="002D7529"/>
    <w:rsid w:val="002D755D"/>
    <w:rsid w:val="002D7778"/>
    <w:rsid w:val="002D77EF"/>
    <w:rsid w:val="002D7952"/>
    <w:rsid w:val="002D7971"/>
    <w:rsid w:val="002D7A1B"/>
    <w:rsid w:val="002D7A5E"/>
    <w:rsid w:val="002D7B84"/>
    <w:rsid w:val="002D7C31"/>
    <w:rsid w:val="002D7CD7"/>
    <w:rsid w:val="002D7D36"/>
    <w:rsid w:val="002D7E5F"/>
    <w:rsid w:val="002D7E93"/>
    <w:rsid w:val="002D7FB1"/>
    <w:rsid w:val="002E0027"/>
    <w:rsid w:val="002E00FE"/>
    <w:rsid w:val="002E01CF"/>
    <w:rsid w:val="002E01F0"/>
    <w:rsid w:val="002E022C"/>
    <w:rsid w:val="002E0327"/>
    <w:rsid w:val="002E033F"/>
    <w:rsid w:val="002E03E2"/>
    <w:rsid w:val="002E055A"/>
    <w:rsid w:val="002E0704"/>
    <w:rsid w:val="002E07BF"/>
    <w:rsid w:val="002E07E2"/>
    <w:rsid w:val="002E082F"/>
    <w:rsid w:val="002E08BB"/>
    <w:rsid w:val="002E0ADF"/>
    <w:rsid w:val="002E0B7E"/>
    <w:rsid w:val="002E0B99"/>
    <w:rsid w:val="002E0C6A"/>
    <w:rsid w:val="002E0CCA"/>
    <w:rsid w:val="002E0D55"/>
    <w:rsid w:val="002E0EE7"/>
    <w:rsid w:val="002E0F29"/>
    <w:rsid w:val="002E1085"/>
    <w:rsid w:val="002E10CC"/>
    <w:rsid w:val="002E10E7"/>
    <w:rsid w:val="002E10EA"/>
    <w:rsid w:val="002E1226"/>
    <w:rsid w:val="002E1703"/>
    <w:rsid w:val="002E1708"/>
    <w:rsid w:val="002E173D"/>
    <w:rsid w:val="002E1786"/>
    <w:rsid w:val="002E18F3"/>
    <w:rsid w:val="002E19EA"/>
    <w:rsid w:val="002E1A01"/>
    <w:rsid w:val="002E1AC8"/>
    <w:rsid w:val="002E1B0E"/>
    <w:rsid w:val="002E1C00"/>
    <w:rsid w:val="002E1C16"/>
    <w:rsid w:val="002E1C80"/>
    <w:rsid w:val="002E1C86"/>
    <w:rsid w:val="002E1CAC"/>
    <w:rsid w:val="002E1DD8"/>
    <w:rsid w:val="002E1E42"/>
    <w:rsid w:val="002E1ED3"/>
    <w:rsid w:val="002E1EF9"/>
    <w:rsid w:val="002E1F93"/>
    <w:rsid w:val="002E1FE2"/>
    <w:rsid w:val="002E210B"/>
    <w:rsid w:val="002E218C"/>
    <w:rsid w:val="002E2251"/>
    <w:rsid w:val="002E22BD"/>
    <w:rsid w:val="002E22E8"/>
    <w:rsid w:val="002E22F5"/>
    <w:rsid w:val="002E22F6"/>
    <w:rsid w:val="002E2329"/>
    <w:rsid w:val="002E2398"/>
    <w:rsid w:val="002E23AA"/>
    <w:rsid w:val="002E2418"/>
    <w:rsid w:val="002E251C"/>
    <w:rsid w:val="002E26F9"/>
    <w:rsid w:val="002E2899"/>
    <w:rsid w:val="002E298A"/>
    <w:rsid w:val="002E29CE"/>
    <w:rsid w:val="002E29DD"/>
    <w:rsid w:val="002E2A0D"/>
    <w:rsid w:val="002E2B03"/>
    <w:rsid w:val="002E2BA1"/>
    <w:rsid w:val="002E2C0C"/>
    <w:rsid w:val="002E2C79"/>
    <w:rsid w:val="002E2CD0"/>
    <w:rsid w:val="002E2CEB"/>
    <w:rsid w:val="002E2D75"/>
    <w:rsid w:val="002E2DC8"/>
    <w:rsid w:val="002E301B"/>
    <w:rsid w:val="002E3032"/>
    <w:rsid w:val="002E3162"/>
    <w:rsid w:val="002E319D"/>
    <w:rsid w:val="002E32E4"/>
    <w:rsid w:val="002E339E"/>
    <w:rsid w:val="002E33ED"/>
    <w:rsid w:val="002E346B"/>
    <w:rsid w:val="002E34F7"/>
    <w:rsid w:val="002E35AD"/>
    <w:rsid w:val="002E3649"/>
    <w:rsid w:val="002E3801"/>
    <w:rsid w:val="002E38F9"/>
    <w:rsid w:val="002E390F"/>
    <w:rsid w:val="002E3C1F"/>
    <w:rsid w:val="002E3C9E"/>
    <w:rsid w:val="002E3CF0"/>
    <w:rsid w:val="002E3CF9"/>
    <w:rsid w:val="002E3DE5"/>
    <w:rsid w:val="002E3EB0"/>
    <w:rsid w:val="002E3EE0"/>
    <w:rsid w:val="002E3FAA"/>
    <w:rsid w:val="002E411D"/>
    <w:rsid w:val="002E423E"/>
    <w:rsid w:val="002E4254"/>
    <w:rsid w:val="002E428C"/>
    <w:rsid w:val="002E43E6"/>
    <w:rsid w:val="002E4461"/>
    <w:rsid w:val="002E44B7"/>
    <w:rsid w:val="002E456C"/>
    <w:rsid w:val="002E4589"/>
    <w:rsid w:val="002E462B"/>
    <w:rsid w:val="002E488B"/>
    <w:rsid w:val="002E497C"/>
    <w:rsid w:val="002E4A4B"/>
    <w:rsid w:val="002E4A90"/>
    <w:rsid w:val="002E4C6F"/>
    <w:rsid w:val="002E4CF4"/>
    <w:rsid w:val="002E4D5B"/>
    <w:rsid w:val="002E4E77"/>
    <w:rsid w:val="002E4F55"/>
    <w:rsid w:val="002E4F87"/>
    <w:rsid w:val="002E5083"/>
    <w:rsid w:val="002E5111"/>
    <w:rsid w:val="002E512D"/>
    <w:rsid w:val="002E5287"/>
    <w:rsid w:val="002E52DA"/>
    <w:rsid w:val="002E52E9"/>
    <w:rsid w:val="002E54E1"/>
    <w:rsid w:val="002E559F"/>
    <w:rsid w:val="002E56AF"/>
    <w:rsid w:val="002E5751"/>
    <w:rsid w:val="002E57D9"/>
    <w:rsid w:val="002E5826"/>
    <w:rsid w:val="002E585B"/>
    <w:rsid w:val="002E586C"/>
    <w:rsid w:val="002E5873"/>
    <w:rsid w:val="002E5938"/>
    <w:rsid w:val="002E59DB"/>
    <w:rsid w:val="002E5AEE"/>
    <w:rsid w:val="002E5BA1"/>
    <w:rsid w:val="002E5BEF"/>
    <w:rsid w:val="002E5BF6"/>
    <w:rsid w:val="002E5C63"/>
    <w:rsid w:val="002E5C64"/>
    <w:rsid w:val="002E5CF5"/>
    <w:rsid w:val="002E5D8B"/>
    <w:rsid w:val="002E5DE7"/>
    <w:rsid w:val="002E5E0E"/>
    <w:rsid w:val="002E5E21"/>
    <w:rsid w:val="002E5E50"/>
    <w:rsid w:val="002E6037"/>
    <w:rsid w:val="002E6059"/>
    <w:rsid w:val="002E60BF"/>
    <w:rsid w:val="002E60D9"/>
    <w:rsid w:val="002E6117"/>
    <w:rsid w:val="002E611E"/>
    <w:rsid w:val="002E61B5"/>
    <w:rsid w:val="002E637E"/>
    <w:rsid w:val="002E63B6"/>
    <w:rsid w:val="002E6436"/>
    <w:rsid w:val="002E64FF"/>
    <w:rsid w:val="002E6572"/>
    <w:rsid w:val="002E65AC"/>
    <w:rsid w:val="002E6635"/>
    <w:rsid w:val="002E6747"/>
    <w:rsid w:val="002E67BC"/>
    <w:rsid w:val="002E690F"/>
    <w:rsid w:val="002E6983"/>
    <w:rsid w:val="002E6A21"/>
    <w:rsid w:val="002E6AA3"/>
    <w:rsid w:val="002E6B42"/>
    <w:rsid w:val="002E6BD0"/>
    <w:rsid w:val="002E6C7C"/>
    <w:rsid w:val="002E6CC0"/>
    <w:rsid w:val="002E6CCD"/>
    <w:rsid w:val="002E6DC1"/>
    <w:rsid w:val="002E6E4E"/>
    <w:rsid w:val="002E6F58"/>
    <w:rsid w:val="002E6F93"/>
    <w:rsid w:val="002E7099"/>
    <w:rsid w:val="002E70C0"/>
    <w:rsid w:val="002E7144"/>
    <w:rsid w:val="002E724E"/>
    <w:rsid w:val="002E72EC"/>
    <w:rsid w:val="002E73A7"/>
    <w:rsid w:val="002E7495"/>
    <w:rsid w:val="002E7503"/>
    <w:rsid w:val="002E7526"/>
    <w:rsid w:val="002E7538"/>
    <w:rsid w:val="002E7695"/>
    <w:rsid w:val="002E7A2F"/>
    <w:rsid w:val="002E7A3A"/>
    <w:rsid w:val="002E7A8F"/>
    <w:rsid w:val="002E7B21"/>
    <w:rsid w:val="002E7BA2"/>
    <w:rsid w:val="002E7BDE"/>
    <w:rsid w:val="002E7C86"/>
    <w:rsid w:val="002E7CA0"/>
    <w:rsid w:val="002E7D1B"/>
    <w:rsid w:val="002E7D4B"/>
    <w:rsid w:val="002E7DEF"/>
    <w:rsid w:val="002E7ED1"/>
    <w:rsid w:val="002E7F92"/>
    <w:rsid w:val="002E7FE4"/>
    <w:rsid w:val="002F0036"/>
    <w:rsid w:val="002F00D1"/>
    <w:rsid w:val="002F00D5"/>
    <w:rsid w:val="002F02A3"/>
    <w:rsid w:val="002F02D9"/>
    <w:rsid w:val="002F0382"/>
    <w:rsid w:val="002F039D"/>
    <w:rsid w:val="002F03B2"/>
    <w:rsid w:val="002F0473"/>
    <w:rsid w:val="002F048B"/>
    <w:rsid w:val="002F049E"/>
    <w:rsid w:val="002F0591"/>
    <w:rsid w:val="002F05F0"/>
    <w:rsid w:val="002F05F2"/>
    <w:rsid w:val="002F0649"/>
    <w:rsid w:val="002F0662"/>
    <w:rsid w:val="002F0694"/>
    <w:rsid w:val="002F0843"/>
    <w:rsid w:val="002F08B1"/>
    <w:rsid w:val="002F08D2"/>
    <w:rsid w:val="002F092E"/>
    <w:rsid w:val="002F0B01"/>
    <w:rsid w:val="002F0BD9"/>
    <w:rsid w:val="002F0C37"/>
    <w:rsid w:val="002F0C64"/>
    <w:rsid w:val="002F0C91"/>
    <w:rsid w:val="002F0E5E"/>
    <w:rsid w:val="002F0F9F"/>
    <w:rsid w:val="002F123D"/>
    <w:rsid w:val="002F1258"/>
    <w:rsid w:val="002F131A"/>
    <w:rsid w:val="002F1375"/>
    <w:rsid w:val="002F13BB"/>
    <w:rsid w:val="002F14BA"/>
    <w:rsid w:val="002F1506"/>
    <w:rsid w:val="002F15EE"/>
    <w:rsid w:val="002F1739"/>
    <w:rsid w:val="002F17BB"/>
    <w:rsid w:val="002F19FB"/>
    <w:rsid w:val="002F1A41"/>
    <w:rsid w:val="002F1AD1"/>
    <w:rsid w:val="002F1B07"/>
    <w:rsid w:val="002F1BDF"/>
    <w:rsid w:val="002F1BF0"/>
    <w:rsid w:val="002F1BF7"/>
    <w:rsid w:val="002F1CB3"/>
    <w:rsid w:val="002F1D4D"/>
    <w:rsid w:val="002F1D62"/>
    <w:rsid w:val="002F1DE1"/>
    <w:rsid w:val="002F1E30"/>
    <w:rsid w:val="002F1E9D"/>
    <w:rsid w:val="002F1EC3"/>
    <w:rsid w:val="002F1F8F"/>
    <w:rsid w:val="002F20DA"/>
    <w:rsid w:val="002F222C"/>
    <w:rsid w:val="002F228D"/>
    <w:rsid w:val="002F239A"/>
    <w:rsid w:val="002F2504"/>
    <w:rsid w:val="002F25D3"/>
    <w:rsid w:val="002F25FC"/>
    <w:rsid w:val="002F2674"/>
    <w:rsid w:val="002F2771"/>
    <w:rsid w:val="002F287C"/>
    <w:rsid w:val="002F2A32"/>
    <w:rsid w:val="002F2AE0"/>
    <w:rsid w:val="002F2B00"/>
    <w:rsid w:val="002F2B10"/>
    <w:rsid w:val="002F2C19"/>
    <w:rsid w:val="002F2CB7"/>
    <w:rsid w:val="002F2D14"/>
    <w:rsid w:val="002F2DF0"/>
    <w:rsid w:val="002F2E9F"/>
    <w:rsid w:val="002F2F5F"/>
    <w:rsid w:val="002F3004"/>
    <w:rsid w:val="002F308B"/>
    <w:rsid w:val="002F3359"/>
    <w:rsid w:val="002F3444"/>
    <w:rsid w:val="002F3453"/>
    <w:rsid w:val="002F362B"/>
    <w:rsid w:val="002F36A6"/>
    <w:rsid w:val="002F36D3"/>
    <w:rsid w:val="002F3792"/>
    <w:rsid w:val="002F392D"/>
    <w:rsid w:val="002F39EF"/>
    <w:rsid w:val="002F3A9C"/>
    <w:rsid w:val="002F3C43"/>
    <w:rsid w:val="002F3CF0"/>
    <w:rsid w:val="002F3DC6"/>
    <w:rsid w:val="002F3ED2"/>
    <w:rsid w:val="002F3F6E"/>
    <w:rsid w:val="002F3F7C"/>
    <w:rsid w:val="002F3FD2"/>
    <w:rsid w:val="002F4061"/>
    <w:rsid w:val="002F409F"/>
    <w:rsid w:val="002F410D"/>
    <w:rsid w:val="002F4127"/>
    <w:rsid w:val="002F428B"/>
    <w:rsid w:val="002F4358"/>
    <w:rsid w:val="002F4364"/>
    <w:rsid w:val="002F43D4"/>
    <w:rsid w:val="002F449F"/>
    <w:rsid w:val="002F4511"/>
    <w:rsid w:val="002F4607"/>
    <w:rsid w:val="002F4677"/>
    <w:rsid w:val="002F4A49"/>
    <w:rsid w:val="002F4B11"/>
    <w:rsid w:val="002F4B4C"/>
    <w:rsid w:val="002F4B4F"/>
    <w:rsid w:val="002F4B60"/>
    <w:rsid w:val="002F4C48"/>
    <w:rsid w:val="002F4DF1"/>
    <w:rsid w:val="002F4E3A"/>
    <w:rsid w:val="002F4E99"/>
    <w:rsid w:val="002F4E9D"/>
    <w:rsid w:val="002F4ECF"/>
    <w:rsid w:val="002F50B4"/>
    <w:rsid w:val="002F523D"/>
    <w:rsid w:val="002F52CA"/>
    <w:rsid w:val="002F5358"/>
    <w:rsid w:val="002F5383"/>
    <w:rsid w:val="002F5462"/>
    <w:rsid w:val="002F5949"/>
    <w:rsid w:val="002F5B18"/>
    <w:rsid w:val="002F5B21"/>
    <w:rsid w:val="002F5B91"/>
    <w:rsid w:val="002F5BD4"/>
    <w:rsid w:val="002F5BE3"/>
    <w:rsid w:val="002F5C78"/>
    <w:rsid w:val="002F5CD1"/>
    <w:rsid w:val="002F5F2E"/>
    <w:rsid w:val="002F62B2"/>
    <w:rsid w:val="002F631F"/>
    <w:rsid w:val="002F6332"/>
    <w:rsid w:val="002F64E6"/>
    <w:rsid w:val="002F65EC"/>
    <w:rsid w:val="002F6782"/>
    <w:rsid w:val="002F68DC"/>
    <w:rsid w:val="002F6938"/>
    <w:rsid w:val="002F69BC"/>
    <w:rsid w:val="002F69E3"/>
    <w:rsid w:val="002F6A83"/>
    <w:rsid w:val="002F6BC6"/>
    <w:rsid w:val="002F6BEA"/>
    <w:rsid w:val="002F6C40"/>
    <w:rsid w:val="002F6CEB"/>
    <w:rsid w:val="002F6DDC"/>
    <w:rsid w:val="002F6EB3"/>
    <w:rsid w:val="002F6F6C"/>
    <w:rsid w:val="002F707A"/>
    <w:rsid w:val="002F7091"/>
    <w:rsid w:val="002F7250"/>
    <w:rsid w:val="002F72CB"/>
    <w:rsid w:val="002F7406"/>
    <w:rsid w:val="002F7437"/>
    <w:rsid w:val="002F7462"/>
    <w:rsid w:val="002F74DA"/>
    <w:rsid w:val="002F75A9"/>
    <w:rsid w:val="002F7672"/>
    <w:rsid w:val="002F76DB"/>
    <w:rsid w:val="002F777C"/>
    <w:rsid w:val="002F7785"/>
    <w:rsid w:val="002F78B3"/>
    <w:rsid w:val="002F78E5"/>
    <w:rsid w:val="002F7A8E"/>
    <w:rsid w:val="002F7ACF"/>
    <w:rsid w:val="002F7BEA"/>
    <w:rsid w:val="002F7CEE"/>
    <w:rsid w:val="002F7D40"/>
    <w:rsid w:val="002F7DBA"/>
    <w:rsid w:val="002F7E56"/>
    <w:rsid w:val="002F7EB8"/>
    <w:rsid w:val="002F7FA5"/>
    <w:rsid w:val="003002B3"/>
    <w:rsid w:val="003004D3"/>
    <w:rsid w:val="003004FB"/>
    <w:rsid w:val="0030053B"/>
    <w:rsid w:val="003005C2"/>
    <w:rsid w:val="0030068F"/>
    <w:rsid w:val="0030083A"/>
    <w:rsid w:val="003009A8"/>
    <w:rsid w:val="00300A10"/>
    <w:rsid w:val="00300AA1"/>
    <w:rsid w:val="00300AC6"/>
    <w:rsid w:val="00300BA0"/>
    <w:rsid w:val="00300BE3"/>
    <w:rsid w:val="00300C52"/>
    <w:rsid w:val="00300D80"/>
    <w:rsid w:val="00300DE6"/>
    <w:rsid w:val="00300E12"/>
    <w:rsid w:val="00300E77"/>
    <w:rsid w:val="00300F6D"/>
    <w:rsid w:val="00300F89"/>
    <w:rsid w:val="00300FF8"/>
    <w:rsid w:val="0030115F"/>
    <w:rsid w:val="00301223"/>
    <w:rsid w:val="003012E1"/>
    <w:rsid w:val="00301444"/>
    <w:rsid w:val="0030145E"/>
    <w:rsid w:val="003014AE"/>
    <w:rsid w:val="00301546"/>
    <w:rsid w:val="00301607"/>
    <w:rsid w:val="0030163A"/>
    <w:rsid w:val="003016A9"/>
    <w:rsid w:val="00301764"/>
    <w:rsid w:val="00301804"/>
    <w:rsid w:val="0030185C"/>
    <w:rsid w:val="00301AB9"/>
    <w:rsid w:val="00301B38"/>
    <w:rsid w:val="00301B47"/>
    <w:rsid w:val="00301B9D"/>
    <w:rsid w:val="00301DDC"/>
    <w:rsid w:val="00301E24"/>
    <w:rsid w:val="00301E84"/>
    <w:rsid w:val="00301ED3"/>
    <w:rsid w:val="00301FBD"/>
    <w:rsid w:val="00302034"/>
    <w:rsid w:val="0030205A"/>
    <w:rsid w:val="00302080"/>
    <w:rsid w:val="00302084"/>
    <w:rsid w:val="0030215E"/>
    <w:rsid w:val="0030223E"/>
    <w:rsid w:val="003022A9"/>
    <w:rsid w:val="003022D7"/>
    <w:rsid w:val="003024F5"/>
    <w:rsid w:val="00302566"/>
    <w:rsid w:val="003025C2"/>
    <w:rsid w:val="003025DD"/>
    <w:rsid w:val="00302716"/>
    <w:rsid w:val="00302724"/>
    <w:rsid w:val="0030283F"/>
    <w:rsid w:val="0030286F"/>
    <w:rsid w:val="00302890"/>
    <w:rsid w:val="00302905"/>
    <w:rsid w:val="003029FA"/>
    <w:rsid w:val="00302B80"/>
    <w:rsid w:val="00302BA1"/>
    <w:rsid w:val="00302DC2"/>
    <w:rsid w:val="00302DCA"/>
    <w:rsid w:val="00302EB3"/>
    <w:rsid w:val="00303023"/>
    <w:rsid w:val="003030B7"/>
    <w:rsid w:val="003030F3"/>
    <w:rsid w:val="003032C1"/>
    <w:rsid w:val="00303368"/>
    <w:rsid w:val="00303443"/>
    <w:rsid w:val="00303689"/>
    <w:rsid w:val="003036F7"/>
    <w:rsid w:val="00303740"/>
    <w:rsid w:val="0030374B"/>
    <w:rsid w:val="003037C1"/>
    <w:rsid w:val="003037C9"/>
    <w:rsid w:val="003038B7"/>
    <w:rsid w:val="0030394A"/>
    <w:rsid w:val="003039A8"/>
    <w:rsid w:val="00303B2A"/>
    <w:rsid w:val="00303B2E"/>
    <w:rsid w:val="00303BE8"/>
    <w:rsid w:val="00303C78"/>
    <w:rsid w:val="00303CBD"/>
    <w:rsid w:val="00303D9B"/>
    <w:rsid w:val="00303DE6"/>
    <w:rsid w:val="00303EB5"/>
    <w:rsid w:val="00303F70"/>
    <w:rsid w:val="00303F81"/>
    <w:rsid w:val="00303FB0"/>
    <w:rsid w:val="003040AE"/>
    <w:rsid w:val="003041DE"/>
    <w:rsid w:val="0030423F"/>
    <w:rsid w:val="003043C1"/>
    <w:rsid w:val="0030449C"/>
    <w:rsid w:val="00304557"/>
    <w:rsid w:val="003045F5"/>
    <w:rsid w:val="003046D5"/>
    <w:rsid w:val="00304A1E"/>
    <w:rsid w:val="00304A3B"/>
    <w:rsid w:val="00304AF1"/>
    <w:rsid w:val="00304B02"/>
    <w:rsid w:val="00304B81"/>
    <w:rsid w:val="00304BBA"/>
    <w:rsid w:val="00304D2A"/>
    <w:rsid w:val="00304E36"/>
    <w:rsid w:val="00304E6F"/>
    <w:rsid w:val="00304E7C"/>
    <w:rsid w:val="00304EF4"/>
    <w:rsid w:val="00305104"/>
    <w:rsid w:val="00305140"/>
    <w:rsid w:val="003051C8"/>
    <w:rsid w:val="003052F6"/>
    <w:rsid w:val="00305460"/>
    <w:rsid w:val="00305473"/>
    <w:rsid w:val="003054F8"/>
    <w:rsid w:val="00305547"/>
    <w:rsid w:val="00305584"/>
    <w:rsid w:val="00305865"/>
    <w:rsid w:val="003058CD"/>
    <w:rsid w:val="00305B34"/>
    <w:rsid w:val="00305B55"/>
    <w:rsid w:val="00305BB4"/>
    <w:rsid w:val="00305BB5"/>
    <w:rsid w:val="00305BE4"/>
    <w:rsid w:val="00305C88"/>
    <w:rsid w:val="00305D4D"/>
    <w:rsid w:val="00305EC4"/>
    <w:rsid w:val="00305F47"/>
    <w:rsid w:val="003060A3"/>
    <w:rsid w:val="0030610B"/>
    <w:rsid w:val="00306295"/>
    <w:rsid w:val="0030641A"/>
    <w:rsid w:val="003064B4"/>
    <w:rsid w:val="00306639"/>
    <w:rsid w:val="0030668A"/>
    <w:rsid w:val="00306733"/>
    <w:rsid w:val="003067B2"/>
    <w:rsid w:val="00306800"/>
    <w:rsid w:val="00306804"/>
    <w:rsid w:val="003068F1"/>
    <w:rsid w:val="003069C0"/>
    <w:rsid w:val="00306A3E"/>
    <w:rsid w:val="00306A64"/>
    <w:rsid w:val="00306B42"/>
    <w:rsid w:val="00306C45"/>
    <w:rsid w:val="00306D0E"/>
    <w:rsid w:val="00306EAE"/>
    <w:rsid w:val="00306F36"/>
    <w:rsid w:val="00306FB2"/>
    <w:rsid w:val="0030706D"/>
    <w:rsid w:val="00307170"/>
    <w:rsid w:val="00307182"/>
    <w:rsid w:val="0030734F"/>
    <w:rsid w:val="003073B7"/>
    <w:rsid w:val="003073C6"/>
    <w:rsid w:val="00307491"/>
    <w:rsid w:val="00307519"/>
    <w:rsid w:val="00307549"/>
    <w:rsid w:val="00307593"/>
    <w:rsid w:val="003077AA"/>
    <w:rsid w:val="003077C8"/>
    <w:rsid w:val="003078B3"/>
    <w:rsid w:val="00307A1D"/>
    <w:rsid w:val="00307BFD"/>
    <w:rsid w:val="00307CA3"/>
    <w:rsid w:val="00307EC8"/>
    <w:rsid w:val="00307F81"/>
    <w:rsid w:val="00307FF1"/>
    <w:rsid w:val="0031001F"/>
    <w:rsid w:val="00310130"/>
    <w:rsid w:val="00310354"/>
    <w:rsid w:val="0031036E"/>
    <w:rsid w:val="003103F2"/>
    <w:rsid w:val="00310408"/>
    <w:rsid w:val="003104AE"/>
    <w:rsid w:val="003104B7"/>
    <w:rsid w:val="00310615"/>
    <w:rsid w:val="00310628"/>
    <w:rsid w:val="00310A09"/>
    <w:rsid w:val="00310B72"/>
    <w:rsid w:val="00310BDF"/>
    <w:rsid w:val="00310C55"/>
    <w:rsid w:val="00310E13"/>
    <w:rsid w:val="003110A5"/>
    <w:rsid w:val="0031110A"/>
    <w:rsid w:val="0031118A"/>
    <w:rsid w:val="00311320"/>
    <w:rsid w:val="003113BF"/>
    <w:rsid w:val="00311473"/>
    <w:rsid w:val="0031153E"/>
    <w:rsid w:val="00311557"/>
    <w:rsid w:val="003116F8"/>
    <w:rsid w:val="00311715"/>
    <w:rsid w:val="00311717"/>
    <w:rsid w:val="00311ADD"/>
    <w:rsid w:val="00311B66"/>
    <w:rsid w:val="00311BAB"/>
    <w:rsid w:val="00311C4D"/>
    <w:rsid w:val="00311C4F"/>
    <w:rsid w:val="00311CF4"/>
    <w:rsid w:val="00311D48"/>
    <w:rsid w:val="00311E2E"/>
    <w:rsid w:val="00311E69"/>
    <w:rsid w:val="00311EF4"/>
    <w:rsid w:val="00311F67"/>
    <w:rsid w:val="00311FFD"/>
    <w:rsid w:val="003120CD"/>
    <w:rsid w:val="003121C1"/>
    <w:rsid w:val="00312303"/>
    <w:rsid w:val="003123B7"/>
    <w:rsid w:val="003123D6"/>
    <w:rsid w:val="00312407"/>
    <w:rsid w:val="003124FD"/>
    <w:rsid w:val="00312550"/>
    <w:rsid w:val="00312623"/>
    <w:rsid w:val="00312707"/>
    <w:rsid w:val="00312851"/>
    <w:rsid w:val="003128B6"/>
    <w:rsid w:val="00312962"/>
    <w:rsid w:val="003129B2"/>
    <w:rsid w:val="00312A3E"/>
    <w:rsid w:val="00312A51"/>
    <w:rsid w:val="00312A5C"/>
    <w:rsid w:val="00312A89"/>
    <w:rsid w:val="00312AFD"/>
    <w:rsid w:val="00312B5B"/>
    <w:rsid w:val="00312CA2"/>
    <w:rsid w:val="00312CD0"/>
    <w:rsid w:val="00312D15"/>
    <w:rsid w:val="00312D30"/>
    <w:rsid w:val="00312D4E"/>
    <w:rsid w:val="00312D95"/>
    <w:rsid w:val="00312D98"/>
    <w:rsid w:val="00312E4A"/>
    <w:rsid w:val="00312FE7"/>
    <w:rsid w:val="00313087"/>
    <w:rsid w:val="00313506"/>
    <w:rsid w:val="003135FF"/>
    <w:rsid w:val="0031362F"/>
    <w:rsid w:val="00313832"/>
    <w:rsid w:val="003138F9"/>
    <w:rsid w:val="00313935"/>
    <w:rsid w:val="00313953"/>
    <w:rsid w:val="00313A3E"/>
    <w:rsid w:val="00313A86"/>
    <w:rsid w:val="00313CD5"/>
    <w:rsid w:val="00313CDB"/>
    <w:rsid w:val="00313FD0"/>
    <w:rsid w:val="0031412C"/>
    <w:rsid w:val="0031416E"/>
    <w:rsid w:val="00314186"/>
    <w:rsid w:val="0031456E"/>
    <w:rsid w:val="003145CE"/>
    <w:rsid w:val="00314603"/>
    <w:rsid w:val="0031467E"/>
    <w:rsid w:val="003148C0"/>
    <w:rsid w:val="003149DA"/>
    <w:rsid w:val="00314A63"/>
    <w:rsid w:val="00314AED"/>
    <w:rsid w:val="00314B5F"/>
    <w:rsid w:val="00314B8B"/>
    <w:rsid w:val="00314CA1"/>
    <w:rsid w:val="00314D02"/>
    <w:rsid w:val="00314D43"/>
    <w:rsid w:val="00314DD9"/>
    <w:rsid w:val="00314DE0"/>
    <w:rsid w:val="00314F1B"/>
    <w:rsid w:val="00314F85"/>
    <w:rsid w:val="0031504A"/>
    <w:rsid w:val="0031505F"/>
    <w:rsid w:val="0031511A"/>
    <w:rsid w:val="0031514F"/>
    <w:rsid w:val="003152B9"/>
    <w:rsid w:val="00315416"/>
    <w:rsid w:val="0031541F"/>
    <w:rsid w:val="003154B6"/>
    <w:rsid w:val="0031559A"/>
    <w:rsid w:val="00315677"/>
    <w:rsid w:val="00315727"/>
    <w:rsid w:val="00315754"/>
    <w:rsid w:val="00315771"/>
    <w:rsid w:val="0031578D"/>
    <w:rsid w:val="003158C1"/>
    <w:rsid w:val="003158FB"/>
    <w:rsid w:val="00315A07"/>
    <w:rsid w:val="00315A90"/>
    <w:rsid w:val="00315BC1"/>
    <w:rsid w:val="00315C25"/>
    <w:rsid w:val="00315C4A"/>
    <w:rsid w:val="00315D09"/>
    <w:rsid w:val="00315E0F"/>
    <w:rsid w:val="00315E17"/>
    <w:rsid w:val="00315E42"/>
    <w:rsid w:val="00315F2F"/>
    <w:rsid w:val="00316021"/>
    <w:rsid w:val="0031606D"/>
    <w:rsid w:val="003160E7"/>
    <w:rsid w:val="0031621F"/>
    <w:rsid w:val="00316284"/>
    <w:rsid w:val="003165B8"/>
    <w:rsid w:val="00316672"/>
    <w:rsid w:val="00316674"/>
    <w:rsid w:val="003166B2"/>
    <w:rsid w:val="003166CB"/>
    <w:rsid w:val="00316721"/>
    <w:rsid w:val="00316893"/>
    <w:rsid w:val="00316917"/>
    <w:rsid w:val="00316B91"/>
    <w:rsid w:val="00316EA4"/>
    <w:rsid w:val="00316F48"/>
    <w:rsid w:val="00316FEC"/>
    <w:rsid w:val="003170D5"/>
    <w:rsid w:val="00317119"/>
    <w:rsid w:val="00317275"/>
    <w:rsid w:val="003172A9"/>
    <w:rsid w:val="00317479"/>
    <w:rsid w:val="0031749C"/>
    <w:rsid w:val="003174DB"/>
    <w:rsid w:val="003174F0"/>
    <w:rsid w:val="00317605"/>
    <w:rsid w:val="0031764A"/>
    <w:rsid w:val="00317672"/>
    <w:rsid w:val="00317681"/>
    <w:rsid w:val="00317717"/>
    <w:rsid w:val="0031773D"/>
    <w:rsid w:val="0031776E"/>
    <w:rsid w:val="003177B5"/>
    <w:rsid w:val="00317819"/>
    <w:rsid w:val="003178F5"/>
    <w:rsid w:val="00317907"/>
    <w:rsid w:val="00317A03"/>
    <w:rsid w:val="00317A74"/>
    <w:rsid w:val="00317CBD"/>
    <w:rsid w:val="00317D6B"/>
    <w:rsid w:val="00317DFD"/>
    <w:rsid w:val="003200D4"/>
    <w:rsid w:val="00320111"/>
    <w:rsid w:val="00320177"/>
    <w:rsid w:val="0032020C"/>
    <w:rsid w:val="003204BB"/>
    <w:rsid w:val="003205B6"/>
    <w:rsid w:val="00320615"/>
    <w:rsid w:val="0032066A"/>
    <w:rsid w:val="003207B5"/>
    <w:rsid w:val="0032094D"/>
    <w:rsid w:val="00320A1F"/>
    <w:rsid w:val="00320A6D"/>
    <w:rsid w:val="00320A73"/>
    <w:rsid w:val="00320AC6"/>
    <w:rsid w:val="00320AF3"/>
    <w:rsid w:val="00320B06"/>
    <w:rsid w:val="00320CB3"/>
    <w:rsid w:val="00320F4B"/>
    <w:rsid w:val="00320FD3"/>
    <w:rsid w:val="00320FEF"/>
    <w:rsid w:val="003210A2"/>
    <w:rsid w:val="003210AD"/>
    <w:rsid w:val="0032114E"/>
    <w:rsid w:val="003211A2"/>
    <w:rsid w:val="003211C9"/>
    <w:rsid w:val="00321209"/>
    <w:rsid w:val="00321367"/>
    <w:rsid w:val="003213A4"/>
    <w:rsid w:val="00321429"/>
    <w:rsid w:val="0032157A"/>
    <w:rsid w:val="0032191A"/>
    <w:rsid w:val="00321981"/>
    <w:rsid w:val="00321A19"/>
    <w:rsid w:val="00321A20"/>
    <w:rsid w:val="00321A8A"/>
    <w:rsid w:val="00321B0E"/>
    <w:rsid w:val="00321BF8"/>
    <w:rsid w:val="00321CAB"/>
    <w:rsid w:val="00321DFF"/>
    <w:rsid w:val="00321E59"/>
    <w:rsid w:val="00322013"/>
    <w:rsid w:val="00322024"/>
    <w:rsid w:val="0032206E"/>
    <w:rsid w:val="0032208B"/>
    <w:rsid w:val="003220CF"/>
    <w:rsid w:val="0032216C"/>
    <w:rsid w:val="00322225"/>
    <w:rsid w:val="0032225D"/>
    <w:rsid w:val="003222B2"/>
    <w:rsid w:val="00322306"/>
    <w:rsid w:val="0032235C"/>
    <w:rsid w:val="003223DF"/>
    <w:rsid w:val="00322426"/>
    <w:rsid w:val="003225A4"/>
    <w:rsid w:val="00322628"/>
    <w:rsid w:val="003226DD"/>
    <w:rsid w:val="0032279F"/>
    <w:rsid w:val="0032280D"/>
    <w:rsid w:val="00322820"/>
    <w:rsid w:val="00322A3E"/>
    <w:rsid w:val="00322AE2"/>
    <w:rsid w:val="00322B33"/>
    <w:rsid w:val="00322B7E"/>
    <w:rsid w:val="00322C76"/>
    <w:rsid w:val="00322C8D"/>
    <w:rsid w:val="00322CB1"/>
    <w:rsid w:val="00322DCF"/>
    <w:rsid w:val="00322E0A"/>
    <w:rsid w:val="00322E96"/>
    <w:rsid w:val="00323095"/>
    <w:rsid w:val="003232C4"/>
    <w:rsid w:val="00323337"/>
    <w:rsid w:val="0032335D"/>
    <w:rsid w:val="00323405"/>
    <w:rsid w:val="00323576"/>
    <w:rsid w:val="0032373B"/>
    <w:rsid w:val="003237D4"/>
    <w:rsid w:val="00323819"/>
    <w:rsid w:val="003238BF"/>
    <w:rsid w:val="0032397C"/>
    <w:rsid w:val="00323A4E"/>
    <w:rsid w:val="00323C0A"/>
    <w:rsid w:val="00323C42"/>
    <w:rsid w:val="00323CBA"/>
    <w:rsid w:val="00323D0C"/>
    <w:rsid w:val="00323DEF"/>
    <w:rsid w:val="00323E47"/>
    <w:rsid w:val="00323E6D"/>
    <w:rsid w:val="00323E7A"/>
    <w:rsid w:val="00324075"/>
    <w:rsid w:val="00324143"/>
    <w:rsid w:val="00324211"/>
    <w:rsid w:val="003242FB"/>
    <w:rsid w:val="0032438F"/>
    <w:rsid w:val="003244C3"/>
    <w:rsid w:val="00324798"/>
    <w:rsid w:val="003247BE"/>
    <w:rsid w:val="0032489D"/>
    <w:rsid w:val="003248F5"/>
    <w:rsid w:val="00324908"/>
    <w:rsid w:val="00324938"/>
    <w:rsid w:val="00324939"/>
    <w:rsid w:val="0032499F"/>
    <w:rsid w:val="00324A39"/>
    <w:rsid w:val="00324B87"/>
    <w:rsid w:val="00324BE0"/>
    <w:rsid w:val="00324C2F"/>
    <w:rsid w:val="00324C73"/>
    <w:rsid w:val="00324D92"/>
    <w:rsid w:val="00324DDB"/>
    <w:rsid w:val="00324E01"/>
    <w:rsid w:val="00324F0E"/>
    <w:rsid w:val="0032507F"/>
    <w:rsid w:val="00325132"/>
    <w:rsid w:val="003251A0"/>
    <w:rsid w:val="003251D8"/>
    <w:rsid w:val="00325225"/>
    <w:rsid w:val="00325322"/>
    <w:rsid w:val="003253ED"/>
    <w:rsid w:val="003254AE"/>
    <w:rsid w:val="00325526"/>
    <w:rsid w:val="00325534"/>
    <w:rsid w:val="0032554B"/>
    <w:rsid w:val="00325563"/>
    <w:rsid w:val="003255C1"/>
    <w:rsid w:val="003256BB"/>
    <w:rsid w:val="003256FE"/>
    <w:rsid w:val="0032577A"/>
    <w:rsid w:val="0032579B"/>
    <w:rsid w:val="00325829"/>
    <w:rsid w:val="003258E7"/>
    <w:rsid w:val="0032597B"/>
    <w:rsid w:val="00325998"/>
    <w:rsid w:val="00325AAC"/>
    <w:rsid w:val="00325C5E"/>
    <w:rsid w:val="00325D6E"/>
    <w:rsid w:val="00325D9D"/>
    <w:rsid w:val="00325DA1"/>
    <w:rsid w:val="00325DCD"/>
    <w:rsid w:val="00325E38"/>
    <w:rsid w:val="00325E49"/>
    <w:rsid w:val="00325F07"/>
    <w:rsid w:val="00326034"/>
    <w:rsid w:val="003260D6"/>
    <w:rsid w:val="00326141"/>
    <w:rsid w:val="00326154"/>
    <w:rsid w:val="003261E6"/>
    <w:rsid w:val="00326247"/>
    <w:rsid w:val="00326253"/>
    <w:rsid w:val="0032631D"/>
    <w:rsid w:val="00326329"/>
    <w:rsid w:val="0032639C"/>
    <w:rsid w:val="00326434"/>
    <w:rsid w:val="0032650E"/>
    <w:rsid w:val="003266E9"/>
    <w:rsid w:val="003267AE"/>
    <w:rsid w:val="00326805"/>
    <w:rsid w:val="00326840"/>
    <w:rsid w:val="00326912"/>
    <w:rsid w:val="00326A85"/>
    <w:rsid w:val="00326AB7"/>
    <w:rsid w:val="00326AE1"/>
    <w:rsid w:val="00326B7E"/>
    <w:rsid w:val="00326CE5"/>
    <w:rsid w:val="00326DBB"/>
    <w:rsid w:val="00326E85"/>
    <w:rsid w:val="00326F02"/>
    <w:rsid w:val="0032703F"/>
    <w:rsid w:val="00327069"/>
    <w:rsid w:val="003270F6"/>
    <w:rsid w:val="00327120"/>
    <w:rsid w:val="003275BE"/>
    <w:rsid w:val="003276C8"/>
    <w:rsid w:val="003277BF"/>
    <w:rsid w:val="00327961"/>
    <w:rsid w:val="003279C8"/>
    <w:rsid w:val="00327A91"/>
    <w:rsid w:val="00327A9B"/>
    <w:rsid w:val="00327D1E"/>
    <w:rsid w:val="00327E0B"/>
    <w:rsid w:val="00327EC6"/>
    <w:rsid w:val="00327FC0"/>
    <w:rsid w:val="00327FC2"/>
    <w:rsid w:val="00327FC8"/>
    <w:rsid w:val="00327FD6"/>
    <w:rsid w:val="00330037"/>
    <w:rsid w:val="003300A0"/>
    <w:rsid w:val="003300D0"/>
    <w:rsid w:val="00330272"/>
    <w:rsid w:val="0033047C"/>
    <w:rsid w:val="0033048F"/>
    <w:rsid w:val="003304F4"/>
    <w:rsid w:val="00330625"/>
    <w:rsid w:val="0033069B"/>
    <w:rsid w:val="00330848"/>
    <w:rsid w:val="0033091D"/>
    <w:rsid w:val="0033096D"/>
    <w:rsid w:val="00330A42"/>
    <w:rsid w:val="00330A72"/>
    <w:rsid w:val="00330B36"/>
    <w:rsid w:val="00330BF0"/>
    <w:rsid w:val="00330CCA"/>
    <w:rsid w:val="00330DD5"/>
    <w:rsid w:val="00330E77"/>
    <w:rsid w:val="00330E90"/>
    <w:rsid w:val="00330F44"/>
    <w:rsid w:val="00330FF0"/>
    <w:rsid w:val="003310E8"/>
    <w:rsid w:val="003310EF"/>
    <w:rsid w:val="0033111A"/>
    <w:rsid w:val="00331153"/>
    <w:rsid w:val="003311F2"/>
    <w:rsid w:val="00331372"/>
    <w:rsid w:val="0033139E"/>
    <w:rsid w:val="003313E9"/>
    <w:rsid w:val="00331405"/>
    <w:rsid w:val="003315A8"/>
    <w:rsid w:val="003315AD"/>
    <w:rsid w:val="00331608"/>
    <w:rsid w:val="003317B7"/>
    <w:rsid w:val="0033183C"/>
    <w:rsid w:val="003319C8"/>
    <w:rsid w:val="00331C92"/>
    <w:rsid w:val="00331D05"/>
    <w:rsid w:val="00331D1F"/>
    <w:rsid w:val="00331F7A"/>
    <w:rsid w:val="00331F85"/>
    <w:rsid w:val="00331FC4"/>
    <w:rsid w:val="003321D4"/>
    <w:rsid w:val="00332233"/>
    <w:rsid w:val="00332280"/>
    <w:rsid w:val="003322EC"/>
    <w:rsid w:val="00332315"/>
    <w:rsid w:val="003323E8"/>
    <w:rsid w:val="0033266C"/>
    <w:rsid w:val="003329B5"/>
    <w:rsid w:val="003329FA"/>
    <w:rsid w:val="00332A1F"/>
    <w:rsid w:val="00332AFD"/>
    <w:rsid w:val="00332B3F"/>
    <w:rsid w:val="00332B87"/>
    <w:rsid w:val="00332D01"/>
    <w:rsid w:val="00332D68"/>
    <w:rsid w:val="00332F1E"/>
    <w:rsid w:val="0033307B"/>
    <w:rsid w:val="003331C1"/>
    <w:rsid w:val="003331E0"/>
    <w:rsid w:val="003332B3"/>
    <w:rsid w:val="003332C7"/>
    <w:rsid w:val="003332FB"/>
    <w:rsid w:val="003333A3"/>
    <w:rsid w:val="003333B3"/>
    <w:rsid w:val="003333FD"/>
    <w:rsid w:val="0033341C"/>
    <w:rsid w:val="003334F8"/>
    <w:rsid w:val="0033367D"/>
    <w:rsid w:val="003336BF"/>
    <w:rsid w:val="003338AC"/>
    <w:rsid w:val="0033394C"/>
    <w:rsid w:val="0033399F"/>
    <w:rsid w:val="00333A96"/>
    <w:rsid w:val="00333B54"/>
    <w:rsid w:val="00333B6E"/>
    <w:rsid w:val="00333D70"/>
    <w:rsid w:val="00333E0A"/>
    <w:rsid w:val="00333E8C"/>
    <w:rsid w:val="00333F25"/>
    <w:rsid w:val="0033434B"/>
    <w:rsid w:val="003344DB"/>
    <w:rsid w:val="003345B7"/>
    <w:rsid w:val="003345E1"/>
    <w:rsid w:val="00334639"/>
    <w:rsid w:val="003346AA"/>
    <w:rsid w:val="0033479E"/>
    <w:rsid w:val="0033482F"/>
    <w:rsid w:val="00334952"/>
    <w:rsid w:val="003349B4"/>
    <w:rsid w:val="00334BBB"/>
    <w:rsid w:val="00334C69"/>
    <w:rsid w:val="00334C85"/>
    <w:rsid w:val="00334CB4"/>
    <w:rsid w:val="00334D48"/>
    <w:rsid w:val="00334D80"/>
    <w:rsid w:val="00334E59"/>
    <w:rsid w:val="00334EAE"/>
    <w:rsid w:val="00334F32"/>
    <w:rsid w:val="00334F91"/>
    <w:rsid w:val="003351CC"/>
    <w:rsid w:val="003352FF"/>
    <w:rsid w:val="00335332"/>
    <w:rsid w:val="003353A3"/>
    <w:rsid w:val="003354F5"/>
    <w:rsid w:val="003355A4"/>
    <w:rsid w:val="003355EE"/>
    <w:rsid w:val="00335617"/>
    <w:rsid w:val="00335668"/>
    <w:rsid w:val="003357A7"/>
    <w:rsid w:val="0033589A"/>
    <w:rsid w:val="0033598A"/>
    <w:rsid w:val="00335A48"/>
    <w:rsid w:val="00335BDC"/>
    <w:rsid w:val="00335D55"/>
    <w:rsid w:val="00335D70"/>
    <w:rsid w:val="00335D96"/>
    <w:rsid w:val="00335DAE"/>
    <w:rsid w:val="00335EC9"/>
    <w:rsid w:val="00335EF9"/>
    <w:rsid w:val="00335F56"/>
    <w:rsid w:val="00335F57"/>
    <w:rsid w:val="003360AE"/>
    <w:rsid w:val="003363B9"/>
    <w:rsid w:val="003363D0"/>
    <w:rsid w:val="003363EC"/>
    <w:rsid w:val="00336502"/>
    <w:rsid w:val="00336505"/>
    <w:rsid w:val="0033658E"/>
    <w:rsid w:val="00336691"/>
    <w:rsid w:val="003366D0"/>
    <w:rsid w:val="00336753"/>
    <w:rsid w:val="003367AB"/>
    <w:rsid w:val="003368A6"/>
    <w:rsid w:val="00336A77"/>
    <w:rsid w:val="00336B3A"/>
    <w:rsid w:val="00336B52"/>
    <w:rsid w:val="00336BA1"/>
    <w:rsid w:val="00336C19"/>
    <w:rsid w:val="00336D08"/>
    <w:rsid w:val="00336E9E"/>
    <w:rsid w:val="00336FC1"/>
    <w:rsid w:val="00337114"/>
    <w:rsid w:val="00337196"/>
    <w:rsid w:val="003371BE"/>
    <w:rsid w:val="0033724D"/>
    <w:rsid w:val="00337371"/>
    <w:rsid w:val="003373DF"/>
    <w:rsid w:val="003374CF"/>
    <w:rsid w:val="003374E1"/>
    <w:rsid w:val="003375BA"/>
    <w:rsid w:val="00337603"/>
    <w:rsid w:val="00337680"/>
    <w:rsid w:val="00337777"/>
    <w:rsid w:val="003377AA"/>
    <w:rsid w:val="00337899"/>
    <w:rsid w:val="003379E8"/>
    <w:rsid w:val="00337A76"/>
    <w:rsid w:val="00337B1A"/>
    <w:rsid w:val="00337BA8"/>
    <w:rsid w:val="00337CF2"/>
    <w:rsid w:val="00337DA2"/>
    <w:rsid w:val="00337DA8"/>
    <w:rsid w:val="0034007A"/>
    <w:rsid w:val="0034019F"/>
    <w:rsid w:val="0034020A"/>
    <w:rsid w:val="0034030D"/>
    <w:rsid w:val="00340402"/>
    <w:rsid w:val="0034045A"/>
    <w:rsid w:val="0034046F"/>
    <w:rsid w:val="003404CA"/>
    <w:rsid w:val="003404F2"/>
    <w:rsid w:val="003404FD"/>
    <w:rsid w:val="00340683"/>
    <w:rsid w:val="003408AD"/>
    <w:rsid w:val="003408C1"/>
    <w:rsid w:val="00340E9A"/>
    <w:rsid w:val="00340EDF"/>
    <w:rsid w:val="00340FC2"/>
    <w:rsid w:val="00341070"/>
    <w:rsid w:val="00341147"/>
    <w:rsid w:val="003411E5"/>
    <w:rsid w:val="00341216"/>
    <w:rsid w:val="00341293"/>
    <w:rsid w:val="003413BD"/>
    <w:rsid w:val="00341436"/>
    <w:rsid w:val="00341580"/>
    <w:rsid w:val="0034160B"/>
    <w:rsid w:val="0034160F"/>
    <w:rsid w:val="0034162B"/>
    <w:rsid w:val="003417A1"/>
    <w:rsid w:val="0034187D"/>
    <w:rsid w:val="0034191A"/>
    <w:rsid w:val="003419D8"/>
    <w:rsid w:val="00341B82"/>
    <w:rsid w:val="00341C62"/>
    <w:rsid w:val="00341CBB"/>
    <w:rsid w:val="00341CEE"/>
    <w:rsid w:val="00341D0E"/>
    <w:rsid w:val="0034203B"/>
    <w:rsid w:val="00342066"/>
    <w:rsid w:val="00342077"/>
    <w:rsid w:val="00342160"/>
    <w:rsid w:val="003422B1"/>
    <w:rsid w:val="003422F4"/>
    <w:rsid w:val="00342466"/>
    <w:rsid w:val="003424EA"/>
    <w:rsid w:val="00342542"/>
    <w:rsid w:val="0034255B"/>
    <w:rsid w:val="0034255D"/>
    <w:rsid w:val="003425D2"/>
    <w:rsid w:val="00342719"/>
    <w:rsid w:val="0034273D"/>
    <w:rsid w:val="00342776"/>
    <w:rsid w:val="00342838"/>
    <w:rsid w:val="003428B7"/>
    <w:rsid w:val="00342997"/>
    <w:rsid w:val="003429D1"/>
    <w:rsid w:val="003429DF"/>
    <w:rsid w:val="00342A09"/>
    <w:rsid w:val="00342AF2"/>
    <w:rsid w:val="00342B58"/>
    <w:rsid w:val="00342BC7"/>
    <w:rsid w:val="00342D11"/>
    <w:rsid w:val="00342DA7"/>
    <w:rsid w:val="00342E99"/>
    <w:rsid w:val="00342FDB"/>
    <w:rsid w:val="003430AB"/>
    <w:rsid w:val="0034316C"/>
    <w:rsid w:val="003431CD"/>
    <w:rsid w:val="00343206"/>
    <w:rsid w:val="00343285"/>
    <w:rsid w:val="00343494"/>
    <w:rsid w:val="003435A9"/>
    <w:rsid w:val="003438B3"/>
    <w:rsid w:val="00343956"/>
    <w:rsid w:val="0034395E"/>
    <w:rsid w:val="00343A2D"/>
    <w:rsid w:val="00343AD2"/>
    <w:rsid w:val="00343B77"/>
    <w:rsid w:val="00343D64"/>
    <w:rsid w:val="00343DD6"/>
    <w:rsid w:val="00343DEC"/>
    <w:rsid w:val="00343F35"/>
    <w:rsid w:val="00343FCE"/>
    <w:rsid w:val="003440A2"/>
    <w:rsid w:val="00344192"/>
    <w:rsid w:val="00344229"/>
    <w:rsid w:val="00344288"/>
    <w:rsid w:val="003443BE"/>
    <w:rsid w:val="00344458"/>
    <w:rsid w:val="003445E3"/>
    <w:rsid w:val="0034476C"/>
    <w:rsid w:val="003447EE"/>
    <w:rsid w:val="00344848"/>
    <w:rsid w:val="003448BC"/>
    <w:rsid w:val="00344940"/>
    <w:rsid w:val="003449AF"/>
    <w:rsid w:val="00344A89"/>
    <w:rsid w:val="00344B14"/>
    <w:rsid w:val="00344B45"/>
    <w:rsid w:val="00344BCB"/>
    <w:rsid w:val="00344C79"/>
    <w:rsid w:val="00344CE9"/>
    <w:rsid w:val="00344CF0"/>
    <w:rsid w:val="00344D28"/>
    <w:rsid w:val="00344D91"/>
    <w:rsid w:val="00344E57"/>
    <w:rsid w:val="00344EF6"/>
    <w:rsid w:val="00344F8D"/>
    <w:rsid w:val="003450A7"/>
    <w:rsid w:val="003450DF"/>
    <w:rsid w:val="00345123"/>
    <w:rsid w:val="0034520F"/>
    <w:rsid w:val="00345298"/>
    <w:rsid w:val="0034529F"/>
    <w:rsid w:val="0034531C"/>
    <w:rsid w:val="00345506"/>
    <w:rsid w:val="0034550A"/>
    <w:rsid w:val="00345561"/>
    <w:rsid w:val="0034560A"/>
    <w:rsid w:val="003457BF"/>
    <w:rsid w:val="003458D1"/>
    <w:rsid w:val="00345A40"/>
    <w:rsid w:val="00345AC2"/>
    <w:rsid w:val="00345C8B"/>
    <w:rsid w:val="00345CE7"/>
    <w:rsid w:val="00345E15"/>
    <w:rsid w:val="00345E28"/>
    <w:rsid w:val="00345E3B"/>
    <w:rsid w:val="00345F35"/>
    <w:rsid w:val="00345F3E"/>
    <w:rsid w:val="00345F6F"/>
    <w:rsid w:val="00345FC6"/>
    <w:rsid w:val="0034607B"/>
    <w:rsid w:val="003460E4"/>
    <w:rsid w:val="00346105"/>
    <w:rsid w:val="00346165"/>
    <w:rsid w:val="003461DF"/>
    <w:rsid w:val="003462FF"/>
    <w:rsid w:val="00346340"/>
    <w:rsid w:val="003464F9"/>
    <w:rsid w:val="0034659B"/>
    <w:rsid w:val="003465D2"/>
    <w:rsid w:val="003465D4"/>
    <w:rsid w:val="0034660E"/>
    <w:rsid w:val="00346615"/>
    <w:rsid w:val="00346620"/>
    <w:rsid w:val="00346687"/>
    <w:rsid w:val="003466D3"/>
    <w:rsid w:val="0034679F"/>
    <w:rsid w:val="003467BB"/>
    <w:rsid w:val="00346815"/>
    <w:rsid w:val="0034687D"/>
    <w:rsid w:val="0034688E"/>
    <w:rsid w:val="00346957"/>
    <w:rsid w:val="00346ADE"/>
    <w:rsid w:val="00346B93"/>
    <w:rsid w:val="00346BA2"/>
    <w:rsid w:val="00346BD8"/>
    <w:rsid w:val="00346BEA"/>
    <w:rsid w:val="00346D7F"/>
    <w:rsid w:val="00346DFB"/>
    <w:rsid w:val="00346E5F"/>
    <w:rsid w:val="00346E6D"/>
    <w:rsid w:val="00346F32"/>
    <w:rsid w:val="00346F3B"/>
    <w:rsid w:val="00347013"/>
    <w:rsid w:val="003470F0"/>
    <w:rsid w:val="00347120"/>
    <w:rsid w:val="00347198"/>
    <w:rsid w:val="00347296"/>
    <w:rsid w:val="003472FD"/>
    <w:rsid w:val="003473C2"/>
    <w:rsid w:val="00347494"/>
    <w:rsid w:val="0034768B"/>
    <w:rsid w:val="003476E9"/>
    <w:rsid w:val="003477A6"/>
    <w:rsid w:val="003478FE"/>
    <w:rsid w:val="00347908"/>
    <w:rsid w:val="003479E4"/>
    <w:rsid w:val="003479F3"/>
    <w:rsid w:val="00347A3D"/>
    <w:rsid w:val="00347B46"/>
    <w:rsid w:val="00347B7E"/>
    <w:rsid w:val="00347BBE"/>
    <w:rsid w:val="00347C6D"/>
    <w:rsid w:val="00347DEE"/>
    <w:rsid w:val="00347E17"/>
    <w:rsid w:val="00347EC0"/>
    <w:rsid w:val="00347F60"/>
    <w:rsid w:val="00347F8D"/>
    <w:rsid w:val="00347FAE"/>
    <w:rsid w:val="00349D8E"/>
    <w:rsid w:val="0034CBC5"/>
    <w:rsid w:val="00350066"/>
    <w:rsid w:val="00350073"/>
    <w:rsid w:val="0035016C"/>
    <w:rsid w:val="00350188"/>
    <w:rsid w:val="003501B2"/>
    <w:rsid w:val="0035034A"/>
    <w:rsid w:val="00350353"/>
    <w:rsid w:val="00350440"/>
    <w:rsid w:val="0035049F"/>
    <w:rsid w:val="003504E1"/>
    <w:rsid w:val="0035050A"/>
    <w:rsid w:val="00350540"/>
    <w:rsid w:val="00350547"/>
    <w:rsid w:val="00350642"/>
    <w:rsid w:val="00350758"/>
    <w:rsid w:val="00350812"/>
    <w:rsid w:val="0035094E"/>
    <w:rsid w:val="00350965"/>
    <w:rsid w:val="003509D5"/>
    <w:rsid w:val="003509E1"/>
    <w:rsid w:val="00350ADF"/>
    <w:rsid w:val="00350B63"/>
    <w:rsid w:val="00350B6F"/>
    <w:rsid w:val="00350C01"/>
    <w:rsid w:val="00350CF5"/>
    <w:rsid w:val="00350D95"/>
    <w:rsid w:val="00350DB1"/>
    <w:rsid w:val="00350E52"/>
    <w:rsid w:val="00350EF3"/>
    <w:rsid w:val="0035103F"/>
    <w:rsid w:val="00351321"/>
    <w:rsid w:val="00351374"/>
    <w:rsid w:val="00351465"/>
    <w:rsid w:val="0035146A"/>
    <w:rsid w:val="0035154C"/>
    <w:rsid w:val="00351550"/>
    <w:rsid w:val="003515B9"/>
    <w:rsid w:val="00351A24"/>
    <w:rsid w:val="00351BD3"/>
    <w:rsid w:val="00351C1E"/>
    <w:rsid w:val="00351C44"/>
    <w:rsid w:val="00351CEE"/>
    <w:rsid w:val="00351D79"/>
    <w:rsid w:val="00351E49"/>
    <w:rsid w:val="00351EF5"/>
    <w:rsid w:val="00352044"/>
    <w:rsid w:val="0035205B"/>
    <w:rsid w:val="003520E1"/>
    <w:rsid w:val="00352259"/>
    <w:rsid w:val="003524A1"/>
    <w:rsid w:val="003524B2"/>
    <w:rsid w:val="0035270A"/>
    <w:rsid w:val="0035272E"/>
    <w:rsid w:val="0035279E"/>
    <w:rsid w:val="003527C6"/>
    <w:rsid w:val="00352850"/>
    <w:rsid w:val="003528DA"/>
    <w:rsid w:val="003528E2"/>
    <w:rsid w:val="003528F4"/>
    <w:rsid w:val="00352944"/>
    <w:rsid w:val="003529E7"/>
    <w:rsid w:val="00352A65"/>
    <w:rsid w:val="00352C2C"/>
    <w:rsid w:val="00352D04"/>
    <w:rsid w:val="00352D2A"/>
    <w:rsid w:val="00352E3C"/>
    <w:rsid w:val="00352E7D"/>
    <w:rsid w:val="00352EF3"/>
    <w:rsid w:val="003530A1"/>
    <w:rsid w:val="003530F3"/>
    <w:rsid w:val="003530FD"/>
    <w:rsid w:val="00353130"/>
    <w:rsid w:val="0035319C"/>
    <w:rsid w:val="003531C4"/>
    <w:rsid w:val="0035324B"/>
    <w:rsid w:val="003532E9"/>
    <w:rsid w:val="00353489"/>
    <w:rsid w:val="00353522"/>
    <w:rsid w:val="003535B4"/>
    <w:rsid w:val="003536A8"/>
    <w:rsid w:val="003536CD"/>
    <w:rsid w:val="003537D5"/>
    <w:rsid w:val="003539D6"/>
    <w:rsid w:val="00353A6F"/>
    <w:rsid w:val="00353B87"/>
    <w:rsid w:val="00353C08"/>
    <w:rsid w:val="00353C95"/>
    <w:rsid w:val="00353D7E"/>
    <w:rsid w:val="00353E15"/>
    <w:rsid w:val="00353EB2"/>
    <w:rsid w:val="00354072"/>
    <w:rsid w:val="003541EA"/>
    <w:rsid w:val="00354320"/>
    <w:rsid w:val="003543E9"/>
    <w:rsid w:val="0035455F"/>
    <w:rsid w:val="0035462F"/>
    <w:rsid w:val="0035464B"/>
    <w:rsid w:val="0035465D"/>
    <w:rsid w:val="003547DB"/>
    <w:rsid w:val="00354922"/>
    <w:rsid w:val="00354960"/>
    <w:rsid w:val="003549A5"/>
    <w:rsid w:val="003549F9"/>
    <w:rsid w:val="00354A2B"/>
    <w:rsid w:val="00354A3E"/>
    <w:rsid w:val="00354C1D"/>
    <w:rsid w:val="00354D25"/>
    <w:rsid w:val="00354D38"/>
    <w:rsid w:val="00354D62"/>
    <w:rsid w:val="00355077"/>
    <w:rsid w:val="00355223"/>
    <w:rsid w:val="00355364"/>
    <w:rsid w:val="00355377"/>
    <w:rsid w:val="003553A7"/>
    <w:rsid w:val="003554EF"/>
    <w:rsid w:val="00355505"/>
    <w:rsid w:val="0035561B"/>
    <w:rsid w:val="003556A7"/>
    <w:rsid w:val="0035570E"/>
    <w:rsid w:val="003557E1"/>
    <w:rsid w:val="00355831"/>
    <w:rsid w:val="003558A6"/>
    <w:rsid w:val="003558C5"/>
    <w:rsid w:val="00355910"/>
    <w:rsid w:val="00355C06"/>
    <w:rsid w:val="00355CBA"/>
    <w:rsid w:val="00355CFA"/>
    <w:rsid w:val="00355DD3"/>
    <w:rsid w:val="00355E36"/>
    <w:rsid w:val="00355E5B"/>
    <w:rsid w:val="00355E74"/>
    <w:rsid w:val="00355E87"/>
    <w:rsid w:val="00355EE6"/>
    <w:rsid w:val="00355F98"/>
    <w:rsid w:val="00355FBC"/>
    <w:rsid w:val="00356237"/>
    <w:rsid w:val="003563D6"/>
    <w:rsid w:val="0035643B"/>
    <w:rsid w:val="00356457"/>
    <w:rsid w:val="00356508"/>
    <w:rsid w:val="0035655E"/>
    <w:rsid w:val="0035656C"/>
    <w:rsid w:val="00356682"/>
    <w:rsid w:val="003566CB"/>
    <w:rsid w:val="00356787"/>
    <w:rsid w:val="00356944"/>
    <w:rsid w:val="0035699E"/>
    <w:rsid w:val="00356A2D"/>
    <w:rsid w:val="00356BB4"/>
    <w:rsid w:val="00356C6E"/>
    <w:rsid w:val="00356D3E"/>
    <w:rsid w:val="00356DBB"/>
    <w:rsid w:val="00356E39"/>
    <w:rsid w:val="00356FBE"/>
    <w:rsid w:val="003570C6"/>
    <w:rsid w:val="003572CA"/>
    <w:rsid w:val="0035733F"/>
    <w:rsid w:val="0035739C"/>
    <w:rsid w:val="003573E8"/>
    <w:rsid w:val="003574B3"/>
    <w:rsid w:val="00357651"/>
    <w:rsid w:val="0035765D"/>
    <w:rsid w:val="0035782A"/>
    <w:rsid w:val="0035795D"/>
    <w:rsid w:val="00357970"/>
    <w:rsid w:val="00357974"/>
    <w:rsid w:val="003579F3"/>
    <w:rsid w:val="00357A27"/>
    <w:rsid w:val="00357A8E"/>
    <w:rsid w:val="00357B56"/>
    <w:rsid w:val="00357C33"/>
    <w:rsid w:val="00357D8E"/>
    <w:rsid w:val="00357E20"/>
    <w:rsid w:val="00357E2F"/>
    <w:rsid w:val="00357E4F"/>
    <w:rsid w:val="00357E68"/>
    <w:rsid w:val="00357EE3"/>
    <w:rsid w:val="00357F9C"/>
    <w:rsid w:val="00357FB5"/>
    <w:rsid w:val="0035C8A5"/>
    <w:rsid w:val="00360140"/>
    <w:rsid w:val="003601A3"/>
    <w:rsid w:val="003601C2"/>
    <w:rsid w:val="003601FE"/>
    <w:rsid w:val="0036024B"/>
    <w:rsid w:val="00360390"/>
    <w:rsid w:val="003605A2"/>
    <w:rsid w:val="0036065A"/>
    <w:rsid w:val="003607CE"/>
    <w:rsid w:val="00360A15"/>
    <w:rsid w:val="00360A57"/>
    <w:rsid w:val="00360C22"/>
    <w:rsid w:val="00360DBF"/>
    <w:rsid w:val="00360ECE"/>
    <w:rsid w:val="00361042"/>
    <w:rsid w:val="0036105B"/>
    <w:rsid w:val="003610F8"/>
    <w:rsid w:val="00361153"/>
    <w:rsid w:val="00361207"/>
    <w:rsid w:val="003612D9"/>
    <w:rsid w:val="003613C5"/>
    <w:rsid w:val="00361500"/>
    <w:rsid w:val="00361512"/>
    <w:rsid w:val="0036159E"/>
    <w:rsid w:val="00361647"/>
    <w:rsid w:val="0036168D"/>
    <w:rsid w:val="003616C5"/>
    <w:rsid w:val="00361791"/>
    <w:rsid w:val="00361A32"/>
    <w:rsid w:val="00361A92"/>
    <w:rsid w:val="00361AC5"/>
    <w:rsid w:val="00361BD7"/>
    <w:rsid w:val="00361C79"/>
    <w:rsid w:val="00361E16"/>
    <w:rsid w:val="00361EB7"/>
    <w:rsid w:val="00361F1C"/>
    <w:rsid w:val="003620DC"/>
    <w:rsid w:val="003622AF"/>
    <w:rsid w:val="003622B7"/>
    <w:rsid w:val="00362414"/>
    <w:rsid w:val="003625EB"/>
    <w:rsid w:val="00362621"/>
    <w:rsid w:val="0036263B"/>
    <w:rsid w:val="00362692"/>
    <w:rsid w:val="003627B2"/>
    <w:rsid w:val="003627F8"/>
    <w:rsid w:val="00362853"/>
    <w:rsid w:val="003628F5"/>
    <w:rsid w:val="00362D3B"/>
    <w:rsid w:val="00362F9E"/>
    <w:rsid w:val="0036303A"/>
    <w:rsid w:val="00363143"/>
    <w:rsid w:val="00363228"/>
    <w:rsid w:val="0036327E"/>
    <w:rsid w:val="003632CC"/>
    <w:rsid w:val="003632D1"/>
    <w:rsid w:val="003632F0"/>
    <w:rsid w:val="00363331"/>
    <w:rsid w:val="00363435"/>
    <w:rsid w:val="0036351A"/>
    <w:rsid w:val="003635AC"/>
    <w:rsid w:val="0036369F"/>
    <w:rsid w:val="003636D0"/>
    <w:rsid w:val="0036374F"/>
    <w:rsid w:val="0036377C"/>
    <w:rsid w:val="00363893"/>
    <w:rsid w:val="003638FD"/>
    <w:rsid w:val="00363913"/>
    <w:rsid w:val="00363998"/>
    <w:rsid w:val="0036399A"/>
    <w:rsid w:val="00363A0C"/>
    <w:rsid w:val="00363A9D"/>
    <w:rsid w:val="00363ABD"/>
    <w:rsid w:val="00363CEE"/>
    <w:rsid w:val="00363D4B"/>
    <w:rsid w:val="00363D67"/>
    <w:rsid w:val="00363D78"/>
    <w:rsid w:val="00363F28"/>
    <w:rsid w:val="00363F46"/>
    <w:rsid w:val="00363F74"/>
    <w:rsid w:val="00363F84"/>
    <w:rsid w:val="00363FBB"/>
    <w:rsid w:val="0036411F"/>
    <w:rsid w:val="003641D5"/>
    <w:rsid w:val="00364246"/>
    <w:rsid w:val="00364343"/>
    <w:rsid w:val="00364372"/>
    <w:rsid w:val="00364404"/>
    <w:rsid w:val="00364624"/>
    <w:rsid w:val="003646B9"/>
    <w:rsid w:val="0036471E"/>
    <w:rsid w:val="0036484F"/>
    <w:rsid w:val="003648CE"/>
    <w:rsid w:val="003649CC"/>
    <w:rsid w:val="00364BBC"/>
    <w:rsid w:val="00364D96"/>
    <w:rsid w:val="00364DA4"/>
    <w:rsid w:val="00364E3F"/>
    <w:rsid w:val="00364E43"/>
    <w:rsid w:val="00364EE2"/>
    <w:rsid w:val="0036525C"/>
    <w:rsid w:val="003653A0"/>
    <w:rsid w:val="003654D0"/>
    <w:rsid w:val="0036552C"/>
    <w:rsid w:val="003655D3"/>
    <w:rsid w:val="00365607"/>
    <w:rsid w:val="00365737"/>
    <w:rsid w:val="00365793"/>
    <w:rsid w:val="003657D9"/>
    <w:rsid w:val="003657DB"/>
    <w:rsid w:val="00365894"/>
    <w:rsid w:val="003658A7"/>
    <w:rsid w:val="0036598B"/>
    <w:rsid w:val="003659A7"/>
    <w:rsid w:val="00365B79"/>
    <w:rsid w:val="00365BCB"/>
    <w:rsid w:val="00365C04"/>
    <w:rsid w:val="00365C19"/>
    <w:rsid w:val="00365CEE"/>
    <w:rsid w:val="00365CFB"/>
    <w:rsid w:val="00365DA6"/>
    <w:rsid w:val="00365E04"/>
    <w:rsid w:val="00365E06"/>
    <w:rsid w:val="00365F43"/>
    <w:rsid w:val="00366257"/>
    <w:rsid w:val="003663DA"/>
    <w:rsid w:val="003663F0"/>
    <w:rsid w:val="00366452"/>
    <w:rsid w:val="00366471"/>
    <w:rsid w:val="00366526"/>
    <w:rsid w:val="0036654F"/>
    <w:rsid w:val="00366573"/>
    <w:rsid w:val="003665E4"/>
    <w:rsid w:val="00366749"/>
    <w:rsid w:val="003668AA"/>
    <w:rsid w:val="003669D2"/>
    <w:rsid w:val="00366AC9"/>
    <w:rsid w:val="00366B13"/>
    <w:rsid w:val="00366B95"/>
    <w:rsid w:val="00366C47"/>
    <w:rsid w:val="00366C86"/>
    <w:rsid w:val="00366D5E"/>
    <w:rsid w:val="00366DD8"/>
    <w:rsid w:val="00366E1A"/>
    <w:rsid w:val="00366E21"/>
    <w:rsid w:val="00366EE0"/>
    <w:rsid w:val="00366F48"/>
    <w:rsid w:val="00367021"/>
    <w:rsid w:val="00367091"/>
    <w:rsid w:val="00367213"/>
    <w:rsid w:val="00367382"/>
    <w:rsid w:val="003674D5"/>
    <w:rsid w:val="003674F9"/>
    <w:rsid w:val="003674FF"/>
    <w:rsid w:val="00367565"/>
    <w:rsid w:val="00367579"/>
    <w:rsid w:val="00367648"/>
    <w:rsid w:val="003676BD"/>
    <w:rsid w:val="00367814"/>
    <w:rsid w:val="00367869"/>
    <w:rsid w:val="00367924"/>
    <w:rsid w:val="0036794A"/>
    <w:rsid w:val="00367A05"/>
    <w:rsid w:val="00367A5A"/>
    <w:rsid w:val="00367AA3"/>
    <w:rsid w:val="00367B6D"/>
    <w:rsid w:val="00367CCC"/>
    <w:rsid w:val="00367ECB"/>
    <w:rsid w:val="00367FCC"/>
    <w:rsid w:val="00367FE5"/>
    <w:rsid w:val="00370095"/>
    <w:rsid w:val="0037020E"/>
    <w:rsid w:val="003703AC"/>
    <w:rsid w:val="003703BE"/>
    <w:rsid w:val="00370429"/>
    <w:rsid w:val="00370504"/>
    <w:rsid w:val="0037050F"/>
    <w:rsid w:val="0037053C"/>
    <w:rsid w:val="00370583"/>
    <w:rsid w:val="003705B3"/>
    <w:rsid w:val="0037063E"/>
    <w:rsid w:val="00370663"/>
    <w:rsid w:val="003706F9"/>
    <w:rsid w:val="00370800"/>
    <w:rsid w:val="00370861"/>
    <w:rsid w:val="0037092E"/>
    <w:rsid w:val="00370984"/>
    <w:rsid w:val="003709B2"/>
    <w:rsid w:val="00370A97"/>
    <w:rsid w:val="00370B4C"/>
    <w:rsid w:val="00370C3B"/>
    <w:rsid w:val="00370D65"/>
    <w:rsid w:val="00370E2B"/>
    <w:rsid w:val="00370EAA"/>
    <w:rsid w:val="00370FCF"/>
    <w:rsid w:val="00371229"/>
    <w:rsid w:val="003712E9"/>
    <w:rsid w:val="003714BC"/>
    <w:rsid w:val="003714E5"/>
    <w:rsid w:val="00371598"/>
    <w:rsid w:val="0037161B"/>
    <w:rsid w:val="0037162B"/>
    <w:rsid w:val="00371680"/>
    <w:rsid w:val="003716F0"/>
    <w:rsid w:val="00371761"/>
    <w:rsid w:val="00371829"/>
    <w:rsid w:val="003718F7"/>
    <w:rsid w:val="00371967"/>
    <w:rsid w:val="00371972"/>
    <w:rsid w:val="00371A38"/>
    <w:rsid w:val="00371A57"/>
    <w:rsid w:val="00371AA2"/>
    <w:rsid w:val="00371E2E"/>
    <w:rsid w:val="00371E30"/>
    <w:rsid w:val="00371FEC"/>
    <w:rsid w:val="00371FFB"/>
    <w:rsid w:val="003720FB"/>
    <w:rsid w:val="00372132"/>
    <w:rsid w:val="0037217E"/>
    <w:rsid w:val="003721EE"/>
    <w:rsid w:val="00372238"/>
    <w:rsid w:val="00372262"/>
    <w:rsid w:val="00372266"/>
    <w:rsid w:val="0037235B"/>
    <w:rsid w:val="00372421"/>
    <w:rsid w:val="00372459"/>
    <w:rsid w:val="003724BB"/>
    <w:rsid w:val="003725D3"/>
    <w:rsid w:val="00372676"/>
    <w:rsid w:val="003726D6"/>
    <w:rsid w:val="0037279A"/>
    <w:rsid w:val="003727AE"/>
    <w:rsid w:val="0037286D"/>
    <w:rsid w:val="0037296B"/>
    <w:rsid w:val="003729E4"/>
    <w:rsid w:val="00372A36"/>
    <w:rsid w:val="00372AD1"/>
    <w:rsid w:val="00372B3A"/>
    <w:rsid w:val="00372B8A"/>
    <w:rsid w:val="00372B93"/>
    <w:rsid w:val="00372C7B"/>
    <w:rsid w:val="00372CB0"/>
    <w:rsid w:val="00372ED0"/>
    <w:rsid w:val="00373093"/>
    <w:rsid w:val="003730D9"/>
    <w:rsid w:val="00373325"/>
    <w:rsid w:val="0037332D"/>
    <w:rsid w:val="0037343C"/>
    <w:rsid w:val="00373506"/>
    <w:rsid w:val="003735A4"/>
    <w:rsid w:val="003735F5"/>
    <w:rsid w:val="00373727"/>
    <w:rsid w:val="00373732"/>
    <w:rsid w:val="00373762"/>
    <w:rsid w:val="00373777"/>
    <w:rsid w:val="003737B2"/>
    <w:rsid w:val="00373813"/>
    <w:rsid w:val="00373814"/>
    <w:rsid w:val="00373831"/>
    <w:rsid w:val="003738C2"/>
    <w:rsid w:val="003738D5"/>
    <w:rsid w:val="00373931"/>
    <w:rsid w:val="00373B12"/>
    <w:rsid w:val="00373CD4"/>
    <w:rsid w:val="00373CDF"/>
    <w:rsid w:val="00373F83"/>
    <w:rsid w:val="003740B8"/>
    <w:rsid w:val="003741A0"/>
    <w:rsid w:val="003741D0"/>
    <w:rsid w:val="003742D9"/>
    <w:rsid w:val="00374348"/>
    <w:rsid w:val="003743DC"/>
    <w:rsid w:val="0037442A"/>
    <w:rsid w:val="00374565"/>
    <w:rsid w:val="003745A1"/>
    <w:rsid w:val="0037463E"/>
    <w:rsid w:val="003746F4"/>
    <w:rsid w:val="0037495D"/>
    <w:rsid w:val="00374968"/>
    <w:rsid w:val="00374A24"/>
    <w:rsid w:val="00374AA7"/>
    <w:rsid w:val="00374B19"/>
    <w:rsid w:val="00374DD1"/>
    <w:rsid w:val="00374FAF"/>
    <w:rsid w:val="00374FB5"/>
    <w:rsid w:val="00374FE2"/>
    <w:rsid w:val="00375162"/>
    <w:rsid w:val="00375237"/>
    <w:rsid w:val="00375254"/>
    <w:rsid w:val="003752AD"/>
    <w:rsid w:val="003752C6"/>
    <w:rsid w:val="003753AF"/>
    <w:rsid w:val="003753C5"/>
    <w:rsid w:val="003755FC"/>
    <w:rsid w:val="00375646"/>
    <w:rsid w:val="0037570B"/>
    <w:rsid w:val="00375722"/>
    <w:rsid w:val="0037572A"/>
    <w:rsid w:val="00375734"/>
    <w:rsid w:val="00375A20"/>
    <w:rsid w:val="00375B95"/>
    <w:rsid w:val="00375BE8"/>
    <w:rsid w:val="00375C77"/>
    <w:rsid w:val="00375D37"/>
    <w:rsid w:val="00375DD9"/>
    <w:rsid w:val="00375DF7"/>
    <w:rsid w:val="00375E00"/>
    <w:rsid w:val="00375E27"/>
    <w:rsid w:val="00375E60"/>
    <w:rsid w:val="00375EB8"/>
    <w:rsid w:val="00375F4C"/>
    <w:rsid w:val="00375F51"/>
    <w:rsid w:val="00375F64"/>
    <w:rsid w:val="00376000"/>
    <w:rsid w:val="00376102"/>
    <w:rsid w:val="0037626D"/>
    <w:rsid w:val="00376317"/>
    <w:rsid w:val="0037692D"/>
    <w:rsid w:val="00376DB3"/>
    <w:rsid w:val="00376DB5"/>
    <w:rsid w:val="00376DC0"/>
    <w:rsid w:val="00376E83"/>
    <w:rsid w:val="00376E91"/>
    <w:rsid w:val="0037708F"/>
    <w:rsid w:val="003771E4"/>
    <w:rsid w:val="00377217"/>
    <w:rsid w:val="00377434"/>
    <w:rsid w:val="00377522"/>
    <w:rsid w:val="0037754E"/>
    <w:rsid w:val="00377632"/>
    <w:rsid w:val="0037777C"/>
    <w:rsid w:val="00377867"/>
    <w:rsid w:val="00377939"/>
    <w:rsid w:val="0037793B"/>
    <w:rsid w:val="003779A1"/>
    <w:rsid w:val="00377AE4"/>
    <w:rsid w:val="00377BA5"/>
    <w:rsid w:val="00377BF2"/>
    <w:rsid w:val="00377CEA"/>
    <w:rsid w:val="00377CF0"/>
    <w:rsid w:val="00377D57"/>
    <w:rsid w:val="00377DC4"/>
    <w:rsid w:val="00377DCC"/>
    <w:rsid w:val="00377DCF"/>
    <w:rsid w:val="00377E3F"/>
    <w:rsid w:val="00377E78"/>
    <w:rsid w:val="00377ECC"/>
    <w:rsid w:val="00377EE5"/>
    <w:rsid w:val="00377F78"/>
    <w:rsid w:val="00377F9F"/>
    <w:rsid w:val="00380062"/>
    <w:rsid w:val="0038012E"/>
    <w:rsid w:val="00380163"/>
    <w:rsid w:val="00380164"/>
    <w:rsid w:val="00380182"/>
    <w:rsid w:val="00380205"/>
    <w:rsid w:val="0038020F"/>
    <w:rsid w:val="00380338"/>
    <w:rsid w:val="0038039E"/>
    <w:rsid w:val="00380494"/>
    <w:rsid w:val="00380543"/>
    <w:rsid w:val="00380691"/>
    <w:rsid w:val="003806A8"/>
    <w:rsid w:val="00380721"/>
    <w:rsid w:val="00380726"/>
    <w:rsid w:val="0038082B"/>
    <w:rsid w:val="00380877"/>
    <w:rsid w:val="0038098D"/>
    <w:rsid w:val="00380A61"/>
    <w:rsid w:val="00380A9C"/>
    <w:rsid w:val="00380AD9"/>
    <w:rsid w:val="00380B83"/>
    <w:rsid w:val="00380C03"/>
    <w:rsid w:val="00380C69"/>
    <w:rsid w:val="00380D05"/>
    <w:rsid w:val="00380D2F"/>
    <w:rsid w:val="00380EDE"/>
    <w:rsid w:val="00380F6D"/>
    <w:rsid w:val="00380FED"/>
    <w:rsid w:val="003810B8"/>
    <w:rsid w:val="003810DC"/>
    <w:rsid w:val="00381132"/>
    <w:rsid w:val="003811C2"/>
    <w:rsid w:val="00381209"/>
    <w:rsid w:val="0038120D"/>
    <w:rsid w:val="00381225"/>
    <w:rsid w:val="0038137B"/>
    <w:rsid w:val="00381392"/>
    <w:rsid w:val="003814AB"/>
    <w:rsid w:val="003814D2"/>
    <w:rsid w:val="00381540"/>
    <w:rsid w:val="0038158B"/>
    <w:rsid w:val="003815F3"/>
    <w:rsid w:val="003817FF"/>
    <w:rsid w:val="0038180C"/>
    <w:rsid w:val="00381990"/>
    <w:rsid w:val="00381992"/>
    <w:rsid w:val="00381A42"/>
    <w:rsid w:val="00381AF1"/>
    <w:rsid w:val="00381B0D"/>
    <w:rsid w:val="00381B30"/>
    <w:rsid w:val="00381B99"/>
    <w:rsid w:val="00381CBD"/>
    <w:rsid w:val="00381E2B"/>
    <w:rsid w:val="00381EA0"/>
    <w:rsid w:val="00381F8B"/>
    <w:rsid w:val="003820D7"/>
    <w:rsid w:val="00382188"/>
    <w:rsid w:val="003821B7"/>
    <w:rsid w:val="00382228"/>
    <w:rsid w:val="00382380"/>
    <w:rsid w:val="003823D2"/>
    <w:rsid w:val="00382483"/>
    <w:rsid w:val="00382492"/>
    <w:rsid w:val="003824AC"/>
    <w:rsid w:val="003825C5"/>
    <w:rsid w:val="003826BE"/>
    <w:rsid w:val="003826DF"/>
    <w:rsid w:val="003827D1"/>
    <w:rsid w:val="0038285E"/>
    <w:rsid w:val="00382975"/>
    <w:rsid w:val="00382BE4"/>
    <w:rsid w:val="00382D43"/>
    <w:rsid w:val="00382F70"/>
    <w:rsid w:val="0038312A"/>
    <w:rsid w:val="0038312C"/>
    <w:rsid w:val="00383132"/>
    <w:rsid w:val="0038326E"/>
    <w:rsid w:val="003832D8"/>
    <w:rsid w:val="00383339"/>
    <w:rsid w:val="0038359A"/>
    <w:rsid w:val="003835B2"/>
    <w:rsid w:val="0038363E"/>
    <w:rsid w:val="0038365B"/>
    <w:rsid w:val="00383687"/>
    <w:rsid w:val="003836C0"/>
    <w:rsid w:val="0038370B"/>
    <w:rsid w:val="00383714"/>
    <w:rsid w:val="003837F9"/>
    <w:rsid w:val="0038389A"/>
    <w:rsid w:val="00383AE4"/>
    <w:rsid w:val="00383B18"/>
    <w:rsid w:val="00383B8B"/>
    <w:rsid w:val="00383B90"/>
    <w:rsid w:val="00383BD2"/>
    <w:rsid w:val="00383C3A"/>
    <w:rsid w:val="00383C6C"/>
    <w:rsid w:val="00383D2D"/>
    <w:rsid w:val="00383D54"/>
    <w:rsid w:val="00384019"/>
    <w:rsid w:val="003840AB"/>
    <w:rsid w:val="00384157"/>
    <w:rsid w:val="0038415F"/>
    <w:rsid w:val="00384248"/>
    <w:rsid w:val="0038439B"/>
    <w:rsid w:val="003843A9"/>
    <w:rsid w:val="0038456A"/>
    <w:rsid w:val="003845E6"/>
    <w:rsid w:val="00384603"/>
    <w:rsid w:val="0038466C"/>
    <w:rsid w:val="0038467B"/>
    <w:rsid w:val="00384724"/>
    <w:rsid w:val="00384734"/>
    <w:rsid w:val="0038482A"/>
    <w:rsid w:val="003848E5"/>
    <w:rsid w:val="00384905"/>
    <w:rsid w:val="00384975"/>
    <w:rsid w:val="003849A4"/>
    <w:rsid w:val="00384A02"/>
    <w:rsid w:val="00384A6D"/>
    <w:rsid w:val="00384B56"/>
    <w:rsid w:val="00384B9A"/>
    <w:rsid w:val="00384BA3"/>
    <w:rsid w:val="00384E17"/>
    <w:rsid w:val="00384F3F"/>
    <w:rsid w:val="00384F5F"/>
    <w:rsid w:val="00384FEE"/>
    <w:rsid w:val="003850F8"/>
    <w:rsid w:val="003851B4"/>
    <w:rsid w:val="00385278"/>
    <w:rsid w:val="0038527E"/>
    <w:rsid w:val="003852D6"/>
    <w:rsid w:val="00385311"/>
    <w:rsid w:val="0038535C"/>
    <w:rsid w:val="00385370"/>
    <w:rsid w:val="00385385"/>
    <w:rsid w:val="00385398"/>
    <w:rsid w:val="003853B9"/>
    <w:rsid w:val="003853CF"/>
    <w:rsid w:val="0038541D"/>
    <w:rsid w:val="00385476"/>
    <w:rsid w:val="003854B6"/>
    <w:rsid w:val="00385508"/>
    <w:rsid w:val="00385516"/>
    <w:rsid w:val="00385569"/>
    <w:rsid w:val="003858C5"/>
    <w:rsid w:val="00385B00"/>
    <w:rsid w:val="00385B45"/>
    <w:rsid w:val="00385B92"/>
    <w:rsid w:val="00385CAF"/>
    <w:rsid w:val="00385D6A"/>
    <w:rsid w:val="00385D82"/>
    <w:rsid w:val="00385E1D"/>
    <w:rsid w:val="00385F8C"/>
    <w:rsid w:val="0038603C"/>
    <w:rsid w:val="003860BC"/>
    <w:rsid w:val="00386210"/>
    <w:rsid w:val="0038622C"/>
    <w:rsid w:val="003863A1"/>
    <w:rsid w:val="003863C7"/>
    <w:rsid w:val="00386670"/>
    <w:rsid w:val="00386696"/>
    <w:rsid w:val="003866D4"/>
    <w:rsid w:val="0038678B"/>
    <w:rsid w:val="0038687A"/>
    <w:rsid w:val="0038687D"/>
    <w:rsid w:val="0038699D"/>
    <w:rsid w:val="003869C0"/>
    <w:rsid w:val="003869FD"/>
    <w:rsid w:val="00386A83"/>
    <w:rsid w:val="00386B37"/>
    <w:rsid w:val="00386C39"/>
    <w:rsid w:val="00386EEB"/>
    <w:rsid w:val="00386F24"/>
    <w:rsid w:val="00386F67"/>
    <w:rsid w:val="00386F6C"/>
    <w:rsid w:val="00386FDA"/>
    <w:rsid w:val="00387052"/>
    <w:rsid w:val="0038710F"/>
    <w:rsid w:val="00387128"/>
    <w:rsid w:val="003871F8"/>
    <w:rsid w:val="0038722E"/>
    <w:rsid w:val="00387266"/>
    <w:rsid w:val="00387484"/>
    <w:rsid w:val="003875EA"/>
    <w:rsid w:val="0038763A"/>
    <w:rsid w:val="003877FB"/>
    <w:rsid w:val="0038782F"/>
    <w:rsid w:val="003878B4"/>
    <w:rsid w:val="00387C82"/>
    <w:rsid w:val="00387CDF"/>
    <w:rsid w:val="00387DB9"/>
    <w:rsid w:val="00387DCF"/>
    <w:rsid w:val="00387ED0"/>
    <w:rsid w:val="00387EF6"/>
    <w:rsid w:val="00387F2F"/>
    <w:rsid w:val="00387FFD"/>
    <w:rsid w:val="00390074"/>
    <w:rsid w:val="00390077"/>
    <w:rsid w:val="00390119"/>
    <w:rsid w:val="00390291"/>
    <w:rsid w:val="00390326"/>
    <w:rsid w:val="00390368"/>
    <w:rsid w:val="003903D1"/>
    <w:rsid w:val="00390405"/>
    <w:rsid w:val="00390430"/>
    <w:rsid w:val="00390435"/>
    <w:rsid w:val="0039046C"/>
    <w:rsid w:val="00390598"/>
    <w:rsid w:val="003905FC"/>
    <w:rsid w:val="0039066E"/>
    <w:rsid w:val="00390760"/>
    <w:rsid w:val="00390814"/>
    <w:rsid w:val="0039090B"/>
    <w:rsid w:val="00390935"/>
    <w:rsid w:val="003909B1"/>
    <w:rsid w:val="00390A8F"/>
    <w:rsid w:val="00390ACA"/>
    <w:rsid w:val="00390AF5"/>
    <w:rsid w:val="00390B6A"/>
    <w:rsid w:val="00390D39"/>
    <w:rsid w:val="00390DF0"/>
    <w:rsid w:val="00390E21"/>
    <w:rsid w:val="00390E97"/>
    <w:rsid w:val="00390E9E"/>
    <w:rsid w:val="00390EFA"/>
    <w:rsid w:val="00390FDA"/>
    <w:rsid w:val="00390FE7"/>
    <w:rsid w:val="003910D0"/>
    <w:rsid w:val="003911D5"/>
    <w:rsid w:val="003912CD"/>
    <w:rsid w:val="00391320"/>
    <w:rsid w:val="003914EE"/>
    <w:rsid w:val="003915A4"/>
    <w:rsid w:val="00391694"/>
    <w:rsid w:val="003916BC"/>
    <w:rsid w:val="00391719"/>
    <w:rsid w:val="00391786"/>
    <w:rsid w:val="003917B4"/>
    <w:rsid w:val="003917D1"/>
    <w:rsid w:val="0039181B"/>
    <w:rsid w:val="003918C4"/>
    <w:rsid w:val="003918E7"/>
    <w:rsid w:val="00391912"/>
    <w:rsid w:val="00391916"/>
    <w:rsid w:val="00391AA7"/>
    <w:rsid w:val="00391BFD"/>
    <w:rsid w:val="00391C64"/>
    <w:rsid w:val="00391C70"/>
    <w:rsid w:val="00391F39"/>
    <w:rsid w:val="00391FFD"/>
    <w:rsid w:val="00392073"/>
    <w:rsid w:val="0039232F"/>
    <w:rsid w:val="00392336"/>
    <w:rsid w:val="00392369"/>
    <w:rsid w:val="003923C9"/>
    <w:rsid w:val="003923DA"/>
    <w:rsid w:val="003923FD"/>
    <w:rsid w:val="003924AB"/>
    <w:rsid w:val="003924E7"/>
    <w:rsid w:val="003924FA"/>
    <w:rsid w:val="003924FE"/>
    <w:rsid w:val="003925BC"/>
    <w:rsid w:val="00392606"/>
    <w:rsid w:val="00392640"/>
    <w:rsid w:val="00392735"/>
    <w:rsid w:val="003927BC"/>
    <w:rsid w:val="003929C6"/>
    <w:rsid w:val="00392A65"/>
    <w:rsid w:val="00392ACB"/>
    <w:rsid w:val="00392AFA"/>
    <w:rsid w:val="00392B65"/>
    <w:rsid w:val="00392BB1"/>
    <w:rsid w:val="00392BE6"/>
    <w:rsid w:val="00392C23"/>
    <w:rsid w:val="00392D07"/>
    <w:rsid w:val="00392D69"/>
    <w:rsid w:val="00392DBE"/>
    <w:rsid w:val="00392E72"/>
    <w:rsid w:val="00392EB9"/>
    <w:rsid w:val="00392ECD"/>
    <w:rsid w:val="00393055"/>
    <w:rsid w:val="0039307B"/>
    <w:rsid w:val="003931BC"/>
    <w:rsid w:val="003931CC"/>
    <w:rsid w:val="003931D8"/>
    <w:rsid w:val="00393288"/>
    <w:rsid w:val="00393421"/>
    <w:rsid w:val="00393436"/>
    <w:rsid w:val="00393441"/>
    <w:rsid w:val="00393468"/>
    <w:rsid w:val="003934DD"/>
    <w:rsid w:val="00393528"/>
    <w:rsid w:val="00393558"/>
    <w:rsid w:val="003935AC"/>
    <w:rsid w:val="003935CB"/>
    <w:rsid w:val="003935F9"/>
    <w:rsid w:val="00393602"/>
    <w:rsid w:val="003936E5"/>
    <w:rsid w:val="003936E6"/>
    <w:rsid w:val="00393792"/>
    <w:rsid w:val="00393801"/>
    <w:rsid w:val="00393860"/>
    <w:rsid w:val="003938CB"/>
    <w:rsid w:val="00393941"/>
    <w:rsid w:val="00393A6A"/>
    <w:rsid w:val="0039402E"/>
    <w:rsid w:val="00394149"/>
    <w:rsid w:val="003941AA"/>
    <w:rsid w:val="003942A5"/>
    <w:rsid w:val="003942FF"/>
    <w:rsid w:val="003944AC"/>
    <w:rsid w:val="00394535"/>
    <w:rsid w:val="003945CC"/>
    <w:rsid w:val="00394652"/>
    <w:rsid w:val="00394668"/>
    <w:rsid w:val="00394908"/>
    <w:rsid w:val="00394A7B"/>
    <w:rsid w:val="00394BD8"/>
    <w:rsid w:val="00394C88"/>
    <w:rsid w:val="00394DC3"/>
    <w:rsid w:val="00394DD3"/>
    <w:rsid w:val="00394EDB"/>
    <w:rsid w:val="00394F43"/>
    <w:rsid w:val="00394F5C"/>
    <w:rsid w:val="00394FD6"/>
    <w:rsid w:val="00395004"/>
    <w:rsid w:val="0039509C"/>
    <w:rsid w:val="003950E0"/>
    <w:rsid w:val="0039515C"/>
    <w:rsid w:val="003951C2"/>
    <w:rsid w:val="003952B9"/>
    <w:rsid w:val="00395314"/>
    <w:rsid w:val="003953C2"/>
    <w:rsid w:val="003953C9"/>
    <w:rsid w:val="00395451"/>
    <w:rsid w:val="003954F4"/>
    <w:rsid w:val="00395546"/>
    <w:rsid w:val="003956E0"/>
    <w:rsid w:val="00395751"/>
    <w:rsid w:val="0039577C"/>
    <w:rsid w:val="0039578A"/>
    <w:rsid w:val="003957A7"/>
    <w:rsid w:val="0039585D"/>
    <w:rsid w:val="00395896"/>
    <w:rsid w:val="003958BF"/>
    <w:rsid w:val="003958CB"/>
    <w:rsid w:val="00395B43"/>
    <w:rsid w:val="00395D55"/>
    <w:rsid w:val="00395E0C"/>
    <w:rsid w:val="00395E6B"/>
    <w:rsid w:val="00395FB6"/>
    <w:rsid w:val="003961B5"/>
    <w:rsid w:val="00396290"/>
    <w:rsid w:val="0039630D"/>
    <w:rsid w:val="00396330"/>
    <w:rsid w:val="003963B5"/>
    <w:rsid w:val="003964AC"/>
    <w:rsid w:val="003964AF"/>
    <w:rsid w:val="003964F0"/>
    <w:rsid w:val="003966BB"/>
    <w:rsid w:val="003967EA"/>
    <w:rsid w:val="00396820"/>
    <w:rsid w:val="00396886"/>
    <w:rsid w:val="0039695F"/>
    <w:rsid w:val="003969B2"/>
    <w:rsid w:val="00396B15"/>
    <w:rsid w:val="00396BD0"/>
    <w:rsid w:val="00396C28"/>
    <w:rsid w:val="00396C8B"/>
    <w:rsid w:val="00396CBC"/>
    <w:rsid w:val="00396DBE"/>
    <w:rsid w:val="00396DE7"/>
    <w:rsid w:val="00396E17"/>
    <w:rsid w:val="00396E5C"/>
    <w:rsid w:val="00396E67"/>
    <w:rsid w:val="00396EAF"/>
    <w:rsid w:val="00396F95"/>
    <w:rsid w:val="00396FEF"/>
    <w:rsid w:val="00397096"/>
    <w:rsid w:val="00397204"/>
    <w:rsid w:val="003972E3"/>
    <w:rsid w:val="00397303"/>
    <w:rsid w:val="00397358"/>
    <w:rsid w:val="003973B7"/>
    <w:rsid w:val="003973C4"/>
    <w:rsid w:val="0039751F"/>
    <w:rsid w:val="00397594"/>
    <w:rsid w:val="003975C2"/>
    <w:rsid w:val="0039768C"/>
    <w:rsid w:val="003976CE"/>
    <w:rsid w:val="00397A13"/>
    <w:rsid w:val="00397B3E"/>
    <w:rsid w:val="00397B49"/>
    <w:rsid w:val="00397BA4"/>
    <w:rsid w:val="00397BBF"/>
    <w:rsid w:val="00397D9F"/>
    <w:rsid w:val="00397E65"/>
    <w:rsid w:val="00397E69"/>
    <w:rsid w:val="00397E9C"/>
    <w:rsid w:val="00397EAC"/>
    <w:rsid w:val="00397EE8"/>
    <w:rsid w:val="00397F01"/>
    <w:rsid w:val="00397F02"/>
    <w:rsid w:val="00397F14"/>
    <w:rsid w:val="00397F4B"/>
    <w:rsid w:val="00397F8C"/>
    <w:rsid w:val="0039E5AE"/>
    <w:rsid w:val="003A00EC"/>
    <w:rsid w:val="003A0180"/>
    <w:rsid w:val="003A022A"/>
    <w:rsid w:val="003A025A"/>
    <w:rsid w:val="003A042C"/>
    <w:rsid w:val="003A0523"/>
    <w:rsid w:val="003A0530"/>
    <w:rsid w:val="003A0558"/>
    <w:rsid w:val="003A0583"/>
    <w:rsid w:val="003A058C"/>
    <w:rsid w:val="003A05E9"/>
    <w:rsid w:val="003A077E"/>
    <w:rsid w:val="003A07A9"/>
    <w:rsid w:val="003A0848"/>
    <w:rsid w:val="003A087F"/>
    <w:rsid w:val="003A0884"/>
    <w:rsid w:val="003A088E"/>
    <w:rsid w:val="003A08D4"/>
    <w:rsid w:val="003A0A59"/>
    <w:rsid w:val="003A0B8C"/>
    <w:rsid w:val="003A0B98"/>
    <w:rsid w:val="003A0BED"/>
    <w:rsid w:val="003A0C58"/>
    <w:rsid w:val="003A0CAF"/>
    <w:rsid w:val="003A0D03"/>
    <w:rsid w:val="003A0D40"/>
    <w:rsid w:val="003A0E41"/>
    <w:rsid w:val="003A0FC0"/>
    <w:rsid w:val="003A11A3"/>
    <w:rsid w:val="003A121E"/>
    <w:rsid w:val="003A1245"/>
    <w:rsid w:val="003A1363"/>
    <w:rsid w:val="003A1373"/>
    <w:rsid w:val="003A1578"/>
    <w:rsid w:val="003A1602"/>
    <w:rsid w:val="003A163A"/>
    <w:rsid w:val="003A1644"/>
    <w:rsid w:val="003A1664"/>
    <w:rsid w:val="003A16B1"/>
    <w:rsid w:val="003A16DC"/>
    <w:rsid w:val="003A17DA"/>
    <w:rsid w:val="003A18F6"/>
    <w:rsid w:val="003A191F"/>
    <w:rsid w:val="003A1960"/>
    <w:rsid w:val="003A196A"/>
    <w:rsid w:val="003A1AFB"/>
    <w:rsid w:val="003A1BB3"/>
    <w:rsid w:val="003A1BCB"/>
    <w:rsid w:val="003A1BD6"/>
    <w:rsid w:val="003A1CDD"/>
    <w:rsid w:val="003A1E69"/>
    <w:rsid w:val="003A1EA9"/>
    <w:rsid w:val="003A1F33"/>
    <w:rsid w:val="003A1FC9"/>
    <w:rsid w:val="003A2005"/>
    <w:rsid w:val="003A20A9"/>
    <w:rsid w:val="003A2116"/>
    <w:rsid w:val="003A2272"/>
    <w:rsid w:val="003A227B"/>
    <w:rsid w:val="003A260D"/>
    <w:rsid w:val="003A2638"/>
    <w:rsid w:val="003A2652"/>
    <w:rsid w:val="003A2694"/>
    <w:rsid w:val="003A26C4"/>
    <w:rsid w:val="003A2790"/>
    <w:rsid w:val="003A2844"/>
    <w:rsid w:val="003A28F5"/>
    <w:rsid w:val="003A292E"/>
    <w:rsid w:val="003A29AA"/>
    <w:rsid w:val="003A29E5"/>
    <w:rsid w:val="003A29F3"/>
    <w:rsid w:val="003A2AD8"/>
    <w:rsid w:val="003A2B49"/>
    <w:rsid w:val="003A2C0A"/>
    <w:rsid w:val="003A2CB2"/>
    <w:rsid w:val="003A2DF3"/>
    <w:rsid w:val="003A2E12"/>
    <w:rsid w:val="003A2EE4"/>
    <w:rsid w:val="003A2EEC"/>
    <w:rsid w:val="003A304E"/>
    <w:rsid w:val="003A3055"/>
    <w:rsid w:val="003A315F"/>
    <w:rsid w:val="003A317C"/>
    <w:rsid w:val="003A322C"/>
    <w:rsid w:val="003A3270"/>
    <w:rsid w:val="003A32E1"/>
    <w:rsid w:val="003A3330"/>
    <w:rsid w:val="003A33E7"/>
    <w:rsid w:val="003A35A1"/>
    <w:rsid w:val="003A35B3"/>
    <w:rsid w:val="003A3654"/>
    <w:rsid w:val="003A36DE"/>
    <w:rsid w:val="003A37FE"/>
    <w:rsid w:val="003A38A4"/>
    <w:rsid w:val="003A39F9"/>
    <w:rsid w:val="003A3B14"/>
    <w:rsid w:val="003A3B90"/>
    <w:rsid w:val="003A3D9D"/>
    <w:rsid w:val="003A3E78"/>
    <w:rsid w:val="003A400F"/>
    <w:rsid w:val="003A408D"/>
    <w:rsid w:val="003A41AD"/>
    <w:rsid w:val="003A41D1"/>
    <w:rsid w:val="003A4284"/>
    <w:rsid w:val="003A42D6"/>
    <w:rsid w:val="003A4698"/>
    <w:rsid w:val="003A4897"/>
    <w:rsid w:val="003A494E"/>
    <w:rsid w:val="003A4A12"/>
    <w:rsid w:val="003A4A2E"/>
    <w:rsid w:val="003A4A93"/>
    <w:rsid w:val="003A4C75"/>
    <w:rsid w:val="003A4C85"/>
    <w:rsid w:val="003A4CD0"/>
    <w:rsid w:val="003A4D06"/>
    <w:rsid w:val="003A4FB9"/>
    <w:rsid w:val="003A5013"/>
    <w:rsid w:val="003A50C2"/>
    <w:rsid w:val="003A5186"/>
    <w:rsid w:val="003A555C"/>
    <w:rsid w:val="003A5668"/>
    <w:rsid w:val="003A56B7"/>
    <w:rsid w:val="003A56BE"/>
    <w:rsid w:val="003A5726"/>
    <w:rsid w:val="003A5787"/>
    <w:rsid w:val="003A579E"/>
    <w:rsid w:val="003A57F0"/>
    <w:rsid w:val="003A580D"/>
    <w:rsid w:val="003A5894"/>
    <w:rsid w:val="003A58DC"/>
    <w:rsid w:val="003A59ED"/>
    <w:rsid w:val="003A5A29"/>
    <w:rsid w:val="003A5A5B"/>
    <w:rsid w:val="003A5AEC"/>
    <w:rsid w:val="003A5B1F"/>
    <w:rsid w:val="003A5BEA"/>
    <w:rsid w:val="003A5E58"/>
    <w:rsid w:val="003A5E59"/>
    <w:rsid w:val="003A5F2B"/>
    <w:rsid w:val="003A6032"/>
    <w:rsid w:val="003A617D"/>
    <w:rsid w:val="003A6251"/>
    <w:rsid w:val="003A6300"/>
    <w:rsid w:val="003A630C"/>
    <w:rsid w:val="003A64D8"/>
    <w:rsid w:val="003A650D"/>
    <w:rsid w:val="003A660F"/>
    <w:rsid w:val="003A6626"/>
    <w:rsid w:val="003A673D"/>
    <w:rsid w:val="003A67B3"/>
    <w:rsid w:val="003A680B"/>
    <w:rsid w:val="003A69FB"/>
    <w:rsid w:val="003A6E16"/>
    <w:rsid w:val="003A6E23"/>
    <w:rsid w:val="003A6FA7"/>
    <w:rsid w:val="003A70CE"/>
    <w:rsid w:val="003A70EF"/>
    <w:rsid w:val="003A71DF"/>
    <w:rsid w:val="003A72E4"/>
    <w:rsid w:val="003A7382"/>
    <w:rsid w:val="003A744B"/>
    <w:rsid w:val="003A75AB"/>
    <w:rsid w:val="003A768E"/>
    <w:rsid w:val="003A7692"/>
    <w:rsid w:val="003A76B1"/>
    <w:rsid w:val="003A78E6"/>
    <w:rsid w:val="003A79BC"/>
    <w:rsid w:val="003A7A49"/>
    <w:rsid w:val="003A7AA1"/>
    <w:rsid w:val="003A7AD6"/>
    <w:rsid w:val="003A7BBF"/>
    <w:rsid w:val="003A7D36"/>
    <w:rsid w:val="003A7D42"/>
    <w:rsid w:val="003A7E47"/>
    <w:rsid w:val="003A7E81"/>
    <w:rsid w:val="003B009A"/>
    <w:rsid w:val="003B0144"/>
    <w:rsid w:val="003B0175"/>
    <w:rsid w:val="003B01BA"/>
    <w:rsid w:val="003B01BC"/>
    <w:rsid w:val="003B0403"/>
    <w:rsid w:val="003B04A9"/>
    <w:rsid w:val="003B04D8"/>
    <w:rsid w:val="003B07BC"/>
    <w:rsid w:val="003B09A2"/>
    <w:rsid w:val="003B0B60"/>
    <w:rsid w:val="003B0B75"/>
    <w:rsid w:val="003B0B85"/>
    <w:rsid w:val="003B0BA1"/>
    <w:rsid w:val="003B0C20"/>
    <w:rsid w:val="003B0D14"/>
    <w:rsid w:val="003B0D4D"/>
    <w:rsid w:val="003B0D70"/>
    <w:rsid w:val="003B0E13"/>
    <w:rsid w:val="003B0E1C"/>
    <w:rsid w:val="003B10B2"/>
    <w:rsid w:val="003B10FF"/>
    <w:rsid w:val="003B115D"/>
    <w:rsid w:val="003B11E1"/>
    <w:rsid w:val="003B121A"/>
    <w:rsid w:val="003B1292"/>
    <w:rsid w:val="003B145C"/>
    <w:rsid w:val="003B14C0"/>
    <w:rsid w:val="003B1665"/>
    <w:rsid w:val="003B17EB"/>
    <w:rsid w:val="003B1828"/>
    <w:rsid w:val="003B1880"/>
    <w:rsid w:val="003B1A59"/>
    <w:rsid w:val="003B1B0B"/>
    <w:rsid w:val="003B1C6C"/>
    <w:rsid w:val="003B1CA8"/>
    <w:rsid w:val="003B1CD8"/>
    <w:rsid w:val="003B1D13"/>
    <w:rsid w:val="003B1E57"/>
    <w:rsid w:val="003B1F39"/>
    <w:rsid w:val="003B1F77"/>
    <w:rsid w:val="003B1FE0"/>
    <w:rsid w:val="003B20C0"/>
    <w:rsid w:val="003B217E"/>
    <w:rsid w:val="003B2224"/>
    <w:rsid w:val="003B2270"/>
    <w:rsid w:val="003B22A7"/>
    <w:rsid w:val="003B236F"/>
    <w:rsid w:val="003B23B4"/>
    <w:rsid w:val="003B2406"/>
    <w:rsid w:val="003B2433"/>
    <w:rsid w:val="003B2436"/>
    <w:rsid w:val="003B250C"/>
    <w:rsid w:val="003B27F0"/>
    <w:rsid w:val="003B27F6"/>
    <w:rsid w:val="003B2840"/>
    <w:rsid w:val="003B2976"/>
    <w:rsid w:val="003B29C0"/>
    <w:rsid w:val="003B2A10"/>
    <w:rsid w:val="003B2C8D"/>
    <w:rsid w:val="003B2CF4"/>
    <w:rsid w:val="003B2D37"/>
    <w:rsid w:val="003B2D70"/>
    <w:rsid w:val="003B2D79"/>
    <w:rsid w:val="003B2EF0"/>
    <w:rsid w:val="003B2FD8"/>
    <w:rsid w:val="003B3117"/>
    <w:rsid w:val="003B3161"/>
    <w:rsid w:val="003B32D1"/>
    <w:rsid w:val="003B335A"/>
    <w:rsid w:val="003B3379"/>
    <w:rsid w:val="003B33EA"/>
    <w:rsid w:val="003B344E"/>
    <w:rsid w:val="003B3486"/>
    <w:rsid w:val="003B34DE"/>
    <w:rsid w:val="003B3541"/>
    <w:rsid w:val="003B36BC"/>
    <w:rsid w:val="003B3706"/>
    <w:rsid w:val="003B3761"/>
    <w:rsid w:val="003B37AE"/>
    <w:rsid w:val="003B3844"/>
    <w:rsid w:val="003B38E0"/>
    <w:rsid w:val="003B3A16"/>
    <w:rsid w:val="003B3A1D"/>
    <w:rsid w:val="003B3B4C"/>
    <w:rsid w:val="003B3B8D"/>
    <w:rsid w:val="003B3BAD"/>
    <w:rsid w:val="003B3BB3"/>
    <w:rsid w:val="003B3C47"/>
    <w:rsid w:val="003B3D4A"/>
    <w:rsid w:val="003B3D7F"/>
    <w:rsid w:val="003B3E75"/>
    <w:rsid w:val="003B3EEF"/>
    <w:rsid w:val="003B3F1E"/>
    <w:rsid w:val="003B3F8B"/>
    <w:rsid w:val="003B3F96"/>
    <w:rsid w:val="003B3FDA"/>
    <w:rsid w:val="003B3FFC"/>
    <w:rsid w:val="003B404E"/>
    <w:rsid w:val="003B40D0"/>
    <w:rsid w:val="003B415F"/>
    <w:rsid w:val="003B436E"/>
    <w:rsid w:val="003B43F3"/>
    <w:rsid w:val="003B43F4"/>
    <w:rsid w:val="003B4405"/>
    <w:rsid w:val="003B445E"/>
    <w:rsid w:val="003B45DC"/>
    <w:rsid w:val="003B46C8"/>
    <w:rsid w:val="003B46E0"/>
    <w:rsid w:val="003B4761"/>
    <w:rsid w:val="003B4838"/>
    <w:rsid w:val="003B4954"/>
    <w:rsid w:val="003B4A39"/>
    <w:rsid w:val="003B4B3C"/>
    <w:rsid w:val="003B4D1A"/>
    <w:rsid w:val="003B4D73"/>
    <w:rsid w:val="003B4FAA"/>
    <w:rsid w:val="003B5136"/>
    <w:rsid w:val="003B52BE"/>
    <w:rsid w:val="003B53C3"/>
    <w:rsid w:val="003B5408"/>
    <w:rsid w:val="003B5452"/>
    <w:rsid w:val="003B54AC"/>
    <w:rsid w:val="003B54B8"/>
    <w:rsid w:val="003B55DE"/>
    <w:rsid w:val="003B55FE"/>
    <w:rsid w:val="003B56A1"/>
    <w:rsid w:val="003B56E1"/>
    <w:rsid w:val="003B5705"/>
    <w:rsid w:val="003B57E8"/>
    <w:rsid w:val="003B59A3"/>
    <w:rsid w:val="003B5A94"/>
    <w:rsid w:val="003B5AC7"/>
    <w:rsid w:val="003B5B73"/>
    <w:rsid w:val="003B5B98"/>
    <w:rsid w:val="003B5BD9"/>
    <w:rsid w:val="003B5BE3"/>
    <w:rsid w:val="003B5C7B"/>
    <w:rsid w:val="003B5E29"/>
    <w:rsid w:val="003B5E35"/>
    <w:rsid w:val="003B5EC0"/>
    <w:rsid w:val="003B5F0C"/>
    <w:rsid w:val="003B5F5C"/>
    <w:rsid w:val="003B5FAE"/>
    <w:rsid w:val="003B5FE2"/>
    <w:rsid w:val="003B6075"/>
    <w:rsid w:val="003B6097"/>
    <w:rsid w:val="003B612C"/>
    <w:rsid w:val="003B6238"/>
    <w:rsid w:val="003B627A"/>
    <w:rsid w:val="003B62AA"/>
    <w:rsid w:val="003B637E"/>
    <w:rsid w:val="003B63A5"/>
    <w:rsid w:val="003B649A"/>
    <w:rsid w:val="003B64AD"/>
    <w:rsid w:val="003B64D7"/>
    <w:rsid w:val="003B6569"/>
    <w:rsid w:val="003B65ED"/>
    <w:rsid w:val="003B6631"/>
    <w:rsid w:val="003B66FA"/>
    <w:rsid w:val="003B679E"/>
    <w:rsid w:val="003B67AC"/>
    <w:rsid w:val="003B686E"/>
    <w:rsid w:val="003B689A"/>
    <w:rsid w:val="003B6990"/>
    <w:rsid w:val="003B6D30"/>
    <w:rsid w:val="003B6E3E"/>
    <w:rsid w:val="003B6EFA"/>
    <w:rsid w:val="003B6F8D"/>
    <w:rsid w:val="003B6FEA"/>
    <w:rsid w:val="003B715D"/>
    <w:rsid w:val="003B7244"/>
    <w:rsid w:val="003B72CA"/>
    <w:rsid w:val="003B73AF"/>
    <w:rsid w:val="003B7431"/>
    <w:rsid w:val="003B7453"/>
    <w:rsid w:val="003B7554"/>
    <w:rsid w:val="003B75E7"/>
    <w:rsid w:val="003B773B"/>
    <w:rsid w:val="003B777B"/>
    <w:rsid w:val="003B77EE"/>
    <w:rsid w:val="003B77FA"/>
    <w:rsid w:val="003B78E6"/>
    <w:rsid w:val="003B791E"/>
    <w:rsid w:val="003B7978"/>
    <w:rsid w:val="003B7992"/>
    <w:rsid w:val="003B7996"/>
    <w:rsid w:val="003B7B17"/>
    <w:rsid w:val="003B7B85"/>
    <w:rsid w:val="003B7CFD"/>
    <w:rsid w:val="003B7D96"/>
    <w:rsid w:val="003B7E00"/>
    <w:rsid w:val="003B7E43"/>
    <w:rsid w:val="003B7F1A"/>
    <w:rsid w:val="003C0039"/>
    <w:rsid w:val="003C0091"/>
    <w:rsid w:val="003C018C"/>
    <w:rsid w:val="003C0274"/>
    <w:rsid w:val="003C0282"/>
    <w:rsid w:val="003C029A"/>
    <w:rsid w:val="003C035A"/>
    <w:rsid w:val="003C03E0"/>
    <w:rsid w:val="003C0454"/>
    <w:rsid w:val="003C04F1"/>
    <w:rsid w:val="003C05E3"/>
    <w:rsid w:val="003C07E3"/>
    <w:rsid w:val="003C09B5"/>
    <w:rsid w:val="003C0AA4"/>
    <w:rsid w:val="003C0B0D"/>
    <w:rsid w:val="003C0B27"/>
    <w:rsid w:val="003C0B41"/>
    <w:rsid w:val="003C0CBF"/>
    <w:rsid w:val="003C0D18"/>
    <w:rsid w:val="003C0D7D"/>
    <w:rsid w:val="003C0E4E"/>
    <w:rsid w:val="003C0ECB"/>
    <w:rsid w:val="003C0ED6"/>
    <w:rsid w:val="003C0FC5"/>
    <w:rsid w:val="003C10D7"/>
    <w:rsid w:val="003C12AF"/>
    <w:rsid w:val="003C142A"/>
    <w:rsid w:val="003C14F6"/>
    <w:rsid w:val="003C15A0"/>
    <w:rsid w:val="003C1631"/>
    <w:rsid w:val="003C165D"/>
    <w:rsid w:val="003C17DC"/>
    <w:rsid w:val="003C18DF"/>
    <w:rsid w:val="003C18EB"/>
    <w:rsid w:val="003C1AA1"/>
    <w:rsid w:val="003C1B83"/>
    <w:rsid w:val="003C1C21"/>
    <w:rsid w:val="003C1E06"/>
    <w:rsid w:val="003C1E26"/>
    <w:rsid w:val="003C1E71"/>
    <w:rsid w:val="003C1E7E"/>
    <w:rsid w:val="003C2067"/>
    <w:rsid w:val="003C208B"/>
    <w:rsid w:val="003C212A"/>
    <w:rsid w:val="003C2145"/>
    <w:rsid w:val="003C2328"/>
    <w:rsid w:val="003C2363"/>
    <w:rsid w:val="003C23B2"/>
    <w:rsid w:val="003C255B"/>
    <w:rsid w:val="003C255E"/>
    <w:rsid w:val="003C25E2"/>
    <w:rsid w:val="003C2677"/>
    <w:rsid w:val="003C2726"/>
    <w:rsid w:val="003C284E"/>
    <w:rsid w:val="003C28EA"/>
    <w:rsid w:val="003C292F"/>
    <w:rsid w:val="003C29A5"/>
    <w:rsid w:val="003C29D8"/>
    <w:rsid w:val="003C29F3"/>
    <w:rsid w:val="003C2AFE"/>
    <w:rsid w:val="003C2AFF"/>
    <w:rsid w:val="003C2B6B"/>
    <w:rsid w:val="003C2C80"/>
    <w:rsid w:val="003C2D81"/>
    <w:rsid w:val="003C2EDC"/>
    <w:rsid w:val="003C2F9A"/>
    <w:rsid w:val="003C2FEB"/>
    <w:rsid w:val="003C30D8"/>
    <w:rsid w:val="003C3273"/>
    <w:rsid w:val="003C33EB"/>
    <w:rsid w:val="003C34A3"/>
    <w:rsid w:val="003C3580"/>
    <w:rsid w:val="003C3630"/>
    <w:rsid w:val="003C36AF"/>
    <w:rsid w:val="003C36C1"/>
    <w:rsid w:val="003C389F"/>
    <w:rsid w:val="003C3957"/>
    <w:rsid w:val="003C3987"/>
    <w:rsid w:val="003C39B9"/>
    <w:rsid w:val="003C3A7E"/>
    <w:rsid w:val="003C3B08"/>
    <w:rsid w:val="003C3BB5"/>
    <w:rsid w:val="003C3EE4"/>
    <w:rsid w:val="003C3EEC"/>
    <w:rsid w:val="003C3FE5"/>
    <w:rsid w:val="003C413A"/>
    <w:rsid w:val="003C42D9"/>
    <w:rsid w:val="003C43DA"/>
    <w:rsid w:val="003C4428"/>
    <w:rsid w:val="003C44D8"/>
    <w:rsid w:val="003C4696"/>
    <w:rsid w:val="003C4727"/>
    <w:rsid w:val="003C48DC"/>
    <w:rsid w:val="003C49B4"/>
    <w:rsid w:val="003C4A05"/>
    <w:rsid w:val="003C4B05"/>
    <w:rsid w:val="003C4BE4"/>
    <w:rsid w:val="003C4DCF"/>
    <w:rsid w:val="003C4DE4"/>
    <w:rsid w:val="003C4E2E"/>
    <w:rsid w:val="003C4F50"/>
    <w:rsid w:val="003C5149"/>
    <w:rsid w:val="003C547D"/>
    <w:rsid w:val="003C55E9"/>
    <w:rsid w:val="003C563B"/>
    <w:rsid w:val="003C5699"/>
    <w:rsid w:val="003C56B2"/>
    <w:rsid w:val="003C586C"/>
    <w:rsid w:val="003C5886"/>
    <w:rsid w:val="003C58A2"/>
    <w:rsid w:val="003C5B39"/>
    <w:rsid w:val="003C5BB3"/>
    <w:rsid w:val="003C5E3A"/>
    <w:rsid w:val="003C5E4F"/>
    <w:rsid w:val="003C5F2F"/>
    <w:rsid w:val="003C5F67"/>
    <w:rsid w:val="003C60F8"/>
    <w:rsid w:val="003C611F"/>
    <w:rsid w:val="003C612B"/>
    <w:rsid w:val="003C612D"/>
    <w:rsid w:val="003C6246"/>
    <w:rsid w:val="003C6269"/>
    <w:rsid w:val="003C6593"/>
    <w:rsid w:val="003C65F7"/>
    <w:rsid w:val="003C661C"/>
    <w:rsid w:val="003C6654"/>
    <w:rsid w:val="003C6667"/>
    <w:rsid w:val="003C66F2"/>
    <w:rsid w:val="003C67E4"/>
    <w:rsid w:val="003C6866"/>
    <w:rsid w:val="003C6905"/>
    <w:rsid w:val="003C695F"/>
    <w:rsid w:val="003C6ACF"/>
    <w:rsid w:val="003C6C01"/>
    <w:rsid w:val="003C6C40"/>
    <w:rsid w:val="003C6D1E"/>
    <w:rsid w:val="003C6E6F"/>
    <w:rsid w:val="003C6ED2"/>
    <w:rsid w:val="003C6F84"/>
    <w:rsid w:val="003C704B"/>
    <w:rsid w:val="003C70CD"/>
    <w:rsid w:val="003C7245"/>
    <w:rsid w:val="003C7278"/>
    <w:rsid w:val="003C73D6"/>
    <w:rsid w:val="003C7421"/>
    <w:rsid w:val="003C7466"/>
    <w:rsid w:val="003C7563"/>
    <w:rsid w:val="003C7633"/>
    <w:rsid w:val="003C77BF"/>
    <w:rsid w:val="003C77C3"/>
    <w:rsid w:val="003C78D2"/>
    <w:rsid w:val="003C795F"/>
    <w:rsid w:val="003C79E3"/>
    <w:rsid w:val="003C79F5"/>
    <w:rsid w:val="003C7A6D"/>
    <w:rsid w:val="003C7ABA"/>
    <w:rsid w:val="003C7BDB"/>
    <w:rsid w:val="003C7C03"/>
    <w:rsid w:val="003C7CA0"/>
    <w:rsid w:val="003C7DF7"/>
    <w:rsid w:val="003C7E3C"/>
    <w:rsid w:val="003D00D5"/>
    <w:rsid w:val="003D01D1"/>
    <w:rsid w:val="003D0232"/>
    <w:rsid w:val="003D02C5"/>
    <w:rsid w:val="003D0308"/>
    <w:rsid w:val="003D0389"/>
    <w:rsid w:val="003D03B0"/>
    <w:rsid w:val="003D04E0"/>
    <w:rsid w:val="003D0602"/>
    <w:rsid w:val="003D0689"/>
    <w:rsid w:val="003D0694"/>
    <w:rsid w:val="003D0735"/>
    <w:rsid w:val="003D07C2"/>
    <w:rsid w:val="003D07C5"/>
    <w:rsid w:val="003D080B"/>
    <w:rsid w:val="003D0827"/>
    <w:rsid w:val="003D083B"/>
    <w:rsid w:val="003D08D0"/>
    <w:rsid w:val="003D08DA"/>
    <w:rsid w:val="003D0937"/>
    <w:rsid w:val="003D09A1"/>
    <w:rsid w:val="003D0AD1"/>
    <w:rsid w:val="003D0AF2"/>
    <w:rsid w:val="003D0B10"/>
    <w:rsid w:val="003D0BFE"/>
    <w:rsid w:val="003D0C54"/>
    <w:rsid w:val="003D0CCA"/>
    <w:rsid w:val="003D0CEB"/>
    <w:rsid w:val="003D0D35"/>
    <w:rsid w:val="003D0EFA"/>
    <w:rsid w:val="003D0F05"/>
    <w:rsid w:val="003D0FED"/>
    <w:rsid w:val="003D100F"/>
    <w:rsid w:val="003D104A"/>
    <w:rsid w:val="003D119A"/>
    <w:rsid w:val="003D12F0"/>
    <w:rsid w:val="003D1335"/>
    <w:rsid w:val="003D152A"/>
    <w:rsid w:val="003D15F2"/>
    <w:rsid w:val="003D161B"/>
    <w:rsid w:val="003D1661"/>
    <w:rsid w:val="003D1694"/>
    <w:rsid w:val="003D1946"/>
    <w:rsid w:val="003D19D7"/>
    <w:rsid w:val="003D1A0E"/>
    <w:rsid w:val="003D1A80"/>
    <w:rsid w:val="003D1AE9"/>
    <w:rsid w:val="003D1B7E"/>
    <w:rsid w:val="003D1C2C"/>
    <w:rsid w:val="003D1C9B"/>
    <w:rsid w:val="003D1CDA"/>
    <w:rsid w:val="003D1DED"/>
    <w:rsid w:val="003D1E7A"/>
    <w:rsid w:val="003D1F66"/>
    <w:rsid w:val="003D21DC"/>
    <w:rsid w:val="003D21F1"/>
    <w:rsid w:val="003D240A"/>
    <w:rsid w:val="003D24C9"/>
    <w:rsid w:val="003D251B"/>
    <w:rsid w:val="003D2547"/>
    <w:rsid w:val="003D26DC"/>
    <w:rsid w:val="003D273F"/>
    <w:rsid w:val="003D2834"/>
    <w:rsid w:val="003D2839"/>
    <w:rsid w:val="003D2983"/>
    <w:rsid w:val="003D29CF"/>
    <w:rsid w:val="003D2A5D"/>
    <w:rsid w:val="003D2A84"/>
    <w:rsid w:val="003D2DA3"/>
    <w:rsid w:val="003D2DEB"/>
    <w:rsid w:val="003D2DF4"/>
    <w:rsid w:val="003D2E8C"/>
    <w:rsid w:val="003D2E9C"/>
    <w:rsid w:val="003D2ECB"/>
    <w:rsid w:val="003D2F2C"/>
    <w:rsid w:val="003D306E"/>
    <w:rsid w:val="003D314E"/>
    <w:rsid w:val="003D31E5"/>
    <w:rsid w:val="003D345D"/>
    <w:rsid w:val="003D353E"/>
    <w:rsid w:val="003D3650"/>
    <w:rsid w:val="003D368F"/>
    <w:rsid w:val="003D3777"/>
    <w:rsid w:val="003D3833"/>
    <w:rsid w:val="003D3876"/>
    <w:rsid w:val="003D3960"/>
    <w:rsid w:val="003D396C"/>
    <w:rsid w:val="003D39A9"/>
    <w:rsid w:val="003D39DD"/>
    <w:rsid w:val="003D3C8E"/>
    <w:rsid w:val="003D3CA8"/>
    <w:rsid w:val="003D3CF4"/>
    <w:rsid w:val="003D3E10"/>
    <w:rsid w:val="003D3E5B"/>
    <w:rsid w:val="003D3E69"/>
    <w:rsid w:val="003D4053"/>
    <w:rsid w:val="003D41B9"/>
    <w:rsid w:val="003D427B"/>
    <w:rsid w:val="003D4297"/>
    <w:rsid w:val="003D44E5"/>
    <w:rsid w:val="003D4513"/>
    <w:rsid w:val="003D4557"/>
    <w:rsid w:val="003D45C0"/>
    <w:rsid w:val="003D45EF"/>
    <w:rsid w:val="003D4637"/>
    <w:rsid w:val="003D48C3"/>
    <w:rsid w:val="003D4A0F"/>
    <w:rsid w:val="003D4B13"/>
    <w:rsid w:val="003D4B33"/>
    <w:rsid w:val="003D4BD0"/>
    <w:rsid w:val="003D4BF3"/>
    <w:rsid w:val="003D4BFD"/>
    <w:rsid w:val="003D4C7D"/>
    <w:rsid w:val="003D4CAD"/>
    <w:rsid w:val="003D4D19"/>
    <w:rsid w:val="003D4D8A"/>
    <w:rsid w:val="003D4DA3"/>
    <w:rsid w:val="003D4E2F"/>
    <w:rsid w:val="003D5037"/>
    <w:rsid w:val="003D5047"/>
    <w:rsid w:val="003D506F"/>
    <w:rsid w:val="003D50B5"/>
    <w:rsid w:val="003D5171"/>
    <w:rsid w:val="003D52A1"/>
    <w:rsid w:val="003D52E0"/>
    <w:rsid w:val="003D52EE"/>
    <w:rsid w:val="003D532A"/>
    <w:rsid w:val="003D53D0"/>
    <w:rsid w:val="003D5483"/>
    <w:rsid w:val="003D549B"/>
    <w:rsid w:val="003D5560"/>
    <w:rsid w:val="003D5638"/>
    <w:rsid w:val="003D56B2"/>
    <w:rsid w:val="003D5745"/>
    <w:rsid w:val="003D57F0"/>
    <w:rsid w:val="003D5875"/>
    <w:rsid w:val="003D599B"/>
    <w:rsid w:val="003D5B83"/>
    <w:rsid w:val="003D5BC2"/>
    <w:rsid w:val="003D5C00"/>
    <w:rsid w:val="003D5C3D"/>
    <w:rsid w:val="003D5D1D"/>
    <w:rsid w:val="003D5FAC"/>
    <w:rsid w:val="003D6078"/>
    <w:rsid w:val="003D607C"/>
    <w:rsid w:val="003D6274"/>
    <w:rsid w:val="003D6312"/>
    <w:rsid w:val="003D6314"/>
    <w:rsid w:val="003D6377"/>
    <w:rsid w:val="003D6524"/>
    <w:rsid w:val="003D6572"/>
    <w:rsid w:val="003D66D9"/>
    <w:rsid w:val="003D67BD"/>
    <w:rsid w:val="003D681B"/>
    <w:rsid w:val="003D68D9"/>
    <w:rsid w:val="003D69A9"/>
    <w:rsid w:val="003D69B7"/>
    <w:rsid w:val="003D6A3C"/>
    <w:rsid w:val="003D6A8E"/>
    <w:rsid w:val="003D6AC2"/>
    <w:rsid w:val="003D6C86"/>
    <w:rsid w:val="003D714E"/>
    <w:rsid w:val="003D7218"/>
    <w:rsid w:val="003D73CE"/>
    <w:rsid w:val="003D744C"/>
    <w:rsid w:val="003D74BC"/>
    <w:rsid w:val="003D75C0"/>
    <w:rsid w:val="003D75E2"/>
    <w:rsid w:val="003D77D7"/>
    <w:rsid w:val="003D7935"/>
    <w:rsid w:val="003D7948"/>
    <w:rsid w:val="003D7957"/>
    <w:rsid w:val="003D7A42"/>
    <w:rsid w:val="003D7AB9"/>
    <w:rsid w:val="003D7B5B"/>
    <w:rsid w:val="003D7CB2"/>
    <w:rsid w:val="003D7D9C"/>
    <w:rsid w:val="003D7E28"/>
    <w:rsid w:val="003D7E61"/>
    <w:rsid w:val="003D7E76"/>
    <w:rsid w:val="003D7ED2"/>
    <w:rsid w:val="003D7F2E"/>
    <w:rsid w:val="003D7F5D"/>
    <w:rsid w:val="003D7FE9"/>
    <w:rsid w:val="003E0095"/>
    <w:rsid w:val="003E013E"/>
    <w:rsid w:val="003E0169"/>
    <w:rsid w:val="003E01F3"/>
    <w:rsid w:val="003E03E5"/>
    <w:rsid w:val="003E0418"/>
    <w:rsid w:val="003E04B2"/>
    <w:rsid w:val="003E05B8"/>
    <w:rsid w:val="003E05CE"/>
    <w:rsid w:val="003E05FA"/>
    <w:rsid w:val="003E0778"/>
    <w:rsid w:val="003E08AE"/>
    <w:rsid w:val="003E08F2"/>
    <w:rsid w:val="003E0A77"/>
    <w:rsid w:val="003E0B35"/>
    <w:rsid w:val="003E0BC4"/>
    <w:rsid w:val="003E0C4C"/>
    <w:rsid w:val="003E0D8A"/>
    <w:rsid w:val="003E1019"/>
    <w:rsid w:val="003E1061"/>
    <w:rsid w:val="003E11AC"/>
    <w:rsid w:val="003E1324"/>
    <w:rsid w:val="003E1384"/>
    <w:rsid w:val="003E138D"/>
    <w:rsid w:val="003E13A5"/>
    <w:rsid w:val="003E13EA"/>
    <w:rsid w:val="003E1443"/>
    <w:rsid w:val="003E15C4"/>
    <w:rsid w:val="003E15F3"/>
    <w:rsid w:val="003E1624"/>
    <w:rsid w:val="003E1820"/>
    <w:rsid w:val="003E1839"/>
    <w:rsid w:val="003E1949"/>
    <w:rsid w:val="003E199F"/>
    <w:rsid w:val="003E19A4"/>
    <w:rsid w:val="003E19C6"/>
    <w:rsid w:val="003E1A1E"/>
    <w:rsid w:val="003E1AD2"/>
    <w:rsid w:val="003E1B35"/>
    <w:rsid w:val="003E1C9F"/>
    <w:rsid w:val="003E1D9A"/>
    <w:rsid w:val="003E1DA4"/>
    <w:rsid w:val="003E1E5E"/>
    <w:rsid w:val="003E2260"/>
    <w:rsid w:val="003E22E4"/>
    <w:rsid w:val="003E231A"/>
    <w:rsid w:val="003E23D0"/>
    <w:rsid w:val="003E251B"/>
    <w:rsid w:val="003E26BD"/>
    <w:rsid w:val="003E26D1"/>
    <w:rsid w:val="003E272E"/>
    <w:rsid w:val="003E283B"/>
    <w:rsid w:val="003E29E7"/>
    <w:rsid w:val="003E2A5E"/>
    <w:rsid w:val="003E2AAC"/>
    <w:rsid w:val="003E2BA6"/>
    <w:rsid w:val="003E2C99"/>
    <w:rsid w:val="003E2CA9"/>
    <w:rsid w:val="003E2DC8"/>
    <w:rsid w:val="003E2EC0"/>
    <w:rsid w:val="003E3142"/>
    <w:rsid w:val="003E3149"/>
    <w:rsid w:val="003E3154"/>
    <w:rsid w:val="003E323F"/>
    <w:rsid w:val="003E327C"/>
    <w:rsid w:val="003E3375"/>
    <w:rsid w:val="003E343F"/>
    <w:rsid w:val="003E358C"/>
    <w:rsid w:val="003E3775"/>
    <w:rsid w:val="003E3848"/>
    <w:rsid w:val="003E38B4"/>
    <w:rsid w:val="003E39C8"/>
    <w:rsid w:val="003E3CAB"/>
    <w:rsid w:val="003E3D02"/>
    <w:rsid w:val="003E3D09"/>
    <w:rsid w:val="003E3D14"/>
    <w:rsid w:val="003E3F67"/>
    <w:rsid w:val="003E4133"/>
    <w:rsid w:val="003E41C9"/>
    <w:rsid w:val="003E420A"/>
    <w:rsid w:val="003E4424"/>
    <w:rsid w:val="003E44D7"/>
    <w:rsid w:val="003E4528"/>
    <w:rsid w:val="003E4541"/>
    <w:rsid w:val="003E4585"/>
    <w:rsid w:val="003E4718"/>
    <w:rsid w:val="003E472A"/>
    <w:rsid w:val="003E474B"/>
    <w:rsid w:val="003E474C"/>
    <w:rsid w:val="003E48E3"/>
    <w:rsid w:val="003E49BA"/>
    <w:rsid w:val="003E49EA"/>
    <w:rsid w:val="003E4A46"/>
    <w:rsid w:val="003E4A74"/>
    <w:rsid w:val="003E4AF4"/>
    <w:rsid w:val="003E4B43"/>
    <w:rsid w:val="003E4B50"/>
    <w:rsid w:val="003E4E22"/>
    <w:rsid w:val="003E4E66"/>
    <w:rsid w:val="003E4E6F"/>
    <w:rsid w:val="003E505E"/>
    <w:rsid w:val="003E50B5"/>
    <w:rsid w:val="003E5109"/>
    <w:rsid w:val="003E5267"/>
    <w:rsid w:val="003E5304"/>
    <w:rsid w:val="003E5434"/>
    <w:rsid w:val="003E55A4"/>
    <w:rsid w:val="003E55B9"/>
    <w:rsid w:val="003E57E8"/>
    <w:rsid w:val="003E580D"/>
    <w:rsid w:val="003E580F"/>
    <w:rsid w:val="003E58EB"/>
    <w:rsid w:val="003E5903"/>
    <w:rsid w:val="003E5957"/>
    <w:rsid w:val="003E59A6"/>
    <w:rsid w:val="003E59C8"/>
    <w:rsid w:val="003E5A35"/>
    <w:rsid w:val="003E5AD7"/>
    <w:rsid w:val="003E5B02"/>
    <w:rsid w:val="003E5C4D"/>
    <w:rsid w:val="003E5C50"/>
    <w:rsid w:val="003E5CDD"/>
    <w:rsid w:val="003E5DEB"/>
    <w:rsid w:val="003E5E62"/>
    <w:rsid w:val="003E5ED9"/>
    <w:rsid w:val="003E5FBB"/>
    <w:rsid w:val="003E603C"/>
    <w:rsid w:val="003E61E8"/>
    <w:rsid w:val="003E625B"/>
    <w:rsid w:val="003E64D2"/>
    <w:rsid w:val="003E64F1"/>
    <w:rsid w:val="003E665E"/>
    <w:rsid w:val="003E66CC"/>
    <w:rsid w:val="003E6898"/>
    <w:rsid w:val="003E68BB"/>
    <w:rsid w:val="003E692A"/>
    <w:rsid w:val="003E69AF"/>
    <w:rsid w:val="003E69CD"/>
    <w:rsid w:val="003E6BC7"/>
    <w:rsid w:val="003E6BD0"/>
    <w:rsid w:val="003E6BE6"/>
    <w:rsid w:val="003E6D12"/>
    <w:rsid w:val="003E6DA7"/>
    <w:rsid w:val="003E6EFE"/>
    <w:rsid w:val="003E6F80"/>
    <w:rsid w:val="003E6FFA"/>
    <w:rsid w:val="003E713C"/>
    <w:rsid w:val="003E7325"/>
    <w:rsid w:val="003E7362"/>
    <w:rsid w:val="003E7375"/>
    <w:rsid w:val="003E7385"/>
    <w:rsid w:val="003E75DB"/>
    <w:rsid w:val="003E7606"/>
    <w:rsid w:val="003E7624"/>
    <w:rsid w:val="003E7668"/>
    <w:rsid w:val="003E7784"/>
    <w:rsid w:val="003E78AD"/>
    <w:rsid w:val="003E78F8"/>
    <w:rsid w:val="003E791D"/>
    <w:rsid w:val="003E796B"/>
    <w:rsid w:val="003E7B38"/>
    <w:rsid w:val="003E7B59"/>
    <w:rsid w:val="003E7CC1"/>
    <w:rsid w:val="003E7DB6"/>
    <w:rsid w:val="003E7DEA"/>
    <w:rsid w:val="003E7EF6"/>
    <w:rsid w:val="003E7F9C"/>
    <w:rsid w:val="003F008C"/>
    <w:rsid w:val="003F00A8"/>
    <w:rsid w:val="003F00DC"/>
    <w:rsid w:val="003F0113"/>
    <w:rsid w:val="003F021E"/>
    <w:rsid w:val="003F02C7"/>
    <w:rsid w:val="003F0341"/>
    <w:rsid w:val="003F03E7"/>
    <w:rsid w:val="003F04AB"/>
    <w:rsid w:val="003F0515"/>
    <w:rsid w:val="003F0561"/>
    <w:rsid w:val="003F05B8"/>
    <w:rsid w:val="003F07C9"/>
    <w:rsid w:val="003F0934"/>
    <w:rsid w:val="003F0941"/>
    <w:rsid w:val="003F095C"/>
    <w:rsid w:val="003F0967"/>
    <w:rsid w:val="003F0982"/>
    <w:rsid w:val="003F0ADC"/>
    <w:rsid w:val="003F0D9B"/>
    <w:rsid w:val="003F0D9F"/>
    <w:rsid w:val="003F0F67"/>
    <w:rsid w:val="003F114A"/>
    <w:rsid w:val="003F14F8"/>
    <w:rsid w:val="003F1567"/>
    <w:rsid w:val="003F173F"/>
    <w:rsid w:val="003F1756"/>
    <w:rsid w:val="003F189B"/>
    <w:rsid w:val="003F18C8"/>
    <w:rsid w:val="003F1954"/>
    <w:rsid w:val="003F19C9"/>
    <w:rsid w:val="003F19F7"/>
    <w:rsid w:val="003F1AEE"/>
    <w:rsid w:val="003F1C3D"/>
    <w:rsid w:val="003F1DBE"/>
    <w:rsid w:val="003F1FA9"/>
    <w:rsid w:val="003F1FF6"/>
    <w:rsid w:val="003F2024"/>
    <w:rsid w:val="003F20A1"/>
    <w:rsid w:val="003F20E4"/>
    <w:rsid w:val="003F2224"/>
    <w:rsid w:val="003F2243"/>
    <w:rsid w:val="003F2254"/>
    <w:rsid w:val="003F230E"/>
    <w:rsid w:val="003F2511"/>
    <w:rsid w:val="003F2512"/>
    <w:rsid w:val="003F2515"/>
    <w:rsid w:val="003F25C9"/>
    <w:rsid w:val="003F2701"/>
    <w:rsid w:val="003F2741"/>
    <w:rsid w:val="003F274E"/>
    <w:rsid w:val="003F2766"/>
    <w:rsid w:val="003F2777"/>
    <w:rsid w:val="003F278E"/>
    <w:rsid w:val="003F27DC"/>
    <w:rsid w:val="003F285E"/>
    <w:rsid w:val="003F286B"/>
    <w:rsid w:val="003F28CE"/>
    <w:rsid w:val="003F29E9"/>
    <w:rsid w:val="003F2B62"/>
    <w:rsid w:val="003F2C86"/>
    <w:rsid w:val="003F2DEF"/>
    <w:rsid w:val="003F2EBB"/>
    <w:rsid w:val="003F2ED4"/>
    <w:rsid w:val="003F2F35"/>
    <w:rsid w:val="003F3161"/>
    <w:rsid w:val="003F317E"/>
    <w:rsid w:val="003F3398"/>
    <w:rsid w:val="003F3459"/>
    <w:rsid w:val="003F3535"/>
    <w:rsid w:val="003F35F0"/>
    <w:rsid w:val="003F361D"/>
    <w:rsid w:val="003F3634"/>
    <w:rsid w:val="003F3809"/>
    <w:rsid w:val="003F3813"/>
    <w:rsid w:val="003F3C46"/>
    <w:rsid w:val="003F3C76"/>
    <w:rsid w:val="003F3D48"/>
    <w:rsid w:val="003F3DD3"/>
    <w:rsid w:val="003F3E69"/>
    <w:rsid w:val="003F3F85"/>
    <w:rsid w:val="003F406A"/>
    <w:rsid w:val="003F4122"/>
    <w:rsid w:val="003F418F"/>
    <w:rsid w:val="003F4231"/>
    <w:rsid w:val="003F424E"/>
    <w:rsid w:val="003F42BA"/>
    <w:rsid w:val="003F4389"/>
    <w:rsid w:val="003F43FF"/>
    <w:rsid w:val="003F451E"/>
    <w:rsid w:val="003F4539"/>
    <w:rsid w:val="003F4702"/>
    <w:rsid w:val="003F4761"/>
    <w:rsid w:val="003F493F"/>
    <w:rsid w:val="003F4A43"/>
    <w:rsid w:val="003F4B20"/>
    <w:rsid w:val="003F4B9F"/>
    <w:rsid w:val="003F4BFF"/>
    <w:rsid w:val="003F4C8F"/>
    <w:rsid w:val="003F4ED5"/>
    <w:rsid w:val="003F4F64"/>
    <w:rsid w:val="003F500E"/>
    <w:rsid w:val="003F506F"/>
    <w:rsid w:val="003F518F"/>
    <w:rsid w:val="003F52A2"/>
    <w:rsid w:val="003F5345"/>
    <w:rsid w:val="003F5351"/>
    <w:rsid w:val="003F53D8"/>
    <w:rsid w:val="003F5455"/>
    <w:rsid w:val="003F545C"/>
    <w:rsid w:val="003F553E"/>
    <w:rsid w:val="003F55AE"/>
    <w:rsid w:val="003F57BD"/>
    <w:rsid w:val="003F57C1"/>
    <w:rsid w:val="003F57D4"/>
    <w:rsid w:val="003F5863"/>
    <w:rsid w:val="003F58FA"/>
    <w:rsid w:val="003F5AA5"/>
    <w:rsid w:val="003F5AC9"/>
    <w:rsid w:val="003F5C9B"/>
    <w:rsid w:val="003F5CED"/>
    <w:rsid w:val="003F5D6D"/>
    <w:rsid w:val="003F5DD1"/>
    <w:rsid w:val="003F5EE9"/>
    <w:rsid w:val="003F5EEF"/>
    <w:rsid w:val="003F5EF8"/>
    <w:rsid w:val="003F5FD8"/>
    <w:rsid w:val="003F5FE2"/>
    <w:rsid w:val="003F62B8"/>
    <w:rsid w:val="003F63A1"/>
    <w:rsid w:val="003F6717"/>
    <w:rsid w:val="003F69AC"/>
    <w:rsid w:val="003F6ACC"/>
    <w:rsid w:val="003F6AE8"/>
    <w:rsid w:val="003F6C36"/>
    <w:rsid w:val="003F6FAA"/>
    <w:rsid w:val="003F6FF0"/>
    <w:rsid w:val="003F706A"/>
    <w:rsid w:val="003F70AE"/>
    <w:rsid w:val="003F711D"/>
    <w:rsid w:val="003F7186"/>
    <w:rsid w:val="003F7234"/>
    <w:rsid w:val="003F7255"/>
    <w:rsid w:val="003F7332"/>
    <w:rsid w:val="003F741B"/>
    <w:rsid w:val="003F788F"/>
    <w:rsid w:val="003F78C4"/>
    <w:rsid w:val="003F78E2"/>
    <w:rsid w:val="003F7989"/>
    <w:rsid w:val="003F79C5"/>
    <w:rsid w:val="003F79D2"/>
    <w:rsid w:val="003F7A06"/>
    <w:rsid w:val="003F7A6D"/>
    <w:rsid w:val="003F7AEF"/>
    <w:rsid w:val="003F7D41"/>
    <w:rsid w:val="003F7D49"/>
    <w:rsid w:val="003F7E9C"/>
    <w:rsid w:val="003F7EB6"/>
    <w:rsid w:val="003F7EDF"/>
    <w:rsid w:val="003F7EE6"/>
    <w:rsid w:val="003F7F9C"/>
    <w:rsid w:val="00400042"/>
    <w:rsid w:val="004000A4"/>
    <w:rsid w:val="004000BC"/>
    <w:rsid w:val="00400133"/>
    <w:rsid w:val="00400136"/>
    <w:rsid w:val="00400193"/>
    <w:rsid w:val="0040019C"/>
    <w:rsid w:val="004003B6"/>
    <w:rsid w:val="00400423"/>
    <w:rsid w:val="004006B2"/>
    <w:rsid w:val="004007E0"/>
    <w:rsid w:val="004007EC"/>
    <w:rsid w:val="00400973"/>
    <w:rsid w:val="004009B4"/>
    <w:rsid w:val="00400B64"/>
    <w:rsid w:val="00400C70"/>
    <w:rsid w:val="00400C8A"/>
    <w:rsid w:val="00400CDE"/>
    <w:rsid w:val="00400D5D"/>
    <w:rsid w:val="00400DAE"/>
    <w:rsid w:val="00400E27"/>
    <w:rsid w:val="00400E8F"/>
    <w:rsid w:val="00400EFE"/>
    <w:rsid w:val="00400F36"/>
    <w:rsid w:val="00401276"/>
    <w:rsid w:val="004012D6"/>
    <w:rsid w:val="0040134F"/>
    <w:rsid w:val="004013CD"/>
    <w:rsid w:val="004014D3"/>
    <w:rsid w:val="004014F3"/>
    <w:rsid w:val="004016C5"/>
    <w:rsid w:val="0040175C"/>
    <w:rsid w:val="0040182B"/>
    <w:rsid w:val="0040191A"/>
    <w:rsid w:val="004019A7"/>
    <w:rsid w:val="004019D6"/>
    <w:rsid w:val="00401B8E"/>
    <w:rsid w:val="00401BFC"/>
    <w:rsid w:val="00401C64"/>
    <w:rsid w:val="00401CF5"/>
    <w:rsid w:val="00401D62"/>
    <w:rsid w:val="00401E50"/>
    <w:rsid w:val="00401EAA"/>
    <w:rsid w:val="00401ECE"/>
    <w:rsid w:val="00401EEA"/>
    <w:rsid w:val="00401F32"/>
    <w:rsid w:val="00401F4F"/>
    <w:rsid w:val="00401FAC"/>
    <w:rsid w:val="0040208E"/>
    <w:rsid w:val="0040217B"/>
    <w:rsid w:val="004022C0"/>
    <w:rsid w:val="004022C8"/>
    <w:rsid w:val="004022C9"/>
    <w:rsid w:val="00402364"/>
    <w:rsid w:val="00402505"/>
    <w:rsid w:val="004027B5"/>
    <w:rsid w:val="00402848"/>
    <w:rsid w:val="00402A4A"/>
    <w:rsid w:val="00402BE1"/>
    <w:rsid w:val="00402C73"/>
    <w:rsid w:val="00402CA2"/>
    <w:rsid w:val="00402F7F"/>
    <w:rsid w:val="00402FAF"/>
    <w:rsid w:val="00402FBD"/>
    <w:rsid w:val="00402FD2"/>
    <w:rsid w:val="00403086"/>
    <w:rsid w:val="00403095"/>
    <w:rsid w:val="004030AD"/>
    <w:rsid w:val="004031A9"/>
    <w:rsid w:val="004031AB"/>
    <w:rsid w:val="00403227"/>
    <w:rsid w:val="0040333A"/>
    <w:rsid w:val="00403388"/>
    <w:rsid w:val="004033FB"/>
    <w:rsid w:val="0040344D"/>
    <w:rsid w:val="0040345D"/>
    <w:rsid w:val="0040356F"/>
    <w:rsid w:val="004035D8"/>
    <w:rsid w:val="004035E1"/>
    <w:rsid w:val="00403705"/>
    <w:rsid w:val="00403878"/>
    <w:rsid w:val="00403A08"/>
    <w:rsid w:val="00403A16"/>
    <w:rsid w:val="00403A43"/>
    <w:rsid w:val="00403B08"/>
    <w:rsid w:val="00403B4D"/>
    <w:rsid w:val="00403B85"/>
    <w:rsid w:val="00403BD2"/>
    <w:rsid w:val="00403E3A"/>
    <w:rsid w:val="00403FC9"/>
    <w:rsid w:val="00403FE7"/>
    <w:rsid w:val="00404061"/>
    <w:rsid w:val="004041DB"/>
    <w:rsid w:val="0040422B"/>
    <w:rsid w:val="00404297"/>
    <w:rsid w:val="004042E0"/>
    <w:rsid w:val="0040444F"/>
    <w:rsid w:val="00404471"/>
    <w:rsid w:val="004044DE"/>
    <w:rsid w:val="004044E2"/>
    <w:rsid w:val="00404533"/>
    <w:rsid w:val="004045BF"/>
    <w:rsid w:val="004045E8"/>
    <w:rsid w:val="004045FA"/>
    <w:rsid w:val="004046D6"/>
    <w:rsid w:val="004046DC"/>
    <w:rsid w:val="00404742"/>
    <w:rsid w:val="0040479D"/>
    <w:rsid w:val="0040484E"/>
    <w:rsid w:val="004048DB"/>
    <w:rsid w:val="00404989"/>
    <w:rsid w:val="00404A30"/>
    <w:rsid w:val="00404BB3"/>
    <w:rsid w:val="00404DC5"/>
    <w:rsid w:val="00404E51"/>
    <w:rsid w:val="00404ED2"/>
    <w:rsid w:val="00404FBF"/>
    <w:rsid w:val="00405151"/>
    <w:rsid w:val="0040517D"/>
    <w:rsid w:val="004051B8"/>
    <w:rsid w:val="004052BC"/>
    <w:rsid w:val="004054C9"/>
    <w:rsid w:val="004054ED"/>
    <w:rsid w:val="0040563B"/>
    <w:rsid w:val="00405642"/>
    <w:rsid w:val="00405645"/>
    <w:rsid w:val="00405768"/>
    <w:rsid w:val="00405875"/>
    <w:rsid w:val="004058B6"/>
    <w:rsid w:val="004058E0"/>
    <w:rsid w:val="0040592F"/>
    <w:rsid w:val="004059F3"/>
    <w:rsid w:val="00405AE0"/>
    <w:rsid w:val="00405B6C"/>
    <w:rsid w:val="00405C79"/>
    <w:rsid w:val="00405C99"/>
    <w:rsid w:val="00405D64"/>
    <w:rsid w:val="00405D67"/>
    <w:rsid w:val="00405E9B"/>
    <w:rsid w:val="00405E9E"/>
    <w:rsid w:val="00405EFB"/>
    <w:rsid w:val="00405F0E"/>
    <w:rsid w:val="00405FAE"/>
    <w:rsid w:val="00406020"/>
    <w:rsid w:val="0040604F"/>
    <w:rsid w:val="00406119"/>
    <w:rsid w:val="004062F8"/>
    <w:rsid w:val="0040633D"/>
    <w:rsid w:val="004063C5"/>
    <w:rsid w:val="00406413"/>
    <w:rsid w:val="004064B9"/>
    <w:rsid w:val="004065BB"/>
    <w:rsid w:val="00406649"/>
    <w:rsid w:val="00406681"/>
    <w:rsid w:val="004066C3"/>
    <w:rsid w:val="00406727"/>
    <w:rsid w:val="004067B1"/>
    <w:rsid w:val="004067BE"/>
    <w:rsid w:val="004067EA"/>
    <w:rsid w:val="00406845"/>
    <w:rsid w:val="004068D8"/>
    <w:rsid w:val="00406CBF"/>
    <w:rsid w:val="00406CC8"/>
    <w:rsid w:val="00406D69"/>
    <w:rsid w:val="00406E32"/>
    <w:rsid w:val="00406E92"/>
    <w:rsid w:val="00406F0B"/>
    <w:rsid w:val="00407120"/>
    <w:rsid w:val="00407137"/>
    <w:rsid w:val="00407251"/>
    <w:rsid w:val="00407294"/>
    <w:rsid w:val="004072C6"/>
    <w:rsid w:val="004072DC"/>
    <w:rsid w:val="004072E7"/>
    <w:rsid w:val="004073F4"/>
    <w:rsid w:val="004074B0"/>
    <w:rsid w:val="00407634"/>
    <w:rsid w:val="00407772"/>
    <w:rsid w:val="0040784A"/>
    <w:rsid w:val="004078A4"/>
    <w:rsid w:val="004078EC"/>
    <w:rsid w:val="00407934"/>
    <w:rsid w:val="00407950"/>
    <w:rsid w:val="004079DE"/>
    <w:rsid w:val="00407AD9"/>
    <w:rsid w:val="00407BCA"/>
    <w:rsid w:val="00407CB0"/>
    <w:rsid w:val="00407D48"/>
    <w:rsid w:val="00407DB2"/>
    <w:rsid w:val="00407ECE"/>
    <w:rsid w:val="00407EF7"/>
    <w:rsid w:val="00407F32"/>
    <w:rsid w:val="0040C8EC"/>
    <w:rsid w:val="0041003C"/>
    <w:rsid w:val="00410040"/>
    <w:rsid w:val="004100E3"/>
    <w:rsid w:val="00410193"/>
    <w:rsid w:val="004101D9"/>
    <w:rsid w:val="00410240"/>
    <w:rsid w:val="00410277"/>
    <w:rsid w:val="0041028D"/>
    <w:rsid w:val="004102A2"/>
    <w:rsid w:val="004103CA"/>
    <w:rsid w:val="0041061A"/>
    <w:rsid w:val="00410650"/>
    <w:rsid w:val="004106B6"/>
    <w:rsid w:val="0041073B"/>
    <w:rsid w:val="0041078E"/>
    <w:rsid w:val="004107B5"/>
    <w:rsid w:val="00410812"/>
    <w:rsid w:val="00410B84"/>
    <w:rsid w:val="00410BD6"/>
    <w:rsid w:val="00410C74"/>
    <w:rsid w:val="00410E34"/>
    <w:rsid w:val="00410F01"/>
    <w:rsid w:val="00411094"/>
    <w:rsid w:val="004111D5"/>
    <w:rsid w:val="004113B4"/>
    <w:rsid w:val="00411455"/>
    <w:rsid w:val="0041149F"/>
    <w:rsid w:val="004114A5"/>
    <w:rsid w:val="0041164C"/>
    <w:rsid w:val="004116B9"/>
    <w:rsid w:val="00411865"/>
    <w:rsid w:val="00411A1C"/>
    <w:rsid w:val="00411A90"/>
    <w:rsid w:val="00411AD6"/>
    <w:rsid w:val="00411E28"/>
    <w:rsid w:val="00411F7C"/>
    <w:rsid w:val="00411FCC"/>
    <w:rsid w:val="0041200E"/>
    <w:rsid w:val="00412048"/>
    <w:rsid w:val="004120E9"/>
    <w:rsid w:val="0041211D"/>
    <w:rsid w:val="004121B3"/>
    <w:rsid w:val="00412463"/>
    <w:rsid w:val="004124AC"/>
    <w:rsid w:val="00412597"/>
    <w:rsid w:val="00412606"/>
    <w:rsid w:val="0041260F"/>
    <w:rsid w:val="0041272C"/>
    <w:rsid w:val="00412822"/>
    <w:rsid w:val="0041282E"/>
    <w:rsid w:val="0041287A"/>
    <w:rsid w:val="00412998"/>
    <w:rsid w:val="00412AC7"/>
    <w:rsid w:val="00412ADD"/>
    <w:rsid w:val="00412C5E"/>
    <w:rsid w:val="00412CA5"/>
    <w:rsid w:val="00412D21"/>
    <w:rsid w:val="00412EA0"/>
    <w:rsid w:val="0041303D"/>
    <w:rsid w:val="00413198"/>
    <w:rsid w:val="004131CB"/>
    <w:rsid w:val="0041320E"/>
    <w:rsid w:val="004134BC"/>
    <w:rsid w:val="0041352A"/>
    <w:rsid w:val="00413565"/>
    <w:rsid w:val="00413607"/>
    <w:rsid w:val="0041363F"/>
    <w:rsid w:val="00413664"/>
    <w:rsid w:val="0041374F"/>
    <w:rsid w:val="004137C4"/>
    <w:rsid w:val="004137D1"/>
    <w:rsid w:val="00413875"/>
    <w:rsid w:val="00413891"/>
    <w:rsid w:val="0041393B"/>
    <w:rsid w:val="00413C91"/>
    <w:rsid w:val="00413E0D"/>
    <w:rsid w:val="00413F8D"/>
    <w:rsid w:val="00414086"/>
    <w:rsid w:val="00414091"/>
    <w:rsid w:val="004140C0"/>
    <w:rsid w:val="004140CC"/>
    <w:rsid w:val="00414115"/>
    <w:rsid w:val="00414208"/>
    <w:rsid w:val="00414224"/>
    <w:rsid w:val="00414246"/>
    <w:rsid w:val="00414265"/>
    <w:rsid w:val="004142D8"/>
    <w:rsid w:val="00414398"/>
    <w:rsid w:val="004144FE"/>
    <w:rsid w:val="0041451B"/>
    <w:rsid w:val="00414646"/>
    <w:rsid w:val="00414828"/>
    <w:rsid w:val="004149A9"/>
    <w:rsid w:val="004149D2"/>
    <w:rsid w:val="00414A12"/>
    <w:rsid w:val="00414A1C"/>
    <w:rsid w:val="00414BA4"/>
    <w:rsid w:val="00414BEA"/>
    <w:rsid w:val="00414C43"/>
    <w:rsid w:val="00414DDD"/>
    <w:rsid w:val="00414E28"/>
    <w:rsid w:val="00414E50"/>
    <w:rsid w:val="00414EB4"/>
    <w:rsid w:val="00414F01"/>
    <w:rsid w:val="0041508C"/>
    <w:rsid w:val="00415097"/>
    <w:rsid w:val="004150A8"/>
    <w:rsid w:val="00415174"/>
    <w:rsid w:val="004151F1"/>
    <w:rsid w:val="0041528A"/>
    <w:rsid w:val="004152CC"/>
    <w:rsid w:val="0041530C"/>
    <w:rsid w:val="00415434"/>
    <w:rsid w:val="004154EB"/>
    <w:rsid w:val="00415581"/>
    <w:rsid w:val="00415586"/>
    <w:rsid w:val="004155C0"/>
    <w:rsid w:val="00415730"/>
    <w:rsid w:val="0041573D"/>
    <w:rsid w:val="0041584C"/>
    <w:rsid w:val="004158B7"/>
    <w:rsid w:val="004158EE"/>
    <w:rsid w:val="00415A68"/>
    <w:rsid w:val="00415C77"/>
    <w:rsid w:val="00415ECB"/>
    <w:rsid w:val="00415ED7"/>
    <w:rsid w:val="00415F7D"/>
    <w:rsid w:val="004161E9"/>
    <w:rsid w:val="004162C9"/>
    <w:rsid w:val="00416337"/>
    <w:rsid w:val="004163A2"/>
    <w:rsid w:val="00416488"/>
    <w:rsid w:val="004164EA"/>
    <w:rsid w:val="00416522"/>
    <w:rsid w:val="00416535"/>
    <w:rsid w:val="004166AD"/>
    <w:rsid w:val="004166EF"/>
    <w:rsid w:val="004167F7"/>
    <w:rsid w:val="00416828"/>
    <w:rsid w:val="00416962"/>
    <w:rsid w:val="00416A47"/>
    <w:rsid w:val="00416C05"/>
    <w:rsid w:val="00416C60"/>
    <w:rsid w:val="00416D41"/>
    <w:rsid w:val="00416DCF"/>
    <w:rsid w:val="00416E8B"/>
    <w:rsid w:val="00416EA8"/>
    <w:rsid w:val="00416EE5"/>
    <w:rsid w:val="004170A7"/>
    <w:rsid w:val="004170D4"/>
    <w:rsid w:val="004170FA"/>
    <w:rsid w:val="004171D1"/>
    <w:rsid w:val="00417203"/>
    <w:rsid w:val="00417281"/>
    <w:rsid w:val="004172FE"/>
    <w:rsid w:val="00417451"/>
    <w:rsid w:val="00417496"/>
    <w:rsid w:val="00417573"/>
    <w:rsid w:val="00417580"/>
    <w:rsid w:val="004175AC"/>
    <w:rsid w:val="00417604"/>
    <w:rsid w:val="004176AE"/>
    <w:rsid w:val="004177B2"/>
    <w:rsid w:val="0041784A"/>
    <w:rsid w:val="004178FF"/>
    <w:rsid w:val="0041798E"/>
    <w:rsid w:val="00417AF0"/>
    <w:rsid w:val="00417B5F"/>
    <w:rsid w:val="00417C7F"/>
    <w:rsid w:val="00417CA3"/>
    <w:rsid w:val="00417D85"/>
    <w:rsid w:val="00417DDC"/>
    <w:rsid w:val="00417DFD"/>
    <w:rsid w:val="00417F30"/>
    <w:rsid w:val="00417F4D"/>
    <w:rsid w:val="00417F82"/>
    <w:rsid w:val="00420018"/>
    <w:rsid w:val="00420022"/>
    <w:rsid w:val="0042004C"/>
    <w:rsid w:val="0042011B"/>
    <w:rsid w:val="00420145"/>
    <w:rsid w:val="004201A9"/>
    <w:rsid w:val="004201B8"/>
    <w:rsid w:val="0042023B"/>
    <w:rsid w:val="0042024B"/>
    <w:rsid w:val="0042028C"/>
    <w:rsid w:val="00420325"/>
    <w:rsid w:val="004203E9"/>
    <w:rsid w:val="004204BA"/>
    <w:rsid w:val="00420532"/>
    <w:rsid w:val="00420563"/>
    <w:rsid w:val="0042057D"/>
    <w:rsid w:val="004207A5"/>
    <w:rsid w:val="00420907"/>
    <w:rsid w:val="00420945"/>
    <w:rsid w:val="00420A02"/>
    <w:rsid w:val="00420B3E"/>
    <w:rsid w:val="00420B6E"/>
    <w:rsid w:val="00420B8E"/>
    <w:rsid w:val="00420BC3"/>
    <w:rsid w:val="00420CEC"/>
    <w:rsid w:val="00420D4E"/>
    <w:rsid w:val="00420DC3"/>
    <w:rsid w:val="00420FF2"/>
    <w:rsid w:val="00421088"/>
    <w:rsid w:val="004210AE"/>
    <w:rsid w:val="00421125"/>
    <w:rsid w:val="00421235"/>
    <w:rsid w:val="0042131C"/>
    <w:rsid w:val="00421339"/>
    <w:rsid w:val="00421383"/>
    <w:rsid w:val="004213EA"/>
    <w:rsid w:val="004214BB"/>
    <w:rsid w:val="0042165D"/>
    <w:rsid w:val="004216CA"/>
    <w:rsid w:val="00421755"/>
    <w:rsid w:val="0042179D"/>
    <w:rsid w:val="004218D8"/>
    <w:rsid w:val="00421A39"/>
    <w:rsid w:val="00421AAB"/>
    <w:rsid w:val="00421C92"/>
    <w:rsid w:val="00421D02"/>
    <w:rsid w:val="00421DD1"/>
    <w:rsid w:val="00421E42"/>
    <w:rsid w:val="00421E89"/>
    <w:rsid w:val="0042208B"/>
    <w:rsid w:val="0042217A"/>
    <w:rsid w:val="00422341"/>
    <w:rsid w:val="00422415"/>
    <w:rsid w:val="004225E2"/>
    <w:rsid w:val="00422623"/>
    <w:rsid w:val="004226CA"/>
    <w:rsid w:val="004227BE"/>
    <w:rsid w:val="00422893"/>
    <w:rsid w:val="004228AD"/>
    <w:rsid w:val="004228E0"/>
    <w:rsid w:val="00422950"/>
    <w:rsid w:val="004229F8"/>
    <w:rsid w:val="00422AA5"/>
    <w:rsid w:val="00422B0E"/>
    <w:rsid w:val="00422B38"/>
    <w:rsid w:val="00422C20"/>
    <w:rsid w:val="00422C6A"/>
    <w:rsid w:val="00422D91"/>
    <w:rsid w:val="00422F80"/>
    <w:rsid w:val="00422FFB"/>
    <w:rsid w:val="004230F7"/>
    <w:rsid w:val="004232A9"/>
    <w:rsid w:val="004232BA"/>
    <w:rsid w:val="0042332E"/>
    <w:rsid w:val="0042340C"/>
    <w:rsid w:val="00423458"/>
    <w:rsid w:val="00423470"/>
    <w:rsid w:val="0042349F"/>
    <w:rsid w:val="004234D3"/>
    <w:rsid w:val="0042350A"/>
    <w:rsid w:val="00423579"/>
    <w:rsid w:val="004237DF"/>
    <w:rsid w:val="0042387B"/>
    <w:rsid w:val="00423921"/>
    <w:rsid w:val="004239B4"/>
    <w:rsid w:val="004239BD"/>
    <w:rsid w:val="00423A88"/>
    <w:rsid w:val="00423ACD"/>
    <w:rsid w:val="00423B07"/>
    <w:rsid w:val="00423B1E"/>
    <w:rsid w:val="00423C03"/>
    <w:rsid w:val="00423C33"/>
    <w:rsid w:val="00423C82"/>
    <w:rsid w:val="00423D2B"/>
    <w:rsid w:val="00423D89"/>
    <w:rsid w:val="00423DE7"/>
    <w:rsid w:val="00423E0B"/>
    <w:rsid w:val="00423F28"/>
    <w:rsid w:val="00423FDF"/>
    <w:rsid w:val="004240FD"/>
    <w:rsid w:val="00424131"/>
    <w:rsid w:val="00424226"/>
    <w:rsid w:val="004243B8"/>
    <w:rsid w:val="004243BE"/>
    <w:rsid w:val="004244F8"/>
    <w:rsid w:val="00424556"/>
    <w:rsid w:val="004245A2"/>
    <w:rsid w:val="0042469C"/>
    <w:rsid w:val="004246D6"/>
    <w:rsid w:val="004246FB"/>
    <w:rsid w:val="004247AB"/>
    <w:rsid w:val="004247AD"/>
    <w:rsid w:val="004247B8"/>
    <w:rsid w:val="004249A3"/>
    <w:rsid w:val="004249BA"/>
    <w:rsid w:val="00424A61"/>
    <w:rsid w:val="00424B06"/>
    <w:rsid w:val="00424B14"/>
    <w:rsid w:val="00424B6C"/>
    <w:rsid w:val="00424BC5"/>
    <w:rsid w:val="00424C43"/>
    <w:rsid w:val="00424CA9"/>
    <w:rsid w:val="00424CDF"/>
    <w:rsid w:val="00424D62"/>
    <w:rsid w:val="00424EDC"/>
    <w:rsid w:val="004250AB"/>
    <w:rsid w:val="004253CB"/>
    <w:rsid w:val="004253D0"/>
    <w:rsid w:val="004255AA"/>
    <w:rsid w:val="004256F8"/>
    <w:rsid w:val="00425853"/>
    <w:rsid w:val="0042585A"/>
    <w:rsid w:val="004258F4"/>
    <w:rsid w:val="00425A96"/>
    <w:rsid w:val="00425AC2"/>
    <w:rsid w:val="00425AF0"/>
    <w:rsid w:val="00425C37"/>
    <w:rsid w:val="00425C94"/>
    <w:rsid w:val="00425DA5"/>
    <w:rsid w:val="00425DD3"/>
    <w:rsid w:val="00425DE8"/>
    <w:rsid w:val="00425F5E"/>
    <w:rsid w:val="00425FAA"/>
    <w:rsid w:val="00426051"/>
    <w:rsid w:val="0042606D"/>
    <w:rsid w:val="00426121"/>
    <w:rsid w:val="004261B1"/>
    <w:rsid w:val="00426251"/>
    <w:rsid w:val="00426273"/>
    <w:rsid w:val="004262FE"/>
    <w:rsid w:val="00426404"/>
    <w:rsid w:val="0042651A"/>
    <w:rsid w:val="0042658D"/>
    <w:rsid w:val="004267F3"/>
    <w:rsid w:val="00426A8C"/>
    <w:rsid w:val="00426B28"/>
    <w:rsid w:val="00426B9C"/>
    <w:rsid w:val="00426C29"/>
    <w:rsid w:val="00426CD6"/>
    <w:rsid w:val="00426D09"/>
    <w:rsid w:val="00426E4C"/>
    <w:rsid w:val="00426E80"/>
    <w:rsid w:val="00426EEF"/>
    <w:rsid w:val="00426F4C"/>
    <w:rsid w:val="00426FE7"/>
    <w:rsid w:val="0042711E"/>
    <w:rsid w:val="00427317"/>
    <w:rsid w:val="00427424"/>
    <w:rsid w:val="0042742A"/>
    <w:rsid w:val="00427471"/>
    <w:rsid w:val="004274E3"/>
    <w:rsid w:val="004276AE"/>
    <w:rsid w:val="00427830"/>
    <w:rsid w:val="0042784E"/>
    <w:rsid w:val="004278CB"/>
    <w:rsid w:val="00427925"/>
    <w:rsid w:val="004279A2"/>
    <w:rsid w:val="00427A0F"/>
    <w:rsid w:val="00427A2D"/>
    <w:rsid w:val="00427BF5"/>
    <w:rsid w:val="00427BFD"/>
    <w:rsid w:val="00427CAB"/>
    <w:rsid w:val="00427CE2"/>
    <w:rsid w:val="00427E38"/>
    <w:rsid w:val="00427ED4"/>
    <w:rsid w:val="00427F06"/>
    <w:rsid w:val="00427FA7"/>
    <w:rsid w:val="00430123"/>
    <w:rsid w:val="0043022F"/>
    <w:rsid w:val="004302C3"/>
    <w:rsid w:val="004303EA"/>
    <w:rsid w:val="00430478"/>
    <w:rsid w:val="00430489"/>
    <w:rsid w:val="004304EC"/>
    <w:rsid w:val="00430536"/>
    <w:rsid w:val="00430818"/>
    <w:rsid w:val="004309E3"/>
    <w:rsid w:val="00430C9D"/>
    <w:rsid w:val="00430CB5"/>
    <w:rsid w:val="00430D1B"/>
    <w:rsid w:val="00430D95"/>
    <w:rsid w:val="00430EDF"/>
    <w:rsid w:val="00430F6B"/>
    <w:rsid w:val="00430FF9"/>
    <w:rsid w:val="0043108B"/>
    <w:rsid w:val="0043108F"/>
    <w:rsid w:val="004310AD"/>
    <w:rsid w:val="004313DF"/>
    <w:rsid w:val="00431425"/>
    <w:rsid w:val="004314E1"/>
    <w:rsid w:val="00431511"/>
    <w:rsid w:val="0043151B"/>
    <w:rsid w:val="0043169E"/>
    <w:rsid w:val="004316F8"/>
    <w:rsid w:val="00431795"/>
    <w:rsid w:val="00431925"/>
    <w:rsid w:val="00431930"/>
    <w:rsid w:val="00431993"/>
    <w:rsid w:val="00431AFB"/>
    <w:rsid w:val="00431B40"/>
    <w:rsid w:val="00431B84"/>
    <w:rsid w:val="00431BC0"/>
    <w:rsid w:val="00431BD7"/>
    <w:rsid w:val="00431C2A"/>
    <w:rsid w:val="00431C49"/>
    <w:rsid w:val="00431C4B"/>
    <w:rsid w:val="00432002"/>
    <w:rsid w:val="0043204E"/>
    <w:rsid w:val="00432066"/>
    <w:rsid w:val="004321FA"/>
    <w:rsid w:val="004322FB"/>
    <w:rsid w:val="0043236B"/>
    <w:rsid w:val="00432421"/>
    <w:rsid w:val="00432573"/>
    <w:rsid w:val="00432770"/>
    <w:rsid w:val="00432797"/>
    <w:rsid w:val="004328A9"/>
    <w:rsid w:val="004328CA"/>
    <w:rsid w:val="004329A5"/>
    <w:rsid w:val="00432A5D"/>
    <w:rsid w:val="00432A6A"/>
    <w:rsid w:val="00432A71"/>
    <w:rsid w:val="00432B63"/>
    <w:rsid w:val="00432D0B"/>
    <w:rsid w:val="00432DAB"/>
    <w:rsid w:val="00432E16"/>
    <w:rsid w:val="00432E6E"/>
    <w:rsid w:val="00432EEE"/>
    <w:rsid w:val="00432F1E"/>
    <w:rsid w:val="0043309F"/>
    <w:rsid w:val="00433150"/>
    <w:rsid w:val="0043318A"/>
    <w:rsid w:val="004331AB"/>
    <w:rsid w:val="004332DA"/>
    <w:rsid w:val="004332DC"/>
    <w:rsid w:val="0043339C"/>
    <w:rsid w:val="004334CA"/>
    <w:rsid w:val="00433526"/>
    <w:rsid w:val="0043363C"/>
    <w:rsid w:val="0043365F"/>
    <w:rsid w:val="0043370A"/>
    <w:rsid w:val="00433894"/>
    <w:rsid w:val="0043399F"/>
    <w:rsid w:val="00433A45"/>
    <w:rsid w:val="00433BD9"/>
    <w:rsid w:val="00433C07"/>
    <w:rsid w:val="00433C41"/>
    <w:rsid w:val="00433CAA"/>
    <w:rsid w:val="00433CAB"/>
    <w:rsid w:val="00433CDE"/>
    <w:rsid w:val="00433E60"/>
    <w:rsid w:val="00433E9F"/>
    <w:rsid w:val="00433EF9"/>
    <w:rsid w:val="00433FB0"/>
    <w:rsid w:val="00433FFE"/>
    <w:rsid w:val="00434137"/>
    <w:rsid w:val="0043414A"/>
    <w:rsid w:val="00434169"/>
    <w:rsid w:val="004341A9"/>
    <w:rsid w:val="0043431A"/>
    <w:rsid w:val="00434363"/>
    <w:rsid w:val="004345DD"/>
    <w:rsid w:val="00434625"/>
    <w:rsid w:val="00434705"/>
    <w:rsid w:val="00434865"/>
    <w:rsid w:val="00434929"/>
    <w:rsid w:val="00434979"/>
    <w:rsid w:val="00434A57"/>
    <w:rsid w:val="00434AC1"/>
    <w:rsid w:val="00434B6B"/>
    <w:rsid w:val="00434B74"/>
    <w:rsid w:val="00434C79"/>
    <w:rsid w:val="00434E0A"/>
    <w:rsid w:val="00434E16"/>
    <w:rsid w:val="00434E68"/>
    <w:rsid w:val="00434E99"/>
    <w:rsid w:val="00434F12"/>
    <w:rsid w:val="00434F7E"/>
    <w:rsid w:val="0043505E"/>
    <w:rsid w:val="0043527E"/>
    <w:rsid w:val="004355F2"/>
    <w:rsid w:val="0043579A"/>
    <w:rsid w:val="004357D5"/>
    <w:rsid w:val="004357D7"/>
    <w:rsid w:val="00435839"/>
    <w:rsid w:val="00435972"/>
    <w:rsid w:val="00435B4E"/>
    <w:rsid w:val="00435B5B"/>
    <w:rsid w:val="00435B81"/>
    <w:rsid w:val="00435BFE"/>
    <w:rsid w:val="00435C0F"/>
    <w:rsid w:val="00435C15"/>
    <w:rsid w:val="00435C22"/>
    <w:rsid w:val="00435D41"/>
    <w:rsid w:val="00435DFA"/>
    <w:rsid w:val="00435E90"/>
    <w:rsid w:val="00435EA3"/>
    <w:rsid w:val="00435EF7"/>
    <w:rsid w:val="00435EFF"/>
    <w:rsid w:val="00435FBE"/>
    <w:rsid w:val="00435FC1"/>
    <w:rsid w:val="00435FE3"/>
    <w:rsid w:val="0043605D"/>
    <w:rsid w:val="0043606A"/>
    <w:rsid w:val="004363A8"/>
    <w:rsid w:val="0043649D"/>
    <w:rsid w:val="0043654A"/>
    <w:rsid w:val="004366D5"/>
    <w:rsid w:val="00436909"/>
    <w:rsid w:val="00436A66"/>
    <w:rsid w:val="00436A7D"/>
    <w:rsid w:val="00436C95"/>
    <w:rsid w:val="00436CC0"/>
    <w:rsid w:val="00436CDC"/>
    <w:rsid w:val="00436D17"/>
    <w:rsid w:val="00436DA5"/>
    <w:rsid w:val="00436E04"/>
    <w:rsid w:val="00436E2C"/>
    <w:rsid w:val="00436E2F"/>
    <w:rsid w:val="00436E4A"/>
    <w:rsid w:val="00436F24"/>
    <w:rsid w:val="00436F54"/>
    <w:rsid w:val="004370A9"/>
    <w:rsid w:val="004370C6"/>
    <w:rsid w:val="00437158"/>
    <w:rsid w:val="00437178"/>
    <w:rsid w:val="004371CA"/>
    <w:rsid w:val="0043720D"/>
    <w:rsid w:val="00437393"/>
    <w:rsid w:val="00437413"/>
    <w:rsid w:val="0043742F"/>
    <w:rsid w:val="004374F3"/>
    <w:rsid w:val="004374FB"/>
    <w:rsid w:val="0043756E"/>
    <w:rsid w:val="004375A9"/>
    <w:rsid w:val="004375F7"/>
    <w:rsid w:val="00437605"/>
    <w:rsid w:val="00437754"/>
    <w:rsid w:val="0043792B"/>
    <w:rsid w:val="00437934"/>
    <w:rsid w:val="004379A4"/>
    <w:rsid w:val="004379F8"/>
    <w:rsid w:val="00437A26"/>
    <w:rsid w:val="00437A40"/>
    <w:rsid w:val="00437B42"/>
    <w:rsid w:val="00437BB2"/>
    <w:rsid w:val="00437C8F"/>
    <w:rsid w:val="00437D6F"/>
    <w:rsid w:val="00437EFC"/>
    <w:rsid w:val="0044011F"/>
    <w:rsid w:val="00440128"/>
    <w:rsid w:val="0044024B"/>
    <w:rsid w:val="0044027A"/>
    <w:rsid w:val="004403BE"/>
    <w:rsid w:val="00440412"/>
    <w:rsid w:val="004404CC"/>
    <w:rsid w:val="00440582"/>
    <w:rsid w:val="004405EB"/>
    <w:rsid w:val="0044067A"/>
    <w:rsid w:val="004406BB"/>
    <w:rsid w:val="004406F0"/>
    <w:rsid w:val="004407AA"/>
    <w:rsid w:val="0044080C"/>
    <w:rsid w:val="00440901"/>
    <w:rsid w:val="004409BF"/>
    <w:rsid w:val="004409CD"/>
    <w:rsid w:val="00440A21"/>
    <w:rsid w:val="00440AC8"/>
    <w:rsid w:val="00440D4E"/>
    <w:rsid w:val="00440D98"/>
    <w:rsid w:val="00440DEE"/>
    <w:rsid w:val="00440DF5"/>
    <w:rsid w:val="00440E8C"/>
    <w:rsid w:val="00441031"/>
    <w:rsid w:val="00441074"/>
    <w:rsid w:val="00441130"/>
    <w:rsid w:val="00441168"/>
    <w:rsid w:val="0044117C"/>
    <w:rsid w:val="004411CB"/>
    <w:rsid w:val="0044132C"/>
    <w:rsid w:val="0044145E"/>
    <w:rsid w:val="004414AA"/>
    <w:rsid w:val="00441532"/>
    <w:rsid w:val="00441582"/>
    <w:rsid w:val="004415E9"/>
    <w:rsid w:val="00441668"/>
    <w:rsid w:val="00441678"/>
    <w:rsid w:val="004416F3"/>
    <w:rsid w:val="00441A1D"/>
    <w:rsid w:val="00441A22"/>
    <w:rsid w:val="00441A2D"/>
    <w:rsid w:val="00441A8B"/>
    <w:rsid w:val="00441BE6"/>
    <w:rsid w:val="00441C78"/>
    <w:rsid w:val="00441C8C"/>
    <w:rsid w:val="00441D95"/>
    <w:rsid w:val="00441E41"/>
    <w:rsid w:val="00441E76"/>
    <w:rsid w:val="00441EF0"/>
    <w:rsid w:val="00441F2F"/>
    <w:rsid w:val="00442107"/>
    <w:rsid w:val="004421CC"/>
    <w:rsid w:val="00442209"/>
    <w:rsid w:val="00442289"/>
    <w:rsid w:val="0044231F"/>
    <w:rsid w:val="0044242B"/>
    <w:rsid w:val="004424A1"/>
    <w:rsid w:val="0044255F"/>
    <w:rsid w:val="00442641"/>
    <w:rsid w:val="004426EF"/>
    <w:rsid w:val="00442704"/>
    <w:rsid w:val="004427DE"/>
    <w:rsid w:val="00442827"/>
    <w:rsid w:val="00442864"/>
    <w:rsid w:val="004428A9"/>
    <w:rsid w:val="00442AA4"/>
    <w:rsid w:val="00442B2B"/>
    <w:rsid w:val="00442B3B"/>
    <w:rsid w:val="00442B8E"/>
    <w:rsid w:val="00442B95"/>
    <w:rsid w:val="00442BAD"/>
    <w:rsid w:val="00442C9B"/>
    <w:rsid w:val="00442CFB"/>
    <w:rsid w:val="00442D7A"/>
    <w:rsid w:val="00442E1F"/>
    <w:rsid w:val="00442FA3"/>
    <w:rsid w:val="004430F4"/>
    <w:rsid w:val="004432D9"/>
    <w:rsid w:val="00443310"/>
    <w:rsid w:val="004433B2"/>
    <w:rsid w:val="004433D0"/>
    <w:rsid w:val="0044348B"/>
    <w:rsid w:val="004434FC"/>
    <w:rsid w:val="0044367F"/>
    <w:rsid w:val="004436E0"/>
    <w:rsid w:val="00443806"/>
    <w:rsid w:val="0044387E"/>
    <w:rsid w:val="00443914"/>
    <w:rsid w:val="00443931"/>
    <w:rsid w:val="00443945"/>
    <w:rsid w:val="00443946"/>
    <w:rsid w:val="00443949"/>
    <w:rsid w:val="00443987"/>
    <w:rsid w:val="004439B6"/>
    <w:rsid w:val="00443A21"/>
    <w:rsid w:val="00443A72"/>
    <w:rsid w:val="00443A82"/>
    <w:rsid w:val="00443B73"/>
    <w:rsid w:val="00443C09"/>
    <w:rsid w:val="00443E3D"/>
    <w:rsid w:val="00443E8E"/>
    <w:rsid w:val="00443EE2"/>
    <w:rsid w:val="00443F5C"/>
    <w:rsid w:val="00443FC7"/>
    <w:rsid w:val="00444167"/>
    <w:rsid w:val="00444217"/>
    <w:rsid w:val="004442F3"/>
    <w:rsid w:val="004443E0"/>
    <w:rsid w:val="00444405"/>
    <w:rsid w:val="00444427"/>
    <w:rsid w:val="00444477"/>
    <w:rsid w:val="004444AD"/>
    <w:rsid w:val="00444545"/>
    <w:rsid w:val="0044457D"/>
    <w:rsid w:val="004445EE"/>
    <w:rsid w:val="0044461D"/>
    <w:rsid w:val="00444703"/>
    <w:rsid w:val="00444780"/>
    <w:rsid w:val="0044496A"/>
    <w:rsid w:val="00444EBC"/>
    <w:rsid w:val="00444F36"/>
    <w:rsid w:val="004450FB"/>
    <w:rsid w:val="00445113"/>
    <w:rsid w:val="00445168"/>
    <w:rsid w:val="00445298"/>
    <w:rsid w:val="00445305"/>
    <w:rsid w:val="004453F6"/>
    <w:rsid w:val="00445412"/>
    <w:rsid w:val="00445437"/>
    <w:rsid w:val="004454B9"/>
    <w:rsid w:val="0044558B"/>
    <w:rsid w:val="0044572E"/>
    <w:rsid w:val="00445868"/>
    <w:rsid w:val="0044588C"/>
    <w:rsid w:val="0044592B"/>
    <w:rsid w:val="004459A9"/>
    <w:rsid w:val="00445AD4"/>
    <w:rsid w:val="00445AE6"/>
    <w:rsid w:val="00445BDD"/>
    <w:rsid w:val="00445C2C"/>
    <w:rsid w:val="00445C4D"/>
    <w:rsid w:val="00445C6D"/>
    <w:rsid w:val="00445D5E"/>
    <w:rsid w:val="00445E1E"/>
    <w:rsid w:val="00445EC5"/>
    <w:rsid w:val="00445F0C"/>
    <w:rsid w:val="00445F1E"/>
    <w:rsid w:val="00445FA9"/>
    <w:rsid w:val="00445FF0"/>
    <w:rsid w:val="00446047"/>
    <w:rsid w:val="0044616A"/>
    <w:rsid w:val="00446363"/>
    <w:rsid w:val="004463DE"/>
    <w:rsid w:val="004464A9"/>
    <w:rsid w:val="00446776"/>
    <w:rsid w:val="004467DF"/>
    <w:rsid w:val="004467E3"/>
    <w:rsid w:val="00446960"/>
    <w:rsid w:val="00446B26"/>
    <w:rsid w:val="00446D1C"/>
    <w:rsid w:val="00446DD4"/>
    <w:rsid w:val="00446EF4"/>
    <w:rsid w:val="00446EFB"/>
    <w:rsid w:val="004470EE"/>
    <w:rsid w:val="0044712C"/>
    <w:rsid w:val="00447231"/>
    <w:rsid w:val="0044723A"/>
    <w:rsid w:val="00447312"/>
    <w:rsid w:val="0044734F"/>
    <w:rsid w:val="00447353"/>
    <w:rsid w:val="00447358"/>
    <w:rsid w:val="004473D0"/>
    <w:rsid w:val="004474DE"/>
    <w:rsid w:val="004474E6"/>
    <w:rsid w:val="004474FE"/>
    <w:rsid w:val="004475A2"/>
    <w:rsid w:val="00447647"/>
    <w:rsid w:val="0044764B"/>
    <w:rsid w:val="004476B3"/>
    <w:rsid w:val="004476D6"/>
    <w:rsid w:val="0044773F"/>
    <w:rsid w:val="0044777F"/>
    <w:rsid w:val="00447791"/>
    <w:rsid w:val="00447856"/>
    <w:rsid w:val="004478AA"/>
    <w:rsid w:val="004478ED"/>
    <w:rsid w:val="00447924"/>
    <w:rsid w:val="00447999"/>
    <w:rsid w:val="00447AEE"/>
    <w:rsid w:val="00447B26"/>
    <w:rsid w:val="00447B74"/>
    <w:rsid w:val="00447BDF"/>
    <w:rsid w:val="00450019"/>
    <w:rsid w:val="0045002A"/>
    <w:rsid w:val="004500F6"/>
    <w:rsid w:val="00450176"/>
    <w:rsid w:val="00450240"/>
    <w:rsid w:val="0045028B"/>
    <w:rsid w:val="00450306"/>
    <w:rsid w:val="00450406"/>
    <w:rsid w:val="004504CF"/>
    <w:rsid w:val="004505C2"/>
    <w:rsid w:val="004505E9"/>
    <w:rsid w:val="004506F6"/>
    <w:rsid w:val="00450726"/>
    <w:rsid w:val="0045075E"/>
    <w:rsid w:val="004507A4"/>
    <w:rsid w:val="004509E3"/>
    <w:rsid w:val="00450A0F"/>
    <w:rsid w:val="00450BCA"/>
    <w:rsid w:val="00450BF5"/>
    <w:rsid w:val="00450C68"/>
    <w:rsid w:val="00450CD8"/>
    <w:rsid w:val="00450D0C"/>
    <w:rsid w:val="00450DC9"/>
    <w:rsid w:val="00450EF0"/>
    <w:rsid w:val="00450F28"/>
    <w:rsid w:val="00450FBD"/>
    <w:rsid w:val="00450FF0"/>
    <w:rsid w:val="00451218"/>
    <w:rsid w:val="0045137C"/>
    <w:rsid w:val="0045141C"/>
    <w:rsid w:val="00451498"/>
    <w:rsid w:val="00451517"/>
    <w:rsid w:val="00451540"/>
    <w:rsid w:val="004515A2"/>
    <w:rsid w:val="0045160E"/>
    <w:rsid w:val="0045172F"/>
    <w:rsid w:val="004517DB"/>
    <w:rsid w:val="0045180B"/>
    <w:rsid w:val="00451831"/>
    <w:rsid w:val="00451844"/>
    <w:rsid w:val="004518C0"/>
    <w:rsid w:val="0045194B"/>
    <w:rsid w:val="004519D1"/>
    <w:rsid w:val="004519DC"/>
    <w:rsid w:val="00451A64"/>
    <w:rsid w:val="00451AAF"/>
    <w:rsid w:val="00451AC5"/>
    <w:rsid w:val="00451AD9"/>
    <w:rsid w:val="00451C2F"/>
    <w:rsid w:val="00451CDD"/>
    <w:rsid w:val="00451E94"/>
    <w:rsid w:val="00451E9E"/>
    <w:rsid w:val="00451F50"/>
    <w:rsid w:val="00451F91"/>
    <w:rsid w:val="00451FC8"/>
    <w:rsid w:val="00451FCB"/>
    <w:rsid w:val="0045203D"/>
    <w:rsid w:val="004523DF"/>
    <w:rsid w:val="0045252D"/>
    <w:rsid w:val="00452544"/>
    <w:rsid w:val="00452587"/>
    <w:rsid w:val="0045260A"/>
    <w:rsid w:val="00452662"/>
    <w:rsid w:val="0045267A"/>
    <w:rsid w:val="0045267E"/>
    <w:rsid w:val="0045289D"/>
    <w:rsid w:val="004528B0"/>
    <w:rsid w:val="00452988"/>
    <w:rsid w:val="00452995"/>
    <w:rsid w:val="00452A64"/>
    <w:rsid w:val="00452AB4"/>
    <w:rsid w:val="00452BA1"/>
    <w:rsid w:val="00452BAE"/>
    <w:rsid w:val="00452BD2"/>
    <w:rsid w:val="00452BD4"/>
    <w:rsid w:val="00452D8B"/>
    <w:rsid w:val="00452E0B"/>
    <w:rsid w:val="00452ED5"/>
    <w:rsid w:val="00452ED9"/>
    <w:rsid w:val="00452F12"/>
    <w:rsid w:val="00453093"/>
    <w:rsid w:val="004530AF"/>
    <w:rsid w:val="004532A5"/>
    <w:rsid w:val="00453302"/>
    <w:rsid w:val="0045333F"/>
    <w:rsid w:val="00453369"/>
    <w:rsid w:val="00453626"/>
    <w:rsid w:val="00453691"/>
    <w:rsid w:val="00453739"/>
    <w:rsid w:val="004537E4"/>
    <w:rsid w:val="004537F4"/>
    <w:rsid w:val="004538A2"/>
    <w:rsid w:val="004538E6"/>
    <w:rsid w:val="0045396E"/>
    <w:rsid w:val="00453A79"/>
    <w:rsid w:val="00453AA1"/>
    <w:rsid w:val="00453BEF"/>
    <w:rsid w:val="00453D9C"/>
    <w:rsid w:val="00453E16"/>
    <w:rsid w:val="00454019"/>
    <w:rsid w:val="00454176"/>
    <w:rsid w:val="00454256"/>
    <w:rsid w:val="00454346"/>
    <w:rsid w:val="0045449D"/>
    <w:rsid w:val="004544A4"/>
    <w:rsid w:val="004544EE"/>
    <w:rsid w:val="004544FF"/>
    <w:rsid w:val="00454595"/>
    <w:rsid w:val="004546BB"/>
    <w:rsid w:val="004546EE"/>
    <w:rsid w:val="00454C88"/>
    <w:rsid w:val="00454D49"/>
    <w:rsid w:val="00454D4F"/>
    <w:rsid w:val="00454D9A"/>
    <w:rsid w:val="00454EC7"/>
    <w:rsid w:val="00454EFC"/>
    <w:rsid w:val="00454F0B"/>
    <w:rsid w:val="00454FC1"/>
    <w:rsid w:val="004550D1"/>
    <w:rsid w:val="004550D7"/>
    <w:rsid w:val="00455187"/>
    <w:rsid w:val="0045519E"/>
    <w:rsid w:val="004551CF"/>
    <w:rsid w:val="004551E4"/>
    <w:rsid w:val="004552F0"/>
    <w:rsid w:val="004553BB"/>
    <w:rsid w:val="00455483"/>
    <w:rsid w:val="004554A0"/>
    <w:rsid w:val="004554DA"/>
    <w:rsid w:val="00455515"/>
    <w:rsid w:val="00455521"/>
    <w:rsid w:val="004555FF"/>
    <w:rsid w:val="00455791"/>
    <w:rsid w:val="00455798"/>
    <w:rsid w:val="004557D2"/>
    <w:rsid w:val="0045581E"/>
    <w:rsid w:val="00455908"/>
    <w:rsid w:val="00455A16"/>
    <w:rsid w:val="00455A8D"/>
    <w:rsid w:val="00455E30"/>
    <w:rsid w:val="00455E82"/>
    <w:rsid w:val="00455ECA"/>
    <w:rsid w:val="00455F78"/>
    <w:rsid w:val="00456037"/>
    <w:rsid w:val="00456307"/>
    <w:rsid w:val="004563AD"/>
    <w:rsid w:val="00456570"/>
    <w:rsid w:val="00456595"/>
    <w:rsid w:val="004565B5"/>
    <w:rsid w:val="004565FE"/>
    <w:rsid w:val="004566A0"/>
    <w:rsid w:val="00456709"/>
    <w:rsid w:val="00456717"/>
    <w:rsid w:val="0045686E"/>
    <w:rsid w:val="0045689D"/>
    <w:rsid w:val="004569DD"/>
    <w:rsid w:val="004569F5"/>
    <w:rsid w:val="00456A43"/>
    <w:rsid w:val="00456B72"/>
    <w:rsid w:val="00456C3E"/>
    <w:rsid w:val="00456C50"/>
    <w:rsid w:val="00456C96"/>
    <w:rsid w:val="00456D00"/>
    <w:rsid w:val="0045704B"/>
    <w:rsid w:val="00457088"/>
    <w:rsid w:val="004570B1"/>
    <w:rsid w:val="004570F1"/>
    <w:rsid w:val="004570FD"/>
    <w:rsid w:val="004571A6"/>
    <w:rsid w:val="00457358"/>
    <w:rsid w:val="004574C4"/>
    <w:rsid w:val="00457558"/>
    <w:rsid w:val="00457559"/>
    <w:rsid w:val="00457561"/>
    <w:rsid w:val="0045756D"/>
    <w:rsid w:val="0045762E"/>
    <w:rsid w:val="004576AD"/>
    <w:rsid w:val="004576CE"/>
    <w:rsid w:val="004577C3"/>
    <w:rsid w:val="0045780D"/>
    <w:rsid w:val="00457938"/>
    <w:rsid w:val="00457A69"/>
    <w:rsid w:val="00457A73"/>
    <w:rsid w:val="00457A88"/>
    <w:rsid w:val="00457AA8"/>
    <w:rsid w:val="00457B61"/>
    <w:rsid w:val="00457B9B"/>
    <w:rsid w:val="00457BA2"/>
    <w:rsid w:val="00457BA3"/>
    <w:rsid w:val="00457BB3"/>
    <w:rsid w:val="00457CCA"/>
    <w:rsid w:val="00457E42"/>
    <w:rsid w:val="00457EA4"/>
    <w:rsid w:val="0046004E"/>
    <w:rsid w:val="00460096"/>
    <w:rsid w:val="004602AE"/>
    <w:rsid w:val="004602FD"/>
    <w:rsid w:val="0046036D"/>
    <w:rsid w:val="00460376"/>
    <w:rsid w:val="004604CA"/>
    <w:rsid w:val="00460551"/>
    <w:rsid w:val="0046077F"/>
    <w:rsid w:val="00460845"/>
    <w:rsid w:val="00460A3F"/>
    <w:rsid w:val="00460AC4"/>
    <w:rsid w:val="00460AF3"/>
    <w:rsid w:val="00460BC7"/>
    <w:rsid w:val="00460D5D"/>
    <w:rsid w:val="00460D64"/>
    <w:rsid w:val="00460E75"/>
    <w:rsid w:val="00460E9F"/>
    <w:rsid w:val="0046103D"/>
    <w:rsid w:val="004610BC"/>
    <w:rsid w:val="004610DD"/>
    <w:rsid w:val="00461105"/>
    <w:rsid w:val="004611EC"/>
    <w:rsid w:val="00461205"/>
    <w:rsid w:val="004612FA"/>
    <w:rsid w:val="0046130B"/>
    <w:rsid w:val="00461313"/>
    <w:rsid w:val="00461322"/>
    <w:rsid w:val="0046133D"/>
    <w:rsid w:val="004613BF"/>
    <w:rsid w:val="0046142B"/>
    <w:rsid w:val="00461475"/>
    <w:rsid w:val="00461612"/>
    <w:rsid w:val="0046171F"/>
    <w:rsid w:val="00461742"/>
    <w:rsid w:val="00461825"/>
    <w:rsid w:val="00461869"/>
    <w:rsid w:val="004618A1"/>
    <w:rsid w:val="004619D5"/>
    <w:rsid w:val="00461D95"/>
    <w:rsid w:val="00461DF7"/>
    <w:rsid w:val="00461E12"/>
    <w:rsid w:val="00461E87"/>
    <w:rsid w:val="004620B3"/>
    <w:rsid w:val="004620BF"/>
    <w:rsid w:val="004620C4"/>
    <w:rsid w:val="004620EC"/>
    <w:rsid w:val="0046219D"/>
    <w:rsid w:val="004621FC"/>
    <w:rsid w:val="0046230E"/>
    <w:rsid w:val="0046230F"/>
    <w:rsid w:val="0046238D"/>
    <w:rsid w:val="004624E0"/>
    <w:rsid w:val="0046263E"/>
    <w:rsid w:val="00462709"/>
    <w:rsid w:val="00462726"/>
    <w:rsid w:val="004627AC"/>
    <w:rsid w:val="004627D9"/>
    <w:rsid w:val="004627E3"/>
    <w:rsid w:val="004627E9"/>
    <w:rsid w:val="004627EF"/>
    <w:rsid w:val="00462854"/>
    <w:rsid w:val="0046286E"/>
    <w:rsid w:val="0046291F"/>
    <w:rsid w:val="00462994"/>
    <w:rsid w:val="004629E2"/>
    <w:rsid w:val="00462AC3"/>
    <w:rsid w:val="00462AEF"/>
    <w:rsid w:val="00462B7B"/>
    <w:rsid w:val="00462BB5"/>
    <w:rsid w:val="00462C37"/>
    <w:rsid w:val="00462CD6"/>
    <w:rsid w:val="00462DB1"/>
    <w:rsid w:val="00462F86"/>
    <w:rsid w:val="00463055"/>
    <w:rsid w:val="004630A0"/>
    <w:rsid w:val="004630A6"/>
    <w:rsid w:val="0046312F"/>
    <w:rsid w:val="0046313E"/>
    <w:rsid w:val="004631C3"/>
    <w:rsid w:val="004631C4"/>
    <w:rsid w:val="0046326B"/>
    <w:rsid w:val="004632B7"/>
    <w:rsid w:val="00463482"/>
    <w:rsid w:val="00463509"/>
    <w:rsid w:val="004635DB"/>
    <w:rsid w:val="004636C4"/>
    <w:rsid w:val="004636DF"/>
    <w:rsid w:val="00463736"/>
    <w:rsid w:val="00463747"/>
    <w:rsid w:val="0046374E"/>
    <w:rsid w:val="004637C5"/>
    <w:rsid w:val="004637D9"/>
    <w:rsid w:val="00463823"/>
    <w:rsid w:val="00463896"/>
    <w:rsid w:val="004638B0"/>
    <w:rsid w:val="004638D2"/>
    <w:rsid w:val="00463BA4"/>
    <w:rsid w:val="00463CF6"/>
    <w:rsid w:val="00463D8F"/>
    <w:rsid w:val="0046409E"/>
    <w:rsid w:val="004640CE"/>
    <w:rsid w:val="00464365"/>
    <w:rsid w:val="00464367"/>
    <w:rsid w:val="0046454E"/>
    <w:rsid w:val="0046454F"/>
    <w:rsid w:val="0046456E"/>
    <w:rsid w:val="004645BD"/>
    <w:rsid w:val="00464650"/>
    <w:rsid w:val="004646BA"/>
    <w:rsid w:val="00464772"/>
    <w:rsid w:val="0046484A"/>
    <w:rsid w:val="0046484F"/>
    <w:rsid w:val="0046486C"/>
    <w:rsid w:val="004648A1"/>
    <w:rsid w:val="004649DD"/>
    <w:rsid w:val="00464A15"/>
    <w:rsid w:val="00464BFA"/>
    <w:rsid w:val="00464C59"/>
    <w:rsid w:val="00464D1F"/>
    <w:rsid w:val="00464D2F"/>
    <w:rsid w:val="00464E32"/>
    <w:rsid w:val="00464F3F"/>
    <w:rsid w:val="00464FD2"/>
    <w:rsid w:val="0046505A"/>
    <w:rsid w:val="0046516A"/>
    <w:rsid w:val="00465192"/>
    <w:rsid w:val="004653C8"/>
    <w:rsid w:val="004653F9"/>
    <w:rsid w:val="00465438"/>
    <w:rsid w:val="0046547F"/>
    <w:rsid w:val="0046551B"/>
    <w:rsid w:val="004656D1"/>
    <w:rsid w:val="00465756"/>
    <w:rsid w:val="00465757"/>
    <w:rsid w:val="0046595C"/>
    <w:rsid w:val="00465A58"/>
    <w:rsid w:val="00465B1D"/>
    <w:rsid w:val="00465B46"/>
    <w:rsid w:val="00465BA0"/>
    <w:rsid w:val="00465CDB"/>
    <w:rsid w:val="00465D20"/>
    <w:rsid w:val="00465D5C"/>
    <w:rsid w:val="00465D8F"/>
    <w:rsid w:val="00465D96"/>
    <w:rsid w:val="00465EC7"/>
    <w:rsid w:val="00465EEA"/>
    <w:rsid w:val="00465F15"/>
    <w:rsid w:val="00465FA8"/>
    <w:rsid w:val="0046605F"/>
    <w:rsid w:val="0046607C"/>
    <w:rsid w:val="004661CF"/>
    <w:rsid w:val="004662A9"/>
    <w:rsid w:val="004662C9"/>
    <w:rsid w:val="004663B1"/>
    <w:rsid w:val="00466439"/>
    <w:rsid w:val="00466463"/>
    <w:rsid w:val="0046658E"/>
    <w:rsid w:val="00466611"/>
    <w:rsid w:val="0046672B"/>
    <w:rsid w:val="00466805"/>
    <w:rsid w:val="0046684F"/>
    <w:rsid w:val="004668AB"/>
    <w:rsid w:val="004668DE"/>
    <w:rsid w:val="00466A3F"/>
    <w:rsid w:val="00466A61"/>
    <w:rsid w:val="00466AB5"/>
    <w:rsid w:val="00466B3A"/>
    <w:rsid w:val="00466D9E"/>
    <w:rsid w:val="00466DCC"/>
    <w:rsid w:val="00466E0B"/>
    <w:rsid w:val="00466E0F"/>
    <w:rsid w:val="00466E5D"/>
    <w:rsid w:val="00466E9D"/>
    <w:rsid w:val="00467030"/>
    <w:rsid w:val="00467136"/>
    <w:rsid w:val="004672B6"/>
    <w:rsid w:val="004672D8"/>
    <w:rsid w:val="00467364"/>
    <w:rsid w:val="0046744B"/>
    <w:rsid w:val="0046746E"/>
    <w:rsid w:val="00467493"/>
    <w:rsid w:val="004674E0"/>
    <w:rsid w:val="004675AF"/>
    <w:rsid w:val="00467627"/>
    <w:rsid w:val="004676AF"/>
    <w:rsid w:val="00467751"/>
    <w:rsid w:val="004677C1"/>
    <w:rsid w:val="0046786D"/>
    <w:rsid w:val="0046788C"/>
    <w:rsid w:val="004678C7"/>
    <w:rsid w:val="004679B8"/>
    <w:rsid w:val="00467BA3"/>
    <w:rsid w:val="00467BCC"/>
    <w:rsid w:val="00467E43"/>
    <w:rsid w:val="00467E8A"/>
    <w:rsid w:val="00467ECC"/>
    <w:rsid w:val="00467F0A"/>
    <w:rsid w:val="00467F5E"/>
    <w:rsid w:val="00467F60"/>
    <w:rsid w:val="00467FA0"/>
    <w:rsid w:val="0047001F"/>
    <w:rsid w:val="00470020"/>
    <w:rsid w:val="00470081"/>
    <w:rsid w:val="00470200"/>
    <w:rsid w:val="004702C7"/>
    <w:rsid w:val="004702E2"/>
    <w:rsid w:val="00470481"/>
    <w:rsid w:val="00470520"/>
    <w:rsid w:val="0047052B"/>
    <w:rsid w:val="004707D3"/>
    <w:rsid w:val="004707DA"/>
    <w:rsid w:val="004708FE"/>
    <w:rsid w:val="0047090B"/>
    <w:rsid w:val="00470933"/>
    <w:rsid w:val="00470960"/>
    <w:rsid w:val="00470A65"/>
    <w:rsid w:val="00470A66"/>
    <w:rsid w:val="00470AC0"/>
    <w:rsid w:val="00470AEB"/>
    <w:rsid w:val="00470BFB"/>
    <w:rsid w:val="00470C99"/>
    <w:rsid w:val="00470D5D"/>
    <w:rsid w:val="00470DB3"/>
    <w:rsid w:val="00470EB4"/>
    <w:rsid w:val="00470F27"/>
    <w:rsid w:val="004710CF"/>
    <w:rsid w:val="00471100"/>
    <w:rsid w:val="00471103"/>
    <w:rsid w:val="0047120A"/>
    <w:rsid w:val="00471278"/>
    <w:rsid w:val="004712A7"/>
    <w:rsid w:val="004712ED"/>
    <w:rsid w:val="0047138F"/>
    <w:rsid w:val="00471443"/>
    <w:rsid w:val="0047145A"/>
    <w:rsid w:val="004714E3"/>
    <w:rsid w:val="0047160F"/>
    <w:rsid w:val="00471627"/>
    <w:rsid w:val="0047166D"/>
    <w:rsid w:val="004716F8"/>
    <w:rsid w:val="004718F6"/>
    <w:rsid w:val="00471999"/>
    <w:rsid w:val="00471A20"/>
    <w:rsid w:val="00471AD9"/>
    <w:rsid w:val="00471B27"/>
    <w:rsid w:val="00471B84"/>
    <w:rsid w:val="00471C28"/>
    <w:rsid w:val="00471C61"/>
    <w:rsid w:val="00471C69"/>
    <w:rsid w:val="00471C70"/>
    <w:rsid w:val="00471C85"/>
    <w:rsid w:val="00471CFB"/>
    <w:rsid w:val="00471D47"/>
    <w:rsid w:val="00471DF9"/>
    <w:rsid w:val="00471E6B"/>
    <w:rsid w:val="00471EDE"/>
    <w:rsid w:val="00471F13"/>
    <w:rsid w:val="00471F18"/>
    <w:rsid w:val="00471FF7"/>
    <w:rsid w:val="00472170"/>
    <w:rsid w:val="004721C3"/>
    <w:rsid w:val="00472254"/>
    <w:rsid w:val="004722EB"/>
    <w:rsid w:val="004724F6"/>
    <w:rsid w:val="00472595"/>
    <w:rsid w:val="004725C0"/>
    <w:rsid w:val="004725CD"/>
    <w:rsid w:val="00472605"/>
    <w:rsid w:val="0047261B"/>
    <w:rsid w:val="00472683"/>
    <w:rsid w:val="00472798"/>
    <w:rsid w:val="00472877"/>
    <w:rsid w:val="00472B82"/>
    <w:rsid w:val="00472BFF"/>
    <w:rsid w:val="00472CB8"/>
    <w:rsid w:val="00472E09"/>
    <w:rsid w:val="00473079"/>
    <w:rsid w:val="00473286"/>
    <w:rsid w:val="004732DC"/>
    <w:rsid w:val="0047333C"/>
    <w:rsid w:val="00473349"/>
    <w:rsid w:val="00473370"/>
    <w:rsid w:val="0047342F"/>
    <w:rsid w:val="00473471"/>
    <w:rsid w:val="004734BD"/>
    <w:rsid w:val="0047354A"/>
    <w:rsid w:val="0047357E"/>
    <w:rsid w:val="004735CF"/>
    <w:rsid w:val="004735DC"/>
    <w:rsid w:val="004735E7"/>
    <w:rsid w:val="004735F5"/>
    <w:rsid w:val="00473614"/>
    <w:rsid w:val="0047361E"/>
    <w:rsid w:val="00473668"/>
    <w:rsid w:val="004736A5"/>
    <w:rsid w:val="004736AC"/>
    <w:rsid w:val="004737CA"/>
    <w:rsid w:val="00473839"/>
    <w:rsid w:val="00473849"/>
    <w:rsid w:val="00473A9F"/>
    <w:rsid w:val="00473CEE"/>
    <w:rsid w:val="00473D2B"/>
    <w:rsid w:val="00473DF2"/>
    <w:rsid w:val="00473E30"/>
    <w:rsid w:val="00473EDD"/>
    <w:rsid w:val="00473F27"/>
    <w:rsid w:val="00473F7C"/>
    <w:rsid w:val="00474042"/>
    <w:rsid w:val="004740F7"/>
    <w:rsid w:val="004741C0"/>
    <w:rsid w:val="004741E6"/>
    <w:rsid w:val="00474235"/>
    <w:rsid w:val="00474257"/>
    <w:rsid w:val="004742CB"/>
    <w:rsid w:val="0047439A"/>
    <w:rsid w:val="004743BE"/>
    <w:rsid w:val="0047440E"/>
    <w:rsid w:val="0047445B"/>
    <w:rsid w:val="0047457C"/>
    <w:rsid w:val="00474643"/>
    <w:rsid w:val="00474722"/>
    <w:rsid w:val="0047479E"/>
    <w:rsid w:val="004747A6"/>
    <w:rsid w:val="004748D5"/>
    <w:rsid w:val="00474974"/>
    <w:rsid w:val="004749E6"/>
    <w:rsid w:val="00474B45"/>
    <w:rsid w:val="00474BC6"/>
    <w:rsid w:val="00474D5B"/>
    <w:rsid w:val="00474DF2"/>
    <w:rsid w:val="00474E88"/>
    <w:rsid w:val="00474EDC"/>
    <w:rsid w:val="00474F78"/>
    <w:rsid w:val="00474F92"/>
    <w:rsid w:val="00475033"/>
    <w:rsid w:val="00475276"/>
    <w:rsid w:val="0047527E"/>
    <w:rsid w:val="00475349"/>
    <w:rsid w:val="00475359"/>
    <w:rsid w:val="004753DB"/>
    <w:rsid w:val="004754AB"/>
    <w:rsid w:val="00475556"/>
    <w:rsid w:val="0047559F"/>
    <w:rsid w:val="00475636"/>
    <w:rsid w:val="00475647"/>
    <w:rsid w:val="0047565C"/>
    <w:rsid w:val="004756BD"/>
    <w:rsid w:val="004756C2"/>
    <w:rsid w:val="00475711"/>
    <w:rsid w:val="0047571B"/>
    <w:rsid w:val="004758A0"/>
    <w:rsid w:val="004758CE"/>
    <w:rsid w:val="004758F9"/>
    <w:rsid w:val="0047592A"/>
    <w:rsid w:val="00475A30"/>
    <w:rsid w:val="00475B06"/>
    <w:rsid w:val="00475B30"/>
    <w:rsid w:val="00475CD8"/>
    <w:rsid w:val="00475E2A"/>
    <w:rsid w:val="00475F00"/>
    <w:rsid w:val="00475F69"/>
    <w:rsid w:val="00476000"/>
    <w:rsid w:val="00476223"/>
    <w:rsid w:val="00476289"/>
    <w:rsid w:val="00476416"/>
    <w:rsid w:val="004764EE"/>
    <w:rsid w:val="0047666B"/>
    <w:rsid w:val="00476785"/>
    <w:rsid w:val="004767BA"/>
    <w:rsid w:val="00476830"/>
    <w:rsid w:val="0047694A"/>
    <w:rsid w:val="004769B7"/>
    <w:rsid w:val="00476A73"/>
    <w:rsid w:val="00476AA1"/>
    <w:rsid w:val="00476C88"/>
    <w:rsid w:val="00476CE7"/>
    <w:rsid w:val="00476CF3"/>
    <w:rsid w:val="00476D36"/>
    <w:rsid w:val="00476D97"/>
    <w:rsid w:val="00476E8C"/>
    <w:rsid w:val="00476FA9"/>
    <w:rsid w:val="0047719F"/>
    <w:rsid w:val="004771B8"/>
    <w:rsid w:val="00477316"/>
    <w:rsid w:val="004773C8"/>
    <w:rsid w:val="004773F5"/>
    <w:rsid w:val="0047742E"/>
    <w:rsid w:val="00477498"/>
    <w:rsid w:val="0047770C"/>
    <w:rsid w:val="00477853"/>
    <w:rsid w:val="00477919"/>
    <w:rsid w:val="00477967"/>
    <w:rsid w:val="00477A76"/>
    <w:rsid w:val="00477B44"/>
    <w:rsid w:val="00477B49"/>
    <w:rsid w:val="00477D07"/>
    <w:rsid w:val="00477DBE"/>
    <w:rsid w:val="00477E5C"/>
    <w:rsid w:val="00477F02"/>
    <w:rsid w:val="00477FC1"/>
    <w:rsid w:val="00477FD7"/>
    <w:rsid w:val="0048005D"/>
    <w:rsid w:val="00480099"/>
    <w:rsid w:val="00480295"/>
    <w:rsid w:val="00480339"/>
    <w:rsid w:val="004803F0"/>
    <w:rsid w:val="004804C7"/>
    <w:rsid w:val="004804CD"/>
    <w:rsid w:val="0048050F"/>
    <w:rsid w:val="004805DE"/>
    <w:rsid w:val="004806DB"/>
    <w:rsid w:val="0048071E"/>
    <w:rsid w:val="00480784"/>
    <w:rsid w:val="004807DD"/>
    <w:rsid w:val="00480870"/>
    <w:rsid w:val="004808E8"/>
    <w:rsid w:val="00480941"/>
    <w:rsid w:val="004809D7"/>
    <w:rsid w:val="00480AEB"/>
    <w:rsid w:val="00480B26"/>
    <w:rsid w:val="00480B7D"/>
    <w:rsid w:val="00480EAF"/>
    <w:rsid w:val="00480EBA"/>
    <w:rsid w:val="00480EF8"/>
    <w:rsid w:val="00480F7B"/>
    <w:rsid w:val="004811E5"/>
    <w:rsid w:val="0048128B"/>
    <w:rsid w:val="004812BE"/>
    <w:rsid w:val="00481353"/>
    <w:rsid w:val="0048142A"/>
    <w:rsid w:val="00481456"/>
    <w:rsid w:val="004814D0"/>
    <w:rsid w:val="0048168F"/>
    <w:rsid w:val="00481712"/>
    <w:rsid w:val="004817A2"/>
    <w:rsid w:val="004817CA"/>
    <w:rsid w:val="004817CC"/>
    <w:rsid w:val="00481858"/>
    <w:rsid w:val="004818A2"/>
    <w:rsid w:val="00481961"/>
    <w:rsid w:val="00481A0D"/>
    <w:rsid w:val="00481AB3"/>
    <w:rsid w:val="00481B05"/>
    <w:rsid w:val="00481C27"/>
    <w:rsid w:val="00481D82"/>
    <w:rsid w:val="00481DE4"/>
    <w:rsid w:val="00481E02"/>
    <w:rsid w:val="00481EE8"/>
    <w:rsid w:val="00481FAC"/>
    <w:rsid w:val="00482102"/>
    <w:rsid w:val="00482167"/>
    <w:rsid w:val="004822F8"/>
    <w:rsid w:val="00482370"/>
    <w:rsid w:val="00482417"/>
    <w:rsid w:val="004824F4"/>
    <w:rsid w:val="00482621"/>
    <w:rsid w:val="00482631"/>
    <w:rsid w:val="0048269A"/>
    <w:rsid w:val="00482746"/>
    <w:rsid w:val="0048286A"/>
    <w:rsid w:val="00482879"/>
    <w:rsid w:val="00482A94"/>
    <w:rsid w:val="00482B7E"/>
    <w:rsid w:val="00482D8F"/>
    <w:rsid w:val="00482E8B"/>
    <w:rsid w:val="00483024"/>
    <w:rsid w:val="00483037"/>
    <w:rsid w:val="0048304A"/>
    <w:rsid w:val="00483071"/>
    <w:rsid w:val="0048332C"/>
    <w:rsid w:val="00483332"/>
    <w:rsid w:val="004834A4"/>
    <w:rsid w:val="00483506"/>
    <w:rsid w:val="0048362D"/>
    <w:rsid w:val="0048367B"/>
    <w:rsid w:val="004836F0"/>
    <w:rsid w:val="00483704"/>
    <w:rsid w:val="0048383F"/>
    <w:rsid w:val="0048386A"/>
    <w:rsid w:val="004839C1"/>
    <w:rsid w:val="004839ED"/>
    <w:rsid w:val="00483AEC"/>
    <w:rsid w:val="00483AF3"/>
    <w:rsid w:val="00483B2E"/>
    <w:rsid w:val="00483BE2"/>
    <w:rsid w:val="00483C42"/>
    <w:rsid w:val="00483C5D"/>
    <w:rsid w:val="00483D69"/>
    <w:rsid w:val="00483E6D"/>
    <w:rsid w:val="00483EE2"/>
    <w:rsid w:val="00483F05"/>
    <w:rsid w:val="00483F07"/>
    <w:rsid w:val="00484065"/>
    <w:rsid w:val="0048408B"/>
    <w:rsid w:val="00484113"/>
    <w:rsid w:val="00484216"/>
    <w:rsid w:val="0048434F"/>
    <w:rsid w:val="004843D6"/>
    <w:rsid w:val="0048455B"/>
    <w:rsid w:val="0048456F"/>
    <w:rsid w:val="004846DA"/>
    <w:rsid w:val="00484715"/>
    <w:rsid w:val="004847E5"/>
    <w:rsid w:val="004848CF"/>
    <w:rsid w:val="00484905"/>
    <w:rsid w:val="00484938"/>
    <w:rsid w:val="00484A0F"/>
    <w:rsid w:val="00484A5A"/>
    <w:rsid w:val="00484B75"/>
    <w:rsid w:val="00484BB7"/>
    <w:rsid w:val="00484DED"/>
    <w:rsid w:val="00484FD5"/>
    <w:rsid w:val="00485106"/>
    <w:rsid w:val="00485259"/>
    <w:rsid w:val="00485304"/>
    <w:rsid w:val="00485373"/>
    <w:rsid w:val="004853D0"/>
    <w:rsid w:val="004855B0"/>
    <w:rsid w:val="0048577E"/>
    <w:rsid w:val="004857F5"/>
    <w:rsid w:val="00485825"/>
    <w:rsid w:val="00485B1F"/>
    <w:rsid w:val="00485B99"/>
    <w:rsid w:val="00485C0F"/>
    <w:rsid w:val="00485C27"/>
    <w:rsid w:val="00485E13"/>
    <w:rsid w:val="00485EA1"/>
    <w:rsid w:val="00485F2D"/>
    <w:rsid w:val="00485F52"/>
    <w:rsid w:val="00486014"/>
    <w:rsid w:val="00486094"/>
    <w:rsid w:val="004860A3"/>
    <w:rsid w:val="004860D2"/>
    <w:rsid w:val="004861A1"/>
    <w:rsid w:val="004861B0"/>
    <w:rsid w:val="004862A2"/>
    <w:rsid w:val="004862F5"/>
    <w:rsid w:val="00486358"/>
    <w:rsid w:val="00486376"/>
    <w:rsid w:val="0048649D"/>
    <w:rsid w:val="004864D2"/>
    <w:rsid w:val="0048655C"/>
    <w:rsid w:val="00486579"/>
    <w:rsid w:val="004865A1"/>
    <w:rsid w:val="004866DD"/>
    <w:rsid w:val="00486736"/>
    <w:rsid w:val="00486835"/>
    <w:rsid w:val="0048698B"/>
    <w:rsid w:val="00486B3C"/>
    <w:rsid w:val="00486C3D"/>
    <w:rsid w:val="00486DB2"/>
    <w:rsid w:val="00486E8E"/>
    <w:rsid w:val="00486EBE"/>
    <w:rsid w:val="00486F36"/>
    <w:rsid w:val="00486F98"/>
    <w:rsid w:val="00486F9D"/>
    <w:rsid w:val="00487182"/>
    <w:rsid w:val="004872A0"/>
    <w:rsid w:val="0048736D"/>
    <w:rsid w:val="0048737E"/>
    <w:rsid w:val="00487384"/>
    <w:rsid w:val="0048740B"/>
    <w:rsid w:val="0048740F"/>
    <w:rsid w:val="00487456"/>
    <w:rsid w:val="00487535"/>
    <w:rsid w:val="0048759A"/>
    <w:rsid w:val="004875FD"/>
    <w:rsid w:val="0048763E"/>
    <w:rsid w:val="004877CB"/>
    <w:rsid w:val="0048781F"/>
    <w:rsid w:val="00487AF2"/>
    <w:rsid w:val="00487BD7"/>
    <w:rsid w:val="00487F27"/>
    <w:rsid w:val="00487FBA"/>
    <w:rsid w:val="00487FC4"/>
    <w:rsid w:val="00487FEF"/>
    <w:rsid w:val="00490143"/>
    <w:rsid w:val="004902DB"/>
    <w:rsid w:val="00490324"/>
    <w:rsid w:val="00490397"/>
    <w:rsid w:val="004905C8"/>
    <w:rsid w:val="00490650"/>
    <w:rsid w:val="004906DD"/>
    <w:rsid w:val="0049070A"/>
    <w:rsid w:val="004907F8"/>
    <w:rsid w:val="004908DE"/>
    <w:rsid w:val="0049098D"/>
    <w:rsid w:val="00490A9E"/>
    <w:rsid w:val="00490B0A"/>
    <w:rsid w:val="00490B79"/>
    <w:rsid w:val="00490B98"/>
    <w:rsid w:val="00490BF3"/>
    <w:rsid w:val="00490C20"/>
    <w:rsid w:val="00490CFE"/>
    <w:rsid w:val="00490E42"/>
    <w:rsid w:val="00490E5B"/>
    <w:rsid w:val="00490ED5"/>
    <w:rsid w:val="00490EE2"/>
    <w:rsid w:val="00490F89"/>
    <w:rsid w:val="00490FA8"/>
    <w:rsid w:val="00490FC5"/>
    <w:rsid w:val="0049117D"/>
    <w:rsid w:val="00491305"/>
    <w:rsid w:val="00491410"/>
    <w:rsid w:val="00491433"/>
    <w:rsid w:val="004914CF"/>
    <w:rsid w:val="00491523"/>
    <w:rsid w:val="00491584"/>
    <w:rsid w:val="004915E8"/>
    <w:rsid w:val="00491705"/>
    <w:rsid w:val="00491771"/>
    <w:rsid w:val="004918D3"/>
    <w:rsid w:val="004919B3"/>
    <w:rsid w:val="004919C0"/>
    <w:rsid w:val="00491A16"/>
    <w:rsid w:val="00491A6B"/>
    <w:rsid w:val="00491B0E"/>
    <w:rsid w:val="00491B78"/>
    <w:rsid w:val="00491D19"/>
    <w:rsid w:val="00491DD4"/>
    <w:rsid w:val="00491DEB"/>
    <w:rsid w:val="00491E61"/>
    <w:rsid w:val="00491ED4"/>
    <w:rsid w:val="00492028"/>
    <w:rsid w:val="0049204C"/>
    <w:rsid w:val="0049206B"/>
    <w:rsid w:val="00492171"/>
    <w:rsid w:val="0049222C"/>
    <w:rsid w:val="00492387"/>
    <w:rsid w:val="00492397"/>
    <w:rsid w:val="0049240F"/>
    <w:rsid w:val="00492440"/>
    <w:rsid w:val="0049254F"/>
    <w:rsid w:val="004926F0"/>
    <w:rsid w:val="0049279B"/>
    <w:rsid w:val="004927AB"/>
    <w:rsid w:val="004928FA"/>
    <w:rsid w:val="00492904"/>
    <w:rsid w:val="004929AE"/>
    <w:rsid w:val="00492AF4"/>
    <w:rsid w:val="00492C12"/>
    <w:rsid w:val="00492C52"/>
    <w:rsid w:val="00492E14"/>
    <w:rsid w:val="00492E2A"/>
    <w:rsid w:val="00492E41"/>
    <w:rsid w:val="00492E5D"/>
    <w:rsid w:val="00492E86"/>
    <w:rsid w:val="0049301D"/>
    <w:rsid w:val="0049303A"/>
    <w:rsid w:val="00493122"/>
    <w:rsid w:val="00493292"/>
    <w:rsid w:val="00493300"/>
    <w:rsid w:val="004933C3"/>
    <w:rsid w:val="00493411"/>
    <w:rsid w:val="00493418"/>
    <w:rsid w:val="0049348E"/>
    <w:rsid w:val="0049349F"/>
    <w:rsid w:val="0049358D"/>
    <w:rsid w:val="0049362E"/>
    <w:rsid w:val="00493632"/>
    <w:rsid w:val="00493718"/>
    <w:rsid w:val="00493742"/>
    <w:rsid w:val="004937D6"/>
    <w:rsid w:val="004937F3"/>
    <w:rsid w:val="004939EB"/>
    <w:rsid w:val="00493AF9"/>
    <w:rsid w:val="00493C02"/>
    <w:rsid w:val="00493D31"/>
    <w:rsid w:val="00493D38"/>
    <w:rsid w:val="00493D41"/>
    <w:rsid w:val="00493E7E"/>
    <w:rsid w:val="00493E88"/>
    <w:rsid w:val="00493ED8"/>
    <w:rsid w:val="00493F2F"/>
    <w:rsid w:val="00493F68"/>
    <w:rsid w:val="00493FBB"/>
    <w:rsid w:val="00493FF2"/>
    <w:rsid w:val="0049410D"/>
    <w:rsid w:val="0049417F"/>
    <w:rsid w:val="004942A5"/>
    <w:rsid w:val="0049440B"/>
    <w:rsid w:val="0049449B"/>
    <w:rsid w:val="004945D7"/>
    <w:rsid w:val="00494736"/>
    <w:rsid w:val="00494859"/>
    <w:rsid w:val="00494891"/>
    <w:rsid w:val="004948E2"/>
    <w:rsid w:val="00494910"/>
    <w:rsid w:val="00494958"/>
    <w:rsid w:val="004949D7"/>
    <w:rsid w:val="00494B25"/>
    <w:rsid w:val="00494BA2"/>
    <w:rsid w:val="00494D2A"/>
    <w:rsid w:val="00494D98"/>
    <w:rsid w:val="00494DD4"/>
    <w:rsid w:val="00494E00"/>
    <w:rsid w:val="00494EC9"/>
    <w:rsid w:val="004950A1"/>
    <w:rsid w:val="004952F6"/>
    <w:rsid w:val="00495355"/>
    <w:rsid w:val="004953A2"/>
    <w:rsid w:val="0049565E"/>
    <w:rsid w:val="004956D7"/>
    <w:rsid w:val="004956DF"/>
    <w:rsid w:val="004957A1"/>
    <w:rsid w:val="004958A6"/>
    <w:rsid w:val="004958E8"/>
    <w:rsid w:val="00495969"/>
    <w:rsid w:val="004959B7"/>
    <w:rsid w:val="00495B59"/>
    <w:rsid w:val="00495B98"/>
    <w:rsid w:val="00495C1C"/>
    <w:rsid w:val="00495CF7"/>
    <w:rsid w:val="00495D55"/>
    <w:rsid w:val="00495DDC"/>
    <w:rsid w:val="00495E06"/>
    <w:rsid w:val="00495F10"/>
    <w:rsid w:val="00495F13"/>
    <w:rsid w:val="00495FD4"/>
    <w:rsid w:val="004960E2"/>
    <w:rsid w:val="004961DF"/>
    <w:rsid w:val="00496226"/>
    <w:rsid w:val="00496383"/>
    <w:rsid w:val="00496456"/>
    <w:rsid w:val="0049652C"/>
    <w:rsid w:val="00496552"/>
    <w:rsid w:val="00496572"/>
    <w:rsid w:val="00496628"/>
    <w:rsid w:val="00496703"/>
    <w:rsid w:val="0049677D"/>
    <w:rsid w:val="00496781"/>
    <w:rsid w:val="00496808"/>
    <w:rsid w:val="00496858"/>
    <w:rsid w:val="00496A0A"/>
    <w:rsid w:val="00496BB0"/>
    <w:rsid w:val="00496BED"/>
    <w:rsid w:val="00496C18"/>
    <w:rsid w:val="00496C5A"/>
    <w:rsid w:val="00496CC4"/>
    <w:rsid w:val="00496E52"/>
    <w:rsid w:val="00497002"/>
    <w:rsid w:val="0049705F"/>
    <w:rsid w:val="004970B1"/>
    <w:rsid w:val="00497121"/>
    <w:rsid w:val="00497161"/>
    <w:rsid w:val="00497283"/>
    <w:rsid w:val="004972F1"/>
    <w:rsid w:val="00497325"/>
    <w:rsid w:val="00497405"/>
    <w:rsid w:val="00497659"/>
    <w:rsid w:val="00497662"/>
    <w:rsid w:val="00497664"/>
    <w:rsid w:val="00497717"/>
    <w:rsid w:val="00497795"/>
    <w:rsid w:val="00497808"/>
    <w:rsid w:val="00497A90"/>
    <w:rsid w:val="00497BE2"/>
    <w:rsid w:val="00497C50"/>
    <w:rsid w:val="00497DA4"/>
    <w:rsid w:val="00497DD9"/>
    <w:rsid w:val="00497DEB"/>
    <w:rsid w:val="00497E7C"/>
    <w:rsid w:val="00497ED5"/>
    <w:rsid w:val="00497EFF"/>
    <w:rsid w:val="00497F76"/>
    <w:rsid w:val="004A014C"/>
    <w:rsid w:val="004A015B"/>
    <w:rsid w:val="004A018E"/>
    <w:rsid w:val="004A024F"/>
    <w:rsid w:val="004A0365"/>
    <w:rsid w:val="004A0379"/>
    <w:rsid w:val="004A03AD"/>
    <w:rsid w:val="004A03FF"/>
    <w:rsid w:val="004A0483"/>
    <w:rsid w:val="004A04BD"/>
    <w:rsid w:val="004A0507"/>
    <w:rsid w:val="004A051C"/>
    <w:rsid w:val="004A063C"/>
    <w:rsid w:val="004A0660"/>
    <w:rsid w:val="004A06D3"/>
    <w:rsid w:val="004A0742"/>
    <w:rsid w:val="004A09CA"/>
    <w:rsid w:val="004A09E9"/>
    <w:rsid w:val="004A09EA"/>
    <w:rsid w:val="004A0A28"/>
    <w:rsid w:val="004A0A38"/>
    <w:rsid w:val="004A0A99"/>
    <w:rsid w:val="004A0C30"/>
    <w:rsid w:val="004A0D34"/>
    <w:rsid w:val="004A0DCB"/>
    <w:rsid w:val="004A0DCC"/>
    <w:rsid w:val="004A0E94"/>
    <w:rsid w:val="004A0E99"/>
    <w:rsid w:val="004A0EAC"/>
    <w:rsid w:val="004A0FEB"/>
    <w:rsid w:val="004A1058"/>
    <w:rsid w:val="004A10A9"/>
    <w:rsid w:val="004A1142"/>
    <w:rsid w:val="004A12F1"/>
    <w:rsid w:val="004A1318"/>
    <w:rsid w:val="004A13FB"/>
    <w:rsid w:val="004A1535"/>
    <w:rsid w:val="004A164C"/>
    <w:rsid w:val="004A1870"/>
    <w:rsid w:val="004A18ED"/>
    <w:rsid w:val="004A18FB"/>
    <w:rsid w:val="004A1903"/>
    <w:rsid w:val="004A1908"/>
    <w:rsid w:val="004A1BA7"/>
    <w:rsid w:val="004A1CB5"/>
    <w:rsid w:val="004A1CD3"/>
    <w:rsid w:val="004A1CD5"/>
    <w:rsid w:val="004A1CFA"/>
    <w:rsid w:val="004A1E56"/>
    <w:rsid w:val="004A1E85"/>
    <w:rsid w:val="004A1F94"/>
    <w:rsid w:val="004A1FDE"/>
    <w:rsid w:val="004A20E9"/>
    <w:rsid w:val="004A2160"/>
    <w:rsid w:val="004A21BA"/>
    <w:rsid w:val="004A224F"/>
    <w:rsid w:val="004A23A0"/>
    <w:rsid w:val="004A23F3"/>
    <w:rsid w:val="004A24A0"/>
    <w:rsid w:val="004A24AB"/>
    <w:rsid w:val="004A25C2"/>
    <w:rsid w:val="004A25DD"/>
    <w:rsid w:val="004A2620"/>
    <w:rsid w:val="004A26BE"/>
    <w:rsid w:val="004A27F1"/>
    <w:rsid w:val="004A2903"/>
    <w:rsid w:val="004A2967"/>
    <w:rsid w:val="004A2A31"/>
    <w:rsid w:val="004A2A42"/>
    <w:rsid w:val="004A2A88"/>
    <w:rsid w:val="004A2B2E"/>
    <w:rsid w:val="004A2CD0"/>
    <w:rsid w:val="004A2DB4"/>
    <w:rsid w:val="004A2E5C"/>
    <w:rsid w:val="004A2FBE"/>
    <w:rsid w:val="004A3001"/>
    <w:rsid w:val="004A301C"/>
    <w:rsid w:val="004A323F"/>
    <w:rsid w:val="004A3248"/>
    <w:rsid w:val="004A326D"/>
    <w:rsid w:val="004A3328"/>
    <w:rsid w:val="004A339D"/>
    <w:rsid w:val="004A34A2"/>
    <w:rsid w:val="004A352E"/>
    <w:rsid w:val="004A3534"/>
    <w:rsid w:val="004A35C3"/>
    <w:rsid w:val="004A35C4"/>
    <w:rsid w:val="004A35CF"/>
    <w:rsid w:val="004A37D3"/>
    <w:rsid w:val="004A3859"/>
    <w:rsid w:val="004A3961"/>
    <w:rsid w:val="004A39CF"/>
    <w:rsid w:val="004A3A49"/>
    <w:rsid w:val="004A3B37"/>
    <w:rsid w:val="004A3C6D"/>
    <w:rsid w:val="004A3D86"/>
    <w:rsid w:val="004A3DC8"/>
    <w:rsid w:val="004A3E84"/>
    <w:rsid w:val="004A4034"/>
    <w:rsid w:val="004A40AB"/>
    <w:rsid w:val="004A4177"/>
    <w:rsid w:val="004A4291"/>
    <w:rsid w:val="004A4309"/>
    <w:rsid w:val="004A4474"/>
    <w:rsid w:val="004A44AE"/>
    <w:rsid w:val="004A4573"/>
    <w:rsid w:val="004A45F7"/>
    <w:rsid w:val="004A4748"/>
    <w:rsid w:val="004A4749"/>
    <w:rsid w:val="004A48F8"/>
    <w:rsid w:val="004A4B01"/>
    <w:rsid w:val="004A4DDA"/>
    <w:rsid w:val="004A4E4E"/>
    <w:rsid w:val="004A4F23"/>
    <w:rsid w:val="004A4F67"/>
    <w:rsid w:val="004A4FA4"/>
    <w:rsid w:val="004A5008"/>
    <w:rsid w:val="004A51EF"/>
    <w:rsid w:val="004A5217"/>
    <w:rsid w:val="004A52A0"/>
    <w:rsid w:val="004A53F0"/>
    <w:rsid w:val="004A555C"/>
    <w:rsid w:val="004A562D"/>
    <w:rsid w:val="004A574C"/>
    <w:rsid w:val="004A5777"/>
    <w:rsid w:val="004A578F"/>
    <w:rsid w:val="004A58B6"/>
    <w:rsid w:val="004A58BF"/>
    <w:rsid w:val="004A58E7"/>
    <w:rsid w:val="004A598E"/>
    <w:rsid w:val="004A5B0D"/>
    <w:rsid w:val="004A5BE5"/>
    <w:rsid w:val="004A5C2A"/>
    <w:rsid w:val="004A5C92"/>
    <w:rsid w:val="004A5D14"/>
    <w:rsid w:val="004A5D35"/>
    <w:rsid w:val="004A5D49"/>
    <w:rsid w:val="004A5D4E"/>
    <w:rsid w:val="004A5D90"/>
    <w:rsid w:val="004A5DA2"/>
    <w:rsid w:val="004A5DD1"/>
    <w:rsid w:val="004A5F72"/>
    <w:rsid w:val="004A6011"/>
    <w:rsid w:val="004A6045"/>
    <w:rsid w:val="004A6192"/>
    <w:rsid w:val="004A61BF"/>
    <w:rsid w:val="004A6276"/>
    <w:rsid w:val="004A6365"/>
    <w:rsid w:val="004A643E"/>
    <w:rsid w:val="004A64B6"/>
    <w:rsid w:val="004A652F"/>
    <w:rsid w:val="004A6556"/>
    <w:rsid w:val="004A66FB"/>
    <w:rsid w:val="004A67A8"/>
    <w:rsid w:val="004A684C"/>
    <w:rsid w:val="004A68C1"/>
    <w:rsid w:val="004A68FF"/>
    <w:rsid w:val="004A691F"/>
    <w:rsid w:val="004A6958"/>
    <w:rsid w:val="004A6996"/>
    <w:rsid w:val="004A6AFA"/>
    <w:rsid w:val="004A6B74"/>
    <w:rsid w:val="004A6B86"/>
    <w:rsid w:val="004A6B99"/>
    <w:rsid w:val="004A6BF1"/>
    <w:rsid w:val="004A6BF5"/>
    <w:rsid w:val="004A6EEA"/>
    <w:rsid w:val="004A7101"/>
    <w:rsid w:val="004A7262"/>
    <w:rsid w:val="004A72BD"/>
    <w:rsid w:val="004A74D6"/>
    <w:rsid w:val="004A760B"/>
    <w:rsid w:val="004A770A"/>
    <w:rsid w:val="004A7724"/>
    <w:rsid w:val="004A7828"/>
    <w:rsid w:val="004A7859"/>
    <w:rsid w:val="004A78F7"/>
    <w:rsid w:val="004A7924"/>
    <w:rsid w:val="004A7962"/>
    <w:rsid w:val="004A79DB"/>
    <w:rsid w:val="004A79F0"/>
    <w:rsid w:val="004A7A0E"/>
    <w:rsid w:val="004A7A55"/>
    <w:rsid w:val="004A7A59"/>
    <w:rsid w:val="004A7C55"/>
    <w:rsid w:val="004A7CE9"/>
    <w:rsid w:val="004A7D85"/>
    <w:rsid w:val="004A7D87"/>
    <w:rsid w:val="004A7EC0"/>
    <w:rsid w:val="004A7ED2"/>
    <w:rsid w:val="004B0030"/>
    <w:rsid w:val="004B0169"/>
    <w:rsid w:val="004B01EA"/>
    <w:rsid w:val="004B02CF"/>
    <w:rsid w:val="004B0340"/>
    <w:rsid w:val="004B037E"/>
    <w:rsid w:val="004B03F1"/>
    <w:rsid w:val="004B0449"/>
    <w:rsid w:val="004B05BA"/>
    <w:rsid w:val="004B05D9"/>
    <w:rsid w:val="004B069F"/>
    <w:rsid w:val="004B07AC"/>
    <w:rsid w:val="004B07B1"/>
    <w:rsid w:val="004B089B"/>
    <w:rsid w:val="004B097D"/>
    <w:rsid w:val="004B0A80"/>
    <w:rsid w:val="004B0AB3"/>
    <w:rsid w:val="004B0B3C"/>
    <w:rsid w:val="004B0BA1"/>
    <w:rsid w:val="004B0CC8"/>
    <w:rsid w:val="004B0F17"/>
    <w:rsid w:val="004B10D6"/>
    <w:rsid w:val="004B10FB"/>
    <w:rsid w:val="004B114F"/>
    <w:rsid w:val="004B11A0"/>
    <w:rsid w:val="004B130C"/>
    <w:rsid w:val="004B1349"/>
    <w:rsid w:val="004B13A6"/>
    <w:rsid w:val="004B1459"/>
    <w:rsid w:val="004B155E"/>
    <w:rsid w:val="004B1562"/>
    <w:rsid w:val="004B1672"/>
    <w:rsid w:val="004B16C1"/>
    <w:rsid w:val="004B178A"/>
    <w:rsid w:val="004B17CA"/>
    <w:rsid w:val="004B1820"/>
    <w:rsid w:val="004B185E"/>
    <w:rsid w:val="004B188B"/>
    <w:rsid w:val="004B19E8"/>
    <w:rsid w:val="004B1B1D"/>
    <w:rsid w:val="004B1CCD"/>
    <w:rsid w:val="004B1E3A"/>
    <w:rsid w:val="004B1F7A"/>
    <w:rsid w:val="004B202A"/>
    <w:rsid w:val="004B20C8"/>
    <w:rsid w:val="004B20CB"/>
    <w:rsid w:val="004B210D"/>
    <w:rsid w:val="004B216F"/>
    <w:rsid w:val="004B21E7"/>
    <w:rsid w:val="004B2355"/>
    <w:rsid w:val="004B2360"/>
    <w:rsid w:val="004B23B2"/>
    <w:rsid w:val="004B24E7"/>
    <w:rsid w:val="004B2562"/>
    <w:rsid w:val="004B2593"/>
    <w:rsid w:val="004B285D"/>
    <w:rsid w:val="004B296F"/>
    <w:rsid w:val="004B2985"/>
    <w:rsid w:val="004B29EE"/>
    <w:rsid w:val="004B2A0B"/>
    <w:rsid w:val="004B2B87"/>
    <w:rsid w:val="004B2BAC"/>
    <w:rsid w:val="004B2C37"/>
    <w:rsid w:val="004B2C69"/>
    <w:rsid w:val="004B2C71"/>
    <w:rsid w:val="004B2C90"/>
    <w:rsid w:val="004B2CB2"/>
    <w:rsid w:val="004B2F9A"/>
    <w:rsid w:val="004B302E"/>
    <w:rsid w:val="004B30FD"/>
    <w:rsid w:val="004B313D"/>
    <w:rsid w:val="004B334D"/>
    <w:rsid w:val="004B3474"/>
    <w:rsid w:val="004B3519"/>
    <w:rsid w:val="004B3842"/>
    <w:rsid w:val="004B3906"/>
    <w:rsid w:val="004B3939"/>
    <w:rsid w:val="004B3B3D"/>
    <w:rsid w:val="004B3B88"/>
    <w:rsid w:val="004B3BC0"/>
    <w:rsid w:val="004B3C50"/>
    <w:rsid w:val="004B3C76"/>
    <w:rsid w:val="004B3DEC"/>
    <w:rsid w:val="004B3E2B"/>
    <w:rsid w:val="004B3E41"/>
    <w:rsid w:val="004B3E65"/>
    <w:rsid w:val="004B3ED9"/>
    <w:rsid w:val="004B3F11"/>
    <w:rsid w:val="004B3F42"/>
    <w:rsid w:val="004B4052"/>
    <w:rsid w:val="004B405D"/>
    <w:rsid w:val="004B40DD"/>
    <w:rsid w:val="004B4315"/>
    <w:rsid w:val="004B4332"/>
    <w:rsid w:val="004B43DE"/>
    <w:rsid w:val="004B444D"/>
    <w:rsid w:val="004B44A7"/>
    <w:rsid w:val="004B44E0"/>
    <w:rsid w:val="004B45A0"/>
    <w:rsid w:val="004B476C"/>
    <w:rsid w:val="004B4856"/>
    <w:rsid w:val="004B48E3"/>
    <w:rsid w:val="004B48FC"/>
    <w:rsid w:val="004B4956"/>
    <w:rsid w:val="004B4A12"/>
    <w:rsid w:val="004B4B6C"/>
    <w:rsid w:val="004B4B76"/>
    <w:rsid w:val="004B4CA8"/>
    <w:rsid w:val="004B4D01"/>
    <w:rsid w:val="004B4DA2"/>
    <w:rsid w:val="004B4DAF"/>
    <w:rsid w:val="004B4ED6"/>
    <w:rsid w:val="004B506C"/>
    <w:rsid w:val="004B50E1"/>
    <w:rsid w:val="004B5148"/>
    <w:rsid w:val="004B514D"/>
    <w:rsid w:val="004B52B7"/>
    <w:rsid w:val="004B5322"/>
    <w:rsid w:val="004B5364"/>
    <w:rsid w:val="004B541E"/>
    <w:rsid w:val="004B5469"/>
    <w:rsid w:val="004B55C2"/>
    <w:rsid w:val="004B569D"/>
    <w:rsid w:val="004B57AE"/>
    <w:rsid w:val="004B596F"/>
    <w:rsid w:val="004B59CE"/>
    <w:rsid w:val="004B5A59"/>
    <w:rsid w:val="004B5B6C"/>
    <w:rsid w:val="004B5CAC"/>
    <w:rsid w:val="004B5D47"/>
    <w:rsid w:val="004B5DDF"/>
    <w:rsid w:val="004B5FA6"/>
    <w:rsid w:val="004B60AB"/>
    <w:rsid w:val="004B6258"/>
    <w:rsid w:val="004B627E"/>
    <w:rsid w:val="004B62CA"/>
    <w:rsid w:val="004B63C6"/>
    <w:rsid w:val="004B6456"/>
    <w:rsid w:val="004B6486"/>
    <w:rsid w:val="004B6525"/>
    <w:rsid w:val="004B657F"/>
    <w:rsid w:val="004B66A4"/>
    <w:rsid w:val="004B66F5"/>
    <w:rsid w:val="004B6B35"/>
    <w:rsid w:val="004B6C1F"/>
    <w:rsid w:val="004B6C8E"/>
    <w:rsid w:val="004B6CFA"/>
    <w:rsid w:val="004B6D02"/>
    <w:rsid w:val="004B6D21"/>
    <w:rsid w:val="004B6E4A"/>
    <w:rsid w:val="004B6E5D"/>
    <w:rsid w:val="004B6E83"/>
    <w:rsid w:val="004B6E85"/>
    <w:rsid w:val="004B6EF3"/>
    <w:rsid w:val="004B6F22"/>
    <w:rsid w:val="004B6F33"/>
    <w:rsid w:val="004B6F8E"/>
    <w:rsid w:val="004B707A"/>
    <w:rsid w:val="004B7248"/>
    <w:rsid w:val="004B7470"/>
    <w:rsid w:val="004B7642"/>
    <w:rsid w:val="004B76C7"/>
    <w:rsid w:val="004B7799"/>
    <w:rsid w:val="004B77E7"/>
    <w:rsid w:val="004B78F1"/>
    <w:rsid w:val="004B791B"/>
    <w:rsid w:val="004B79CE"/>
    <w:rsid w:val="004B7A58"/>
    <w:rsid w:val="004B7C2B"/>
    <w:rsid w:val="004B7C80"/>
    <w:rsid w:val="004B7C91"/>
    <w:rsid w:val="004B7D04"/>
    <w:rsid w:val="004B7D1A"/>
    <w:rsid w:val="004B7D9D"/>
    <w:rsid w:val="004B7F01"/>
    <w:rsid w:val="004B7F0E"/>
    <w:rsid w:val="004B7FED"/>
    <w:rsid w:val="004C011A"/>
    <w:rsid w:val="004C0127"/>
    <w:rsid w:val="004C0230"/>
    <w:rsid w:val="004C0467"/>
    <w:rsid w:val="004C04EA"/>
    <w:rsid w:val="004C0617"/>
    <w:rsid w:val="004C0697"/>
    <w:rsid w:val="004C07DE"/>
    <w:rsid w:val="004C084F"/>
    <w:rsid w:val="004C0872"/>
    <w:rsid w:val="004C0894"/>
    <w:rsid w:val="004C08A5"/>
    <w:rsid w:val="004C0903"/>
    <w:rsid w:val="004C0986"/>
    <w:rsid w:val="004C09CF"/>
    <w:rsid w:val="004C09D1"/>
    <w:rsid w:val="004C0A1B"/>
    <w:rsid w:val="004C0AB2"/>
    <w:rsid w:val="004C0BC7"/>
    <w:rsid w:val="004C0BE6"/>
    <w:rsid w:val="004C0C05"/>
    <w:rsid w:val="004C0E92"/>
    <w:rsid w:val="004C0F6C"/>
    <w:rsid w:val="004C1098"/>
    <w:rsid w:val="004C1111"/>
    <w:rsid w:val="004C1143"/>
    <w:rsid w:val="004C121E"/>
    <w:rsid w:val="004C135A"/>
    <w:rsid w:val="004C1397"/>
    <w:rsid w:val="004C139B"/>
    <w:rsid w:val="004C1520"/>
    <w:rsid w:val="004C16E6"/>
    <w:rsid w:val="004C177A"/>
    <w:rsid w:val="004C178F"/>
    <w:rsid w:val="004C17B2"/>
    <w:rsid w:val="004C17BA"/>
    <w:rsid w:val="004C17BE"/>
    <w:rsid w:val="004C1851"/>
    <w:rsid w:val="004C19D1"/>
    <w:rsid w:val="004C1A3A"/>
    <w:rsid w:val="004C1AEE"/>
    <w:rsid w:val="004C1BFD"/>
    <w:rsid w:val="004C1C5E"/>
    <w:rsid w:val="004C1D40"/>
    <w:rsid w:val="004C1FE5"/>
    <w:rsid w:val="004C201E"/>
    <w:rsid w:val="004C205F"/>
    <w:rsid w:val="004C2231"/>
    <w:rsid w:val="004C2315"/>
    <w:rsid w:val="004C2388"/>
    <w:rsid w:val="004C2427"/>
    <w:rsid w:val="004C2475"/>
    <w:rsid w:val="004C2616"/>
    <w:rsid w:val="004C2684"/>
    <w:rsid w:val="004C26CD"/>
    <w:rsid w:val="004C26E0"/>
    <w:rsid w:val="004C2798"/>
    <w:rsid w:val="004C27C8"/>
    <w:rsid w:val="004C2861"/>
    <w:rsid w:val="004C28BE"/>
    <w:rsid w:val="004C2A97"/>
    <w:rsid w:val="004C2AC4"/>
    <w:rsid w:val="004C2C5B"/>
    <w:rsid w:val="004C2D44"/>
    <w:rsid w:val="004C2D68"/>
    <w:rsid w:val="004C2F04"/>
    <w:rsid w:val="004C2FAC"/>
    <w:rsid w:val="004C2FCA"/>
    <w:rsid w:val="004C3105"/>
    <w:rsid w:val="004C310F"/>
    <w:rsid w:val="004C3246"/>
    <w:rsid w:val="004C3317"/>
    <w:rsid w:val="004C3325"/>
    <w:rsid w:val="004C334A"/>
    <w:rsid w:val="004C33A2"/>
    <w:rsid w:val="004C3483"/>
    <w:rsid w:val="004C350A"/>
    <w:rsid w:val="004C36DE"/>
    <w:rsid w:val="004C3721"/>
    <w:rsid w:val="004C377A"/>
    <w:rsid w:val="004C38EA"/>
    <w:rsid w:val="004C3932"/>
    <w:rsid w:val="004C3A32"/>
    <w:rsid w:val="004C3A74"/>
    <w:rsid w:val="004C3A75"/>
    <w:rsid w:val="004C3AD2"/>
    <w:rsid w:val="004C3B87"/>
    <w:rsid w:val="004C3D39"/>
    <w:rsid w:val="004C3D7A"/>
    <w:rsid w:val="004C3F81"/>
    <w:rsid w:val="004C3FD2"/>
    <w:rsid w:val="004C4150"/>
    <w:rsid w:val="004C41B5"/>
    <w:rsid w:val="004C41BB"/>
    <w:rsid w:val="004C41FE"/>
    <w:rsid w:val="004C425E"/>
    <w:rsid w:val="004C440E"/>
    <w:rsid w:val="004C45D5"/>
    <w:rsid w:val="004C460A"/>
    <w:rsid w:val="004C464E"/>
    <w:rsid w:val="004C465D"/>
    <w:rsid w:val="004C46AB"/>
    <w:rsid w:val="004C46EE"/>
    <w:rsid w:val="004C47C1"/>
    <w:rsid w:val="004C489F"/>
    <w:rsid w:val="004C493C"/>
    <w:rsid w:val="004C495A"/>
    <w:rsid w:val="004C49C4"/>
    <w:rsid w:val="004C4AAB"/>
    <w:rsid w:val="004C4B63"/>
    <w:rsid w:val="004C4C93"/>
    <w:rsid w:val="004C4D17"/>
    <w:rsid w:val="004C4E90"/>
    <w:rsid w:val="004C4EA9"/>
    <w:rsid w:val="004C4F99"/>
    <w:rsid w:val="004C4FA4"/>
    <w:rsid w:val="004C4FFC"/>
    <w:rsid w:val="004C509C"/>
    <w:rsid w:val="004C510C"/>
    <w:rsid w:val="004C5188"/>
    <w:rsid w:val="004C524F"/>
    <w:rsid w:val="004C5298"/>
    <w:rsid w:val="004C52DC"/>
    <w:rsid w:val="004C53AC"/>
    <w:rsid w:val="004C53B2"/>
    <w:rsid w:val="004C54C9"/>
    <w:rsid w:val="004C54F6"/>
    <w:rsid w:val="004C5542"/>
    <w:rsid w:val="004C5593"/>
    <w:rsid w:val="004C55DD"/>
    <w:rsid w:val="004C55EC"/>
    <w:rsid w:val="004C5611"/>
    <w:rsid w:val="004C5641"/>
    <w:rsid w:val="004C5D42"/>
    <w:rsid w:val="004C5F51"/>
    <w:rsid w:val="004C5FA0"/>
    <w:rsid w:val="004C5FEA"/>
    <w:rsid w:val="004C60C8"/>
    <w:rsid w:val="004C6124"/>
    <w:rsid w:val="004C61A3"/>
    <w:rsid w:val="004C662C"/>
    <w:rsid w:val="004C6651"/>
    <w:rsid w:val="004C66CC"/>
    <w:rsid w:val="004C67CC"/>
    <w:rsid w:val="004C689E"/>
    <w:rsid w:val="004C68E7"/>
    <w:rsid w:val="004C6915"/>
    <w:rsid w:val="004C692A"/>
    <w:rsid w:val="004C6C8A"/>
    <w:rsid w:val="004C6D42"/>
    <w:rsid w:val="004C6DEF"/>
    <w:rsid w:val="004C6E20"/>
    <w:rsid w:val="004C6ED2"/>
    <w:rsid w:val="004C6F24"/>
    <w:rsid w:val="004C6F27"/>
    <w:rsid w:val="004C6FFF"/>
    <w:rsid w:val="004C7084"/>
    <w:rsid w:val="004C708B"/>
    <w:rsid w:val="004C709D"/>
    <w:rsid w:val="004C70D4"/>
    <w:rsid w:val="004C71D0"/>
    <w:rsid w:val="004C7285"/>
    <w:rsid w:val="004C72DA"/>
    <w:rsid w:val="004C745F"/>
    <w:rsid w:val="004C7468"/>
    <w:rsid w:val="004C74B4"/>
    <w:rsid w:val="004C74B8"/>
    <w:rsid w:val="004C74BD"/>
    <w:rsid w:val="004C769D"/>
    <w:rsid w:val="004C76EE"/>
    <w:rsid w:val="004C7817"/>
    <w:rsid w:val="004C7977"/>
    <w:rsid w:val="004C7AB1"/>
    <w:rsid w:val="004C7AF1"/>
    <w:rsid w:val="004C7C39"/>
    <w:rsid w:val="004C7C58"/>
    <w:rsid w:val="004C7C6E"/>
    <w:rsid w:val="004C7D09"/>
    <w:rsid w:val="004C7D5E"/>
    <w:rsid w:val="004C7D8E"/>
    <w:rsid w:val="004C7DDB"/>
    <w:rsid w:val="004C7E7B"/>
    <w:rsid w:val="004C7EE2"/>
    <w:rsid w:val="004C7F23"/>
    <w:rsid w:val="004C7F80"/>
    <w:rsid w:val="004C7FEA"/>
    <w:rsid w:val="004D0223"/>
    <w:rsid w:val="004D0408"/>
    <w:rsid w:val="004D06AF"/>
    <w:rsid w:val="004D0779"/>
    <w:rsid w:val="004D07A1"/>
    <w:rsid w:val="004D07B9"/>
    <w:rsid w:val="004D07F1"/>
    <w:rsid w:val="004D08CA"/>
    <w:rsid w:val="004D08F4"/>
    <w:rsid w:val="004D0943"/>
    <w:rsid w:val="004D09AC"/>
    <w:rsid w:val="004D0A28"/>
    <w:rsid w:val="004D0A6E"/>
    <w:rsid w:val="004D0BA5"/>
    <w:rsid w:val="004D0BED"/>
    <w:rsid w:val="004D0C6F"/>
    <w:rsid w:val="004D0C7F"/>
    <w:rsid w:val="004D0C98"/>
    <w:rsid w:val="004D0CF6"/>
    <w:rsid w:val="004D0E1E"/>
    <w:rsid w:val="004D0E85"/>
    <w:rsid w:val="004D0ED8"/>
    <w:rsid w:val="004D0EEA"/>
    <w:rsid w:val="004D0FC7"/>
    <w:rsid w:val="004D110F"/>
    <w:rsid w:val="004D128F"/>
    <w:rsid w:val="004D1290"/>
    <w:rsid w:val="004D1339"/>
    <w:rsid w:val="004D1416"/>
    <w:rsid w:val="004D1472"/>
    <w:rsid w:val="004D14F4"/>
    <w:rsid w:val="004D159E"/>
    <w:rsid w:val="004D15A0"/>
    <w:rsid w:val="004D16C6"/>
    <w:rsid w:val="004D17C4"/>
    <w:rsid w:val="004D1A9E"/>
    <w:rsid w:val="004D1AB2"/>
    <w:rsid w:val="004D1BDC"/>
    <w:rsid w:val="004D1C12"/>
    <w:rsid w:val="004D1D48"/>
    <w:rsid w:val="004D1F05"/>
    <w:rsid w:val="004D1F57"/>
    <w:rsid w:val="004D20ED"/>
    <w:rsid w:val="004D21C7"/>
    <w:rsid w:val="004D228A"/>
    <w:rsid w:val="004D231E"/>
    <w:rsid w:val="004D2322"/>
    <w:rsid w:val="004D23AA"/>
    <w:rsid w:val="004D2541"/>
    <w:rsid w:val="004D266F"/>
    <w:rsid w:val="004D271A"/>
    <w:rsid w:val="004D272F"/>
    <w:rsid w:val="004D27B8"/>
    <w:rsid w:val="004D2842"/>
    <w:rsid w:val="004D28BB"/>
    <w:rsid w:val="004D28BD"/>
    <w:rsid w:val="004D2B39"/>
    <w:rsid w:val="004D2BF7"/>
    <w:rsid w:val="004D2C52"/>
    <w:rsid w:val="004D2CC0"/>
    <w:rsid w:val="004D2EC2"/>
    <w:rsid w:val="004D310C"/>
    <w:rsid w:val="004D3131"/>
    <w:rsid w:val="004D31FF"/>
    <w:rsid w:val="004D3214"/>
    <w:rsid w:val="004D3248"/>
    <w:rsid w:val="004D330D"/>
    <w:rsid w:val="004D3467"/>
    <w:rsid w:val="004D34C8"/>
    <w:rsid w:val="004D3609"/>
    <w:rsid w:val="004D36AD"/>
    <w:rsid w:val="004D36E8"/>
    <w:rsid w:val="004D3741"/>
    <w:rsid w:val="004D374A"/>
    <w:rsid w:val="004D3804"/>
    <w:rsid w:val="004D3871"/>
    <w:rsid w:val="004D3894"/>
    <w:rsid w:val="004D38AF"/>
    <w:rsid w:val="004D396E"/>
    <w:rsid w:val="004D3988"/>
    <w:rsid w:val="004D3A07"/>
    <w:rsid w:val="004D3A2F"/>
    <w:rsid w:val="004D3A9E"/>
    <w:rsid w:val="004D3AC5"/>
    <w:rsid w:val="004D3ACC"/>
    <w:rsid w:val="004D3B2D"/>
    <w:rsid w:val="004D3C12"/>
    <w:rsid w:val="004D3C21"/>
    <w:rsid w:val="004D3C4B"/>
    <w:rsid w:val="004D3C82"/>
    <w:rsid w:val="004D3D20"/>
    <w:rsid w:val="004D3F7B"/>
    <w:rsid w:val="004D4027"/>
    <w:rsid w:val="004D4133"/>
    <w:rsid w:val="004D4178"/>
    <w:rsid w:val="004D4395"/>
    <w:rsid w:val="004D43FB"/>
    <w:rsid w:val="004D4406"/>
    <w:rsid w:val="004D4468"/>
    <w:rsid w:val="004D4506"/>
    <w:rsid w:val="004D452A"/>
    <w:rsid w:val="004D4534"/>
    <w:rsid w:val="004D4548"/>
    <w:rsid w:val="004D45D4"/>
    <w:rsid w:val="004D45F9"/>
    <w:rsid w:val="004D47D4"/>
    <w:rsid w:val="004D4816"/>
    <w:rsid w:val="004D4847"/>
    <w:rsid w:val="004D4951"/>
    <w:rsid w:val="004D49EE"/>
    <w:rsid w:val="004D49FC"/>
    <w:rsid w:val="004D4A4C"/>
    <w:rsid w:val="004D4AB8"/>
    <w:rsid w:val="004D4B18"/>
    <w:rsid w:val="004D4B3A"/>
    <w:rsid w:val="004D4BCD"/>
    <w:rsid w:val="004D4C04"/>
    <w:rsid w:val="004D4C10"/>
    <w:rsid w:val="004D4CCD"/>
    <w:rsid w:val="004D4D82"/>
    <w:rsid w:val="004D4DF3"/>
    <w:rsid w:val="004D4E84"/>
    <w:rsid w:val="004D4E97"/>
    <w:rsid w:val="004D506C"/>
    <w:rsid w:val="004D51DA"/>
    <w:rsid w:val="004D5257"/>
    <w:rsid w:val="004D52F7"/>
    <w:rsid w:val="004D530A"/>
    <w:rsid w:val="004D5411"/>
    <w:rsid w:val="004D5433"/>
    <w:rsid w:val="004D564F"/>
    <w:rsid w:val="004D569E"/>
    <w:rsid w:val="004D5997"/>
    <w:rsid w:val="004D5A3E"/>
    <w:rsid w:val="004D5AA8"/>
    <w:rsid w:val="004D5B52"/>
    <w:rsid w:val="004D5BC3"/>
    <w:rsid w:val="004D5D92"/>
    <w:rsid w:val="004D60CE"/>
    <w:rsid w:val="004D61EE"/>
    <w:rsid w:val="004D6295"/>
    <w:rsid w:val="004D62D8"/>
    <w:rsid w:val="004D63FE"/>
    <w:rsid w:val="004D6417"/>
    <w:rsid w:val="004D6457"/>
    <w:rsid w:val="004D646B"/>
    <w:rsid w:val="004D6552"/>
    <w:rsid w:val="004D65FA"/>
    <w:rsid w:val="004D663B"/>
    <w:rsid w:val="004D66C2"/>
    <w:rsid w:val="004D6704"/>
    <w:rsid w:val="004D67BF"/>
    <w:rsid w:val="004D692C"/>
    <w:rsid w:val="004D697E"/>
    <w:rsid w:val="004D698F"/>
    <w:rsid w:val="004D6CF5"/>
    <w:rsid w:val="004D6DA0"/>
    <w:rsid w:val="004D6DEC"/>
    <w:rsid w:val="004D6E06"/>
    <w:rsid w:val="004D6E58"/>
    <w:rsid w:val="004D6E5F"/>
    <w:rsid w:val="004D6ED0"/>
    <w:rsid w:val="004D709F"/>
    <w:rsid w:val="004D71A6"/>
    <w:rsid w:val="004D72D8"/>
    <w:rsid w:val="004D7521"/>
    <w:rsid w:val="004D7546"/>
    <w:rsid w:val="004D75EF"/>
    <w:rsid w:val="004D768B"/>
    <w:rsid w:val="004D77C2"/>
    <w:rsid w:val="004D77CB"/>
    <w:rsid w:val="004D77F9"/>
    <w:rsid w:val="004D7973"/>
    <w:rsid w:val="004D7ABD"/>
    <w:rsid w:val="004D7BFE"/>
    <w:rsid w:val="004D7C30"/>
    <w:rsid w:val="004D7D51"/>
    <w:rsid w:val="004D7DB6"/>
    <w:rsid w:val="004D7E30"/>
    <w:rsid w:val="004D7ECA"/>
    <w:rsid w:val="004D7FF8"/>
    <w:rsid w:val="004E01C3"/>
    <w:rsid w:val="004E0269"/>
    <w:rsid w:val="004E0289"/>
    <w:rsid w:val="004E02BB"/>
    <w:rsid w:val="004E02C7"/>
    <w:rsid w:val="004E053B"/>
    <w:rsid w:val="004E0571"/>
    <w:rsid w:val="004E05AE"/>
    <w:rsid w:val="004E05D4"/>
    <w:rsid w:val="004E064A"/>
    <w:rsid w:val="004E0674"/>
    <w:rsid w:val="004E0759"/>
    <w:rsid w:val="004E0870"/>
    <w:rsid w:val="004E08F9"/>
    <w:rsid w:val="004E09AA"/>
    <w:rsid w:val="004E09E5"/>
    <w:rsid w:val="004E09EB"/>
    <w:rsid w:val="004E0A3F"/>
    <w:rsid w:val="004E0AE6"/>
    <w:rsid w:val="004E0C5E"/>
    <w:rsid w:val="004E0CBD"/>
    <w:rsid w:val="004E0CC3"/>
    <w:rsid w:val="004E0EE8"/>
    <w:rsid w:val="004E0F2C"/>
    <w:rsid w:val="004E0F83"/>
    <w:rsid w:val="004E0FB8"/>
    <w:rsid w:val="004E103A"/>
    <w:rsid w:val="004E108E"/>
    <w:rsid w:val="004E10C3"/>
    <w:rsid w:val="004E123D"/>
    <w:rsid w:val="004E127D"/>
    <w:rsid w:val="004E12FB"/>
    <w:rsid w:val="004E15EE"/>
    <w:rsid w:val="004E1752"/>
    <w:rsid w:val="004E1782"/>
    <w:rsid w:val="004E180A"/>
    <w:rsid w:val="004E181F"/>
    <w:rsid w:val="004E196F"/>
    <w:rsid w:val="004E1A4A"/>
    <w:rsid w:val="004E1AA6"/>
    <w:rsid w:val="004E1BA1"/>
    <w:rsid w:val="004E1D41"/>
    <w:rsid w:val="004E1DD4"/>
    <w:rsid w:val="004E1DED"/>
    <w:rsid w:val="004E1DF7"/>
    <w:rsid w:val="004E1E1E"/>
    <w:rsid w:val="004E1EEF"/>
    <w:rsid w:val="004E212D"/>
    <w:rsid w:val="004E2131"/>
    <w:rsid w:val="004E213A"/>
    <w:rsid w:val="004E21A8"/>
    <w:rsid w:val="004E22B2"/>
    <w:rsid w:val="004E22D9"/>
    <w:rsid w:val="004E2310"/>
    <w:rsid w:val="004E23A2"/>
    <w:rsid w:val="004E24AC"/>
    <w:rsid w:val="004E257A"/>
    <w:rsid w:val="004E2585"/>
    <w:rsid w:val="004E258F"/>
    <w:rsid w:val="004E2788"/>
    <w:rsid w:val="004E27D7"/>
    <w:rsid w:val="004E27FA"/>
    <w:rsid w:val="004E28C5"/>
    <w:rsid w:val="004E29BB"/>
    <w:rsid w:val="004E29EC"/>
    <w:rsid w:val="004E2A3F"/>
    <w:rsid w:val="004E2A60"/>
    <w:rsid w:val="004E2B23"/>
    <w:rsid w:val="004E2B4A"/>
    <w:rsid w:val="004E2B87"/>
    <w:rsid w:val="004E2B9B"/>
    <w:rsid w:val="004E2D6B"/>
    <w:rsid w:val="004E2EA4"/>
    <w:rsid w:val="004E2EB2"/>
    <w:rsid w:val="004E3007"/>
    <w:rsid w:val="004E311C"/>
    <w:rsid w:val="004E3201"/>
    <w:rsid w:val="004E3220"/>
    <w:rsid w:val="004E3285"/>
    <w:rsid w:val="004E3319"/>
    <w:rsid w:val="004E33D2"/>
    <w:rsid w:val="004E33F0"/>
    <w:rsid w:val="004E3428"/>
    <w:rsid w:val="004E3481"/>
    <w:rsid w:val="004E358B"/>
    <w:rsid w:val="004E3674"/>
    <w:rsid w:val="004E3717"/>
    <w:rsid w:val="004E37AC"/>
    <w:rsid w:val="004E37F9"/>
    <w:rsid w:val="004E3839"/>
    <w:rsid w:val="004E3986"/>
    <w:rsid w:val="004E3A3A"/>
    <w:rsid w:val="004E3B75"/>
    <w:rsid w:val="004E3BB7"/>
    <w:rsid w:val="004E3D19"/>
    <w:rsid w:val="004E3DEF"/>
    <w:rsid w:val="004E3E60"/>
    <w:rsid w:val="004E3EED"/>
    <w:rsid w:val="004E419C"/>
    <w:rsid w:val="004E4231"/>
    <w:rsid w:val="004E427F"/>
    <w:rsid w:val="004E4307"/>
    <w:rsid w:val="004E43C6"/>
    <w:rsid w:val="004E43CA"/>
    <w:rsid w:val="004E4427"/>
    <w:rsid w:val="004E44D4"/>
    <w:rsid w:val="004E46A3"/>
    <w:rsid w:val="004E46AD"/>
    <w:rsid w:val="004E4810"/>
    <w:rsid w:val="004E48B1"/>
    <w:rsid w:val="004E48E7"/>
    <w:rsid w:val="004E4967"/>
    <w:rsid w:val="004E4A3F"/>
    <w:rsid w:val="004E4A65"/>
    <w:rsid w:val="004E4AFE"/>
    <w:rsid w:val="004E4C4B"/>
    <w:rsid w:val="004E4D22"/>
    <w:rsid w:val="004E4D65"/>
    <w:rsid w:val="004E4DC9"/>
    <w:rsid w:val="004E4E27"/>
    <w:rsid w:val="004E4E39"/>
    <w:rsid w:val="004E51F5"/>
    <w:rsid w:val="004E5227"/>
    <w:rsid w:val="004E5228"/>
    <w:rsid w:val="004E528C"/>
    <w:rsid w:val="004E52B5"/>
    <w:rsid w:val="004E538B"/>
    <w:rsid w:val="004E5437"/>
    <w:rsid w:val="004E580C"/>
    <w:rsid w:val="004E588E"/>
    <w:rsid w:val="004E5A0D"/>
    <w:rsid w:val="004E5A2D"/>
    <w:rsid w:val="004E5A67"/>
    <w:rsid w:val="004E5AEC"/>
    <w:rsid w:val="004E5B39"/>
    <w:rsid w:val="004E5B7E"/>
    <w:rsid w:val="004E5C21"/>
    <w:rsid w:val="004E5C42"/>
    <w:rsid w:val="004E5C71"/>
    <w:rsid w:val="004E5CA0"/>
    <w:rsid w:val="004E5EDA"/>
    <w:rsid w:val="004E5F94"/>
    <w:rsid w:val="004E5FF1"/>
    <w:rsid w:val="004E6078"/>
    <w:rsid w:val="004E637E"/>
    <w:rsid w:val="004E64D4"/>
    <w:rsid w:val="004E64E0"/>
    <w:rsid w:val="004E653D"/>
    <w:rsid w:val="004E66A6"/>
    <w:rsid w:val="004E6822"/>
    <w:rsid w:val="004E690F"/>
    <w:rsid w:val="004E6A55"/>
    <w:rsid w:val="004E6BFF"/>
    <w:rsid w:val="004E6F0E"/>
    <w:rsid w:val="004E6FF5"/>
    <w:rsid w:val="004E7003"/>
    <w:rsid w:val="004E7033"/>
    <w:rsid w:val="004E709F"/>
    <w:rsid w:val="004E7157"/>
    <w:rsid w:val="004E73FB"/>
    <w:rsid w:val="004E740F"/>
    <w:rsid w:val="004E7510"/>
    <w:rsid w:val="004E7667"/>
    <w:rsid w:val="004E7678"/>
    <w:rsid w:val="004E76E0"/>
    <w:rsid w:val="004E7722"/>
    <w:rsid w:val="004E7734"/>
    <w:rsid w:val="004E78C9"/>
    <w:rsid w:val="004E792A"/>
    <w:rsid w:val="004E794B"/>
    <w:rsid w:val="004E7961"/>
    <w:rsid w:val="004E79B0"/>
    <w:rsid w:val="004E79D1"/>
    <w:rsid w:val="004E79E4"/>
    <w:rsid w:val="004E7A45"/>
    <w:rsid w:val="004E7ADC"/>
    <w:rsid w:val="004E7B03"/>
    <w:rsid w:val="004E7B9C"/>
    <w:rsid w:val="004E7C91"/>
    <w:rsid w:val="004E7CBA"/>
    <w:rsid w:val="004E7D0F"/>
    <w:rsid w:val="004F020A"/>
    <w:rsid w:val="004F028B"/>
    <w:rsid w:val="004F0462"/>
    <w:rsid w:val="004F0471"/>
    <w:rsid w:val="004F0485"/>
    <w:rsid w:val="004F04FF"/>
    <w:rsid w:val="004F05D9"/>
    <w:rsid w:val="004F0764"/>
    <w:rsid w:val="004F07A1"/>
    <w:rsid w:val="004F07A6"/>
    <w:rsid w:val="004F08C5"/>
    <w:rsid w:val="004F0954"/>
    <w:rsid w:val="004F0959"/>
    <w:rsid w:val="004F09A7"/>
    <w:rsid w:val="004F0AC2"/>
    <w:rsid w:val="004F0BF8"/>
    <w:rsid w:val="004F0C1E"/>
    <w:rsid w:val="004F0CE9"/>
    <w:rsid w:val="004F0D1A"/>
    <w:rsid w:val="004F0D27"/>
    <w:rsid w:val="004F0DA6"/>
    <w:rsid w:val="004F0DE8"/>
    <w:rsid w:val="004F0DFE"/>
    <w:rsid w:val="004F0EA6"/>
    <w:rsid w:val="004F0F04"/>
    <w:rsid w:val="004F10F1"/>
    <w:rsid w:val="004F1172"/>
    <w:rsid w:val="004F117E"/>
    <w:rsid w:val="004F1210"/>
    <w:rsid w:val="004F12CB"/>
    <w:rsid w:val="004F14A5"/>
    <w:rsid w:val="004F1619"/>
    <w:rsid w:val="004F16F6"/>
    <w:rsid w:val="004F1718"/>
    <w:rsid w:val="004F17D8"/>
    <w:rsid w:val="004F184C"/>
    <w:rsid w:val="004F19D4"/>
    <w:rsid w:val="004F1A53"/>
    <w:rsid w:val="004F1A86"/>
    <w:rsid w:val="004F1BB0"/>
    <w:rsid w:val="004F1E42"/>
    <w:rsid w:val="004F1E44"/>
    <w:rsid w:val="004F1E4F"/>
    <w:rsid w:val="004F1F04"/>
    <w:rsid w:val="004F1F6D"/>
    <w:rsid w:val="004F1F92"/>
    <w:rsid w:val="004F202B"/>
    <w:rsid w:val="004F20F9"/>
    <w:rsid w:val="004F21E3"/>
    <w:rsid w:val="004F21FE"/>
    <w:rsid w:val="004F2336"/>
    <w:rsid w:val="004F2379"/>
    <w:rsid w:val="004F2497"/>
    <w:rsid w:val="004F24A1"/>
    <w:rsid w:val="004F24DE"/>
    <w:rsid w:val="004F279A"/>
    <w:rsid w:val="004F282A"/>
    <w:rsid w:val="004F2930"/>
    <w:rsid w:val="004F2975"/>
    <w:rsid w:val="004F2A76"/>
    <w:rsid w:val="004F2C28"/>
    <w:rsid w:val="004F2CA9"/>
    <w:rsid w:val="004F2CF9"/>
    <w:rsid w:val="004F2D8F"/>
    <w:rsid w:val="004F2D9B"/>
    <w:rsid w:val="004F2DA5"/>
    <w:rsid w:val="004F2E2C"/>
    <w:rsid w:val="004F2E4F"/>
    <w:rsid w:val="004F2FA6"/>
    <w:rsid w:val="004F311C"/>
    <w:rsid w:val="004F3196"/>
    <w:rsid w:val="004F31E8"/>
    <w:rsid w:val="004F32BF"/>
    <w:rsid w:val="004F3523"/>
    <w:rsid w:val="004F3671"/>
    <w:rsid w:val="004F37B5"/>
    <w:rsid w:val="004F37D9"/>
    <w:rsid w:val="004F3812"/>
    <w:rsid w:val="004F382C"/>
    <w:rsid w:val="004F38E3"/>
    <w:rsid w:val="004F392C"/>
    <w:rsid w:val="004F3990"/>
    <w:rsid w:val="004F3A99"/>
    <w:rsid w:val="004F3AD7"/>
    <w:rsid w:val="004F3B3A"/>
    <w:rsid w:val="004F3DAA"/>
    <w:rsid w:val="004F3E57"/>
    <w:rsid w:val="004F4139"/>
    <w:rsid w:val="004F4156"/>
    <w:rsid w:val="004F43B6"/>
    <w:rsid w:val="004F463C"/>
    <w:rsid w:val="004F4676"/>
    <w:rsid w:val="004F469E"/>
    <w:rsid w:val="004F46CF"/>
    <w:rsid w:val="004F47B4"/>
    <w:rsid w:val="004F48B5"/>
    <w:rsid w:val="004F4A4B"/>
    <w:rsid w:val="004F4A95"/>
    <w:rsid w:val="004F4D5C"/>
    <w:rsid w:val="004F4EC3"/>
    <w:rsid w:val="004F4FF7"/>
    <w:rsid w:val="004F50A6"/>
    <w:rsid w:val="004F50D2"/>
    <w:rsid w:val="004F5135"/>
    <w:rsid w:val="004F5157"/>
    <w:rsid w:val="004F5266"/>
    <w:rsid w:val="004F52AA"/>
    <w:rsid w:val="004F52DB"/>
    <w:rsid w:val="004F534B"/>
    <w:rsid w:val="004F53F9"/>
    <w:rsid w:val="004F5576"/>
    <w:rsid w:val="004F5620"/>
    <w:rsid w:val="004F56FE"/>
    <w:rsid w:val="004F5703"/>
    <w:rsid w:val="004F5721"/>
    <w:rsid w:val="004F57F0"/>
    <w:rsid w:val="004F582B"/>
    <w:rsid w:val="004F5836"/>
    <w:rsid w:val="004F591D"/>
    <w:rsid w:val="004F5938"/>
    <w:rsid w:val="004F5A0F"/>
    <w:rsid w:val="004F5BE9"/>
    <w:rsid w:val="004F5CBA"/>
    <w:rsid w:val="004F5D84"/>
    <w:rsid w:val="004F602F"/>
    <w:rsid w:val="004F60DA"/>
    <w:rsid w:val="004F6234"/>
    <w:rsid w:val="004F6325"/>
    <w:rsid w:val="004F64A1"/>
    <w:rsid w:val="004F6685"/>
    <w:rsid w:val="004F66B1"/>
    <w:rsid w:val="004F66F4"/>
    <w:rsid w:val="004F6789"/>
    <w:rsid w:val="004F679F"/>
    <w:rsid w:val="004F67D0"/>
    <w:rsid w:val="004F6897"/>
    <w:rsid w:val="004F68CC"/>
    <w:rsid w:val="004F6906"/>
    <w:rsid w:val="004F6939"/>
    <w:rsid w:val="004F69C8"/>
    <w:rsid w:val="004F6AAE"/>
    <w:rsid w:val="004F6B83"/>
    <w:rsid w:val="004F6BB2"/>
    <w:rsid w:val="004F6CCF"/>
    <w:rsid w:val="004F6ECA"/>
    <w:rsid w:val="004F6ED4"/>
    <w:rsid w:val="004F6FDA"/>
    <w:rsid w:val="004F700E"/>
    <w:rsid w:val="004F7027"/>
    <w:rsid w:val="004F7094"/>
    <w:rsid w:val="004F7131"/>
    <w:rsid w:val="004F7181"/>
    <w:rsid w:val="004F7197"/>
    <w:rsid w:val="004F720B"/>
    <w:rsid w:val="004F735C"/>
    <w:rsid w:val="004F740E"/>
    <w:rsid w:val="004F7472"/>
    <w:rsid w:val="004F7675"/>
    <w:rsid w:val="004F76C1"/>
    <w:rsid w:val="004F7788"/>
    <w:rsid w:val="004F783A"/>
    <w:rsid w:val="004F787B"/>
    <w:rsid w:val="004F7A59"/>
    <w:rsid w:val="004F7B47"/>
    <w:rsid w:val="004F7C4C"/>
    <w:rsid w:val="004F7C8E"/>
    <w:rsid w:val="004F7EF1"/>
    <w:rsid w:val="0050004D"/>
    <w:rsid w:val="00500238"/>
    <w:rsid w:val="00500245"/>
    <w:rsid w:val="00500362"/>
    <w:rsid w:val="0050043B"/>
    <w:rsid w:val="005004C0"/>
    <w:rsid w:val="005005F5"/>
    <w:rsid w:val="0050065C"/>
    <w:rsid w:val="0050070E"/>
    <w:rsid w:val="005007EA"/>
    <w:rsid w:val="0050094B"/>
    <w:rsid w:val="00500950"/>
    <w:rsid w:val="00500B86"/>
    <w:rsid w:val="00500B95"/>
    <w:rsid w:val="00500BDE"/>
    <w:rsid w:val="00500DA8"/>
    <w:rsid w:val="00500F15"/>
    <w:rsid w:val="00500F1B"/>
    <w:rsid w:val="00500F2B"/>
    <w:rsid w:val="00500F33"/>
    <w:rsid w:val="00500F6E"/>
    <w:rsid w:val="00500F96"/>
    <w:rsid w:val="00501078"/>
    <w:rsid w:val="005010B0"/>
    <w:rsid w:val="005011CD"/>
    <w:rsid w:val="005011EB"/>
    <w:rsid w:val="005011FB"/>
    <w:rsid w:val="005011FC"/>
    <w:rsid w:val="00501239"/>
    <w:rsid w:val="005012C4"/>
    <w:rsid w:val="00501331"/>
    <w:rsid w:val="0050140E"/>
    <w:rsid w:val="00501526"/>
    <w:rsid w:val="00501532"/>
    <w:rsid w:val="0050154D"/>
    <w:rsid w:val="0050162E"/>
    <w:rsid w:val="0050167E"/>
    <w:rsid w:val="0050172C"/>
    <w:rsid w:val="0050178B"/>
    <w:rsid w:val="005017E8"/>
    <w:rsid w:val="005019E6"/>
    <w:rsid w:val="00501B32"/>
    <w:rsid w:val="00501B55"/>
    <w:rsid w:val="00501BB9"/>
    <w:rsid w:val="00501BF9"/>
    <w:rsid w:val="00501CBF"/>
    <w:rsid w:val="00501DF0"/>
    <w:rsid w:val="00501E36"/>
    <w:rsid w:val="00501EBA"/>
    <w:rsid w:val="00501EC3"/>
    <w:rsid w:val="00501EFF"/>
    <w:rsid w:val="00501F91"/>
    <w:rsid w:val="0050208E"/>
    <w:rsid w:val="005020AD"/>
    <w:rsid w:val="005020EE"/>
    <w:rsid w:val="00502275"/>
    <w:rsid w:val="005022F6"/>
    <w:rsid w:val="0050238B"/>
    <w:rsid w:val="005023D3"/>
    <w:rsid w:val="00502569"/>
    <w:rsid w:val="005025EC"/>
    <w:rsid w:val="0050283A"/>
    <w:rsid w:val="0050287B"/>
    <w:rsid w:val="005029AF"/>
    <w:rsid w:val="005029BF"/>
    <w:rsid w:val="005029CB"/>
    <w:rsid w:val="00502A09"/>
    <w:rsid w:val="00502B06"/>
    <w:rsid w:val="00502B0E"/>
    <w:rsid w:val="00502C73"/>
    <w:rsid w:val="00502D39"/>
    <w:rsid w:val="00502D92"/>
    <w:rsid w:val="00502EA1"/>
    <w:rsid w:val="00502EE5"/>
    <w:rsid w:val="00502FE8"/>
    <w:rsid w:val="0050301A"/>
    <w:rsid w:val="005030CF"/>
    <w:rsid w:val="0050312C"/>
    <w:rsid w:val="00503162"/>
    <w:rsid w:val="005031D9"/>
    <w:rsid w:val="0050320A"/>
    <w:rsid w:val="00503580"/>
    <w:rsid w:val="005035AA"/>
    <w:rsid w:val="005035F2"/>
    <w:rsid w:val="005035F5"/>
    <w:rsid w:val="0050366F"/>
    <w:rsid w:val="00503746"/>
    <w:rsid w:val="00503753"/>
    <w:rsid w:val="005037FB"/>
    <w:rsid w:val="00503870"/>
    <w:rsid w:val="00503875"/>
    <w:rsid w:val="005038B7"/>
    <w:rsid w:val="0050394B"/>
    <w:rsid w:val="005039DF"/>
    <w:rsid w:val="00503AFD"/>
    <w:rsid w:val="00503BB0"/>
    <w:rsid w:val="00503C7E"/>
    <w:rsid w:val="00503CDD"/>
    <w:rsid w:val="00503D31"/>
    <w:rsid w:val="00503E13"/>
    <w:rsid w:val="00503E22"/>
    <w:rsid w:val="00503E3E"/>
    <w:rsid w:val="00503E44"/>
    <w:rsid w:val="00503F78"/>
    <w:rsid w:val="0050402A"/>
    <w:rsid w:val="00504124"/>
    <w:rsid w:val="005041E3"/>
    <w:rsid w:val="005041F0"/>
    <w:rsid w:val="005041F7"/>
    <w:rsid w:val="005044B5"/>
    <w:rsid w:val="005045B8"/>
    <w:rsid w:val="0050463B"/>
    <w:rsid w:val="005046C4"/>
    <w:rsid w:val="005046D1"/>
    <w:rsid w:val="0050472B"/>
    <w:rsid w:val="005047B7"/>
    <w:rsid w:val="00504811"/>
    <w:rsid w:val="00504911"/>
    <w:rsid w:val="00504988"/>
    <w:rsid w:val="00504A56"/>
    <w:rsid w:val="00504D1E"/>
    <w:rsid w:val="00504F4D"/>
    <w:rsid w:val="00504F78"/>
    <w:rsid w:val="005051DB"/>
    <w:rsid w:val="005051DF"/>
    <w:rsid w:val="0050535B"/>
    <w:rsid w:val="005053BC"/>
    <w:rsid w:val="00505538"/>
    <w:rsid w:val="00505540"/>
    <w:rsid w:val="005055CE"/>
    <w:rsid w:val="0050566E"/>
    <w:rsid w:val="00505696"/>
    <w:rsid w:val="005056A4"/>
    <w:rsid w:val="005056D7"/>
    <w:rsid w:val="00505AA4"/>
    <w:rsid w:val="00505AE8"/>
    <w:rsid w:val="00505B49"/>
    <w:rsid w:val="00505C90"/>
    <w:rsid w:val="00505CC2"/>
    <w:rsid w:val="00505DC4"/>
    <w:rsid w:val="00505E0A"/>
    <w:rsid w:val="00505F67"/>
    <w:rsid w:val="00505F7C"/>
    <w:rsid w:val="00505F81"/>
    <w:rsid w:val="0050608C"/>
    <w:rsid w:val="00506215"/>
    <w:rsid w:val="0050625A"/>
    <w:rsid w:val="00506293"/>
    <w:rsid w:val="005062D1"/>
    <w:rsid w:val="00506700"/>
    <w:rsid w:val="00506709"/>
    <w:rsid w:val="0050677B"/>
    <w:rsid w:val="005067D2"/>
    <w:rsid w:val="0050681E"/>
    <w:rsid w:val="0050682F"/>
    <w:rsid w:val="00506832"/>
    <w:rsid w:val="00506840"/>
    <w:rsid w:val="0050685A"/>
    <w:rsid w:val="00506939"/>
    <w:rsid w:val="0050693F"/>
    <w:rsid w:val="00506A37"/>
    <w:rsid w:val="00506BCE"/>
    <w:rsid w:val="00506C04"/>
    <w:rsid w:val="00506D58"/>
    <w:rsid w:val="00506D63"/>
    <w:rsid w:val="00506F09"/>
    <w:rsid w:val="005070AF"/>
    <w:rsid w:val="00507199"/>
    <w:rsid w:val="0050726D"/>
    <w:rsid w:val="0050729E"/>
    <w:rsid w:val="005072B4"/>
    <w:rsid w:val="0050737C"/>
    <w:rsid w:val="005073AB"/>
    <w:rsid w:val="005074E1"/>
    <w:rsid w:val="00507509"/>
    <w:rsid w:val="0050756C"/>
    <w:rsid w:val="0050764A"/>
    <w:rsid w:val="005076D6"/>
    <w:rsid w:val="00507772"/>
    <w:rsid w:val="005077CD"/>
    <w:rsid w:val="00507837"/>
    <w:rsid w:val="005078A7"/>
    <w:rsid w:val="005079C0"/>
    <w:rsid w:val="00507BAB"/>
    <w:rsid w:val="00507C00"/>
    <w:rsid w:val="00507D7A"/>
    <w:rsid w:val="00507DCC"/>
    <w:rsid w:val="00507E9B"/>
    <w:rsid w:val="00507FCC"/>
    <w:rsid w:val="0051008B"/>
    <w:rsid w:val="00510170"/>
    <w:rsid w:val="005101EA"/>
    <w:rsid w:val="00510205"/>
    <w:rsid w:val="005102E8"/>
    <w:rsid w:val="00510385"/>
    <w:rsid w:val="005103B8"/>
    <w:rsid w:val="005104F3"/>
    <w:rsid w:val="0051060A"/>
    <w:rsid w:val="005106AB"/>
    <w:rsid w:val="005106C6"/>
    <w:rsid w:val="005106F3"/>
    <w:rsid w:val="005106FA"/>
    <w:rsid w:val="00510730"/>
    <w:rsid w:val="005108A8"/>
    <w:rsid w:val="00510A67"/>
    <w:rsid w:val="00510B75"/>
    <w:rsid w:val="00510BBB"/>
    <w:rsid w:val="00510C65"/>
    <w:rsid w:val="00510C77"/>
    <w:rsid w:val="00510D44"/>
    <w:rsid w:val="00510D70"/>
    <w:rsid w:val="00510E22"/>
    <w:rsid w:val="00510E26"/>
    <w:rsid w:val="00510ECB"/>
    <w:rsid w:val="00510FD0"/>
    <w:rsid w:val="005110C1"/>
    <w:rsid w:val="005110F8"/>
    <w:rsid w:val="005111DD"/>
    <w:rsid w:val="005112B0"/>
    <w:rsid w:val="005112ED"/>
    <w:rsid w:val="00511404"/>
    <w:rsid w:val="0051152F"/>
    <w:rsid w:val="00511559"/>
    <w:rsid w:val="005115AB"/>
    <w:rsid w:val="00511707"/>
    <w:rsid w:val="0051171C"/>
    <w:rsid w:val="005118F4"/>
    <w:rsid w:val="00511927"/>
    <w:rsid w:val="00511A8F"/>
    <w:rsid w:val="00511A92"/>
    <w:rsid w:val="00511AF7"/>
    <w:rsid w:val="00511BF3"/>
    <w:rsid w:val="00511CEB"/>
    <w:rsid w:val="00511E67"/>
    <w:rsid w:val="00511EBD"/>
    <w:rsid w:val="00511F3E"/>
    <w:rsid w:val="0051209C"/>
    <w:rsid w:val="00512515"/>
    <w:rsid w:val="005125D7"/>
    <w:rsid w:val="00512607"/>
    <w:rsid w:val="0051263B"/>
    <w:rsid w:val="0051266B"/>
    <w:rsid w:val="00512793"/>
    <w:rsid w:val="0051281B"/>
    <w:rsid w:val="00512943"/>
    <w:rsid w:val="00512966"/>
    <w:rsid w:val="00512993"/>
    <w:rsid w:val="00512A25"/>
    <w:rsid w:val="00512B7F"/>
    <w:rsid w:val="00512BD4"/>
    <w:rsid w:val="00512CCB"/>
    <w:rsid w:val="00512D2C"/>
    <w:rsid w:val="00512D59"/>
    <w:rsid w:val="00512FAD"/>
    <w:rsid w:val="0051312E"/>
    <w:rsid w:val="0051326C"/>
    <w:rsid w:val="005133AF"/>
    <w:rsid w:val="005133C7"/>
    <w:rsid w:val="005134DB"/>
    <w:rsid w:val="0051356D"/>
    <w:rsid w:val="00513647"/>
    <w:rsid w:val="00513651"/>
    <w:rsid w:val="005137F6"/>
    <w:rsid w:val="0051381A"/>
    <w:rsid w:val="00513930"/>
    <w:rsid w:val="00513970"/>
    <w:rsid w:val="00513A01"/>
    <w:rsid w:val="00513A03"/>
    <w:rsid w:val="00513ADB"/>
    <w:rsid w:val="00513B99"/>
    <w:rsid w:val="00513BDA"/>
    <w:rsid w:val="00513BE1"/>
    <w:rsid w:val="00513CB7"/>
    <w:rsid w:val="00513DEB"/>
    <w:rsid w:val="00513F2F"/>
    <w:rsid w:val="00513F7D"/>
    <w:rsid w:val="00513FD0"/>
    <w:rsid w:val="00514098"/>
    <w:rsid w:val="00514154"/>
    <w:rsid w:val="0051419D"/>
    <w:rsid w:val="005141B3"/>
    <w:rsid w:val="005141F9"/>
    <w:rsid w:val="0051429F"/>
    <w:rsid w:val="00514465"/>
    <w:rsid w:val="00514629"/>
    <w:rsid w:val="0051463D"/>
    <w:rsid w:val="00514645"/>
    <w:rsid w:val="005146C1"/>
    <w:rsid w:val="005146E9"/>
    <w:rsid w:val="0051498E"/>
    <w:rsid w:val="00514A47"/>
    <w:rsid w:val="00514B2E"/>
    <w:rsid w:val="00514D66"/>
    <w:rsid w:val="00514EB7"/>
    <w:rsid w:val="00514F3B"/>
    <w:rsid w:val="00514F6E"/>
    <w:rsid w:val="00514F96"/>
    <w:rsid w:val="00515020"/>
    <w:rsid w:val="0051503F"/>
    <w:rsid w:val="00515071"/>
    <w:rsid w:val="00515132"/>
    <w:rsid w:val="00515162"/>
    <w:rsid w:val="00515319"/>
    <w:rsid w:val="00515434"/>
    <w:rsid w:val="005154B0"/>
    <w:rsid w:val="005155C9"/>
    <w:rsid w:val="00515661"/>
    <w:rsid w:val="005156DA"/>
    <w:rsid w:val="00515763"/>
    <w:rsid w:val="0051581D"/>
    <w:rsid w:val="005158CD"/>
    <w:rsid w:val="00515A1B"/>
    <w:rsid w:val="00515A2A"/>
    <w:rsid w:val="00515A82"/>
    <w:rsid w:val="00515B25"/>
    <w:rsid w:val="00515BB6"/>
    <w:rsid w:val="00515BCE"/>
    <w:rsid w:val="00515BF4"/>
    <w:rsid w:val="00515C06"/>
    <w:rsid w:val="00515C34"/>
    <w:rsid w:val="00515D42"/>
    <w:rsid w:val="00515FC9"/>
    <w:rsid w:val="00516002"/>
    <w:rsid w:val="00516084"/>
    <w:rsid w:val="00516097"/>
    <w:rsid w:val="005161B2"/>
    <w:rsid w:val="0051627F"/>
    <w:rsid w:val="005162BE"/>
    <w:rsid w:val="00516352"/>
    <w:rsid w:val="00516384"/>
    <w:rsid w:val="005163BA"/>
    <w:rsid w:val="0051666A"/>
    <w:rsid w:val="005166CB"/>
    <w:rsid w:val="00516851"/>
    <w:rsid w:val="005168A2"/>
    <w:rsid w:val="005168AC"/>
    <w:rsid w:val="005168D4"/>
    <w:rsid w:val="00516C68"/>
    <w:rsid w:val="00516C77"/>
    <w:rsid w:val="00516C8C"/>
    <w:rsid w:val="00516CFE"/>
    <w:rsid w:val="00516E35"/>
    <w:rsid w:val="00516F55"/>
    <w:rsid w:val="00516F9A"/>
    <w:rsid w:val="0051701E"/>
    <w:rsid w:val="0051706D"/>
    <w:rsid w:val="00517227"/>
    <w:rsid w:val="00517256"/>
    <w:rsid w:val="005172B6"/>
    <w:rsid w:val="005172BF"/>
    <w:rsid w:val="0051731A"/>
    <w:rsid w:val="005173F9"/>
    <w:rsid w:val="00517449"/>
    <w:rsid w:val="005174B8"/>
    <w:rsid w:val="005175BA"/>
    <w:rsid w:val="005177A9"/>
    <w:rsid w:val="005177C1"/>
    <w:rsid w:val="005177D6"/>
    <w:rsid w:val="005177E7"/>
    <w:rsid w:val="0051781E"/>
    <w:rsid w:val="005178E1"/>
    <w:rsid w:val="00517921"/>
    <w:rsid w:val="00517A17"/>
    <w:rsid w:val="00517A28"/>
    <w:rsid w:val="00517A56"/>
    <w:rsid w:val="00517B85"/>
    <w:rsid w:val="00517B9C"/>
    <w:rsid w:val="00517C0B"/>
    <w:rsid w:val="00517C8B"/>
    <w:rsid w:val="00517D4D"/>
    <w:rsid w:val="00517DC9"/>
    <w:rsid w:val="00517E9F"/>
    <w:rsid w:val="00517F84"/>
    <w:rsid w:val="00520213"/>
    <w:rsid w:val="0052022D"/>
    <w:rsid w:val="00520274"/>
    <w:rsid w:val="005203A3"/>
    <w:rsid w:val="00520409"/>
    <w:rsid w:val="005205C4"/>
    <w:rsid w:val="00520618"/>
    <w:rsid w:val="00520629"/>
    <w:rsid w:val="005206AC"/>
    <w:rsid w:val="00520772"/>
    <w:rsid w:val="005208AC"/>
    <w:rsid w:val="005208C4"/>
    <w:rsid w:val="0052094E"/>
    <w:rsid w:val="00520976"/>
    <w:rsid w:val="00520AEA"/>
    <w:rsid w:val="00520BC7"/>
    <w:rsid w:val="00520CCC"/>
    <w:rsid w:val="00520D05"/>
    <w:rsid w:val="00520D3D"/>
    <w:rsid w:val="00520DDC"/>
    <w:rsid w:val="00520E3A"/>
    <w:rsid w:val="00520EFF"/>
    <w:rsid w:val="0052102C"/>
    <w:rsid w:val="00521211"/>
    <w:rsid w:val="005212F1"/>
    <w:rsid w:val="0052137C"/>
    <w:rsid w:val="0052157C"/>
    <w:rsid w:val="0052161F"/>
    <w:rsid w:val="00521629"/>
    <w:rsid w:val="00521683"/>
    <w:rsid w:val="005217F4"/>
    <w:rsid w:val="0052181F"/>
    <w:rsid w:val="005218B5"/>
    <w:rsid w:val="0052191F"/>
    <w:rsid w:val="00521A2F"/>
    <w:rsid w:val="00521A36"/>
    <w:rsid w:val="00521A51"/>
    <w:rsid w:val="00521A80"/>
    <w:rsid w:val="00521B53"/>
    <w:rsid w:val="00521B56"/>
    <w:rsid w:val="00521EAA"/>
    <w:rsid w:val="00521EDC"/>
    <w:rsid w:val="00522018"/>
    <w:rsid w:val="005221BB"/>
    <w:rsid w:val="00522213"/>
    <w:rsid w:val="0052221B"/>
    <w:rsid w:val="00522260"/>
    <w:rsid w:val="00522418"/>
    <w:rsid w:val="00522517"/>
    <w:rsid w:val="00522531"/>
    <w:rsid w:val="0052258A"/>
    <w:rsid w:val="00522600"/>
    <w:rsid w:val="0052264B"/>
    <w:rsid w:val="0052266A"/>
    <w:rsid w:val="00522739"/>
    <w:rsid w:val="00522826"/>
    <w:rsid w:val="0052282A"/>
    <w:rsid w:val="005228BA"/>
    <w:rsid w:val="00522913"/>
    <w:rsid w:val="00522A7A"/>
    <w:rsid w:val="00522DA9"/>
    <w:rsid w:val="00522EB4"/>
    <w:rsid w:val="00522F89"/>
    <w:rsid w:val="00523025"/>
    <w:rsid w:val="0052309D"/>
    <w:rsid w:val="0052319C"/>
    <w:rsid w:val="00523200"/>
    <w:rsid w:val="005232F7"/>
    <w:rsid w:val="00523300"/>
    <w:rsid w:val="00523322"/>
    <w:rsid w:val="005234AD"/>
    <w:rsid w:val="005235E1"/>
    <w:rsid w:val="00523646"/>
    <w:rsid w:val="005236D7"/>
    <w:rsid w:val="00523798"/>
    <w:rsid w:val="0052392F"/>
    <w:rsid w:val="0052393F"/>
    <w:rsid w:val="00523A93"/>
    <w:rsid w:val="00523ACE"/>
    <w:rsid w:val="00523BE5"/>
    <w:rsid w:val="00523CEA"/>
    <w:rsid w:val="00523EDD"/>
    <w:rsid w:val="00523F75"/>
    <w:rsid w:val="00524026"/>
    <w:rsid w:val="00524075"/>
    <w:rsid w:val="005241BA"/>
    <w:rsid w:val="005241D3"/>
    <w:rsid w:val="005243B2"/>
    <w:rsid w:val="00524577"/>
    <w:rsid w:val="00524619"/>
    <w:rsid w:val="005246B5"/>
    <w:rsid w:val="00524705"/>
    <w:rsid w:val="005248B7"/>
    <w:rsid w:val="005248E9"/>
    <w:rsid w:val="00524ABD"/>
    <w:rsid w:val="00524B38"/>
    <w:rsid w:val="00524CCC"/>
    <w:rsid w:val="00524D9B"/>
    <w:rsid w:val="00524E10"/>
    <w:rsid w:val="00524E14"/>
    <w:rsid w:val="00524E23"/>
    <w:rsid w:val="00524E83"/>
    <w:rsid w:val="00524FEF"/>
    <w:rsid w:val="005250D3"/>
    <w:rsid w:val="0052514F"/>
    <w:rsid w:val="0052532D"/>
    <w:rsid w:val="00525394"/>
    <w:rsid w:val="005253EB"/>
    <w:rsid w:val="0052543B"/>
    <w:rsid w:val="00525547"/>
    <w:rsid w:val="0052554B"/>
    <w:rsid w:val="005255A2"/>
    <w:rsid w:val="005255B9"/>
    <w:rsid w:val="005256C0"/>
    <w:rsid w:val="00525753"/>
    <w:rsid w:val="0052581C"/>
    <w:rsid w:val="0052584A"/>
    <w:rsid w:val="00525AA6"/>
    <w:rsid w:val="00525ACC"/>
    <w:rsid w:val="00525B9D"/>
    <w:rsid w:val="00525BD1"/>
    <w:rsid w:val="00525C48"/>
    <w:rsid w:val="00525D1D"/>
    <w:rsid w:val="00525DBE"/>
    <w:rsid w:val="00525DCE"/>
    <w:rsid w:val="00525DE5"/>
    <w:rsid w:val="00525EBA"/>
    <w:rsid w:val="0052605F"/>
    <w:rsid w:val="00526066"/>
    <w:rsid w:val="005260A0"/>
    <w:rsid w:val="005260EC"/>
    <w:rsid w:val="0052663D"/>
    <w:rsid w:val="0052665E"/>
    <w:rsid w:val="005266B4"/>
    <w:rsid w:val="005266E2"/>
    <w:rsid w:val="00526785"/>
    <w:rsid w:val="005267CA"/>
    <w:rsid w:val="005267F8"/>
    <w:rsid w:val="00526863"/>
    <w:rsid w:val="00526864"/>
    <w:rsid w:val="0052692B"/>
    <w:rsid w:val="00526A1F"/>
    <w:rsid w:val="00526A92"/>
    <w:rsid w:val="00526A9F"/>
    <w:rsid w:val="00526B1E"/>
    <w:rsid w:val="00526C9C"/>
    <w:rsid w:val="00526D31"/>
    <w:rsid w:val="00526E36"/>
    <w:rsid w:val="00526F01"/>
    <w:rsid w:val="00526F23"/>
    <w:rsid w:val="00526F77"/>
    <w:rsid w:val="00527027"/>
    <w:rsid w:val="0052703C"/>
    <w:rsid w:val="005270F9"/>
    <w:rsid w:val="00527115"/>
    <w:rsid w:val="0052712A"/>
    <w:rsid w:val="00527276"/>
    <w:rsid w:val="0052728A"/>
    <w:rsid w:val="005273A2"/>
    <w:rsid w:val="0052747B"/>
    <w:rsid w:val="00527504"/>
    <w:rsid w:val="0052752B"/>
    <w:rsid w:val="0052752C"/>
    <w:rsid w:val="00527535"/>
    <w:rsid w:val="005275BD"/>
    <w:rsid w:val="005275E8"/>
    <w:rsid w:val="00527605"/>
    <w:rsid w:val="0052765E"/>
    <w:rsid w:val="0052774B"/>
    <w:rsid w:val="0052782E"/>
    <w:rsid w:val="005279B6"/>
    <w:rsid w:val="00527D1D"/>
    <w:rsid w:val="00527E23"/>
    <w:rsid w:val="00527F73"/>
    <w:rsid w:val="00527FF5"/>
    <w:rsid w:val="00530155"/>
    <w:rsid w:val="00530217"/>
    <w:rsid w:val="00530317"/>
    <w:rsid w:val="00530402"/>
    <w:rsid w:val="0053040B"/>
    <w:rsid w:val="005304D6"/>
    <w:rsid w:val="0053053E"/>
    <w:rsid w:val="0053058F"/>
    <w:rsid w:val="00530637"/>
    <w:rsid w:val="00530770"/>
    <w:rsid w:val="0053094F"/>
    <w:rsid w:val="00530975"/>
    <w:rsid w:val="00530A56"/>
    <w:rsid w:val="00530A62"/>
    <w:rsid w:val="00530ACF"/>
    <w:rsid w:val="00530AEF"/>
    <w:rsid w:val="00530B4B"/>
    <w:rsid w:val="00530C70"/>
    <w:rsid w:val="00530CBB"/>
    <w:rsid w:val="00530E1C"/>
    <w:rsid w:val="00530E32"/>
    <w:rsid w:val="00531036"/>
    <w:rsid w:val="00531077"/>
    <w:rsid w:val="00531080"/>
    <w:rsid w:val="00531111"/>
    <w:rsid w:val="00531130"/>
    <w:rsid w:val="00531171"/>
    <w:rsid w:val="00531189"/>
    <w:rsid w:val="005311C0"/>
    <w:rsid w:val="005312E0"/>
    <w:rsid w:val="005312ED"/>
    <w:rsid w:val="005315CC"/>
    <w:rsid w:val="005317C1"/>
    <w:rsid w:val="005318EF"/>
    <w:rsid w:val="00531995"/>
    <w:rsid w:val="005319A1"/>
    <w:rsid w:val="005319FB"/>
    <w:rsid w:val="00531AD2"/>
    <w:rsid w:val="00531B05"/>
    <w:rsid w:val="00531C1A"/>
    <w:rsid w:val="00531C7D"/>
    <w:rsid w:val="00531C9F"/>
    <w:rsid w:val="00531D01"/>
    <w:rsid w:val="00531D95"/>
    <w:rsid w:val="00531D9A"/>
    <w:rsid w:val="00531DB3"/>
    <w:rsid w:val="00531E8F"/>
    <w:rsid w:val="00531FC2"/>
    <w:rsid w:val="00531FD6"/>
    <w:rsid w:val="00532043"/>
    <w:rsid w:val="00532097"/>
    <w:rsid w:val="00532110"/>
    <w:rsid w:val="005321D5"/>
    <w:rsid w:val="00532233"/>
    <w:rsid w:val="005322AB"/>
    <w:rsid w:val="00532343"/>
    <w:rsid w:val="0053235C"/>
    <w:rsid w:val="00532423"/>
    <w:rsid w:val="00532434"/>
    <w:rsid w:val="005325D3"/>
    <w:rsid w:val="0053263C"/>
    <w:rsid w:val="00532671"/>
    <w:rsid w:val="00532812"/>
    <w:rsid w:val="00532968"/>
    <w:rsid w:val="00532A28"/>
    <w:rsid w:val="00532A8F"/>
    <w:rsid w:val="00532BEC"/>
    <w:rsid w:val="00532C06"/>
    <w:rsid w:val="00532D49"/>
    <w:rsid w:val="00532D51"/>
    <w:rsid w:val="00532DB0"/>
    <w:rsid w:val="00532E49"/>
    <w:rsid w:val="00532E61"/>
    <w:rsid w:val="00532F9A"/>
    <w:rsid w:val="00533068"/>
    <w:rsid w:val="005331A9"/>
    <w:rsid w:val="005331D0"/>
    <w:rsid w:val="005332B1"/>
    <w:rsid w:val="00533302"/>
    <w:rsid w:val="005333A4"/>
    <w:rsid w:val="00533515"/>
    <w:rsid w:val="00533520"/>
    <w:rsid w:val="00533631"/>
    <w:rsid w:val="00533639"/>
    <w:rsid w:val="0053370D"/>
    <w:rsid w:val="0053372B"/>
    <w:rsid w:val="0053376D"/>
    <w:rsid w:val="00533981"/>
    <w:rsid w:val="00533AC5"/>
    <w:rsid w:val="00533AF8"/>
    <w:rsid w:val="00533B7B"/>
    <w:rsid w:val="00533B87"/>
    <w:rsid w:val="00533B92"/>
    <w:rsid w:val="00533BB9"/>
    <w:rsid w:val="00533C4B"/>
    <w:rsid w:val="00533CF8"/>
    <w:rsid w:val="00533D06"/>
    <w:rsid w:val="00533DDF"/>
    <w:rsid w:val="00533F22"/>
    <w:rsid w:val="00533FAB"/>
    <w:rsid w:val="00534187"/>
    <w:rsid w:val="005341AB"/>
    <w:rsid w:val="00534268"/>
    <w:rsid w:val="005342F7"/>
    <w:rsid w:val="00534343"/>
    <w:rsid w:val="005343C5"/>
    <w:rsid w:val="0053447B"/>
    <w:rsid w:val="0053449B"/>
    <w:rsid w:val="005344C0"/>
    <w:rsid w:val="00534663"/>
    <w:rsid w:val="005346C9"/>
    <w:rsid w:val="0053478A"/>
    <w:rsid w:val="005347FE"/>
    <w:rsid w:val="005348DE"/>
    <w:rsid w:val="0053494E"/>
    <w:rsid w:val="00534969"/>
    <w:rsid w:val="00534A1F"/>
    <w:rsid w:val="00534A70"/>
    <w:rsid w:val="00534B25"/>
    <w:rsid w:val="00534B30"/>
    <w:rsid w:val="00534B9B"/>
    <w:rsid w:val="00534C42"/>
    <w:rsid w:val="00534DC6"/>
    <w:rsid w:val="00534E2D"/>
    <w:rsid w:val="00534E79"/>
    <w:rsid w:val="00534FD8"/>
    <w:rsid w:val="00534FDD"/>
    <w:rsid w:val="00535036"/>
    <w:rsid w:val="0053503C"/>
    <w:rsid w:val="005350A2"/>
    <w:rsid w:val="0053514A"/>
    <w:rsid w:val="00535160"/>
    <w:rsid w:val="00535196"/>
    <w:rsid w:val="0053519A"/>
    <w:rsid w:val="005351A3"/>
    <w:rsid w:val="005352BE"/>
    <w:rsid w:val="005354EA"/>
    <w:rsid w:val="0053553A"/>
    <w:rsid w:val="005355DF"/>
    <w:rsid w:val="00535680"/>
    <w:rsid w:val="005356D2"/>
    <w:rsid w:val="00535759"/>
    <w:rsid w:val="005357BF"/>
    <w:rsid w:val="005357C3"/>
    <w:rsid w:val="0053593E"/>
    <w:rsid w:val="00535B71"/>
    <w:rsid w:val="00535B90"/>
    <w:rsid w:val="00535C36"/>
    <w:rsid w:val="00535C61"/>
    <w:rsid w:val="00535D0E"/>
    <w:rsid w:val="00535FD7"/>
    <w:rsid w:val="00535FE1"/>
    <w:rsid w:val="005360C2"/>
    <w:rsid w:val="0053619C"/>
    <w:rsid w:val="005361EF"/>
    <w:rsid w:val="0053620F"/>
    <w:rsid w:val="005362F8"/>
    <w:rsid w:val="005364FD"/>
    <w:rsid w:val="005365D0"/>
    <w:rsid w:val="005365F1"/>
    <w:rsid w:val="005366F6"/>
    <w:rsid w:val="00536723"/>
    <w:rsid w:val="0053673C"/>
    <w:rsid w:val="005367C8"/>
    <w:rsid w:val="005368C5"/>
    <w:rsid w:val="005368E2"/>
    <w:rsid w:val="00536934"/>
    <w:rsid w:val="0053694C"/>
    <w:rsid w:val="00536962"/>
    <w:rsid w:val="005369E5"/>
    <w:rsid w:val="00536A53"/>
    <w:rsid w:val="00536AB8"/>
    <w:rsid w:val="00536BD4"/>
    <w:rsid w:val="00536D9C"/>
    <w:rsid w:val="00536E2F"/>
    <w:rsid w:val="00536E96"/>
    <w:rsid w:val="00536F38"/>
    <w:rsid w:val="00537055"/>
    <w:rsid w:val="00537167"/>
    <w:rsid w:val="0053717A"/>
    <w:rsid w:val="005372C5"/>
    <w:rsid w:val="00537374"/>
    <w:rsid w:val="005374E2"/>
    <w:rsid w:val="00537512"/>
    <w:rsid w:val="00537730"/>
    <w:rsid w:val="00537734"/>
    <w:rsid w:val="00537748"/>
    <w:rsid w:val="005377A4"/>
    <w:rsid w:val="005377F4"/>
    <w:rsid w:val="0053789F"/>
    <w:rsid w:val="005378F3"/>
    <w:rsid w:val="00537A8D"/>
    <w:rsid w:val="00537B4C"/>
    <w:rsid w:val="00537D43"/>
    <w:rsid w:val="00537E81"/>
    <w:rsid w:val="00537EB9"/>
    <w:rsid w:val="005400C6"/>
    <w:rsid w:val="005400D0"/>
    <w:rsid w:val="005400D3"/>
    <w:rsid w:val="0054012D"/>
    <w:rsid w:val="0054027E"/>
    <w:rsid w:val="005402B1"/>
    <w:rsid w:val="005402E8"/>
    <w:rsid w:val="00540378"/>
    <w:rsid w:val="005403CC"/>
    <w:rsid w:val="00540486"/>
    <w:rsid w:val="005405C3"/>
    <w:rsid w:val="00540632"/>
    <w:rsid w:val="0054067C"/>
    <w:rsid w:val="005406C6"/>
    <w:rsid w:val="005406F8"/>
    <w:rsid w:val="0054074D"/>
    <w:rsid w:val="005407FB"/>
    <w:rsid w:val="00540926"/>
    <w:rsid w:val="00540A09"/>
    <w:rsid w:val="00540A5C"/>
    <w:rsid w:val="00540A5F"/>
    <w:rsid w:val="00540A88"/>
    <w:rsid w:val="00540AF2"/>
    <w:rsid w:val="00540B64"/>
    <w:rsid w:val="00540B6D"/>
    <w:rsid w:val="00540C9D"/>
    <w:rsid w:val="00540D00"/>
    <w:rsid w:val="00540E04"/>
    <w:rsid w:val="00540E54"/>
    <w:rsid w:val="00540EF2"/>
    <w:rsid w:val="00540F49"/>
    <w:rsid w:val="00540F66"/>
    <w:rsid w:val="005410EA"/>
    <w:rsid w:val="005410F3"/>
    <w:rsid w:val="00541178"/>
    <w:rsid w:val="00541254"/>
    <w:rsid w:val="00541284"/>
    <w:rsid w:val="0054129A"/>
    <w:rsid w:val="005412A9"/>
    <w:rsid w:val="005412D2"/>
    <w:rsid w:val="0054133F"/>
    <w:rsid w:val="00541474"/>
    <w:rsid w:val="00541483"/>
    <w:rsid w:val="00541490"/>
    <w:rsid w:val="00541582"/>
    <w:rsid w:val="00541660"/>
    <w:rsid w:val="005416B7"/>
    <w:rsid w:val="00541726"/>
    <w:rsid w:val="00541883"/>
    <w:rsid w:val="005418BC"/>
    <w:rsid w:val="005418F2"/>
    <w:rsid w:val="00541917"/>
    <w:rsid w:val="005419B0"/>
    <w:rsid w:val="00541A7B"/>
    <w:rsid w:val="00541AEE"/>
    <w:rsid w:val="00541B23"/>
    <w:rsid w:val="00541B32"/>
    <w:rsid w:val="00541BDC"/>
    <w:rsid w:val="00541C3F"/>
    <w:rsid w:val="00541DDB"/>
    <w:rsid w:val="00541F51"/>
    <w:rsid w:val="00542046"/>
    <w:rsid w:val="0054212E"/>
    <w:rsid w:val="005422DD"/>
    <w:rsid w:val="005423C1"/>
    <w:rsid w:val="00542490"/>
    <w:rsid w:val="00542505"/>
    <w:rsid w:val="00542603"/>
    <w:rsid w:val="0054267A"/>
    <w:rsid w:val="005427F2"/>
    <w:rsid w:val="005427F7"/>
    <w:rsid w:val="00542891"/>
    <w:rsid w:val="00542922"/>
    <w:rsid w:val="00542944"/>
    <w:rsid w:val="00542949"/>
    <w:rsid w:val="00542DBA"/>
    <w:rsid w:val="00542E05"/>
    <w:rsid w:val="00542EA7"/>
    <w:rsid w:val="00542F81"/>
    <w:rsid w:val="00542FF9"/>
    <w:rsid w:val="005430BB"/>
    <w:rsid w:val="005430CA"/>
    <w:rsid w:val="005430F2"/>
    <w:rsid w:val="00543111"/>
    <w:rsid w:val="005431C8"/>
    <w:rsid w:val="005431D5"/>
    <w:rsid w:val="005432F9"/>
    <w:rsid w:val="005433A2"/>
    <w:rsid w:val="005434E7"/>
    <w:rsid w:val="005434F3"/>
    <w:rsid w:val="005435C6"/>
    <w:rsid w:val="00543709"/>
    <w:rsid w:val="00543780"/>
    <w:rsid w:val="00543931"/>
    <w:rsid w:val="005439A0"/>
    <w:rsid w:val="00543BA8"/>
    <w:rsid w:val="00543BB0"/>
    <w:rsid w:val="00543D21"/>
    <w:rsid w:val="00543E64"/>
    <w:rsid w:val="00543F9F"/>
    <w:rsid w:val="005440A5"/>
    <w:rsid w:val="005442CD"/>
    <w:rsid w:val="005442E6"/>
    <w:rsid w:val="00544482"/>
    <w:rsid w:val="00544584"/>
    <w:rsid w:val="00544690"/>
    <w:rsid w:val="00544775"/>
    <w:rsid w:val="00544974"/>
    <w:rsid w:val="00544AF4"/>
    <w:rsid w:val="00544B5D"/>
    <w:rsid w:val="00544B76"/>
    <w:rsid w:val="00544B9B"/>
    <w:rsid w:val="00544CD6"/>
    <w:rsid w:val="00544CFA"/>
    <w:rsid w:val="00544DA4"/>
    <w:rsid w:val="00544ED6"/>
    <w:rsid w:val="00544F66"/>
    <w:rsid w:val="00544FF0"/>
    <w:rsid w:val="00545098"/>
    <w:rsid w:val="00545131"/>
    <w:rsid w:val="00545370"/>
    <w:rsid w:val="00545411"/>
    <w:rsid w:val="0054548B"/>
    <w:rsid w:val="00545698"/>
    <w:rsid w:val="005456DD"/>
    <w:rsid w:val="00545750"/>
    <w:rsid w:val="00545927"/>
    <w:rsid w:val="0054596A"/>
    <w:rsid w:val="00545997"/>
    <w:rsid w:val="005459B3"/>
    <w:rsid w:val="005459BB"/>
    <w:rsid w:val="00545A70"/>
    <w:rsid w:val="00545ADF"/>
    <w:rsid w:val="00545B5C"/>
    <w:rsid w:val="00545B7A"/>
    <w:rsid w:val="00545C69"/>
    <w:rsid w:val="00545C7E"/>
    <w:rsid w:val="00545C82"/>
    <w:rsid w:val="00545CEF"/>
    <w:rsid w:val="00545D19"/>
    <w:rsid w:val="00545D1D"/>
    <w:rsid w:val="00545D38"/>
    <w:rsid w:val="00545E12"/>
    <w:rsid w:val="00545EF6"/>
    <w:rsid w:val="00545FBC"/>
    <w:rsid w:val="00546354"/>
    <w:rsid w:val="00546448"/>
    <w:rsid w:val="00546508"/>
    <w:rsid w:val="00546571"/>
    <w:rsid w:val="00546581"/>
    <w:rsid w:val="005465E6"/>
    <w:rsid w:val="005465E7"/>
    <w:rsid w:val="00546738"/>
    <w:rsid w:val="005468F9"/>
    <w:rsid w:val="00546A06"/>
    <w:rsid w:val="00546A41"/>
    <w:rsid w:val="00546DED"/>
    <w:rsid w:val="00546E43"/>
    <w:rsid w:val="00546EAE"/>
    <w:rsid w:val="00546EC1"/>
    <w:rsid w:val="00547009"/>
    <w:rsid w:val="005470C4"/>
    <w:rsid w:val="00547186"/>
    <w:rsid w:val="005471ED"/>
    <w:rsid w:val="005472C6"/>
    <w:rsid w:val="005473A2"/>
    <w:rsid w:val="00547416"/>
    <w:rsid w:val="00547421"/>
    <w:rsid w:val="005475AD"/>
    <w:rsid w:val="005479AE"/>
    <w:rsid w:val="00547A48"/>
    <w:rsid w:val="00547A9B"/>
    <w:rsid w:val="00547AA2"/>
    <w:rsid w:val="00547AF7"/>
    <w:rsid w:val="00547BE3"/>
    <w:rsid w:val="00547D7C"/>
    <w:rsid w:val="00547D85"/>
    <w:rsid w:val="00547DAE"/>
    <w:rsid w:val="00547F12"/>
    <w:rsid w:val="00547F3A"/>
    <w:rsid w:val="00550159"/>
    <w:rsid w:val="00550192"/>
    <w:rsid w:val="005501F0"/>
    <w:rsid w:val="00550211"/>
    <w:rsid w:val="00550265"/>
    <w:rsid w:val="00550301"/>
    <w:rsid w:val="00550308"/>
    <w:rsid w:val="0055042C"/>
    <w:rsid w:val="00550478"/>
    <w:rsid w:val="005504F7"/>
    <w:rsid w:val="005506F8"/>
    <w:rsid w:val="0055072E"/>
    <w:rsid w:val="0055076A"/>
    <w:rsid w:val="0055076F"/>
    <w:rsid w:val="00550843"/>
    <w:rsid w:val="00550A15"/>
    <w:rsid w:val="00550AA1"/>
    <w:rsid w:val="00550B03"/>
    <w:rsid w:val="00550BE0"/>
    <w:rsid w:val="00550C01"/>
    <w:rsid w:val="00550CC8"/>
    <w:rsid w:val="00550DF5"/>
    <w:rsid w:val="00550E34"/>
    <w:rsid w:val="00550E64"/>
    <w:rsid w:val="00550ECF"/>
    <w:rsid w:val="00550F4A"/>
    <w:rsid w:val="00550FE1"/>
    <w:rsid w:val="005510CF"/>
    <w:rsid w:val="005510DA"/>
    <w:rsid w:val="0055130C"/>
    <w:rsid w:val="0055142A"/>
    <w:rsid w:val="00551487"/>
    <w:rsid w:val="00551578"/>
    <w:rsid w:val="005516BE"/>
    <w:rsid w:val="00551762"/>
    <w:rsid w:val="00551771"/>
    <w:rsid w:val="005517B3"/>
    <w:rsid w:val="005518D3"/>
    <w:rsid w:val="005519EC"/>
    <w:rsid w:val="00551ADF"/>
    <w:rsid w:val="00551B16"/>
    <w:rsid w:val="00551B38"/>
    <w:rsid w:val="00551C88"/>
    <w:rsid w:val="00551CD1"/>
    <w:rsid w:val="00551DFA"/>
    <w:rsid w:val="00551E46"/>
    <w:rsid w:val="00551ED5"/>
    <w:rsid w:val="00551EF9"/>
    <w:rsid w:val="005520B2"/>
    <w:rsid w:val="005521CC"/>
    <w:rsid w:val="0055226B"/>
    <w:rsid w:val="005524F0"/>
    <w:rsid w:val="005525F9"/>
    <w:rsid w:val="00552719"/>
    <w:rsid w:val="00552749"/>
    <w:rsid w:val="00552779"/>
    <w:rsid w:val="005527CC"/>
    <w:rsid w:val="0055291A"/>
    <w:rsid w:val="00552A83"/>
    <w:rsid w:val="00552AC7"/>
    <w:rsid w:val="00552BB7"/>
    <w:rsid w:val="00552BDA"/>
    <w:rsid w:val="00552C5E"/>
    <w:rsid w:val="00552CD5"/>
    <w:rsid w:val="00552D64"/>
    <w:rsid w:val="00552EE6"/>
    <w:rsid w:val="00552FC0"/>
    <w:rsid w:val="0055308E"/>
    <w:rsid w:val="005531DF"/>
    <w:rsid w:val="0055337F"/>
    <w:rsid w:val="00553391"/>
    <w:rsid w:val="005534CC"/>
    <w:rsid w:val="005534E8"/>
    <w:rsid w:val="005535BC"/>
    <w:rsid w:val="005535D1"/>
    <w:rsid w:val="00553935"/>
    <w:rsid w:val="0055395E"/>
    <w:rsid w:val="00553984"/>
    <w:rsid w:val="00553A90"/>
    <w:rsid w:val="00553A99"/>
    <w:rsid w:val="00553AC2"/>
    <w:rsid w:val="00553ACA"/>
    <w:rsid w:val="00553B64"/>
    <w:rsid w:val="00553BBB"/>
    <w:rsid w:val="00553C0C"/>
    <w:rsid w:val="00553DB2"/>
    <w:rsid w:val="00553DCE"/>
    <w:rsid w:val="00553E7F"/>
    <w:rsid w:val="00553E8B"/>
    <w:rsid w:val="00553EE5"/>
    <w:rsid w:val="00554061"/>
    <w:rsid w:val="005543D2"/>
    <w:rsid w:val="005544D2"/>
    <w:rsid w:val="0055451B"/>
    <w:rsid w:val="005545A3"/>
    <w:rsid w:val="00554724"/>
    <w:rsid w:val="00554928"/>
    <w:rsid w:val="00554A41"/>
    <w:rsid w:val="00554B29"/>
    <w:rsid w:val="00554B7E"/>
    <w:rsid w:val="00554BDA"/>
    <w:rsid w:val="00554CB4"/>
    <w:rsid w:val="00554CCA"/>
    <w:rsid w:val="00554D2A"/>
    <w:rsid w:val="00554D95"/>
    <w:rsid w:val="00554E13"/>
    <w:rsid w:val="00554E26"/>
    <w:rsid w:val="00554F19"/>
    <w:rsid w:val="0055511C"/>
    <w:rsid w:val="0055511E"/>
    <w:rsid w:val="00555191"/>
    <w:rsid w:val="005551E3"/>
    <w:rsid w:val="00555377"/>
    <w:rsid w:val="00555663"/>
    <w:rsid w:val="005556DF"/>
    <w:rsid w:val="00555920"/>
    <w:rsid w:val="0055596E"/>
    <w:rsid w:val="005559A0"/>
    <w:rsid w:val="00555AA1"/>
    <w:rsid w:val="00555B3C"/>
    <w:rsid w:val="00555B47"/>
    <w:rsid w:val="00555BF0"/>
    <w:rsid w:val="00555BF8"/>
    <w:rsid w:val="00555C67"/>
    <w:rsid w:val="00555C97"/>
    <w:rsid w:val="00555CA0"/>
    <w:rsid w:val="00555EB2"/>
    <w:rsid w:val="00555FFC"/>
    <w:rsid w:val="005560B6"/>
    <w:rsid w:val="00556184"/>
    <w:rsid w:val="00556292"/>
    <w:rsid w:val="005562D2"/>
    <w:rsid w:val="00556334"/>
    <w:rsid w:val="00556562"/>
    <w:rsid w:val="005567CF"/>
    <w:rsid w:val="00556883"/>
    <w:rsid w:val="005568CC"/>
    <w:rsid w:val="00556923"/>
    <w:rsid w:val="00556942"/>
    <w:rsid w:val="00556943"/>
    <w:rsid w:val="00556B72"/>
    <w:rsid w:val="00556BE3"/>
    <w:rsid w:val="00556D3E"/>
    <w:rsid w:val="00556DDF"/>
    <w:rsid w:val="00556EDD"/>
    <w:rsid w:val="00556F80"/>
    <w:rsid w:val="00556FE5"/>
    <w:rsid w:val="005570FA"/>
    <w:rsid w:val="00557130"/>
    <w:rsid w:val="005571E1"/>
    <w:rsid w:val="0055720F"/>
    <w:rsid w:val="0055725B"/>
    <w:rsid w:val="0055725D"/>
    <w:rsid w:val="005572AB"/>
    <w:rsid w:val="00557394"/>
    <w:rsid w:val="0055746D"/>
    <w:rsid w:val="005574BF"/>
    <w:rsid w:val="005574DE"/>
    <w:rsid w:val="005574EF"/>
    <w:rsid w:val="00557605"/>
    <w:rsid w:val="005576FD"/>
    <w:rsid w:val="005577B4"/>
    <w:rsid w:val="0055784D"/>
    <w:rsid w:val="00557A30"/>
    <w:rsid w:val="00557A43"/>
    <w:rsid w:val="00557ABC"/>
    <w:rsid w:val="00557ACE"/>
    <w:rsid w:val="00557B50"/>
    <w:rsid w:val="00557C06"/>
    <w:rsid w:val="00557F44"/>
    <w:rsid w:val="00557F51"/>
    <w:rsid w:val="005600DE"/>
    <w:rsid w:val="005601ED"/>
    <w:rsid w:val="00560241"/>
    <w:rsid w:val="00560280"/>
    <w:rsid w:val="005602BA"/>
    <w:rsid w:val="00560457"/>
    <w:rsid w:val="005604B7"/>
    <w:rsid w:val="005604BC"/>
    <w:rsid w:val="005604F7"/>
    <w:rsid w:val="00560584"/>
    <w:rsid w:val="005605AE"/>
    <w:rsid w:val="005606D7"/>
    <w:rsid w:val="00560733"/>
    <w:rsid w:val="00560750"/>
    <w:rsid w:val="0056089C"/>
    <w:rsid w:val="005608E4"/>
    <w:rsid w:val="005609D8"/>
    <w:rsid w:val="00560A4D"/>
    <w:rsid w:val="00560A72"/>
    <w:rsid w:val="00560ABD"/>
    <w:rsid w:val="00560C54"/>
    <w:rsid w:val="00560DCC"/>
    <w:rsid w:val="00560E00"/>
    <w:rsid w:val="00560E9B"/>
    <w:rsid w:val="00560F18"/>
    <w:rsid w:val="00560FA7"/>
    <w:rsid w:val="0056100C"/>
    <w:rsid w:val="00561029"/>
    <w:rsid w:val="00561141"/>
    <w:rsid w:val="00561154"/>
    <w:rsid w:val="0056124D"/>
    <w:rsid w:val="00561337"/>
    <w:rsid w:val="005614EA"/>
    <w:rsid w:val="005615D6"/>
    <w:rsid w:val="00561866"/>
    <w:rsid w:val="0056189C"/>
    <w:rsid w:val="005619F3"/>
    <w:rsid w:val="00561A38"/>
    <w:rsid w:val="00561AB6"/>
    <w:rsid w:val="00561C81"/>
    <w:rsid w:val="00561D7D"/>
    <w:rsid w:val="00561E0B"/>
    <w:rsid w:val="00561EAB"/>
    <w:rsid w:val="00561EAE"/>
    <w:rsid w:val="00561F87"/>
    <w:rsid w:val="00562031"/>
    <w:rsid w:val="0056209D"/>
    <w:rsid w:val="0056212E"/>
    <w:rsid w:val="00562132"/>
    <w:rsid w:val="005621B9"/>
    <w:rsid w:val="00562237"/>
    <w:rsid w:val="00562372"/>
    <w:rsid w:val="00562437"/>
    <w:rsid w:val="0056265E"/>
    <w:rsid w:val="0056271B"/>
    <w:rsid w:val="00562778"/>
    <w:rsid w:val="005627B4"/>
    <w:rsid w:val="005628A0"/>
    <w:rsid w:val="00562920"/>
    <w:rsid w:val="00562A0C"/>
    <w:rsid w:val="00562ABA"/>
    <w:rsid w:val="00562C7F"/>
    <w:rsid w:val="00562C98"/>
    <w:rsid w:val="00562D3D"/>
    <w:rsid w:val="00562D46"/>
    <w:rsid w:val="00562F71"/>
    <w:rsid w:val="00562FA5"/>
    <w:rsid w:val="005630D3"/>
    <w:rsid w:val="0056318D"/>
    <w:rsid w:val="0056319A"/>
    <w:rsid w:val="00563234"/>
    <w:rsid w:val="0056325B"/>
    <w:rsid w:val="00563277"/>
    <w:rsid w:val="005633C0"/>
    <w:rsid w:val="0056351F"/>
    <w:rsid w:val="0056354A"/>
    <w:rsid w:val="0056371D"/>
    <w:rsid w:val="00563883"/>
    <w:rsid w:val="005638DB"/>
    <w:rsid w:val="00563BB7"/>
    <w:rsid w:val="00563C32"/>
    <w:rsid w:val="00563C6F"/>
    <w:rsid w:val="00563DA8"/>
    <w:rsid w:val="00563DAE"/>
    <w:rsid w:val="00563E08"/>
    <w:rsid w:val="00563E6E"/>
    <w:rsid w:val="00563EE4"/>
    <w:rsid w:val="00563F12"/>
    <w:rsid w:val="005641CF"/>
    <w:rsid w:val="005641E2"/>
    <w:rsid w:val="005643A2"/>
    <w:rsid w:val="005643A5"/>
    <w:rsid w:val="0056443B"/>
    <w:rsid w:val="005645A5"/>
    <w:rsid w:val="005646E7"/>
    <w:rsid w:val="00564784"/>
    <w:rsid w:val="0056479B"/>
    <w:rsid w:val="005647DC"/>
    <w:rsid w:val="005647FB"/>
    <w:rsid w:val="00564830"/>
    <w:rsid w:val="005648B2"/>
    <w:rsid w:val="00564AA3"/>
    <w:rsid w:val="00564B56"/>
    <w:rsid w:val="00564C62"/>
    <w:rsid w:val="00564C7C"/>
    <w:rsid w:val="00564D2D"/>
    <w:rsid w:val="00564E1A"/>
    <w:rsid w:val="00564E41"/>
    <w:rsid w:val="00564F21"/>
    <w:rsid w:val="00564F7F"/>
    <w:rsid w:val="00565076"/>
    <w:rsid w:val="00565187"/>
    <w:rsid w:val="00565242"/>
    <w:rsid w:val="005654E9"/>
    <w:rsid w:val="005654ED"/>
    <w:rsid w:val="005655AD"/>
    <w:rsid w:val="00565617"/>
    <w:rsid w:val="00565674"/>
    <w:rsid w:val="005656BF"/>
    <w:rsid w:val="005657DD"/>
    <w:rsid w:val="005657F8"/>
    <w:rsid w:val="00565822"/>
    <w:rsid w:val="0056582B"/>
    <w:rsid w:val="00565965"/>
    <w:rsid w:val="0056596E"/>
    <w:rsid w:val="00565985"/>
    <w:rsid w:val="00565A2D"/>
    <w:rsid w:val="00565CBA"/>
    <w:rsid w:val="00565CF9"/>
    <w:rsid w:val="00565EDE"/>
    <w:rsid w:val="00565F84"/>
    <w:rsid w:val="005661DF"/>
    <w:rsid w:val="00566357"/>
    <w:rsid w:val="0056646E"/>
    <w:rsid w:val="00566547"/>
    <w:rsid w:val="0056654A"/>
    <w:rsid w:val="0056661A"/>
    <w:rsid w:val="005666F6"/>
    <w:rsid w:val="00566701"/>
    <w:rsid w:val="005667FF"/>
    <w:rsid w:val="005669DF"/>
    <w:rsid w:val="00566AB6"/>
    <w:rsid w:val="00566FFC"/>
    <w:rsid w:val="00567014"/>
    <w:rsid w:val="00567063"/>
    <w:rsid w:val="00567074"/>
    <w:rsid w:val="005670C4"/>
    <w:rsid w:val="00567123"/>
    <w:rsid w:val="005672B1"/>
    <w:rsid w:val="005672C3"/>
    <w:rsid w:val="005674CB"/>
    <w:rsid w:val="00567560"/>
    <w:rsid w:val="005675A6"/>
    <w:rsid w:val="0056779E"/>
    <w:rsid w:val="005678B0"/>
    <w:rsid w:val="00567DED"/>
    <w:rsid w:val="00567FBB"/>
    <w:rsid w:val="00567FE7"/>
    <w:rsid w:val="0057002E"/>
    <w:rsid w:val="00570046"/>
    <w:rsid w:val="005700A9"/>
    <w:rsid w:val="005700CB"/>
    <w:rsid w:val="00570184"/>
    <w:rsid w:val="005701C3"/>
    <w:rsid w:val="0057024B"/>
    <w:rsid w:val="005704C7"/>
    <w:rsid w:val="005705BE"/>
    <w:rsid w:val="005706B0"/>
    <w:rsid w:val="00570782"/>
    <w:rsid w:val="0057078F"/>
    <w:rsid w:val="00570812"/>
    <w:rsid w:val="00570A25"/>
    <w:rsid w:val="00570AB3"/>
    <w:rsid w:val="00570AD5"/>
    <w:rsid w:val="00570BF2"/>
    <w:rsid w:val="00570C3F"/>
    <w:rsid w:val="00570E10"/>
    <w:rsid w:val="00570EE0"/>
    <w:rsid w:val="00570F20"/>
    <w:rsid w:val="00570F6D"/>
    <w:rsid w:val="005710E5"/>
    <w:rsid w:val="0057121D"/>
    <w:rsid w:val="00571373"/>
    <w:rsid w:val="005713B5"/>
    <w:rsid w:val="00571549"/>
    <w:rsid w:val="0057159C"/>
    <w:rsid w:val="0057164D"/>
    <w:rsid w:val="0057166C"/>
    <w:rsid w:val="005716CE"/>
    <w:rsid w:val="005717A8"/>
    <w:rsid w:val="0057189B"/>
    <w:rsid w:val="005719AA"/>
    <w:rsid w:val="00571AD9"/>
    <w:rsid w:val="00571B3C"/>
    <w:rsid w:val="00571B4F"/>
    <w:rsid w:val="00571C6A"/>
    <w:rsid w:val="00571C6E"/>
    <w:rsid w:val="00571D22"/>
    <w:rsid w:val="00571E70"/>
    <w:rsid w:val="00571EA2"/>
    <w:rsid w:val="00572185"/>
    <w:rsid w:val="005721C4"/>
    <w:rsid w:val="00572294"/>
    <w:rsid w:val="0057245B"/>
    <w:rsid w:val="005725DB"/>
    <w:rsid w:val="005726D3"/>
    <w:rsid w:val="0057271C"/>
    <w:rsid w:val="00572760"/>
    <w:rsid w:val="00572775"/>
    <w:rsid w:val="00572805"/>
    <w:rsid w:val="00572927"/>
    <w:rsid w:val="00572949"/>
    <w:rsid w:val="00572B76"/>
    <w:rsid w:val="00572CF3"/>
    <w:rsid w:val="00572D17"/>
    <w:rsid w:val="00572D5F"/>
    <w:rsid w:val="00572DEF"/>
    <w:rsid w:val="00572E07"/>
    <w:rsid w:val="00572E86"/>
    <w:rsid w:val="005730A9"/>
    <w:rsid w:val="005731EA"/>
    <w:rsid w:val="00573214"/>
    <w:rsid w:val="005734A9"/>
    <w:rsid w:val="00573514"/>
    <w:rsid w:val="00573556"/>
    <w:rsid w:val="0057362F"/>
    <w:rsid w:val="00573640"/>
    <w:rsid w:val="005736B3"/>
    <w:rsid w:val="0057373D"/>
    <w:rsid w:val="00573856"/>
    <w:rsid w:val="00573940"/>
    <w:rsid w:val="005739BB"/>
    <w:rsid w:val="00573A62"/>
    <w:rsid w:val="00573B27"/>
    <w:rsid w:val="00573C82"/>
    <w:rsid w:val="00573D2F"/>
    <w:rsid w:val="00573D5B"/>
    <w:rsid w:val="00573E3D"/>
    <w:rsid w:val="00573E8E"/>
    <w:rsid w:val="00573EC4"/>
    <w:rsid w:val="00573F55"/>
    <w:rsid w:val="00573FC5"/>
    <w:rsid w:val="00574017"/>
    <w:rsid w:val="00574064"/>
    <w:rsid w:val="00574104"/>
    <w:rsid w:val="005744A1"/>
    <w:rsid w:val="005744AD"/>
    <w:rsid w:val="005744E0"/>
    <w:rsid w:val="0057455A"/>
    <w:rsid w:val="005745EA"/>
    <w:rsid w:val="00574630"/>
    <w:rsid w:val="00574671"/>
    <w:rsid w:val="0057471E"/>
    <w:rsid w:val="005749C5"/>
    <w:rsid w:val="00574A6C"/>
    <w:rsid w:val="00574A8F"/>
    <w:rsid w:val="00574B5A"/>
    <w:rsid w:val="00574BC5"/>
    <w:rsid w:val="00574C95"/>
    <w:rsid w:val="00574CCB"/>
    <w:rsid w:val="00574DDB"/>
    <w:rsid w:val="00574DFC"/>
    <w:rsid w:val="00574E8E"/>
    <w:rsid w:val="00574ED7"/>
    <w:rsid w:val="00574FB4"/>
    <w:rsid w:val="00574FC6"/>
    <w:rsid w:val="0057501C"/>
    <w:rsid w:val="005750C3"/>
    <w:rsid w:val="005751F4"/>
    <w:rsid w:val="0057525A"/>
    <w:rsid w:val="00575274"/>
    <w:rsid w:val="005752AD"/>
    <w:rsid w:val="00575392"/>
    <w:rsid w:val="005753EA"/>
    <w:rsid w:val="005753FD"/>
    <w:rsid w:val="00575434"/>
    <w:rsid w:val="00575514"/>
    <w:rsid w:val="00575592"/>
    <w:rsid w:val="005755CE"/>
    <w:rsid w:val="005756E7"/>
    <w:rsid w:val="00575860"/>
    <w:rsid w:val="005758B1"/>
    <w:rsid w:val="005759B7"/>
    <w:rsid w:val="00575AC4"/>
    <w:rsid w:val="00575B76"/>
    <w:rsid w:val="00575BDB"/>
    <w:rsid w:val="00575E45"/>
    <w:rsid w:val="00575EC7"/>
    <w:rsid w:val="00575F2C"/>
    <w:rsid w:val="00575FF7"/>
    <w:rsid w:val="005761B5"/>
    <w:rsid w:val="0057622E"/>
    <w:rsid w:val="00576294"/>
    <w:rsid w:val="0057642F"/>
    <w:rsid w:val="00576448"/>
    <w:rsid w:val="0057648B"/>
    <w:rsid w:val="005766A1"/>
    <w:rsid w:val="005766F4"/>
    <w:rsid w:val="0057670F"/>
    <w:rsid w:val="00576760"/>
    <w:rsid w:val="0057677C"/>
    <w:rsid w:val="00576874"/>
    <w:rsid w:val="00576A3D"/>
    <w:rsid w:val="00576C5B"/>
    <w:rsid w:val="00576C78"/>
    <w:rsid w:val="00576D0E"/>
    <w:rsid w:val="00576E07"/>
    <w:rsid w:val="00576E60"/>
    <w:rsid w:val="00576E64"/>
    <w:rsid w:val="00576EBA"/>
    <w:rsid w:val="00576F05"/>
    <w:rsid w:val="00576F23"/>
    <w:rsid w:val="00576F36"/>
    <w:rsid w:val="0057701C"/>
    <w:rsid w:val="00577111"/>
    <w:rsid w:val="00577114"/>
    <w:rsid w:val="0057712F"/>
    <w:rsid w:val="00577162"/>
    <w:rsid w:val="00577179"/>
    <w:rsid w:val="005771C2"/>
    <w:rsid w:val="005771D6"/>
    <w:rsid w:val="0057729A"/>
    <w:rsid w:val="005772E7"/>
    <w:rsid w:val="00577453"/>
    <w:rsid w:val="00577598"/>
    <w:rsid w:val="005775D2"/>
    <w:rsid w:val="00577679"/>
    <w:rsid w:val="00577680"/>
    <w:rsid w:val="00577714"/>
    <w:rsid w:val="0057771D"/>
    <w:rsid w:val="00577772"/>
    <w:rsid w:val="005777A8"/>
    <w:rsid w:val="0057791F"/>
    <w:rsid w:val="00577A43"/>
    <w:rsid w:val="00577ABD"/>
    <w:rsid w:val="00577B87"/>
    <w:rsid w:val="00577CAE"/>
    <w:rsid w:val="00577CEF"/>
    <w:rsid w:val="00577D06"/>
    <w:rsid w:val="00577D5C"/>
    <w:rsid w:val="00577D8A"/>
    <w:rsid w:val="00577FF7"/>
    <w:rsid w:val="00580070"/>
    <w:rsid w:val="005800B8"/>
    <w:rsid w:val="005800EA"/>
    <w:rsid w:val="00580100"/>
    <w:rsid w:val="0058019F"/>
    <w:rsid w:val="005801B3"/>
    <w:rsid w:val="00580364"/>
    <w:rsid w:val="00580518"/>
    <w:rsid w:val="00580532"/>
    <w:rsid w:val="00580542"/>
    <w:rsid w:val="00580560"/>
    <w:rsid w:val="005805F8"/>
    <w:rsid w:val="005805FE"/>
    <w:rsid w:val="0058083A"/>
    <w:rsid w:val="005808AA"/>
    <w:rsid w:val="005808BB"/>
    <w:rsid w:val="00580911"/>
    <w:rsid w:val="00580B6C"/>
    <w:rsid w:val="00580BB6"/>
    <w:rsid w:val="00580C27"/>
    <w:rsid w:val="00580CA2"/>
    <w:rsid w:val="00580D5F"/>
    <w:rsid w:val="00580F19"/>
    <w:rsid w:val="00580FDB"/>
    <w:rsid w:val="00581015"/>
    <w:rsid w:val="005814F3"/>
    <w:rsid w:val="005816C5"/>
    <w:rsid w:val="00581848"/>
    <w:rsid w:val="00581A19"/>
    <w:rsid w:val="00581A41"/>
    <w:rsid w:val="00581A5C"/>
    <w:rsid w:val="00581B33"/>
    <w:rsid w:val="00581BE0"/>
    <w:rsid w:val="00581D45"/>
    <w:rsid w:val="00581DE1"/>
    <w:rsid w:val="00581E25"/>
    <w:rsid w:val="00581F2F"/>
    <w:rsid w:val="00581F7C"/>
    <w:rsid w:val="00582089"/>
    <w:rsid w:val="005820BE"/>
    <w:rsid w:val="005820C7"/>
    <w:rsid w:val="00582182"/>
    <w:rsid w:val="00582199"/>
    <w:rsid w:val="005821B5"/>
    <w:rsid w:val="005821BD"/>
    <w:rsid w:val="0058224C"/>
    <w:rsid w:val="005822C5"/>
    <w:rsid w:val="00582362"/>
    <w:rsid w:val="0058237D"/>
    <w:rsid w:val="005823AF"/>
    <w:rsid w:val="00582406"/>
    <w:rsid w:val="00582409"/>
    <w:rsid w:val="005824B1"/>
    <w:rsid w:val="005825B9"/>
    <w:rsid w:val="00582632"/>
    <w:rsid w:val="0058265C"/>
    <w:rsid w:val="0058273B"/>
    <w:rsid w:val="00582747"/>
    <w:rsid w:val="00582799"/>
    <w:rsid w:val="00582804"/>
    <w:rsid w:val="00582850"/>
    <w:rsid w:val="00582949"/>
    <w:rsid w:val="005829CB"/>
    <w:rsid w:val="00582A68"/>
    <w:rsid w:val="00582B9F"/>
    <w:rsid w:val="00582BB7"/>
    <w:rsid w:val="00582C51"/>
    <w:rsid w:val="00582CE6"/>
    <w:rsid w:val="00582D09"/>
    <w:rsid w:val="00582D2F"/>
    <w:rsid w:val="00582D65"/>
    <w:rsid w:val="00582DA1"/>
    <w:rsid w:val="00582FFD"/>
    <w:rsid w:val="005831A2"/>
    <w:rsid w:val="0058327A"/>
    <w:rsid w:val="0058329E"/>
    <w:rsid w:val="0058330B"/>
    <w:rsid w:val="005833E1"/>
    <w:rsid w:val="005835D1"/>
    <w:rsid w:val="0058364F"/>
    <w:rsid w:val="005836AF"/>
    <w:rsid w:val="00583780"/>
    <w:rsid w:val="005837C4"/>
    <w:rsid w:val="00583807"/>
    <w:rsid w:val="0058383A"/>
    <w:rsid w:val="00583977"/>
    <w:rsid w:val="00583B65"/>
    <w:rsid w:val="00583BB8"/>
    <w:rsid w:val="00583C78"/>
    <w:rsid w:val="00583C7A"/>
    <w:rsid w:val="00583CD5"/>
    <w:rsid w:val="00583CD8"/>
    <w:rsid w:val="00583E59"/>
    <w:rsid w:val="00583EB5"/>
    <w:rsid w:val="00584194"/>
    <w:rsid w:val="005841E3"/>
    <w:rsid w:val="0058422A"/>
    <w:rsid w:val="005842DC"/>
    <w:rsid w:val="00584387"/>
    <w:rsid w:val="005843DA"/>
    <w:rsid w:val="005843DE"/>
    <w:rsid w:val="00584602"/>
    <w:rsid w:val="00584660"/>
    <w:rsid w:val="00584709"/>
    <w:rsid w:val="00584753"/>
    <w:rsid w:val="005847AA"/>
    <w:rsid w:val="00584864"/>
    <w:rsid w:val="005848A9"/>
    <w:rsid w:val="005849A0"/>
    <w:rsid w:val="00584A92"/>
    <w:rsid w:val="00584AC0"/>
    <w:rsid w:val="00584BD6"/>
    <w:rsid w:val="00584BF5"/>
    <w:rsid w:val="00584CF8"/>
    <w:rsid w:val="00584DD9"/>
    <w:rsid w:val="00584DE8"/>
    <w:rsid w:val="00584F1D"/>
    <w:rsid w:val="00584F68"/>
    <w:rsid w:val="00584F82"/>
    <w:rsid w:val="00584F9B"/>
    <w:rsid w:val="00584FBD"/>
    <w:rsid w:val="0058502C"/>
    <w:rsid w:val="00585050"/>
    <w:rsid w:val="0058505A"/>
    <w:rsid w:val="005850EA"/>
    <w:rsid w:val="005851B1"/>
    <w:rsid w:val="005851C1"/>
    <w:rsid w:val="005851F0"/>
    <w:rsid w:val="0058525E"/>
    <w:rsid w:val="0058528D"/>
    <w:rsid w:val="00585309"/>
    <w:rsid w:val="005853B7"/>
    <w:rsid w:val="0058566D"/>
    <w:rsid w:val="005856A5"/>
    <w:rsid w:val="005857B4"/>
    <w:rsid w:val="00585895"/>
    <w:rsid w:val="005858B1"/>
    <w:rsid w:val="00585901"/>
    <w:rsid w:val="005859F9"/>
    <w:rsid w:val="00585A41"/>
    <w:rsid w:val="00585B2E"/>
    <w:rsid w:val="00585CF3"/>
    <w:rsid w:val="00585D90"/>
    <w:rsid w:val="00585DBD"/>
    <w:rsid w:val="00585EB5"/>
    <w:rsid w:val="00586133"/>
    <w:rsid w:val="00586160"/>
    <w:rsid w:val="0058617F"/>
    <w:rsid w:val="005862C5"/>
    <w:rsid w:val="005863E1"/>
    <w:rsid w:val="00586426"/>
    <w:rsid w:val="00586479"/>
    <w:rsid w:val="00586505"/>
    <w:rsid w:val="005865EC"/>
    <w:rsid w:val="005867BA"/>
    <w:rsid w:val="005867EB"/>
    <w:rsid w:val="00586996"/>
    <w:rsid w:val="005869C7"/>
    <w:rsid w:val="00586B7A"/>
    <w:rsid w:val="00586BAA"/>
    <w:rsid w:val="00586E2C"/>
    <w:rsid w:val="00586E67"/>
    <w:rsid w:val="00586E91"/>
    <w:rsid w:val="00586F55"/>
    <w:rsid w:val="0058709D"/>
    <w:rsid w:val="005870BB"/>
    <w:rsid w:val="005870C2"/>
    <w:rsid w:val="005870EF"/>
    <w:rsid w:val="0058714B"/>
    <w:rsid w:val="00587150"/>
    <w:rsid w:val="005871B4"/>
    <w:rsid w:val="005872A8"/>
    <w:rsid w:val="005872DC"/>
    <w:rsid w:val="00587467"/>
    <w:rsid w:val="0058750A"/>
    <w:rsid w:val="0058751A"/>
    <w:rsid w:val="0058774F"/>
    <w:rsid w:val="00587756"/>
    <w:rsid w:val="0058777A"/>
    <w:rsid w:val="005877DD"/>
    <w:rsid w:val="0058784A"/>
    <w:rsid w:val="005878F5"/>
    <w:rsid w:val="00587918"/>
    <w:rsid w:val="00587981"/>
    <w:rsid w:val="00587B08"/>
    <w:rsid w:val="00587B2C"/>
    <w:rsid w:val="00587B9A"/>
    <w:rsid w:val="00587BFC"/>
    <w:rsid w:val="00587CAB"/>
    <w:rsid w:val="00587CF2"/>
    <w:rsid w:val="00587D39"/>
    <w:rsid w:val="00587D88"/>
    <w:rsid w:val="00587D94"/>
    <w:rsid w:val="00587ED7"/>
    <w:rsid w:val="00587EE2"/>
    <w:rsid w:val="00587F1E"/>
    <w:rsid w:val="00587F59"/>
    <w:rsid w:val="00587F73"/>
    <w:rsid w:val="00590137"/>
    <w:rsid w:val="00590143"/>
    <w:rsid w:val="0059026F"/>
    <w:rsid w:val="00590469"/>
    <w:rsid w:val="00590799"/>
    <w:rsid w:val="005908C3"/>
    <w:rsid w:val="005908E2"/>
    <w:rsid w:val="00590933"/>
    <w:rsid w:val="00590935"/>
    <w:rsid w:val="00590A0B"/>
    <w:rsid w:val="00590B10"/>
    <w:rsid w:val="00590B98"/>
    <w:rsid w:val="00590C47"/>
    <w:rsid w:val="00590CEB"/>
    <w:rsid w:val="00590EB4"/>
    <w:rsid w:val="00590EFB"/>
    <w:rsid w:val="00590F6C"/>
    <w:rsid w:val="00590FCB"/>
    <w:rsid w:val="00590FE6"/>
    <w:rsid w:val="005911BE"/>
    <w:rsid w:val="00591310"/>
    <w:rsid w:val="00591433"/>
    <w:rsid w:val="00591509"/>
    <w:rsid w:val="00591554"/>
    <w:rsid w:val="00591645"/>
    <w:rsid w:val="00591654"/>
    <w:rsid w:val="005916AC"/>
    <w:rsid w:val="00591702"/>
    <w:rsid w:val="0059175E"/>
    <w:rsid w:val="00591868"/>
    <w:rsid w:val="0059187B"/>
    <w:rsid w:val="005918D4"/>
    <w:rsid w:val="00591970"/>
    <w:rsid w:val="00591979"/>
    <w:rsid w:val="005919BD"/>
    <w:rsid w:val="00591AC0"/>
    <w:rsid w:val="00591B3C"/>
    <w:rsid w:val="00591C13"/>
    <w:rsid w:val="00591C51"/>
    <w:rsid w:val="00591C5B"/>
    <w:rsid w:val="00591D1A"/>
    <w:rsid w:val="00591D3D"/>
    <w:rsid w:val="00591EE9"/>
    <w:rsid w:val="00591FFD"/>
    <w:rsid w:val="00592004"/>
    <w:rsid w:val="005920EE"/>
    <w:rsid w:val="0059215E"/>
    <w:rsid w:val="005922E1"/>
    <w:rsid w:val="00592378"/>
    <w:rsid w:val="005923D4"/>
    <w:rsid w:val="00592410"/>
    <w:rsid w:val="00592420"/>
    <w:rsid w:val="0059251E"/>
    <w:rsid w:val="00592564"/>
    <w:rsid w:val="005925D6"/>
    <w:rsid w:val="005925F0"/>
    <w:rsid w:val="005925FA"/>
    <w:rsid w:val="00592664"/>
    <w:rsid w:val="0059281B"/>
    <w:rsid w:val="005928F4"/>
    <w:rsid w:val="0059292B"/>
    <w:rsid w:val="00592940"/>
    <w:rsid w:val="00592B87"/>
    <w:rsid w:val="00592BB5"/>
    <w:rsid w:val="00592BBF"/>
    <w:rsid w:val="00592BF2"/>
    <w:rsid w:val="00592C7D"/>
    <w:rsid w:val="00592DC3"/>
    <w:rsid w:val="00592DC6"/>
    <w:rsid w:val="00592DE7"/>
    <w:rsid w:val="00592E6C"/>
    <w:rsid w:val="00592F60"/>
    <w:rsid w:val="00592F64"/>
    <w:rsid w:val="00592F9F"/>
    <w:rsid w:val="0059302F"/>
    <w:rsid w:val="005930A1"/>
    <w:rsid w:val="005930EC"/>
    <w:rsid w:val="00593107"/>
    <w:rsid w:val="00593412"/>
    <w:rsid w:val="00593457"/>
    <w:rsid w:val="005934B8"/>
    <w:rsid w:val="005934F6"/>
    <w:rsid w:val="005934FA"/>
    <w:rsid w:val="00593527"/>
    <w:rsid w:val="00593627"/>
    <w:rsid w:val="00593952"/>
    <w:rsid w:val="00593988"/>
    <w:rsid w:val="005939E9"/>
    <w:rsid w:val="00593B58"/>
    <w:rsid w:val="00593B9A"/>
    <w:rsid w:val="00593BE0"/>
    <w:rsid w:val="00593BF7"/>
    <w:rsid w:val="00593C02"/>
    <w:rsid w:val="00593CEF"/>
    <w:rsid w:val="00593D24"/>
    <w:rsid w:val="00593F23"/>
    <w:rsid w:val="00593F74"/>
    <w:rsid w:val="005941B6"/>
    <w:rsid w:val="0059426D"/>
    <w:rsid w:val="00594274"/>
    <w:rsid w:val="00594339"/>
    <w:rsid w:val="005943DF"/>
    <w:rsid w:val="00594431"/>
    <w:rsid w:val="005945AC"/>
    <w:rsid w:val="005946E0"/>
    <w:rsid w:val="005946ED"/>
    <w:rsid w:val="005946F4"/>
    <w:rsid w:val="0059474B"/>
    <w:rsid w:val="0059476C"/>
    <w:rsid w:val="00594873"/>
    <w:rsid w:val="005948BD"/>
    <w:rsid w:val="005948E2"/>
    <w:rsid w:val="005949C0"/>
    <w:rsid w:val="005949C8"/>
    <w:rsid w:val="00594A88"/>
    <w:rsid w:val="00594B1F"/>
    <w:rsid w:val="00594BBC"/>
    <w:rsid w:val="00594BFA"/>
    <w:rsid w:val="00594C76"/>
    <w:rsid w:val="00594E4E"/>
    <w:rsid w:val="00594E8A"/>
    <w:rsid w:val="00594EC4"/>
    <w:rsid w:val="00594F32"/>
    <w:rsid w:val="00594F88"/>
    <w:rsid w:val="00595007"/>
    <w:rsid w:val="00595024"/>
    <w:rsid w:val="0059504D"/>
    <w:rsid w:val="00595085"/>
    <w:rsid w:val="005950E8"/>
    <w:rsid w:val="00595209"/>
    <w:rsid w:val="005952FA"/>
    <w:rsid w:val="0059537C"/>
    <w:rsid w:val="005953BA"/>
    <w:rsid w:val="005954F4"/>
    <w:rsid w:val="005955FD"/>
    <w:rsid w:val="0059564F"/>
    <w:rsid w:val="005956AA"/>
    <w:rsid w:val="00595788"/>
    <w:rsid w:val="005957AA"/>
    <w:rsid w:val="005957F4"/>
    <w:rsid w:val="00595915"/>
    <w:rsid w:val="00595922"/>
    <w:rsid w:val="0059595A"/>
    <w:rsid w:val="00595A55"/>
    <w:rsid w:val="00595AE9"/>
    <w:rsid w:val="00595B6C"/>
    <w:rsid w:val="00595B8B"/>
    <w:rsid w:val="00595BAF"/>
    <w:rsid w:val="00595CAE"/>
    <w:rsid w:val="00595D58"/>
    <w:rsid w:val="00595D6F"/>
    <w:rsid w:val="00595E4B"/>
    <w:rsid w:val="00595E7E"/>
    <w:rsid w:val="00596000"/>
    <w:rsid w:val="005960E8"/>
    <w:rsid w:val="00596127"/>
    <w:rsid w:val="00596255"/>
    <w:rsid w:val="00596354"/>
    <w:rsid w:val="00596600"/>
    <w:rsid w:val="00596650"/>
    <w:rsid w:val="0059667C"/>
    <w:rsid w:val="005967D7"/>
    <w:rsid w:val="0059682F"/>
    <w:rsid w:val="005968A9"/>
    <w:rsid w:val="00596979"/>
    <w:rsid w:val="005969BC"/>
    <w:rsid w:val="005969FB"/>
    <w:rsid w:val="00596A84"/>
    <w:rsid w:val="00596AE3"/>
    <w:rsid w:val="00596AE8"/>
    <w:rsid w:val="00596D19"/>
    <w:rsid w:val="00596F9A"/>
    <w:rsid w:val="00597121"/>
    <w:rsid w:val="005971CA"/>
    <w:rsid w:val="005971D3"/>
    <w:rsid w:val="00597225"/>
    <w:rsid w:val="005972E0"/>
    <w:rsid w:val="005973D7"/>
    <w:rsid w:val="0059743E"/>
    <w:rsid w:val="00597638"/>
    <w:rsid w:val="005977D0"/>
    <w:rsid w:val="0059796C"/>
    <w:rsid w:val="00597A5A"/>
    <w:rsid w:val="00597AA8"/>
    <w:rsid w:val="00597AC3"/>
    <w:rsid w:val="00597B19"/>
    <w:rsid w:val="00597B5F"/>
    <w:rsid w:val="00597B64"/>
    <w:rsid w:val="00597B94"/>
    <w:rsid w:val="00597D65"/>
    <w:rsid w:val="00597DA0"/>
    <w:rsid w:val="00597DF6"/>
    <w:rsid w:val="00597E0D"/>
    <w:rsid w:val="00597F84"/>
    <w:rsid w:val="005A001F"/>
    <w:rsid w:val="005A0035"/>
    <w:rsid w:val="005A00BA"/>
    <w:rsid w:val="005A0298"/>
    <w:rsid w:val="005A0398"/>
    <w:rsid w:val="005A0416"/>
    <w:rsid w:val="005A04B2"/>
    <w:rsid w:val="005A0534"/>
    <w:rsid w:val="005A055A"/>
    <w:rsid w:val="005A07CC"/>
    <w:rsid w:val="005A0994"/>
    <w:rsid w:val="005A0ABF"/>
    <w:rsid w:val="005A0ADB"/>
    <w:rsid w:val="005A0C15"/>
    <w:rsid w:val="005A0C22"/>
    <w:rsid w:val="005A0C99"/>
    <w:rsid w:val="005A0D50"/>
    <w:rsid w:val="005A0F44"/>
    <w:rsid w:val="005A0F8F"/>
    <w:rsid w:val="005A1004"/>
    <w:rsid w:val="005A100F"/>
    <w:rsid w:val="005A1266"/>
    <w:rsid w:val="005A12A2"/>
    <w:rsid w:val="005A134A"/>
    <w:rsid w:val="005A13AF"/>
    <w:rsid w:val="005A13C0"/>
    <w:rsid w:val="005A15F3"/>
    <w:rsid w:val="005A171C"/>
    <w:rsid w:val="005A177B"/>
    <w:rsid w:val="005A1835"/>
    <w:rsid w:val="005A1A2E"/>
    <w:rsid w:val="005A1A8C"/>
    <w:rsid w:val="005A1A93"/>
    <w:rsid w:val="005A1AC4"/>
    <w:rsid w:val="005A1AE9"/>
    <w:rsid w:val="005A1B7F"/>
    <w:rsid w:val="005A1BA4"/>
    <w:rsid w:val="005A1C13"/>
    <w:rsid w:val="005A1CE9"/>
    <w:rsid w:val="005A1E07"/>
    <w:rsid w:val="005A1E46"/>
    <w:rsid w:val="005A1EF2"/>
    <w:rsid w:val="005A1F01"/>
    <w:rsid w:val="005A1FBF"/>
    <w:rsid w:val="005A1FCD"/>
    <w:rsid w:val="005A1FDD"/>
    <w:rsid w:val="005A208E"/>
    <w:rsid w:val="005A2140"/>
    <w:rsid w:val="005A2196"/>
    <w:rsid w:val="005A21FA"/>
    <w:rsid w:val="005A234E"/>
    <w:rsid w:val="005A26B9"/>
    <w:rsid w:val="005A2708"/>
    <w:rsid w:val="005A273C"/>
    <w:rsid w:val="005A275C"/>
    <w:rsid w:val="005A2779"/>
    <w:rsid w:val="005A277D"/>
    <w:rsid w:val="005A2847"/>
    <w:rsid w:val="005A2931"/>
    <w:rsid w:val="005A2A50"/>
    <w:rsid w:val="005A2B42"/>
    <w:rsid w:val="005A2B87"/>
    <w:rsid w:val="005A2C97"/>
    <w:rsid w:val="005A2CB4"/>
    <w:rsid w:val="005A2E1E"/>
    <w:rsid w:val="005A2EA8"/>
    <w:rsid w:val="005A2F96"/>
    <w:rsid w:val="005A321E"/>
    <w:rsid w:val="005A34A4"/>
    <w:rsid w:val="005A3506"/>
    <w:rsid w:val="005A3517"/>
    <w:rsid w:val="005A35BC"/>
    <w:rsid w:val="005A362E"/>
    <w:rsid w:val="005A3659"/>
    <w:rsid w:val="005A3717"/>
    <w:rsid w:val="005A37B7"/>
    <w:rsid w:val="005A38F0"/>
    <w:rsid w:val="005A39CE"/>
    <w:rsid w:val="005A39ED"/>
    <w:rsid w:val="005A3A19"/>
    <w:rsid w:val="005A3A30"/>
    <w:rsid w:val="005A3CC9"/>
    <w:rsid w:val="005A3D0D"/>
    <w:rsid w:val="005A3D7E"/>
    <w:rsid w:val="005A3DAC"/>
    <w:rsid w:val="005A3DF3"/>
    <w:rsid w:val="005A3FEF"/>
    <w:rsid w:val="005A402A"/>
    <w:rsid w:val="005A40C1"/>
    <w:rsid w:val="005A41A9"/>
    <w:rsid w:val="005A42F0"/>
    <w:rsid w:val="005A4336"/>
    <w:rsid w:val="005A43E1"/>
    <w:rsid w:val="005A43F9"/>
    <w:rsid w:val="005A44A2"/>
    <w:rsid w:val="005A450C"/>
    <w:rsid w:val="005A4608"/>
    <w:rsid w:val="005A47A3"/>
    <w:rsid w:val="005A47AA"/>
    <w:rsid w:val="005A4933"/>
    <w:rsid w:val="005A495E"/>
    <w:rsid w:val="005A4B1A"/>
    <w:rsid w:val="005A4BF9"/>
    <w:rsid w:val="005A4C8E"/>
    <w:rsid w:val="005A4C9E"/>
    <w:rsid w:val="005A4F15"/>
    <w:rsid w:val="005A4FDE"/>
    <w:rsid w:val="005A50D2"/>
    <w:rsid w:val="005A5202"/>
    <w:rsid w:val="005A52FE"/>
    <w:rsid w:val="005A544C"/>
    <w:rsid w:val="005A54C8"/>
    <w:rsid w:val="005A556C"/>
    <w:rsid w:val="005A56BF"/>
    <w:rsid w:val="005A5735"/>
    <w:rsid w:val="005A5753"/>
    <w:rsid w:val="005A57D1"/>
    <w:rsid w:val="005A5839"/>
    <w:rsid w:val="005A586F"/>
    <w:rsid w:val="005A597D"/>
    <w:rsid w:val="005A5C8C"/>
    <w:rsid w:val="005A5DE5"/>
    <w:rsid w:val="005A5E7A"/>
    <w:rsid w:val="005A5EB4"/>
    <w:rsid w:val="005A5EE9"/>
    <w:rsid w:val="005A6076"/>
    <w:rsid w:val="005A60DC"/>
    <w:rsid w:val="005A6162"/>
    <w:rsid w:val="005A61CC"/>
    <w:rsid w:val="005A627D"/>
    <w:rsid w:val="005A62C9"/>
    <w:rsid w:val="005A6340"/>
    <w:rsid w:val="005A6404"/>
    <w:rsid w:val="005A641A"/>
    <w:rsid w:val="005A6460"/>
    <w:rsid w:val="005A64C6"/>
    <w:rsid w:val="005A65D7"/>
    <w:rsid w:val="005A660D"/>
    <w:rsid w:val="005A6621"/>
    <w:rsid w:val="005A684B"/>
    <w:rsid w:val="005A68D9"/>
    <w:rsid w:val="005A6906"/>
    <w:rsid w:val="005A6922"/>
    <w:rsid w:val="005A693E"/>
    <w:rsid w:val="005A6C10"/>
    <w:rsid w:val="005A6C74"/>
    <w:rsid w:val="005A6D21"/>
    <w:rsid w:val="005A6E14"/>
    <w:rsid w:val="005A6E24"/>
    <w:rsid w:val="005A6E7D"/>
    <w:rsid w:val="005A6E89"/>
    <w:rsid w:val="005A6EBF"/>
    <w:rsid w:val="005A6EC3"/>
    <w:rsid w:val="005A6ECC"/>
    <w:rsid w:val="005A6EE7"/>
    <w:rsid w:val="005A6F0F"/>
    <w:rsid w:val="005A6FDC"/>
    <w:rsid w:val="005A719D"/>
    <w:rsid w:val="005A7227"/>
    <w:rsid w:val="005A722E"/>
    <w:rsid w:val="005A72D0"/>
    <w:rsid w:val="005A73A6"/>
    <w:rsid w:val="005A7500"/>
    <w:rsid w:val="005A7629"/>
    <w:rsid w:val="005A76E0"/>
    <w:rsid w:val="005A78CA"/>
    <w:rsid w:val="005A7992"/>
    <w:rsid w:val="005A79E2"/>
    <w:rsid w:val="005A7A1A"/>
    <w:rsid w:val="005A7ADA"/>
    <w:rsid w:val="005A7D26"/>
    <w:rsid w:val="005A7F86"/>
    <w:rsid w:val="005A7FC4"/>
    <w:rsid w:val="005B0007"/>
    <w:rsid w:val="005B0025"/>
    <w:rsid w:val="005B00B8"/>
    <w:rsid w:val="005B0132"/>
    <w:rsid w:val="005B01E5"/>
    <w:rsid w:val="005B0241"/>
    <w:rsid w:val="005B0285"/>
    <w:rsid w:val="005B029F"/>
    <w:rsid w:val="005B02B4"/>
    <w:rsid w:val="005B0392"/>
    <w:rsid w:val="005B040B"/>
    <w:rsid w:val="005B04CC"/>
    <w:rsid w:val="005B064B"/>
    <w:rsid w:val="005B0724"/>
    <w:rsid w:val="005B0794"/>
    <w:rsid w:val="005B079B"/>
    <w:rsid w:val="005B07E5"/>
    <w:rsid w:val="005B0805"/>
    <w:rsid w:val="005B089A"/>
    <w:rsid w:val="005B08AA"/>
    <w:rsid w:val="005B08FB"/>
    <w:rsid w:val="005B098F"/>
    <w:rsid w:val="005B0A4E"/>
    <w:rsid w:val="005B0A7B"/>
    <w:rsid w:val="005B0E5A"/>
    <w:rsid w:val="005B0EEB"/>
    <w:rsid w:val="005B0FB0"/>
    <w:rsid w:val="005B121A"/>
    <w:rsid w:val="005B1228"/>
    <w:rsid w:val="005B127B"/>
    <w:rsid w:val="005B12D2"/>
    <w:rsid w:val="005B12E1"/>
    <w:rsid w:val="005B1315"/>
    <w:rsid w:val="005B1321"/>
    <w:rsid w:val="005B1332"/>
    <w:rsid w:val="005B1401"/>
    <w:rsid w:val="005B142E"/>
    <w:rsid w:val="005B1459"/>
    <w:rsid w:val="005B1489"/>
    <w:rsid w:val="005B14EB"/>
    <w:rsid w:val="005B153C"/>
    <w:rsid w:val="005B15A4"/>
    <w:rsid w:val="005B15BA"/>
    <w:rsid w:val="005B1700"/>
    <w:rsid w:val="005B190D"/>
    <w:rsid w:val="005B19B0"/>
    <w:rsid w:val="005B19F4"/>
    <w:rsid w:val="005B1A7A"/>
    <w:rsid w:val="005B1B48"/>
    <w:rsid w:val="005B1B82"/>
    <w:rsid w:val="005B1C36"/>
    <w:rsid w:val="005B1C4E"/>
    <w:rsid w:val="005B1D10"/>
    <w:rsid w:val="005B1E75"/>
    <w:rsid w:val="005B1F15"/>
    <w:rsid w:val="005B2071"/>
    <w:rsid w:val="005B2299"/>
    <w:rsid w:val="005B22A2"/>
    <w:rsid w:val="005B23AB"/>
    <w:rsid w:val="005B2407"/>
    <w:rsid w:val="005B2435"/>
    <w:rsid w:val="005B273A"/>
    <w:rsid w:val="005B276F"/>
    <w:rsid w:val="005B2A20"/>
    <w:rsid w:val="005B2A98"/>
    <w:rsid w:val="005B2BA0"/>
    <w:rsid w:val="005B2BAF"/>
    <w:rsid w:val="005B2BC9"/>
    <w:rsid w:val="005B2BF2"/>
    <w:rsid w:val="005B2CBA"/>
    <w:rsid w:val="005B2D00"/>
    <w:rsid w:val="005B2F0E"/>
    <w:rsid w:val="005B3039"/>
    <w:rsid w:val="005B30EC"/>
    <w:rsid w:val="005B31EE"/>
    <w:rsid w:val="005B320C"/>
    <w:rsid w:val="005B32D8"/>
    <w:rsid w:val="005B3310"/>
    <w:rsid w:val="005B334C"/>
    <w:rsid w:val="005B335C"/>
    <w:rsid w:val="005B33AE"/>
    <w:rsid w:val="005B33C1"/>
    <w:rsid w:val="005B3515"/>
    <w:rsid w:val="005B3525"/>
    <w:rsid w:val="005B3536"/>
    <w:rsid w:val="005B36D8"/>
    <w:rsid w:val="005B3798"/>
    <w:rsid w:val="005B37C0"/>
    <w:rsid w:val="005B383E"/>
    <w:rsid w:val="005B384D"/>
    <w:rsid w:val="005B38C5"/>
    <w:rsid w:val="005B3ACE"/>
    <w:rsid w:val="005B3B58"/>
    <w:rsid w:val="005B3B81"/>
    <w:rsid w:val="005B3BCF"/>
    <w:rsid w:val="005B3CBD"/>
    <w:rsid w:val="005B3D31"/>
    <w:rsid w:val="005B3D90"/>
    <w:rsid w:val="005B3DAF"/>
    <w:rsid w:val="005B3DDD"/>
    <w:rsid w:val="005B3ECF"/>
    <w:rsid w:val="005B400B"/>
    <w:rsid w:val="005B40A3"/>
    <w:rsid w:val="005B4151"/>
    <w:rsid w:val="005B4185"/>
    <w:rsid w:val="005B4223"/>
    <w:rsid w:val="005B4279"/>
    <w:rsid w:val="005B43BA"/>
    <w:rsid w:val="005B43BB"/>
    <w:rsid w:val="005B43CF"/>
    <w:rsid w:val="005B440E"/>
    <w:rsid w:val="005B4489"/>
    <w:rsid w:val="005B454F"/>
    <w:rsid w:val="005B45F2"/>
    <w:rsid w:val="005B4747"/>
    <w:rsid w:val="005B47BC"/>
    <w:rsid w:val="005B4B41"/>
    <w:rsid w:val="005B4B7B"/>
    <w:rsid w:val="005B4BF4"/>
    <w:rsid w:val="005B4E0F"/>
    <w:rsid w:val="005B4E15"/>
    <w:rsid w:val="005B50F1"/>
    <w:rsid w:val="005B5138"/>
    <w:rsid w:val="005B525B"/>
    <w:rsid w:val="005B527C"/>
    <w:rsid w:val="005B52EA"/>
    <w:rsid w:val="005B5477"/>
    <w:rsid w:val="005B555C"/>
    <w:rsid w:val="005B57B9"/>
    <w:rsid w:val="005B588F"/>
    <w:rsid w:val="005B58BC"/>
    <w:rsid w:val="005B5A02"/>
    <w:rsid w:val="005B5B77"/>
    <w:rsid w:val="005B5C04"/>
    <w:rsid w:val="005B5CB1"/>
    <w:rsid w:val="005B5CEE"/>
    <w:rsid w:val="005B5F91"/>
    <w:rsid w:val="005B6019"/>
    <w:rsid w:val="005B60CE"/>
    <w:rsid w:val="005B6285"/>
    <w:rsid w:val="005B628E"/>
    <w:rsid w:val="005B62E6"/>
    <w:rsid w:val="005B64FE"/>
    <w:rsid w:val="005B652B"/>
    <w:rsid w:val="005B65CA"/>
    <w:rsid w:val="005B6613"/>
    <w:rsid w:val="005B6638"/>
    <w:rsid w:val="005B66C6"/>
    <w:rsid w:val="005B6841"/>
    <w:rsid w:val="005B68BB"/>
    <w:rsid w:val="005B68DA"/>
    <w:rsid w:val="005B692A"/>
    <w:rsid w:val="005B6AF9"/>
    <w:rsid w:val="005B6B4D"/>
    <w:rsid w:val="005B6B53"/>
    <w:rsid w:val="005B6BD0"/>
    <w:rsid w:val="005B6CE9"/>
    <w:rsid w:val="005B6CF0"/>
    <w:rsid w:val="005B6FB5"/>
    <w:rsid w:val="005B6FDA"/>
    <w:rsid w:val="005B7043"/>
    <w:rsid w:val="005B7175"/>
    <w:rsid w:val="005B71D2"/>
    <w:rsid w:val="005B720A"/>
    <w:rsid w:val="005B723C"/>
    <w:rsid w:val="005B735F"/>
    <w:rsid w:val="005B740B"/>
    <w:rsid w:val="005B74B2"/>
    <w:rsid w:val="005B754A"/>
    <w:rsid w:val="005B75E4"/>
    <w:rsid w:val="005B7638"/>
    <w:rsid w:val="005B7716"/>
    <w:rsid w:val="005B776C"/>
    <w:rsid w:val="005B7840"/>
    <w:rsid w:val="005B78A3"/>
    <w:rsid w:val="005B7D63"/>
    <w:rsid w:val="005B7DB0"/>
    <w:rsid w:val="005B7DF3"/>
    <w:rsid w:val="005B7E96"/>
    <w:rsid w:val="005B7FD5"/>
    <w:rsid w:val="005C0080"/>
    <w:rsid w:val="005C025B"/>
    <w:rsid w:val="005C0315"/>
    <w:rsid w:val="005C03B8"/>
    <w:rsid w:val="005C0409"/>
    <w:rsid w:val="005C0536"/>
    <w:rsid w:val="005C0541"/>
    <w:rsid w:val="005C05AB"/>
    <w:rsid w:val="005C0622"/>
    <w:rsid w:val="005C076C"/>
    <w:rsid w:val="005C07FD"/>
    <w:rsid w:val="005C090A"/>
    <w:rsid w:val="005C0938"/>
    <w:rsid w:val="005C0A40"/>
    <w:rsid w:val="005C0B33"/>
    <w:rsid w:val="005C0D33"/>
    <w:rsid w:val="005C0DA2"/>
    <w:rsid w:val="005C0F08"/>
    <w:rsid w:val="005C0F80"/>
    <w:rsid w:val="005C0F8A"/>
    <w:rsid w:val="005C0FEB"/>
    <w:rsid w:val="005C10F7"/>
    <w:rsid w:val="005C1101"/>
    <w:rsid w:val="005C117C"/>
    <w:rsid w:val="005C11BD"/>
    <w:rsid w:val="005C11C4"/>
    <w:rsid w:val="005C1425"/>
    <w:rsid w:val="005C143D"/>
    <w:rsid w:val="005C154A"/>
    <w:rsid w:val="005C1636"/>
    <w:rsid w:val="005C16A2"/>
    <w:rsid w:val="005C171C"/>
    <w:rsid w:val="005C1839"/>
    <w:rsid w:val="005C194D"/>
    <w:rsid w:val="005C1992"/>
    <w:rsid w:val="005C19FC"/>
    <w:rsid w:val="005C1A28"/>
    <w:rsid w:val="005C1BF8"/>
    <w:rsid w:val="005C1C89"/>
    <w:rsid w:val="005C1D67"/>
    <w:rsid w:val="005C1D81"/>
    <w:rsid w:val="005C1E20"/>
    <w:rsid w:val="005C1E9C"/>
    <w:rsid w:val="005C1EA2"/>
    <w:rsid w:val="005C2019"/>
    <w:rsid w:val="005C209A"/>
    <w:rsid w:val="005C210C"/>
    <w:rsid w:val="005C2230"/>
    <w:rsid w:val="005C2279"/>
    <w:rsid w:val="005C22A6"/>
    <w:rsid w:val="005C22FA"/>
    <w:rsid w:val="005C2304"/>
    <w:rsid w:val="005C2327"/>
    <w:rsid w:val="005C2378"/>
    <w:rsid w:val="005C23A2"/>
    <w:rsid w:val="005C2412"/>
    <w:rsid w:val="005C249B"/>
    <w:rsid w:val="005C2515"/>
    <w:rsid w:val="005C258F"/>
    <w:rsid w:val="005C25C1"/>
    <w:rsid w:val="005C25ED"/>
    <w:rsid w:val="005C262D"/>
    <w:rsid w:val="005C273F"/>
    <w:rsid w:val="005C27BE"/>
    <w:rsid w:val="005C283C"/>
    <w:rsid w:val="005C28DF"/>
    <w:rsid w:val="005C29B2"/>
    <w:rsid w:val="005C2ACE"/>
    <w:rsid w:val="005C2B80"/>
    <w:rsid w:val="005C2C43"/>
    <w:rsid w:val="005C2C50"/>
    <w:rsid w:val="005C2CA5"/>
    <w:rsid w:val="005C2CBB"/>
    <w:rsid w:val="005C2D34"/>
    <w:rsid w:val="005C2D7F"/>
    <w:rsid w:val="005C2DB5"/>
    <w:rsid w:val="005C2DB9"/>
    <w:rsid w:val="005C2F66"/>
    <w:rsid w:val="005C2FFE"/>
    <w:rsid w:val="005C30D2"/>
    <w:rsid w:val="005C312F"/>
    <w:rsid w:val="005C3155"/>
    <w:rsid w:val="005C3195"/>
    <w:rsid w:val="005C3204"/>
    <w:rsid w:val="005C32A3"/>
    <w:rsid w:val="005C33D9"/>
    <w:rsid w:val="005C3468"/>
    <w:rsid w:val="005C3646"/>
    <w:rsid w:val="005C370D"/>
    <w:rsid w:val="005C3811"/>
    <w:rsid w:val="005C38F4"/>
    <w:rsid w:val="005C3AB5"/>
    <w:rsid w:val="005C3D2D"/>
    <w:rsid w:val="005C3E71"/>
    <w:rsid w:val="005C3E82"/>
    <w:rsid w:val="005C3EBD"/>
    <w:rsid w:val="005C3F16"/>
    <w:rsid w:val="005C42B5"/>
    <w:rsid w:val="005C4370"/>
    <w:rsid w:val="005C437C"/>
    <w:rsid w:val="005C439C"/>
    <w:rsid w:val="005C43A0"/>
    <w:rsid w:val="005C4489"/>
    <w:rsid w:val="005C44B7"/>
    <w:rsid w:val="005C44D4"/>
    <w:rsid w:val="005C44DF"/>
    <w:rsid w:val="005C4553"/>
    <w:rsid w:val="005C45B6"/>
    <w:rsid w:val="005C4605"/>
    <w:rsid w:val="005C4744"/>
    <w:rsid w:val="005C476C"/>
    <w:rsid w:val="005C477B"/>
    <w:rsid w:val="005C48F3"/>
    <w:rsid w:val="005C49A5"/>
    <w:rsid w:val="005C4B54"/>
    <w:rsid w:val="005C4CE0"/>
    <w:rsid w:val="005C4DC9"/>
    <w:rsid w:val="005C4EF4"/>
    <w:rsid w:val="005C4F56"/>
    <w:rsid w:val="005C505D"/>
    <w:rsid w:val="005C5084"/>
    <w:rsid w:val="005C53A1"/>
    <w:rsid w:val="005C54D0"/>
    <w:rsid w:val="005C56E9"/>
    <w:rsid w:val="005C5709"/>
    <w:rsid w:val="005C5720"/>
    <w:rsid w:val="005C575D"/>
    <w:rsid w:val="005C5766"/>
    <w:rsid w:val="005C5836"/>
    <w:rsid w:val="005C5840"/>
    <w:rsid w:val="005C5920"/>
    <w:rsid w:val="005C5A8A"/>
    <w:rsid w:val="005C5B4A"/>
    <w:rsid w:val="005C5BE4"/>
    <w:rsid w:val="005C5E14"/>
    <w:rsid w:val="005C5E1D"/>
    <w:rsid w:val="005C5FC7"/>
    <w:rsid w:val="005C6114"/>
    <w:rsid w:val="005C61DE"/>
    <w:rsid w:val="005C6255"/>
    <w:rsid w:val="005C630F"/>
    <w:rsid w:val="005C63A1"/>
    <w:rsid w:val="005C63DE"/>
    <w:rsid w:val="005C6679"/>
    <w:rsid w:val="005C6752"/>
    <w:rsid w:val="005C681A"/>
    <w:rsid w:val="005C6907"/>
    <w:rsid w:val="005C6971"/>
    <w:rsid w:val="005C6A47"/>
    <w:rsid w:val="005C6B14"/>
    <w:rsid w:val="005C6B61"/>
    <w:rsid w:val="005C6B8E"/>
    <w:rsid w:val="005C6C7F"/>
    <w:rsid w:val="005C6DB9"/>
    <w:rsid w:val="005C6ECA"/>
    <w:rsid w:val="005C6ECC"/>
    <w:rsid w:val="005C6F07"/>
    <w:rsid w:val="005C6F31"/>
    <w:rsid w:val="005C70E4"/>
    <w:rsid w:val="005C7162"/>
    <w:rsid w:val="005C71B8"/>
    <w:rsid w:val="005C7228"/>
    <w:rsid w:val="005C73A7"/>
    <w:rsid w:val="005C73BE"/>
    <w:rsid w:val="005C73D7"/>
    <w:rsid w:val="005C7464"/>
    <w:rsid w:val="005C755D"/>
    <w:rsid w:val="005C7634"/>
    <w:rsid w:val="005C767C"/>
    <w:rsid w:val="005C779D"/>
    <w:rsid w:val="005C77E6"/>
    <w:rsid w:val="005C7AD1"/>
    <w:rsid w:val="005C7B6E"/>
    <w:rsid w:val="005C7B97"/>
    <w:rsid w:val="005C7C13"/>
    <w:rsid w:val="005C7C3C"/>
    <w:rsid w:val="005C7C90"/>
    <w:rsid w:val="005C7CF9"/>
    <w:rsid w:val="005C7D00"/>
    <w:rsid w:val="005C7D36"/>
    <w:rsid w:val="005C7D77"/>
    <w:rsid w:val="005C7D7C"/>
    <w:rsid w:val="005C7E1C"/>
    <w:rsid w:val="005D0003"/>
    <w:rsid w:val="005D013A"/>
    <w:rsid w:val="005D025C"/>
    <w:rsid w:val="005D02B4"/>
    <w:rsid w:val="005D032D"/>
    <w:rsid w:val="005D046F"/>
    <w:rsid w:val="005D0492"/>
    <w:rsid w:val="005D05AA"/>
    <w:rsid w:val="005D0682"/>
    <w:rsid w:val="005D06A1"/>
    <w:rsid w:val="005D0803"/>
    <w:rsid w:val="005D0809"/>
    <w:rsid w:val="005D0811"/>
    <w:rsid w:val="005D0850"/>
    <w:rsid w:val="005D0851"/>
    <w:rsid w:val="005D0876"/>
    <w:rsid w:val="005D08C9"/>
    <w:rsid w:val="005D08F5"/>
    <w:rsid w:val="005D0942"/>
    <w:rsid w:val="005D09DF"/>
    <w:rsid w:val="005D0B47"/>
    <w:rsid w:val="005D0CA8"/>
    <w:rsid w:val="005D0CFF"/>
    <w:rsid w:val="005D0D87"/>
    <w:rsid w:val="005D0D8D"/>
    <w:rsid w:val="005D0DF6"/>
    <w:rsid w:val="005D0F4B"/>
    <w:rsid w:val="005D0F4E"/>
    <w:rsid w:val="005D0FBC"/>
    <w:rsid w:val="005D126B"/>
    <w:rsid w:val="005D13B5"/>
    <w:rsid w:val="005D146C"/>
    <w:rsid w:val="005D147B"/>
    <w:rsid w:val="005D14F2"/>
    <w:rsid w:val="005D15F4"/>
    <w:rsid w:val="005D1615"/>
    <w:rsid w:val="005D1654"/>
    <w:rsid w:val="005D1660"/>
    <w:rsid w:val="005D1665"/>
    <w:rsid w:val="005D178E"/>
    <w:rsid w:val="005D1851"/>
    <w:rsid w:val="005D1936"/>
    <w:rsid w:val="005D1ABF"/>
    <w:rsid w:val="005D1AFA"/>
    <w:rsid w:val="005D1C35"/>
    <w:rsid w:val="005D1CAB"/>
    <w:rsid w:val="005D1CDD"/>
    <w:rsid w:val="005D1CF6"/>
    <w:rsid w:val="005D1DED"/>
    <w:rsid w:val="005D1F2F"/>
    <w:rsid w:val="005D214F"/>
    <w:rsid w:val="005D24CC"/>
    <w:rsid w:val="005D251D"/>
    <w:rsid w:val="005D2681"/>
    <w:rsid w:val="005D2885"/>
    <w:rsid w:val="005D28AB"/>
    <w:rsid w:val="005D2925"/>
    <w:rsid w:val="005D2B20"/>
    <w:rsid w:val="005D2BBA"/>
    <w:rsid w:val="005D2C46"/>
    <w:rsid w:val="005D2D5D"/>
    <w:rsid w:val="005D2ED1"/>
    <w:rsid w:val="005D2F60"/>
    <w:rsid w:val="005D2FD8"/>
    <w:rsid w:val="005D3186"/>
    <w:rsid w:val="005D32A5"/>
    <w:rsid w:val="005D3333"/>
    <w:rsid w:val="005D335B"/>
    <w:rsid w:val="005D34A3"/>
    <w:rsid w:val="005D350D"/>
    <w:rsid w:val="005D3513"/>
    <w:rsid w:val="005D3546"/>
    <w:rsid w:val="005D3565"/>
    <w:rsid w:val="005D3570"/>
    <w:rsid w:val="005D35C0"/>
    <w:rsid w:val="005D35D4"/>
    <w:rsid w:val="005D3619"/>
    <w:rsid w:val="005D361B"/>
    <w:rsid w:val="005D3681"/>
    <w:rsid w:val="005D3724"/>
    <w:rsid w:val="005D387A"/>
    <w:rsid w:val="005D399E"/>
    <w:rsid w:val="005D3A6A"/>
    <w:rsid w:val="005D3BA1"/>
    <w:rsid w:val="005D3C0C"/>
    <w:rsid w:val="005D3C2A"/>
    <w:rsid w:val="005D3CA2"/>
    <w:rsid w:val="005D3CB4"/>
    <w:rsid w:val="005D3D3A"/>
    <w:rsid w:val="005D3DEC"/>
    <w:rsid w:val="005D3E62"/>
    <w:rsid w:val="005D3ED6"/>
    <w:rsid w:val="005D3EE7"/>
    <w:rsid w:val="005D3F16"/>
    <w:rsid w:val="005D3F6B"/>
    <w:rsid w:val="005D416E"/>
    <w:rsid w:val="005D4213"/>
    <w:rsid w:val="005D4229"/>
    <w:rsid w:val="005D4312"/>
    <w:rsid w:val="005D437E"/>
    <w:rsid w:val="005D4468"/>
    <w:rsid w:val="005D4489"/>
    <w:rsid w:val="005D453E"/>
    <w:rsid w:val="005D4560"/>
    <w:rsid w:val="005D458A"/>
    <w:rsid w:val="005D4674"/>
    <w:rsid w:val="005D4708"/>
    <w:rsid w:val="005D4816"/>
    <w:rsid w:val="005D48A4"/>
    <w:rsid w:val="005D4948"/>
    <w:rsid w:val="005D4957"/>
    <w:rsid w:val="005D49B2"/>
    <w:rsid w:val="005D4BC5"/>
    <w:rsid w:val="005D4C15"/>
    <w:rsid w:val="005D4C7F"/>
    <w:rsid w:val="005D4CFC"/>
    <w:rsid w:val="005D4D12"/>
    <w:rsid w:val="005D4D6B"/>
    <w:rsid w:val="005D4DAC"/>
    <w:rsid w:val="005D4EC7"/>
    <w:rsid w:val="005D4EFD"/>
    <w:rsid w:val="005D4F83"/>
    <w:rsid w:val="005D4F9C"/>
    <w:rsid w:val="005D5027"/>
    <w:rsid w:val="005D5321"/>
    <w:rsid w:val="005D5362"/>
    <w:rsid w:val="005D53F7"/>
    <w:rsid w:val="005D541C"/>
    <w:rsid w:val="005D54DE"/>
    <w:rsid w:val="005D550E"/>
    <w:rsid w:val="005D5510"/>
    <w:rsid w:val="005D5512"/>
    <w:rsid w:val="005D551D"/>
    <w:rsid w:val="005D5573"/>
    <w:rsid w:val="005D557C"/>
    <w:rsid w:val="005D55D9"/>
    <w:rsid w:val="005D56AD"/>
    <w:rsid w:val="005D5821"/>
    <w:rsid w:val="005D589F"/>
    <w:rsid w:val="005D5988"/>
    <w:rsid w:val="005D5A54"/>
    <w:rsid w:val="005D5B52"/>
    <w:rsid w:val="005D5BA7"/>
    <w:rsid w:val="005D6058"/>
    <w:rsid w:val="005D6207"/>
    <w:rsid w:val="005D6242"/>
    <w:rsid w:val="005D6263"/>
    <w:rsid w:val="005D6365"/>
    <w:rsid w:val="005D6478"/>
    <w:rsid w:val="005D64DA"/>
    <w:rsid w:val="005D64F3"/>
    <w:rsid w:val="005D6601"/>
    <w:rsid w:val="005D6648"/>
    <w:rsid w:val="005D664C"/>
    <w:rsid w:val="005D6666"/>
    <w:rsid w:val="005D666E"/>
    <w:rsid w:val="005D674D"/>
    <w:rsid w:val="005D6753"/>
    <w:rsid w:val="005D678E"/>
    <w:rsid w:val="005D6823"/>
    <w:rsid w:val="005D68A8"/>
    <w:rsid w:val="005D6A4A"/>
    <w:rsid w:val="005D6A80"/>
    <w:rsid w:val="005D6ACC"/>
    <w:rsid w:val="005D6BC0"/>
    <w:rsid w:val="005D6BC4"/>
    <w:rsid w:val="005D6C10"/>
    <w:rsid w:val="005D6D90"/>
    <w:rsid w:val="005D6DB8"/>
    <w:rsid w:val="005D6E78"/>
    <w:rsid w:val="005D6F60"/>
    <w:rsid w:val="005D710C"/>
    <w:rsid w:val="005D7121"/>
    <w:rsid w:val="005D7143"/>
    <w:rsid w:val="005D7184"/>
    <w:rsid w:val="005D71B4"/>
    <w:rsid w:val="005D7226"/>
    <w:rsid w:val="005D73DA"/>
    <w:rsid w:val="005D747D"/>
    <w:rsid w:val="005D74F6"/>
    <w:rsid w:val="005D74FE"/>
    <w:rsid w:val="005D769E"/>
    <w:rsid w:val="005D76A9"/>
    <w:rsid w:val="005D7729"/>
    <w:rsid w:val="005D7740"/>
    <w:rsid w:val="005D77DA"/>
    <w:rsid w:val="005D785D"/>
    <w:rsid w:val="005D7876"/>
    <w:rsid w:val="005D787E"/>
    <w:rsid w:val="005D7899"/>
    <w:rsid w:val="005D79AA"/>
    <w:rsid w:val="005D7BDF"/>
    <w:rsid w:val="005D7C9A"/>
    <w:rsid w:val="005D7D1F"/>
    <w:rsid w:val="005D7E0B"/>
    <w:rsid w:val="005D7E36"/>
    <w:rsid w:val="005D7ECC"/>
    <w:rsid w:val="005D7F21"/>
    <w:rsid w:val="005E00B4"/>
    <w:rsid w:val="005E00B9"/>
    <w:rsid w:val="005E0150"/>
    <w:rsid w:val="005E01AA"/>
    <w:rsid w:val="005E025A"/>
    <w:rsid w:val="005E026C"/>
    <w:rsid w:val="005E02F9"/>
    <w:rsid w:val="005E03E4"/>
    <w:rsid w:val="005E04C5"/>
    <w:rsid w:val="005E05F8"/>
    <w:rsid w:val="005E05FA"/>
    <w:rsid w:val="005E06E4"/>
    <w:rsid w:val="005E0762"/>
    <w:rsid w:val="005E09D0"/>
    <w:rsid w:val="005E09E7"/>
    <w:rsid w:val="005E09E9"/>
    <w:rsid w:val="005E09F8"/>
    <w:rsid w:val="005E0BF9"/>
    <w:rsid w:val="005E0BFB"/>
    <w:rsid w:val="005E0C80"/>
    <w:rsid w:val="005E0D6C"/>
    <w:rsid w:val="005E0D87"/>
    <w:rsid w:val="005E0DFF"/>
    <w:rsid w:val="005E0F2E"/>
    <w:rsid w:val="005E0FBD"/>
    <w:rsid w:val="005E0FC1"/>
    <w:rsid w:val="005E1077"/>
    <w:rsid w:val="005E10F5"/>
    <w:rsid w:val="005E1108"/>
    <w:rsid w:val="005E110B"/>
    <w:rsid w:val="005E1259"/>
    <w:rsid w:val="005E1267"/>
    <w:rsid w:val="005E128C"/>
    <w:rsid w:val="005E164A"/>
    <w:rsid w:val="005E168E"/>
    <w:rsid w:val="005E16DA"/>
    <w:rsid w:val="005E173C"/>
    <w:rsid w:val="005E17C3"/>
    <w:rsid w:val="005E18BC"/>
    <w:rsid w:val="005E18C0"/>
    <w:rsid w:val="005E18DF"/>
    <w:rsid w:val="005E192E"/>
    <w:rsid w:val="005E193D"/>
    <w:rsid w:val="005E1A0A"/>
    <w:rsid w:val="005E1A2C"/>
    <w:rsid w:val="005E1A55"/>
    <w:rsid w:val="005E1A7D"/>
    <w:rsid w:val="005E1AA5"/>
    <w:rsid w:val="005E1B33"/>
    <w:rsid w:val="005E1B6D"/>
    <w:rsid w:val="005E1BCC"/>
    <w:rsid w:val="005E1C36"/>
    <w:rsid w:val="005E1D17"/>
    <w:rsid w:val="005E1DE3"/>
    <w:rsid w:val="005E1DFD"/>
    <w:rsid w:val="005E1EB5"/>
    <w:rsid w:val="005E1F09"/>
    <w:rsid w:val="005E20E1"/>
    <w:rsid w:val="005E20ED"/>
    <w:rsid w:val="005E216A"/>
    <w:rsid w:val="005E21C1"/>
    <w:rsid w:val="005E25A6"/>
    <w:rsid w:val="005E25B7"/>
    <w:rsid w:val="005E2719"/>
    <w:rsid w:val="005E289A"/>
    <w:rsid w:val="005E28E7"/>
    <w:rsid w:val="005E298C"/>
    <w:rsid w:val="005E298D"/>
    <w:rsid w:val="005E2B44"/>
    <w:rsid w:val="005E2BD7"/>
    <w:rsid w:val="005E2C0E"/>
    <w:rsid w:val="005E2C9C"/>
    <w:rsid w:val="005E2CE7"/>
    <w:rsid w:val="005E2D18"/>
    <w:rsid w:val="005E2DFF"/>
    <w:rsid w:val="005E2FA7"/>
    <w:rsid w:val="005E3057"/>
    <w:rsid w:val="005E3068"/>
    <w:rsid w:val="005E30D9"/>
    <w:rsid w:val="005E3160"/>
    <w:rsid w:val="005E317F"/>
    <w:rsid w:val="005E3201"/>
    <w:rsid w:val="005E3213"/>
    <w:rsid w:val="005E3275"/>
    <w:rsid w:val="005E32CE"/>
    <w:rsid w:val="005E343C"/>
    <w:rsid w:val="005E3449"/>
    <w:rsid w:val="005E3458"/>
    <w:rsid w:val="005E3475"/>
    <w:rsid w:val="005E3501"/>
    <w:rsid w:val="005E3641"/>
    <w:rsid w:val="005E36B7"/>
    <w:rsid w:val="005E39BB"/>
    <w:rsid w:val="005E39DF"/>
    <w:rsid w:val="005E3A0C"/>
    <w:rsid w:val="005E3AC5"/>
    <w:rsid w:val="005E3BEF"/>
    <w:rsid w:val="005E3CB1"/>
    <w:rsid w:val="005E3D43"/>
    <w:rsid w:val="005E3EF2"/>
    <w:rsid w:val="005E3F77"/>
    <w:rsid w:val="005E3F82"/>
    <w:rsid w:val="005E40B7"/>
    <w:rsid w:val="005E4156"/>
    <w:rsid w:val="005E417B"/>
    <w:rsid w:val="005E423B"/>
    <w:rsid w:val="005E42DE"/>
    <w:rsid w:val="005E43B5"/>
    <w:rsid w:val="005E43CB"/>
    <w:rsid w:val="005E44C0"/>
    <w:rsid w:val="005E4515"/>
    <w:rsid w:val="005E4569"/>
    <w:rsid w:val="005E462D"/>
    <w:rsid w:val="005E46DE"/>
    <w:rsid w:val="005E4701"/>
    <w:rsid w:val="005E478C"/>
    <w:rsid w:val="005E47D6"/>
    <w:rsid w:val="005E482D"/>
    <w:rsid w:val="005E4948"/>
    <w:rsid w:val="005E4A91"/>
    <w:rsid w:val="005E4BB3"/>
    <w:rsid w:val="005E4C3A"/>
    <w:rsid w:val="005E4C73"/>
    <w:rsid w:val="005E4D73"/>
    <w:rsid w:val="005E4D89"/>
    <w:rsid w:val="005E4F08"/>
    <w:rsid w:val="005E4F99"/>
    <w:rsid w:val="005E4FE0"/>
    <w:rsid w:val="005E5001"/>
    <w:rsid w:val="005E5087"/>
    <w:rsid w:val="005E52AB"/>
    <w:rsid w:val="005E52C2"/>
    <w:rsid w:val="005E5304"/>
    <w:rsid w:val="005E530A"/>
    <w:rsid w:val="005E5398"/>
    <w:rsid w:val="005E5445"/>
    <w:rsid w:val="005E5494"/>
    <w:rsid w:val="005E5538"/>
    <w:rsid w:val="005E56BD"/>
    <w:rsid w:val="005E5733"/>
    <w:rsid w:val="005E57DF"/>
    <w:rsid w:val="005E57F3"/>
    <w:rsid w:val="005E590A"/>
    <w:rsid w:val="005E5938"/>
    <w:rsid w:val="005E5996"/>
    <w:rsid w:val="005E5AC8"/>
    <w:rsid w:val="005E5ACE"/>
    <w:rsid w:val="005E5BAF"/>
    <w:rsid w:val="005E5BDF"/>
    <w:rsid w:val="005E5C17"/>
    <w:rsid w:val="005E5C76"/>
    <w:rsid w:val="005E5C7A"/>
    <w:rsid w:val="005E5D4B"/>
    <w:rsid w:val="005E5DC9"/>
    <w:rsid w:val="005E5EB3"/>
    <w:rsid w:val="005E5F32"/>
    <w:rsid w:val="005E5F37"/>
    <w:rsid w:val="005E5FAA"/>
    <w:rsid w:val="005E5FD3"/>
    <w:rsid w:val="005E6066"/>
    <w:rsid w:val="005E6079"/>
    <w:rsid w:val="005E6178"/>
    <w:rsid w:val="005E61D7"/>
    <w:rsid w:val="005E6302"/>
    <w:rsid w:val="005E637B"/>
    <w:rsid w:val="005E6453"/>
    <w:rsid w:val="005E64FB"/>
    <w:rsid w:val="005E668E"/>
    <w:rsid w:val="005E66AA"/>
    <w:rsid w:val="005E66AD"/>
    <w:rsid w:val="005E676B"/>
    <w:rsid w:val="005E6797"/>
    <w:rsid w:val="005E68DB"/>
    <w:rsid w:val="005E6972"/>
    <w:rsid w:val="005E698A"/>
    <w:rsid w:val="005E6A76"/>
    <w:rsid w:val="005E6B2B"/>
    <w:rsid w:val="005E6C5E"/>
    <w:rsid w:val="005E6D31"/>
    <w:rsid w:val="005E6D54"/>
    <w:rsid w:val="005E6DD3"/>
    <w:rsid w:val="005E6E06"/>
    <w:rsid w:val="005E6E51"/>
    <w:rsid w:val="005E6E7B"/>
    <w:rsid w:val="005E6EB0"/>
    <w:rsid w:val="005E70AD"/>
    <w:rsid w:val="005E7123"/>
    <w:rsid w:val="005E7140"/>
    <w:rsid w:val="005E7426"/>
    <w:rsid w:val="005E7454"/>
    <w:rsid w:val="005E7584"/>
    <w:rsid w:val="005E75EA"/>
    <w:rsid w:val="005E7617"/>
    <w:rsid w:val="005E77CC"/>
    <w:rsid w:val="005E783C"/>
    <w:rsid w:val="005E78B3"/>
    <w:rsid w:val="005E799D"/>
    <w:rsid w:val="005E7B7F"/>
    <w:rsid w:val="005E7CF5"/>
    <w:rsid w:val="005E7D38"/>
    <w:rsid w:val="005E7E02"/>
    <w:rsid w:val="005E7E2F"/>
    <w:rsid w:val="005E7EA1"/>
    <w:rsid w:val="005F0078"/>
    <w:rsid w:val="005F0096"/>
    <w:rsid w:val="005F0161"/>
    <w:rsid w:val="005F024B"/>
    <w:rsid w:val="005F043A"/>
    <w:rsid w:val="005F055F"/>
    <w:rsid w:val="005F0562"/>
    <w:rsid w:val="005F0570"/>
    <w:rsid w:val="005F05BF"/>
    <w:rsid w:val="005F0674"/>
    <w:rsid w:val="005F07A5"/>
    <w:rsid w:val="005F0852"/>
    <w:rsid w:val="005F08A2"/>
    <w:rsid w:val="005F08B1"/>
    <w:rsid w:val="005F09DF"/>
    <w:rsid w:val="005F0A42"/>
    <w:rsid w:val="005F0A48"/>
    <w:rsid w:val="005F0AA0"/>
    <w:rsid w:val="005F0AC9"/>
    <w:rsid w:val="005F0B3E"/>
    <w:rsid w:val="005F0BC4"/>
    <w:rsid w:val="005F0C0D"/>
    <w:rsid w:val="005F0C25"/>
    <w:rsid w:val="005F0C69"/>
    <w:rsid w:val="005F0D1B"/>
    <w:rsid w:val="005F0E80"/>
    <w:rsid w:val="005F0E85"/>
    <w:rsid w:val="005F0F28"/>
    <w:rsid w:val="005F0FA6"/>
    <w:rsid w:val="005F0FE1"/>
    <w:rsid w:val="005F1041"/>
    <w:rsid w:val="005F106B"/>
    <w:rsid w:val="005F1082"/>
    <w:rsid w:val="005F10F4"/>
    <w:rsid w:val="005F10F5"/>
    <w:rsid w:val="005F115B"/>
    <w:rsid w:val="005F1428"/>
    <w:rsid w:val="005F1450"/>
    <w:rsid w:val="005F149B"/>
    <w:rsid w:val="005F14F3"/>
    <w:rsid w:val="005F1539"/>
    <w:rsid w:val="005F15A2"/>
    <w:rsid w:val="005F1661"/>
    <w:rsid w:val="005F1707"/>
    <w:rsid w:val="005F1879"/>
    <w:rsid w:val="005F19DA"/>
    <w:rsid w:val="005F1B02"/>
    <w:rsid w:val="005F1BF2"/>
    <w:rsid w:val="005F1C52"/>
    <w:rsid w:val="005F1D0A"/>
    <w:rsid w:val="005F1DA3"/>
    <w:rsid w:val="005F1F02"/>
    <w:rsid w:val="005F1F15"/>
    <w:rsid w:val="005F1F26"/>
    <w:rsid w:val="005F1FE0"/>
    <w:rsid w:val="005F2112"/>
    <w:rsid w:val="005F21D0"/>
    <w:rsid w:val="005F2205"/>
    <w:rsid w:val="005F22C1"/>
    <w:rsid w:val="005F24EA"/>
    <w:rsid w:val="005F253E"/>
    <w:rsid w:val="005F2595"/>
    <w:rsid w:val="005F2607"/>
    <w:rsid w:val="005F263A"/>
    <w:rsid w:val="005F26A4"/>
    <w:rsid w:val="005F26E7"/>
    <w:rsid w:val="005F2A02"/>
    <w:rsid w:val="005F2A04"/>
    <w:rsid w:val="005F2A60"/>
    <w:rsid w:val="005F2B4C"/>
    <w:rsid w:val="005F2B93"/>
    <w:rsid w:val="005F2BC8"/>
    <w:rsid w:val="005F2BCE"/>
    <w:rsid w:val="005F2D91"/>
    <w:rsid w:val="005F2F6E"/>
    <w:rsid w:val="005F3001"/>
    <w:rsid w:val="005F3133"/>
    <w:rsid w:val="005F3148"/>
    <w:rsid w:val="005F31EF"/>
    <w:rsid w:val="005F330C"/>
    <w:rsid w:val="005F33DE"/>
    <w:rsid w:val="005F3413"/>
    <w:rsid w:val="005F342D"/>
    <w:rsid w:val="005F34E7"/>
    <w:rsid w:val="005F35A3"/>
    <w:rsid w:val="005F35E5"/>
    <w:rsid w:val="005F3615"/>
    <w:rsid w:val="005F369D"/>
    <w:rsid w:val="005F37A0"/>
    <w:rsid w:val="005F37AB"/>
    <w:rsid w:val="005F37C1"/>
    <w:rsid w:val="005F37C5"/>
    <w:rsid w:val="005F37D6"/>
    <w:rsid w:val="005F3942"/>
    <w:rsid w:val="005F3985"/>
    <w:rsid w:val="005F39DD"/>
    <w:rsid w:val="005F3A03"/>
    <w:rsid w:val="005F3AB1"/>
    <w:rsid w:val="005F3ACE"/>
    <w:rsid w:val="005F3BE6"/>
    <w:rsid w:val="005F3D7B"/>
    <w:rsid w:val="005F3EDB"/>
    <w:rsid w:val="005F3FF5"/>
    <w:rsid w:val="005F3FFC"/>
    <w:rsid w:val="005F4038"/>
    <w:rsid w:val="005F4046"/>
    <w:rsid w:val="005F416D"/>
    <w:rsid w:val="005F4237"/>
    <w:rsid w:val="005F42DE"/>
    <w:rsid w:val="005F431B"/>
    <w:rsid w:val="005F4490"/>
    <w:rsid w:val="005F44C0"/>
    <w:rsid w:val="005F48AF"/>
    <w:rsid w:val="005F48BD"/>
    <w:rsid w:val="005F48C4"/>
    <w:rsid w:val="005F48D9"/>
    <w:rsid w:val="005F4944"/>
    <w:rsid w:val="005F4960"/>
    <w:rsid w:val="005F49B4"/>
    <w:rsid w:val="005F49E0"/>
    <w:rsid w:val="005F4B06"/>
    <w:rsid w:val="005F4BC7"/>
    <w:rsid w:val="005F4BDB"/>
    <w:rsid w:val="005F4C88"/>
    <w:rsid w:val="005F4D2C"/>
    <w:rsid w:val="005F4DFA"/>
    <w:rsid w:val="005F4F03"/>
    <w:rsid w:val="005F4F40"/>
    <w:rsid w:val="005F4FB0"/>
    <w:rsid w:val="005F5073"/>
    <w:rsid w:val="005F5096"/>
    <w:rsid w:val="005F525A"/>
    <w:rsid w:val="005F5288"/>
    <w:rsid w:val="005F52D1"/>
    <w:rsid w:val="005F533D"/>
    <w:rsid w:val="005F5353"/>
    <w:rsid w:val="005F543B"/>
    <w:rsid w:val="005F54F5"/>
    <w:rsid w:val="005F5508"/>
    <w:rsid w:val="005F5511"/>
    <w:rsid w:val="005F5638"/>
    <w:rsid w:val="005F5770"/>
    <w:rsid w:val="005F57A0"/>
    <w:rsid w:val="005F58C3"/>
    <w:rsid w:val="005F593E"/>
    <w:rsid w:val="005F5BC2"/>
    <w:rsid w:val="005F5BD8"/>
    <w:rsid w:val="005F5C05"/>
    <w:rsid w:val="005F5C89"/>
    <w:rsid w:val="005F5CD7"/>
    <w:rsid w:val="005F5E04"/>
    <w:rsid w:val="005F5FA1"/>
    <w:rsid w:val="005F5FB7"/>
    <w:rsid w:val="005F5FF6"/>
    <w:rsid w:val="005F6027"/>
    <w:rsid w:val="005F611C"/>
    <w:rsid w:val="005F6160"/>
    <w:rsid w:val="005F62E4"/>
    <w:rsid w:val="005F63A1"/>
    <w:rsid w:val="005F6427"/>
    <w:rsid w:val="005F64C9"/>
    <w:rsid w:val="005F663C"/>
    <w:rsid w:val="005F66B9"/>
    <w:rsid w:val="005F68FD"/>
    <w:rsid w:val="005F69BA"/>
    <w:rsid w:val="005F6A1A"/>
    <w:rsid w:val="005F6AF3"/>
    <w:rsid w:val="005F6B1F"/>
    <w:rsid w:val="005F6CFE"/>
    <w:rsid w:val="005F6D4C"/>
    <w:rsid w:val="005F6E52"/>
    <w:rsid w:val="005F7004"/>
    <w:rsid w:val="005F70AC"/>
    <w:rsid w:val="005F74C0"/>
    <w:rsid w:val="005F75D4"/>
    <w:rsid w:val="005F764D"/>
    <w:rsid w:val="005F7655"/>
    <w:rsid w:val="005F76A0"/>
    <w:rsid w:val="005F7AC3"/>
    <w:rsid w:val="005F7B81"/>
    <w:rsid w:val="005F7C3D"/>
    <w:rsid w:val="005F7D39"/>
    <w:rsid w:val="005F7DF3"/>
    <w:rsid w:val="005F7E81"/>
    <w:rsid w:val="005F7F2C"/>
    <w:rsid w:val="00600027"/>
    <w:rsid w:val="006000F3"/>
    <w:rsid w:val="00600132"/>
    <w:rsid w:val="0060019F"/>
    <w:rsid w:val="006001D2"/>
    <w:rsid w:val="00600276"/>
    <w:rsid w:val="006007AC"/>
    <w:rsid w:val="006007EE"/>
    <w:rsid w:val="00600869"/>
    <w:rsid w:val="00600A49"/>
    <w:rsid w:val="00600A97"/>
    <w:rsid w:val="00600ADA"/>
    <w:rsid w:val="00600AE4"/>
    <w:rsid w:val="00600B90"/>
    <w:rsid w:val="00600BBC"/>
    <w:rsid w:val="00600C11"/>
    <w:rsid w:val="00600C9D"/>
    <w:rsid w:val="00600CD2"/>
    <w:rsid w:val="00600CE3"/>
    <w:rsid w:val="00600D9B"/>
    <w:rsid w:val="00600E11"/>
    <w:rsid w:val="00600E86"/>
    <w:rsid w:val="00600EEE"/>
    <w:rsid w:val="00600F0C"/>
    <w:rsid w:val="00600F55"/>
    <w:rsid w:val="00600F7E"/>
    <w:rsid w:val="00601016"/>
    <w:rsid w:val="00601049"/>
    <w:rsid w:val="00601106"/>
    <w:rsid w:val="006012BD"/>
    <w:rsid w:val="006012FC"/>
    <w:rsid w:val="00601576"/>
    <w:rsid w:val="00601792"/>
    <w:rsid w:val="00601863"/>
    <w:rsid w:val="006018D0"/>
    <w:rsid w:val="00601925"/>
    <w:rsid w:val="00601A23"/>
    <w:rsid w:val="00601A87"/>
    <w:rsid w:val="00601B68"/>
    <w:rsid w:val="00601BD1"/>
    <w:rsid w:val="00601DBE"/>
    <w:rsid w:val="00601E38"/>
    <w:rsid w:val="00601EF4"/>
    <w:rsid w:val="00601F1C"/>
    <w:rsid w:val="00601F49"/>
    <w:rsid w:val="00601FF4"/>
    <w:rsid w:val="00602005"/>
    <w:rsid w:val="0060226C"/>
    <w:rsid w:val="006022CF"/>
    <w:rsid w:val="0060240B"/>
    <w:rsid w:val="0060246A"/>
    <w:rsid w:val="006024B1"/>
    <w:rsid w:val="006024CC"/>
    <w:rsid w:val="006025BE"/>
    <w:rsid w:val="00602764"/>
    <w:rsid w:val="00602806"/>
    <w:rsid w:val="006028CD"/>
    <w:rsid w:val="006028EE"/>
    <w:rsid w:val="006029D6"/>
    <w:rsid w:val="00602B48"/>
    <w:rsid w:val="00602B9B"/>
    <w:rsid w:val="00602BCF"/>
    <w:rsid w:val="00602C3C"/>
    <w:rsid w:val="00602CE2"/>
    <w:rsid w:val="00602CF7"/>
    <w:rsid w:val="00602F38"/>
    <w:rsid w:val="00602F61"/>
    <w:rsid w:val="0060307C"/>
    <w:rsid w:val="006030BF"/>
    <w:rsid w:val="006030D4"/>
    <w:rsid w:val="00603103"/>
    <w:rsid w:val="0060320D"/>
    <w:rsid w:val="006032AF"/>
    <w:rsid w:val="006032C9"/>
    <w:rsid w:val="006032F5"/>
    <w:rsid w:val="00603316"/>
    <w:rsid w:val="00603422"/>
    <w:rsid w:val="006034C3"/>
    <w:rsid w:val="006034D5"/>
    <w:rsid w:val="00603521"/>
    <w:rsid w:val="00603575"/>
    <w:rsid w:val="00603849"/>
    <w:rsid w:val="006038F2"/>
    <w:rsid w:val="0060399A"/>
    <w:rsid w:val="00603B0A"/>
    <w:rsid w:val="00603CDB"/>
    <w:rsid w:val="00603E01"/>
    <w:rsid w:val="0060405E"/>
    <w:rsid w:val="00604089"/>
    <w:rsid w:val="00604090"/>
    <w:rsid w:val="0060413E"/>
    <w:rsid w:val="0060415F"/>
    <w:rsid w:val="00604198"/>
    <w:rsid w:val="0060422F"/>
    <w:rsid w:val="0060426A"/>
    <w:rsid w:val="0060430C"/>
    <w:rsid w:val="006043A6"/>
    <w:rsid w:val="006043FE"/>
    <w:rsid w:val="0060443D"/>
    <w:rsid w:val="006044B0"/>
    <w:rsid w:val="006046D9"/>
    <w:rsid w:val="00604792"/>
    <w:rsid w:val="0060481E"/>
    <w:rsid w:val="0060482A"/>
    <w:rsid w:val="0060483A"/>
    <w:rsid w:val="0060486E"/>
    <w:rsid w:val="0060492C"/>
    <w:rsid w:val="0060496E"/>
    <w:rsid w:val="00604A14"/>
    <w:rsid w:val="00604A37"/>
    <w:rsid w:val="00604A72"/>
    <w:rsid w:val="00604B0B"/>
    <w:rsid w:val="00604B68"/>
    <w:rsid w:val="00604B8C"/>
    <w:rsid w:val="00604B95"/>
    <w:rsid w:val="00604BBC"/>
    <w:rsid w:val="00604D96"/>
    <w:rsid w:val="00604DC6"/>
    <w:rsid w:val="00604E1E"/>
    <w:rsid w:val="00604E88"/>
    <w:rsid w:val="00604F59"/>
    <w:rsid w:val="00605199"/>
    <w:rsid w:val="006051DD"/>
    <w:rsid w:val="00605287"/>
    <w:rsid w:val="00605293"/>
    <w:rsid w:val="00605302"/>
    <w:rsid w:val="006053AE"/>
    <w:rsid w:val="00605436"/>
    <w:rsid w:val="006054CB"/>
    <w:rsid w:val="006054CF"/>
    <w:rsid w:val="006055F2"/>
    <w:rsid w:val="00605762"/>
    <w:rsid w:val="0060583D"/>
    <w:rsid w:val="0060591B"/>
    <w:rsid w:val="006059C0"/>
    <w:rsid w:val="00605AAE"/>
    <w:rsid w:val="00605CDB"/>
    <w:rsid w:val="00605E18"/>
    <w:rsid w:val="00605E2B"/>
    <w:rsid w:val="00605E7D"/>
    <w:rsid w:val="00605F22"/>
    <w:rsid w:val="006060DB"/>
    <w:rsid w:val="00606228"/>
    <w:rsid w:val="006062A7"/>
    <w:rsid w:val="0060633D"/>
    <w:rsid w:val="00606375"/>
    <w:rsid w:val="0060651A"/>
    <w:rsid w:val="00606576"/>
    <w:rsid w:val="006065F3"/>
    <w:rsid w:val="0060666F"/>
    <w:rsid w:val="00606712"/>
    <w:rsid w:val="006067BA"/>
    <w:rsid w:val="0060689F"/>
    <w:rsid w:val="00606A49"/>
    <w:rsid w:val="00606A5C"/>
    <w:rsid w:val="00606A61"/>
    <w:rsid w:val="00606C12"/>
    <w:rsid w:val="00606CB8"/>
    <w:rsid w:val="00606D12"/>
    <w:rsid w:val="00606D27"/>
    <w:rsid w:val="00606D6C"/>
    <w:rsid w:val="00606DA9"/>
    <w:rsid w:val="00606DAC"/>
    <w:rsid w:val="00606E6E"/>
    <w:rsid w:val="00606E88"/>
    <w:rsid w:val="00606F29"/>
    <w:rsid w:val="00606F50"/>
    <w:rsid w:val="00606F90"/>
    <w:rsid w:val="00607052"/>
    <w:rsid w:val="0060706F"/>
    <w:rsid w:val="006070C1"/>
    <w:rsid w:val="006070FF"/>
    <w:rsid w:val="00607101"/>
    <w:rsid w:val="00607264"/>
    <w:rsid w:val="00607385"/>
    <w:rsid w:val="0060738C"/>
    <w:rsid w:val="006074A1"/>
    <w:rsid w:val="00607677"/>
    <w:rsid w:val="00607785"/>
    <w:rsid w:val="006078C3"/>
    <w:rsid w:val="006078D5"/>
    <w:rsid w:val="006079E1"/>
    <w:rsid w:val="00607A5B"/>
    <w:rsid w:val="00607A5D"/>
    <w:rsid w:val="00607B31"/>
    <w:rsid w:val="00607B69"/>
    <w:rsid w:val="00607BCD"/>
    <w:rsid w:val="00607CB9"/>
    <w:rsid w:val="00607D72"/>
    <w:rsid w:val="00607EA6"/>
    <w:rsid w:val="00607F3F"/>
    <w:rsid w:val="0061000B"/>
    <w:rsid w:val="00610148"/>
    <w:rsid w:val="0061019A"/>
    <w:rsid w:val="006101A9"/>
    <w:rsid w:val="006102CD"/>
    <w:rsid w:val="006103A6"/>
    <w:rsid w:val="006103A8"/>
    <w:rsid w:val="006103D3"/>
    <w:rsid w:val="006104D6"/>
    <w:rsid w:val="006105D4"/>
    <w:rsid w:val="006105F2"/>
    <w:rsid w:val="0061067F"/>
    <w:rsid w:val="00610702"/>
    <w:rsid w:val="0061081E"/>
    <w:rsid w:val="0061096E"/>
    <w:rsid w:val="00610B54"/>
    <w:rsid w:val="00610B8F"/>
    <w:rsid w:val="00610CBC"/>
    <w:rsid w:val="00610CFD"/>
    <w:rsid w:val="00610DF6"/>
    <w:rsid w:val="00610F7C"/>
    <w:rsid w:val="0061107A"/>
    <w:rsid w:val="006110E4"/>
    <w:rsid w:val="00611285"/>
    <w:rsid w:val="006112B9"/>
    <w:rsid w:val="00611307"/>
    <w:rsid w:val="00611428"/>
    <w:rsid w:val="00611433"/>
    <w:rsid w:val="00611514"/>
    <w:rsid w:val="00611684"/>
    <w:rsid w:val="006116A9"/>
    <w:rsid w:val="006118BA"/>
    <w:rsid w:val="0061194D"/>
    <w:rsid w:val="0061196C"/>
    <w:rsid w:val="00611974"/>
    <w:rsid w:val="006119AA"/>
    <w:rsid w:val="00611A0F"/>
    <w:rsid w:val="00611A70"/>
    <w:rsid w:val="00611D29"/>
    <w:rsid w:val="00611E0C"/>
    <w:rsid w:val="00611E7B"/>
    <w:rsid w:val="00611EFC"/>
    <w:rsid w:val="00612076"/>
    <w:rsid w:val="0061209E"/>
    <w:rsid w:val="00612225"/>
    <w:rsid w:val="0061227A"/>
    <w:rsid w:val="006122A9"/>
    <w:rsid w:val="006124AE"/>
    <w:rsid w:val="006124FC"/>
    <w:rsid w:val="00612519"/>
    <w:rsid w:val="006125A7"/>
    <w:rsid w:val="006126B6"/>
    <w:rsid w:val="006126E9"/>
    <w:rsid w:val="00612711"/>
    <w:rsid w:val="00612780"/>
    <w:rsid w:val="0061297F"/>
    <w:rsid w:val="00612981"/>
    <w:rsid w:val="00612A03"/>
    <w:rsid w:val="00612A5D"/>
    <w:rsid w:val="00612AE2"/>
    <w:rsid w:val="00612BB4"/>
    <w:rsid w:val="00612BB7"/>
    <w:rsid w:val="00612C6F"/>
    <w:rsid w:val="00612CAE"/>
    <w:rsid w:val="00612CB1"/>
    <w:rsid w:val="00612CD7"/>
    <w:rsid w:val="00612D76"/>
    <w:rsid w:val="00612E0A"/>
    <w:rsid w:val="00612E10"/>
    <w:rsid w:val="00612F05"/>
    <w:rsid w:val="00612F88"/>
    <w:rsid w:val="00612FB3"/>
    <w:rsid w:val="0061301B"/>
    <w:rsid w:val="006130EB"/>
    <w:rsid w:val="006132EA"/>
    <w:rsid w:val="0061336D"/>
    <w:rsid w:val="006133C5"/>
    <w:rsid w:val="006133D6"/>
    <w:rsid w:val="00613463"/>
    <w:rsid w:val="00613493"/>
    <w:rsid w:val="00613633"/>
    <w:rsid w:val="006136C8"/>
    <w:rsid w:val="006136EE"/>
    <w:rsid w:val="00613781"/>
    <w:rsid w:val="0061378C"/>
    <w:rsid w:val="006138B7"/>
    <w:rsid w:val="006138D6"/>
    <w:rsid w:val="006138EA"/>
    <w:rsid w:val="00613986"/>
    <w:rsid w:val="00613B00"/>
    <w:rsid w:val="00613B48"/>
    <w:rsid w:val="00613C12"/>
    <w:rsid w:val="00613C8F"/>
    <w:rsid w:val="00613F2C"/>
    <w:rsid w:val="00613F48"/>
    <w:rsid w:val="00613F61"/>
    <w:rsid w:val="00613FD0"/>
    <w:rsid w:val="00614001"/>
    <w:rsid w:val="00614133"/>
    <w:rsid w:val="006141D9"/>
    <w:rsid w:val="00614266"/>
    <w:rsid w:val="0061427D"/>
    <w:rsid w:val="006142EE"/>
    <w:rsid w:val="006143C8"/>
    <w:rsid w:val="00614456"/>
    <w:rsid w:val="006144DF"/>
    <w:rsid w:val="0061471B"/>
    <w:rsid w:val="0061476B"/>
    <w:rsid w:val="0061484C"/>
    <w:rsid w:val="00614858"/>
    <w:rsid w:val="006148C7"/>
    <w:rsid w:val="00614912"/>
    <w:rsid w:val="00614A93"/>
    <w:rsid w:val="00614AE0"/>
    <w:rsid w:val="00614B66"/>
    <w:rsid w:val="00614B7A"/>
    <w:rsid w:val="00614B85"/>
    <w:rsid w:val="00614C59"/>
    <w:rsid w:val="00614CF1"/>
    <w:rsid w:val="00614E44"/>
    <w:rsid w:val="00614FEF"/>
    <w:rsid w:val="00614FF6"/>
    <w:rsid w:val="00615080"/>
    <w:rsid w:val="0061510D"/>
    <w:rsid w:val="00615143"/>
    <w:rsid w:val="00615199"/>
    <w:rsid w:val="006151D8"/>
    <w:rsid w:val="006151FD"/>
    <w:rsid w:val="00615241"/>
    <w:rsid w:val="00615337"/>
    <w:rsid w:val="00615341"/>
    <w:rsid w:val="00615497"/>
    <w:rsid w:val="00615587"/>
    <w:rsid w:val="00615614"/>
    <w:rsid w:val="006156BF"/>
    <w:rsid w:val="006156E9"/>
    <w:rsid w:val="006157F5"/>
    <w:rsid w:val="00615855"/>
    <w:rsid w:val="006158D2"/>
    <w:rsid w:val="006158F9"/>
    <w:rsid w:val="00615966"/>
    <w:rsid w:val="00615AA7"/>
    <w:rsid w:val="00615ACB"/>
    <w:rsid w:val="00615AD8"/>
    <w:rsid w:val="00615B6F"/>
    <w:rsid w:val="00615B74"/>
    <w:rsid w:val="00615B9D"/>
    <w:rsid w:val="00615BD8"/>
    <w:rsid w:val="00615DB6"/>
    <w:rsid w:val="00615F52"/>
    <w:rsid w:val="00616064"/>
    <w:rsid w:val="0061615A"/>
    <w:rsid w:val="0061616E"/>
    <w:rsid w:val="00616234"/>
    <w:rsid w:val="006162FB"/>
    <w:rsid w:val="00616394"/>
    <w:rsid w:val="006163AD"/>
    <w:rsid w:val="006163EF"/>
    <w:rsid w:val="00616475"/>
    <w:rsid w:val="006164FD"/>
    <w:rsid w:val="0061658B"/>
    <w:rsid w:val="00616624"/>
    <w:rsid w:val="0061665F"/>
    <w:rsid w:val="006167AE"/>
    <w:rsid w:val="00616864"/>
    <w:rsid w:val="00616878"/>
    <w:rsid w:val="006168A5"/>
    <w:rsid w:val="00616981"/>
    <w:rsid w:val="006169DD"/>
    <w:rsid w:val="00616A8F"/>
    <w:rsid w:val="00616C76"/>
    <w:rsid w:val="00616D56"/>
    <w:rsid w:val="00616DF5"/>
    <w:rsid w:val="00616EB5"/>
    <w:rsid w:val="00617027"/>
    <w:rsid w:val="00617062"/>
    <w:rsid w:val="006170F0"/>
    <w:rsid w:val="00617122"/>
    <w:rsid w:val="0061717D"/>
    <w:rsid w:val="00617182"/>
    <w:rsid w:val="006171E0"/>
    <w:rsid w:val="00617348"/>
    <w:rsid w:val="00617379"/>
    <w:rsid w:val="0061745F"/>
    <w:rsid w:val="00617461"/>
    <w:rsid w:val="00617470"/>
    <w:rsid w:val="00617550"/>
    <w:rsid w:val="00617590"/>
    <w:rsid w:val="00617690"/>
    <w:rsid w:val="0061770B"/>
    <w:rsid w:val="00617844"/>
    <w:rsid w:val="00617857"/>
    <w:rsid w:val="0061786D"/>
    <w:rsid w:val="00617893"/>
    <w:rsid w:val="00617B18"/>
    <w:rsid w:val="00617B3E"/>
    <w:rsid w:val="00617D12"/>
    <w:rsid w:val="00617D56"/>
    <w:rsid w:val="00617E09"/>
    <w:rsid w:val="00617E3A"/>
    <w:rsid w:val="00617E50"/>
    <w:rsid w:val="00617F28"/>
    <w:rsid w:val="006200DB"/>
    <w:rsid w:val="0062016C"/>
    <w:rsid w:val="006204FD"/>
    <w:rsid w:val="006205C6"/>
    <w:rsid w:val="00620621"/>
    <w:rsid w:val="00620632"/>
    <w:rsid w:val="0062063E"/>
    <w:rsid w:val="0062065B"/>
    <w:rsid w:val="006206C9"/>
    <w:rsid w:val="006206FC"/>
    <w:rsid w:val="0062073D"/>
    <w:rsid w:val="00620772"/>
    <w:rsid w:val="00620A9E"/>
    <w:rsid w:val="00620B0B"/>
    <w:rsid w:val="00620BC0"/>
    <w:rsid w:val="00620BCF"/>
    <w:rsid w:val="00620C03"/>
    <w:rsid w:val="00620C21"/>
    <w:rsid w:val="00620CF7"/>
    <w:rsid w:val="00620E76"/>
    <w:rsid w:val="00620E7E"/>
    <w:rsid w:val="00620EBF"/>
    <w:rsid w:val="00620F47"/>
    <w:rsid w:val="00620F79"/>
    <w:rsid w:val="006211DF"/>
    <w:rsid w:val="00621288"/>
    <w:rsid w:val="006212E8"/>
    <w:rsid w:val="006212F1"/>
    <w:rsid w:val="00621334"/>
    <w:rsid w:val="006213B3"/>
    <w:rsid w:val="00621549"/>
    <w:rsid w:val="00621620"/>
    <w:rsid w:val="006216C7"/>
    <w:rsid w:val="0062174F"/>
    <w:rsid w:val="00621768"/>
    <w:rsid w:val="0062181A"/>
    <w:rsid w:val="006218BF"/>
    <w:rsid w:val="006219FB"/>
    <w:rsid w:val="00621AA3"/>
    <w:rsid w:val="00621AD2"/>
    <w:rsid w:val="00621B61"/>
    <w:rsid w:val="00621BDF"/>
    <w:rsid w:val="00621BFA"/>
    <w:rsid w:val="00621C26"/>
    <w:rsid w:val="00621DD8"/>
    <w:rsid w:val="00621DE9"/>
    <w:rsid w:val="00621E78"/>
    <w:rsid w:val="00621F5F"/>
    <w:rsid w:val="00621FA3"/>
    <w:rsid w:val="00621FAC"/>
    <w:rsid w:val="00621FC5"/>
    <w:rsid w:val="0062209D"/>
    <w:rsid w:val="006220FB"/>
    <w:rsid w:val="0062216C"/>
    <w:rsid w:val="006222E2"/>
    <w:rsid w:val="00622354"/>
    <w:rsid w:val="00622480"/>
    <w:rsid w:val="00622557"/>
    <w:rsid w:val="0062274A"/>
    <w:rsid w:val="006228CD"/>
    <w:rsid w:val="00622948"/>
    <w:rsid w:val="006229A0"/>
    <w:rsid w:val="006229BE"/>
    <w:rsid w:val="00622A44"/>
    <w:rsid w:val="00622A4F"/>
    <w:rsid w:val="00622AA8"/>
    <w:rsid w:val="00622C68"/>
    <w:rsid w:val="00622C87"/>
    <w:rsid w:val="00622C99"/>
    <w:rsid w:val="00622F92"/>
    <w:rsid w:val="00622FA5"/>
    <w:rsid w:val="00623084"/>
    <w:rsid w:val="0062309A"/>
    <w:rsid w:val="0062329F"/>
    <w:rsid w:val="00623324"/>
    <w:rsid w:val="00623329"/>
    <w:rsid w:val="0062345A"/>
    <w:rsid w:val="006234E9"/>
    <w:rsid w:val="006235E0"/>
    <w:rsid w:val="00623648"/>
    <w:rsid w:val="00623676"/>
    <w:rsid w:val="006237E9"/>
    <w:rsid w:val="006238AB"/>
    <w:rsid w:val="00623999"/>
    <w:rsid w:val="00623A5F"/>
    <w:rsid w:val="00623A7E"/>
    <w:rsid w:val="00623AD1"/>
    <w:rsid w:val="00623ADE"/>
    <w:rsid w:val="00623CC7"/>
    <w:rsid w:val="00623D3A"/>
    <w:rsid w:val="00623D8B"/>
    <w:rsid w:val="00623E51"/>
    <w:rsid w:val="00623E9A"/>
    <w:rsid w:val="00623F11"/>
    <w:rsid w:val="00623FBB"/>
    <w:rsid w:val="00624024"/>
    <w:rsid w:val="00624085"/>
    <w:rsid w:val="006241CF"/>
    <w:rsid w:val="006241E4"/>
    <w:rsid w:val="00624285"/>
    <w:rsid w:val="0062436B"/>
    <w:rsid w:val="006244AA"/>
    <w:rsid w:val="006245C5"/>
    <w:rsid w:val="00624641"/>
    <w:rsid w:val="006247BC"/>
    <w:rsid w:val="006248B1"/>
    <w:rsid w:val="006248BF"/>
    <w:rsid w:val="006248C9"/>
    <w:rsid w:val="006248DA"/>
    <w:rsid w:val="006249C3"/>
    <w:rsid w:val="006249EE"/>
    <w:rsid w:val="006249F1"/>
    <w:rsid w:val="00624A82"/>
    <w:rsid w:val="00624B5A"/>
    <w:rsid w:val="00624B8C"/>
    <w:rsid w:val="00624C5E"/>
    <w:rsid w:val="00624C75"/>
    <w:rsid w:val="00624D40"/>
    <w:rsid w:val="00624DA2"/>
    <w:rsid w:val="00624DC9"/>
    <w:rsid w:val="00624E20"/>
    <w:rsid w:val="00624E34"/>
    <w:rsid w:val="00624EB1"/>
    <w:rsid w:val="00624EEE"/>
    <w:rsid w:val="00624FE2"/>
    <w:rsid w:val="0062513D"/>
    <w:rsid w:val="0062513F"/>
    <w:rsid w:val="006252AE"/>
    <w:rsid w:val="006252C1"/>
    <w:rsid w:val="00625434"/>
    <w:rsid w:val="0062545F"/>
    <w:rsid w:val="00625484"/>
    <w:rsid w:val="006254F7"/>
    <w:rsid w:val="006254F9"/>
    <w:rsid w:val="00625563"/>
    <w:rsid w:val="006255A2"/>
    <w:rsid w:val="006256B1"/>
    <w:rsid w:val="0062570B"/>
    <w:rsid w:val="00625879"/>
    <w:rsid w:val="0062595B"/>
    <w:rsid w:val="00625A2E"/>
    <w:rsid w:val="00625BD5"/>
    <w:rsid w:val="00625BDB"/>
    <w:rsid w:val="00625C2A"/>
    <w:rsid w:val="00625DDA"/>
    <w:rsid w:val="00625E5B"/>
    <w:rsid w:val="00625F10"/>
    <w:rsid w:val="006260AA"/>
    <w:rsid w:val="0062613A"/>
    <w:rsid w:val="006261CF"/>
    <w:rsid w:val="0062634F"/>
    <w:rsid w:val="006263C4"/>
    <w:rsid w:val="00626488"/>
    <w:rsid w:val="006264C8"/>
    <w:rsid w:val="00626526"/>
    <w:rsid w:val="00626641"/>
    <w:rsid w:val="00626830"/>
    <w:rsid w:val="006268D9"/>
    <w:rsid w:val="006268E3"/>
    <w:rsid w:val="006269F3"/>
    <w:rsid w:val="00626A30"/>
    <w:rsid w:val="00626AEF"/>
    <w:rsid w:val="00626AF2"/>
    <w:rsid w:val="00626B32"/>
    <w:rsid w:val="00626CAC"/>
    <w:rsid w:val="00626CD4"/>
    <w:rsid w:val="00626D78"/>
    <w:rsid w:val="00626E82"/>
    <w:rsid w:val="00626EAF"/>
    <w:rsid w:val="00626FD8"/>
    <w:rsid w:val="00627037"/>
    <w:rsid w:val="00627070"/>
    <w:rsid w:val="0062721D"/>
    <w:rsid w:val="00627433"/>
    <w:rsid w:val="006274B4"/>
    <w:rsid w:val="006276C8"/>
    <w:rsid w:val="006276DD"/>
    <w:rsid w:val="0062777D"/>
    <w:rsid w:val="006277D0"/>
    <w:rsid w:val="00627862"/>
    <w:rsid w:val="006278C4"/>
    <w:rsid w:val="00627AA6"/>
    <w:rsid w:val="00627AB4"/>
    <w:rsid w:val="00627AE8"/>
    <w:rsid w:val="00627B3B"/>
    <w:rsid w:val="00627BF9"/>
    <w:rsid w:val="00627C7F"/>
    <w:rsid w:val="00627D69"/>
    <w:rsid w:val="00627E61"/>
    <w:rsid w:val="00627EE2"/>
    <w:rsid w:val="00627EF5"/>
    <w:rsid w:val="0063006F"/>
    <w:rsid w:val="006302BC"/>
    <w:rsid w:val="006302EB"/>
    <w:rsid w:val="00630451"/>
    <w:rsid w:val="0063058A"/>
    <w:rsid w:val="006305CC"/>
    <w:rsid w:val="00630933"/>
    <w:rsid w:val="00630A1F"/>
    <w:rsid w:val="00630AA3"/>
    <w:rsid w:val="00630ADA"/>
    <w:rsid w:val="00630CA8"/>
    <w:rsid w:val="00630D01"/>
    <w:rsid w:val="00630E5F"/>
    <w:rsid w:val="0063107D"/>
    <w:rsid w:val="0063112C"/>
    <w:rsid w:val="00631241"/>
    <w:rsid w:val="0063130A"/>
    <w:rsid w:val="00631340"/>
    <w:rsid w:val="006313F7"/>
    <w:rsid w:val="0063146A"/>
    <w:rsid w:val="00631527"/>
    <w:rsid w:val="0063154E"/>
    <w:rsid w:val="0063169D"/>
    <w:rsid w:val="00631831"/>
    <w:rsid w:val="006318FE"/>
    <w:rsid w:val="006319F7"/>
    <w:rsid w:val="006319FD"/>
    <w:rsid w:val="00631A6C"/>
    <w:rsid w:val="00631A72"/>
    <w:rsid w:val="00631ABE"/>
    <w:rsid w:val="00631BFA"/>
    <w:rsid w:val="00631DFA"/>
    <w:rsid w:val="00631E55"/>
    <w:rsid w:val="0063206F"/>
    <w:rsid w:val="006321EF"/>
    <w:rsid w:val="006323D1"/>
    <w:rsid w:val="006324B9"/>
    <w:rsid w:val="006325F6"/>
    <w:rsid w:val="006327EA"/>
    <w:rsid w:val="00632937"/>
    <w:rsid w:val="00632AF7"/>
    <w:rsid w:val="00632B3A"/>
    <w:rsid w:val="00632C27"/>
    <w:rsid w:val="00632D69"/>
    <w:rsid w:val="00632EEE"/>
    <w:rsid w:val="00632FBC"/>
    <w:rsid w:val="00633012"/>
    <w:rsid w:val="0063306B"/>
    <w:rsid w:val="00633095"/>
    <w:rsid w:val="006331F1"/>
    <w:rsid w:val="00633383"/>
    <w:rsid w:val="00633391"/>
    <w:rsid w:val="006333CC"/>
    <w:rsid w:val="00633404"/>
    <w:rsid w:val="0063341A"/>
    <w:rsid w:val="0063347B"/>
    <w:rsid w:val="00633515"/>
    <w:rsid w:val="0063355C"/>
    <w:rsid w:val="00633568"/>
    <w:rsid w:val="006335A9"/>
    <w:rsid w:val="00633603"/>
    <w:rsid w:val="006337EA"/>
    <w:rsid w:val="00633860"/>
    <w:rsid w:val="00633863"/>
    <w:rsid w:val="00633947"/>
    <w:rsid w:val="006339A6"/>
    <w:rsid w:val="006339B6"/>
    <w:rsid w:val="00633A5D"/>
    <w:rsid w:val="00633AE9"/>
    <w:rsid w:val="00633B18"/>
    <w:rsid w:val="00633B42"/>
    <w:rsid w:val="00633BF2"/>
    <w:rsid w:val="00633C14"/>
    <w:rsid w:val="00633C58"/>
    <w:rsid w:val="00633CAB"/>
    <w:rsid w:val="00633D80"/>
    <w:rsid w:val="00633D9A"/>
    <w:rsid w:val="00633DF4"/>
    <w:rsid w:val="00633E9D"/>
    <w:rsid w:val="00633EC8"/>
    <w:rsid w:val="00633EEB"/>
    <w:rsid w:val="00633FC4"/>
    <w:rsid w:val="00633FDA"/>
    <w:rsid w:val="0063401F"/>
    <w:rsid w:val="006340C5"/>
    <w:rsid w:val="006340E3"/>
    <w:rsid w:val="00634125"/>
    <w:rsid w:val="0063417E"/>
    <w:rsid w:val="0063420E"/>
    <w:rsid w:val="00634322"/>
    <w:rsid w:val="00634435"/>
    <w:rsid w:val="006344E0"/>
    <w:rsid w:val="00634792"/>
    <w:rsid w:val="0063487C"/>
    <w:rsid w:val="0063489B"/>
    <w:rsid w:val="00634AC0"/>
    <w:rsid w:val="00634AD2"/>
    <w:rsid w:val="00634C11"/>
    <w:rsid w:val="00634C7B"/>
    <w:rsid w:val="00634CA1"/>
    <w:rsid w:val="00634D59"/>
    <w:rsid w:val="00634D63"/>
    <w:rsid w:val="00634D8F"/>
    <w:rsid w:val="00634F7A"/>
    <w:rsid w:val="006350E4"/>
    <w:rsid w:val="006351AE"/>
    <w:rsid w:val="00635223"/>
    <w:rsid w:val="0063524E"/>
    <w:rsid w:val="0063545E"/>
    <w:rsid w:val="00635499"/>
    <w:rsid w:val="006355B7"/>
    <w:rsid w:val="0063563E"/>
    <w:rsid w:val="0063570C"/>
    <w:rsid w:val="00635711"/>
    <w:rsid w:val="006357F9"/>
    <w:rsid w:val="00635961"/>
    <w:rsid w:val="006359B5"/>
    <w:rsid w:val="00635B3E"/>
    <w:rsid w:val="00635C0D"/>
    <w:rsid w:val="00635D4D"/>
    <w:rsid w:val="00635EFD"/>
    <w:rsid w:val="00635F2C"/>
    <w:rsid w:val="00635FAD"/>
    <w:rsid w:val="00636019"/>
    <w:rsid w:val="0063635B"/>
    <w:rsid w:val="006363B7"/>
    <w:rsid w:val="006363C7"/>
    <w:rsid w:val="006363CA"/>
    <w:rsid w:val="0063647D"/>
    <w:rsid w:val="006364DF"/>
    <w:rsid w:val="0063678A"/>
    <w:rsid w:val="0063693B"/>
    <w:rsid w:val="006369A7"/>
    <w:rsid w:val="00636A72"/>
    <w:rsid w:val="00636CD8"/>
    <w:rsid w:val="00636F5E"/>
    <w:rsid w:val="00636FF4"/>
    <w:rsid w:val="00636FFB"/>
    <w:rsid w:val="00637019"/>
    <w:rsid w:val="00637043"/>
    <w:rsid w:val="006370DA"/>
    <w:rsid w:val="006371C3"/>
    <w:rsid w:val="006371F8"/>
    <w:rsid w:val="00637318"/>
    <w:rsid w:val="0063733E"/>
    <w:rsid w:val="00637505"/>
    <w:rsid w:val="00637592"/>
    <w:rsid w:val="00637637"/>
    <w:rsid w:val="006376FB"/>
    <w:rsid w:val="00637769"/>
    <w:rsid w:val="00637896"/>
    <w:rsid w:val="006378A8"/>
    <w:rsid w:val="00637A53"/>
    <w:rsid w:val="00637ACD"/>
    <w:rsid w:val="00637ADA"/>
    <w:rsid w:val="00637AEB"/>
    <w:rsid w:val="00637AF1"/>
    <w:rsid w:val="00637B4F"/>
    <w:rsid w:val="00637B60"/>
    <w:rsid w:val="00637BC0"/>
    <w:rsid w:val="00637C49"/>
    <w:rsid w:val="00637CF5"/>
    <w:rsid w:val="00637EF7"/>
    <w:rsid w:val="00640157"/>
    <w:rsid w:val="0064018F"/>
    <w:rsid w:val="0064053F"/>
    <w:rsid w:val="0064055D"/>
    <w:rsid w:val="006405EA"/>
    <w:rsid w:val="006406C1"/>
    <w:rsid w:val="0064072C"/>
    <w:rsid w:val="00640867"/>
    <w:rsid w:val="00640A02"/>
    <w:rsid w:val="00640AEB"/>
    <w:rsid w:val="00640BEC"/>
    <w:rsid w:val="00640C32"/>
    <w:rsid w:val="00640DEA"/>
    <w:rsid w:val="00640EDF"/>
    <w:rsid w:val="00640F03"/>
    <w:rsid w:val="00640F53"/>
    <w:rsid w:val="00640F77"/>
    <w:rsid w:val="00641063"/>
    <w:rsid w:val="00641072"/>
    <w:rsid w:val="00641079"/>
    <w:rsid w:val="0064115F"/>
    <w:rsid w:val="0064128B"/>
    <w:rsid w:val="00641341"/>
    <w:rsid w:val="0064142B"/>
    <w:rsid w:val="00641463"/>
    <w:rsid w:val="0064175D"/>
    <w:rsid w:val="0064184A"/>
    <w:rsid w:val="00641872"/>
    <w:rsid w:val="006418A6"/>
    <w:rsid w:val="006418D8"/>
    <w:rsid w:val="00641A12"/>
    <w:rsid w:val="00641A44"/>
    <w:rsid w:val="00641ACA"/>
    <w:rsid w:val="00641C24"/>
    <w:rsid w:val="00641D71"/>
    <w:rsid w:val="00641DB0"/>
    <w:rsid w:val="00641DBF"/>
    <w:rsid w:val="00641FF3"/>
    <w:rsid w:val="0064200B"/>
    <w:rsid w:val="00642230"/>
    <w:rsid w:val="006422DE"/>
    <w:rsid w:val="0064231B"/>
    <w:rsid w:val="006423E2"/>
    <w:rsid w:val="006423F3"/>
    <w:rsid w:val="00642541"/>
    <w:rsid w:val="00642574"/>
    <w:rsid w:val="006425D7"/>
    <w:rsid w:val="006426F7"/>
    <w:rsid w:val="0064285A"/>
    <w:rsid w:val="00642873"/>
    <w:rsid w:val="006428D7"/>
    <w:rsid w:val="006428F2"/>
    <w:rsid w:val="00642936"/>
    <w:rsid w:val="00642CA7"/>
    <w:rsid w:val="00642D5A"/>
    <w:rsid w:val="00642DCC"/>
    <w:rsid w:val="00642E0C"/>
    <w:rsid w:val="00642FD7"/>
    <w:rsid w:val="0064301B"/>
    <w:rsid w:val="00643069"/>
    <w:rsid w:val="00643117"/>
    <w:rsid w:val="006431B5"/>
    <w:rsid w:val="00643233"/>
    <w:rsid w:val="006432F3"/>
    <w:rsid w:val="00643343"/>
    <w:rsid w:val="00643466"/>
    <w:rsid w:val="006434DC"/>
    <w:rsid w:val="00643564"/>
    <w:rsid w:val="00643596"/>
    <w:rsid w:val="00643655"/>
    <w:rsid w:val="0064375D"/>
    <w:rsid w:val="00643774"/>
    <w:rsid w:val="0064381B"/>
    <w:rsid w:val="006438E6"/>
    <w:rsid w:val="00643AC5"/>
    <w:rsid w:val="00643B4F"/>
    <w:rsid w:val="00643F02"/>
    <w:rsid w:val="00643F2A"/>
    <w:rsid w:val="006441C7"/>
    <w:rsid w:val="00644257"/>
    <w:rsid w:val="0064427F"/>
    <w:rsid w:val="00644301"/>
    <w:rsid w:val="0064430F"/>
    <w:rsid w:val="0064436E"/>
    <w:rsid w:val="00644393"/>
    <w:rsid w:val="0064449D"/>
    <w:rsid w:val="006444D5"/>
    <w:rsid w:val="00644640"/>
    <w:rsid w:val="00644839"/>
    <w:rsid w:val="00644A75"/>
    <w:rsid w:val="00644B66"/>
    <w:rsid w:val="00644BC8"/>
    <w:rsid w:val="00644BED"/>
    <w:rsid w:val="00644CCE"/>
    <w:rsid w:val="00644CFB"/>
    <w:rsid w:val="00644D7C"/>
    <w:rsid w:val="00644DCA"/>
    <w:rsid w:val="00645015"/>
    <w:rsid w:val="006450B8"/>
    <w:rsid w:val="00645218"/>
    <w:rsid w:val="006452F7"/>
    <w:rsid w:val="00645373"/>
    <w:rsid w:val="0064546B"/>
    <w:rsid w:val="0064548C"/>
    <w:rsid w:val="00645504"/>
    <w:rsid w:val="00645592"/>
    <w:rsid w:val="00645669"/>
    <w:rsid w:val="0064571D"/>
    <w:rsid w:val="00645740"/>
    <w:rsid w:val="006457B8"/>
    <w:rsid w:val="00645827"/>
    <w:rsid w:val="006458CB"/>
    <w:rsid w:val="00645954"/>
    <w:rsid w:val="00645967"/>
    <w:rsid w:val="00645A15"/>
    <w:rsid w:val="00645A55"/>
    <w:rsid w:val="00645B07"/>
    <w:rsid w:val="00645DDA"/>
    <w:rsid w:val="00645E07"/>
    <w:rsid w:val="00645E81"/>
    <w:rsid w:val="00645F8B"/>
    <w:rsid w:val="00645FA5"/>
    <w:rsid w:val="006460FC"/>
    <w:rsid w:val="00646127"/>
    <w:rsid w:val="00646233"/>
    <w:rsid w:val="00646280"/>
    <w:rsid w:val="00646370"/>
    <w:rsid w:val="00646371"/>
    <w:rsid w:val="006463BD"/>
    <w:rsid w:val="0064645A"/>
    <w:rsid w:val="00646486"/>
    <w:rsid w:val="00646488"/>
    <w:rsid w:val="006464CD"/>
    <w:rsid w:val="00646517"/>
    <w:rsid w:val="00646536"/>
    <w:rsid w:val="006466E9"/>
    <w:rsid w:val="006467F8"/>
    <w:rsid w:val="00646828"/>
    <w:rsid w:val="00646918"/>
    <w:rsid w:val="006469F2"/>
    <w:rsid w:val="00646A1D"/>
    <w:rsid w:val="00646B22"/>
    <w:rsid w:val="00646BC3"/>
    <w:rsid w:val="00646BD1"/>
    <w:rsid w:val="00646E88"/>
    <w:rsid w:val="00646F11"/>
    <w:rsid w:val="00646FD4"/>
    <w:rsid w:val="00647100"/>
    <w:rsid w:val="006471FE"/>
    <w:rsid w:val="006472F2"/>
    <w:rsid w:val="006473DD"/>
    <w:rsid w:val="006473E5"/>
    <w:rsid w:val="00647402"/>
    <w:rsid w:val="00647532"/>
    <w:rsid w:val="006475AC"/>
    <w:rsid w:val="006476E5"/>
    <w:rsid w:val="006477F1"/>
    <w:rsid w:val="006478CB"/>
    <w:rsid w:val="00647A89"/>
    <w:rsid w:val="00647AE6"/>
    <w:rsid w:val="00647B80"/>
    <w:rsid w:val="00647B90"/>
    <w:rsid w:val="00647BE0"/>
    <w:rsid w:val="00647C43"/>
    <w:rsid w:val="00647C50"/>
    <w:rsid w:val="00647C51"/>
    <w:rsid w:val="00647DD1"/>
    <w:rsid w:val="00647E0E"/>
    <w:rsid w:val="0064BD8E"/>
    <w:rsid w:val="006500A3"/>
    <w:rsid w:val="006500B4"/>
    <w:rsid w:val="00650187"/>
    <w:rsid w:val="006501BD"/>
    <w:rsid w:val="00650285"/>
    <w:rsid w:val="00650297"/>
    <w:rsid w:val="006502C2"/>
    <w:rsid w:val="006502CD"/>
    <w:rsid w:val="00650301"/>
    <w:rsid w:val="006503D5"/>
    <w:rsid w:val="0065042F"/>
    <w:rsid w:val="00650433"/>
    <w:rsid w:val="0065058E"/>
    <w:rsid w:val="00650619"/>
    <w:rsid w:val="0065071C"/>
    <w:rsid w:val="0065091E"/>
    <w:rsid w:val="0065098A"/>
    <w:rsid w:val="0065099C"/>
    <w:rsid w:val="006509AF"/>
    <w:rsid w:val="00650C27"/>
    <w:rsid w:val="00650C8E"/>
    <w:rsid w:val="00650CB9"/>
    <w:rsid w:val="00650D85"/>
    <w:rsid w:val="00650D90"/>
    <w:rsid w:val="00650DEF"/>
    <w:rsid w:val="00650DFB"/>
    <w:rsid w:val="00650E6C"/>
    <w:rsid w:val="00650EE9"/>
    <w:rsid w:val="00650F1E"/>
    <w:rsid w:val="00650FE2"/>
    <w:rsid w:val="00651189"/>
    <w:rsid w:val="006511A2"/>
    <w:rsid w:val="0065121A"/>
    <w:rsid w:val="00651233"/>
    <w:rsid w:val="006513EE"/>
    <w:rsid w:val="0065153F"/>
    <w:rsid w:val="00651598"/>
    <w:rsid w:val="00651658"/>
    <w:rsid w:val="0065168E"/>
    <w:rsid w:val="0065173B"/>
    <w:rsid w:val="006517A3"/>
    <w:rsid w:val="00651896"/>
    <w:rsid w:val="006519C2"/>
    <w:rsid w:val="00651D41"/>
    <w:rsid w:val="00651D56"/>
    <w:rsid w:val="00651EA1"/>
    <w:rsid w:val="00651EF7"/>
    <w:rsid w:val="00651FC7"/>
    <w:rsid w:val="0065205A"/>
    <w:rsid w:val="006520CF"/>
    <w:rsid w:val="00652157"/>
    <w:rsid w:val="00652180"/>
    <w:rsid w:val="006521A6"/>
    <w:rsid w:val="006521E6"/>
    <w:rsid w:val="00652483"/>
    <w:rsid w:val="006524AC"/>
    <w:rsid w:val="00652596"/>
    <w:rsid w:val="006525F8"/>
    <w:rsid w:val="0065265E"/>
    <w:rsid w:val="00652695"/>
    <w:rsid w:val="0065276E"/>
    <w:rsid w:val="006527C3"/>
    <w:rsid w:val="00652821"/>
    <w:rsid w:val="006528C9"/>
    <w:rsid w:val="006529EA"/>
    <w:rsid w:val="00652A56"/>
    <w:rsid w:val="00652B03"/>
    <w:rsid w:val="00652B18"/>
    <w:rsid w:val="00652CE4"/>
    <w:rsid w:val="00652ED1"/>
    <w:rsid w:val="00652F80"/>
    <w:rsid w:val="0065302F"/>
    <w:rsid w:val="0065305A"/>
    <w:rsid w:val="006530A5"/>
    <w:rsid w:val="0065332D"/>
    <w:rsid w:val="00653365"/>
    <w:rsid w:val="0065336C"/>
    <w:rsid w:val="006533E3"/>
    <w:rsid w:val="00653477"/>
    <w:rsid w:val="0065349C"/>
    <w:rsid w:val="006534D2"/>
    <w:rsid w:val="00653566"/>
    <w:rsid w:val="00653573"/>
    <w:rsid w:val="006536D4"/>
    <w:rsid w:val="00653755"/>
    <w:rsid w:val="0065385B"/>
    <w:rsid w:val="006538BE"/>
    <w:rsid w:val="0065392B"/>
    <w:rsid w:val="00653A54"/>
    <w:rsid w:val="00653A99"/>
    <w:rsid w:val="00653B48"/>
    <w:rsid w:val="00653BAE"/>
    <w:rsid w:val="00653DC3"/>
    <w:rsid w:val="00653DC4"/>
    <w:rsid w:val="00653DF9"/>
    <w:rsid w:val="00653DFF"/>
    <w:rsid w:val="00653E03"/>
    <w:rsid w:val="00653F1C"/>
    <w:rsid w:val="00653F1E"/>
    <w:rsid w:val="006540A8"/>
    <w:rsid w:val="006540B0"/>
    <w:rsid w:val="006540DC"/>
    <w:rsid w:val="006541F3"/>
    <w:rsid w:val="00654221"/>
    <w:rsid w:val="00654472"/>
    <w:rsid w:val="006544D9"/>
    <w:rsid w:val="006544E2"/>
    <w:rsid w:val="006544FE"/>
    <w:rsid w:val="00654571"/>
    <w:rsid w:val="00654581"/>
    <w:rsid w:val="006545C7"/>
    <w:rsid w:val="00654617"/>
    <w:rsid w:val="0065471B"/>
    <w:rsid w:val="0065478B"/>
    <w:rsid w:val="006548A6"/>
    <w:rsid w:val="006548D8"/>
    <w:rsid w:val="00654931"/>
    <w:rsid w:val="00654A35"/>
    <w:rsid w:val="00654AAF"/>
    <w:rsid w:val="00654AD1"/>
    <w:rsid w:val="00654AEB"/>
    <w:rsid w:val="00654AF0"/>
    <w:rsid w:val="00654B02"/>
    <w:rsid w:val="00654DDE"/>
    <w:rsid w:val="00654EB9"/>
    <w:rsid w:val="00654ED9"/>
    <w:rsid w:val="00654FE9"/>
    <w:rsid w:val="0065516F"/>
    <w:rsid w:val="006551C5"/>
    <w:rsid w:val="00655278"/>
    <w:rsid w:val="006552C6"/>
    <w:rsid w:val="0065534A"/>
    <w:rsid w:val="00655410"/>
    <w:rsid w:val="006554A9"/>
    <w:rsid w:val="006555F6"/>
    <w:rsid w:val="006557C0"/>
    <w:rsid w:val="006557CC"/>
    <w:rsid w:val="0065580A"/>
    <w:rsid w:val="00655836"/>
    <w:rsid w:val="006558B2"/>
    <w:rsid w:val="0065597E"/>
    <w:rsid w:val="006559F3"/>
    <w:rsid w:val="00655A55"/>
    <w:rsid w:val="00655B05"/>
    <w:rsid w:val="00655B6B"/>
    <w:rsid w:val="00655B88"/>
    <w:rsid w:val="00655BE5"/>
    <w:rsid w:val="00655C50"/>
    <w:rsid w:val="00655E73"/>
    <w:rsid w:val="00655F9C"/>
    <w:rsid w:val="0065624A"/>
    <w:rsid w:val="006562B9"/>
    <w:rsid w:val="00656355"/>
    <w:rsid w:val="00656391"/>
    <w:rsid w:val="006565D4"/>
    <w:rsid w:val="00656616"/>
    <w:rsid w:val="00656842"/>
    <w:rsid w:val="0065691D"/>
    <w:rsid w:val="006569A0"/>
    <w:rsid w:val="00656A02"/>
    <w:rsid w:val="00656AE9"/>
    <w:rsid w:val="00656AF4"/>
    <w:rsid w:val="00656C8A"/>
    <w:rsid w:val="00656D31"/>
    <w:rsid w:val="00656E89"/>
    <w:rsid w:val="00656F1B"/>
    <w:rsid w:val="00656FC7"/>
    <w:rsid w:val="00657160"/>
    <w:rsid w:val="006571BB"/>
    <w:rsid w:val="00657296"/>
    <w:rsid w:val="006574C9"/>
    <w:rsid w:val="00657564"/>
    <w:rsid w:val="0065758D"/>
    <w:rsid w:val="006575D8"/>
    <w:rsid w:val="006575F4"/>
    <w:rsid w:val="00657627"/>
    <w:rsid w:val="0065763B"/>
    <w:rsid w:val="00657979"/>
    <w:rsid w:val="006579A9"/>
    <w:rsid w:val="00657A39"/>
    <w:rsid w:val="00657BEF"/>
    <w:rsid w:val="00657BFE"/>
    <w:rsid w:val="00657C6A"/>
    <w:rsid w:val="00657D4B"/>
    <w:rsid w:val="00657D95"/>
    <w:rsid w:val="00657E22"/>
    <w:rsid w:val="00657E26"/>
    <w:rsid w:val="00657F4C"/>
    <w:rsid w:val="006581FA"/>
    <w:rsid w:val="00660077"/>
    <w:rsid w:val="00660081"/>
    <w:rsid w:val="006600C6"/>
    <w:rsid w:val="006601DD"/>
    <w:rsid w:val="006601FD"/>
    <w:rsid w:val="00660260"/>
    <w:rsid w:val="00660262"/>
    <w:rsid w:val="006602B3"/>
    <w:rsid w:val="006603E6"/>
    <w:rsid w:val="006603FF"/>
    <w:rsid w:val="00660518"/>
    <w:rsid w:val="0066051E"/>
    <w:rsid w:val="006605DD"/>
    <w:rsid w:val="00660684"/>
    <w:rsid w:val="006607FA"/>
    <w:rsid w:val="00660835"/>
    <w:rsid w:val="00660849"/>
    <w:rsid w:val="006608B5"/>
    <w:rsid w:val="006608F5"/>
    <w:rsid w:val="00660981"/>
    <w:rsid w:val="00660A57"/>
    <w:rsid w:val="00660A9D"/>
    <w:rsid w:val="00660B52"/>
    <w:rsid w:val="00660C0C"/>
    <w:rsid w:val="00660C89"/>
    <w:rsid w:val="00660CCF"/>
    <w:rsid w:val="00660CE6"/>
    <w:rsid w:val="00660F41"/>
    <w:rsid w:val="00660FC8"/>
    <w:rsid w:val="00661167"/>
    <w:rsid w:val="006611FC"/>
    <w:rsid w:val="00661260"/>
    <w:rsid w:val="006613CB"/>
    <w:rsid w:val="006613EA"/>
    <w:rsid w:val="006614A5"/>
    <w:rsid w:val="00661513"/>
    <w:rsid w:val="00661528"/>
    <w:rsid w:val="00661584"/>
    <w:rsid w:val="006615C0"/>
    <w:rsid w:val="006616D7"/>
    <w:rsid w:val="0066177D"/>
    <w:rsid w:val="006617BA"/>
    <w:rsid w:val="0066181D"/>
    <w:rsid w:val="006618C5"/>
    <w:rsid w:val="006619D8"/>
    <w:rsid w:val="00661B3A"/>
    <w:rsid w:val="00661C2E"/>
    <w:rsid w:val="00661CEB"/>
    <w:rsid w:val="00661F5C"/>
    <w:rsid w:val="00661F7B"/>
    <w:rsid w:val="0066207D"/>
    <w:rsid w:val="00662188"/>
    <w:rsid w:val="006621CD"/>
    <w:rsid w:val="006621E5"/>
    <w:rsid w:val="006621FE"/>
    <w:rsid w:val="00662238"/>
    <w:rsid w:val="00662320"/>
    <w:rsid w:val="0066233B"/>
    <w:rsid w:val="00662411"/>
    <w:rsid w:val="00662467"/>
    <w:rsid w:val="00662477"/>
    <w:rsid w:val="00662491"/>
    <w:rsid w:val="00662563"/>
    <w:rsid w:val="00662629"/>
    <w:rsid w:val="006626AE"/>
    <w:rsid w:val="00662A60"/>
    <w:rsid w:val="00662AEB"/>
    <w:rsid w:val="00662B28"/>
    <w:rsid w:val="00662CB0"/>
    <w:rsid w:val="00662D2D"/>
    <w:rsid w:val="00662D56"/>
    <w:rsid w:val="00662EBD"/>
    <w:rsid w:val="00662F00"/>
    <w:rsid w:val="00662F6A"/>
    <w:rsid w:val="00662F6C"/>
    <w:rsid w:val="00662FAB"/>
    <w:rsid w:val="00662FCE"/>
    <w:rsid w:val="0066303F"/>
    <w:rsid w:val="00663087"/>
    <w:rsid w:val="006631C0"/>
    <w:rsid w:val="0066333F"/>
    <w:rsid w:val="006633F9"/>
    <w:rsid w:val="0066340F"/>
    <w:rsid w:val="0066364F"/>
    <w:rsid w:val="0066375F"/>
    <w:rsid w:val="00663855"/>
    <w:rsid w:val="00663973"/>
    <w:rsid w:val="00663A79"/>
    <w:rsid w:val="00663B94"/>
    <w:rsid w:val="00663FE7"/>
    <w:rsid w:val="0066406F"/>
    <w:rsid w:val="006640B6"/>
    <w:rsid w:val="00664182"/>
    <w:rsid w:val="00664203"/>
    <w:rsid w:val="00664343"/>
    <w:rsid w:val="00664467"/>
    <w:rsid w:val="0066462B"/>
    <w:rsid w:val="006647A8"/>
    <w:rsid w:val="006647CC"/>
    <w:rsid w:val="00664826"/>
    <w:rsid w:val="006648AB"/>
    <w:rsid w:val="00664913"/>
    <w:rsid w:val="00664980"/>
    <w:rsid w:val="00664A7B"/>
    <w:rsid w:val="00664A82"/>
    <w:rsid w:val="00664AB3"/>
    <w:rsid w:val="00664AFE"/>
    <w:rsid w:val="00664B00"/>
    <w:rsid w:val="00664B78"/>
    <w:rsid w:val="00664BCE"/>
    <w:rsid w:val="00664CD4"/>
    <w:rsid w:val="00664D3F"/>
    <w:rsid w:val="00664DAE"/>
    <w:rsid w:val="00664E9B"/>
    <w:rsid w:val="00664ECA"/>
    <w:rsid w:val="00664FA0"/>
    <w:rsid w:val="00665042"/>
    <w:rsid w:val="006651BD"/>
    <w:rsid w:val="006656DA"/>
    <w:rsid w:val="00665708"/>
    <w:rsid w:val="006658B2"/>
    <w:rsid w:val="0066592C"/>
    <w:rsid w:val="00665B8A"/>
    <w:rsid w:val="00665CE5"/>
    <w:rsid w:val="00665D21"/>
    <w:rsid w:val="00665DDA"/>
    <w:rsid w:val="00665DE3"/>
    <w:rsid w:val="00665E2F"/>
    <w:rsid w:val="00665E34"/>
    <w:rsid w:val="00665E3F"/>
    <w:rsid w:val="00665EE3"/>
    <w:rsid w:val="00665EF6"/>
    <w:rsid w:val="00665F66"/>
    <w:rsid w:val="00665FDD"/>
    <w:rsid w:val="00666031"/>
    <w:rsid w:val="006660D0"/>
    <w:rsid w:val="00666205"/>
    <w:rsid w:val="0066627C"/>
    <w:rsid w:val="006662B7"/>
    <w:rsid w:val="0066636C"/>
    <w:rsid w:val="00666415"/>
    <w:rsid w:val="0066642A"/>
    <w:rsid w:val="006667C2"/>
    <w:rsid w:val="0066681C"/>
    <w:rsid w:val="00666896"/>
    <w:rsid w:val="006668F6"/>
    <w:rsid w:val="00666A8B"/>
    <w:rsid w:val="00666B6C"/>
    <w:rsid w:val="00666CD8"/>
    <w:rsid w:val="00666D15"/>
    <w:rsid w:val="00666D59"/>
    <w:rsid w:val="00666DD1"/>
    <w:rsid w:val="00666EAD"/>
    <w:rsid w:val="00666F35"/>
    <w:rsid w:val="00667078"/>
    <w:rsid w:val="00667163"/>
    <w:rsid w:val="00667208"/>
    <w:rsid w:val="00667222"/>
    <w:rsid w:val="006673E8"/>
    <w:rsid w:val="006673ED"/>
    <w:rsid w:val="006674F2"/>
    <w:rsid w:val="0066757E"/>
    <w:rsid w:val="006676A2"/>
    <w:rsid w:val="006676CD"/>
    <w:rsid w:val="00667705"/>
    <w:rsid w:val="006677C8"/>
    <w:rsid w:val="00667871"/>
    <w:rsid w:val="00667894"/>
    <w:rsid w:val="006678B7"/>
    <w:rsid w:val="00667936"/>
    <w:rsid w:val="0066794C"/>
    <w:rsid w:val="00667A25"/>
    <w:rsid w:val="00667C08"/>
    <w:rsid w:val="00667D06"/>
    <w:rsid w:val="00667D1F"/>
    <w:rsid w:val="00667D6E"/>
    <w:rsid w:val="00667D7F"/>
    <w:rsid w:val="00667DA1"/>
    <w:rsid w:val="00667DF7"/>
    <w:rsid w:val="00667EB6"/>
    <w:rsid w:val="00667F08"/>
    <w:rsid w:val="00667F5B"/>
    <w:rsid w:val="00670017"/>
    <w:rsid w:val="00670025"/>
    <w:rsid w:val="0067014A"/>
    <w:rsid w:val="006701B2"/>
    <w:rsid w:val="006701DF"/>
    <w:rsid w:val="0067027D"/>
    <w:rsid w:val="006702CC"/>
    <w:rsid w:val="0067034F"/>
    <w:rsid w:val="0067036A"/>
    <w:rsid w:val="0067037C"/>
    <w:rsid w:val="006704D4"/>
    <w:rsid w:val="0067057A"/>
    <w:rsid w:val="006706CF"/>
    <w:rsid w:val="00670750"/>
    <w:rsid w:val="00670767"/>
    <w:rsid w:val="00670794"/>
    <w:rsid w:val="0067084B"/>
    <w:rsid w:val="006708A9"/>
    <w:rsid w:val="00670ADF"/>
    <w:rsid w:val="00670B09"/>
    <w:rsid w:val="00670C3F"/>
    <w:rsid w:val="00670C57"/>
    <w:rsid w:val="00670CF8"/>
    <w:rsid w:val="00670E9E"/>
    <w:rsid w:val="00670EA8"/>
    <w:rsid w:val="00670EEE"/>
    <w:rsid w:val="0067106F"/>
    <w:rsid w:val="00671096"/>
    <w:rsid w:val="006710DF"/>
    <w:rsid w:val="00671115"/>
    <w:rsid w:val="00671122"/>
    <w:rsid w:val="006711CF"/>
    <w:rsid w:val="0067130A"/>
    <w:rsid w:val="006713E7"/>
    <w:rsid w:val="0067151E"/>
    <w:rsid w:val="00671554"/>
    <w:rsid w:val="00671585"/>
    <w:rsid w:val="006716C7"/>
    <w:rsid w:val="006716DB"/>
    <w:rsid w:val="0067177B"/>
    <w:rsid w:val="006718AC"/>
    <w:rsid w:val="006718B3"/>
    <w:rsid w:val="006718E2"/>
    <w:rsid w:val="0067192F"/>
    <w:rsid w:val="00671A4C"/>
    <w:rsid w:val="00671B0A"/>
    <w:rsid w:val="00671B47"/>
    <w:rsid w:val="00671B4D"/>
    <w:rsid w:val="00671B56"/>
    <w:rsid w:val="00671BFA"/>
    <w:rsid w:val="00671C0E"/>
    <w:rsid w:val="00671C26"/>
    <w:rsid w:val="00671CF1"/>
    <w:rsid w:val="00671CF2"/>
    <w:rsid w:val="00671DEE"/>
    <w:rsid w:val="00671DFA"/>
    <w:rsid w:val="00671EC0"/>
    <w:rsid w:val="00671F53"/>
    <w:rsid w:val="00671FDC"/>
    <w:rsid w:val="00671FE2"/>
    <w:rsid w:val="00672016"/>
    <w:rsid w:val="00672072"/>
    <w:rsid w:val="006720ED"/>
    <w:rsid w:val="006720FD"/>
    <w:rsid w:val="00672203"/>
    <w:rsid w:val="0067221D"/>
    <w:rsid w:val="006722D0"/>
    <w:rsid w:val="00672300"/>
    <w:rsid w:val="00672360"/>
    <w:rsid w:val="006723B0"/>
    <w:rsid w:val="00672409"/>
    <w:rsid w:val="006724D0"/>
    <w:rsid w:val="00672690"/>
    <w:rsid w:val="006726DE"/>
    <w:rsid w:val="006727A1"/>
    <w:rsid w:val="006728E1"/>
    <w:rsid w:val="006728EA"/>
    <w:rsid w:val="00672967"/>
    <w:rsid w:val="006729A3"/>
    <w:rsid w:val="006729F9"/>
    <w:rsid w:val="00672A07"/>
    <w:rsid w:val="00672A1E"/>
    <w:rsid w:val="00672B29"/>
    <w:rsid w:val="00672B5A"/>
    <w:rsid w:val="00672B9A"/>
    <w:rsid w:val="00672BBE"/>
    <w:rsid w:val="00672BCD"/>
    <w:rsid w:val="00672E24"/>
    <w:rsid w:val="00672FC3"/>
    <w:rsid w:val="0067303A"/>
    <w:rsid w:val="0067303F"/>
    <w:rsid w:val="006730D5"/>
    <w:rsid w:val="006730F7"/>
    <w:rsid w:val="0067318C"/>
    <w:rsid w:val="00673348"/>
    <w:rsid w:val="0067337A"/>
    <w:rsid w:val="006733BF"/>
    <w:rsid w:val="00673645"/>
    <w:rsid w:val="0067368A"/>
    <w:rsid w:val="00673747"/>
    <w:rsid w:val="006737B2"/>
    <w:rsid w:val="00673875"/>
    <w:rsid w:val="006738F8"/>
    <w:rsid w:val="006738FD"/>
    <w:rsid w:val="00673A40"/>
    <w:rsid w:val="00673A4D"/>
    <w:rsid w:val="00673BE4"/>
    <w:rsid w:val="00673D82"/>
    <w:rsid w:val="00673D9B"/>
    <w:rsid w:val="00673EA5"/>
    <w:rsid w:val="00673F2D"/>
    <w:rsid w:val="00673F9E"/>
    <w:rsid w:val="00673FCB"/>
    <w:rsid w:val="00674075"/>
    <w:rsid w:val="006740C2"/>
    <w:rsid w:val="006740D3"/>
    <w:rsid w:val="00674323"/>
    <w:rsid w:val="0067434E"/>
    <w:rsid w:val="00674458"/>
    <w:rsid w:val="0067467D"/>
    <w:rsid w:val="006746FE"/>
    <w:rsid w:val="006747B6"/>
    <w:rsid w:val="006748E2"/>
    <w:rsid w:val="00674924"/>
    <w:rsid w:val="00674AF4"/>
    <w:rsid w:val="00674C1B"/>
    <w:rsid w:val="00674C88"/>
    <w:rsid w:val="00674CB8"/>
    <w:rsid w:val="00674DE0"/>
    <w:rsid w:val="00674EE4"/>
    <w:rsid w:val="006750FB"/>
    <w:rsid w:val="00675105"/>
    <w:rsid w:val="00675354"/>
    <w:rsid w:val="006753B3"/>
    <w:rsid w:val="006753D2"/>
    <w:rsid w:val="0067545F"/>
    <w:rsid w:val="00675487"/>
    <w:rsid w:val="00675620"/>
    <w:rsid w:val="0067568B"/>
    <w:rsid w:val="00675698"/>
    <w:rsid w:val="00675721"/>
    <w:rsid w:val="00675726"/>
    <w:rsid w:val="00675782"/>
    <w:rsid w:val="006759A4"/>
    <w:rsid w:val="006759BF"/>
    <w:rsid w:val="006759E0"/>
    <w:rsid w:val="00675A79"/>
    <w:rsid w:val="00675BE5"/>
    <w:rsid w:val="00675BFB"/>
    <w:rsid w:val="00675C76"/>
    <w:rsid w:val="00675D10"/>
    <w:rsid w:val="00675E5D"/>
    <w:rsid w:val="00675F88"/>
    <w:rsid w:val="00675FAF"/>
    <w:rsid w:val="00675FE1"/>
    <w:rsid w:val="006760BF"/>
    <w:rsid w:val="00676103"/>
    <w:rsid w:val="0067613E"/>
    <w:rsid w:val="006761DA"/>
    <w:rsid w:val="00676206"/>
    <w:rsid w:val="0067626B"/>
    <w:rsid w:val="00676449"/>
    <w:rsid w:val="00676551"/>
    <w:rsid w:val="006765AD"/>
    <w:rsid w:val="006765E0"/>
    <w:rsid w:val="006765F8"/>
    <w:rsid w:val="0067683C"/>
    <w:rsid w:val="0067694C"/>
    <w:rsid w:val="00676951"/>
    <w:rsid w:val="00676963"/>
    <w:rsid w:val="00676A59"/>
    <w:rsid w:val="00676AA1"/>
    <w:rsid w:val="00676B86"/>
    <w:rsid w:val="00676BB0"/>
    <w:rsid w:val="00676BEE"/>
    <w:rsid w:val="00676D67"/>
    <w:rsid w:val="00676EC7"/>
    <w:rsid w:val="00676F48"/>
    <w:rsid w:val="00676F7B"/>
    <w:rsid w:val="00676FE4"/>
    <w:rsid w:val="00677016"/>
    <w:rsid w:val="00677124"/>
    <w:rsid w:val="006771EE"/>
    <w:rsid w:val="006771FC"/>
    <w:rsid w:val="0067725E"/>
    <w:rsid w:val="006772AD"/>
    <w:rsid w:val="006773A2"/>
    <w:rsid w:val="006773AF"/>
    <w:rsid w:val="006773CD"/>
    <w:rsid w:val="00677552"/>
    <w:rsid w:val="006775AA"/>
    <w:rsid w:val="0067770B"/>
    <w:rsid w:val="006777AF"/>
    <w:rsid w:val="00677A14"/>
    <w:rsid w:val="00677A26"/>
    <w:rsid w:val="00677B99"/>
    <w:rsid w:val="00677CB4"/>
    <w:rsid w:val="00677CC4"/>
    <w:rsid w:val="00677E66"/>
    <w:rsid w:val="00680051"/>
    <w:rsid w:val="00680054"/>
    <w:rsid w:val="0068014D"/>
    <w:rsid w:val="006803F5"/>
    <w:rsid w:val="006806E1"/>
    <w:rsid w:val="00680855"/>
    <w:rsid w:val="006808BF"/>
    <w:rsid w:val="00680913"/>
    <w:rsid w:val="0068095E"/>
    <w:rsid w:val="006809F5"/>
    <w:rsid w:val="00680BEE"/>
    <w:rsid w:val="00680CEC"/>
    <w:rsid w:val="00680D6A"/>
    <w:rsid w:val="00680DF9"/>
    <w:rsid w:val="00680E8E"/>
    <w:rsid w:val="00680FB8"/>
    <w:rsid w:val="0068105F"/>
    <w:rsid w:val="006810BD"/>
    <w:rsid w:val="0068111C"/>
    <w:rsid w:val="0068114F"/>
    <w:rsid w:val="006811FB"/>
    <w:rsid w:val="006812C5"/>
    <w:rsid w:val="0068134E"/>
    <w:rsid w:val="006813CF"/>
    <w:rsid w:val="00681476"/>
    <w:rsid w:val="0068164D"/>
    <w:rsid w:val="0068176C"/>
    <w:rsid w:val="0068181E"/>
    <w:rsid w:val="0068184C"/>
    <w:rsid w:val="006818EB"/>
    <w:rsid w:val="006819E2"/>
    <w:rsid w:val="00681AC7"/>
    <w:rsid w:val="00681B6C"/>
    <w:rsid w:val="00681D56"/>
    <w:rsid w:val="00681E45"/>
    <w:rsid w:val="00681EAC"/>
    <w:rsid w:val="00681F42"/>
    <w:rsid w:val="00681FB8"/>
    <w:rsid w:val="00682074"/>
    <w:rsid w:val="00682119"/>
    <w:rsid w:val="00682175"/>
    <w:rsid w:val="0068235A"/>
    <w:rsid w:val="0068241A"/>
    <w:rsid w:val="00682744"/>
    <w:rsid w:val="006829A5"/>
    <w:rsid w:val="00682A44"/>
    <w:rsid w:val="00682AD7"/>
    <w:rsid w:val="00682AED"/>
    <w:rsid w:val="00682C50"/>
    <w:rsid w:val="00682CC8"/>
    <w:rsid w:val="00682D22"/>
    <w:rsid w:val="00682D6E"/>
    <w:rsid w:val="00682D99"/>
    <w:rsid w:val="00682EAB"/>
    <w:rsid w:val="00682F80"/>
    <w:rsid w:val="00683059"/>
    <w:rsid w:val="00683112"/>
    <w:rsid w:val="00683249"/>
    <w:rsid w:val="00683378"/>
    <w:rsid w:val="006833D8"/>
    <w:rsid w:val="0068341F"/>
    <w:rsid w:val="006834A6"/>
    <w:rsid w:val="00683551"/>
    <w:rsid w:val="006835B4"/>
    <w:rsid w:val="00683636"/>
    <w:rsid w:val="00683695"/>
    <w:rsid w:val="00683788"/>
    <w:rsid w:val="00683826"/>
    <w:rsid w:val="0068393A"/>
    <w:rsid w:val="00683A39"/>
    <w:rsid w:val="00683A65"/>
    <w:rsid w:val="00683B1A"/>
    <w:rsid w:val="00683BB5"/>
    <w:rsid w:val="00683E5F"/>
    <w:rsid w:val="00683E9C"/>
    <w:rsid w:val="00683F2D"/>
    <w:rsid w:val="00683F55"/>
    <w:rsid w:val="0068406F"/>
    <w:rsid w:val="00684084"/>
    <w:rsid w:val="006840FE"/>
    <w:rsid w:val="00684178"/>
    <w:rsid w:val="006841D6"/>
    <w:rsid w:val="0068426D"/>
    <w:rsid w:val="006842E5"/>
    <w:rsid w:val="0068437F"/>
    <w:rsid w:val="006843B3"/>
    <w:rsid w:val="006843ED"/>
    <w:rsid w:val="0068445F"/>
    <w:rsid w:val="006846FD"/>
    <w:rsid w:val="00684732"/>
    <w:rsid w:val="0068486C"/>
    <w:rsid w:val="006849B2"/>
    <w:rsid w:val="00684AB8"/>
    <w:rsid w:val="00684ACA"/>
    <w:rsid w:val="00684B1F"/>
    <w:rsid w:val="00684C67"/>
    <w:rsid w:val="00684E63"/>
    <w:rsid w:val="006850EB"/>
    <w:rsid w:val="00685111"/>
    <w:rsid w:val="006851E1"/>
    <w:rsid w:val="0068530B"/>
    <w:rsid w:val="0068540E"/>
    <w:rsid w:val="00685414"/>
    <w:rsid w:val="0068546A"/>
    <w:rsid w:val="006854C6"/>
    <w:rsid w:val="006854FC"/>
    <w:rsid w:val="00685522"/>
    <w:rsid w:val="006856DB"/>
    <w:rsid w:val="006856E6"/>
    <w:rsid w:val="006857AD"/>
    <w:rsid w:val="006857E5"/>
    <w:rsid w:val="006857F5"/>
    <w:rsid w:val="00685834"/>
    <w:rsid w:val="0068595D"/>
    <w:rsid w:val="00685A2D"/>
    <w:rsid w:val="00685A57"/>
    <w:rsid w:val="00685A86"/>
    <w:rsid w:val="00685B29"/>
    <w:rsid w:val="00685B35"/>
    <w:rsid w:val="00685C02"/>
    <w:rsid w:val="00685CFA"/>
    <w:rsid w:val="00685D48"/>
    <w:rsid w:val="00685D5B"/>
    <w:rsid w:val="00685D85"/>
    <w:rsid w:val="00685DC7"/>
    <w:rsid w:val="00685ECE"/>
    <w:rsid w:val="00686056"/>
    <w:rsid w:val="0068621D"/>
    <w:rsid w:val="00686252"/>
    <w:rsid w:val="0068631A"/>
    <w:rsid w:val="00686417"/>
    <w:rsid w:val="006867FE"/>
    <w:rsid w:val="00686850"/>
    <w:rsid w:val="00686AFF"/>
    <w:rsid w:val="00686B38"/>
    <w:rsid w:val="00686BA6"/>
    <w:rsid w:val="00686C41"/>
    <w:rsid w:val="00686C52"/>
    <w:rsid w:val="00686C64"/>
    <w:rsid w:val="00686CDF"/>
    <w:rsid w:val="00686D77"/>
    <w:rsid w:val="00686DBA"/>
    <w:rsid w:val="00686E04"/>
    <w:rsid w:val="00686F2C"/>
    <w:rsid w:val="006870ED"/>
    <w:rsid w:val="00687472"/>
    <w:rsid w:val="006874A3"/>
    <w:rsid w:val="006875A9"/>
    <w:rsid w:val="00687609"/>
    <w:rsid w:val="006876E2"/>
    <w:rsid w:val="0068771E"/>
    <w:rsid w:val="00687870"/>
    <w:rsid w:val="0068788B"/>
    <w:rsid w:val="006878C3"/>
    <w:rsid w:val="00687999"/>
    <w:rsid w:val="00687B86"/>
    <w:rsid w:val="00687B96"/>
    <w:rsid w:val="00687E83"/>
    <w:rsid w:val="00687F97"/>
    <w:rsid w:val="00690336"/>
    <w:rsid w:val="00690593"/>
    <w:rsid w:val="006905B3"/>
    <w:rsid w:val="006907DF"/>
    <w:rsid w:val="00690999"/>
    <w:rsid w:val="00690A09"/>
    <w:rsid w:val="00690A20"/>
    <w:rsid w:val="00690C3C"/>
    <w:rsid w:val="00690CAE"/>
    <w:rsid w:val="00690CC2"/>
    <w:rsid w:val="00690CD6"/>
    <w:rsid w:val="00690D41"/>
    <w:rsid w:val="00690EC1"/>
    <w:rsid w:val="00690F03"/>
    <w:rsid w:val="00690FA0"/>
    <w:rsid w:val="0069106E"/>
    <w:rsid w:val="00691071"/>
    <w:rsid w:val="0069108E"/>
    <w:rsid w:val="00691097"/>
    <w:rsid w:val="0069113E"/>
    <w:rsid w:val="0069120B"/>
    <w:rsid w:val="0069124E"/>
    <w:rsid w:val="0069139B"/>
    <w:rsid w:val="006913A4"/>
    <w:rsid w:val="006913E5"/>
    <w:rsid w:val="00691584"/>
    <w:rsid w:val="006915CA"/>
    <w:rsid w:val="006916A1"/>
    <w:rsid w:val="00691712"/>
    <w:rsid w:val="0069179C"/>
    <w:rsid w:val="006918CF"/>
    <w:rsid w:val="00691956"/>
    <w:rsid w:val="00691A49"/>
    <w:rsid w:val="00691AE7"/>
    <w:rsid w:val="00691B30"/>
    <w:rsid w:val="00691BCE"/>
    <w:rsid w:val="00691C32"/>
    <w:rsid w:val="00691C77"/>
    <w:rsid w:val="00691D6A"/>
    <w:rsid w:val="00691E61"/>
    <w:rsid w:val="00691FA7"/>
    <w:rsid w:val="00692030"/>
    <w:rsid w:val="006920CD"/>
    <w:rsid w:val="0069225C"/>
    <w:rsid w:val="00692394"/>
    <w:rsid w:val="006923F6"/>
    <w:rsid w:val="00692428"/>
    <w:rsid w:val="00692471"/>
    <w:rsid w:val="00692493"/>
    <w:rsid w:val="0069253F"/>
    <w:rsid w:val="006927CB"/>
    <w:rsid w:val="006927D6"/>
    <w:rsid w:val="006927E7"/>
    <w:rsid w:val="00692B04"/>
    <w:rsid w:val="00692B4E"/>
    <w:rsid w:val="00692C01"/>
    <w:rsid w:val="00692C33"/>
    <w:rsid w:val="00692C83"/>
    <w:rsid w:val="00692D92"/>
    <w:rsid w:val="00692E32"/>
    <w:rsid w:val="00692F28"/>
    <w:rsid w:val="00692FF6"/>
    <w:rsid w:val="00693095"/>
    <w:rsid w:val="006930D7"/>
    <w:rsid w:val="00693102"/>
    <w:rsid w:val="00693141"/>
    <w:rsid w:val="0069326B"/>
    <w:rsid w:val="0069327B"/>
    <w:rsid w:val="00693389"/>
    <w:rsid w:val="0069355B"/>
    <w:rsid w:val="0069357B"/>
    <w:rsid w:val="00693605"/>
    <w:rsid w:val="0069362A"/>
    <w:rsid w:val="00693765"/>
    <w:rsid w:val="00693805"/>
    <w:rsid w:val="00693902"/>
    <w:rsid w:val="00693921"/>
    <w:rsid w:val="00693937"/>
    <w:rsid w:val="00693961"/>
    <w:rsid w:val="006939FF"/>
    <w:rsid w:val="00693A3A"/>
    <w:rsid w:val="00693A8E"/>
    <w:rsid w:val="00693AEF"/>
    <w:rsid w:val="00693C7E"/>
    <w:rsid w:val="00693C92"/>
    <w:rsid w:val="00693F86"/>
    <w:rsid w:val="00693F87"/>
    <w:rsid w:val="00693FBD"/>
    <w:rsid w:val="00694012"/>
    <w:rsid w:val="0069408A"/>
    <w:rsid w:val="0069408E"/>
    <w:rsid w:val="006942B4"/>
    <w:rsid w:val="00694512"/>
    <w:rsid w:val="006946D2"/>
    <w:rsid w:val="00694757"/>
    <w:rsid w:val="006949D3"/>
    <w:rsid w:val="00694B92"/>
    <w:rsid w:val="00694BB8"/>
    <w:rsid w:val="00694E5A"/>
    <w:rsid w:val="00694ECD"/>
    <w:rsid w:val="00694F57"/>
    <w:rsid w:val="00694F98"/>
    <w:rsid w:val="0069506D"/>
    <w:rsid w:val="0069508D"/>
    <w:rsid w:val="006950DD"/>
    <w:rsid w:val="0069511D"/>
    <w:rsid w:val="00695159"/>
    <w:rsid w:val="0069525D"/>
    <w:rsid w:val="006952FC"/>
    <w:rsid w:val="006953B4"/>
    <w:rsid w:val="006954A6"/>
    <w:rsid w:val="00695512"/>
    <w:rsid w:val="00695538"/>
    <w:rsid w:val="00695628"/>
    <w:rsid w:val="006956C9"/>
    <w:rsid w:val="006957BF"/>
    <w:rsid w:val="00695817"/>
    <w:rsid w:val="006959BC"/>
    <w:rsid w:val="00695AFC"/>
    <w:rsid w:val="00695C82"/>
    <w:rsid w:val="00695D24"/>
    <w:rsid w:val="00695D8E"/>
    <w:rsid w:val="00695DC4"/>
    <w:rsid w:val="00695DEC"/>
    <w:rsid w:val="00695DF1"/>
    <w:rsid w:val="00695F60"/>
    <w:rsid w:val="00695FB4"/>
    <w:rsid w:val="00696030"/>
    <w:rsid w:val="0069615A"/>
    <w:rsid w:val="00696191"/>
    <w:rsid w:val="006961C9"/>
    <w:rsid w:val="00696305"/>
    <w:rsid w:val="006964D9"/>
    <w:rsid w:val="006965F9"/>
    <w:rsid w:val="00696605"/>
    <w:rsid w:val="00696636"/>
    <w:rsid w:val="006966E0"/>
    <w:rsid w:val="0069681F"/>
    <w:rsid w:val="0069691C"/>
    <w:rsid w:val="00696A84"/>
    <w:rsid w:val="00696AED"/>
    <w:rsid w:val="00696B8A"/>
    <w:rsid w:val="00696BB8"/>
    <w:rsid w:val="00696C11"/>
    <w:rsid w:val="00696D13"/>
    <w:rsid w:val="00696D3D"/>
    <w:rsid w:val="00696EB2"/>
    <w:rsid w:val="00696F27"/>
    <w:rsid w:val="00696F49"/>
    <w:rsid w:val="006971E1"/>
    <w:rsid w:val="00697424"/>
    <w:rsid w:val="00697430"/>
    <w:rsid w:val="0069758E"/>
    <w:rsid w:val="00697889"/>
    <w:rsid w:val="006978A0"/>
    <w:rsid w:val="00697905"/>
    <w:rsid w:val="00697908"/>
    <w:rsid w:val="00697939"/>
    <w:rsid w:val="00697A29"/>
    <w:rsid w:val="00697A50"/>
    <w:rsid w:val="00697AA3"/>
    <w:rsid w:val="00697B0F"/>
    <w:rsid w:val="00697C3F"/>
    <w:rsid w:val="00697CFB"/>
    <w:rsid w:val="00697D90"/>
    <w:rsid w:val="00697D99"/>
    <w:rsid w:val="00697DE2"/>
    <w:rsid w:val="00697E71"/>
    <w:rsid w:val="00697EB3"/>
    <w:rsid w:val="00697EBB"/>
    <w:rsid w:val="00697F64"/>
    <w:rsid w:val="0069AED6"/>
    <w:rsid w:val="006A00C9"/>
    <w:rsid w:val="006A0281"/>
    <w:rsid w:val="006A0362"/>
    <w:rsid w:val="006A050B"/>
    <w:rsid w:val="006A0531"/>
    <w:rsid w:val="006A0539"/>
    <w:rsid w:val="006A0622"/>
    <w:rsid w:val="006A0678"/>
    <w:rsid w:val="006A0742"/>
    <w:rsid w:val="006A076E"/>
    <w:rsid w:val="006A07EC"/>
    <w:rsid w:val="006A085A"/>
    <w:rsid w:val="006A08AF"/>
    <w:rsid w:val="006A08B4"/>
    <w:rsid w:val="006A09B3"/>
    <w:rsid w:val="006A0A1A"/>
    <w:rsid w:val="006A0A32"/>
    <w:rsid w:val="006A0B15"/>
    <w:rsid w:val="006A0B6B"/>
    <w:rsid w:val="006A0BFA"/>
    <w:rsid w:val="006A0D33"/>
    <w:rsid w:val="006A0D73"/>
    <w:rsid w:val="006A0DED"/>
    <w:rsid w:val="006A0FB3"/>
    <w:rsid w:val="006A104F"/>
    <w:rsid w:val="006A10BE"/>
    <w:rsid w:val="006A1103"/>
    <w:rsid w:val="006A112E"/>
    <w:rsid w:val="006A1251"/>
    <w:rsid w:val="006A126F"/>
    <w:rsid w:val="006A1324"/>
    <w:rsid w:val="006A1330"/>
    <w:rsid w:val="006A1369"/>
    <w:rsid w:val="006A13C0"/>
    <w:rsid w:val="006A148D"/>
    <w:rsid w:val="006A1521"/>
    <w:rsid w:val="006A15DC"/>
    <w:rsid w:val="006A169F"/>
    <w:rsid w:val="006A16A0"/>
    <w:rsid w:val="006A17EF"/>
    <w:rsid w:val="006A180D"/>
    <w:rsid w:val="006A188B"/>
    <w:rsid w:val="006A1964"/>
    <w:rsid w:val="006A1A99"/>
    <w:rsid w:val="006A1AFF"/>
    <w:rsid w:val="006A1B23"/>
    <w:rsid w:val="006A1C00"/>
    <w:rsid w:val="006A1C50"/>
    <w:rsid w:val="006A1C60"/>
    <w:rsid w:val="006A1D18"/>
    <w:rsid w:val="006A1D2C"/>
    <w:rsid w:val="006A1E7C"/>
    <w:rsid w:val="006A1E97"/>
    <w:rsid w:val="006A1F04"/>
    <w:rsid w:val="006A1F83"/>
    <w:rsid w:val="006A1FF3"/>
    <w:rsid w:val="006A2181"/>
    <w:rsid w:val="006A2491"/>
    <w:rsid w:val="006A2563"/>
    <w:rsid w:val="006A2584"/>
    <w:rsid w:val="006A25F1"/>
    <w:rsid w:val="006A2768"/>
    <w:rsid w:val="006A281C"/>
    <w:rsid w:val="006A28A7"/>
    <w:rsid w:val="006A295D"/>
    <w:rsid w:val="006A2970"/>
    <w:rsid w:val="006A29E3"/>
    <w:rsid w:val="006A2A5E"/>
    <w:rsid w:val="006A2AB4"/>
    <w:rsid w:val="006A2AD6"/>
    <w:rsid w:val="006A2B14"/>
    <w:rsid w:val="006A2B59"/>
    <w:rsid w:val="006A2B8C"/>
    <w:rsid w:val="006A2C70"/>
    <w:rsid w:val="006A2CCC"/>
    <w:rsid w:val="006A2CE1"/>
    <w:rsid w:val="006A2CE3"/>
    <w:rsid w:val="006A2E75"/>
    <w:rsid w:val="006A2E7C"/>
    <w:rsid w:val="006A2F3A"/>
    <w:rsid w:val="006A2F4F"/>
    <w:rsid w:val="006A30C3"/>
    <w:rsid w:val="006A30FF"/>
    <w:rsid w:val="006A315A"/>
    <w:rsid w:val="006A3187"/>
    <w:rsid w:val="006A3210"/>
    <w:rsid w:val="006A3291"/>
    <w:rsid w:val="006A3356"/>
    <w:rsid w:val="006A3360"/>
    <w:rsid w:val="006A3427"/>
    <w:rsid w:val="006A354A"/>
    <w:rsid w:val="006A357E"/>
    <w:rsid w:val="006A35D9"/>
    <w:rsid w:val="006A36B0"/>
    <w:rsid w:val="006A3711"/>
    <w:rsid w:val="006A3744"/>
    <w:rsid w:val="006A37C0"/>
    <w:rsid w:val="006A37EB"/>
    <w:rsid w:val="006A3807"/>
    <w:rsid w:val="006A387C"/>
    <w:rsid w:val="006A391B"/>
    <w:rsid w:val="006A3967"/>
    <w:rsid w:val="006A3970"/>
    <w:rsid w:val="006A3A60"/>
    <w:rsid w:val="006A3A6F"/>
    <w:rsid w:val="006A3B4E"/>
    <w:rsid w:val="006A3BA9"/>
    <w:rsid w:val="006A3C36"/>
    <w:rsid w:val="006A3D43"/>
    <w:rsid w:val="006A3DCD"/>
    <w:rsid w:val="006A3E02"/>
    <w:rsid w:val="006A3F0D"/>
    <w:rsid w:val="006A3FBC"/>
    <w:rsid w:val="006A3FC0"/>
    <w:rsid w:val="006A3FE3"/>
    <w:rsid w:val="006A3FE5"/>
    <w:rsid w:val="006A418B"/>
    <w:rsid w:val="006A421F"/>
    <w:rsid w:val="006A430B"/>
    <w:rsid w:val="006A43B5"/>
    <w:rsid w:val="006A43DB"/>
    <w:rsid w:val="006A4458"/>
    <w:rsid w:val="006A44AE"/>
    <w:rsid w:val="006A455E"/>
    <w:rsid w:val="006A4601"/>
    <w:rsid w:val="006A46A4"/>
    <w:rsid w:val="006A46E5"/>
    <w:rsid w:val="006A473D"/>
    <w:rsid w:val="006A47EE"/>
    <w:rsid w:val="006A4884"/>
    <w:rsid w:val="006A498E"/>
    <w:rsid w:val="006A49C6"/>
    <w:rsid w:val="006A4AD7"/>
    <w:rsid w:val="006A4BF6"/>
    <w:rsid w:val="006A4BF9"/>
    <w:rsid w:val="006A4C23"/>
    <w:rsid w:val="006A4C43"/>
    <w:rsid w:val="006A4CB1"/>
    <w:rsid w:val="006A4EB3"/>
    <w:rsid w:val="006A4F1A"/>
    <w:rsid w:val="006A4FBA"/>
    <w:rsid w:val="006A50EE"/>
    <w:rsid w:val="006A519C"/>
    <w:rsid w:val="006A5298"/>
    <w:rsid w:val="006A53D6"/>
    <w:rsid w:val="006A53E4"/>
    <w:rsid w:val="006A542E"/>
    <w:rsid w:val="006A5451"/>
    <w:rsid w:val="006A546C"/>
    <w:rsid w:val="006A57A7"/>
    <w:rsid w:val="006A5890"/>
    <w:rsid w:val="006A5920"/>
    <w:rsid w:val="006A594F"/>
    <w:rsid w:val="006A596A"/>
    <w:rsid w:val="006A59E4"/>
    <w:rsid w:val="006A5BA2"/>
    <w:rsid w:val="006A5BA6"/>
    <w:rsid w:val="006A5D10"/>
    <w:rsid w:val="006A5D2A"/>
    <w:rsid w:val="006A5D3F"/>
    <w:rsid w:val="006A5D59"/>
    <w:rsid w:val="006A5DB8"/>
    <w:rsid w:val="006A5E5B"/>
    <w:rsid w:val="006A5FCD"/>
    <w:rsid w:val="006A6075"/>
    <w:rsid w:val="006A607C"/>
    <w:rsid w:val="006A6187"/>
    <w:rsid w:val="006A62B8"/>
    <w:rsid w:val="006A6369"/>
    <w:rsid w:val="006A640E"/>
    <w:rsid w:val="006A6439"/>
    <w:rsid w:val="006A64BE"/>
    <w:rsid w:val="006A65C1"/>
    <w:rsid w:val="006A65D5"/>
    <w:rsid w:val="006A65FE"/>
    <w:rsid w:val="006A6627"/>
    <w:rsid w:val="006A6665"/>
    <w:rsid w:val="006A66AD"/>
    <w:rsid w:val="006A66DE"/>
    <w:rsid w:val="006A674E"/>
    <w:rsid w:val="006A682B"/>
    <w:rsid w:val="006A6A10"/>
    <w:rsid w:val="006A6B7C"/>
    <w:rsid w:val="006A6BC6"/>
    <w:rsid w:val="006A6CB3"/>
    <w:rsid w:val="006A6CD5"/>
    <w:rsid w:val="006A6D11"/>
    <w:rsid w:val="006A6DDB"/>
    <w:rsid w:val="006A6DF0"/>
    <w:rsid w:val="006A6E58"/>
    <w:rsid w:val="006A6F48"/>
    <w:rsid w:val="006A6FD8"/>
    <w:rsid w:val="006A70B3"/>
    <w:rsid w:val="006A715C"/>
    <w:rsid w:val="006A724B"/>
    <w:rsid w:val="006A72FF"/>
    <w:rsid w:val="006A7312"/>
    <w:rsid w:val="006A73C6"/>
    <w:rsid w:val="006A73D5"/>
    <w:rsid w:val="006A7451"/>
    <w:rsid w:val="006A74C6"/>
    <w:rsid w:val="006A74EC"/>
    <w:rsid w:val="006A7629"/>
    <w:rsid w:val="006A76D0"/>
    <w:rsid w:val="006A7821"/>
    <w:rsid w:val="006A785E"/>
    <w:rsid w:val="006A78B6"/>
    <w:rsid w:val="006A78BC"/>
    <w:rsid w:val="006A7961"/>
    <w:rsid w:val="006A7B06"/>
    <w:rsid w:val="006A7B74"/>
    <w:rsid w:val="006A7C46"/>
    <w:rsid w:val="006A7CF1"/>
    <w:rsid w:val="006A7DBE"/>
    <w:rsid w:val="006A7F16"/>
    <w:rsid w:val="006A7F91"/>
    <w:rsid w:val="006B0004"/>
    <w:rsid w:val="006B00AE"/>
    <w:rsid w:val="006B00EC"/>
    <w:rsid w:val="006B0178"/>
    <w:rsid w:val="006B021D"/>
    <w:rsid w:val="006B034E"/>
    <w:rsid w:val="006B035D"/>
    <w:rsid w:val="006B0440"/>
    <w:rsid w:val="006B0513"/>
    <w:rsid w:val="006B0525"/>
    <w:rsid w:val="006B0619"/>
    <w:rsid w:val="006B064C"/>
    <w:rsid w:val="006B06B3"/>
    <w:rsid w:val="006B086F"/>
    <w:rsid w:val="006B08BE"/>
    <w:rsid w:val="006B0A22"/>
    <w:rsid w:val="006B0B64"/>
    <w:rsid w:val="006B0BEB"/>
    <w:rsid w:val="006B0C58"/>
    <w:rsid w:val="006B0CBD"/>
    <w:rsid w:val="006B0D9C"/>
    <w:rsid w:val="006B0DF1"/>
    <w:rsid w:val="006B0E0E"/>
    <w:rsid w:val="006B0E26"/>
    <w:rsid w:val="006B0EEA"/>
    <w:rsid w:val="006B0F58"/>
    <w:rsid w:val="006B1090"/>
    <w:rsid w:val="006B11E1"/>
    <w:rsid w:val="006B11EE"/>
    <w:rsid w:val="006B1341"/>
    <w:rsid w:val="006B13A4"/>
    <w:rsid w:val="006B1438"/>
    <w:rsid w:val="006B1444"/>
    <w:rsid w:val="006B161D"/>
    <w:rsid w:val="006B16E0"/>
    <w:rsid w:val="006B1834"/>
    <w:rsid w:val="006B1856"/>
    <w:rsid w:val="006B192E"/>
    <w:rsid w:val="006B19A9"/>
    <w:rsid w:val="006B19B9"/>
    <w:rsid w:val="006B1A81"/>
    <w:rsid w:val="006B1AD8"/>
    <w:rsid w:val="006B1AEE"/>
    <w:rsid w:val="006B1B49"/>
    <w:rsid w:val="006B1B57"/>
    <w:rsid w:val="006B1C9A"/>
    <w:rsid w:val="006B1CB8"/>
    <w:rsid w:val="006B1D97"/>
    <w:rsid w:val="006B1D98"/>
    <w:rsid w:val="006B1E6C"/>
    <w:rsid w:val="006B1E85"/>
    <w:rsid w:val="006B1EFC"/>
    <w:rsid w:val="006B20C8"/>
    <w:rsid w:val="006B2268"/>
    <w:rsid w:val="006B23DC"/>
    <w:rsid w:val="006B2431"/>
    <w:rsid w:val="006B2458"/>
    <w:rsid w:val="006B246A"/>
    <w:rsid w:val="006B2474"/>
    <w:rsid w:val="006B2489"/>
    <w:rsid w:val="006B248F"/>
    <w:rsid w:val="006B24BB"/>
    <w:rsid w:val="006B252F"/>
    <w:rsid w:val="006B25E4"/>
    <w:rsid w:val="006B2645"/>
    <w:rsid w:val="006B275D"/>
    <w:rsid w:val="006B27AA"/>
    <w:rsid w:val="006B27AB"/>
    <w:rsid w:val="006B27B7"/>
    <w:rsid w:val="006B2821"/>
    <w:rsid w:val="006B294F"/>
    <w:rsid w:val="006B29BE"/>
    <w:rsid w:val="006B29CA"/>
    <w:rsid w:val="006B2B11"/>
    <w:rsid w:val="006B2B2C"/>
    <w:rsid w:val="006B2BF0"/>
    <w:rsid w:val="006B2CDC"/>
    <w:rsid w:val="006B2D56"/>
    <w:rsid w:val="006B2DF2"/>
    <w:rsid w:val="006B2E40"/>
    <w:rsid w:val="006B2FAE"/>
    <w:rsid w:val="006B30D1"/>
    <w:rsid w:val="006B3106"/>
    <w:rsid w:val="006B32C5"/>
    <w:rsid w:val="006B33C2"/>
    <w:rsid w:val="006B3415"/>
    <w:rsid w:val="006B3511"/>
    <w:rsid w:val="006B3539"/>
    <w:rsid w:val="006B3540"/>
    <w:rsid w:val="006B354C"/>
    <w:rsid w:val="006B358F"/>
    <w:rsid w:val="006B35BF"/>
    <w:rsid w:val="006B364B"/>
    <w:rsid w:val="006B3725"/>
    <w:rsid w:val="006B37DA"/>
    <w:rsid w:val="006B3826"/>
    <w:rsid w:val="006B38D8"/>
    <w:rsid w:val="006B3A05"/>
    <w:rsid w:val="006B3B20"/>
    <w:rsid w:val="006B3B2B"/>
    <w:rsid w:val="006B3BEC"/>
    <w:rsid w:val="006B3CA9"/>
    <w:rsid w:val="006B3CF9"/>
    <w:rsid w:val="006B3D00"/>
    <w:rsid w:val="006B3ECE"/>
    <w:rsid w:val="006B4137"/>
    <w:rsid w:val="006B4175"/>
    <w:rsid w:val="006B42F2"/>
    <w:rsid w:val="006B466B"/>
    <w:rsid w:val="006B468E"/>
    <w:rsid w:val="006B4700"/>
    <w:rsid w:val="006B47D5"/>
    <w:rsid w:val="006B4816"/>
    <w:rsid w:val="006B485A"/>
    <w:rsid w:val="006B4890"/>
    <w:rsid w:val="006B48E2"/>
    <w:rsid w:val="006B4991"/>
    <w:rsid w:val="006B49F6"/>
    <w:rsid w:val="006B4A2D"/>
    <w:rsid w:val="006B4A89"/>
    <w:rsid w:val="006B4ACE"/>
    <w:rsid w:val="006B4B88"/>
    <w:rsid w:val="006B4D0D"/>
    <w:rsid w:val="006B4DB6"/>
    <w:rsid w:val="006B4E62"/>
    <w:rsid w:val="006B4E6C"/>
    <w:rsid w:val="006B4F5D"/>
    <w:rsid w:val="006B4FA7"/>
    <w:rsid w:val="006B52AC"/>
    <w:rsid w:val="006B52BD"/>
    <w:rsid w:val="006B52D0"/>
    <w:rsid w:val="006B52E3"/>
    <w:rsid w:val="006B5566"/>
    <w:rsid w:val="006B55A2"/>
    <w:rsid w:val="006B55BF"/>
    <w:rsid w:val="006B55C4"/>
    <w:rsid w:val="006B55D1"/>
    <w:rsid w:val="006B569D"/>
    <w:rsid w:val="006B570D"/>
    <w:rsid w:val="006B57AF"/>
    <w:rsid w:val="006B5814"/>
    <w:rsid w:val="006B5822"/>
    <w:rsid w:val="006B583B"/>
    <w:rsid w:val="006B5914"/>
    <w:rsid w:val="006B591B"/>
    <w:rsid w:val="006B59BE"/>
    <w:rsid w:val="006B59F0"/>
    <w:rsid w:val="006B5B04"/>
    <w:rsid w:val="006B5B54"/>
    <w:rsid w:val="006B5C8F"/>
    <w:rsid w:val="006B5CDC"/>
    <w:rsid w:val="006B5D1D"/>
    <w:rsid w:val="006B5F10"/>
    <w:rsid w:val="006B606B"/>
    <w:rsid w:val="006B60B2"/>
    <w:rsid w:val="006B612E"/>
    <w:rsid w:val="006B61E6"/>
    <w:rsid w:val="006B61E8"/>
    <w:rsid w:val="006B627D"/>
    <w:rsid w:val="006B62D6"/>
    <w:rsid w:val="006B63B7"/>
    <w:rsid w:val="006B641F"/>
    <w:rsid w:val="006B6560"/>
    <w:rsid w:val="006B65FF"/>
    <w:rsid w:val="006B661C"/>
    <w:rsid w:val="006B693E"/>
    <w:rsid w:val="006B69BB"/>
    <w:rsid w:val="006B6ADC"/>
    <w:rsid w:val="006B6BC1"/>
    <w:rsid w:val="006B6D4A"/>
    <w:rsid w:val="006B6D5D"/>
    <w:rsid w:val="006B6DA2"/>
    <w:rsid w:val="006B6DC4"/>
    <w:rsid w:val="006B6DFA"/>
    <w:rsid w:val="006B6EBD"/>
    <w:rsid w:val="006B710D"/>
    <w:rsid w:val="006B713B"/>
    <w:rsid w:val="006B7181"/>
    <w:rsid w:val="006B7255"/>
    <w:rsid w:val="006B7385"/>
    <w:rsid w:val="006B73C7"/>
    <w:rsid w:val="006B7492"/>
    <w:rsid w:val="006B7606"/>
    <w:rsid w:val="006B761A"/>
    <w:rsid w:val="006B7644"/>
    <w:rsid w:val="006B76B3"/>
    <w:rsid w:val="006B77D8"/>
    <w:rsid w:val="006B7B7E"/>
    <w:rsid w:val="006B7C27"/>
    <w:rsid w:val="006B7C62"/>
    <w:rsid w:val="006B7C79"/>
    <w:rsid w:val="006B7C7A"/>
    <w:rsid w:val="006B7CD3"/>
    <w:rsid w:val="006B7CF7"/>
    <w:rsid w:val="006B7D20"/>
    <w:rsid w:val="006B7D88"/>
    <w:rsid w:val="006B7D90"/>
    <w:rsid w:val="006B7DAC"/>
    <w:rsid w:val="006B7E37"/>
    <w:rsid w:val="006B7E45"/>
    <w:rsid w:val="006B7E9A"/>
    <w:rsid w:val="006C01F5"/>
    <w:rsid w:val="006C01FD"/>
    <w:rsid w:val="006C024F"/>
    <w:rsid w:val="006C02E4"/>
    <w:rsid w:val="006C038A"/>
    <w:rsid w:val="006C0438"/>
    <w:rsid w:val="006C04F5"/>
    <w:rsid w:val="006C0610"/>
    <w:rsid w:val="006C0869"/>
    <w:rsid w:val="006C087B"/>
    <w:rsid w:val="006C0A02"/>
    <w:rsid w:val="006C0A31"/>
    <w:rsid w:val="006C0A40"/>
    <w:rsid w:val="006C0BA3"/>
    <w:rsid w:val="006C0BC3"/>
    <w:rsid w:val="006C0D2F"/>
    <w:rsid w:val="006C0D55"/>
    <w:rsid w:val="006C0DA1"/>
    <w:rsid w:val="006C0DBB"/>
    <w:rsid w:val="006C0E7E"/>
    <w:rsid w:val="006C0FB4"/>
    <w:rsid w:val="006C1085"/>
    <w:rsid w:val="006C1137"/>
    <w:rsid w:val="006C1210"/>
    <w:rsid w:val="006C1222"/>
    <w:rsid w:val="006C123D"/>
    <w:rsid w:val="006C145F"/>
    <w:rsid w:val="006C1486"/>
    <w:rsid w:val="006C1581"/>
    <w:rsid w:val="006C15AD"/>
    <w:rsid w:val="006C15AF"/>
    <w:rsid w:val="006C1732"/>
    <w:rsid w:val="006C1754"/>
    <w:rsid w:val="006C17EB"/>
    <w:rsid w:val="006C1888"/>
    <w:rsid w:val="006C188D"/>
    <w:rsid w:val="006C1947"/>
    <w:rsid w:val="006C19AD"/>
    <w:rsid w:val="006C1B91"/>
    <w:rsid w:val="006C1BA0"/>
    <w:rsid w:val="006C1CE3"/>
    <w:rsid w:val="006C1CF5"/>
    <w:rsid w:val="006C1DBD"/>
    <w:rsid w:val="006C1DCE"/>
    <w:rsid w:val="006C1EC3"/>
    <w:rsid w:val="006C1EC5"/>
    <w:rsid w:val="006C1ED6"/>
    <w:rsid w:val="006C1F46"/>
    <w:rsid w:val="006C1F92"/>
    <w:rsid w:val="006C1FB2"/>
    <w:rsid w:val="006C1FC8"/>
    <w:rsid w:val="006C1FE1"/>
    <w:rsid w:val="006C2047"/>
    <w:rsid w:val="006C20A7"/>
    <w:rsid w:val="006C20AA"/>
    <w:rsid w:val="006C2102"/>
    <w:rsid w:val="006C2139"/>
    <w:rsid w:val="006C21E4"/>
    <w:rsid w:val="006C240A"/>
    <w:rsid w:val="006C2456"/>
    <w:rsid w:val="006C25DC"/>
    <w:rsid w:val="006C26CA"/>
    <w:rsid w:val="006C2780"/>
    <w:rsid w:val="006C27CD"/>
    <w:rsid w:val="006C27EF"/>
    <w:rsid w:val="006C28AB"/>
    <w:rsid w:val="006C29A2"/>
    <w:rsid w:val="006C29CD"/>
    <w:rsid w:val="006C2B97"/>
    <w:rsid w:val="006C2C27"/>
    <w:rsid w:val="006C2CD4"/>
    <w:rsid w:val="006C2D4F"/>
    <w:rsid w:val="006C2DB8"/>
    <w:rsid w:val="006C2DFB"/>
    <w:rsid w:val="006C2E29"/>
    <w:rsid w:val="006C3097"/>
    <w:rsid w:val="006C317D"/>
    <w:rsid w:val="006C321E"/>
    <w:rsid w:val="006C3368"/>
    <w:rsid w:val="006C33E4"/>
    <w:rsid w:val="006C349C"/>
    <w:rsid w:val="006C3571"/>
    <w:rsid w:val="006C35A0"/>
    <w:rsid w:val="006C35B2"/>
    <w:rsid w:val="006C364F"/>
    <w:rsid w:val="006C36EF"/>
    <w:rsid w:val="006C38A6"/>
    <w:rsid w:val="006C39D8"/>
    <w:rsid w:val="006C3A5E"/>
    <w:rsid w:val="006C3A67"/>
    <w:rsid w:val="006C3B82"/>
    <w:rsid w:val="006C3CA2"/>
    <w:rsid w:val="006C3E20"/>
    <w:rsid w:val="006C3E71"/>
    <w:rsid w:val="006C3F46"/>
    <w:rsid w:val="006C3FB1"/>
    <w:rsid w:val="006C4001"/>
    <w:rsid w:val="006C404B"/>
    <w:rsid w:val="006C40B7"/>
    <w:rsid w:val="006C433B"/>
    <w:rsid w:val="006C4351"/>
    <w:rsid w:val="006C43DE"/>
    <w:rsid w:val="006C43F3"/>
    <w:rsid w:val="006C4420"/>
    <w:rsid w:val="006C4442"/>
    <w:rsid w:val="006C4470"/>
    <w:rsid w:val="006C457C"/>
    <w:rsid w:val="006C4580"/>
    <w:rsid w:val="006C45CF"/>
    <w:rsid w:val="006C45E9"/>
    <w:rsid w:val="006C45FC"/>
    <w:rsid w:val="006C4631"/>
    <w:rsid w:val="006C46EA"/>
    <w:rsid w:val="006C4783"/>
    <w:rsid w:val="006C47C8"/>
    <w:rsid w:val="006C485D"/>
    <w:rsid w:val="006C499E"/>
    <w:rsid w:val="006C49C3"/>
    <w:rsid w:val="006C4A0D"/>
    <w:rsid w:val="006C4A12"/>
    <w:rsid w:val="006C4AC4"/>
    <w:rsid w:val="006C4AD6"/>
    <w:rsid w:val="006C4C76"/>
    <w:rsid w:val="006C4E8C"/>
    <w:rsid w:val="006C4EA6"/>
    <w:rsid w:val="006C4F40"/>
    <w:rsid w:val="006C4FA7"/>
    <w:rsid w:val="006C5172"/>
    <w:rsid w:val="006C51D1"/>
    <w:rsid w:val="006C5205"/>
    <w:rsid w:val="006C5306"/>
    <w:rsid w:val="006C56BF"/>
    <w:rsid w:val="006C572B"/>
    <w:rsid w:val="006C5762"/>
    <w:rsid w:val="006C57AB"/>
    <w:rsid w:val="006C57E1"/>
    <w:rsid w:val="006C5910"/>
    <w:rsid w:val="006C5926"/>
    <w:rsid w:val="006C5980"/>
    <w:rsid w:val="006C5991"/>
    <w:rsid w:val="006C5A0E"/>
    <w:rsid w:val="006C5AD3"/>
    <w:rsid w:val="006C5B3E"/>
    <w:rsid w:val="006C5B98"/>
    <w:rsid w:val="006C5BEE"/>
    <w:rsid w:val="006C5C63"/>
    <w:rsid w:val="006C5CC1"/>
    <w:rsid w:val="006C5CC6"/>
    <w:rsid w:val="006C5D12"/>
    <w:rsid w:val="006C5D7B"/>
    <w:rsid w:val="006C5D84"/>
    <w:rsid w:val="006C5E6F"/>
    <w:rsid w:val="006C5EAA"/>
    <w:rsid w:val="006C5F4D"/>
    <w:rsid w:val="006C5FCC"/>
    <w:rsid w:val="006C6148"/>
    <w:rsid w:val="006C617F"/>
    <w:rsid w:val="006C625B"/>
    <w:rsid w:val="006C62A9"/>
    <w:rsid w:val="006C6799"/>
    <w:rsid w:val="006C6822"/>
    <w:rsid w:val="006C688F"/>
    <w:rsid w:val="006C691B"/>
    <w:rsid w:val="006C6A0A"/>
    <w:rsid w:val="006C6B77"/>
    <w:rsid w:val="006C6C3C"/>
    <w:rsid w:val="006C6CAB"/>
    <w:rsid w:val="006C6CB5"/>
    <w:rsid w:val="006C6CB8"/>
    <w:rsid w:val="006C6DD3"/>
    <w:rsid w:val="006C6E8C"/>
    <w:rsid w:val="006C70B6"/>
    <w:rsid w:val="006C7129"/>
    <w:rsid w:val="006C7254"/>
    <w:rsid w:val="006C73B5"/>
    <w:rsid w:val="006C74A7"/>
    <w:rsid w:val="006C74B8"/>
    <w:rsid w:val="006C751F"/>
    <w:rsid w:val="006C7568"/>
    <w:rsid w:val="006C75E0"/>
    <w:rsid w:val="006C75F4"/>
    <w:rsid w:val="006C777B"/>
    <w:rsid w:val="006C778D"/>
    <w:rsid w:val="006C77AF"/>
    <w:rsid w:val="006C77B2"/>
    <w:rsid w:val="006C78E1"/>
    <w:rsid w:val="006C7A1E"/>
    <w:rsid w:val="006C7B31"/>
    <w:rsid w:val="006C7B80"/>
    <w:rsid w:val="006C7C8A"/>
    <w:rsid w:val="006C7CEB"/>
    <w:rsid w:val="006C7D1F"/>
    <w:rsid w:val="006C7DA7"/>
    <w:rsid w:val="006C7DBF"/>
    <w:rsid w:val="006C7DED"/>
    <w:rsid w:val="006C7DEE"/>
    <w:rsid w:val="006C7E0D"/>
    <w:rsid w:val="006C7F0D"/>
    <w:rsid w:val="006C7FC1"/>
    <w:rsid w:val="006D0152"/>
    <w:rsid w:val="006D01AE"/>
    <w:rsid w:val="006D0461"/>
    <w:rsid w:val="006D05E1"/>
    <w:rsid w:val="006D05E6"/>
    <w:rsid w:val="006D060F"/>
    <w:rsid w:val="006D06A1"/>
    <w:rsid w:val="006D09C1"/>
    <w:rsid w:val="006D0B34"/>
    <w:rsid w:val="006D0B8E"/>
    <w:rsid w:val="006D0D47"/>
    <w:rsid w:val="006D0DAA"/>
    <w:rsid w:val="006D0DBB"/>
    <w:rsid w:val="006D0F41"/>
    <w:rsid w:val="006D0F9C"/>
    <w:rsid w:val="006D0FA5"/>
    <w:rsid w:val="006D0FE2"/>
    <w:rsid w:val="006D103C"/>
    <w:rsid w:val="006D107D"/>
    <w:rsid w:val="006D10CB"/>
    <w:rsid w:val="006D10E4"/>
    <w:rsid w:val="006D110F"/>
    <w:rsid w:val="006D1220"/>
    <w:rsid w:val="006D1264"/>
    <w:rsid w:val="006D12AC"/>
    <w:rsid w:val="006D12BB"/>
    <w:rsid w:val="006D1496"/>
    <w:rsid w:val="006D14A8"/>
    <w:rsid w:val="006D1611"/>
    <w:rsid w:val="006D1747"/>
    <w:rsid w:val="006D18CE"/>
    <w:rsid w:val="006D19D5"/>
    <w:rsid w:val="006D1A62"/>
    <w:rsid w:val="006D1C50"/>
    <w:rsid w:val="006D1D63"/>
    <w:rsid w:val="006D1E23"/>
    <w:rsid w:val="006D1EF2"/>
    <w:rsid w:val="006D1F44"/>
    <w:rsid w:val="006D1FF0"/>
    <w:rsid w:val="006D2203"/>
    <w:rsid w:val="006D22AE"/>
    <w:rsid w:val="006D2407"/>
    <w:rsid w:val="006D24A2"/>
    <w:rsid w:val="006D24A8"/>
    <w:rsid w:val="006D25F5"/>
    <w:rsid w:val="006D2666"/>
    <w:rsid w:val="006D281C"/>
    <w:rsid w:val="006D28BC"/>
    <w:rsid w:val="006D296E"/>
    <w:rsid w:val="006D29C4"/>
    <w:rsid w:val="006D29EC"/>
    <w:rsid w:val="006D2B21"/>
    <w:rsid w:val="006D2C10"/>
    <w:rsid w:val="006D2CC9"/>
    <w:rsid w:val="006D2CDD"/>
    <w:rsid w:val="006D2D28"/>
    <w:rsid w:val="006D2E3B"/>
    <w:rsid w:val="006D2F3B"/>
    <w:rsid w:val="006D3033"/>
    <w:rsid w:val="006D304A"/>
    <w:rsid w:val="006D314E"/>
    <w:rsid w:val="006D31C9"/>
    <w:rsid w:val="006D3282"/>
    <w:rsid w:val="006D3495"/>
    <w:rsid w:val="006D34E9"/>
    <w:rsid w:val="006D3668"/>
    <w:rsid w:val="006D3782"/>
    <w:rsid w:val="006D379B"/>
    <w:rsid w:val="006D37C0"/>
    <w:rsid w:val="006D37F8"/>
    <w:rsid w:val="006D3972"/>
    <w:rsid w:val="006D39C1"/>
    <w:rsid w:val="006D3A17"/>
    <w:rsid w:val="006D3A9E"/>
    <w:rsid w:val="006D3B3B"/>
    <w:rsid w:val="006D3B9E"/>
    <w:rsid w:val="006D3BFF"/>
    <w:rsid w:val="006D3C11"/>
    <w:rsid w:val="006D3D05"/>
    <w:rsid w:val="006D3D16"/>
    <w:rsid w:val="006D3DC4"/>
    <w:rsid w:val="006D3DD7"/>
    <w:rsid w:val="006D4010"/>
    <w:rsid w:val="006D4073"/>
    <w:rsid w:val="006D4096"/>
    <w:rsid w:val="006D413B"/>
    <w:rsid w:val="006D4280"/>
    <w:rsid w:val="006D42A9"/>
    <w:rsid w:val="006D436F"/>
    <w:rsid w:val="006D437B"/>
    <w:rsid w:val="006D440B"/>
    <w:rsid w:val="006D44D7"/>
    <w:rsid w:val="006D4545"/>
    <w:rsid w:val="006D45B8"/>
    <w:rsid w:val="006D4649"/>
    <w:rsid w:val="006D4691"/>
    <w:rsid w:val="006D46B7"/>
    <w:rsid w:val="006D47DC"/>
    <w:rsid w:val="006D49C3"/>
    <w:rsid w:val="006D4A21"/>
    <w:rsid w:val="006D4A36"/>
    <w:rsid w:val="006D4A97"/>
    <w:rsid w:val="006D4B11"/>
    <w:rsid w:val="006D4C15"/>
    <w:rsid w:val="006D4C1E"/>
    <w:rsid w:val="006D4C54"/>
    <w:rsid w:val="006D4D9F"/>
    <w:rsid w:val="006D4DA6"/>
    <w:rsid w:val="006D4DAD"/>
    <w:rsid w:val="006D4E31"/>
    <w:rsid w:val="006D4F79"/>
    <w:rsid w:val="006D503A"/>
    <w:rsid w:val="006D5098"/>
    <w:rsid w:val="006D50A2"/>
    <w:rsid w:val="006D50C6"/>
    <w:rsid w:val="006D53A3"/>
    <w:rsid w:val="006D53F5"/>
    <w:rsid w:val="006D5440"/>
    <w:rsid w:val="006D5472"/>
    <w:rsid w:val="006D54B4"/>
    <w:rsid w:val="006D5670"/>
    <w:rsid w:val="006D572E"/>
    <w:rsid w:val="006D57EC"/>
    <w:rsid w:val="006D593C"/>
    <w:rsid w:val="006D5971"/>
    <w:rsid w:val="006D59AA"/>
    <w:rsid w:val="006D5B1C"/>
    <w:rsid w:val="006D5D15"/>
    <w:rsid w:val="006D5DC3"/>
    <w:rsid w:val="006D619A"/>
    <w:rsid w:val="006D61AD"/>
    <w:rsid w:val="006D625D"/>
    <w:rsid w:val="006D6377"/>
    <w:rsid w:val="006D643D"/>
    <w:rsid w:val="006D6485"/>
    <w:rsid w:val="006D648C"/>
    <w:rsid w:val="006D6527"/>
    <w:rsid w:val="006D6537"/>
    <w:rsid w:val="006D6554"/>
    <w:rsid w:val="006D65E8"/>
    <w:rsid w:val="006D66A4"/>
    <w:rsid w:val="006D66B2"/>
    <w:rsid w:val="006D66F6"/>
    <w:rsid w:val="006D671D"/>
    <w:rsid w:val="006D672F"/>
    <w:rsid w:val="006D678D"/>
    <w:rsid w:val="006D67A6"/>
    <w:rsid w:val="006D683B"/>
    <w:rsid w:val="006D689B"/>
    <w:rsid w:val="006D68CD"/>
    <w:rsid w:val="006D6985"/>
    <w:rsid w:val="006D69E4"/>
    <w:rsid w:val="006D6A17"/>
    <w:rsid w:val="006D6A34"/>
    <w:rsid w:val="006D6A62"/>
    <w:rsid w:val="006D6BA7"/>
    <w:rsid w:val="006D6BB5"/>
    <w:rsid w:val="006D6BB8"/>
    <w:rsid w:val="006D6CB7"/>
    <w:rsid w:val="006D6CF8"/>
    <w:rsid w:val="006D6D15"/>
    <w:rsid w:val="006D6D6C"/>
    <w:rsid w:val="006D6E28"/>
    <w:rsid w:val="006D6E73"/>
    <w:rsid w:val="006D6F3F"/>
    <w:rsid w:val="006D7039"/>
    <w:rsid w:val="006D7079"/>
    <w:rsid w:val="006D70F0"/>
    <w:rsid w:val="006D717E"/>
    <w:rsid w:val="006D724F"/>
    <w:rsid w:val="006D737C"/>
    <w:rsid w:val="006D7390"/>
    <w:rsid w:val="006D739A"/>
    <w:rsid w:val="006D7570"/>
    <w:rsid w:val="006D763A"/>
    <w:rsid w:val="006D76F3"/>
    <w:rsid w:val="006D7898"/>
    <w:rsid w:val="006D795B"/>
    <w:rsid w:val="006D7A45"/>
    <w:rsid w:val="006D7A7D"/>
    <w:rsid w:val="006D7B12"/>
    <w:rsid w:val="006D7BBA"/>
    <w:rsid w:val="006D7C8B"/>
    <w:rsid w:val="006D7DA4"/>
    <w:rsid w:val="006D7E61"/>
    <w:rsid w:val="006D7E85"/>
    <w:rsid w:val="006D7E91"/>
    <w:rsid w:val="006E001A"/>
    <w:rsid w:val="006E029B"/>
    <w:rsid w:val="006E02A6"/>
    <w:rsid w:val="006E033E"/>
    <w:rsid w:val="006E0395"/>
    <w:rsid w:val="006E03A1"/>
    <w:rsid w:val="006E040A"/>
    <w:rsid w:val="006E040C"/>
    <w:rsid w:val="006E042F"/>
    <w:rsid w:val="006E043D"/>
    <w:rsid w:val="006E04E2"/>
    <w:rsid w:val="006E04FC"/>
    <w:rsid w:val="006E0522"/>
    <w:rsid w:val="006E0544"/>
    <w:rsid w:val="006E058C"/>
    <w:rsid w:val="006E0624"/>
    <w:rsid w:val="006E07CF"/>
    <w:rsid w:val="006E0809"/>
    <w:rsid w:val="006E08BF"/>
    <w:rsid w:val="006E08DB"/>
    <w:rsid w:val="006E09BE"/>
    <w:rsid w:val="006E0A41"/>
    <w:rsid w:val="006E0AAB"/>
    <w:rsid w:val="006E0AC3"/>
    <w:rsid w:val="006E0CB0"/>
    <w:rsid w:val="006E0D58"/>
    <w:rsid w:val="006E0D71"/>
    <w:rsid w:val="006E0F00"/>
    <w:rsid w:val="006E0FE1"/>
    <w:rsid w:val="006E107C"/>
    <w:rsid w:val="006E10A9"/>
    <w:rsid w:val="006E124B"/>
    <w:rsid w:val="006E12BC"/>
    <w:rsid w:val="006E135D"/>
    <w:rsid w:val="006E14B5"/>
    <w:rsid w:val="006E14D9"/>
    <w:rsid w:val="006E14DD"/>
    <w:rsid w:val="006E1521"/>
    <w:rsid w:val="006E15CC"/>
    <w:rsid w:val="006E169B"/>
    <w:rsid w:val="006E16C0"/>
    <w:rsid w:val="006E1711"/>
    <w:rsid w:val="006E17EC"/>
    <w:rsid w:val="006E182C"/>
    <w:rsid w:val="006E19B2"/>
    <w:rsid w:val="006E1C38"/>
    <w:rsid w:val="006E1CA5"/>
    <w:rsid w:val="006E1CE6"/>
    <w:rsid w:val="006E1DF2"/>
    <w:rsid w:val="006E1EE8"/>
    <w:rsid w:val="006E2034"/>
    <w:rsid w:val="006E2076"/>
    <w:rsid w:val="006E2226"/>
    <w:rsid w:val="006E22F7"/>
    <w:rsid w:val="006E233D"/>
    <w:rsid w:val="006E236F"/>
    <w:rsid w:val="006E2477"/>
    <w:rsid w:val="006E2484"/>
    <w:rsid w:val="006E24CB"/>
    <w:rsid w:val="006E24FD"/>
    <w:rsid w:val="006E2759"/>
    <w:rsid w:val="006E2795"/>
    <w:rsid w:val="006E27A4"/>
    <w:rsid w:val="006E27C5"/>
    <w:rsid w:val="006E27E0"/>
    <w:rsid w:val="006E2832"/>
    <w:rsid w:val="006E2869"/>
    <w:rsid w:val="006E2A28"/>
    <w:rsid w:val="006E2B59"/>
    <w:rsid w:val="006E2B89"/>
    <w:rsid w:val="006E2E42"/>
    <w:rsid w:val="006E2E6C"/>
    <w:rsid w:val="006E2E80"/>
    <w:rsid w:val="006E2EF1"/>
    <w:rsid w:val="006E304B"/>
    <w:rsid w:val="006E30F1"/>
    <w:rsid w:val="006E314C"/>
    <w:rsid w:val="006E325D"/>
    <w:rsid w:val="006E337C"/>
    <w:rsid w:val="006E33D7"/>
    <w:rsid w:val="006E343D"/>
    <w:rsid w:val="006E362E"/>
    <w:rsid w:val="006E3662"/>
    <w:rsid w:val="006E36BA"/>
    <w:rsid w:val="006E384F"/>
    <w:rsid w:val="006E39B9"/>
    <w:rsid w:val="006E3AC4"/>
    <w:rsid w:val="006E3AE0"/>
    <w:rsid w:val="006E3C09"/>
    <w:rsid w:val="006E3D3E"/>
    <w:rsid w:val="006E3D7E"/>
    <w:rsid w:val="006E3D8D"/>
    <w:rsid w:val="006E3EFB"/>
    <w:rsid w:val="006E3FEE"/>
    <w:rsid w:val="006E41E5"/>
    <w:rsid w:val="006E41EE"/>
    <w:rsid w:val="006E42D8"/>
    <w:rsid w:val="006E4418"/>
    <w:rsid w:val="006E441E"/>
    <w:rsid w:val="006E443E"/>
    <w:rsid w:val="006E4463"/>
    <w:rsid w:val="006E4561"/>
    <w:rsid w:val="006E4575"/>
    <w:rsid w:val="006E45E0"/>
    <w:rsid w:val="006E4884"/>
    <w:rsid w:val="006E4A23"/>
    <w:rsid w:val="006E4A32"/>
    <w:rsid w:val="006E4A8D"/>
    <w:rsid w:val="006E4B11"/>
    <w:rsid w:val="006E4BF2"/>
    <w:rsid w:val="006E4CB7"/>
    <w:rsid w:val="006E4E34"/>
    <w:rsid w:val="006E4E42"/>
    <w:rsid w:val="006E4ED7"/>
    <w:rsid w:val="006E4F82"/>
    <w:rsid w:val="006E50CD"/>
    <w:rsid w:val="006E54C8"/>
    <w:rsid w:val="006E54DC"/>
    <w:rsid w:val="006E57B0"/>
    <w:rsid w:val="006E5881"/>
    <w:rsid w:val="006E58B7"/>
    <w:rsid w:val="006E599D"/>
    <w:rsid w:val="006E59F4"/>
    <w:rsid w:val="006E5A67"/>
    <w:rsid w:val="006E5B85"/>
    <w:rsid w:val="006E5BD9"/>
    <w:rsid w:val="006E5D8A"/>
    <w:rsid w:val="006E5DC1"/>
    <w:rsid w:val="006E5F8E"/>
    <w:rsid w:val="006E5FE6"/>
    <w:rsid w:val="006E61D7"/>
    <w:rsid w:val="006E62DE"/>
    <w:rsid w:val="006E63D1"/>
    <w:rsid w:val="006E6434"/>
    <w:rsid w:val="006E6859"/>
    <w:rsid w:val="006E6903"/>
    <w:rsid w:val="006E691F"/>
    <w:rsid w:val="006E6924"/>
    <w:rsid w:val="006E6A1C"/>
    <w:rsid w:val="006E6A8B"/>
    <w:rsid w:val="006E6AC1"/>
    <w:rsid w:val="006E6B8C"/>
    <w:rsid w:val="006E6BA4"/>
    <w:rsid w:val="006E6C2E"/>
    <w:rsid w:val="006E6CDC"/>
    <w:rsid w:val="006E6D0F"/>
    <w:rsid w:val="006E6DCF"/>
    <w:rsid w:val="006E6E71"/>
    <w:rsid w:val="006E6F0C"/>
    <w:rsid w:val="006E6F4C"/>
    <w:rsid w:val="006E6F65"/>
    <w:rsid w:val="006E6F80"/>
    <w:rsid w:val="006E6F8F"/>
    <w:rsid w:val="006E6F98"/>
    <w:rsid w:val="006E6FA9"/>
    <w:rsid w:val="006E71AF"/>
    <w:rsid w:val="006E7231"/>
    <w:rsid w:val="006E7259"/>
    <w:rsid w:val="006E732A"/>
    <w:rsid w:val="006E7594"/>
    <w:rsid w:val="006E764F"/>
    <w:rsid w:val="006E7738"/>
    <w:rsid w:val="006E773F"/>
    <w:rsid w:val="006E780A"/>
    <w:rsid w:val="006E78C2"/>
    <w:rsid w:val="006E790A"/>
    <w:rsid w:val="006E79D7"/>
    <w:rsid w:val="006E7A14"/>
    <w:rsid w:val="006E7A82"/>
    <w:rsid w:val="006E7AEA"/>
    <w:rsid w:val="006E7BF1"/>
    <w:rsid w:val="006E7C71"/>
    <w:rsid w:val="006E7CED"/>
    <w:rsid w:val="006E7CEE"/>
    <w:rsid w:val="006E7D5A"/>
    <w:rsid w:val="006E7D64"/>
    <w:rsid w:val="006E7D7E"/>
    <w:rsid w:val="006E7DB4"/>
    <w:rsid w:val="006E7F54"/>
    <w:rsid w:val="006F0069"/>
    <w:rsid w:val="006F00E6"/>
    <w:rsid w:val="006F0128"/>
    <w:rsid w:val="006F02FE"/>
    <w:rsid w:val="006F0301"/>
    <w:rsid w:val="006F0339"/>
    <w:rsid w:val="006F03FA"/>
    <w:rsid w:val="006F05A8"/>
    <w:rsid w:val="006F0694"/>
    <w:rsid w:val="006F0706"/>
    <w:rsid w:val="006F0796"/>
    <w:rsid w:val="006F07C2"/>
    <w:rsid w:val="006F07D5"/>
    <w:rsid w:val="006F0844"/>
    <w:rsid w:val="006F08BC"/>
    <w:rsid w:val="006F0BFE"/>
    <w:rsid w:val="006F0C4F"/>
    <w:rsid w:val="006F0C60"/>
    <w:rsid w:val="006F0D24"/>
    <w:rsid w:val="006F1191"/>
    <w:rsid w:val="006F1306"/>
    <w:rsid w:val="006F131F"/>
    <w:rsid w:val="006F1339"/>
    <w:rsid w:val="006F1538"/>
    <w:rsid w:val="006F15D6"/>
    <w:rsid w:val="006F1775"/>
    <w:rsid w:val="006F17F8"/>
    <w:rsid w:val="006F1830"/>
    <w:rsid w:val="006F1891"/>
    <w:rsid w:val="006F1951"/>
    <w:rsid w:val="006F1ABF"/>
    <w:rsid w:val="006F1BAE"/>
    <w:rsid w:val="006F1C10"/>
    <w:rsid w:val="006F1CFE"/>
    <w:rsid w:val="006F1D19"/>
    <w:rsid w:val="006F1DC0"/>
    <w:rsid w:val="006F1E39"/>
    <w:rsid w:val="006F1EE9"/>
    <w:rsid w:val="006F1F3D"/>
    <w:rsid w:val="006F1F63"/>
    <w:rsid w:val="006F2110"/>
    <w:rsid w:val="006F2197"/>
    <w:rsid w:val="006F2216"/>
    <w:rsid w:val="006F22B5"/>
    <w:rsid w:val="006F232E"/>
    <w:rsid w:val="006F2479"/>
    <w:rsid w:val="006F24EE"/>
    <w:rsid w:val="006F250F"/>
    <w:rsid w:val="006F25B9"/>
    <w:rsid w:val="006F25FC"/>
    <w:rsid w:val="006F2850"/>
    <w:rsid w:val="006F291A"/>
    <w:rsid w:val="006F29D0"/>
    <w:rsid w:val="006F2AF8"/>
    <w:rsid w:val="006F2AFE"/>
    <w:rsid w:val="006F2B16"/>
    <w:rsid w:val="006F2BB9"/>
    <w:rsid w:val="006F2C47"/>
    <w:rsid w:val="006F2C9A"/>
    <w:rsid w:val="006F2D2F"/>
    <w:rsid w:val="006F2D6F"/>
    <w:rsid w:val="006F2F95"/>
    <w:rsid w:val="006F2FE6"/>
    <w:rsid w:val="006F3001"/>
    <w:rsid w:val="006F3015"/>
    <w:rsid w:val="006F3029"/>
    <w:rsid w:val="006F31D6"/>
    <w:rsid w:val="006F3218"/>
    <w:rsid w:val="006F3554"/>
    <w:rsid w:val="006F3675"/>
    <w:rsid w:val="006F37A9"/>
    <w:rsid w:val="006F37FF"/>
    <w:rsid w:val="006F3839"/>
    <w:rsid w:val="006F3866"/>
    <w:rsid w:val="006F389B"/>
    <w:rsid w:val="006F38DC"/>
    <w:rsid w:val="006F390B"/>
    <w:rsid w:val="006F3919"/>
    <w:rsid w:val="006F39DF"/>
    <w:rsid w:val="006F3A00"/>
    <w:rsid w:val="006F3A82"/>
    <w:rsid w:val="006F3B24"/>
    <w:rsid w:val="006F3B88"/>
    <w:rsid w:val="006F3D7F"/>
    <w:rsid w:val="006F3DF0"/>
    <w:rsid w:val="006F3FBE"/>
    <w:rsid w:val="006F4045"/>
    <w:rsid w:val="006F4050"/>
    <w:rsid w:val="006F4080"/>
    <w:rsid w:val="006F40E4"/>
    <w:rsid w:val="006F4167"/>
    <w:rsid w:val="006F42F4"/>
    <w:rsid w:val="006F4477"/>
    <w:rsid w:val="006F44A4"/>
    <w:rsid w:val="006F45C1"/>
    <w:rsid w:val="006F469F"/>
    <w:rsid w:val="006F46A9"/>
    <w:rsid w:val="006F46B6"/>
    <w:rsid w:val="006F46B9"/>
    <w:rsid w:val="006F46FB"/>
    <w:rsid w:val="006F4766"/>
    <w:rsid w:val="006F47A1"/>
    <w:rsid w:val="006F4A44"/>
    <w:rsid w:val="006F4A51"/>
    <w:rsid w:val="006F4B9E"/>
    <w:rsid w:val="006F4CB0"/>
    <w:rsid w:val="006F4E61"/>
    <w:rsid w:val="006F4E77"/>
    <w:rsid w:val="006F4F13"/>
    <w:rsid w:val="006F4F7E"/>
    <w:rsid w:val="006F4F95"/>
    <w:rsid w:val="006F5052"/>
    <w:rsid w:val="006F50AB"/>
    <w:rsid w:val="006F5138"/>
    <w:rsid w:val="006F5549"/>
    <w:rsid w:val="006F5655"/>
    <w:rsid w:val="006F5777"/>
    <w:rsid w:val="006F5886"/>
    <w:rsid w:val="006F5981"/>
    <w:rsid w:val="006F5A28"/>
    <w:rsid w:val="006F5B06"/>
    <w:rsid w:val="006F5B4F"/>
    <w:rsid w:val="006F5C89"/>
    <w:rsid w:val="006F5CB2"/>
    <w:rsid w:val="006F5CF0"/>
    <w:rsid w:val="006F5FBA"/>
    <w:rsid w:val="006F611B"/>
    <w:rsid w:val="006F6299"/>
    <w:rsid w:val="006F6310"/>
    <w:rsid w:val="006F632F"/>
    <w:rsid w:val="006F6343"/>
    <w:rsid w:val="006F6347"/>
    <w:rsid w:val="006F64F1"/>
    <w:rsid w:val="006F666F"/>
    <w:rsid w:val="006F6738"/>
    <w:rsid w:val="006F6A58"/>
    <w:rsid w:val="006F6AC6"/>
    <w:rsid w:val="006F6B81"/>
    <w:rsid w:val="006F6C6A"/>
    <w:rsid w:val="006F6C95"/>
    <w:rsid w:val="006F6F99"/>
    <w:rsid w:val="006F70C0"/>
    <w:rsid w:val="006F726E"/>
    <w:rsid w:val="006F739F"/>
    <w:rsid w:val="006F73AF"/>
    <w:rsid w:val="006F742B"/>
    <w:rsid w:val="006F7587"/>
    <w:rsid w:val="006F76BF"/>
    <w:rsid w:val="006F76F3"/>
    <w:rsid w:val="006F7795"/>
    <w:rsid w:val="006F7886"/>
    <w:rsid w:val="006F78E0"/>
    <w:rsid w:val="006F79AB"/>
    <w:rsid w:val="006F7C59"/>
    <w:rsid w:val="006F7CB8"/>
    <w:rsid w:val="006F7CD3"/>
    <w:rsid w:val="006F7CDC"/>
    <w:rsid w:val="006F7D2E"/>
    <w:rsid w:val="006F7D4D"/>
    <w:rsid w:val="006F7D9E"/>
    <w:rsid w:val="006F7E65"/>
    <w:rsid w:val="006F7F72"/>
    <w:rsid w:val="00700059"/>
    <w:rsid w:val="00700135"/>
    <w:rsid w:val="0070025A"/>
    <w:rsid w:val="00700379"/>
    <w:rsid w:val="0070043B"/>
    <w:rsid w:val="0070043F"/>
    <w:rsid w:val="007004DC"/>
    <w:rsid w:val="007004F9"/>
    <w:rsid w:val="00700566"/>
    <w:rsid w:val="007005A5"/>
    <w:rsid w:val="0070062E"/>
    <w:rsid w:val="0070069C"/>
    <w:rsid w:val="00700734"/>
    <w:rsid w:val="00700779"/>
    <w:rsid w:val="00700912"/>
    <w:rsid w:val="00700974"/>
    <w:rsid w:val="007009A2"/>
    <w:rsid w:val="00700B91"/>
    <w:rsid w:val="00700BC7"/>
    <w:rsid w:val="00700CA7"/>
    <w:rsid w:val="00700CC3"/>
    <w:rsid w:val="00700D20"/>
    <w:rsid w:val="00700E6D"/>
    <w:rsid w:val="00700EF6"/>
    <w:rsid w:val="00700F54"/>
    <w:rsid w:val="00700F73"/>
    <w:rsid w:val="00700F8F"/>
    <w:rsid w:val="00700F94"/>
    <w:rsid w:val="0070100B"/>
    <w:rsid w:val="0070120E"/>
    <w:rsid w:val="0070131A"/>
    <w:rsid w:val="00701335"/>
    <w:rsid w:val="007016E7"/>
    <w:rsid w:val="0070174C"/>
    <w:rsid w:val="007017F5"/>
    <w:rsid w:val="00701876"/>
    <w:rsid w:val="00701890"/>
    <w:rsid w:val="00701933"/>
    <w:rsid w:val="00701975"/>
    <w:rsid w:val="00701A00"/>
    <w:rsid w:val="00701B1D"/>
    <w:rsid w:val="00701C7C"/>
    <w:rsid w:val="00701DD1"/>
    <w:rsid w:val="00701E89"/>
    <w:rsid w:val="00701FF5"/>
    <w:rsid w:val="00702040"/>
    <w:rsid w:val="00702390"/>
    <w:rsid w:val="007023B1"/>
    <w:rsid w:val="007023B4"/>
    <w:rsid w:val="00702415"/>
    <w:rsid w:val="00702442"/>
    <w:rsid w:val="0070246A"/>
    <w:rsid w:val="0070246F"/>
    <w:rsid w:val="00702509"/>
    <w:rsid w:val="007025C5"/>
    <w:rsid w:val="0070268E"/>
    <w:rsid w:val="007027E4"/>
    <w:rsid w:val="0070284D"/>
    <w:rsid w:val="0070286B"/>
    <w:rsid w:val="007028C1"/>
    <w:rsid w:val="007028E8"/>
    <w:rsid w:val="0070295B"/>
    <w:rsid w:val="00702985"/>
    <w:rsid w:val="007029DF"/>
    <w:rsid w:val="00702D1B"/>
    <w:rsid w:val="00702D1F"/>
    <w:rsid w:val="00702E02"/>
    <w:rsid w:val="00702E57"/>
    <w:rsid w:val="00702E7A"/>
    <w:rsid w:val="00702E97"/>
    <w:rsid w:val="00702F68"/>
    <w:rsid w:val="0070300C"/>
    <w:rsid w:val="0070307E"/>
    <w:rsid w:val="0070311A"/>
    <w:rsid w:val="00703158"/>
    <w:rsid w:val="0070334A"/>
    <w:rsid w:val="00703375"/>
    <w:rsid w:val="00703528"/>
    <w:rsid w:val="007035BF"/>
    <w:rsid w:val="0070363A"/>
    <w:rsid w:val="007036EE"/>
    <w:rsid w:val="00703700"/>
    <w:rsid w:val="007038D8"/>
    <w:rsid w:val="007039EF"/>
    <w:rsid w:val="00703CE3"/>
    <w:rsid w:val="00703D5C"/>
    <w:rsid w:val="00703D9D"/>
    <w:rsid w:val="00703DD9"/>
    <w:rsid w:val="00703E24"/>
    <w:rsid w:val="00703E53"/>
    <w:rsid w:val="00703F6E"/>
    <w:rsid w:val="00704047"/>
    <w:rsid w:val="0070404C"/>
    <w:rsid w:val="00704196"/>
    <w:rsid w:val="007041B0"/>
    <w:rsid w:val="007041E2"/>
    <w:rsid w:val="00704270"/>
    <w:rsid w:val="007042F3"/>
    <w:rsid w:val="00704313"/>
    <w:rsid w:val="0070434B"/>
    <w:rsid w:val="0070439D"/>
    <w:rsid w:val="00704402"/>
    <w:rsid w:val="007044E4"/>
    <w:rsid w:val="007044EE"/>
    <w:rsid w:val="0070451F"/>
    <w:rsid w:val="007045AE"/>
    <w:rsid w:val="00704729"/>
    <w:rsid w:val="00704871"/>
    <w:rsid w:val="00704904"/>
    <w:rsid w:val="00704A1A"/>
    <w:rsid w:val="00704B40"/>
    <w:rsid w:val="00704C5B"/>
    <w:rsid w:val="00704D81"/>
    <w:rsid w:val="00704D8B"/>
    <w:rsid w:val="00704DA9"/>
    <w:rsid w:val="00704E25"/>
    <w:rsid w:val="00704E4D"/>
    <w:rsid w:val="00704E67"/>
    <w:rsid w:val="00704E87"/>
    <w:rsid w:val="00704F02"/>
    <w:rsid w:val="0070500D"/>
    <w:rsid w:val="007050A0"/>
    <w:rsid w:val="0070521F"/>
    <w:rsid w:val="007054BD"/>
    <w:rsid w:val="007054D5"/>
    <w:rsid w:val="007055AA"/>
    <w:rsid w:val="007055FE"/>
    <w:rsid w:val="0070569F"/>
    <w:rsid w:val="007056AB"/>
    <w:rsid w:val="007056D7"/>
    <w:rsid w:val="00705766"/>
    <w:rsid w:val="00705795"/>
    <w:rsid w:val="00705922"/>
    <w:rsid w:val="0070594B"/>
    <w:rsid w:val="00705AF6"/>
    <w:rsid w:val="00705B7E"/>
    <w:rsid w:val="00705BE9"/>
    <w:rsid w:val="00705C4C"/>
    <w:rsid w:val="00705C8B"/>
    <w:rsid w:val="00705CF7"/>
    <w:rsid w:val="00705E2C"/>
    <w:rsid w:val="00705EBF"/>
    <w:rsid w:val="00705F2D"/>
    <w:rsid w:val="00705FFF"/>
    <w:rsid w:val="007060F4"/>
    <w:rsid w:val="00706104"/>
    <w:rsid w:val="0070622A"/>
    <w:rsid w:val="00706259"/>
    <w:rsid w:val="007062F1"/>
    <w:rsid w:val="007063F6"/>
    <w:rsid w:val="007064B5"/>
    <w:rsid w:val="00706597"/>
    <w:rsid w:val="007066F6"/>
    <w:rsid w:val="00706772"/>
    <w:rsid w:val="0070682D"/>
    <w:rsid w:val="007068F7"/>
    <w:rsid w:val="00706976"/>
    <w:rsid w:val="007069A7"/>
    <w:rsid w:val="007069D2"/>
    <w:rsid w:val="007069F9"/>
    <w:rsid w:val="00706B36"/>
    <w:rsid w:val="00706BB8"/>
    <w:rsid w:val="00706C9D"/>
    <w:rsid w:val="00706D49"/>
    <w:rsid w:val="00706D88"/>
    <w:rsid w:val="00706DF8"/>
    <w:rsid w:val="00706E09"/>
    <w:rsid w:val="00707023"/>
    <w:rsid w:val="00707059"/>
    <w:rsid w:val="0070709B"/>
    <w:rsid w:val="00707198"/>
    <w:rsid w:val="0070719D"/>
    <w:rsid w:val="007074EB"/>
    <w:rsid w:val="00707506"/>
    <w:rsid w:val="00707564"/>
    <w:rsid w:val="0070772E"/>
    <w:rsid w:val="00707798"/>
    <w:rsid w:val="007077B0"/>
    <w:rsid w:val="0070780A"/>
    <w:rsid w:val="00707916"/>
    <w:rsid w:val="007079D0"/>
    <w:rsid w:val="00707A1B"/>
    <w:rsid w:val="00707A3E"/>
    <w:rsid w:val="00707A45"/>
    <w:rsid w:val="00707A7B"/>
    <w:rsid w:val="00707B51"/>
    <w:rsid w:val="00707BE9"/>
    <w:rsid w:val="00707D3C"/>
    <w:rsid w:val="00707D46"/>
    <w:rsid w:val="00707D9D"/>
    <w:rsid w:val="00707DB3"/>
    <w:rsid w:val="00707DC0"/>
    <w:rsid w:val="00707DE6"/>
    <w:rsid w:val="00707FD5"/>
    <w:rsid w:val="00707FFA"/>
    <w:rsid w:val="00710108"/>
    <w:rsid w:val="007101DB"/>
    <w:rsid w:val="00710240"/>
    <w:rsid w:val="007102E3"/>
    <w:rsid w:val="00710337"/>
    <w:rsid w:val="00710372"/>
    <w:rsid w:val="007103D3"/>
    <w:rsid w:val="00710427"/>
    <w:rsid w:val="007104C1"/>
    <w:rsid w:val="00710684"/>
    <w:rsid w:val="0071082E"/>
    <w:rsid w:val="00710914"/>
    <w:rsid w:val="00710A00"/>
    <w:rsid w:val="00710A4D"/>
    <w:rsid w:val="00710ABB"/>
    <w:rsid w:val="00710B19"/>
    <w:rsid w:val="00710D69"/>
    <w:rsid w:val="00710E57"/>
    <w:rsid w:val="00711055"/>
    <w:rsid w:val="007111B7"/>
    <w:rsid w:val="007111C0"/>
    <w:rsid w:val="00711283"/>
    <w:rsid w:val="00711293"/>
    <w:rsid w:val="007112EA"/>
    <w:rsid w:val="0071133E"/>
    <w:rsid w:val="0071143E"/>
    <w:rsid w:val="0071152B"/>
    <w:rsid w:val="00711607"/>
    <w:rsid w:val="0071161D"/>
    <w:rsid w:val="00711756"/>
    <w:rsid w:val="00711773"/>
    <w:rsid w:val="00711777"/>
    <w:rsid w:val="0071185B"/>
    <w:rsid w:val="0071189A"/>
    <w:rsid w:val="007118E2"/>
    <w:rsid w:val="00711A1E"/>
    <w:rsid w:val="00711A7C"/>
    <w:rsid w:val="00711B45"/>
    <w:rsid w:val="00711C9A"/>
    <w:rsid w:val="00711D0B"/>
    <w:rsid w:val="00711ECE"/>
    <w:rsid w:val="00711F1D"/>
    <w:rsid w:val="007121EF"/>
    <w:rsid w:val="0071224B"/>
    <w:rsid w:val="00712260"/>
    <w:rsid w:val="007123E1"/>
    <w:rsid w:val="007123EB"/>
    <w:rsid w:val="0071246E"/>
    <w:rsid w:val="007125E3"/>
    <w:rsid w:val="007127F9"/>
    <w:rsid w:val="0071284B"/>
    <w:rsid w:val="00712AE7"/>
    <w:rsid w:val="00712B26"/>
    <w:rsid w:val="00712BFB"/>
    <w:rsid w:val="00712C50"/>
    <w:rsid w:val="00712C68"/>
    <w:rsid w:val="00712C9A"/>
    <w:rsid w:val="00712CA3"/>
    <w:rsid w:val="00712CF1"/>
    <w:rsid w:val="00712E2D"/>
    <w:rsid w:val="00712ED7"/>
    <w:rsid w:val="00713036"/>
    <w:rsid w:val="007130A7"/>
    <w:rsid w:val="00713103"/>
    <w:rsid w:val="00713168"/>
    <w:rsid w:val="00713174"/>
    <w:rsid w:val="007131B6"/>
    <w:rsid w:val="0071330A"/>
    <w:rsid w:val="007134AC"/>
    <w:rsid w:val="00713886"/>
    <w:rsid w:val="007138EA"/>
    <w:rsid w:val="00713910"/>
    <w:rsid w:val="00713A97"/>
    <w:rsid w:val="00713AF9"/>
    <w:rsid w:val="00713C92"/>
    <w:rsid w:val="00713D00"/>
    <w:rsid w:val="00713D07"/>
    <w:rsid w:val="00713D33"/>
    <w:rsid w:val="00713D9C"/>
    <w:rsid w:val="00713E9A"/>
    <w:rsid w:val="00713EA7"/>
    <w:rsid w:val="00714118"/>
    <w:rsid w:val="0071415E"/>
    <w:rsid w:val="007141AD"/>
    <w:rsid w:val="007141FB"/>
    <w:rsid w:val="0071427F"/>
    <w:rsid w:val="007142C9"/>
    <w:rsid w:val="007143A1"/>
    <w:rsid w:val="00714415"/>
    <w:rsid w:val="00714574"/>
    <w:rsid w:val="00714633"/>
    <w:rsid w:val="00714683"/>
    <w:rsid w:val="007146D9"/>
    <w:rsid w:val="007146DD"/>
    <w:rsid w:val="0071471F"/>
    <w:rsid w:val="00714742"/>
    <w:rsid w:val="00714778"/>
    <w:rsid w:val="00714806"/>
    <w:rsid w:val="00714815"/>
    <w:rsid w:val="00714829"/>
    <w:rsid w:val="007148E0"/>
    <w:rsid w:val="00714936"/>
    <w:rsid w:val="00714AAF"/>
    <w:rsid w:val="00714B29"/>
    <w:rsid w:val="00714BDE"/>
    <w:rsid w:val="00714C53"/>
    <w:rsid w:val="00714C56"/>
    <w:rsid w:val="00714CC6"/>
    <w:rsid w:val="00714CED"/>
    <w:rsid w:val="00714D0F"/>
    <w:rsid w:val="00714D6B"/>
    <w:rsid w:val="00714E6D"/>
    <w:rsid w:val="00714EDB"/>
    <w:rsid w:val="0071512B"/>
    <w:rsid w:val="00715223"/>
    <w:rsid w:val="00715375"/>
    <w:rsid w:val="00715495"/>
    <w:rsid w:val="00715649"/>
    <w:rsid w:val="007156C6"/>
    <w:rsid w:val="00715800"/>
    <w:rsid w:val="0071584F"/>
    <w:rsid w:val="007158E3"/>
    <w:rsid w:val="00715993"/>
    <w:rsid w:val="00715ACE"/>
    <w:rsid w:val="00715BE8"/>
    <w:rsid w:val="00715D19"/>
    <w:rsid w:val="00715DF6"/>
    <w:rsid w:val="00715EF4"/>
    <w:rsid w:val="00715F20"/>
    <w:rsid w:val="0071601A"/>
    <w:rsid w:val="007160B5"/>
    <w:rsid w:val="007160DB"/>
    <w:rsid w:val="00716136"/>
    <w:rsid w:val="0071617B"/>
    <w:rsid w:val="007161B1"/>
    <w:rsid w:val="007162C7"/>
    <w:rsid w:val="007162DA"/>
    <w:rsid w:val="00716422"/>
    <w:rsid w:val="0071645D"/>
    <w:rsid w:val="007164A4"/>
    <w:rsid w:val="007164F4"/>
    <w:rsid w:val="00716560"/>
    <w:rsid w:val="007165B2"/>
    <w:rsid w:val="00716688"/>
    <w:rsid w:val="007166BD"/>
    <w:rsid w:val="00716728"/>
    <w:rsid w:val="00716790"/>
    <w:rsid w:val="007167A5"/>
    <w:rsid w:val="007167A7"/>
    <w:rsid w:val="007168C8"/>
    <w:rsid w:val="007168DE"/>
    <w:rsid w:val="00716A28"/>
    <w:rsid w:val="00716ABA"/>
    <w:rsid w:val="00716B5C"/>
    <w:rsid w:val="00716CE5"/>
    <w:rsid w:val="00716E4D"/>
    <w:rsid w:val="0071701B"/>
    <w:rsid w:val="00717138"/>
    <w:rsid w:val="00717148"/>
    <w:rsid w:val="007172D9"/>
    <w:rsid w:val="00717397"/>
    <w:rsid w:val="0071752F"/>
    <w:rsid w:val="007175EF"/>
    <w:rsid w:val="00717725"/>
    <w:rsid w:val="0071772B"/>
    <w:rsid w:val="00717742"/>
    <w:rsid w:val="0071779B"/>
    <w:rsid w:val="007177C3"/>
    <w:rsid w:val="007177DD"/>
    <w:rsid w:val="007177F5"/>
    <w:rsid w:val="007178B0"/>
    <w:rsid w:val="00717A0B"/>
    <w:rsid w:val="00717ADA"/>
    <w:rsid w:val="00717AFF"/>
    <w:rsid w:val="00717B36"/>
    <w:rsid w:val="00717B46"/>
    <w:rsid w:val="00717C2F"/>
    <w:rsid w:val="00717C31"/>
    <w:rsid w:val="00717C44"/>
    <w:rsid w:val="00717CA8"/>
    <w:rsid w:val="00717D1C"/>
    <w:rsid w:val="00717E6E"/>
    <w:rsid w:val="00717FD6"/>
    <w:rsid w:val="0072001F"/>
    <w:rsid w:val="00720224"/>
    <w:rsid w:val="00720245"/>
    <w:rsid w:val="0072026F"/>
    <w:rsid w:val="007202E9"/>
    <w:rsid w:val="0072038B"/>
    <w:rsid w:val="00720645"/>
    <w:rsid w:val="007206DE"/>
    <w:rsid w:val="0072074B"/>
    <w:rsid w:val="0072077F"/>
    <w:rsid w:val="00720782"/>
    <w:rsid w:val="007207B8"/>
    <w:rsid w:val="00720888"/>
    <w:rsid w:val="0072090F"/>
    <w:rsid w:val="00720920"/>
    <w:rsid w:val="00720926"/>
    <w:rsid w:val="00720A27"/>
    <w:rsid w:val="00720A42"/>
    <w:rsid w:val="00720DF6"/>
    <w:rsid w:val="00720E77"/>
    <w:rsid w:val="00720FB6"/>
    <w:rsid w:val="0072118A"/>
    <w:rsid w:val="007211BF"/>
    <w:rsid w:val="0072138D"/>
    <w:rsid w:val="0072139C"/>
    <w:rsid w:val="007213AC"/>
    <w:rsid w:val="007213C8"/>
    <w:rsid w:val="007215B5"/>
    <w:rsid w:val="007215C4"/>
    <w:rsid w:val="00721678"/>
    <w:rsid w:val="0072167E"/>
    <w:rsid w:val="007216E8"/>
    <w:rsid w:val="00721731"/>
    <w:rsid w:val="00721760"/>
    <w:rsid w:val="007217EB"/>
    <w:rsid w:val="007219FF"/>
    <w:rsid w:val="00721A3E"/>
    <w:rsid w:val="00721A53"/>
    <w:rsid w:val="00721A5A"/>
    <w:rsid w:val="00721A87"/>
    <w:rsid w:val="00721AA6"/>
    <w:rsid w:val="00721AA9"/>
    <w:rsid w:val="00721B89"/>
    <w:rsid w:val="00721C83"/>
    <w:rsid w:val="00721CFD"/>
    <w:rsid w:val="00721D09"/>
    <w:rsid w:val="00721E25"/>
    <w:rsid w:val="00721E2B"/>
    <w:rsid w:val="00721EAB"/>
    <w:rsid w:val="00721F1D"/>
    <w:rsid w:val="00721F47"/>
    <w:rsid w:val="00721FDC"/>
    <w:rsid w:val="00721FE8"/>
    <w:rsid w:val="00721FE9"/>
    <w:rsid w:val="00721FFF"/>
    <w:rsid w:val="00722042"/>
    <w:rsid w:val="0072205C"/>
    <w:rsid w:val="007220AA"/>
    <w:rsid w:val="007220B0"/>
    <w:rsid w:val="007220E9"/>
    <w:rsid w:val="007221AB"/>
    <w:rsid w:val="00722269"/>
    <w:rsid w:val="007222F0"/>
    <w:rsid w:val="00722433"/>
    <w:rsid w:val="00722453"/>
    <w:rsid w:val="0072245A"/>
    <w:rsid w:val="0072252F"/>
    <w:rsid w:val="0072256B"/>
    <w:rsid w:val="00722667"/>
    <w:rsid w:val="00722704"/>
    <w:rsid w:val="007227C0"/>
    <w:rsid w:val="0072283F"/>
    <w:rsid w:val="0072290B"/>
    <w:rsid w:val="00722941"/>
    <w:rsid w:val="00722979"/>
    <w:rsid w:val="007229B6"/>
    <w:rsid w:val="007229BF"/>
    <w:rsid w:val="00722B0B"/>
    <w:rsid w:val="00722B1E"/>
    <w:rsid w:val="00722B6C"/>
    <w:rsid w:val="00722B7D"/>
    <w:rsid w:val="00722C49"/>
    <w:rsid w:val="00722E3B"/>
    <w:rsid w:val="00722F4A"/>
    <w:rsid w:val="00723057"/>
    <w:rsid w:val="0072310D"/>
    <w:rsid w:val="00723168"/>
    <w:rsid w:val="007231F5"/>
    <w:rsid w:val="00723218"/>
    <w:rsid w:val="0072345D"/>
    <w:rsid w:val="007235F3"/>
    <w:rsid w:val="00723694"/>
    <w:rsid w:val="007236AC"/>
    <w:rsid w:val="00723710"/>
    <w:rsid w:val="00723778"/>
    <w:rsid w:val="0072379F"/>
    <w:rsid w:val="007238CE"/>
    <w:rsid w:val="007238FF"/>
    <w:rsid w:val="00723983"/>
    <w:rsid w:val="00723A98"/>
    <w:rsid w:val="00723ADA"/>
    <w:rsid w:val="00723B1A"/>
    <w:rsid w:val="00723B3F"/>
    <w:rsid w:val="00723B9E"/>
    <w:rsid w:val="00723D27"/>
    <w:rsid w:val="00723D61"/>
    <w:rsid w:val="00723DD1"/>
    <w:rsid w:val="00723F48"/>
    <w:rsid w:val="00724024"/>
    <w:rsid w:val="0072406F"/>
    <w:rsid w:val="0072408B"/>
    <w:rsid w:val="00724183"/>
    <w:rsid w:val="0072420B"/>
    <w:rsid w:val="00724265"/>
    <w:rsid w:val="0072434A"/>
    <w:rsid w:val="00724380"/>
    <w:rsid w:val="007243C5"/>
    <w:rsid w:val="007243D4"/>
    <w:rsid w:val="007244F4"/>
    <w:rsid w:val="00724597"/>
    <w:rsid w:val="007246EC"/>
    <w:rsid w:val="007246F9"/>
    <w:rsid w:val="00724762"/>
    <w:rsid w:val="0072486E"/>
    <w:rsid w:val="00724888"/>
    <w:rsid w:val="007248E9"/>
    <w:rsid w:val="00724A30"/>
    <w:rsid w:val="00724A46"/>
    <w:rsid w:val="00724A84"/>
    <w:rsid w:val="00724A91"/>
    <w:rsid w:val="00724E2E"/>
    <w:rsid w:val="00724E4C"/>
    <w:rsid w:val="00724FC8"/>
    <w:rsid w:val="00724FD1"/>
    <w:rsid w:val="0072503D"/>
    <w:rsid w:val="007251C6"/>
    <w:rsid w:val="007251E5"/>
    <w:rsid w:val="0072540B"/>
    <w:rsid w:val="007254E0"/>
    <w:rsid w:val="00725571"/>
    <w:rsid w:val="00725581"/>
    <w:rsid w:val="007255DE"/>
    <w:rsid w:val="0072567E"/>
    <w:rsid w:val="007258E9"/>
    <w:rsid w:val="0072591E"/>
    <w:rsid w:val="007259CB"/>
    <w:rsid w:val="00725B48"/>
    <w:rsid w:val="00725BB3"/>
    <w:rsid w:val="00725C5E"/>
    <w:rsid w:val="00725CD2"/>
    <w:rsid w:val="00725E13"/>
    <w:rsid w:val="00725E6F"/>
    <w:rsid w:val="00725ED5"/>
    <w:rsid w:val="00725FD3"/>
    <w:rsid w:val="00725FF9"/>
    <w:rsid w:val="0072602C"/>
    <w:rsid w:val="00726090"/>
    <w:rsid w:val="00726095"/>
    <w:rsid w:val="007260F2"/>
    <w:rsid w:val="00726124"/>
    <w:rsid w:val="0072618C"/>
    <w:rsid w:val="007262F4"/>
    <w:rsid w:val="00726514"/>
    <w:rsid w:val="0072654B"/>
    <w:rsid w:val="007266E3"/>
    <w:rsid w:val="007267A0"/>
    <w:rsid w:val="00726854"/>
    <w:rsid w:val="007268B0"/>
    <w:rsid w:val="00726BC0"/>
    <w:rsid w:val="00726CE4"/>
    <w:rsid w:val="00726EC7"/>
    <w:rsid w:val="00726ECD"/>
    <w:rsid w:val="00726F01"/>
    <w:rsid w:val="00726F3E"/>
    <w:rsid w:val="00727032"/>
    <w:rsid w:val="0072703F"/>
    <w:rsid w:val="0072704C"/>
    <w:rsid w:val="00727058"/>
    <w:rsid w:val="0072705A"/>
    <w:rsid w:val="00727093"/>
    <w:rsid w:val="007270E8"/>
    <w:rsid w:val="007272E0"/>
    <w:rsid w:val="0072731E"/>
    <w:rsid w:val="007273AF"/>
    <w:rsid w:val="0072746D"/>
    <w:rsid w:val="00727535"/>
    <w:rsid w:val="00727872"/>
    <w:rsid w:val="0072795B"/>
    <w:rsid w:val="007279D1"/>
    <w:rsid w:val="007279EA"/>
    <w:rsid w:val="00727CC5"/>
    <w:rsid w:val="00727D26"/>
    <w:rsid w:val="00727F37"/>
    <w:rsid w:val="007300D6"/>
    <w:rsid w:val="00730100"/>
    <w:rsid w:val="00730126"/>
    <w:rsid w:val="007301BB"/>
    <w:rsid w:val="00730201"/>
    <w:rsid w:val="00730230"/>
    <w:rsid w:val="0073044A"/>
    <w:rsid w:val="00730530"/>
    <w:rsid w:val="007305B5"/>
    <w:rsid w:val="00730638"/>
    <w:rsid w:val="00730677"/>
    <w:rsid w:val="007306A6"/>
    <w:rsid w:val="00730780"/>
    <w:rsid w:val="00730883"/>
    <w:rsid w:val="007308AB"/>
    <w:rsid w:val="00730983"/>
    <w:rsid w:val="00730B4D"/>
    <w:rsid w:val="00730BEF"/>
    <w:rsid w:val="00730CE9"/>
    <w:rsid w:val="00730D46"/>
    <w:rsid w:val="00730E3B"/>
    <w:rsid w:val="00730EEC"/>
    <w:rsid w:val="00730F5A"/>
    <w:rsid w:val="00731003"/>
    <w:rsid w:val="007310AA"/>
    <w:rsid w:val="007310EF"/>
    <w:rsid w:val="007311F4"/>
    <w:rsid w:val="007311F5"/>
    <w:rsid w:val="007312AA"/>
    <w:rsid w:val="007313DE"/>
    <w:rsid w:val="007314D2"/>
    <w:rsid w:val="00731569"/>
    <w:rsid w:val="00731571"/>
    <w:rsid w:val="00731587"/>
    <w:rsid w:val="007315E7"/>
    <w:rsid w:val="007316D5"/>
    <w:rsid w:val="007316E3"/>
    <w:rsid w:val="0073175F"/>
    <w:rsid w:val="007317E6"/>
    <w:rsid w:val="007319E8"/>
    <w:rsid w:val="00731A33"/>
    <w:rsid w:val="00731AFE"/>
    <w:rsid w:val="00731B1D"/>
    <w:rsid w:val="00731BD6"/>
    <w:rsid w:val="00731CFD"/>
    <w:rsid w:val="00731D19"/>
    <w:rsid w:val="00731DE5"/>
    <w:rsid w:val="00731DF4"/>
    <w:rsid w:val="00731E57"/>
    <w:rsid w:val="00731E5E"/>
    <w:rsid w:val="00731E7C"/>
    <w:rsid w:val="00731F11"/>
    <w:rsid w:val="00731F5A"/>
    <w:rsid w:val="00732098"/>
    <w:rsid w:val="0073209B"/>
    <w:rsid w:val="007320C8"/>
    <w:rsid w:val="007320FA"/>
    <w:rsid w:val="00732130"/>
    <w:rsid w:val="007321C6"/>
    <w:rsid w:val="007321E7"/>
    <w:rsid w:val="0073229D"/>
    <w:rsid w:val="00732384"/>
    <w:rsid w:val="00732519"/>
    <w:rsid w:val="00732521"/>
    <w:rsid w:val="007325A2"/>
    <w:rsid w:val="007325CE"/>
    <w:rsid w:val="007326C7"/>
    <w:rsid w:val="0073272B"/>
    <w:rsid w:val="00732894"/>
    <w:rsid w:val="00732928"/>
    <w:rsid w:val="00732944"/>
    <w:rsid w:val="0073297B"/>
    <w:rsid w:val="00732A3A"/>
    <w:rsid w:val="00732A8C"/>
    <w:rsid w:val="00732AED"/>
    <w:rsid w:val="00732B94"/>
    <w:rsid w:val="00732BE6"/>
    <w:rsid w:val="00732DBC"/>
    <w:rsid w:val="00732E39"/>
    <w:rsid w:val="00732E63"/>
    <w:rsid w:val="00732F60"/>
    <w:rsid w:val="00733071"/>
    <w:rsid w:val="007330D5"/>
    <w:rsid w:val="00733162"/>
    <w:rsid w:val="00733175"/>
    <w:rsid w:val="00733182"/>
    <w:rsid w:val="007331B8"/>
    <w:rsid w:val="0073320D"/>
    <w:rsid w:val="00733262"/>
    <w:rsid w:val="0073328F"/>
    <w:rsid w:val="0073330C"/>
    <w:rsid w:val="00733446"/>
    <w:rsid w:val="00733457"/>
    <w:rsid w:val="0073345C"/>
    <w:rsid w:val="007335D8"/>
    <w:rsid w:val="00733652"/>
    <w:rsid w:val="0073372A"/>
    <w:rsid w:val="00733763"/>
    <w:rsid w:val="007338B9"/>
    <w:rsid w:val="00733B0F"/>
    <w:rsid w:val="00733B62"/>
    <w:rsid w:val="00733DAB"/>
    <w:rsid w:val="00733DBE"/>
    <w:rsid w:val="00733F3F"/>
    <w:rsid w:val="00733FCC"/>
    <w:rsid w:val="00733FEA"/>
    <w:rsid w:val="0073407D"/>
    <w:rsid w:val="007343D6"/>
    <w:rsid w:val="0073441C"/>
    <w:rsid w:val="00734480"/>
    <w:rsid w:val="007344CE"/>
    <w:rsid w:val="0073463A"/>
    <w:rsid w:val="0073473A"/>
    <w:rsid w:val="00734745"/>
    <w:rsid w:val="00734803"/>
    <w:rsid w:val="007348BC"/>
    <w:rsid w:val="00734956"/>
    <w:rsid w:val="00734B85"/>
    <w:rsid w:val="00734C1B"/>
    <w:rsid w:val="00734C3E"/>
    <w:rsid w:val="00734EC3"/>
    <w:rsid w:val="00735066"/>
    <w:rsid w:val="007350E4"/>
    <w:rsid w:val="007350F6"/>
    <w:rsid w:val="0073514B"/>
    <w:rsid w:val="0073516F"/>
    <w:rsid w:val="00735230"/>
    <w:rsid w:val="00735235"/>
    <w:rsid w:val="00735288"/>
    <w:rsid w:val="007353E9"/>
    <w:rsid w:val="00735556"/>
    <w:rsid w:val="007355E9"/>
    <w:rsid w:val="007355F5"/>
    <w:rsid w:val="007358C1"/>
    <w:rsid w:val="007358CD"/>
    <w:rsid w:val="007358D4"/>
    <w:rsid w:val="00735907"/>
    <w:rsid w:val="007359C8"/>
    <w:rsid w:val="00735AE7"/>
    <w:rsid w:val="00735B7E"/>
    <w:rsid w:val="00735BBD"/>
    <w:rsid w:val="00735D56"/>
    <w:rsid w:val="00735D8B"/>
    <w:rsid w:val="00735DF3"/>
    <w:rsid w:val="00735F3E"/>
    <w:rsid w:val="00735FF1"/>
    <w:rsid w:val="0073605D"/>
    <w:rsid w:val="00736133"/>
    <w:rsid w:val="00736196"/>
    <w:rsid w:val="007361E8"/>
    <w:rsid w:val="00736293"/>
    <w:rsid w:val="00736479"/>
    <w:rsid w:val="007365BB"/>
    <w:rsid w:val="007365C6"/>
    <w:rsid w:val="00736642"/>
    <w:rsid w:val="0073666B"/>
    <w:rsid w:val="0073666F"/>
    <w:rsid w:val="00736798"/>
    <w:rsid w:val="00736808"/>
    <w:rsid w:val="00736897"/>
    <w:rsid w:val="007369CB"/>
    <w:rsid w:val="00736AF2"/>
    <w:rsid w:val="00736B91"/>
    <w:rsid w:val="00736E52"/>
    <w:rsid w:val="00736EEE"/>
    <w:rsid w:val="00736F63"/>
    <w:rsid w:val="00736F72"/>
    <w:rsid w:val="007370BE"/>
    <w:rsid w:val="00737107"/>
    <w:rsid w:val="00737149"/>
    <w:rsid w:val="0073720C"/>
    <w:rsid w:val="00737329"/>
    <w:rsid w:val="00737451"/>
    <w:rsid w:val="007376D1"/>
    <w:rsid w:val="007379D2"/>
    <w:rsid w:val="00737A2E"/>
    <w:rsid w:val="00737A9C"/>
    <w:rsid w:val="00737AF8"/>
    <w:rsid w:val="00737C9B"/>
    <w:rsid w:val="00737CB7"/>
    <w:rsid w:val="00737F24"/>
    <w:rsid w:val="00737F52"/>
    <w:rsid w:val="00737F60"/>
    <w:rsid w:val="00737F7D"/>
    <w:rsid w:val="00740093"/>
    <w:rsid w:val="00740199"/>
    <w:rsid w:val="0074022A"/>
    <w:rsid w:val="00740246"/>
    <w:rsid w:val="0074036B"/>
    <w:rsid w:val="0074042E"/>
    <w:rsid w:val="0074044B"/>
    <w:rsid w:val="0074056A"/>
    <w:rsid w:val="007405DF"/>
    <w:rsid w:val="0074062F"/>
    <w:rsid w:val="00740672"/>
    <w:rsid w:val="007407BE"/>
    <w:rsid w:val="007408CE"/>
    <w:rsid w:val="0074097F"/>
    <w:rsid w:val="007409AF"/>
    <w:rsid w:val="00740A2A"/>
    <w:rsid w:val="00740B5F"/>
    <w:rsid w:val="00740BE0"/>
    <w:rsid w:val="00740C88"/>
    <w:rsid w:val="00740CFB"/>
    <w:rsid w:val="00740DFD"/>
    <w:rsid w:val="00740EB1"/>
    <w:rsid w:val="00740FD3"/>
    <w:rsid w:val="00740FDF"/>
    <w:rsid w:val="00741100"/>
    <w:rsid w:val="007411CF"/>
    <w:rsid w:val="00741251"/>
    <w:rsid w:val="00741343"/>
    <w:rsid w:val="007414BB"/>
    <w:rsid w:val="007414F9"/>
    <w:rsid w:val="007415FB"/>
    <w:rsid w:val="0074169C"/>
    <w:rsid w:val="007417EF"/>
    <w:rsid w:val="0074194D"/>
    <w:rsid w:val="007419A3"/>
    <w:rsid w:val="00741AA8"/>
    <w:rsid w:val="00741AB8"/>
    <w:rsid w:val="00741ABA"/>
    <w:rsid w:val="00741AC0"/>
    <w:rsid w:val="00741B07"/>
    <w:rsid w:val="00741BA0"/>
    <w:rsid w:val="00741D2A"/>
    <w:rsid w:val="00741DA0"/>
    <w:rsid w:val="00741EB5"/>
    <w:rsid w:val="00741F76"/>
    <w:rsid w:val="00742007"/>
    <w:rsid w:val="007420D3"/>
    <w:rsid w:val="0074214A"/>
    <w:rsid w:val="007421D5"/>
    <w:rsid w:val="0074228C"/>
    <w:rsid w:val="007422D4"/>
    <w:rsid w:val="00742421"/>
    <w:rsid w:val="0074243D"/>
    <w:rsid w:val="007424F5"/>
    <w:rsid w:val="007425A8"/>
    <w:rsid w:val="007425FC"/>
    <w:rsid w:val="0074271C"/>
    <w:rsid w:val="00742826"/>
    <w:rsid w:val="0074290C"/>
    <w:rsid w:val="00742920"/>
    <w:rsid w:val="0074296C"/>
    <w:rsid w:val="00742974"/>
    <w:rsid w:val="007429C4"/>
    <w:rsid w:val="007429CE"/>
    <w:rsid w:val="00742A29"/>
    <w:rsid w:val="00742A34"/>
    <w:rsid w:val="00742A73"/>
    <w:rsid w:val="00742C59"/>
    <w:rsid w:val="00742C66"/>
    <w:rsid w:val="00742CED"/>
    <w:rsid w:val="00743054"/>
    <w:rsid w:val="00743061"/>
    <w:rsid w:val="00743122"/>
    <w:rsid w:val="0074313D"/>
    <w:rsid w:val="00743200"/>
    <w:rsid w:val="00743237"/>
    <w:rsid w:val="00743306"/>
    <w:rsid w:val="00743342"/>
    <w:rsid w:val="007433A7"/>
    <w:rsid w:val="0074342A"/>
    <w:rsid w:val="0074354E"/>
    <w:rsid w:val="007435C5"/>
    <w:rsid w:val="007436D8"/>
    <w:rsid w:val="007437E5"/>
    <w:rsid w:val="007438AC"/>
    <w:rsid w:val="00743ADF"/>
    <w:rsid w:val="00743B1C"/>
    <w:rsid w:val="00743BB0"/>
    <w:rsid w:val="00743BFC"/>
    <w:rsid w:val="00743DB0"/>
    <w:rsid w:val="00743DE0"/>
    <w:rsid w:val="00743E59"/>
    <w:rsid w:val="00743F23"/>
    <w:rsid w:val="00744042"/>
    <w:rsid w:val="0074409D"/>
    <w:rsid w:val="00744118"/>
    <w:rsid w:val="007442FD"/>
    <w:rsid w:val="00744310"/>
    <w:rsid w:val="0074437A"/>
    <w:rsid w:val="007443D9"/>
    <w:rsid w:val="0074455F"/>
    <w:rsid w:val="00744679"/>
    <w:rsid w:val="0074469E"/>
    <w:rsid w:val="007446A2"/>
    <w:rsid w:val="00744768"/>
    <w:rsid w:val="0074481B"/>
    <w:rsid w:val="0074481F"/>
    <w:rsid w:val="0074494E"/>
    <w:rsid w:val="00744A45"/>
    <w:rsid w:val="00744A7A"/>
    <w:rsid w:val="00744AE4"/>
    <w:rsid w:val="00744B30"/>
    <w:rsid w:val="00744B87"/>
    <w:rsid w:val="00744BA5"/>
    <w:rsid w:val="00744C71"/>
    <w:rsid w:val="00744D92"/>
    <w:rsid w:val="00744DFD"/>
    <w:rsid w:val="00744E0A"/>
    <w:rsid w:val="00744E4F"/>
    <w:rsid w:val="00744EBB"/>
    <w:rsid w:val="00744F25"/>
    <w:rsid w:val="00744F8E"/>
    <w:rsid w:val="007450CE"/>
    <w:rsid w:val="00745238"/>
    <w:rsid w:val="007452E9"/>
    <w:rsid w:val="007453BC"/>
    <w:rsid w:val="007453D1"/>
    <w:rsid w:val="00745407"/>
    <w:rsid w:val="00745541"/>
    <w:rsid w:val="00745600"/>
    <w:rsid w:val="00745720"/>
    <w:rsid w:val="00745864"/>
    <w:rsid w:val="007458EC"/>
    <w:rsid w:val="00745972"/>
    <w:rsid w:val="007459E8"/>
    <w:rsid w:val="00745A23"/>
    <w:rsid w:val="00745AB3"/>
    <w:rsid w:val="00745AB7"/>
    <w:rsid w:val="00745ACA"/>
    <w:rsid w:val="00745BD0"/>
    <w:rsid w:val="00745C55"/>
    <w:rsid w:val="00745D7E"/>
    <w:rsid w:val="00745D92"/>
    <w:rsid w:val="00745DAF"/>
    <w:rsid w:val="00745FB5"/>
    <w:rsid w:val="00745FC9"/>
    <w:rsid w:val="00745FFF"/>
    <w:rsid w:val="007460A4"/>
    <w:rsid w:val="007460C5"/>
    <w:rsid w:val="00746230"/>
    <w:rsid w:val="00746251"/>
    <w:rsid w:val="0074630D"/>
    <w:rsid w:val="007463AA"/>
    <w:rsid w:val="00746413"/>
    <w:rsid w:val="007464F1"/>
    <w:rsid w:val="007466A1"/>
    <w:rsid w:val="007468B0"/>
    <w:rsid w:val="00746A5C"/>
    <w:rsid w:val="00746B26"/>
    <w:rsid w:val="00746B51"/>
    <w:rsid w:val="00746BAC"/>
    <w:rsid w:val="00746BD2"/>
    <w:rsid w:val="00746BDC"/>
    <w:rsid w:val="00746C55"/>
    <w:rsid w:val="00746C56"/>
    <w:rsid w:val="00746CFF"/>
    <w:rsid w:val="00746DAB"/>
    <w:rsid w:val="00746DBF"/>
    <w:rsid w:val="00746E0E"/>
    <w:rsid w:val="00746F19"/>
    <w:rsid w:val="00746FBF"/>
    <w:rsid w:val="00746FC0"/>
    <w:rsid w:val="00746FCD"/>
    <w:rsid w:val="00746FD5"/>
    <w:rsid w:val="00746FDB"/>
    <w:rsid w:val="007470AC"/>
    <w:rsid w:val="007472E3"/>
    <w:rsid w:val="00747409"/>
    <w:rsid w:val="0074741D"/>
    <w:rsid w:val="00747479"/>
    <w:rsid w:val="007475EC"/>
    <w:rsid w:val="007475F5"/>
    <w:rsid w:val="00747768"/>
    <w:rsid w:val="007477A6"/>
    <w:rsid w:val="007477AB"/>
    <w:rsid w:val="007477CA"/>
    <w:rsid w:val="00747993"/>
    <w:rsid w:val="00747A3B"/>
    <w:rsid w:val="00747A48"/>
    <w:rsid w:val="00747ACA"/>
    <w:rsid w:val="00747B55"/>
    <w:rsid w:val="00747B8D"/>
    <w:rsid w:val="00747BB1"/>
    <w:rsid w:val="00747E6F"/>
    <w:rsid w:val="00750034"/>
    <w:rsid w:val="00750167"/>
    <w:rsid w:val="0075039F"/>
    <w:rsid w:val="0075040B"/>
    <w:rsid w:val="00750486"/>
    <w:rsid w:val="00750503"/>
    <w:rsid w:val="007505F8"/>
    <w:rsid w:val="007506D6"/>
    <w:rsid w:val="007506DF"/>
    <w:rsid w:val="007507A6"/>
    <w:rsid w:val="00750B54"/>
    <w:rsid w:val="00750BB5"/>
    <w:rsid w:val="00750C45"/>
    <w:rsid w:val="00750C82"/>
    <w:rsid w:val="00750D3B"/>
    <w:rsid w:val="00750DDF"/>
    <w:rsid w:val="00750DF9"/>
    <w:rsid w:val="00750E0E"/>
    <w:rsid w:val="00750E59"/>
    <w:rsid w:val="00750E7D"/>
    <w:rsid w:val="00750EC2"/>
    <w:rsid w:val="00750F02"/>
    <w:rsid w:val="00750F6F"/>
    <w:rsid w:val="00750FD1"/>
    <w:rsid w:val="00751012"/>
    <w:rsid w:val="00751031"/>
    <w:rsid w:val="007510C4"/>
    <w:rsid w:val="007510EF"/>
    <w:rsid w:val="0075113C"/>
    <w:rsid w:val="007511D2"/>
    <w:rsid w:val="007512E7"/>
    <w:rsid w:val="00751354"/>
    <w:rsid w:val="007513B2"/>
    <w:rsid w:val="007513DF"/>
    <w:rsid w:val="00751430"/>
    <w:rsid w:val="00751457"/>
    <w:rsid w:val="00751485"/>
    <w:rsid w:val="00751566"/>
    <w:rsid w:val="00751618"/>
    <w:rsid w:val="0075167D"/>
    <w:rsid w:val="007516F0"/>
    <w:rsid w:val="007517E5"/>
    <w:rsid w:val="007518A8"/>
    <w:rsid w:val="007518D8"/>
    <w:rsid w:val="0075194B"/>
    <w:rsid w:val="00751954"/>
    <w:rsid w:val="00751A9F"/>
    <w:rsid w:val="00751C02"/>
    <w:rsid w:val="00751C5E"/>
    <w:rsid w:val="00751C84"/>
    <w:rsid w:val="00751D0A"/>
    <w:rsid w:val="00751D4F"/>
    <w:rsid w:val="007520A9"/>
    <w:rsid w:val="007521EF"/>
    <w:rsid w:val="007522FC"/>
    <w:rsid w:val="00752466"/>
    <w:rsid w:val="007524A6"/>
    <w:rsid w:val="00752524"/>
    <w:rsid w:val="007525A7"/>
    <w:rsid w:val="00752675"/>
    <w:rsid w:val="007526FE"/>
    <w:rsid w:val="0075272B"/>
    <w:rsid w:val="0075292E"/>
    <w:rsid w:val="007529F3"/>
    <w:rsid w:val="00752A32"/>
    <w:rsid w:val="00752A57"/>
    <w:rsid w:val="00752BCB"/>
    <w:rsid w:val="00752C58"/>
    <w:rsid w:val="00752C70"/>
    <w:rsid w:val="00752CE6"/>
    <w:rsid w:val="00752D72"/>
    <w:rsid w:val="00752DA8"/>
    <w:rsid w:val="00752DA9"/>
    <w:rsid w:val="00752DAC"/>
    <w:rsid w:val="00752E72"/>
    <w:rsid w:val="00752EBD"/>
    <w:rsid w:val="00752ED9"/>
    <w:rsid w:val="00752F3E"/>
    <w:rsid w:val="00752F46"/>
    <w:rsid w:val="00752F8A"/>
    <w:rsid w:val="00753003"/>
    <w:rsid w:val="0075306B"/>
    <w:rsid w:val="007530CF"/>
    <w:rsid w:val="00753136"/>
    <w:rsid w:val="00753158"/>
    <w:rsid w:val="0075316F"/>
    <w:rsid w:val="007531F2"/>
    <w:rsid w:val="0075322E"/>
    <w:rsid w:val="0075344C"/>
    <w:rsid w:val="0075345A"/>
    <w:rsid w:val="007534BE"/>
    <w:rsid w:val="00753791"/>
    <w:rsid w:val="007537C1"/>
    <w:rsid w:val="0075383A"/>
    <w:rsid w:val="00753971"/>
    <w:rsid w:val="00753A55"/>
    <w:rsid w:val="00753A99"/>
    <w:rsid w:val="00753ADC"/>
    <w:rsid w:val="00753B6A"/>
    <w:rsid w:val="00753BA0"/>
    <w:rsid w:val="00753BFA"/>
    <w:rsid w:val="00753C16"/>
    <w:rsid w:val="00753C5A"/>
    <w:rsid w:val="00753D31"/>
    <w:rsid w:val="00753D44"/>
    <w:rsid w:val="00753D45"/>
    <w:rsid w:val="00753EB0"/>
    <w:rsid w:val="00753ED8"/>
    <w:rsid w:val="00753F02"/>
    <w:rsid w:val="00753F3C"/>
    <w:rsid w:val="00753F96"/>
    <w:rsid w:val="00753F9D"/>
    <w:rsid w:val="0075402E"/>
    <w:rsid w:val="0075404F"/>
    <w:rsid w:val="007541CF"/>
    <w:rsid w:val="007541E3"/>
    <w:rsid w:val="007541EC"/>
    <w:rsid w:val="00754258"/>
    <w:rsid w:val="00754393"/>
    <w:rsid w:val="00754575"/>
    <w:rsid w:val="00754615"/>
    <w:rsid w:val="00754655"/>
    <w:rsid w:val="0075478A"/>
    <w:rsid w:val="007547BB"/>
    <w:rsid w:val="007547CC"/>
    <w:rsid w:val="0075484B"/>
    <w:rsid w:val="007548EF"/>
    <w:rsid w:val="00754A0D"/>
    <w:rsid w:val="00754A2D"/>
    <w:rsid w:val="00754ADE"/>
    <w:rsid w:val="00754CC0"/>
    <w:rsid w:val="00754F87"/>
    <w:rsid w:val="007550AB"/>
    <w:rsid w:val="007551A0"/>
    <w:rsid w:val="007551B0"/>
    <w:rsid w:val="007551FE"/>
    <w:rsid w:val="0075524D"/>
    <w:rsid w:val="0075529D"/>
    <w:rsid w:val="0075552D"/>
    <w:rsid w:val="00755623"/>
    <w:rsid w:val="007556DE"/>
    <w:rsid w:val="007558EB"/>
    <w:rsid w:val="007558EF"/>
    <w:rsid w:val="00755ABD"/>
    <w:rsid w:val="00755B76"/>
    <w:rsid w:val="00755D5A"/>
    <w:rsid w:val="00755E49"/>
    <w:rsid w:val="00755E92"/>
    <w:rsid w:val="00756157"/>
    <w:rsid w:val="007561FC"/>
    <w:rsid w:val="007563DD"/>
    <w:rsid w:val="00756468"/>
    <w:rsid w:val="007564C6"/>
    <w:rsid w:val="0075652A"/>
    <w:rsid w:val="007565E4"/>
    <w:rsid w:val="0075662D"/>
    <w:rsid w:val="007567C5"/>
    <w:rsid w:val="00756857"/>
    <w:rsid w:val="007568D2"/>
    <w:rsid w:val="0075691E"/>
    <w:rsid w:val="00756925"/>
    <w:rsid w:val="00756A0E"/>
    <w:rsid w:val="00756A1F"/>
    <w:rsid w:val="00756A43"/>
    <w:rsid w:val="00756A73"/>
    <w:rsid w:val="00756BCB"/>
    <w:rsid w:val="00756C3A"/>
    <w:rsid w:val="00756C72"/>
    <w:rsid w:val="00756DC7"/>
    <w:rsid w:val="00756E32"/>
    <w:rsid w:val="00756EF7"/>
    <w:rsid w:val="00756F06"/>
    <w:rsid w:val="00756FE8"/>
    <w:rsid w:val="00756FF2"/>
    <w:rsid w:val="0075700A"/>
    <w:rsid w:val="00757023"/>
    <w:rsid w:val="00757037"/>
    <w:rsid w:val="00757137"/>
    <w:rsid w:val="007571BC"/>
    <w:rsid w:val="00757346"/>
    <w:rsid w:val="0075749C"/>
    <w:rsid w:val="007574B2"/>
    <w:rsid w:val="00757506"/>
    <w:rsid w:val="00757535"/>
    <w:rsid w:val="007575E6"/>
    <w:rsid w:val="007576E4"/>
    <w:rsid w:val="00757838"/>
    <w:rsid w:val="00757936"/>
    <w:rsid w:val="00757A19"/>
    <w:rsid w:val="00757A73"/>
    <w:rsid w:val="00757ADE"/>
    <w:rsid w:val="00757BA0"/>
    <w:rsid w:val="00757C06"/>
    <w:rsid w:val="00757C19"/>
    <w:rsid w:val="00757C31"/>
    <w:rsid w:val="00757F00"/>
    <w:rsid w:val="007600E7"/>
    <w:rsid w:val="0076018B"/>
    <w:rsid w:val="0076027D"/>
    <w:rsid w:val="007602FD"/>
    <w:rsid w:val="007603C2"/>
    <w:rsid w:val="00760457"/>
    <w:rsid w:val="0076045B"/>
    <w:rsid w:val="00760542"/>
    <w:rsid w:val="00760554"/>
    <w:rsid w:val="007605B0"/>
    <w:rsid w:val="00760631"/>
    <w:rsid w:val="007606B3"/>
    <w:rsid w:val="00760850"/>
    <w:rsid w:val="0076087E"/>
    <w:rsid w:val="0076093D"/>
    <w:rsid w:val="0076097A"/>
    <w:rsid w:val="007609C6"/>
    <w:rsid w:val="00760A8D"/>
    <w:rsid w:val="00760B95"/>
    <w:rsid w:val="00760BED"/>
    <w:rsid w:val="00760C05"/>
    <w:rsid w:val="00760C37"/>
    <w:rsid w:val="00760D3C"/>
    <w:rsid w:val="00760D92"/>
    <w:rsid w:val="00760FD6"/>
    <w:rsid w:val="00761098"/>
    <w:rsid w:val="00761154"/>
    <w:rsid w:val="007611B1"/>
    <w:rsid w:val="007611FF"/>
    <w:rsid w:val="00761336"/>
    <w:rsid w:val="0076139C"/>
    <w:rsid w:val="007613C0"/>
    <w:rsid w:val="007613F4"/>
    <w:rsid w:val="0076147C"/>
    <w:rsid w:val="007617FB"/>
    <w:rsid w:val="0076188F"/>
    <w:rsid w:val="007618B8"/>
    <w:rsid w:val="00761B8A"/>
    <w:rsid w:val="00761C4F"/>
    <w:rsid w:val="00761CB0"/>
    <w:rsid w:val="00761F14"/>
    <w:rsid w:val="00762046"/>
    <w:rsid w:val="007620AE"/>
    <w:rsid w:val="0076237C"/>
    <w:rsid w:val="0076238D"/>
    <w:rsid w:val="007623A6"/>
    <w:rsid w:val="007623E2"/>
    <w:rsid w:val="0076259A"/>
    <w:rsid w:val="007625AC"/>
    <w:rsid w:val="00762734"/>
    <w:rsid w:val="007627A4"/>
    <w:rsid w:val="007627FD"/>
    <w:rsid w:val="00762976"/>
    <w:rsid w:val="007629C2"/>
    <w:rsid w:val="007629C6"/>
    <w:rsid w:val="00762A00"/>
    <w:rsid w:val="00762A16"/>
    <w:rsid w:val="00762A8E"/>
    <w:rsid w:val="00762D06"/>
    <w:rsid w:val="00762D56"/>
    <w:rsid w:val="00762EAB"/>
    <w:rsid w:val="00762EAF"/>
    <w:rsid w:val="00762F1D"/>
    <w:rsid w:val="007630AF"/>
    <w:rsid w:val="00763114"/>
    <w:rsid w:val="007632B2"/>
    <w:rsid w:val="00763430"/>
    <w:rsid w:val="0076348B"/>
    <w:rsid w:val="00763559"/>
    <w:rsid w:val="007635F1"/>
    <w:rsid w:val="007636A9"/>
    <w:rsid w:val="00763745"/>
    <w:rsid w:val="00763843"/>
    <w:rsid w:val="0076387B"/>
    <w:rsid w:val="00763936"/>
    <w:rsid w:val="00763976"/>
    <w:rsid w:val="00763C20"/>
    <w:rsid w:val="00763CF2"/>
    <w:rsid w:val="00763DA6"/>
    <w:rsid w:val="00763DF6"/>
    <w:rsid w:val="00763E9B"/>
    <w:rsid w:val="00763F39"/>
    <w:rsid w:val="00763F71"/>
    <w:rsid w:val="00763FDE"/>
    <w:rsid w:val="0076407C"/>
    <w:rsid w:val="0076408E"/>
    <w:rsid w:val="007640D7"/>
    <w:rsid w:val="0076425F"/>
    <w:rsid w:val="0076432E"/>
    <w:rsid w:val="0076454A"/>
    <w:rsid w:val="007645AF"/>
    <w:rsid w:val="0076462C"/>
    <w:rsid w:val="00764670"/>
    <w:rsid w:val="007646AD"/>
    <w:rsid w:val="00764740"/>
    <w:rsid w:val="00764768"/>
    <w:rsid w:val="007647CA"/>
    <w:rsid w:val="00764840"/>
    <w:rsid w:val="00764844"/>
    <w:rsid w:val="00764902"/>
    <w:rsid w:val="00764998"/>
    <w:rsid w:val="00764A3E"/>
    <w:rsid w:val="00764D63"/>
    <w:rsid w:val="00764E85"/>
    <w:rsid w:val="00764ED2"/>
    <w:rsid w:val="00764EDA"/>
    <w:rsid w:val="00764F28"/>
    <w:rsid w:val="00764F5D"/>
    <w:rsid w:val="00764FC3"/>
    <w:rsid w:val="00764FE7"/>
    <w:rsid w:val="0076511A"/>
    <w:rsid w:val="007651F3"/>
    <w:rsid w:val="00765206"/>
    <w:rsid w:val="007652C7"/>
    <w:rsid w:val="00765310"/>
    <w:rsid w:val="007653DA"/>
    <w:rsid w:val="00765408"/>
    <w:rsid w:val="007654FD"/>
    <w:rsid w:val="007655CF"/>
    <w:rsid w:val="0076568B"/>
    <w:rsid w:val="007656E1"/>
    <w:rsid w:val="00765722"/>
    <w:rsid w:val="0076573A"/>
    <w:rsid w:val="00765798"/>
    <w:rsid w:val="0076583E"/>
    <w:rsid w:val="0076590B"/>
    <w:rsid w:val="007659EF"/>
    <w:rsid w:val="007659FC"/>
    <w:rsid w:val="00765A48"/>
    <w:rsid w:val="00765AAD"/>
    <w:rsid w:val="00765ADA"/>
    <w:rsid w:val="00765B0D"/>
    <w:rsid w:val="00765BC0"/>
    <w:rsid w:val="00765C28"/>
    <w:rsid w:val="00765C5A"/>
    <w:rsid w:val="00765CC3"/>
    <w:rsid w:val="00765D4E"/>
    <w:rsid w:val="00765DB3"/>
    <w:rsid w:val="00765F4F"/>
    <w:rsid w:val="0076608E"/>
    <w:rsid w:val="0076611F"/>
    <w:rsid w:val="0076614E"/>
    <w:rsid w:val="0076614F"/>
    <w:rsid w:val="00766196"/>
    <w:rsid w:val="0076621B"/>
    <w:rsid w:val="007662C1"/>
    <w:rsid w:val="0076642E"/>
    <w:rsid w:val="00766479"/>
    <w:rsid w:val="0076650E"/>
    <w:rsid w:val="007667AF"/>
    <w:rsid w:val="0076685D"/>
    <w:rsid w:val="007668E3"/>
    <w:rsid w:val="007668E8"/>
    <w:rsid w:val="00766962"/>
    <w:rsid w:val="00766985"/>
    <w:rsid w:val="00766AFC"/>
    <w:rsid w:val="00766B7D"/>
    <w:rsid w:val="00766BF4"/>
    <w:rsid w:val="00766C5D"/>
    <w:rsid w:val="00766C7E"/>
    <w:rsid w:val="00766D22"/>
    <w:rsid w:val="00766D70"/>
    <w:rsid w:val="00766FA3"/>
    <w:rsid w:val="00766FD0"/>
    <w:rsid w:val="0076700C"/>
    <w:rsid w:val="0076701F"/>
    <w:rsid w:val="0076704D"/>
    <w:rsid w:val="0076707A"/>
    <w:rsid w:val="007670E6"/>
    <w:rsid w:val="007671F0"/>
    <w:rsid w:val="0076725A"/>
    <w:rsid w:val="00767291"/>
    <w:rsid w:val="007672A0"/>
    <w:rsid w:val="007672B7"/>
    <w:rsid w:val="00767350"/>
    <w:rsid w:val="0076737C"/>
    <w:rsid w:val="007674C5"/>
    <w:rsid w:val="007674C7"/>
    <w:rsid w:val="007675D5"/>
    <w:rsid w:val="00767702"/>
    <w:rsid w:val="0076772C"/>
    <w:rsid w:val="00767757"/>
    <w:rsid w:val="00767766"/>
    <w:rsid w:val="00767832"/>
    <w:rsid w:val="00767871"/>
    <w:rsid w:val="007678AE"/>
    <w:rsid w:val="00767927"/>
    <w:rsid w:val="00767AD9"/>
    <w:rsid w:val="00767B03"/>
    <w:rsid w:val="00767BAB"/>
    <w:rsid w:val="00767BB3"/>
    <w:rsid w:val="00767D52"/>
    <w:rsid w:val="00767D73"/>
    <w:rsid w:val="00767DDE"/>
    <w:rsid w:val="00767E5C"/>
    <w:rsid w:val="00767E66"/>
    <w:rsid w:val="00767F3F"/>
    <w:rsid w:val="00770010"/>
    <w:rsid w:val="00770013"/>
    <w:rsid w:val="0077003A"/>
    <w:rsid w:val="0077017C"/>
    <w:rsid w:val="00770218"/>
    <w:rsid w:val="0077022D"/>
    <w:rsid w:val="0077028C"/>
    <w:rsid w:val="00770297"/>
    <w:rsid w:val="007703C7"/>
    <w:rsid w:val="00770416"/>
    <w:rsid w:val="0077041B"/>
    <w:rsid w:val="007704E6"/>
    <w:rsid w:val="0077073C"/>
    <w:rsid w:val="0077081C"/>
    <w:rsid w:val="00770855"/>
    <w:rsid w:val="0077089B"/>
    <w:rsid w:val="007708E2"/>
    <w:rsid w:val="007708E9"/>
    <w:rsid w:val="0077098E"/>
    <w:rsid w:val="00770B11"/>
    <w:rsid w:val="00770BBF"/>
    <w:rsid w:val="00770CFA"/>
    <w:rsid w:val="00770EFA"/>
    <w:rsid w:val="007711BC"/>
    <w:rsid w:val="00771249"/>
    <w:rsid w:val="0077129C"/>
    <w:rsid w:val="00771350"/>
    <w:rsid w:val="007713C0"/>
    <w:rsid w:val="00771646"/>
    <w:rsid w:val="00771691"/>
    <w:rsid w:val="00771719"/>
    <w:rsid w:val="00771780"/>
    <w:rsid w:val="00771796"/>
    <w:rsid w:val="00771804"/>
    <w:rsid w:val="00771924"/>
    <w:rsid w:val="00771935"/>
    <w:rsid w:val="007719A6"/>
    <w:rsid w:val="007719DA"/>
    <w:rsid w:val="00771A5E"/>
    <w:rsid w:val="00771A9B"/>
    <w:rsid w:val="00771B98"/>
    <w:rsid w:val="00771CBF"/>
    <w:rsid w:val="00771CCA"/>
    <w:rsid w:val="00771D1A"/>
    <w:rsid w:val="00771E63"/>
    <w:rsid w:val="00771E7A"/>
    <w:rsid w:val="00771F2F"/>
    <w:rsid w:val="00771F64"/>
    <w:rsid w:val="007720D0"/>
    <w:rsid w:val="0077210E"/>
    <w:rsid w:val="007722B6"/>
    <w:rsid w:val="0077245E"/>
    <w:rsid w:val="007725F7"/>
    <w:rsid w:val="007726E0"/>
    <w:rsid w:val="007726F0"/>
    <w:rsid w:val="00772737"/>
    <w:rsid w:val="007728FA"/>
    <w:rsid w:val="007729F0"/>
    <w:rsid w:val="00772BB1"/>
    <w:rsid w:val="00772C6D"/>
    <w:rsid w:val="00772D6B"/>
    <w:rsid w:val="00772DC9"/>
    <w:rsid w:val="00772FBD"/>
    <w:rsid w:val="00772FC2"/>
    <w:rsid w:val="0077302F"/>
    <w:rsid w:val="0077309C"/>
    <w:rsid w:val="007730FC"/>
    <w:rsid w:val="00773107"/>
    <w:rsid w:val="00773121"/>
    <w:rsid w:val="007731D0"/>
    <w:rsid w:val="00773219"/>
    <w:rsid w:val="0077329F"/>
    <w:rsid w:val="007732FC"/>
    <w:rsid w:val="007733BD"/>
    <w:rsid w:val="00773555"/>
    <w:rsid w:val="00773556"/>
    <w:rsid w:val="00773610"/>
    <w:rsid w:val="00773725"/>
    <w:rsid w:val="007737BF"/>
    <w:rsid w:val="00773822"/>
    <w:rsid w:val="007738BE"/>
    <w:rsid w:val="007739DE"/>
    <w:rsid w:val="00773AED"/>
    <w:rsid w:val="00773C2F"/>
    <w:rsid w:val="00773D94"/>
    <w:rsid w:val="00773DD4"/>
    <w:rsid w:val="00773E99"/>
    <w:rsid w:val="00774074"/>
    <w:rsid w:val="007740A5"/>
    <w:rsid w:val="00774106"/>
    <w:rsid w:val="0077421A"/>
    <w:rsid w:val="00774284"/>
    <w:rsid w:val="0077435B"/>
    <w:rsid w:val="0077435F"/>
    <w:rsid w:val="00774376"/>
    <w:rsid w:val="0077450A"/>
    <w:rsid w:val="007745DF"/>
    <w:rsid w:val="007745E8"/>
    <w:rsid w:val="00774621"/>
    <w:rsid w:val="0077476A"/>
    <w:rsid w:val="00774799"/>
    <w:rsid w:val="0077484C"/>
    <w:rsid w:val="00774873"/>
    <w:rsid w:val="007749A9"/>
    <w:rsid w:val="00774A56"/>
    <w:rsid w:val="00774AAE"/>
    <w:rsid w:val="00774B19"/>
    <w:rsid w:val="00774B5F"/>
    <w:rsid w:val="00774C19"/>
    <w:rsid w:val="00774C2D"/>
    <w:rsid w:val="00774C5D"/>
    <w:rsid w:val="00774C78"/>
    <w:rsid w:val="00774CB1"/>
    <w:rsid w:val="00774D08"/>
    <w:rsid w:val="00774D66"/>
    <w:rsid w:val="00774DE6"/>
    <w:rsid w:val="00774EC1"/>
    <w:rsid w:val="00774F55"/>
    <w:rsid w:val="00774FC5"/>
    <w:rsid w:val="0077503D"/>
    <w:rsid w:val="0077515A"/>
    <w:rsid w:val="0077523A"/>
    <w:rsid w:val="00775254"/>
    <w:rsid w:val="007752C4"/>
    <w:rsid w:val="007753B6"/>
    <w:rsid w:val="007754F4"/>
    <w:rsid w:val="00775565"/>
    <w:rsid w:val="007755FF"/>
    <w:rsid w:val="00775619"/>
    <w:rsid w:val="00775670"/>
    <w:rsid w:val="00775690"/>
    <w:rsid w:val="007756F2"/>
    <w:rsid w:val="007757F5"/>
    <w:rsid w:val="00775833"/>
    <w:rsid w:val="00775857"/>
    <w:rsid w:val="00775876"/>
    <w:rsid w:val="0077594B"/>
    <w:rsid w:val="0077598D"/>
    <w:rsid w:val="00775B57"/>
    <w:rsid w:val="00775C9F"/>
    <w:rsid w:val="00775CA9"/>
    <w:rsid w:val="00775E04"/>
    <w:rsid w:val="00775E52"/>
    <w:rsid w:val="00775EBC"/>
    <w:rsid w:val="00775FCB"/>
    <w:rsid w:val="00776142"/>
    <w:rsid w:val="007762A1"/>
    <w:rsid w:val="00776349"/>
    <w:rsid w:val="007763D4"/>
    <w:rsid w:val="0077644A"/>
    <w:rsid w:val="0077648C"/>
    <w:rsid w:val="007765DF"/>
    <w:rsid w:val="00776698"/>
    <w:rsid w:val="007766C0"/>
    <w:rsid w:val="007766CB"/>
    <w:rsid w:val="00776724"/>
    <w:rsid w:val="00776734"/>
    <w:rsid w:val="00776915"/>
    <w:rsid w:val="0077699A"/>
    <w:rsid w:val="007769B4"/>
    <w:rsid w:val="00776A4A"/>
    <w:rsid w:val="00776B2C"/>
    <w:rsid w:val="00776B4C"/>
    <w:rsid w:val="00776B88"/>
    <w:rsid w:val="00776B8D"/>
    <w:rsid w:val="00776D97"/>
    <w:rsid w:val="00776F01"/>
    <w:rsid w:val="00776F23"/>
    <w:rsid w:val="00776F3B"/>
    <w:rsid w:val="0077708C"/>
    <w:rsid w:val="00777245"/>
    <w:rsid w:val="0077727B"/>
    <w:rsid w:val="007772BF"/>
    <w:rsid w:val="0077738D"/>
    <w:rsid w:val="0077751D"/>
    <w:rsid w:val="00777648"/>
    <w:rsid w:val="00777704"/>
    <w:rsid w:val="007778DE"/>
    <w:rsid w:val="00777B3F"/>
    <w:rsid w:val="00777BA5"/>
    <w:rsid w:val="00777C70"/>
    <w:rsid w:val="00777CEC"/>
    <w:rsid w:val="00777E50"/>
    <w:rsid w:val="00777F92"/>
    <w:rsid w:val="00777FD1"/>
    <w:rsid w:val="00777FD7"/>
    <w:rsid w:val="00780014"/>
    <w:rsid w:val="00780122"/>
    <w:rsid w:val="00780185"/>
    <w:rsid w:val="0078024B"/>
    <w:rsid w:val="0078028F"/>
    <w:rsid w:val="007802F9"/>
    <w:rsid w:val="0078036B"/>
    <w:rsid w:val="00780370"/>
    <w:rsid w:val="00780469"/>
    <w:rsid w:val="0078066A"/>
    <w:rsid w:val="00780701"/>
    <w:rsid w:val="00780710"/>
    <w:rsid w:val="00780764"/>
    <w:rsid w:val="0078077C"/>
    <w:rsid w:val="007807AC"/>
    <w:rsid w:val="00780837"/>
    <w:rsid w:val="00780851"/>
    <w:rsid w:val="007808EA"/>
    <w:rsid w:val="0078093C"/>
    <w:rsid w:val="0078094C"/>
    <w:rsid w:val="007809D4"/>
    <w:rsid w:val="007809E4"/>
    <w:rsid w:val="00780AB8"/>
    <w:rsid w:val="00780B15"/>
    <w:rsid w:val="00780B9C"/>
    <w:rsid w:val="00780CE1"/>
    <w:rsid w:val="00780D46"/>
    <w:rsid w:val="00780FD1"/>
    <w:rsid w:val="007810B5"/>
    <w:rsid w:val="00781128"/>
    <w:rsid w:val="00781212"/>
    <w:rsid w:val="00781360"/>
    <w:rsid w:val="007813F4"/>
    <w:rsid w:val="00781649"/>
    <w:rsid w:val="0078174A"/>
    <w:rsid w:val="00781785"/>
    <w:rsid w:val="00781852"/>
    <w:rsid w:val="0078186C"/>
    <w:rsid w:val="007818B7"/>
    <w:rsid w:val="007819A0"/>
    <w:rsid w:val="00781A08"/>
    <w:rsid w:val="00781A38"/>
    <w:rsid w:val="00781A82"/>
    <w:rsid w:val="00781ADE"/>
    <w:rsid w:val="00781B4C"/>
    <w:rsid w:val="00781D1A"/>
    <w:rsid w:val="00781E04"/>
    <w:rsid w:val="00781E05"/>
    <w:rsid w:val="00781EB5"/>
    <w:rsid w:val="00781F68"/>
    <w:rsid w:val="00781FB7"/>
    <w:rsid w:val="00782108"/>
    <w:rsid w:val="007821D5"/>
    <w:rsid w:val="0078238F"/>
    <w:rsid w:val="007824E5"/>
    <w:rsid w:val="00782513"/>
    <w:rsid w:val="007825E7"/>
    <w:rsid w:val="00782690"/>
    <w:rsid w:val="007826C0"/>
    <w:rsid w:val="007826D7"/>
    <w:rsid w:val="0078275F"/>
    <w:rsid w:val="00782766"/>
    <w:rsid w:val="007828CA"/>
    <w:rsid w:val="00782B72"/>
    <w:rsid w:val="00782BBB"/>
    <w:rsid w:val="00782BF7"/>
    <w:rsid w:val="00782D8D"/>
    <w:rsid w:val="0078315F"/>
    <w:rsid w:val="00783263"/>
    <w:rsid w:val="0078337C"/>
    <w:rsid w:val="007833F4"/>
    <w:rsid w:val="007836D5"/>
    <w:rsid w:val="007838AC"/>
    <w:rsid w:val="00783A63"/>
    <w:rsid w:val="00783C08"/>
    <w:rsid w:val="00783CD5"/>
    <w:rsid w:val="00783D0F"/>
    <w:rsid w:val="00783DFA"/>
    <w:rsid w:val="00783F67"/>
    <w:rsid w:val="00783F97"/>
    <w:rsid w:val="0078417F"/>
    <w:rsid w:val="007841EA"/>
    <w:rsid w:val="007842D1"/>
    <w:rsid w:val="007843E1"/>
    <w:rsid w:val="007844B2"/>
    <w:rsid w:val="0078457C"/>
    <w:rsid w:val="0078458F"/>
    <w:rsid w:val="007846BD"/>
    <w:rsid w:val="007846F2"/>
    <w:rsid w:val="007847CE"/>
    <w:rsid w:val="0078480C"/>
    <w:rsid w:val="00784993"/>
    <w:rsid w:val="00784BEB"/>
    <w:rsid w:val="00784C94"/>
    <w:rsid w:val="00784CBB"/>
    <w:rsid w:val="00784CE6"/>
    <w:rsid w:val="00784CF2"/>
    <w:rsid w:val="00784E84"/>
    <w:rsid w:val="00784EE1"/>
    <w:rsid w:val="00784F33"/>
    <w:rsid w:val="00784FCF"/>
    <w:rsid w:val="0078506A"/>
    <w:rsid w:val="007850CF"/>
    <w:rsid w:val="007850FD"/>
    <w:rsid w:val="007851E7"/>
    <w:rsid w:val="00785359"/>
    <w:rsid w:val="00785476"/>
    <w:rsid w:val="007854F9"/>
    <w:rsid w:val="007855AF"/>
    <w:rsid w:val="007856DD"/>
    <w:rsid w:val="007858B2"/>
    <w:rsid w:val="0078593A"/>
    <w:rsid w:val="0078597D"/>
    <w:rsid w:val="00785A32"/>
    <w:rsid w:val="00785A5E"/>
    <w:rsid w:val="00785A92"/>
    <w:rsid w:val="00785BAF"/>
    <w:rsid w:val="00785DA9"/>
    <w:rsid w:val="00785E12"/>
    <w:rsid w:val="00785EF5"/>
    <w:rsid w:val="00786236"/>
    <w:rsid w:val="007862A0"/>
    <w:rsid w:val="00786304"/>
    <w:rsid w:val="00786391"/>
    <w:rsid w:val="0078645D"/>
    <w:rsid w:val="007864CB"/>
    <w:rsid w:val="00786533"/>
    <w:rsid w:val="00786595"/>
    <w:rsid w:val="007865B2"/>
    <w:rsid w:val="00786656"/>
    <w:rsid w:val="007866E0"/>
    <w:rsid w:val="00786832"/>
    <w:rsid w:val="0078696F"/>
    <w:rsid w:val="0078698B"/>
    <w:rsid w:val="00786A17"/>
    <w:rsid w:val="00786BD3"/>
    <w:rsid w:val="00786C4B"/>
    <w:rsid w:val="00786CEA"/>
    <w:rsid w:val="00786CED"/>
    <w:rsid w:val="00786D7F"/>
    <w:rsid w:val="00786ECB"/>
    <w:rsid w:val="00786F5D"/>
    <w:rsid w:val="00787006"/>
    <w:rsid w:val="00787095"/>
    <w:rsid w:val="007872A8"/>
    <w:rsid w:val="00787349"/>
    <w:rsid w:val="00787368"/>
    <w:rsid w:val="007873A9"/>
    <w:rsid w:val="007873D3"/>
    <w:rsid w:val="00787414"/>
    <w:rsid w:val="00787461"/>
    <w:rsid w:val="007874A4"/>
    <w:rsid w:val="007874B7"/>
    <w:rsid w:val="007875CD"/>
    <w:rsid w:val="007875DC"/>
    <w:rsid w:val="00787603"/>
    <w:rsid w:val="007876F7"/>
    <w:rsid w:val="0078783E"/>
    <w:rsid w:val="007879E4"/>
    <w:rsid w:val="00787A71"/>
    <w:rsid w:val="00787B2C"/>
    <w:rsid w:val="00787C12"/>
    <w:rsid w:val="00787CE7"/>
    <w:rsid w:val="00787E12"/>
    <w:rsid w:val="00787EC4"/>
    <w:rsid w:val="00787F2C"/>
    <w:rsid w:val="0079003A"/>
    <w:rsid w:val="007900DB"/>
    <w:rsid w:val="007901F0"/>
    <w:rsid w:val="00790256"/>
    <w:rsid w:val="00790343"/>
    <w:rsid w:val="0079041B"/>
    <w:rsid w:val="00790570"/>
    <w:rsid w:val="00790625"/>
    <w:rsid w:val="00790646"/>
    <w:rsid w:val="00790695"/>
    <w:rsid w:val="00790790"/>
    <w:rsid w:val="0079097C"/>
    <w:rsid w:val="007909F2"/>
    <w:rsid w:val="007909FD"/>
    <w:rsid w:val="00790BD3"/>
    <w:rsid w:val="00790BFB"/>
    <w:rsid w:val="00790CBE"/>
    <w:rsid w:val="00790D16"/>
    <w:rsid w:val="00790E4F"/>
    <w:rsid w:val="00790E59"/>
    <w:rsid w:val="00790EA3"/>
    <w:rsid w:val="00790F15"/>
    <w:rsid w:val="00790F3A"/>
    <w:rsid w:val="00790F46"/>
    <w:rsid w:val="00791025"/>
    <w:rsid w:val="00791068"/>
    <w:rsid w:val="007911AB"/>
    <w:rsid w:val="007912E0"/>
    <w:rsid w:val="00791354"/>
    <w:rsid w:val="007914B8"/>
    <w:rsid w:val="007914D8"/>
    <w:rsid w:val="00791764"/>
    <w:rsid w:val="007917A4"/>
    <w:rsid w:val="00791951"/>
    <w:rsid w:val="00791B18"/>
    <w:rsid w:val="00791B84"/>
    <w:rsid w:val="00791BF0"/>
    <w:rsid w:val="00791D31"/>
    <w:rsid w:val="00791D45"/>
    <w:rsid w:val="00791E16"/>
    <w:rsid w:val="00791E80"/>
    <w:rsid w:val="00791F33"/>
    <w:rsid w:val="00792095"/>
    <w:rsid w:val="00792103"/>
    <w:rsid w:val="00792177"/>
    <w:rsid w:val="007923EA"/>
    <w:rsid w:val="0079241F"/>
    <w:rsid w:val="007924F7"/>
    <w:rsid w:val="0079251A"/>
    <w:rsid w:val="007926EC"/>
    <w:rsid w:val="00792715"/>
    <w:rsid w:val="0079275E"/>
    <w:rsid w:val="007927B9"/>
    <w:rsid w:val="0079287C"/>
    <w:rsid w:val="0079294A"/>
    <w:rsid w:val="0079297D"/>
    <w:rsid w:val="0079299E"/>
    <w:rsid w:val="00792A54"/>
    <w:rsid w:val="00792A8F"/>
    <w:rsid w:val="00792A98"/>
    <w:rsid w:val="00792AAF"/>
    <w:rsid w:val="00792AB8"/>
    <w:rsid w:val="00792B9D"/>
    <w:rsid w:val="00792D21"/>
    <w:rsid w:val="00792DC4"/>
    <w:rsid w:val="00792E1C"/>
    <w:rsid w:val="00792EC0"/>
    <w:rsid w:val="0079300A"/>
    <w:rsid w:val="0079305A"/>
    <w:rsid w:val="0079314F"/>
    <w:rsid w:val="00793173"/>
    <w:rsid w:val="007931C8"/>
    <w:rsid w:val="007932A8"/>
    <w:rsid w:val="0079339D"/>
    <w:rsid w:val="007933D2"/>
    <w:rsid w:val="00793439"/>
    <w:rsid w:val="0079344B"/>
    <w:rsid w:val="007934F6"/>
    <w:rsid w:val="0079354F"/>
    <w:rsid w:val="0079367B"/>
    <w:rsid w:val="00793741"/>
    <w:rsid w:val="00793791"/>
    <w:rsid w:val="00793839"/>
    <w:rsid w:val="007939C7"/>
    <w:rsid w:val="00793D6A"/>
    <w:rsid w:val="00793DA4"/>
    <w:rsid w:val="00793FFB"/>
    <w:rsid w:val="007941EE"/>
    <w:rsid w:val="0079433F"/>
    <w:rsid w:val="0079452E"/>
    <w:rsid w:val="00794554"/>
    <w:rsid w:val="007945C8"/>
    <w:rsid w:val="00794680"/>
    <w:rsid w:val="0079468E"/>
    <w:rsid w:val="00794692"/>
    <w:rsid w:val="007946B1"/>
    <w:rsid w:val="007946C2"/>
    <w:rsid w:val="007946D6"/>
    <w:rsid w:val="0079477F"/>
    <w:rsid w:val="00794796"/>
    <w:rsid w:val="007947DE"/>
    <w:rsid w:val="00794832"/>
    <w:rsid w:val="00794968"/>
    <w:rsid w:val="007949DF"/>
    <w:rsid w:val="00794AFF"/>
    <w:rsid w:val="00794B95"/>
    <w:rsid w:val="00794BCC"/>
    <w:rsid w:val="00794C02"/>
    <w:rsid w:val="00794C39"/>
    <w:rsid w:val="00794CBC"/>
    <w:rsid w:val="00794D0E"/>
    <w:rsid w:val="00794D8C"/>
    <w:rsid w:val="00794DE6"/>
    <w:rsid w:val="00794E1E"/>
    <w:rsid w:val="00795123"/>
    <w:rsid w:val="0079519D"/>
    <w:rsid w:val="007951A5"/>
    <w:rsid w:val="0079529E"/>
    <w:rsid w:val="007953A0"/>
    <w:rsid w:val="00795500"/>
    <w:rsid w:val="007955AC"/>
    <w:rsid w:val="00795634"/>
    <w:rsid w:val="0079574F"/>
    <w:rsid w:val="0079575C"/>
    <w:rsid w:val="00795824"/>
    <w:rsid w:val="00795837"/>
    <w:rsid w:val="0079584E"/>
    <w:rsid w:val="00795874"/>
    <w:rsid w:val="00795928"/>
    <w:rsid w:val="00795982"/>
    <w:rsid w:val="00795A7B"/>
    <w:rsid w:val="00795B8F"/>
    <w:rsid w:val="00795C0B"/>
    <w:rsid w:val="00795C64"/>
    <w:rsid w:val="00795DAB"/>
    <w:rsid w:val="00795EB6"/>
    <w:rsid w:val="00795EBF"/>
    <w:rsid w:val="0079600B"/>
    <w:rsid w:val="007960E2"/>
    <w:rsid w:val="007960EA"/>
    <w:rsid w:val="007960FE"/>
    <w:rsid w:val="0079611F"/>
    <w:rsid w:val="00796167"/>
    <w:rsid w:val="0079627D"/>
    <w:rsid w:val="00796320"/>
    <w:rsid w:val="0079634A"/>
    <w:rsid w:val="007963E6"/>
    <w:rsid w:val="00796578"/>
    <w:rsid w:val="00796713"/>
    <w:rsid w:val="00796879"/>
    <w:rsid w:val="007969B2"/>
    <w:rsid w:val="00796A2F"/>
    <w:rsid w:val="00796A4B"/>
    <w:rsid w:val="00796AB0"/>
    <w:rsid w:val="00796AED"/>
    <w:rsid w:val="00796C6C"/>
    <w:rsid w:val="00796E62"/>
    <w:rsid w:val="00796ECE"/>
    <w:rsid w:val="00796F3A"/>
    <w:rsid w:val="00797277"/>
    <w:rsid w:val="00797306"/>
    <w:rsid w:val="00797385"/>
    <w:rsid w:val="007973B2"/>
    <w:rsid w:val="007973D5"/>
    <w:rsid w:val="0079770E"/>
    <w:rsid w:val="00797753"/>
    <w:rsid w:val="00797755"/>
    <w:rsid w:val="00797771"/>
    <w:rsid w:val="00797802"/>
    <w:rsid w:val="0079780E"/>
    <w:rsid w:val="007978D3"/>
    <w:rsid w:val="00797A8C"/>
    <w:rsid w:val="00797AA5"/>
    <w:rsid w:val="00797BB9"/>
    <w:rsid w:val="00797C14"/>
    <w:rsid w:val="00797C79"/>
    <w:rsid w:val="00797CEB"/>
    <w:rsid w:val="00797D62"/>
    <w:rsid w:val="00797F16"/>
    <w:rsid w:val="00797F36"/>
    <w:rsid w:val="00797F8D"/>
    <w:rsid w:val="007A0082"/>
    <w:rsid w:val="007A00FD"/>
    <w:rsid w:val="007A0157"/>
    <w:rsid w:val="007A0225"/>
    <w:rsid w:val="007A02DE"/>
    <w:rsid w:val="007A034E"/>
    <w:rsid w:val="007A03B2"/>
    <w:rsid w:val="007A03E7"/>
    <w:rsid w:val="007A051A"/>
    <w:rsid w:val="007A0569"/>
    <w:rsid w:val="007A0632"/>
    <w:rsid w:val="007A0660"/>
    <w:rsid w:val="007A07D5"/>
    <w:rsid w:val="007A07D9"/>
    <w:rsid w:val="007A0939"/>
    <w:rsid w:val="007A0942"/>
    <w:rsid w:val="007A096E"/>
    <w:rsid w:val="007A0A0F"/>
    <w:rsid w:val="007A0B31"/>
    <w:rsid w:val="007A0B8F"/>
    <w:rsid w:val="007A0D39"/>
    <w:rsid w:val="007A108C"/>
    <w:rsid w:val="007A1160"/>
    <w:rsid w:val="007A1200"/>
    <w:rsid w:val="007A1212"/>
    <w:rsid w:val="007A1274"/>
    <w:rsid w:val="007A12B9"/>
    <w:rsid w:val="007A1343"/>
    <w:rsid w:val="007A13BF"/>
    <w:rsid w:val="007A1421"/>
    <w:rsid w:val="007A14AA"/>
    <w:rsid w:val="007A1522"/>
    <w:rsid w:val="007A1586"/>
    <w:rsid w:val="007A1662"/>
    <w:rsid w:val="007A174D"/>
    <w:rsid w:val="007A1776"/>
    <w:rsid w:val="007A18CA"/>
    <w:rsid w:val="007A198B"/>
    <w:rsid w:val="007A19C0"/>
    <w:rsid w:val="007A1A33"/>
    <w:rsid w:val="007A1A5C"/>
    <w:rsid w:val="007A1BB9"/>
    <w:rsid w:val="007A1C58"/>
    <w:rsid w:val="007A1C95"/>
    <w:rsid w:val="007A1DBC"/>
    <w:rsid w:val="007A1DCC"/>
    <w:rsid w:val="007A1E74"/>
    <w:rsid w:val="007A208B"/>
    <w:rsid w:val="007A20A8"/>
    <w:rsid w:val="007A22A8"/>
    <w:rsid w:val="007A22DB"/>
    <w:rsid w:val="007A2470"/>
    <w:rsid w:val="007A25E4"/>
    <w:rsid w:val="007A27E5"/>
    <w:rsid w:val="007A27E9"/>
    <w:rsid w:val="007A27F3"/>
    <w:rsid w:val="007A2949"/>
    <w:rsid w:val="007A29F7"/>
    <w:rsid w:val="007A2A27"/>
    <w:rsid w:val="007A2A33"/>
    <w:rsid w:val="007A2A4F"/>
    <w:rsid w:val="007A2A56"/>
    <w:rsid w:val="007A2ABD"/>
    <w:rsid w:val="007A2AE6"/>
    <w:rsid w:val="007A2AF2"/>
    <w:rsid w:val="007A2C5A"/>
    <w:rsid w:val="007A2C68"/>
    <w:rsid w:val="007A2C9C"/>
    <w:rsid w:val="007A2D42"/>
    <w:rsid w:val="007A2D9E"/>
    <w:rsid w:val="007A2E96"/>
    <w:rsid w:val="007A2F05"/>
    <w:rsid w:val="007A2F59"/>
    <w:rsid w:val="007A2F7F"/>
    <w:rsid w:val="007A30EA"/>
    <w:rsid w:val="007A31E2"/>
    <w:rsid w:val="007A32BC"/>
    <w:rsid w:val="007A32FC"/>
    <w:rsid w:val="007A3318"/>
    <w:rsid w:val="007A33B3"/>
    <w:rsid w:val="007A33DE"/>
    <w:rsid w:val="007A344D"/>
    <w:rsid w:val="007A35FF"/>
    <w:rsid w:val="007A364E"/>
    <w:rsid w:val="007A3659"/>
    <w:rsid w:val="007A36B9"/>
    <w:rsid w:val="007A37F5"/>
    <w:rsid w:val="007A3913"/>
    <w:rsid w:val="007A394B"/>
    <w:rsid w:val="007A394F"/>
    <w:rsid w:val="007A3952"/>
    <w:rsid w:val="007A3977"/>
    <w:rsid w:val="007A3ABD"/>
    <w:rsid w:val="007A3AEB"/>
    <w:rsid w:val="007A3B61"/>
    <w:rsid w:val="007A3CD2"/>
    <w:rsid w:val="007A3DEC"/>
    <w:rsid w:val="007A3F9C"/>
    <w:rsid w:val="007A43D3"/>
    <w:rsid w:val="007A44C3"/>
    <w:rsid w:val="007A4550"/>
    <w:rsid w:val="007A479F"/>
    <w:rsid w:val="007A482C"/>
    <w:rsid w:val="007A4882"/>
    <w:rsid w:val="007A488B"/>
    <w:rsid w:val="007A48AB"/>
    <w:rsid w:val="007A4945"/>
    <w:rsid w:val="007A4957"/>
    <w:rsid w:val="007A4A0B"/>
    <w:rsid w:val="007A4AC6"/>
    <w:rsid w:val="007A4B00"/>
    <w:rsid w:val="007A4BCC"/>
    <w:rsid w:val="007A4CAF"/>
    <w:rsid w:val="007A4D30"/>
    <w:rsid w:val="007A4D6C"/>
    <w:rsid w:val="007A4DE3"/>
    <w:rsid w:val="007A4E16"/>
    <w:rsid w:val="007A4EE4"/>
    <w:rsid w:val="007A4F15"/>
    <w:rsid w:val="007A4F73"/>
    <w:rsid w:val="007A4FB0"/>
    <w:rsid w:val="007A5039"/>
    <w:rsid w:val="007A51E6"/>
    <w:rsid w:val="007A520A"/>
    <w:rsid w:val="007A534F"/>
    <w:rsid w:val="007A5423"/>
    <w:rsid w:val="007A5493"/>
    <w:rsid w:val="007A5499"/>
    <w:rsid w:val="007A56BB"/>
    <w:rsid w:val="007A56EB"/>
    <w:rsid w:val="007A57C6"/>
    <w:rsid w:val="007A588B"/>
    <w:rsid w:val="007A58F2"/>
    <w:rsid w:val="007A5908"/>
    <w:rsid w:val="007A5A8C"/>
    <w:rsid w:val="007A5D88"/>
    <w:rsid w:val="007A5E3E"/>
    <w:rsid w:val="007A5EAF"/>
    <w:rsid w:val="007A5EF2"/>
    <w:rsid w:val="007A5FB0"/>
    <w:rsid w:val="007A6006"/>
    <w:rsid w:val="007A60E0"/>
    <w:rsid w:val="007A61CD"/>
    <w:rsid w:val="007A6310"/>
    <w:rsid w:val="007A64A8"/>
    <w:rsid w:val="007A64F0"/>
    <w:rsid w:val="007A6585"/>
    <w:rsid w:val="007A681F"/>
    <w:rsid w:val="007A6888"/>
    <w:rsid w:val="007A6AC0"/>
    <w:rsid w:val="007A6B8D"/>
    <w:rsid w:val="007A6C7A"/>
    <w:rsid w:val="007A6CC7"/>
    <w:rsid w:val="007A6CF0"/>
    <w:rsid w:val="007A6DF1"/>
    <w:rsid w:val="007A6F6D"/>
    <w:rsid w:val="007A6F84"/>
    <w:rsid w:val="007A6FA2"/>
    <w:rsid w:val="007A6FE2"/>
    <w:rsid w:val="007A702B"/>
    <w:rsid w:val="007A7063"/>
    <w:rsid w:val="007A712D"/>
    <w:rsid w:val="007A7155"/>
    <w:rsid w:val="007A71C3"/>
    <w:rsid w:val="007A71C7"/>
    <w:rsid w:val="007A71FE"/>
    <w:rsid w:val="007A7244"/>
    <w:rsid w:val="007A729B"/>
    <w:rsid w:val="007A73D5"/>
    <w:rsid w:val="007A7605"/>
    <w:rsid w:val="007A76A3"/>
    <w:rsid w:val="007A773F"/>
    <w:rsid w:val="007A7A63"/>
    <w:rsid w:val="007A7AA0"/>
    <w:rsid w:val="007A7AA1"/>
    <w:rsid w:val="007A7AAB"/>
    <w:rsid w:val="007A7BE5"/>
    <w:rsid w:val="007A7C6A"/>
    <w:rsid w:val="007A7C7A"/>
    <w:rsid w:val="007A7F69"/>
    <w:rsid w:val="007A7FAE"/>
    <w:rsid w:val="007B00F4"/>
    <w:rsid w:val="007B0127"/>
    <w:rsid w:val="007B02D9"/>
    <w:rsid w:val="007B02E2"/>
    <w:rsid w:val="007B030A"/>
    <w:rsid w:val="007B03FF"/>
    <w:rsid w:val="007B0461"/>
    <w:rsid w:val="007B04E6"/>
    <w:rsid w:val="007B057D"/>
    <w:rsid w:val="007B0621"/>
    <w:rsid w:val="007B063D"/>
    <w:rsid w:val="007B086E"/>
    <w:rsid w:val="007B0906"/>
    <w:rsid w:val="007B0A24"/>
    <w:rsid w:val="007B0AE8"/>
    <w:rsid w:val="007B0B57"/>
    <w:rsid w:val="007B0BAC"/>
    <w:rsid w:val="007B0D3C"/>
    <w:rsid w:val="007B0D95"/>
    <w:rsid w:val="007B0EF5"/>
    <w:rsid w:val="007B0F51"/>
    <w:rsid w:val="007B10DF"/>
    <w:rsid w:val="007B1288"/>
    <w:rsid w:val="007B1474"/>
    <w:rsid w:val="007B14B3"/>
    <w:rsid w:val="007B155E"/>
    <w:rsid w:val="007B15A2"/>
    <w:rsid w:val="007B1652"/>
    <w:rsid w:val="007B1695"/>
    <w:rsid w:val="007B17C2"/>
    <w:rsid w:val="007B17CF"/>
    <w:rsid w:val="007B18B8"/>
    <w:rsid w:val="007B18EC"/>
    <w:rsid w:val="007B1919"/>
    <w:rsid w:val="007B194D"/>
    <w:rsid w:val="007B1991"/>
    <w:rsid w:val="007B19BB"/>
    <w:rsid w:val="007B1A78"/>
    <w:rsid w:val="007B1B1A"/>
    <w:rsid w:val="007B1DB6"/>
    <w:rsid w:val="007B1EE3"/>
    <w:rsid w:val="007B2032"/>
    <w:rsid w:val="007B2197"/>
    <w:rsid w:val="007B22B6"/>
    <w:rsid w:val="007B22EF"/>
    <w:rsid w:val="007B255D"/>
    <w:rsid w:val="007B26B5"/>
    <w:rsid w:val="007B2734"/>
    <w:rsid w:val="007B27A2"/>
    <w:rsid w:val="007B2854"/>
    <w:rsid w:val="007B292E"/>
    <w:rsid w:val="007B29B1"/>
    <w:rsid w:val="007B29B6"/>
    <w:rsid w:val="007B29C4"/>
    <w:rsid w:val="007B2A36"/>
    <w:rsid w:val="007B2A3D"/>
    <w:rsid w:val="007B2A73"/>
    <w:rsid w:val="007B2AC2"/>
    <w:rsid w:val="007B2B82"/>
    <w:rsid w:val="007B2B9B"/>
    <w:rsid w:val="007B2BBF"/>
    <w:rsid w:val="007B2C51"/>
    <w:rsid w:val="007B2CA0"/>
    <w:rsid w:val="007B2D5A"/>
    <w:rsid w:val="007B2D71"/>
    <w:rsid w:val="007B2ECE"/>
    <w:rsid w:val="007B2EFF"/>
    <w:rsid w:val="007B2F07"/>
    <w:rsid w:val="007B2F94"/>
    <w:rsid w:val="007B2FB1"/>
    <w:rsid w:val="007B2FC4"/>
    <w:rsid w:val="007B3040"/>
    <w:rsid w:val="007B310F"/>
    <w:rsid w:val="007B32E9"/>
    <w:rsid w:val="007B3586"/>
    <w:rsid w:val="007B35DB"/>
    <w:rsid w:val="007B363B"/>
    <w:rsid w:val="007B3654"/>
    <w:rsid w:val="007B3737"/>
    <w:rsid w:val="007B3763"/>
    <w:rsid w:val="007B3792"/>
    <w:rsid w:val="007B390F"/>
    <w:rsid w:val="007B3942"/>
    <w:rsid w:val="007B3957"/>
    <w:rsid w:val="007B39F2"/>
    <w:rsid w:val="007B3AA1"/>
    <w:rsid w:val="007B3AA4"/>
    <w:rsid w:val="007B3B51"/>
    <w:rsid w:val="007B3B92"/>
    <w:rsid w:val="007B3BEC"/>
    <w:rsid w:val="007B3C9E"/>
    <w:rsid w:val="007B3D86"/>
    <w:rsid w:val="007B3E44"/>
    <w:rsid w:val="007B3E80"/>
    <w:rsid w:val="007B3F3B"/>
    <w:rsid w:val="007B403B"/>
    <w:rsid w:val="007B4261"/>
    <w:rsid w:val="007B430E"/>
    <w:rsid w:val="007B4310"/>
    <w:rsid w:val="007B447A"/>
    <w:rsid w:val="007B458D"/>
    <w:rsid w:val="007B4680"/>
    <w:rsid w:val="007B4742"/>
    <w:rsid w:val="007B47B3"/>
    <w:rsid w:val="007B4945"/>
    <w:rsid w:val="007B49CD"/>
    <w:rsid w:val="007B49D2"/>
    <w:rsid w:val="007B4A84"/>
    <w:rsid w:val="007B4ADC"/>
    <w:rsid w:val="007B4B2E"/>
    <w:rsid w:val="007B4BD4"/>
    <w:rsid w:val="007B4C2D"/>
    <w:rsid w:val="007B4C88"/>
    <w:rsid w:val="007B4CF7"/>
    <w:rsid w:val="007B4E1F"/>
    <w:rsid w:val="007B4EB8"/>
    <w:rsid w:val="007B5043"/>
    <w:rsid w:val="007B5060"/>
    <w:rsid w:val="007B511A"/>
    <w:rsid w:val="007B51D3"/>
    <w:rsid w:val="007B51DF"/>
    <w:rsid w:val="007B51F3"/>
    <w:rsid w:val="007B5234"/>
    <w:rsid w:val="007B52B7"/>
    <w:rsid w:val="007B53BD"/>
    <w:rsid w:val="007B5418"/>
    <w:rsid w:val="007B54B6"/>
    <w:rsid w:val="007B54C0"/>
    <w:rsid w:val="007B5602"/>
    <w:rsid w:val="007B5618"/>
    <w:rsid w:val="007B56DD"/>
    <w:rsid w:val="007B571E"/>
    <w:rsid w:val="007B576B"/>
    <w:rsid w:val="007B576F"/>
    <w:rsid w:val="007B5880"/>
    <w:rsid w:val="007B593C"/>
    <w:rsid w:val="007B5A05"/>
    <w:rsid w:val="007B5A2F"/>
    <w:rsid w:val="007B5A3E"/>
    <w:rsid w:val="007B5A67"/>
    <w:rsid w:val="007B5AD5"/>
    <w:rsid w:val="007B5DEF"/>
    <w:rsid w:val="007B5E7A"/>
    <w:rsid w:val="007B6005"/>
    <w:rsid w:val="007B61E4"/>
    <w:rsid w:val="007B61E5"/>
    <w:rsid w:val="007B62F8"/>
    <w:rsid w:val="007B6343"/>
    <w:rsid w:val="007B645A"/>
    <w:rsid w:val="007B6543"/>
    <w:rsid w:val="007B658F"/>
    <w:rsid w:val="007B661F"/>
    <w:rsid w:val="007B678F"/>
    <w:rsid w:val="007B67B1"/>
    <w:rsid w:val="007B67B2"/>
    <w:rsid w:val="007B67F0"/>
    <w:rsid w:val="007B6809"/>
    <w:rsid w:val="007B692D"/>
    <w:rsid w:val="007B69AC"/>
    <w:rsid w:val="007B6A5F"/>
    <w:rsid w:val="007B6C55"/>
    <w:rsid w:val="007B6C94"/>
    <w:rsid w:val="007B6CC5"/>
    <w:rsid w:val="007B6D47"/>
    <w:rsid w:val="007B6E3D"/>
    <w:rsid w:val="007B6E5B"/>
    <w:rsid w:val="007B6EA3"/>
    <w:rsid w:val="007B6EAE"/>
    <w:rsid w:val="007B6EF1"/>
    <w:rsid w:val="007B6F0D"/>
    <w:rsid w:val="007B6FE8"/>
    <w:rsid w:val="007B7009"/>
    <w:rsid w:val="007B7019"/>
    <w:rsid w:val="007B70A0"/>
    <w:rsid w:val="007B7137"/>
    <w:rsid w:val="007B7168"/>
    <w:rsid w:val="007B717D"/>
    <w:rsid w:val="007B71F5"/>
    <w:rsid w:val="007B7205"/>
    <w:rsid w:val="007B72B8"/>
    <w:rsid w:val="007B7501"/>
    <w:rsid w:val="007B790F"/>
    <w:rsid w:val="007B7967"/>
    <w:rsid w:val="007B79C7"/>
    <w:rsid w:val="007B7A1E"/>
    <w:rsid w:val="007B7A7B"/>
    <w:rsid w:val="007B7B3B"/>
    <w:rsid w:val="007B7B51"/>
    <w:rsid w:val="007B7C43"/>
    <w:rsid w:val="007B7C6F"/>
    <w:rsid w:val="007B7CF2"/>
    <w:rsid w:val="007B7DFD"/>
    <w:rsid w:val="007B7E97"/>
    <w:rsid w:val="007B7EA1"/>
    <w:rsid w:val="007B7F7B"/>
    <w:rsid w:val="007B7FD0"/>
    <w:rsid w:val="007C008A"/>
    <w:rsid w:val="007C00CF"/>
    <w:rsid w:val="007C0115"/>
    <w:rsid w:val="007C02BA"/>
    <w:rsid w:val="007C02CF"/>
    <w:rsid w:val="007C0392"/>
    <w:rsid w:val="007C03E4"/>
    <w:rsid w:val="007C04E9"/>
    <w:rsid w:val="007C0567"/>
    <w:rsid w:val="007C0709"/>
    <w:rsid w:val="007C07F5"/>
    <w:rsid w:val="007C0846"/>
    <w:rsid w:val="007C0A9B"/>
    <w:rsid w:val="007C0ABF"/>
    <w:rsid w:val="007C0B37"/>
    <w:rsid w:val="007C0B44"/>
    <w:rsid w:val="007C0B6D"/>
    <w:rsid w:val="007C0C20"/>
    <w:rsid w:val="007C0C8D"/>
    <w:rsid w:val="007C0C9A"/>
    <w:rsid w:val="007C0D41"/>
    <w:rsid w:val="007C0E71"/>
    <w:rsid w:val="007C0F07"/>
    <w:rsid w:val="007C11BD"/>
    <w:rsid w:val="007C123F"/>
    <w:rsid w:val="007C1277"/>
    <w:rsid w:val="007C12F0"/>
    <w:rsid w:val="007C13BC"/>
    <w:rsid w:val="007C1456"/>
    <w:rsid w:val="007C1464"/>
    <w:rsid w:val="007C146A"/>
    <w:rsid w:val="007C161D"/>
    <w:rsid w:val="007C16BD"/>
    <w:rsid w:val="007C16EA"/>
    <w:rsid w:val="007C175B"/>
    <w:rsid w:val="007C1760"/>
    <w:rsid w:val="007C18B9"/>
    <w:rsid w:val="007C1926"/>
    <w:rsid w:val="007C1939"/>
    <w:rsid w:val="007C1B3A"/>
    <w:rsid w:val="007C1B3C"/>
    <w:rsid w:val="007C1B79"/>
    <w:rsid w:val="007C1B94"/>
    <w:rsid w:val="007C1DE3"/>
    <w:rsid w:val="007C1EA6"/>
    <w:rsid w:val="007C1F75"/>
    <w:rsid w:val="007C1F9D"/>
    <w:rsid w:val="007C214D"/>
    <w:rsid w:val="007C22AC"/>
    <w:rsid w:val="007C231A"/>
    <w:rsid w:val="007C2327"/>
    <w:rsid w:val="007C232A"/>
    <w:rsid w:val="007C2342"/>
    <w:rsid w:val="007C2460"/>
    <w:rsid w:val="007C24A6"/>
    <w:rsid w:val="007C2526"/>
    <w:rsid w:val="007C25E5"/>
    <w:rsid w:val="007C260A"/>
    <w:rsid w:val="007C2634"/>
    <w:rsid w:val="007C26F8"/>
    <w:rsid w:val="007C2804"/>
    <w:rsid w:val="007C285E"/>
    <w:rsid w:val="007C28B1"/>
    <w:rsid w:val="007C28B3"/>
    <w:rsid w:val="007C296F"/>
    <w:rsid w:val="007C299C"/>
    <w:rsid w:val="007C29E1"/>
    <w:rsid w:val="007C2A0D"/>
    <w:rsid w:val="007C2A44"/>
    <w:rsid w:val="007C2A5A"/>
    <w:rsid w:val="007C2A6D"/>
    <w:rsid w:val="007C2C15"/>
    <w:rsid w:val="007C2CAB"/>
    <w:rsid w:val="007C2EC9"/>
    <w:rsid w:val="007C2EE4"/>
    <w:rsid w:val="007C2F6C"/>
    <w:rsid w:val="007C3176"/>
    <w:rsid w:val="007C318D"/>
    <w:rsid w:val="007C32EE"/>
    <w:rsid w:val="007C32FA"/>
    <w:rsid w:val="007C3493"/>
    <w:rsid w:val="007C35A0"/>
    <w:rsid w:val="007C361D"/>
    <w:rsid w:val="007C36D5"/>
    <w:rsid w:val="007C36DE"/>
    <w:rsid w:val="007C36EB"/>
    <w:rsid w:val="007C3857"/>
    <w:rsid w:val="007C385A"/>
    <w:rsid w:val="007C3898"/>
    <w:rsid w:val="007C392D"/>
    <w:rsid w:val="007C39A7"/>
    <w:rsid w:val="007C3A09"/>
    <w:rsid w:val="007C3A4B"/>
    <w:rsid w:val="007C3B0A"/>
    <w:rsid w:val="007C3B6D"/>
    <w:rsid w:val="007C3B73"/>
    <w:rsid w:val="007C3B98"/>
    <w:rsid w:val="007C3D92"/>
    <w:rsid w:val="007C3E66"/>
    <w:rsid w:val="007C3E9F"/>
    <w:rsid w:val="007C3EE9"/>
    <w:rsid w:val="007C3F4C"/>
    <w:rsid w:val="007C4016"/>
    <w:rsid w:val="007C4085"/>
    <w:rsid w:val="007C40A8"/>
    <w:rsid w:val="007C40EA"/>
    <w:rsid w:val="007C4146"/>
    <w:rsid w:val="007C414A"/>
    <w:rsid w:val="007C414C"/>
    <w:rsid w:val="007C41E6"/>
    <w:rsid w:val="007C41F4"/>
    <w:rsid w:val="007C42A1"/>
    <w:rsid w:val="007C4392"/>
    <w:rsid w:val="007C468F"/>
    <w:rsid w:val="007C482A"/>
    <w:rsid w:val="007C48E5"/>
    <w:rsid w:val="007C494E"/>
    <w:rsid w:val="007C4B08"/>
    <w:rsid w:val="007C4DD1"/>
    <w:rsid w:val="007C4FE2"/>
    <w:rsid w:val="007C5130"/>
    <w:rsid w:val="007C5149"/>
    <w:rsid w:val="007C5154"/>
    <w:rsid w:val="007C5196"/>
    <w:rsid w:val="007C51DE"/>
    <w:rsid w:val="007C5220"/>
    <w:rsid w:val="007C5298"/>
    <w:rsid w:val="007C5339"/>
    <w:rsid w:val="007C53A0"/>
    <w:rsid w:val="007C552A"/>
    <w:rsid w:val="007C5550"/>
    <w:rsid w:val="007C5637"/>
    <w:rsid w:val="007C5640"/>
    <w:rsid w:val="007C571F"/>
    <w:rsid w:val="007C575C"/>
    <w:rsid w:val="007C5797"/>
    <w:rsid w:val="007C5802"/>
    <w:rsid w:val="007C58E2"/>
    <w:rsid w:val="007C5A95"/>
    <w:rsid w:val="007C5B84"/>
    <w:rsid w:val="007C5BE1"/>
    <w:rsid w:val="007C5EC7"/>
    <w:rsid w:val="007C6242"/>
    <w:rsid w:val="007C624A"/>
    <w:rsid w:val="007C628C"/>
    <w:rsid w:val="007C62B0"/>
    <w:rsid w:val="007C6473"/>
    <w:rsid w:val="007C64E4"/>
    <w:rsid w:val="007C65BD"/>
    <w:rsid w:val="007C6644"/>
    <w:rsid w:val="007C6843"/>
    <w:rsid w:val="007C6872"/>
    <w:rsid w:val="007C689B"/>
    <w:rsid w:val="007C6A4E"/>
    <w:rsid w:val="007C6B80"/>
    <w:rsid w:val="007C6C4C"/>
    <w:rsid w:val="007C6F98"/>
    <w:rsid w:val="007C7004"/>
    <w:rsid w:val="007C7178"/>
    <w:rsid w:val="007C71A4"/>
    <w:rsid w:val="007C71C6"/>
    <w:rsid w:val="007C7210"/>
    <w:rsid w:val="007C721E"/>
    <w:rsid w:val="007C7295"/>
    <w:rsid w:val="007C73D9"/>
    <w:rsid w:val="007C744E"/>
    <w:rsid w:val="007C74DF"/>
    <w:rsid w:val="007C7614"/>
    <w:rsid w:val="007C775B"/>
    <w:rsid w:val="007C78B4"/>
    <w:rsid w:val="007C78B8"/>
    <w:rsid w:val="007C78FB"/>
    <w:rsid w:val="007C7944"/>
    <w:rsid w:val="007C79E7"/>
    <w:rsid w:val="007C7A0D"/>
    <w:rsid w:val="007C7A4E"/>
    <w:rsid w:val="007C7B8E"/>
    <w:rsid w:val="007C7C25"/>
    <w:rsid w:val="007C7C55"/>
    <w:rsid w:val="007C7C5D"/>
    <w:rsid w:val="007C7CC4"/>
    <w:rsid w:val="007C7E59"/>
    <w:rsid w:val="007C7EAE"/>
    <w:rsid w:val="007C7F88"/>
    <w:rsid w:val="007C7F9D"/>
    <w:rsid w:val="007D00ED"/>
    <w:rsid w:val="007D0190"/>
    <w:rsid w:val="007D033E"/>
    <w:rsid w:val="007D0343"/>
    <w:rsid w:val="007D03C6"/>
    <w:rsid w:val="007D0518"/>
    <w:rsid w:val="007D051A"/>
    <w:rsid w:val="007D0704"/>
    <w:rsid w:val="007D0821"/>
    <w:rsid w:val="007D0855"/>
    <w:rsid w:val="007D0AF2"/>
    <w:rsid w:val="007D0B0C"/>
    <w:rsid w:val="007D0B64"/>
    <w:rsid w:val="007D0BE4"/>
    <w:rsid w:val="007D0BEA"/>
    <w:rsid w:val="007D0C17"/>
    <w:rsid w:val="007D0C8E"/>
    <w:rsid w:val="007D0CA2"/>
    <w:rsid w:val="007D0D07"/>
    <w:rsid w:val="007D1000"/>
    <w:rsid w:val="007D12B3"/>
    <w:rsid w:val="007D1370"/>
    <w:rsid w:val="007D140E"/>
    <w:rsid w:val="007D1459"/>
    <w:rsid w:val="007D162F"/>
    <w:rsid w:val="007D1668"/>
    <w:rsid w:val="007D171D"/>
    <w:rsid w:val="007D1830"/>
    <w:rsid w:val="007D186C"/>
    <w:rsid w:val="007D195B"/>
    <w:rsid w:val="007D1A55"/>
    <w:rsid w:val="007D1A85"/>
    <w:rsid w:val="007D1BF2"/>
    <w:rsid w:val="007D1C11"/>
    <w:rsid w:val="007D1CFC"/>
    <w:rsid w:val="007D1D0B"/>
    <w:rsid w:val="007D1D9A"/>
    <w:rsid w:val="007D1DE3"/>
    <w:rsid w:val="007D1EBF"/>
    <w:rsid w:val="007D1F23"/>
    <w:rsid w:val="007D22BC"/>
    <w:rsid w:val="007D2366"/>
    <w:rsid w:val="007D2405"/>
    <w:rsid w:val="007D25BC"/>
    <w:rsid w:val="007D25E9"/>
    <w:rsid w:val="007D2697"/>
    <w:rsid w:val="007D26A6"/>
    <w:rsid w:val="007D2736"/>
    <w:rsid w:val="007D2738"/>
    <w:rsid w:val="007D27A7"/>
    <w:rsid w:val="007D2896"/>
    <w:rsid w:val="007D2AAC"/>
    <w:rsid w:val="007D2B07"/>
    <w:rsid w:val="007D2BD6"/>
    <w:rsid w:val="007D2DDF"/>
    <w:rsid w:val="007D2E48"/>
    <w:rsid w:val="007D2E72"/>
    <w:rsid w:val="007D2EFC"/>
    <w:rsid w:val="007D3001"/>
    <w:rsid w:val="007D306A"/>
    <w:rsid w:val="007D30B1"/>
    <w:rsid w:val="007D31CD"/>
    <w:rsid w:val="007D3290"/>
    <w:rsid w:val="007D3370"/>
    <w:rsid w:val="007D34BB"/>
    <w:rsid w:val="007D34E5"/>
    <w:rsid w:val="007D3522"/>
    <w:rsid w:val="007D352B"/>
    <w:rsid w:val="007D35BD"/>
    <w:rsid w:val="007D364A"/>
    <w:rsid w:val="007D3692"/>
    <w:rsid w:val="007D36B0"/>
    <w:rsid w:val="007D37EB"/>
    <w:rsid w:val="007D3807"/>
    <w:rsid w:val="007D3832"/>
    <w:rsid w:val="007D38A9"/>
    <w:rsid w:val="007D393F"/>
    <w:rsid w:val="007D39D2"/>
    <w:rsid w:val="007D3C31"/>
    <w:rsid w:val="007D3E20"/>
    <w:rsid w:val="007D3E4F"/>
    <w:rsid w:val="007D3E72"/>
    <w:rsid w:val="007D3E8C"/>
    <w:rsid w:val="007D3E9B"/>
    <w:rsid w:val="007D3F22"/>
    <w:rsid w:val="007D3FBA"/>
    <w:rsid w:val="007D4068"/>
    <w:rsid w:val="007D408D"/>
    <w:rsid w:val="007D40CA"/>
    <w:rsid w:val="007D4107"/>
    <w:rsid w:val="007D4170"/>
    <w:rsid w:val="007D4171"/>
    <w:rsid w:val="007D41FB"/>
    <w:rsid w:val="007D4317"/>
    <w:rsid w:val="007D4433"/>
    <w:rsid w:val="007D4482"/>
    <w:rsid w:val="007D44AA"/>
    <w:rsid w:val="007D458A"/>
    <w:rsid w:val="007D467B"/>
    <w:rsid w:val="007D46E9"/>
    <w:rsid w:val="007D4744"/>
    <w:rsid w:val="007D4968"/>
    <w:rsid w:val="007D4B65"/>
    <w:rsid w:val="007D4C1A"/>
    <w:rsid w:val="007D4C43"/>
    <w:rsid w:val="007D4CC0"/>
    <w:rsid w:val="007D4D45"/>
    <w:rsid w:val="007D4E6A"/>
    <w:rsid w:val="007D4F0A"/>
    <w:rsid w:val="007D4FD1"/>
    <w:rsid w:val="007D5020"/>
    <w:rsid w:val="007D505F"/>
    <w:rsid w:val="007D50F8"/>
    <w:rsid w:val="007D51D9"/>
    <w:rsid w:val="007D52E3"/>
    <w:rsid w:val="007D53CC"/>
    <w:rsid w:val="007D53F8"/>
    <w:rsid w:val="007D5432"/>
    <w:rsid w:val="007D54D9"/>
    <w:rsid w:val="007D5527"/>
    <w:rsid w:val="007D5548"/>
    <w:rsid w:val="007D5578"/>
    <w:rsid w:val="007D55A5"/>
    <w:rsid w:val="007D56DC"/>
    <w:rsid w:val="007D57DE"/>
    <w:rsid w:val="007D57EC"/>
    <w:rsid w:val="007D587F"/>
    <w:rsid w:val="007D58D0"/>
    <w:rsid w:val="007D59BF"/>
    <w:rsid w:val="007D5A9D"/>
    <w:rsid w:val="007D5A9F"/>
    <w:rsid w:val="007D5B2D"/>
    <w:rsid w:val="007D5B63"/>
    <w:rsid w:val="007D5C88"/>
    <w:rsid w:val="007D5D32"/>
    <w:rsid w:val="007D5D78"/>
    <w:rsid w:val="007D5E29"/>
    <w:rsid w:val="007D5F37"/>
    <w:rsid w:val="007D5F4C"/>
    <w:rsid w:val="007D6040"/>
    <w:rsid w:val="007D609F"/>
    <w:rsid w:val="007D60A0"/>
    <w:rsid w:val="007D6175"/>
    <w:rsid w:val="007D6269"/>
    <w:rsid w:val="007D6289"/>
    <w:rsid w:val="007D62CE"/>
    <w:rsid w:val="007D633F"/>
    <w:rsid w:val="007D636A"/>
    <w:rsid w:val="007D639E"/>
    <w:rsid w:val="007D63A8"/>
    <w:rsid w:val="007D6453"/>
    <w:rsid w:val="007D64F5"/>
    <w:rsid w:val="007D6501"/>
    <w:rsid w:val="007D6591"/>
    <w:rsid w:val="007D65D8"/>
    <w:rsid w:val="007D683F"/>
    <w:rsid w:val="007D684C"/>
    <w:rsid w:val="007D68DB"/>
    <w:rsid w:val="007D69DE"/>
    <w:rsid w:val="007D6A53"/>
    <w:rsid w:val="007D6B87"/>
    <w:rsid w:val="007D6C54"/>
    <w:rsid w:val="007D6C56"/>
    <w:rsid w:val="007D6C86"/>
    <w:rsid w:val="007D6D0A"/>
    <w:rsid w:val="007D6E00"/>
    <w:rsid w:val="007D705A"/>
    <w:rsid w:val="007D7080"/>
    <w:rsid w:val="007D716C"/>
    <w:rsid w:val="007D7182"/>
    <w:rsid w:val="007D71C0"/>
    <w:rsid w:val="007D71E3"/>
    <w:rsid w:val="007D7513"/>
    <w:rsid w:val="007D755C"/>
    <w:rsid w:val="007D75D8"/>
    <w:rsid w:val="007D763F"/>
    <w:rsid w:val="007D7693"/>
    <w:rsid w:val="007D76C4"/>
    <w:rsid w:val="007D779D"/>
    <w:rsid w:val="007D7829"/>
    <w:rsid w:val="007D783C"/>
    <w:rsid w:val="007D79DB"/>
    <w:rsid w:val="007D7A59"/>
    <w:rsid w:val="007D7A9A"/>
    <w:rsid w:val="007D7ADB"/>
    <w:rsid w:val="007D7B3B"/>
    <w:rsid w:val="007D7C6D"/>
    <w:rsid w:val="007D7C97"/>
    <w:rsid w:val="007D7CA2"/>
    <w:rsid w:val="007D7EF1"/>
    <w:rsid w:val="007D7F9B"/>
    <w:rsid w:val="007E00CA"/>
    <w:rsid w:val="007E022B"/>
    <w:rsid w:val="007E03C0"/>
    <w:rsid w:val="007E03CA"/>
    <w:rsid w:val="007E04C7"/>
    <w:rsid w:val="007E054A"/>
    <w:rsid w:val="007E0615"/>
    <w:rsid w:val="007E076A"/>
    <w:rsid w:val="007E0785"/>
    <w:rsid w:val="007E0A22"/>
    <w:rsid w:val="007E0A2D"/>
    <w:rsid w:val="007E0BEE"/>
    <w:rsid w:val="007E0C1D"/>
    <w:rsid w:val="007E0DAB"/>
    <w:rsid w:val="007E0E9F"/>
    <w:rsid w:val="007E0EDB"/>
    <w:rsid w:val="007E0F7E"/>
    <w:rsid w:val="007E0FCC"/>
    <w:rsid w:val="007E1002"/>
    <w:rsid w:val="007E102F"/>
    <w:rsid w:val="007E10C4"/>
    <w:rsid w:val="007E10EF"/>
    <w:rsid w:val="007E1283"/>
    <w:rsid w:val="007E1295"/>
    <w:rsid w:val="007E138C"/>
    <w:rsid w:val="007E15DA"/>
    <w:rsid w:val="007E161E"/>
    <w:rsid w:val="007E16B7"/>
    <w:rsid w:val="007E1861"/>
    <w:rsid w:val="007E18C4"/>
    <w:rsid w:val="007E1944"/>
    <w:rsid w:val="007E19A8"/>
    <w:rsid w:val="007E19FE"/>
    <w:rsid w:val="007E1A16"/>
    <w:rsid w:val="007E1A2B"/>
    <w:rsid w:val="007E1BC0"/>
    <w:rsid w:val="007E1D3B"/>
    <w:rsid w:val="007E2034"/>
    <w:rsid w:val="007E2035"/>
    <w:rsid w:val="007E216F"/>
    <w:rsid w:val="007E2183"/>
    <w:rsid w:val="007E2200"/>
    <w:rsid w:val="007E2380"/>
    <w:rsid w:val="007E23BA"/>
    <w:rsid w:val="007E258C"/>
    <w:rsid w:val="007E25C0"/>
    <w:rsid w:val="007E25F8"/>
    <w:rsid w:val="007E273A"/>
    <w:rsid w:val="007E273C"/>
    <w:rsid w:val="007E2836"/>
    <w:rsid w:val="007E283F"/>
    <w:rsid w:val="007E28B9"/>
    <w:rsid w:val="007E29A0"/>
    <w:rsid w:val="007E29FA"/>
    <w:rsid w:val="007E2A01"/>
    <w:rsid w:val="007E2A28"/>
    <w:rsid w:val="007E2BFA"/>
    <w:rsid w:val="007E2C6E"/>
    <w:rsid w:val="007E2D9E"/>
    <w:rsid w:val="007E2DCC"/>
    <w:rsid w:val="007E2DE0"/>
    <w:rsid w:val="007E2E3F"/>
    <w:rsid w:val="007E2E90"/>
    <w:rsid w:val="007E2FD3"/>
    <w:rsid w:val="007E2FE7"/>
    <w:rsid w:val="007E3091"/>
    <w:rsid w:val="007E311C"/>
    <w:rsid w:val="007E3126"/>
    <w:rsid w:val="007E32BD"/>
    <w:rsid w:val="007E339A"/>
    <w:rsid w:val="007E348B"/>
    <w:rsid w:val="007E3499"/>
    <w:rsid w:val="007E34A9"/>
    <w:rsid w:val="007E35B0"/>
    <w:rsid w:val="007E3716"/>
    <w:rsid w:val="007E3902"/>
    <w:rsid w:val="007E3984"/>
    <w:rsid w:val="007E39D2"/>
    <w:rsid w:val="007E3A95"/>
    <w:rsid w:val="007E3AC1"/>
    <w:rsid w:val="007E3C5E"/>
    <w:rsid w:val="007E3CD8"/>
    <w:rsid w:val="007E40AC"/>
    <w:rsid w:val="007E4119"/>
    <w:rsid w:val="007E4125"/>
    <w:rsid w:val="007E4127"/>
    <w:rsid w:val="007E4270"/>
    <w:rsid w:val="007E42E7"/>
    <w:rsid w:val="007E4470"/>
    <w:rsid w:val="007E4509"/>
    <w:rsid w:val="007E450B"/>
    <w:rsid w:val="007E451D"/>
    <w:rsid w:val="007E4641"/>
    <w:rsid w:val="007E4657"/>
    <w:rsid w:val="007E4660"/>
    <w:rsid w:val="007E46D7"/>
    <w:rsid w:val="007E4772"/>
    <w:rsid w:val="007E47D3"/>
    <w:rsid w:val="007E48F1"/>
    <w:rsid w:val="007E49A8"/>
    <w:rsid w:val="007E49B2"/>
    <w:rsid w:val="007E4A85"/>
    <w:rsid w:val="007E4A90"/>
    <w:rsid w:val="007E4B4A"/>
    <w:rsid w:val="007E4BDE"/>
    <w:rsid w:val="007E4C3A"/>
    <w:rsid w:val="007E4C91"/>
    <w:rsid w:val="007E4D57"/>
    <w:rsid w:val="007E4E35"/>
    <w:rsid w:val="007E4E7A"/>
    <w:rsid w:val="007E4E8E"/>
    <w:rsid w:val="007E4EF8"/>
    <w:rsid w:val="007E4F00"/>
    <w:rsid w:val="007E5185"/>
    <w:rsid w:val="007E5198"/>
    <w:rsid w:val="007E5265"/>
    <w:rsid w:val="007E5338"/>
    <w:rsid w:val="007E53DA"/>
    <w:rsid w:val="007E5426"/>
    <w:rsid w:val="007E5433"/>
    <w:rsid w:val="007E5512"/>
    <w:rsid w:val="007E55EA"/>
    <w:rsid w:val="007E562B"/>
    <w:rsid w:val="007E566C"/>
    <w:rsid w:val="007E568A"/>
    <w:rsid w:val="007E57AC"/>
    <w:rsid w:val="007E5808"/>
    <w:rsid w:val="007E5815"/>
    <w:rsid w:val="007E5952"/>
    <w:rsid w:val="007E5A2C"/>
    <w:rsid w:val="007E5B4D"/>
    <w:rsid w:val="007E5CC9"/>
    <w:rsid w:val="007E5E15"/>
    <w:rsid w:val="007E5F8A"/>
    <w:rsid w:val="007E5FEC"/>
    <w:rsid w:val="007E60CD"/>
    <w:rsid w:val="007E6374"/>
    <w:rsid w:val="007E63B9"/>
    <w:rsid w:val="007E63C4"/>
    <w:rsid w:val="007E63DB"/>
    <w:rsid w:val="007E6451"/>
    <w:rsid w:val="007E645D"/>
    <w:rsid w:val="007E65D1"/>
    <w:rsid w:val="007E65D9"/>
    <w:rsid w:val="007E65EF"/>
    <w:rsid w:val="007E6603"/>
    <w:rsid w:val="007E6719"/>
    <w:rsid w:val="007E68A3"/>
    <w:rsid w:val="007E6982"/>
    <w:rsid w:val="007E6BBC"/>
    <w:rsid w:val="007E6C81"/>
    <w:rsid w:val="007E6C9E"/>
    <w:rsid w:val="007E6F90"/>
    <w:rsid w:val="007E71E6"/>
    <w:rsid w:val="007E720B"/>
    <w:rsid w:val="007E72E9"/>
    <w:rsid w:val="007E7322"/>
    <w:rsid w:val="007E7334"/>
    <w:rsid w:val="007E74E0"/>
    <w:rsid w:val="007E755B"/>
    <w:rsid w:val="007E767F"/>
    <w:rsid w:val="007E76B6"/>
    <w:rsid w:val="007E76DC"/>
    <w:rsid w:val="007E76EE"/>
    <w:rsid w:val="007E7879"/>
    <w:rsid w:val="007E78CE"/>
    <w:rsid w:val="007E7903"/>
    <w:rsid w:val="007E792C"/>
    <w:rsid w:val="007E793C"/>
    <w:rsid w:val="007E797D"/>
    <w:rsid w:val="007E7AB6"/>
    <w:rsid w:val="007E7C74"/>
    <w:rsid w:val="007E7D93"/>
    <w:rsid w:val="007E7E03"/>
    <w:rsid w:val="007E7FAD"/>
    <w:rsid w:val="007E7FCD"/>
    <w:rsid w:val="007F0007"/>
    <w:rsid w:val="007F0039"/>
    <w:rsid w:val="007F0046"/>
    <w:rsid w:val="007F01D3"/>
    <w:rsid w:val="007F0430"/>
    <w:rsid w:val="007F054B"/>
    <w:rsid w:val="007F05BD"/>
    <w:rsid w:val="007F06D3"/>
    <w:rsid w:val="007F0749"/>
    <w:rsid w:val="007F0764"/>
    <w:rsid w:val="007F0873"/>
    <w:rsid w:val="007F0891"/>
    <w:rsid w:val="007F08C2"/>
    <w:rsid w:val="007F0963"/>
    <w:rsid w:val="007F0A57"/>
    <w:rsid w:val="007F0AB2"/>
    <w:rsid w:val="007F0D03"/>
    <w:rsid w:val="007F0E8C"/>
    <w:rsid w:val="007F0FCE"/>
    <w:rsid w:val="007F1226"/>
    <w:rsid w:val="007F13A9"/>
    <w:rsid w:val="007F1515"/>
    <w:rsid w:val="007F1528"/>
    <w:rsid w:val="007F155C"/>
    <w:rsid w:val="007F1674"/>
    <w:rsid w:val="007F1742"/>
    <w:rsid w:val="007F1784"/>
    <w:rsid w:val="007F1790"/>
    <w:rsid w:val="007F1827"/>
    <w:rsid w:val="007F1C82"/>
    <w:rsid w:val="007F1CD7"/>
    <w:rsid w:val="007F1CF0"/>
    <w:rsid w:val="007F1D16"/>
    <w:rsid w:val="007F1D46"/>
    <w:rsid w:val="007F1DBC"/>
    <w:rsid w:val="007F1E1E"/>
    <w:rsid w:val="007F1E65"/>
    <w:rsid w:val="007F1F70"/>
    <w:rsid w:val="007F1FC0"/>
    <w:rsid w:val="007F200A"/>
    <w:rsid w:val="007F20AE"/>
    <w:rsid w:val="007F226F"/>
    <w:rsid w:val="007F2283"/>
    <w:rsid w:val="007F22A1"/>
    <w:rsid w:val="007F230B"/>
    <w:rsid w:val="007F2363"/>
    <w:rsid w:val="007F2436"/>
    <w:rsid w:val="007F24A2"/>
    <w:rsid w:val="007F25E5"/>
    <w:rsid w:val="007F276A"/>
    <w:rsid w:val="007F27D6"/>
    <w:rsid w:val="007F2865"/>
    <w:rsid w:val="007F29A8"/>
    <w:rsid w:val="007F29E3"/>
    <w:rsid w:val="007F29F3"/>
    <w:rsid w:val="007F2AD6"/>
    <w:rsid w:val="007F2AE3"/>
    <w:rsid w:val="007F2DF0"/>
    <w:rsid w:val="007F2E98"/>
    <w:rsid w:val="007F2EBC"/>
    <w:rsid w:val="007F2F46"/>
    <w:rsid w:val="007F3060"/>
    <w:rsid w:val="007F309D"/>
    <w:rsid w:val="007F312F"/>
    <w:rsid w:val="007F3224"/>
    <w:rsid w:val="007F322E"/>
    <w:rsid w:val="007F3295"/>
    <w:rsid w:val="007F332C"/>
    <w:rsid w:val="007F335A"/>
    <w:rsid w:val="007F3496"/>
    <w:rsid w:val="007F356C"/>
    <w:rsid w:val="007F35D6"/>
    <w:rsid w:val="007F35F5"/>
    <w:rsid w:val="007F3602"/>
    <w:rsid w:val="007F363B"/>
    <w:rsid w:val="007F3665"/>
    <w:rsid w:val="007F3817"/>
    <w:rsid w:val="007F3958"/>
    <w:rsid w:val="007F39DF"/>
    <w:rsid w:val="007F3A2E"/>
    <w:rsid w:val="007F3A39"/>
    <w:rsid w:val="007F3C7B"/>
    <w:rsid w:val="007F3D68"/>
    <w:rsid w:val="007F3E55"/>
    <w:rsid w:val="007F3E63"/>
    <w:rsid w:val="007F3FD6"/>
    <w:rsid w:val="007F4075"/>
    <w:rsid w:val="007F40C9"/>
    <w:rsid w:val="007F41B9"/>
    <w:rsid w:val="007F41BC"/>
    <w:rsid w:val="007F4278"/>
    <w:rsid w:val="007F431A"/>
    <w:rsid w:val="007F434A"/>
    <w:rsid w:val="007F4398"/>
    <w:rsid w:val="007F4493"/>
    <w:rsid w:val="007F45ED"/>
    <w:rsid w:val="007F4619"/>
    <w:rsid w:val="007F4665"/>
    <w:rsid w:val="007F4692"/>
    <w:rsid w:val="007F471A"/>
    <w:rsid w:val="007F4757"/>
    <w:rsid w:val="007F479F"/>
    <w:rsid w:val="007F4828"/>
    <w:rsid w:val="007F4842"/>
    <w:rsid w:val="007F4856"/>
    <w:rsid w:val="007F4891"/>
    <w:rsid w:val="007F4896"/>
    <w:rsid w:val="007F48F5"/>
    <w:rsid w:val="007F491D"/>
    <w:rsid w:val="007F494A"/>
    <w:rsid w:val="007F4950"/>
    <w:rsid w:val="007F4959"/>
    <w:rsid w:val="007F4A0E"/>
    <w:rsid w:val="007F4A43"/>
    <w:rsid w:val="007F4AD9"/>
    <w:rsid w:val="007F4C47"/>
    <w:rsid w:val="007F4CE1"/>
    <w:rsid w:val="007F4D84"/>
    <w:rsid w:val="007F4D88"/>
    <w:rsid w:val="007F4E50"/>
    <w:rsid w:val="007F4E90"/>
    <w:rsid w:val="007F4EE9"/>
    <w:rsid w:val="007F4FA1"/>
    <w:rsid w:val="007F50E7"/>
    <w:rsid w:val="007F5111"/>
    <w:rsid w:val="007F5235"/>
    <w:rsid w:val="007F53BC"/>
    <w:rsid w:val="007F5406"/>
    <w:rsid w:val="007F54E5"/>
    <w:rsid w:val="007F5519"/>
    <w:rsid w:val="007F5522"/>
    <w:rsid w:val="007F5578"/>
    <w:rsid w:val="007F56AC"/>
    <w:rsid w:val="007F5854"/>
    <w:rsid w:val="007F588D"/>
    <w:rsid w:val="007F58B8"/>
    <w:rsid w:val="007F59A0"/>
    <w:rsid w:val="007F59A1"/>
    <w:rsid w:val="007F5A11"/>
    <w:rsid w:val="007F5AE9"/>
    <w:rsid w:val="007F5B3C"/>
    <w:rsid w:val="007F5C44"/>
    <w:rsid w:val="007F5C8B"/>
    <w:rsid w:val="007F5D92"/>
    <w:rsid w:val="007F5DD4"/>
    <w:rsid w:val="007F5E97"/>
    <w:rsid w:val="007F5F13"/>
    <w:rsid w:val="007F5FB1"/>
    <w:rsid w:val="007F5FFB"/>
    <w:rsid w:val="007F6007"/>
    <w:rsid w:val="007F6010"/>
    <w:rsid w:val="007F6073"/>
    <w:rsid w:val="007F6097"/>
    <w:rsid w:val="007F60D0"/>
    <w:rsid w:val="007F610F"/>
    <w:rsid w:val="007F62EE"/>
    <w:rsid w:val="007F65CB"/>
    <w:rsid w:val="007F6661"/>
    <w:rsid w:val="007F6824"/>
    <w:rsid w:val="007F6861"/>
    <w:rsid w:val="007F68A0"/>
    <w:rsid w:val="007F68FF"/>
    <w:rsid w:val="007F6908"/>
    <w:rsid w:val="007F6921"/>
    <w:rsid w:val="007F6979"/>
    <w:rsid w:val="007F6992"/>
    <w:rsid w:val="007F69AC"/>
    <w:rsid w:val="007F6A8A"/>
    <w:rsid w:val="007F6AAE"/>
    <w:rsid w:val="007F6B0B"/>
    <w:rsid w:val="007F6BC2"/>
    <w:rsid w:val="007F6BFD"/>
    <w:rsid w:val="007F6C04"/>
    <w:rsid w:val="007F6E7F"/>
    <w:rsid w:val="007F6EB0"/>
    <w:rsid w:val="007F6FEC"/>
    <w:rsid w:val="007F70ED"/>
    <w:rsid w:val="007F7236"/>
    <w:rsid w:val="007F7458"/>
    <w:rsid w:val="007F7667"/>
    <w:rsid w:val="007F7771"/>
    <w:rsid w:val="007F784C"/>
    <w:rsid w:val="007F78FB"/>
    <w:rsid w:val="007F7A51"/>
    <w:rsid w:val="007F7A8C"/>
    <w:rsid w:val="007F7C8B"/>
    <w:rsid w:val="007F7EB0"/>
    <w:rsid w:val="007F7FCB"/>
    <w:rsid w:val="0080001F"/>
    <w:rsid w:val="00800070"/>
    <w:rsid w:val="00800080"/>
    <w:rsid w:val="00800093"/>
    <w:rsid w:val="008000A3"/>
    <w:rsid w:val="008000D6"/>
    <w:rsid w:val="008000E8"/>
    <w:rsid w:val="008001E9"/>
    <w:rsid w:val="00800231"/>
    <w:rsid w:val="00800247"/>
    <w:rsid w:val="0080025C"/>
    <w:rsid w:val="00800274"/>
    <w:rsid w:val="008002C5"/>
    <w:rsid w:val="00800316"/>
    <w:rsid w:val="00800598"/>
    <w:rsid w:val="008005C8"/>
    <w:rsid w:val="008006BE"/>
    <w:rsid w:val="008006C0"/>
    <w:rsid w:val="008006CF"/>
    <w:rsid w:val="0080075D"/>
    <w:rsid w:val="008007A3"/>
    <w:rsid w:val="00800831"/>
    <w:rsid w:val="00800880"/>
    <w:rsid w:val="00800899"/>
    <w:rsid w:val="00800A8C"/>
    <w:rsid w:val="00800AE4"/>
    <w:rsid w:val="00800C2E"/>
    <w:rsid w:val="00800DE1"/>
    <w:rsid w:val="00800EBA"/>
    <w:rsid w:val="00800FFF"/>
    <w:rsid w:val="0080108E"/>
    <w:rsid w:val="0080109E"/>
    <w:rsid w:val="008010C8"/>
    <w:rsid w:val="008010C9"/>
    <w:rsid w:val="0080126D"/>
    <w:rsid w:val="00801326"/>
    <w:rsid w:val="0080133A"/>
    <w:rsid w:val="008013EA"/>
    <w:rsid w:val="008013F4"/>
    <w:rsid w:val="008014DC"/>
    <w:rsid w:val="0080153E"/>
    <w:rsid w:val="008015A5"/>
    <w:rsid w:val="0080176B"/>
    <w:rsid w:val="008017D1"/>
    <w:rsid w:val="00801853"/>
    <w:rsid w:val="00801885"/>
    <w:rsid w:val="008018F0"/>
    <w:rsid w:val="00801A1B"/>
    <w:rsid w:val="00801B4B"/>
    <w:rsid w:val="00801B6A"/>
    <w:rsid w:val="00801BA5"/>
    <w:rsid w:val="00801BFF"/>
    <w:rsid w:val="00801E90"/>
    <w:rsid w:val="00801FB7"/>
    <w:rsid w:val="0080206C"/>
    <w:rsid w:val="008020A3"/>
    <w:rsid w:val="0080212E"/>
    <w:rsid w:val="00802215"/>
    <w:rsid w:val="008023A6"/>
    <w:rsid w:val="008024F0"/>
    <w:rsid w:val="0080257C"/>
    <w:rsid w:val="008026BE"/>
    <w:rsid w:val="008026F1"/>
    <w:rsid w:val="00802888"/>
    <w:rsid w:val="0080298C"/>
    <w:rsid w:val="00802BAD"/>
    <w:rsid w:val="00802BBF"/>
    <w:rsid w:val="00802BED"/>
    <w:rsid w:val="00802DB4"/>
    <w:rsid w:val="00802F73"/>
    <w:rsid w:val="00803001"/>
    <w:rsid w:val="00803019"/>
    <w:rsid w:val="008030AA"/>
    <w:rsid w:val="00803289"/>
    <w:rsid w:val="0080347D"/>
    <w:rsid w:val="008034A0"/>
    <w:rsid w:val="008034A7"/>
    <w:rsid w:val="00803565"/>
    <w:rsid w:val="008036E9"/>
    <w:rsid w:val="00803785"/>
    <w:rsid w:val="008037B6"/>
    <w:rsid w:val="008037DB"/>
    <w:rsid w:val="00803840"/>
    <w:rsid w:val="0080387A"/>
    <w:rsid w:val="008038DE"/>
    <w:rsid w:val="00803912"/>
    <w:rsid w:val="0080397A"/>
    <w:rsid w:val="00803B54"/>
    <w:rsid w:val="00803C1B"/>
    <w:rsid w:val="00803C2F"/>
    <w:rsid w:val="00803D9D"/>
    <w:rsid w:val="00803E40"/>
    <w:rsid w:val="00803EF7"/>
    <w:rsid w:val="00803FAA"/>
    <w:rsid w:val="00804069"/>
    <w:rsid w:val="0080410F"/>
    <w:rsid w:val="0080416A"/>
    <w:rsid w:val="0080418B"/>
    <w:rsid w:val="008042B1"/>
    <w:rsid w:val="00804330"/>
    <w:rsid w:val="0080434D"/>
    <w:rsid w:val="0080435A"/>
    <w:rsid w:val="0080437C"/>
    <w:rsid w:val="008043CA"/>
    <w:rsid w:val="008043FC"/>
    <w:rsid w:val="00804524"/>
    <w:rsid w:val="008045EE"/>
    <w:rsid w:val="00804615"/>
    <w:rsid w:val="008046A1"/>
    <w:rsid w:val="008046D4"/>
    <w:rsid w:val="008048B3"/>
    <w:rsid w:val="008048B6"/>
    <w:rsid w:val="00804990"/>
    <w:rsid w:val="00804ABF"/>
    <w:rsid w:val="00804B13"/>
    <w:rsid w:val="00804CD9"/>
    <w:rsid w:val="00804D11"/>
    <w:rsid w:val="00804E07"/>
    <w:rsid w:val="00804E6F"/>
    <w:rsid w:val="00804F37"/>
    <w:rsid w:val="00804F93"/>
    <w:rsid w:val="0080500D"/>
    <w:rsid w:val="0080502E"/>
    <w:rsid w:val="008050AB"/>
    <w:rsid w:val="008050B4"/>
    <w:rsid w:val="00805343"/>
    <w:rsid w:val="00805471"/>
    <w:rsid w:val="00805472"/>
    <w:rsid w:val="008055D2"/>
    <w:rsid w:val="00805612"/>
    <w:rsid w:val="008056AD"/>
    <w:rsid w:val="008056B2"/>
    <w:rsid w:val="008056D8"/>
    <w:rsid w:val="00805714"/>
    <w:rsid w:val="008058A3"/>
    <w:rsid w:val="008059E0"/>
    <w:rsid w:val="00805BED"/>
    <w:rsid w:val="00805C3F"/>
    <w:rsid w:val="00805C8C"/>
    <w:rsid w:val="00805D2E"/>
    <w:rsid w:val="00805D87"/>
    <w:rsid w:val="00805E49"/>
    <w:rsid w:val="00805E9D"/>
    <w:rsid w:val="00806000"/>
    <w:rsid w:val="0080600C"/>
    <w:rsid w:val="0080609C"/>
    <w:rsid w:val="008060ED"/>
    <w:rsid w:val="00806235"/>
    <w:rsid w:val="00806415"/>
    <w:rsid w:val="00806637"/>
    <w:rsid w:val="00806641"/>
    <w:rsid w:val="00806652"/>
    <w:rsid w:val="0080668B"/>
    <w:rsid w:val="008066A4"/>
    <w:rsid w:val="008066E6"/>
    <w:rsid w:val="008066F3"/>
    <w:rsid w:val="0080673F"/>
    <w:rsid w:val="008068B3"/>
    <w:rsid w:val="008068EB"/>
    <w:rsid w:val="00806B0E"/>
    <w:rsid w:val="00806C5D"/>
    <w:rsid w:val="00806C88"/>
    <w:rsid w:val="00806CBE"/>
    <w:rsid w:val="00806DE0"/>
    <w:rsid w:val="00806E41"/>
    <w:rsid w:val="00806EC8"/>
    <w:rsid w:val="00807054"/>
    <w:rsid w:val="0080710D"/>
    <w:rsid w:val="008071D3"/>
    <w:rsid w:val="0080728A"/>
    <w:rsid w:val="008072B6"/>
    <w:rsid w:val="00807377"/>
    <w:rsid w:val="008075E8"/>
    <w:rsid w:val="0080768F"/>
    <w:rsid w:val="008076CC"/>
    <w:rsid w:val="0080770F"/>
    <w:rsid w:val="008077E4"/>
    <w:rsid w:val="00807863"/>
    <w:rsid w:val="0080794D"/>
    <w:rsid w:val="00807A17"/>
    <w:rsid w:val="00807B9B"/>
    <w:rsid w:val="00807BD5"/>
    <w:rsid w:val="00807CCC"/>
    <w:rsid w:val="00807CFB"/>
    <w:rsid w:val="00807DB8"/>
    <w:rsid w:val="00807E62"/>
    <w:rsid w:val="00807E8F"/>
    <w:rsid w:val="00807F6D"/>
    <w:rsid w:val="00807FD9"/>
    <w:rsid w:val="00810018"/>
    <w:rsid w:val="0081008C"/>
    <w:rsid w:val="00810138"/>
    <w:rsid w:val="00810144"/>
    <w:rsid w:val="008101D6"/>
    <w:rsid w:val="0081024D"/>
    <w:rsid w:val="0081054A"/>
    <w:rsid w:val="008106D2"/>
    <w:rsid w:val="0081076A"/>
    <w:rsid w:val="0081076B"/>
    <w:rsid w:val="008107BC"/>
    <w:rsid w:val="00810A84"/>
    <w:rsid w:val="00810B05"/>
    <w:rsid w:val="00810B6A"/>
    <w:rsid w:val="00810BF3"/>
    <w:rsid w:val="00810D6A"/>
    <w:rsid w:val="00810E5D"/>
    <w:rsid w:val="00810F41"/>
    <w:rsid w:val="00811066"/>
    <w:rsid w:val="00811091"/>
    <w:rsid w:val="008111CC"/>
    <w:rsid w:val="008112D2"/>
    <w:rsid w:val="008112F1"/>
    <w:rsid w:val="008116BB"/>
    <w:rsid w:val="008116EE"/>
    <w:rsid w:val="0081184A"/>
    <w:rsid w:val="008118B9"/>
    <w:rsid w:val="008118ED"/>
    <w:rsid w:val="0081191E"/>
    <w:rsid w:val="0081199D"/>
    <w:rsid w:val="008119E8"/>
    <w:rsid w:val="00811B0D"/>
    <w:rsid w:val="00811BA0"/>
    <w:rsid w:val="00811C33"/>
    <w:rsid w:val="00811C7B"/>
    <w:rsid w:val="00811D4E"/>
    <w:rsid w:val="00811DAD"/>
    <w:rsid w:val="00811E21"/>
    <w:rsid w:val="00811E4B"/>
    <w:rsid w:val="00811FD3"/>
    <w:rsid w:val="0081200C"/>
    <w:rsid w:val="00812073"/>
    <w:rsid w:val="0081209C"/>
    <w:rsid w:val="00812100"/>
    <w:rsid w:val="008121BF"/>
    <w:rsid w:val="0081220E"/>
    <w:rsid w:val="00812371"/>
    <w:rsid w:val="00812421"/>
    <w:rsid w:val="00812522"/>
    <w:rsid w:val="00812537"/>
    <w:rsid w:val="00812538"/>
    <w:rsid w:val="008125AA"/>
    <w:rsid w:val="008125C1"/>
    <w:rsid w:val="00812654"/>
    <w:rsid w:val="00812760"/>
    <w:rsid w:val="00812789"/>
    <w:rsid w:val="00812907"/>
    <w:rsid w:val="008129BA"/>
    <w:rsid w:val="008129D9"/>
    <w:rsid w:val="00812ADC"/>
    <w:rsid w:val="00812BAC"/>
    <w:rsid w:val="00812BB6"/>
    <w:rsid w:val="00812C49"/>
    <w:rsid w:val="00812CF6"/>
    <w:rsid w:val="00812DA3"/>
    <w:rsid w:val="00812F04"/>
    <w:rsid w:val="00812F94"/>
    <w:rsid w:val="008130EB"/>
    <w:rsid w:val="0081323C"/>
    <w:rsid w:val="00813319"/>
    <w:rsid w:val="008136DD"/>
    <w:rsid w:val="00813761"/>
    <w:rsid w:val="00813A2A"/>
    <w:rsid w:val="00813A87"/>
    <w:rsid w:val="00813BD6"/>
    <w:rsid w:val="00813CB0"/>
    <w:rsid w:val="00813D35"/>
    <w:rsid w:val="00813DBC"/>
    <w:rsid w:val="00813E65"/>
    <w:rsid w:val="00813EAD"/>
    <w:rsid w:val="00813F7A"/>
    <w:rsid w:val="00814055"/>
    <w:rsid w:val="00814086"/>
    <w:rsid w:val="008140EF"/>
    <w:rsid w:val="00814100"/>
    <w:rsid w:val="00814151"/>
    <w:rsid w:val="008142B8"/>
    <w:rsid w:val="008142DF"/>
    <w:rsid w:val="0081436E"/>
    <w:rsid w:val="00814493"/>
    <w:rsid w:val="00814520"/>
    <w:rsid w:val="00814611"/>
    <w:rsid w:val="008149D5"/>
    <w:rsid w:val="00814A4E"/>
    <w:rsid w:val="00814AA5"/>
    <w:rsid w:val="00814AF4"/>
    <w:rsid w:val="00814BCC"/>
    <w:rsid w:val="00814C37"/>
    <w:rsid w:val="00814CB4"/>
    <w:rsid w:val="00814D88"/>
    <w:rsid w:val="00814D8B"/>
    <w:rsid w:val="00814D96"/>
    <w:rsid w:val="00814F93"/>
    <w:rsid w:val="0081507A"/>
    <w:rsid w:val="0081507B"/>
    <w:rsid w:val="008150E0"/>
    <w:rsid w:val="0081511A"/>
    <w:rsid w:val="0081516E"/>
    <w:rsid w:val="00815312"/>
    <w:rsid w:val="00815318"/>
    <w:rsid w:val="008153B3"/>
    <w:rsid w:val="008154B5"/>
    <w:rsid w:val="00815586"/>
    <w:rsid w:val="008155AE"/>
    <w:rsid w:val="008155FF"/>
    <w:rsid w:val="00815669"/>
    <w:rsid w:val="008159C8"/>
    <w:rsid w:val="00815A8B"/>
    <w:rsid w:val="00815A9E"/>
    <w:rsid w:val="00815C63"/>
    <w:rsid w:val="00815DE7"/>
    <w:rsid w:val="00815EEB"/>
    <w:rsid w:val="00815EFD"/>
    <w:rsid w:val="00815F9E"/>
    <w:rsid w:val="00815FC6"/>
    <w:rsid w:val="0081609A"/>
    <w:rsid w:val="00816152"/>
    <w:rsid w:val="008162B4"/>
    <w:rsid w:val="00816426"/>
    <w:rsid w:val="0081644E"/>
    <w:rsid w:val="008164A8"/>
    <w:rsid w:val="0081652F"/>
    <w:rsid w:val="00816570"/>
    <w:rsid w:val="00816574"/>
    <w:rsid w:val="008166E9"/>
    <w:rsid w:val="008167B2"/>
    <w:rsid w:val="0081689F"/>
    <w:rsid w:val="008169C4"/>
    <w:rsid w:val="00816ACA"/>
    <w:rsid w:val="00816C2A"/>
    <w:rsid w:val="00816C2E"/>
    <w:rsid w:val="00816C43"/>
    <w:rsid w:val="00816D4F"/>
    <w:rsid w:val="00816DE7"/>
    <w:rsid w:val="00816E08"/>
    <w:rsid w:val="00816F75"/>
    <w:rsid w:val="00816F85"/>
    <w:rsid w:val="00816FB4"/>
    <w:rsid w:val="00817014"/>
    <w:rsid w:val="00817055"/>
    <w:rsid w:val="008170D4"/>
    <w:rsid w:val="008170F3"/>
    <w:rsid w:val="00817111"/>
    <w:rsid w:val="00817141"/>
    <w:rsid w:val="008171E0"/>
    <w:rsid w:val="00817488"/>
    <w:rsid w:val="00817635"/>
    <w:rsid w:val="0081778C"/>
    <w:rsid w:val="00817808"/>
    <w:rsid w:val="00817A5E"/>
    <w:rsid w:val="00817A6B"/>
    <w:rsid w:val="00817B6D"/>
    <w:rsid w:val="00817ED0"/>
    <w:rsid w:val="00817F5F"/>
    <w:rsid w:val="00817FCD"/>
    <w:rsid w:val="00817FD6"/>
    <w:rsid w:val="00817FFB"/>
    <w:rsid w:val="00820026"/>
    <w:rsid w:val="00820035"/>
    <w:rsid w:val="00820113"/>
    <w:rsid w:val="00820133"/>
    <w:rsid w:val="00820307"/>
    <w:rsid w:val="008204AF"/>
    <w:rsid w:val="00820519"/>
    <w:rsid w:val="008205A9"/>
    <w:rsid w:val="00820965"/>
    <w:rsid w:val="008209A8"/>
    <w:rsid w:val="00820AA3"/>
    <w:rsid w:val="00820CC4"/>
    <w:rsid w:val="00820D85"/>
    <w:rsid w:val="00820DAF"/>
    <w:rsid w:val="00820E1D"/>
    <w:rsid w:val="00820E90"/>
    <w:rsid w:val="00820E99"/>
    <w:rsid w:val="00820FDE"/>
    <w:rsid w:val="008210DD"/>
    <w:rsid w:val="008211E7"/>
    <w:rsid w:val="0082123D"/>
    <w:rsid w:val="00821384"/>
    <w:rsid w:val="0082158A"/>
    <w:rsid w:val="008216D0"/>
    <w:rsid w:val="008216E5"/>
    <w:rsid w:val="008216F6"/>
    <w:rsid w:val="008217AF"/>
    <w:rsid w:val="008217B6"/>
    <w:rsid w:val="008217D7"/>
    <w:rsid w:val="00821968"/>
    <w:rsid w:val="00821978"/>
    <w:rsid w:val="00821A03"/>
    <w:rsid w:val="00821AEA"/>
    <w:rsid w:val="00821B5C"/>
    <w:rsid w:val="00821C8F"/>
    <w:rsid w:val="00821C99"/>
    <w:rsid w:val="00821CE9"/>
    <w:rsid w:val="00821D0D"/>
    <w:rsid w:val="00821DEF"/>
    <w:rsid w:val="00821E86"/>
    <w:rsid w:val="00821F18"/>
    <w:rsid w:val="00822075"/>
    <w:rsid w:val="00822094"/>
    <w:rsid w:val="008220EE"/>
    <w:rsid w:val="0082229C"/>
    <w:rsid w:val="008222D1"/>
    <w:rsid w:val="00822340"/>
    <w:rsid w:val="00822355"/>
    <w:rsid w:val="00822423"/>
    <w:rsid w:val="0082250D"/>
    <w:rsid w:val="00822571"/>
    <w:rsid w:val="008225C3"/>
    <w:rsid w:val="00822753"/>
    <w:rsid w:val="00822810"/>
    <w:rsid w:val="00822824"/>
    <w:rsid w:val="00822888"/>
    <w:rsid w:val="00822946"/>
    <w:rsid w:val="00822995"/>
    <w:rsid w:val="008229D4"/>
    <w:rsid w:val="00822A21"/>
    <w:rsid w:val="00822AE4"/>
    <w:rsid w:val="00822BB2"/>
    <w:rsid w:val="00822BF8"/>
    <w:rsid w:val="00822C74"/>
    <w:rsid w:val="00822C89"/>
    <w:rsid w:val="00822DDD"/>
    <w:rsid w:val="00822E9A"/>
    <w:rsid w:val="00822ECD"/>
    <w:rsid w:val="00822FC7"/>
    <w:rsid w:val="008231A2"/>
    <w:rsid w:val="008231AF"/>
    <w:rsid w:val="008231D0"/>
    <w:rsid w:val="0082321B"/>
    <w:rsid w:val="0082324C"/>
    <w:rsid w:val="00823273"/>
    <w:rsid w:val="0082337A"/>
    <w:rsid w:val="00823614"/>
    <w:rsid w:val="00823672"/>
    <w:rsid w:val="00823713"/>
    <w:rsid w:val="008237A6"/>
    <w:rsid w:val="008238F2"/>
    <w:rsid w:val="00823986"/>
    <w:rsid w:val="00823A10"/>
    <w:rsid w:val="00823A4F"/>
    <w:rsid w:val="00823A94"/>
    <w:rsid w:val="00823AC4"/>
    <w:rsid w:val="00823BB5"/>
    <w:rsid w:val="00823BCC"/>
    <w:rsid w:val="00823C07"/>
    <w:rsid w:val="00823C53"/>
    <w:rsid w:val="00823D06"/>
    <w:rsid w:val="00823D71"/>
    <w:rsid w:val="00823DA6"/>
    <w:rsid w:val="00823DEB"/>
    <w:rsid w:val="00823EC0"/>
    <w:rsid w:val="00823F10"/>
    <w:rsid w:val="00823F98"/>
    <w:rsid w:val="00823FB0"/>
    <w:rsid w:val="0082410D"/>
    <w:rsid w:val="0082413A"/>
    <w:rsid w:val="00824208"/>
    <w:rsid w:val="00824239"/>
    <w:rsid w:val="00824240"/>
    <w:rsid w:val="0082426B"/>
    <w:rsid w:val="008242D2"/>
    <w:rsid w:val="0082434E"/>
    <w:rsid w:val="0082439A"/>
    <w:rsid w:val="0082452C"/>
    <w:rsid w:val="008245A3"/>
    <w:rsid w:val="008245DF"/>
    <w:rsid w:val="0082460C"/>
    <w:rsid w:val="0082463D"/>
    <w:rsid w:val="008246CB"/>
    <w:rsid w:val="008247C0"/>
    <w:rsid w:val="008247E1"/>
    <w:rsid w:val="00824897"/>
    <w:rsid w:val="008249A4"/>
    <w:rsid w:val="008249DB"/>
    <w:rsid w:val="00824A37"/>
    <w:rsid w:val="00824A3F"/>
    <w:rsid w:val="00824AAF"/>
    <w:rsid w:val="00824C23"/>
    <w:rsid w:val="00824CC1"/>
    <w:rsid w:val="00824ED5"/>
    <w:rsid w:val="00824F0D"/>
    <w:rsid w:val="0082508A"/>
    <w:rsid w:val="008250DA"/>
    <w:rsid w:val="0082513B"/>
    <w:rsid w:val="0082534D"/>
    <w:rsid w:val="00825514"/>
    <w:rsid w:val="0082566F"/>
    <w:rsid w:val="0082575E"/>
    <w:rsid w:val="008258E8"/>
    <w:rsid w:val="008259C5"/>
    <w:rsid w:val="00825A61"/>
    <w:rsid w:val="00825A71"/>
    <w:rsid w:val="00825A91"/>
    <w:rsid w:val="00825AA0"/>
    <w:rsid w:val="00825B9F"/>
    <w:rsid w:val="00825BF7"/>
    <w:rsid w:val="00825CB7"/>
    <w:rsid w:val="00825D33"/>
    <w:rsid w:val="00825DDB"/>
    <w:rsid w:val="00825E85"/>
    <w:rsid w:val="00825EB4"/>
    <w:rsid w:val="008260B0"/>
    <w:rsid w:val="008260DA"/>
    <w:rsid w:val="00826178"/>
    <w:rsid w:val="008261E4"/>
    <w:rsid w:val="0082638C"/>
    <w:rsid w:val="008263D9"/>
    <w:rsid w:val="00826577"/>
    <w:rsid w:val="008265A3"/>
    <w:rsid w:val="008266A6"/>
    <w:rsid w:val="00826734"/>
    <w:rsid w:val="0082679A"/>
    <w:rsid w:val="008267C2"/>
    <w:rsid w:val="008268C1"/>
    <w:rsid w:val="008268D5"/>
    <w:rsid w:val="00826AC1"/>
    <w:rsid w:val="00826B0B"/>
    <w:rsid w:val="00826B97"/>
    <w:rsid w:val="00826C6C"/>
    <w:rsid w:val="00826E28"/>
    <w:rsid w:val="00826E3D"/>
    <w:rsid w:val="00826E9D"/>
    <w:rsid w:val="00826EEA"/>
    <w:rsid w:val="00826F32"/>
    <w:rsid w:val="00826F70"/>
    <w:rsid w:val="00826F71"/>
    <w:rsid w:val="0082715A"/>
    <w:rsid w:val="008273CE"/>
    <w:rsid w:val="008273EF"/>
    <w:rsid w:val="0082742B"/>
    <w:rsid w:val="00827474"/>
    <w:rsid w:val="008274A6"/>
    <w:rsid w:val="00827511"/>
    <w:rsid w:val="0082759C"/>
    <w:rsid w:val="00827A38"/>
    <w:rsid w:val="00827A88"/>
    <w:rsid w:val="00827ABD"/>
    <w:rsid w:val="00827AF2"/>
    <w:rsid w:val="00827B3B"/>
    <w:rsid w:val="00827B7A"/>
    <w:rsid w:val="00827BAE"/>
    <w:rsid w:val="00827C14"/>
    <w:rsid w:val="00827DC1"/>
    <w:rsid w:val="00827E73"/>
    <w:rsid w:val="00827EB3"/>
    <w:rsid w:val="00827EC1"/>
    <w:rsid w:val="00827F02"/>
    <w:rsid w:val="00827F7F"/>
    <w:rsid w:val="00830067"/>
    <w:rsid w:val="0083030A"/>
    <w:rsid w:val="008303BE"/>
    <w:rsid w:val="0083041B"/>
    <w:rsid w:val="0083042E"/>
    <w:rsid w:val="0083043D"/>
    <w:rsid w:val="0083047D"/>
    <w:rsid w:val="008304BA"/>
    <w:rsid w:val="008305FC"/>
    <w:rsid w:val="00830611"/>
    <w:rsid w:val="008306CE"/>
    <w:rsid w:val="008306D7"/>
    <w:rsid w:val="0083084C"/>
    <w:rsid w:val="00830919"/>
    <w:rsid w:val="00830A75"/>
    <w:rsid w:val="00830A89"/>
    <w:rsid w:val="00830AC0"/>
    <w:rsid w:val="00830AF6"/>
    <w:rsid w:val="00830B56"/>
    <w:rsid w:val="00830BD9"/>
    <w:rsid w:val="00830BE3"/>
    <w:rsid w:val="00830CCF"/>
    <w:rsid w:val="00830CD3"/>
    <w:rsid w:val="00830D08"/>
    <w:rsid w:val="00830E05"/>
    <w:rsid w:val="00830EAC"/>
    <w:rsid w:val="00830FD2"/>
    <w:rsid w:val="00831071"/>
    <w:rsid w:val="008310E6"/>
    <w:rsid w:val="008311FD"/>
    <w:rsid w:val="00831356"/>
    <w:rsid w:val="00831359"/>
    <w:rsid w:val="0083196D"/>
    <w:rsid w:val="00831A76"/>
    <w:rsid w:val="00831AA5"/>
    <w:rsid w:val="00831E00"/>
    <w:rsid w:val="00831E05"/>
    <w:rsid w:val="00831E16"/>
    <w:rsid w:val="00831F73"/>
    <w:rsid w:val="00831FA6"/>
    <w:rsid w:val="008320C2"/>
    <w:rsid w:val="0083222C"/>
    <w:rsid w:val="0083227F"/>
    <w:rsid w:val="008322F9"/>
    <w:rsid w:val="00832338"/>
    <w:rsid w:val="008323D3"/>
    <w:rsid w:val="008324EF"/>
    <w:rsid w:val="0083261B"/>
    <w:rsid w:val="0083268B"/>
    <w:rsid w:val="0083268D"/>
    <w:rsid w:val="008326A3"/>
    <w:rsid w:val="00832775"/>
    <w:rsid w:val="00832822"/>
    <w:rsid w:val="0083291B"/>
    <w:rsid w:val="00832932"/>
    <w:rsid w:val="00832C28"/>
    <w:rsid w:val="00832CFE"/>
    <w:rsid w:val="00832D79"/>
    <w:rsid w:val="00832DCF"/>
    <w:rsid w:val="00832F2A"/>
    <w:rsid w:val="00832FD2"/>
    <w:rsid w:val="008330A9"/>
    <w:rsid w:val="008330B4"/>
    <w:rsid w:val="00833102"/>
    <w:rsid w:val="00833127"/>
    <w:rsid w:val="00833159"/>
    <w:rsid w:val="0083320B"/>
    <w:rsid w:val="008332C7"/>
    <w:rsid w:val="008333BE"/>
    <w:rsid w:val="00833640"/>
    <w:rsid w:val="008336DB"/>
    <w:rsid w:val="00833709"/>
    <w:rsid w:val="008337E3"/>
    <w:rsid w:val="008338B8"/>
    <w:rsid w:val="008339A4"/>
    <w:rsid w:val="008339B5"/>
    <w:rsid w:val="00833B01"/>
    <w:rsid w:val="00833B5D"/>
    <w:rsid w:val="00833BB3"/>
    <w:rsid w:val="00833D8E"/>
    <w:rsid w:val="00833DB2"/>
    <w:rsid w:val="00834012"/>
    <w:rsid w:val="00834101"/>
    <w:rsid w:val="0083412D"/>
    <w:rsid w:val="0083414A"/>
    <w:rsid w:val="00834169"/>
    <w:rsid w:val="0083419B"/>
    <w:rsid w:val="0083440A"/>
    <w:rsid w:val="008344B9"/>
    <w:rsid w:val="0083477E"/>
    <w:rsid w:val="00834802"/>
    <w:rsid w:val="00834860"/>
    <w:rsid w:val="00834898"/>
    <w:rsid w:val="008348A1"/>
    <w:rsid w:val="008348B1"/>
    <w:rsid w:val="008348E9"/>
    <w:rsid w:val="008348EE"/>
    <w:rsid w:val="00834ACF"/>
    <w:rsid w:val="00834BA4"/>
    <w:rsid w:val="00834C11"/>
    <w:rsid w:val="00834E8C"/>
    <w:rsid w:val="00834F19"/>
    <w:rsid w:val="00834F1E"/>
    <w:rsid w:val="00834F39"/>
    <w:rsid w:val="00834F4A"/>
    <w:rsid w:val="00834F9E"/>
    <w:rsid w:val="00834FCB"/>
    <w:rsid w:val="0083500E"/>
    <w:rsid w:val="00835101"/>
    <w:rsid w:val="00835254"/>
    <w:rsid w:val="00835320"/>
    <w:rsid w:val="008353DB"/>
    <w:rsid w:val="008354CD"/>
    <w:rsid w:val="008354D0"/>
    <w:rsid w:val="008354DC"/>
    <w:rsid w:val="0083551A"/>
    <w:rsid w:val="0083556B"/>
    <w:rsid w:val="0083559E"/>
    <w:rsid w:val="008356DC"/>
    <w:rsid w:val="008357B3"/>
    <w:rsid w:val="0083582A"/>
    <w:rsid w:val="00835878"/>
    <w:rsid w:val="008358FF"/>
    <w:rsid w:val="00835A04"/>
    <w:rsid w:val="00835A3E"/>
    <w:rsid w:val="00835A69"/>
    <w:rsid w:val="00835A6C"/>
    <w:rsid w:val="00835A9E"/>
    <w:rsid w:val="00835B80"/>
    <w:rsid w:val="00835BA6"/>
    <w:rsid w:val="00835C42"/>
    <w:rsid w:val="00835CAC"/>
    <w:rsid w:val="00835D00"/>
    <w:rsid w:val="00835D4A"/>
    <w:rsid w:val="00835DFA"/>
    <w:rsid w:val="00835E36"/>
    <w:rsid w:val="00835F30"/>
    <w:rsid w:val="00836165"/>
    <w:rsid w:val="00836203"/>
    <w:rsid w:val="00836462"/>
    <w:rsid w:val="008366BE"/>
    <w:rsid w:val="00836903"/>
    <w:rsid w:val="00836917"/>
    <w:rsid w:val="0083697E"/>
    <w:rsid w:val="008369D7"/>
    <w:rsid w:val="00836B01"/>
    <w:rsid w:val="00836BA6"/>
    <w:rsid w:val="00836CAB"/>
    <w:rsid w:val="00836CB0"/>
    <w:rsid w:val="00836D1C"/>
    <w:rsid w:val="00836E17"/>
    <w:rsid w:val="00836E95"/>
    <w:rsid w:val="008371B5"/>
    <w:rsid w:val="008372EC"/>
    <w:rsid w:val="008372FB"/>
    <w:rsid w:val="00837366"/>
    <w:rsid w:val="00837513"/>
    <w:rsid w:val="00837560"/>
    <w:rsid w:val="008376F9"/>
    <w:rsid w:val="00837807"/>
    <w:rsid w:val="008378A5"/>
    <w:rsid w:val="008378CD"/>
    <w:rsid w:val="0083791F"/>
    <w:rsid w:val="00837A50"/>
    <w:rsid w:val="00837AB2"/>
    <w:rsid w:val="00837B22"/>
    <w:rsid w:val="00837B80"/>
    <w:rsid w:val="00837C13"/>
    <w:rsid w:val="00837C98"/>
    <w:rsid w:val="00837CBB"/>
    <w:rsid w:val="00837D1C"/>
    <w:rsid w:val="00837E11"/>
    <w:rsid w:val="00837E18"/>
    <w:rsid w:val="00837E44"/>
    <w:rsid w:val="00837E56"/>
    <w:rsid w:val="00840003"/>
    <w:rsid w:val="00840193"/>
    <w:rsid w:val="00840230"/>
    <w:rsid w:val="00840348"/>
    <w:rsid w:val="00840399"/>
    <w:rsid w:val="008403DB"/>
    <w:rsid w:val="0084054D"/>
    <w:rsid w:val="008405F7"/>
    <w:rsid w:val="008406C6"/>
    <w:rsid w:val="0084073C"/>
    <w:rsid w:val="00840988"/>
    <w:rsid w:val="00840A53"/>
    <w:rsid w:val="00840C39"/>
    <w:rsid w:val="00840C4E"/>
    <w:rsid w:val="00840CF9"/>
    <w:rsid w:val="00840D25"/>
    <w:rsid w:val="00840D84"/>
    <w:rsid w:val="00840DC3"/>
    <w:rsid w:val="00840E21"/>
    <w:rsid w:val="00840E24"/>
    <w:rsid w:val="00841047"/>
    <w:rsid w:val="008410B8"/>
    <w:rsid w:val="0084110C"/>
    <w:rsid w:val="008412CB"/>
    <w:rsid w:val="0084135B"/>
    <w:rsid w:val="0084137B"/>
    <w:rsid w:val="0084138B"/>
    <w:rsid w:val="0084138E"/>
    <w:rsid w:val="00841585"/>
    <w:rsid w:val="0084158B"/>
    <w:rsid w:val="0084166F"/>
    <w:rsid w:val="00841A45"/>
    <w:rsid w:val="00841A63"/>
    <w:rsid w:val="00841BEE"/>
    <w:rsid w:val="00841BFB"/>
    <w:rsid w:val="00841C71"/>
    <w:rsid w:val="00841E48"/>
    <w:rsid w:val="00841EC5"/>
    <w:rsid w:val="00842067"/>
    <w:rsid w:val="008420C6"/>
    <w:rsid w:val="008420ED"/>
    <w:rsid w:val="0084212C"/>
    <w:rsid w:val="008421A0"/>
    <w:rsid w:val="008421CF"/>
    <w:rsid w:val="00842203"/>
    <w:rsid w:val="00842246"/>
    <w:rsid w:val="00842335"/>
    <w:rsid w:val="00842365"/>
    <w:rsid w:val="0084241B"/>
    <w:rsid w:val="00842494"/>
    <w:rsid w:val="00842906"/>
    <w:rsid w:val="008429E8"/>
    <w:rsid w:val="00842A18"/>
    <w:rsid w:val="00842A2C"/>
    <w:rsid w:val="00842A3A"/>
    <w:rsid w:val="00842A67"/>
    <w:rsid w:val="00842AD0"/>
    <w:rsid w:val="00842BBD"/>
    <w:rsid w:val="00842CEA"/>
    <w:rsid w:val="00842CFD"/>
    <w:rsid w:val="00842EE4"/>
    <w:rsid w:val="00842F11"/>
    <w:rsid w:val="00843151"/>
    <w:rsid w:val="0084318B"/>
    <w:rsid w:val="00843246"/>
    <w:rsid w:val="008433E0"/>
    <w:rsid w:val="00843532"/>
    <w:rsid w:val="0084353C"/>
    <w:rsid w:val="008436C6"/>
    <w:rsid w:val="00843795"/>
    <w:rsid w:val="0084379F"/>
    <w:rsid w:val="0084384D"/>
    <w:rsid w:val="00843887"/>
    <w:rsid w:val="0084389C"/>
    <w:rsid w:val="00843965"/>
    <w:rsid w:val="00843AE9"/>
    <w:rsid w:val="00843B04"/>
    <w:rsid w:val="00843B74"/>
    <w:rsid w:val="00843BCD"/>
    <w:rsid w:val="00843D0B"/>
    <w:rsid w:val="00843D65"/>
    <w:rsid w:val="00843E3D"/>
    <w:rsid w:val="00843FB3"/>
    <w:rsid w:val="00844000"/>
    <w:rsid w:val="008440F9"/>
    <w:rsid w:val="0084414B"/>
    <w:rsid w:val="00844187"/>
    <w:rsid w:val="00844491"/>
    <w:rsid w:val="00844503"/>
    <w:rsid w:val="00844526"/>
    <w:rsid w:val="00844670"/>
    <w:rsid w:val="008446F3"/>
    <w:rsid w:val="00844745"/>
    <w:rsid w:val="00844766"/>
    <w:rsid w:val="008448AE"/>
    <w:rsid w:val="008449D5"/>
    <w:rsid w:val="00844A49"/>
    <w:rsid w:val="00844B34"/>
    <w:rsid w:val="00844BF3"/>
    <w:rsid w:val="00844C79"/>
    <w:rsid w:val="00844CBA"/>
    <w:rsid w:val="00844DAD"/>
    <w:rsid w:val="00844E33"/>
    <w:rsid w:val="00844E60"/>
    <w:rsid w:val="00844FA9"/>
    <w:rsid w:val="00844FFB"/>
    <w:rsid w:val="0084501B"/>
    <w:rsid w:val="00845038"/>
    <w:rsid w:val="008451DE"/>
    <w:rsid w:val="008451F3"/>
    <w:rsid w:val="0084527A"/>
    <w:rsid w:val="008454C0"/>
    <w:rsid w:val="0084551E"/>
    <w:rsid w:val="0084564A"/>
    <w:rsid w:val="00845808"/>
    <w:rsid w:val="00845899"/>
    <w:rsid w:val="00845910"/>
    <w:rsid w:val="00845918"/>
    <w:rsid w:val="0084594F"/>
    <w:rsid w:val="00845958"/>
    <w:rsid w:val="0084597F"/>
    <w:rsid w:val="00845A94"/>
    <w:rsid w:val="00845BD0"/>
    <w:rsid w:val="00845D63"/>
    <w:rsid w:val="00845D9B"/>
    <w:rsid w:val="00845DF0"/>
    <w:rsid w:val="00845E09"/>
    <w:rsid w:val="00845E8C"/>
    <w:rsid w:val="00845EB5"/>
    <w:rsid w:val="00845F42"/>
    <w:rsid w:val="00846208"/>
    <w:rsid w:val="00846265"/>
    <w:rsid w:val="008462AA"/>
    <w:rsid w:val="008463E5"/>
    <w:rsid w:val="008464D3"/>
    <w:rsid w:val="00846513"/>
    <w:rsid w:val="0084663A"/>
    <w:rsid w:val="0084675B"/>
    <w:rsid w:val="008467A4"/>
    <w:rsid w:val="008468E3"/>
    <w:rsid w:val="00846995"/>
    <w:rsid w:val="008469FF"/>
    <w:rsid w:val="00846BBC"/>
    <w:rsid w:val="00846BF2"/>
    <w:rsid w:val="00846C43"/>
    <w:rsid w:val="00846C61"/>
    <w:rsid w:val="00846C81"/>
    <w:rsid w:val="00846DA5"/>
    <w:rsid w:val="00846FC2"/>
    <w:rsid w:val="00847000"/>
    <w:rsid w:val="00847051"/>
    <w:rsid w:val="0084705F"/>
    <w:rsid w:val="0084726E"/>
    <w:rsid w:val="00847277"/>
    <w:rsid w:val="00847312"/>
    <w:rsid w:val="00847343"/>
    <w:rsid w:val="0084738B"/>
    <w:rsid w:val="0084742F"/>
    <w:rsid w:val="0084743E"/>
    <w:rsid w:val="00847472"/>
    <w:rsid w:val="00847529"/>
    <w:rsid w:val="0084759E"/>
    <w:rsid w:val="008477D4"/>
    <w:rsid w:val="00847987"/>
    <w:rsid w:val="008479AC"/>
    <w:rsid w:val="00847B47"/>
    <w:rsid w:val="00847B4A"/>
    <w:rsid w:val="00847BC6"/>
    <w:rsid w:val="00847C7D"/>
    <w:rsid w:val="00847CC2"/>
    <w:rsid w:val="00847D14"/>
    <w:rsid w:val="00847F52"/>
    <w:rsid w:val="0085001B"/>
    <w:rsid w:val="0085005B"/>
    <w:rsid w:val="0085014D"/>
    <w:rsid w:val="008501A3"/>
    <w:rsid w:val="008501E1"/>
    <w:rsid w:val="00850217"/>
    <w:rsid w:val="00850373"/>
    <w:rsid w:val="0085047C"/>
    <w:rsid w:val="00850516"/>
    <w:rsid w:val="00850520"/>
    <w:rsid w:val="0085057E"/>
    <w:rsid w:val="008506B2"/>
    <w:rsid w:val="0085075E"/>
    <w:rsid w:val="00850807"/>
    <w:rsid w:val="008508EA"/>
    <w:rsid w:val="0085096E"/>
    <w:rsid w:val="0085097D"/>
    <w:rsid w:val="008509B6"/>
    <w:rsid w:val="008509CE"/>
    <w:rsid w:val="00850A03"/>
    <w:rsid w:val="00850B0A"/>
    <w:rsid w:val="00850B1A"/>
    <w:rsid w:val="00850B23"/>
    <w:rsid w:val="00850B8A"/>
    <w:rsid w:val="00850CB9"/>
    <w:rsid w:val="00850D39"/>
    <w:rsid w:val="00850D7F"/>
    <w:rsid w:val="00850DB7"/>
    <w:rsid w:val="00850E0C"/>
    <w:rsid w:val="00850F00"/>
    <w:rsid w:val="00851027"/>
    <w:rsid w:val="0085115E"/>
    <w:rsid w:val="008512A8"/>
    <w:rsid w:val="00851323"/>
    <w:rsid w:val="0085139B"/>
    <w:rsid w:val="00851433"/>
    <w:rsid w:val="00851468"/>
    <w:rsid w:val="008514F3"/>
    <w:rsid w:val="008515B2"/>
    <w:rsid w:val="00851631"/>
    <w:rsid w:val="0085166B"/>
    <w:rsid w:val="008516C3"/>
    <w:rsid w:val="008516C9"/>
    <w:rsid w:val="0085178A"/>
    <w:rsid w:val="008517B7"/>
    <w:rsid w:val="00851806"/>
    <w:rsid w:val="008519DB"/>
    <w:rsid w:val="008519EC"/>
    <w:rsid w:val="008519FD"/>
    <w:rsid w:val="00851AA8"/>
    <w:rsid w:val="00851B12"/>
    <w:rsid w:val="00851B3A"/>
    <w:rsid w:val="00851B88"/>
    <w:rsid w:val="00851C7E"/>
    <w:rsid w:val="00851CE6"/>
    <w:rsid w:val="00851D6B"/>
    <w:rsid w:val="00851D7C"/>
    <w:rsid w:val="00851DFA"/>
    <w:rsid w:val="00851E58"/>
    <w:rsid w:val="0085200E"/>
    <w:rsid w:val="00852076"/>
    <w:rsid w:val="00852131"/>
    <w:rsid w:val="00852146"/>
    <w:rsid w:val="00852277"/>
    <w:rsid w:val="00852289"/>
    <w:rsid w:val="0085251D"/>
    <w:rsid w:val="00852606"/>
    <w:rsid w:val="00852641"/>
    <w:rsid w:val="0085269C"/>
    <w:rsid w:val="008527AD"/>
    <w:rsid w:val="008527B5"/>
    <w:rsid w:val="008528C9"/>
    <w:rsid w:val="00852ABB"/>
    <w:rsid w:val="00852AD3"/>
    <w:rsid w:val="00852B7B"/>
    <w:rsid w:val="00852B8D"/>
    <w:rsid w:val="00852BDF"/>
    <w:rsid w:val="00852BF3"/>
    <w:rsid w:val="00852C7A"/>
    <w:rsid w:val="00852DD8"/>
    <w:rsid w:val="00852DEF"/>
    <w:rsid w:val="00852ED5"/>
    <w:rsid w:val="00853126"/>
    <w:rsid w:val="008531C3"/>
    <w:rsid w:val="0085320E"/>
    <w:rsid w:val="00853300"/>
    <w:rsid w:val="008533DF"/>
    <w:rsid w:val="0085342C"/>
    <w:rsid w:val="00853595"/>
    <w:rsid w:val="00853643"/>
    <w:rsid w:val="00853654"/>
    <w:rsid w:val="008538E3"/>
    <w:rsid w:val="00853908"/>
    <w:rsid w:val="00853AA1"/>
    <w:rsid w:val="00853B2F"/>
    <w:rsid w:val="00853B54"/>
    <w:rsid w:val="00853C67"/>
    <w:rsid w:val="00853DCB"/>
    <w:rsid w:val="00853F09"/>
    <w:rsid w:val="00853FE7"/>
    <w:rsid w:val="00854018"/>
    <w:rsid w:val="00854061"/>
    <w:rsid w:val="00854421"/>
    <w:rsid w:val="00854445"/>
    <w:rsid w:val="008544F4"/>
    <w:rsid w:val="008544F7"/>
    <w:rsid w:val="008544FB"/>
    <w:rsid w:val="0085453D"/>
    <w:rsid w:val="0085468E"/>
    <w:rsid w:val="008546E4"/>
    <w:rsid w:val="0085473B"/>
    <w:rsid w:val="008547AC"/>
    <w:rsid w:val="0085488F"/>
    <w:rsid w:val="008548B1"/>
    <w:rsid w:val="0085497C"/>
    <w:rsid w:val="00854B49"/>
    <w:rsid w:val="00854B59"/>
    <w:rsid w:val="00854DB1"/>
    <w:rsid w:val="00854F3B"/>
    <w:rsid w:val="0085500C"/>
    <w:rsid w:val="00855074"/>
    <w:rsid w:val="00855105"/>
    <w:rsid w:val="0085511A"/>
    <w:rsid w:val="008551DF"/>
    <w:rsid w:val="008552E5"/>
    <w:rsid w:val="00855700"/>
    <w:rsid w:val="00855748"/>
    <w:rsid w:val="0085581F"/>
    <w:rsid w:val="008559B2"/>
    <w:rsid w:val="00855A9A"/>
    <w:rsid w:val="00855AE6"/>
    <w:rsid w:val="00855B7B"/>
    <w:rsid w:val="00855C84"/>
    <w:rsid w:val="00855DA8"/>
    <w:rsid w:val="00855DAE"/>
    <w:rsid w:val="00855DE3"/>
    <w:rsid w:val="00855E92"/>
    <w:rsid w:val="0085601F"/>
    <w:rsid w:val="008561C2"/>
    <w:rsid w:val="0085631F"/>
    <w:rsid w:val="00856332"/>
    <w:rsid w:val="008563D7"/>
    <w:rsid w:val="0085640A"/>
    <w:rsid w:val="00856457"/>
    <w:rsid w:val="00856479"/>
    <w:rsid w:val="008565B1"/>
    <w:rsid w:val="008565DB"/>
    <w:rsid w:val="008565E2"/>
    <w:rsid w:val="008566E7"/>
    <w:rsid w:val="0085672B"/>
    <w:rsid w:val="00856820"/>
    <w:rsid w:val="00856987"/>
    <w:rsid w:val="008569C4"/>
    <w:rsid w:val="00856A0E"/>
    <w:rsid w:val="00856A6E"/>
    <w:rsid w:val="00856AB6"/>
    <w:rsid w:val="00856B8C"/>
    <w:rsid w:val="00856BC6"/>
    <w:rsid w:val="00856C77"/>
    <w:rsid w:val="00856D85"/>
    <w:rsid w:val="00856E13"/>
    <w:rsid w:val="00856FA4"/>
    <w:rsid w:val="00856FE9"/>
    <w:rsid w:val="008570A7"/>
    <w:rsid w:val="0085710D"/>
    <w:rsid w:val="008572C6"/>
    <w:rsid w:val="008572CC"/>
    <w:rsid w:val="00857321"/>
    <w:rsid w:val="00857323"/>
    <w:rsid w:val="00857361"/>
    <w:rsid w:val="008573F5"/>
    <w:rsid w:val="008574E8"/>
    <w:rsid w:val="008575A0"/>
    <w:rsid w:val="0085765C"/>
    <w:rsid w:val="00857689"/>
    <w:rsid w:val="008576CA"/>
    <w:rsid w:val="0085770B"/>
    <w:rsid w:val="00857719"/>
    <w:rsid w:val="00857751"/>
    <w:rsid w:val="008579FE"/>
    <w:rsid w:val="00857ADA"/>
    <w:rsid w:val="00857B41"/>
    <w:rsid w:val="00857BEC"/>
    <w:rsid w:val="00857D1A"/>
    <w:rsid w:val="00857D8C"/>
    <w:rsid w:val="00857D8D"/>
    <w:rsid w:val="00857DD5"/>
    <w:rsid w:val="00857F71"/>
    <w:rsid w:val="0086012C"/>
    <w:rsid w:val="00860133"/>
    <w:rsid w:val="0086013C"/>
    <w:rsid w:val="00860154"/>
    <w:rsid w:val="00860330"/>
    <w:rsid w:val="008603F9"/>
    <w:rsid w:val="00860425"/>
    <w:rsid w:val="00860561"/>
    <w:rsid w:val="008605DE"/>
    <w:rsid w:val="00860863"/>
    <w:rsid w:val="008608F6"/>
    <w:rsid w:val="00860931"/>
    <w:rsid w:val="00860A2B"/>
    <w:rsid w:val="00860BA6"/>
    <w:rsid w:val="00860C84"/>
    <w:rsid w:val="00860CB5"/>
    <w:rsid w:val="00860DDB"/>
    <w:rsid w:val="00860E4A"/>
    <w:rsid w:val="00860E6F"/>
    <w:rsid w:val="00860F6F"/>
    <w:rsid w:val="00860F7D"/>
    <w:rsid w:val="00860FDB"/>
    <w:rsid w:val="0086110A"/>
    <w:rsid w:val="00861122"/>
    <w:rsid w:val="00861261"/>
    <w:rsid w:val="0086141A"/>
    <w:rsid w:val="00861562"/>
    <w:rsid w:val="00861592"/>
    <w:rsid w:val="00861670"/>
    <w:rsid w:val="0086171B"/>
    <w:rsid w:val="008617A5"/>
    <w:rsid w:val="008618B3"/>
    <w:rsid w:val="00861943"/>
    <w:rsid w:val="00861B66"/>
    <w:rsid w:val="00861B76"/>
    <w:rsid w:val="00861B93"/>
    <w:rsid w:val="00861C02"/>
    <w:rsid w:val="00861C36"/>
    <w:rsid w:val="00861C7F"/>
    <w:rsid w:val="00861CBB"/>
    <w:rsid w:val="00861F81"/>
    <w:rsid w:val="00861F8F"/>
    <w:rsid w:val="00862037"/>
    <w:rsid w:val="008620B9"/>
    <w:rsid w:val="008620FE"/>
    <w:rsid w:val="008622E3"/>
    <w:rsid w:val="008622F2"/>
    <w:rsid w:val="00862303"/>
    <w:rsid w:val="00862512"/>
    <w:rsid w:val="0086262F"/>
    <w:rsid w:val="00862648"/>
    <w:rsid w:val="00862716"/>
    <w:rsid w:val="00862748"/>
    <w:rsid w:val="008627C3"/>
    <w:rsid w:val="00862AB2"/>
    <w:rsid w:val="00862AD1"/>
    <w:rsid w:val="00862AD5"/>
    <w:rsid w:val="00862B9C"/>
    <w:rsid w:val="00862BD5"/>
    <w:rsid w:val="00862C08"/>
    <w:rsid w:val="00862C1F"/>
    <w:rsid w:val="00862C37"/>
    <w:rsid w:val="00862D41"/>
    <w:rsid w:val="00862DF8"/>
    <w:rsid w:val="00862E01"/>
    <w:rsid w:val="0086301C"/>
    <w:rsid w:val="008630E5"/>
    <w:rsid w:val="00863132"/>
    <w:rsid w:val="0086317D"/>
    <w:rsid w:val="008631CE"/>
    <w:rsid w:val="008631CF"/>
    <w:rsid w:val="0086331F"/>
    <w:rsid w:val="008633AE"/>
    <w:rsid w:val="00863414"/>
    <w:rsid w:val="008634DB"/>
    <w:rsid w:val="008635B0"/>
    <w:rsid w:val="008636D7"/>
    <w:rsid w:val="00863983"/>
    <w:rsid w:val="008639CC"/>
    <w:rsid w:val="00863A72"/>
    <w:rsid w:val="00863B96"/>
    <w:rsid w:val="00863C67"/>
    <w:rsid w:val="00863CC0"/>
    <w:rsid w:val="00863CFB"/>
    <w:rsid w:val="00863E31"/>
    <w:rsid w:val="00863E6B"/>
    <w:rsid w:val="00863E6C"/>
    <w:rsid w:val="00863EAA"/>
    <w:rsid w:val="00863EB5"/>
    <w:rsid w:val="00863F0D"/>
    <w:rsid w:val="00863F4E"/>
    <w:rsid w:val="0086413A"/>
    <w:rsid w:val="008641CA"/>
    <w:rsid w:val="008641EE"/>
    <w:rsid w:val="00864336"/>
    <w:rsid w:val="008643C0"/>
    <w:rsid w:val="0086443E"/>
    <w:rsid w:val="0086450B"/>
    <w:rsid w:val="00864577"/>
    <w:rsid w:val="008645A1"/>
    <w:rsid w:val="008646E5"/>
    <w:rsid w:val="00864788"/>
    <w:rsid w:val="00864792"/>
    <w:rsid w:val="008647ED"/>
    <w:rsid w:val="00864805"/>
    <w:rsid w:val="008648F7"/>
    <w:rsid w:val="00864AB4"/>
    <w:rsid w:val="00864AD2"/>
    <w:rsid w:val="00864BCC"/>
    <w:rsid w:val="00864BD1"/>
    <w:rsid w:val="00864D85"/>
    <w:rsid w:val="00864DB0"/>
    <w:rsid w:val="00864DE4"/>
    <w:rsid w:val="00864DFC"/>
    <w:rsid w:val="00864E80"/>
    <w:rsid w:val="00864EAF"/>
    <w:rsid w:val="00864F4E"/>
    <w:rsid w:val="00865036"/>
    <w:rsid w:val="00865051"/>
    <w:rsid w:val="00865085"/>
    <w:rsid w:val="008650A2"/>
    <w:rsid w:val="008650A5"/>
    <w:rsid w:val="00865121"/>
    <w:rsid w:val="00865146"/>
    <w:rsid w:val="00865326"/>
    <w:rsid w:val="00865389"/>
    <w:rsid w:val="008654F1"/>
    <w:rsid w:val="00865560"/>
    <w:rsid w:val="008656B8"/>
    <w:rsid w:val="008657CA"/>
    <w:rsid w:val="008659FB"/>
    <w:rsid w:val="00865A1F"/>
    <w:rsid w:val="00865A6A"/>
    <w:rsid w:val="00865A91"/>
    <w:rsid w:val="00865BE0"/>
    <w:rsid w:val="00865C4A"/>
    <w:rsid w:val="00865DC9"/>
    <w:rsid w:val="00865DE2"/>
    <w:rsid w:val="00866032"/>
    <w:rsid w:val="00866178"/>
    <w:rsid w:val="008661D0"/>
    <w:rsid w:val="00866213"/>
    <w:rsid w:val="0086624B"/>
    <w:rsid w:val="008663C7"/>
    <w:rsid w:val="008663EA"/>
    <w:rsid w:val="0086648B"/>
    <w:rsid w:val="008665C6"/>
    <w:rsid w:val="00866617"/>
    <w:rsid w:val="00866824"/>
    <w:rsid w:val="0086691C"/>
    <w:rsid w:val="00866B02"/>
    <w:rsid w:val="00866B5E"/>
    <w:rsid w:val="00866B90"/>
    <w:rsid w:val="00866C30"/>
    <w:rsid w:val="00866C71"/>
    <w:rsid w:val="00866D95"/>
    <w:rsid w:val="00866DB8"/>
    <w:rsid w:val="00866F16"/>
    <w:rsid w:val="008671B2"/>
    <w:rsid w:val="008672D8"/>
    <w:rsid w:val="00867385"/>
    <w:rsid w:val="0086751F"/>
    <w:rsid w:val="00867622"/>
    <w:rsid w:val="00867696"/>
    <w:rsid w:val="0086778B"/>
    <w:rsid w:val="008677A2"/>
    <w:rsid w:val="008677A6"/>
    <w:rsid w:val="00867876"/>
    <w:rsid w:val="008678CB"/>
    <w:rsid w:val="00867902"/>
    <w:rsid w:val="00867952"/>
    <w:rsid w:val="00867ADA"/>
    <w:rsid w:val="00867D2B"/>
    <w:rsid w:val="00867E46"/>
    <w:rsid w:val="0087000E"/>
    <w:rsid w:val="008700B0"/>
    <w:rsid w:val="008701B3"/>
    <w:rsid w:val="00870320"/>
    <w:rsid w:val="00870322"/>
    <w:rsid w:val="00870487"/>
    <w:rsid w:val="008704B1"/>
    <w:rsid w:val="008704D4"/>
    <w:rsid w:val="0087051B"/>
    <w:rsid w:val="0087064C"/>
    <w:rsid w:val="00870656"/>
    <w:rsid w:val="00870663"/>
    <w:rsid w:val="00870702"/>
    <w:rsid w:val="00870768"/>
    <w:rsid w:val="00870839"/>
    <w:rsid w:val="008708CA"/>
    <w:rsid w:val="008708F6"/>
    <w:rsid w:val="00870A6F"/>
    <w:rsid w:val="00870B43"/>
    <w:rsid w:val="00870C86"/>
    <w:rsid w:val="00870D0B"/>
    <w:rsid w:val="00870D2F"/>
    <w:rsid w:val="00870EB9"/>
    <w:rsid w:val="00870EE6"/>
    <w:rsid w:val="00871160"/>
    <w:rsid w:val="008711FB"/>
    <w:rsid w:val="00871245"/>
    <w:rsid w:val="0087134C"/>
    <w:rsid w:val="008713FE"/>
    <w:rsid w:val="00871428"/>
    <w:rsid w:val="0087162C"/>
    <w:rsid w:val="008716FE"/>
    <w:rsid w:val="00871739"/>
    <w:rsid w:val="008717C0"/>
    <w:rsid w:val="008717D9"/>
    <w:rsid w:val="00871863"/>
    <w:rsid w:val="0087197F"/>
    <w:rsid w:val="008719B6"/>
    <w:rsid w:val="008719F3"/>
    <w:rsid w:val="00871C5C"/>
    <w:rsid w:val="00871C84"/>
    <w:rsid w:val="00871D78"/>
    <w:rsid w:val="00871DFC"/>
    <w:rsid w:val="00871E95"/>
    <w:rsid w:val="00871F0C"/>
    <w:rsid w:val="00872037"/>
    <w:rsid w:val="00872058"/>
    <w:rsid w:val="00872148"/>
    <w:rsid w:val="0087215F"/>
    <w:rsid w:val="008721C1"/>
    <w:rsid w:val="008721E5"/>
    <w:rsid w:val="0087229F"/>
    <w:rsid w:val="0087245B"/>
    <w:rsid w:val="00872674"/>
    <w:rsid w:val="008726E6"/>
    <w:rsid w:val="0087270E"/>
    <w:rsid w:val="008727F5"/>
    <w:rsid w:val="00872840"/>
    <w:rsid w:val="008728DE"/>
    <w:rsid w:val="00872920"/>
    <w:rsid w:val="00872A16"/>
    <w:rsid w:val="00872A42"/>
    <w:rsid w:val="00872A85"/>
    <w:rsid w:val="00872A8F"/>
    <w:rsid w:val="00872AAE"/>
    <w:rsid w:val="00872B5C"/>
    <w:rsid w:val="00872D25"/>
    <w:rsid w:val="00872DF3"/>
    <w:rsid w:val="00872E2B"/>
    <w:rsid w:val="00872F44"/>
    <w:rsid w:val="00872F55"/>
    <w:rsid w:val="00872F65"/>
    <w:rsid w:val="00872FB2"/>
    <w:rsid w:val="00872FD2"/>
    <w:rsid w:val="00873043"/>
    <w:rsid w:val="008731E9"/>
    <w:rsid w:val="0087324E"/>
    <w:rsid w:val="008733A8"/>
    <w:rsid w:val="008733BF"/>
    <w:rsid w:val="008733E5"/>
    <w:rsid w:val="008735D1"/>
    <w:rsid w:val="00873740"/>
    <w:rsid w:val="0087375D"/>
    <w:rsid w:val="008737B1"/>
    <w:rsid w:val="00873837"/>
    <w:rsid w:val="00873984"/>
    <w:rsid w:val="00873A3C"/>
    <w:rsid w:val="00873B50"/>
    <w:rsid w:val="00873C95"/>
    <w:rsid w:val="00873D35"/>
    <w:rsid w:val="00873D97"/>
    <w:rsid w:val="00873F17"/>
    <w:rsid w:val="00873F41"/>
    <w:rsid w:val="00874257"/>
    <w:rsid w:val="00874278"/>
    <w:rsid w:val="0087436E"/>
    <w:rsid w:val="008743CB"/>
    <w:rsid w:val="008743CC"/>
    <w:rsid w:val="008743D8"/>
    <w:rsid w:val="008743F2"/>
    <w:rsid w:val="008744DB"/>
    <w:rsid w:val="00874513"/>
    <w:rsid w:val="0087453A"/>
    <w:rsid w:val="0087461B"/>
    <w:rsid w:val="0087474A"/>
    <w:rsid w:val="008747A2"/>
    <w:rsid w:val="008748D0"/>
    <w:rsid w:val="0087490F"/>
    <w:rsid w:val="00874A23"/>
    <w:rsid w:val="00874A8C"/>
    <w:rsid w:val="00874B13"/>
    <w:rsid w:val="00874D55"/>
    <w:rsid w:val="00874DE1"/>
    <w:rsid w:val="00874E76"/>
    <w:rsid w:val="00874F96"/>
    <w:rsid w:val="00874FDA"/>
    <w:rsid w:val="0087508F"/>
    <w:rsid w:val="00875120"/>
    <w:rsid w:val="0087513A"/>
    <w:rsid w:val="00875357"/>
    <w:rsid w:val="00875374"/>
    <w:rsid w:val="00875445"/>
    <w:rsid w:val="0087544D"/>
    <w:rsid w:val="008755F2"/>
    <w:rsid w:val="00875635"/>
    <w:rsid w:val="00875673"/>
    <w:rsid w:val="008756A5"/>
    <w:rsid w:val="008757B3"/>
    <w:rsid w:val="008757D2"/>
    <w:rsid w:val="00875843"/>
    <w:rsid w:val="008758F4"/>
    <w:rsid w:val="00875903"/>
    <w:rsid w:val="00875973"/>
    <w:rsid w:val="00875A66"/>
    <w:rsid w:val="00875B59"/>
    <w:rsid w:val="00875C0F"/>
    <w:rsid w:val="00875C2F"/>
    <w:rsid w:val="00875E93"/>
    <w:rsid w:val="00875F87"/>
    <w:rsid w:val="0087600B"/>
    <w:rsid w:val="0087618A"/>
    <w:rsid w:val="0087619E"/>
    <w:rsid w:val="008762CE"/>
    <w:rsid w:val="00876341"/>
    <w:rsid w:val="00876379"/>
    <w:rsid w:val="0087642B"/>
    <w:rsid w:val="008764C8"/>
    <w:rsid w:val="0087650F"/>
    <w:rsid w:val="008766DE"/>
    <w:rsid w:val="00876707"/>
    <w:rsid w:val="00876717"/>
    <w:rsid w:val="0087680F"/>
    <w:rsid w:val="00876829"/>
    <w:rsid w:val="0087683E"/>
    <w:rsid w:val="00876869"/>
    <w:rsid w:val="008768A3"/>
    <w:rsid w:val="00876990"/>
    <w:rsid w:val="008769F2"/>
    <w:rsid w:val="00876BA7"/>
    <w:rsid w:val="00876C85"/>
    <w:rsid w:val="00876CCD"/>
    <w:rsid w:val="00876CF4"/>
    <w:rsid w:val="00876D3A"/>
    <w:rsid w:val="00876DC3"/>
    <w:rsid w:val="00876DF1"/>
    <w:rsid w:val="00876E61"/>
    <w:rsid w:val="00876F3D"/>
    <w:rsid w:val="00877017"/>
    <w:rsid w:val="00877041"/>
    <w:rsid w:val="00877128"/>
    <w:rsid w:val="0087712C"/>
    <w:rsid w:val="00877151"/>
    <w:rsid w:val="008772BC"/>
    <w:rsid w:val="0087736D"/>
    <w:rsid w:val="008773A5"/>
    <w:rsid w:val="008774CB"/>
    <w:rsid w:val="008775E2"/>
    <w:rsid w:val="008778EF"/>
    <w:rsid w:val="0087794A"/>
    <w:rsid w:val="00877955"/>
    <w:rsid w:val="0087795B"/>
    <w:rsid w:val="00877AF1"/>
    <w:rsid w:val="00877B2C"/>
    <w:rsid w:val="00877BAC"/>
    <w:rsid w:val="00877C06"/>
    <w:rsid w:val="00877C4B"/>
    <w:rsid w:val="00877E93"/>
    <w:rsid w:val="00877ED9"/>
    <w:rsid w:val="00877F42"/>
    <w:rsid w:val="00880017"/>
    <w:rsid w:val="00880049"/>
    <w:rsid w:val="008800DA"/>
    <w:rsid w:val="008800F7"/>
    <w:rsid w:val="00880222"/>
    <w:rsid w:val="008803AE"/>
    <w:rsid w:val="008806D6"/>
    <w:rsid w:val="008806E2"/>
    <w:rsid w:val="00880953"/>
    <w:rsid w:val="008809E4"/>
    <w:rsid w:val="00880ADF"/>
    <w:rsid w:val="00880BF6"/>
    <w:rsid w:val="00880D0A"/>
    <w:rsid w:val="00880D0F"/>
    <w:rsid w:val="00880D6A"/>
    <w:rsid w:val="00880EA4"/>
    <w:rsid w:val="00880F3B"/>
    <w:rsid w:val="00880FCB"/>
    <w:rsid w:val="0088120F"/>
    <w:rsid w:val="0088122C"/>
    <w:rsid w:val="00881258"/>
    <w:rsid w:val="00881373"/>
    <w:rsid w:val="008813C1"/>
    <w:rsid w:val="00881417"/>
    <w:rsid w:val="00881483"/>
    <w:rsid w:val="008814A2"/>
    <w:rsid w:val="008814D9"/>
    <w:rsid w:val="008814EB"/>
    <w:rsid w:val="00881561"/>
    <w:rsid w:val="0088157D"/>
    <w:rsid w:val="008815E0"/>
    <w:rsid w:val="0088173A"/>
    <w:rsid w:val="00881786"/>
    <w:rsid w:val="008817A7"/>
    <w:rsid w:val="0088182D"/>
    <w:rsid w:val="00881857"/>
    <w:rsid w:val="00881897"/>
    <w:rsid w:val="00881928"/>
    <w:rsid w:val="008819C9"/>
    <w:rsid w:val="00881A4B"/>
    <w:rsid w:val="00881B5C"/>
    <w:rsid w:val="00881CA2"/>
    <w:rsid w:val="00881E30"/>
    <w:rsid w:val="00881E31"/>
    <w:rsid w:val="00881E3D"/>
    <w:rsid w:val="00881E51"/>
    <w:rsid w:val="00881E92"/>
    <w:rsid w:val="00881E9B"/>
    <w:rsid w:val="00881F27"/>
    <w:rsid w:val="008820A5"/>
    <w:rsid w:val="008820B5"/>
    <w:rsid w:val="008820F6"/>
    <w:rsid w:val="008821C3"/>
    <w:rsid w:val="008821D5"/>
    <w:rsid w:val="00882600"/>
    <w:rsid w:val="0088273E"/>
    <w:rsid w:val="00882881"/>
    <w:rsid w:val="00882940"/>
    <w:rsid w:val="00882A7A"/>
    <w:rsid w:val="00882A9D"/>
    <w:rsid w:val="00882D38"/>
    <w:rsid w:val="00882DF4"/>
    <w:rsid w:val="00882E26"/>
    <w:rsid w:val="00882E95"/>
    <w:rsid w:val="00882F49"/>
    <w:rsid w:val="00882F8B"/>
    <w:rsid w:val="00883010"/>
    <w:rsid w:val="00883039"/>
    <w:rsid w:val="00883078"/>
    <w:rsid w:val="00883094"/>
    <w:rsid w:val="008830CE"/>
    <w:rsid w:val="00883218"/>
    <w:rsid w:val="008832A8"/>
    <w:rsid w:val="0088347F"/>
    <w:rsid w:val="0088357D"/>
    <w:rsid w:val="00883664"/>
    <w:rsid w:val="00883718"/>
    <w:rsid w:val="0088371D"/>
    <w:rsid w:val="0088383D"/>
    <w:rsid w:val="0088385C"/>
    <w:rsid w:val="00883882"/>
    <w:rsid w:val="008838B7"/>
    <w:rsid w:val="00883A01"/>
    <w:rsid w:val="00883A75"/>
    <w:rsid w:val="00883CDD"/>
    <w:rsid w:val="00883D13"/>
    <w:rsid w:val="00883E1D"/>
    <w:rsid w:val="008840D8"/>
    <w:rsid w:val="0088417F"/>
    <w:rsid w:val="0088435D"/>
    <w:rsid w:val="00884362"/>
    <w:rsid w:val="008843C5"/>
    <w:rsid w:val="0088448C"/>
    <w:rsid w:val="008844C5"/>
    <w:rsid w:val="00884502"/>
    <w:rsid w:val="008845B7"/>
    <w:rsid w:val="008845FC"/>
    <w:rsid w:val="0088461F"/>
    <w:rsid w:val="00884643"/>
    <w:rsid w:val="00884743"/>
    <w:rsid w:val="00884866"/>
    <w:rsid w:val="008848CE"/>
    <w:rsid w:val="00884AD8"/>
    <w:rsid w:val="00884B51"/>
    <w:rsid w:val="00884C14"/>
    <w:rsid w:val="00884DC3"/>
    <w:rsid w:val="00884E1C"/>
    <w:rsid w:val="00884F20"/>
    <w:rsid w:val="00885007"/>
    <w:rsid w:val="00885044"/>
    <w:rsid w:val="0088507A"/>
    <w:rsid w:val="0088513B"/>
    <w:rsid w:val="00885167"/>
    <w:rsid w:val="00885299"/>
    <w:rsid w:val="008852C3"/>
    <w:rsid w:val="008853A3"/>
    <w:rsid w:val="00885431"/>
    <w:rsid w:val="00885458"/>
    <w:rsid w:val="0088546C"/>
    <w:rsid w:val="008855F6"/>
    <w:rsid w:val="0088562A"/>
    <w:rsid w:val="00885824"/>
    <w:rsid w:val="0088589A"/>
    <w:rsid w:val="0088593B"/>
    <w:rsid w:val="00885980"/>
    <w:rsid w:val="008859BA"/>
    <w:rsid w:val="00885AAF"/>
    <w:rsid w:val="00885AB4"/>
    <w:rsid w:val="00885AED"/>
    <w:rsid w:val="00885BF6"/>
    <w:rsid w:val="00885D4C"/>
    <w:rsid w:val="00885D99"/>
    <w:rsid w:val="00886080"/>
    <w:rsid w:val="00886152"/>
    <w:rsid w:val="0088625B"/>
    <w:rsid w:val="00886318"/>
    <w:rsid w:val="008863F7"/>
    <w:rsid w:val="00886491"/>
    <w:rsid w:val="0088649D"/>
    <w:rsid w:val="008867FD"/>
    <w:rsid w:val="00886913"/>
    <w:rsid w:val="00886952"/>
    <w:rsid w:val="00886A2C"/>
    <w:rsid w:val="00886B03"/>
    <w:rsid w:val="00886B33"/>
    <w:rsid w:val="00886DE9"/>
    <w:rsid w:val="00886F46"/>
    <w:rsid w:val="008871BB"/>
    <w:rsid w:val="008871DC"/>
    <w:rsid w:val="0088727C"/>
    <w:rsid w:val="00887316"/>
    <w:rsid w:val="00887338"/>
    <w:rsid w:val="00887368"/>
    <w:rsid w:val="00887474"/>
    <w:rsid w:val="00887487"/>
    <w:rsid w:val="008874BC"/>
    <w:rsid w:val="008874C5"/>
    <w:rsid w:val="008874E5"/>
    <w:rsid w:val="0088756A"/>
    <w:rsid w:val="00887599"/>
    <w:rsid w:val="00887644"/>
    <w:rsid w:val="0088764C"/>
    <w:rsid w:val="00887696"/>
    <w:rsid w:val="00887733"/>
    <w:rsid w:val="008877B7"/>
    <w:rsid w:val="008877EA"/>
    <w:rsid w:val="0088796F"/>
    <w:rsid w:val="00887989"/>
    <w:rsid w:val="00887AB6"/>
    <w:rsid w:val="00887B1A"/>
    <w:rsid w:val="00887B84"/>
    <w:rsid w:val="00887B8E"/>
    <w:rsid w:val="00887C8C"/>
    <w:rsid w:val="00887DEC"/>
    <w:rsid w:val="00890018"/>
    <w:rsid w:val="008900CE"/>
    <w:rsid w:val="0089011B"/>
    <w:rsid w:val="0089019E"/>
    <w:rsid w:val="008903D7"/>
    <w:rsid w:val="0089048F"/>
    <w:rsid w:val="00890625"/>
    <w:rsid w:val="00890654"/>
    <w:rsid w:val="0089074E"/>
    <w:rsid w:val="00890804"/>
    <w:rsid w:val="0089086A"/>
    <w:rsid w:val="0089086B"/>
    <w:rsid w:val="008908ED"/>
    <w:rsid w:val="00890905"/>
    <w:rsid w:val="00890914"/>
    <w:rsid w:val="00890A16"/>
    <w:rsid w:val="00890A53"/>
    <w:rsid w:val="00890B0E"/>
    <w:rsid w:val="00890B8B"/>
    <w:rsid w:val="00890BD2"/>
    <w:rsid w:val="00890C4B"/>
    <w:rsid w:val="00890EA7"/>
    <w:rsid w:val="00890EDB"/>
    <w:rsid w:val="00890F4B"/>
    <w:rsid w:val="00890F5F"/>
    <w:rsid w:val="00891014"/>
    <w:rsid w:val="00891070"/>
    <w:rsid w:val="008910D1"/>
    <w:rsid w:val="00891114"/>
    <w:rsid w:val="00891179"/>
    <w:rsid w:val="0089134E"/>
    <w:rsid w:val="008914D7"/>
    <w:rsid w:val="008914E0"/>
    <w:rsid w:val="008915CC"/>
    <w:rsid w:val="008916B8"/>
    <w:rsid w:val="008916FB"/>
    <w:rsid w:val="0089182D"/>
    <w:rsid w:val="0089195C"/>
    <w:rsid w:val="00891A05"/>
    <w:rsid w:val="00891A40"/>
    <w:rsid w:val="00891A65"/>
    <w:rsid w:val="00891A76"/>
    <w:rsid w:val="00891AEB"/>
    <w:rsid w:val="00891B8F"/>
    <w:rsid w:val="00891C58"/>
    <w:rsid w:val="00891C63"/>
    <w:rsid w:val="00891C80"/>
    <w:rsid w:val="00891C90"/>
    <w:rsid w:val="00891C92"/>
    <w:rsid w:val="00891DCF"/>
    <w:rsid w:val="00891E34"/>
    <w:rsid w:val="00892183"/>
    <w:rsid w:val="008921FC"/>
    <w:rsid w:val="0089221A"/>
    <w:rsid w:val="0089223E"/>
    <w:rsid w:val="0089224A"/>
    <w:rsid w:val="0089235C"/>
    <w:rsid w:val="00892387"/>
    <w:rsid w:val="008923E9"/>
    <w:rsid w:val="008924AD"/>
    <w:rsid w:val="008924B3"/>
    <w:rsid w:val="008925A5"/>
    <w:rsid w:val="008925FE"/>
    <w:rsid w:val="008927FE"/>
    <w:rsid w:val="0089294C"/>
    <w:rsid w:val="00892953"/>
    <w:rsid w:val="0089298E"/>
    <w:rsid w:val="00892B05"/>
    <w:rsid w:val="00892CEC"/>
    <w:rsid w:val="00892E65"/>
    <w:rsid w:val="00892EB4"/>
    <w:rsid w:val="00892EF2"/>
    <w:rsid w:val="00892F4E"/>
    <w:rsid w:val="00892F6B"/>
    <w:rsid w:val="0089303D"/>
    <w:rsid w:val="0089307B"/>
    <w:rsid w:val="008930AC"/>
    <w:rsid w:val="008930E2"/>
    <w:rsid w:val="0089315F"/>
    <w:rsid w:val="00893169"/>
    <w:rsid w:val="008931B6"/>
    <w:rsid w:val="008931C1"/>
    <w:rsid w:val="008932ED"/>
    <w:rsid w:val="0089334B"/>
    <w:rsid w:val="008933B1"/>
    <w:rsid w:val="00893480"/>
    <w:rsid w:val="00893574"/>
    <w:rsid w:val="00893919"/>
    <w:rsid w:val="0089393A"/>
    <w:rsid w:val="008939EC"/>
    <w:rsid w:val="00893A0F"/>
    <w:rsid w:val="00893A4F"/>
    <w:rsid w:val="00893AB0"/>
    <w:rsid w:val="00893B5F"/>
    <w:rsid w:val="00893BDC"/>
    <w:rsid w:val="00893C15"/>
    <w:rsid w:val="00893C6B"/>
    <w:rsid w:val="00893D3B"/>
    <w:rsid w:val="00893E1C"/>
    <w:rsid w:val="00893E7B"/>
    <w:rsid w:val="00893F6A"/>
    <w:rsid w:val="00893FDA"/>
    <w:rsid w:val="00893FFC"/>
    <w:rsid w:val="0089400D"/>
    <w:rsid w:val="0089403E"/>
    <w:rsid w:val="00894071"/>
    <w:rsid w:val="008940D8"/>
    <w:rsid w:val="008940E0"/>
    <w:rsid w:val="00894231"/>
    <w:rsid w:val="0089428C"/>
    <w:rsid w:val="0089444E"/>
    <w:rsid w:val="008944CB"/>
    <w:rsid w:val="0089450A"/>
    <w:rsid w:val="00894561"/>
    <w:rsid w:val="00894704"/>
    <w:rsid w:val="00894723"/>
    <w:rsid w:val="00894727"/>
    <w:rsid w:val="0089476A"/>
    <w:rsid w:val="008947CB"/>
    <w:rsid w:val="008949E2"/>
    <w:rsid w:val="00894A85"/>
    <w:rsid w:val="00894A9F"/>
    <w:rsid w:val="00894AA9"/>
    <w:rsid w:val="00894B32"/>
    <w:rsid w:val="00894BDC"/>
    <w:rsid w:val="00894C09"/>
    <w:rsid w:val="00894C3E"/>
    <w:rsid w:val="00894C68"/>
    <w:rsid w:val="00894C84"/>
    <w:rsid w:val="00894D23"/>
    <w:rsid w:val="00894D48"/>
    <w:rsid w:val="00894D65"/>
    <w:rsid w:val="00894D69"/>
    <w:rsid w:val="00894DDB"/>
    <w:rsid w:val="00894F5B"/>
    <w:rsid w:val="00894F9A"/>
    <w:rsid w:val="00895106"/>
    <w:rsid w:val="00895198"/>
    <w:rsid w:val="0089533C"/>
    <w:rsid w:val="008953A4"/>
    <w:rsid w:val="008954B3"/>
    <w:rsid w:val="00895648"/>
    <w:rsid w:val="008956DE"/>
    <w:rsid w:val="0089586E"/>
    <w:rsid w:val="0089593C"/>
    <w:rsid w:val="00895A77"/>
    <w:rsid w:val="00895AE6"/>
    <w:rsid w:val="00895B4D"/>
    <w:rsid w:val="00895C4A"/>
    <w:rsid w:val="00895D9F"/>
    <w:rsid w:val="00895E09"/>
    <w:rsid w:val="00895E43"/>
    <w:rsid w:val="00895E75"/>
    <w:rsid w:val="00895E8A"/>
    <w:rsid w:val="00895EAE"/>
    <w:rsid w:val="00895F37"/>
    <w:rsid w:val="008960A5"/>
    <w:rsid w:val="008960A9"/>
    <w:rsid w:val="0089613F"/>
    <w:rsid w:val="00896210"/>
    <w:rsid w:val="008962B9"/>
    <w:rsid w:val="00896370"/>
    <w:rsid w:val="0089644D"/>
    <w:rsid w:val="00896451"/>
    <w:rsid w:val="008965A6"/>
    <w:rsid w:val="008965A7"/>
    <w:rsid w:val="008965AA"/>
    <w:rsid w:val="00896608"/>
    <w:rsid w:val="008967D1"/>
    <w:rsid w:val="008967E9"/>
    <w:rsid w:val="008968FA"/>
    <w:rsid w:val="00896992"/>
    <w:rsid w:val="008969A1"/>
    <w:rsid w:val="00896A00"/>
    <w:rsid w:val="00896B0E"/>
    <w:rsid w:val="00896BB2"/>
    <w:rsid w:val="00896BC0"/>
    <w:rsid w:val="00896BD0"/>
    <w:rsid w:val="00896CFB"/>
    <w:rsid w:val="00896D16"/>
    <w:rsid w:val="00896D3F"/>
    <w:rsid w:val="00896D99"/>
    <w:rsid w:val="00896E71"/>
    <w:rsid w:val="00896E8C"/>
    <w:rsid w:val="00896FF1"/>
    <w:rsid w:val="00896FF5"/>
    <w:rsid w:val="00897028"/>
    <w:rsid w:val="0089703F"/>
    <w:rsid w:val="008975A5"/>
    <w:rsid w:val="0089774D"/>
    <w:rsid w:val="0089775A"/>
    <w:rsid w:val="00897762"/>
    <w:rsid w:val="008977B5"/>
    <w:rsid w:val="0089781F"/>
    <w:rsid w:val="0089788C"/>
    <w:rsid w:val="008978D0"/>
    <w:rsid w:val="00897946"/>
    <w:rsid w:val="0089798B"/>
    <w:rsid w:val="0089799F"/>
    <w:rsid w:val="00897AAA"/>
    <w:rsid w:val="00897BE9"/>
    <w:rsid w:val="00897C5D"/>
    <w:rsid w:val="00897C80"/>
    <w:rsid w:val="00897CF7"/>
    <w:rsid w:val="00897ECC"/>
    <w:rsid w:val="00897F4B"/>
    <w:rsid w:val="00897FA7"/>
    <w:rsid w:val="008A00A3"/>
    <w:rsid w:val="008A00C6"/>
    <w:rsid w:val="008A01B9"/>
    <w:rsid w:val="008A01F4"/>
    <w:rsid w:val="008A02BA"/>
    <w:rsid w:val="008A03F8"/>
    <w:rsid w:val="008A044C"/>
    <w:rsid w:val="008A0535"/>
    <w:rsid w:val="008A05D1"/>
    <w:rsid w:val="008A0615"/>
    <w:rsid w:val="008A061C"/>
    <w:rsid w:val="008A062F"/>
    <w:rsid w:val="008A06BA"/>
    <w:rsid w:val="008A08C2"/>
    <w:rsid w:val="008A0913"/>
    <w:rsid w:val="008A09B4"/>
    <w:rsid w:val="008A09DE"/>
    <w:rsid w:val="008A0A5A"/>
    <w:rsid w:val="008A0B88"/>
    <w:rsid w:val="008A0C42"/>
    <w:rsid w:val="008A0DCA"/>
    <w:rsid w:val="008A103E"/>
    <w:rsid w:val="008A1052"/>
    <w:rsid w:val="008A105A"/>
    <w:rsid w:val="008A109C"/>
    <w:rsid w:val="008A10FF"/>
    <w:rsid w:val="008A125B"/>
    <w:rsid w:val="008A1454"/>
    <w:rsid w:val="008A14C7"/>
    <w:rsid w:val="008A150B"/>
    <w:rsid w:val="008A1638"/>
    <w:rsid w:val="008A16CF"/>
    <w:rsid w:val="008A1712"/>
    <w:rsid w:val="008A1878"/>
    <w:rsid w:val="008A18F9"/>
    <w:rsid w:val="008A1985"/>
    <w:rsid w:val="008A1A99"/>
    <w:rsid w:val="008A1AF2"/>
    <w:rsid w:val="008A1B23"/>
    <w:rsid w:val="008A1B62"/>
    <w:rsid w:val="008A1BC4"/>
    <w:rsid w:val="008A1BED"/>
    <w:rsid w:val="008A1C58"/>
    <w:rsid w:val="008A1C7D"/>
    <w:rsid w:val="008A1C96"/>
    <w:rsid w:val="008A1CCB"/>
    <w:rsid w:val="008A1D67"/>
    <w:rsid w:val="008A1DDB"/>
    <w:rsid w:val="008A1EB0"/>
    <w:rsid w:val="008A1F09"/>
    <w:rsid w:val="008A1F15"/>
    <w:rsid w:val="008A1F54"/>
    <w:rsid w:val="008A20A8"/>
    <w:rsid w:val="008A2133"/>
    <w:rsid w:val="008A216B"/>
    <w:rsid w:val="008A232D"/>
    <w:rsid w:val="008A237F"/>
    <w:rsid w:val="008A23F6"/>
    <w:rsid w:val="008A2483"/>
    <w:rsid w:val="008A2488"/>
    <w:rsid w:val="008A24F2"/>
    <w:rsid w:val="008A25B3"/>
    <w:rsid w:val="008A26E9"/>
    <w:rsid w:val="008A26F2"/>
    <w:rsid w:val="008A2732"/>
    <w:rsid w:val="008A273D"/>
    <w:rsid w:val="008A27C6"/>
    <w:rsid w:val="008A2C99"/>
    <w:rsid w:val="008A2DE4"/>
    <w:rsid w:val="008A2E3B"/>
    <w:rsid w:val="008A2F3B"/>
    <w:rsid w:val="008A2FEB"/>
    <w:rsid w:val="008A3170"/>
    <w:rsid w:val="008A3195"/>
    <w:rsid w:val="008A31CA"/>
    <w:rsid w:val="008A321D"/>
    <w:rsid w:val="008A3428"/>
    <w:rsid w:val="008A34D4"/>
    <w:rsid w:val="008A35A8"/>
    <w:rsid w:val="008A364B"/>
    <w:rsid w:val="008A37FF"/>
    <w:rsid w:val="008A3865"/>
    <w:rsid w:val="008A38D3"/>
    <w:rsid w:val="008A39B1"/>
    <w:rsid w:val="008A3A5D"/>
    <w:rsid w:val="008A3A97"/>
    <w:rsid w:val="008A3B29"/>
    <w:rsid w:val="008A3B94"/>
    <w:rsid w:val="008A3C53"/>
    <w:rsid w:val="008A3EBB"/>
    <w:rsid w:val="008A3ED3"/>
    <w:rsid w:val="008A3F3F"/>
    <w:rsid w:val="008A41B0"/>
    <w:rsid w:val="008A4240"/>
    <w:rsid w:val="008A4339"/>
    <w:rsid w:val="008A4556"/>
    <w:rsid w:val="008A463A"/>
    <w:rsid w:val="008A4715"/>
    <w:rsid w:val="008A4748"/>
    <w:rsid w:val="008A4793"/>
    <w:rsid w:val="008A4803"/>
    <w:rsid w:val="008A48CF"/>
    <w:rsid w:val="008A4A76"/>
    <w:rsid w:val="008A4B94"/>
    <w:rsid w:val="008A4C4F"/>
    <w:rsid w:val="008A4CB8"/>
    <w:rsid w:val="008A4CF3"/>
    <w:rsid w:val="008A4D0A"/>
    <w:rsid w:val="008A4DC3"/>
    <w:rsid w:val="008A4DCB"/>
    <w:rsid w:val="008A4E5C"/>
    <w:rsid w:val="008A4E9F"/>
    <w:rsid w:val="008A4F3A"/>
    <w:rsid w:val="008A4F7B"/>
    <w:rsid w:val="008A4FB8"/>
    <w:rsid w:val="008A4FD2"/>
    <w:rsid w:val="008A51F5"/>
    <w:rsid w:val="008A52F8"/>
    <w:rsid w:val="008A52FF"/>
    <w:rsid w:val="008A537D"/>
    <w:rsid w:val="008A5453"/>
    <w:rsid w:val="008A5458"/>
    <w:rsid w:val="008A5480"/>
    <w:rsid w:val="008A5498"/>
    <w:rsid w:val="008A5552"/>
    <w:rsid w:val="008A55F8"/>
    <w:rsid w:val="008A5685"/>
    <w:rsid w:val="008A57DD"/>
    <w:rsid w:val="008A57E3"/>
    <w:rsid w:val="008A5803"/>
    <w:rsid w:val="008A5818"/>
    <w:rsid w:val="008A58A6"/>
    <w:rsid w:val="008A58D9"/>
    <w:rsid w:val="008A5947"/>
    <w:rsid w:val="008A5978"/>
    <w:rsid w:val="008A59B5"/>
    <w:rsid w:val="008A5A95"/>
    <w:rsid w:val="008A5AA3"/>
    <w:rsid w:val="008A5ADC"/>
    <w:rsid w:val="008A5B8C"/>
    <w:rsid w:val="008A5BD1"/>
    <w:rsid w:val="008A5E14"/>
    <w:rsid w:val="008A5EA2"/>
    <w:rsid w:val="008A5EB6"/>
    <w:rsid w:val="008A602F"/>
    <w:rsid w:val="008A6066"/>
    <w:rsid w:val="008A60F2"/>
    <w:rsid w:val="008A613E"/>
    <w:rsid w:val="008A6325"/>
    <w:rsid w:val="008A636A"/>
    <w:rsid w:val="008A6549"/>
    <w:rsid w:val="008A655D"/>
    <w:rsid w:val="008A6634"/>
    <w:rsid w:val="008A668A"/>
    <w:rsid w:val="008A686B"/>
    <w:rsid w:val="008A6921"/>
    <w:rsid w:val="008A69F6"/>
    <w:rsid w:val="008A6A38"/>
    <w:rsid w:val="008A6B01"/>
    <w:rsid w:val="008A6B89"/>
    <w:rsid w:val="008A6BC1"/>
    <w:rsid w:val="008A6C1A"/>
    <w:rsid w:val="008A6C26"/>
    <w:rsid w:val="008A6D4D"/>
    <w:rsid w:val="008A6D61"/>
    <w:rsid w:val="008A6E51"/>
    <w:rsid w:val="008A6FE8"/>
    <w:rsid w:val="008A7099"/>
    <w:rsid w:val="008A70C9"/>
    <w:rsid w:val="008A72AE"/>
    <w:rsid w:val="008A738F"/>
    <w:rsid w:val="008A7488"/>
    <w:rsid w:val="008A75A8"/>
    <w:rsid w:val="008A767F"/>
    <w:rsid w:val="008A7708"/>
    <w:rsid w:val="008A7865"/>
    <w:rsid w:val="008A786C"/>
    <w:rsid w:val="008A7889"/>
    <w:rsid w:val="008A7A72"/>
    <w:rsid w:val="008A7B18"/>
    <w:rsid w:val="008A7B3B"/>
    <w:rsid w:val="008A7B77"/>
    <w:rsid w:val="008A7C04"/>
    <w:rsid w:val="008A7DED"/>
    <w:rsid w:val="008A7E4C"/>
    <w:rsid w:val="008A7E73"/>
    <w:rsid w:val="008A7EFD"/>
    <w:rsid w:val="008A7F51"/>
    <w:rsid w:val="008A7FF7"/>
    <w:rsid w:val="008B0021"/>
    <w:rsid w:val="008B01D7"/>
    <w:rsid w:val="008B04EF"/>
    <w:rsid w:val="008B04FF"/>
    <w:rsid w:val="008B071D"/>
    <w:rsid w:val="008B07EC"/>
    <w:rsid w:val="008B0825"/>
    <w:rsid w:val="008B08A3"/>
    <w:rsid w:val="008B0918"/>
    <w:rsid w:val="008B0998"/>
    <w:rsid w:val="008B0A5C"/>
    <w:rsid w:val="008B0AEF"/>
    <w:rsid w:val="008B0C57"/>
    <w:rsid w:val="008B0D97"/>
    <w:rsid w:val="008B0DBB"/>
    <w:rsid w:val="008B0E89"/>
    <w:rsid w:val="008B0F2A"/>
    <w:rsid w:val="008B0FC3"/>
    <w:rsid w:val="008B10A6"/>
    <w:rsid w:val="008B1291"/>
    <w:rsid w:val="008B134C"/>
    <w:rsid w:val="008B140F"/>
    <w:rsid w:val="008B1415"/>
    <w:rsid w:val="008B1440"/>
    <w:rsid w:val="008B1450"/>
    <w:rsid w:val="008B149A"/>
    <w:rsid w:val="008B1750"/>
    <w:rsid w:val="008B178D"/>
    <w:rsid w:val="008B17A0"/>
    <w:rsid w:val="008B17CB"/>
    <w:rsid w:val="008B1800"/>
    <w:rsid w:val="008B180B"/>
    <w:rsid w:val="008B1848"/>
    <w:rsid w:val="008B18A5"/>
    <w:rsid w:val="008B18C2"/>
    <w:rsid w:val="008B193F"/>
    <w:rsid w:val="008B1BA3"/>
    <w:rsid w:val="008B1C12"/>
    <w:rsid w:val="008B1EF3"/>
    <w:rsid w:val="008B2033"/>
    <w:rsid w:val="008B2095"/>
    <w:rsid w:val="008B20E8"/>
    <w:rsid w:val="008B227B"/>
    <w:rsid w:val="008B22CA"/>
    <w:rsid w:val="008B23E7"/>
    <w:rsid w:val="008B241B"/>
    <w:rsid w:val="008B24A2"/>
    <w:rsid w:val="008B250E"/>
    <w:rsid w:val="008B25E2"/>
    <w:rsid w:val="008B2684"/>
    <w:rsid w:val="008B26FD"/>
    <w:rsid w:val="008B2930"/>
    <w:rsid w:val="008B29A6"/>
    <w:rsid w:val="008B2A7A"/>
    <w:rsid w:val="008B2B0F"/>
    <w:rsid w:val="008B2C00"/>
    <w:rsid w:val="008B2C1C"/>
    <w:rsid w:val="008B2C89"/>
    <w:rsid w:val="008B2DDE"/>
    <w:rsid w:val="008B2E86"/>
    <w:rsid w:val="008B2EB1"/>
    <w:rsid w:val="008B2FEA"/>
    <w:rsid w:val="008B2FFE"/>
    <w:rsid w:val="008B311C"/>
    <w:rsid w:val="008B3139"/>
    <w:rsid w:val="008B3186"/>
    <w:rsid w:val="008B319C"/>
    <w:rsid w:val="008B324D"/>
    <w:rsid w:val="008B326A"/>
    <w:rsid w:val="008B32E5"/>
    <w:rsid w:val="008B335B"/>
    <w:rsid w:val="008B3365"/>
    <w:rsid w:val="008B3431"/>
    <w:rsid w:val="008B345D"/>
    <w:rsid w:val="008B3478"/>
    <w:rsid w:val="008B34EF"/>
    <w:rsid w:val="008B352A"/>
    <w:rsid w:val="008B355E"/>
    <w:rsid w:val="008B36F1"/>
    <w:rsid w:val="008B3806"/>
    <w:rsid w:val="008B390D"/>
    <w:rsid w:val="008B3AE7"/>
    <w:rsid w:val="008B3BE5"/>
    <w:rsid w:val="008B3CB8"/>
    <w:rsid w:val="008B3EA1"/>
    <w:rsid w:val="008B3EDE"/>
    <w:rsid w:val="008B3F0A"/>
    <w:rsid w:val="008B3FFA"/>
    <w:rsid w:val="008B40A3"/>
    <w:rsid w:val="008B4185"/>
    <w:rsid w:val="008B42E7"/>
    <w:rsid w:val="008B4357"/>
    <w:rsid w:val="008B43ED"/>
    <w:rsid w:val="008B440B"/>
    <w:rsid w:val="008B441D"/>
    <w:rsid w:val="008B443A"/>
    <w:rsid w:val="008B4551"/>
    <w:rsid w:val="008B45C7"/>
    <w:rsid w:val="008B45CD"/>
    <w:rsid w:val="008B45F0"/>
    <w:rsid w:val="008B4706"/>
    <w:rsid w:val="008B4892"/>
    <w:rsid w:val="008B4973"/>
    <w:rsid w:val="008B49B2"/>
    <w:rsid w:val="008B49D5"/>
    <w:rsid w:val="008B49F4"/>
    <w:rsid w:val="008B4A81"/>
    <w:rsid w:val="008B4CEF"/>
    <w:rsid w:val="008B4E91"/>
    <w:rsid w:val="008B4F0E"/>
    <w:rsid w:val="008B4F45"/>
    <w:rsid w:val="008B5005"/>
    <w:rsid w:val="008B538A"/>
    <w:rsid w:val="008B554F"/>
    <w:rsid w:val="008B595B"/>
    <w:rsid w:val="008B5961"/>
    <w:rsid w:val="008B5A87"/>
    <w:rsid w:val="008B5ACC"/>
    <w:rsid w:val="008B5B43"/>
    <w:rsid w:val="008B5B6C"/>
    <w:rsid w:val="008B5BD7"/>
    <w:rsid w:val="008B5DC1"/>
    <w:rsid w:val="008B5E21"/>
    <w:rsid w:val="008B5E3A"/>
    <w:rsid w:val="008B6199"/>
    <w:rsid w:val="008B61AA"/>
    <w:rsid w:val="008B6256"/>
    <w:rsid w:val="008B63C3"/>
    <w:rsid w:val="008B6511"/>
    <w:rsid w:val="008B652C"/>
    <w:rsid w:val="008B65E6"/>
    <w:rsid w:val="008B65E7"/>
    <w:rsid w:val="008B6617"/>
    <w:rsid w:val="008B6664"/>
    <w:rsid w:val="008B66E7"/>
    <w:rsid w:val="008B6809"/>
    <w:rsid w:val="008B68A0"/>
    <w:rsid w:val="008B68C8"/>
    <w:rsid w:val="008B68C9"/>
    <w:rsid w:val="008B691C"/>
    <w:rsid w:val="008B6941"/>
    <w:rsid w:val="008B698D"/>
    <w:rsid w:val="008B69B6"/>
    <w:rsid w:val="008B69D1"/>
    <w:rsid w:val="008B6B25"/>
    <w:rsid w:val="008B6B46"/>
    <w:rsid w:val="008B7045"/>
    <w:rsid w:val="008B70B2"/>
    <w:rsid w:val="008B7203"/>
    <w:rsid w:val="008B73DE"/>
    <w:rsid w:val="008B7465"/>
    <w:rsid w:val="008B7578"/>
    <w:rsid w:val="008B7677"/>
    <w:rsid w:val="008B7692"/>
    <w:rsid w:val="008B76B4"/>
    <w:rsid w:val="008B76E7"/>
    <w:rsid w:val="008B776E"/>
    <w:rsid w:val="008B77A4"/>
    <w:rsid w:val="008B784E"/>
    <w:rsid w:val="008B7936"/>
    <w:rsid w:val="008B79C4"/>
    <w:rsid w:val="008B7A2E"/>
    <w:rsid w:val="008B7B37"/>
    <w:rsid w:val="008B7BCE"/>
    <w:rsid w:val="008B7C84"/>
    <w:rsid w:val="008B7CF5"/>
    <w:rsid w:val="008B7D0E"/>
    <w:rsid w:val="008B7D2B"/>
    <w:rsid w:val="008B7DF8"/>
    <w:rsid w:val="008B7E26"/>
    <w:rsid w:val="008B7E7E"/>
    <w:rsid w:val="008B7EB6"/>
    <w:rsid w:val="008B7ED1"/>
    <w:rsid w:val="008B7F36"/>
    <w:rsid w:val="008C00AB"/>
    <w:rsid w:val="008C028D"/>
    <w:rsid w:val="008C02FE"/>
    <w:rsid w:val="008C0323"/>
    <w:rsid w:val="008C03EC"/>
    <w:rsid w:val="008C0444"/>
    <w:rsid w:val="008C0457"/>
    <w:rsid w:val="008C0485"/>
    <w:rsid w:val="008C04CD"/>
    <w:rsid w:val="008C04F3"/>
    <w:rsid w:val="008C05E9"/>
    <w:rsid w:val="008C06AC"/>
    <w:rsid w:val="008C06FC"/>
    <w:rsid w:val="008C0925"/>
    <w:rsid w:val="008C09F7"/>
    <w:rsid w:val="008C0A4F"/>
    <w:rsid w:val="008C0A55"/>
    <w:rsid w:val="008C0A80"/>
    <w:rsid w:val="008C0AB0"/>
    <w:rsid w:val="008C0B38"/>
    <w:rsid w:val="008C0B5C"/>
    <w:rsid w:val="008C0B6A"/>
    <w:rsid w:val="008C0C58"/>
    <w:rsid w:val="008C0C5C"/>
    <w:rsid w:val="008C0C9B"/>
    <w:rsid w:val="008C0D09"/>
    <w:rsid w:val="008C0D57"/>
    <w:rsid w:val="008C0D90"/>
    <w:rsid w:val="008C0DCB"/>
    <w:rsid w:val="008C0DEC"/>
    <w:rsid w:val="008C0EAA"/>
    <w:rsid w:val="008C10E5"/>
    <w:rsid w:val="008C10FC"/>
    <w:rsid w:val="008C1108"/>
    <w:rsid w:val="008C1150"/>
    <w:rsid w:val="008C11A0"/>
    <w:rsid w:val="008C12A6"/>
    <w:rsid w:val="008C12CE"/>
    <w:rsid w:val="008C1468"/>
    <w:rsid w:val="008C155B"/>
    <w:rsid w:val="008C15C8"/>
    <w:rsid w:val="008C1610"/>
    <w:rsid w:val="008C16DC"/>
    <w:rsid w:val="008C177D"/>
    <w:rsid w:val="008C181A"/>
    <w:rsid w:val="008C1837"/>
    <w:rsid w:val="008C1854"/>
    <w:rsid w:val="008C187D"/>
    <w:rsid w:val="008C189A"/>
    <w:rsid w:val="008C1919"/>
    <w:rsid w:val="008C191A"/>
    <w:rsid w:val="008C1A2D"/>
    <w:rsid w:val="008C1B21"/>
    <w:rsid w:val="008C1C3C"/>
    <w:rsid w:val="008C1CBF"/>
    <w:rsid w:val="008C1CF5"/>
    <w:rsid w:val="008C1D2D"/>
    <w:rsid w:val="008C1D31"/>
    <w:rsid w:val="008C1DA4"/>
    <w:rsid w:val="008C1DF0"/>
    <w:rsid w:val="008C2023"/>
    <w:rsid w:val="008C22FD"/>
    <w:rsid w:val="008C25DB"/>
    <w:rsid w:val="008C263D"/>
    <w:rsid w:val="008C2686"/>
    <w:rsid w:val="008C26AE"/>
    <w:rsid w:val="008C26EE"/>
    <w:rsid w:val="008C28BA"/>
    <w:rsid w:val="008C29D9"/>
    <w:rsid w:val="008C2A48"/>
    <w:rsid w:val="008C2A4B"/>
    <w:rsid w:val="008C2A9B"/>
    <w:rsid w:val="008C2AB3"/>
    <w:rsid w:val="008C2B25"/>
    <w:rsid w:val="008C2C0A"/>
    <w:rsid w:val="008C2CDF"/>
    <w:rsid w:val="008C2D56"/>
    <w:rsid w:val="008C2D5A"/>
    <w:rsid w:val="008C2ED5"/>
    <w:rsid w:val="008C2F3E"/>
    <w:rsid w:val="008C30E4"/>
    <w:rsid w:val="008C3197"/>
    <w:rsid w:val="008C3255"/>
    <w:rsid w:val="008C33CC"/>
    <w:rsid w:val="008C344D"/>
    <w:rsid w:val="008C35BE"/>
    <w:rsid w:val="008C3625"/>
    <w:rsid w:val="008C362F"/>
    <w:rsid w:val="008C384A"/>
    <w:rsid w:val="008C38A3"/>
    <w:rsid w:val="008C3AF7"/>
    <w:rsid w:val="008C3B39"/>
    <w:rsid w:val="008C3C74"/>
    <w:rsid w:val="008C3CAE"/>
    <w:rsid w:val="008C3E6F"/>
    <w:rsid w:val="008C3EA1"/>
    <w:rsid w:val="008C3ED1"/>
    <w:rsid w:val="008C4046"/>
    <w:rsid w:val="008C419A"/>
    <w:rsid w:val="008C426F"/>
    <w:rsid w:val="008C432B"/>
    <w:rsid w:val="008C4354"/>
    <w:rsid w:val="008C43DB"/>
    <w:rsid w:val="008C4453"/>
    <w:rsid w:val="008C4456"/>
    <w:rsid w:val="008C44D8"/>
    <w:rsid w:val="008C451B"/>
    <w:rsid w:val="008C456F"/>
    <w:rsid w:val="008C46D2"/>
    <w:rsid w:val="008C4878"/>
    <w:rsid w:val="008C4A32"/>
    <w:rsid w:val="008C4A68"/>
    <w:rsid w:val="008C4B7F"/>
    <w:rsid w:val="008C4C71"/>
    <w:rsid w:val="008C4CFA"/>
    <w:rsid w:val="008C4E69"/>
    <w:rsid w:val="008C4F89"/>
    <w:rsid w:val="008C50E8"/>
    <w:rsid w:val="008C5100"/>
    <w:rsid w:val="008C5192"/>
    <w:rsid w:val="008C51B0"/>
    <w:rsid w:val="008C5223"/>
    <w:rsid w:val="008C52C1"/>
    <w:rsid w:val="008C52EE"/>
    <w:rsid w:val="008C5332"/>
    <w:rsid w:val="008C5441"/>
    <w:rsid w:val="008C5484"/>
    <w:rsid w:val="008C54A1"/>
    <w:rsid w:val="008C5888"/>
    <w:rsid w:val="008C5895"/>
    <w:rsid w:val="008C58F0"/>
    <w:rsid w:val="008C590B"/>
    <w:rsid w:val="008C5A34"/>
    <w:rsid w:val="008C5A57"/>
    <w:rsid w:val="008C5A71"/>
    <w:rsid w:val="008C5A91"/>
    <w:rsid w:val="008C5D6A"/>
    <w:rsid w:val="008C5D87"/>
    <w:rsid w:val="008C5E65"/>
    <w:rsid w:val="008C5EA8"/>
    <w:rsid w:val="008C5F45"/>
    <w:rsid w:val="008C5F7B"/>
    <w:rsid w:val="008C63F6"/>
    <w:rsid w:val="008C64ED"/>
    <w:rsid w:val="008C65C7"/>
    <w:rsid w:val="008C665A"/>
    <w:rsid w:val="008C66BD"/>
    <w:rsid w:val="008C66E1"/>
    <w:rsid w:val="008C66EB"/>
    <w:rsid w:val="008C66F3"/>
    <w:rsid w:val="008C6719"/>
    <w:rsid w:val="008C67A3"/>
    <w:rsid w:val="008C67F8"/>
    <w:rsid w:val="008C681F"/>
    <w:rsid w:val="008C68B8"/>
    <w:rsid w:val="008C6932"/>
    <w:rsid w:val="008C6C7C"/>
    <w:rsid w:val="008C6D01"/>
    <w:rsid w:val="008C6D06"/>
    <w:rsid w:val="008C6D81"/>
    <w:rsid w:val="008C6E22"/>
    <w:rsid w:val="008C6EA5"/>
    <w:rsid w:val="008C6ED2"/>
    <w:rsid w:val="008C6EE3"/>
    <w:rsid w:val="008C6F7C"/>
    <w:rsid w:val="008C7066"/>
    <w:rsid w:val="008C714B"/>
    <w:rsid w:val="008C71CA"/>
    <w:rsid w:val="008C71D7"/>
    <w:rsid w:val="008C7369"/>
    <w:rsid w:val="008C73FC"/>
    <w:rsid w:val="008C742E"/>
    <w:rsid w:val="008C7430"/>
    <w:rsid w:val="008C744F"/>
    <w:rsid w:val="008C763E"/>
    <w:rsid w:val="008C76A8"/>
    <w:rsid w:val="008C773D"/>
    <w:rsid w:val="008C7781"/>
    <w:rsid w:val="008C78DE"/>
    <w:rsid w:val="008C78FE"/>
    <w:rsid w:val="008C790F"/>
    <w:rsid w:val="008C7977"/>
    <w:rsid w:val="008C7A03"/>
    <w:rsid w:val="008C7AE8"/>
    <w:rsid w:val="008C7B18"/>
    <w:rsid w:val="008C7B7F"/>
    <w:rsid w:val="008C7C21"/>
    <w:rsid w:val="008C7E90"/>
    <w:rsid w:val="008C7EB8"/>
    <w:rsid w:val="008C7EEC"/>
    <w:rsid w:val="008D00C3"/>
    <w:rsid w:val="008D020D"/>
    <w:rsid w:val="008D0432"/>
    <w:rsid w:val="008D0591"/>
    <w:rsid w:val="008D0629"/>
    <w:rsid w:val="008D0634"/>
    <w:rsid w:val="008D067A"/>
    <w:rsid w:val="008D0874"/>
    <w:rsid w:val="008D095E"/>
    <w:rsid w:val="008D0A0C"/>
    <w:rsid w:val="008D0C20"/>
    <w:rsid w:val="008D0C26"/>
    <w:rsid w:val="008D0C31"/>
    <w:rsid w:val="008D0C64"/>
    <w:rsid w:val="008D0C88"/>
    <w:rsid w:val="008D0CB5"/>
    <w:rsid w:val="008D0E2E"/>
    <w:rsid w:val="008D1059"/>
    <w:rsid w:val="008D118C"/>
    <w:rsid w:val="008D11D4"/>
    <w:rsid w:val="008D11D6"/>
    <w:rsid w:val="008D12AD"/>
    <w:rsid w:val="008D12F0"/>
    <w:rsid w:val="008D1329"/>
    <w:rsid w:val="008D1476"/>
    <w:rsid w:val="008D1520"/>
    <w:rsid w:val="008D15C0"/>
    <w:rsid w:val="008D1684"/>
    <w:rsid w:val="008D16D8"/>
    <w:rsid w:val="008D17E9"/>
    <w:rsid w:val="008D198D"/>
    <w:rsid w:val="008D1A5B"/>
    <w:rsid w:val="008D1B51"/>
    <w:rsid w:val="008D1C7D"/>
    <w:rsid w:val="008D1D16"/>
    <w:rsid w:val="008D1DC9"/>
    <w:rsid w:val="008D1DE1"/>
    <w:rsid w:val="008D1E07"/>
    <w:rsid w:val="008D1F0C"/>
    <w:rsid w:val="008D203D"/>
    <w:rsid w:val="008D207F"/>
    <w:rsid w:val="008D20E4"/>
    <w:rsid w:val="008D21ED"/>
    <w:rsid w:val="008D22D6"/>
    <w:rsid w:val="008D242E"/>
    <w:rsid w:val="008D2631"/>
    <w:rsid w:val="008D2644"/>
    <w:rsid w:val="008D264B"/>
    <w:rsid w:val="008D26D2"/>
    <w:rsid w:val="008D2779"/>
    <w:rsid w:val="008D27E7"/>
    <w:rsid w:val="008D27F9"/>
    <w:rsid w:val="008D2821"/>
    <w:rsid w:val="008D2928"/>
    <w:rsid w:val="008D2AF6"/>
    <w:rsid w:val="008D2B38"/>
    <w:rsid w:val="008D2C5B"/>
    <w:rsid w:val="008D2C81"/>
    <w:rsid w:val="008D2CB6"/>
    <w:rsid w:val="008D2CB8"/>
    <w:rsid w:val="008D2E31"/>
    <w:rsid w:val="008D2E4B"/>
    <w:rsid w:val="008D2E96"/>
    <w:rsid w:val="008D3017"/>
    <w:rsid w:val="008D301E"/>
    <w:rsid w:val="008D30D8"/>
    <w:rsid w:val="008D3146"/>
    <w:rsid w:val="008D315A"/>
    <w:rsid w:val="008D3326"/>
    <w:rsid w:val="008D3334"/>
    <w:rsid w:val="008D3346"/>
    <w:rsid w:val="008D33AB"/>
    <w:rsid w:val="008D3514"/>
    <w:rsid w:val="008D35DD"/>
    <w:rsid w:val="008D362B"/>
    <w:rsid w:val="008D36C1"/>
    <w:rsid w:val="008D37C1"/>
    <w:rsid w:val="008D388C"/>
    <w:rsid w:val="008D3922"/>
    <w:rsid w:val="008D3A4E"/>
    <w:rsid w:val="008D3A9A"/>
    <w:rsid w:val="008D3BE3"/>
    <w:rsid w:val="008D3D74"/>
    <w:rsid w:val="008D3F08"/>
    <w:rsid w:val="008D4278"/>
    <w:rsid w:val="008D4483"/>
    <w:rsid w:val="008D44FE"/>
    <w:rsid w:val="008D459A"/>
    <w:rsid w:val="008D4601"/>
    <w:rsid w:val="008D461A"/>
    <w:rsid w:val="008D46B5"/>
    <w:rsid w:val="008D46BB"/>
    <w:rsid w:val="008D47D2"/>
    <w:rsid w:val="008D4806"/>
    <w:rsid w:val="008D487B"/>
    <w:rsid w:val="008D495B"/>
    <w:rsid w:val="008D4A0C"/>
    <w:rsid w:val="008D4A40"/>
    <w:rsid w:val="008D4E0A"/>
    <w:rsid w:val="008D4E95"/>
    <w:rsid w:val="008D4ECB"/>
    <w:rsid w:val="008D4F87"/>
    <w:rsid w:val="008D5090"/>
    <w:rsid w:val="008D5273"/>
    <w:rsid w:val="008D52E9"/>
    <w:rsid w:val="008D53BB"/>
    <w:rsid w:val="008D5519"/>
    <w:rsid w:val="008D5551"/>
    <w:rsid w:val="008D55A6"/>
    <w:rsid w:val="008D55D0"/>
    <w:rsid w:val="008D5678"/>
    <w:rsid w:val="008D56F2"/>
    <w:rsid w:val="008D5709"/>
    <w:rsid w:val="008D5722"/>
    <w:rsid w:val="008D57F2"/>
    <w:rsid w:val="008D5977"/>
    <w:rsid w:val="008D5A3A"/>
    <w:rsid w:val="008D5BB5"/>
    <w:rsid w:val="008D5C20"/>
    <w:rsid w:val="008D5CDB"/>
    <w:rsid w:val="008D5CEF"/>
    <w:rsid w:val="008D5D2F"/>
    <w:rsid w:val="008D5D4B"/>
    <w:rsid w:val="008D5ED9"/>
    <w:rsid w:val="008D5F3C"/>
    <w:rsid w:val="008D5FD5"/>
    <w:rsid w:val="008D600E"/>
    <w:rsid w:val="008D6012"/>
    <w:rsid w:val="008D6066"/>
    <w:rsid w:val="008D60F1"/>
    <w:rsid w:val="008D61BE"/>
    <w:rsid w:val="008D61EA"/>
    <w:rsid w:val="008D6361"/>
    <w:rsid w:val="008D636D"/>
    <w:rsid w:val="008D6391"/>
    <w:rsid w:val="008D64C5"/>
    <w:rsid w:val="008D64E2"/>
    <w:rsid w:val="008D6554"/>
    <w:rsid w:val="008D65B5"/>
    <w:rsid w:val="008D662A"/>
    <w:rsid w:val="008D66FA"/>
    <w:rsid w:val="008D67A2"/>
    <w:rsid w:val="008D67DA"/>
    <w:rsid w:val="008D6854"/>
    <w:rsid w:val="008D68B4"/>
    <w:rsid w:val="008D696D"/>
    <w:rsid w:val="008D6A9D"/>
    <w:rsid w:val="008D6B03"/>
    <w:rsid w:val="008D6B36"/>
    <w:rsid w:val="008D6C1B"/>
    <w:rsid w:val="008D6CAF"/>
    <w:rsid w:val="008D6D4D"/>
    <w:rsid w:val="008D6DE4"/>
    <w:rsid w:val="008D6F08"/>
    <w:rsid w:val="008D6F93"/>
    <w:rsid w:val="008D7065"/>
    <w:rsid w:val="008D710D"/>
    <w:rsid w:val="008D721B"/>
    <w:rsid w:val="008D72D8"/>
    <w:rsid w:val="008D7424"/>
    <w:rsid w:val="008D76A5"/>
    <w:rsid w:val="008D7743"/>
    <w:rsid w:val="008D789E"/>
    <w:rsid w:val="008D78AE"/>
    <w:rsid w:val="008D78EE"/>
    <w:rsid w:val="008D78F5"/>
    <w:rsid w:val="008D793C"/>
    <w:rsid w:val="008D7958"/>
    <w:rsid w:val="008D7968"/>
    <w:rsid w:val="008D79FC"/>
    <w:rsid w:val="008D7BCB"/>
    <w:rsid w:val="008D7BF1"/>
    <w:rsid w:val="008D7E6A"/>
    <w:rsid w:val="008D7E78"/>
    <w:rsid w:val="008D7F61"/>
    <w:rsid w:val="008D7FB5"/>
    <w:rsid w:val="008E000E"/>
    <w:rsid w:val="008E0072"/>
    <w:rsid w:val="008E01D7"/>
    <w:rsid w:val="008E023B"/>
    <w:rsid w:val="008E0538"/>
    <w:rsid w:val="008E058D"/>
    <w:rsid w:val="008E05C3"/>
    <w:rsid w:val="008E0668"/>
    <w:rsid w:val="008E07C9"/>
    <w:rsid w:val="008E0838"/>
    <w:rsid w:val="008E08C9"/>
    <w:rsid w:val="008E08DD"/>
    <w:rsid w:val="008E095C"/>
    <w:rsid w:val="008E0A18"/>
    <w:rsid w:val="008E0A7E"/>
    <w:rsid w:val="008E0AE0"/>
    <w:rsid w:val="008E0AF7"/>
    <w:rsid w:val="008E0BE8"/>
    <w:rsid w:val="008E0C99"/>
    <w:rsid w:val="008E0CE2"/>
    <w:rsid w:val="008E0D00"/>
    <w:rsid w:val="008E0D0D"/>
    <w:rsid w:val="008E0DEB"/>
    <w:rsid w:val="008E0DF0"/>
    <w:rsid w:val="008E0F40"/>
    <w:rsid w:val="008E120D"/>
    <w:rsid w:val="008E13B3"/>
    <w:rsid w:val="008E15B6"/>
    <w:rsid w:val="008E16E8"/>
    <w:rsid w:val="008E17D1"/>
    <w:rsid w:val="008E18D5"/>
    <w:rsid w:val="008E1984"/>
    <w:rsid w:val="008E19C6"/>
    <w:rsid w:val="008E1A1C"/>
    <w:rsid w:val="008E1A7A"/>
    <w:rsid w:val="008E1BF4"/>
    <w:rsid w:val="008E1C72"/>
    <w:rsid w:val="008E1CFB"/>
    <w:rsid w:val="008E1D02"/>
    <w:rsid w:val="008E1D81"/>
    <w:rsid w:val="008E1D99"/>
    <w:rsid w:val="008E2060"/>
    <w:rsid w:val="008E2084"/>
    <w:rsid w:val="008E2121"/>
    <w:rsid w:val="008E2379"/>
    <w:rsid w:val="008E239E"/>
    <w:rsid w:val="008E23B8"/>
    <w:rsid w:val="008E2552"/>
    <w:rsid w:val="008E25EC"/>
    <w:rsid w:val="008E270F"/>
    <w:rsid w:val="008E2733"/>
    <w:rsid w:val="008E2812"/>
    <w:rsid w:val="008E2819"/>
    <w:rsid w:val="008E2823"/>
    <w:rsid w:val="008E2AA8"/>
    <w:rsid w:val="008E2E54"/>
    <w:rsid w:val="008E2ED7"/>
    <w:rsid w:val="008E2F2E"/>
    <w:rsid w:val="008E3100"/>
    <w:rsid w:val="008E3174"/>
    <w:rsid w:val="008E32BA"/>
    <w:rsid w:val="008E33BC"/>
    <w:rsid w:val="008E34A6"/>
    <w:rsid w:val="008E34DA"/>
    <w:rsid w:val="008E34E3"/>
    <w:rsid w:val="008E3500"/>
    <w:rsid w:val="008E35AC"/>
    <w:rsid w:val="008E37E3"/>
    <w:rsid w:val="008E3832"/>
    <w:rsid w:val="008E3843"/>
    <w:rsid w:val="008E3891"/>
    <w:rsid w:val="008E3905"/>
    <w:rsid w:val="008E3935"/>
    <w:rsid w:val="008E39D3"/>
    <w:rsid w:val="008E39E3"/>
    <w:rsid w:val="008E3B4D"/>
    <w:rsid w:val="008E3BAA"/>
    <w:rsid w:val="008E3CCC"/>
    <w:rsid w:val="008E3E0F"/>
    <w:rsid w:val="008E3ED9"/>
    <w:rsid w:val="008E3F39"/>
    <w:rsid w:val="008E3FBF"/>
    <w:rsid w:val="008E3FE6"/>
    <w:rsid w:val="008E4085"/>
    <w:rsid w:val="008E4181"/>
    <w:rsid w:val="008E41BE"/>
    <w:rsid w:val="008E4219"/>
    <w:rsid w:val="008E4223"/>
    <w:rsid w:val="008E43ED"/>
    <w:rsid w:val="008E455C"/>
    <w:rsid w:val="008E461F"/>
    <w:rsid w:val="008E4729"/>
    <w:rsid w:val="008E489D"/>
    <w:rsid w:val="008E4920"/>
    <w:rsid w:val="008E4C57"/>
    <w:rsid w:val="008E4CA7"/>
    <w:rsid w:val="008E4D71"/>
    <w:rsid w:val="008E4DC9"/>
    <w:rsid w:val="008E4E60"/>
    <w:rsid w:val="008E4F88"/>
    <w:rsid w:val="008E502D"/>
    <w:rsid w:val="008E5079"/>
    <w:rsid w:val="008E50EA"/>
    <w:rsid w:val="008E5177"/>
    <w:rsid w:val="008E518E"/>
    <w:rsid w:val="008E51D1"/>
    <w:rsid w:val="008E5233"/>
    <w:rsid w:val="008E525D"/>
    <w:rsid w:val="008E529D"/>
    <w:rsid w:val="008E535C"/>
    <w:rsid w:val="008E53E8"/>
    <w:rsid w:val="008E5439"/>
    <w:rsid w:val="008E54AE"/>
    <w:rsid w:val="008E54E6"/>
    <w:rsid w:val="008E553D"/>
    <w:rsid w:val="008E571A"/>
    <w:rsid w:val="008E5720"/>
    <w:rsid w:val="008E579F"/>
    <w:rsid w:val="008E5AD8"/>
    <w:rsid w:val="008E5C3D"/>
    <w:rsid w:val="008E5C5F"/>
    <w:rsid w:val="008E5CAE"/>
    <w:rsid w:val="008E5CFB"/>
    <w:rsid w:val="008E5CFF"/>
    <w:rsid w:val="008E60CF"/>
    <w:rsid w:val="008E614B"/>
    <w:rsid w:val="008E6261"/>
    <w:rsid w:val="008E6441"/>
    <w:rsid w:val="008E6521"/>
    <w:rsid w:val="008E652E"/>
    <w:rsid w:val="008E6599"/>
    <w:rsid w:val="008E65F1"/>
    <w:rsid w:val="008E664C"/>
    <w:rsid w:val="008E671F"/>
    <w:rsid w:val="008E6796"/>
    <w:rsid w:val="008E68A7"/>
    <w:rsid w:val="008E6AF9"/>
    <w:rsid w:val="008E6B03"/>
    <w:rsid w:val="008E6C00"/>
    <w:rsid w:val="008E6C11"/>
    <w:rsid w:val="008E6D2C"/>
    <w:rsid w:val="008E6D31"/>
    <w:rsid w:val="008E6D43"/>
    <w:rsid w:val="008E6E4C"/>
    <w:rsid w:val="008E6EF5"/>
    <w:rsid w:val="008E6F03"/>
    <w:rsid w:val="008E6F1D"/>
    <w:rsid w:val="008E6F50"/>
    <w:rsid w:val="008E6F69"/>
    <w:rsid w:val="008E6F8A"/>
    <w:rsid w:val="008E7018"/>
    <w:rsid w:val="008E70E7"/>
    <w:rsid w:val="008E7185"/>
    <w:rsid w:val="008E728A"/>
    <w:rsid w:val="008E72AD"/>
    <w:rsid w:val="008E757A"/>
    <w:rsid w:val="008E7595"/>
    <w:rsid w:val="008E75F8"/>
    <w:rsid w:val="008E75FD"/>
    <w:rsid w:val="008E7637"/>
    <w:rsid w:val="008E766C"/>
    <w:rsid w:val="008E76D5"/>
    <w:rsid w:val="008E76FD"/>
    <w:rsid w:val="008E774A"/>
    <w:rsid w:val="008E784F"/>
    <w:rsid w:val="008E7856"/>
    <w:rsid w:val="008E79A6"/>
    <w:rsid w:val="008E7A06"/>
    <w:rsid w:val="008E7AA0"/>
    <w:rsid w:val="008E7B07"/>
    <w:rsid w:val="008E7B8E"/>
    <w:rsid w:val="008E7C1D"/>
    <w:rsid w:val="008E7C45"/>
    <w:rsid w:val="008E7C48"/>
    <w:rsid w:val="008E7C9B"/>
    <w:rsid w:val="008E7D65"/>
    <w:rsid w:val="008E7D8B"/>
    <w:rsid w:val="008E7DEE"/>
    <w:rsid w:val="008E7ED3"/>
    <w:rsid w:val="008E7EE7"/>
    <w:rsid w:val="008F0010"/>
    <w:rsid w:val="008F0096"/>
    <w:rsid w:val="008F0115"/>
    <w:rsid w:val="008F01CF"/>
    <w:rsid w:val="008F0364"/>
    <w:rsid w:val="008F0402"/>
    <w:rsid w:val="008F044C"/>
    <w:rsid w:val="008F048F"/>
    <w:rsid w:val="008F04A4"/>
    <w:rsid w:val="008F04BB"/>
    <w:rsid w:val="008F051C"/>
    <w:rsid w:val="008F0611"/>
    <w:rsid w:val="008F07C8"/>
    <w:rsid w:val="008F07F7"/>
    <w:rsid w:val="008F0804"/>
    <w:rsid w:val="008F0828"/>
    <w:rsid w:val="008F097D"/>
    <w:rsid w:val="008F0A95"/>
    <w:rsid w:val="008F0B26"/>
    <w:rsid w:val="008F0B4A"/>
    <w:rsid w:val="008F1136"/>
    <w:rsid w:val="008F1275"/>
    <w:rsid w:val="008F13A2"/>
    <w:rsid w:val="008F151E"/>
    <w:rsid w:val="008F15A5"/>
    <w:rsid w:val="008F166F"/>
    <w:rsid w:val="008F1680"/>
    <w:rsid w:val="008F16A6"/>
    <w:rsid w:val="008F16E1"/>
    <w:rsid w:val="008F191E"/>
    <w:rsid w:val="008F19FE"/>
    <w:rsid w:val="008F1A0A"/>
    <w:rsid w:val="008F1A92"/>
    <w:rsid w:val="008F1AC8"/>
    <w:rsid w:val="008F1AE5"/>
    <w:rsid w:val="008F1D93"/>
    <w:rsid w:val="008F1DB6"/>
    <w:rsid w:val="008F1F20"/>
    <w:rsid w:val="008F2104"/>
    <w:rsid w:val="008F229B"/>
    <w:rsid w:val="008F2559"/>
    <w:rsid w:val="008F2651"/>
    <w:rsid w:val="008F268F"/>
    <w:rsid w:val="008F26B5"/>
    <w:rsid w:val="008F26C3"/>
    <w:rsid w:val="008F27E7"/>
    <w:rsid w:val="008F2805"/>
    <w:rsid w:val="008F285F"/>
    <w:rsid w:val="008F2ABC"/>
    <w:rsid w:val="008F2AE2"/>
    <w:rsid w:val="008F2CD8"/>
    <w:rsid w:val="008F2E1C"/>
    <w:rsid w:val="008F2E41"/>
    <w:rsid w:val="008F2E4B"/>
    <w:rsid w:val="008F2EE7"/>
    <w:rsid w:val="008F2F34"/>
    <w:rsid w:val="008F2F8F"/>
    <w:rsid w:val="008F2FB8"/>
    <w:rsid w:val="008F3005"/>
    <w:rsid w:val="008F30A7"/>
    <w:rsid w:val="008F30AE"/>
    <w:rsid w:val="008F3156"/>
    <w:rsid w:val="008F31BA"/>
    <w:rsid w:val="008F326B"/>
    <w:rsid w:val="008F33F7"/>
    <w:rsid w:val="008F343C"/>
    <w:rsid w:val="008F348A"/>
    <w:rsid w:val="008F34A3"/>
    <w:rsid w:val="008F35E5"/>
    <w:rsid w:val="008F3723"/>
    <w:rsid w:val="008F3795"/>
    <w:rsid w:val="008F379C"/>
    <w:rsid w:val="008F3992"/>
    <w:rsid w:val="008F39BC"/>
    <w:rsid w:val="008F3A30"/>
    <w:rsid w:val="008F3B4D"/>
    <w:rsid w:val="008F3BF0"/>
    <w:rsid w:val="008F3CB5"/>
    <w:rsid w:val="008F3DFE"/>
    <w:rsid w:val="008F3E02"/>
    <w:rsid w:val="008F3E42"/>
    <w:rsid w:val="008F3E83"/>
    <w:rsid w:val="008F3ED4"/>
    <w:rsid w:val="008F3FE1"/>
    <w:rsid w:val="008F407B"/>
    <w:rsid w:val="008F40E1"/>
    <w:rsid w:val="008F4103"/>
    <w:rsid w:val="008F4223"/>
    <w:rsid w:val="008F43C8"/>
    <w:rsid w:val="008F44FE"/>
    <w:rsid w:val="008F46AC"/>
    <w:rsid w:val="008F46B0"/>
    <w:rsid w:val="008F4905"/>
    <w:rsid w:val="008F4980"/>
    <w:rsid w:val="008F4AB7"/>
    <w:rsid w:val="008F4AF5"/>
    <w:rsid w:val="008F4C48"/>
    <w:rsid w:val="008F4CAC"/>
    <w:rsid w:val="008F4D6B"/>
    <w:rsid w:val="008F4D73"/>
    <w:rsid w:val="008F4E24"/>
    <w:rsid w:val="008F4E87"/>
    <w:rsid w:val="008F4F66"/>
    <w:rsid w:val="008F50BD"/>
    <w:rsid w:val="008F5105"/>
    <w:rsid w:val="008F5142"/>
    <w:rsid w:val="008F51AE"/>
    <w:rsid w:val="008F51C4"/>
    <w:rsid w:val="008F51CE"/>
    <w:rsid w:val="008F522F"/>
    <w:rsid w:val="008F529B"/>
    <w:rsid w:val="008F52AF"/>
    <w:rsid w:val="008F52E9"/>
    <w:rsid w:val="008F5415"/>
    <w:rsid w:val="008F5502"/>
    <w:rsid w:val="008F5528"/>
    <w:rsid w:val="008F566F"/>
    <w:rsid w:val="008F571C"/>
    <w:rsid w:val="008F5858"/>
    <w:rsid w:val="008F58EB"/>
    <w:rsid w:val="008F59E5"/>
    <w:rsid w:val="008F5A65"/>
    <w:rsid w:val="008F5ABC"/>
    <w:rsid w:val="008F5B6D"/>
    <w:rsid w:val="008F5BF1"/>
    <w:rsid w:val="008F5D07"/>
    <w:rsid w:val="008F5F24"/>
    <w:rsid w:val="008F5F47"/>
    <w:rsid w:val="008F5F95"/>
    <w:rsid w:val="008F6089"/>
    <w:rsid w:val="008F608A"/>
    <w:rsid w:val="008F6134"/>
    <w:rsid w:val="008F6141"/>
    <w:rsid w:val="008F6260"/>
    <w:rsid w:val="008F637F"/>
    <w:rsid w:val="008F63DA"/>
    <w:rsid w:val="008F6578"/>
    <w:rsid w:val="008F6751"/>
    <w:rsid w:val="008F6776"/>
    <w:rsid w:val="008F6840"/>
    <w:rsid w:val="008F6850"/>
    <w:rsid w:val="008F694D"/>
    <w:rsid w:val="008F6956"/>
    <w:rsid w:val="008F69F0"/>
    <w:rsid w:val="008F6A35"/>
    <w:rsid w:val="008F6B81"/>
    <w:rsid w:val="008F6B89"/>
    <w:rsid w:val="008F6BB9"/>
    <w:rsid w:val="008F6BBE"/>
    <w:rsid w:val="008F6BD6"/>
    <w:rsid w:val="008F6C81"/>
    <w:rsid w:val="008F6D4B"/>
    <w:rsid w:val="008F6E22"/>
    <w:rsid w:val="008F6E94"/>
    <w:rsid w:val="008F6F77"/>
    <w:rsid w:val="008F7057"/>
    <w:rsid w:val="008F70A1"/>
    <w:rsid w:val="008F7213"/>
    <w:rsid w:val="008F7250"/>
    <w:rsid w:val="008F72E5"/>
    <w:rsid w:val="008F730B"/>
    <w:rsid w:val="008F73CB"/>
    <w:rsid w:val="008F74E3"/>
    <w:rsid w:val="008F7534"/>
    <w:rsid w:val="008F755E"/>
    <w:rsid w:val="008F76FC"/>
    <w:rsid w:val="008F7709"/>
    <w:rsid w:val="008F77A5"/>
    <w:rsid w:val="008F77DD"/>
    <w:rsid w:val="008F787C"/>
    <w:rsid w:val="008F787D"/>
    <w:rsid w:val="008F796C"/>
    <w:rsid w:val="008F7A12"/>
    <w:rsid w:val="008F7B0E"/>
    <w:rsid w:val="008F7B14"/>
    <w:rsid w:val="008F7B46"/>
    <w:rsid w:val="008F7CBC"/>
    <w:rsid w:val="008F7CEE"/>
    <w:rsid w:val="008F7D6C"/>
    <w:rsid w:val="008F7E79"/>
    <w:rsid w:val="008F7EC8"/>
    <w:rsid w:val="008F7EE6"/>
    <w:rsid w:val="008F7F0D"/>
    <w:rsid w:val="008F7F66"/>
    <w:rsid w:val="009000F8"/>
    <w:rsid w:val="009001CD"/>
    <w:rsid w:val="00900307"/>
    <w:rsid w:val="00900315"/>
    <w:rsid w:val="00900377"/>
    <w:rsid w:val="009003B6"/>
    <w:rsid w:val="009004CC"/>
    <w:rsid w:val="00900596"/>
    <w:rsid w:val="009005F7"/>
    <w:rsid w:val="00900BB3"/>
    <w:rsid w:val="00900C0C"/>
    <w:rsid w:val="00900CFD"/>
    <w:rsid w:val="00900D67"/>
    <w:rsid w:val="00900DFD"/>
    <w:rsid w:val="00900E76"/>
    <w:rsid w:val="00900E8D"/>
    <w:rsid w:val="00900F26"/>
    <w:rsid w:val="00900F93"/>
    <w:rsid w:val="0090115E"/>
    <w:rsid w:val="009011C8"/>
    <w:rsid w:val="009011FE"/>
    <w:rsid w:val="00901288"/>
    <w:rsid w:val="009013C0"/>
    <w:rsid w:val="00901587"/>
    <w:rsid w:val="009016AA"/>
    <w:rsid w:val="009017EA"/>
    <w:rsid w:val="00901934"/>
    <w:rsid w:val="0090197B"/>
    <w:rsid w:val="00901A3A"/>
    <w:rsid w:val="00901A68"/>
    <w:rsid w:val="00901B6D"/>
    <w:rsid w:val="00901C6B"/>
    <w:rsid w:val="00901C8F"/>
    <w:rsid w:val="00901D76"/>
    <w:rsid w:val="00901D7C"/>
    <w:rsid w:val="00901DE1"/>
    <w:rsid w:val="00901DFC"/>
    <w:rsid w:val="00901F00"/>
    <w:rsid w:val="00901F19"/>
    <w:rsid w:val="00901FEF"/>
    <w:rsid w:val="00902120"/>
    <w:rsid w:val="009021F7"/>
    <w:rsid w:val="00902269"/>
    <w:rsid w:val="0090232A"/>
    <w:rsid w:val="00902356"/>
    <w:rsid w:val="0090249E"/>
    <w:rsid w:val="009024A8"/>
    <w:rsid w:val="009024E3"/>
    <w:rsid w:val="00902544"/>
    <w:rsid w:val="0090255D"/>
    <w:rsid w:val="00902582"/>
    <w:rsid w:val="00902599"/>
    <w:rsid w:val="0090267F"/>
    <w:rsid w:val="0090282A"/>
    <w:rsid w:val="009028E0"/>
    <w:rsid w:val="00902974"/>
    <w:rsid w:val="009029A1"/>
    <w:rsid w:val="009029D7"/>
    <w:rsid w:val="00902A1E"/>
    <w:rsid w:val="00902A86"/>
    <w:rsid w:val="00902AEF"/>
    <w:rsid w:val="00902BCE"/>
    <w:rsid w:val="00902BE3"/>
    <w:rsid w:val="00902CE0"/>
    <w:rsid w:val="00902D3C"/>
    <w:rsid w:val="00902DD7"/>
    <w:rsid w:val="00902E4D"/>
    <w:rsid w:val="00902E55"/>
    <w:rsid w:val="00902E57"/>
    <w:rsid w:val="00902F86"/>
    <w:rsid w:val="00903002"/>
    <w:rsid w:val="0090308D"/>
    <w:rsid w:val="009030A5"/>
    <w:rsid w:val="0090315F"/>
    <w:rsid w:val="0090320B"/>
    <w:rsid w:val="00903226"/>
    <w:rsid w:val="00903282"/>
    <w:rsid w:val="0090328B"/>
    <w:rsid w:val="009034A7"/>
    <w:rsid w:val="00903600"/>
    <w:rsid w:val="00903668"/>
    <w:rsid w:val="00903757"/>
    <w:rsid w:val="009038BA"/>
    <w:rsid w:val="009038F2"/>
    <w:rsid w:val="00903953"/>
    <w:rsid w:val="00903A43"/>
    <w:rsid w:val="00903A51"/>
    <w:rsid w:val="00903AA0"/>
    <w:rsid w:val="00903BEB"/>
    <w:rsid w:val="00903C3F"/>
    <w:rsid w:val="00903C5D"/>
    <w:rsid w:val="00903C88"/>
    <w:rsid w:val="00903CBF"/>
    <w:rsid w:val="00903CDA"/>
    <w:rsid w:val="00903D58"/>
    <w:rsid w:val="00903DB7"/>
    <w:rsid w:val="00903E16"/>
    <w:rsid w:val="00903E61"/>
    <w:rsid w:val="00903EA4"/>
    <w:rsid w:val="00903EDC"/>
    <w:rsid w:val="00903F25"/>
    <w:rsid w:val="00904097"/>
    <w:rsid w:val="009040D7"/>
    <w:rsid w:val="009040F8"/>
    <w:rsid w:val="0090410A"/>
    <w:rsid w:val="009042BC"/>
    <w:rsid w:val="009042FA"/>
    <w:rsid w:val="009043AD"/>
    <w:rsid w:val="00904442"/>
    <w:rsid w:val="009045AA"/>
    <w:rsid w:val="0090468B"/>
    <w:rsid w:val="0090486C"/>
    <w:rsid w:val="009048CA"/>
    <w:rsid w:val="00904931"/>
    <w:rsid w:val="00904A31"/>
    <w:rsid w:val="00904A43"/>
    <w:rsid w:val="00904B4A"/>
    <w:rsid w:val="00904B59"/>
    <w:rsid w:val="00904B8C"/>
    <w:rsid w:val="00904C74"/>
    <w:rsid w:val="00904C75"/>
    <w:rsid w:val="00904D01"/>
    <w:rsid w:val="00904DAC"/>
    <w:rsid w:val="00904E1B"/>
    <w:rsid w:val="00904E5C"/>
    <w:rsid w:val="00904EDA"/>
    <w:rsid w:val="009050F3"/>
    <w:rsid w:val="0090514D"/>
    <w:rsid w:val="00905174"/>
    <w:rsid w:val="009051B7"/>
    <w:rsid w:val="00905205"/>
    <w:rsid w:val="0090535A"/>
    <w:rsid w:val="009053F7"/>
    <w:rsid w:val="00905422"/>
    <w:rsid w:val="009055E8"/>
    <w:rsid w:val="009055F8"/>
    <w:rsid w:val="00905601"/>
    <w:rsid w:val="0090562B"/>
    <w:rsid w:val="009056A8"/>
    <w:rsid w:val="0090583A"/>
    <w:rsid w:val="009058D5"/>
    <w:rsid w:val="00905A5B"/>
    <w:rsid w:val="00905C83"/>
    <w:rsid w:val="00905DAC"/>
    <w:rsid w:val="00905E3D"/>
    <w:rsid w:val="00905E3E"/>
    <w:rsid w:val="00905F40"/>
    <w:rsid w:val="009061EE"/>
    <w:rsid w:val="00906246"/>
    <w:rsid w:val="00906301"/>
    <w:rsid w:val="00906460"/>
    <w:rsid w:val="009065C9"/>
    <w:rsid w:val="0090665F"/>
    <w:rsid w:val="00906695"/>
    <w:rsid w:val="00906779"/>
    <w:rsid w:val="00906795"/>
    <w:rsid w:val="009068D4"/>
    <w:rsid w:val="00906936"/>
    <w:rsid w:val="00906B43"/>
    <w:rsid w:val="00906B77"/>
    <w:rsid w:val="00906C27"/>
    <w:rsid w:val="00906D69"/>
    <w:rsid w:val="00906D88"/>
    <w:rsid w:val="00906E8A"/>
    <w:rsid w:val="00906EA1"/>
    <w:rsid w:val="00906FB1"/>
    <w:rsid w:val="0090706A"/>
    <w:rsid w:val="009071F9"/>
    <w:rsid w:val="0090734E"/>
    <w:rsid w:val="0090745A"/>
    <w:rsid w:val="0090749C"/>
    <w:rsid w:val="009074DA"/>
    <w:rsid w:val="009074EA"/>
    <w:rsid w:val="00907554"/>
    <w:rsid w:val="009076BE"/>
    <w:rsid w:val="0090775E"/>
    <w:rsid w:val="00907787"/>
    <w:rsid w:val="0090779F"/>
    <w:rsid w:val="00907875"/>
    <w:rsid w:val="00907967"/>
    <w:rsid w:val="0090796B"/>
    <w:rsid w:val="009079D7"/>
    <w:rsid w:val="00907B80"/>
    <w:rsid w:val="00907E3D"/>
    <w:rsid w:val="009100B0"/>
    <w:rsid w:val="009101E5"/>
    <w:rsid w:val="00910274"/>
    <w:rsid w:val="00910379"/>
    <w:rsid w:val="009103CA"/>
    <w:rsid w:val="009104B1"/>
    <w:rsid w:val="009104B6"/>
    <w:rsid w:val="0091058E"/>
    <w:rsid w:val="00910603"/>
    <w:rsid w:val="00910631"/>
    <w:rsid w:val="009106B0"/>
    <w:rsid w:val="009106EE"/>
    <w:rsid w:val="00910742"/>
    <w:rsid w:val="009107F1"/>
    <w:rsid w:val="009108BE"/>
    <w:rsid w:val="009108E0"/>
    <w:rsid w:val="0091091A"/>
    <w:rsid w:val="00910965"/>
    <w:rsid w:val="00910A09"/>
    <w:rsid w:val="00910C66"/>
    <w:rsid w:val="00910E1D"/>
    <w:rsid w:val="00910F6D"/>
    <w:rsid w:val="00910FB5"/>
    <w:rsid w:val="00911084"/>
    <w:rsid w:val="009110E3"/>
    <w:rsid w:val="009111C5"/>
    <w:rsid w:val="009111CC"/>
    <w:rsid w:val="0091128B"/>
    <w:rsid w:val="0091138B"/>
    <w:rsid w:val="00911420"/>
    <w:rsid w:val="009114A2"/>
    <w:rsid w:val="009115A0"/>
    <w:rsid w:val="00911644"/>
    <w:rsid w:val="009116A8"/>
    <w:rsid w:val="009118CD"/>
    <w:rsid w:val="00911BCD"/>
    <w:rsid w:val="00911C03"/>
    <w:rsid w:val="00911C24"/>
    <w:rsid w:val="00911CBA"/>
    <w:rsid w:val="00911D23"/>
    <w:rsid w:val="00911D33"/>
    <w:rsid w:val="00911DAE"/>
    <w:rsid w:val="00911DC8"/>
    <w:rsid w:val="00911F6D"/>
    <w:rsid w:val="0091212E"/>
    <w:rsid w:val="009121D1"/>
    <w:rsid w:val="009122A0"/>
    <w:rsid w:val="0091231B"/>
    <w:rsid w:val="0091232D"/>
    <w:rsid w:val="00912575"/>
    <w:rsid w:val="009125BE"/>
    <w:rsid w:val="0091264D"/>
    <w:rsid w:val="009126BC"/>
    <w:rsid w:val="009128A6"/>
    <w:rsid w:val="00912B39"/>
    <w:rsid w:val="00912BCD"/>
    <w:rsid w:val="00912C2C"/>
    <w:rsid w:val="00912EB2"/>
    <w:rsid w:val="00912EBC"/>
    <w:rsid w:val="00912ED6"/>
    <w:rsid w:val="0091305D"/>
    <w:rsid w:val="00913104"/>
    <w:rsid w:val="0091311B"/>
    <w:rsid w:val="00913178"/>
    <w:rsid w:val="0091318B"/>
    <w:rsid w:val="009132CE"/>
    <w:rsid w:val="00913513"/>
    <w:rsid w:val="009135CC"/>
    <w:rsid w:val="00913732"/>
    <w:rsid w:val="009137E7"/>
    <w:rsid w:val="0091398E"/>
    <w:rsid w:val="009139F7"/>
    <w:rsid w:val="00913B7D"/>
    <w:rsid w:val="00913BAA"/>
    <w:rsid w:val="00913C13"/>
    <w:rsid w:val="00913E26"/>
    <w:rsid w:val="00913F27"/>
    <w:rsid w:val="00913F8F"/>
    <w:rsid w:val="00914049"/>
    <w:rsid w:val="00914073"/>
    <w:rsid w:val="009140DC"/>
    <w:rsid w:val="00914119"/>
    <w:rsid w:val="00914133"/>
    <w:rsid w:val="009141A9"/>
    <w:rsid w:val="009141CB"/>
    <w:rsid w:val="009141F1"/>
    <w:rsid w:val="00914203"/>
    <w:rsid w:val="00914218"/>
    <w:rsid w:val="00914245"/>
    <w:rsid w:val="00914348"/>
    <w:rsid w:val="00914371"/>
    <w:rsid w:val="00914375"/>
    <w:rsid w:val="0091443A"/>
    <w:rsid w:val="0091445A"/>
    <w:rsid w:val="0091445B"/>
    <w:rsid w:val="009144F6"/>
    <w:rsid w:val="00914556"/>
    <w:rsid w:val="009146D5"/>
    <w:rsid w:val="009147AE"/>
    <w:rsid w:val="009149A4"/>
    <w:rsid w:val="00914A1A"/>
    <w:rsid w:val="00914AB6"/>
    <w:rsid w:val="00914AD0"/>
    <w:rsid w:val="00914B15"/>
    <w:rsid w:val="00914B63"/>
    <w:rsid w:val="00914B79"/>
    <w:rsid w:val="00914C36"/>
    <w:rsid w:val="00914D63"/>
    <w:rsid w:val="00914DB9"/>
    <w:rsid w:val="00915031"/>
    <w:rsid w:val="0091507E"/>
    <w:rsid w:val="009150E9"/>
    <w:rsid w:val="0091517D"/>
    <w:rsid w:val="00915218"/>
    <w:rsid w:val="009153FC"/>
    <w:rsid w:val="00915413"/>
    <w:rsid w:val="009157E7"/>
    <w:rsid w:val="009157F0"/>
    <w:rsid w:val="0091586B"/>
    <w:rsid w:val="0091598E"/>
    <w:rsid w:val="00915A09"/>
    <w:rsid w:val="00915B53"/>
    <w:rsid w:val="00915D2E"/>
    <w:rsid w:val="00915F7F"/>
    <w:rsid w:val="00915F94"/>
    <w:rsid w:val="00915FBC"/>
    <w:rsid w:val="00915FCA"/>
    <w:rsid w:val="00916247"/>
    <w:rsid w:val="0091641C"/>
    <w:rsid w:val="0091649E"/>
    <w:rsid w:val="009164A7"/>
    <w:rsid w:val="0091655D"/>
    <w:rsid w:val="00916745"/>
    <w:rsid w:val="00916753"/>
    <w:rsid w:val="00916973"/>
    <w:rsid w:val="00916A4A"/>
    <w:rsid w:val="00916A7F"/>
    <w:rsid w:val="00916B21"/>
    <w:rsid w:val="00916B51"/>
    <w:rsid w:val="00916B97"/>
    <w:rsid w:val="00916C41"/>
    <w:rsid w:val="00916C8C"/>
    <w:rsid w:val="00916DB9"/>
    <w:rsid w:val="00916E0E"/>
    <w:rsid w:val="00916E38"/>
    <w:rsid w:val="00916E8D"/>
    <w:rsid w:val="00916E9F"/>
    <w:rsid w:val="00916FAF"/>
    <w:rsid w:val="0091716A"/>
    <w:rsid w:val="00917203"/>
    <w:rsid w:val="00917210"/>
    <w:rsid w:val="00917279"/>
    <w:rsid w:val="009172CF"/>
    <w:rsid w:val="0091745E"/>
    <w:rsid w:val="009174E1"/>
    <w:rsid w:val="00917643"/>
    <w:rsid w:val="009178E5"/>
    <w:rsid w:val="009179D0"/>
    <w:rsid w:val="00917A7B"/>
    <w:rsid w:val="00917A85"/>
    <w:rsid w:val="00917BB1"/>
    <w:rsid w:val="00917CA9"/>
    <w:rsid w:val="00917CAD"/>
    <w:rsid w:val="00917D88"/>
    <w:rsid w:val="009200CF"/>
    <w:rsid w:val="00920296"/>
    <w:rsid w:val="00920371"/>
    <w:rsid w:val="0092037C"/>
    <w:rsid w:val="009205CF"/>
    <w:rsid w:val="00920630"/>
    <w:rsid w:val="009206CE"/>
    <w:rsid w:val="009206D4"/>
    <w:rsid w:val="00920839"/>
    <w:rsid w:val="0092085B"/>
    <w:rsid w:val="00920898"/>
    <w:rsid w:val="009208C8"/>
    <w:rsid w:val="00920900"/>
    <w:rsid w:val="009209E0"/>
    <w:rsid w:val="00920AB5"/>
    <w:rsid w:val="00920ABB"/>
    <w:rsid w:val="00920B00"/>
    <w:rsid w:val="00920B0A"/>
    <w:rsid w:val="00920E3C"/>
    <w:rsid w:val="00920E9E"/>
    <w:rsid w:val="00920EDB"/>
    <w:rsid w:val="00920FF7"/>
    <w:rsid w:val="0092110F"/>
    <w:rsid w:val="009212C1"/>
    <w:rsid w:val="009212F6"/>
    <w:rsid w:val="00921325"/>
    <w:rsid w:val="00921384"/>
    <w:rsid w:val="009213A5"/>
    <w:rsid w:val="009213E9"/>
    <w:rsid w:val="0092147D"/>
    <w:rsid w:val="0092148C"/>
    <w:rsid w:val="00921775"/>
    <w:rsid w:val="0092178B"/>
    <w:rsid w:val="009218B0"/>
    <w:rsid w:val="009219E3"/>
    <w:rsid w:val="00921A1E"/>
    <w:rsid w:val="00921A2F"/>
    <w:rsid w:val="00921AA5"/>
    <w:rsid w:val="00921B41"/>
    <w:rsid w:val="00921DDC"/>
    <w:rsid w:val="00921E71"/>
    <w:rsid w:val="009220BC"/>
    <w:rsid w:val="009220DC"/>
    <w:rsid w:val="00922106"/>
    <w:rsid w:val="00922126"/>
    <w:rsid w:val="0092212A"/>
    <w:rsid w:val="009221BB"/>
    <w:rsid w:val="0092231A"/>
    <w:rsid w:val="0092235B"/>
    <w:rsid w:val="00922534"/>
    <w:rsid w:val="009225A7"/>
    <w:rsid w:val="009225EC"/>
    <w:rsid w:val="00922604"/>
    <w:rsid w:val="00922614"/>
    <w:rsid w:val="00922630"/>
    <w:rsid w:val="00922697"/>
    <w:rsid w:val="009227A0"/>
    <w:rsid w:val="00922824"/>
    <w:rsid w:val="00922985"/>
    <w:rsid w:val="00922A52"/>
    <w:rsid w:val="00922B07"/>
    <w:rsid w:val="00922BB6"/>
    <w:rsid w:val="00922BDA"/>
    <w:rsid w:val="00922C76"/>
    <w:rsid w:val="00922C8B"/>
    <w:rsid w:val="00922CBA"/>
    <w:rsid w:val="00922CEF"/>
    <w:rsid w:val="00922D5C"/>
    <w:rsid w:val="00922DCA"/>
    <w:rsid w:val="00922DF3"/>
    <w:rsid w:val="00922EFA"/>
    <w:rsid w:val="00922EFB"/>
    <w:rsid w:val="009230D0"/>
    <w:rsid w:val="00923133"/>
    <w:rsid w:val="00923134"/>
    <w:rsid w:val="0092314A"/>
    <w:rsid w:val="0092316B"/>
    <w:rsid w:val="0092324A"/>
    <w:rsid w:val="00923297"/>
    <w:rsid w:val="009232A3"/>
    <w:rsid w:val="009232DC"/>
    <w:rsid w:val="009233BC"/>
    <w:rsid w:val="009233C9"/>
    <w:rsid w:val="009234A2"/>
    <w:rsid w:val="00923756"/>
    <w:rsid w:val="00923884"/>
    <w:rsid w:val="0092390C"/>
    <w:rsid w:val="0092395C"/>
    <w:rsid w:val="009239A2"/>
    <w:rsid w:val="00923B8A"/>
    <w:rsid w:val="00923C36"/>
    <w:rsid w:val="00923D37"/>
    <w:rsid w:val="00923DE6"/>
    <w:rsid w:val="00923DEF"/>
    <w:rsid w:val="00923E40"/>
    <w:rsid w:val="00923E5A"/>
    <w:rsid w:val="00923F19"/>
    <w:rsid w:val="00923F39"/>
    <w:rsid w:val="00923FAD"/>
    <w:rsid w:val="00923FB8"/>
    <w:rsid w:val="0092418E"/>
    <w:rsid w:val="0092426D"/>
    <w:rsid w:val="0092429C"/>
    <w:rsid w:val="00924335"/>
    <w:rsid w:val="00924345"/>
    <w:rsid w:val="00924565"/>
    <w:rsid w:val="00924687"/>
    <w:rsid w:val="00924742"/>
    <w:rsid w:val="009247AA"/>
    <w:rsid w:val="00924A98"/>
    <w:rsid w:val="00924ACD"/>
    <w:rsid w:val="00924E2E"/>
    <w:rsid w:val="00924EC7"/>
    <w:rsid w:val="00924FBE"/>
    <w:rsid w:val="009250BA"/>
    <w:rsid w:val="009250F3"/>
    <w:rsid w:val="00925172"/>
    <w:rsid w:val="009251D5"/>
    <w:rsid w:val="00925305"/>
    <w:rsid w:val="00925313"/>
    <w:rsid w:val="009254CF"/>
    <w:rsid w:val="009254EC"/>
    <w:rsid w:val="0092555A"/>
    <w:rsid w:val="00925593"/>
    <w:rsid w:val="009256D7"/>
    <w:rsid w:val="009256FC"/>
    <w:rsid w:val="00925807"/>
    <w:rsid w:val="0092580E"/>
    <w:rsid w:val="009258DB"/>
    <w:rsid w:val="00925919"/>
    <w:rsid w:val="00925934"/>
    <w:rsid w:val="00925A2C"/>
    <w:rsid w:val="00925A72"/>
    <w:rsid w:val="00925ACD"/>
    <w:rsid w:val="00925BDB"/>
    <w:rsid w:val="00925BE7"/>
    <w:rsid w:val="00925C0E"/>
    <w:rsid w:val="00925C28"/>
    <w:rsid w:val="00925C4E"/>
    <w:rsid w:val="00925C7A"/>
    <w:rsid w:val="00925EF2"/>
    <w:rsid w:val="00925F6D"/>
    <w:rsid w:val="009261CE"/>
    <w:rsid w:val="009261FF"/>
    <w:rsid w:val="0092621D"/>
    <w:rsid w:val="0092649E"/>
    <w:rsid w:val="009264CC"/>
    <w:rsid w:val="00926536"/>
    <w:rsid w:val="00926612"/>
    <w:rsid w:val="00926791"/>
    <w:rsid w:val="0092680D"/>
    <w:rsid w:val="0092685F"/>
    <w:rsid w:val="009268E2"/>
    <w:rsid w:val="00926A04"/>
    <w:rsid w:val="00926A74"/>
    <w:rsid w:val="00926AE8"/>
    <w:rsid w:val="00926B07"/>
    <w:rsid w:val="00926BBD"/>
    <w:rsid w:val="00926C66"/>
    <w:rsid w:val="00926CA5"/>
    <w:rsid w:val="00926DE6"/>
    <w:rsid w:val="00926F9D"/>
    <w:rsid w:val="00926FD9"/>
    <w:rsid w:val="00927053"/>
    <w:rsid w:val="00927073"/>
    <w:rsid w:val="009270A1"/>
    <w:rsid w:val="009270A2"/>
    <w:rsid w:val="009270C5"/>
    <w:rsid w:val="0092718C"/>
    <w:rsid w:val="009273C8"/>
    <w:rsid w:val="009273EF"/>
    <w:rsid w:val="009275A7"/>
    <w:rsid w:val="009275FE"/>
    <w:rsid w:val="00927645"/>
    <w:rsid w:val="0092779A"/>
    <w:rsid w:val="00927859"/>
    <w:rsid w:val="00927876"/>
    <w:rsid w:val="009278DA"/>
    <w:rsid w:val="0092790C"/>
    <w:rsid w:val="0092799A"/>
    <w:rsid w:val="009279A3"/>
    <w:rsid w:val="009279CD"/>
    <w:rsid w:val="00927A58"/>
    <w:rsid w:val="00927B3C"/>
    <w:rsid w:val="00927C44"/>
    <w:rsid w:val="00927CD2"/>
    <w:rsid w:val="00927CFF"/>
    <w:rsid w:val="00927E26"/>
    <w:rsid w:val="00927E83"/>
    <w:rsid w:val="00930063"/>
    <w:rsid w:val="0093009C"/>
    <w:rsid w:val="0093015C"/>
    <w:rsid w:val="009301A6"/>
    <w:rsid w:val="009301C9"/>
    <w:rsid w:val="00930258"/>
    <w:rsid w:val="009302C3"/>
    <w:rsid w:val="009302CE"/>
    <w:rsid w:val="00930303"/>
    <w:rsid w:val="00930304"/>
    <w:rsid w:val="009303E9"/>
    <w:rsid w:val="009304A4"/>
    <w:rsid w:val="0093050B"/>
    <w:rsid w:val="009305B5"/>
    <w:rsid w:val="0093062A"/>
    <w:rsid w:val="009307B2"/>
    <w:rsid w:val="009308D0"/>
    <w:rsid w:val="00930A37"/>
    <w:rsid w:val="00930A39"/>
    <w:rsid w:val="00930B07"/>
    <w:rsid w:val="00930C1D"/>
    <w:rsid w:val="00930DBB"/>
    <w:rsid w:val="00930F33"/>
    <w:rsid w:val="00930FA2"/>
    <w:rsid w:val="00930FD0"/>
    <w:rsid w:val="0093106D"/>
    <w:rsid w:val="0093106F"/>
    <w:rsid w:val="009310FD"/>
    <w:rsid w:val="00931118"/>
    <w:rsid w:val="0093117A"/>
    <w:rsid w:val="009311D9"/>
    <w:rsid w:val="009312A9"/>
    <w:rsid w:val="009312D8"/>
    <w:rsid w:val="009314D7"/>
    <w:rsid w:val="009314E4"/>
    <w:rsid w:val="009314E7"/>
    <w:rsid w:val="00931528"/>
    <w:rsid w:val="00931531"/>
    <w:rsid w:val="0093165E"/>
    <w:rsid w:val="0093165F"/>
    <w:rsid w:val="009316BC"/>
    <w:rsid w:val="00931856"/>
    <w:rsid w:val="00931983"/>
    <w:rsid w:val="009319BD"/>
    <w:rsid w:val="009319C5"/>
    <w:rsid w:val="009319DB"/>
    <w:rsid w:val="00931C27"/>
    <w:rsid w:val="00931C78"/>
    <w:rsid w:val="00931CF1"/>
    <w:rsid w:val="00931F9B"/>
    <w:rsid w:val="00931FB4"/>
    <w:rsid w:val="00931FC9"/>
    <w:rsid w:val="0093204C"/>
    <w:rsid w:val="009320AE"/>
    <w:rsid w:val="009321D1"/>
    <w:rsid w:val="0093243B"/>
    <w:rsid w:val="00932557"/>
    <w:rsid w:val="009325CA"/>
    <w:rsid w:val="009325F4"/>
    <w:rsid w:val="00932688"/>
    <w:rsid w:val="0093296F"/>
    <w:rsid w:val="00932AED"/>
    <w:rsid w:val="00932B3C"/>
    <w:rsid w:val="00932BE5"/>
    <w:rsid w:val="00932C18"/>
    <w:rsid w:val="00932C25"/>
    <w:rsid w:val="00932C6A"/>
    <w:rsid w:val="00932CA8"/>
    <w:rsid w:val="00932DBC"/>
    <w:rsid w:val="00932DE8"/>
    <w:rsid w:val="00932E0F"/>
    <w:rsid w:val="00932E32"/>
    <w:rsid w:val="00933055"/>
    <w:rsid w:val="00933152"/>
    <w:rsid w:val="0093317C"/>
    <w:rsid w:val="009332A1"/>
    <w:rsid w:val="009332FF"/>
    <w:rsid w:val="00933459"/>
    <w:rsid w:val="0093349C"/>
    <w:rsid w:val="00933509"/>
    <w:rsid w:val="00933668"/>
    <w:rsid w:val="00933691"/>
    <w:rsid w:val="00933742"/>
    <w:rsid w:val="009338AE"/>
    <w:rsid w:val="0093395D"/>
    <w:rsid w:val="009339BA"/>
    <w:rsid w:val="009339DA"/>
    <w:rsid w:val="00933A66"/>
    <w:rsid w:val="00933AE7"/>
    <w:rsid w:val="00933C15"/>
    <w:rsid w:val="00933D65"/>
    <w:rsid w:val="00933D80"/>
    <w:rsid w:val="00933EC8"/>
    <w:rsid w:val="00933F23"/>
    <w:rsid w:val="0093408E"/>
    <w:rsid w:val="00934115"/>
    <w:rsid w:val="0093417B"/>
    <w:rsid w:val="009341FE"/>
    <w:rsid w:val="00934345"/>
    <w:rsid w:val="009343AF"/>
    <w:rsid w:val="00934463"/>
    <w:rsid w:val="00934523"/>
    <w:rsid w:val="0093455A"/>
    <w:rsid w:val="00934724"/>
    <w:rsid w:val="009348AD"/>
    <w:rsid w:val="009348D0"/>
    <w:rsid w:val="00934B25"/>
    <w:rsid w:val="00934B2D"/>
    <w:rsid w:val="00934C29"/>
    <w:rsid w:val="00934D62"/>
    <w:rsid w:val="00934DA0"/>
    <w:rsid w:val="00934EAB"/>
    <w:rsid w:val="00934ED0"/>
    <w:rsid w:val="00934EFD"/>
    <w:rsid w:val="00934F0C"/>
    <w:rsid w:val="00935095"/>
    <w:rsid w:val="00935099"/>
    <w:rsid w:val="009350F0"/>
    <w:rsid w:val="00935141"/>
    <w:rsid w:val="0093521A"/>
    <w:rsid w:val="00935264"/>
    <w:rsid w:val="009352CC"/>
    <w:rsid w:val="00935329"/>
    <w:rsid w:val="0093555B"/>
    <w:rsid w:val="009355F5"/>
    <w:rsid w:val="00935689"/>
    <w:rsid w:val="009356EB"/>
    <w:rsid w:val="00935722"/>
    <w:rsid w:val="009358B4"/>
    <w:rsid w:val="009358E7"/>
    <w:rsid w:val="009358E9"/>
    <w:rsid w:val="0093597B"/>
    <w:rsid w:val="0093599B"/>
    <w:rsid w:val="009359C2"/>
    <w:rsid w:val="009359DE"/>
    <w:rsid w:val="00935A1C"/>
    <w:rsid w:val="00935A49"/>
    <w:rsid w:val="00935C5D"/>
    <w:rsid w:val="00935D5E"/>
    <w:rsid w:val="00935D75"/>
    <w:rsid w:val="00935D8D"/>
    <w:rsid w:val="00935EB3"/>
    <w:rsid w:val="00935F80"/>
    <w:rsid w:val="00935FD9"/>
    <w:rsid w:val="0093601A"/>
    <w:rsid w:val="00936096"/>
    <w:rsid w:val="009360EB"/>
    <w:rsid w:val="009363E9"/>
    <w:rsid w:val="00936523"/>
    <w:rsid w:val="00936682"/>
    <w:rsid w:val="0093695A"/>
    <w:rsid w:val="009369C3"/>
    <w:rsid w:val="00936A21"/>
    <w:rsid w:val="00936B9F"/>
    <w:rsid w:val="00936BD1"/>
    <w:rsid w:val="00936C77"/>
    <w:rsid w:val="00936CAD"/>
    <w:rsid w:val="00936D5E"/>
    <w:rsid w:val="00936E3A"/>
    <w:rsid w:val="00936F3F"/>
    <w:rsid w:val="00937042"/>
    <w:rsid w:val="0093713A"/>
    <w:rsid w:val="0093719E"/>
    <w:rsid w:val="009372DF"/>
    <w:rsid w:val="00937352"/>
    <w:rsid w:val="00937406"/>
    <w:rsid w:val="00937511"/>
    <w:rsid w:val="00937637"/>
    <w:rsid w:val="0093765F"/>
    <w:rsid w:val="00937735"/>
    <w:rsid w:val="009378E5"/>
    <w:rsid w:val="009379F4"/>
    <w:rsid w:val="00937A0C"/>
    <w:rsid w:val="00937B7B"/>
    <w:rsid w:val="00937B82"/>
    <w:rsid w:val="00937BC2"/>
    <w:rsid w:val="00937C55"/>
    <w:rsid w:val="00937D35"/>
    <w:rsid w:val="00937E59"/>
    <w:rsid w:val="00937EED"/>
    <w:rsid w:val="00937F07"/>
    <w:rsid w:val="00937F97"/>
    <w:rsid w:val="009400AC"/>
    <w:rsid w:val="009400ED"/>
    <w:rsid w:val="00940104"/>
    <w:rsid w:val="00940175"/>
    <w:rsid w:val="00940225"/>
    <w:rsid w:val="0094026B"/>
    <w:rsid w:val="0094027D"/>
    <w:rsid w:val="0094029A"/>
    <w:rsid w:val="0094046F"/>
    <w:rsid w:val="009404D2"/>
    <w:rsid w:val="009404D7"/>
    <w:rsid w:val="00940549"/>
    <w:rsid w:val="009407AF"/>
    <w:rsid w:val="0094081C"/>
    <w:rsid w:val="00940824"/>
    <w:rsid w:val="00940AF4"/>
    <w:rsid w:val="00940B4B"/>
    <w:rsid w:val="00940B87"/>
    <w:rsid w:val="00940D07"/>
    <w:rsid w:val="00940DE9"/>
    <w:rsid w:val="00940E64"/>
    <w:rsid w:val="00940E6D"/>
    <w:rsid w:val="00940F33"/>
    <w:rsid w:val="00940F73"/>
    <w:rsid w:val="009410DC"/>
    <w:rsid w:val="00941224"/>
    <w:rsid w:val="009412DF"/>
    <w:rsid w:val="009413B9"/>
    <w:rsid w:val="009414CB"/>
    <w:rsid w:val="0094162D"/>
    <w:rsid w:val="00941696"/>
    <w:rsid w:val="009416B0"/>
    <w:rsid w:val="009419A4"/>
    <w:rsid w:val="00941B15"/>
    <w:rsid w:val="00941B33"/>
    <w:rsid w:val="00941CD3"/>
    <w:rsid w:val="00941CD7"/>
    <w:rsid w:val="00941F5F"/>
    <w:rsid w:val="0094209D"/>
    <w:rsid w:val="00942124"/>
    <w:rsid w:val="0094212A"/>
    <w:rsid w:val="00942204"/>
    <w:rsid w:val="0094233B"/>
    <w:rsid w:val="009423A0"/>
    <w:rsid w:val="009423EC"/>
    <w:rsid w:val="00942481"/>
    <w:rsid w:val="00942631"/>
    <w:rsid w:val="00942679"/>
    <w:rsid w:val="0094267A"/>
    <w:rsid w:val="00942692"/>
    <w:rsid w:val="0094271C"/>
    <w:rsid w:val="009427AF"/>
    <w:rsid w:val="00942838"/>
    <w:rsid w:val="00942C06"/>
    <w:rsid w:val="00942D9E"/>
    <w:rsid w:val="00942E95"/>
    <w:rsid w:val="00942EBA"/>
    <w:rsid w:val="00942F3B"/>
    <w:rsid w:val="00942F5A"/>
    <w:rsid w:val="00943295"/>
    <w:rsid w:val="0094332A"/>
    <w:rsid w:val="00943452"/>
    <w:rsid w:val="009435AE"/>
    <w:rsid w:val="009435C8"/>
    <w:rsid w:val="009435F1"/>
    <w:rsid w:val="0094361A"/>
    <w:rsid w:val="009436A0"/>
    <w:rsid w:val="00943711"/>
    <w:rsid w:val="0094371B"/>
    <w:rsid w:val="0094382A"/>
    <w:rsid w:val="00943878"/>
    <w:rsid w:val="0094387C"/>
    <w:rsid w:val="009438A2"/>
    <w:rsid w:val="0094393B"/>
    <w:rsid w:val="00943952"/>
    <w:rsid w:val="00943A6E"/>
    <w:rsid w:val="00943AB6"/>
    <w:rsid w:val="00943BBC"/>
    <w:rsid w:val="00943CC7"/>
    <w:rsid w:val="00943D14"/>
    <w:rsid w:val="00943E84"/>
    <w:rsid w:val="00944003"/>
    <w:rsid w:val="00944038"/>
    <w:rsid w:val="00944085"/>
    <w:rsid w:val="009440F2"/>
    <w:rsid w:val="009441AF"/>
    <w:rsid w:val="009441D8"/>
    <w:rsid w:val="00944327"/>
    <w:rsid w:val="0094435F"/>
    <w:rsid w:val="0094445C"/>
    <w:rsid w:val="0094451A"/>
    <w:rsid w:val="00944548"/>
    <w:rsid w:val="00944561"/>
    <w:rsid w:val="0094460C"/>
    <w:rsid w:val="0094464A"/>
    <w:rsid w:val="0094468F"/>
    <w:rsid w:val="0094479E"/>
    <w:rsid w:val="00944831"/>
    <w:rsid w:val="00944A3B"/>
    <w:rsid w:val="00944BD6"/>
    <w:rsid w:val="00944C3E"/>
    <w:rsid w:val="00944CA4"/>
    <w:rsid w:val="00944CA6"/>
    <w:rsid w:val="00944CF0"/>
    <w:rsid w:val="00944D06"/>
    <w:rsid w:val="00944F54"/>
    <w:rsid w:val="00944FCA"/>
    <w:rsid w:val="00945200"/>
    <w:rsid w:val="0094534C"/>
    <w:rsid w:val="00945429"/>
    <w:rsid w:val="00945534"/>
    <w:rsid w:val="00945582"/>
    <w:rsid w:val="009456BF"/>
    <w:rsid w:val="009456C8"/>
    <w:rsid w:val="00945728"/>
    <w:rsid w:val="00945730"/>
    <w:rsid w:val="00945749"/>
    <w:rsid w:val="00945776"/>
    <w:rsid w:val="00945857"/>
    <w:rsid w:val="009459A2"/>
    <w:rsid w:val="00945C0C"/>
    <w:rsid w:val="00945C3D"/>
    <w:rsid w:val="00945D64"/>
    <w:rsid w:val="00945F39"/>
    <w:rsid w:val="00945FC2"/>
    <w:rsid w:val="009461E4"/>
    <w:rsid w:val="00946349"/>
    <w:rsid w:val="009463B7"/>
    <w:rsid w:val="0094640C"/>
    <w:rsid w:val="00946482"/>
    <w:rsid w:val="009465AB"/>
    <w:rsid w:val="00946605"/>
    <w:rsid w:val="00946748"/>
    <w:rsid w:val="00946759"/>
    <w:rsid w:val="00946793"/>
    <w:rsid w:val="00946986"/>
    <w:rsid w:val="00946A0F"/>
    <w:rsid w:val="00946AEB"/>
    <w:rsid w:val="00946AF4"/>
    <w:rsid w:val="00946CE2"/>
    <w:rsid w:val="00946D7A"/>
    <w:rsid w:val="00946D84"/>
    <w:rsid w:val="00946DB9"/>
    <w:rsid w:val="00946E21"/>
    <w:rsid w:val="00946E35"/>
    <w:rsid w:val="00946EFA"/>
    <w:rsid w:val="00946FA9"/>
    <w:rsid w:val="00946FC6"/>
    <w:rsid w:val="0094705B"/>
    <w:rsid w:val="009470DA"/>
    <w:rsid w:val="009471B2"/>
    <w:rsid w:val="00947262"/>
    <w:rsid w:val="009472AC"/>
    <w:rsid w:val="00947356"/>
    <w:rsid w:val="0094745A"/>
    <w:rsid w:val="0094757F"/>
    <w:rsid w:val="00947603"/>
    <w:rsid w:val="00947781"/>
    <w:rsid w:val="00947797"/>
    <w:rsid w:val="0094781B"/>
    <w:rsid w:val="00947850"/>
    <w:rsid w:val="009479F7"/>
    <w:rsid w:val="009479FB"/>
    <w:rsid w:val="00947B75"/>
    <w:rsid w:val="00947BDA"/>
    <w:rsid w:val="00947C4B"/>
    <w:rsid w:val="00947C5F"/>
    <w:rsid w:val="00947C60"/>
    <w:rsid w:val="00947C89"/>
    <w:rsid w:val="00947EE0"/>
    <w:rsid w:val="009500B8"/>
    <w:rsid w:val="009500E7"/>
    <w:rsid w:val="00950109"/>
    <w:rsid w:val="0095022D"/>
    <w:rsid w:val="00950254"/>
    <w:rsid w:val="0095028E"/>
    <w:rsid w:val="009504BE"/>
    <w:rsid w:val="00950537"/>
    <w:rsid w:val="00950567"/>
    <w:rsid w:val="009505D0"/>
    <w:rsid w:val="00950712"/>
    <w:rsid w:val="00950766"/>
    <w:rsid w:val="009507A3"/>
    <w:rsid w:val="0095084F"/>
    <w:rsid w:val="00950870"/>
    <w:rsid w:val="009508C1"/>
    <w:rsid w:val="0095092E"/>
    <w:rsid w:val="009509FD"/>
    <w:rsid w:val="00950AD5"/>
    <w:rsid w:val="00950BA6"/>
    <w:rsid w:val="00950BDD"/>
    <w:rsid w:val="00950BEA"/>
    <w:rsid w:val="00950C65"/>
    <w:rsid w:val="00950CA4"/>
    <w:rsid w:val="00950CDD"/>
    <w:rsid w:val="00950CF5"/>
    <w:rsid w:val="00950D00"/>
    <w:rsid w:val="00950DC6"/>
    <w:rsid w:val="00950E78"/>
    <w:rsid w:val="00950FFE"/>
    <w:rsid w:val="009510B4"/>
    <w:rsid w:val="00951260"/>
    <w:rsid w:val="009512D7"/>
    <w:rsid w:val="00951341"/>
    <w:rsid w:val="00951432"/>
    <w:rsid w:val="00951486"/>
    <w:rsid w:val="0095150B"/>
    <w:rsid w:val="00951537"/>
    <w:rsid w:val="00951539"/>
    <w:rsid w:val="0095167F"/>
    <w:rsid w:val="009516D2"/>
    <w:rsid w:val="0095187D"/>
    <w:rsid w:val="00951924"/>
    <w:rsid w:val="00951940"/>
    <w:rsid w:val="009519F5"/>
    <w:rsid w:val="009519FA"/>
    <w:rsid w:val="00951A4C"/>
    <w:rsid w:val="00951ADE"/>
    <w:rsid w:val="00951AFA"/>
    <w:rsid w:val="00951BD3"/>
    <w:rsid w:val="00951C76"/>
    <w:rsid w:val="00951CDE"/>
    <w:rsid w:val="00951D9E"/>
    <w:rsid w:val="00951DD4"/>
    <w:rsid w:val="00951EEB"/>
    <w:rsid w:val="00951EF0"/>
    <w:rsid w:val="0095219C"/>
    <w:rsid w:val="00952242"/>
    <w:rsid w:val="009522A4"/>
    <w:rsid w:val="009522C2"/>
    <w:rsid w:val="00952327"/>
    <w:rsid w:val="009523EE"/>
    <w:rsid w:val="009523FC"/>
    <w:rsid w:val="00952606"/>
    <w:rsid w:val="0095262B"/>
    <w:rsid w:val="00952630"/>
    <w:rsid w:val="00952680"/>
    <w:rsid w:val="00952766"/>
    <w:rsid w:val="00952767"/>
    <w:rsid w:val="009527C7"/>
    <w:rsid w:val="00952833"/>
    <w:rsid w:val="009529DF"/>
    <w:rsid w:val="00952C95"/>
    <w:rsid w:val="00952D63"/>
    <w:rsid w:val="00952DA3"/>
    <w:rsid w:val="00952E6F"/>
    <w:rsid w:val="00952EDA"/>
    <w:rsid w:val="00952FC8"/>
    <w:rsid w:val="009530D0"/>
    <w:rsid w:val="00953120"/>
    <w:rsid w:val="0095316F"/>
    <w:rsid w:val="009533CB"/>
    <w:rsid w:val="00953407"/>
    <w:rsid w:val="009534DE"/>
    <w:rsid w:val="0095354B"/>
    <w:rsid w:val="009535D4"/>
    <w:rsid w:val="009535E1"/>
    <w:rsid w:val="0095369D"/>
    <w:rsid w:val="00953765"/>
    <w:rsid w:val="00953AA9"/>
    <w:rsid w:val="00953AC6"/>
    <w:rsid w:val="00953C36"/>
    <w:rsid w:val="00953D24"/>
    <w:rsid w:val="00953D3F"/>
    <w:rsid w:val="00953DB9"/>
    <w:rsid w:val="00953E7F"/>
    <w:rsid w:val="00953FB8"/>
    <w:rsid w:val="00954050"/>
    <w:rsid w:val="0095415F"/>
    <w:rsid w:val="0095419A"/>
    <w:rsid w:val="00954242"/>
    <w:rsid w:val="00954252"/>
    <w:rsid w:val="009542AF"/>
    <w:rsid w:val="00954369"/>
    <w:rsid w:val="009543C6"/>
    <w:rsid w:val="009544D6"/>
    <w:rsid w:val="00954567"/>
    <w:rsid w:val="009545F3"/>
    <w:rsid w:val="00954623"/>
    <w:rsid w:val="009546C7"/>
    <w:rsid w:val="00954758"/>
    <w:rsid w:val="0095476A"/>
    <w:rsid w:val="009547FB"/>
    <w:rsid w:val="00954836"/>
    <w:rsid w:val="0095484F"/>
    <w:rsid w:val="009548DE"/>
    <w:rsid w:val="0095492F"/>
    <w:rsid w:val="00954A11"/>
    <w:rsid w:val="00954BB6"/>
    <w:rsid w:val="00954C6C"/>
    <w:rsid w:val="00954D1B"/>
    <w:rsid w:val="00954D62"/>
    <w:rsid w:val="00954D97"/>
    <w:rsid w:val="00954E4B"/>
    <w:rsid w:val="00954F3F"/>
    <w:rsid w:val="00954F64"/>
    <w:rsid w:val="009551AD"/>
    <w:rsid w:val="009551EA"/>
    <w:rsid w:val="009551F3"/>
    <w:rsid w:val="00955264"/>
    <w:rsid w:val="009552A6"/>
    <w:rsid w:val="00955391"/>
    <w:rsid w:val="0095539C"/>
    <w:rsid w:val="00955508"/>
    <w:rsid w:val="00955588"/>
    <w:rsid w:val="00955858"/>
    <w:rsid w:val="00955980"/>
    <w:rsid w:val="009559FE"/>
    <w:rsid w:val="00955BAC"/>
    <w:rsid w:val="00955BE0"/>
    <w:rsid w:val="00955DD1"/>
    <w:rsid w:val="00955E25"/>
    <w:rsid w:val="00955EFC"/>
    <w:rsid w:val="0095616E"/>
    <w:rsid w:val="009561AD"/>
    <w:rsid w:val="00956215"/>
    <w:rsid w:val="0095624D"/>
    <w:rsid w:val="00956448"/>
    <w:rsid w:val="00956594"/>
    <w:rsid w:val="009566C8"/>
    <w:rsid w:val="009566C9"/>
    <w:rsid w:val="00956726"/>
    <w:rsid w:val="0095679D"/>
    <w:rsid w:val="009568BF"/>
    <w:rsid w:val="009568DF"/>
    <w:rsid w:val="009569D5"/>
    <w:rsid w:val="00956A1B"/>
    <w:rsid w:val="00956B21"/>
    <w:rsid w:val="00956BD7"/>
    <w:rsid w:val="00956C21"/>
    <w:rsid w:val="00956D07"/>
    <w:rsid w:val="00956EBC"/>
    <w:rsid w:val="00956F20"/>
    <w:rsid w:val="00956FAE"/>
    <w:rsid w:val="00956FDA"/>
    <w:rsid w:val="00957007"/>
    <w:rsid w:val="0095705F"/>
    <w:rsid w:val="00957181"/>
    <w:rsid w:val="009571D7"/>
    <w:rsid w:val="00957243"/>
    <w:rsid w:val="0095729E"/>
    <w:rsid w:val="009574AC"/>
    <w:rsid w:val="0095773F"/>
    <w:rsid w:val="009577A3"/>
    <w:rsid w:val="00957968"/>
    <w:rsid w:val="00957A57"/>
    <w:rsid w:val="00957BA0"/>
    <w:rsid w:val="00957BF6"/>
    <w:rsid w:val="00957C54"/>
    <w:rsid w:val="00957C58"/>
    <w:rsid w:val="00957C5E"/>
    <w:rsid w:val="00957C89"/>
    <w:rsid w:val="00957D72"/>
    <w:rsid w:val="00957ED4"/>
    <w:rsid w:val="00960128"/>
    <w:rsid w:val="009602B5"/>
    <w:rsid w:val="009603D1"/>
    <w:rsid w:val="009604E9"/>
    <w:rsid w:val="00960536"/>
    <w:rsid w:val="00960560"/>
    <w:rsid w:val="00960565"/>
    <w:rsid w:val="0096060A"/>
    <w:rsid w:val="00960687"/>
    <w:rsid w:val="009607D9"/>
    <w:rsid w:val="009607F9"/>
    <w:rsid w:val="00960BCE"/>
    <w:rsid w:val="00960D15"/>
    <w:rsid w:val="00960D3B"/>
    <w:rsid w:val="00960DCF"/>
    <w:rsid w:val="00960DF4"/>
    <w:rsid w:val="00960E98"/>
    <w:rsid w:val="0096102A"/>
    <w:rsid w:val="009610F8"/>
    <w:rsid w:val="009611CB"/>
    <w:rsid w:val="00961227"/>
    <w:rsid w:val="00961375"/>
    <w:rsid w:val="00961414"/>
    <w:rsid w:val="009614C1"/>
    <w:rsid w:val="00961521"/>
    <w:rsid w:val="009615FF"/>
    <w:rsid w:val="009616E4"/>
    <w:rsid w:val="00961739"/>
    <w:rsid w:val="00961792"/>
    <w:rsid w:val="009617F0"/>
    <w:rsid w:val="0096181F"/>
    <w:rsid w:val="0096189F"/>
    <w:rsid w:val="00961BF9"/>
    <w:rsid w:val="00961BFD"/>
    <w:rsid w:val="00961DAF"/>
    <w:rsid w:val="00961F1E"/>
    <w:rsid w:val="00962030"/>
    <w:rsid w:val="009620B6"/>
    <w:rsid w:val="0096217C"/>
    <w:rsid w:val="009621C5"/>
    <w:rsid w:val="009621D3"/>
    <w:rsid w:val="00962296"/>
    <w:rsid w:val="009622D7"/>
    <w:rsid w:val="00962328"/>
    <w:rsid w:val="00962338"/>
    <w:rsid w:val="0096233D"/>
    <w:rsid w:val="009623D2"/>
    <w:rsid w:val="00962504"/>
    <w:rsid w:val="009625A0"/>
    <w:rsid w:val="00962651"/>
    <w:rsid w:val="009626B4"/>
    <w:rsid w:val="009626E0"/>
    <w:rsid w:val="0096279A"/>
    <w:rsid w:val="009627EF"/>
    <w:rsid w:val="00962835"/>
    <w:rsid w:val="00962865"/>
    <w:rsid w:val="00962898"/>
    <w:rsid w:val="009628BC"/>
    <w:rsid w:val="009628C9"/>
    <w:rsid w:val="00962956"/>
    <w:rsid w:val="00962AAF"/>
    <w:rsid w:val="00962C31"/>
    <w:rsid w:val="00962C6C"/>
    <w:rsid w:val="00962D3E"/>
    <w:rsid w:val="00962EBD"/>
    <w:rsid w:val="00962ED7"/>
    <w:rsid w:val="00962F0B"/>
    <w:rsid w:val="00962F50"/>
    <w:rsid w:val="00962FAE"/>
    <w:rsid w:val="00963080"/>
    <w:rsid w:val="00963149"/>
    <w:rsid w:val="009631D6"/>
    <w:rsid w:val="009631ED"/>
    <w:rsid w:val="00963300"/>
    <w:rsid w:val="0096333D"/>
    <w:rsid w:val="0096339A"/>
    <w:rsid w:val="009634A0"/>
    <w:rsid w:val="009634B2"/>
    <w:rsid w:val="009634D0"/>
    <w:rsid w:val="009634F3"/>
    <w:rsid w:val="0096360A"/>
    <w:rsid w:val="0096367E"/>
    <w:rsid w:val="009637B8"/>
    <w:rsid w:val="00963812"/>
    <w:rsid w:val="0096395E"/>
    <w:rsid w:val="009639A0"/>
    <w:rsid w:val="009639A4"/>
    <w:rsid w:val="009639AB"/>
    <w:rsid w:val="009639B4"/>
    <w:rsid w:val="009639E0"/>
    <w:rsid w:val="00963A30"/>
    <w:rsid w:val="00963A31"/>
    <w:rsid w:val="00963AF6"/>
    <w:rsid w:val="00963B40"/>
    <w:rsid w:val="00963B9E"/>
    <w:rsid w:val="00963DC2"/>
    <w:rsid w:val="00963F43"/>
    <w:rsid w:val="00964087"/>
    <w:rsid w:val="009640DE"/>
    <w:rsid w:val="0096418C"/>
    <w:rsid w:val="009641C3"/>
    <w:rsid w:val="00964209"/>
    <w:rsid w:val="00964220"/>
    <w:rsid w:val="0096429A"/>
    <w:rsid w:val="00964332"/>
    <w:rsid w:val="0096439E"/>
    <w:rsid w:val="00964441"/>
    <w:rsid w:val="00964484"/>
    <w:rsid w:val="00964691"/>
    <w:rsid w:val="0096478A"/>
    <w:rsid w:val="009647EE"/>
    <w:rsid w:val="00964B0B"/>
    <w:rsid w:val="00964C74"/>
    <w:rsid w:val="00964DA6"/>
    <w:rsid w:val="00964E6F"/>
    <w:rsid w:val="00964FA4"/>
    <w:rsid w:val="00964FFA"/>
    <w:rsid w:val="00965039"/>
    <w:rsid w:val="00965066"/>
    <w:rsid w:val="0096506A"/>
    <w:rsid w:val="0096509C"/>
    <w:rsid w:val="00965153"/>
    <w:rsid w:val="009651ED"/>
    <w:rsid w:val="00965356"/>
    <w:rsid w:val="00965589"/>
    <w:rsid w:val="009656D3"/>
    <w:rsid w:val="009656DD"/>
    <w:rsid w:val="0096578F"/>
    <w:rsid w:val="009657D5"/>
    <w:rsid w:val="00965940"/>
    <w:rsid w:val="00965947"/>
    <w:rsid w:val="009659DA"/>
    <w:rsid w:val="00965B26"/>
    <w:rsid w:val="00965C90"/>
    <w:rsid w:val="00965D58"/>
    <w:rsid w:val="00965D9C"/>
    <w:rsid w:val="00965EF0"/>
    <w:rsid w:val="00965F02"/>
    <w:rsid w:val="00965F93"/>
    <w:rsid w:val="00966054"/>
    <w:rsid w:val="0096609D"/>
    <w:rsid w:val="00966161"/>
    <w:rsid w:val="00966166"/>
    <w:rsid w:val="0096629A"/>
    <w:rsid w:val="0096631C"/>
    <w:rsid w:val="009663D5"/>
    <w:rsid w:val="009665A0"/>
    <w:rsid w:val="00966607"/>
    <w:rsid w:val="00966676"/>
    <w:rsid w:val="009666D3"/>
    <w:rsid w:val="00966827"/>
    <w:rsid w:val="00966842"/>
    <w:rsid w:val="0096693A"/>
    <w:rsid w:val="00966A68"/>
    <w:rsid w:val="00966A90"/>
    <w:rsid w:val="00966AA9"/>
    <w:rsid w:val="00966AB9"/>
    <w:rsid w:val="00966DEC"/>
    <w:rsid w:val="00966E72"/>
    <w:rsid w:val="00966FCD"/>
    <w:rsid w:val="00966FD3"/>
    <w:rsid w:val="0096708D"/>
    <w:rsid w:val="00967205"/>
    <w:rsid w:val="009672AD"/>
    <w:rsid w:val="009673CA"/>
    <w:rsid w:val="009673D1"/>
    <w:rsid w:val="009673FC"/>
    <w:rsid w:val="00967440"/>
    <w:rsid w:val="0096745F"/>
    <w:rsid w:val="009674C9"/>
    <w:rsid w:val="0096752C"/>
    <w:rsid w:val="009675AA"/>
    <w:rsid w:val="009675E4"/>
    <w:rsid w:val="0096772D"/>
    <w:rsid w:val="0096783A"/>
    <w:rsid w:val="009678AA"/>
    <w:rsid w:val="0096790D"/>
    <w:rsid w:val="00967924"/>
    <w:rsid w:val="0096794B"/>
    <w:rsid w:val="00967955"/>
    <w:rsid w:val="009679EE"/>
    <w:rsid w:val="00967A2A"/>
    <w:rsid w:val="00967A9A"/>
    <w:rsid w:val="00967B1B"/>
    <w:rsid w:val="00967BA7"/>
    <w:rsid w:val="00967CB4"/>
    <w:rsid w:val="00967D49"/>
    <w:rsid w:val="00967DC5"/>
    <w:rsid w:val="00967E29"/>
    <w:rsid w:val="00967EB6"/>
    <w:rsid w:val="00970070"/>
    <w:rsid w:val="00970114"/>
    <w:rsid w:val="009701A5"/>
    <w:rsid w:val="0097021D"/>
    <w:rsid w:val="0097024E"/>
    <w:rsid w:val="0097027A"/>
    <w:rsid w:val="0097029D"/>
    <w:rsid w:val="00970347"/>
    <w:rsid w:val="00970608"/>
    <w:rsid w:val="00970646"/>
    <w:rsid w:val="009706A6"/>
    <w:rsid w:val="009707AF"/>
    <w:rsid w:val="009708F7"/>
    <w:rsid w:val="00970AB6"/>
    <w:rsid w:val="00970AE5"/>
    <w:rsid w:val="00970C50"/>
    <w:rsid w:val="00970DE6"/>
    <w:rsid w:val="00970E95"/>
    <w:rsid w:val="00970EE0"/>
    <w:rsid w:val="00970F06"/>
    <w:rsid w:val="00970FB5"/>
    <w:rsid w:val="0097104A"/>
    <w:rsid w:val="009710E5"/>
    <w:rsid w:val="00971307"/>
    <w:rsid w:val="00971381"/>
    <w:rsid w:val="00971398"/>
    <w:rsid w:val="00971456"/>
    <w:rsid w:val="00971617"/>
    <w:rsid w:val="00971727"/>
    <w:rsid w:val="00971821"/>
    <w:rsid w:val="00971839"/>
    <w:rsid w:val="0097185B"/>
    <w:rsid w:val="0097195E"/>
    <w:rsid w:val="009719C3"/>
    <w:rsid w:val="00971A1D"/>
    <w:rsid w:val="00971B4B"/>
    <w:rsid w:val="00971B6D"/>
    <w:rsid w:val="00971B8B"/>
    <w:rsid w:val="00971BCB"/>
    <w:rsid w:val="00971C4E"/>
    <w:rsid w:val="00971D0A"/>
    <w:rsid w:val="00971D49"/>
    <w:rsid w:val="00971EC7"/>
    <w:rsid w:val="00971ED7"/>
    <w:rsid w:val="00971F3E"/>
    <w:rsid w:val="00971FCC"/>
    <w:rsid w:val="00972076"/>
    <w:rsid w:val="00972150"/>
    <w:rsid w:val="009721EA"/>
    <w:rsid w:val="0097220F"/>
    <w:rsid w:val="009722CE"/>
    <w:rsid w:val="00972429"/>
    <w:rsid w:val="00972443"/>
    <w:rsid w:val="0097249C"/>
    <w:rsid w:val="00972503"/>
    <w:rsid w:val="00972515"/>
    <w:rsid w:val="00972572"/>
    <w:rsid w:val="009726BF"/>
    <w:rsid w:val="009726D7"/>
    <w:rsid w:val="0097282D"/>
    <w:rsid w:val="00972954"/>
    <w:rsid w:val="00972A32"/>
    <w:rsid w:val="00972B2E"/>
    <w:rsid w:val="00972B56"/>
    <w:rsid w:val="00972D32"/>
    <w:rsid w:val="00972F0E"/>
    <w:rsid w:val="00972FFD"/>
    <w:rsid w:val="009730CC"/>
    <w:rsid w:val="00973122"/>
    <w:rsid w:val="00973410"/>
    <w:rsid w:val="0097344A"/>
    <w:rsid w:val="00973526"/>
    <w:rsid w:val="00973565"/>
    <w:rsid w:val="00973606"/>
    <w:rsid w:val="00973864"/>
    <w:rsid w:val="00973874"/>
    <w:rsid w:val="00973975"/>
    <w:rsid w:val="009739F3"/>
    <w:rsid w:val="00973C2E"/>
    <w:rsid w:val="00973C5E"/>
    <w:rsid w:val="00973E09"/>
    <w:rsid w:val="00974068"/>
    <w:rsid w:val="00974120"/>
    <w:rsid w:val="0097413B"/>
    <w:rsid w:val="009741BD"/>
    <w:rsid w:val="00974211"/>
    <w:rsid w:val="00974264"/>
    <w:rsid w:val="00974284"/>
    <w:rsid w:val="0097429C"/>
    <w:rsid w:val="009742A8"/>
    <w:rsid w:val="00974366"/>
    <w:rsid w:val="009743E6"/>
    <w:rsid w:val="009745A0"/>
    <w:rsid w:val="00974632"/>
    <w:rsid w:val="009746C2"/>
    <w:rsid w:val="009747AA"/>
    <w:rsid w:val="009748D8"/>
    <w:rsid w:val="00974A85"/>
    <w:rsid w:val="00974C5C"/>
    <w:rsid w:val="00974DE8"/>
    <w:rsid w:val="00974ECA"/>
    <w:rsid w:val="00974FCE"/>
    <w:rsid w:val="00974FEC"/>
    <w:rsid w:val="00975013"/>
    <w:rsid w:val="009751CF"/>
    <w:rsid w:val="0097528C"/>
    <w:rsid w:val="009752F6"/>
    <w:rsid w:val="009754B2"/>
    <w:rsid w:val="009755EE"/>
    <w:rsid w:val="0097560D"/>
    <w:rsid w:val="009756A7"/>
    <w:rsid w:val="009756C4"/>
    <w:rsid w:val="00975790"/>
    <w:rsid w:val="009757D6"/>
    <w:rsid w:val="00975821"/>
    <w:rsid w:val="009758C2"/>
    <w:rsid w:val="009759D6"/>
    <w:rsid w:val="00975AF0"/>
    <w:rsid w:val="00975B28"/>
    <w:rsid w:val="00975B4E"/>
    <w:rsid w:val="00975B89"/>
    <w:rsid w:val="00975B9A"/>
    <w:rsid w:val="00975BAE"/>
    <w:rsid w:val="00975CBD"/>
    <w:rsid w:val="00975D06"/>
    <w:rsid w:val="00975D4D"/>
    <w:rsid w:val="00975DAC"/>
    <w:rsid w:val="00975E69"/>
    <w:rsid w:val="00975EAD"/>
    <w:rsid w:val="00975EC1"/>
    <w:rsid w:val="00976010"/>
    <w:rsid w:val="00976026"/>
    <w:rsid w:val="0097603B"/>
    <w:rsid w:val="0097609B"/>
    <w:rsid w:val="009760AD"/>
    <w:rsid w:val="00976158"/>
    <w:rsid w:val="00976175"/>
    <w:rsid w:val="009761BF"/>
    <w:rsid w:val="009761D1"/>
    <w:rsid w:val="0097622A"/>
    <w:rsid w:val="0097624B"/>
    <w:rsid w:val="0097630D"/>
    <w:rsid w:val="00976336"/>
    <w:rsid w:val="00976375"/>
    <w:rsid w:val="00976467"/>
    <w:rsid w:val="00976594"/>
    <w:rsid w:val="009765A7"/>
    <w:rsid w:val="00976779"/>
    <w:rsid w:val="009767D7"/>
    <w:rsid w:val="009767E0"/>
    <w:rsid w:val="00976822"/>
    <w:rsid w:val="0097686E"/>
    <w:rsid w:val="00976B5B"/>
    <w:rsid w:val="00976B75"/>
    <w:rsid w:val="00976C19"/>
    <w:rsid w:val="00976CCF"/>
    <w:rsid w:val="00976EDD"/>
    <w:rsid w:val="00976F46"/>
    <w:rsid w:val="00976F56"/>
    <w:rsid w:val="00977048"/>
    <w:rsid w:val="0097707F"/>
    <w:rsid w:val="0097712B"/>
    <w:rsid w:val="00977209"/>
    <w:rsid w:val="009772B4"/>
    <w:rsid w:val="00977377"/>
    <w:rsid w:val="0097737F"/>
    <w:rsid w:val="0097745D"/>
    <w:rsid w:val="00977466"/>
    <w:rsid w:val="009774A0"/>
    <w:rsid w:val="0097754C"/>
    <w:rsid w:val="00977788"/>
    <w:rsid w:val="009777A0"/>
    <w:rsid w:val="009777DA"/>
    <w:rsid w:val="00977811"/>
    <w:rsid w:val="00977864"/>
    <w:rsid w:val="0097795C"/>
    <w:rsid w:val="00977A58"/>
    <w:rsid w:val="00977A8A"/>
    <w:rsid w:val="00977B76"/>
    <w:rsid w:val="00977BC3"/>
    <w:rsid w:val="00977BEA"/>
    <w:rsid w:val="00977C54"/>
    <w:rsid w:val="00977CB9"/>
    <w:rsid w:val="00977CDD"/>
    <w:rsid w:val="00977D10"/>
    <w:rsid w:val="00977D2D"/>
    <w:rsid w:val="00977D95"/>
    <w:rsid w:val="00977DB6"/>
    <w:rsid w:val="00977DE5"/>
    <w:rsid w:val="00977F84"/>
    <w:rsid w:val="00980020"/>
    <w:rsid w:val="00980026"/>
    <w:rsid w:val="0098014B"/>
    <w:rsid w:val="0098015A"/>
    <w:rsid w:val="00980257"/>
    <w:rsid w:val="00980258"/>
    <w:rsid w:val="009802BE"/>
    <w:rsid w:val="00980395"/>
    <w:rsid w:val="009803C5"/>
    <w:rsid w:val="0098043C"/>
    <w:rsid w:val="00980488"/>
    <w:rsid w:val="00980540"/>
    <w:rsid w:val="0098060F"/>
    <w:rsid w:val="00980669"/>
    <w:rsid w:val="00980718"/>
    <w:rsid w:val="00980823"/>
    <w:rsid w:val="00980832"/>
    <w:rsid w:val="00980919"/>
    <w:rsid w:val="00980A17"/>
    <w:rsid w:val="00980AFA"/>
    <w:rsid w:val="00980B07"/>
    <w:rsid w:val="00980B10"/>
    <w:rsid w:val="00980B68"/>
    <w:rsid w:val="00980B83"/>
    <w:rsid w:val="00980C77"/>
    <w:rsid w:val="00980D55"/>
    <w:rsid w:val="00980D8A"/>
    <w:rsid w:val="00980DBA"/>
    <w:rsid w:val="00980EDD"/>
    <w:rsid w:val="00980F81"/>
    <w:rsid w:val="00980FD2"/>
    <w:rsid w:val="00981018"/>
    <w:rsid w:val="00981080"/>
    <w:rsid w:val="00981185"/>
    <w:rsid w:val="00981349"/>
    <w:rsid w:val="0098135B"/>
    <w:rsid w:val="009813B5"/>
    <w:rsid w:val="00981416"/>
    <w:rsid w:val="00981429"/>
    <w:rsid w:val="009814CC"/>
    <w:rsid w:val="00981592"/>
    <w:rsid w:val="009817AD"/>
    <w:rsid w:val="009817FC"/>
    <w:rsid w:val="00981819"/>
    <w:rsid w:val="0098181D"/>
    <w:rsid w:val="009818C2"/>
    <w:rsid w:val="00981909"/>
    <w:rsid w:val="00981D31"/>
    <w:rsid w:val="00981DBA"/>
    <w:rsid w:val="00981E2E"/>
    <w:rsid w:val="00981F4F"/>
    <w:rsid w:val="00982002"/>
    <w:rsid w:val="009820A0"/>
    <w:rsid w:val="009820FF"/>
    <w:rsid w:val="00982162"/>
    <w:rsid w:val="0098219B"/>
    <w:rsid w:val="00982257"/>
    <w:rsid w:val="00982293"/>
    <w:rsid w:val="00982354"/>
    <w:rsid w:val="009823B8"/>
    <w:rsid w:val="009824A9"/>
    <w:rsid w:val="00982562"/>
    <w:rsid w:val="0098256E"/>
    <w:rsid w:val="00982570"/>
    <w:rsid w:val="009825A1"/>
    <w:rsid w:val="009825BF"/>
    <w:rsid w:val="00982722"/>
    <w:rsid w:val="009829D2"/>
    <w:rsid w:val="00982ABD"/>
    <w:rsid w:val="00982AE5"/>
    <w:rsid w:val="00982B42"/>
    <w:rsid w:val="00982B8E"/>
    <w:rsid w:val="00982BE8"/>
    <w:rsid w:val="00982CE0"/>
    <w:rsid w:val="00982D7F"/>
    <w:rsid w:val="00982EBE"/>
    <w:rsid w:val="00982F2A"/>
    <w:rsid w:val="00982F5A"/>
    <w:rsid w:val="00982FB3"/>
    <w:rsid w:val="00983019"/>
    <w:rsid w:val="0098306A"/>
    <w:rsid w:val="009830D9"/>
    <w:rsid w:val="009831F1"/>
    <w:rsid w:val="009832D3"/>
    <w:rsid w:val="009833A2"/>
    <w:rsid w:val="009834AB"/>
    <w:rsid w:val="009834B2"/>
    <w:rsid w:val="00983521"/>
    <w:rsid w:val="009835AA"/>
    <w:rsid w:val="009835F3"/>
    <w:rsid w:val="00983614"/>
    <w:rsid w:val="0098362B"/>
    <w:rsid w:val="00983708"/>
    <w:rsid w:val="0098377F"/>
    <w:rsid w:val="0098384F"/>
    <w:rsid w:val="0098387A"/>
    <w:rsid w:val="00983929"/>
    <w:rsid w:val="009839A2"/>
    <w:rsid w:val="00983A25"/>
    <w:rsid w:val="00983A48"/>
    <w:rsid w:val="00983A7D"/>
    <w:rsid w:val="00983B52"/>
    <w:rsid w:val="00983B64"/>
    <w:rsid w:val="00983BA8"/>
    <w:rsid w:val="00983BBD"/>
    <w:rsid w:val="00983C25"/>
    <w:rsid w:val="00983C4B"/>
    <w:rsid w:val="00983CF2"/>
    <w:rsid w:val="00983E0F"/>
    <w:rsid w:val="00983E3A"/>
    <w:rsid w:val="00983E43"/>
    <w:rsid w:val="00983F01"/>
    <w:rsid w:val="00983FC0"/>
    <w:rsid w:val="009840B9"/>
    <w:rsid w:val="009840E5"/>
    <w:rsid w:val="00984146"/>
    <w:rsid w:val="00984468"/>
    <w:rsid w:val="0098446B"/>
    <w:rsid w:val="0098448B"/>
    <w:rsid w:val="00984595"/>
    <w:rsid w:val="009845D0"/>
    <w:rsid w:val="009846BC"/>
    <w:rsid w:val="0098476B"/>
    <w:rsid w:val="00984786"/>
    <w:rsid w:val="009848CD"/>
    <w:rsid w:val="009848E5"/>
    <w:rsid w:val="0098493A"/>
    <w:rsid w:val="009849C1"/>
    <w:rsid w:val="00984A5A"/>
    <w:rsid w:val="00984BAC"/>
    <w:rsid w:val="00984C65"/>
    <w:rsid w:val="00984C74"/>
    <w:rsid w:val="00984C9F"/>
    <w:rsid w:val="00984DAD"/>
    <w:rsid w:val="00984E7D"/>
    <w:rsid w:val="00984EE7"/>
    <w:rsid w:val="00984F02"/>
    <w:rsid w:val="00985009"/>
    <w:rsid w:val="009850FE"/>
    <w:rsid w:val="0098513D"/>
    <w:rsid w:val="00985288"/>
    <w:rsid w:val="009852B0"/>
    <w:rsid w:val="0098532A"/>
    <w:rsid w:val="0098532F"/>
    <w:rsid w:val="009853A5"/>
    <w:rsid w:val="0098549E"/>
    <w:rsid w:val="00985500"/>
    <w:rsid w:val="00985570"/>
    <w:rsid w:val="009855DA"/>
    <w:rsid w:val="0098592C"/>
    <w:rsid w:val="0098592E"/>
    <w:rsid w:val="00985944"/>
    <w:rsid w:val="0098596B"/>
    <w:rsid w:val="009859C4"/>
    <w:rsid w:val="00985A75"/>
    <w:rsid w:val="00985A94"/>
    <w:rsid w:val="00985BB2"/>
    <w:rsid w:val="00985BBD"/>
    <w:rsid w:val="00985C79"/>
    <w:rsid w:val="00985C87"/>
    <w:rsid w:val="00985CA7"/>
    <w:rsid w:val="00985DA3"/>
    <w:rsid w:val="00985E8A"/>
    <w:rsid w:val="00985EA0"/>
    <w:rsid w:val="00985EAA"/>
    <w:rsid w:val="00985EDD"/>
    <w:rsid w:val="00985FD1"/>
    <w:rsid w:val="00986159"/>
    <w:rsid w:val="00986186"/>
    <w:rsid w:val="00986200"/>
    <w:rsid w:val="00986219"/>
    <w:rsid w:val="0098622A"/>
    <w:rsid w:val="009862AD"/>
    <w:rsid w:val="00986382"/>
    <w:rsid w:val="009863B0"/>
    <w:rsid w:val="0098653C"/>
    <w:rsid w:val="009865EA"/>
    <w:rsid w:val="00986667"/>
    <w:rsid w:val="009866B8"/>
    <w:rsid w:val="00986762"/>
    <w:rsid w:val="00986905"/>
    <w:rsid w:val="009869ED"/>
    <w:rsid w:val="00986A62"/>
    <w:rsid w:val="00986B01"/>
    <w:rsid w:val="00986B75"/>
    <w:rsid w:val="00986BEF"/>
    <w:rsid w:val="00986CF6"/>
    <w:rsid w:val="00986D5C"/>
    <w:rsid w:val="00986DF0"/>
    <w:rsid w:val="00986E9B"/>
    <w:rsid w:val="00986EAC"/>
    <w:rsid w:val="00986EEC"/>
    <w:rsid w:val="009870BB"/>
    <w:rsid w:val="0098721D"/>
    <w:rsid w:val="009872A7"/>
    <w:rsid w:val="0098732F"/>
    <w:rsid w:val="009873EA"/>
    <w:rsid w:val="00987405"/>
    <w:rsid w:val="0098750E"/>
    <w:rsid w:val="0098760F"/>
    <w:rsid w:val="0098774E"/>
    <w:rsid w:val="0098776C"/>
    <w:rsid w:val="0098789D"/>
    <w:rsid w:val="00987987"/>
    <w:rsid w:val="009879AD"/>
    <w:rsid w:val="009879C5"/>
    <w:rsid w:val="00987A32"/>
    <w:rsid w:val="00987A81"/>
    <w:rsid w:val="00987B1C"/>
    <w:rsid w:val="00987CFF"/>
    <w:rsid w:val="00987D81"/>
    <w:rsid w:val="00987DAC"/>
    <w:rsid w:val="00987DC2"/>
    <w:rsid w:val="00987DE2"/>
    <w:rsid w:val="00987DE9"/>
    <w:rsid w:val="00987E49"/>
    <w:rsid w:val="00987F10"/>
    <w:rsid w:val="00987FE9"/>
    <w:rsid w:val="009900F7"/>
    <w:rsid w:val="0099010F"/>
    <w:rsid w:val="00990190"/>
    <w:rsid w:val="009901D6"/>
    <w:rsid w:val="009903B3"/>
    <w:rsid w:val="009904EF"/>
    <w:rsid w:val="00990527"/>
    <w:rsid w:val="0099057B"/>
    <w:rsid w:val="00990593"/>
    <w:rsid w:val="0099062B"/>
    <w:rsid w:val="00990693"/>
    <w:rsid w:val="009906E3"/>
    <w:rsid w:val="00990906"/>
    <w:rsid w:val="0099091A"/>
    <w:rsid w:val="009909E2"/>
    <w:rsid w:val="00990ABF"/>
    <w:rsid w:val="00990B0C"/>
    <w:rsid w:val="00990D20"/>
    <w:rsid w:val="00990D4F"/>
    <w:rsid w:val="00990D96"/>
    <w:rsid w:val="00990E77"/>
    <w:rsid w:val="00990F82"/>
    <w:rsid w:val="00991003"/>
    <w:rsid w:val="0099120A"/>
    <w:rsid w:val="0099121E"/>
    <w:rsid w:val="009912C7"/>
    <w:rsid w:val="00991319"/>
    <w:rsid w:val="00991394"/>
    <w:rsid w:val="00991395"/>
    <w:rsid w:val="009913A0"/>
    <w:rsid w:val="0099149F"/>
    <w:rsid w:val="00991538"/>
    <w:rsid w:val="009915F5"/>
    <w:rsid w:val="009916B2"/>
    <w:rsid w:val="009916C4"/>
    <w:rsid w:val="00991732"/>
    <w:rsid w:val="00991769"/>
    <w:rsid w:val="009917B5"/>
    <w:rsid w:val="009917D0"/>
    <w:rsid w:val="0099181D"/>
    <w:rsid w:val="00991872"/>
    <w:rsid w:val="009918B9"/>
    <w:rsid w:val="00991980"/>
    <w:rsid w:val="00991AC7"/>
    <w:rsid w:val="00991B44"/>
    <w:rsid w:val="00991B9D"/>
    <w:rsid w:val="00991C13"/>
    <w:rsid w:val="00991C35"/>
    <w:rsid w:val="00991D56"/>
    <w:rsid w:val="00991DEE"/>
    <w:rsid w:val="00991E15"/>
    <w:rsid w:val="00991E5E"/>
    <w:rsid w:val="00991F8C"/>
    <w:rsid w:val="00992073"/>
    <w:rsid w:val="009921BC"/>
    <w:rsid w:val="0099221A"/>
    <w:rsid w:val="00992274"/>
    <w:rsid w:val="00992604"/>
    <w:rsid w:val="0099274F"/>
    <w:rsid w:val="0099277A"/>
    <w:rsid w:val="00992CC9"/>
    <w:rsid w:val="00992CE4"/>
    <w:rsid w:val="00992CE7"/>
    <w:rsid w:val="00992F01"/>
    <w:rsid w:val="00992F3E"/>
    <w:rsid w:val="00992F81"/>
    <w:rsid w:val="00992FB6"/>
    <w:rsid w:val="00992FF1"/>
    <w:rsid w:val="0099302C"/>
    <w:rsid w:val="00993091"/>
    <w:rsid w:val="00993132"/>
    <w:rsid w:val="00993160"/>
    <w:rsid w:val="009931E2"/>
    <w:rsid w:val="00993281"/>
    <w:rsid w:val="0099334D"/>
    <w:rsid w:val="0099339F"/>
    <w:rsid w:val="009933DA"/>
    <w:rsid w:val="009935B6"/>
    <w:rsid w:val="00993672"/>
    <w:rsid w:val="009936C4"/>
    <w:rsid w:val="0099372E"/>
    <w:rsid w:val="009937D7"/>
    <w:rsid w:val="00993892"/>
    <w:rsid w:val="009938A6"/>
    <w:rsid w:val="00993921"/>
    <w:rsid w:val="00993C77"/>
    <w:rsid w:val="00993CD5"/>
    <w:rsid w:val="00993DDE"/>
    <w:rsid w:val="00993E70"/>
    <w:rsid w:val="00993F37"/>
    <w:rsid w:val="0099409E"/>
    <w:rsid w:val="00994146"/>
    <w:rsid w:val="00994174"/>
    <w:rsid w:val="009941B8"/>
    <w:rsid w:val="009941E9"/>
    <w:rsid w:val="0099424E"/>
    <w:rsid w:val="009942E3"/>
    <w:rsid w:val="0099440E"/>
    <w:rsid w:val="0099440F"/>
    <w:rsid w:val="00994437"/>
    <w:rsid w:val="00994563"/>
    <w:rsid w:val="009946E0"/>
    <w:rsid w:val="0099487E"/>
    <w:rsid w:val="009949A8"/>
    <w:rsid w:val="00994AA8"/>
    <w:rsid w:val="00994B54"/>
    <w:rsid w:val="00994B6B"/>
    <w:rsid w:val="00994BC0"/>
    <w:rsid w:val="00994BF0"/>
    <w:rsid w:val="00994C5B"/>
    <w:rsid w:val="00994C96"/>
    <w:rsid w:val="00994D65"/>
    <w:rsid w:val="00994DD3"/>
    <w:rsid w:val="00994E28"/>
    <w:rsid w:val="00994E53"/>
    <w:rsid w:val="00994E6B"/>
    <w:rsid w:val="00994FE4"/>
    <w:rsid w:val="00995098"/>
    <w:rsid w:val="00995104"/>
    <w:rsid w:val="00995112"/>
    <w:rsid w:val="00995130"/>
    <w:rsid w:val="0099528A"/>
    <w:rsid w:val="009952DC"/>
    <w:rsid w:val="00995335"/>
    <w:rsid w:val="0099533C"/>
    <w:rsid w:val="00995411"/>
    <w:rsid w:val="00995427"/>
    <w:rsid w:val="00995472"/>
    <w:rsid w:val="00995503"/>
    <w:rsid w:val="0099557F"/>
    <w:rsid w:val="009955AE"/>
    <w:rsid w:val="009955B7"/>
    <w:rsid w:val="0099567A"/>
    <w:rsid w:val="009959BD"/>
    <w:rsid w:val="009959E9"/>
    <w:rsid w:val="00995A31"/>
    <w:rsid w:val="00995D19"/>
    <w:rsid w:val="00995D46"/>
    <w:rsid w:val="00995D5E"/>
    <w:rsid w:val="00995F97"/>
    <w:rsid w:val="00995FD5"/>
    <w:rsid w:val="0099610D"/>
    <w:rsid w:val="00996111"/>
    <w:rsid w:val="0099612F"/>
    <w:rsid w:val="0099633C"/>
    <w:rsid w:val="00996357"/>
    <w:rsid w:val="00996388"/>
    <w:rsid w:val="009964BE"/>
    <w:rsid w:val="009964F1"/>
    <w:rsid w:val="00996517"/>
    <w:rsid w:val="00996550"/>
    <w:rsid w:val="00996696"/>
    <w:rsid w:val="0099683C"/>
    <w:rsid w:val="009968B8"/>
    <w:rsid w:val="00996A42"/>
    <w:rsid w:val="00996C61"/>
    <w:rsid w:val="00996CBD"/>
    <w:rsid w:val="00996DE9"/>
    <w:rsid w:val="00996EF6"/>
    <w:rsid w:val="00996F52"/>
    <w:rsid w:val="00997012"/>
    <w:rsid w:val="0099702B"/>
    <w:rsid w:val="00997038"/>
    <w:rsid w:val="0099704F"/>
    <w:rsid w:val="0099733F"/>
    <w:rsid w:val="00997395"/>
    <w:rsid w:val="00997546"/>
    <w:rsid w:val="009975CA"/>
    <w:rsid w:val="00997606"/>
    <w:rsid w:val="009976D5"/>
    <w:rsid w:val="00997702"/>
    <w:rsid w:val="00997846"/>
    <w:rsid w:val="0099785A"/>
    <w:rsid w:val="0099786B"/>
    <w:rsid w:val="009978A2"/>
    <w:rsid w:val="009978FB"/>
    <w:rsid w:val="00997996"/>
    <w:rsid w:val="00997B97"/>
    <w:rsid w:val="00997BD4"/>
    <w:rsid w:val="00997D79"/>
    <w:rsid w:val="00997D8B"/>
    <w:rsid w:val="00997EBC"/>
    <w:rsid w:val="009A0042"/>
    <w:rsid w:val="009A01BA"/>
    <w:rsid w:val="009A021B"/>
    <w:rsid w:val="009A0227"/>
    <w:rsid w:val="009A02C3"/>
    <w:rsid w:val="009A03DA"/>
    <w:rsid w:val="009A0437"/>
    <w:rsid w:val="009A0464"/>
    <w:rsid w:val="009A05C1"/>
    <w:rsid w:val="009A0744"/>
    <w:rsid w:val="009A075E"/>
    <w:rsid w:val="009A079B"/>
    <w:rsid w:val="009A07A8"/>
    <w:rsid w:val="009A088F"/>
    <w:rsid w:val="009A0942"/>
    <w:rsid w:val="009A0A2A"/>
    <w:rsid w:val="009A0A98"/>
    <w:rsid w:val="009A0B35"/>
    <w:rsid w:val="009A0B64"/>
    <w:rsid w:val="009A0CEA"/>
    <w:rsid w:val="009A0DED"/>
    <w:rsid w:val="009A0EE4"/>
    <w:rsid w:val="009A1114"/>
    <w:rsid w:val="009A11C0"/>
    <w:rsid w:val="009A11C1"/>
    <w:rsid w:val="009A121A"/>
    <w:rsid w:val="009A1232"/>
    <w:rsid w:val="009A124B"/>
    <w:rsid w:val="009A1284"/>
    <w:rsid w:val="009A130F"/>
    <w:rsid w:val="009A13AD"/>
    <w:rsid w:val="009A13B5"/>
    <w:rsid w:val="009A160D"/>
    <w:rsid w:val="009A1662"/>
    <w:rsid w:val="009A16C3"/>
    <w:rsid w:val="009A16DB"/>
    <w:rsid w:val="009A1743"/>
    <w:rsid w:val="009A1855"/>
    <w:rsid w:val="009A187D"/>
    <w:rsid w:val="009A189D"/>
    <w:rsid w:val="009A1985"/>
    <w:rsid w:val="009A1A94"/>
    <w:rsid w:val="009A1B15"/>
    <w:rsid w:val="009A1B91"/>
    <w:rsid w:val="009A1BEA"/>
    <w:rsid w:val="009A1D5F"/>
    <w:rsid w:val="009A1E72"/>
    <w:rsid w:val="009A1F96"/>
    <w:rsid w:val="009A2137"/>
    <w:rsid w:val="009A21F5"/>
    <w:rsid w:val="009A237B"/>
    <w:rsid w:val="009A2572"/>
    <w:rsid w:val="009A2691"/>
    <w:rsid w:val="009A26BA"/>
    <w:rsid w:val="009A2867"/>
    <w:rsid w:val="009A286E"/>
    <w:rsid w:val="009A28A1"/>
    <w:rsid w:val="009A28CD"/>
    <w:rsid w:val="009A290A"/>
    <w:rsid w:val="009A299C"/>
    <w:rsid w:val="009A29A7"/>
    <w:rsid w:val="009A29E9"/>
    <w:rsid w:val="009A2AFA"/>
    <w:rsid w:val="009A2BCC"/>
    <w:rsid w:val="009A2C5A"/>
    <w:rsid w:val="009A2D3C"/>
    <w:rsid w:val="009A2F02"/>
    <w:rsid w:val="009A31E6"/>
    <w:rsid w:val="009A326D"/>
    <w:rsid w:val="009A3283"/>
    <w:rsid w:val="009A32CE"/>
    <w:rsid w:val="009A32DB"/>
    <w:rsid w:val="009A332F"/>
    <w:rsid w:val="009A3445"/>
    <w:rsid w:val="009A3896"/>
    <w:rsid w:val="009A396B"/>
    <w:rsid w:val="009A397C"/>
    <w:rsid w:val="009A39E3"/>
    <w:rsid w:val="009A3A6A"/>
    <w:rsid w:val="009A3BB4"/>
    <w:rsid w:val="009A3C6C"/>
    <w:rsid w:val="009A3D48"/>
    <w:rsid w:val="009A3DDF"/>
    <w:rsid w:val="009A3E4E"/>
    <w:rsid w:val="009A3E5B"/>
    <w:rsid w:val="009A3FB7"/>
    <w:rsid w:val="009A401F"/>
    <w:rsid w:val="009A4063"/>
    <w:rsid w:val="009A416A"/>
    <w:rsid w:val="009A4269"/>
    <w:rsid w:val="009A4289"/>
    <w:rsid w:val="009A42B3"/>
    <w:rsid w:val="009A42DB"/>
    <w:rsid w:val="009A42FA"/>
    <w:rsid w:val="009A4482"/>
    <w:rsid w:val="009A44A5"/>
    <w:rsid w:val="009A4549"/>
    <w:rsid w:val="009A45C3"/>
    <w:rsid w:val="009A46D9"/>
    <w:rsid w:val="009A4766"/>
    <w:rsid w:val="009A477B"/>
    <w:rsid w:val="009A48CD"/>
    <w:rsid w:val="009A4A71"/>
    <w:rsid w:val="009A4AC5"/>
    <w:rsid w:val="009A4C8C"/>
    <w:rsid w:val="009A4D3E"/>
    <w:rsid w:val="009A4DD9"/>
    <w:rsid w:val="009A4DDC"/>
    <w:rsid w:val="009A4E65"/>
    <w:rsid w:val="009A4E6F"/>
    <w:rsid w:val="009A4ED4"/>
    <w:rsid w:val="009A50E1"/>
    <w:rsid w:val="009A5181"/>
    <w:rsid w:val="009A51B7"/>
    <w:rsid w:val="009A5329"/>
    <w:rsid w:val="009A534F"/>
    <w:rsid w:val="009A5454"/>
    <w:rsid w:val="009A54A2"/>
    <w:rsid w:val="009A54AF"/>
    <w:rsid w:val="009A55DD"/>
    <w:rsid w:val="009A5632"/>
    <w:rsid w:val="009A566E"/>
    <w:rsid w:val="009A567A"/>
    <w:rsid w:val="009A56DD"/>
    <w:rsid w:val="009A570A"/>
    <w:rsid w:val="009A590B"/>
    <w:rsid w:val="009A59BB"/>
    <w:rsid w:val="009A5A88"/>
    <w:rsid w:val="009A5A9C"/>
    <w:rsid w:val="009A5AAD"/>
    <w:rsid w:val="009A5B30"/>
    <w:rsid w:val="009A5B56"/>
    <w:rsid w:val="009A5BF6"/>
    <w:rsid w:val="009A5C23"/>
    <w:rsid w:val="009A5C46"/>
    <w:rsid w:val="009A5DBE"/>
    <w:rsid w:val="009A5DD8"/>
    <w:rsid w:val="009A5E01"/>
    <w:rsid w:val="009A5E40"/>
    <w:rsid w:val="009A5F0D"/>
    <w:rsid w:val="009A6141"/>
    <w:rsid w:val="009A61E2"/>
    <w:rsid w:val="009A63AC"/>
    <w:rsid w:val="009A64AC"/>
    <w:rsid w:val="009A66BE"/>
    <w:rsid w:val="009A67F4"/>
    <w:rsid w:val="009A681A"/>
    <w:rsid w:val="009A686D"/>
    <w:rsid w:val="009A6976"/>
    <w:rsid w:val="009A69E5"/>
    <w:rsid w:val="009A6AE0"/>
    <w:rsid w:val="009A6BB1"/>
    <w:rsid w:val="009A6D03"/>
    <w:rsid w:val="009A6E16"/>
    <w:rsid w:val="009A6E4B"/>
    <w:rsid w:val="009A6FC1"/>
    <w:rsid w:val="009A71BB"/>
    <w:rsid w:val="009A7257"/>
    <w:rsid w:val="009A7258"/>
    <w:rsid w:val="009A7336"/>
    <w:rsid w:val="009A7439"/>
    <w:rsid w:val="009A7470"/>
    <w:rsid w:val="009A7755"/>
    <w:rsid w:val="009A77B1"/>
    <w:rsid w:val="009A78D0"/>
    <w:rsid w:val="009A794D"/>
    <w:rsid w:val="009A79BF"/>
    <w:rsid w:val="009A79D5"/>
    <w:rsid w:val="009A79EC"/>
    <w:rsid w:val="009A7ABB"/>
    <w:rsid w:val="009A7B17"/>
    <w:rsid w:val="009A7B9F"/>
    <w:rsid w:val="009A7D74"/>
    <w:rsid w:val="009A7D9F"/>
    <w:rsid w:val="009A7DC0"/>
    <w:rsid w:val="009A7E07"/>
    <w:rsid w:val="009A7E10"/>
    <w:rsid w:val="009A7EBF"/>
    <w:rsid w:val="009A7EC5"/>
    <w:rsid w:val="009A7EE7"/>
    <w:rsid w:val="009B0092"/>
    <w:rsid w:val="009B00B2"/>
    <w:rsid w:val="009B01D1"/>
    <w:rsid w:val="009B01D6"/>
    <w:rsid w:val="009B020E"/>
    <w:rsid w:val="009B035E"/>
    <w:rsid w:val="009B03C4"/>
    <w:rsid w:val="009B058D"/>
    <w:rsid w:val="009B05A4"/>
    <w:rsid w:val="009B060D"/>
    <w:rsid w:val="009B06FA"/>
    <w:rsid w:val="009B0740"/>
    <w:rsid w:val="009B07F3"/>
    <w:rsid w:val="009B0941"/>
    <w:rsid w:val="009B094E"/>
    <w:rsid w:val="009B095C"/>
    <w:rsid w:val="009B09FC"/>
    <w:rsid w:val="009B0A45"/>
    <w:rsid w:val="009B0BA5"/>
    <w:rsid w:val="009B0BF1"/>
    <w:rsid w:val="009B0CD7"/>
    <w:rsid w:val="009B0CE7"/>
    <w:rsid w:val="009B0DDD"/>
    <w:rsid w:val="009B0E93"/>
    <w:rsid w:val="009B0F3B"/>
    <w:rsid w:val="009B0F44"/>
    <w:rsid w:val="009B0F66"/>
    <w:rsid w:val="009B1112"/>
    <w:rsid w:val="009B111A"/>
    <w:rsid w:val="009B1140"/>
    <w:rsid w:val="009B115D"/>
    <w:rsid w:val="009B11A6"/>
    <w:rsid w:val="009B124E"/>
    <w:rsid w:val="009B1342"/>
    <w:rsid w:val="009B139F"/>
    <w:rsid w:val="009B13EE"/>
    <w:rsid w:val="009B14CF"/>
    <w:rsid w:val="009B14FC"/>
    <w:rsid w:val="009B150C"/>
    <w:rsid w:val="009B169B"/>
    <w:rsid w:val="009B1860"/>
    <w:rsid w:val="009B18BF"/>
    <w:rsid w:val="009B18E4"/>
    <w:rsid w:val="009B1A87"/>
    <w:rsid w:val="009B1B16"/>
    <w:rsid w:val="009B1C55"/>
    <w:rsid w:val="009B1CA1"/>
    <w:rsid w:val="009B1E7C"/>
    <w:rsid w:val="009B2228"/>
    <w:rsid w:val="009B22A7"/>
    <w:rsid w:val="009B245C"/>
    <w:rsid w:val="009B2555"/>
    <w:rsid w:val="009B25DD"/>
    <w:rsid w:val="009B25EE"/>
    <w:rsid w:val="009B2672"/>
    <w:rsid w:val="009B2764"/>
    <w:rsid w:val="009B2791"/>
    <w:rsid w:val="009B27F0"/>
    <w:rsid w:val="009B2861"/>
    <w:rsid w:val="009B286D"/>
    <w:rsid w:val="009B28BE"/>
    <w:rsid w:val="009B2950"/>
    <w:rsid w:val="009B2B3C"/>
    <w:rsid w:val="009B2BDD"/>
    <w:rsid w:val="009B2C1D"/>
    <w:rsid w:val="009B2D4C"/>
    <w:rsid w:val="009B2D95"/>
    <w:rsid w:val="009B2EE2"/>
    <w:rsid w:val="009B2F4F"/>
    <w:rsid w:val="009B3009"/>
    <w:rsid w:val="009B33A9"/>
    <w:rsid w:val="009B355C"/>
    <w:rsid w:val="009B35F2"/>
    <w:rsid w:val="009B386B"/>
    <w:rsid w:val="009B3977"/>
    <w:rsid w:val="009B39A4"/>
    <w:rsid w:val="009B3B0E"/>
    <w:rsid w:val="009B3B77"/>
    <w:rsid w:val="009B3C7B"/>
    <w:rsid w:val="009B3E0F"/>
    <w:rsid w:val="009B3FA2"/>
    <w:rsid w:val="009B3FE3"/>
    <w:rsid w:val="009B3FE8"/>
    <w:rsid w:val="009B4011"/>
    <w:rsid w:val="009B401B"/>
    <w:rsid w:val="009B4048"/>
    <w:rsid w:val="009B406A"/>
    <w:rsid w:val="009B40D8"/>
    <w:rsid w:val="009B42AF"/>
    <w:rsid w:val="009B44E9"/>
    <w:rsid w:val="009B451B"/>
    <w:rsid w:val="009B454E"/>
    <w:rsid w:val="009B4553"/>
    <w:rsid w:val="009B4652"/>
    <w:rsid w:val="009B46F8"/>
    <w:rsid w:val="009B4700"/>
    <w:rsid w:val="009B4792"/>
    <w:rsid w:val="009B47C4"/>
    <w:rsid w:val="009B4864"/>
    <w:rsid w:val="009B4896"/>
    <w:rsid w:val="009B4B2A"/>
    <w:rsid w:val="009B4BD4"/>
    <w:rsid w:val="009B4D91"/>
    <w:rsid w:val="009B4DF3"/>
    <w:rsid w:val="009B4E3B"/>
    <w:rsid w:val="009B4ECC"/>
    <w:rsid w:val="009B4EE7"/>
    <w:rsid w:val="009B4FF4"/>
    <w:rsid w:val="009B508D"/>
    <w:rsid w:val="009B51FE"/>
    <w:rsid w:val="009B53AD"/>
    <w:rsid w:val="009B53CA"/>
    <w:rsid w:val="009B542E"/>
    <w:rsid w:val="009B545A"/>
    <w:rsid w:val="009B5495"/>
    <w:rsid w:val="009B56E4"/>
    <w:rsid w:val="009B582B"/>
    <w:rsid w:val="009B5851"/>
    <w:rsid w:val="009B59AA"/>
    <w:rsid w:val="009B5B19"/>
    <w:rsid w:val="009B5B72"/>
    <w:rsid w:val="009B5B9A"/>
    <w:rsid w:val="009B5BD3"/>
    <w:rsid w:val="009B5CE0"/>
    <w:rsid w:val="009B5D48"/>
    <w:rsid w:val="009B5EF0"/>
    <w:rsid w:val="009B5FA5"/>
    <w:rsid w:val="009B606A"/>
    <w:rsid w:val="009B60B8"/>
    <w:rsid w:val="009B612C"/>
    <w:rsid w:val="009B629B"/>
    <w:rsid w:val="009B6494"/>
    <w:rsid w:val="009B6535"/>
    <w:rsid w:val="009B654E"/>
    <w:rsid w:val="009B657D"/>
    <w:rsid w:val="009B65CA"/>
    <w:rsid w:val="009B664A"/>
    <w:rsid w:val="009B68B9"/>
    <w:rsid w:val="009B6B98"/>
    <w:rsid w:val="009B6E2D"/>
    <w:rsid w:val="009B6E9F"/>
    <w:rsid w:val="009B7027"/>
    <w:rsid w:val="009B7057"/>
    <w:rsid w:val="009B718D"/>
    <w:rsid w:val="009B719D"/>
    <w:rsid w:val="009B73D5"/>
    <w:rsid w:val="009B73F8"/>
    <w:rsid w:val="009B74EB"/>
    <w:rsid w:val="009B7591"/>
    <w:rsid w:val="009B75CF"/>
    <w:rsid w:val="009B762A"/>
    <w:rsid w:val="009B76DC"/>
    <w:rsid w:val="009B7701"/>
    <w:rsid w:val="009B770F"/>
    <w:rsid w:val="009B773C"/>
    <w:rsid w:val="009B776E"/>
    <w:rsid w:val="009B7970"/>
    <w:rsid w:val="009B7978"/>
    <w:rsid w:val="009B7AD6"/>
    <w:rsid w:val="009B7B03"/>
    <w:rsid w:val="009B7B8C"/>
    <w:rsid w:val="009B7BB8"/>
    <w:rsid w:val="009B7DAE"/>
    <w:rsid w:val="009B7FDA"/>
    <w:rsid w:val="009C010A"/>
    <w:rsid w:val="009C0135"/>
    <w:rsid w:val="009C01A3"/>
    <w:rsid w:val="009C01DB"/>
    <w:rsid w:val="009C01F2"/>
    <w:rsid w:val="009C027F"/>
    <w:rsid w:val="009C03F2"/>
    <w:rsid w:val="009C043F"/>
    <w:rsid w:val="009C0490"/>
    <w:rsid w:val="009C04D2"/>
    <w:rsid w:val="009C052E"/>
    <w:rsid w:val="009C059E"/>
    <w:rsid w:val="009C0649"/>
    <w:rsid w:val="009C06FB"/>
    <w:rsid w:val="009C07C0"/>
    <w:rsid w:val="009C07D1"/>
    <w:rsid w:val="009C086A"/>
    <w:rsid w:val="009C08F4"/>
    <w:rsid w:val="009C0930"/>
    <w:rsid w:val="009C0941"/>
    <w:rsid w:val="009C0955"/>
    <w:rsid w:val="009C0B0E"/>
    <w:rsid w:val="009C0B90"/>
    <w:rsid w:val="009C0E93"/>
    <w:rsid w:val="009C0EBC"/>
    <w:rsid w:val="009C0EC0"/>
    <w:rsid w:val="009C0F1B"/>
    <w:rsid w:val="009C0F3B"/>
    <w:rsid w:val="009C0FF5"/>
    <w:rsid w:val="009C1032"/>
    <w:rsid w:val="009C103F"/>
    <w:rsid w:val="009C1120"/>
    <w:rsid w:val="009C1207"/>
    <w:rsid w:val="009C13AC"/>
    <w:rsid w:val="009C13DB"/>
    <w:rsid w:val="009C13E4"/>
    <w:rsid w:val="009C1611"/>
    <w:rsid w:val="009C1973"/>
    <w:rsid w:val="009C198E"/>
    <w:rsid w:val="009C1A2B"/>
    <w:rsid w:val="009C1A97"/>
    <w:rsid w:val="009C1B2E"/>
    <w:rsid w:val="009C1BA9"/>
    <w:rsid w:val="009C1C20"/>
    <w:rsid w:val="009C1D80"/>
    <w:rsid w:val="009C1DDC"/>
    <w:rsid w:val="009C1FB1"/>
    <w:rsid w:val="009C1FDD"/>
    <w:rsid w:val="009C203E"/>
    <w:rsid w:val="009C206E"/>
    <w:rsid w:val="009C2088"/>
    <w:rsid w:val="009C20D0"/>
    <w:rsid w:val="009C211D"/>
    <w:rsid w:val="009C21EA"/>
    <w:rsid w:val="009C2250"/>
    <w:rsid w:val="009C22E6"/>
    <w:rsid w:val="009C2313"/>
    <w:rsid w:val="009C246F"/>
    <w:rsid w:val="009C272F"/>
    <w:rsid w:val="009C2787"/>
    <w:rsid w:val="009C27EB"/>
    <w:rsid w:val="009C28CE"/>
    <w:rsid w:val="009C28D3"/>
    <w:rsid w:val="009C28D9"/>
    <w:rsid w:val="009C2923"/>
    <w:rsid w:val="009C2AE3"/>
    <w:rsid w:val="009C2C1B"/>
    <w:rsid w:val="009C2CAF"/>
    <w:rsid w:val="009C2CBF"/>
    <w:rsid w:val="009C2CCD"/>
    <w:rsid w:val="009C2D07"/>
    <w:rsid w:val="009C2DDB"/>
    <w:rsid w:val="009C2DDF"/>
    <w:rsid w:val="009C2E97"/>
    <w:rsid w:val="009C2E9F"/>
    <w:rsid w:val="009C2EC1"/>
    <w:rsid w:val="009C2F1F"/>
    <w:rsid w:val="009C2F52"/>
    <w:rsid w:val="009C2F64"/>
    <w:rsid w:val="009C30BA"/>
    <w:rsid w:val="009C31FD"/>
    <w:rsid w:val="009C354D"/>
    <w:rsid w:val="009C3572"/>
    <w:rsid w:val="009C359A"/>
    <w:rsid w:val="009C35E0"/>
    <w:rsid w:val="009C36AD"/>
    <w:rsid w:val="009C36EC"/>
    <w:rsid w:val="009C378B"/>
    <w:rsid w:val="009C37C1"/>
    <w:rsid w:val="009C37E8"/>
    <w:rsid w:val="009C3845"/>
    <w:rsid w:val="009C387C"/>
    <w:rsid w:val="009C39B2"/>
    <w:rsid w:val="009C3BB9"/>
    <w:rsid w:val="009C3BBB"/>
    <w:rsid w:val="009C3C20"/>
    <w:rsid w:val="009C3C7F"/>
    <w:rsid w:val="009C3D25"/>
    <w:rsid w:val="009C3E54"/>
    <w:rsid w:val="009C3E9C"/>
    <w:rsid w:val="009C3EBA"/>
    <w:rsid w:val="009C3FC0"/>
    <w:rsid w:val="009C3FEE"/>
    <w:rsid w:val="009C403B"/>
    <w:rsid w:val="009C410B"/>
    <w:rsid w:val="009C4329"/>
    <w:rsid w:val="009C435D"/>
    <w:rsid w:val="009C43BC"/>
    <w:rsid w:val="009C43E6"/>
    <w:rsid w:val="009C455E"/>
    <w:rsid w:val="009C4704"/>
    <w:rsid w:val="009C472D"/>
    <w:rsid w:val="009C4735"/>
    <w:rsid w:val="009C4753"/>
    <w:rsid w:val="009C4790"/>
    <w:rsid w:val="009C47B5"/>
    <w:rsid w:val="009C48C7"/>
    <w:rsid w:val="009C495F"/>
    <w:rsid w:val="009C499D"/>
    <w:rsid w:val="009C4CFE"/>
    <w:rsid w:val="009C4D68"/>
    <w:rsid w:val="009C4DD7"/>
    <w:rsid w:val="009C4EAC"/>
    <w:rsid w:val="009C4FB4"/>
    <w:rsid w:val="009C50E0"/>
    <w:rsid w:val="009C511C"/>
    <w:rsid w:val="009C5259"/>
    <w:rsid w:val="009C528F"/>
    <w:rsid w:val="009C52D0"/>
    <w:rsid w:val="009C547D"/>
    <w:rsid w:val="009C5488"/>
    <w:rsid w:val="009C564F"/>
    <w:rsid w:val="009C5776"/>
    <w:rsid w:val="009C5961"/>
    <w:rsid w:val="009C5968"/>
    <w:rsid w:val="009C5A17"/>
    <w:rsid w:val="009C5ADC"/>
    <w:rsid w:val="009C5AFF"/>
    <w:rsid w:val="009C5BF9"/>
    <w:rsid w:val="009C5BFC"/>
    <w:rsid w:val="009C5C1E"/>
    <w:rsid w:val="009C5C2A"/>
    <w:rsid w:val="009C5E74"/>
    <w:rsid w:val="009C5F49"/>
    <w:rsid w:val="009C5F61"/>
    <w:rsid w:val="009C6056"/>
    <w:rsid w:val="009C6067"/>
    <w:rsid w:val="009C6095"/>
    <w:rsid w:val="009C6116"/>
    <w:rsid w:val="009C61F6"/>
    <w:rsid w:val="009C625A"/>
    <w:rsid w:val="009C6274"/>
    <w:rsid w:val="009C62D7"/>
    <w:rsid w:val="009C645D"/>
    <w:rsid w:val="009C659E"/>
    <w:rsid w:val="009C663E"/>
    <w:rsid w:val="009C6640"/>
    <w:rsid w:val="009C6647"/>
    <w:rsid w:val="009C6761"/>
    <w:rsid w:val="009C67C8"/>
    <w:rsid w:val="009C67CF"/>
    <w:rsid w:val="009C68A4"/>
    <w:rsid w:val="009C68B1"/>
    <w:rsid w:val="009C6962"/>
    <w:rsid w:val="009C6A1C"/>
    <w:rsid w:val="009C6A2F"/>
    <w:rsid w:val="009C6B16"/>
    <w:rsid w:val="009C6C5A"/>
    <w:rsid w:val="009C6C75"/>
    <w:rsid w:val="009C6CA8"/>
    <w:rsid w:val="009C6E1D"/>
    <w:rsid w:val="009C6E69"/>
    <w:rsid w:val="009C6FC0"/>
    <w:rsid w:val="009C706C"/>
    <w:rsid w:val="009C70E7"/>
    <w:rsid w:val="009C7150"/>
    <w:rsid w:val="009C721F"/>
    <w:rsid w:val="009C72AC"/>
    <w:rsid w:val="009C7385"/>
    <w:rsid w:val="009C73DF"/>
    <w:rsid w:val="009C75A0"/>
    <w:rsid w:val="009C75DD"/>
    <w:rsid w:val="009C7640"/>
    <w:rsid w:val="009C772B"/>
    <w:rsid w:val="009C7832"/>
    <w:rsid w:val="009C7859"/>
    <w:rsid w:val="009C793A"/>
    <w:rsid w:val="009C798D"/>
    <w:rsid w:val="009C7A6F"/>
    <w:rsid w:val="009C7C2F"/>
    <w:rsid w:val="009C7C35"/>
    <w:rsid w:val="009C7C86"/>
    <w:rsid w:val="009C7CB7"/>
    <w:rsid w:val="009C7D19"/>
    <w:rsid w:val="009C7DFF"/>
    <w:rsid w:val="009C7E32"/>
    <w:rsid w:val="009C7EE3"/>
    <w:rsid w:val="009C7F46"/>
    <w:rsid w:val="009C7FAF"/>
    <w:rsid w:val="009CDF0C"/>
    <w:rsid w:val="009D0065"/>
    <w:rsid w:val="009D014C"/>
    <w:rsid w:val="009D01A6"/>
    <w:rsid w:val="009D026E"/>
    <w:rsid w:val="009D0351"/>
    <w:rsid w:val="009D04E4"/>
    <w:rsid w:val="009D062A"/>
    <w:rsid w:val="009D071D"/>
    <w:rsid w:val="009D0736"/>
    <w:rsid w:val="009D0781"/>
    <w:rsid w:val="009D079A"/>
    <w:rsid w:val="009D07A7"/>
    <w:rsid w:val="009D07BD"/>
    <w:rsid w:val="009D08B5"/>
    <w:rsid w:val="009D09CC"/>
    <w:rsid w:val="009D0A44"/>
    <w:rsid w:val="009D0AEC"/>
    <w:rsid w:val="009D0B38"/>
    <w:rsid w:val="009D0B54"/>
    <w:rsid w:val="009D0CE8"/>
    <w:rsid w:val="009D0DB8"/>
    <w:rsid w:val="009D0E00"/>
    <w:rsid w:val="009D0E18"/>
    <w:rsid w:val="009D0FFF"/>
    <w:rsid w:val="009D1028"/>
    <w:rsid w:val="009D1061"/>
    <w:rsid w:val="009D119B"/>
    <w:rsid w:val="009D11F4"/>
    <w:rsid w:val="009D1219"/>
    <w:rsid w:val="009D1230"/>
    <w:rsid w:val="009D1247"/>
    <w:rsid w:val="009D12C3"/>
    <w:rsid w:val="009D12E5"/>
    <w:rsid w:val="009D1352"/>
    <w:rsid w:val="009D165E"/>
    <w:rsid w:val="009D168A"/>
    <w:rsid w:val="009D1733"/>
    <w:rsid w:val="009D1753"/>
    <w:rsid w:val="009D17A4"/>
    <w:rsid w:val="009D17CC"/>
    <w:rsid w:val="009D1880"/>
    <w:rsid w:val="009D18B1"/>
    <w:rsid w:val="009D1A62"/>
    <w:rsid w:val="009D1A72"/>
    <w:rsid w:val="009D1B1A"/>
    <w:rsid w:val="009D1B53"/>
    <w:rsid w:val="009D1C96"/>
    <w:rsid w:val="009D1E04"/>
    <w:rsid w:val="009D1EE3"/>
    <w:rsid w:val="009D1F37"/>
    <w:rsid w:val="009D2153"/>
    <w:rsid w:val="009D2184"/>
    <w:rsid w:val="009D22AD"/>
    <w:rsid w:val="009D22C7"/>
    <w:rsid w:val="009D22D8"/>
    <w:rsid w:val="009D2369"/>
    <w:rsid w:val="009D2456"/>
    <w:rsid w:val="009D24A1"/>
    <w:rsid w:val="009D2564"/>
    <w:rsid w:val="009D25EC"/>
    <w:rsid w:val="009D266E"/>
    <w:rsid w:val="009D2722"/>
    <w:rsid w:val="009D278B"/>
    <w:rsid w:val="009D279B"/>
    <w:rsid w:val="009D288E"/>
    <w:rsid w:val="009D28DC"/>
    <w:rsid w:val="009D28E1"/>
    <w:rsid w:val="009D2973"/>
    <w:rsid w:val="009D2A22"/>
    <w:rsid w:val="009D2A6A"/>
    <w:rsid w:val="009D2D67"/>
    <w:rsid w:val="009D2D98"/>
    <w:rsid w:val="009D2E28"/>
    <w:rsid w:val="009D2E79"/>
    <w:rsid w:val="009D2F67"/>
    <w:rsid w:val="009D2F97"/>
    <w:rsid w:val="009D3094"/>
    <w:rsid w:val="009D30DA"/>
    <w:rsid w:val="009D30E8"/>
    <w:rsid w:val="009D32AD"/>
    <w:rsid w:val="009D344D"/>
    <w:rsid w:val="009D3489"/>
    <w:rsid w:val="009D3554"/>
    <w:rsid w:val="009D3564"/>
    <w:rsid w:val="009D3821"/>
    <w:rsid w:val="009D39A3"/>
    <w:rsid w:val="009D3B10"/>
    <w:rsid w:val="009D3BA6"/>
    <w:rsid w:val="009D3C0F"/>
    <w:rsid w:val="009D3D34"/>
    <w:rsid w:val="009D3F5A"/>
    <w:rsid w:val="009D3FD2"/>
    <w:rsid w:val="009D4139"/>
    <w:rsid w:val="009D4228"/>
    <w:rsid w:val="009D4423"/>
    <w:rsid w:val="009D442C"/>
    <w:rsid w:val="009D44B4"/>
    <w:rsid w:val="009D44CA"/>
    <w:rsid w:val="009D44FA"/>
    <w:rsid w:val="009D45AC"/>
    <w:rsid w:val="009D4604"/>
    <w:rsid w:val="009D4652"/>
    <w:rsid w:val="009D478A"/>
    <w:rsid w:val="009D48E8"/>
    <w:rsid w:val="009D494E"/>
    <w:rsid w:val="009D4A8B"/>
    <w:rsid w:val="009D4B7E"/>
    <w:rsid w:val="009D4BA8"/>
    <w:rsid w:val="009D4EBC"/>
    <w:rsid w:val="009D4F01"/>
    <w:rsid w:val="009D4F28"/>
    <w:rsid w:val="009D4F71"/>
    <w:rsid w:val="009D4FD7"/>
    <w:rsid w:val="009D4FF2"/>
    <w:rsid w:val="009D509C"/>
    <w:rsid w:val="009D509E"/>
    <w:rsid w:val="009D5146"/>
    <w:rsid w:val="009D5174"/>
    <w:rsid w:val="009D5233"/>
    <w:rsid w:val="009D5252"/>
    <w:rsid w:val="009D5260"/>
    <w:rsid w:val="009D52EE"/>
    <w:rsid w:val="009D55B3"/>
    <w:rsid w:val="009D55F2"/>
    <w:rsid w:val="009D5629"/>
    <w:rsid w:val="009D562F"/>
    <w:rsid w:val="009D5643"/>
    <w:rsid w:val="009D57B9"/>
    <w:rsid w:val="009D57E3"/>
    <w:rsid w:val="009D57FD"/>
    <w:rsid w:val="009D5866"/>
    <w:rsid w:val="009D58E8"/>
    <w:rsid w:val="009D58FF"/>
    <w:rsid w:val="009D5947"/>
    <w:rsid w:val="009D596D"/>
    <w:rsid w:val="009D5BF9"/>
    <w:rsid w:val="009D5D0F"/>
    <w:rsid w:val="009D5D92"/>
    <w:rsid w:val="009D5DFD"/>
    <w:rsid w:val="009D5E3A"/>
    <w:rsid w:val="009D5E6C"/>
    <w:rsid w:val="009D5EB0"/>
    <w:rsid w:val="009D5ECD"/>
    <w:rsid w:val="009D5F42"/>
    <w:rsid w:val="009D60D5"/>
    <w:rsid w:val="009D63E5"/>
    <w:rsid w:val="009D6419"/>
    <w:rsid w:val="009D658D"/>
    <w:rsid w:val="009D66AF"/>
    <w:rsid w:val="009D68BE"/>
    <w:rsid w:val="009D68C1"/>
    <w:rsid w:val="009D6932"/>
    <w:rsid w:val="009D6A2A"/>
    <w:rsid w:val="009D6A2F"/>
    <w:rsid w:val="009D6A63"/>
    <w:rsid w:val="009D6A9C"/>
    <w:rsid w:val="009D6AC7"/>
    <w:rsid w:val="009D6E55"/>
    <w:rsid w:val="009D6EA4"/>
    <w:rsid w:val="009D6EC9"/>
    <w:rsid w:val="009D717D"/>
    <w:rsid w:val="009D7314"/>
    <w:rsid w:val="009D731A"/>
    <w:rsid w:val="009D7330"/>
    <w:rsid w:val="009D73E6"/>
    <w:rsid w:val="009D745C"/>
    <w:rsid w:val="009D74B3"/>
    <w:rsid w:val="009D74D1"/>
    <w:rsid w:val="009D7512"/>
    <w:rsid w:val="009D7530"/>
    <w:rsid w:val="009D761F"/>
    <w:rsid w:val="009D7763"/>
    <w:rsid w:val="009D78FF"/>
    <w:rsid w:val="009D7994"/>
    <w:rsid w:val="009D7A2C"/>
    <w:rsid w:val="009D7B68"/>
    <w:rsid w:val="009D7CAF"/>
    <w:rsid w:val="009D7CEB"/>
    <w:rsid w:val="009D7D88"/>
    <w:rsid w:val="009D7DAF"/>
    <w:rsid w:val="009D7F58"/>
    <w:rsid w:val="009D7FD6"/>
    <w:rsid w:val="009E006D"/>
    <w:rsid w:val="009E009E"/>
    <w:rsid w:val="009E0102"/>
    <w:rsid w:val="009E016B"/>
    <w:rsid w:val="009E01AA"/>
    <w:rsid w:val="009E0207"/>
    <w:rsid w:val="009E041A"/>
    <w:rsid w:val="009E04E7"/>
    <w:rsid w:val="009E08B6"/>
    <w:rsid w:val="009E0967"/>
    <w:rsid w:val="009E09C2"/>
    <w:rsid w:val="009E0A23"/>
    <w:rsid w:val="009E0A65"/>
    <w:rsid w:val="009E0B19"/>
    <w:rsid w:val="009E0BFE"/>
    <w:rsid w:val="009E0D5B"/>
    <w:rsid w:val="009E0F76"/>
    <w:rsid w:val="009E1019"/>
    <w:rsid w:val="009E10B6"/>
    <w:rsid w:val="009E10C8"/>
    <w:rsid w:val="009E1111"/>
    <w:rsid w:val="009E1149"/>
    <w:rsid w:val="009E114A"/>
    <w:rsid w:val="009E11F4"/>
    <w:rsid w:val="009E120E"/>
    <w:rsid w:val="009E1246"/>
    <w:rsid w:val="009E1266"/>
    <w:rsid w:val="009E12AF"/>
    <w:rsid w:val="009E13C6"/>
    <w:rsid w:val="009E14DD"/>
    <w:rsid w:val="009E1685"/>
    <w:rsid w:val="009E1712"/>
    <w:rsid w:val="009E1731"/>
    <w:rsid w:val="009E1792"/>
    <w:rsid w:val="009E19AF"/>
    <w:rsid w:val="009E19B8"/>
    <w:rsid w:val="009E1A01"/>
    <w:rsid w:val="009E1A1E"/>
    <w:rsid w:val="009E1B7E"/>
    <w:rsid w:val="009E1BE5"/>
    <w:rsid w:val="009E1C7B"/>
    <w:rsid w:val="009E1CB5"/>
    <w:rsid w:val="009E1E9F"/>
    <w:rsid w:val="009E1EFA"/>
    <w:rsid w:val="009E1FCF"/>
    <w:rsid w:val="009E201C"/>
    <w:rsid w:val="009E2062"/>
    <w:rsid w:val="009E2079"/>
    <w:rsid w:val="009E211D"/>
    <w:rsid w:val="009E2120"/>
    <w:rsid w:val="009E2129"/>
    <w:rsid w:val="009E2287"/>
    <w:rsid w:val="009E23B7"/>
    <w:rsid w:val="009E24F0"/>
    <w:rsid w:val="009E2539"/>
    <w:rsid w:val="009E2549"/>
    <w:rsid w:val="009E2801"/>
    <w:rsid w:val="009E2940"/>
    <w:rsid w:val="009E294D"/>
    <w:rsid w:val="009E2996"/>
    <w:rsid w:val="009E29D1"/>
    <w:rsid w:val="009E2AD0"/>
    <w:rsid w:val="009E2B70"/>
    <w:rsid w:val="009E2C17"/>
    <w:rsid w:val="009E2C64"/>
    <w:rsid w:val="009E2C7C"/>
    <w:rsid w:val="009E2CE6"/>
    <w:rsid w:val="009E2D05"/>
    <w:rsid w:val="009E2D06"/>
    <w:rsid w:val="009E2E25"/>
    <w:rsid w:val="009E2E42"/>
    <w:rsid w:val="009E2E54"/>
    <w:rsid w:val="009E2F33"/>
    <w:rsid w:val="009E30F9"/>
    <w:rsid w:val="009E3184"/>
    <w:rsid w:val="009E31AB"/>
    <w:rsid w:val="009E31D5"/>
    <w:rsid w:val="009E3243"/>
    <w:rsid w:val="009E33A0"/>
    <w:rsid w:val="009E3420"/>
    <w:rsid w:val="009E346C"/>
    <w:rsid w:val="009E3490"/>
    <w:rsid w:val="009E358D"/>
    <w:rsid w:val="009E3595"/>
    <w:rsid w:val="009E35FC"/>
    <w:rsid w:val="009E3619"/>
    <w:rsid w:val="009E396A"/>
    <w:rsid w:val="009E39F0"/>
    <w:rsid w:val="009E3C3D"/>
    <w:rsid w:val="009E3CD0"/>
    <w:rsid w:val="009E3D39"/>
    <w:rsid w:val="009E3EFE"/>
    <w:rsid w:val="009E4031"/>
    <w:rsid w:val="009E407B"/>
    <w:rsid w:val="009E408E"/>
    <w:rsid w:val="009E4176"/>
    <w:rsid w:val="009E424E"/>
    <w:rsid w:val="009E42F5"/>
    <w:rsid w:val="009E43FE"/>
    <w:rsid w:val="009E4401"/>
    <w:rsid w:val="009E4536"/>
    <w:rsid w:val="009E46B4"/>
    <w:rsid w:val="009E46E4"/>
    <w:rsid w:val="009E47BA"/>
    <w:rsid w:val="009E4806"/>
    <w:rsid w:val="009E4927"/>
    <w:rsid w:val="009E4BBD"/>
    <w:rsid w:val="009E4BFC"/>
    <w:rsid w:val="009E4C31"/>
    <w:rsid w:val="009E4C66"/>
    <w:rsid w:val="009E4D42"/>
    <w:rsid w:val="009E4F0E"/>
    <w:rsid w:val="009E4FE7"/>
    <w:rsid w:val="009E501E"/>
    <w:rsid w:val="009E5062"/>
    <w:rsid w:val="009E50E1"/>
    <w:rsid w:val="009E5122"/>
    <w:rsid w:val="009E5184"/>
    <w:rsid w:val="009E5206"/>
    <w:rsid w:val="009E5308"/>
    <w:rsid w:val="009E53AB"/>
    <w:rsid w:val="009E5491"/>
    <w:rsid w:val="009E54D1"/>
    <w:rsid w:val="009E560E"/>
    <w:rsid w:val="009E5639"/>
    <w:rsid w:val="009E5812"/>
    <w:rsid w:val="009E596E"/>
    <w:rsid w:val="009E5A9E"/>
    <w:rsid w:val="009E5BB1"/>
    <w:rsid w:val="009E5BC8"/>
    <w:rsid w:val="009E5C8B"/>
    <w:rsid w:val="009E5CDB"/>
    <w:rsid w:val="009E5CF5"/>
    <w:rsid w:val="009E5D3D"/>
    <w:rsid w:val="009E5D5C"/>
    <w:rsid w:val="009E5ECE"/>
    <w:rsid w:val="009E602A"/>
    <w:rsid w:val="009E605E"/>
    <w:rsid w:val="009E6077"/>
    <w:rsid w:val="009E6108"/>
    <w:rsid w:val="009E6241"/>
    <w:rsid w:val="009E6276"/>
    <w:rsid w:val="009E6366"/>
    <w:rsid w:val="009E6460"/>
    <w:rsid w:val="009E646C"/>
    <w:rsid w:val="009E65E8"/>
    <w:rsid w:val="009E6610"/>
    <w:rsid w:val="009E667D"/>
    <w:rsid w:val="009E6695"/>
    <w:rsid w:val="009E66FE"/>
    <w:rsid w:val="009E6715"/>
    <w:rsid w:val="009E680E"/>
    <w:rsid w:val="009E6833"/>
    <w:rsid w:val="009E68B1"/>
    <w:rsid w:val="009E6959"/>
    <w:rsid w:val="009E697E"/>
    <w:rsid w:val="009E699D"/>
    <w:rsid w:val="009E69A3"/>
    <w:rsid w:val="009E69AB"/>
    <w:rsid w:val="009E6C22"/>
    <w:rsid w:val="009E6C9D"/>
    <w:rsid w:val="009E6DB6"/>
    <w:rsid w:val="009E6DBC"/>
    <w:rsid w:val="009E6E31"/>
    <w:rsid w:val="009E6F19"/>
    <w:rsid w:val="009E6F88"/>
    <w:rsid w:val="009E7069"/>
    <w:rsid w:val="009E707A"/>
    <w:rsid w:val="009E7143"/>
    <w:rsid w:val="009E716B"/>
    <w:rsid w:val="009E71B2"/>
    <w:rsid w:val="009E723C"/>
    <w:rsid w:val="009E72FF"/>
    <w:rsid w:val="009E73AB"/>
    <w:rsid w:val="009E73D6"/>
    <w:rsid w:val="009E746A"/>
    <w:rsid w:val="009E7555"/>
    <w:rsid w:val="009E7561"/>
    <w:rsid w:val="009E75F7"/>
    <w:rsid w:val="009E7636"/>
    <w:rsid w:val="009E780C"/>
    <w:rsid w:val="009E78C4"/>
    <w:rsid w:val="009E790A"/>
    <w:rsid w:val="009E794B"/>
    <w:rsid w:val="009E7B07"/>
    <w:rsid w:val="009E7B3F"/>
    <w:rsid w:val="009E7BED"/>
    <w:rsid w:val="009E7C92"/>
    <w:rsid w:val="009E7C94"/>
    <w:rsid w:val="009E7CAE"/>
    <w:rsid w:val="009E7D03"/>
    <w:rsid w:val="009E7DAD"/>
    <w:rsid w:val="009E7EFD"/>
    <w:rsid w:val="009F00D5"/>
    <w:rsid w:val="009F00E4"/>
    <w:rsid w:val="009F010A"/>
    <w:rsid w:val="009F0145"/>
    <w:rsid w:val="009F0200"/>
    <w:rsid w:val="009F0210"/>
    <w:rsid w:val="009F0266"/>
    <w:rsid w:val="009F03AD"/>
    <w:rsid w:val="009F0437"/>
    <w:rsid w:val="009F050E"/>
    <w:rsid w:val="009F054F"/>
    <w:rsid w:val="009F0684"/>
    <w:rsid w:val="009F0698"/>
    <w:rsid w:val="009F06B9"/>
    <w:rsid w:val="009F077A"/>
    <w:rsid w:val="009F0847"/>
    <w:rsid w:val="009F086D"/>
    <w:rsid w:val="009F0873"/>
    <w:rsid w:val="009F0893"/>
    <w:rsid w:val="009F08B6"/>
    <w:rsid w:val="009F08CB"/>
    <w:rsid w:val="009F0952"/>
    <w:rsid w:val="009F0955"/>
    <w:rsid w:val="009F0AB4"/>
    <w:rsid w:val="009F0B0D"/>
    <w:rsid w:val="009F0BDB"/>
    <w:rsid w:val="009F0C1D"/>
    <w:rsid w:val="009F0D41"/>
    <w:rsid w:val="009F0EF3"/>
    <w:rsid w:val="009F0F6E"/>
    <w:rsid w:val="009F1040"/>
    <w:rsid w:val="009F11D3"/>
    <w:rsid w:val="009F124C"/>
    <w:rsid w:val="009F12F4"/>
    <w:rsid w:val="009F144D"/>
    <w:rsid w:val="009F1490"/>
    <w:rsid w:val="009F14F1"/>
    <w:rsid w:val="009F1608"/>
    <w:rsid w:val="009F1686"/>
    <w:rsid w:val="009F177D"/>
    <w:rsid w:val="009F18AF"/>
    <w:rsid w:val="009F195D"/>
    <w:rsid w:val="009F19D9"/>
    <w:rsid w:val="009F1AC2"/>
    <w:rsid w:val="009F1C56"/>
    <w:rsid w:val="009F1E2A"/>
    <w:rsid w:val="009F1ED9"/>
    <w:rsid w:val="009F1F00"/>
    <w:rsid w:val="009F1FB3"/>
    <w:rsid w:val="009F20AD"/>
    <w:rsid w:val="009F2118"/>
    <w:rsid w:val="009F2123"/>
    <w:rsid w:val="009F216D"/>
    <w:rsid w:val="009F21BA"/>
    <w:rsid w:val="009F21CA"/>
    <w:rsid w:val="009F23F3"/>
    <w:rsid w:val="009F2402"/>
    <w:rsid w:val="009F2562"/>
    <w:rsid w:val="009F25E3"/>
    <w:rsid w:val="009F2788"/>
    <w:rsid w:val="009F2D72"/>
    <w:rsid w:val="009F2DB5"/>
    <w:rsid w:val="009F2E36"/>
    <w:rsid w:val="009F2FBE"/>
    <w:rsid w:val="009F3022"/>
    <w:rsid w:val="009F303B"/>
    <w:rsid w:val="009F3053"/>
    <w:rsid w:val="009F3126"/>
    <w:rsid w:val="009F31D3"/>
    <w:rsid w:val="009F3238"/>
    <w:rsid w:val="009F32B4"/>
    <w:rsid w:val="009F34C6"/>
    <w:rsid w:val="009F34C9"/>
    <w:rsid w:val="009F3593"/>
    <w:rsid w:val="009F3688"/>
    <w:rsid w:val="009F3723"/>
    <w:rsid w:val="009F37E5"/>
    <w:rsid w:val="009F3BD8"/>
    <w:rsid w:val="009F3C75"/>
    <w:rsid w:val="009F3D49"/>
    <w:rsid w:val="009F3DD9"/>
    <w:rsid w:val="009F3E13"/>
    <w:rsid w:val="009F3F07"/>
    <w:rsid w:val="009F4123"/>
    <w:rsid w:val="009F4143"/>
    <w:rsid w:val="009F42E6"/>
    <w:rsid w:val="009F4473"/>
    <w:rsid w:val="009F4522"/>
    <w:rsid w:val="009F4603"/>
    <w:rsid w:val="009F462F"/>
    <w:rsid w:val="009F4658"/>
    <w:rsid w:val="009F4660"/>
    <w:rsid w:val="009F4791"/>
    <w:rsid w:val="009F4879"/>
    <w:rsid w:val="009F4934"/>
    <w:rsid w:val="009F4955"/>
    <w:rsid w:val="009F4A3A"/>
    <w:rsid w:val="009F4A48"/>
    <w:rsid w:val="009F4B20"/>
    <w:rsid w:val="009F4B82"/>
    <w:rsid w:val="009F4BA6"/>
    <w:rsid w:val="009F4C51"/>
    <w:rsid w:val="009F4C7C"/>
    <w:rsid w:val="009F4CE5"/>
    <w:rsid w:val="009F4DD4"/>
    <w:rsid w:val="009F4DF2"/>
    <w:rsid w:val="009F4ED3"/>
    <w:rsid w:val="009F4F05"/>
    <w:rsid w:val="009F4F46"/>
    <w:rsid w:val="009F501D"/>
    <w:rsid w:val="009F5060"/>
    <w:rsid w:val="009F50A2"/>
    <w:rsid w:val="009F5209"/>
    <w:rsid w:val="009F53BD"/>
    <w:rsid w:val="009F5525"/>
    <w:rsid w:val="009F5537"/>
    <w:rsid w:val="009F564F"/>
    <w:rsid w:val="009F5659"/>
    <w:rsid w:val="009F5712"/>
    <w:rsid w:val="009F5746"/>
    <w:rsid w:val="009F5A53"/>
    <w:rsid w:val="009F5A6C"/>
    <w:rsid w:val="009F5AF9"/>
    <w:rsid w:val="009F5BAC"/>
    <w:rsid w:val="009F5BCD"/>
    <w:rsid w:val="009F5CD5"/>
    <w:rsid w:val="009F5F7D"/>
    <w:rsid w:val="009F61BC"/>
    <w:rsid w:val="009F62D8"/>
    <w:rsid w:val="009F6497"/>
    <w:rsid w:val="009F666D"/>
    <w:rsid w:val="009F6783"/>
    <w:rsid w:val="009F67B4"/>
    <w:rsid w:val="009F67F3"/>
    <w:rsid w:val="009F67F8"/>
    <w:rsid w:val="009F68D5"/>
    <w:rsid w:val="009F6AEC"/>
    <w:rsid w:val="009F6BB6"/>
    <w:rsid w:val="009F6CB2"/>
    <w:rsid w:val="009F6D25"/>
    <w:rsid w:val="009F6D42"/>
    <w:rsid w:val="009F6DB2"/>
    <w:rsid w:val="009F6EA8"/>
    <w:rsid w:val="009F6EBA"/>
    <w:rsid w:val="009F6F07"/>
    <w:rsid w:val="009F6F1F"/>
    <w:rsid w:val="009F6F66"/>
    <w:rsid w:val="009F706E"/>
    <w:rsid w:val="009F7101"/>
    <w:rsid w:val="009F712D"/>
    <w:rsid w:val="009F7185"/>
    <w:rsid w:val="009F71C8"/>
    <w:rsid w:val="009F71F9"/>
    <w:rsid w:val="009F7263"/>
    <w:rsid w:val="009F7402"/>
    <w:rsid w:val="009F7589"/>
    <w:rsid w:val="009F761B"/>
    <w:rsid w:val="009F7658"/>
    <w:rsid w:val="009F76FB"/>
    <w:rsid w:val="009F7782"/>
    <w:rsid w:val="009F77BA"/>
    <w:rsid w:val="009F7930"/>
    <w:rsid w:val="009F794D"/>
    <w:rsid w:val="009F7AAE"/>
    <w:rsid w:val="009F7ACB"/>
    <w:rsid w:val="009F7B1D"/>
    <w:rsid w:val="009F7B5D"/>
    <w:rsid w:val="009F7BF7"/>
    <w:rsid w:val="009F7C07"/>
    <w:rsid w:val="009F7C78"/>
    <w:rsid w:val="009F7C80"/>
    <w:rsid w:val="009F7D12"/>
    <w:rsid w:val="009F7F60"/>
    <w:rsid w:val="009F7F86"/>
    <w:rsid w:val="00A00086"/>
    <w:rsid w:val="00A000B7"/>
    <w:rsid w:val="00A000C4"/>
    <w:rsid w:val="00A00199"/>
    <w:rsid w:val="00A00307"/>
    <w:rsid w:val="00A003E2"/>
    <w:rsid w:val="00A0046E"/>
    <w:rsid w:val="00A004BB"/>
    <w:rsid w:val="00A004BF"/>
    <w:rsid w:val="00A00537"/>
    <w:rsid w:val="00A0059C"/>
    <w:rsid w:val="00A00650"/>
    <w:rsid w:val="00A00707"/>
    <w:rsid w:val="00A00716"/>
    <w:rsid w:val="00A00802"/>
    <w:rsid w:val="00A00804"/>
    <w:rsid w:val="00A0085E"/>
    <w:rsid w:val="00A009F0"/>
    <w:rsid w:val="00A00A12"/>
    <w:rsid w:val="00A00BB8"/>
    <w:rsid w:val="00A00BED"/>
    <w:rsid w:val="00A00D00"/>
    <w:rsid w:val="00A00D2B"/>
    <w:rsid w:val="00A00D3B"/>
    <w:rsid w:val="00A00D49"/>
    <w:rsid w:val="00A00DA6"/>
    <w:rsid w:val="00A010CB"/>
    <w:rsid w:val="00A01175"/>
    <w:rsid w:val="00A01218"/>
    <w:rsid w:val="00A01243"/>
    <w:rsid w:val="00A012D1"/>
    <w:rsid w:val="00A0140B"/>
    <w:rsid w:val="00A01480"/>
    <w:rsid w:val="00A0154C"/>
    <w:rsid w:val="00A015CE"/>
    <w:rsid w:val="00A015D5"/>
    <w:rsid w:val="00A01705"/>
    <w:rsid w:val="00A01754"/>
    <w:rsid w:val="00A0199F"/>
    <w:rsid w:val="00A019F3"/>
    <w:rsid w:val="00A01A6B"/>
    <w:rsid w:val="00A01AEC"/>
    <w:rsid w:val="00A01D3E"/>
    <w:rsid w:val="00A01DA8"/>
    <w:rsid w:val="00A01F57"/>
    <w:rsid w:val="00A02032"/>
    <w:rsid w:val="00A020E7"/>
    <w:rsid w:val="00A02147"/>
    <w:rsid w:val="00A022D1"/>
    <w:rsid w:val="00A022DB"/>
    <w:rsid w:val="00A0242C"/>
    <w:rsid w:val="00A024E6"/>
    <w:rsid w:val="00A0250B"/>
    <w:rsid w:val="00A026DC"/>
    <w:rsid w:val="00A02739"/>
    <w:rsid w:val="00A0286B"/>
    <w:rsid w:val="00A02871"/>
    <w:rsid w:val="00A0289F"/>
    <w:rsid w:val="00A028A4"/>
    <w:rsid w:val="00A028CA"/>
    <w:rsid w:val="00A02906"/>
    <w:rsid w:val="00A02A21"/>
    <w:rsid w:val="00A02A3F"/>
    <w:rsid w:val="00A02AF5"/>
    <w:rsid w:val="00A02B0F"/>
    <w:rsid w:val="00A02C0A"/>
    <w:rsid w:val="00A02CCE"/>
    <w:rsid w:val="00A02DD9"/>
    <w:rsid w:val="00A02DFE"/>
    <w:rsid w:val="00A02F23"/>
    <w:rsid w:val="00A02FC9"/>
    <w:rsid w:val="00A03019"/>
    <w:rsid w:val="00A0326E"/>
    <w:rsid w:val="00A0334D"/>
    <w:rsid w:val="00A033A7"/>
    <w:rsid w:val="00A033F4"/>
    <w:rsid w:val="00A03456"/>
    <w:rsid w:val="00A0346F"/>
    <w:rsid w:val="00A03502"/>
    <w:rsid w:val="00A03650"/>
    <w:rsid w:val="00A0368C"/>
    <w:rsid w:val="00A0371E"/>
    <w:rsid w:val="00A037CD"/>
    <w:rsid w:val="00A03900"/>
    <w:rsid w:val="00A03A18"/>
    <w:rsid w:val="00A03A4C"/>
    <w:rsid w:val="00A03A8A"/>
    <w:rsid w:val="00A03B14"/>
    <w:rsid w:val="00A03CE7"/>
    <w:rsid w:val="00A03D01"/>
    <w:rsid w:val="00A03D38"/>
    <w:rsid w:val="00A03DBA"/>
    <w:rsid w:val="00A03FC4"/>
    <w:rsid w:val="00A0416C"/>
    <w:rsid w:val="00A042DD"/>
    <w:rsid w:val="00A04321"/>
    <w:rsid w:val="00A043BD"/>
    <w:rsid w:val="00A0445B"/>
    <w:rsid w:val="00A045BD"/>
    <w:rsid w:val="00A0463B"/>
    <w:rsid w:val="00A04689"/>
    <w:rsid w:val="00A0483C"/>
    <w:rsid w:val="00A04977"/>
    <w:rsid w:val="00A049B3"/>
    <w:rsid w:val="00A04A90"/>
    <w:rsid w:val="00A04B71"/>
    <w:rsid w:val="00A04C3C"/>
    <w:rsid w:val="00A04CDB"/>
    <w:rsid w:val="00A04EA3"/>
    <w:rsid w:val="00A04EA4"/>
    <w:rsid w:val="00A04ED0"/>
    <w:rsid w:val="00A04F13"/>
    <w:rsid w:val="00A04F66"/>
    <w:rsid w:val="00A04FCC"/>
    <w:rsid w:val="00A050C1"/>
    <w:rsid w:val="00A050D4"/>
    <w:rsid w:val="00A05288"/>
    <w:rsid w:val="00A05379"/>
    <w:rsid w:val="00A0551F"/>
    <w:rsid w:val="00A05540"/>
    <w:rsid w:val="00A05548"/>
    <w:rsid w:val="00A05572"/>
    <w:rsid w:val="00A05595"/>
    <w:rsid w:val="00A05616"/>
    <w:rsid w:val="00A0564F"/>
    <w:rsid w:val="00A056A5"/>
    <w:rsid w:val="00A056B7"/>
    <w:rsid w:val="00A057CB"/>
    <w:rsid w:val="00A058FE"/>
    <w:rsid w:val="00A05A7D"/>
    <w:rsid w:val="00A05AAC"/>
    <w:rsid w:val="00A05B26"/>
    <w:rsid w:val="00A05C52"/>
    <w:rsid w:val="00A05D10"/>
    <w:rsid w:val="00A05E20"/>
    <w:rsid w:val="00A0603B"/>
    <w:rsid w:val="00A0619E"/>
    <w:rsid w:val="00A061AE"/>
    <w:rsid w:val="00A061BE"/>
    <w:rsid w:val="00A06210"/>
    <w:rsid w:val="00A0627C"/>
    <w:rsid w:val="00A06305"/>
    <w:rsid w:val="00A063EE"/>
    <w:rsid w:val="00A0641F"/>
    <w:rsid w:val="00A065BE"/>
    <w:rsid w:val="00A06666"/>
    <w:rsid w:val="00A06670"/>
    <w:rsid w:val="00A0676F"/>
    <w:rsid w:val="00A067D0"/>
    <w:rsid w:val="00A06814"/>
    <w:rsid w:val="00A0689B"/>
    <w:rsid w:val="00A068C3"/>
    <w:rsid w:val="00A06972"/>
    <w:rsid w:val="00A06999"/>
    <w:rsid w:val="00A06AAF"/>
    <w:rsid w:val="00A06C57"/>
    <w:rsid w:val="00A06E1E"/>
    <w:rsid w:val="00A06E8D"/>
    <w:rsid w:val="00A06ED0"/>
    <w:rsid w:val="00A06EEA"/>
    <w:rsid w:val="00A06F3C"/>
    <w:rsid w:val="00A0708A"/>
    <w:rsid w:val="00A070E5"/>
    <w:rsid w:val="00A07108"/>
    <w:rsid w:val="00A0717D"/>
    <w:rsid w:val="00A0729B"/>
    <w:rsid w:val="00A07345"/>
    <w:rsid w:val="00A073A0"/>
    <w:rsid w:val="00A073A9"/>
    <w:rsid w:val="00A07540"/>
    <w:rsid w:val="00A075AA"/>
    <w:rsid w:val="00A07711"/>
    <w:rsid w:val="00A07732"/>
    <w:rsid w:val="00A07818"/>
    <w:rsid w:val="00A07883"/>
    <w:rsid w:val="00A078B3"/>
    <w:rsid w:val="00A07984"/>
    <w:rsid w:val="00A07A27"/>
    <w:rsid w:val="00A07BE3"/>
    <w:rsid w:val="00A07C0B"/>
    <w:rsid w:val="00A07C5A"/>
    <w:rsid w:val="00A07CDB"/>
    <w:rsid w:val="00A07D72"/>
    <w:rsid w:val="00A07F9E"/>
    <w:rsid w:val="00A101CE"/>
    <w:rsid w:val="00A10313"/>
    <w:rsid w:val="00A103B6"/>
    <w:rsid w:val="00A10435"/>
    <w:rsid w:val="00A1046E"/>
    <w:rsid w:val="00A10522"/>
    <w:rsid w:val="00A10539"/>
    <w:rsid w:val="00A10752"/>
    <w:rsid w:val="00A107FE"/>
    <w:rsid w:val="00A108C2"/>
    <w:rsid w:val="00A108FE"/>
    <w:rsid w:val="00A10903"/>
    <w:rsid w:val="00A109EF"/>
    <w:rsid w:val="00A10A2B"/>
    <w:rsid w:val="00A10B05"/>
    <w:rsid w:val="00A10B12"/>
    <w:rsid w:val="00A10C40"/>
    <w:rsid w:val="00A10CB8"/>
    <w:rsid w:val="00A10D51"/>
    <w:rsid w:val="00A10D64"/>
    <w:rsid w:val="00A10FB4"/>
    <w:rsid w:val="00A110C3"/>
    <w:rsid w:val="00A1110E"/>
    <w:rsid w:val="00A1120E"/>
    <w:rsid w:val="00A113FB"/>
    <w:rsid w:val="00A11517"/>
    <w:rsid w:val="00A11598"/>
    <w:rsid w:val="00A11621"/>
    <w:rsid w:val="00A11807"/>
    <w:rsid w:val="00A1186D"/>
    <w:rsid w:val="00A119BC"/>
    <w:rsid w:val="00A11A14"/>
    <w:rsid w:val="00A11A15"/>
    <w:rsid w:val="00A11AD2"/>
    <w:rsid w:val="00A11B55"/>
    <w:rsid w:val="00A11B64"/>
    <w:rsid w:val="00A11B83"/>
    <w:rsid w:val="00A11BF3"/>
    <w:rsid w:val="00A11CDF"/>
    <w:rsid w:val="00A11D2E"/>
    <w:rsid w:val="00A11DBE"/>
    <w:rsid w:val="00A11EBC"/>
    <w:rsid w:val="00A120A4"/>
    <w:rsid w:val="00A1212E"/>
    <w:rsid w:val="00A1215E"/>
    <w:rsid w:val="00A121DB"/>
    <w:rsid w:val="00A12227"/>
    <w:rsid w:val="00A122C0"/>
    <w:rsid w:val="00A12354"/>
    <w:rsid w:val="00A12476"/>
    <w:rsid w:val="00A1247A"/>
    <w:rsid w:val="00A124B2"/>
    <w:rsid w:val="00A12689"/>
    <w:rsid w:val="00A126DD"/>
    <w:rsid w:val="00A126EA"/>
    <w:rsid w:val="00A1271A"/>
    <w:rsid w:val="00A1272A"/>
    <w:rsid w:val="00A12827"/>
    <w:rsid w:val="00A1294E"/>
    <w:rsid w:val="00A1295A"/>
    <w:rsid w:val="00A129C9"/>
    <w:rsid w:val="00A12A82"/>
    <w:rsid w:val="00A12A96"/>
    <w:rsid w:val="00A12C95"/>
    <w:rsid w:val="00A12D03"/>
    <w:rsid w:val="00A12D32"/>
    <w:rsid w:val="00A12D76"/>
    <w:rsid w:val="00A12DA5"/>
    <w:rsid w:val="00A12DAA"/>
    <w:rsid w:val="00A12ED9"/>
    <w:rsid w:val="00A12FBD"/>
    <w:rsid w:val="00A13089"/>
    <w:rsid w:val="00A1315E"/>
    <w:rsid w:val="00A132BE"/>
    <w:rsid w:val="00A1336A"/>
    <w:rsid w:val="00A13428"/>
    <w:rsid w:val="00A134E0"/>
    <w:rsid w:val="00A13523"/>
    <w:rsid w:val="00A13547"/>
    <w:rsid w:val="00A135C4"/>
    <w:rsid w:val="00A1369F"/>
    <w:rsid w:val="00A1371A"/>
    <w:rsid w:val="00A13760"/>
    <w:rsid w:val="00A137C4"/>
    <w:rsid w:val="00A13854"/>
    <w:rsid w:val="00A13979"/>
    <w:rsid w:val="00A139F0"/>
    <w:rsid w:val="00A13A45"/>
    <w:rsid w:val="00A13A9F"/>
    <w:rsid w:val="00A13AB9"/>
    <w:rsid w:val="00A13AD8"/>
    <w:rsid w:val="00A13C5F"/>
    <w:rsid w:val="00A13D62"/>
    <w:rsid w:val="00A13EDD"/>
    <w:rsid w:val="00A13F3C"/>
    <w:rsid w:val="00A13F64"/>
    <w:rsid w:val="00A13F7C"/>
    <w:rsid w:val="00A140A7"/>
    <w:rsid w:val="00A140C5"/>
    <w:rsid w:val="00A141D9"/>
    <w:rsid w:val="00A141F8"/>
    <w:rsid w:val="00A1424D"/>
    <w:rsid w:val="00A144F7"/>
    <w:rsid w:val="00A14677"/>
    <w:rsid w:val="00A146BB"/>
    <w:rsid w:val="00A147D0"/>
    <w:rsid w:val="00A148DD"/>
    <w:rsid w:val="00A148F6"/>
    <w:rsid w:val="00A149B1"/>
    <w:rsid w:val="00A14A04"/>
    <w:rsid w:val="00A14A78"/>
    <w:rsid w:val="00A14B8C"/>
    <w:rsid w:val="00A14BCF"/>
    <w:rsid w:val="00A14BFD"/>
    <w:rsid w:val="00A14C66"/>
    <w:rsid w:val="00A14CF5"/>
    <w:rsid w:val="00A14E86"/>
    <w:rsid w:val="00A14F57"/>
    <w:rsid w:val="00A14FC6"/>
    <w:rsid w:val="00A1521D"/>
    <w:rsid w:val="00A15240"/>
    <w:rsid w:val="00A1534B"/>
    <w:rsid w:val="00A15399"/>
    <w:rsid w:val="00A15551"/>
    <w:rsid w:val="00A1562C"/>
    <w:rsid w:val="00A156E0"/>
    <w:rsid w:val="00A1573C"/>
    <w:rsid w:val="00A157A8"/>
    <w:rsid w:val="00A157E3"/>
    <w:rsid w:val="00A15815"/>
    <w:rsid w:val="00A1581B"/>
    <w:rsid w:val="00A15841"/>
    <w:rsid w:val="00A15846"/>
    <w:rsid w:val="00A158A3"/>
    <w:rsid w:val="00A158B0"/>
    <w:rsid w:val="00A1590B"/>
    <w:rsid w:val="00A159B5"/>
    <w:rsid w:val="00A15A4B"/>
    <w:rsid w:val="00A15A9E"/>
    <w:rsid w:val="00A15AC8"/>
    <w:rsid w:val="00A15B23"/>
    <w:rsid w:val="00A15BA5"/>
    <w:rsid w:val="00A15C0D"/>
    <w:rsid w:val="00A15C68"/>
    <w:rsid w:val="00A15F96"/>
    <w:rsid w:val="00A16002"/>
    <w:rsid w:val="00A160FC"/>
    <w:rsid w:val="00A16163"/>
    <w:rsid w:val="00A161A4"/>
    <w:rsid w:val="00A161A5"/>
    <w:rsid w:val="00A162E3"/>
    <w:rsid w:val="00A16380"/>
    <w:rsid w:val="00A163A6"/>
    <w:rsid w:val="00A163CE"/>
    <w:rsid w:val="00A164C3"/>
    <w:rsid w:val="00A16704"/>
    <w:rsid w:val="00A1671A"/>
    <w:rsid w:val="00A16767"/>
    <w:rsid w:val="00A1677C"/>
    <w:rsid w:val="00A1689D"/>
    <w:rsid w:val="00A168BE"/>
    <w:rsid w:val="00A16974"/>
    <w:rsid w:val="00A1699C"/>
    <w:rsid w:val="00A16AC3"/>
    <w:rsid w:val="00A16AD7"/>
    <w:rsid w:val="00A16C29"/>
    <w:rsid w:val="00A16CE3"/>
    <w:rsid w:val="00A16D0C"/>
    <w:rsid w:val="00A16DD8"/>
    <w:rsid w:val="00A16EA2"/>
    <w:rsid w:val="00A17103"/>
    <w:rsid w:val="00A1713E"/>
    <w:rsid w:val="00A17158"/>
    <w:rsid w:val="00A17232"/>
    <w:rsid w:val="00A172B9"/>
    <w:rsid w:val="00A17306"/>
    <w:rsid w:val="00A1743D"/>
    <w:rsid w:val="00A1746E"/>
    <w:rsid w:val="00A1749A"/>
    <w:rsid w:val="00A174C0"/>
    <w:rsid w:val="00A174D6"/>
    <w:rsid w:val="00A17593"/>
    <w:rsid w:val="00A17615"/>
    <w:rsid w:val="00A176A9"/>
    <w:rsid w:val="00A176DC"/>
    <w:rsid w:val="00A176FE"/>
    <w:rsid w:val="00A17957"/>
    <w:rsid w:val="00A17984"/>
    <w:rsid w:val="00A179C4"/>
    <w:rsid w:val="00A17A65"/>
    <w:rsid w:val="00A17AA7"/>
    <w:rsid w:val="00A17AFB"/>
    <w:rsid w:val="00A17C14"/>
    <w:rsid w:val="00A17D56"/>
    <w:rsid w:val="00A17E20"/>
    <w:rsid w:val="00A17E2E"/>
    <w:rsid w:val="00A17E73"/>
    <w:rsid w:val="00A20031"/>
    <w:rsid w:val="00A20079"/>
    <w:rsid w:val="00A200C4"/>
    <w:rsid w:val="00A200DC"/>
    <w:rsid w:val="00A201B5"/>
    <w:rsid w:val="00A201B7"/>
    <w:rsid w:val="00A201DB"/>
    <w:rsid w:val="00A2041D"/>
    <w:rsid w:val="00A204DE"/>
    <w:rsid w:val="00A20512"/>
    <w:rsid w:val="00A2054A"/>
    <w:rsid w:val="00A206EE"/>
    <w:rsid w:val="00A2072F"/>
    <w:rsid w:val="00A207DB"/>
    <w:rsid w:val="00A207E9"/>
    <w:rsid w:val="00A2088E"/>
    <w:rsid w:val="00A208A3"/>
    <w:rsid w:val="00A208F3"/>
    <w:rsid w:val="00A2095C"/>
    <w:rsid w:val="00A20B13"/>
    <w:rsid w:val="00A20B7A"/>
    <w:rsid w:val="00A20C65"/>
    <w:rsid w:val="00A20D2C"/>
    <w:rsid w:val="00A20D84"/>
    <w:rsid w:val="00A20EB8"/>
    <w:rsid w:val="00A20EFE"/>
    <w:rsid w:val="00A20FBE"/>
    <w:rsid w:val="00A21037"/>
    <w:rsid w:val="00A2109C"/>
    <w:rsid w:val="00A21107"/>
    <w:rsid w:val="00A211BF"/>
    <w:rsid w:val="00A21206"/>
    <w:rsid w:val="00A21274"/>
    <w:rsid w:val="00A21275"/>
    <w:rsid w:val="00A212C9"/>
    <w:rsid w:val="00A21366"/>
    <w:rsid w:val="00A21373"/>
    <w:rsid w:val="00A2138A"/>
    <w:rsid w:val="00A21393"/>
    <w:rsid w:val="00A213DE"/>
    <w:rsid w:val="00A214CE"/>
    <w:rsid w:val="00A21544"/>
    <w:rsid w:val="00A21600"/>
    <w:rsid w:val="00A21645"/>
    <w:rsid w:val="00A21705"/>
    <w:rsid w:val="00A21768"/>
    <w:rsid w:val="00A219E2"/>
    <w:rsid w:val="00A219F5"/>
    <w:rsid w:val="00A21A0C"/>
    <w:rsid w:val="00A21C96"/>
    <w:rsid w:val="00A21D49"/>
    <w:rsid w:val="00A21D8C"/>
    <w:rsid w:val="00A21E6E"/>
    <w:rsid w:val="00A21E7E"/>
    <w:rsid w:val="00A22036"/>
    <w:rsid w:val="00A2210E"/>
    <w:rsid w:val="00A2214A"/>
    <w:rsid w:val="00A22162"/>
    <w:rsid w:val="00A2233C"/>
    <w:rsid w:val="00A22391"/>
    <w:rsid w:val="00A2243D"/>
    <w:rsid w:val="00A2244E"/>
    <w:rsid w:val="00A22545"/>
    <w:rsid w:val="00A2254B"/>
    <w:rsid w:val="00A226A5"/>
    <w:rsid w:val="00A22700"/>
    <w:rsid w:val="00A2271B"/>
    <w:rsid w:val="00A2281F"/>
    <w:rsid w:val="00A228DA"/>
    <w:rsid w:val="00A22906"/>
    <w:rsid w:val="00A2294F"/>
    <w:rsid w:val="00A2297D"/>
    <w:rsid w:val="00A22BA8"/>
    <w:rsid w:val="00A22BDD"/>
    <w:rsid w:val="00A22C63"/>
    <w:rsid w:val="00A22C9B"/>
    <w:rsid w:val="00A22D63"/>
    <w:rsid w:val="00A22F45"/>
    <w:rsid w:val="00A22FA6"/>
    <w:rsid w:val="00A22FC4"/>
    <w:rsid w:val="00A23068"/>
    <w:rsid w:val="00A23182"/>
    <w:rsid w:val="00A2320B"/>
    <w:rsid w:val="00A232DC"/>
    <w:rsid w:val="00A23341"/>
    <w:rsid w:val="00A23398"/>
    <w:rsid w:val="00A233E0"/>
    <w:rsid w:val="00A2341A"/>
    <w:rsid w:val="00A23422"/>
    <w:rsid w:val="00A2342C"/>
    <w:rsid w:val="00A234CF"/>
    <w:rsid w:val="00A23514"/>
    <w:rsid w:val="00A2359E"/>
    <w:rsid w:val="00A2362C"/>
    <w:rsid w:val="00A23662"/>
    <w:rsid w:val="00A23665"/>
    <w:rsid w:val="00A2371F"/>
    <w:rsid w:val="00A23837"/>
    <w:rsid w:val="00A238BD"/>
    <w:rsid w:val="00A239BC"/>
    <w:rsid w:val="00A23C65"/>
    <w:rsid w:val="00A23CFE"/>
    <w:rsid w:val="00A23E63"/>
    <w:rsid w:val="00A23F37"/>
    <w:rsid w:val="00A23F69"/>
    <w:rsid w:val="00A2420D"/>
    <w:rsid w:val="00A24261"/>
    <w:rsid w:val="00A242DE"/>
    <w:rsid w:val="00A242E6"/>
    <w:rsid w:val="00A24346"/>
    <w:rsid w:val="00A24352"/>
    <w:rsid w:val="00A244D3"/>
    <w:rsid w:val="00A244E4"/>
    <w:rsid w:val="00A24504"/>
    <w:rsid w:val="00A2474A"/>
    <w:rsid w:val="00A2492D"/>
    <w:rsid w:val="00A24A59"/>
    <w:rsid w:val="00A24B1A"/>
    <w:rsid w:val="00A24BE3"/>
    <w:rsid w:val="00A24D69"/>
    <w:rsid w:val="00A24E69"/>
    <w:rsid w:val="00A24EAE"/>
    <w:rsid w:val="00A25065"/>
    <w:rsid w:val="00A250FA"/>
    <w:rsid w:val="00A25269"/>
    <w:rsid w:val="00A25363"/>
    <w:rsid w:val="00A25380"/>
    <w:rsid w:val="00A25387"/>
    <w:rsid w:val="00A253A7"/>
    <w:rsid w:val="00A253B7"/>
    <w:rsid w:val="00A253D3"/>
    <w:rsid w:val="00A2540A"/>
    <w:rsid w:val="00A25420"/>
    <w:rsid w:val="00A2573D"/>
    <w:rsid w:val="00A2578C"/>
    <w:rsid w:val="00A257EA"/>
    <w:rsid w:val="00A25B1A"/>
    <w:rsid w:val="00A25B9D"/>
    <w:rsid w:val="00A25BF9"/>
    <w:rsid w:val="00A25CEF"/>
    <w:rsid w:val="00A25D5D"/>
    <w:rsid w:val="00A25E06"/>
    <w:rsid w:val="00A25E91"/>
    <w:rsid w:val="00A25EAD"/>
    <w:rsid w:val="00A25F5A"/>
    <w:rsid w:val="00A26005"/>
    <w:rsid w:val="00A260B7"/>
    <w:rsid w:val="00A260C8"/>
    <w:rsid w:val="00A261F7"/>
    <w:rsid w:val="00A262F8"/>
    <w:rsid w:val="00A2635D"/>
    <w:rsid w:val="00A2648A"/>
    <w:rsid w:val="00A264C3"/>
    <w:rsid w:val="00A264DD"/>
    <w:rsid w:val="00A26571"/>
    <w:rsid w:val="00A265E0"/>
    <w:rsid w:val="00A266B2"/>
    <w:rsid w:val="00A2675E"/>
    <w:rsid w:val="00A26776"/>
    <w:rsid w:val="00A26AA4"/>
    <w:rsid w:val="00A26BBC"/>
    <w:rsid w:val="00A26CD0"/>
    <w:rsid w:val="00A26E0E"/>
    <w:rsid w:val="00A26E36"/>
    <w:rsid w:val="00A26F1E"/>
    <w:rsid w:val="00A26F6D"/>
    <w:rsid w:val="00A26FC0"/>
    <w:rsid w:val="00A2702A"/>
    <w:rsid w:val="00A270F3"/>
    <w:rsid w:val="00A2736F"/>
    <w:rsid w:val="00A27538"/>
    <w:rsid w:val="00A27540"/>
    <w:rsid w:val="00A27676"/>
    <w:rsid w:val="00A27749"/>
    <w:rsid w:val="00A277B2"/>
    <w:rsid w:val="00A27877"/>
    <w:rsid w:val="00A27887"/>
    <w:rsid w:val="00A278E5"/>
    <w:rsid w:val="00A27917"/>
    <w:rsid w:val="00A279CC"/>
    <w:rsid w:val="00A27A38"/>
    <w:rsid w:val="00A27BD4"/>
    <w:rsid w:val="00A27C2D"/>
    <w:rsid w:val="00A27CD9"/>
    <w:rsid w:val="00A27DD3"/>
    <w:rsid w:val="00A27E19"/>
    <w:rsid w:val="00A27E25"/>
    <w:rsid w:val="00A27F60"/>
    <w:rsid w:val="00A30072"/>
    <w:rsid w:val="00A3009C"/>
    <w:rsid w:val="00A300A2"/>
    <w:rsid w:val="00A300E9"/>
    <w:rsid w:val="00A3010D"/>
    <w:rsid w:val="00A3022A"/>
    <w:rsid w:val="00A30242"/>
    <w:rsid w:val="00A304C2"/>
    <w:rsid w:val="00A30533"/>
    <w:rsid w:val="00A30615"/>
    <w:rsid w:val="00A3071C"/>
    <w:rsid w:val="00A30724"/>
    <w:rsid w:val="00A30783"/>
    <w:rsid w:val="00A307B2"/>
    <w:rsid w:val="00A3089D"/>
    <w:rsid w:val="00A30958"/>
    <w:rsid w:val="00A30A0A"/>
    <w:rsid w:val="00A30A85"/>
    <w:rsid w:val="00A30AC1"/>
    <w:rsid w:val="00A30B3D"/>
    <w:rsid w:val="00A30B7A"/>
    <w:rsid w:val="00A30D29"/>
    <w:rsid w:val="00A30E58"/>
    <w:rsid w:val="00A30EFD"/>
    <w:rsid w:val="00A31159"/>
    <w:rsid w:val="00A311BA"/>
    <w:rsid w:val="00A312A9"/>
    <w:rsid w:val="00A312F7"/>
    <w:rsid w:val="00A313A0"/>
    <w:rsid w:val="00A313D4"/>
    <w:rsid w:val="00A313E7"/>
    <w:rsid w:val="00A31584"/>
    <w:rsid w:val="00A3159C"/>
    <w:rsid w:val="00A31642"/>
    <w:rsid w:val="00A31690"/>
    <w:rsid w:val="00A316BC"/>
    <w:rsid w:val="00A31822"/>
    <w:rsid w:val="00A31895"/>
    <w:rsid w:val="00A318B0"/>
    <w:rsid w:val="00A319EE"/>
    <w:rsid w:val="00A31A9B"/>
    <w:rsid w:val="00A31AF7"/>
    <w:rsid w:val="00A31B6E"/>
    <w:rsid w:val="00A31CC6"/>
    <w:rsid w:val="00A31CE4"/>
    <w:rsid w:val="00A31D0D"/>
    <w:rsid w:val="00A31EDA"/>
    <w:rsid w:val="00A31EF9"/>
    <w:rsid w:val="00A31F34"/>
    <w:rsid w:val="00A32012"/>
    <w:rsid w:val="00A32058"/>
    <w:rsid w:val="00A320A1"/>
    <w:rsid w:val="00A32182"/>
    <w:rsid w:val="00A3218D"/>
    <w:rsid w:val="00A321F3"/>
    <w:rsid w:val="00A32258"/>
    <w:rsid w:val="00A32309"/>
    <w:rsid w:val="00A3238C"/>
    <w:rsid w:val="00A325E7"/>
    <w:rsid w:val="00A32607"/>
    <w:rsid w:val="00A32833"/>
    <w:rsid w:val="00A32A4A"/>
    <w:rsid w:val="00A32B06"/>
    <w:rsid w:val="00A32BB3"/>
    <w:rsid w:val="00A32C31"/>
    <w:rsid w:val="00A32C56"/>
    <w:rsid w:val="00A32D63"/>
    <w:rsid w:val="00A32D8B"/>
    <w:rsid w:val="00A32F1F"/>
    <w:rsid w:val="00A32F8E"/>
    <w:rsid w:val="00A3305C"/>
    <w:rsid w:val="00A33238"/>
    <w:rsid w:val="00A332D0"/>
    <w:rsid w:val="00A3331A"/>
    <w:rsid w:val="00A33333"/>
    <w:rsid w:val="00A333A8"/>
    <w:rsid w:val="00A3341E"/>
    <w:rsid w:val="00A334B9"/>
    <w:rsid w:val="00A33618"/>
    <w:rsid w:val="00A33619"/>
    <w:rsid w:val="00A33621"/>
    <w:rsid w:val="00A3363F"/>
    <w:rsid w:val="00A336E8"/>
    <w:rsid w:val="00A337D0"/>
    <w:rsid w:val="00A33820"/>
    <w:rsid w:val="00A33946"/>
    <w:rsid w:val="00A3399B"/>
    <w:rsid w:val="00A33ADB"/>
    <w:rsid w:val="00A33AEF"/>
    <w:rsid w:val="00A33C70"/>
    <w:rsid w:val="00A33C73"/>
    <w:rsid w:val="00A33D6E"/>
    <w:rsid w:val="00A33EE1"/>
    <w:rsid w:val="00A33FEE"/>
    <w:rsid w:val="00A3411A"/>
    <w:rsid w:val="00A34165"/>
    <w:rsid w:val="00A341D8"/>
    <w:rsid w:val="00A34214"/>
    <w:rsid w:val="00A34361"/>
    <w:rsid w:val="00A343B2"/>
    <w:rsid w:val="00A344A8"/>
    <w:rsid w:val="00A34520"/>
    <w:rsid w:val="00A34867"/>
    <w:rsid w:val="00A349EC"/>
    <w:rsid w:val="00A34C28"/>
    <w:rsid w:val="00A34C92"/>
    <w:rsid w:val="00A34CE5"/>
    <w:rsid w:val="00A34CEB"/>
    <w:rsid w:val="00A34E5B"/>
    <w:rsid w:val="00A34F72"/>
    <w:rsid w:val="00A3527B"/>
    <w:rsid w:val="00A353C0"/>
    <w:rsid w:val="00A35593"/>
    <w:rsid w:val="00A35606"/>
    <w:rsid w:val="00A35776"/>
    <w:rsid w:val="00A35A3D"/>
    <w:rsid w:val="00A35AE8"/>
    <w:rsid w:val="00A35B06"/>
    <w:rsid w:val="00A35BF2"/>
    <w:rsid w:val="00A35D14"/>
    <w:rsid w:val="00A35D71"/>
    <w:rsid w:val="00A35D90"/>
    <w:rsid w:val="00A35DEC"/>
    <w:rsid w:val="00A35EBE"/>
    <w:rsid w:val="00A35EC2"/>
    <w:rsid w:val="00A35FC1"/>
    <w:rsid w:val="00A36085"/>
    <w:rsid w:val="00A361D9"/>
    <w:rsid w:val="00A362D3"/>
    <w:rsid w:val="00A362E4"/>
    <w:rsid w:val="00A3655B"/>
    <w:rsid w:val="00A365FB"/>
    <w:rsid w:val="00A36626"/>
    <w:rsid w:val="00A36658"/>
    <w:rsid w:val="00A36670"/>
    <w:rsid w:val="00A366F7"/>
    <w:rsid w:val="00A3699C"/>
    <w:rsid w:val="00A369C2"/>
    <w:rsid w:val="00A369C4"/>
    <w:rsid w:val="00A369DC"/>
    <w:rsid w:val="00A36A87"/>
    <w:rsid w:val="00A36B38"/>
    <w:rsid w:val="00A36B58"/>
    <w:rsid w:val="00A36BF0"/>
    <w:rsid w:val="00A36C6B"/>
    <w:rsid w:val="00A36C92"/>
    <w:rsid w:val="00A36D8C"/>
    <w:rsid w:val="00A36EA0"/>
    <w:rsid w:val="00A36F7C"/>
    <w:rsid w:val="00A3709A"/>
    <w:rsid w:val="00A371C6"/>
    <w:rsid w:val="00A371CF"/>
    <w:rsid w:val="00A37212"/>
    <w:rsid w:val="00A3727D"/>
    <w:rsid w:val="00A373B1"/>
    <w:rsid w:val="00A37554"/>
    <w:rsid w:val="00A375C5"/>
    <w:rsid w:val="00A375D7"/>
    <w:rsid w:val="00A375F5"/>
    <w:rsid w:val="00A377F3"/>
    <w:rsid w:val="00A3782C"/>
    <w:rsid w:val="00A37853"/>
    <w:rsid w:val="00A37988"/>
    <w:rsid w:val="00A37A64"/>
    <w:rsid w:val="00A37ADC"/>
    <w:rsid w:val="00A37AFC"/>
    <w:rsid w:val="00A37B57"/>
    <w:rsid w:val="00A37C4E"/>
    <w:rsid w:val="00A37C8B"/>
    <w:rsid w:val="00A37F66"/>
    <w:rsid w:val="00A401F1"/>
    <w:rsid w:val="00A40350"/>
    <w:rsid w:val="00A40410"/>
    <w:rsid w:val="00A4055D"/>
    <w:rsid w:val="00A40590"/>
    <w:rsid w:val="00A4059C"/>
    <w:rsid w:val="00A406F3"/>
    <w:rsid w:val="00A4075A"/>
    <w:rsid w:val="00A407E9"/>
    <w:rsid w:val="00A4087E"/>
    <w:rsid w:val="00A40916"/>
    <w:rsid w:val="00A40921"/>
    <w:rsid w:val="00A40979"/>
    <w:rsid w:val="00A409C5"/>
    <w:rsid w:val="00A409D0"/>
    <w:rsid w:val="00A409FE"/>
    <w:rsid w:val="00A40A76"/>
    <w:rsid w:val="00A40A7E"/>
    <w:rsid w:val="00A40ADB"/>
    <w:rsid w:val="00A40BEB"/>
    <w:rsid w:val="00A40C4D"/>
    <w:rsid w:val="00A40CA7"/>
    <w:rsid w:val="00A40CE9"/>
    <w:rsid w:val="00A40D52"/>
    <w:rsid w:val="00A40FC8"/>
    <w:rsid w:val="00A40FDF"/>
    <w:rsid w:val="00A4114C"/>
    <w:rsid w:val="00A4115E"/>
    <w:rsid w:val="00A411F4"/>
    <w:rsid w:val="00A4124C"/>
    <w:rsid w:val="00A412C9"/>
    <w:rsid w:val="00A41394"/>
    <w:rsid w:val="00A41458"/>
    <w:rsid w:val="00A414B2"/>
    <w:rsid w:val="00A414FA"/>
    <w:rsid w:val="00A41588"/>
    <w:rsid w:val="00A4171F"/>
    <w:rsid w:val="00A41751"/>
    <w:rsid w:val="00A41937"/>
    <w:rsid w:val="00A41A2D"/>
    <w:rsid w:val="00A41A5E"/>
    <w:rsid w:val="00A41AE1"/>
    <w:rsid w:val="00A41D7E"/>
    <w:rsid w:val="00A41E0A"/>
    <w:rsid w:val="00A41E37"/>
    <w:rsid w:val="00A41E90"/>
    <w:rsid w:val="00A41E9F"/>
    <w:rsid w:val="00A41FBF"/>
    <w:rsid w:val="00A420EE"/>
    <w:rsid w:val="00A4211B"/>
    <w:rsid w:val="00A42238"/>
    <w:rsid w:val="00A4226A"/>
    <w:rsid w:val="00A422AB"/>
    <w:rsid w:val="00A423E5"/>
    <w:rsid w:val="00A423F7"/>
    <w:rsid w:val="00A4242C"/>
    <w:rsid w:val="00A42441"/>
    <w:rsid w:val="00A4271E"/>
    <w:rsid w:val="00A42864"/>
    <w:rsid w:val="00A42865"/>
    <w:rsid w:val="00A42889"/>
    <w:rsid w:val="00A42A22"/>
    <w:rsid w:val="00A42B05"/>
    <w:rsid w:val="00A42C20"/>
    <w:rsid w:val="00A42D9F"/>
    <w:rsid w:val="00A42F75"/>
    <w:rsid w:val="00A43021"/>
    <w:rsid w:val="00A4306C"/>
    <w:rsid w:val="00A431D6"/>
    <w:rsid w:val="00A431D7"/>
    <w:rsid w:val="00A431E3"/>
    <w:rsid w:val="00A43363"/>
    <w:rsid w:val="00A433F9"/>
    <w:rsid w:val="00A4342C"/>
    <w:rsid w:val="00A43524"/>
    <w:rsid w:val="00A4355D"/>
    <w:rsid w:val="00A435EE"/>
    <w:rsid w:val="00A43612"/>
    <w:rsid w:val="00A43680"/>
    <w:rsid w:val="00A43802"/>
    <w:rsid w:val="00A43815"/>
    <w:rsid w:val="00A43889"/>
    <w:rsid w:val="00A438C7"/>
    <w:rsid w:val="00A43A31"/>
    <w:rsid w:val="00A43AF9"/>
    <w:rsid w:val="00A43B3E"/>
    <w:rsid w:val="00A43BFC"/>
    <w:rsid w:val="00A43D36"/>
    <w:rsid w:val="00A43EC8"/>
    <w:rsid w:val="00A43EEF"/>
    <w:rsid w:val="00A43EF3"/>
    <w:rsid w:val="00A43EF7"/>
    <w:rsid w:val="00A4400A"/>
    <w:rsid w:val="00A44051"/>
    <w:rsid w:val="00A44088"/>
    <w:rsid w:val="00A4411A"/>
    <w:rsid w:val="00A44123"/>
    <w:rsid w:val="00A4414E"/>
    <w:rsid w:val="00A441E4"/>
    <w:rsid w:val="00A441E5"/>
    <w:rsid w:val="00A442EE"/>
    <w:rsid w:val="00A444A3"/>
    <w:rsid w:val="00A444B3"/>
    <w:rsid w:val="00A444D4"/>
    <w:rsid w:val="00A44516"/>
    <w:rsid w:val="00A445B0"/>
    <w:rsid w:val="00A4471F"/>
    <w:rsid w:val="00A447ED"/>
    <w:rsid w:val="00A44851"/>
    <w:rsid w:val="00A44853"/>
    <w:rsid w:val="00A4485B"/>
    <w:rsid w:val="00A449DD"/>
    <w:rsid w:val="00A44A0C"/>
    <w:rsid w:val="00A44A20"/>
    <w:rsid w:val="00A44ABC"/>
    <w:rsid w:val="00A44B1B"/>
    <w:rsid w:val="00A44CBB"/>
    <w:rsid w:val="00A44CE1"/>
    <w:rsid w:val="00A44D22"/>
    <w:rsid w:val="00A44DF3"/>
    <w:rsid w:val="00A44E2C"/>
    <w:rsid w:val="00A44EE1"/>
    <w:rsid w:val="00A44F03"/>
    <w:rsid w:val="00A45033"/>
    <w:rsid w:val="00A4505C"/>
    <w:rsid w:val="00A4509A"/>
    <w:rsid w:val="00A45310"/>
    <w:rsid w:val="00A453B3"/>
    <w:rsid w:val="00A454E5"/>
    <w:rsid w:val="00A454F0"/>
    <w:rsid w:val="00A45514"/>
    <w:rsid w:val="00A45594"/>
    <w:rsid w:val="00A456CE"/>
    <w:rsid w:val="00A45737"/>
    <w:rsid w:val="00A45793"/>
    <w:rsid w:val="00A45794"/>
    <w:rsid w:val="00A45857"/>
    <w:rsid w:val="00A45934"/>
    <w:rsid w:val="00A45996"/>
    <w:rsid w:val="00A45AF1"/>
    <w:rsid w:val="00A45B60"/>
    <w:rsid w:val="00A45B7D"/>
    <w:rsid w:val="00A45BBD"/>
    <w:rsid w:val="00A45CF8"/>
    <w:rsid w:val="00A45F94"/>
    <w:rsid w:val="00A460AA"/>
    <w:rsid w:val="00A4616F"/>
    <w:rsid w:val="00A46182"/>
    <w:rsid w:val="00A46266"/>
    <w:rsid w:val="00A46299"/>
    <w:rsid w:val="00A46464"/>
    <w:rsid w:val="00A46590"/>
    <w:rsid w:val="00A4673C"/>
    <w:rsid w:val="00A46790"/>
    <w:rsid w:val="00A46802"/>
    <w:rsid w:val="00A46805"/>
    <w:rsid w:val="00A46935"/>
    <w:rsid w:val="00A46AA0"/>
    <w:rsid w:val="00A46BDA"/>
    <w:rsid w:val="00A46CCA"/>
    <w:rsid w:val="00A46D37"/>
    <w:rsid w:val="00A46DC0"/>
    <w:rsid w:val="00A46E34"/>
    <w:rsid w:val="00A46F87"/>
    <w:rsid w:val="00A470EF"/>
    <w:rsid w:val="00A47185"/>
    <w:rsid w:val="00A471A7"/>
    <w:rsid w:val="00A47212"/>
    <w:rsid w:val="00A47256"/>
    <w:rsid w:val="00A472C4"/>
    <w:rsid w:val="00A47331"/>
    <w:rsid w:val="00A47347"/>
    <w:rsid w:val="00A473AF"/>
    <w:rsid w:val="00A473C8"/>
    <w:rsid w:val="00A473FB"/>
    <w:rsid w:val="00A477E6"/>
    <w:rsid w:val="00A4783E"/>
    <w:rsid w:val="00A478C7"/>
    <w:rsid w:val="00A479E1"/>
    <w:rsid w:val="00A479EE"/>
    <w:rsid w:val="00A47A31"/>
    <w:rsid w:val="00A47AF4"/>
    <w:rsid w:val="00A47B59"/>
    <w:rsid w:val="00A47B78"/>
    <w:rsid w:val="00A47CB2"/>
    <w:rsid w:val="00A47CB6"/>
    <w:rsid w:val="00A47CC3"/>
    <w:rsid w:val="00A47D00"/>
    <w:rsid w:val="00A47D07"/>
    <w:rsid w:val="00A47DE8"/>
    <w:rsid w:val="00A47F69"/>
    <w:rsid w:val="00A47F77"/>
    <w:rsid w:val="00A47F92"/>
    <w:rsid w:val="00A47FC0"/>
    <w:rsid w:val="00A47FEA"/>
    <w:rsid w:val="00A50029"/>
    <w:rsid w:val="00A50066"/>
    <w:rsid w:val="00A50125"/>
    <w:rsid w:val="00A5016D"/>
    <w:rsid w:val="00A50267"/>
    <w:rsid w:val="00A50459"/>
    <w:rsid w:val="00A5047A"/>
    <w:rsid w:val="00A50489"/>
    <w:rsid w:val="00A504AC"/>
    <w:rsid w:val="00A5055B"/>
    <w:rsid w:val="00A5058D"/>
    <w:rsid w:val="00A50622"/>
    <w:rsid w:val="00A5062F"/>
    <w:rsid w:val="00A5064E"/>
    <w:rsid w:val="00A50681"/>
    <w:rsid w:val="00A506FC"/>
    <w:rsid w:val="00A5080D"/>
    <w:rsid w:val="00A5092A"/>
    <w:rsid w:val="00A5094C"/>
    <w:rsid w:val="00A50994"/>
    <w:rsid w:val="00A50A1F"/>
    <w:rsid w:val="00A50AD4"/>
    <w:rsid w:val="00A50B32"/>
    <w:rsid w:val="00A50C17"/>
    <w:rsid w:val="00A50C39"/>
    <w:rsid w:val="00A50DBD"/>
    <w:rsid w:val="00A50EE2"/>
    <w:rsid w:val="00A511D4"/>
    <w:rsid w:val="00A51307"/>
    <w:rsid w:val="00A51310"/>
    <w:rsid w:val="00A5142F"/>
    <w:rsid w:val="00A51481"/>
    <w:rsid w:val="00A514C5"/>
    <w:rsid w:val="00A5150F"/>
    <w:rsid w:val="00A51547"/>
    <w:rsid w:val="00A5161F"/>
    <w:rsid w:val="00A5165E"/>
    <w:rsid w:val="00A5171F"/>
    <w:rsid w:val="00A517EC"/>
    <w:rsid w:val="00A5191B"/>
    <w:rsid w:val="00A51A17"/>
    <w:rsid w:val="00A51A80"/>
    <w:rsid w:val="00A51AC2"/>
    <w:rsid w:val="00A51BB8"/>
    <w:rsid w:val="00A51BD8"/>
    <w:rsid w:val="00A51BEF"/>
    <w:rsid w:val="00A51BF3"/>
    <w:rsid w:val="00A51C40"/>
    <w:rsid w:val="00A51D41"/>
    <w:rsid w:val="00A51DAF"/>
    <w:rsid w:val="00A51DB8"/>
    <w:rsid w:val="00A51DF2"/>
    <w:rsid w:val="00A51F37"/>
    <w:rsid w:val="00A5212A"/>
    <w:rsid w:val="00A521EB"/>
    <w:rsid w:val="00A5221E"/>
    <w:rsid w:val="00A5224A"/>
    <w:rsid w:val="00A5226B"/>
    <w:rsid w:val="00A522AC"/>
    <w:rsid w:val="00A52346"/>
    <w:rsid w:val="00A52367"/>
    <w:rsid w:val="00A52373"/>
    <w:rsid w:val="00A523A8"/>
    <w:rsid w:val="00A5249D"/>
    <w:rsid w:val="00A526BF"/>
    <w:rsid w:val="00A527D2"/>
    <w:rsid w:val="00A528AD"/>
    <w:rsid w:val="00A5295E"/>
    <w:rsid w:val="00A529A1"/>
    <w:rsid w:val="00A529D3"/>
    <w:rsid w:val="00A52A53"/>
    <w:rsid w:val="00A52B3B"/>
    <w:rsid w:val="00A52B60"/>
    <w:rsid w:val="00A52B6D"/>
    <w:rsid w:val="00A52BCA"/>
    <w:rsid w:val="00A52BF1"/>
    <w:rsid w:val="00A52CFD"/>
    <w:rsid w:val="00A52DA4"/>
    <w:rsid w:val="00A52E0F"/>
    <w:rsid w:val="00A52E43"/>
    <w:rsid w:val="00A52EBE"/>
    <w:rsid w:val="00A52EC9"/>
    <w:rsid w:val="00A52EFB"/>
    <w:rsid w:val="00A52F17"/>
    <w:rsid w:val="00A52F6F"/>
    <w:rsid w:val="00A52F82"/>
    <w:rsid w:val="00A52FD1"/>
    <w:rsid w:val="00A53023"/>
    <w:rsid w:val="00A53090"/>
    <w:rsid w:val="00A53134"/>
    <w:rsid w:val="00A53197"/>
    <w:rsid w:val="00A5319C"/>
    <w:rsid w:val="00A5324A"/>
    <w:rsid w:val="00A532B2"/>
    <w:rsid w:val="00A5345A"/>
    <w:rsid w:val="00A535AD"/>
    <w:rsid w:val="00A53643"/>
    <w:rsid w:val="00A536E2"/>
    <w:rsid w:val="00A536F8"/>
    <w:rsid w:val="00A53706"/>
    <w:rsid w:val="00A537EB"/>
    <w:rsid w:val="00A53815"/>
    <w:rsid w:val="00A53961"/>
    <w:rsid w:val="00A539A9"/>
    <w:rsid w:val="00A53A48"/>
    <w:rsid w:val="00A53A76"/>
    <w:rsid w:val="00A53AB5"/>
    <w:rsid w:val="00A53DC5"/>
    <w:rsid w:val="00A53F3F"/>
    <w:rsid w:val="00A53F6D"/>
    <w:rsid w:val="00A54052"/>
    <w:rsid w:val="00A54083"/>
    <w:rsid w:val="00A540AE"/>
    <w:rsid w:val="00A54127"/>
    <w:rsid w:val="00A54181"/>
    <w:rsid w:val="00A54236"/>
    <w:rsid w:val="00A543A4"/>
    <w:rsid w:val="00A5445B"/>
    <w:rsid w:val="00A54463"/>
    <w:rsid w:val="00A54498"/>
    <w:rsid w:val="00A54515"/>
    <w:rsid w:val="00A5452C"/>
    <w:rsid w:val="00A5477B"/>
    <w:rsid w:val="00A549C2"/>
    <w:rsid w:val="00A54AC0"/>
    <w:rsid w:val="00A54BFC"/>
    <w:rsid w:val="00A54C7F"/>
    <w:rsid w:val="00A54CEB"/>
    <w:rsid w:val="00A54EB2"/>
    <w:rsid w:val="00A54F28"/>
    <w:rsid w:val="00A54F59"/>
    <w:rsid w:val="00A54F67"/>
    <w:rsid w:val="00A55068"/>
    <w:rsid w:val="00A5519E"/>
    <w:rsid w:val="00A551E4"/>
    <w:rsid w:val="00A552FD"/>
    <w:rsid w:val="00A55308"/>
    <w:rsid w:val="00A5538E"/>
    <w:rsid w:val="00A55463"/>
    <w:rsid w:val="00A554C1"/>
    <w:rsid w:val="00A5555B"/>
    <w:rsid w:val="00A5559B"/>
    <w:rsid w:val="00A555B4"/>
    <w:rsid w:val="00A555F7"/>
    <w:rsid w:val="00A556C0"/>
    <w:rsid w:val="00A5572A"/>
    <w:rsid w:val="00A5574B"/>
    <w:rsid w:val="00A5585B"/>
    <w:rsid w:val="00A55915"/>
    <w:rsid w:val="00A55A24"/>
    <w:rsid w:val="00A55BBB"/>
    <w:rsid w:val="00A55D4B"/>
    <w:rsid w:val="00A55E55"/>
    <w:rsid w:val="00A55E9A"/>
    <w:rsid w:val="00A55ECE"/>
    <w:rsid w:val="00A55FA5"/>
    <w:rsid w:val="00A55FEC"/>
    <w:rsid w:val="00A561FE"/>
    <w:rsid w:val="00A5621A"/>
    <w:rsid w:val="00A5623D"/>
    <w:rsid w:val="00A56279"/>
    <w:rsid w:val="00A562A8"/>
    <w:rsid w:val="00A562E8"/>
    <w:rsid w:val="00A56371"/>
    <w:rsid w:val="00A56393"/>
    <w:rsid w:val="00A563A0"/>
    <w:rsid w:val="00A563F6"/>
    <w:rsid w:val="00A56406"/>
    <w:rsid w:val="00A56407"/>
    <w:rsid w:val="00A56606"/>
    <w:rsid w:val="00A5669C"/>
    <w:rsid w:val="00A5686A"/>
    <w:rsid w:val="00A56900"/>
    <w:rsid w:val="00A5693D"/>
    <w:rsid w:val="00A5694D"/>
    <w:rsid w:val="00A56A00"/>
    <w:rsid w:val="00A56A47"/>
    <w:rsid w:val="00A56A84"/>
    <w:rsid w:val="00A56AB9"/>
    <w:rsid w:val="00A56AF1"/>
    <w:rsid w:val="00A56B62"/>
    <w:rsid w:val="00A56C31"/>
    <w:rsid w:val="00A56D2A"/>
    <w:rsid w:val="00A56E59"/>
    <w:rsid w:val="00A56E64"/>
    <w:rsid w:val="00A56EAA"/>
    <w:rsid w:val="00A56F10"/>
    <w:rsid w:val="00A56FB3"/>
    <w:rsid w:val="00A570CF"/>
    <w:rsid w:val="00A57176"/>
    <w:rsid w:val="00A571B1"/>
    <w:rsid w:val="00A571F0"/>
    <w:rsid w:val="00A57241"/>
    <w:rsid w:val="00A5724C"/>
    <w:rsid w:val="00A573F3"/>
    <w:rsid w:val="00A57444"/>
    <w:rsid w:val="00A57467"/>
    <w:rsid w:val="00A5748E"/>
    <w:rsid w:val="00A5749E"/>
    <w:rsid w:val="00A57549"/>
    <w:rsid w:val="00A575A2"/>
    <w:rsid w:val="00A57629"/>
    <w:rsid w:val="00A57642"/>
    <w:rsid w:val="00A5774C"/>
    <w:rsid w:val="00A5777B"/>
    <w:rsid w:val="00A577C1"/>
    <w:rsid w:val="00A578C8"/>
    <w:rsid w:val="00A57998"/>
    <w:rsid w:val="00A579B7"/>
    <w:rsid w:val="00A579BD"/>
    <w:rsid w:val="00A57B6C"/>
    <w:rsid w:val="00A57BD4"/>
    <w:rsid w:val="00A57E0A"/>
    <w:rsid w:val="00A57E3C"/>
    <w:rsid w:val="00A57EF9"/>
    <w:rsid w:val="00A57F04"/>
    <w:rsid w:val="00A57F55"/>
    <w:rsid w:val="00A57FDE"/>
    <w:rsid w:val="00A600A2"/>
    <w:rsid w:val="00A601CC"/>
    <w:rsid w:val="00A6027F"/>
    <w:rsid w:val="00A6028C"/>
    <w:rsid w:val="00A602CB"/>
    <w:rsid w:val="00A60383"/>
    <w:rsid w:val="00A6043E"/>
    <w:rsid w:val="00A604C8"/>
    <w:rsid w:val="00A6053A"/>
    <w:rsid w:val="00A605EB"/>
    <w:rsid w:val="00A6060F"/>
    <w:rsid w:val="00A60616"/>
    <w:rsid w:val="00A60754"/>
    <w:rsid w:val="00A60783"/>
    <w:rsid w:val="00A60895"/>
    <w:rsid w:val="00A60A2C"/>
    <w:rsid w:val="00A60A4E"/>
    <w:rsid w:val="00A60A83"/>
    <w:rsid w:val="00A60A9A"/>
    <w:rsid w:val="00A60AF2"/>
    <w:rsid w:val="00A60AF4"/>
    <w:rsid w:val="00A60B26"/>
    <w:rsid w:val="00A60CA8"/>
    <w:rsid w:val="00A60E3F"/>
    <w:rsid w:val="00A60E9E"/>
    <w:rsid w:val="00A60F24"/>
    <w:rsid w:val="00A6115A"/>
    <w:rsid w:val="00A6115F"/>
    <w:rsid w:val="00A6122B"/>
    <w:rsid w:val="00A61246"/>
    <w:rsid w:val="00A612CD"/>
    <w:rsid w:val="00A612DF"/>
    <w:rsid w:val="00A613E8"/>
    <w:rsid w:val="00A61430"/>
    <w:rsid w:val="00A6143E"/>
    <w:rsid w:val="00A6149F"/>
    <w:rsid w:val="00A61605"/>
    <w:rsid w:val="00A61678"/>
    <w:rsid w:val="00A616BA"/>
    <w:rsid w:val="00A616ED"/>
    <w:rsid w:val="00A61818"/>
    <w:rsid w:val="00A61896"/>
    <w:rsid w:val="00A618F5"/>
    <w:rsid w:val="00A61961"/>
    <w:rsid w:val="00A6196C"/>
    <w:rsid w:val="00A619D2"/>
    <w:rsid w:val="00A619ED"/>
    <w:rsid w:val="00A61A28"/>
    <w:rsid w:val="00A61B38"/>
    <w:rsid w:val="00A61B7A"/>
    <w:rsid w:val="00A61C03"/>
    <w:rsid w:val="00A61D0A"/>
    <w:rsid w:val="00A61D8E"/>
    <w:rsid w:val="00A61ED7"/>
    <w:rsid w:val="00A61F02"/>
    <w:rsid w:val="00A61FE4"/>
    <w:rsid w:val="00A62086"/>
    <w:rsid w:val="00A62124"/>
    <w:rsid w:val="00A6215F"/>
    <w:rsid w:val="00A62182"/>
    <w:rsid w:val="00A621D6"/>
    <w:rsid w:val="00A62261"/>
    <w:rsid w:val="00A6233D"/>
    <w:rsid w:val="00A6237B"/>
    <w:rsid w:val="00A6239B"/>
    <w:rsid w:val="00A623BA"/>
    <w:rsid w:val="00A623C5"/>
    <w:rsid w:val="00A6251D"/>
    <w:rsid w:val="00A6265F"/>
    <w:rsid w:val="00A627E0"/>
    <w:rsid w:val="00A629A0"/>
    <w:rsid w:val="00A62AA3"/>
    <w:rsid w:val="00A62ADA"/>
    <w:rsid w:val="00A62B1F"/>
    <w:rsid w:val="00A62C58"/>
    <w:rsid w:val="00A62CCF"/>
    <w:rsid w:val="00A62D4C"/>
    <w:rsid w:val="00A62E51"/>
    <w:rsid w:val="00A62E66"/>
    <w:rsid w:val="00A62EF2"/>
    <w:rsid w:val="00A62F05"/>
    <w:rsid w:val="00A62F0F"/>
    <w:rsid w:val="00A62F52"/>
    <w:rsid w:val="00A62F7A"/>
    <w:rsid w:val="00A62FDA"/>
    <w:rsid w:val="00A630D6"/>
    <w:rsid w:val="00A63207"/>
    <w:rsid w:val="00A63260"/>
    <w:rsid w:val="00A6327D"/>
    <w:rsid w:val="00A632D4"/>
    <w:rsid w:val="00A6337F"/>
    <w:rsid w:val="00A633F4"/>
    <w:rsid w:val="00A63464"/>
    <w:rsid w:val="00A634F5"/>
    <w:rsid w:val="00A635C8"/>
    <w:rsid w:val="00A636A0"/>
    <w:rsid w:val="00A636F7"/>
    <w:rsid w:val="00A6373C"/>
    <w:rsid w:val="00A637A2"/>
    <w:rsid w:val="00A63858"/>
    <w:rsid w:val="00A638B9"/>
    <w:rsid w:val="00A639F2"/>
    <w:rsid w:val="00A63A1B"/>
    <w:rsid w:val="00A63A7B"/>
    <w:rsid w:val="00A63C69"/>
    <w:rsid w:val="00A63CF4"/>
    <w:rsid w:val="00A63D61"/>
    <w:rsid w:val="00A63D6A"/>
    <w:rsid w:val="00A63DE6"/>
    <w:rsid w:val="00A64052"/>
    <w:rsid w:val="00A64092"/>
    <w:rsid w:val="00A6418B"/>
    <w:rsid w:val="00A64234"/>
    <w:rsid w:val="00A64509"/>
    <w:rsid w:val="00A64686"/>
    <w:rsid w:val="00A646D9"/>
    <w:rsid w:val="00A64884"/>
    <w:rsid w:val="00A648AA"/>
    <w:rsid w:val="00A649C2"/>
    <w:rsid w:val="00A64A52"/>
    <w:rsid w:val="00A64AAF"/>
    <w:rsid w:val="00A64AC7"/>
    <w:rsid w:val="00A64BC9"/>
    <w:rsid w:val="00A64DA1"/>
    <w:rsid w:val="00A64DC4"/>
    <w:rsid w:val="00A64E6E"/>
    <w:rsid w:val="00A64FF0"/>
    <w:rsid w:val="00A64FF5"/>
    <w:rsid w:val="00A650C5"/>
    <w:rsid w:val="00A650C7"/>
    <w:rsid w:val="00A651B7"/>
    <w:rsid w:val="00A6520D"/>
    <w:rsid w:val="00A652EE"/>
    <w:rsid w:val="00A653D2"/>
    <w:rsid w:val="00A6546A"/>
    <w:rsid w:val="00A654D1"/>
    <w:rsid w:val="00A65580"/>
    <w:rsid w:val="00A65582"/>
    <w:rsid w:val="00A6563E"/>
    <w:rsid w:val="00A656A0"/>
    <w:rsid w:val="00A65750"/>
    <w:rsid w:val="00A659A1"/>
    <w:rsid w:val="00A659E1"/>
    <w:rsid w:val="00A65AA0"/>
    <w:rsid w:val="00A65AB4"/>
    <w:rsid w:val="00A65C82"/>
    <w:rsid w:val="00A65CD5"/>
    <w:rsid w:val="00A65D1A"/>
    <w:rsid w:val="00A65D47"/>
    <w:rsid w:val="00A65D98"/>
    <w:rsid w:val="00A65EFA"/>
    <w:rsid w:val="00A65F21"/>
    <w:rsid w:val="00A65FC6"/>
    <w:rsid w:val="00A6603F"/>
    <w:rsid w:val="00A660CB"/>
    <w:rsid w:val="00A66117"/>
    <w:rsid w:val="00A6614B"/>
    <w:rsid w:val="00A66159"/>
    <w:rsid w:val="00A662FF"/>
    <w:rsid w:val="00A6638C"/>
    <w:rsid w:val="00A663F1"/>
    <w:rsid w:val="00A6680A"/>
    <w:rsid w:val="00A66883"/>
    <w:rsid w:val="00A66884"/>
    <w:rsid w:val="00A66B74"/>
    <w:rsid w:val="00A66CDD"/>
    <w:rsid w:val="00A66CF4"/>
    <w:rsid w:val="00A66D4F"/>
    <w:rsid w:val="00A66E50"/>
    <w:rsid w:val="00A66F89"/>
    <w:rsid w:val="00A6703E"/>
    <w:rsid w:val="00A671A4"/>
    <w:rsid w:val="00A6752E"/>
    <w:rsid w:val="00A67568"/>
    <w:rsid w:val="00A6759D"/>
    <w:rsid w:val="00A675CA"/>
    <w:rsid w:val="00A677DF"/>
    <w:rsid w:val="00A67954"/>
    <w:rsid w:val="00A67965"/>
    <w:rsid w:val="00A67A58"/>
    <w:rsid w:val="00A67B28"/>
    <w:rsid w:val="00A67B3E"/>
    <w:rsid w:val="00A67B5E"/>
    <w:rsid w:val="00A67B62"/>
    <w:rsid w:val="00A67F7C"/>
    <w:rsid w:val="00A700A4"/>
    <w:rsid w:val="00A701CB"/>
    <w:rsid w:val="00A701D7"/>
    <w:rsid w:val="00A7020F"/>
    <w:rsid w:val="00A70232"/>
    <w:rsid w:val="00A703CD"/>
    <w:rsid w:val="00A7055D"/>
    <w:rsid w:val="00A70565"/>
    <w:rsid w:val="00A7065C"/>
    <w:rsid w:val="00A706A3"/>
    <w:rsid w:val="00A7095E"/>
    <w:rsid w:val="00A70991"/>
    <w:rsid w:val="00A70AEA"/>
    <w:rsid w:val="00A70B36"/>
    <w:rsid w:val="00A70B51"/>
    <w:rsid w:val="00A70BD6"/>
    <w:rsid w:val="00A70C30"/>
    <w:rsid w:val="00A70C4C"/>
    <w:rsid w:val="00A70C68"/>
    <w:rsid w:val="00A70D0C"/>
    <w:rsid w:val="00A70D67"/>
    <w:rsid w:val="00A70DF4"/>
    <w:rsid w:val="00A70E5C"/>
    <w:rsid w:val="00A70EBE"/>
    <w:rsid w:val="00A70EC2"/>
    <w:rsid w:val="00A70FB9"/>
    <w:rsid w:val="00A70FC3"/>
    <w:rsid w:val="00A70FF3"/>
    <w:rsid w:val="00A71023"/>
    <w:rsid w:val="00A71184"/>
    <w:rsid w:val="00A71210"/>
    <w:rsid w:val="00A7141D"/>
    <w:rsid w:val="00A7148C"/>
    <w:rsid w:val="00A7153F"/>
    <w:rsid w:val="00A715AC"/>
    <w:rsid w:val="00A716BA"/>
    <w:rsid w:val="00A71911"/>
    <w:rsid w:val="00A71924"/>
    <w:rsid w:val="00A719A5"/>
    <w:rsid w:val="00A71B77"/>
    <w:rsid w:val="00A71B7B"/>
    <w:rsid w:val="00A71C4B"/>
    <w:rsid w:val="00A71D43"/>
    <w:rsid w:val="00A71D8F"/>
    <w:rsid w:val="00A720A5"/>
    <w:rsid w:val="00A72107"/>
    <w:rsid w:val="00A7229A"/>
    <w:rsid w:val="00A722B0"/>
    <w:rsid w:val="00A72369"/>
    <w:rsid w:val="00A7252E"/>
    <w:rsid w:val="00A72607"/>
    <w:rsid w:val="00A7267A"/>
    <w:rsid w:val="00A726DC"/>
    <w:rsid w:val="00A727D1"/>
    <w:rsid w:val="00A7281A"/>
    <w:rsid w:val="00A72A15"/>
    <w:rsid w:val="00A72BF1"/>
    <w:rsid w:val="00A72C08"/>
    <w:rsid w:val="00A72C20"/>
    <w:rsid w:val="00A72D93"/>
    <w:rsid w:val="00A72DC3"/>
    <w:rsid w:val="00A72F9B"/>
    <w:rsid w:val="00A72FA9"/>
    <w:rsid w:val="00A7301F"/>
    <w:rsid w:val="00A73054"/>
    <w:rsid w:val="00A730F6"/>
    <w:rsid w:val="00A7313D"/>
    <w:rsid w:val="00A7316C"/>
    <w:rsid w:val="00A734A7"/>
    <w:rsid w:val="00A73513"/>
    <w:rsid w:val="00A735CC"/>
    <w:rsid w:val="00A73848"/>
    <w:rsid w:val="00A73853"/>
    <w:rsid w:val="00A739AC"/>
    <w:rsid w:val="00A73B2A"/>
    <w:rsid w:val="00A73D07"/>
    <w:rsid w:val="00A73EA8"/>
    <w:rsid w:val="00A74039"/>
    <w:rsid w:val="00A74053"/>
    <w:rsid w:val="00A740D5"/>
    <w:rsid w:val="00A74166"/>
    <w:rsid w:val="00A7433D"/>
    <w:rsid w:val="00A7436D"/>
    <w:rsid w:val="00A743E3"/>
    <w:rsid w:val="00A7442A"/>
    <w:rsid w:val="00A744F0"/>
    <w:rsid w:val="00A74542"/>
    <w:rsid w:val="00A7455B"/>
    <w:rsid w:val="00A74565"/>
    <w:rsid w:val="00A745F8"/>
    <w:rsid w:val="00A746D1"/>
    <w:rsid w:val="00A7473E"/>
    <w:rsid w:val="00A748DD"/>
    <w:rsid w:val="00A74936"/>
    <w:rsid w:val="00A74C38"/>
    <w:rsid w:val="00A74CF3"/>
    <w:rsid w:val="00A74D16"/>
    <w:rsid w:val="00A74D2E"/>
    <w:rsid w:val="00A74D42"/>
    <w:rsid w:val="00A74D43"/>
    <w:rsid w:val="00A74E72"/>
    <w:rsid w:val="00A74E8B"/>
    <w:rsid w:val="00A74F77"/>
    <w:rsid w:val="00A75035"/>
    <w:rsid w:val="00A75126"/>
    <w:rsid w:val="00A7514F"/>
    <w:rsid w:val="00A751C6"/>
    <w:rsid w:val="00A75273"/>
    <w:rsid w:val="00A752C3"/>
    <w:rsid w:val="00A75343"/>
    <w:rsid w:val="00A753FE"/>
    <w:rsid w:val="00A754BF"/>
    <w:rsid w:val="00A75683"/>
    <w:rsid w:val="00A756D9"/>
    <w:rsid w:val="00A75812"/>
    <w:rsid w:val="00A7581B"/>
    <w:rsid w:val="00A7587F"/>
    <w:rsid w:val="00A758C8"/>
    <w:rsid w:val="00A759BE"/>
    <w:rsid w:val="00A75B08"/>
    <w:rsid w:val="00A75B4D"/>
    <w:rsid w:val="00A75BC9"/>
    <w:rsid w:val="00A75BFE"/>
    <w:rsid w:val="00A75D85"/>
    <w:rsid w:val="00A75DB7"/>
    <w:rsid w:val="00A75E1D"/>
    <w:rsid w:val="00A75E50"/>
    <w:rsid w:val="00A75F04"/>
    <w:rsid w:val="00A75FC4"/>
    <w:rsid w:val="00A761A4"/>
    <w:rsid w:val="00A761DD"/>
    <w:rsid w:val="00A76397"/>
    <w:rsid w:val="00A763D1"/>
    <w:rsid w:val="00A76409"/>
    <w:rsid w:val="00A76445"/>
    <w:rsid w:val="00A76478"/>
    <w:rsid w:val="00A764E6"/>
    <w:rsid w:val="00A76568"/>
    <w:rsid w:val="00A76627"/>
    <w:rsid w:val="00A76675"/>
    <w:rsid w:val="00A76763"/>
    <w:rsid w:val="00A76778"/>
    <w:rsid w:val="00A767A6"/>
    <w:rsid w:val="00A7683C"/>
    <w:rsid w:val="00A768C3"/>
    <w:rsid w:val="00A76AC9"/>
    <w:rsid w:val="00A76B75"/>
    <w:rsid w:val="00A76C6F"/>
    <w:rsid w:val="00A76CC2"/>
    <w:rsid w:val="00A76E0A"/>
    <w:rsid w:val="00A76E59"/>
    <w:rsid w:val="00A77004"/>
    <w:rsid w:val="00A77027"/>
    <w:rsid w:val="00A77065"/>
    <w:rsid w:val="00A770FC"/>
    <w:rsid w:val="00A771D9"/>
    <w:rsid w:val="00A7722B"/>
    <w:rsid w:val="00A77255"/>
    <w:rsid w:val="00A772EB"/>
    <w:rsid w:val="00A773CD"/>
    <w:rsid w:val="00A7749F"/>
    <w:rsid w:val="00A77639"/>
    <w:rsid w:val="00A776D0"/>
    <w:rsid w:val="00A77817"/>
    <w:rsid w:val="00A77854"/>
    <w:rsid w:val="00A779A0"/>
    <w:rsid w:val="00A779A7"/>
    <w:rsid w:val="00A779B4"/>
    <w:rsid w:val="00A77BF2"/>
    <w:rsid w:val="00A77CCE"/>
    <w:rsid w:val="00A77D7E"/>
    <w:rsid w:val="00A77DB9"/>
    <w:rsid w:val="00A80114"/>
    <w:rsid w:val="00A802B5"/>
    <w:rsid w:val="00A803C8"/>
    <w:rsid w:val="00A803D1"/>
    <w:rsid w:val="00A8050A"/>
    <w:rsid w:val="00A8055E"/>
    <w:rsid w:val="00A80677"/>
    <w:rsid w:val="00A807A5"/>
    <w:rsid w:val="00A8083A"/>
    <w:rsid w:val="00A8086D"/>
    <w:rsid w:val="00A80941"/>
    <w:rsid w:val="00A8097E"/>
    <w:rsid w:val="00A80A2E"/>
    <w:rsid w:val="00A80AA4"/>
    <w:rsid w:val="00A80B02"/>
    <w:rsid w:val="00A80B43"/>
    <w:rsid w:val="00A80B8E"/>
    <w:rsid w:val="00A80BC9"/>
    <w:rsid w:val="00A80C29"/>
    <w:rsid w:val="00A80C95"/>
    <w:rsid w:val="00A80C9A"/>
    <w:rsid w:val="00A80D32"/>
    <w:rsid w:val="00A80E26"/>
    <w:rsid w:val="00A80E37"/>
    <w:rsid w:val="00A80E69"/>
    <w:rsid w:val="00A80E83"/>
    <w:rsid w:val="00A80F31"/>
    <w:rsid w:val="00A80F59"/>
    <w:rsid w:val="00A80FC3"/>
    <w:rsid w:val="00A8106C"/>
    <w:rsid w:val="00A81083"/>
    <w:rsid w:val="00A810D1"/>
    <w:rsid w:val="00A812A5"/>
    <w:rsid w:val="00A813BA"/>
    <w:rsid w:val="00A816C6"/>
    <w:rsid w:val="00A8182A"/>
    <w:rsid w:val="00A818A1"/>
    <w:rsid w:val="00A818C7"/>
    <w:rsid w:val="00A81A2B"/>
    <w:rsid w:val="00A81BFA"/>
    <w:rsid w:val="00A81BFF"/>
    <w:rsid w:val="00A81C39"/>
    <w:rsid w:val="00A81C99"/>
    <w:rsid w:val="00A81F57"/>
    <w:rsid w:val="00A82011"/>
    <w:rsid w:val="00A820CC"/>
    <w:rsid w:val="00A821AC"/>
    <w:rsid w:val="00A82390"/>
    <w:rsid w:val="00A823C2"/>
    <w:rsid w:val="00A824BB"/>
    <w:rsid w:val="00A82569"/>
    <w:rsid w:val="00A827A8"/>
    <w:rsid w:val="00A829BE"/>
    <w:rsid w:val="00A82A81"/>
    <w:rsid w:val="00A82AB6"/>
    <w:rsid w:val="00A82B0C"/>
    <w:rsid w:val="00A82B29"/>
    <w:rsid w:val="00A82B88"/>
    <w:rsid w:val="00A82B99"/>
    <w:rsid w:val="00A82C0E"/>
    <w:rsid w:val="00A82C24"/>
    <w:rsid w:val="00A82D46"/>
    <w:rsid w:val="00A82D8D"/>
    <w:rsid w:val="00A82E47"/>
    <w:rsid w:val="00A82E66"/>
    <w:rsid w:val="00A82E81"/>
    <w:rsid w:val="00A82ED2"/>
    <w:rsid w:val="00A830A2"/>
    <w:rsid w:val="00A830DE"/>
    <w:rsid w:val="00A83124"/>
    <w:rsid w:val="00A83134"/>
    <w:rsid w:val="00A8328F"/>
    <w:rsid w:val="00A832A8"/>
    <w:rsid w:val="00A83382"/>
    <w:rsid w:val="00A83414"/>
    <w:rsid w:val="00A8342A"/>
    <w:rsid w:val="00A83520"/>
    <w:rsid w:val="00A835C8"/>
    <w:rsid w:val="00A835FD"/>
    <w:rsid w:val="00A83755"/>
    <w:rsid w:val="00A83818"/>
    <w:rsid w:val="00A83830"/>
    <w:rsid w:val="00A83889"/>
    <w:rsid w:val="00A8388E"/>
    <w:rsid w:val="00A838F0"/>
    <w:rsid w:val="00A83934"/>
    <w:rsid w:val="00A839FF"/>
    <w:rsid w:val="00A83D72"/>
    <w:rsid w:val="00A83EBF"/>
    <w:rsid w:val="00A83FF6"/>
    <w:rsid w:val="00A8409B"/>
    <w:rsid w:val="00A8409F"/>
    <w:rsid w:val="00A840F6"/>
    <w:rsid w:val="00A842BB"/>
    <w:rsid w:val="00A84459"/>
    <w:rsid w:val="00A844CF"/>
    <w:rsid w:val="00A84533"/>
    <w:rsid w:val="00A8454C"/>
    <w:rsid w:val="00A8464B"/>
    <w:rsid w:val="00A847DC"/>
    <w:rsid w:val="00A84901"/>
    <w:rsid w:val="00A84A29"/>
    <w:rsid w:val="00A84A2E"/>
    <w:rsid w:val="00A84A3B"/>
    <w:rsid w:val="00A84B05"/>
    <w:rsid w:val="00A84B9B"/>
    <w:rsid w:val="00A84BF7"/>
    <w:rsid w:val="00A84C8A"/>
    <w:rsid w:val="00A84C96"/>
    <w:rsid w:val="00A84CDE"/>
    <w:rsid w:val="00A84D07"/>
    <w:rsid w:val="00A84DEE"/>
    <w:rsid w:val="00A84E17"/>
    <w:rsid w:val="00A84F3D"/>
    <w:rsid w:val="00A85030"/>
    <w:rsid w:val="00A85110"/>
    <w:rsid w:val="00A8511A"/>
    <w:rsid w:val="00A85131"/>
    <w:rsid w:val="00A85179"/>
    <w:rsid w:val="00A8528C"/>
    <w:rsid w:val="00A85445"/>
    <w:rsid w:val="00A85500"/>
    <w:rsid w:val="00A85591"/>
    <w:rsid w:val="00A855BA"/>
    <w:rsid w:val="00A85686"/>
    <w:rsid w:val="00A857B1"/>
    <w:rsid w:val="00A857C0"/>
    <w:rsid w:val="00A85837"/>
    <w:rsid w:val="00A8595C"/>
    <w:rsid w:val="00A8597F"/>
    <w:rsid w:val="00A85A27"/>
    <w:rsid w:val="00A85AB6"/>
    <w:rsid w:val="00A85AE7"/>
    <w:rsid w:val="00A85B2D"/>
    <w:rsid w:val="00A85C67"/>
    <w:rsid w:val="00A85C98"/>
    <w:rsid w:val="00A85C9D"/>
    <w:rsid w:val="00A85CD7"/>
    <w:rsid w:val="00A85CE0"/>
    <w:rsid w:val="00A85DED"/>
    <w:rsid w:val="00A85F99"/>
    <w:rsid w:val="00A861BC"/>
    <w:rsid w:val="00A86221"/>
    <w:rsid w:val="00A862FF"/>
    <w:rsid w:val="00A8633C"/>
    <w:rsid w:val="00A86344"/>
    <w:rsid w:val="00A8653E"/>
    <w:rsid w:val="00A86558"/>
    <w:rsid w:val="00A865F6"/>
    <w:rsid w:val="00A86601"/>
    <w:rsid w:val="00A8665B"/>
    <w:rsid w:val="00A867AA"/>
    <w:rsid w:val="00A867B1"/>
    <w:rsid w:val="00A8682B"/>
    <w:rsid w:val="00A86877"/>
    <w:rsid w:val="00A8688E"/>
    <w:rsid w:val="00A86AF0"/>
    <w:rsid w:val="00A86B37"/>
    <w:rsid w:val="00A86BEF"/>
    <w:rsid w:val="00A86DC6"/>
    <w:rsid w:val="00A86E18"/>
    <w:rsid w:val="00A86F4F"/>
    <w:rsid w:val="00A86F9F"/>
    <w:rsid w:val="00A86FDA"/>
    <w:rsid w:val="00A8702C"/>
    <w:rsid w:val="00A870B5"/>
    <w:rsid w:val="00A87160"/>
    <w:rsid w:val="00A871D2"/>
    <w:rsid w:val="00A87275"/>
    <w:rsid w:val="00A87312"/>
    <w:rsid w:val="00A87482"/>
    <w:rsid w:val="00A8755E"/>
    <w:rsid w:val="00A875B5"/>
    <w:rsid w:val="00A8767A"/>
    <w:rsid w:val="00A8770A"/>
    <w:rsid w:val="00A8777F"/>
    <w:rsid w:val="00A878DD"/>
    <w:rsid w:val="00A878F7"/>
    <w:rsid w:val="00A8795C"/>
    <w:rsid w:val="00A879AD"/>
    <w:rsid w:val="00A87A54"/>
    <w:rsid w:val="00A87AD5"/>
    <w:rsid w:val="00A87B4B"/>
    <w:rsid w:val="00A87CE9"/>
    <w:rsid w:val="00A87D0C"/>
    <w:rsid w:val="00A87D31"/>
    <w:rsid w:val="00A87D79"/>
    <w:rsid w:val="00A87E8A"/>
    <w:rsid w:val="00A90007"/>
    <w:rsid w:val="00A9003A"/>
    <w:rsid w:val="00A900CC"/>
    <w:rsid w:val="00A90135"/>
    <w:rsid w:val="00A90169"/>
    <w:rsid w:val="00A901DB"/>
    <w:rsid w:val="00A90215"/>
    <w:rsid w:val="00A9023F"/>
    <w:rsid w:val="00A902A0"/>
    <w:rsid w:val="00A90573"/>
    <w:rsid w:val="00A90590"/>
    <w:rsid w:val="00A90786"/>
    <w:rsid w:val="00A90833"/>
    <w:rsid w:val="00A90870"/>
    <w:rsid w:val="00A908AE"/>
    <w:rsid w:val="00A9095F"/>
    <w:rsid w:val="00A90A88"/>
    <w:rsid w:val="00A90B1A"/>
    <w:rsid w:val="00A90BAD"/>
    <w:rsid w:val="00A90C3C"/>
    <w:rsid w:val="00A90D12"/>
    <w:rsid w:val="00A90DF3"/>
    <w:rsid w:val="00A90F29"/>
    <w:rsid w:val="00A9126D"/>
    <w:rsid w:val="00A913A4"/>
    <w:rsid w:val="00A91469"/>
    <w:rsid w:val="00A916A6"/>
    <w:rsid w:val="00A916CE"/>
    <w:rsid w:val="00A9173F"/>
    <w:rsid w:val="00A917B8"/>
    <w:rsid w:val="00A917BE"/>
    <w:rsid w:val="00A917E3"/>
    <w:rsid w:val="00A918C1"/>
    <w:rsid w:val="00A91997"/>
    <w:rsid w:val="00A91A5B"/>
    <w:rsid w:val="00A91C57"/>
    <w:rsid w:val="00A91CDC"/>
    <w:rsid w:val="00A91D96"/>
    <w:rsid w:val="00A91EF2"/>
    <w:rsid w:val="00A91F20"/>
    <w:rsid w:val="00A92011"/>
    <w:rsid w:val="00A92305"/>
    <w:rsid w:val="00A923E3"/>
    <w:rsid w:val="00A923FA"/>
    <w:rsid w:val="00A9240D"/>
    <w:rsid w:val="00A92499"/>
    <w:rsid w:val="00A924BC"/>
    <w:rsid w:val="00A924BF"/>
    <w:rsid w:val="00A92555"/>
    <w:rsid w:val="00A925A1"/>
    <w:rsid w:val="00A925DF"/>
    <w:rsid w:val="00A9262E"/>
    <w:rsid w:val="00A927BD"/>
    <w:rsid w:val="00A927D7"/>
    <w:rsid w:val="00A927DB"/>
    <w:rsid w:val="00A92807"/>
    <w:rsid w:val="00A92843"/>
    <w:rsid w:val="00A9285B"/>
    <w:rsid w:val="00A92A46"/>
    <w:rsid w:val="00A92A4E"/>
    <w:rsid w:val="00A92ACA"/>
    <w:rsid w:val="00A92B30"/>
    <w:rsid w:val="00A92CD8"/>
    <w:rsid w:val="00A92DDD"/>
    <w:rsid w:val="00A92E7E"/>
    <w:rsid w:val="00A92E8A"/>
    <w:rsid w:val="00A92EA4"/>
    <w:rsid w:val="00A92F46"/>
    <w:rsid w:val="00A92F48"/>
    <w:rsid w:val="00A92F7C"/>
    <w:rsid w:val="00A931D7"/>
    <w:rsid w:val="00A931FF"/>
    <w:rsid w:val="00A93267"/>
    <w:rsid w:val="00A93323"/>
    <w:rsid w:val="00A93340"/>
    <w:rsid w:val="00A93471"/>
    <w:rsid w:val="00A934A3"/>
    <w:rsid w:val="00A934B6"/>
    <w:rsid w:val="00A935DF"/>
    <w:rsid w:val="00A93821"/>
    <w:rsid w:val="00A938C2"/>
    <w:rsid w:val="00A93965"/>
    <w:rsid w:val="00A939BA"/>
    <w:rsid w:val="00A93A25"/>
    <w:rsid w:val="00A93A6E"/>
    <w:rsid w:val="00A93AA4"/>
    <w:rsid w:val="00A93B15"/>
    <w:rsid w:val="00A93C53"/>
    <w:rsid w:val="00A93CA2"/>
    <w:rsid w:val="00A93D10"/>
    <w:rsid w:val="00A93DC5"/>
    <w:rsid w:val="00A93E0E"/>
    <w:rsid w:val="00A93E5F"/>
    <w:rsid w:val="00A93FDB"/>
    <w:rsid w:val="00A94063"/>
    <w:rsid w:val="00A94242"/>
    <w:rsid w:val="00A942CC"/>
    <w:rsid w:val="00A943BF"/>
    <w:rsid w:val="00A943C3"/>
    <w:rsid w:val="00A94411"/>
    <w:rsid w:val="00A9454D"/>
    <w:rsid w:val="00A94556"/>
    <w:rsid w:val="00A945DA"/>
    <w:rsid w:val="00A9461E"/>
    <w:rsid w:val="00A94643"/>
    <w:rsid w:val="00A9465F"/>
    <w:rsid w:val="00A94702"/>
    <w:rsid w:val="00A9476B"/>
    <w:rsid w:val="00A948FF"/>
    <w:rsid w:val="00A94935"/>
    <w:rsid w:val="00A94A55"/>
    <w:rsid w:val="00A94AF3"/>
    <w:rsid w:val="00A94BBA"/>
    <w:rsid w:val="00A94C09"/>
    <w:rsid w:val="00A94C3B"/>
    <w:rsid w:val="00A94C7C"/>
    <w:rsid w:val="00A94C87"/>
    <w:rsid w:val="00A94C99"/>
    <w:rsid w:val="00A94CD2"/>
    <w:rsid w:val="00A94D19"/>
    <w:rsid w:val="00A94EEE"/>
    <w:rsid w:val="00A950FF"/>
    <w:rsid w:val="00A9515D"/>
    <w:rsid w:val="00A95187"/>
    <w:rsid w:val="00A95233"/>
    <w:rsid w:val="00A952B8"/>
    <w:rsid w:val="00A9531E"/>
    <w:rsid w:val="00A9535F"/>
    <w:rsid w:val="00A9549A"/>
    <w:rsid w:val="00A954D1"/>
    <w:rsid w:val="00A95534"/>
    <w:rsid w:val="00A95553"/>
    <w:rsid w:val="00A95559"/>
    <w:rsid w:val="00A95608"/>
    <w:rsid w:val="00A9570F"/>
    <w:rsid w:val="00A95812"/>
    <w:rsid w:val="00A95968"/>
    <w:rsid w:val="00A959AC"/>
    <w:rsid w:val="00A95A00"/>
    <w:rsid w:val="00A95AD8"/>
    <w:rsid w:val="00A95B5F"/>
    <w:rsid w:val="00A95B87"/>
    <w:rsid w:val="00A95C56"/>
    <w:rsid w:val="00A95C65"/>
    <w:rsid w:val="00A95C97"/>
    <w:rsid w:val="00A96049"/>
    <w:rsid w:val="00A9625E"/>
    <w:rsid w:val="00A962DF"/>
    <w:rsid w:val="00A96312"/>
    <w:rsid w:val="00A96341"/>
    <w:rsid w:val="00A9643E"/>
    <w:rsid w:val="00A96447"/>
    <w:rsid w:val="00A9645C"/>
    <w:rsid w:val="00A966A6"/>
    <w:rsid w:val="00A967C7"/>
    <w:rsid w:val="00A967D1"/>
    <w:rsid w:val="00A9686D"/>
    <w:rsid w:val="00A968B5"/>
    <w:rsid w:val="00A968D2"/>
    <w:rsid w:val="00A969EF"/>
    <w:rsid w:val="00A96A07"/>
    <w:rsid w:val="00A96AD8"/>
    <w:rsid w:val="00A96ADD"/>
    <w:rsid w:val="00A96B19"/>
    <w:rsid w:val="00A96B4B"/>
    <w:rsid w:val="00A96B93"/>
    <w:rsid w:val="00A96F81"/>
    <w:rsid w:val="00A97094"/>
    <w:rsid w:val="00A971E7"/>
    <w:rsid w:val="00A9728D"/>
    <w:rsid w:val="00A9733C"/>
    <w:rsid w:val="00A973C8"/>
    <w:rsid w:val="00A97439"/>
    <w:rsid w:val="00A97543"/>
    <w:rsid w:val="00A975E6"/>
    <w:rsid w:val="00A976E3"/>
    <w:rsid w:val="00A97757"/>
    <w:rsid w:val="00A9776F"/>
    <w:rsid w:val="00A97A39"/>
    <w:rsid w:val="00A97CB1"/>
    <w:rsid w:val="00A97CC8"/>
    <w:rsid w:val="00A97EDE"/>
    <w:rsid w:val="00A97F60"/>
    <w:rsid w:val="00A97F93"/>
    <w:rsid w:val="00A97FB6"/>
    <w:rsid w:val="00A97FD1"/>
    <w:rsid w:val="00A97FFD"/>
    <w:rsid w:val="00AA0061"/>
    <w:rsid w:val="00AA0233"/>
    <w:rsid w:val="00AA0260"/>
    <w:rsid w:val="00AA03AD"/>
    <w:rsid w:val="00AA03E2"/>
    <w:rsid w:val="00AA0434"/>
    <w:rsid w:val="00AA0467"/>
    <w:rsid w:val="00AA05DF"/>
    <w:rsid w:val="00AA06C6"/>
    <w:rsid w:val="00AA06E9"/>
    <w:rsid w:val="00AA079A"/>
    <w:rsid w:val="00AA08B0"/>
    <w:rsid w:val="00AA08B8"/>
    <w:rsid w:val="00AA0951"/>
    <w:rsid w:val="00AA096F"/>
    <w:rsid w:val="00AA0A0C"/>
    <w:rsid w:val="00AA0A18"/>
    <w:rsid w:val="00AA0A3E"/>
    <w:rsid w:val="00AA0AEE"/>
    <w:rsid w:val="00AA0B94"/>
    <w:rsid w:val="00AA0C3A"/>
    <w:rsid w:val="00AA0D0E"/>
    <w:rsid w:val="00AA0D34"/>
    <w:rsid w:val="00AA0D90"/>
    <w:rsid w:val="00AA0ED9"/>
    <w:rsid w:val="00AA1089"/>
    <w:rsid w:val="00AA10D0"/>
    <w:rsid w:val="00AA1209"/>
    <w:rsid w:val="00AA1291"/>
    <w:rsid w:val="00AA135F"/>
    <w:rsid w:val="00AA1953"/>
    <w:rsid w:val="00AA1AC4"/>
    <w:rsid w:val="00AA1B89"/>
    <w:rsid w:val="00AA1BA9"/>
    <w:rsid w:val="00AA1BC9"/>
    <w:rsid w:val="00AA1BD8"/>
    <w:rsid w:val="00AA1C01"/>
    <w:rsid w:val="00AA1C84"/>
    <w:rsid w:val="00AA1D76"/>
    <w:rsid w:val="00AA1E78"/>
    <w:rsid w:val="00AA1FDD"/>
    <w:rsid w:val="00AA206E"/>
    <w:rsid w:val="00AA214E"/>
    <w:rsid w:val="00AA21DE"/>
    <w:rsid w:val="00AA2219"/>
    <w:rsid w:val="00AA2276"/>
    <w:rsid w:val="00AA2361"/>
    <w:rsid w:val="00AA2389"/>
    <w:rsid w:val="00AA23ED"/>
    <w:rsid w:val="00AA2537"/>
    <w:rsid w:val="00AA25D1"/>
    <w:rsid w:val="00AA2808"/>
    <w:rsid w:val="00AA281B"/>
    <w:rsid w:val="00AA2849"/>
    <w:rsid w:val="00AA289E"/>
    <w:rsid w:val="00AA28D4"/>
    <w:rsid w:val="00AA2942"/>
    <w:rsid w:val="00AA2A06"/>
    <w:rsid w:val="00AA2BEB"/>
    <w:rsid w:val="00AA2C9F"/>
    <w:rsid w:val="00AA2E2E"/>
    <w:rsid w:val="00AA2F7A"/>
    <w:rsid w:val="00AA2FD9"/>
    <w:rsid w:val="00AA3111"/>
    <w:rsid w:val="00AA3221"/>
    <w:rsid w:val="00AA333A"/>
    <w:rsid w:val="00AA3422"/>
    <w:rsid w:val="00AA34E3"/>
    <w:rsid w:val="00AA35DE"/>
    <w:rsid w:val="00AA3644"/>
    <w:rsid w:val="00AA3731"/>
    <w:rsid w:val="00AA377A"/>
    <w:rsid w:val="00AA37E0"/>
    <w:rsid w:val="00AA38F4"/>
    <w:rsid w:val="00AA393A"/>
    <w:rsid w:val="00AA3AA2"/>
    <w:rsid w:val="00AA3ACA"/>
    <w:rsid w:val="00AA3ADF"/>
    <w:rsid w:val="00AA3B44"/>
    <w:rsid w:val="00AA3BB8"/>
    <w:rsid w:val="00AA3BF3"/>
    <w:rsid w:val="00AA3D58"/>
    <w:rsid w:val="00AA3DB7"/>
    <w:rsid w:val="00AA3DE8"/>
    <w:rsid w:val="00AA3E35"/>
    <w:rsid w:val="00AA3E67"/>
    <w:rsid w:val="00AA3FB1"/>
    <w:rsid w:val="00AA3FEA"/>
    <w:rsid w:val="00AA40C4"/>
    <w:rsid w:val="00AA40F3"/>
    <w:rsid w:val="00AA40FA"/>
    <w:rsid w:val="00AA41EE"/>
    <w:rsid w:val="00AA427A"/>
    <w:rsid w:val="00AA42CD"/>
    <w:rsid w:val="00AA4382"/>
    <w:rsid w:val="00AA446A"/>
    <w:rsid w:val="00AA457D"/>
    <w:rsid w:val="00AA45E2"/>
    <w:rsid w:val="00AA466E"/>
    <w:rsid w:val="00AA47D5"/>
    <w:rsid w:val="00AA4905"/>
    <w:rsid w:val="00AA4975"/>
    <w:rsid w:val="00AA49FC"/>
    <w:rsid w:val="00AA4A28"/>
    <w:rsid w:val="00AA4A61"/>
    <w:rsid w:val="00AA4A85"/>
    <w:rsid w:val="00AA4AE1"/>
    <w:rsid w:val="00AA4B1C"/>
    <w:rsid w:val="00AA4B8D"/>
    <w:rsid w:val="00AA4C0E"/>
    <w:rsid w:val="00AA4DD2"/>
    <w:rsid w:val="00AA4E01"/>
    <w:rsid w:val="00AA4E6D"/>
    <w:rsid w:val="00AA4EA9"/>
    <w:rsid w:val="00AA5039"/>
    <w:rsid w:val="00AA506F"/>
    <w:rsid w:val="00AA516A"/>
    <w:rsid w:val="00AA520A"/>
    <w:rsid w:val="00AA5281"/>
    <w:rsid w:val="00AA528C"/>
    <w:rsid w:val="00AA53A9"/>
    <w:rsid w:val="00AA5442"/>
    <w:rsid w:val="00AA5597"/>
    <w:rsid w:val="00AA56B4"/>
    <w:rsid w:val="00AA56FB"/>
    <w:rsid w:val="00AA576C"/>
    <w:rsid w:val="00AA5788"/>
    <w:rsid w:val="00AA5A7D"/>
    <w:rsid w:val="00AA5B86"/>
    <w:rsid w:val="00AA5BAA"/>
    <w:rsid w:val="00AA5C63"/>
    <w:rsid w:val="00AA616C"/>
    <w:rsid w:val="00AA616F"/>
    <w:rsid w:val="00AA6201"/>
    <w:rsid w:val="00AA6220"/>
    <w:rsid w:val="00AA636F"/>
    <w:rsid w:val="00AA6441"/>
    <w:rsid w:val="00AA64C0"/>
    <w:rsid w:val="00AA656E"/>
    <w:rsid w:val="00AA65DB"/>
    <w:rsid w:val="00AA6618"/>
    <w:rsid w:val="00AA678A"/>
    <w:rsid w:val="00AA689C"/>
    <w:rsid w:val="00AA68AE"/>
    <w:rsid w:val="00AA6955"/>
    <w:rsid w:val="00AA6A06"/>
    <w:rsid w:val="00AA6B64"/>
    <w:rsid w:val="00AA6C08"/>
    <w:rsid w:val="00AA6C26"/>
    <w:rsid w:val="00AA6C31"/>
    <w:rsid w:val="00AA6CC0"/>
    <w:rsid w:val="00AA6CDC"/>
    <w:rsid w:val="00AA6D30"/>
    <w:rsid w:val="00AA6DAD"/>
    <w:rsid w:val="00AA6E8E"/>
    <w:rsid w:val="00AA6E90"/>
    <w:rsid w:val="00AA6F1C"/>
    <w:rsid w:val="00AA6FF2"/>
    <w:rsid w:val="00AA715B"/>
    <w:rsid w:val="00AA7172"/>
    <w:rsid w:val="00AA7192"/>
    <w:rsid w:val="00AA7252"/>
    <w:rsid w:val="00AA73C2"/>
    <w:rsid w:val="00AA746F"/>
    <w:rsid w:val="00AA74CB"/>
    <w:rsid w:val="00AA75D6"/>
    <w:rsid w:val="00AA7660"/>
    <w:rsid w:val="00AA77D6"/>
    <w:rsid w:val="00AA7A7F"/>
    <w:rsid w:val="00AA7B3C"/>
    <w:rsid w:val="00AA7B3F"/>
    <w:rsid w:val="00AA7B83"/>
    <w:rsid w:val="00AA7B85"/>
    <w:rsid w:val="00AA7BB3"/>
    <w:rsid w:val="00AA7C40"/>
    <w:rsid w:val="00AA7D54"/>
    <w:rsid w:val="00AA7F0D"/>
    <w:rsid w:val="00AB00AD"/>
    <w:rsid w:val="00AB00D5"/>
    <w:rsid w:val="00AB00EC"/>
    <w:rsid w:val="00AB019E"/>
    <w:rsid w:val="00AB0292"/>
    <w:rsid w:val="00AB035C"/>
    <w:rsid w:val="00AB039A"/>
    <w:rsid w:val="00AB03F6"/>
    <w:rsid w:val="00AB05DE"/>
    <w:rsid w:val="00AB0811"/>
    <w:rsid w:val="00AB0822"/>
    <w:rsid w:val="00AB084B"/>
    <w:rsid w:val="00AB0861"/>
    <w:rsid w:val="00AB08BB"/>
    <w:rsid w:val="00AB08E1"/>
    <w:rsid w:val="00AB093B"/>
    <w:rsid w:val="00AB0977"/>
    <w:rsid w:val="00AB0A2E"/>
    <w:rsid w:val="00AB0BCA"/>
    <w:rsid w:val="00AB0BE5"/>
    <w:rsid w:val="00AB0C24"/>
    <w:rsid w:val="00AB0C5B"/>
    <w:rsid w:val="00AB0D18"/>
    <w:rsid w:val="00AB0D21"/>
    <w:rsid w:val="00AB0D63"/>
    <w:rsid w:val="00AB0E03"/>
    <w:rsid w:val="00AB0EEA"/>
    <w:rsid w:val="00AB0F6D"/>
    <w:rsid w:val="00AB0FB4"/>
    <w:rsid w:val="00AB1114"/>
    <w:rsid w:val="00AB1205"/>
    <w:rsid w:val="00AB13C3"/>
    <w:rsid w:val="00AB13C8"/>
    <w:rsid w:val="00AB1502"/>
    <w:rsid w:val="00AB1686"/>
    <w:rsid w:val="00AB1747"/>
    <w:rsid w:val="00AB17B3"/>
    <w:rsid w:val="00AB17BF"/>
    <w:rsid w:val="00AB1866"/>
    <w:rsid w:val="00AB18EB"/>
    <w:rsid w:val="00AB19F7"/>
    <w:rsid w:val="00AB1A2D"/>
    <w:rsid w:val="00AB1A4D"/>
    <w:rsid w:val="00AB1AF5"/>
    <w:rsid w:val="00AB1B23"/>
    <w:rsid w:val="00AB1BBB"/>
    <w:rsid w:val="00AB1CD4"/>
    <w:rsid w:val="00AB1D06"/>
    <w:rsid w:val="00AB1DC9"/>
    <w:rsid w:val="00AB1E5E"/>
    <w:rsid w:val="00AB1EE6"/>
    <w:rsid w:val="00AB206C"/>
    <w:rsid w:val="00AB21A3"/>
    <w:rsid w:val="00AB21BD"/>
    <w:rsid w:val="00AB2295"/>
    <w:rsid w:val="00AB23F0"/>
    <w:rsid w:val="00AB2430"/>
    <w:rsid w:val="00AB25D3"/>
    <w:rsid w:val="00AB25F0"/>
    <w:rsid w:val="00AB261A"/>
    <w:rsid w:val="00AB2788"/>
    <w:rsid w:val="00AB2833"/>
    <w:rsid w:val="00AB28E7"/>
    <w:rsid w:val="00AB2918"/>
    <w:rsid w:val="00AB2938"/>
    <w:rsid w:val="00AB298E"/>
    <w:rsid w:val="00AB29DB"/>
    <w:rsid w:val="00AB2B12"/>
    <w:rsid w:val="00AB2B53"/>
    <w:rsid w:val="00AB2C84"/>
    <w:rsid w:val="00AB2C89"/>
    <w:rsid w:val="00AB2CAF"/>
    <w:rsid w:val="00AB2DAD"/>
    <w:rsid w:val="00AB2E84"/>
    <w:rsid w:val="00AB2FBC"/>
    <w:rsid w:val="00AB32A9"/>
    <w:rsid w:val="00AB32D6"/>
    <w:rsid w:val="00AB333E"/>
    <w:rsid w:val="00AB34D9"/>
    <w:rsid w:val="00AB360C"/>
    <w:rsid w:val="00AB362A"/>
    <w:rsid w:val="00AB3808"/>
    <w:rsid w:val="00AB3810"/>
    <w:rsid w:val="00AB385D"/>
    <w:rsid w:val="00AB39FC"/>
    <w:rsid w:val="00AB3A66"/>
    <w:rsid w:val="00AB3AF5"/>
    <w:rsid w:val="00AB3CE1"/>
    <w:rsid w:val="00AB3DD5"/>
    <w:rsid w:val="00AB3F77"/>
    <w:rsid w:val="00AB408F"/>
    <w:rsid w:val="00AB40FA"/>
    <w:rsid w:val="00AB4101"/>
    <w:rsid w:val="00AB41D7"/>
    <w:rsid w:val="00AB41FA"/>
    <w:rsid w:val="00AB42C3"/>
    <w:rsid w:val="00AB42CD"/>
    <w:rsid w:val="00AB46B3"/>
    <w:rsid w:val="00AB471A"/>
    <w:rsid w:val="00AB4798"/>
    <w:rsid w:val="00AB48C8"/>
    <w:rsid w:val="00AB48FD"/>
    <w:rsid w:val="00AB4B2A"/>
    <w:rsid w:val="00AB4C8D"/>
    <w:rsid w:val="00AB4D5F"/>
    <w:rsid w:val="00AB4E30"/>
    <w:rsid w:val="00AB4EEC"/>
    <w:rsid w:val="00AB502E"/>
    <w:rsid w:val="00AB5043"/>
    <w:rsid w:val="00AB5059"/>
    <w:rsid w:val="00AB5076"/>
    <w:rsid w:val="00AB5104"/>
    <w:rsid w:val="00AB5147"/>
    <w:rsid w:val="00AB51C3"/>
    <w:rsid w:val="00AB51D9"/>
    <w:rsid w:val="00AB52AB"/>
    <w:rsid w:val="00AB5314"/>
    <w:rsid w:val="00AB53BA"/>
    <w:rsid w:val="00AB5529"/>
    <w:rsid w:val="00AB562B"/>
    <w:rsid w:val="00AB5651"/>
    <w:rsid w:val="00AB56AE"/>
    <w:rsid w:val="00AB57BD"/>
    <w:rsid w:val="00AB583D"/>
    <w:rsid w:val="00AB5943"/>
    <w:rsid w:val="00AB5998"/>
    <w:rsid w:val="00AB59F8"/>
    <w:rsid w:val="00AB5A43"/>
    <w:rsid w:val="00AB5A58"/>
    <w:rsid w:val="00AB5CD2"/>
    <w:rsid w:val="00AB5DA9"/>
    <w:rsid w:val="00AB5DDD"/>
    <w:rsid w:val="00AB5F06"/>
    <w:rsid w:val="00AB5FB2"/>
    <w:rsid w:val="00AB6034"/>
    <w:rsid w:val="00AB608B"/>
    <w:rsid w:val="00AB6149"/>
    <w:rsid w:val="00AB6186"/>
    <w:rsid w:val="00AB61C9"/>
    <w:rsid w:val="00AB62DB"/>
    <w:rsid w:val="00AB631E"/>
    <w:rsid w:val="00AB6375"/>
    <w:rsid w:val="00AB6432"/>
    <w:rsid w:val="00AB6568"/>
    <w:rsid w:val="00AB65FA"/>
    <w:rsid w:val="00AB6619"/>
    <w:rsid w:val="00AB66FB"/>
    <w:rsid w:val="00AB672A"/>
    <w:rsid w:val="00AB6803"/>
    <w:rsid w:val="00AB690C"/>
    <w:rsid w:val="00AB6989"/>
    <w:rsid w:val="00AB6A96"/>
    <w:rsid w:val="00AB6ADD"/>
    <w:rsid w:val="00AB6B1E"/>
    <w:rsid w:val="00AB6BE2"/>
    <w:rsid w:val="00AB6BFB"/>
    <w:rsid w:val="00AB6C1A"/>
    <w:rsid w:val="00AB6CD5"/>
    <w:rsid w:val="00AB6EF5"/>
    <w:rsid w:val="00AB6FCB"/>
    <w:rsid w:val="00AB6FF1"/>
    <w:rsid w:val="00AB7014"/>
    <w:rsid w:val="00AB7065"/>
    <w:rsid w:val="00AB7066"/>
    <w:rsid w:val="00AB70AC"/>
    <w:rsid w:val="00AB70B4"/>
    <w:rsid w:val="00AB71C4"/>
    <w:rsid w:val="00AB73C4"/>
    <w:rsid w:val="00AB7626"/>
    <w:rsid w:val="00AB7692"/>
    <w:rsid w:val="00AB76D1"/>
    <w:rsid w:val="00AB78D0"/>
    <w:rsid w:val="00AB78DC"/>
    <w:rsid w:val="00AB79CA"/>
    <w:rsid w:val="00AB7A5C"/>
    <w:rsid w:val="00AB7D37"/>
    <w:rsid w:val="00AB7D8C"/>
    <w:rsid w:val="00AB7D8F"/>
    <w:rsid w:val="00AB7F87"/>
    <w:rsid w:val="00ABFA67"/>
    <w:rsid w:val="00AC011E"/>
    <w:rsid w:val="00AC01FE"/>
    <w:rsid w:val="00AC020B"/>
    <w:rsid w:val="00AC021C"/>
    <w:rsid w:val="00AC0270"/>
    <w:rsid w:val="00AC0280"/>
    <w:rsid w:val="00AC02AA"/>
    <w:rsid w:val="00AC02ED"/>
    <w:rsid w:val="00AC02F9"/>
    <w:rsid w:val="00AC0428"/>
    <w:rsid w:val="00AC0493"/>
    <w:rsid w:val="00AC057A"/>
    <w:rsid w:val="00AC05CD"/>
    <w:rsid w:val="00AC0695"/>
    <w:rsid w:val="00AC07E7"/>
    <w:rsid w:val="00AC0870"/>
    <w:rsid w:val="00AC089C"/>
    <w:rsid w:val="00AC0926"/>
    <w:rsid w:val="00AC09FE"/>
    <w:rsid w:val="00AC0A3B"/>
    <w:rsid w:val="00AC0A55"/>
    <w:rsid w:val="00AC0BC1"/>
    <w:rsid w:val="00AC0BFB"/>
    <w:rsid w:val="00AC0C95"/>
    <w:rsid w:val="00AC0CEE"/>
    <w:rsid w:val="00AC0CF6"/>
    <w:rsid w:val="00AC0D28"/>
    <w:rsid w:val="00AC0D38"/>
    <w:rsid w:val="00AC0D89"/>
    <w:rsid w:val="00AC0DEF"/>
    <w:rsid w:val="00AC0DF6"/>
    <w:rsid w:val="00AC0E43"/>
    <w:rsid w:val="00AC1251"/>
    <w:rsid w:val="00AC126D"/>
    <w:rsid w:val="00AC1335"/>
    <w:rsid w:val="00AC1387"/>
    <w:rsid w:val="00AC1403"/>
    <w:rsid w:val="00AC14B6"/>
    <w:rsid w:val="00AC15DE"/>
    <w:rsid w:val="00AC1655"/>
    <w:rsid w:val="00AC16C1"/>
    <w:rsid w:val="00AC16FC"/>
    <w:rsid w:val="00AC182D"/>
    <w:rsid w:val="00AC1935"/>
    <w:rsid w:val="00AC1948"/>
    <w:rsid w:val="00AC19DE"/>
    <w:rsid w:val="00AC1B92"/>
    <w:rsid w:val="00AC1BF0"/>
    <w:rsid w:val="00AC1C4C"/>
    <w:rsid w:val="00AC1C71"/>
    <w:rsid w:val="00AC1D94"/>
    <w:rsid w:val="00AC1EF9"/>
    <w:rsid w:val="00AC1F2C"/>
    <w:rsid w:val="00AC1F4B"/>
    <w:rsid w:val="00AC1F95"/>
    <w:rsid w:val="00AC2081"/>
    <w:rsid w:val="00AC20E3"/>
    <w:rsid w:val="00AC20F4"/>
    <w:rsid w:val="00AC234A"/>
    <w:rsid w:val="00AC23B5"/>
    <w:rsid w:val="00AC23D6"/>
    <w:rsid w:val="00AC25E4"/>
    <w:rsid w:val="00AC2626"/>
    <w:rsid w:val="00AC2634"/>
    <w:rsid w:val="00AC2645"/>
    <w:rsid w:val="00AC26F2"/>
    <w:rsid w:val="00AC271F"/>
    <w:rsid w:val="00AC2729"/>
    <w:rsid w:val="00AC2760"/>
    <w:rsid w:val="00AC2795"/>
    <w:rsid w:val="00AC27A6"/>
    <w:rsid w:val="00AC284C"/>
    <w:rsid w:val="00AC284D"/>
    <w:rsid w:val="00AC2907"/>
    <w:rsid w:val="00AC2913"/>
    <w:rsid w:val="00AC2972"/>
    <w:rsid w:val="00AC2A96"/>
    <w:rsid w:val="00AC2B14"/>
    <w:rsid w:val="00AC2D45"/>
    <w:rsid w:val="00AC2F4B"/>
    <w:rsid w:val="00AC2F89"/>
    <w:rsid w:val="00AC3007"/>
    <w:rsid w:val="00AC305F"/>
    <w:rsid w:val="00AC316A"/>
    <w:rsid w:val="00AC319D"/>
    <w:rsid w:val="00AC3202"/>
    <w:rsid w:val="00AC3339"/>
    <w:rsid w:val="00AC339E"/>
    <w:rsid w:val="00AC33B8"/>
    <w:rsid w:val="00AC34F6"/>
    <w:rsid w:val="00AC3509"/>
    <w:rsid w:val="00AC3565"/>
    <w:rsid w:val="00AC362F"/>
    <w:rsid w:val="00AC37EA"/>
    <w:rsid w:val="00AC382D"/>
    <w:rsid w:val="00AC3832"/>
    <w:rsid w:val="00AC3853"/>
    <w:rsid w:val="00AC3A1F"/>
    <w:rsid w:val="00AC3B12"/>
    <w:rsid w:val="00AC3C13"/>
    <w:rsid w:val="00AC3E2D"/>
    <w:rsid w:val="00AC3EA3"/>
    <w:rsid w:val="00AC3EAB"/>
    <w:rsid w:val="00AC3FAE"/>
    <w:rsid w:val="00AC4161"/>
    <w:rsid w:val="00AC420D"/>
    <w:rsid w:val="00AC4221"/>
    <w:rsid w:val="00AC4368"/>
    <w:rsid w:val="00AC43A7"/>
    <w:rsid w:val="00AC4472"/>
    <w:rsid w:val="00AC44D9"/>
    <w:rsid w:val="00AC45C0"/>
    <w:rsid w:val="00AC4605"/>
    <w:rsid w:val="00AC4698"/>
    <w:rsid w:val="00AC4AA7"/>
    <w:rsid w:val="00AC4AF7"/>
    <w:rsid w:val="00AC4B7F"/>
    <w:rsid w:val="00AC4CED"/>
    <w:rsid w:val="00AC4ED0"/>
    <w:rsid w:val="00AC5071"/>
    <w:rsid w:val="00AC50BA"/>
    <w:rsid w:val="00AC51BC"/>
    <w:rsid w:val="00AC51CC"/>
    <w:rsid w:val="00AC5238"/>
    <w:rsid w:val="00AC53D0"/>
    <w:rsid w:val="00AC541C"/>
    <w:rsid w:val="00AC547A"/>
    <w:rsid w:val="00AC54DB"/>
    <w:rsid w:val="00AC5574"/>
    <w:rsid w:val="00AC56C7"/>
    <w:rsid w:val="00AC57A0"/>
    <w:rsid w:val="00AC57EC"/>
    <w:rsid w:val="00AC5861"/>
    <w:rsid w:val="00AC58B5"/>
    <w:rsid w:val="00AC58EB"/>
    <w:rsid w:val="00AC5901"/>
    <w:rsid w:val="00AC5939"/>
    <w:rsid w:val="00AC59E2"/>
    <w:rsid w:val="00AC59F1"/>
    <w:rsid w:val="00AC5A77"/>
    <w:rsid w:val="00AC5A8D"/>
    <w:rsid w:val="00AC5AE9"/>
    <w:rsid w:val="00AC5BC7"/>
    <w:rsid w:val="00AC5BE0"/>
    <w:rsid w:val="00AC5C1D"/>
    <w:rsid w:val="00AC5CF6"/>
    <w:rsid w:val="00AC5D9B"/>
    <w:rsid w:val="00AC5E11"/>
    <w:rsid w:val="00AC5EC0"/>
    <w:rsid w:val="00AC5FD5"/>
    <w:rsid w:val="00AC6144"/>
    <w:rsid w:val="00AC6146"/>
    <w:rsid w:val="00AC61B2"/>
    <w:rsid w:val="00AC62B6"/>
    <w:rsid w:val="00AC6356"/>
    <w:rsid w:val="00AC638B"/>
    <w:rsid w:val="00AC6399"/>
    <w:rsid w:val="00AC6454"/>
    <w:rsid w:val="00AC64CF"/>
    <w:rsid w:val="00AC6788"/>
    <w:rsid w:val="00AC68FD"/>
    <w:rsid w:val="00AC6964"/>
    <w:rsid w:val="00AC6A2F"/>
    <w:rsid w:val="00AC6A35"/>
    <w:rsid w:val="00AC6A41"/>
    <w:rsid w:val="00AC6BEE"/>
    <w:rsid w:val="00AC6C88"/>
    <w:rsid w:val="00AC6CCC"/>
    <w:rsid w:val="00AC6D72"/>
    <w:rsid w:val="00AC6DB5"/>
    <w:rsid w:val="00AC6E83"/>
    <w:rsid w:val="00AC6F6F"/>
    <w:rsid w:val="00AC6FDA"/>
    <w:rsid w:val="00AC7036"/>
    <w:rsid w:val="00AC70F8"/>
    <w:rsid w:val="00AC7182"/>
    <w:rsid w:val="00AC7233"/>
    <w:rsid w:val="00AC726E"/>
    <w:rsid w:val="00AC72FD"/>
    <w:rsid w:val="00AC75A5"/>
    <w:rsid w:val="00AC77A1"/>
    <w:rsid w:val="00AC77DD"/>
    <w:rsid w:val="00AC77E3"/>
    <w:rsid w:val="00AC786E"/>
    <w:rsid w:val="00AC7B9E"/>
    <w:rsid w:val="00AC7BB1"/>
    <w:rsid w:val="00AC7C99"/>
    <w:rsid w:val="00AC7CD9"/>
    <w:rsid w:val="00AC7D5F"/>
    <w:rsid w:val="00AC7EE0"/>
    <w:rsid w:val="00AC7F1F"/>
    <w:rsid w:val="00AC7F3F"/>
    <w:rsid w:val="00AD0004"/>
    <w:rsid w:val="00AD01E1"/>
    <w:rsid w:val="00AD0246"/>
    <w:rsid w:val="00AD03A3"/>
    <w:rsid w:val="00AD04A2"/>
    <w:rsid w:val="00AD052D"/>
    <w:rsid w:val="00AD05A4"/>
    <w:rsid w:val="00AD0690"/>
    <w:rsid w:val="00AD0819"/>
    <w:rsid w:val="00AD0944"/>
    <w:rsid w:val="00AD0A08"/>
    <w:rsid w:val="00AD0A59"/>
    <w:rsid w:val="00AD0AE6"/>
    <w:rsid w:val="00AD0B17"/>
    <w:rsid w:val="00AD0B6F"/>
    <w:rsid w:val="00AD0B93"/>
    <w:rsid w:val="00AD0E2C"/>
    <w:rsid w:val="00AD0E30"/>
    <w:rsid w:val="00AD0EB1"/>
    <w:rsid w:val="00AD0EF2"/>
    <w:rsid w:val="00AD1057"/>
    <w:rsid w:val="00AD11DF"/>
    <w:rsid w:val="00AD1205"/>
    <w:rsid w:val="00AD1304"/>
    <w:rsid w:val="00AD140F"/>
    <w:rsid w:val="00AD1494"/>
    <w:rsid w:val="00AD150F"/>
    <w:rsid w:val="00AD15E6"/>
    <w:rsid w:val="00AD16CF"/>
    <w:rsid w:val="00AD173B"/>
    <w:rsid w:val="00AD17A7"/>
    <w:rsid w:val="00AD17E7"/>
    <w:rsid w:val="00AD18AD"/>
    <w:rsid w:val="00AD1936"/>
    <w:rsid w:val="00AD1993"/>
    <w:rsid w:val="00AD1AAA"/>
    <w:rsid w:val="00AD1ABE"/>
    <w:rsid w:val="00AD1B27"/>
    <w:rsid w:val="00AD1CC0"/>
    <w:rsid w:val="00AD1E44"/>
    <w:rsid w:val="00AD1E9E"/>
    <w:rsid w:val="00AD1EC4"/>
    <w:rsid w:val="00AD1ED4"/>
    <w:rsid w:val="00AD2094"/>
    <w:rsid w:val="00AD218B"/>
    <w:rsid w:val="00AD21F1"/>
    <w:rsid w:val="00AD2240"/>
    <w:rsid w:val="00AD22B6"/>
    <w:rsid w:val="00AD232F"/>
    <w:rsid w:val="00AD23E9"/>
    <w:rsid w:val="00AD248C"/>
    <w:rsid w:val="00AD25B0"/>
    <w:rsid w:val="00AD267C"/>
    <w:rsid w:val="00AD275E"/>
    <w:rsid w:val="00AD27E7"/>
    <w:rsid w:val="00AD28E5"/>
    <w:rsid w:val="00AD28F7"/>
    <w:rsid w:val="00AD2967"/>
    <w:rsid w:val="00AD2AEF"/>
    <w:rsid w:val="00AD2B0F"/>
    <w:rsid w:val="00AD2BAE"/>
    <w:rsid w:val="00AD2BB4"/>
    <w:rsid w:val="00AD2C50"/>
    <w:rsid w:val="00AD2EFB"/>
    <w:rsid w:val="00AD2F11"/>
    <w:rsid w:val="00AD30D9"/>
    <w:rsid w:val="00AD30EA"/>
    <w:rsid w:val="00AD3142"/>
    <w:rsid w:val="00AD315B"/>
    <w:rsid w:val="00AD3251"/>
    <w:rsid w:val="00AD32A5"/>
    <w:rsid w:val="00AD3337"/>
    <w:rsid w:val="00AD3594"/>
    <w:rsid w:val="00AD366E"/>
    <w:rsid w:val="00AD3710"/>
    <w:rsid w:val="00AD373B"/>
    <w:rsid w:val="00AD380B"/>
    <w:rsid w:val="00AD3823"/>
    <w:rsid w:val="00AD3ABB"/>
    <w:rsid w:val="00AD3B07"/>
    <w:rsid w:val="00AD3B17"/>
    <w:rsid w:val="00AD3D38"/>
    <w:rsid w:val="00AD3D94"/>
    <w:rsid w:val="00AD3DCA"/>
    <w:rsid w:val="00AD3DE4"/>
    <w:rsid w:val="00AD3DF9"/>
    <w:rsid w:val="00AD3EE2"/>
    <w:rsid w:val="00AD3F61"/>
    <w:rsid w:val="00AD4034"/>
    <w:rsid w:val="00AD4113"/>
    <w:rsid w:val="00AD4155"/>
    <w:rsid w:val="00AD4158"/>
    <w:rsid w:val="00AD4226"/>
    <w:rsid w:val="00AD4295"/>
    <w:rsid w:val="00AD42CE"/>
    <w:rsid w:val="00AD432C"/>
    <w:rsid w:val="00AD4403"/>
    <w:rsid w:val="00AD448F"/>
    <w:rsid w:val="00AD4519"/>
    <w:rsid w:val="00AD45C0"/>
    <w:rsid w:val="00AD46C5"/>
    <w:rsid w:val="00AD46F5"/>
    <w:rsid w:val="00AD4799"/>
    <w:rsid w:val="00AD4820"/>
    <w:rsid w:val="00AD483C"/>
    <w:rsid w:val="00AD483D"/>
    <w:rsid w:val="00AD4918"/>
    <w:rsid w:val="00AD49FA"/>
    <w:rsid w:val="00AD4A70"/>
    <w:rsid w:val="00AD4AF3"/>
    <w:rsid w:val="00AD4B52"/>
    <w:rsid w:val="00AD4BAD"/>
    <w:rsid w:val="00AD4BC8"/>
    <w:rsid w:val="00AD4BF1"/>
    <w:rsid w:val="00AD4C50"/>
    <w:rsid w:val="00AD4C7B"/>
    <w:rsid w:val="00AD4D11"/>
    <w:rsid w:val="00AD4D36"/>
    <w:rsid w:val="00AD4E08"/>
    <w:rsid w:val="00AD4E93"/>
    <w:rsid w:val="00AD4F07"/>
    <w:rsid w:val="00AD4FA2"/>
    <w:rsid w:val="00AD50D2"/>
    <w:rsid w:val="00AD50E4"/>
    <w:rsid w:val="00AD551C"/>
    <w:rsid w:val="00AD5545"/>
    <w:rsid w:val="00AD5558"/>
    <w:rsid w:val="00AD5635"/>
    <w:rsid w:val="00AD5732"/>
    <w:rsid w:val="00AD5742"/>
    <w:rsid w:val="00AD57FA"/>
    <w:rsid w:val="00AD5871"/>
    <w:rsid w:val="00AD59AF"/>
    <w:rsid w:val="00AD5A9D"/>
    <w:rsid w:val="00AD5CCA"/>
    <w:rsid w:val="00AD5D82"/>
    <w:rsid w:val="00AD5E19"/>
    <w:rsid w:val="00AD5F6F"/>
    <w:rsid w:val="00AD6009"/>
    <w:rsid w:val="00AD6051"/>
    <w:rsid w:val="00AD61C6"/>
    <w:rsid w:val="00AD61DD"/>
    <w:rsid w:val="00AD6228"/>
    <w:rsid w:val="00AD62AA"/>
    <w:rsid w:val="00AD62C7"/>
    <w:rsid w:val="00AD6331"/>
    <w:rsid w:val="00AD63C3"/>
    <w:rsid w:val="00AD66FE"/>
    <w:rsid w:val="00AD6700"/>
    <w:rsid w:val="00AD674E"/>
    <w:rsid w:val="00AD6827"/>
    <w:rsid w:val="00AD69C4"/>
    <w:rsid w:val="00AD69E7"/>
    <w:rsid w:val="00AD6A40"/>
    <w:rsid w:val="00AD6A84"/>
    <w:rsid w:val="00AD6B51"/>
    <w:rsid w:val="00AD6C92"/>
    <w:rsid w:val="00AD6D13"/>
    <w:rsid w:val="00AD6E17"/>
    <w:rsid w:val="00AD6E61"/>
    <w:rsid w:val="00AD6F2F"/>
    <w:rsid w:val="00AD6FA9"/>
    <w:rsid w:val="00AD6FEC"/>
    <w:rsid w:val="00AD70D1"/>
    <w:rsid w:val="00AD7120"/>
    <w:rsid w:val="00AD732C"/>
    <w:rsid w:val="00AD739D"/>
    <w:rsid w:val="00AD73D1"/>
    <w:rsid w:val="00AD740E"/>
    <w:rsid w:val="00AD74C3"/>
    <w:rsid w:val="00AD75F7"/>
    <w:rsid w:val="00AD776C"/>
    <w:rsid w:val="00AD7784"/>
    <w:rsid w:val="00AD77E3"/>
    <w:rsid w:val="00AD77FB"/>
    <w:rsid w:val="00AD7A48"/>
    <w:rsid w:val="00AD7AAB"/>
    <w:rsid w:val="00AD7B18"/>
    <w:rsid w:val="00AD7B25"/>
    <w:rsid w:val="00AD7DA5"/>
    <w:rsid w:val="00AD7DD2"/>
    <w:rsid w:val="00AD7F57"/>
    <w:rsid w:val="00AE03C9"/>
    <w:rsid w:val="00AE049E"/>
    <w:rsid w:val="00AE04CE"/>
    <w:rsid w:val="00AE0592"/>
    <w:rsid w:val="00AE05AD"/>
    <w:rsid w:val="00AE0723"/>
    <w:rsid w:val="00AE0791"/>
    <w:rsid w:val="00AE08A2"/>
    <w:rsid w:val="00AE0944"/>
    <w:rsid w:val="00AE0957"/>
    <w:rsid w:val="00AE0A01"/>
    <w:rsid w:val="00AE0A46"/>
    <w:rsid w:val="00AE0AFF"/>
    <w:rsid w:val="00AE0B8D"/>
    <w:rsid w:val="00AE0C24"/>
    <w:rsid w:val="00AE0CE8"/>
    <w:rsid w:val="00AE0E80"/>
    <w:rsid w:val="00AE0F10"/>
    <w:rsid w:val="00AE0F8D"/>
    <w:rsid w:val="00AE0F92"/>
    <w:rsid w:val="00AE0FC7"/>
    <w:rsid w:val="00AE1048"/>
    <w:rsid w:val="00AE10CC"/>
    <w:rsid w:val="00AE10D6"/>
    <w:rsid w:val="00AE1152"/>
    <w:rsid w:val="00AE117C"/>
    <w:rsid w:val="00AE1184"/>
    <w:rsid w:val="00AE118A"/>
    <w:rsid w:val="00AE119B"/>
    <w:rsid w:val="00AE11A0"/>
    <w:rsid w:val="00AE13B6"/>
    <w:rsid w:val="00AE1430"/>
    <w:rsid w:val="00AE1522"/>
    <w:rsid w:val="00AE15C0"/>
    <w:rsid w:val="00AE1612"/>
    <w:rsid w:val="00AE1697"/>
    <w:rsid w:val="00AE175A"/>
    <w:rsid w:val="00AE1820"/>
    <w:rsid w:val="00AE1A15"/>
    <w:rsid w:val="00AE1B27"/>
    <w:rsid w:val="00AE1C59"/>
    <w:rsid w:val="00AE1C97"/>
    <w:rsid w:val="00AE1CF5"/>
    <w:rsid w:val="00AE1D49"/>
    <w:rsid w:val="00AE1DB5"/>
    <w:rsid w:val="00AE1DC0"/>
    <w:rsid w:val="00AE200B"/>
    <w:rsid w:val="00AE20FE"/>
    <w:rsid w:val="00AE2101"/>
    <w:rsid w:val="00AE2138"/>
    <w:rsid w:val="00AE2333"/>
    <w:rsid w:val="00AE23B6"/>
    <w:rsid w:val="00AE244F"/>
    <w:rsid w:val="00AE2463"/>
    <w:rsid w:val="00AE261F"/>
    <w:rsid w:val="00AE2658"/>
    <w:rsid w:val="00AE2674"/>
    <w:rsid w:val="00AE26BF"/>
    <w:rsid w:val="00AE271E"/>
    <w:rsid w:val="00AE278D"/>
    <w:rsid w:val="00AE2894"/>
    <w:rsid w:val="00AE28E3"/>
    <w:rsid w:val="00AE2955"/>
    <w:rsid w:val="00AE29A5"/>
    <w:rsid w:val="00AE29AB"/>
    <w:rsid w:val="00AE2A5E"/>
    <w:rsid w:val="00AE2B84"/>
    <w:rsid w:val="00AE2C06"/>
    <w:rsid w:val="00AE2CAA"/>
    <w:rsid w:val="00AE2CAB"/>
    <w:rsid w:val="00AE2CD4"/>
    <w:rsid w:val="00AE2CF9"/>
    <w:rsid w:val="00AE2D39"/>
    <w:rsid w:val="00AE2D47"/>
    <w:rsid w:val="00AE2DCA"/>
    <w:rsid w:val="00AE2FA3"/>
    <w:rsid w:val="00AE303B"/>
    <w:rsid w:val="00AE308D"/>
    <w:rsid w:val="00AE3135"/>
    <w:rsid w:val="00AE32B5"/>
    <w:rsid w:val="00AE3339"/>
    <w:rsid w:val="00AE3552"/>
    <w:rsid w:val="00AE3578"/>
    <w:rsid w:val="00AE382E"/>
    <w:rsid w:val="00AE3883"/>
    <w:rsid w:val="00AE399C"/>
    <w:rsid w:val="00AE39CA"/>
    <w:rsid w:val="00AE3A64"/>
    <w:rsid w:val="00AE3BA4"/>
    <w:rsid w:val="00AE3BC2"/>
    <w:rsid w:val="00AE3C47"/>
    <w:rsid w:val="00AE3CA5"/>
    <w:rsid w:val="00AE3CF9"/>
    <w:rsid w:val="00AE3D02"/>
    <w:rsid w:val="00AE3D51"/>
    <w:rsid w:val="00AE3E49"/>
    <w:rsid w:val="00AE3EF3"/>
    <w:rsid w:val="00AE3FA4"/>
    <w:rsid w:val="00AE411E"/>
    <w:rsid w:val="00AE42BF"/>
    <w:rsid w:val="00AE4374"/>
    <w:rsid w:val="00AE43D8"/>
    <w:rsid w:val="00AE4463"/>
    <w:rsid w:val="00AE450D"/>
    <w:rsid w:val="00AE4592"/>
    <w:rsid w:val="00AE45C7"/>
    <w:rsid w:val="00AE4737"/>
    <w:rsid w:val="00AE4738"/>
    <w:rsid w:val="00AE4816"/>
    <w:rsid w:val="00AE4997"/>
    <w:rsid w:val="00AE49FB"/>
    <w:rsid w:val="00AE4A0E"/>
    <w:rsid w:val="00AE4A7E"/>
    <w:rsid w:val="00AE4B44"/>
    <w:rsid w:val="00AE4BD9"/>
    <w:rsid w:val="00AE4C36"/>
    <w:rsid w:val="00AE4CA5"/>
    <w:rsid w:val="00AE4CCD"/>
    <w:rsid w:val="00AE4CFD"/>
    <w:rsid w:val="00AE4D22"/>
    <w:rsid w:val="00AE4EB5"/>
    <w:rsid w:val="00AE4F39"/>
    <w:rsid w:val="00AE4F6D"/>
    <w:rsid w:val="00AE4FB3"/>
    <w:rsid w:val="00AE4FD3"/>
    <w:rsid w:val="00AE5127"/>
    <w:rsid w:val="00AE52F5"/>
    <w:rsid w:val="00AE52FC"/>
    <w:rsid w:val="00AE5340"/>
    <w:rsid w:val="00AE5393"/>
    <w:rsid w:val="00AE53A8"/>
    <w:rsid w:val="00AE54A6"/>
    <w:rsid w:val="00AE54F1"/>
    <w:rsid w:val="00AE553E"/>
    <w:rsid w:val="00AE55C7"/>
    <w:rsid w:val="00AE5605"/>
    <w:rsid w:val="00AE56F9"/>
    <w:rsid w:val="00AE5773"/>
    <w:rsid w:val="00AE5808"/>
    <w:rsid w:val="00AE584A"/>
    <w:rsid w:val="00AE58D3"/>
    <w:rsid w:val="00AE5AFA"/>
    <w:rsid w:val="00AE5C8E"/>
    <w:rsid w:val="00AE5E76"/>
    <w:rsid w:val="00AE5EE1"/>
    <w:rsid w:val="00AE5F95"/>
    <w:rsid w:val="00AE603B"/>
    <w:rsid w:val="00AE6106"/>
    <w:rsid w:val="00AE6140"/>
    <w:rsid w:val="00AE63F6"/>
    <w:rsid w:val="00AE6419"/>
    <w:rsid w:val="00AE6482"/>
    <w:rsid w:val="00AE64F7"/>
    <w:rsid w:val="00AE65DA"/>
    <w:rsid w:val="00AE65EB"/>
    <w:rsid w:val="00AE6694"/>
    <w:rsid w:val="00AE66F4"/>
    <w:rsid w:val="00AE677C"/>
    <w:rsid w:val="00AE67E4"/>
    <w:rsid w:val="00AE692B"/>
    <w:rsid w:val="00AE6BC1"/>
    <w:rsid w:val="00AE6C40"/>
    <w:rsid w:val="00AE6CF8"/>
    <w:rsid w:val="00AE6D9B"/>
    <w:rsid w:val="00AE6E10"/>
    <w:rsid w:val="00AE6F36"/>
    <w:rsid w:val="00AE6F60"/>
    <w:rsid w:val="00AE6F78"/>
    <w:rsid w:val="00AE7003"/>
    <w:rsid w:val="00AE700D"/>
    <w:rsid w:val="00AE704D"/>
    <w:rsid w:val="00AE70CD"/>
    <w:rsid w:val="00AE710A"/>
    <w:rsid w:val="00AE71F8"/>
    <w:rsid w:val="00AE72FF"/>
    <w:rsid w:val="00AE73C9"/>
    <w:rsid w:val="00AE74F3"/>
    <w:rsid w:val="00AE751B"/>
    <w:rsid w:val="00AE76AA"/>
    <w:rsid w:val="00AE76BA"/>
    <w:rsid w:val="00AE76D7"/>
    <w:rsid w:val="00AE76DA"/>
    <w:rsid w:val="00AE775A"/>
    <w:rsid w:val="00AE78BA"/>
    <w:rsid w:val="00AE78CC"/>
    <w:rsid w:val="00AE7B06"/>
    <w:rsid w:val="00AE7B31"/>
    <w:rsid w:val="00AE7B5C"/>
    <w:rsid w:val="00AE7C98"/>
    <w:rsid w:val="00AE7EFD"/>
    <w:rsid w:val="00AE7F98"/>
    <w:rsid w:val="00AF016E"/>
    <w:rsid w:val="00AF0176"/>
    <w:rsid w:val="00AF01B8"/>
    <w:rsid w:val="00AF0206"/>
    <w:rsid w:val="00AF021A"/>
    <w:rsid w:val="00AF0235"/>
    <w:rsid w:val="00AF04F0"/>
    <w:rsid w:val="00AF0530"/>
    <w:rsid w:val="00AF0611"/>
    <w:rsid w:val="00AF0637"/>
    <w:rsid w:val="00AF07BF"/>
    <w:rsid w:val="00AF0843"/>
    <w:rsid w:val="00AF08D4"/>
    <w:rsid w:val="00AF08FE"/>
    <w:rsid w:val="00AF092F"/>
    <w:rsid w:val="00AF09CF"/>
    <w:rsid w:val="00AF0A8F"/>
    <w:rsid w:val="00AF0AF9"/>
    <w:rsid w:val="00AF0B22"/>
    <w:rsid w:val="00AF0C00"/>
    <w:rsid w:val="00AF0CE8"/>
    <w:rsid w:val="00AF0E01"/>
    <w:rsid w:val="00AF0E14"/>
    <w:rsid w:val="00AF0E44"/>
    <w:rsid w:val="00AF0F1F"/>
    <w:rsid w:val="00AF0F2A"/>
    <w:rsid w:val="00AF1095"/>
    <w:rsid w:val="00AF118E"/>
    <w:rsid w:val="00AF11CA"/>
    <w:rsid w:val="00AF11D1"/>
    <w:rsid w:val="00AF124E"/>
    <w:rsid w:val="00AF1327"/>
    <w:rsid w:val="00AF135F"/>
    <w:rsid w:val="00AF1797"/>
    <w:rsid w:val="00AF1803"/>
    <w:rsid w:val="00AF1834"/>
    <w:rsid w:val="00AF1853"/>
    <w:rsid w:val="00AF1861"/>
    <w:rsid w:val="00AF188C"/>
    <w:rsid w:val="00AF189A"/>
    <w:rsid w:val="00AF189E"/>
    <w:rsid w:val="00AF18B7"/>
    <w:rsid w:val="00AF1988"/>
    <w:rsid w:val="00AF1B46"/>
    <w:rsid w:val="00AF1B5E"/>
    <w:rsid w:val="00AF1BC5"/>
    <w:rsid w:val="00AF1C92"/>
    <w:rsid w:val="00AF1EA2"/>
    <w:rsid w:val="00AF1EB2"/>
    <w:rsid w:val="00AF1F6F"/>
    <w:rsid w:val="00AF1FA7"/>
    <w:rsid w:val="00AF2079"/>
    <w:rsid w:val="00AF212C"/>
    <w:rsid w:val="00AF2179"/>
    <w:rsid w:val="00AF22F0"/>
    <w:rsid w:val="00AF2376"/>
    <w:rsid w:val="00AF2418"/>
    <w:rsid w:val="00AF2461"/>
    <w:rsid w:val="00AF24E5"/>
    <w:rsid w:val="00AF24FA"/>
    <w:rsid w:val="00AF2527"/>
    <w:rsid w:val="00AF26B7"/>
    <w:rsid w:val="00AF28A8"/>
    <w:rsid w:val="00AF28AF"/>
    <w:rsid w:val="00AF28E7"/>
    <w:rsid w:val="00AF28EB"/>
    <w:rsid w:val="00AF292C"/>
    <w:rsid w:val="00AF2B63"/>
    <w:rsid w:val="00AF2C72"/>
    <w:rsid w:val="00AF2CB8"/>
    <w:rsid w:val="00AF2D71"/>
    <w:rsid w:val="00AF2E67"/>
    <w:rsid w:val="00AF2EAB"/>
    <w:rsid w:val="00AF2F02"/>
    <w:rsid w:val="00AF2F17"/>
    <w:rsid w:val="00AF2F64"/>
    <w:rsid w:val="00AF303F"/>
    <w:rsid w:val="00AF3051"/>
    <w:rsid w:val="00AF30E6"/>
    <w:rsid w:val="00AF3146"/>
    <w:rsid w:val="00AF3240"/>
    <w:rsid w:val="00AF3563"/>
    <w:rsid w:val="00AF3566"/>
    <w:rsid w:val="00AF36A0"/>
    <w:rsid w:val="00AF37EA"/>
    <w:rsid w:val="00AF3817"/>
    <w:rsid w:val="00AF3892"/>
    <w:rsid w:val="00AF3918"/>
    <w:rsid w:val="00AF3937"/>
    <w:rsid w:val="00AF399A"/>
    <w:rsid w:val="00AF3A6D"/>
    <w:rsid w:val="00AF3AA6"/>
    <w:rsid w:val="00AF3BA8"/>
    <w:rsid w:val="00AF3BE9"/>
    <w:rsid w:val="00AF3CF3"/>
    <w:rsid w:val="00AF3D5A"/>
    <w:rsid w:val="00AF3DA8"/>
    <w:rsid w:val="00AF3DB0"/>
    <w:rsid w:val="00AF3DD5"/>
    <w:rsid w:val="00AF3E42"/>
    <w:rsid w:val="00AF3E4B"/>
    <w:rsid w:val="00AF3E63"/>
    <w:rsid w:val="00AF3F58"/>
    <w:rsid w:val="00AF3FBE"/>
    <w:rsid w:val="00AF40CE"/>
    <w:rsid w:val="00AF4166"/>
    <w:rsid w:val="00AF4529"/>
    <w:rsid w:val="00AF486E"/>
    <w:rsid w:val="00AF49F2"/>
    <w:rsid w:val="00AF4A62"/>
    <w:rsid w:val="00AF4B93"/>
    <w:rsid w:val="00AF4BE6"/>
    <w:rsid w:val="00AF4CB1"/>
    <w:rsid w:val="00AF4D29"/>
    <w:rsid w:val="00AF4DC2"/>
    <w:rsid w:val="00AF4EB6"/>
    <w:rsid w:val="00AF4F0C"/>
    <w:rsid w:val="00AF4F26"/>
    <w:rsid w:val="00AF4F63"/>
    <w:rsid w:val="00AF4FF0"/>
    <w:rsid w:val="00AF50F9"/>
    <w:rsid w:val="00AF51ED"/>
    <w:rsid w:val="00AF53B7"/>
    <w:rsid w:val="00AF5470"/>
    <w:rsid w:val="00AF5482"/>
    <w:rsid w:val="00AF5490"/>
    <w:rsid w:val="00AF551D"/>
    <w:rsid w:val="00AF5535"/>
    <w:rsid w:val="00AF561D"/>
    <w:rsid w:val="00AF5706"/>
    <w:rsid w:val="00AF58DE"/>
    <w:rsid w:val="00AF591A"/>
    <w:rsid w:val="00AF5944"/>
    <w:rsid w:val="00AF599D"/>
    <w:rsid w:val="00AF59FA"/>
    <w:rsid w:val="00AF5A1D"/>
    <w:rsid w:val="00AF5A6E"/>
    <w:rsid w:val="00AF5AF8"/>
    <w:rsid w:val="00AF5BCD"/>
    <w:rsid w:val="00AF5BDE"/>
    <w:rsid w:val="00AF5C52"/>
    <w:rsid w:val="00AF5C94"/>
    <w:rsid w:val="00AF5CC8"/>
    <w:rsid w:val="00AF5E32"/>
    <w:rsid w:val="00AF618F"/>
    <w:rsid w:val="00AF61D2"/>
    <w:rsid w:val="00AF61ED"/>
    <w:rsid w:val="00AF623D"/>
    <w:rsid w:val="00AF6250"/>
    <w:rsid w:val="00AF6318"/>
    <w:rsid w:val="00AF63B1"/>
    <w:rsid w:val="00AF63BC"/>
    <w:rsid w:val="00AF641E"/>
    <w:rsid w:val="00AF649E"/>
    <w:rsid w:val="00AF64F7"/>
    <w:rsid w:val="00AF669C"/>
    <w:rsid w:val="00AF67C1"/>
    <w:rsid w:val="00AF6831"/>
    <w:rsid w:val="00AF6904"/>
    <w:rsid w:val="00AF69E6"/>
    <w:rsid w:val="00AF6A12"/>
    <w:rsid w:val="00AF6AA7"/>
    <w:rsid w:val="00AF6B6F"/>
    <w:rsid w:val="00AF6B9A"/>
    <w:rsid w:val="00AF6C52"/>
    <w:rsid w:val="00AF6C75"/>
    <w:rsid w:val="00AF6CA5"/>
    <w:rsid w:val="00AF6D57"/>
    <w:rsid w:val="00AF6EC5"/>
    <w:rsid w:val="00AF6FBA"/>
    <w:rsid w:val="00AF7094"/>
    <w:rsid w:val="00AF70C8"/>
    <w:rsid w:val="00AF7105"/>
    <w:rsid w:val="00AF7182"/>
    <w:rsid w:val="00AF71C4"/>
    <w:rsid w:val="00AF71C7"/>
    <w:rsid w:val="00AF71E2"/>
    <w:rsid w:val="00AF71E4"/>
    <w:rsid w:val="00AF736F"/>
    <w:rsid w:val="00AF746A"/>
    <w:rsid w:val="00AF74B3"/>
    <w:rsid w:val="00AF74C3"/>
    <w:rsid w:val="00AF752D"/>
    <w:rsid w:val="00AF7592"/>
    <w:rsid w:val="00AF7593"/>
    <w:rsid w:val="00AF76FC"/>
    <w:rsid w:val="00AF779E"/>
    <w:rsid w:val="00AF78C5"/>
    <w:rsid w:val="00AF790C"/>
    <w:rsid w:val="00AF7990"/>
    <w:rsid w:val="00AF7AF3"/>
    <w:rsid w:val="00AF7B65"/>
    <w:rsid w:val="00AF7C67"/>
    <w:rsid w:val="00AF7C85"/>
    <w:rsid w:val="00AF7CC8"/>
    <w:rsid w:val="00AF7DDC"/>
    <w:rsid w:val="00AF7E71"/>
    <w:rsid w:val="00AF7FFC"/>
    <w:rsid w:val="00B00044"/>
    <w:rsid w:val="00B00083"/>
    <w:rsid w:val="00B000EC"/>
    <w:rsid w:val="00B00143"/>
    <w:rsid w:val="00B00198"/>
    <w:rsid w:val="00B00199"/>
    <w:rsid w:val="00B001C7"/>
    <w:rsid w:val="00B001FC"/>
    <w:rsid w:val="00B002C4"/>
    <w:rsid w:val="00B0031F"/>
    <w:rsid w:val="00B003D7"/>
    <w:rsid w:val="00B00516"/>
    <w:rsid w:val="00B0052A"/>
    <w:rsid w:val="00B006D7"/>
    <w:rsid w:val="00B00711"/>
    <w:rsid w:val="00B007BC"/>
    <w:rsid w:val="00B008A9"/>
    <w:rsid w:val="00B00915"/>
    <w:rsid w:val="00B009F3"/>
    <w:rsid w:val="00B00C58"/>
    <w:rsid w:val="00B00C9A"/>
    <w:rsid w:val="00B00F38"/>
    <w:rsid w:val="00B00F70"/>
    <w:rsid w:val="00B00F7F"/>
    <w:rsid w:val="00B00FAC"/>
    <w:rsid w:val="00B01125"/>
    <w:rsid w:val="00B011DF"/>
    <w:rsid w:val="00B013A4"/>
    <w:rsid w:val="00B0150A"/>
    <w:rsid w:val="00B0150E"/>
    <w:rsid w:val="00B016B3"/>
    <w:rsid w:val="00B016F0"/>
    <w:rsid w:val="00B01746"/>
    <w:rsid w:val="00B018AB"/>
    <w:rsid w:val="00B018D8"/>
    <w:rsid w:val="00B018E6"/>
    <w:rsid w:val="00B01A2B"/>
    <w:rsid w:val="00B01AD9"/>
    <w:rsid w:val="00B01AEA"/>
    <w:rsid w:val="00B01B08"/>
    <w:rsid w:val="00B01B21"/>
    <w:rsid w:val="00B01B47"/>
    <w:rsid w:val="00B01BDA"/>
    <w:rsid w:val="00B01C4E"/>
    <w:rsid w:val="00B01D77"/>
    <w:rsid w:val="00B01EA4"/>
    <w:rsid w:val="00B0203D"/>
    <w:rsid w:val="00B020E4"/>
    <w:rsid w:val="00B02304"/>
    <w:rsid w:val="00B024DA"/>
    <w:rsid w:val="00B025C7"/>
    <w:rsid w:val="00B0266B"/>
    <w:rsid w:val="00B02743"/>
    <w:rsid w:val="00B0286D"/>
    <w:rsid w:val="00B028B3"/>
    <w:rsid w:val="00B02903"/>
    <w:rsid w:val="00B0298E"/>
    <w:rsid w:val="00B029B5"/>
    <w:rsid w:val="00B02AFF"/>
    <w:rsid w:val="00B02B0C"/>
    <w:rsid w:val="00B02C79"/>
    <w:rsid w:val="00B02CBD"/>
    <w:rsid w:val="00B02CC5"/>
    <w:rsid w:val="00B02DA2"/>
    <w:rsid w:val="00B02E1A"/>
    <w:rsid w:val="00B02E4E"/>
    <w:rsid w:val="00B02E54"/>
    <w:rsid w:val="00B02EC6"/>
    <w:rsid w:val="00B02F03"/>
    <w:rsid w:val="00B02FD2"/>
    <w:rsid w:val="00B03197"/>
    <w:rsid w:val="00B03350"/>
    <w:rsid w:val="00B0357B"/>
    <w:rsid w:val="00B036D1"/>
    <w:rsid w:val="00B0371C"/>
    <w:rsid w:val="00B037B1"/>
    <w:rsid w:val="00B037EA"/>
    <w:rsid w:val="00B0380D"/>
    <w:rsid w:val="00B03831"/>
    <w:rsid w:val="00B0385F"/>
    <w:rsid w:val="00B03911"/>
    <w:rsid w:val="00B03923"/>
    <w:rsid w:val="00B03A28"/>
    <w:rsid w:val="00B03A9B"/>
    <w:rsid w:val="00B03B2D"/>
    <w:rsid w:val="00B03DB5"/>
    <w:rsid w:val="00B03DF9"/>
    <w:rsid w:val="00B03EE7"/>
    <w:rsid w:val="00B03F05"/>
    <w:rsid w:val="00B03F83"/>
    <w:rsid w:val="00B0408B"/>
    <w:rsid w:val="00B04224"/>
    <w:rsid w:val="00B0438B"/>
    <w:rsid w:val="00B0442A"/>
    <w:rsid w:val="00B04515"/>
    <w:rsid w:val="00B045B6"/>
    <w:rsid w:val="00B045EB"/>
    <w:rsid w:val="00B04603"/>
    <w:rsid w:val="00B04623"/>
    <w:rsid w:val="00B047A1"/>
    <w:rsid w:val="00B04835"/>
    <w:rsid w:val="00B0493F"/>
    <w:rsid w:val="00B04A02"/>
    <w:rsid w:val="00B04A24"/>
    <w:rsid w:val="00B04B85"/>
    <w:rsid w:val="00B04F55"/>
    <w:rsid w:val="00B04F9D"/>
    <w:rsid w:val="00B04FC8"/>
    <w:rsid w:val="00B050BA"/>
    <w:rsid w:val="00B05469"/>
    <w:rsid w:val="00B05575"/>
    <w:rsid w:val="00B055B1"/>
    <w:rsid w:val="00B0570A"/>
    <w:rsid w:val="00B057A9"/>
    <w:rsid w:val="00B057D5"/>
    <w:rsid w:val="00B0580B"/>
    <w:rsid w:val="00B05984"/>
    <w:rsid w:val="00B05B0E"/>
    <w:rsid w:val="00B05B47"/>
    <w:rsid w:val="00B05BE8"/>
    <w:rsid w:val="00B05C38"/>
    <w:rsid w:val="00B05C8F"/>
    <w:rsid w:val="00B05DE5"/>
    <w:rsid w:val="00B05E05"/>
    <w:rsid w:val="00B060F2"/>
    <w:rsid w:val="00B06148"/>
    <w:rsid w:val="00B061A9"/>
    <w:rsid w:val="00B062CE"/>
    <w:rsid w:val="00B06369"/>
    <w:rsid w:val="00B06394"/>
    <w:rsid w:val="00B063A5"/>
    <w:rsid w:val="00B063A6"/>
    <w:rsid w:val="00B063E2"/>
    <w:rsid w:val="00B06401"/>
    <w:rsid w:val="00B064A9"/>
    <w:rsid w:val="00B06530"/>
    <w:rsid w:val="00B06579"/>
    <w:rsid w:val="00B0660D"/>
    <w:rsid w:val="00B06649"/>
    <w:rsid w:val="00B06697"/>
    <w:rsid w:val="00B066B8"/>
    <w:rsid w:val="00B066E1"/>
    <w:rsid w:val="00B06708"/>
    <w:rsid w:val="00B0672C"/>
    <w:rsid w:val="00B068AC"/>
    <w:rsid w:val="00B068CB"/>
    <w:rsid w:val="00B068D7"/>
    <w:rsid w:val="00B0699B"/>
    <w:rsid w:val="00B069AD"/>
    <w:rsid w:val="00B069F3"/>
    <w:rsid w:val="00B06A46"/>
    <w:rsid w:val="00B06A6C"/>
    <w:rsid w:val="00B06B90"/>
    <w:rsid w:val="00B06BB7"/>
    <w:rsid w:val="00B06C1A"/>
    <w:rsid w:val="00B06C8B"/>
    <w:rsid w:val="00B06CAF"/>
    <w:rsid w:val="00B06E51"/>
    <w:rsid w:val="00B06E5A"/>
    <w:rsid w:val="00B06E7F"/>
    <w:rsid w:val="00B06EA6"/>
    <w:rsid w:val="00B06F1E"/>
    <w:rsid w:val="00B06F3F"/>
    <w:rsid w:val="00B06FB7"/>
    <w:rsid w:val="00B06FDE"/>
    <w:rsid w:val="00B07097"/>
    <w:rsid w:val="00B070CB"/>
    <w:rsid w:val="00B070F4"/>
    <w:rsid w:val="00B0727D"/>
    <w:rsid w:val="00B073CB"/>
    <w:rsid w:val="00B074C5"/>
    <w:rsid w:val="00B07555"/>
    <w:rsid w:val="00B07557"/>
    <w:rsid w:val="00B07562"/>
    <w:rsid w:val="00B0758B"/>
    <w:rsid w:val="00B07641"/>
    <w:rsid w:val="00B07733"/>
    <w:rsid w:val="00B077C0"/>
    <w:rsid w:val="00B077ED"/>
    <w:rsid w:val="00B07844"/>
    <w:rsid w:val="00B0786F"/>
    <w:rsid w:val="00B07983"/>
    <w:rsid w:val="00B07B6D"/>
    <w:rsid w:val="00B07C16"/>
    <w:rsid w:val="00B07C3C"/>
    <w:rsid w:val="00B07CCA"/>
    <w:rsid w:val="00B07D49"/>
    <w:rsid w:val="00B07DCC"/>
    <w:rsid w:val="00B07DEC"/>
    <w:rsid w:val="00B07E13"/>
    <w:rsid w:val="00B07E80"/>
    <w:rsid w:val="00B07F10"/>
    <w:rsid w:val="00B07F25"/>
    <w:rsid w:val="00B07F31"/>
    <w:rsid w:val="00B07F7C"/>
    <w:rsid w:val="00B1001B"/>
    <w:rsid w:val="00B100E1"/>
    <w:rsid w:val="00B10119"/>
    <w:rsid w:val="00B10258"/>
    <w:rsid w:val="00B1043B"/>
    <w:rsid w:val="00B1046D"/>
    <w:rsid w:val="00B10504"/>
    <w:rsid w:val="00B10528"/>
    <w:rsid w:val="00B105FF"/>
    <w:rsid w:val="00B10681"/>
    <w:rsid w:val="00B10788"/>
    <w:rsid w:val="00B107BE"/>
    <w:rsid w:val="00B107F9"/>
    <w:rsid w:val="00B1090F"/>
    <w:rsid w:val="00B10AA6"/>
    <w:rsid w:val="00B10B25"/>
    <w:rsid w:val="00B10BE8"/>
    <w:rsid w:val="00B10DFB"/>
    <w:rsid w:val="00B10F30"/>
    <w:rsid w:val="00B10F9E"/>
    <w:rsid w:val="00B10FBD"/>
    <w:rsid w:val="00B1110E"/>
    <w:rsid w:val="00B1114F"/>
    <w:rsid w:val="00B11257"/>
    <w:rsid w:val="00B112F0"/>
    <w:rsid w:val="00B113B9"/>
    <w:rsid w:val="00B11406"/>
    <w:rsid w:val="00B11424"/>
    <w:rsid w:val="00B114BC"/>
    <w:rsid w:val="00B114D5"/>
    <w:rsid w:val="00B1151C"/>
    <w:rsid w:val="00B115A9"/>
    <w:rsid w:val="00B1160C"/>
    <w:rsid w:val="00B11612"/>
    <w:rsid w:val="00B116C1"/>
    <w:rsid w:val="00B116E5"/>
    <w:rsid w:val="00B116EC"/>
    <w:rsid w:val="00B11844"/>
    <w:rsid w:val="00B1184E"/>
    <w:rsid w:val="00B11851"/>
    <w:rsid w:val="00B118CF"/>
    <w:rsid w:val="00B118FB"/>
    <w:rsid w:val="00B11969"/>
    <w:rsid w:val="00B1198E"/>
    <w:rsid w:val="00B11991"/>
    <w:rsid w:val="00B119A6"/>
    <w:rsid w:val="00B11A67"/>
    <w:rsid w:val="00B11ADF"/>
    <w:rsid w:val="00B11B12"/>
    <w:rsid w:val="00B11CBB"/>
    <w:rsid w:val="00B11F32"/>
    <w:rsid w:val="00B11F48"/>
    <w:rsid w:val="00B12047"/>
    <w:rsid w:val="00B12088"/>
    <w:rsid w:val="00B120BE"/>
    <w:rsid w:val="00B12129"/>
    <w:rsid w:val="00B121B6"/>
    <w:rsid w:val="00B12211"/>
    <w:rsid w:val="00B1238B"/>
    <w:rsid w:val="00B124C7"/>
    <w:rsid w:val="00B1259C"/>
    <w:rsid w:val="00B12659"/>
    <w:rsid w:val="00B12729"/>
    <w:rsid w:val="00B127F7"/>
    <w:rsid w:val="00B12878"/>
    <w:rsid w:val="00B129D1"/>
    <w:rsid w:val="00B129DD"/>
    <w:rsid w:val="00B12A15"/>
    <w:rsid w:val="00B12BBE"/>
    <w:rsid w:val="00B12C1A"/>
    <w:rsid w:val="00B12CC8"/>
    <w:rsid w:val="00B12D51"/>
    <w:rsid w:val="00B12E00"/>
    <w:rsid w:val="00B12F7E"/>
    <w:rsid w:val="00B13057"/>
    <w:rsid w:val="00B130CC"/>
    <w:rsid w:val="00B130D0"/>
    <w:rsid w:val="00B13194"/>
    <w:rsid w:val="00B132B5"/>
    <w:rsid w:val="00B132F0"/>
    <w:rsid w:val="00B13360"/>
    <w:rsid w:val="00B13377"/>
    <w:rsid w:val="00B1337F"/>
    <w:rsid w:val="00B133D5"/>
    <w:rsid w:val="00B13464"/>
    <w:rsid w:val="00B134CC"/>
    <w:rsid w:val="00B134D7"/>
    <w:rsid w:val="00B134D9"/>
    <w:rsid w:val="00B135D7"/>
    <w:rsid w:val="00B1364D"/>
    <w:rsid w:val="00B13707"/>
    <w:rsid w:val="00B13797"/>
    <w:rsid w:val="00B138BE"/>
    <w:rsid w:val="00B138C2"/>
    <w:rsid w:val="00B139B3"/>
    <w:rsid w:val="00B13A08"/>
    <w:rsid w:val="00B13BDC"/>
    <w:rsid w:val="00B13BFA"/>
    <w:rsid w:val="00B13C3E"/>
    <w:rsid w:val="00B13D5B"/>
    <w:rsid w:val="00B13DE7"/>
    <w:rsid w:val="00B13E19"/>
    <w:rsid w:val="00B13F4C"/>
    <w:rsid w:val="00B140C4"/>
    <w:rsid w:val="00B1414D"/>
    <w:rsid w:val="00B14151"/>
    <w:rsid w:val="00B142CF"/>
    <w:rsid w:val="00B14304"/>
    <w:rsid w:val="00B1435E"/>
    <w:rsid w:val="00B14412"/>
    <w:rsid w:val="00B144A0"/>
    <w:rsid w:val="00B144D8"/>
    <w:rsid w:val="00B14615"/>
    <w:rsid w:val="00B14637"/>
    <w:rsid w:val="00B146C0"/>
    <w:rsid w:val="00B146DC"/>
    <w:rsid w:val="00B1482D"/>
    <w:rsid w:val="00B148BA"/>
    <w:rsid w:val="00B14B49"/>
    <w:rsid w:val="00B14B82"/>
    <w:rsid w:val="00B14C7B"/>
    <w:rsid w:val="00B14C9D"/>
    <w:rsid w:val="00B14CF5"/>
    <w:rsid w:val="00B14D7E"/>
    <w:rsid w:val="00B14DAF"/>
    <w:rsid w:val="00B14F2E"/>
    <w:rsid w:val="00B14F9A"/>
    <w:rsid w:val="00B14FE0"/>
    <w:rsid w:val="00B15011"/>
    <w:rsid w:val="00B1505A"/>
    <w:rsid w:val="00B15064"/>
    <w:rsid w:val="00B150A2"/>
    <w:rsid w:val="00B152CF"/>
    <w:rsid w:val="00B15410"/>
    <w:rsid w:val="00B15645"/>
    <w:rsid w:val="00B15694"/>
    <w:rsid w:val="00B156E4"/>
    <w:rsid w:val="00B156E9"/>
    <w:rsid w:val="00B156F7"/>
    <w:rsid w:val="00B15841"/>
    <w:rsid w:val="00B15862"/>
    <w:rsid w:val="00B15957"/>
    <w:rsid w:val="00B159C0"/>
    <w:rsid w:val="00B15AF0"/>
    <w:rsid w:val="00B15BBA"/>
    <w:rsid w:val="00B15CDA"/>
    <w:rsid w:val="00B15DF8"/>
    <w:rsid w:val="00B15EF4"/>
    <w:rsid w:val="00B16240"/>
    <w:rsid w:val="00B163B8"/>
    <w:rsid w:val="00B163FC"/>
    <w:rsid w:val="00B16494"/>
    <w:rsid w:val="00B16602"/>
    <w:rsid w:val="00B166FC"/>
    <w:rsid w:val="00B167D9"/>
    <w:rsid w:val="00B168EB"/>
    <w:rsid w:val="00B169CD"/>
    <w:rsid w:val="00B169E9"/>
    <w:rsid w:val="00B16A2E"/>
    <w:rsid w:val="00B16A47"/>
    <w:rsid w:val="00B16AF2"/>
    <w:rsid w:val="00B16B58"/>
    <w:rsid w:val="00B16E3E"/>
    <w:rsid w:val="00B16EB2"/>
    <w:rsid w:val="00B16ED4"/>
    <w:rsid w:val="00B16EDF"/>
    <w:rsid w:val="00B17019"/>
    <w:rsid w:val="00B17086"/>
    <w:rsid w:val="00B1717D"/>
    <w:rsid w:val="00B1718E"/>
    <w:rsid w:val="00B171A3"/>
    <w:rsid w:val="00B171B8"/>
    <w:rsid w:val="00B171E3"/>
    <w:rsid w:val="00B172B2"/>
    <w:rsid w:val="00B172F2"/>
    <w:rsid w:val="00B17307"/>
    <w:rsid w:val="00B174D7"/>
    <w:rsid w:val="00B17555"/>
    <w:rsid w:val="00B175B3"/>
    <w:rsid w:val="00B175BF"/>
    <w:rsid w:val="00B176C3"/>
    <w:rsid w:val="00B176CC"/>
    <w:rsid w:val="00B1771A"/>
    <w:rsid w:val="00B1774C"/>
    <w:rsid w:val="00B177B4"/>
    <w:rsid w:val="00B17810"/>
    <w:rsid w:val="00B178CF"/>
    <w:rsid w:val="00B17B45"/>
    <w:rsid w:val="00B17D56"/>
    <w:rsid w:val="00B17EB1"/>
    <w:rsid w:val="00B17EB2"/>
    <w:rsid w:val="00B2006E"/>
    <w:rsid w:val="00B2007D"/>
    <w:rsid w:val="00B200EE"/>
    <w:rsid w:val="00B20129"/>
    <w:rsid w:val="00B201BF"/>
    <w:rsid w:val="00B201D8"/>
    <w:rsid w:val="00B20227"/>
    <w:rsid w:val="00B202B4"/>
    <w:rsid w:val="00B202EA"/>
    <w:rsid w:val="00B20382"/>
    <w:rsid w:val="00B203E6"/>
    <w:rsid w:val="00B203ED"/>
    <w:rsid w:val="00B204A4"/>
    <w:rsid w:val="00B204AF"/>
    <w:rsid w:val="00B2063E"/>
    <w:rsid w:val="00B208FC"/>
    <w:rsid w:val="00B209D3"/>
    <w:rsid w:val="00B209F1"/>
    <w:rsid w:val="00B20AD7"/>
    <w:rsid w:val="00B20B03"/>
    <w:rsid w:val="00B20B71"/>
    <w:rsid w:val="00B20C2C"/>
    <w:rsid w:val="00B20CBC"/>
    <w:rsid w:val="00B20CE5"/>
    <w:rsid w:val="00B20D88"/>
    <w:rsid w:val="00B20D9C"/>
    <w:rsid w:val="00B20DB1"/>
    <w:rsid w:val="00B20DB5"/>
    <w:rsid w:val="00B20DB7"/>
    <w:rsid w:val="00B20E03"/>
    <w:rsid w:val="00B20E22"/>
    <w:rsid w:val="00B20EE0"/>
    <w:rsid w:val="00B2103B"/>
    <w:rsid w:val="00B21088"/>
    <w:rsid w:val="00B210A3"/>
    <w:rsid w:val="00B212B0"/>
    <w:rsid w:val="00B21387"/>
    <w:rsid w:val="00B2139D"/>
    <w:rsid w:val="00B214F4"/>
    <w:rsid w:val="00B215AB"/>
    <w:rsid w:val="00B216E1"/>
    <w:rsid w:val="00B21782"/>
    <w:rsid w:val="00B21814"/>
    <w:rsid w:val="00B21922"/>
    <w:rsid w:val="00B219A6"/>
    <w:rsid w:val="00B219BB"/>
    <w:rsid w:val="00B21ADE"/>
    <w:rsid w:val="00B21B49"/>
    <w:rsid w:val="00B21D31"/>
    <w:rsid w:val="00B21DE0"/>
    <w:rsid w:val="00B21F40"/>
    <w:rsid w:val="00B21FC4"/>
    <w:rsid w:val="00B220EF"/>
    <w:rsid w:val="00B221D4"/>
    <w:rsid w:val="00B2234A"/>
    <w:rsid w:val="00B223DB"/>
    <w:rsid w:val="00B22494"/>
    <w:rsid w:val="00B22541"/>
    <w:rsid w:val="00B2257A"/>
    <w:rsid w:val="00B225F6"/>
    <w:rsid w:val="00B226DC"/>
    <w:rsid w:val="00B226F4"/>
    <w:rsid w:val="00B22728"/>
    <w:rsid w:val="00B227A4"/>
    <w:rsid w:val="00B227AF"/>
    <w:rsid w:val="00B227B6"/>
    <w:rsid w:val="00B22810"/>
    <w:rsid w:val="00B22878"/>
    <w:rsid w:val="00B22904"/>
    <w:rsid w:val="00B22956"/>
    <w:rsid w:val="00B22AAA"/>
    <w:rsid w:val="00B22AEA"/>
    <w:rsid w:val="00B22B8A"/>
    <w:rsid w:val="00B22BF0"/>
    <w:rsid w:val="00B22C2D"/>
    <w:rsid w:val="00B22E2B"/>
    <w:rsid w:val="00B2311D"/>
    <w:rsid w:val="00B23228"/>
    <w:rsid w:val="00B23304"/>
    <w:rsid w:val="00B2330D"/>
    <w:rsid w:val="00B23316"/>
    <w:rsid w:val="00B2338A"/>
    <w:rsid w:val="00B2339A"/>
    <w:rsid w:val="00B233B2"/>
    <w:rsid w:val="00B233C6"/>
    <w:rsid w:val="00B23405"/>
    <w:rsid w:val="00B23480"/>
    <w:rsid w:val="00B234FB"/>
    <w:rsid w:val="00B23531"/>
    <w:rsid w:val="00B23564"/>
    <w:rsid w:val="00B235EC"/>
    <w:rsid w:val="00B23681"/>
    <w:rsid w:val="00B23830"/>
    <w:rsid w:val="00B23886"/>
    <w:rsid w:val="00B238A0"/>
    <w:rsid w:val="00B23925"/>
    <w:rsid w:val="00B2397C"/>
    <w:rsid w:val="00B23A3D"/>
    <w:rsid w:val="00B23A75"/>
    <w:rsid w:val="00B23BBE"/>
    <w:rsid w:val="00B23EDE"/>
    <w:rsid w:val="00B24007"/>
    <w:rsid w:val="00B2401C"/>
    <w:rsid w:val="00B24044"/>
    <w:rsid w:val="00B24091"/>
    <w:rsid w:val="00B240A4"/>
    <w:rsid w:val="00B24218"/>
    <w:rsid w:val="00B24241"/>
    <w:rsid w:val="00B243A6"/>
    <w:rsid w:val="00B2440B"/>
    <w:rsid w:val="00B2454E"/>
    <w:rsid w:val="00B245F2"/>
    <w:rsid w:val="00B2460F"/>
    <w:rsid w:val="00B249A9"/>
    <w:rsid w:val="00B249D9"/>
    <w:rsid w:val="00B24A49"/>
    <w:rsid w:val="00B24B9E"/>
    <w:rsid w:val="00B24BC6"/>
    <w:rsid w:val="00B24BEC"/>
    <w:rsid w:val="00B24C02"/>
    <w:rsid w:val="00B24C60"/>
    <w:rsid w:val="00B24C83"/>
    <w:rsid w:val="00B24D96"/>
    <w:rsid w:val="00B24E2D"/>
    <w:rsid w:val="00B24E3B"/>
    <w:rsid w:val="00B24E4A"/>
    <w:rsid w:val="00B24E8F"/>
    <w:rsid w:val="00B24EE6"/>
    <w:rsid w:val="00B24F53"/>
    <w:rsid w:val="00B24F86"/>
    <w:rsid w:val="00B25041"/>
    <w:rsid w:val="00B25310"/>
    <w:rsid w:val="00B2534D"/>
    <w:rsid w:val="00B25387"/>
    <w:rsid w:val="00B253A1"/>
    <w:rsid w:val="00B253D8"/>
    <w:rsid w:val="00B253FE"/>
    <w:rsid w:val="00B2542E"/>
    <w:rsid w:val="00B254B1"/>
    <w:rsid w:val="00B254BD"/>
    <w:rsid w:val="00B255ED"/>
    <w:rsid w:val="00B25640"/>
    <w:rsid w:val="00B25665"/>
    <w:rsid w:val="00B256BF"/>
    <w:rsid w:val="00B257A2"/>
    <w:rsid w:val="00B257D6"/>
    <w:rsid w:val="00B25826"/>
    <w:rsid w:val="00B258D1"/>
    <w:rsid w:val="00B258F8"/>
    <w:rsid w:val="00B25949"/>
    <w:rsid w:val="00B259BE"/>
    <w:rsid w:val="00B25A71"/>
    <w:rsid w:val="00B25AAA"/>
    <w:rsid w:val="00B25ABB"/>
    <w:rsid w:val="00B25ACD"/>
    <w:rsid w:val="00B25B9E"/>
    <w:rsid w:val="00B25BEB"/>
    <w:rsid w:val="00B25C02"/>
    <w:rsid w:val="00B25C0E"/>
    <w:rsid w:val="00B25C58"/>
    <w:rsid w:val="00B25CC1"/>
    <w:rsid w:val="00B2617A"/>
    <w:rsid w:val="00B261B8"/>
    <w:rsid w:val="00B2626F"/>
    <w:rsid w:val="00B262AB"/>
    <w:rsid w:val="00B26474"/>
    <w:rsid w:val="00B264C1"/>
    <w:rsid w:val="00B26590"/>
    <w:rsid w:val="00B265AD"/>
    <w:rsid w:val="00B265AE"/>
    <w:rsid w:val="00B266AE"/>
    <w:rsid w:val="00B2675E"/>
    <w:rsid w:val="00B26835"/>
    <w:rsid w:val="00B268AD"/>
    <w:rsid w:val="00B269A0"/>
    <w:rsid w:val="00B26AF3"/>
    <w:rsid w:val="00B26B08"/>
    <w:rsid w:val="00B26BD1"/>
    <w:rsid w:val="00B26BE2"/>
    <w:rsid w:val="00B26CCC"/>
    <w:rsid w:val="00B26CDC"/>
    <w:rsid w:val="00B26CED"/>
    <w:rsid w:val="00B26D96"/>
    <w:rsid w:val="00B26E35"/>
    <w:rsid w:val="00B26FCE"/>
    <w:rsid w:val="00B2701E"/>
    <w:rsid w:val="00B27146"/>
    <w:rsid w:val="00B272D2"/>
    <w:rsid w:val="00B272EC"/>
    <w:rsid w:val="00B273B5"/>
    <w:rsid w:val="00B273ED"/>
    <w:rsid w:val="00B273FA"/>
    <w:rsid w:val="00B2743C"/>
    <w:rsid w:val="00B274AC"/>
    <w:rsid w:val="00B2754A"/>
    <w:rsid w:val="00B27643"/>
    <w:rsid w:val="00B276A2"/>
    <w:rsid w:val="00B2771D"/>
    <w:rsid w:val="00B2775D"/>
    <w:rsid w:val="00B278BE"/>
    <w:rsid w:val="00B27975"/>
    <w:rsid w:val="00B27A0A"/>
    <w:rsid w:val="00B27C69"/>
    <w:rsid w:val="00B27C9D"/>
    <w:rsid w:val="00B27F9D"/>
    <w:rsid w:val="00B3011B"/>
    <w:rsid w:val="00B30125"/>
    <w:rsid w:val="00B30178"/>
    <w:rsid w:val="00B30238"/>
    <w:rsid w:val="00B30245"/>
    <w:rsid w:val="00B30348"/>
    <w:rsid w:val="00B303A9"/>
    <w:rsid w:val="00B3056C"/>
    <w:rsid w:val="00B30616"/>
    <w:rsid w:val="00B3070F"/>
    <w:rsid w:val="00B30765"/>
    <w:rsid w:val="00B3080F"/>
    <w:rsid w:val="00B30821"/>
    <w:rsid w:val="00B308CA"/>
    <w:rsid w:val="00B309FC"/>
    <w:rsid w:val="00B30AD7"/>
    <w:rsid w:val="00B30CE1"/>
    <w:rsid w:val="00B30D5F"/>
    <w:rsid w:val="00B30E5D"/>
    <w:rsid w:val="00B30FC9"/>
    <w:rsid w:val="00B311AA"/>
    <w:rsid w:val="00B311B7"/>
    <w:rsid w:val="00B311D6"/>
    <w:rsid w:val="00B3122A"/>
    <w:rsid w:val="00B312F3"/>
    <w:rsid w:val="00B3141D"/>
    <w:rsid w:val="00B3143B"/>
    <w:rsid w:val="00B31440"/>
    <w:rsid w:val="00B314BA"/>
    <w:rsid w:val="00B314C5"/>
    <w:rsid w:val="00B3169E"/>
    <w:rsid w:val="00B31740"/>
    <w:rsid w:val="00B317B4"/>
    <w:rsid w:val="00B317F9"/>
    <w:rsid w:val="00B31804"/>
    <w:rsid w:val="00B31829"/>
    <w:rsid w:val="00B318C7"/>
    <w:rsid w:val="00B31925"/>
    <w:rsid w:val="00B3197A"/>
    <w:rsid w:val="00B319C9"/>
    <w:rsid w:val="00B31C1D"/>
    <w:rsid w:val="00B31C36"/>
    <w:rsid w:val="00B31CD5"/>
    <w:rsid w:val="00B31D95"/>
    <w:rsid w:val="00B31DB8"/>
    <w:rsid w:val="00B31DCD"/>
    <w:rsid w:val="00B31DEF"/>
    <w:rsid w:val="00B31E4F"/>
    <w:rsid w:val="00B32014"/>
    <w:rsid w:val="00B32052"/>
    <w:rsid w:val="00B32192"/>
    <w:rsid w:val="00B3219A"/>
    <w:rsid w:val="00B321FB"/>
    <w:rsid w:val="00B3225C"/>
    <w:rsid w:val="00B32354"/>
    <w:rsid w:val="00B323DC"/>
    <w:rsid w:val="00B32588"/>
    <w:rsid w:val="00B32616"/>
    <w:rsid w:val="00B32647"/>
    <w:rsid w:val="00B32873"/>
    <w:rsid w:val="00B328AD"/>
    <w:rsid w:val="00B3297E"/>
    <w:rsid w:val="00B329EC"/>
    <w:rsid w:val="00B32B72"/>
    <w:rsid w:val="00B32B74"/>
    <w:rsid w:val="00B32B9B"/>
    <w:rsid w:val="00B32BF5"/>
    <w:rsid w:val="00B32CB0"/>
    <w:rsid w:val="00B32E18"/>
    <w:rsid w:val="00B32E32"/>
    <w:rsid w:val="00B32E37"/>
    <w:rsid w:val="00B32E6F"/>
    <w:rsid w:val="00B32EC0"/>
    <w:rsid w:val="00B32F20"/>
    <w:rsid w:val="00B32F5D"/>
    <w:rsid w:val="00B3305D"/>
    <w:rsid w:val="00B330BD"/>
    <w:rsid w:val="00B3322F"/>
    <w:rsid w:val="00B33230"/>
    <w:rsid w:val="00B332E9"/>
    <w:rsid w:val="00B3342F"/>
    <w:rsid w:val="00B3358F"/>
    <w:rsid w:val="00B335CE"/>
    <w:rsid w:val="00B335E1"/>
    <w:rsid w:val="00B33620"/>
    <w:rsid w:val="00B3364D"/>
    <w:rsid w:val="00B336B4"/>
    <w:rsid w:val="00B336E9"/>
    <w:rsid w:val="00B338D8"/>
    <w:rsid w:val="00B33954"/>
    <w:rsid w:val="00B339F1"/>
    <w:rsid w:val="00B33A1D"/>
    <w:rsid w:val="00B33B6F"/>
    <w:rsid w:val="00B33C1D"/>
    <w:rsid w:val="00B33C51"/>
    <w:rsid w:val="00B33C7B"/>
    <w:rsid w:val="00B33CB7"/>
    <w:rsid w:val="00B33D28"/>
    <w:rsid w:val="00B33E1C"/>
    <w:rsid w:val="00B33E6F"/>
    <w:rsid w:val="00B33EC5"/>
    <w:rsid w:val="00B33F5B"/>
    <w:rsid w:val="00B33FCA"/>
    <w:rsid w:val="00B34125"/>
    <w:rsid w:val="00B3415F"/>
    <w:rsid w:val="00B34471"/>
    <w:rsid w:val="00B344DB"/>
    <w:rsid w:val="00B34507"/>
    <w:rsid w:val="00B3476E"/>
    <w:rsid w:val="00B3490D"/>
    <w:rsid w:val="00B349EB"/>
    <w:rsid w:val="00B34A93"/>
    <w:rsid w:val="00B34AB1"/>
    <w:rsid w:val="00B34BF8"/>
    <w:rsid w:val="00B34C99"/>
    <w:rsid w:val="00B34CD1"/>
    <w:rsid w:val="00B34D3F"/>
    <w:rsid w:val="00B34D92"/>
    <w:rsid w:val="00B34E38"/>
    <w:rsid w:val="00B34E7B"/>
    <w:rsid w:val="00B34EA7"/>
    <w:rsid w:val="00B34EEF"/>
    <w:rsid w:val="00B34F42"/>
    <w:rsid w:val="00B34F76"/>
    <w:rsid w:val="00B350B3"/>
    <w:rsid w:val="00B3516F"/>
    <w:rsid w:val="00B35193"/>
    <w:rsid w:val="00B35195"/>
    <w:rsid w:val="00B352C2"/>
    <w:rsid w:val="00B352FA"/>
    <w:rsid w:val="00B354FC"/>
    <w:rsid w:val="00B3550E"/>
    <w:rsid w:val="00B35645"/>
    <w:rsid w:val="00B357BB"/>
    <w:rsid w:val="00B35955"/>
    <w:rsid w:val="00B359C4"/>
    <w:rsid w:val="00B35AC0"/>
    <w:rsid w:val="00B35ADC"/>
    <w:rsid w:val="00B35AE9"/>
    <w:rsid w:val="00B35B06"/>
    <w:rsid w:val="00B35C70"/>
    <w:rsid w:val="00B35CF8"/>
    <w:rsid w:val="00B35D28"/>
    <w:rsid w:val="00B35FB2"/>
    <w:rsid w:val="00B3607E"/>
    <w:rsid w:val="00B3608A"/>
    <w:rsid w:val="00B3610A"/>
    <w:rsid w:val="00B36124"/>
    <w:rsid w:val="00B3615A"/>
    <w:rsid w:val="00B362F5"/>
    <w:rsid w:val="00B36358"/>
    <w:rsid w:val="00B36380"/>
    <w:rsid w:val="00B3643C"/>
    <w:rsid w:val="00B3673A"/>
    <w:rsid w:val="00B3678B"/>
    <w:rsid w:val="00B367B0"/>
    <w:rsid w:val="00B367F5"/>
    <w:rsid w:val="00B36832"/>
    <w:rsid w:val="00B368C2"/>
    <w:rsid w:val="00B36AE1"/>
    <w:rsid w:val="00B36B0E"/>
    <w:rsid w:val="00B36B5C"/>
    <w:rsid w:val="00B36D1B"/>
    <w:rsid w:val="00B36D31"/>
    <w:rsid w:val="00B36EAF"/>
    <w:rsid w:val="00B36F2F"/>
    <w:rsid w:val="00B37002"/>
    <w:rsid w:val="00B37037"/>
    <w:rsid w:val="00B3707D"/>
    <w:rsid w:val="00B370E0"/>
    <w:rsid w:val="00B3723E"/>
    <w:rsid w:val="00B372F3"/>
    <w:rsid w:val="00B37434"/>
    <w:rsid w:val="00B3747E"/>
    <w:rsid w:val="00B3751B"/>
    <w:rsid w:val="00B377F4"/>
    <w:rsid w:val="00B378CA"/>
    <w:rsid w:val="00B379BF"/>
    <w:rsid w:val="00B37AC4"/>
    <w:rsid w:val="00B37C1A"/>
    <w:rsid w:val="00B37C38"/>
    <w:rsid w:val="00B37C78"/>
    <w:rsid w:val="00B37C7C"/>
    <w:rsid w:val="00B37CC2"/>
    <w:rsid w:val="00B37D89"/>
    <w:rsid w:val="00B37E0A"/>
    <w:rsid w:val="00B37E43"/>
    <w:rsid w:val="00B37FC6"/>
    <w:rsid w:val="00B37FF6"/>
    <w:rsid w:val="00B4001B"/>
    <w:rsid w:val="00B4013C"/>
    <w:rsid w:val="00B40240"/>
    <w:rsid w:val="00B4028B"/>
    <w:rsid w:val="00B405E4"/>
    <w:rsid w:val="00B40630"/>
    <w:rsid w:val="00B406B2"/>
    <w:rsid w:val="00B407EB"/>
    <w:rsid w:val="00B408EE"/>
    <w:rsid w:val="00B40984"/>
    <w:rsid w:val="00B409AD"/>
    <w:rsid w:val="00B40A88"/>
    <w:rsid w:val="00B40ADB"/>
    <w:rsid w:val="00B40B50"/>
    <w:rsid w:val="00B40B90"/>
    <w:rsid w:val="00B40BD7"/>
    <w:rsid w:val="00B40BDE"/>
    <w:rsid w:val="00B40BFC"/>
    <w:rsid w:val="00B40C27"/>
    <w:rsid w:val="00B40CC9"/>
    <w:rsid w:val="00B40E66"/>
    <w:rsid w:val="00B40F1F"/>
    <w:rsid w:val="00B40F3E"/>
    <w:rsid w:val="00B40FDC"/>
    <w:rsid w:val="00B41002"/>
    <w:rsid w:val="00B410B3"/>
    <w:rsid w:val="00B410E5"/>
    <w:rsid w:val="00B41264"/>
    <w:rsid w:val="00B4134D"/>
    <w:rsid w:val="00B413D5"/>
    <w:rsid w:val="00B413DE"/>
    <w:rsid w:val="00B41421"/>
    <w:rsid w:val="00B4142B"/>
    <w:rsid w:val="00B4144A"/>
    <w:rsid w:val="00B41534"/>
    <w:rsid w:val="00B41551"/>
    <w:rsid w:val="00B4156B"/>
    <w:rsid w:val="00B415F7"/>
    <w:rsid w:val="00B41608"/>
    <w:rsid w:val="00B4162E"/>
    <w:rsid w:val="00B41674"/>
    <w:rsid w:val="00B41676"/>
    <w:rsid w:val="00B416AE"/>
    <w:rsid w:val="00B4181E"/>
    <w:rsid w:val="00B419C1"/>
    <w:rsid w:val="00B41AE2"/>
    <w:rsid w:val="00B41B28"/>
    <w:rsid w:val="00B41B91"/>
    <w:rsid w:val="00B41BA7"/>
    <w:rsid w:val="00B41C45"/>
    <w:rsid w:val="00B41C62"/>
    <w:rsid w:val="00B41E5C"/>
    <w:rsid w:val="00B41E95"/>
    <w:rsid w:val="00B41F70"/>
    <w:rsid w:val="00B41F7A"/>
    <w:rsid w:val="00B42076"/>
    <w:rsid w:val="00B4208B"/>
    <w:rsid w:val="00B420F2"/>
    <w:rsid w:val="00B4212A"/>
    <w:rsid w:val="00B4220C"/>
    <w:rsid w:val="00B423E6"/>
    <w:rsid w:val="00B425FD"/>
    <w:rsid w:val="00B42623"/>
    <w:rsid w:val="00B426FB"/>
    <w:rsid w:val="00B4278D"/>
    <w:rsid w:val="00B429C5"/>
    <w:rsid w:val="00B42AB2"/>
    <w:rsid w:val="00B42B1A"/>
    <w:rsid w:val="00B42B78"/>
    <w:rsid w:val="00B42BAB"/>
    <w:rsid w:val="00B42BE9"/>
    <w:rsid w:val="00B42E09"/>
    <w:rsid w:val="00B42FB7"/>
    <w:rsid w:val="00B42FF5"/>
    <w:rsid w:val="00B43143"/>
    <w:rsid w:val="00B43146"/>
    <w:rsid w:val="00B43274"/>
    <w:rsid w:val="00B432C4"/>
    <w:rsid w:val="00B433BB"/>
    <w:rsid w:val="00B43445"/>
    <w:rsid w:val="00B4352B"/>
    <w:rsid w:val="00B4359C"/>
    <w:rsid w:val="00B438B5"/>
    <w:rsid w:val="00B438F4"/>
    <w:rsid w:val="00B43918"/>
    <w:rsid w:val="00B4393F"/>
    <w:rsid w:val="00B43975"/>
    <w:rsid w:val="00B43B81"/>
    <w:rsid w:val="00B43BA1"/>
    <w:rsid w:val="00B43C14"/>
    <w:rsid w:val="00B43CAC"/>
    <w:rsid w:val="00B43D3B"/>
    <w:rsid w:val="00B43E03"/>
    <w:rsid w:val="00B43EC9"/>
    <w:rsid w:val="00B43EF3"/>
    <w:rsid w:val="00B43F5C"/>
    <w:rsid w:val="00B44053"/>
    <w:rsid w:val="00B4405E"/>
    <w:rsid w:val="00B44087"/>
    <w:rsid w:val="00B4426F"/>
    <w:rsid w:val="00B443C3"/>
    <w:rsid w:val="00B444A1"/>
    <w:rsid w:val="00B444DC"/>
    <w:rsid w:val="00B444FE"/>
    <w:rsid w:val="00B44515"/>
    <w:rsid w:val="00B44528"/>
    <w:rsid w:val="00B4453F"/>
    <w:rsid w:val="00B44757"/>
    <w:rsid w:val="00B447B7"/>
    <w:rsid w:val="00B447DF"/>
    <w:rsid w:val="00B44818"/>
    <w:rsid w:val="00B4482A"/>
    <w:rsid w:val="00B44898"/>
    <w:rsid w:val="00B44AA0"/>
    <w:rsid w:val="00B44BB4"/>
    <w:rsid w:val="00B44C28"/>
    <w:rsid w:val="00B44CA9"/>
    <w:rsid w:val="00B44CAF"/>
    <w:rsid w:val="00B44CBD"/>
    <w:rsid w:val="00B44E51"/>
    <w:rsid w:val="00B44E62"/>
    <w:rsid w:val="00B44E66"/>
    <w:rsid w:val="00B44F22"/>
    <w:rsid w:val="00B4509F"/>
    <w:rsid w:val="00B450E9"/>
    <w:rsid w:val="00B4519F"/>
    <w:rsid w:val="00B453D4"/>
    <w:rsid w:val="00B453E5"/>
    <w:rsid w:val="00B45429"/>
    <w:rsid w:val="00B4554F"/>
    <w:rsid w:val="00B4555C"/>
    <w:rsid w:val="00B45654"/>
    <w:rsid w:val="00B45722"/>
    <w:rsid w:val="00B457AC"/>
    <w:rsid w:val="00B459CD"/>
    <w:rsid w:val="00B45AD2"/>
    <w:rsid w:val="00B45B4A"/>
    <w:rsid w:val="00B45B93"/>
    <w:rsid w:val="00B45B97"/>
    <w:rsid w:val="00B45BB0"/>
    <w:rsid w:val="00B45BB4"/>
    <w:rsid w:val="00B45C80"/>
    <w:rsid w:val="00B45D34"/>
    <w:rsid w:val="00B45E9C"/>
    <w:rsid w:val="00B460A8"/>
    <w:rsid w:val="00B46253"/>
    <w:rsid w:val="00B4635D"/>
    <w:rsid w:val="00B4639E"/>
    <w:rsid w:val="00B463C2"/>
    <w:rsid w:val="00B46486"/>
    <w:rsid w:val="00B464C3"/>
    <w:rsid w:val="00B4658F"/>
    <w:rsid w:val="00B46768"/>
    <w:rsid w:val="00B467AF"/>
    <w:rsid w:val="00B467BB"/>
    <w:rsid w:val="00B46899"/>
    <w:rsid w:val="00B46969"/>
    <w:rsid w:val="00B469AB"/>
    <w:rsid w:val="00B469E7"/>
    <w:rsid w:val="00B46A30"/>
    <w:rsid w:val="00B46AA2"/>
    <w:rsid w:val="00B46B6B"/>
    <w:rsid w:val="00B46BAA"/>
    <w:rsid w:val="00B46D0E"/>
    <w:rsid w:val="00B46D16"/>
    <w:rsid w:val="00B46D28"/>
    <w:rsid w:val="00B46DE4"/>
    <w:rsid w:val="00B46DEA"/>
    <w:rsid w:val="00B46E62"/>
    <w:rsid w:val="00B46F42"/>
    <w:rsid w:val="00B46FAA"/>
    <w:rsid w:val="00B4708E"/>
    <w:rsid w:val="00B4713F"/>
    <w:rsid w:val="00B47274"/>
    <w:rsid w:val="00B47364"/>
    <w:rsid w:val="00B47384"/>
    <w:rsid w:val="00B473A6"/>
    <w:rsid w:val="00B4740B"/>
    <w:rsid w:val="00B4745B"/>
    <w:rsid w:val="00B4745D"/>
    <w:rsid w:val="00B4750A"/>
    <w:rsid w:val="00B47573"/>
    <w:rsid w:val="00B4758F"/>
    <w:rsid w:val="00B47613"/>
    <w:rsid w:val="00B47747"/>
    <w:rsid w:val="00B47890"/>
    <w:rsid w:val="00B47A00"/>
    <w:rsid w:val="00B47A1D"/>
    <w:rsid w:val="00B47B5F"/>
    <w:rsid w:val="00B47BB1"/>
    <w:rsid w:val="00B47BCD"/>
    <w:rsid w:val="00B47D20"/>
    <w:rsid w:val="00B47D79"/>
    <w:rsid w:val="00B47E8E"/>
    <w:rsid w:val="00B47F47"/>
    <w:rsid w:val="00B47F9A"/>
    <w:rsid w:val="00B47FF0"/>
    <w:rsid w:val="00B50018"/>
    <w:rsid w:val="00B5009C"/>
    <w:rsid w:val="00B5011F"/>
    <w:rsid w:val="00B50178"/>
    <w:rsid w:val="00B5017B"/>
    <w:rsid w:val="00B501DF"/>
    <w:rsid w:val="00B50284"/>
    <w:rsid w:val="00B5033F"/>
    <w:rsid w:val="00B50546"/>
    <w:rsid w:val="00B5058D"/>
    <w:rsid w:val="00B506FD"/>
    <w:rsid w:val="00B50788"/>
    <w:rsid w:val="00B5081A"/>
    <w:rsid w:val="00B508C0"/>
    <w:rsid w:val="00B50900"/>
    <w:rsid w:val="00B5093D"/>
    <w:rsid w:val="00B50A73"/>
    <w:rsid w:val="00B50ACC"/>
    <w:rsid w:val="00B50B02"/>
    <w:rsid w:val="00B50C3E"/>
    <w:rsid w:val="00B50D29"/>
    <w:rsid w:val="00B50EA0"/>
    <w:rsid w:val="00B51002"/>
    <w:rsid w:val="00B510C4"/>
    <w:rsid w:val="00B511F9"/>
    <w:rsid w:val="00B513AC"/>
    <w:rsid w:val="00B513FB"/>
    <w:rsid w:val="00B51509"/>
    <w:rsid w:val="00B5154C"/>
    <w:rsid w:val="00B515FA"/>
    <w:rsid w:val="00B5163D"/>
    <w:rsid w:val="00B516E6"/>
    <w:rsid w:val="00B51A52"/>
    <w:rsid w:val="00B51D10"/>
    <w:rsid w:val="00B51D6F"/>
    <w:rsid w:val="00B51EA7"/>
    <w:rsid w:val="00B51EAE"/>
    <w:rsid w:val="00B51F4B"/>
    <w:rsid w:val="00B51FB5"/>
    <w:rsid w:val="00B5201E"/>
    <w:rsid w:val="00B52098"/>
    <w:rsid w:val="00B5211A"/>
    <w:rsid w:val="00B521DA"/>
    <w:rsid w:val="00B5226C"/>
    <w:rsid w:val="00B522D6"/>
    <w:rsid w:val="00B52451"/>
    <w:rsid w:val="00B5267C"/>
    <w:rsid w:val="00B5268B"/>
    <w:rsid w:val="00B5269E"/>
    <w:rsid w:val="00B526B2"/>
    <w:rsid w:val="00B52741"/>
    <w:rsid w:val="00B52754"/>
    <w:rsid w:val="00B528B0"/>
    <w:rsid w:val="00B52A4B"/>
    <w:rsid w:val="00B52A6C"/>
    <w:rsid w:val="00B52A98"/>
    <w:rsid w:val="00B52AF1"/>
    <w:rsid w:val="00B52B84"/>
    <w:rsid w:val="00B52BDD"/>
    <w:rsid w:val="00B52C56"/>
    <w:rsid w:val="00B52CBB"/>
    <w:rsid w:val="00B52D9F"/>
    <w:rsid w:val="00B52E38"/>
    <w:rsid w:val="00B52E40"/>
    <w:rsid w:val="00B52FE2"/>
    <w:rsid w:val="00B5308E"/>
    <w:rsid w:val="00B530C0"/>
    <w:rsid w:val="00B530FA"/>
    <w:rsid w:val="00B531AD"/>
    <w:rsid w:val="00B53289"/>
    <w:rsid w:val="00B5328E"/>
    <w:rsid w:val="00B532A3"/>
    <w:rsid w:val="00B5330F"/>
    <w:rsid w:val="00B53334"/>
    <w:rsid w:val="00B534DE"/>
    <w:rsid w:val="00B5366B"/>
    <w:rsid w:val="00B53682"/>
    <w:rsid w:val="00B53A9E"/>
    <w:rsid w:val="00B53BB9"/>
    <w:rsid w:val="00B53C0C"/>
    <w:rsid w:val="00B53DA9"/>
    <w:rsid w:val="00B53F28"/>
    <w:rsid w:val="00B53FED"/>
    <w:rsid w:val="00B54037"/>
    <w:rsid w:val="00B541EE"/>
    <w:rsid w:val="00B54211"/>
    <w:rsid w:val="00B5421B"/>
    <w:rsid w:val="00B542A7"/>
    <w:rsid w:val="00B54567"/>
    <w:rsid w:val="00B5456D"/>
    <w:rsid w:val="00B546D5"/>
    <w:rsid w:val="00B5479F"/>
    <w:rsid w:val="00B548D9"/>
    <w:rsid w:val="00B54939"/>
    <w:rsid w:val="00B54A92"/>
    <w:rsid w:val="00B54BA1"/>
    <w:rsid w:val="00B54C16"/>
    <w:rsid w:val="00B54C3E"/>
    <w:rsid w:val="00B54C70"/>
    <w:rsid w:val="00B54E13"/>
    <w:rsid w:val="00B54E45"/>
    <w:rsid w:val="00B54FA8"/>
    <w:rsid w:val="00B552B8"/>
    <w:rsid w:val="00B552F0"/>
    <w:rsid w:val="00B55303"/>
    <w:rsid w:val="00B55354"/>
    <w:rsid w:val="00B5541D"/>
    <w:rsid w:val="00B55562"/>
    <w:rsid w:val="00B555DD"/>
    <w:rsid w:val="00B55665"/>
    <w:rsid w:val="00B5568E"/>
    <w:rsid w:val="00B556EC"/>
    <w:rsid w:val="00B5579C"/>
    <w:rsid w:val="00B557E5"/>
    <w:rsid w:val="00B55838"/>
    <w:rsid w:val="00B558D9"/>
    <w:rsid w:val="00B5594F"/>
    <w:rsid w:val="00B55B3B"/>
    <w:rsid w:val="00B55B74"/>
    <w:rsid w:val="00B55C27"/>
    <w:rsid w:val="00B55C68"/>
    <w:rsid w:val="00B55C6C"/>
    <w:rsid w:val="00B55C9C"/>
    <w:rsid w:val="00B55DD2"/>
    <w:rsid w:val="00B55EBA"/>
    <w:rsid w:val="00B55EBC"/>
    <w:rsid w:val="00B55EF1"/>
    <w:rsid w:val="00B55F96"/>
    <w:rsid w:val="00B56046"/>
    <w:rsid w:val="00B56047"/>
    <w:rsid w:val="00B5608F"/>
    <w:rsid w:val="00B56091"/>
    <w:rsid w:val="00B560BE"/>
    <w:rsid w:val="00B5619E"/>
    <w:rsid w:val="00B561BB"/>
    <w:rsid w:val="00B561F3"/>
    <w:rsid w:val="00B56245"/>
    <w:rsid w:val="00B56298"/>
    <w:rsid w:val="00B56306"/>
    <w:rsid w:val="00B56392"/>
    <w:rsid w:val="00B563E5"/>
    <w:rsid w:val="00B564DE"/>
    <w:rsid w:val="00B564E1"/>
    <w:rsid w:val="00B564E9"/>
    <w:rsid w:val="00B564F8"/>
    <w:rsid w:val="00B56550"/>
    <w:rsid w:val="00B56579"/>
    <w:rsid w:val="00B56586"/>
    <w:rsid w:val="00B56651"/>
    <w:rsid w:val="00B56714"/>
    <w:rsid w:val="00B5674E"/>
    <w:rsid w:val="00B567D5"/>
    <w:rsid w:val="00B56825"/>
    <w:rsid w:val="00B56898"/>
    <w:rsid w:val="00B568FF"/>
    <w:rsid w:val="00B56A6E"/>
    <w:rsid w:val="00B56A74"/>
    <w:rsid w:val="00B56C61"/>
    <w:rsid w:val="00B56C89"/>
    <w:rsid w:val="00B56C8D"/>
    <w:rsid w:val="00B56C99"/>
    <w:rsid w:val="00B56CE4"/>
    <w:rsid w:val="00B56EC1"/>
    <w:rsid w:val="00B56F15"/>
    <w:rsid w:val="00B5708E"/>
    <w:rsid w:val="00B57129"/>
    <w:rsid w:val="00B571D0"/>
    <w:rsid w:val="00B572D2"/>
    <w:rsid w:val="00B57306"/>
    <w:rsid w:val="00B57324"/>
    <w:rsid w:val="00B573A5"/>
    <w:rsid w:val="00B573E2"/>
    <w:rsid w:val="00B57422"/>
    <w:rsid w:val="00B575AA"/>
    <w:rsid w:val="00B57736"/>
    <w:rsid w:val="00B5775A"/>
    <w:rsid w:val="00B577DF"/>
    <w:rsid w:val="00B5781E"/>
    <w:rsid w:val="00B57878"/>
    <w:rsid w:val="00B578D0"/>
    <w:rsid w:val="00B57909"/>
    <w:rsid w:val="00B57966"/>
    <w:rsid w:val="00B57987"/>
    <w:rsid w:val="00B57B1E"/>
    <w:rsid w:val="00B57B99"/>
    <w:rsid w:val="00B57B9B"/>
    <w:rsid w:val="00B57C10"/>
    <w:rsid w:val="00B57C42"/>
    <w:rsid w:val="00B57C73"/>
    <w:rsid w:val="00B57CDA"/>
    <w:rsid w:val="00B57CDE"/>
    <w:rsid w:val="00B57D29"/>
    <w:rsid w:val="00B57E04"/>
    <w:rsid w:val="00B57EBB"/>
    <w:rsid w:val="00B57F64"/>
    <w:rsid w:val="00B59B57"/>
    <w:rsid w:val="00B6008F"/>
    <w:rsid w:val="00B600C3"/>
    <w:rsid w:val="00B60128"/>
    <w:rsid w:val="00B601BB"/>
    <w:rsid w:val="00B602E1"/>
    <w:rsid w:val="00B602E7"/>
    <w:rsid w:val="00B603E4"/>
    <w:rsid w:val="00B6049D"/>
    <w:rsid w:val="00B6050A"/>
    <w:rsid w:val="00B60562"/>
    <w:rsid w:val="00B6056A"/>
    <w:rsid w:val="00B607FC"/>
    <w:rsid w:val="00B608E2"/>
    <w:rsid w:val="00B6098E"/>
    <w:rsid w:val="00B609CB"/>
    <w:rsid w:val="00B60AC9"/>
    <w:rsid w:val="00B60B05"/>
    <w:rsid w:val="00B60B63"/>
    <w:rsid w:val="00B60CA4"/>
    <w:rsid w:val="00B60CD6"/>
    <w:rsid w:val="00B60DAE"/>
    <w:rsid w:val="00B60DFC"/>
    <w:rsid w:val="00B60F48"/>
    <w:rsid w:val="00B610DF"/>
    <w:rsid w:val="00B611E6"/>
    <w:rsid w:val="00B61274"/>
    <w:rsid w:val="00B612A0"/>
    <w:rsid w:val="00B613B2"/>
    <w:rsid w:val="00B615E0"/>
    <w:rsid w:val="00B6167B"/>
    <w:rsid w:val="00B61730"/>
    <w:rsid w:val="00B617CD"/>
    <w:rsid w:val="00B61816"/>
    <w:rsid w:val="00B61840"/>
    <w:rsid w:val="00B619AF"/>
    <w:rsid w:val="00B619F1"/>
    <w:rsid w:val="00B61A7F"/>
    <w:rsid w:val="00B61ACE"/>
    <w:rsid w:val="00B61C00"/>
    <w:rsid w:val="00B61E27"/>
    <w:rsid w:val="00B61E30"/>
    <w:rsid w:val="00B61F97"/>
    <w:rsid w:val="00B62104"/>
    <w:rsid w:val="00B622A3"/>
    <w:rsid w:val="00B622E1"/>
    <w:rsid w:val="00B62328"/>
    <w:rsid w:val="00B62427"/>
    <w:rsid w:val="00B6242E"/>
    <w:rsid w:val="00B624BD"/>
    <w:rsid w:val="00B62539"/>
    <w:rsid w:val="00B625AB"/>
    <w:rsid w:val="00B62698"/>
    <w:rsid w:val="00B6269D"/>
    <w:rsid w:val="00B626F1"/>
    <w:rsid w:val="00B62859"/>
    <w:rsid w:val="00B6286A"/>
    <w:rsid w:val="00B629F3"/>
    <w:rsid w:val="00B62C8C"/>
    <w:rsid w:val="00B62CAB"/>
    <w:rsid w:val="00B62D56"/>
    <w:rsid w:val="00B62D6F"/>
    <w:rsid w:val="00B62E39"/>
    <w:rsid w:val="00B62E85"/>
    <w:rsid w:val="00B62ECD"/>
    <w:rsid w:val="00B6309F"/>
    <w:rsid w:val="00B63120"/>
    <w:rsid w:val="00B63145"/>
    <w:rsid w:val="00B6327F"/>
    <w:rsid w:val="00B63287"/>
    <w:rsid w:val="00B63434"/>
    <w:rsid w:val="00B6363E"/>
    <w:rsid w:val="00B63826"/>
    <w:rsid w:val="00B6395A"/>
    <w:rsid w:val="00B639DD"/>
    <w:rsid w:val="00B63A1B"/>
    <w:rsid w:val="00B63C0E"/>
    <w:rsid w:val="00B63C19"/>
    <w:rsid w:val="00B63E1E"/>
    <w:rsid w:val="00B63E2E"/>
    <w:rsid w:val="00B63E45"/>
    <w:rsid w:val="00B63EEF"/>
    <w:rsid w:val="00B63F93"/>
    <w:rsid w:val="00B63FDB"/>
    <w:rsid w:val="00B63FEF"/>
    <w:rsid w:val="00B640FC"/>
    <w:rsid w:val="00B641B8"/>
    <w:rsid w:val="00B64258"/>
    <w:rsid w:val="00B642C9"/>
    <w:rsid w:val="00B64342"/>
    <w:rsid w:val="00B645B8"/>
    <w:rsid w:val="00B64629"/>
    <w:rsid w:val="00B64680"/>
    <w:rsid w:val="00B646D4"/>
    <w:rsid w:val="00B64798"/>
    <w:rsid w:val="00B647B0"/>
    <w:rsid w:val="00B64863"/>
    <w:rsid w:val="00B64887"/>
    <w:rsid w:val="00B649E2"/>
    <w:rsid w:val="00B649F5"/>
    <w:rsid w:val="00B64A5E"/>
    <w:rsid w:val="00B64B36"/>
    <w:rsid w:val="00B64CC6"/>
    <w:rsid w:val="00B64CF6"/>
    <w:rsid w:val="00B64E73"/>
    <w:rsid w:val="00B65048"/>
    <w:rsid w:val="00B650D8"/>
    <w:rsid w:val="00B6525B"/>
    <w:rsid w:val="00B652BD"/>
    <w:rsid w:val="00B6537B"/>
    <w:rsid w:val="00B653C4"/>
    <w:rsid w:val="00B653F7"/>
    <w:rsid w:val="00B65457"/>
    <w:rsid w:val="00B65464"/>
    <w:rsid w:val="00B655E8"/>
    <w:rsid w:val="00B655F4"/>
    <w:rsid w:val="00B656DF"/>
    <w:rsid w:val="00B657B3"/>
    <w:rsid w:val="00B657D9"/>
    <w:rsid w:val="00B658A1"/>
    <w:rsid w:val="00B658D6"/>
    <w:rsid w:val="00B65A32"/>
    <w:rsid w:val="00B65A82"/>
    <w:rsid w:val="00B65A90"/>
    <w:rsid w:val="00B65AD9"/>
    <w:rsid w:val="00B65B31"/>
    <w:rsid w:val="00B65BED"/>
    <w:rsid w:val="00B65C0C"/>
    <w:rsid w:val="00B65CB4"/>
    <w:rsid w:val="00B65D26"/>
    <w:rsid w:val="00B65DC2"/>
    <w:rsid w:val="00B65FC8"/>
    <w:rsid w:val="00B660DD"/>
    <w:rsid w:val="00B66512"/>
    <w:rsid w:val="00B66567"/>
    <w:rsid w:val="00B6661C"/>
    <w:rsid w:val="00B666DA"/>
    <w:rsid w:val="00B666DC"/>
    <w:rsid w:val="00B66747"/>
    <w:rsid w:val="00B6686F"/>
    <w:rsid w:val="00B668D4"/>
    <w:rsid w:val="00B669FE"/>
    <w:rsid w:val="00B66A05"/>
    <w:rsid w:val="00B66A6D"/>
    <w:rsid w:val="00B66AED"/>
    <w:rsid w:val="00B66CB5"/>
    <w:rsid w:val="00B66D10"/>
    <w:rsid w:val="00B66D43"/>
    <w:rsid w:val="00B66D96"/>
    <w:rsid w:val="00B66EC9"/>
    <w:rsid w:val="00B66ED3"/>
    <w:rsid w:val="00B66F10"/>
    <w:rsid w:val="00B66F45"/>
    <w:rsid w:val="00B66F5E"/>
    <w:rsid w:val="00B6700D"/>
    <w:rsid w:val="00B67107"/>
    <w:rsid w:val="00B67137"/>
    <w:rsid w:val="00B672F3"/>
    <w:rsid w:val="00B67464"/>
    <w:rsid w:val="00B67636"/>
    <w:rsid w:val="00B67665"/>
    <w:rsid w:val="00B677B2"/>
    <w:rsid w:val="00B679EC"/>
    <w:rsid w:val="00B67ABD"/>
    <w:rsid w:val="00B67B21"/>
    <w:rsid w:val="00B67BC6"/>
    <w:rsid w:val="00B67FB8"/>
    <w:rsid w:val="00B67FD7"/>
    <w:rsid w:val="00B7008B"/>
    <w:rsid w:val="00B7013E"/>
    <w:rsid w:val="00B701BF"/>
    <w:rsid w:val="00B701CE"/>
    <w:rsid w:val="00B702F9"/>
    <w:rsid w:val="00B70391"/>
    <w:rsid w:val="00B703E7"/>
    <w:rsid w:val="00B703F7"/>
    <w:rsid w:val="00B706B0"/>
    <w:rsid w:val="00B70738"/>
    <w:rsid w:val="00B7087D"/>
    <w:rsid w:val="00B708E4"/>
    <w:rsid w:val="00B70921"/>
    <w:rsid w:val="00B70968"/>
    <w:rsid w:val="00B70991"/>
    <w:rsid w:val="00B70995"/>
    <w:rsid w:val="00B70999"/>
    <w:rsid w:val="00B70A60"/>
    <w:rsid w:val="00B70BD1"/>
    <w:rsid w:val="00B70BD9"/>
    <w:rsid w:val="00B70C85"/>
    <w:rsid w:val="00B70C91"/>
    <w:rsid w:val="00B70D63"/>
    <w:rsid w:val="00B70E9C"/>
    <w:rsid w:val="00B70F7D"/>
    <w:rsid w:val="00B7108A"/>
    <w:rsid w:val="00B71110"/>
    <w:rsid w:val="00B71163"/>
    <w:rsid w:val="00B712B1"/>
    <w:rsid w:val="00B712EE"/>
    <w:rsid w:val="00B713CE"/>
    <w:rsid w:val="00B713E0"/>
    <w:rsid w:val="00B7142B"/>
    <w:rsid w:val="00B71438"/>
    <w:rsid w:val="00B71527"/>
    <w:rsid w:val="00B71651"/>
    <w:rsid w:val="00B71722"/>
    <w:rsid w:val="00B71749"/>
    <w:rsid w:val="00B717EB"/>
    <w:rsid w:val="00B7187D"/>
    <w:rsid w:val="00B718EE"/>
    <w:rsid w:val="00B71973"/>
    <w:rsid w:val="00B71991"/>
    <w:rsid w:val="00B719F0"/>
    <w:rsid w:val="00B71AF9"/>
    <w:rsid w:val="00B71BC5"/>
    <w:rsid w:val="00B71CDD"/>
    <w:rsid w:val="00B71DD3"/>
    <w:rsid w:val="00B71DDE"/>
    <w:rsid w:val="00B71E45"/>
    <w:rsid w:val="00B71EA4"/>
    <w:rsid w:val="00B71F80"/>
    <w:rsid w:val="00B71FBA"/>
    <w:rsid w:val="00B7227B"/>
    <w:rsid w:val="00B723C1"/>
    <w:rsid w:val="00B723C3"/>
    <w:rsid w:val="00B72410"/>
    <w:rsid w:val="00B72509"/>
    <w:rsid w:val="00B72598"/>
    <w:rsid w:val="00B725C9"/>
    <w:rsid w:val="00B725FF"/>
    <w:rsid w:val="00B726A9"/>
    <w:rsid w:val="00B727AC"/>
    <w:rsid w:val="00B72818"/>
    <w:rsid w:val="00B72883"/>
    <w:rsid w:val="00B729E8"/>
    <w:rsid w:val="00B72AF1"/>
    <w:rsid w:val="00B72B81"/>
    <w:rsid w:val="00B72CA0"/>
    <w:rsid w:val="00B72CC0"/>
    <w:rsid w:val="00B72CCB"/>
    <w:rsid w:val="00B7306D"/>
    <w:rsid w:val="00B73093"/>
    <w:rsid w:val="00B73203"/>
    <w:rsid w:val="00B73313"/>
    <w:rsid w:val="00B73345"/>
    <w:rsid w:val="00B7346B"/>
    <w:rsid w:val="00B73477"/>
    <w:rsid w:val="00B735B9"/>
    <w:rsid w:val="00B737AB"/>
    <w:rsid w:val="00B73836"/>
    <w:rsid w:val="00B73A22"/>
    <w:rsid w:val="00B73A75"/>
    <w:rsid w:val="00B73B5C"/>
    <w:rsid w:val="00B73B6F"/>
    <w:rsid w:val="00B73C31"/>
    <w:rsid w:val="00B73CBC"/>
    <w:rsid w:val="00B73CE1"/>
    <w:rsid w:val="00B73D00"/>
    <w:rsid w:val="00B73D1D"/>
    <w:rsid w:val="00B73FA5"/>
    <w:rsid w:val="00B73FAB"/>
    <w:rsid w:val="00B7404E"/>
    <w:rsid w:val="00B74063"/>
    <w:rsid w:val="00B740E1"/>
    <w:rsid w:val="00B740F3"/>
    <w:rsid w:val="00B74132"/>
    <w:rsid w:val="00B74320"/>
    <w:rsid w:val="00B74321"/>
    <w:rsid w:val="00B74572"/>
    <w:rsid w:val="00B74580"/>
    <w:rsid w:val="00B745EC"/>
    <w:rsid w:val="00B745FA"/>
    <w:rsid w:val="00B74600"/>
    <w:rsid w:val="00B74631"/>
    <w:rsid w:val="00B7465D"/>
    <w:rsid w:val="00B7469B"/>
    <w:rsid w:val="00B746E3"/>
    <w:rsid w:val="00B74757"/>
    <w:rsid w:val="00B747CD"/>
    <w:rsid w:val="00B74827"/>
    <w:rsid w:val="00B74858"/>
    <w:rsid w:val="00B7492B"/>
    <w:rsid w:val="00B7499A"/>
    <w:rsid w:val="00B74A41"/>
    <w:rsid w:val="00B74B16"/>
    <w:rsid w:val="00B74B67"/>
    <w:rsid w:val="00B74CE8"/>
    <w:rsid w:val="00B74DA4"/>
    <w:rsid w:val="00B74DF1"/>
    <w:rsid w:val="00B74FA4"/>
    <w:rsid w:val="00B75015"/>
    <w:rsid w:val="00B7502F"/>
    <w:rsid w:val="00B75074"/>
    <w:rsid w:val="00B75253"/>
    <w:rsid w:val="00B75260"/>
    <w:rsid w:val="00B7529C"/>
    <w:rsid w:val="00B753A0"/>
    <w:rsid w:val="00B754AF"/>
    <w:rsid w:val="00B7559F"/>
    <w:rsid w:val="00B755B2"/>
    <w:rsid w:val="00B7576B"/>
    <w:rsid w:val="00B757D6"/>
    <w:rsid w:val="00B757DF"/>
    <w:rsid w:val="00B75906"/>
    <w:rsid w:val="00B75C64"/>
    <w:rsid w:val="00B75C65"/>
    <w:rsid w:val="00B75C6F"/>
    <w:rsid w:val="00B75CA5"/>
    <w:rsid w:val="00B75DEC"/>
    <w:rsid w:val="00B75EE6"/>
    <w:rsid w:val="00B75F92"/>
    <w:rsid w:val="00B75F97"/>
    <w:rsid w:val="00B7603B"/>
    <w:rsid w:val="00B76042"/>
    <w:rsid w:val="00B760A9"/>
    <w:rsid w:val="00B76143"/>
    <w:rsid w:val="00B7616E"/>
    <w:rsid w:val="00B76173"/>
    <w:rsid w:val="00B76229"/>
    <w:rsid w:val="00B762A5"/>
    <w:rsid w:val="00B762ED"/>
    <w:rsid w:val="00B76362"/>
    <w:rsid w:val="00B76393"/>
    <w:rsid w:val="00B763BC"/>
    <w:rsid w:val="00B763E2"/>
    <w:rsid w:val="00B7675C"/>
    <w:rsid w:val="00B76788"/>
    <w:rsid w:val="00B7678F"/>
    <w:rsid w:val="00B76805"/>
    <w:rsid w:val="00B76862"/>
    <w:rsid w:val="00B76A40"/>
    <w:rsid w:val="00B76AF5"/>
    <w:rsid w:val="00B76B00"/>
    <w:rsid w:val="00B76B1C"/>
    <w:rsid w:val="00B76BFD"/>
    <w:rsid w:val="00B76DAD"/>
    <w:rsid w:val="00B76E2F"/>
    <w:rsid w:val="00B76E4D"/>
    <w:rsid w:val="00B76F4F"/>
    <w:rsid w:val="00B76FC4"/>
    <w:rsid w:val="00B76FD1"/>
    <w:rsid w:val="00B76FFC"/>
    <w:rsid w:val="00B7705D"/>
    <w:rsid w:val="00B7715F"/>
    <w:rsid w:val="00B7722B"/>
    <w:rsid w:val="00B7728B"/>
    <w:rsid w:val="00B7729D"/>
    <w:rsid w:val="00B774B2"/>
    <w:rsid w:val="00B7763A"/>
    <w:rsid w:val="00B77640"/>
    <w:rsid w:val="00B77749"/>
    <w:rsid w:val="00B7777E"/>
    <w:rsid w:val="00B779C2"/>
    <w:rsid w:val="00B77A24"/>
    <w:rsid w:val="00B77A84"/>
    <w:rsid w:val="00B77A99"/>
    <w:rsid w:val="00B77AC3"/>
    <w:rsid w:val="00B77B31"/>
    <w:rsid w:val="00B77C6A"/>
    <w:rsid w:val="00B77D87"/>
    <w:rsid w:val="00B77F3C"/>
    <w:rsid w:val="00B80021"/>
    <w:rsid w:val="00B8004B"/>
    <w:rsid w:val="00B8005B"/>
    <w:rsid w:val="00B8018B"/>
    <w:rsid w:val="00B801DF"/>
    <w:rsid w:val="00B8026A"/>
    <w:rsid w:val="00B80289"/>
    <w:rsid w:val="00B803E5"/>
    <w:rsid w:val="00B80401"/>
    <w:rsid w:val="00B80420"/>
    <w:rsid w:val="00B8052D"/>
    <w:rsid w:val="00B80552"/>
    <w:rsid w:val="00B80560"/>
    <w:rsid w:val="00B805B9"/>
    <w:rsid w:val="00B805E0"/>
    <w:rsid w:val="00B8068B"/>
    <w:rsid w:val="00B806AA"/>
    <w:rsid w:val="00B807E7"/>
    <w:rsid w:val="00B8084C"/>
    <w:rsid w:val="00B80878"/>
    <w:rsid w:val="00B80897"/>
    <w:rsid w:val="00B808D7"/>
    <w:rsid w:val="00B808FF"/>
    <w:rsid w:val="00B80931"/>
    <w:rsid w:val="00B80A08"/>
    <w:rsid w:val="00B80A5B"/>
    <w:rsid w:val="00B80C0C"/>
    <w:rsid w:val="00B80C4C"/>
    <w:rsid w:val="00B80C59"/>
    <w:rsid w:val="00B80D70"/>
    <w:rsid w:val="00B80D79"/>
    <w:rsid w:val="00B80F6B"/>
    <w:rsid w:val="00B80F93"/>
    <w:rsid w:val="00B80FEE"/>
    <w:rsid w:val="00B8102B"/>
    <w:rsid w:val="00B81064"/>
    <w:rsid w:val="00B8111B"/>
    <w:rsid w:val="00B8114C"/>
    <w:rsid w:val="00B81163"/>
    <w:rsid w:val="00B81199"/>
    <w:rsid w:val="00B811B8"/>
    <w:rsid w:val="00B81215"/>
    <w:rsid w:val="00B8130E"/>
    <w:rsid w:val="00B8134F"/>
    <w:rsid w:val="00B81354"/>
    <w:rsid w:val="00B8161D"/>
    <w:rsid w:val="00B816D8"/>
    <w:rsid w:val="00B816E8"/>
    <w:rsid w:val="00B81787"/>
    <w:rsid w:val="00B81C00"/>
    <w:rsid w:val="00B81C07"/>
    <w:rsid w:val="00B81C7A"/>
    <w:rsid w:val="00B81C80"/>
    <w:rsid w:val="00B81D8D"/>
    <w:rsid w:val="00B81E96"/>
    <w:rsid w:val="00B81F5A"/>
    <w:rsid w:val="00B81F98"/>
    <w:rsid w:val="00B81FA4"/>
    <w:rsid w:val="00B8215D"/>
    <w:rsid w:val="00B8236C"/>
    <w:rsid w:val="00B82408"/>
    <w:rsid w:val="00B82443"/>
    <w:rsid w:val="00B824AC"/>
    <w:rsid w:val="00B826F2"/>
    <w:rsid w:val="00B82757"/>
    <w:rsid w:val="00B82826"/>
    <w:rsid w:val="00B829CA"/>
    <w:rsid w:val="00B829DF"/>
    <w:rsid w:val="00B829FA"/>
    <w:rsid w:val="00B82A91"/>
    <w:rsid w:val="00B82BB5"/>
    <w:rsid w:val="00B82BBE"/>
    <w:rsid w:val="00B82C67"/>
    <w:rsid w:val="00B82C75"/>
    <w:rsid w:val="00B82DDC"/>
    <w:rsid w:val="00B82E82"/>
    <w:rsid w:val="00B82E99"/>
    <w:rsid w:val="00B82F85"/>
    <w:rsid w:val="00B8302A"/>
    <w:rsid w:val="00B830D0"/>
    <w:rsid w:val="00B8320C"/>
    <w:rsid w:val="00B8320E"/>
    <w:rsid w:val="00B832CD"/>
    <w:rsid w:val="00B83382"/>
    <w:rsid w:val="00B83506"/>
    <w:rsid w:val="00B83513"/>
    <w:rsid w:val="00B835A8"/>
    <w:rsid w:val="00B835F6"/>
    <w:rsid w:val="00B836A3"/>
    <w:rsid w:val="00B836EA"/>
    <w:rsid w:val="00B8370B"/>
    <w:rsid w:val="00B83754"/>
    <w:rsid w:val="00B83796"/>
    <w:rsid w:val="00B83907"/>
    <w:rsid w:val="00B83921"/>
    <w:rsid w:val="00B83B3E"/>
    <w:rsid w:val="00B83B7B"/>
    <w:rsid w:val="00B83E06"/>
    <w:rsid w:val="00B83E3A"/>
    <w:rsid w:val="00B83EE7"/>
    <w:rsid w:val="00B83F25"/>
    <w:rsid w:val="00B83FB0"/>
    <w:rsid w:val="00B8407D"/>
    <w:rsid w:val="00B8418F"/>
    <w:rsid w:val="00B842BB"/>
    <w:rsid w:val="00B84392"/>
    <w:rsid w:val="00B843E6"/>
    <w:rsid w:val="00B843F1"/>
    <w:rsid w:val="00B8446C"/>
    <w:rsid w:val="00B845C7"/>
    <w:rsid w:val="00B847C0"/>
    <w:rsid w:val="00B848CB"/>
    <w:rsid w:val="00B8491C"/>
    <w:rsid w:val="00B84AFC"/>
    <w:rsid w:val="00B84D59"/>
    <w:rsid w:val="00B84DE4"/>
    <w:rsid w:val="00B84F1E"/>
    <w:rsid w:val="00B84F6F"/>
    <w:rsid w:val="00B84F96"/>
    <w:rsid w:val="00B8500E"/>
    <w:rsid w:val="00B8504E"/>
    <w:rsid w:val="00B8505C"/>
    <w:rsid w:val="00B850A0"/>
    <w:rsid w:val="00B850CD"/>
    <w:rsid w:val="00B850FB"/>
    <w:rsid w:val="00B85106"/>
    <w:rsid w:val="00B8511F"/>
    <w:rsid w:val="00B8518F"/>
    <w:rsid w:val="00B85267"/>
    <w:rsid w:val="00B85509"/>
    <w:rsid w:val="00B85560"/>
    <w:rsid w:val="00B8573E"/>
    <w:rsid w:val="00B85741"/>
    <w:rsid w:val="00B8574D"/>
    <w:rsid w:val="00B857B5"/>
    <w:rsid w:val="00B85A61"/>
    <w:rsid w:val="00B85A8F"/>
    <w:rsid w:val="00B85AC1"/>
    <w:rsid w:val="00B85C18"/>
    <w:rsid w:val="00B85D0B"/>
    <w:rsid w:val="00B85DC0"/>
    <w:rsid w:val="00B85E44"/>
    <w:rsid w:val="00B85F8F"/>
    <w:rsid w:val="00B8603A"/>
    <w:rsid w:val="00B86070"/>
    <w:rsid w:val="00B860C8"/>
    <w:rsid w:val="00B860D1"/>
    <w:rsid w:val="00B860F6"/>
    <w:rsid w:val="00B86133"/>
    <w:rsid w:val="00B86284"/>
    <w:rsid w:val="00B862E1"/>
    <w:rsid w:val="00B86577"/>
    <w:rsid w:val="00B866F6"/>
    <w:rsid w:val="00B867AC"/>
    <w:rsid w:val="00B86910"/>
    <w:rsid w:val="00B86942"/>
    <w:rsid w:val="00B86976"/>
    <w:rsid w:val="00B869A6"/>
    <w:rsid w:val="00B869ED"/>
    <w:rsid w:val="00B86A22"/>
    <w:rsid w:val="00B86A35"/>
    <w:rsid w:val="00B86C0C"/>
    <w:rsid w:val="00B86C9F"/>
    <w:rsid w:val="00B86E85"/>
    <w:rsid w:val="00B87065"/>
    <w:rsid w:val="00B87069"/>
    <w:rsid w:val="00B87083"/>
    <w:rsid w:val="00B87225"/>
    <w:rsid w:val="00B8728F"/>
    <w:rsid w:val="00B872BA"/>
    <w:rsid w:val="00B872DD"/>
    <w:rsid w:val="00B87329"/>
    <w:rsid w:val="00B87360"/>
    <w:rsid w:val="00B874D6"/>
    <w:rsid w:val="00B87528"/>
    <w:rsid w:val="00B875B8"/>
    <w:rsid w:val="00B87659"/>
    <w:rsid w:val="00B876EC"/>
    <w:rsid w:val="00B8770E"/>
    <w:rsid w:val="00B877BC"/>
    <w:rsid w:val="00B87876"/>
    <w:rsid w:val="00B87938"/>
    <w:rsid w:val="00B87951"/>
    <w:rsid w:val="00B879F0"/>
    <w:rsid w:val="00B87B1A"/>
    <w:rsid w:val="00B87B39"/>
    <w:rsid w:val="00B87CC8"/>
    <w:rsid w:val="00B87D44"/>
    <w:rsid w:val="00B87DAA"/>
    <w:rsid w:val="00B87DEB"/>
    <w:rsid w:val="00B87E16"/>
    <w:rsid w:val="00B8EF92"/>
    <w:rsid w:val="00B902BB"/>
    <w:rsid w:val="00B9032A"/>
    <w:rsid w:val="00B9037B"/>
    <w:rsid w:val="00B90419"/>
    <w:rsid w:val="00B90448"/>
    <w:rsid w:val="00B90479"/>
    <w:rsid w:val="00B904E1"/>
    <w:rsid w:val="00B90632"/>
    <w:rsid w:val="00B906D6"/>
    <w:rsid w:val="00B90759"/>
    <w:rsid w:val="00B90767"/>
    <w:rsid w:val="00B90773"/>
    <w:rsid w:val="00B907B0"/>
    <w:rsid w:val="00B9088F"/>
    <w:rsid w:val="00B90B0E"/>
    <w:rsid w:val="00B90C22"/>
    <w:rsid w:val="00B90E43"/>
    <w:rsid w:val="00B90E53"/>
    <w:rsid w:val="00B90EE5"/>
    <w:rsid w:val="00B9108B"/>
    <w:rsid w:val="00B9116B"/>
    <w:rsid w:val="00B9121D"/>
    <w:rsid w:val="00B91274"/>
    <w:rsid w:val="00B912CF"/>
    <w:rsid w:val="00B9138E"/>
    <w:rsid w:val="00B9151D"/>
    <w:rsid w:val="00B91580"/>
    <w:rsid w:val="00B9158B"/>
    <w:rsid w:val="00B9158E"/>
    <w:rsid w:val="00B91888"/>
    <w:rsid w:val="00B9194A"/>
    <w:rsid w:val="00B91A26"/>
    <w:rsid w:val="00B91A39"/>
    <w:rsid w:val="00B91BA9"/>
    <w:rsid w:val="00B91D26"/>
    <w:rsid w:val="00B91E7F"/>
    <w:rsid w:val="00B92013"/>
    <w:rsid w:val="00B920FD"/>
    <w:rsid w:val="00B92143"/>
    <w:rsid w:val="00B92171"/>
    <w:rsid w:val="00B9218B"/>
    <w:rsid w:val="00B921CA"/>
    <w:rsid w:val="00B92226"/>
    <w:rsid w:val="00B923C0"/>
    <w:rsid w:val="00B9245A"/>
    <w:rsid w:val="00B92548"/>
    <w:rsid w:val="00B925F7"/>
    <w:rsid w:val="00B9263F"/>
    <w:rsid w:val="00B926D0"/>
    <w:rsid w:val="00B9283E"/>
    <w:rsid w:val="00B92864"/>
    <w:rsid w:val="00B92A02"/>
    <w:rsid w:val="00B92A24"/>
    <w:rsid w:val="00B92A97"/>
    <w:rsid w:val="00B92B17"/>
    <w:rsid w:val="00B92C79"/>
    <w:rsid w:val="00B92C8B"/>
    <w:rsid w:val="00B92D26"/>
    <w:rsid w:val="00B92EC5"/>
    <w:rsid w:val="00B92EDB"/>
    <w:rsid w:val="00B92F47"/>
    <w:rsid w:val="00B92FB5"/>
    <w:rsid w:val="00B93066"/>
    <w:rsid w:val="00B930E3"/>
    <w:rsid w:val="00B931C9"/>
    <w:rsid w:val="00B93211"/>
    <w:rsid w:val="00B9323E"/>
    <w:rsid w:val="00B933BD"/>
    <w:rsid w:val="00B93536"/>
    <w:rsid w:val="00B935AC"/>
    <w:rsid w:val="00B935C8"/>
    <w:rsid w:val="00B9365B"/>
    <w:rsid w:val="00B936B4"/>
    <w:rsid w:val="00B93723"/>
    <w:rsid w:val="00B937A3"/>
    <w:rsid w:val="00B93973"/>
    <w:rsid w:val="00B939E5"/>
    <w:rsid w:val="00B93A3E"/>
    <w:rsid w:val="00B93AB9"/>
    <w:rsid w:val="00B93B42"/>
    <w:rsid w:val="00B93BA4"/>
    <w:rsid w:val="00B93BB9"/>
    <w:rsid w:val="00B93BCD"/>
    <w:rsid w:val="00B93C5B"/>
    <w:rsid w:val="00B93CEF"/>
    <w:rsid w:val="00B93DAC"/>
    <w:rsid w:val="00B93DDE"/>
    <w:rsid w:val="00B93EE2"/>
    <w:rsid w:val="00B93F18"/>
    <w:rsid w:val="00B93F50"/>
    <w:rsid w:val="00B9416E"/>
    <w:rsid w:val="00B942D9"/>
    <w:rsid w:val="00B94475"/>
    <w:rsid w:val="00B944AD"/>
    <w:rsid w:val="00B9450F"/>
    <w:rsid w:val="00B945AB"/>
    <w:rsid w:val="00B94695"/>
    <w:rsid w:val="00B9469A"/>
    <w:rsid w:val="00B94727"/>
    <w:rsid w:val="00B94810"/>
    <w:rsid w:val="00B94970"/>
    <w:rsid w:val="00B94A27"/>
    <w:rsid w:val="00B94A49"/>
    <w:rsid w:val="00B94C58"/>
    <w:rsid w:val="00B94D82"/>
    <w:rsid w:val="00B94DEC"/>
    <w:rsid w:val="00B94E03"/>
    <w:rsid w:val="00B94E3B"/>
    <w:rsid w:val="00B94F4E"/>
    <w:rsid w:val="00B95006"/>
    <w:rsid w:val="00B95090"/>
    <w:rsid w:val="00B952F0"/>
    <w:rsid w:val="00B95315"/>
    <w:rsid w:val="00B95337"/>
    <w:rsid w:val="00B953FA"/>
    <w:rsid w:val="00B9542B"/>
    <w:rsid w:val="00B95451"/>
    <w:rsid w:val="00B954B2"/>
    <w:rsid w:val="00B954DD"/>
    <w:rsid w:val="00B954E8"/>
    <w:rsid w:val="00B955FF"/>
    <w:rsid w:val="00B956E4"/>
    <w:rsid w:val="00B95821"/>
    <w:rsid w:val="00B95864"/>
    <w:rsid w:val="00B95915"/>
    <w:rsid w:val="00B95A19"/>
    <w:rsid w:val="00B95A48"/>
    <w:rsid w:val="00B95A8E"/>
    <w:rsid w:val="00B95BAE"/>
    <w:rsid w:val="00B95D87"/>
    <w:rsid w:val="00B95E5D"/>
    <w:rsid w:val="00B95FA9"/>
    <w:rsid w:val="00B95FBA"/>
    <w:rsid w:val="00B95FE2"/>
    <w:rsid w:val="00B96063"/>
    <w:rsid w:val="00B961DC"/>
    <w:rsid w:val="00B96235"/>
    <w:rsid w:val="00B962A1"/>
    <w:rsid w:val="00B962BC"/>
    <w:rsid w:val="00B962CB"/>
    <w:rsid w:val="00B963C9"/>
    <w:rsid w:val="00B9644C"/>
    <w:rsid w:val="00B964BD"/>
    <w:rsid w:val="00B964FB"/>
    <w:rsid w:val="00B965D1"/>
    <w:rsid w:val="00B96627"/>
    <w:rsid w:val="00B966E4"/>
    <w:rsid w:val="00B9671C"/>
    <w:rsid w:val="00B9673F"/>
    <w:rsid w:val="00B96805"/>
    <w:rsid w:val="00B96937"/>
    <w:rsid w:val="00B969F2"/>
    <w:rsid w:val="00B96C45"/>
    <w:rsid w:val="00B96C51"/>
    <w:rsid w:val="00B96E11"/>
    <w:rsid w:val="00B96E6F"/>
    <w:rsid w:val="00B96FC6"/>
    <w:rsid w:val="00B97037"/>
    <w:rsid w:val="00B9714B"/>
    <w:rsid w:val="00B97242"/>
    <w:rsid w:val="00B9736B"/>
    <w:rsid w:val="00B9739E"/>
    <w:rsid w:val="00B9741A"/>
    <w:rsid w:val="00B97470"/>
    <w:rsid w:val="00B974D7"/>
    <w:rsid w:val="00B97514"/>
    <w:rsid w:val="00B97586"/>
    <w:rsid w:val="00B975C2"/>
    <w:rsid w:val="00B975C7"/>
    <w:rsid w:val="00B97703"/>
    <w:rsid w:val="00B9778C"/>
    <w:rsid w:val="00B978C8"/>
    <w:rsid w:val="00B979CD"/>
    <w:rsid w:val="00B97A0D"/>
    <w:rsid w:val="00B97A4C"/>
    <w:rsid w:val="00B97AB7"/>
    <w:rsid w:val="00B97B0F"/>
    <w:rsid w:val="00B97BBE"/>
    <w:rsid w:val="00B97BD3"/>
    <w:rsid w:val="00B97C25"/>
    <w:rsid w:val="00B97C3F"/>
    <w:rsid w:val="00B97F65"/>
    <w:rsid w:val="00B9DD9C"/>
    <w:rsid w:val="00BA00BD"/>
    <w:rsid w:val="00BA0159"/>
    <w:rsid w:val="00BA0197"/>
    <w:rsid w:val="00BA0201"/>
    <w:rsid w:val="00BA0226"/>
    <w:rsid w:val="00BA027B"/>
    <w:rsid w:val="00BA02AE"/>
    <w:rsid w:val="00BA02B0"/>
    <w:rsid w:val="00BA02F4"/>
    <w:rsid w:val="00BA02F9"/>
    <w:rsid w:val="00BA030B"/>
    <w:rsid w:val="00BA0346"/>
    <w:rsid w:val="00BA060B"/>
    <w:rsid w:val="00BA0767"/>
    <w:rsid w:val="00BA07A7"/>
    <w:rsid w:val="00BA0806"/>
    <w:rsid w:val="00BA0953"/>
    <w:rsid w:val="00BA09F2"/>
    <w:rsid w:val="00BA0A36"/>
    <w:rsid w:val="00BA0A99"/>
    <w:rsid w:val="00BA0ACB"/>
    <w:rsid w:val="00BA0ADD"/>
    <w:rsid w:val="00BA0AE4"/>
    <w:rsid w:val="00BA0C26"/>
    <w:rsid w:val="00BA0C48"/>
    <w:rsid w:val="00BA0D3A"/>
    <w:rsid w:val="00BA0DB5"/>
    <w:rsid w:val="00BA0DD6"/>
    <w:rsid w:val="00BA0DE3"/>
    <w:rsid w:val="00BA0DF0"/>
    <w:rsid w:val="00BA0F1A"/>
    <w:rsid w:val="00BA0F73"/>
    <w:rsid w:val="00BA1006"/>
    <w:rsid w:val="00BA10C7"/>
    <w:rsid w:val="00BA11E3"/>
    <w:rsid w:val="00BA130F"/>
    <w:rsid w:val="00BA13DB"/>
    <w:rsid w:val="00BA1425"/>
    <w:rsid w:val="00BA144D"/>
    <w:rsid w:val="00BA146D"/>
    <w:rsid w:val="00BA14A0"/>
    <w:rsid w:val="00BA14D1"/>
    <w:rsid w:val="00BA15C6"/>
    <w:rsid w:val="00BA15D8"/>
    <w:rsid w:val="00BA1723"/>
    <w:rsid w:val="00BA1781"/>
    <w:rsid w:val="00BA180A"/>
    <w:rsid w:val="00BA1D66"/>
    <w:rsid w:val="00BA1D80"/>
    <w:rsid w:val="00BA1F05"/>
    <w:rsid w:val="00BA206E"/>
    <w:rsid w:val="00BA20CF"/>
    <w:rsid w:val="00BA20FE"/>
    <w:rsid w:val="00BA229A"/>
    <w:rsid w:val="00BA23C4"/>
    <w:rsid w:val="00BA2458"/>
    <w:rsid w:val="00BA2486"/>
    <w:rsid w:val="00BA2608"/>
    <w:rsid w:val="00BA2660"/>
    <w:rsid w:val="00BA2666"/>
    <w:rsid w:val="00BA26E0"/>
    <w:rsid w:val="00BA2715"/>
    <w:rsid w:val="00BA275C"/>
    <w:rsid w:val="00BA276F"/>
    <w:rsid w:val="00BA2770"/>
    <w:rsid w:val="00BA282B"/>
    <w:rsid w:val="00BA2856"/>
    <w:rsid w:val="00BA2878"/>
    <w:rsid w:val="00BA28E3"/>
    <w:rsid w:val="00BA2A04"/>
    <w:rsid w:val="00BA2A1F"/>
    <w:rsid w:val="00BA2A61"/>
    <w:rsid w:val="00BA2B66"/>
    <w:rsid w:val="00BA2B7B"/>
    <w:rsid w:val="00BA2BAC"/>
    <w:rsid w:val="00BA2BDE"/>
    <w:rsid w:val="00BA2C1C"/>
    <w:rsid w:val="00BA2C5F"/>
    <w:rsid w:val="00BA2CF8"/>
    <w:rsid w:val="00BA2D0E"/>
    <w:rsid w:val="00BA2DAD"/>
    <w:rsid w:val="00BA2DD0"/>
    <w:rsid w:val="00BA2DD6"/>
    <w:rsid w:val="00BA2DFD"/>
    <w:rsid w:val="00BA2DFF"/>
    <w:rsid w:val="00BA2E11"/>
    <w:rsid w:val="00BA2FC3"/>
    <w:rsid w:val="00BA30EA"/>
    <w:rsid w:val="00BA3244"/>
    <w:rsid w:val="00BA32CE"/>
    <w:rsid w:val="00BA34E3"/>
    <w:rsid w:val="00BA36E1"/>
    <w:rsid w:val="00BA3711"/>
    <w:rsid w:val="00BA385A"/>
    <w:rsid w:val="00BA38EA"/>
    <w:rsid w:val="00BA38EE"/>
    <w:rsid w:val="00BA392B"/>
    <w:rsid w:val="00BA392F"/>
    <w:rsid w:val="00BA3A42"/>
    <w:rsid w:val="00BA3B26"/>
    <w:rsid w:val="00BA3BD8"/>
    <w:rsid w:val="00BA3CA7"/>
    <w:rsid w:val="00BA3CF7"/>
    <w:rsid w:val="00BA3DCA"/>
    <w:rsid w:val="00BA3E01"/>
    <w:rsid w:val="00BA3E18"/>
    <w:rsid w:val="00BA41A0"/>
    <w:rsid w:val="00BA4230"/>
    <w:rsid w:val="00BA44F5"/>
    <w:rsid w:val="00BA4531"/>
    <w:rsid w:val="00BA453C"/>
    <w:rsid w:val="00BA4642"/>
    <w:rsid w:val="00BA4699"/>
    <w:rsid w:val="00BA47BB"/>
    <w:rsid w:val="00BA4A05"/>
    <w:rsid w:val="00BA4A12"/>
    <w:rsid w:val="00BA4B60"/>
    <w:rsid w:val="00BA4C2B"/>
    <w:rsid w:val="00BA4C7F"/>
    <w:rsid w:val="00BA4C89"/>
    <w:rsid w:val="00BA4D07"/>
    <w:rsid w:val="00BA4D58"/>
    <w:rsid w:val="00BA4D80"/>
    <w:rsid w:val="00BA4F87"/>
    <w:rsid w:val="00BA501C"/>
    <w:rsid w:val="00BA50EF"/>
    <w:rsid w:val="00BA5109"/>
    <w:rsid w:val="00BA5142"/>
    <w:rsid w:val="00BA5209"/>
    <w:rsid w:val="00BA5395"/>
    <w:rsid w:val="00BA542C"/>
    <w:rsid w:val="00BA5481"/>
    <w:rsid w:val="00BA5795"/>
    <w:rsid w:val="00BA5854"/>
    <w:rsid w:val="00BA587D"/>
    <w:rsid w:val="00BA5892"/>
    <w:rsid w:val="00BA58C6"/>
    <w:rsid w:val="00BA593E"/>
    <w:rsid w:val="00BA5971"/>
    <w:rsid w:val="00BA59E6"/>
    <w:rsid w:val="00BA59EF"/>
    <w:rsid w:val="00BA5A4B"/>
    <w:rsid w:val="00BA5B54"/>
    <w:rsid w:val="00BA5C32"/>
    <w:rsid w:val="00BA5DFB"/>
    <w:rsid w:val="00BA5E54"/>
    <w:rsid w:val="00BA5EE8"/>
    <w:rsid w:val="00BA6024"/>
    <w:rsid w:val="00BA6091"/>
    <w:rsid w:val="00BA609D"/>
    <w:rsid w:val="00BA60A3"/>
    <w:rsid w:val="00BA6183"/>
    <w:rsid w:val="00BA61E5"/>
    <w:rsid w:val="00BA6287"/>
    <w:rsid w:val="00BA659C"/>
    <w:rsid w:val="00BA6759"/>
    <w:rsid w:val="00BA6766"/>
    <w:rsid w:val="00BA6795"/>
    <w:rsid w:val="00BA67AB"/>
    <w:rsid w:val="00BA68B2"/>
    <w:rsid w:val="00BA6960"/>
    <w:rsid w:val="00BA6C92"/>
    <w:rsid w:val="00BA6CE7"/>
    <w:rsid w:val="00BA6D8A"/>
    <w:rsid w:val="00BA6DDC"/>
    <w:rsid w:val="00BA6DEB"/>
    <w:rsid w:val="00BA6E09"/>
    <w:rsid w:val="00BA6EBE"/>
    <w:rsid w:val="00BA6F1C"/>
    <w:rsid w:val="00BA6F77"/>
    <w:rsid w:val="00BA6F9B"/>
    <w:rsid w:val="00BA6FDE"/>
    <w:rsid w:val="00BA7053"/>
    <w:rsid w:val="00BA718D"/>
    <w:rsid w:val="00BA72DB"/>
    <w:rsid w:val="00BA7309"/>
    <w:rsid w:val="00BA7344"/>
    <w:rsid w:val="00BA738C"/>
    <w:rsid w:val="00BA749A"/>
    <w:rsid w:val="00BA7504"/>
    <w:rsid w:val="00BA7589"/>
    <w:rsid w:val="00BA763E"/>
    <w:rsid w:val="00BA7983"/>
    <w:rsid w:val="00BA79B6"/>
    <w:rsid w:val="00BA7A03"/>
    <w:rsid w:val="00BA7A80"/>
    <w:rsid w:val="00BA7B31"/>
    <w:rsid w:val="00BA7CBE"/>
    <w:rsid w:val="00BA7D69"/>
    <w:rsid w:val="00BA7DC6"/>
    <w:rsid w:val="00BA7F07"/>
    <w:rsid w:val="00BA7F75"/>
    <w:rsid w:val="00BB01FA"/>
    <w:rsid w:val="00BB0205"/>
    <w:rsid w:val="00BB0256"/>
    <w:rsid w:val="00BB047B"/>
    <w:rsid w:val="00BB04C1"/>
    <w:rsid w:val="00BB04DF"/>
    <w:rsid w:val="00BB04E3"/>
    <w:rsid w:val="00BB0544"/>
    <w:rsid w:val="00BB0560"/>
    <w:rsid w:val="00BB058B"/>
    <w:rsid w:val="00BB0599"/>
    <w:rsid w:val="00BB05D2"/>
    <w:rsid w:val="00BB092C"/>
    <w:rsid w:val="00BB0968"/>
    <w:rsid w:val="00BB0984"/>
    <w:rsid w:val="00BB0A09"/>
    <w:rsid w:val="00BB0A7C"/>
    <w:rsid w:val="00BB0B20"/>
    <w:rsid w:val="00BB0B56"/>
    <w:rsid w:val="00BB0B84"/>
    <w:rsid w:val="00BB0BF9"/>
    <w:rsid w:val="00BB0D25"/>
    <w:rsid w:val="00BB0D3B"/>
    <w:rsid w:val="00BB0D42"/>
    <w:rsid w:val="00BB0D6F"/>
    <w:rsid w:val="00BB0EB5"/>
    <w:rsid w:val="00BB1069"/>
    <w:rsid w:val="00BB10B9"/>
    <w:rsid w:val="00BB111A"/>
    <w:rsid w:val="00BB117B"/>
    <w:rsid w:val="00BB11F7"/>
    <w:rsid w:val="00BB133B"/>
    <w:rsid w:val="00BB138C"/>
    <w:rsid w:val="00BB13B8"/>
    <w:rsid w:val="00BB13E0"/>
    <w:rsid w:val="00BB13E7"/>
    <w:rsid w:val="00BB173F"/>
    <w:rsid w:val="00BB17EC"/>
    <w:rsid w:val="00BB1811"/>
    <w:rsid w:val="00BB18C5"/>
    <w:rsid w:val="00BB1978"/>
    <w:rsid w:val="00BB1B49"/>
    <w:rsid w:val="00BB1B94"/>
    <w:rsid w:val="00BB1BD0"/>
    <w:rsid w:val="00BB1C47"/>
    <w:rsid w:val="00BB1E14"/>
    <w:rsid w:val="00BB1FC3"/>
    <w:rsid w:val="00BB1FFE"/>
    <w:rsid w:val="00BB2022"/>
    <w:rsid w:val="00BB215E"/>
    <w:rsid w:val="00BB2255"/>
    <w:rsid w:val="00BB2436"/>
    <w:rsid w:val="00BB25C2"/>
    <w:rsid w:val="00BB2620"/>
    <w:rsid w:val="00BB2641"/>
    <w:rsid w:val="00BB269D"/>
    <w:rsid w:val="00BB274B"/>
    <w:rsid w:val="00BB27D3"/>
    <w:rsid w:val="00BB29AE"/>
    <w:rsid w:val="00BB2A0E"/>
    <w:rsid w:val="00BB2B67"/>
    <w:rsid w:val="00BB2BE5"/>
    <w:rsid w:val="00BB2CB1"/>
    <w:rsid w:val="00BB2DB0"/>
    <w:rsid w:val="00BB2E6E"/>
    <w:rsid w:val="00BB2ED1"/>
    <w:rsid w:val="00BB2F53"/>
    <w:rsid w:val="00BB2FB4"/>
    <w:rsid w:val="00BB2FD2"/>
    <w:rsid w:val="00BB3300"/>
    <w:rsid w:val="00BB3301"/>
    <w:rsid w:val="00BB3411"/>
    <w:rsid w:val="00BB3420"/>
    <w:rsid w:val="00BB359C"/>
    <w:rsid w:val="00BB35CB"/>
    <w:rsid w:val="00BB3685"/>
    <w:rsid w:val="00BB36AF"/>
    <w:rsid w:val="00BB36CB"/>
    <w:rsid w:val="00BB36F7"/>
    <w:rsid w:val="00BB3711"/>
    <w:rsid w:val="00BB37D6"/>
    <w:rsid w:val="00BB38F0"/>
    <w:rsid w:val="00BB3A56"/>
    <w:rsid w:val="00BB3BD1"/>
    <w:rsid w:val="00BB3EDC"/>
    <w:rsid w:val="00BB3F50"/>
    <w:rsid w:val="00BB3FC4"/>
    <w:rsid w:val="00BB4109"/>
    <w:rsid w:val="00BB4171"/>
    <w:rsid w:val="00BB41CE"/>
    <w:rsid w:val="00BB421B"/>
    <w:rsid w:val="00BB4220"/>
    <w:rsid w:val="00BB429A"/>
    <w:rsid w:val="00BB4397"/>
    <w:rsid w:val="00BB44C3"/>
    <w:rsid w:val="00BB45E4"/>
    <w:rsid w:val="00BB4652"/>
    <w:rsid w:val="00BB47B4"/>
    <w:rsid w:val="00BB4837"/>
    <w:rsid w:val="00BB48F2"/>
    <w:rsid w:val="00BB4951"/>
    <w:rsid w:val="00BB4955"/>
    <w:rsid w:val="00BB499E"/>
    <w:rsid w:val="00BB4A75"/>
    <w:rsid w:val="00BB4A7A"/>
    <w:rsid w:val="00BB4AD2"/>
    <w:rsid w:val="00BB4B06"/>
    <w:rsid w:val="00BB4B37"/>
    <w:rsid w:val="00BB4B52"/>
    <w:rsid w:val="00BB4B74"/>
    <w:rsid w:val="00BB4C5C"/>
    <w:rsid w:val="00BB4D41"/>
    <w:rsid w:val="00BB4DEF"/>
    <w:rsid w:val="00BB50D2"/>
    <w:rsid w:val="00BB5175"/>
    <w:rsid w:val="00BB519E"/>
    <w:rsid w:val="00BB51BB"/>
    <w:rsid w:val="00BB5242"/>
    <w:rsid w:val="00BB5270"/>
    <w:rsid w:val="00BB5379"/>
    <w:rsid w:val="00BB5566"/>
    <w:rsid w:val="00BB55A3"/>
    <w:rsid w:val="00BB55DC"/>
    <w:rsid w:val="00BB56A0"/>
    <w:rsid w:val="00BB579E"/>
    <w:rsid w:val="00BB57B5"/>
    <w:rsid w:val="00BB57DF"/>
    <w:rsid w:val="00BB5872"/>
    <w:rsid w:val="00BB58BB"/>
    <w:rsid w:val="00BB5970"/>
    <w:rsid w:val="00BB5A35"/>
    <w:rsid w:val="00BB5B57"/>
    <w:rsid w:val="00BB5C53"/>
    <w:rsid w:val="00BB5D44"/>
    <w:rsid w:val="00BB5E90"/>
    <w:rsid w:val="00BB5EA8"/>
    <w:rsid w:val="00BB5ED5"/>
    <w:rsid w:val="00BB5F73"/>
    <w:rsid w:val="00BB600A"/>
    <w:rsid w:val="00BB6046"/>
    <w:rsid w:val="00BB60BC"/>
    <w:rsid w:val="00BB613F"/>
    <w:rsid w:val="00BB6161"/>
    <w:rsid w:val="00BB617B"/>
    <w:rsid w:val="00BB628E"/>
    <w:rsid w:val="00BB62AB"/>
    <w:rsid w:val="00BB634F"/>
    <w:rsid w:val="00BB646F"/>
    <w:rsid w:val="00BB64AB"/>
    <w:rsid w:val="00BB6591"/>
    <w:rsid w:val="00BB6881"/>
    <w:rsid w:val="00BB68C2"/>
    <w:rsid w:val="00BB6994"/>
    <w:rsid w:val="00BB6A24"/>
    <w:rsid w:val="00BB6A6C"/>
    <w:rsid w:val="00BB6A7B"/>
    <w:rsid w:val="00BB6ABF"/>
    <w:rsid w:val="00BB6BAC"/>
    <w:rsid w:val="00BB6BD2"/>
    <w:rsid w:val="00BB6CB3"/>
    <w:rsid w:val="00BB6DA8"/>
    <w:rsid w:val="00BB6F53"/>
    <w:rsid w:val="00BB6FBB"/>
    <w:rsid w:val="00BB718D"/>
    <w:rsid w:val="00BB71C5"/>
    <w:rsid w:val="00BB7210"/>
    <w:rsid w:val="00BB7261"/>
    <w:rsid w:val="00BB7273"/>
    <w:rsid w:val="00BB73A8"/>
    <w:rsid w:val="00BB74C7"/>
    <w:rsid w:val="00BB74DF"/>
    <w:rsid w:val="00BB7571"/>
    <w:rsid w:val="00BB76AE"/>
    <w:rsid w:val="00BB7705"/>
    <w:rsid w:val="00BB77DB"/>
    <w:rsid w:val="00BB77FF"/>
    <w:rsid w:val="00BB7826"/>
    <w:rsid w:val="00BB7977"/>
    <w:rsid w:val="00BB79B2"/>
    <w:rsid w:val="00BB79F2"/>
    <w:rsid w:val="00BB7BD7"/>
    <w:rsid w:val="00BB7BF8"/>
    <w:rsid w:val="00BB7D1E"/>
    <w:rsid w:val="00BB7E09"/>
    <w:rsid w:val="00BB7F37"/>
    <w:rsid w:val="00BB7F46"/>
    <w:rsid w:val="00BBEFB9"/>
    <w:rsid w:val="00BC0047"/>
    <w:rsid w:val="00BC010E"/>
    <w:rsid w:val="00BC02FC"/>
    <w:rsid w:val="00BC032E"/>
    <w:rsid w:val="00BC037F"/>
    <w:rsid w:val="00BC03C0"/>
    <w:rsid w:val="00BC040B"/>
    <w:rsid w:val="00BC0475"/>
    <w:rsid w:val="00BC04B1"/>
    <w:rsid w:val="00BC054B"/>
    <w:rsid w:val="00BC05A8"/>
    <w:rsid w:val="00BC0708"/>
    <w:rsid w:val="00BC0731"/>
    <w:rsid w:val="00BC08BF"/>
    <w:rsid w:val="00BC0937"/>
    <w:rsid w:val="00BC09BB"/>
    <w:rsid w:val="00BC09E2"/>
    <w:rsid w:val="00BC0BDE"/>
    <w:rsid w:val="00BC0D33"/>
    <w:rsid w:val="00BC0DAA"/>
    <w:rsid w:val="00BC0F25"/>
    <w:rsid w:val="00BC0F58"/>
    <w:rsid w:val="00BC0FA2"/>
    <w:rsid w:val="00BC112D"/>
    <w:rsid w:val="00BC1384"/>
    <w:rsid w:val="00BC1445"/>
    <w:rsid w:val="00BC1538"/>
    <w:rsid w:val="00BC15BA"/>
    <w:rsid w:val="00BC1638"/>
    <w:rsid w:val="00BC16A6"/>
    <w:rsid w:val="00BC191C"/>
    <w:rsid w:val="00BC19CB"/>
    <w:rsid w:val="00BC1A64"/>
    <w:rsid w:val="00BC1B4A"/>
    <w:rsid w:val="00BC1BB0"/>
    <w:rsid w:val="00BC1BE2"/>
    <w:rsid w:val="00BC1C5C"/>
    <w:rsid w:val="00BC1C8E"/>
    <w:rsid w:val="00BC1D17"/>
    <w:rsid w:val="00BC1EA7"/>
    <w:rsid w:val="00BC1EEF"/>
    <w:rsid w:val="00BC1F4A"/>
    <w:rsid w:val="00BC1F6D"/>
    <w:rsid w:val="00BC1FBF"/>
    <w:rsid w:val="00BC20A4"/>
    <w:rsid w:val="00BC213D"/>
    <w:rsid w:val="00BC21DA"/>
    <w:rsid w:val="00BC2243"/>
    <w:rsid w:val="00BC2464"/>
    <w:rsid w:val="00BC2503"/>
    <w:rsid w:val="00BC2607"/>
    <w:rsid w:val="00BC266F"/>
    <w:rsid w:val="00BC2698"/>
    <w:rsid w:val="00BC269B"/>
    <w:rsid w:val="00BC26DA"/>
    <w:rsid w:val="00BC270F"/>
    <w:rsid w:val="00BC2943"/>
    <w:rsid w:val="00BC296E"/>
    <w:rsid w:val="00BC2977"/>
    <w:rsid w:val="00BC2998"/>
    <w:rsid w:val="00BC2C04"/>
    <w:rsid w:val="00BC2C4A"/>
    <w:rsid w:val="00BC2CDE"/>
    <w:rsid w:val="00BC2D46"/>
    <w:rsid w:val="00BC2DA5"/>
    <w:rsid w:val="00BC30DD"/>
    <w:rsid w:val="00BC3299"/>
    <w:rsid w:val="00BC32CB"/>
    <w:rsid w:val="00BC335E"/>
    <w:rsid w:val="00BC3398"/>
    <w:rsid w:val="00BC348E"/>
    <w:rsid w:val="00BC34FA"/>
    <w:rsid w:val="00BC3695"/>
    <w:rsid w:val="00BC3754"/>
    <w:rsid w:val="00BC37C2"/>
    <w:rsid w:val="00BC3838"/>
    <w:rsid w:val="00BC385F"/>
    <w:rsid w:val="00BC38B4"/>
    <w:rsid w:val="00BC3B1F"/>
    <w:rsid w:val="00BC3B58"/>
    <w:rsid w:val="00BC3C21"/>
    <w:rsid w:val="00BC3CCE"/>
    <w:rsid w:val="00BC3D76"/>
    <w:rsid w:val="00BC3E15"/>
    <w:rsid w:val="00BC3E39"/>
    <w:rsid w:val="00BC3EE4"/>
    <w:rsid w:val="00BC3F0A"/>
    <w:rsid w:val="00BC3F5F"/>
    <w:rsid w:val="00BC416C"/>
    <w:rsid w:val="00BC41F5"/>
    <w:rsid w:val="00BC465B"/>
    <w:rsid w:val="00BC4692"/>
    <w:rsid w:val="00BC46EE"/>
    <w:rsid w:val="00BC4752"/>
    <w:rsid w:val="00BC475E"/>
    <w:rsid w:val="00BC47C1"/>
    <w:rsid w:val="00BC47C4"/>
    <w:rsid w:val="00BC47CE"/>
    <w:rsid w:val="00BC4801"/>
    <w:rsid w:val="00BC48F1"/>
    <w:rsid w:val="00BC4900"/>
    <w:rsid w:val="00BC4B13"/>
    <w:rsid w:val="00BC4B50"/>
    <w:rsid w:val="00BC4BB8"/>
    <w:rsid w:val="00BC4BDE"/>
    <w:rsid w:val="00BC4BFD"/>
    <w:rsid w:val="00BC4C94"/>
    <w:rsid w:val="00BC4F2E"/>
    <w:rsid w:val="00BC5040"/>
    <w:rsid w:val="00BC5085"/>
    <w:rsid w:val="00BC5112"/>
    <w:rsid w:val="00BC5131"/>
    <w:rsid w:val="00BC526F"/>
    <w:rsid w:val="00BC5307"/>
    <w:rsid w:val="00BC5315"/>
    <w:rsid w:val="00BC5358"/>
    <w:rsid w:val="00BC5593"/>
    <w:rsid w:val="00BC5684"/>
    <w:rsid w:val="00BC57EE"/>
    <w:rsid w:val="00BC5863"/>
    <w:rsid w:val="00BC58B1"/>
    <w:rsid w:val="00BC59C9"/>
    <w:rsid w:val="00BC59F9"/>
    <w:rsid w:val="00BC5AAC"/>
    <w:rsid w:val="00BC5C23"/>
    <w:rsid w:val="00BC5D32"/>
    <w:rsid w:val="00BC6050"/>
    <w:rsid w:val="00BC60C2"/>
    <w:rsid w:val="00BC621A"/>
    <w:rsid w:val="00BC62CA"/>
    <w:rsid w:val="00BC62FC"/>
    <w:rsid w:val="00BC62FF"/>
    <w:rsid w:val="00BC643B"/>
    <w:rsid w:val="00BC6538"/>
    <w:rsid w:val="00BC6631"/>
    <w:rsid w:val="00BC6649"/>
    <w:rsid w:val="00BC6830"/>
    <w:rsid w:val="00BC6994"/>
    <w:rsid w:val="00BC699A"/>
    <w:rsid w:val="00BC6A28"/>
    <w:rsid w:val="00BC6A93"/>
    <w:rsid w:val="00BC6AC4"/>
    <w:rsid w:val="00BC6B15"/>
    <w:rsid w:val="00BC6C12"/>
    <w:rsid w:val="00BC6C5E"/>
    <w:rsid w:val="00BC6CCF"/>
    <w:rsid w:val="00BC6CFC"/>
    <w:rsid w:val="00BC6E11"/>
    <w:rsid w:val="00BC6ED3"/>
    <w:rsid w:val="00BC6F08"/>
    <w:rsid w:val="00BC6F0B"/>
    <w:rsid w:val="00BC6F2C"/>
    <w:rsid w:val="00BC6F90"/>
    <w:rsid w:val="00BC702D"/>
    <w:rsid w:val="00BC7151"/>
    <w:rsid w:val="00BC71B8"/>
    <w:rsid w:val="00BC72E6"/>
    <w:rsid w:val="00BC73E3"/>
    <w:rsid w:val="00BC7470"/>
    <w:rsid w:val="00BC7523"/>
    <w:rsid w:val="00BC7531"/>
    <w:rsid w:val="00BC77C1"/>
    <w:rsid w:val="00BC789D"/>
    <w:rsid w:val="00BC7969"/>
    <w:rsid w:val="00BC79BB"/>
    <w:rsid w:val="00BC79EC"/>
    <w:rsid w:val="00BC7B31"/>
    <w:rsid w:val="00BC7B90"/>
    <w:rsid w:val="00BC7C11"/>
    <w:rsid w:val="00BC7C39"/>
    <w:rsid w:val="00BC7C95"/>
    <w:rsid w:val="00BC7CB2"/>
    <w:rsid w:val="00BC7CC2"/>
    <w:rsid w:val="00BC7F5D"/>
    <w:rsid w:val="00BD0022"/>
    <w:rsid w:val="00BD0064"/>
    <w:rsid w:val="00BD0083"/>
    <w:rsid w:val="00BD00F1"/>
    <w:rsid w:val="00BD0235"/>
    <w:rsid w:val="00BD0265"/>
    <w:rsid w:val="00BD0286"/>
    <w:rsid w:val="00BD0352"/>
    <w:rsid w:val="00BD04D8"/>
    <w:rsid w:val="00BD0572"/>
    <w:rsid w:val="00BD05C7"/>
    <w:rsid w:val="00BD0656"/>
    <w:rsid w:val="00BD076B"/>
    <w:rsid w:val="00BD079A"/>
    <w:rsid w:val="00BD08A8"/>
    <w:rsid w:val="00BD08E7"/>
    <w:rsid w:val="00BD08EA"/>
    <w:rsid w:val="00BD09E9"/>
    <w:rsid w:val="00BD09FB"/>
    <w:rsid w:val="00BD0A17"/>
    <w:rsid w:val="00BD0C8C"/>
    <w:rsid w:val="00BD0CEA"/>
    <w:rsid w:val="00BD0D66"/>
    <w:rsid w:val="00BD0F0E"/>
    <w:rsid w:val="00BD0F33"/>
    <w:rsid w:val="00BD0F37"/>
    <w:rsid w:val="00BD101B"/>
    <w:rsid w:val="00BD10D8"/>
    <w:rsid w:val="00BD1229"/>
    <w:rsid w:val="00BD1248"/>
    <w:rsid w:val="00BD1397"/>
    <w:rsid w:val="00BD1600"/>
    <w:rsid w:val="00BD1620"/>
    <w:rsid w:val="00BD1662"/>
    <w:rsid w:val="00BD1688"/>
    <w:rsid w:val="00BD16C7"/>
    <w:rsid w:val="00BD1995"/>
    <w:rsid w:val="00BD1A01"/>
    <w:rsid w:val="00BD1AA1"/>
    <w:rsid w:val="00BD1AA6"/>
    <w:rsid w:val="00BD1AAC"/>
    <w:rsid w:val="00BD1B77"/>
    <w:rsid w:val="00BD1BC4"/>
    <w:rsid w:val="00BD1CAF"/>
    <w:rsid w:val="00BD1CCB"/>
    <w:rsid w:val="00BD1DA6"/>
    <w:rsid w:val="00BD1DCC"/>
    <w:rsid w:val="00BD1E6B"/>
    <w:rsid w:val="00BD1F9D"/>
    <w:rsid w:val="00BD2008"/>
    <w:rsid w:val="00BD2052"/>
    <w:rsid w:val="00BD20B8"/>
    <w:rsid w:val="00BD2147"/>
    <w:rsid w:val="00BD2182"/>
    <w:rsid w:val="00BD23BB"/>
    <w:rsid w:val="00BD2589"/>
    <w:rsid w:val="00BD25CF"/>
    <w:rsid w:val="00BD2611"/>
    <w:rsid w:val="00BD26B1"/>
    <w:rsid w:val="00BD2804"/>
    <w:rsid w:val="00BD2839"/>
    <w:rsid w:val="00BD2935"/>
    <w:rsid w:val="00BD2A41"/>
    <w:rsid w:val="00BD2B11"/>
    <w:rsid w:val="00BD2B2D"/>
    <w:rsid w:val="00BD2B6F"/>
    <w:rsid w:val="00BD2BC2"/>
    <w:rsid w:val="00BD2C2B"/>
    <w:rsid w:val="00BD2C7F"/>
    <w:rsid w:val="00BD2C95"/>
    <w:rsid w:val="00BD2EAF"/>
    <w:rsid w:val="00BD2F34"/>
    <w:rsid w:val="00BD2F5B"/>
    <w:rsid w:val="00BD2F6E"/>
    <w:rsid w:val="00BD3000"/>
    <w:rsid w:val="00BD308A"/>
    <w:rsid w:val="00BD3090"/>
    <w:rsid w:val="00BD30C0"/>
    <w:rsid w:val="00BD31DB"/>
    <w:rsid w:val="00BD320C"/>
    <w:rsid w:val="00BD3371"/>
    <w:rsid w:val="00BD3402"/>
    <w:rsid w:val="00BD35D9"/>
    <w:rsid w:val="00BD3645"/>
    <w:rsid w:val="00BD36BD"/>
    <w:rsid w:val="00BD383A"/>
    <w:rsid w:val="00BD38DF"/>
    <w:rsid w:val="00BD399A"/>
    <w:rsid w:val="00BD3A85"/>
    <w:rsid w:val="00BD3AA9"/>
    <w:rsid w:val="00BD3B65"/>
    <w:rsid w:val="00BD3BA9"/>
    <w:rsid w:val="00BD3D21"/>
    <w:rsid w:val="00BD3D48"/>
    <w:rsid w:val="00BD3F96"/>
    <w:rsid w:val="00BD3FE1"/>
    <w:rsid w:val="00BD408E"/>
    <w:rsid w:val="00BD4119"/>
    <w:rsid w:val="00BD4232"/>
    <w:rsid w:val="00BD442D"/>
    <w:rsid w:val="00BD4451"/>
    <w:rsid w:val="00BD449F"/>
    <w:rsid w:val="00BD45AE"/>
    <w:rsid w:val="00BD4781"/>
    <w:rsid w:val="00BD478D"/>
    <w:rsid w:val="00BD48F0"/>
    <w:rsid w:val="00BD4910"/>
    <w:rsid w:val="00BD49B5"/>
    <w:rsid w:val="00BD4A01"/>
    <w:rsid w:val="00BD4A14"/>
    <w:rsid w:val="00BD4A55"/>
    <w:rsid w:val="00BD4C24"/>
    <w:rsid w:val="00BD4D32"/>
    <w:rsid w:val="00BD4D41"/>
    <w:rsid w:val="00BD4D84"/>
    <w:rsid w:val="00BD4E12"/>
    <w:rsid w:val="00BD4FC6"/>
    <w:rsid w:val="00BD503A"/>
    <w:rsid w:val="00BD5083"/>
    <w:rsid w:val="00BD510D"/>
    <w:rsid w:val="00BD51FE"/>
    <w:rsid w:val="00BD5369"/>
    <w:rsid w:val="00BD5494"/>
    <w:rsid w:val="00BD54DF"/>
    <w:rsid w:val="00BD554F"/>
    <w:rsid w:val="00BD56A1"/>
    <w:rsid w:val="00BD56AC"/>
    <w:rsid w:val="00BD56EA"/>
    <w:rsid w:val="00BD5758"/>
    <w:rsid w:val="00BD575E"/>
    <w:rsid w:val="00BD5887"/>
    <w:rsid w:val="00BD58AF"/>
    <w:rsid w:val="00BD5985"/>
    <w:rsid w:val="00BD5A9F"/>
    <w:rsid w:val="00BD5AB4"/>
    <w:rsid w:val="00BD5AF7"/>
    <w:rsid w:val="00BD5BFF"/>
    <w:rsid w:val="00BD5C32"/>
    <w:rsid w:val="00BD5F01"/>
    <w:rsid w:val="00BD5FDB"/>
    <w:rsid w:val="00BD5FFD"/>
    <w:rsid w:val="00BD60DA"/>
    <w:rsid w:val="00BD62AF"/>
    <w:rsid w:val="00BD64A2"/>
    <w:rsid w:val="00BD64FA"/>
    <w:rsid w:val="00BD655F"/>
    <w:rsid w:val="00BD65D1"/>
    <w:rsid w:val="00BD65F0"/>
    <w:rsid w:val="00BD669E"/>
    <w:rsid w:val="00BD66AA"/>
    <w:rsid w:val="00BD66DA"/>
    <w:rsid w:val="00BD671B"/>
    <w:rsid w:val="00BD6780"/>
    <w:rsid w:val="00BD678F"/>
    <w:rsid w:val="00BD67F0"/>
    <w:rsid w:val="00BD6848"/>
    <w:rsid w:val="00BD698D"/>
    <w:rsid w:val="00BD6B92"/>
    <w:rsid w:val="00BD6BA2"/>
    <w:rsid w:val="00BD6CAC"/>
    <w:rsid w:val="00BD6CC4"/>
    <w:rsid w:val="00BD6D6F"/>
    <w:rsid w:val="00BD6F8A"/>
    <w:rsid w:val="00BD6F93"/>
    <w:rsid w:val="00BD7228"/>
    <w:rsid w:val="00BD7254"/>
    <w:rsid w:val="00BD7272"/>
    <w:rsid w:val="00BD7278"/>
    <w:rsid w:val="00BD7520"/>
    <w:rsid w:val="00BD7593"/>
    <w:rsid w:val="00BD76E6"/>
    <w:rsid w:val="00BD772B"/>
    <w:rsid w:val="00BD777C"/>
    <w:rsid w:val="00BD77E3"/>
    <w:rsid w:val="00BD79A2"/>
    <w:rsid w:val="00BD7B85"/>
    <w:rsid w:val="00BD7BD7"/>
    <w:rsid w:val="00BD7C14"/>
    <w:rsid w:val="00BD7CDC"/>
    <w:rsid w:val="00BD7D8B"/>
    <w:rsid w:val="00BD7E1A"/>
    <w:rsid w:val="00BD7F44"/>
    <w:rsid w:val="00BD7F6E"/>
    <w:rsid w:val="00BD7F73"/>
    <w:rsid w:val="00BD7FC0"/>
    <w:rsid w:val="00BD7FD0"/>
    <w:rsid w:val="00BE002E"/>
    <w:rsid w:val="00BE00F9"/>
    <w:rsid w:val="00BE02AC"/>
    <w:rsid w:val="00BE02DB"/>
    <w:rsid w:val="00BE03EB"/>
    <w:rsid w:val="00BE045D"/>
    <w:rsid w:val="00BE048E"/>
    <w:rsid w:val="00BE04BF"/>
    <w:rsid w:val="00BE06BE"/>
    <w:rsid w:val="00BE071C"/>
    <w:rsid w:val="00BE0755"/>
    <w:rsid w:val="00BE07A6"/>
    <w:rsid w:val="00BE0801"/>
    <w:rsid w:val="00BE08BF"/>
    <w:rsid w:val="00BE08C9"/>
    <w:rsid w:val="00BE08EB"/>
    <w:rsid w:val="00BE0929"/>
    <w:rsid w:val="00BE0A07"/>
    <w:rsid w:val="00BE0A56"/>
    <w:rsid w:val="00BE0BBE"/>
    <w:rsid w:val="00BE0CE0"/>
    <w:rsid w:val="00BE0D58"/>
    <w:rsid w:val="00BE0DD8"/>
    <w:rsid w:val="00BE0E68"/>
    <w:rsid w:val="00BE0ECB"/>
    <w:rsid w:val="00BE0FFD"/>
    <w:rsid w:val="00BE10EA"/>
    <w:rsid w:val="00BE1102"/>
    <w:rsid w:val="00BE11B7"/>
    <w:rsid w:val="00BE1243"/>
    <w:rsid w:val="00BE1255"/>
    <w:rsid w:val="00BE126B"/>
    <w:rsid w:val="00BE12ED"/>
    <w:rsid w:val="00BE1342"/>
    <w:rsid w:val="00BE1381"/>
    <w:rsid w:val="00BE141A"/>
    <w:rsid w:val="00BE1715"/>
    <w:rsid w:val="00BE1838"/>
    <w:rsid w:val="00BE189C"/>
    <w:rsid w:val="00BE18B5"/>
    <w:rsid w:val="00BE193D"/>
    <w:rsid w:val="00BE1D47"/>
    <w:rsid w:val="00BE1DFF"/>
    <w:rsid w:val="00BE1EE3"/>
    <w:rsid w:val="00BE1F13"/>
    <w:rsid w:val="00BE20D8"/>
    <w:rsid w:val="00BE2104"/>
    <w:rsid w:val="00BE2186"/>
    <w:rsid w:val="00BE21D9"/>
    <w:rsid w:val="00BE229F"/>
    <w:rsid w:val="00BE22D3"/>
    <w:rsid w:val="00BE23DE"/>
    <w:rsid w:val="00BE2412"/>
    <w:rsid w:val="00BE2449"/>
    <w:rsid w:val="00BE2814"/>
    <w:rsid w:val="00BE283A"/>
    <w:rsid w:val="00BE2871"/>
    <w:rsid w:val="00BE2931"/>
    <w:rsid w:val="00BE29E5"/>
    <w:rsid w:val="00BE29EA"/>
    <w:rsid w:val="00BE2A40"/>
    <w:rsid w:val="00BE2AEE"/>
    <w:rsid w:val="00BE2B9E"/>
    <w:rsid w:val="00BE2BCA"/>
    <w:rsid w:val="00BE2CA7"/>
    <w:rsid w:val="00BE2DE6"/>
    <w:rsid w:val="00BE2EA4"/>
    <w:rsid w:val="00BE2F90"/>
    <w:rsid w:val="00BE2FFB"/>
    <w:rsid w:val="00BE30B6"/>
    <w:rsid w:val="00BE333A"/>
    <w:rsid w:val="00BE3357"/>
    <w:rsid w:val="00BE33B8"/>
    <w:rsid w:val="00BE3559"/>
    <w:rsid w:val="00BE35EF"/>
    <w:rsid w:val="00BE378E"/>
    <w:rsid w:val="00BE37C6"/>
    <w:rsid w:val="00BE3887"/>
    <w:rsid w:val="00BE3919"/>
    <w:rsid w:val="00BE398C"/>
    <w:rsid w:val="00BE3ACD"/>
    <w:rsid w:val="00BE3AE3"/>
    <w:rsid w:val="00BE3B1C"/>
    <w:rsid w:val="00BE3BB6"/>
    <w:rsid w:val="00BE3C5F"/>
    <w:rsid w:val="00BE3D1B"/>
    <w:rsid w:val="00BE3F5A"/>
    <w:rsid w:val="00BE402D"/>
    <w:rsid w:val="00BE404C"/>
    <w:rsid w:val="00BE40A1"/>
    <w:rsid w:val="00BE40B7"/>
    <w:rsid w:val="00BE4133"/>
    <w:rsid w:val="00BE41C3"/>
    <w:rsid w:val="00BE43A0"/>
    <w:rsid w:val="00BE43A6"/>
    <w:rsid w:val="00BE45AD"/>
    <w:rsid w:val="00BE4717"/>
    <w:rsid w:val="00BE4785"/>
    <w:rsid w:val="00BE4790"/>
    <w:rsid w:val="00BE479C"/>
    <w:rsid w:val="00BE47CD"/>
    <w:rsid w:val="00BE48CE"/>
    <w:rsid w:val="00BE48D2"/>
    <w:rsid w:val="00BE4A14"/>
    <w:rsid w:val="00BE4A46"/>
    <w:rsid w:val="00BE4A82"/>
    <w:rsid w:val="00BE4CC3"/>
    <w:rsid w:val="00BE4DA0"/>
    <w:rsid w:val="00BE4DAE"/>
    <w:rsid w:val="00BE4EB3"/>
    <w:rsid w:val="00BE5099"/>
    <w:rsid w:val="00BE516D"/>
    <w:rsid w:val="00BE51C4"/>
    <w:rsid w:val="00BE5231"/>
    <w:rsid w:val="00BE537B"/>
    <w:rsid w:val="00BE53D3"/>
    <w:rsid w:val="00BE549F"/>
    <w:rsid w:val="00BE54A7"/>
    <w:rsid w:val="00BE54BE"/>
    <w:rsid w:val="00BE55DE"/>
    <w:rsid w:val="00BE561E"/>
    <w:rsid w:val="00BE56BE"/>
    <w:rsid w:val="00BE5775"/>
    <w:rsid w:val="00BE5795"/>
    <w:rsid w:val="00BE57E0"/>
    <w:rsid w:val="00BE5909"/>
    <w:rsid w:val="00BE5964"/>
    <w:rsid w:val="00BE5AD1"/>
    <w:rsid w:val="00BE5B7E"/>
    <w:rsid w:val="00BE5B84"/>
    <w:rsid w:val="00BE5BBB"/>
    <w:rsid w:val="00BE5BBE"/>
    <w:rsid w:val="00BE5BF2"/>
    <w:rsid w:val="00BE5C64"/>
    <w:rsid w:val="00BE5CE3"/>
    <w:rsid w:val="00BE5CF3"/>
    <w:rsid w:val="00BE5EF5"/>
    <w:rsid w:val="00BE5FC9"/>
    <w:rsid w:val="00BE6027"/>
    <w:rsid w:val="00BE60CB"/>
    <w:rsid w:val="00BE611F"/>
    <w:rsid w:val="00BE6383"/>
    <w:rsid w:val="00BE63DB"/>
    <w:rsid w:val="00BE66CC"/>
    <w:rsid w:val="00BE67D1"/>
    <w:rsid w:val="00BE687B"/>
    <w:rsid w:val="00BE68AA"/>
    <w:rsid w:val="00BE6971"/>
    <w:rsid w:val="00BE6A00"/>
    <w:rsid w:val="00BE6AEB"/>
    <w:rsid w:val="00BE6B70"/>
    <w:rsid w:val="00BE6BBC"/>
    <w:rsid w:val="00BE6C56"/>
    <w:rsid w:val="00BE6D15"/>
    <w:rsid w:val="00BE6D1C"/>
    <w:rsid w:val="00BE6E19"/>
    <w:rsid w:val="00BE6E8B"/>
    <w:rsid w:val="00BE6F93"/>
    <w:rsid w:val="00BE6F94"/>
    <w:rsid w:val="00BE7067"/>
    <w:rsid w:val="00BE70D1"/>
    <w:rsid w:val="00BE716D"/>
    <w:rsid w:val="00BE74CD"/>
    <w:rsid w:val="00BE75D0"/>
    <w:rsid w:val="00BE76AD"/>
    <w:rsid w:val="00BE7713"/>
    <w:rsid w:val="00BE7791"/>
    <w:rsid w:val="00BE77B1"/>
    <w:rsid w:val="00BE77D1"/>
    <w:rsid w:val="00BE7806"/>
    <w:rsid w:val="00BE786F"/>
    <w:rsid w:val="00BE788C"/>
    <w:rsid w:val="00BE78AF"/>
    <w:rsid w:val="00BE78FB"/>
    <w:rsid w:val="00BE7B48"/>
    <w:rsid w:val="00BE7BCB"/>
    <w:rsid w:val="00BE7C6B"/>
    <w:rsid w:val="00BE7C81"/>
    <w:rsid w:val="00BE7C93"/>
    <w:rsid w:val="00BE7CEE"/>
    <w:rsid w:val="00BE7D06"/>
    <w:rsid w:val="00BE7D41"/>
    <w:rsid w:val="00BE7D42"/>
    <w:rsid w:val="00BE7D8D"/>
    <w:rsid w:val="00BE7DB2"/>
    <w:rsid w:val="00BE7FE3"/>
    <w:rsid w:val="00BF02C0"/>
    <w:rsid w:val="00BF0318"/>
    <w:rsid w:val="00BF0384"/>
    <w:rsid w:val="00BF051F"/>
    <w:rsid w:val="00BF065A"/>
    <w:rsid w:val="00BF0796"/>
    <w:rsid w:val="00BF0798"/>
    <w:rsid w:val="00BF07B0"/>
    <w:rsid w:val="00BF0817"/>
    <w:rsid w:val="00BF0891"/>
    <w:rsid w:val="00BF093B"/>
    <w:rsid w:val="00BF0B35"/>
    <w:rsid w:val="00BF0BB3"/>
    <w:rsid w:val="00BF0C2C"/>
    <w:rsid w:val="00BF0C32"/>
    <w:rsid w:val="00BF0C74"/>
    <w:rsid w:val="00BF0CAF"/>
    <w:rsid w:val="00BF0D20"/>
    <w:rsid w:val="00BF0E37"/>
    <w:rsid w:val="00BF0F20"/>
    <w:rsid w:val="00BF0F2E"/>
    <w:rsid w:val="00BF100A"/>
    <w:rsid w:val="00BF10E5"/>
    <w:rsid w:val="00BF1153"/>
    <w:rsid w:val="00BF1178"/>
    <w:rsid w:val="00BF131B"/>
    <w:rsid w:val="00BF133C"/>
    <w:rsid w:val="00BF14D3"/>
    <w:rsid w:val="00BF1521"/>
    <w:rsid w:val="00BF16EC"/>
    <w:rsid w:val="00BF16FD"/>
    <w:rsid w:val="00BF171A"/>
    <w:rsid w:val="00BF175A"/>
    <w:rsid w:val="00BF17D3"/>
    <w:rsid w:val="00BF185B"/>
    <w:rsid w:val="00BF186E"/>
    <w:rsid w:val="00BF18D5"/>
    <w:rsid w:val="00BF1969"/>
    <w:rsid w:val="00BF1A5D"/>
    <w:rsid w:val="00BF1ACB"/>
    <w:rsid w:val="00BF1ADA"/>
    <w:rsid w:val="00BF1AFC"/>
    <w:rsid w:val="00BF1B64"/>
    <w:rsid w:val="00BF1C81"/>
    <w:rsid w:val="00BF1DC6"/>
    <w:rsid w:val="00BF1DEE"/>
    <w:rsid w:val="00BF1EBB"/>
    <w:rsid w:val="00BF1FFB"/>
    <w:rsid w:val="00BF2268"/>
    <w:rsid w:val="00BF22BB"/>
    <w:rsid w:val="00BF23B1"/>
    <w:rsid w:val="00BF23B2"/>
    <w:rsid w:val="00BF243E"/>
    <w:rsid w:val="00BF24C2"/>
    <w:rsid w:val="00BF25BD"/>
    <w:rsid w:val="00BF25F1"/>
    <w:rsid w:val="00BF26C4"/>
    <w:rsid w:val="00BF2A3B"/>
    <w:rsid w:val="00BF2B37"/>
    <w:rsid w:val="00BF2CF1"/>
    <w:rsid w:val="00BF2D5D"/>
    <w:rsid w:val="00BF3064"/>
    <w:rsid w:val="00BF30BE"/>
    <w:rsid w:val="00BF30EA"/>
    <w:rsid w:val="00BF31BC"/>
    <w:rsid w:val="00BF3208"/>
    <w:rsid w:val="00BF3260"/>
    <w:rsid w:val="00BF32C2"/>
    <w:rsid w:val="00BF3322"/>
    <w:rsid w:val="00BF342A"/>
    <w:rsid w:val="00BF3475"/>
    <w:rsid w:val="00BF34F2"/>
    <w:rsid w:val="00BF3571"/>
    <w:rsid w:val="00BF35AF"/>
    <w:rsid w:val="00BF3641"/>
    <w:rsid w:val="00BF3644"/>
    <w:rsid w:val="00BF36A9"/>
    <w:rsid w:val="00BF36B6"/>
    <w:rsid w:val="00BF3765"/>
    <w:rsid w:val="00BF3786"/>
    <w:rsid w:val="00BF3839"/>
    <w:rsid w:val="00BF3915"/>
    <w:rsid w:val="00BF3935"/>
    <w:rsid w:val="00BF3A09"/>
    <w:rsid w:val="00BF3A0F"/>
    <w:rsid w:val="00BF3A14"/>
    <w:rsid w:val="00BF3DAD"/>
    <w:rsid w:val="00BF3DD4"/>
    <w:rsid w:val="00BF3DF7"/>
    <w:rsid w:val="00BF3E3C"/>
    <w:rsid w:val="00BF3FB2"/>
    <w:rsid w:val="00BF4006"/>
    <w:rsid w:val="00BF4086"/>
    <w:rsid w:val="00BF412D"/>
    <w:rsid w:val="00BF41A7"/>
    <w:rsid w:val="00BF4201"/>
    <w:rsid w:val="00BF4216"/>
    <w:rsid w:val="00BF428D"/>
    <w:rsid w:val="00BF42D6"/>
    <w:rsid w:val="00BF42DE"/>
    <w:rsid w:val="00BF4300"/>
    <w:rsid w:val="00BF445A"/>
    <w:rsid w:val="00BF44BA"/>
    <w:rsid w:val="00BF4585"/>
    <w:rsid w:val="00BF4600"/>
    <w:rsid w:val="00BF498C"/>
    <w:rsid w:val="00BF4A2C"/>
    <w:rsid w:val="00BF4B2C"/>
    <w:rsid w:val="00BF4B99"/>
    <w:rsid w:val="00BF4BFC"/>
    <w:rsid w:val="00BF4C39"/>
    <w:rsid w:val="00BF4CA9"/>
    <w:rsid w:val="00BF4CEA"/>
    <w:rsid w:val="00BF4D39"/>
    <w:rsid w:val="00BF4D50"/>
    <w:rsid w:val="00BF4D90"/>
    <w:rsid w:val="00BF4DCC"/>
    <w:rsid w:val="00BF4FF0"/>
    <w:rsid w:val="00BF5021"/>
    <w:rsid w:val="00BF508C"/>
    <w:rsid w:val="00BF50A4"/>
    <w:rsid w:val="00BF52DD"/>
    <w:rsid w:val="00BF538E"/>
    <w:rsid w:val="00BF563C"/>
    <w:rsid w:val="00BF5643"/>
    <w:rsid w:val="00BF5695"/>
    <w:rsid w:val="00BF56DA"/>
    <w:rsid w:val="00BF572A"/>
    <w:rsid w:val="00BF58C8"/>
    <w:rsid w:val="00BF5912"/>
    <w:rsid w:val="00BF5AC9"/>
    <w:rsid w:val="00BF5B43"/>
    <w:rsid w:val="00BF5B7C"/>
    <w:rsid w:val="00BF5B93"/>
    <w:rsid w:val="00BF5C13"/>
    <w:rsid w:val="00BF5C8D"/>
    <w:rsid w:val="00BF5D37"/>
    <w:rsid w:val="00BF5F2B"/>
    <w:rsid w:val="00BF5FCB"/>
    <w:rsid w:val="00BF60B3"/>
    <w:rsid w:val="00BF6133"/>
    <w:rsid w:val="00BF618E"/>
    <w:rsid w:val="00BF61B2"/>
    <w:rsid w:val="00BF62E5"/>
    <w:rsid w:val="00BF652C"/>
    <w:rsid w:val="00BF65EB"/>
    <w:rsid w:val="00BF6681"/>
    <w:rsid w:val="00BF66C3"/>
    <w:rsid w:val="00BF67EE"/>
    <w:rsid w:val="00BF689B"/>
    <w:rsid w:val="00BF68B5"/>
    <w:rsid w:val="00BF6B41"/>
    <w:rsid w:val="00BF6B5A"/>
    <w:rsid w:val="00BF6CB7"/>
    <w:rsid w:val="00BF6DE7"/>
    <w:rsid w:val="00BF6F14"/>
    <w:rsid w:val="00BF6F79"/>
    <w:rsid w:val="00BF6F8B"/>
    <w:rsid w:val="00BF7066"/>
    <w:rsid w:val="00BF70CB"/>
    <w:rsid w:val="00BF7178"/>
    <w:rsid w:val="00BF720D"/>
    <w:rsid w:val="00BF7254"/>
    <w:rsid w:val="00BF7297"/>
    <w:rsid w:val="00BF751E"/>
    <w:rsid w:val="00BF7573"/>
    <w:rsid w:val="00BF758A"/>
    <w:rsid w:val="00BF75E1"/>
    <w:rsid w:val="00BF7637"/>
    <w:rsid w:val="00BF7640"/>
    <w:rsid w:val="00BF77DC"/>
    <w:rsid w:val="00BF7934"/>
    <w:rsid w:val="00BF7964"/>
    <w:rsid w:val="00BF7999"/>
    <w:rsid w:val="00BF7A25"/>
    <w:rsid w:val="00BF7C23"/>
    <w:rsid w:val="00BF7CD1"/>
    <w:rsid w:val="00BF7D3A"/>
    <w:rsid w:val="00BF7DBE"/>
    <w:rsid w:val="00C00097"/>
    <w:rsid w:val="00C000B6"/>
    <w:rsid w:val="00C000FE"/>
    <w:rsid w:val="00C00133"/>
    <w:rsid w:val="00C00346"/>
    <w:rsid w:val="00C003B1"/>
    <w:rsid w:val="00C00487"/>
    <w:rsid w:val="00C00547"/>
    <w:rsid w:val="00C005A1"/>
    <w:rsid w:val="00C00677"/>
    <w:rsid w:val="00C00679"/>
    <w:rsid w:val="00C007C4"/>
    <w:rsid w:val="00C00818"/>
    <w:rsid w:val="00C0088E"/>
    <w:rsid w:val="00C008F2"/>
    <w:rsid w:val="00C0096A"/>
    <w:rsid w:val="00C009BB"/>
    <w:rsid w:val="00C00A43"/>
    <w:rsid w:val="00C00A7D"/>
    <w:rsid w:val="00C00B5A"/>
    <w:rsid w:val="00C00B7E"/>
    <w:rsid w:val="00C00DF6"/>
    <w:rsid w:val="00C01184"/>
    <w:rsid w:val="00C012D7"/>
    <w:rsid w:val="00C0146E"/>
    <w:rsid w:val="00C0148E"/>
    <w:rsid w:val="00C01521"/>
    <w:rsid w:val="00C015D4"/>
    <w:rsid w:val="00C016A4"/>
    <w:rsid w:val="00C0174F"/>
    <w:rsid w:val="00C01870"/>
    <w:rsid w:val="00C01885"/>
    <w:rsid w:val="00C0199D"/>
    <w:rsid w:val="00C01B9A"/>
    <w:rsid w:val="00C01CC4"/>
    <w:rsid w:val="00C01DA6"/>
    <w:rsid w:val="00C01E3A"/>
    <w:rsid w:val="00C01E3F"/>
    <w:rsid w:val="00C01F86"/>
    <w:rsid w:val="00C0201D"/>
    <w:rsid w:val="00C020AF"/>
    <w:rsid w:val="00C02191"/>
    <w:rsid w:val="00C02194"/>
    <w:rsid w:val="00C021E3"/>
    <w:rsid w:val="00C02202"/>
    <w:rsid w:val="00C022D5"/>
    <w:rsid w:val="00C022F6"/>
    <w:rsid w:val="00C02377"/>
    <w:rsid w:val="00C02380"/>
    <w:rsid w:val="00C023F8"/>
    <w:rsid w:val="00C02406"/>
    <w:rsid w:val="00C02476"/>
    <w:rsid w:val="00C0247A"/>
    <w:rsid w:val="00C0248B"/>
    <w:rsid w:val="00C024C3"/>
    <w:rsid w:val="00C02503"/>
    <w:rsid w:val="00C02550"/>
    <w:rsid w:val="00C0262E"/>
    <w:rsid w:val="00C026B5"/>
    <w:rsid w:val="00C0271C"/>
    <w:rsid w:val="00C028F0"/>
    <w:rsid w:val="00C0292E"/>
    <w:rsid w:val="00C0294A"/>
    <w:rsid w:val="00C02A34"/>
    <w:rsid w:val="00C02B55"/>
    <w:rsid w:val="00C02BBE"/>
    <w:rsid w:val="00C02CE4"/>
    <w:rsid w:val="00C02D26"/>
    <w:rsid w:val="00C02EE5"/>
    <w:rsid w:val="00C02FA7"/>
    <w:rsid w:val="00C02FB8"/>
    <w:rsid w:val="00C03119"/>
    <w:rsid w:val="00C03141"/>
    <w:rsid w:val="00C033CF"/>
    <w:rsid w:val="00C03482"/>
    <w:rsid w:val="00C03555"/>
    <w:rsid w:val="00C0364F"/>
    <w:rsid w:val="00C03679"/>
    <w:rsid w:val="00C0367D"/>
    <w:rsid w:val="00C0374E"/>
    <w:rsid w:val="00C037BD"/>
    <w:rsid w:val="00C037DD"/>
    <w:rsid w:val="00C037DE"/>
    <w:rsid w:val="00C0392F"/>
    <w:rsid w:val="00C03A52"/>
    <w:rsid w:val="00C03B57"/>
    <w:rsid w:val="00C03C82"/>
    <w:rsid w:val="00C03CE6"/>
    <w:rsid w:val="00C03F73"/>
    <w:rsid w:val="00C03FB1"/>
    <w:rsid w:val="00C03FF4"/>
    <w:rsid w:val="00C040A3"/>
    <w:rsid w:val="00C040B5"/>
    <w:rsid w:val="00C04155"/>
    <w:rsid w:val="00C0420D"/>
    <w:rsid w:val="00C0425B"/>
    <w:rsid w:val="00C04580"/>
    <w:rsid w:val="00C04776"/>
    <w:rsid w:val="00C047F6"/>
    <w:rsid w:val="00C0487D"/>
    <w:rsid w:val="00C048FD"/>
    <w:rsid w:val="00C04962"/>
    <w:rsid w:val="00C04A21"/>
    <w:rsid w:val="00C04A8A"/>
    <w:rsid w:val="00C04AC6"/>
    <w:rsid w:val="00C04BB0"/>
    <w:rsid w:val="00C04D0C"/>
    <w:rsid w:val="00C04D15"/>
    <w:rsid w:val="00C04DCF"/>
    <w:rsid w:val="00C04E3E"/>
    <w:rsid w:val="00C04E87"/>
    <w:rsid w:val="00C04F2A"/>
    <w:rsid w:val="00C04F8C"/>
    <w:rsid w:val="00C04FE3"/>
    <w:rsid w:val="00C04FEC"/>
    <w:rsid w:val="00C051B4"/>
    <w:rsid w:val="00C052E9"/>
    <w:rsid w:val="00C053A6"/>
    <w:rsid w:val="00C053B6"/>
    <w:rsid w:val="00C05511"/>
    <w:rsid w:val="00C0551E"/>
    <w:rsid w:val="00C0555C"/>
    <w:rsid w:val="00C05584"/>
    <w:rsid w:val="00C05599"/>
    <w:rsid w:val="00C05649"/>
    <w:rsid w:val="00C05742"/>
    <w:rsid w:val="00C05899"/>
    <w:rsid w:val="00C05919"/>
    <w:rsid w:val="00C05A43"/>
    <w:rsid w:val="00C05AF8"/>
    <w:rsid w:val="00C05B66"/>
    <w:rsid w:val="00C05B71"/>
    <w:rsid w:val="00C05BBE"/>
    <w:rsid w:val="00C05CDA"/>
    <w:rsid w:val="00C05D09"/>
    <w:rsid w:val="00C05D70"/>
    <w:rsid w:val="00C05DDE"/>
    <w:rsid w:val="00C05F6E"/>
    <w:rsid w:val="00C05FFB"/>
    <w:rsid w:val="00C06177"/>
    <w:rsid w:val="00C06200"/>
    <w:rsid w:val="00C062B2"/>
    <w:rsid w:val="00C0644F"/>
    <w:rsid w:val="00C06580"/>
    <w:rsid w:val="00C065B8"/>
    <w:rsid w:val="00C065C7"/>
    <w:rsid w:val="00C065E3"/>
    <w:rsid w:val="00C0662C"/>
    <w:rsid w:val="00C066E7"/>
    <w:rsid w:val="00C06873"/>
    <w:rsid w:val="00C06957"/>
    <w:rsid w:val="00C069E8"/>
    <w:rsid w:val="00C069EB"/>
    <w:rsid w:val="00C06A0A"/>
    <w:rsid w:val="00C06AD2"/>
    <w:rsid w:val="00C06B93"/>
    <w:rsid w:val="00C06BAC"/>
    <w:rsid w:val="00C06C59"/>
    <w:rsid w:val="00C06C7F"/>
    <w:rsid w:val="00C06E28"/>
    <w:rsid w:val="00C06ED1"/>
    <w:rsid w:val="00C06ED8"/>
    <w:rsid w:val="00C06F4C"/>
    <w:rsid w:val="00C06F92"/>
    <w:rsid w:val="00C06FA4"/>
    <w:rsid w:val="00C06FAD"/>
    <w:rsid w:val="00C0703E"/>
    <w:rsid w:val="00C07109"/>
    <w:rsid w:val="00C0713F"/>
    <w:rsid w:val="00C071F8"/>
    <w:rsid w:val="00C07223"/>
    <w:rsid w:val="00C07234"/>
    <w:rsid w:val="00C073B8"/>
    <w:rsid w:val="00C075DD"/>
    <w:rsid w:val="00C075EA"/>
    <w:rsid w:val="00C075EB"/>
    <w:rsid w:val="00C076EC"/>
    <w:rsid w:val="00C07734"/>
    <w:rsid w:val="00C07798"/>
    <w:rsid w:val="00C077DC"/>
    <w:rsid w:val="00C07947"/>
    <w:rsid w:val="00C07981"/>
    <w:rsid w:val="00C07A20"/>
    <w:rsid w:val="00C07A24"/>
    <w:rsid w:val="00C07A6C"/>
    <w:rsid w:val="00C07B3B"/>
    <w:rsid w:val="00C07DA4"/>
    <w:rsid w:val="00C07E1F"/>
    <w:rsid w:val="00C07EA8"/>
    <w:rsid w:val="00C07EBE"/>
    <w:rsid w:val="00C07F4C"/>
    <w:rsid w:val="00C07F8C"/>
    <w:rsid w:val="00C07FE9"/>
    <w:rsid w:val="00C07FF9"/>
    <w:rsid w:val="00C1004D"/>
    <w:rsid w:val="00C10314"/>
    <w:rsid w:val="00C1034A"/>
    <w:rsid w:val="00C1043F"/>
    <w:rsid w:val="00C104B5"/>
    <w:rsid w:val="00C104ED"/>
    <w:rsid w:val="00C10527"/>
    <w:rsid w:val="00C105A9"/>
    <w:rsid w:val="00C10609"/>
    <w:rsid w:val="00C10618"/>
    <w:rsid w:val="00C10644"/>
    <w:rsid w:val="00C1065A"/>
    <w:rsid w:val="00C106DC"/>
    <w:rsid w:val="00C107CC"/>
    <w:rsid w:val="00C1080C"/>
    <w:rsid w:val="00C10810"/>
    <w:rsid w:val="00C10861"/>
    <w:rsid w:val="00C108D6"/>
    <w:rsid w:val="00C109AC"/>
    <w:rsid w:val="00C10BDA"/>
    <w:rsid w:val="00C10EC1"/>
    <w:rsid w:val="00C10EF0"/>
    <w:rsid w:val="00C111A4"/>
    <w:rsid w:val="00C111A7"/>
    <w:rsid w:val="00C112A2"/>
    <w:rsid w:val="00C113F0"/>
    <w:rsid w:val="00C11419"/>
    <w:rsid w:val="00C11654"/>
    <w:rsid w:val="00C11772"/>
    <w:rsid w:val="00C11945"/>
    <w:rsid w:val="00C11ACA"/>
    <w:rsid w:val="00C11AE3"/>
    <w:rsid w:val="00C11B1C"/>
    <w:rsid w:val="00C11B8F"/>
    <w:rsid w:val="00C11BC3"/>
    <w:rsid w:val="00C11BD3"/>
    <w:rsid w:val="00C11BF5"/>
    <w:rsid w:val="00C11C10"/>
    <w:rsid w:val="00C11C1B"/>
    <w:rsid w:val="00C11C97"/>
    <w:rsid w:val="00C11D5B"/>
    <w:rsid w:val="00C11DA4"/>
    <w:rsid w:val="00C11E31"/>
    <w:rsid w:val="00C120B4"/>
    <w:rsid w:val="00C1214C"/>
    <w:rsid w:val="00C1215F"/>
    <w:rsid w:val="00C12171"/>
    <w:rsid w:val="00C121CE"/>
    <w:rsid w:val="00C121DC"/>
    <w:rsid w:val="00C12201"/>
    <w:rsid w:val="00C12239"/>
    <w:rsid w:val="00C122D4"/>
    <w:rsid w:val="00C123AD"/>
    <w:rsid w:val="00C1240F"/>
    <w:rsid w:val="00C126C7"/>
    <w:rsid w:val="00C127FF"/>
    <w:rsid w:val="00C1284A"/>
    <w:rsid w:val="00C1296A"/>
    <w:rsid w:val="00C12C7A"/>
    <w:rsid w:val="00C12DF7"/>
    <w:rsid w:val="00C12E68"/>
    <w:rsid w:val="00C12ED3"/>
    <w:rsid w:val="00C12F83"/>
    <w:rsid w:val="00C130C0"/>
    <w:rsid w:val="00C1333D"/>
    <w:rsid w:val="00C134E2"/>
    <w:rsid w:val="00C1359F"/>
    <w:rsid w:val="00C139C5"/>
    <w:rsid w:val="00C139EA"/>
    <w:rsid w:val="00C13A0E"/>
    <w:rsid w:val="00C13A1C"/>
    <w:rsid w:val="00C13A9A"/>
    <w:rsid w:val="00C13AFB"/>
    <w:rsid w:val="00C13BB0"/>
    <w:rsid w:val="00C13BE7"/>
    <w:rsid w:val="00C13C0F"/>
    <w:rsid w:val="00C13D6C"/>
    <w:rsid w:val="00C13D74"/>
    <w:rsid w:val="00C13E83"/>
    <w:rsid w:val="00C13EAF"/>
    <w:rsid w:val="00C13F02"/>
    <w:rsid w:val="00C13F8B"/>
    <w:rsid w:val="00C14009"/>
    <w:rsid w:val="00C1406F"/>
    <w:rsid w:val="00C1407B"/>
    <w:rsid w:val="00C1411E"/>
    <w:rsid w:val="00C141D4"/>
    <w:rsid w:val="00C142AF"/>
    <w:rsid w:val="00C14369"/>
    <w:rsid w:val="00C1450A"/>
    <w:rsid w:val="00C14554"/>
    <w:rsid w:val="00C145B9"/>
    <w:rsid w:val="00C14641"/>
    <w:rsid w:val="00C14728"/>
    <w:rsid w:val="00C1485A"/>
    <w:rsid w:val="00C149FD"/>
    <w:rsid w:val="00C14A87"/>
    <w:rsid w:val="00C14AA2"/>
    <w:rsid w:val="00C14B83"/>
    <w:rsid w:val="00C14BA6"/>
    <w:rsid w:val="00C14BD7"/>
    <w:rsid w:val="00C14CDE"/>
    <w:rsid w:val="00C14CF4"/>
    <w:rsid w:val="00C14D4D"/>
    <w:rsid w:val="00C14E59"/>
    <w:rsid w:val="00C14E86"/>
    <w:rsid w:val="00C14F3B"/>
    <w:rsid w:val="00C14F48"/>
    <w:rsid w:val="00C14FBF"/>
    <w:rsid w:val="00C15017"/>
    <w:rsid w:val="00C1511E"/>
    <w:rsid w:val="00C1518B"/>
    <w:rsid w:val="00C151B4"/>
    <w:rsid w:val="00C15255"/>
    <w:rsid w:val="00C153BC"/>
    <w:rsid w:val="00C1554C"/>
    <w:rsid w:val="00C155BC"/>
    <w:rsid w:val="00C156D3"/>
    <w:rsid w:val="00C156E7"/>
    <w:rsid w:val="00C15828"/>
    <w:rsid w:val="00C158A2"/>
    <w:rsid w:val="00C158DA"/>
    <w:rsid w:val="00C158F5"/>
    <w:rsid w:val="00C1590E"/>
    <w:rsid w:val="00C15996"/>
    <w:rsid w:val="00C159E4"/>
    <w:rsid w:val="00C15B5E"/>
    <w:rsid w:val="00C15BD6"/>
    <w:rsid w:val="00C15C52"/>
    <w:rsid w:val="00C15C6B"/>
    <w:rsid w:val="00C15CBD"/>
    <w:rsid w:val="00C15D6D"/>
    <w:rsid w:val="00C15D97"/>
    <w:rsid w:val="00C15DCF"/>
    <w:rsid w:val="00C15EA7"/>
    <w:rsid w:val="00C15ED5"/>
    <w:rsid w:val="00C16004"/>
    <w:rsid w:val="00C16028"/>
    <w:rsid w:val="00C16075"/>
    <w:rsid w:val="00C16084"/>
    <w:rsid w:val="00C163D5"/>
    <w:rsid w:val="00C16453"/>
    <w:rsid w:val="00C1646F"/>
    <w:rsid w:val="00C16485"/>
    <w:rsid w:val="00C164CF"/>
    <w:rsid w:val="00C16663"/>
    <w:rsid w:val="00C166BC"/>
    <w:rsid w:val="00C166FB"/>
    <w:rsid w:val="00C16857"/>
    <w:rsid w:val="00C1690A"/>
    <w:rsid w:val="00C16940"/>
    <w:rsid w:val="00C1699A"/>
    <w:rsid w:val="00C169BA"/>
    <w:rsid w:val="00C16A00"/>
    <w:rsid w:val="00C16A04"/>
    <w:rsid w:val="00C16A1A"/>
    <w:rsid w:val="00C16AB5"/>
    <w:rsid w:val="00C16B0A"/>
    <w:rsid w:val="00C16B53"/>
    <w:rsid w:val="00C16CE5"/>
    <w:rsid w:val="00C16D1A"/>
    <w:rsid w:val="00C16DAB"/>
    <w:rsid w:val="00C16ECC"/>
    <w:rsid w:val="00C16F63"/>
    <w:rsid w:val="00C16F7F"/>
    <w:rsid w:val="00C17002"/>
    <w:rsid w:val="00C170BE"/>
    <w:rsid w:val="00C17118"/>
    <w:rsid w:val="00C1723D"/>
    <w:rsid w:val="00C1726D"/>
    <w:rsid w:val="00C172C5"/>
    <w:rsid w:val="00C172F3"/>
    <w:rsid w:val="00C17330"/>
    <w:rsid w:val="00C174A7"/>
    <w:rsid w:val="00C174E9"/>
    <w:rsid w:val="00C1752F"/>
    <w:rsid w:val="00C17534"/>
    <w:rsid w:val="00C1758F"/>
    <w:rsid w:val="00C176BE"/>
    <w:rsid w:val="00C177BF"/>
    <w:rsid w:val="00C17979"/>
    <w:rsid w:val="00C17AF7"/>
    <w:rsid w:val="00C17B36"/>
    <w:rsid w:val="00C17B4D"/>
    <w:rsid w:val="00C17B57"/>
    <w:rsid w:val="00C17BA8"/>
    <w:rsid w:val="00C17C47"/>
    <w:rsid w:val="00C17D2F"/>
    <w:rsid w:val="00C17E53"/>
    <w:rsid w:val="00C17FF3"/>
    <w:rsid w:val="00C2000B"/>
    <w:rsid w:val="00C20018"/>
    <w:rsid w:val="00C20074"/>
    <w:rsid w:val="00C200D8"/>
    <w:rsid w:val="00C200ED"/>
    <w:rsid w:val="00C20113"/>
    <w:rsid w:val="00C20127"/>
    <w:rsid w:val="00C2013E"/>
    <w:rsid w:val="00C2035C"/>
    <w:rsid w:val="00C2036E"/>
    <w:rsid w:val="00C2040E"/>
    <w:rsid w:val="00C20538"/>
    <w:rsid w:val="00C20587"/>
    <w:rsid w:val="00C206BD"/>
    <w:rsid w:val="00C206E9"/>
    <w:rsid w:val="00C206ED"/>
    <w:rsid w:val="00C209D3"/>
    <w:rsid w:val="00C20AA6"/>
    <w:rsid w:val="00C20C25"/>
    <w:rsid w:val="00C20C80"/>
    <w:rsid w:val="00C20CE8"/>
    <w:rsid w:val="00C20E4F"/>
    <w:rsid w:val="00C2100D"/>
    <w:rsid w:val="00C2104F"/>
    <w:rsid w:val="00C2111D"/>
    <w:rsid w:val="00C211A6"/>
    <w:rsid w:val="00C212E8"/>
    <w:rsid w:val="00C21343"/>
    <w:rsid w:val="00C2158E"/>
    <w:rsid w:val="00C2161A"/>
    <w:rsid w:val="00C216AE"/>
    <w:rsid w:val="00C2170A"/>
    <w:rsid w:val="00C2171C"/>
    <w:rsid w:val="00C21796"/>
    <w:rsid w:val="00C21856"/>
    <w:rsid w:val="00C21968"/>
    <w:rsid w:val="00C219B9"/>
    <w:rsid w:val="00C219F4"/>
    <w:rsid w:val="00C21A7F"/>
    <w:rsid w:val="00C21A86"/>
    <w:rsid w:val="00C21AEF"/>
    <w:rsid w:val="00C21AF4"/>
    <w:rsid w:val="00C21BA5"/>
    <w:rsid w:val="00C21C37"/>
    <w:rsid w:val="00C21CC6"/>
    <w:rsid w:val="00C21CD6"/>
    <w:rsid w:val="00C21CDC"/>
    <w:rsid w:val="00C21DDA"/>
    <w:rsid w:val="00C22063"/>
    <w:rsid w:val="00C220F6"/>
    <w:rsid w:val="00C22147"/>
    <w:rsid w:val="00C2219A"/>
    <w:rsid w:val="00C221F0"/>
    <w:rsid w:val="00C22253"/>
    <w:rsid w:val="00C2234F"/>
    <w:rsid w:val="00C223DE"/>
    <w:rsid w:val="00C223E8"/>
    <w:rsid w:val="00C2241B"/>
    <w:rsid w:val="00C225EF"/>
    <w:rsid w:val="00C226A9"/>
    <w:rsid w:val="00C22730"/>
    <w:rsid w:val="00C2278F"/>
    <w:rsid w:val="00C228D7"/>
    <w:rsid w:val="00C22AC2"/>
    <w:rsid w:val="00C22C01"/>
    <w:rsid w:val="00C22CD0"/>
    <w:rsid w:val="00C22E37"/>
    <w:rsid w:val="00C22F50"/>
    <w:rsid w:val="00C22F57"/>
    <w:rsid w:val="00C22FE2"/>
    <w:rsid w:val="00C23026"/>
    <w:rsid w:val="00C2305E"/>
    <w:rsid w:val="00C230A3"/>
    <w:rsid w:val="00C230CD"/>
    <w:rsid w:val="00C23195"/>
    <w:rsid w:val="00C232E9"/>
    <w:rsid w:val="00C23307"/>
    <w:rsid w:val="00C233B7"/>
    <w:rsid w:val="00C23421"/>
    <w:rsid w:val="00C234A9"/>
    <w:rsid w:val="00C234C0"/>
    <w:rsid w:val="00C234E0"/>
    <w:rsid w:val="00C234E9"/>
    <w:rsid w:val="00C23646"/>
    <w:rsid w:val="00C236F3"/>
    <w:rsid w:val="00C237E8"/>
    <w:rsid w:val="00C2388E"/>
    <w:rsid w:val="00C23980"/>
    <w:rsid w:val="00C23990"/>
    <w:rsid w:val="00C239FB"/>
    <w:rsid w:val="00C23AD2"/>
    <w:rsid w:val="00C23BAF"/>
    <w:rsid w:val="00C23C78"/>
    <w:rsid w:val="00C23CD1"/>
    <w:rsid w:val="00C23CDA"/>
    <w:rsid w:val="00C23D37"/>
    <w:rsid w:val="00C23D79"/>
    <w:rsid w:val="00C23E56"/>
    <w:rsid w:val="00C23EB3"/>
    <w:rsid w:val="00C23EB4"/>
    <w:rsid w:val="00C23F1D"/>
    <w:rsid w:val="00C23F34"/>
    <w:rsid w:val="00C2401D"/>
    <w:rsid w:val="00C24027"/>
    <w:rsid w:val="00C240D3"/>
    <w:rsid w:val="00C241DD"/>
    <w:rsid w:val="00C242CD"/>
    <w:rsid w:val="00C242D0"/>
    <w:rsid w:val="00C24413"/>
    <w:rsid w:val="00C24416"/>
    <w:rsid w:val="00C24429"/>
    <w:rsid w:val="00C24449"/>
    <w:rsid w:val="00C24550"/>
    <w:rsid w:val="00C24599"/>
    <w:rsid w:val="00C2465E"/>
    <w:rsid w:val="00C246B0"/>
    <w:rsid w:val="00C246B1"/>
    <w:rsid w:val="00C24799"/>
    <w:rsid w:val="00C24849"/>
    <w:rsid w:val="00C249AA"/>
    <w:rsid w:val="00C249AC"/>
    <w:rsid w:val="00C24A12"/>
    <w:rsid w:val="00C24A5C"/>
    <w:rsid w:val="00C24D10"/>
    <w:rsid w:val="00C24DD9"/>
    <w:rsid w:val="00C24DDB"/>
    <w:rsid w:val="00C25042"/>
    <w:rsid w:val="00C2508F"/>
    <w:rsid w:val="00C25185"/>
    <w:rsid w:val="00C251C0"/>
    <w:rsid w:val="00C252F2"/>
    <w:rsid w:val="00C25492"/>
    <w:rsid w:val="00C2549B"/>
    <w:rsid w:val="00C2555B"/>
    <w:rsid w:val="00C2563E"/>
    <w:rsid w:val="00C257BB"/>
    <w:rsid w:val="00C258AA"/>
    <w:rsid w:val="00C25925"/>
    <w:rsid w:val="00C25937"/>
    <w:rsid w:val="00C259B5"/>
    <w:rsid w:val="00C25ACE"/>
    <w:rsid w:val="00C25B8B"/>
    <w:rsid w:val="00C25BBA"/>
    <w:rsid w:val="00C25C1D"/>
    <w:rsid w:val="00C25CA7"/>
    <w:rsid w:val="00C25CE6"/>
    <w:rsid w:val="00C25DB5"/>
    <w:rsid w:val="00C25DF4"/>
    <w:rsid w:val="00C25EC1"/>
    <w:rsid w:val="00C260F8"/>
    <w:rsid w:val="00C26132"/>
    <w:rsid w:val="00C2617D"/>
    <w:rsid w:val="00C26316"/>
    <w:rsid w:val="00C26368"/>
    <w:rsid w:val="00C264A2"/>
    <w:rsid w:val="00C26599"/>
    <w:rsid w:val="00C2662B"/>
    <w:rsid w:val="00C26749"/>
    <w:rsid w:val="00C26901"/>
    <w:rsid w:val="00C269C2"/>
    <w:rsid w:val="00C26AF5"/>
    <w:rsid w:val="00C26BDD"/>
    <w:rsid w:val="00C26C5A"/>
    <w:rsid w:val="00C26E56"/>
    <w:rsid w:val="00C26EBA"/>
    <w:rsid w:val="00C27096"/>
    <w:rsid w:val="00C2742F"/>
    <w:rsid w:val="00C2748C"/>
    <w:rsid w:val="00C274DF"/>
    <w:rsid w:val="00C27522"/>
    <w:rsid w:val="00C27730"/>
    <w:rsid w:val="00C27737"/>
    <w:rsid w:val="00C2777A"/>
    <w:rsid w:val="00C277AE"/>
    <w:rsid w:val="00C277D9"/>
    <w:rsid w:val="00C2787F"/>
    <w:rsid w:val="00C27886"/>
    <w:rsid w:val="00C27A47"/>
    <w:rsid w:val="00C27B00"/>
    <w:rsid w:val="00C27B69"/>
    <w:rsid w:val="00C27C11"/>
    <w:rsid w:val="00C27CD4"/>
    <w:rsid w:val="00C27DCB"/>
    <w:rsid w:val="00C27E17"/>
    <w:rsid w:val="00C27E77"/>
    <w:rsid w:val="00C27ED5"/>
    <w:rsid w:val="00C27EE0"/>
    <w:rsid w:val="00C30047"/>
    <w:rsid w:val="00C30143"/>
    <w:rsid w:val="00C30156"/>
    <w:rsid w:val="00C3033C"/>
    <w:rsid w:val="00C303A9"/>
    <w:rsid w:val="00C3047D"/>
    <w:rsid w:val="00C304D9"/>
    <w:rsid w:val="00C304F1"/>
    <w:rsid w:val="00C304FD"/>
    <w:rsid w:val="00C30509"/>
    <w:rsid w:val="00C30519"/>
    <w:rsid w:val="00C3068A"/>
    <w:rsid w:val="00C30721"/>
    <w:rsid w:val="00C307DC"/>
    <w:rsid w:val="00C30848"/>
    <w:rsid w:val="00C30937"/>
    <w:rsid w:val="00C309F9"/>
    <w:rsid w:val="00C30A9C"/>
    <w:rsid w:val="00C30AF2"/>
    <w:rsid w:val="00C30BA1"/>
    <w:rsid w:val="00C30C63"/>
    <w:rsid w:val="00C30C6C"/>
    <w:rsid w:val="00C30C82"/>
    <w:rsid w:val="00C30DAB"/>
    <w:rsid w:val="00C30E57"/>
    <w:rsid w:val="00C30E73"/>
    <w:rsid w:val="00C30EB3"/>
    <w:rsid w:val="00C30FE5"/>
    <w:rsid w:val="00C310B6"/>
    <w:rsid w:val="00C311C0"/>
    <w:rsid w:val="00C312FC"/>
    <w:rsid w:val="00C3137D"/>
    <w:rsid w:val="00C313CA"/>
    <w:rsid w:val="00C3153A"/>
    <w:rsid w:val="00C318E7"/>
    <w:rsid w:val="00C318F3"/>
    <w:rsid w:val="00C31AC2"/>
    <w:rsid w:val="00C31C0D"/>
    <w:rsid w:val="00C31C29"/>
    <w:rsid w:val="00C31CA3"/>
    <w:rsid w:val="00C31D72"/>
    <w:rsid w:val="00C31E9F"/>
    <w:rsid w:val="00C31FDD"/>
    <w:rsid w:val="00C3209B"/>
    <w:rsid w:val="00C32339"/>
    <w:rsid w:val="00C3241E"/>
    <w:rsid w:val="00C32433"/>
    <w:rsid w:val="00C32567"/>
    <w:rsid w:val="00C32936"/>
    <w:rsid w:val="00C329E1"/>
    <w:rsid w:val="00C32B3A"/>
    <w:rsid w:val="00C32C12"/>
    <w:rsid w:val="00C32C7A"/>
    <w:rsid w:val="00C32DB5"/>
    <w:rsid w:val="00C32E4F"/>
    <w:rsid w:val="00C32FC7"/>
    <w:rsid w:val="00C3302C"/>
    <w:rsid w:val="00C33078"/>
    <w:rsid w:val="00C330E2"/>
    <w:rsid w:val="00C330EA"/>
    <w:rsid w:val="00C331DC"/>
    <w:rsid w:val="00C3321F"/>
    <w:rsid w:val="00C3325C"/>
    <w:rsid w:val="00C3327C"/>
    <w:rsid w:val="00C334CB"/>
    <w:rsid w:val="00C33514"/>
    <w:rsid w:val="00C33633"/>
    <w:rsid w:val="00C3365A"/>
    <w:rsid w:val="00C33716"/>
    <w:rsid w:val="00C3371D"/>
    <w:rsid w:val="00C33856"/>
    <w:rsid w:val="00C3399F"/>
    <w:rsid w:val="00C33AB9"/>
    <w:rsid w:val="00C33B7E"/>
    <w:rsid w:val="00C33C51"/>
    <w:rsid w:val="00C33D22"/>
    <w:rsid w:val="00C33DBB"/>
    <w:rsid w:val="00C33E32"/>
    <w:rsid w:val="00C33E83"/>
    <w:rsid w:val="00C33F10"/>
    <w:rsid w:val="00C34045"/>
    <w:rsid w:val="00C3412A"/>
    <w:rsid w:val="00C3413B"/>
    <w:rsid w:val="00C34179"/>
    <w:rsid w:val="00C34246"/>
    <w:rsid w:val="00C342B2"/>
    <w:rsid w:val="00C34379"/>
    <w:rsid w:val="00C343BF"/>
    <w:rsid w:val="00C34429"/>
    <w:rsid w:val="00C3449E"/>
    <w:rsid w:val="00C34522"/>
    <w:rsid w:val="00C34589"/>
    <w:rsid w:val="00C346F2"/>
    <w:rsid w:val="00C34A01"/>
    <w:rsid w:val="00C34A34"/>
    <w:rsid w:val="00C34B16"/>
    <w:rsid w:val="00C34B2F"/>
    <w:rsid w:val="00C34B50"/>
    <w:rsid w:val="00C34B5C"/>
    <w:rsid w:val="00C34BE2"/>
    <w:rsid w:val="00C34C43"/>
    <w:rsid w:val="00C34D83"/>
    <w:rsid w:val="00C34FDA"/>
    <w:rsid w:val="00C350B4"/>
    <w:rsid w:val="00C350CE"/>
    <w:rsid w:val="00C350E2"/>
    <w:rsid w:val="00C3522E"/>
    <w:rsid w:val="00C35296"/>
    <w:rsid w:val="00C3537A"/>
    <w:rsid w:val="00C355AB"/>
    <w:rsid w:val="00C355D4"/>
    <w:rsid w:val="00C356FB"/>
    <w:rsid w:val="00C35723"/>
    <w:rsid w:val="00C35724"/>
    <w:rsid w:val="00C35796"/>
    <w:rsid w:val="00C357C1"/>
    <w:rsid w:val="00C358E9"/>
    <w:rsid w:val="00C3597A"/>
    <w:rsid w:val="00C35A2D"/>
    <w:rsid w:val="00C35A74"/>
    <w:rsid w:val="00C35D26"/>
    <w:rsid w:val="00C35FC8"/>
    <w:rsid w:val="00C35FF0"/>
    <w:rsid w:val="00C36108"/>
    <w:rsid w:val="00C36371"/>
    <w:rsid w:val="00C36443"/>
    <w:rsid w:val="00C36688"/>
    <w:rsid w:val="00C36816"/>
    <w:rsid w:val="00C3697A"/>
    <w:rsid w:val="00C36AA9"/>
    <w:rsid w:val="00C36B0B"/>
    <w:rsid w:val="00C36C68"/>
    <w:rsid w:val="00C36CAB"/>
    <w:rsid w:val="00C36D1F"/>
    <w:rsid w:val="00C36F3C"/>
    <w:rsid w:val="00C36F89"/>
    <w:rsid w:val="00C36FAE"/>
    <w:rsid w:val="00C370CD"/>
    <w:rsid w:val="00C37114"/>
    <w:rsid w:val="00C371E7"/>
    <w:rsid w:val="00C372CF"/>
    <w:rsid w:val="00C37337"/>
    <w:rsid w:val="00C3740C"/>
    <w:rsid w:val="00C37431"/>
    <w:rsid w:val="00C374B3"/>
    <w:rsid w:val="00C37589"/>
    <w:rsid w:val="00C375D3"/>
    <w:rsid w:val="00C3784A"/>
    <w:rsid w:val="00C378AF"/>
    <w:rsid w:val="00C37909"/>
    <w:rsid w:val="00C379F1"/>
    <w:rsid w:val="00C37A06"/>
    <w:rsid w:val="00C37A47"/>
    <w:rsid w:val="00C37C15"/>
    <w:rsid w:val="00C37D95"/>
    <w:rsid w:val="00C37E51"/>
    <w:rsid w:val="00C37E9A"/>
    <w:rsid w:val="00C4016A"/>
    <w:rsid w:val="00C4017D"/>
    <w:rsid w:val="00C402BF"/>
    <w:rsid w:val="00C404BC"/>
    <w:rsid w:val="00C405AC"/>
    <w:rsid w:val="00C4064F"/>
    <w:rsid w:val="00C407BD"/>
    <w:rsid w:val="00C407C2"/>
    <w:rsid w:val="00C4081A"/>
    <w:rsid w:val="00C408F4"/>
    <w:rsid w:val="00C409EA"/>
    <w:rsid w:val="00C40A6B"/>
    <w:rsid w:val="00C40B31"/>
    <w:rsid w:val="00C40BCD"/>
    <w:rsid w:val="00C40D4F"/>
    <w:rsid w:val="00C40DBF"/>
    <w:rsid w:val="00C40ECA"/>
    <w:rsid w:val="00C40F95"/>
    <w:rsid w:val="00C40FA8"/>
    <w:rsid w:val="00C40FCB"/>
    <w:rsid w:val="00C4117D"/>
    <w:rsid w:val="00C411C2"/>
    <w:rsid w:val="00C4124E"/>
    <w:rsid w:val="00C4135F"/>
    <w:rsid w:val="00C414F5"/>
    <w:rsid w:val="00C41520"/>
    <w:rsid w:val="00C4155E"/>
    <w:rsid w:val="00C41567"/>
    <w:rsid w:val="00C415A6"/>
    <w:rsid w:val="00C4160F"/>
    <w:rsid w:val="00C41612"/>
    <w:rsid w:val="00C417E9"/>
    <w:rsid w:val="00C41827"/>
    <w:rsid w:val="00C41862"/>
    <w:rsid w:val="00C41883"/>
    <w:rsid w:val="00C418D0"/>
    <w:rsid w:val="00C418D5"/>
    <w:rsid w:val="00C41AA9"/>
    <w:rsid w:val="00C41B2D"/>
    <w:rsid w:val="00C41BEB"/>
    <w:rsid w:val="00C41C08"/>
    <w:rsid w:val="00C41C32"/>
    <w:rsid w:val="00C41C59"/>
    <w:rsid w:val="00C41CA8"/>
    <w:rsid w:val="00C41E08"/>
    <w:rsid w:val="00C41E20"/>
    <w:rsid w:val="00C41E34"/>
    <w:rsid w:val="00C41E89"/>
    <w:rsid w:val="00C41E90"/>
    <w:rsid w:val="00C41EA6"/>
    <w:rsid w:val="00C41EB9"/>
    <w:rsid w:val="00C41EBF"/>
    <w:rsid w:val="00C41FB2"/>
    <w:rsid w:val="00C41FB6"/>
    <w:rsid w:val="00C41FBC"/>
    <w:rsid w:val="00C41FFC"/>
    <w:rsid w:val="00C421B7"/>
    <w:rsid w:val="00C421D6"/>
    <w:rsid w:val="00C42232"/>
    <w:rsid w:val="00C422ED"/>
    <w:rsid w:val="00C4234D"/>
    <w:rsid w:val="00C423F4"/>
    <w:rsid w:val="00C42457"/>
    <w:rsid w:val="00C424E3"/>
    <w:rsid w:val="00C42568"/>
    <w:rsid w:val="00C42779"/>
    <w:rsid w:val="00C42878"/>
    <w:rsid w:val="00C428CD"/>
    <w:rsid w:val="00C42951"/>
    <w:rsid w:val="00C42957"/>
    <w:rsid w:val="00C4298D"/>
    <w:rsid w:val="00C42999"/>
    <w:rsid w:val="00C429E0"/>
    <w:rsid w:val="00C42A33"/>
    <w:rsid w:val="00C42A41"/>
    <w:rsid w:val="00C42A69"/>
    <w:rsid w:val="00C42B64"/>
    <w:rsid w:val="00C42BAD"/>
    <w:rsid w:val="00C42BE3"/>
    <w:rsid w:val="00C42CBB"/>
    <w:rsid w:val="00C42D13"/>
    <w:rsid w:val="00C42D16"/>
    <w:rsid w:val="00C42D47"/>
    <w:rsid w:val="00C42DFA"/>
    <w:rsid w:val="00C42E2A"/>
    <w:rsid w:val="00C42E41"/>
    <w:rsid w:val="00C43022"/>
    <w:rsid w:val="00C431E8"/>
    <w:rsid w:val="00C43204"/>
    <w:rsid w:val="00C432A0"/>
    <w:rsid w:val="00C432D8"/>
    <w:rsid w:val="00C434B9"/>
    <w:rsid w:val="00C4353E"/>
    <w:rsid w:val="00C4356F"/>
    <w:rsid w:val="00C435F8"/>
    <w:rsid w:val="00C4374C"/>
    <w:rsid w:val="00C438AC"/>
    <w:rsid w:val="00C438E9"/>
    <w:rsid w:val="00C439A3"/>
    <w:rsid w:val="00C43A07"/>
    <w:rsid w:val="00C43A6A"/>
    <w:rsid w:val="00C43AC5"/>
    <w:rsid w:val="00C43B75"/>
    <w:rsid w:val="00C43E0A"/>
    <w:rsid w:val="00C43EE3"/>
    <w:rsid w:val="00C43F00"/>
    <w:rsid w:val="00C43FBE"/>
    <w:rsid w:val="00C43FDF"/>
    <w:rsid w:val="00C44135"/>
    <w:rsid w:val="00C442F0"/>
    <w:rsid w:val="00C4454D"/>
    <w:rsid w:val="00C445C1"/>
    <w:rsid w:val="00C44795"/>
    <w:rsid w:val="00C44822"/>
    <w:rsid w:val="00C44995"/>
    <w:rsid w:val="00C449CE"/>
    <w:rsid w:val="00C44A72"/>
    <w:rsid w:val="00C44A85"/>
    <w:rsid w:val="00C44D2C"/>
    <w:rsid w:val="00C44D4C"/>
    <w:rsid w:val="00C44E9B"/>
    <w:rsid w:val="00C44EC0"/>
    <w:rsid w:val="00C44F1C"/>
    <w:rsid w:val="00C44F4D"/>
    <w:rsid w:val="00C451C7"/>
    <w:rsid w:val="00C451D5"/>
    <w:rsid w:val="00C451DF"/>
    <w:rsid w:val="00C4539D"/>
    <w:rsid w:val="00C45436"/>
    <w:rsid w:val="00C454A8"/>
    <w:rsid w:val="00C454A9"/>
    <w:rsid w:val="00C4551D"/>
    <w:rsid w:val="00C4555E"/>
    <w:rsid w:val="00C455A9"/>
    <w:rsid w:val="00C455C2"/>
    <w:rsid w:val="00C456D7"/>
    <w:rsid w:val="00C45751"/>
    <w:rsid w:val="00C457D9"/>
    <w:rsid w:val="00C4582A"/>
    <w:rsid w:val="00C45900"/>
    <w:rsid w:val="00C45A11"/>
    <w:rsid w:val="00C45A96"/>
    <w:rsid w:val="00C45B57"/>
    <w:rsid w:val="00C45CCF"/>
    <w:rsid w:val="00C45CD9"/>
    <w:rsid w:val="00C45CEC"/>
    <w:rsid w:val="00C45D19"/>
    <w:rsid w:val="00C45E4E"/>
    <w:rsid w:val="00C45EBB"/>
    <w:rsid w:val="00C45F50"/>
    <w:rsid w:val="00C45FB6"/>
    <w:rsid w:val="00C45FD7"/>
    <w:rsid w:val="00C46073"/>
    <w:rsid w:val="00C46093"/>
    <w:rsid w:val="00C461D1"/>
    <w:rsid w:val="00C46268"/>
    <w:rsid w:val="00C462E3"/>
    <w:rsid w:val="00C46439"/>
    <w:rsid w:val="00C464E8"/>
    <w:rsid w:val="00C464EE"/>
    <w:rsid w:val="00C4654B"/>
    <w:rsid w:val="00C46567"/>
    <w:rsid w:val="00C466D7"/>
    <w:rsid w:val="00C466EB"/>
    <w:rsid w:val="00C467EF"/>
    <w:rsid w:val="00C4684F"/>
    <w:rsid w:val="00C468A3"/>
    <w:rsid w:val="00C46A1D"/>
    <w:rsid w:val="00C46A2E"/>
    <w:rsid w:val="00C46A41"/>
    <w:rsid w:val="00C46A4F"/>
    <w:rsid w:val="00C46BD9"/>
    <w:rsid w:val="00C46C71"/>
    <w:rsid w:val="00C46F4B"/>
    <w:rsid w:val="00C46F5B"/>
    <w:rsid w:val="00C47142"/>
    <w:rsid w:val="00C47156"/>
    <w:rsid w:val="00C4718B"/>
    <w:rsid w:val="00C471B3"/>
    <w:rsid w:val="00C472E7"/>
    <w:rsid w:val="00C47382"/>
    <w:rsid w:val="00C47393"/>
    <w:rsid w:val="00C47411"/>
    <w:rsid w:val="00C47439"/>
    <w:rsid w:val="00C474A4"/>
    <w:rsid w:val="00C474D7"/>
    <w:rsid w:val="00C47550"/>
    <w:rsid w:val="00C47576"/>
    <w:rsid w:val="00C4758D"/>
    <w:rsid w:val="00C47725"/>
    <w:rsid w:val="00C4792C"/>
    <w:rsid w:val="00C479E7"/>
    <w:rsid w:val="00C47B64"/>
    <w:rsid w:val="00C47BC2"/>
    <w:rsid w:val="00C47BE8"/>
    <w:rsid w:val="00C47C42"/>
    <w:rsid w:val="00C47C5A"/>
    <w:rsid w:val="00C47C6C"/>
    <w:rsid w:val="00C47ED4"/>
    <w:rsid w:val="00C47F40"/>
    <w:rsid w:val="00C47F5A"/>
    <w:rsid w:val="00C47FBF"/>
    <w:rsid w:val="00C50018"/>
    <w:rsid w:val="00C50023"/>
    <w:rsid w:val="00C5010F"/>
    <w:rsid w:val="00C501D6"/>
    <w:rsid w:val="00C50351"/>
    <w:rsid w:val="00C50374"/>
    <w:rsid w:val="00C50447"/>
    <w:rsid w:val="00C50623"/>
    <w:rsid w:val="00C5074D"/>
    <w:rsid w:val="00C50833"/>
    <w:rsid w:val="00C50978"/>
    <w:rsid w:val="00C509E1"/>
    <w:rsid w:val="00C50A26"/>
    <w:rsid w:val="00C50A49"/>
    <w:rsid w:val="00C50C0A"/>
    <w:rsid w:val="00C50C46"/>
    <w:rsid w:val="00C50C53"/>
    <w:rsid w:val="00C50C6E"/>
    <w:rsid w:val="00C50CEA"/>
    <w:rsid w:val="00C50EB1"/>
    <w:rsid w:val="00C50ED6"/>
    <w:rsid w:val="00C50EF0"/>
    <w:rsid w:val="00C50F7F"/>
    <w:rsid w:val="00C50F96"/>
    <w:rsid w:val="00C510D4"/>
    <w:rsid w:val="00C51111"/>
    <w:rsid w:val="00C51114"/>
    <w:rsid w:val="00C5127F"/>
    <w:rsid w:val="00C51284"/>
    <w:rsid w:val="00C51296"/>
    <w:rsid w:val="00C514F0"/>
    <w:rsid w:val="00C515ED"/>
    <w:rsid w:val="00C518D4"/>
    <w:rsid w:val="00C51A2B"/>
    <w:rsid w:val="00C51A59"/>
    <w:rsid w:val="00C51CAD"/>
    <w:rsid w:val="00C51D88"/>
    <w:rsid w:val="00C51DCE"/>
    <w:rsid w:val="00C51DFD"/>
    <w:rsid w:val="00C51FFE"/>
    <w:rsid w:val="00C52044"/>
    <w:rsid w:val="00C520FE"/>
    <w:rsid w:val="00C52142"/>
    <w:rsid w:val="00C52165"/>
    <w:rsid w:val="00C52241"/>
    <w:rsid w:val="00C52316"/>
    <w:rsid w:val="00C524A2"/>
    <w:rsid w:val="00C526D1"/>
    <w:rsid w:val="00C52739"/>
    <w:rsid w:val="00C5279E"/>
    <w:rsid w:val="00C529AD"/>
    <w:rsid w:val="00C529AF"/>
    <w:rsid w:val="00C52BA0"/>
    <w:rsid w:val="00C52C26"/>
    <w:rsid w:val="00C52CC9"/>
    <w:rsid w:val="00C52D45"/>
    <w:rsid w:val="00C52E75"/>
    <w:rsid w:val="00C52E7A"/>
    <w:rsid w:val="00C52FA7"/>
    <w:rsid w:val="00C52FB6"/>
    <w:rsid w:val="00C52FEC"/>
    <w:rsid w:val="00C53003"/>
    <w:rsid w:val="00C53019"/>
    <w:rsid w:val="00C5302C"/>
    <w:rsid w:val="00C531D4"/>
    <w:rsid w:val="00C532D1"/>
    <w:rsid w:val="00C533DC"/>
    <w:rsid w:val="00C5342D"/>
    <w:rsid w:val="00C5346B"/>
    <w:rsid w:val="00C53476"/>
    <w:rsid w:val="00C535FA"/>
    <w:rsid w:val="00C536B1"/>
    <w:rsid w:val="00C537DB"/>
    <w:rsid w:val="00C5385A"/>
    <w:rsid w:val="00C53864"/>
    <w:rsid w:val="00C5392C"/>
    <w:rsid w:val="00C539E6"/>
    <w:rsid w:val="00C539ED"/>
    <w:rsid w:val="00C53A91"/>
    <w:rsid w:val="00C53B09"/>
    <w:rsid w:val="00C53DF7"/>
    <w:rsid w:val="00C53E85"/>
    <w:rsid w:val="00C53F67"/>
    <w:rsid w:val="00C54044"/>
    <w:rsid w:val="00C54064"/>
    <w:rsid w:val="00C542B6"/>
    <w:rsid w:val="00C54313"/>
    <w:rsid w:val="00C5438D"/>
    <w:rsid w:val="00C543E2"/>
    <w:rsid w:val="00C5440B"/>
    <w:rsid w:val="00C54414"/>
    <w:rsid w:val="00C54419"/>
    <w:rsid w:val="00C5444D"/>
    <w:rsid w:val="00C547DF"/>
    <w:rsid w:val="00C54843"/>
    <w:rsid w:val="00C548BA"/>
    <w:rsid w:val="00C549B7"/>
    <w:rsid w:val="00C54A67"/>
    <w:rsid w:val="00C54BAF"/>
    <w:rsid w:val="00C54D2E"/>
    <w:rsid w:val="00C54E42"/>
    <w:rsid w:val="00C54E6A"/>
    <w:rsid w:val="00C54F51"/>
    <w:rsid w:val="00C54FC9"/>
    <w:rsid w:val="00C550F8"/>
    <w:rsid w:val="00C552FB"/>
    <w:rsid w:val="00C5530C"/>
    <w:rsid w:val="00C55319"/>
    <w:rsid w:val="00C5534B"/>
    <w:rsid w:val="00C5534F"/>
    <w:rsid w:val="00C55379"/>
    <w:rsid w:val="00C553F1"/>
    <w:rsid w:val="00C554AC"/>
    <w:rsid w:val="00C555B8"/>
    <w:rsid w:val="00C555E1"/>
    <w:rsid w:val="00C55609"/>
    <w:rsid w:val="00C55698"/>
    <w:rsid w:val="00C55763"/>
    <w:rsid w:val="00C557E3"/>
    <w:rsid w:val="00C55876"/>
    <w:rsid w:val="00C5589F"/>
    <w:rsid w:val="00C55997"/>
    <w:rsid w:val="00C55A4F"/>
    <w:rsid w:val="00C55A62"/>
    <w:rsid w:val="00C55A6A"/>
    <w:rsid w:val="00C55BC2"/>
    <w:rsid w:val="00C55BF1"/>
    <w:rsid w:val="00C55C0E"/>
    <w:rsid w:val="00C55C78"/>
    <w:rsid w:val="00C55CBC"/>
    <w:rsid w:val="00C55DA5"/>
    <w:rsid w:val="00C55DB6"/>
    <w:rsid w:val="00C55DE4"/>
    <w:rsid w:val="00C55E4A"/>
    <w:rsid w:val="00C55E51"/>
    <w:rsid w:val="00C55E52"/>
    <w:rsid w:val="00C55E6D"/>
    <w:rsid w:val="00C55FC5"/>
    <w:rsid w:val="00C55FDF"/>
    <w:rsid w:val="00C560AA"/>
    <w:rsid w:val="00C560C8"/>
    <w:rsid w:val="00C560DC"/>
    <w:rsid w:val="00C56204"/>
    <w:rsid w:val="00C56215"/>
    <w:rsid w:val="00C562A5"/>
    <w:rsid w:val="00C56313"/>
    <w:rsid w:val="00C563B1"/>
    <w:rsid w:val="00C5640D"/>
    <w:rsid w:val="00C56424"/>
    <w:rsid w:val="00C56452"/>
    <w:rsid w:val="00C56645"/>
    <w:rsid w:val="00C566A1"/>
    <w:rsid w:val="00C56735"/>
    <w:rsid w:val="00C56817"/>
    <w:rsid w:val="00C56828"/>
    <w:rsid w:val="00C56957"/>
    <w:rsid w:val="00C5695F"/>
    <w:rsid w:val="00C569BB"/>
    <w:rsid w:val="00C569D4"/>
    <w:rsid w:val="00C56A78"/>
    <w:rsid w:val="00C56B01"/>
    <w:rsid w:val="00C56C41"/>
    <w:rsid w:val="00C56CA6"/>
    <w:rsid w:val="00C56F34"/>
    <w:rsid w:val="00C56FBD"/>
    <w:rsid w:val="00C5707A"/>
    <w:rsid w:val="00C570A3"/>
    <w:rsid w:val="00C57107"/>
    <w:rsid w:val="00C57126"/>
    <w:rsid w:val="00C57187"/>
    <w:rsid w:val="00C571B1"/>
    <w:rsid w:val="00C572BB"/>
    <w:rsid w:val="00C57312"/>
    <w:rsid w:val="00C57392"/>
    <w:rsid w:val="00C57398"/>
    <w:rsid w:val="00C573CD"/>
    <w:rsid w:val="00C573ED"/>
    <w:rsid w:val="00C5741A"/>
    <w:rsid w:val="00C5742A"/>
    <w:rsid w:val="00C574C3"/>
    <w:rsid w:val="00C575E4"/>
    <w:rsid w:val="00C5761E"/>
    <w:rsid w:val="00C5762B"/>
    <w:rsid w:val="00C576A7"/>
    <w:rsid w:val="00C576B4"/>
    <w:rsid w:val="00C57746"/>
    <w:rsid w:val="00C577A9"/>
    <w:rsid w:val="00C577B7"/>
    <w:rsid w:val="00C5789C"/>
    <w:rsid w:val="00C57B38"/>
    <w:rsid w:val="00C57B8D"/>
    <w:rsid w:val="00C57B9D"/>
    <w:rsid w:val="00C57C82"/>
    <w:rsid w:val="00C57CA1"/>
    <w:rsid w:val="00C57E5A"/>
    <w:rsid w:val="00C57F5B"/>
    <w:rsid w:val="00C57FDE"/>
    <w:rsid w:val="00C60090"/>
    <w:rsid w:val="00C6017D"/>
    <w:rsid w:val="00C60249"/>
    <w:rsid w:val="00C6056A"/>
    <w:rsid w:val="00C60590"/>
    <w:rsid w:val="00C6060D"/>
    <w:rsid w:val="00C60767"/>
    <w:rsid w:val="00C607A9"/>
    <w:rsid w:val="00C608EB"/>
    <w:rsid w:val="00C6092A"/>
    <w:rsid w:val="00C609BE"/>
    <w:rsid w:val="00C60A32"/>
    <w:rsid w:val="00C60A39"/>
    <w:rsid w:val="00C60A6B"/>
    <w:rsid w:val="00C60AEC"/>
    <w:rsid w:val="00C60B23"/>
    <w:rsid w:val="00C60B5D"/>
    <w:rsid w:val="00C60C77"/>
    <w:rsid w:val="00C60DD5"/>
    <w:rsid w:val="00C61025"/>
    <w:rsid w:val="00C61070"/>
    <w:rsid w:val="00C61199"/>
    <w:rsid w:val="00C612A0"/>
    <w:rsid w:val="00C612EE"/>
    <w:rsid w:val="00C6138B"/>
    <w:rsid w:val="00C61430"/>
    <w:rsid w:val="00C61467"/>
    <w:rsid w:val="00C6152F"/>
    <w:rsid w:val="00C61567"/>
    <w:rsid w:val="00C615F0"/>
    <w:rsid w:val="00C6168B"/>
    <w:rsid w:val="00C616B3"/>
    <w:rsid w:val="00C6174E"/>
    <w:rsid w:val="00C617DA"/>
    <w:rsid w:val="00C6184B"/>
    <w:rsid w:val="00C618F3"/>
    <w:rsid w:val="00C6192E"/>
    <w:rsid w:val="00C61952"/>
    <w:rsid w:val="00C61A30"/>
    <w:rsid w:val="00C61A51"/>
    <w:rsid w:val="00C61AC6"/>
    <w:rsid w:val="00C61BB9"/>
    <w:rsid w:val="00C61C43"/>
    <w:rsid w:val="00C61C44"/>
    <w:rsid w:val="00C61C8B"/>
    <w:rsid w:val="00C61D7C"/>
    <w:rsid w:val="00C61D7D"/>
    <w:rsid w:val="00C61E48"/>
    <w:rsid w:val="00C61F4D"/>
    <w:rsid w:val="00C61F63"/>
    <w:rsid w:val="00C61FE7"/>
    <w:rsid w:val="00C62012"/>
    <w:rsid w:val="00C62014"/>
    <w:rsid w:val="00C620F4"/>
    <w:rsid w:val="00C62158"/>
    <w:rsid w:val="00C6229A"/>
    <w:rsid w:val="00C62319"/>
    <w:rsid w:val="00C623FD"/>
    <w:rsid w:val="00C62495"/>
    <w:rsid w:val="00C624FB"/>
    <w:rsid w:val="00C6252D"/>
    <w:rsid w:val="00C62537"/>
    <w:rsid w:val="00C62555"/>
    <w:rsid w:val="00C62556"/>
    <w:rsid w:val="00C6262B"/>
    <w:rsid w:val="00C62678"/>
    <w:rsid w:val="00C626A6"/>
    <w:rsid w:val="00C6297F"/>
    <w:rsid w:val="00C62988"/>
    <w:rsid w:val="00C62B08"/>
    <w:rsid w:val="00C62B57"/>
    <w:rsid w:val="00C62B7B"/>
    <w:rsid w:val="00C62EA2"/>
    <w:rsid w:val="00C62ECA"/>
    <w:rsid w:val="00C62F7D"/>
    <w:rsid w:val="00C630C9"/>
    <w:rsid w:val="00C630D2"/>
    <w:rsid w:val="00C63202"/>
    <w:rsid w:val="00C63242"/>
    <w:rsid w:val="00C6324B"/>
    <w:rsid w:val="00C63285"/>
    <w:rsid w:val="00C632B5"/>
    <w:rsid w:val="00C6345E"/>
    <w:rsid w:val="00C634D8"/>
    <w:rsid w:val="00C63521"/>
    <w:rsid w:val="00C635C1"/>
    <w:rsid w:val="00C6365D"/>
    <w:rsid w:val="00C636D0"/>
    <w:rsid w:val="00C636F5"/>
    <w:rsid w:val="00C63764"/>
    <w:rsid w:val="00C637A4"/>
    <w:rsid w:val="00C6387A"/>
    <w:rsid w:val="00C638B8"/>
    <w:rsid w:val="00C639F1"/>
    <w:rsid w:val="00C63A44"/>
    <w:rsid w:val="00C63A76"/>
    <w:rsid w:val="00C63A82"/>
    <w:rsid w:val="00C63B98"/>
    <w:rsid w:val="00C63CD2"/>
    <w:rsid w:val="00C63DF7"/>
    <w:rsid w:val="00C63EEB"/>
    <w:rsid w:val="00C63F19"/>
    <w:rsid w:val="00C63FEB"/>
    <w:rsid w:val="00C6409F"/>
    <w:rsid w:val="00C64113"/>
    <w:rsid w:val="00C64155"/>
    <w:rsid w:val="00C64246"/>
    <w:rsid w:val="00C642CA"/>
    <w:rsid w:val="00C6433C"/>
    <w:rsid w:val="00C6435D"/>
    <w:rsid w:val="00C6435F"/>
    <w:rsid w:val="00C64383"/>
    <w:rsid w:val="00C644FD"/>
    <w:rsid w:val="00C6468F"/>
    <w:rsid w:val="00C646BF"/>
    <w:rsid w:val="00C646D5"/>
    <w:rsid w:val="00C646EF"/>
    <w:rsid w:val="00C64941"/>
    <w:rsid w:val="00C64948"/>
    <w:rsid w:val="00C649C1"/>
    <w:rsid w:val="00C64A32"/>
    <w:rsid w:val="00C64A70"/>
    <w:rsid w:val="00C64A76"/>
    <w:rsid w:val="00C64A87"/>
    <w:rsid w:val="00C64AA0"/>
    <w:rsid w:val="00C64AB3"/>
    <w:rsid w:val="00C64C81"/>
    <w:rsid w:val="00C64E8B"/>
    <w:rsid w:val="00C64F97"/>
    <w:rsid w:val="00C64FEA"/>
    <w:rsid w:val="00C6500A"/>
    <w:rsid w:val="00C6505B"/>
    <w:rsid w:val="00C6514C"/>
    <w:rsid w:val="00C651C5"/>
    <w:rsid w:val="00C65237"/>
    <w:rsid w:val="00C65263"/>
    <w:rsid w:val="00C6535F"/>
    <w:rsid w:val="00C653EF"/>
    <w:rsid w:val="00C65490"/>
    <w:rsid w:val="00C654BB"/>
    <w:rsid w:val="00C65500"/>
    <w:rsid w:val="00C655CE"/>
    <w:rsid w:val="00C6567E"/>
    <w:rsid w:val="00C656FC"/>
    <w:rsid w:val="00C65739"/>
    <w:rsid w:val="00C6573C"/>
    <w:rsid w:val="00C657FE"/>
    <w:rsid w:val="00C65962"/>
    <w:rsid w:val="00C659E2"/>
    <w:rsid w:val="00C65A43"/>
    <w:rsid w:val="00C65A92"/>
    <w:rsid w:val="00C65BE2"/>
    <w:rsid w:val="00C65C6A"/>
    <w:rsid w:val="00C65D64"/>
    <w:rsid w:val="00C65DAE"/>
    <w:rsid w:val="00C65E3C"/>
    <w:rsid w:val="00C65EFD"/>
    <w:rsid w:val="00C65FD9"/>
    <w:rsid w:val="00C65FF5"/>
    <w:rsid w:val="00C65FF7"/>
    <w:rsid w:val="00C66032"/>
    <w:rsid w:val="00C660B2"/>
    <w:rsid w:val="00C661CF"/>
    <w:rsid w:val="00C6628A"/>
    <w:rsid w:val="00C662B2"/>
    <w:rsid w:val="00C6636E"/>
    <w:rsid w:val="00C6643C"/>
    <w:rsid w:val="00C664C7"/>
    <w:rsid w:val="00C665EE"/>
    <w:rsid w:val="00C66646"/>
    <w:rsid w:val="00C6665C"/>
    <w:rsid w:val="00C666B9"/>
    <w:rsid w:val="00C666C8"/>
    <w:rsid w:val="00C666FE"/>
    <w:rsid w:val="00C66737"/>
    <w:rsid w:val="00C66821"/>
    <w:rsid w:val="00C668E3"/>
    <w:rsid w:val="00C66967"/>
    <w:rsid w:val="00C66A5E"/>
    <w:rsid w:val="00C66A8D"/>
    <w:rsid w:val="00C66C87"/>
    <w:rsid w:val="00C66DC1"/>
    <w:rsid w:val="00C66DCD"/>
    <w:rsid w:val="00C66F8A"/>
    <w:rsid w:val="00C67057"/>
    <w:rsid w:val="00C6710C"/>
    <w:rsid w:val="00C671DD"/>
    <w:rsid w:val="00C675ED"/>
    <w:rsid w:val="00C67848"/>
    <w:rsid w:val="00C6787A"/>
    <w:rsid w:val="00C67941"/>
    <w:rsid w:val="00C67980"/>
    <w:rsid w:val="00C67A4D"/>
    <w:rsid w:val="00C67AF7"/>
    <w:rsid w:val="00C67B5D"/>
    <w:rsid w:val="00C67B6D"/>
    <w:rsid w:val="00C67BB9"/>
    <w:rsid w:val="00C67C2D"/>
    <w:rsid w:val="00C67C35"/>
    <w:rsid w:val="00C67E18"/>
    <w:rsid w:val="00C67F3C"/>
    <w:rsid w:val="00C7001F"/>
    <w:rsid w:val="00C700B9"/>
    <w:rsid w:val="00C700BC"/>
    <w:rsid w:val="00C702C7"/>
    <w:rsid w:val="00C702DC"/>
    <w:rsid w:val="00C704BB"/>
    <w:rsid w:val="00C70541"/>
    <w:rsid w:val="00C7056E"/>
    <w:rsid w:val="00C70588"/>
    <w:rsid w:val="00C705D3"/>
    <w:rsid w:val="00C705E7"/>
    <w:rsid w:val="00C70689"/>
    <w:rsid w:val="00C706EE"/>
    <w:rsid w:val="00C70893"/>
    <w:rsid w:val="00C70981"/>
    <w:rsid w:val="00C709BF"/>
    <w:rsid w:val="00C70A4C"/>
    <w:rsid w:val="00C70A9A"/>
    <w:rsid w:val="00C70C2E"/>
    <w:rsid w:val="00C70CAE"/>
    <w:rsid w:val="00C70D2D"/>
    <w:rsid w:val="00C70D9D"/>
    <w:rsid w:val="00C70E8A"/>
    <w:rsid w:val="00C7100E"/>
    <w:rsid w:val="00C71101"/>
    <w:rsid w:val="00C713C1"/>
    <w:rsid w:val="00C714D6"/>
    <w:rsid w:val="00C71582"/>
    <w:rsid w:val="00C715A3"/>
    <w:rsid w:val="00C7164D"/>
    <w:rsid w:val="00C71689"/>
    <w:rsid w:val="00C71749"/>
    <w:rsid w:val="00C717CB"/>
    <w:rsid w:val="00C7186C"/>
    <w:rsid w:val="00C7197B"/>
    <w:rsid w:val="00C71A46"/>
    <w:rsid w:val="00C71A7B"/>
    <w:rsid w:val="00C71B0E"/>
    <w:rsid w:val="00C71B57"/>
    <w:rsid w:val="00C71CB0"/>
    <w:rsid w:val="00C71CDD"/>
    <w:rsid w:val="00C71E4D"/>
    <w:rsid w:val="00C71EC5"/>
    <w:rsid w:val="00C72085"/>
    <w:rsid w:val="00C720E0"/>
    <w:rsid w:val="00C72153"/>
    <w:rsid w:val="00C72155"/>
    <w:rsid w:val="00C7221C"/>
    <w:rsid w:val="00C72235"/>
    <w:rsid w:val="00C72395"/>
    <w:rsid w:val="00C72408"/>
    <w:rsid w:val="00C72454"/>
    <w:rsid w:val="00C724E5"/>
    <w:rsid w:val="00C725B7"/>
    <w:rsid w:val="00C726BC"/>
    <w:rsid w:val="00C726F3"/>
    <w:rsid w:val="00C72710"/>
    <w:rsid w:val="00C72787"/>
    <w:rsid w:val="00C72807"/>
    <w:rsid w:val="00C729C7"/>
    <w:rsid w:val="00C72B1B"/>
    <w:rsid w:val="00C72B6D"/>
    <w:rsid w:val="00C72BAA"/>
    <w:rsid w:val="00C72BB6"/>
    <w:rsid w:val="00C72C92"/>
    <w:rsid w:val="00C72D00"/>
    <w:rsid w:val="00C72D37"/>
    <w:rsid w:val="00C72E02"/>
    <w:rsid w:val="00C72EE1"/>
    <w:rsid w:val="00C72F0F"/>
    <w:rsid w:val="00C72F80"/>
    <w:rsid w:val="00C72FE5"/>
    <w:rsid w:val="00C73051"/>
    <w:rsid w:val="00C73059"/>
    <w:rsid w:val="00C73068"/>
    <w:rsid w:val="00C730A6"/>
    <w:rsid w:val="00C732C2"/>
    <w:rsid w:val="00C733D7"/>
    <w:rsid w:val="00C73462"/>
    <w:rsid w:val="00C7349D"/>
    <w:rsid w:val="00C734D4"/>
    <w:rsid w:val="00C7379E"/>
    <w:rsid w:val="00C7384D"/>
    <w:rsid w:val="00C738B9"/>
    <w:rsid w:val="00C7394A"/>
    <w:rsid w:val="00C739BE"/>
    <w:rsid w:val="00C739D5"/>
    <w:rsid w:val="00C73A72"/>
    <w:rsid w:val="00C73A77"/>
    <w:rsid w:val="00C73AF7"/>
    <w:rsid w:val="00C73B25"/>
    <w:rsid w:val="00C73C42"/>
    <w:rsid w:val="00C73D30"/>
    <w:rsid w:val="00C73D4E"/>
    <w:rsid w:val="00C73D97"/>
    <w:rsid w:val="00C73F87"/>
    <w:rsid w:val="00C73F88"/>
    <w:rsid w:val="00C74088"/>
    <w:rsid w:val="00C740F8"/>
    <w:rsid w:val="00C74185"/>
    <w:rsid w:val="00C74215"/>
    <w:rsid w:val="00C7429C"/>
    <w:rsid w:val="00C7441F"/>
    <w:rsid w:val="00C74453"/>
    <w:rsid w:val="00C744F2"/>
    <w:rsid w:val="00C74642"/>
    <w:rsid w:val="00C74702"/>
    <w:rsid w:val="00C74710"/>
    <w:rsid w:val="00C74845"/>
    <w:rsid w:val="00C74880"/>
    <w:rsid w:val="00C749B3"/>
    <w:rsid w:val="00C749E1"/>
    <w:rsid w:val="00C74A44"/>
    <w:rsid w:val="00C74B76"/>
    <w:rsid w:val="00C74BB5"/>
    <w:rsid w:val="00C74BBB"/>
    <w:rsid w:val="00C74DE5"/>
    <w:rsid w:val="00C74E15"/>
    <w:rsid w:val="00C74FE2"/>
    <w:rsid w:val="00C75037"/>
    <w:rsid w:val="00C750DD"/>
    <w:rsid w:val="00C750F0"/>
    <w:rsid w:val="00C7518A"/>
    <w:rsid w:val="00C751A7"/>
    <w:rsid w:val="00C751F0"/>
    <w:rsid w:val="00C7525B"/>
    <w:rsid w:val="00C75325"/>
    <w:rsid w:val="00C754FB"/>
    <w:rsid w:val="00C755DC"/>
    <w:rsid w:val="00C7560C"/>
    <w:rsid w:val="00C756E5"/>
    <w:rsid w:val="00C75720"/>
    <w:rsid w:val="00C758A6"/>
    <w:rsid w:val="00C75ABF"/>
    <w:rsid w:val="00C75B40"/>
    <w:rsid w:val="00C75BA3"/>
    <w:rsid w:val="00C75BBD"/>
    <w:rsid w:val="00C75C71"/>
    <w:rsid w:val="00C75CD3"/>
    <w:rsid w:val="00C75DB2"/>
    <w:rsid w:val="00C75DE5"/>
    <w:rsid w:val="00C75FC3"/>
    <w:rsid w:val="00C76015"/>
    <w:rsid w:val="00C76219"/>
    <w:rsid w:val="00C762DC"/>
    <w:rsid w:val="00C762EB"/>
    <w:rsid w:val="00C762FB"/>
    <w:rsid w:val="00C76379"/>
    <w:rsid w:val="00C7661A"/>
    <w:rsid w:val="00C7669C"/>
    <w:rsid w:val="00C766EE"/>
    <w:rsid w:val="00C76708"/>
    <w:rsid w:val="00C767EE"/>
    <w:rsid w:val="00C76862"/>
    <w:rsid w:val="00C76879"/>
    <w:rsid w:val="00C76884"/>
    <w:rsid w:val="00C769DE"/>
    <w:rsid w:val="00C76AD6"/>
    <w:rsid w:val="00C76AFE"/>
    <w:rsid w:val="00C76B1B"/>
    <w:rsid w:val="00C76BC5"/>
    <w:rsid w:val="00C76CA1"/>
    <w:rsid w:val="00C76E2B"/>
    <w:rsid w:val="00C76E67"/>
    <w:rsid w:val="00C76E8F"/>
    <w:rsid w:val="00C76ECF"/>
    <w:rsid w:val="00C76F2F"/>
    <w:rsid w:val="00C76FAD"/>
    <w:rsid w:val="00C77064"/>
    <w:rsid w:val="00C770B1"/>
    <w:rsid w:val="00C770B3"/>
    <w:rsid w:val="00C77109"/>
    <w:rsid w:val="00C77113"/>
    <w:rsid w:val="00C771B6"/>
    <w:rsid w:val="00C77228"/>
    <w:rsid w:val="00C7732E"/>
    <w:rsid w:val="00C77463"/>
    <w:rsid w:val="00C77468"/>
    <w:rsid w:val="00C77539"/>
    <w:rsid w:val="00C77596"/>
    <w:rsid w:val="00C775F7"/>
    <w:rsid w:val="00C7774F"/>
    <w:rsid w:val="00C77809"/>
    <w:rsid w:val="00C778A4"/>
    <w:rsid w:val="00C77A58"/>
    <w:rsid w:val="00C77B50"/>
    <w:rsid w:val="00C77B82"/>
    <w:rsid w:val="00C77BA1"/>
    <w:rsid w:val="00C77BD6"/>
    <w:rsid w:val="00C77C2D"/>
    <w:rsid w:val="00C77C57"/>
    <w:rsid w:val="00C77C60"/>
    <w:rsid w:val="00C77CF6"/>
    <w:rsid w:val="00C77F26"/>
    <w:rsid w:val="00C77FA7"/>
    <w:rsid w:val="00C8003D"/>
    <w:rsid w:val="00C80139"/>
    <w:rsid w:val="00C8029C"/>
    <w:rsid w:val="00C803CF"/>
    <w:rsid w:val="00C803E7"/>
    <w:rsid w:val="00C80598"/>
    <w:rsid w:val="00C8064E"/>
    <w:rsid w:val="00C807B7"/>
    <w:rsid w:val="00C807FB"/>
    <w:rsid w:val="00C80879"/>
    <w:rsid w:val="00C808EA"/>
    <w:rsid w:val="00C8091E"/>
    <w:rsid w:val="00C809B6"/>
    <w:rsid w:val="00C809E4"/>
    <w:rsid w:val="00C80A18"/>
    <w:rsid w:val="00C80A55"/>
    <w:rsid w:val="00C80BBD"/>
    <w:rsid w:val="00C80BF4"/>
    <w:rsid w:val="00C80C48"/>
    <w:rsid w:val="00C80C4B"/>
    <w:rsid w:val="00C80D50"/>
    <w:rsid w:val="00C80D53"/>
    <w:rsid w:val="00C80E1B"/>
    <w:rsid w:val="00C80F2E"/>
    <w:rsid w:val="00C80F43"/>
    <w:rsid w:val="00C80F98"/>
    <w:rsid w:val="00C80F9F"/>
    <w:rsid w:val="00C8104B"/>
    <w:rsid w:val="00C810D0"/>
    <w:rsid w:val="00C81177"/>
    <w:rsid w:val="00C81191"/>
    <w:rsid w:val="00C81269"/>
    <w:rsid w:val="00C81388"/>
    <w:rsid w:val="00C81422"/>
    <w:rsid w:val="00C81435"/>
    <w:rsid w:val="00C81538"/>
    <w:rsid w:val="00C8155A"/>
    <w:rsid w:val="00C815ED"/>
    <w:rsid w:val="00C815FE"/>
    <w:rsid w:val="00C816E1"/>
    <w:rsid w:val="00C81944"/>
    <w:rsid w:val="00C81A0D"/>
    <w:rsid w:val="00C81AA2"/>
    <w:rsid w:val="00C81B54"/>
    <w:rsid w:val="00C81B7B"/>
    <w:rsid w:val="00C81D3D"/>
    <w:rsid w:val="00C81DA5"/>
    <w:rsid w:val="00C81E97"/>
    <w:rsid w:val="00C81F4E"/>
    <w:rsid w:val="00C81FAD"/>
    <w:rsid w:val="00C82082"/>
    <w:rsid w:val="00C8214F"/>
    <w:rsid w:val="00C821C0"/>
    <w:rsid w:val="00C822E7"/>
    <w:rsid w:val="00C823FA"/>
    <w:rsid w:val="00C82545"/>
    <w:rsid w:val="00C82650"/>
    <w:rsid w:val="00C8268E"/>
    <w:rsid w:val="00C8269E"/>
    <w:rsid w:val="00C8270C"/>
    <w:rsid w:val="00C8290E"/>
    <w:rsid w:val="00C82B9D"/>
    <w:rsid w:val="00C82C45"/>
    <w:rsid w:val="00C82CDC"/>
    <w:rsid w:val="00C82D4A"/>
    <w:rsid w:val="00C82DC7"/>
    <w:rsid w:val="00C82E0D"/>
    <w:rsid w:val="00C82EFA"/>
    <w:rsid w:val="00C8313F"/>
    <w:rsid w:val="00C83256"/>
    <w:rsid w:val="00C8350A"/>
    <w:rsid w:val="00C835F9"/>
    <w:rsid w:val="00C83616"/>
    <w:rsid w:val="00C8369A"/>
    <w:rsid w:val="00C83708"/>
    <w:rsid w:val="00C8382E"/>
    <w:rsid w:val="00C83A76"/>
    <w:rsid w:val="00C83A8E"/>
    <w:rsid w:val="00C83E40"/>
    <w:rsid w:val="00C83F36"/>
    <w:rsid w:val="00C83F64"/>
    <w:rsid w:val="00C83F68"/>
    <w:rsid w:val="00C8404C"/>
    <w:rsid w:val="00C840A7"/>
    <w:rsid w:val="00C840D0"/>
    <w:rsid w:val="00C84112"/>
    <w:rsid w:val="00C8417D"/>
    <w:rsid w:val="00C84257"/>
    <w:rsid w:val="00C84347"/>
    <w:rsid w:val="00C844B4"/>
    <w:rsid w:val="00C84572"/>
    <w:rsid w:val="00C8458B"/>
    <w:rsid w:val="00C84687"/>
    <w:rsid w:val="00C846E2"/>
    <w:rsid w:val="00C846E8"/>
    <w:rsid w:val="00C8472A"/>
    <w:rsid w:val="00C8473D"/>
    <w:rsid w:val="00C84773"/>
    <w:rsid w:val="00C84988"/>
    <w:rsid w:val="00C849F8"/>
    <w:rsid w:val="00C84A51"/>
    <w:rsid w:val="00C84B86"/>
    <w:rsid w:val="00C84BA9"/>
    <w:rsid w:val="00C84BAC"/>
    <w:rsid w:val="00C84DE0"/>
    <w:rsid w:val="00C84E01"/>
    <w:rsid w:val="00C84EE1"/>
    <w:rsid w:val="00C84F86"/>
    <w:rsid w:val="00C84FAF"/>
    <w:rsid w:val="00C8507C"/>
    <w:rsid w:val="00C850A6"/>
    <w:rsid w:val="00C850A9"/>
    <w:rsid w:val="00C85124"/>
    <w:rsid w:val="00C8515E"/>
    <w:rsid w:val="00C851B9"/>
    <w:rsid w:val="00C85273"/>
    <w:rsid w:val="00C852D4"/>
    <w:rsid w:val="00C853C6"/>
    <w:rsid w:val="00C85669"/>
    <w:rsid w:val="00C856EC"/>
    <w:rsid w:val="00C8573F"/>
    <w:rsid w:val="00C858CB"/>
    <w:rsid w:val="00C859A4"/>
    <w:rsid w:val="00C859AE"/>
    <w:rsid w:val="00C85AEE"/>
    <w:rsid w:val="00C85BC1"/>
    <w:rsid w:val="00C85D1B"/>
    <w:rsid w:val="00C85D31"/>
    <w:rsid w:val="00C85D89"/>
    <w:rsid w:val="00C85DA0"/>
    <w:rsid w:val="00C85DB6"/>
    <w:rsid w:val="00C85FB9"/>
    <w:rsid w:val="00C86040"/>
    <w:rsid w:val="00C860F6"/>
    <w:rsid w:val="00C86144"/>
    <w:rsid w:val="00C86165"/>
    <w:rsid w:val="00C86295"/>
    <w:rsid w:val="00C862AD"/>
    <w:rsid w:val="00C8641A"/>
    <w:rsid w:val="00C86504"/>
    <w:rsid w:val="00C8654C"/>
    <w:rsid w:val="00C865F0"/>
    <w:rsid w:val="00C86617"/>
    <w:rsid w:val="00C86687"/>
    <w:rsid w:val="00C866FD"/>
    <w:rsid w:val="00C867AE"/>
    <w:rsid w:val="00C867C2"/>
    <w:rsid w:val="00C8685B"/>
    <w:rsid w:val="00C86887"/>
    <w:rsid w:val="00C86B57"/>
    <w:rsid w:val="00C86B85"/>
    <w:rsid w:val="00C86C07"/>
    <w:rsid w:val="00C86C20"/>
    <w:rsid w:val="00C86C24"/>
    <w:rsid w:val="00C86D49"/>
    <w:rsid w:val="00C86DB6"/>
    <w:rsid w:val="00C86DBC"/>
    <w:rsid w:val="00C86DDE"/>
    <w:rsid w:val="00C86E5E"/>
    <w:rsid w:val="00C86EF1"/>
    <w:rsid w:val="00C86FA5"/>
    <w:rsid w:val="00C8703B"/>
    <w:rsid w:val="00C8728E"/>
    <w:rsid w:val="00C872B6"/>
    <w:rsid w:val="00C87445"/>
    <w:rsid w:val="00C8744D"/>
    <w:rsid w:val="00C874B4"/>
    <w:rsid w:val="00C8753B"/>
    <w:rsid w:val="00C8756A"/>
    <w:rsid w:val="00C875A4"/>
    <w:rsid w:val="00C875D5"/>
    <w:rsid w:val="00C876F2"/>
    <w:rsid w:val="00C877B2"/>
    <w:rsid w:val="00C8788C"/>
    <w:rsid w:val="00C878FD"/>
    <w:rsid w:val="00C87A05"/>
    <w:rsid w:val="00C87A9E"/>
    <w:rsid w:val="00C87AC7"/>
    <w:rsid w:val="00C87AE0"/>
    <w:rsid w:val="00C87B01"/>
    <w:rsid w:val="00C87B42"/>
    <w:rsid w:val="00C87C0B"/>
    <w:rsid w:val="00C87C27"/>
    <w:rsid w:val="00C87C65"/>
    <w:rsid w:val="00C87C84"/>
    <w:rsid w:val="00C87C87"/>
    <w:rsid w:val="00C87CF6"/>
    <w:rsid w:val="00C87D33"/>
    <w:rsid w:val="00C87EA8"/>
    <w:rsid w:val="00C87EB3"/>
    <w:rsid w:val="00C901DB"/>
    <w:rsid w:val="00C902E2"/>
    <w:rsid w:val="00C903B8"/>
    <w:rsid w:val="00C903EE"/>
    <w:rsid w:val="00C9048A"/>
    <w:rsid w:val="00C9052B"/>
    <w:rsid w:val="00C9053F"/>
    <w:rsid w:val="00C9054A"/>
    <w:rsid w:val="00C905D1"/>
    <w:rsid w:val="00C9061D"/>
    <w:rsid w:val="00C90683"/>
    <w:rsid w:val="00C906AB"/>
    <w:rsid w:val="00C906C7"/>
    <w:rsid w:val="00C906D7"/>
    <w:rsid w:val="00C90704"/>
    <w:rsid w:val="00C90710"/>
    <w:rsid w:val="00C9073E"/>
    <w:rsid w:val="00C90802"/>
    <w:rsid w:val="00C90818"/>
    <w:rsid w:val="00C9083B"/>
    <w:rsid w:val="00C90840"/>
    <w:rsid w:val="00C90972"/>
    <w:rsid w:val="00C90A84"/>
    <w:rsid w:val="00C90BEB"/>
    <w:rsid w:val="00C90CC6"/>
    <w:rsid w:val="00C90E6E"/>
    <w:rsid w:val="00C90E90"/>
    <w:rsid w:val="00C90E9F"/>
    <w:rsid w:val="00C90F2B"/>
    <w:rsid w:val="00C90F44"/>
    <w:rsid w:val="00C90FB4"/>
    <w:rsid w:val="00C9103F"/>
    <w:rsid w:val="00C91127"/>
    <w:rsid w:val="00C91159"/>
    <w:rsid w:val="00C911DB"/>
    <w:rsid w:val="00C912CC"/>
    <w:rsid w:val="00C9131E"/>
    <w:rsid w:val="00C91380"/>
    <w:rsid w:val="00C913B2"/>
    <w:rsid w:val="00C913EE"/>
    <w:rsid w:val="00C913F4"/>
    <w:rsid w:val="00C91459"/>
    <w:rsid w:val="00C9148F"/>
    <w:rsid w:val="00C914AE"/>
    <w:rsid w:val="00C914B4"/>
    <w:rsid w:val="00C9154F"/>
    <w:rsid w:val="00C91744"/>
    <w:rsid w:val="00C91850"/>
    <w:rsid w:val="00C91BFC"/>
    <w:rsid w:val="00C91ED1"/>
    <w:rsid w:val="00C91F41"/>
    <w:rsid w:val="00C91F63"/>
    <w:rsid w:val="00C921AC"/>
    <w:rsid w:val="00C9220B"/>
    <w:rsid w:val="00C92247"/>
    <w:rsid w:val="00C923C1"/>
    <w:rsid w:val="00C923C6"/>
    <w:rsid w:val="00C9254C"/>
    <w:rsid w:val="00C9268A"/>
    <w:rsid w:val="00C92696"/>
    <w:rsid w:val="00C926C3"/>
    <w:rsid w:val="00C926F4"/>
    <w:rsid w:val="00C9279D"/>
    <w:rsid w:val="00C928C4"/>
    <w:rsid w:val="00C92AFC"/>
    <w:rsid w:val="00C92BE4"/>
    <w:rsid w:val="00C92C74"/>
    <w:rsid w:val="00C92C80"/>
    <w:rsid w:val="00C92CDA"/>
    <w:rsid w:val="00C92DAE"/>
    <w:rsid w:val="00C92E5F"/>
    <w:rsid w:val="00C92EBE"/>
    <w:rsid w:val="00C92EC3"/>
    <w:rsid w:val="00C92F87"/>
    <w:rsid w:val="00C92FB9"/>
    <w:rsid w:val="00C93094"/>
    <w:rsid w:val="00C930A6"/>
    <w:rsid w:val="00C930A8"/>
    <w:rsid w:val="00C930F0"/>
    <w:rsid w:val="00C93229"/>
    <w:rsid w:val="00C932B2"/>
    <w:rsid w:val="00C932D0"/>
    <w:rsid w:val="00C93351"/>
    <w:rsid w:val="00C9347D"/>
    <w:rsid w:val="00C934BA"/>
    <w:rsid w:val="00C93570"/>
    <w:rsid w:val="00C935E1"/>
    <w:rsid w:val="00C9370A"/>
    <w:rsid w:val="00C93AC3"/>
    <w:rsid w:val="00C93AC8"/>
    <w:rsid w:val="00C93CB0"/>
    <w:rsid w:val="00C93CBF"/>
    <w:rsid w:val="00C93D3D"/>
    <w:rsid w:val="00C93EE7"/>
    <w:rsid w:val="00C93EF2"/>
    <w:rsid w:val="00C942E9"/>
    <w:rsid w:val="00C94320"/>
    <w:rsid w:val="00C943E6"/>
    <w:rsid w:val="00C944BA"/>
    <w:rsid w:val="00C94582"/>
    <w:rsid w:val="00C946CF"/>
    <w:rsid w:val="00C9476A"/>
    <w:rsid w:val="00C9478C"/>
    <w:rsid w:val="00C94912"/>
    <w:rsid w:val="00C9493F"/>
    <w:rsid w:val="00C94B2A"/>
    <w:rsid w:val="00C94CDC"/>
    <w:rsid w:val="00C94E4E"/>
    <w:rsid w:val="00C94E68"/>
    <w:rsid w:val="00C94EB4"/>
    <w:rsid w:val="00C94EBC"/>
    <w:rsid w:val="00C94F46"/>
    <w:rsid w:val="00C94F6C"/>
    <w:rsid w:val="00C94F7D"/>
    <w:rsid w:val="00C95089"/>
    <w:rsid w:val="00C95189"/>
    <w:rsid w:val="00C951A8"/>
    <w:rsid w:val="00C95263"/>
    <w:rsid w:val="00C95472"/>
    <w:rsid w:val="00C954B7"/>
    <w:rsid w:val="00C954DD"/>
    <w:rsid w:val="00C954FB"/>
    <w:rsid w:val="00C95590"/>
    <w:rsid w:val="00C955B0"/>
    <w:rsid w:val="00C9566F"/>
    <w:rsid w:val="00C95799"/>
    <w:rsid w:val="00C9583F"/>
    <w:rsid w:val="00C95902"/>
    <w:rsid w:val="00C95B49"/>
    <w:rsid w:val="00C95B5F"/>
    <w:rsid w:val="00C95B8F"/>
    <w:rsid w:val="00C95BFD"/>
    <w:rsid w:val="00C95D9E"/>
    <w:rsid w:val="00C95E3D"/>
    <w:rsid w:val="00C95FF5"/>
    <w:rsid w:val="00C960DF"/>
    <w:rsid w:val="00C9615C"/>
    <w:rsid w:val="00C96165"/>
    <w:rsid w:val="00C96381"/>
    <w:rsid w:val="00C96432"/>
    <w:rsid w:val="00C96517"/>
    <w:rsid w:val="00C966BD"/>
    <w:rsid w:val="00C9670A"/>
    <w:rsid w:val="00C967F9"/>
    <w:rsid w:val="00C96802"/>
    <w:rsid w:val="00C9680E"/>
    <w:rsid w:val="00C968A4"/>
    <w:rsid w:val="00C96920"/>
    <w:rsid w:val="00C96937"/>
    <w:rsid w:val="00C96951"/>
    <w:rsid w:val="00C96B6F"/>
    <w:rsid w:val="00C96C3D"/>
    <w:rsid w:val="00C96CCD"/>
    <w:rsid w:val="00C96D56"/>
    <w:rsid w:val="00C96DC7"/>
    <w:rsid w:val="00C96DFA"/>
    <w:rsid w:val="00C96EA8"/>
    <w:rsid w:val="00C96EE1"/>
    <w:rsid w:val="00C97083"/>
    <w:rsid w:val="00C971B9"/>
    <w:rsid w:val="00C971EC"/>
    <w:rsid w:val="00C97264"/>
    <w:rsid w:val="00C97412"/>
    <w:rsid w:val="00C974CD"/>
    <w:rsid w:val="00C974EF"/>
    <w:rsid w:val="00C976E0"/>
    <w:rsid w:val="00C97947"/>
    <w:rsid w:val="00C979AB"/>
    <w:rsid w:val="00C979D7"/>
    <w:rsid w:val="00C97A0F"/>
    <w:rsid w:val="00C97A7B"/>
    <w:rsid w:val="00C97BE8"/>
    <w:rsid w:val="00C97C1E"/>
    <w:rsid w:val="00C97C98"/>
    <w:rsid w:val="00C97CE5"/>
    <w:rsid w:val="00C97D1D"/>
    <w:rsid w:val="00C97D42"/>
    <w:rsid w:val="00C97DDF"/>
    <w:rsid w:val="00C97DFF"/>
    <w:rsid w:val="00C97E17"/>
    <w:rsid w:val="00CA01E6"/>
    <w:rsid w:val="00CA02BD"/>
    <w:rsid w:val="00CA034C"/>
    <w:rsid w:val="00CA04CA"/>
    <w:rsid w:val="00CA058E"/>
    <w:rsid w:val="00CA05C1"/>
    <w:rsid w:val="00CA0691"/>
    <w:rsid w:val="00CA0756"/>
    <w:rsid w:val="00CA0852"/>
    <w:rsid w:val="00CA09E4"/>
    <w:rsid w:val="00CA0A98"/>
    <w:rsid w:val="00CA0AA9"/>
    <w:rsid w:val="00CA0B8E"/>
    <w:rsid w:val="00CA0C4A"/>
    <w:rsid w:val="00CA0CCD"/>
    <w:rsid w:val="00CA0E8B"/>
    <w:rsid w:val="00CA0ED1"/>
    <w:rsid w:val="00CA0F06"/>
    <w:rsid w:val="00CA0F17"/>
    <w:rsid w:val="00CA1151"/>
    <w:rsid w:val="00CA11C1"/>
    <w:rsid w:val="00CA12A2"/>
    <w:rsid w:val="00CA1421"/>
    <w:rsid w:val="00CA142E"/>
    <w:rsid w:val="00CA1476"/>
    <w:rsid w:val="00CA1530"/>
    <w:rsid w:val="00CA1701"/>
    <w:rsid w:val="00CA1792"/>
    <w:rsid w:val="00CA17AA"/>
    <w:rsid w:val="00CA1823"/>
    <w:rsid w:val="00CA18C7"/>
    <w:rsid w:val="00CA18F5"/>
    <w:rsid w:val="00CA1935"/>
    <w:rsid w:val="00CA1A13"/>
    <w:rsid w:val="00CA1A2A"/>
    <w:rsid w:val="00CA1AFC"/>
    <w:rsid w:val="00CA1B30"/>
    <w:rsid w:val="00CA1B54"/>
    <w:rsid w:val="00CA1B5A"/>
    <w:rsid w:val="00CA1B5D"/>
    <w:rsid w:val="00CA1BE4"/>
    <w:rsid w:val="00CA1CF8"/>
    <w:rsid w:val="00CA1E6D"/>
    <w:rsid w:val="00CA1EC0"/>
    <w:rsid w:val="00CA1EF3"/>
    <w:rsid w:val="00CA1EFF"/>
    <w:rsid w:val="00CA2027"/>
    <w:rsid w:val="00CA22D5"/>
    <w:rsid w:val="00CA239E"/>
    <w:rsid w:val="00CA23CD"/>
    <w:rsid w:val="00CA243B"/>
    <w:rsid w:val="00CA24F8"/>
    <w:rsid w:val="00CA255E"/>
    <w:rsid w:val="00CA2596"/>
    <w:rsid w:val="00CA2604"/>
    <w:rsid w:val="00CA26C4"/>
    <w:rsid w:val="00CA273D"/>
    <w:rsid w:val="00CA27D0"/>
    <w:rsid w:val="00CA285A"/>
    <w:rsid w:val="00CA286D"/>
    <w:rsid w:val="00CA28B6"/>
    <w:rsid w:val="00CA299F"/>
    <w:rsid w:val="00CA29FC"/>
    <w:rsid w:val="00CA2A1B"/>
    <w:rsid w:val="00CA2A50"/>
    <w:rsid w:val="00CA2BE9"/>
    <w:rsid w:val="00CA2DBF"/>
    <w:rsid w:val="00CA2E3A"/>
    <w:rsid w:val="00CA2E3D"/>
    <w:rsid w:val="00CA2EFB"/>
    <w:rsid w:val="00CA2F35"/>
    <w:rsid w:val="00CA2F89"/>
    <w:rsid w:val="00CA3006"/>
    <w:rsid w:val="00CA300D"/>
    <w:rsid w:val="00CA320C"/>
    <w:rsid w:val="00CA3224"/>
    <w:rsid w:val="00CA32BA"/>
    <w:rsid w:val="00CA32C3"/>
    <w:rsid w:val="00CA3305"/>
    <w:rsid w:val="00CA33B9"/>
    <w:rsid w:val="00CA33C3"/>
    <w:rsid w:val="00CA340A"/>
    <w:rsid w:val="00CA3430"/>
    <w:rsid w:val="00CA34A5"/>
    <w:rsid w:val="00CA3578"/>
    <w:rsid w:val="00CA35E5"/>
    <w:rsid w:val="00CA364D"/>
    <w:rsid w:val="00CA3658"/>
    <w:rsid w:val="00CA3698"/>
    <w:rsid w:val="00CA36BA"/>
    <w:rsid w:val="00CA3727"/>
    <w:rsid w:val="00CA3770"/>
    <w:rsid w:val="00CA37EA"/>
    <w:rsid w:val="00CA389A"/>
    <w:rsid w:val="00CA38D7"/>
    <w:rsid w:val="00CA3A11"/>
    <w:rsid w:val="00CA3C81"/>
    <w:rsid w:val="00CA3D9C"/>
    <w:rsid w:val="00CA3DDE"/>
    <w:rsid w:val="00CA3E48"/>
    <w:rsid w:val="00CA3F0A"/>
    <w:rsid w:val="00CA4286"/>
    <w:rsid w:val="00CA42E2"/>
    <w:rsid w:val="00CA42E7"/>
    <w:rsid w:val="00CA439A"/>
    <w:rsid w:val="00CA4416"/>
    <w:rsid w:val="00CA444F"/>
    <w:rsid w:val="00CA44D0"/>
    <w:rsid w:val="00CA4568"/>
    <w:rsid w:val="00CA45D0"/>
    <w:rsid w:val="00CA45EC"/>
    <w:rsid w:val="00CA46D6"/>
    <w:rsid w:val="00CA4786"/>
    <w:rsid w:val="00CA493B"/>
    <w:rsid w:val="00CA4A86"/>
    <w:rsid w:val="00CA4C26"/>
    <w:rsid w:val="00CA4C94"/>
    <w:rsid w:val="00CA4CA8"/>
    <w:rsid w:val="00CA4D01"/>
    <w:rsid w:val="00CA4E63"/>
    <w:rsid w:val="00CA4E7C"/>
    <w:rsid w:val="00CA4EBA"/>
    <w:rsid w:val="00CA4F99"/>
    <w:rsid w:val="00CA50F7"/>
    <w:rsid w:val="00CA510C"/>
    <w:rsid w:val="00CA51F0"/>
    <w:rsid w:val="00CA52EA"/>
    <w:rsid w:val="00CA5366"/>
    <w:rsid w:val="00CA5373"/>
    <w:rsid w:val="00CA53F1"/>
    <w:rsid w:val="00CA5461"/>
    <w:rsid w:val="00CA554A"/>
    <w:rsid w:val="00CA5571"/>
    <w:rsid w:val="00CA5609"/>
    <w:rsid w:val="00CA5671"/>
    <w:rsid w:val="00CA5722"/>
    <w:rsid w:val="00CA579B"/>
    <w:rsid w:val="00CA57C4"/>
    <w:rsid w:val="00CA57F8"/>
    <w:rsid w:val="00CA581E"/>
    <w:rsid w:val="00CA586E"/>
    <w:rsid w:val="00CA589E"/>
    <w:rsid w:val="00CA58B9"/>
    <w:rsid w:val="00CA5945"/>
    <w:rsid w:val="00CA5955"/>
    <w:rsid w:val="00CA5983"/>
    <w:rsid w:val="00CA59BA"/>
    <w:rsid w:val="00CA5B05"/>
    <w:rsid w:val="00CA5B61"/>
    <w:rsid w:val="00CA5B8D"/>
    <w:rsid w:val="00CA5BDB"/>
    <w:rsid w:val="00CA5C58"/>
    <w:rsid w:val="00CA5CAB"/>
    <w:rsid w:val="00CA5EB3"/>
    <w:rsid w:val="00CA5F9C"/>
    <w:rsid w:val="00CA5FDA"/>
    <w:rsid w:val="00CA610E"/>
    <w:rsid w:val="00CA61AA"/>
    <w:rsid w:val="00CA62B2"/>
    <w:rsid w:val="00CA6383"/>
    <w:rsid w:val="00CA64A8"/>
    <w:rsid w:val="00CA64D4"/>
    <w:rsid w:val="00CA6505"/>
    <w:rsid w:val="00CA6546"/>
    <w:rsid w:val="00CA66D5"/>
    <w:rsid w:val="00CA676C"/>
    <w:rsid w:val="00CA6A55"/>
    <w:rsid w:val="00CA6AA5"/>
    <w:rsid w:val="00CA6ACB"/>
    <w:rsid w:val="00CA6B7E"/>
    <w:rsid w:val="00CA6BAA"/>
    <w:rsid w:val="00CA6BB0"/>
    <w:rsid w:val="00CA6BD2"/>
    <w:rsid w:val="00CA6D6B"/>
    <w:rsid w:val="00CA6F5E"/>
    <w:rsid w:val="00CA7036"/>
    <w:rsid w:val="00CA7084"/>
    <w:rsid w:val="00CA70CC"/>
    <w:rsid w:val="00CA711C"/>
    <w:rsid w:val="00CA716E"/>
    <w:rsid w:val="00CA71A6"/>
    <w:rsid w:val="00CA71EE"/>
    <w:rsid w:val="00CA71F5"/>
    <w:rsid w:val="00CA74EE"/>
    <w:rsid w:val="00CA7610"/>
    <w:rsid w:val="00CA7679"/>
    <w:rsid w:val="00CA795E"/>
    <w:rsid w:val="00CA79B2"/>
    <w:rsid w:val="00CA7A25"/>
    <w:rsid w:val="00CA7A39"/>
    <w:rsid w:val="00CA7ABE"/>
    <w:rsid w:val="00CA7B11"/>
    <w:rsid w:val="00CA7C12"/>
    <w:rsid w:val="00CA7E74"/>
    <w:rsid w:val="00CA7F57"/>
    <w:rsid w:val="00CAB59F"/>
    <w:rsid w:val="00CB0190"/>
    <w:rsid w:val="00CB0198"/>
    <w:rsid w:val="00CB027C"/>
    <w:rsid w:val="00CB0400"/>
    <w:rsid w:val="00CB04A0"/>
    <w:rsid w:val="00CB05CC"/>
    <w:rsid w:val="00CB06F4"/>
    <w:rsid w:val="00CB0858"/>
    <w:rsid w:val="00CB0AE8"/>
    <w:rsid w:val="00CB0B13"/>
    <w:rsid w:val="00CB0B58"/>
    <w:rsid w:val="00CB0CA3"/>
    <w:rsid w:val="00CB0CF4"/>
    <w:rsid w:val="00CB0D45"/>
    <w:rsid w:val="00CB0DC0"/>
    <w:rsid w:val="00CB0E2B"/>
    <w:rsid w:val="00CB0FFA"/>
    <w:rsid w:val="00CB10CD"/>
    <w:rsid w:val="00CB10FF"/>
    <w:rsid w:val="00CB115B"/>
    <w:rsid w:val="00CB1169"/>
    <w:rsid w:val="00CB1424"/>
    <w:rsid w:val="00CB14E6"/>
    <w:rsid w:val="00CB1510"/>
    <w:rsid w:val="00CB15A1"/>
    <w:rsid w:val="00CB1604"/>
    <w:rsid w:val="00CB167B"/>
    <w:rsid w:val="00CB16D8"/>
    <w:rsid w:val="00CB16F4"/>
    <w:rsid w:val="00CB19F3"/>
    <w:rsid w:val="00CB1B84"/>
    <w:rsid w:val="00CB1D8D"/>
    <w:rsid w:val="00CB1DD0"/>
    <w:rsid w:val="00CB1DE4"/>
    <w:rsid w:val="00CB1DF5"/>
    <w:rsid w:val="00CB1E98"/>
    <w:rsid w:val="00CB1F07"/>
    <w:rsid w:val="00CB1F68"/>
    <w:rsid w:val="00CB208E"/>
    <w:rsid w:val="00CB21F1"/>
    <w:rsid w:val="00CB21F3"/>
    <w:rsid w:val="00CB2384"/>
    <w:rsid w:val="00CB2399"/>
    <w:rsid w:val="00CB23B8"/>
    <w:rsid w:val="00CB23F8"/>
    <w:rsid w:val="00CB2442"/>
    <w:rsid w:val="00CB249B"/>
    <w:rsid w:val="00CB24A7"/>
    <w:rsid w:val="00CB24E0"/>
    <w:rsid w:val="00CB2566"/>
    <w:rsid w:val="00CB2B1D"/>
    <w:rsid w:val="00CB2B69"/>
    <w:rsid w:val="00CB2C45"/>
    <w:rsid w:val="00CB2D09"/>
    <w:rsid w:val="00CB2D89"/>
    <w:rsid w:val="00CB2D97"/>
    <w:rsid w:val="00CB2E38"/>
    <w:rsid w:val="00CB3144"/>
    <w:rsid w:val="00CB3176"/>
    <w:rsid w:val="00CB326F"/>
    <w:rsid w:val="00CB32D7"/>
    <w:rsid w:val="00CB332B"/>
    <w:rsid w:val="00CB33FC"/>
    <w:rsid w:val="00CB3472"/>
    <w:rsid w:val="00CB3522"/>
    <w:rsid w:val="00CB356D"/>
    <w:rsid w:val="00CB3589"/>
    <w:rsid w:val="00CB38A3"/>
    <w:rsid w:val="00CB39FD"/>
    <w:rsid w:val="00CB3A6D"/>
    <w:rsid w:val="00CB3B5A"/>
    <w:rsid w:val="00CB3BAA"/>
    <w:rsid w:val="00CB3CF3"/>
    <w:rsid w:val="00CB3E78"/>
    <w:rsid w:val="00CB3EB5"/>
    <w:rsid w:val="00CB3EDC"/>
    <w:rsid w:val="00CB3EEB"/>
    <w:rsid w:val="00CB3F4C"/>
    <w:rsid w:val="00CB3F77"/>
    <w:rsid w:val="00CB3FAB"/>
    <w:rsid w:val="00CB4038"/>
    <w:rsid w:val="00CB403E"/>
    <w:rsid w:val="00CB4070"/>
    <w:rsid w:val="00CB4138"/>
    <w:rsid w:val="00CB41B0"/>
    <w:rsid w:val="00CB4222"/>
    <w:rsid w:val="00CB42A6"/>
    <w:rsid w:val="00CB4430"/>
    <w:rsid w:val="00CB445E"/>
    <w:rsid w:val="00CB448E"/>
    <w:rsid w:val="00CB44AB"/>
    <w:rsid w:val="00CB454D"/>
    <w:rsid w:val="00CB466C"/>
    <w:rsid w:val="00CB4705"/>
    <w:rsid w:val="00CB49FF"/>
    <w:rsid w:val="00CB4AA5"/>
    <w:rsid w:val="00CB4B81"/>
    <w:rsid w:val="00CB4C9E"/>
    <w:rsid w:val="00CB4D30"/>
    <w:rsid w:val="00CB4D4E"/>
    <w:rsid w:val="00CB4DB8"/>
    <w:rsid w:val="00CB4E7D"/>
    <w:rsid w:val="00CB4EBF"/>
    <w:rsid w:val="00CB5130"/>
    <w:rsid w:val="00CB51EE"/>
    <w:rsid w:val="00CB52BD"/>
    <w:rsid w:val="00CB52F6"/>
    <w:rsid w:val="00CB53F6"/>
    <w:rsid w:val="00CB5442"/>
    <w:rsid w:val="00CB5506"/>
    <w:rsid w:val="00CB552C"/>
    <w:rsid w:val="00CB55AC"/>
    <w:rsid w:val="00CB55B7"/>
    <w:rsid w:val="00CB55B8"/>
    <w:rsid w:val="00CB564A"/>
    <w:rsid w:val="00CB56DB"/>
    <w:rsid w:val="00CB56FA"/>
    <w:rsid w:val="00CB5742"/>
    <w:rsid w:val="00CB579F"/>
    <w:rsid w:val="00CB58F2"/>
    <w:rsid w:val="00CB59CB"/>
    <w:rsid w:val="00CB59E5"/>
    <w:rsid w:val="00CB5ADF"/>
    <w:rsid w:val="00CB5AF6"/>
    <w:rsid w:val="00CB5B70"/>
    <w:rsid w:val="00CB5C54"/>
    <w:rsid w:val="00CB5CB1"/>
    <w:rsid w:val="00CB5DA9"/>
    <w:rsid w:val="00CB5E3D"/>
    <w:rsid w:val="00CB5EBC"/>
    <w:rsid w:val="00CB5F04"/>
    <w:rsid w:val="00CB619F"/>
    <w:rsid w:val="00CB6316"/>
    <w:rsid w:val="00CB64B1"/>
    <w:rsid w:val="00CB6602"/>
    <w:rsid w:val="00CB666B"/>
    <w:rsid w:val="00CB67B0"/>
    <w:rsid w:val="00CB6852"/>
    <w:rsid w:val="00CB68A8"/>
    <w:rsid w:val="00CB68BD"/>
    <w:rsid w:val="00CB694F"/>
    <w:rsid w:val="00CB69EB"/>
    <w:rsid w:val="00CB6BFA"/>
    <w:rsid w:val="00CB6C5B"/>
    <w:rsid w:val="00CB6C8A"/>
    <w:rsid w:val="00CB6CDB"/>
    <w:rsid w:val="00CB6E37"/>
    <w:rsid w:val="00CB6E64"/>
    <w:rsid w:val="00CB6EB5"/>
    <w:rsid w:val="00CB6F24"/>
    <w:rsid w:val="00CB70A0"/>
    <w:rsid w:val="00CB70FD"/>
    <w:rsid w:val="00CB7138"/>
    <w:rsid w:val="00CB716D"/>
    <w:rsid w:val="00CB72FE"/>
    <w:rsid w:val="00CB7494"/>
    <w:rsid w:val="00CB750D"/>
    <w:rsid w:val="00CB75D4"/>
    <w:rsid w:val="00CB777E"/>
    <w:rsid w:val="00CB7784"/>
    <w:rsid w:val="00CB77A8"/>
    <w:rsid w:val="00CB7B1D"/>
    <w:rsid w:val="00CB7BE8"/>
    <w:rsid w:val="00CB7C00"/>
    <w:rsid w:val="00CB7C61"/>
    <w:rsid w:val="00CB7D86"/>
    <w:rsid w:val="00CB7DA2"/>
    <w:rsid w:val="00CB7E4F"/>
    <w:rsid w:val="00CB7F72"/>
    <w:rsid w:val="00CB7FFD"/>
    <w:rsid w:val="00CC0109"/>
    <w:rsid w:val="00CC01DE"/>
    <w:rsid w:val="00CC01E8"/>
    <w:rsid w:val="00CC0215"/>
    <w:rsid w:val="00CC03FA"/>
    <w:rsid w:val="00CC0675"/>
    <w:rsid w:val="00CC06E8"/>
    <w:rsid w:val="00CC0797"/>
    <w:rsid w:val="00CC0874"/>
    <w:rsid w:val="00CC09F6"/>
    <w:rsid w:val="00CC0A91"/>
    <w:rsid w:val="00CC0A94"/>
    <w:rsid w:val="00CC0BD1"/>
    <w:rsid w:val="00CC0CED"/>
    <w:rsid w:val="00CC0D2F"/>
    <w:rsid w:val="00CC0D7F"/>
    <w:rsid w:val="00CC114F"/>
    <w:rsid w:val="00CC1203"/>
    <w:rsid w:val="00CC122B"/>
    <w:rsid w:val="00CC1273"/>
    <w:rsid w:val="00CC1337"/>
    <w:rsid w:val="00CC14B3"/>
    <w:rsid w:val="00CC14FC"/>
    <w:rsid w:val="00CC1550"/>
    <w:rsid w:val="00CC1609"/>
    <w:rsid w:val="00CC1898"/>
    <w:rsid w:val="00CC18B1"/>
    <w:rsid w:val="00CC18B3"/>
    <w:rsid w:val="00CC1973"/>
    <w:rsid w:val="00CC1A35"/>
    <w:rsid w:val="00CC1AB7"/>
    <w:rsid w:val="00CC1B42"/>
    <w:rsid w:val="00CC1C65"/>
    <w:rsid w:val="00CC1D28"/>
    <w:rsid w:val="00CC1D41"/>
    <w:rsid w:val="00CC1D7B"/>
    <w:rsid w:val="00CC1E12"/>
    <w:rsid w:val="00CC2110"/>
    <w:rsid w:val="00CC2213"/>
    <w:rsid w:val="00CC228C"/>
    <w:rsid w:val="00CC2293"/>
    <w:rsid w:val="00CC22EE"/>
    <w:rsid w:val="00CC2306"/>
    <w:rsid w:val="00CC230C"/>
    <w:rsid w:val="00CC248A"/>
    <w:rsid w:val="00CC258A"/>
    <w:rsid w:val="00CC259F"/>
    <w:rsid w:val="00CC262D"/>
    <w:rsid w:val="00CC2664"/>
    <w:rsid w:val="00CC267A"/>
    <w:rsid w:val="00CC279C"/>
    <w:rsid w:val="00CC286F"/>
    <w:rsid w:val="00CC2A1A"/>
    <w:rsid w:val="00CC2AE6"/>
    <w:rsid w:val="00CC2DC1"/>
    <w:rsid w:val="00CC2DCE"/>
    <w:rsid w:val="00CC2DFB"/>
    <w:rsid w:val="00CC2F43"/>
    <w:rsid w:val="00CC2FAB"/>
    <w:rsid w:val="00CC3047"/>
    <w:rsid w:val="00CC304A"/>
    <w:rsid w:val="00CC311F"/>
    <w:rsid w:val="00CC31F0"/>
    <w:rsid w:val="00CC32BD"/>
    <w:rsid w:val="00CC32F4"/>
    <w:rsid w:val="00CC3325"/>
    <w:rsid w:val="00CC334A"/>
    <w:rsid w:val="00CC3406"/>
    <w:rsid w:val="00CC342D"/>
    <w:rsid w:val="00CC357A"/>
    <w:rsid w:val="00CC3598"/>
    <w:rsid w:val="00CC3778"/>
    <w:rsid w:val="00CC38B6"/>
    <w:rsid w:val="00CC396B"/>
    <w:rsid w:val="00CC3978"/>
    <w:rsid w:val="00CC398A"/>
    <w:rsid w:val="00CC39C4"/>
    <w:rsid w:val="00CC3AE7"/>
    <w:rsid w:val="00CC3B07"/>
    <w:rsid w:val="00CC3B70"/>
    <w:rsid w:val="00CC3B8F"/>
    <w:rsid w:val="00CC3B92"/>
    <w:rsid w:val="00CC3C81"/>
    <w:rsid w:val="00CC3D1B"/>
    <w:rsid w:val="00CC3E1E"/>
    <w:rsid w:val="00CC3EC7"/>
    <w:rsid w:val="00CC3F46"/>
    <w:rsid w:val="00CC4014"/>
    <w:rsid w:val="00CC403A"/>
    <w:rsid w:val="00CC4058"/>
    <w:rsid w:val="00CC407F"/>
    <w:rsid w:val="00CC4085"/>
    <w:rsid w:val="00CC408E"/>
    <w:rsid w:val="00CC410C"/>
    <w:rsid w:val="00CC4179"/>
    <w:rsid w:val="00CC41E6"/>
    <w:rsid w:val="00CC4248"/>
    <w:rsid w:val="00CC425C"/>
    <w:rsid w:val="00CC430F"/>
    <w:rsid w:val="00CC44C5"/>
    <w:rsid w:val="00CC4505"/>
    <w:rsid w:val="00CC4702"/>
    <w:rsid w:val="00CC473F"/>
    <w:rsid w:val="00CC476B"/>
    <w:rsid w:val="00CC4777"/>
    <w:rsid w:val="00CC4987"/>
    <w:rsid w:val="00CC4A2C"/>
    <w:rsid w:val="00CC4AFF"/>
    <w:rsid w:val="00CC4B93"/>
    <w:rsid w:val="00CC4BEF"/>
    <w:rsid w:val="00CC4BF5"/>
    <w:rsid w:val="00CC4D39"/>
    <w:rsid w:val="00CC4DA6"/>
    <w:rsid w:val="00CC4FCA"/>
    <w:rsid w:val="00CC4FD1"/>
    <w:rsid w:val="00CC512C"/>
    <w:rsid w:val="00CC516C"/>
    <w:rsid w:val="00CC51CB"/>
    <w:rsid w:val="00CC5212"/>
    <w:rsid w:val="00CC5415"/>
    <w:rsid w:val="00CC5507"/>
    <w:rsid w:val="00CC553E"/>
    <w:rsid w:val="00CC55E8"/>
    <w:rsid w:val="00CC5756"/>
    <w:rsid w:val="00CC57D3"/>
    <w:rsid w:val="00CC5815"/>
    <w:rsid w:val="00CC5817"/>
    <w:rsid w:val="00CC582B"/>
    <w:rsid w:val="00CC58A6"/>
    <w:rsid w:val="00CC58AE"/>
    <w:rsid w:val="00CC58DB"/>
    <w:rsid w:val="00CC58DD"/>
    <w:rsid w:val="00CC5AE9"/>
    <w:rsid w:val="00CC5BE8"/>
    <w:rsid w:val="00CC5C91"/>
    <w:rsid w:val="00CC5D92"/>
    <w:rsid w:val="00CC5DD0"/>
    <w:rsid w:val="00CC5DDB"/>
    <w:rsid w:val="00CC5E0C"/>
    <w:rsid w:val="00CC5E2C"/>
    <w:rsid w:val="00CC5E8F"/>
    <w:rsid w:val="00CC5F60"/>
    <w:rsid w:val="00CC6089"/>
    <w:rsid w:val="00CC6160"/>
    <w:rsid w:val="00CC6283"/>
    <w:rsid w:val="00CC63D2"/>
    <w:rsid w:val="00CC63D7"/>
    <w:rsid w:val="00CC65AF"/>
    <w:rsid w:val="00CC65E0"/>
    <w:rsid w:val="00CC6631"/>
    <w:rsid w:val="00CC678F"/>
    <w:rsid w:val="00CC67CC"/>
    <w:rsid w:val="00CC6830"/>
    <w:rsid w:val="00CC68DA"/>
    <w:rsid w:val="00CC6906"/>
    <w:rsid w:val="00CC6937"/>
    <w:rsid w:val="00CC6BA4"/>
    <w:rsid w:val="00CC6C1C"/>
    <w:rsid w:val="00CC6D04"/>
    <w:rsid w:val="00CC6D24"/>
    <w:rsid w:val="00CC6D44"/>
    <w:rsid w:val="00CC6EF0"/>
    <w:rsid w:val="00CC6F7E"/>
    <w:rsid w:val="00CC6FE5"/>
    <w:rsid w:val="00CC702D"/>
    <w:rsid w:val="00CC7120"/>
    <w:rsid w:val="00CC7129"/>
    <w:rsid w:val="00CC7138"/>
    <w:rsid w:val="00CC7148"/>
    <w:rsid w:val="00CC73AD"/>
    <w:rsid w:val="00CC73D2"/>
    <w:rsid w:val="00CC73E0"/>
    <w:rsid w:val="00CC747D"/>
    <w:rsid w:val="00CC74C6"/>
    <w:rsid w:val="00CC74CD"/>
    <w:rsid w:val="00CC7525"/>
    <w:rsid w:val="00CC756D"/>
    <w:rsid w:val="00CC75C4"/>
    <w:rsid w:val="00CC75FD"/>
    <w:rsid w:val="00CC7664"/>
    <w:rsid w:val="00CC76B0"/>
    <w:rsid w:val="00CC777A"/>
    <w:rsid w:val="00CC78AE"/>
    <w:rsid w:val="00CC7A66"/>
    <w:rsid w:val="00CC7BBB"/>
    <w:rsid w:val="00CC7CA6"/>
    <w:rsid w:val="00CC7CB4"/>
    <w:rsid w:val="00CC7D0C"/>
    <w:rsid w:val="00CC7D6F"/>
    <w:rsid w:val="00CC7DA1"/>
    <w:rsid w:val="00CC7E52"/>
    <w:rsid w:val="00CC7F68"/>
    <w:rsid w:val="00CD00A7"/>
    <w:rsid w:val="00CD01B0"/>
    <w:rsid w:val="00CD01B6"/>
    <w:rsid w:val="00CD01C9"/>
    <w:rsid w:val="00CD01E0"/>
    <w:rsid w:val="00CD02B7"/>
    <w:rsid w:val="00CD02B9"/>
    <w:rsid w:val="00CD02E4"/>
    <w:rsid w:val="00CD0427"/>
    <w:rsid w:val="00CD049A"/>
    <w:rsid w:val="00CD04AE"/>
    <w:rsid w:val="00CD0617"/>
    <w:rsid w:val="00CD064F"/>
    <w:rsid w:val="00CD0664"/>
    <w:rsid w:val="00CD07B8"/>
    <w:rsid w:val="00CD0870"/>
    <w:rsid w:val="00CD0ADA"/>
    <w:rsid w:val="00CD0B21"/>
    <w:rsid w:val="00CD0B59"/>
    <w:rsid w:val="00CD0BCC"/>
    <w:rsid w:val="00CD0D7C"/>
    <w:rsid w:val="00CD0DF4"/>
    <w:rsid w:val="00CD1052"/>
    <w:rsid w:val="00CD117A"/>
    <w:rsid w:val="00CD11C2"/>
    <w:rsid w:val="00CD1321"/>
    <w:rsid w:val="00CD1422"/>
    <w:rsid w:val="00CD144C"/>
    <w:rsid w:val="00CD15D8"/>
    <w:rsid w:val="00CD162F"/>
    <w:rsid w:val="00CD1661"/>
    <w:rsid w:val="00CD1805"/>
    <w:rsid w:val="00CD1907"/>
    <w:rsid w:val="00CD19C3"/>
    <w:rsid w:val="00CD1A4B"/>
    <w:rsid w:val="00CD1A67"/>
    <w:rsid w:val="00CD1ADF"/>
    <w:rsid w:val="00CD1B59"/>
    <w:rsid w:val="00CD1BD9"/>
    <w:rsid w:val="00CD1CA5"/>
    <w:rsid w:val="00CD1CD6"/>
    <w:rsid w:val="00CD1DF8"/>
    <w:rsid w:val="00CD2087"/>
    <w:rsid w:val="00CD2203"/>
    <w:rsid w:val="00CD2294"/>
    <w:rsid w:val="00CD22F8"/>
    <w:rsid w:val="00CD23F0"/>
    <w:rsid w:val="00CD28B8"/>
    <w:rsid w:val="00CD28EB"/>
    <w:rsid w:val="00CD28F3"/>
    <w:rsid w:val="00CD2982"/>
    <w:rsid w:val="00CD2A6F"/>
    <w:rsid w:val="00CD2AE9"/>
    <w:rsid w:val="00CD2BF4"/>
    <w:rsid w:val="00CD2C30"/>
    <w:rsid w:val="00CD2D34"/>
    <w:rsid w:val="00CD2D8D"/>
    <w:rsid w:val="00CD2E3F"/>
    <w:rsid w:val="00CD30BE"/>
    <w:rsid w:val="00CD30DF"/>
    <w:rsid w:val="00CD30F5"/>
    <w:rsid w:val="00CD3167"/>
    <w:rsid w:val="00CD320F"/>
    <w:rsid w:val="00CD3229"/>
    <w:rsid w:val="00CD322A"/>
    <w:rsid w:val="00CD329F"/>
    <w:rsid w:val="00CD32B6"/>
    <w:rsid w:val="00CD32C9"/>
    <w:rsid w:val="00CD3403"/>
    <w:rsid w:val="00CD342F"/>
    <w:rsid w:val="00CD3482"/>
    <w:rsid w:val="00CD3534"/>
    <w:rsid w:val="00CD357C"/>
    <w:rsid w:val="00CD3609"/>
    <w:rsid w:val="00CD362E"/>
    <w:rsid w:val="00CD36D4"/>
    <w:rsid w:val="00CD37B0"/>
    <w:rsid w:val="00CD37BC"/>
    <w:rsid w:val="00CD3833"/>
    <w:rsid w:val="00CD3852"/>
    <w:rsid w:val="00CD38C6"/>
    <w:rsid w:val="00CD390A"/>
    <w:rsid w:val="00CD391A"/>
    <w:rsid w:val="00CD3A25"/>
    <w:rsid w:val="00CD3A43"/>
    <w:rsid w:val="00CD3A75"/>
    <w:rsid w:val="00CD3B58"/>
    <w:rsid w:val="00CD3C05"/>
    <w:rsid w:val="00CD3C91"/>
    <w:rsid w:val="00CD3DA5"/>
    <w:rsid w:val="00CD3E30"/>
    <w:rsid w:val="00CD4110"/>
    <w:rsid w:val="00CD4127"/>
    <w:rsid w:val="00CD4139"/>
    <w:rsid w:val="00CD4160"/>
    <w:rsid w:val="00CD41F1"/>
    <w:rsid w:val="00CD42AE"/>
    <w:rsid w:val="00CD4305"/>
    <w:rsid w:val="00CD436E"/>
    <w:rsid w:val="00CD445D"/>
    <w:rsid w:val="00CD44C7"/>
    <w:rsid w:val="00CD44E9"/>
    <w:rsid w:val="00CD45BA"/>
    <w:rsid w:val="00CD46D6"/>
    <w:rsid w:val="00CD47D4"/>
    <w:rsid w:val="00CD47E4"/>
    <w:rsid w:val="00CD4859"/>
    <w:rsid w:val="00CD4A3A"/>
    <w:rsid w:val="00CD4A59"/>
    <w:rsid w:val="00CD4C5F"/>
    <w:rsid w:val="00CD4C9C"/>
    <w:rsid w:val="00CD4D5A"/>
    <w:rsid w:val="00CD4F70"/>
    <w:rsid w:val="00CD50F3"/>
    <w:rsid w:val="00CD5186"/>
    <w:rsid w:val="00CD5225"/>
    <w:rsid w:val="00CD5328"/>
    <w:rsid w:val="00CD532D"/>
    <w:rsid w:val="00CD53C1"/>
    <w:rsid w:val="00CD5468"/>
    <w:rsid w:val="00CD54F3"/>
    <w:rsid w:val="00CD5714"/>
    <w:rsid w:val="00CD575C"/>
    <w:rsid w:val="00CD581E"/>
    <w:rsid w:val="00CD596F"/>
    <w:rsid w:val="00CD59BC"/>
    <w:rsid w:val="00CD5A34"/>
    <w:rsid w:val="00CD5AA7"/>
    <w:rsid w:val="00CD5AB9"/>
    <w:rsid w:val="00CD5BD3"/>
    <w:rsid w:val="00CD5C2C"/>
    <w:rsid w:val="00CD5D3C"/>
    <w:rsid w:val="00CD5D40"/>
    <w:rsid w:val="00CD5E05"/>
    <w:rsid w:val="00CD5EA4"/>
    <w:rsid w:val="00CD5F09"/>
    <w:rsid w:val="00CD5F0E"/>
    <w:rsid w:val="00CD5FED"/>
    <w:rsid w:val="00CD605A"/>
    <w:rsid w:val="00CD60AD"/>
    <w:rsid w:val="00CD60B1"/>
    <w:rsid w:val="00CD630E"/>
    <w:rsid w:val="00CD633C"/>
    <w:rsid w:val="00CD63E6"/>
    <w:rsid w:val="00CD642D"/>
    <w:rsid w:val="00CD644A"/>
    <w:rsid w:val="00CD6498"/>
    <w:rsid w:val="00CD6534"/>
    <w:rsid w:val="00CD6618"/>
    <w:rsid w:val="00CD6662"/>
    <w:rsid w:val="00CD66B8"/>
    <w:rsid w:val="00CD6791"/>
    <w:rsid w:val="00CD67A6"/>
    <w:rsid w:val="00CD67EE"/>
    <w:rsid w:val="00CD6848"/>
    <w:rsid w:val="00CD6916"/>
    <w:rsid w:val="00CD6A25"/>
    <w:rsid w:val="00CD6A4C"/>
    <w:rsid w:val="00CD6A6D"/>
    <w:rsid w:val="00CD6AFF"/>
    <w:rsid w:val="00CD6BE9"/>
    <w:rsid w:val="00CD6C36"/>
    <w:rsid w:val="00CD6CD2"/>
    <w:rsid w:val="00CD6D4A"/>
    <w:rsid w:val="00CD6D51"/>
    <w:rsid w:val="00CD6D87"/>
    <w:rsid w:val="00CD6E7C"/>
    <w:rsid w:val="00CD6F17"/>
    <w:rsid w:val="00CD703D"/>
    <w:rsid w:val="00CD717F"/>
    <w:rsid w:val="00CD7194"/>
    <w:rsid w:val="00CD7215"/>
    <w:rsid w:val="00CD7272"/>
    <w:rsid w:val="00CD738C"/>
    <w:rsid w:val="00CD74D7"/>
    <w:rsid w:val="00CD7540"/>
    <w:rsid w:val="00CD757C"/>
    <w:rsid w:val="00CD75B5"/>
    <w:rsid w:val="00CD7693"/>
    <w:rsid w:val="00CD7755"/>
    <w:rsid w:val="00CD7805"/>
    <w:rsid w:val="00CD7A17"/>
    <w:rsid w:val="00CD7C8E"/>
    <w:rsid w:val="00CD7CFF"/>
    <w:rsid w:val="00CD7DB7"/>
    <w:rsid w:val="00CD7E12"/>
    <w:rsid w:val="00CD7EC1"/>
    <w:rsid w:val="00CD7EF8"/>
    <w:rsid w:val="00CD7F67"/>
    <w:rsid w:val="00CD7F6B"/>
    <w:rsid w:val="00CD7FFE"/>
    <w:rsid w:val="00CE0009"/>
    <w:rsid w:val="00CE00B2"/>
    <w:rsid w:val="00CE0148"/>
    <w:rsid w:val="00CE01CD"/>
    <w:rsid w:val="00CE022F"/>
    <w:rsid w:val="00CE02C9"/>
    <w:rsid w:val="00CE0361"/>
    <w:rsid w:val="00CE039D"/>
    <w:rsid w:val="00CE03B9"/>
    <w:rsid w:val="00CE03FB"/>
    <w:rsid w:val="00CE0556"/>
    <w:rsid w:val="00CE05FE"/>
    <w:rsid w:val="00CE0653"/>
    <w:rsid w:val="00CE06A6"/>
    <w:rsid w:val="00CE06F7"/>
    <w:rsid w:val="00CE06F9"/>
    <w:rsid w:val="00CE078B"/>
    <w:rsid w:val="00CE07F7"/>
    <w:rsid w:val="00CE08CD"/>
    <w:rsid w:val="00CE096C"/>
    <w:rsid w:val="00CE0A9C"/>
    <w:rsid w:val="00CE0B81"/>
    <w:rsid w:val="00CE0BF5"/>
    <w:rsid w:val="00CE0C4C"/>
    <w:rsid w:val="00CE0C7E"/>
    <w:rsid w:val="00CE0CE0"/>
    <w:rsid w:val="00CE0D65"/>
    <w:rsid w:val="00CE0ED5"/>
    <w:rsid w:val="00CE0EF5"/>
    <w:rsid w:val="00CE0F1C"/>
    <w:rsid w:val="00CE0F89"/>
    <w:rsid w:val="00CE0F9B"/>
    <w:rsid w:val="00CE0FBA"/>
    <w:rsid w:val="00CE1034"/>
    <w:rsid w:val="00CE114E"/>
    <w:rsid w:val="00CE1152"/>
    <w:rsid w:val="00CE11D9"/>
    <w:rsid w:val="00CE11F6"/>
    <w:rsid w:val="00CE1220"/>
    <w:rsid w:val="00CE1332"/>
    <w:rsid w:val="00CE1333"/>
    <w:rsid w:val="00CE13CE"/>
    <w:rsid w:val="00CE13F8"/>
    <w:rsid w:val="00CE15B5"/>
    <w:rsid w:val="00CE15D7"/>
    <w:rsid w:val="00CE18B4"/>
    <w:rsid w:val="00CE18C4"/>
    <w:rsid w:val="00CE1A00"/>
    <w:rsid w:val="00CE1A50"/>
    <w:rsid w:val="00CE1A6F"/>
    <w:rsid w:val="00CE1A86"/>
    <w:rsid w:val="00CE1BAE"/>
    <w:rsid w:val="00CE1CBF"/>
    <w:rsid w:val="00CE1D45"/>
    <w:rsid w:val="00CE1D8C"/>
    <w:rsid w:val="00CE1D9F"/>
    <w:rsid w:val="00CE1E5D"/>
    <w:rsid w:val="00CE1E60"/>
    <w:rsid w:val="00CE1E69"/>
    <w:rsid w:val="00CE1FFB"/>
    <w:rsid w:val="00CE203D"/>
    <w:rsid w:val="00CE21CA"/>
    <w:rsid w:val="00CE22B9"/>
    <w:rsid w:val="00CE22EA"/>
    <w:rsid w:val="00CE2385"/>
    <w:rsid w:val="00CE2457"/>
    <w:rsid w:val="00CE2475"/>
    <w:rsid w:val="00CE252B"/>
    <w:rsid w:val="00CE2548"/>
    <w:rsid w:val="00CE2550"/>
    <w:rsid w:val="00CE25CF"/>
    <w:rsid w:val="00CE266A"/>
    <w:rsid w:val="00CE27A7"/>
    <w:rsid w:val="00CE27DA"/>
    <w:rsid w:val="00CE283B"/>
    <w:rsid w:val="00CE287D"/>
    <w:rsid w:val="00CE2969"/>
    <w:rsid w:val="00CE298D"/>
    <w:rsid w:val="00CE2A13"/>
    <w:rsid w:val="00CE2BA9"/>
    <w:rsid w:val="00CE2C1E"/>
    <w:rsid w:val="00CE2C64"/>
    <w:rsid w:val="00CE2C95"/>
    <w:rsid w:val="00CE2CD9"/>
    <w:rsid w:val="00CE2D88"/>
    <w:rsid w:val="00CE2F97"/>
    <w:rsid w:val="00CE2FDC"/>
    <w:rsid w:val="00CE302B"/>
    <w:rsid w:val="00CE3043"/>
    <w:rsid w:val="00CE32CE"/>
    <w:rsid w:val="00CE33F7"/>
    <w:rsid w:val="00CE3453"/>
    <w:rsid w:val="00CE345B"/>
    <w:rsid w:val="00CE345F"/>
    <w:rsid w:val="00CE3487"/>
    <w:rsid w:val="00CE3517"/>
    <w:rsid w:val="00CE362F"/>
    <w:rsid w:val="00CE37D2"/>
    <w:rsid w:val="00CE3821"/>
    <w:rsid w:val="00CE38FA"/>
    <w:rsid w:val="00CE393D"/>
    <w:rsid w:val="00CE3998"/>
    <w:rsid w:val="00CE3AE4"/>
    <w:rsid w:val="00CE3C2F"/>
    <w:rsid w:val="00CE3C98"/>
    <w:rsid w:val="00CE3DFE"/>
    <w:rsid w:val="00CE3EA9"/>
    <w:rsid w:val="00CE3EB9"/>
    <w:rsid w:val="00CE4118"/>
    <w:rsid w:val="00CE41A0"/>
    <w:rsid w:val="00CE41B6"/>
    <w:rsid w:val="00CE4240"/>
    <w:rsid w:val="00CE4278"/>
    <w:rsid w:val="00CE433D"/>
    <w:rsid w:val="00CE44A5"/>
    <w:rsid w:val="00CE44CC"/>
    <w:rsid w:val="00CE44D4"/>
    <w:rsid w:val="00CE464F"/>
    <w:rsid w:val="00CE474A"/>
    <w:rsid w:val="00CE4795"/>
    <w:rsid w:val="00CE4A17"/>
    <w:rsid w:val="00CE4A1D"/>
    <w:rsid w:val="00CE4B02"/>
    <w:rsid w:val="00CE4BFD"/>
    <w:rsid w:val="00CE4C9B"/>
    <w:rsid w:val="00CE4CAF"/>
    <w:rsid w:val="00CE4E2F"/>
    <w:rsid w:val="00CE4F03"/>
    <w:rsid w:val="00CE4F0B"/>
    <w:rsid w:val="00CE4F62"/>
    <w:rsid w:val="00CE5059"/>
    <w:rsid w:val="00CE505F"/>
    <w:rsid w:val="00CE510A"/>
    <w:rsid w:val="00CE5162"/>
    <w:rsid w:val="00CE51B5"/>
    <w:rsid w:val="00CE51E4"/>
    <w:rsid w:val="00CE51ED"/>
    <w:rsid w:val="00CE534E"/>
    <w:rsid w:val="00CE54A4"/>
    <w:rsid w:val="00CE56B6"/>
    <w:rsid w:val="00CE56C1"/>
    <w:rsid w:val="00CE56F7"/>
    <w:rsid w:val="00CE571A"/>
    <w:rsid w:val="00CE57D0"/>
    <w:rsid w:val="00CE589E"/>
    <w:rsid w:val="00CE5ACE"/>
    <w:rsid w:val="00CE5AE7"/>
    <w:rsid w:val="00CE5AEA"/>
    <w:rsid w:val="00CE5B90"/>
    <w:rsid w:val="00CE5BC7"/>
    <w:rsid w:val="00CE5C14"/>
    <w:rsid w:val="00CE5C58"/>
    <w:rsid w:val="00CE5CE4"/>
    <w:rsid w:val="00CE5EAE"/>
    <w:rsid w:val="00CE5F24"/>
    <w:rsid w:val="00CE6050"/>
    <w:rsid w:val="00CE60C1"/>
    <w:rsid w:val="00CE619A"/>
    <w:rsid w:val="00CE6203"/>
    <w:rsid w:val="00CE62FF"/>
    <w:rsid w:val="00CE6323"/>
    <w:rsid w:val="00CE6326"/>
    <w:rsid w:val="00CE642B"/>
    <w:rsid w:val="00CE6440"/>
    <w:rsid w:val="00CE64E6"/>
    <w:rsid w:val="00CE68C8"/>
    <w:rsid w:val="00CE68FE"/>
    <w:rsid w:val="00CE698A"/>
    <w:rsid w:val="00CE6CEA"/>
    <w:rsid w:val="00CE6E45"/>
    <w:rsid w:val="00CE6E84"/>
    <w:rsid w:val="00CE6F57"/>
    <w:rsid w:val="00CE6F6F"/>
    <w:rsid w:val="00CE712B"/>
    <w:rsid w:val="00CE7162"/>
    <w:rsid w:val="00CE720E"/>
    <w:rsid w:val="00CE74B1"/>
    <w:rsid w:val="00CE7573"/>
    <w:rsid w:val="00CE7659"/>
    <w:rsid w:val="00CE76F3"/>
    <w:rsid w:val="00CE79A0"/>
    <w:rsid w:val="00CE79F7"/>
    <w:rsid w:val="00CE7A61"/>
    <w:rsid w:val="00CE7AB9"/>
    <w:rsid w:val="00CE7CEC"/>
    <w:rsid w:val="00CE7D35"/>
    <w:rsid w:val="00CE7D57"/>
    <w:rsid w:val="00CE7DBA"/>
    <w:rsid w:val="00CE7E7B"/>
    <w:rsid w:val="00CE7EA9"/>
    <w:rsid w:val="00CE7EEB"/>
    <w:rsid w:val="00CF01C0"/>
    <w:rsid w:val="00CF01CF"/>
    <w:rsid w:val="00CF026E"/>
    <w:rsid w:val="00CF02D8"/>
    <w:rsid w:val="00CF03B4"/>
    <w:rsid w:val="00CF064C"/>
    <w:rsid w:val="00CF068F"/>
    <w:rsid w:val="00CF06E9"/>
    <w:rsid w:val="00CF0724"/>
    <w:rsid w:val="00CF072F"/>
    <w:rsid w:val="00CF086E"/>
    <w:rsid w:val="00CF0908"/>
    <w:rsid w:val="00CF090A"/>
    <w:rsid w:val="00CF0912"/>
    <w:rsid w:val="00CF0929"/>
    <w:rsid w:val="00CF09C3"/>
    <w:rsid w:val="00CF0B31"/>
    <w:rsid w:val="00CF0D2E"/>
    <w:rsid w:val="00CF0D86"/>
    <w:rsid w:val="00CF0DA2"/>
    <w:rsid w:val="00CF0E04"/>
    <w:rsid w:val="00CF0E29"/>
    <w:rsid w:val="00CF0EFA"/>
    <w:rsid w:val="00CF0F37"/>
    <w:rsid w:val="00CF0F49"/>
    <w:rsid w:val="00CF1095"/>
    <w:rsid w:val="00CF12D4"/>
    <w:rsid w:val="00CF149F"/>
    <w:rsid w:val="00CF14AC"/>
    <w:rsid w:val="00CF1589"/>
    <w:rsid w:val="00CF1609"/>
    <w:rsid w:val="00CF160F"/>
    <w:rsid w:val="00CF16B5"/>
    <w:rsid w:val="00CF1721"/>
    <w:rsid w:val="00CF172E"/>
    <w:rsid w:val="00CF17A3"/>
    <w:rsid w:val="00CF17E4"/>
    <w:rsid w:val="00CF17E7"/>
    <w:rsid w:val="00CF17EE"/>
    <w:rsid w:val="00CF17F8"/>
    <w:rsid w:val="00CF186F"/>
    <w:rsid w:val="00CF1954"/>
    <w:rsid w:val="00CF1A6B"/>
    <w:rsid w:val="00CF1A96"/>
    <w:rsid w:val="00CF1AF2"/>
    <w:rsid w:val="00CF1B09"/>
    <w:rsid w:val="00CF1B15"/>
    <w:rsid w:val="00CF1C70"/>
    <w:rsid w:val="00CF1C87"/>
    <w:rsid w:val="00CF1CA4"/>
    <w:rsid w:val="00CF1D21"/>
    <w:rsid w:val="00CF1E85"/>
    <w:rsid w:val="00CF1EDB"/>
    <w:rsid w:val="00CF1EF5"/>
    <w:rsid w:val="00CF1F73"/>
    <w:rsid w:val="00CF1F88"/>
    <w:rsid w:val="00CF202E"/>
    <w:rsid w:val="00CF20C4"/>
    <w:rsid w:val="00CF21D9"/>
    <w:rsid w:val="00CF22D6"/>
    <w:rsid w:val="00CF230E"/>
    <w:rsid w:val="00CF23CD"/>
    <w:rsid w:val="00CF24DC"/>
    <w:rsid w:val="00CF2532"/>
    <w:rsid w:val="00CF258A"/>
    <w:rsid w:val="00CF261F"/>
    <w:rsid w:val="00CF27A5"/>
    <w:rsid w:val="00CF2891"/>
    <w:rsid w:val="00CF289C"/>
    <w:rsid w:val="00CF2942"/>
    <w:rsid w:val="00CF29E3"/>
    <w:rsid w:val="00CF29FC"/>
    <w:rsid w:val="00CF2B5C"/>
    <w:rsid w:val="00CF2BB9"/>
    <w:rsid w:val="00CF2C9A"/>
    <w:rsid w:val="00CF2D00"/>
    <w:rsid w:val="00CF2E99"/>
    <w:rsid w:val="00CF3026"/>
    <w:rsid w:val="00CF30C2"/>
    <w:rsid w:val="00CF3129"/>
    <w:rsid w:val="00CF3174"/>
    <w:rsid w:val="00CF3179"/>
    <w:rsid w:val="00CF319D"/>
    <w:rsid w:val="00CF31FC"/>
    <w:rsid w:val="00CF325E"/>
    <w:rsid w:val="00CF3264"/>
    <w:rsid w:val="00CF341A"/>
    <w:rsid w:val="00CF345D"/>
    <w:rsid w:val="00CF34D0"/>
    <w:rsid w:val="00CF34EE"/>
    <w:rsid w:val="00CF35C9"/>
    <w:rsid w:val="00CF361E"/>
    <w:rsid w:val="00CF372C"/>
    <w:rsid w:val="00CF374E"/>
    <w:rsid w:val="00CF386E"/>
    <w:rsid w:val="00CF389A"/>
    <w:rsid w:val="00CF395F"/>
    <w:rsid w:val="00CF3AAB"/>
    <w:rsid w:val="00CF3B69"/>
    <w:rsid w:val="00CF3C02"/>
    <w:rsid w:val="00CF3CA4"/>
    <w:rsid w:val="00CF3D57"/>
    <w:rsid w:val="00CF3DAA"/>
    <w:rsid w:val="00CF3EFF"/>
    <w:rsid w:val="00CF3FA0"/>
    <w:rsid w:val="00CF3FB2"/>
    <w:rsid w:val="00CF3FB9"/>
    <w:rsid w:val="00CF4099"/>
    <w:rsid w:val="00CF409D"/>
    <w:rsid w:val="00CF4168"/>
    <w:rsid w:val="00CF419C"/>
    <w:rsid w:val="00CF41E6"/>
    <w:rsid w:val="00CF4259"/>
    <w:rsid w:val="00CF435D"/>
    <w:rsid w:val="00CF43E1"/>
    <w:rsid w:val="00CF4406"/>
    <w:rsid w:val="00CF4419"/>
    <w:rsid w:val="00CF44E3"/>
    <w:rsid w:val="00CF467E"/>
    <w:rsid w:val="00CF4694"/>
    <w:rsid w:val="00CF4BE8"/>
    <w:rsid w:val="00CF4C00"/>
    <w:rsid w:val="00CF4C35"/>
    <w:rsid w:val="00CF4C60"/>
    <w:rsid w:val="00CF4DFD"/>
    <w:rsid w:val="00CF4E40"/>
    <w:rsid w:val="00CF4E5D"/>
    <w:rsid w:val="00CF4EFE"/>
    <w:rsid w:val="00CF4F6C"/>
    <w:rsid w:val="00CF4F89"/>
    <w:rsid w:val="00CF4FCF"/>
    <w:rsid w:val="00CF50C6"/>
    <w:rsid w:val="00CF50F3"/>
    <w:rsid w:val="00CF513E"/>
    <w:rsid w:val="00CF518F"/>
    <w:rsid w:val="00CF51E8"/>
    <w:rsid w:val="00CF5387"/>
    <w:rsid w:val="00CF546E"/>
    <w:rsid w:val="00CF5498"/>
    <w:rsid w:val="00CF5630"/>
    <w:rsid w:val="00CF5634"/>
    <w:rsid w:val="00CF576E"/>
    <w:rsid w:val="00CF588C"/>
    <w:rsid w:val="00CF596B"/>
    <w:rsid w:val="00CF5979"/>
    <w:rsid w:val="00CF5A1F"/>
    <w:rsid w:val="00CF5B7A"/>
    <w:rsid w:val="00CF5C1D"/>
    <w:rsid w:val="00CF5D6E"/>
    <w:rsid w:val="00CF5DDD"/>
    <w:rsid w:val="00CF5E34"/>
    <w:rsid w:val="00CF5EF1"/>
    <w:rsid w:val="00CF5F94"/>
    <w:rsid w:val="00CF5FB1"/>
    <w:rsid w:val="00CF5FF9"/>
    <w:rsid w:val="00CF6039"/>
    <w:rsid w:val="00CF6097"/>
    <w:rsid w:val="00CF60C8"/>
    <w:rsid w:val="00CF6107"/>
    <w:rsid w:val="00CF61CF"/>
    <w:rsid w:val="00CF628E"/>
    <w:rsid w:val="00CF6319"/>
    <w:rsid w:val="00CF661D"/>
    <w:rsid w:val="00CF6795"/>
    <w:rsid w:val="00CF67EE"/>
    <w:rsid w:val="00CF683D"/>
    <w:rsid w:val="00CF685D"/>
    <w:rsid w:val="00CF6971"/>
    <w:rsid w:val="00CF6A0D"/>
    <w:rsid w:val="00CF6A73"/>
    <w:rsid w:val="00CF6B05"/>
    <w:rsid w:val="00CF6B25"/>
    <w:rsid w:val="00CF6C4B"/>
    <w:rsid w:val="00CF6CCB"/>
    <w:rsid w:val="00CF6DB8"/>
    <w:rsid w:val="00CF6DC5"/>
    <w:rsid w:val="00CF6ECC"/>
    <w:rsid w:val="00CF6F64"/>
    <w:rsid w:val="00CF6F95"/>
    <w:rsid w:val="00CF70AE"/>
    <w:rsid w:val="00CF71F3"/>
    <w:rsid w:val="00CF725B"/>
    <w:rsid w:val="00CF7264"/>
    <w:rsid w:val="00CF726E"/>
    <w:rsid w:val="00CF7350"/>
    <w:rsid w:val="00CF73E4"/>
    <w:rsid w:val="00CF7407"/>
    <w:rsid w:val="00CF7417"/>
    <w:rsid w:val="00CF7573"/>
    <w:rsid w:val="00CF760C"/>
    <w:rsid w:val="00CF77B3"/>
    <w:rsid w:val="00CF77C8"/>
    <w:rsid w:val="00CF791E"/>
    <w:rsid w:val="00CF7A05"/>
    <w:rsid w:val="00CF7A1B"/>
    <w:rsid w:val="00CF7B32"/>
    <w:rsid w:val="00CF7B3C"/>
    <w:rsid w:val="00CF7CEE"/>
    <w:rsid w:val="00CF7D23"/>
    <w:rsid w:val="00CF7E31"/>
    <w:rsid w:val="00CF7F7F"/>
    <w:rsid w:val="00CF7FC4"/>
    <w:rsid w:val="00D000B2"/>
    <w:rsid w:val="00D0012B"/>
    <w:rsid w:val="00D0023B"/>
    <w:rsid w:val="00D002CD"/>
    <w:rsid w:val="00D002FF"/>
    <w:rsid w:val="00D00349"/>
    <w:rsid w:val="00D004AF"/>
    <w:rsid w:val="00D004D8"/>
    <w:rsid w:val="00D00527"/>
    <w:rsid w:val="00D0059C"/>
    <w:rsid w:val="00D00655"/>
    <w:rsid w:val="00D006EE"/>
    <w:rsid w:val="00D00736"/>
    <w:rsid w:val="00D00778"/>
    <w:rsid w:val="00D007B9"/>
    <w:rsid w:val="00D0084B"/>
    <w:rsid w:val="00D00878"/>
    <w:rsid w:val="00D008C8"/>
    <w:rsid w:val="00D008EF"/>
    <w:rsid w:val="00D0092C"/>
    <w:rsid w:val="00D00ADF"/>
    <w:rsid w:val="00D00B12"/>
    <w:rsid w:val="00D00C68"/>
    <w:rsid w:val="00D00C88"/>
    <w:rsid w:val="00D00EA9"/>
    <w:rsid w:val="00D00FA6"/>
    <w:rsid w:val="00D0107D"/>
    <w:rsid w:val="00D01160"/>
    <w:rsid w:val="00D01239"/>
    <w:rsid w:val="00D012DB"/>
    <w:rsid w:val="00D0131F"/>
    <w:rsid w:val="00D01330"/>
    <w:rsid w:val="00D013EA"/>
    <w:rsid w:val="00D014E9"/>
    <w:rsid w:val="00D01506"/>
    <w:rsid w:val="00D01530"/>
    <w:rsid w:val="00D01682"/>
    <w:rsid w:val="00D01850"/>
    <w:rsid w:val="00D01868"/>
    <w:rsid w:val="00D01A9F"/>
    <w:rsid w:val="00D01B70"/>
    <w:rsid w:val="00D01BE2"/>
    <w:rsid w:val="00D01E71"/>
    <w:rsid w:val="00D01E7D"/>
    <w:rsid w:val="00D01EE3"/>
    <w:rsid w:val="00D01FC9"/>
    <w:rsid w:val="00D01FD6"/>
    <w:rsid w:val="00D0206B"/>
    <w:rsid w:val="00D0211D"/>
    <w:rsid w:val="00D02134"/>
    <w:rsid w:val="00D02189"/>
    <w:rsid w:val="00D021C4"/>
    <w:rsid w:val="00D02232"/>
    <w:rsid w:val="00D022B3"/>
    <w:rsid w:val="00D02442"/>
    <w:rsid w:val="00D02613"/>
    <w:rsid w:val="00D02626"/>
    <w:rsid w:val="00D026CD"/>
    <w:rsid w:val="00D02718"/>
    <w:rsid w:val="00D0273C"/>
    <w:rsid w:val="00D027A4"/>
    <w:rsid w:val="00D0282E"/>
    <w:rsid w:val="00D02855"/>
    <w:rsid w:val="00D029BC"/>
    <w:rsid w:val="00D02AC8"/>
    <w:rsid w:val="00D02AD8"/>
    <w:rsid w:val="00D02AFF"/>
    <w:rsid w:val="00D02B7D"/>
    <w:rsid w:val="00D02BE1"/>
    <w:rsid w:val="00D02C5B"/>
    <w:rsid w:val="00D02CBC"/>
    <w:rsid w:val="00D02D64"/>
    <w:rsid w:val="00D02D9C"/>
    <w:rsid w:val="00D02E75"/>
    <w:rsid w:val="00D02EAF"/>
    <w:rsid w:val="00D02F85"/>
    <w:rsid w:val="00D02FBD"/>
    <w:rsid w:val="00D03040"/>
    <w:rsid w:val="00D030F4"/>
    <w:rsid w:val="00D030F7"/>
    <w:rsid w:val="00D03162"/>
    <w:rsid w:val="00D03257"/>
    <w:rsid w:val="00D032D5"/>
    <w:rsid w:val="00D03412"/>
    <w:rsid w:val="00D0343E"/>
    <w:rsid w:val="00D03521"/>
    <w:rsid w:val="00D03554"/>
    <w:rsid w:val="00D035BB"/>
    <w:rsid w:val="00D035CA"/>
    <w:rsid w:val="00D03708"/>
    <w:rsid w:val="00D03894"/>
    <w:rsid w:val="00D038A0"/>
    <w:rsid w:val="00D039B6"/>
    <w:rsid w:val="00D03A69"/>
    <w:rsid w:val="00D03A71"/>
    <w:rsid w:val="00D03B6E"/>
    <w:rsid w:val="00D03D49"/>
    <w:rsid w:val="00D03DE2"/>
    <w:rsid w:val="00D03EC2"/>
    <w:rsid w:val="00D03F46"/>
    <w:rsid w:val="00D03F9D"/>
    <w:rsid w:val="00D04115"/>
    <w:rsid w:val="00D04129"/>
    <w:rsid w:val="00D04196"/>
    <w:rsid w:val="00D041EF"/>
    <w:rsid w:val="00D04310"/>
    <w:rsid w:val="00D0439C"/>
    <w:rsid w:val="00D0440B"/>
    <w:rsid w:val="00D0451F"/>
    <w:rsid w:val="00D045B7"/>
    <w:rsid w:val="00D04617"/>
    <w:rsid w:val="00D04642"/>
    <w:rsid w:val="00D04759"/>
    <w:rsid w:val="00D0498B"/>
    <w:rsid w:val="00D04AB0"/>
    <w:rsid w:val="00D04D3E"/>
    <w:rsid w:val="00D04E86"/>
    <w:rsid w:val="00D04ED1"/>
    <w:rsid w:val="00D04EFE"/>
    <w:rsid w:val="00D04F0B"/>
    <w:rsid w:val="00D04F83"/>
    <w:rsid w:val="00D04FA1"/>
    <w:rsid w:val="00D050C0"/>
    <w:rsid w:val="00D0511E"/>
    <w:rsid w:val="00D0512D"/>
    <w:rsid w:val="00D05137"/>
    <w:rsid w:val="00D05215"/>
    <w:rsid w:val="00D05298"/>
    <w:rsid w:val="00D052D9"/>
    <w:rsid w:val="00D054F8"/>
    <w:rsid w:val="00D05577"/>
    <w:rsid w:val="00D055AA"/>
    <w:rsid w:val="00D055D0"/>
    <w:rsid w:val="00D05790"/>
    <w:rsid w:val="00D057AD"/>
    <w:rsid w:val="00D05840"/>
    <w:rsid w:val="00D05894"/>
    <w:rsid w:val="00D058D5"/>
    <w:rsid w:val="00D058EB"/>
    <w:rsid w:val="00D05A2A"/>
    <w:rsid w:val="00D05ADC"/>
    <w:rsid w:val="00D05BAF"/>
    <w:rsid w:val="00D05C0F"/>
    <w:rsid w:val="00D05C93"/>
    <w:rsid w:val="00D05D11"/>
    <w:rsid w:val="00D05D4E"/>
    <w:rsid w:val="00D05D96"/>
    <w:rsid w:val="00D05E67"/>
    <w:rsid w:val="00D05EA5"/>
    <w:rsid w:val="00D05FED"/>
    <w:rsid w:val="00D0602A"/>
    <w:rsid w:val="00D06089"/>
    <w:rsid w:val="00D06198"/>
    <w:rsid w:val="00D06264"/>
    <w:rsid w:val="00D063F9"/>
    <w:rsid w:val="00D06471"/>
    <w:rsid w:val="00D06622"/>
    <w:rsid w:val="00D06689"/>
    <w:rsid w:val="00D067C7"/>
    <w:rsid w:val="00D068DF"/>
    <w:rsid w:val="00D0693E"/>
    <w:rsid w:val="00D0696A"/>
    <w:rsid w:val="00D069CC"/>
    <w:rsid w:val="00D06A61"/>
    <w:rsid w:val="00D06B1A"/>
    <w:rsid w:val="00D06B3B"/>
    <w:rsid w:val="00D06BCA"/>
    <w:rsid w:val="00D06C47"/>
    <w:rsid w:val="00D06C59"/>
    <w:rsid w:val="00D06D54"/>
    <w:rsid w:val="00D06D71"/>
    <w:rsid w:val="00D06DB6"/>
    <w:rsid w:val="00D06EB1"/>
    <w:rsid w:val="00D07064"/>
    <w:rsid w:val="00D0710E"/>
    <w:rsid w:val="00D071AA"/>
    <w:rsid w:val="00D0726A"/>
    <w:rsid w:val="00D07290"/>
    <w:rsid w:val="00D0733D"/>
    <w:rsid w:val="00D073DB"/>
    <w:rsid w:val="00D073F4"/>
    <w:rsid w:val="00D0747A"/>
    <w:rsid w:val="00D07513"/>
    <w:rsid w:val="00D07518"/>
    <w:rsid w:val="00D07533"/>
    <w:rsid w:val="00D07695"/>
    <w:rsid w:val="00D07716"/>
    <w:rsid w:val="00D077D5"/>
    <w:rsid w:val="00D0782C"/>
    <w:rsid w:val="00D078A8"/>
    <w:rsid w:val="00D07913"/>
    <w:rsid w:val="00D079BB"/>
    <w:rsid w:val="00D07A25"/>
    <w:rsid w:val="00D07A6F"/>
    <w:rsid w:val="00D07D4E"/>
    <w:rsid w:val="00D07F8A"/>
    <w:rsid w:val="00D07FC9"/>
    <w:rsid w:val="00D07FFA"/>
    <w:rsid w:val="00D1000E"/>
    <w:rsid w:val="00D1021D"/>
    <w:rsid w:val="00D1026F"/>
    <w:rsid w:val="00D103CD"/>
    <w:rsid w:val="00D103CE"/>
    <w:rsid w:val="00D105D3"/>
    <w:rsid w:val="00D10649"/>
    <w:rsid w:val="00D106AB"/>
    <w:rsid w:val="00D107F2"/>
    <w:rsid w:val="00D10996"/>
    <w:rsid w:val="00D10AB3"/>
    <w:rsid w:val="00D10B1B"/>
    <w:rsid w:val="00D10B4D"/>
    <w:rsid w:val="00D10B69"/>
    <w:rsid w:val="00D10D7B"/>
    <w:rsid w:val="00D10DB0"/>
    <w:rsid w:val="00D10DF8"/>
    <w:rsid w:val="00D10E3B"/>
    <w:rsid w:val="00D10E8E"/>
    <w:rsid w:val="00D10FF3"/>
    <w:rsid w:val="00D1105A"/>
    <w:rsid w:val="00D11145"/>
    <w:rsid w:val="00D111B2"/>
    <w:rsid w:val="00D11263"/>
    <w:rsid w:val="00D11453"/>
    <w:rsid w:val="00D1147F"/>
    <w:rsid w:val="00D11578"/>
    <w:rsid w:val="00D115FA"/>
    <w:rsid w:val="00D1188A"/>
    <w:rsid w:val="00D1188F"/>
    <w:rsid w:val="00D118C5"/>
    <w:rsid w:val="00D118F0"/>
    <w:rsid w:val="00D118F6"/>
    <w:rsid w:val="00D11A75"/>
    <w:rsid w:val="00D11A76"/>
    <w:rsid w:val="00D11A8D"/>
    <w:rsid w:val="00D11AED"/>
    <w:rsid w:val="00D11B43"/>
    <w:rsid w:val="00D11BA8"/>
    <w:rsid w:val="00D11BF5"/>
    <w:rsid w:val="00D11CA0"/>
    <w:rsid w:val="00D11D3C"/>
    <w:rsid w:val="00D11DE1"/>
    <w:rsid w:val="00D11F58"/>
    <w:rsid w:val="00D12054"/>
    <w:rsid w:val="00D120B7"/>
    <w:rsid w:val="00D12113"/>
    <w:rsid w:val="00D1233B"/>
    <w:rsid w:val="00D1236B"/>
    <w:rsid w:val="00D126B1"/>
    <w:rsid w:val="00D127BC"/>
    <w:rsid w:val="00D12999"/>
    <w:rsid w:val="00D129AB"/>
    <w:rsid w:val="00D129F2"/>
    <w:rsid w:val="00D12A56"/>
    <w:rsid w:val="00D12A84"/>
    <w:rsid w:val="00D12AAD"/>
    <w:rsid w:val="00D12E02"/>
    <w:rsid w:val="00D12E04"/>
    <w:rsid w:val="00D12E57"/>
    <w:rsid w:val="00D12F2A"/>
    <w:rsid w:val="00D12F9B"/>
    <w:rsid w:val="00D12FB2"/>
    <w:rsid w:val="00D130A8"/>
    <w:rsid w:val="00D1313D"/>
    <w:rsid w:val="00D132B0"/>
    <w:rsid w:val="00D133A7"/>
    <w:rsid w:val="00D13482"/>
    <w:rsid w:val="00D134B3"/>
    <w:rsid w:val="00D1360E"/>
    <w:rsid w:val="00D13679"/>
    <w:rsid w:val="00D137EB"/>
    <w:rsid w:val="00D13866"/>
    <w:rsid w:val="00D13AE5"/>
    <w:rsid w:val="00D13AE7"/>
    <w:rsid w:val="00D13B38"/>
    <w:rsid w:val="00D13B58"/>
    <w:rsid w:val="00D13BCF"/>
    <w:rsid w:val="00D13D1C"/>
    <w:rsid w:val="00D13DDD"/>
    <w:rsid w:val="00D1403F"/>
    <w:rsid w:val="00D141C8"/>
    <w:rsid w:val="00D141F9"/>
    <w:rsid w:val="00D1427D"/>
    <w:rsid w:val="00D1432E"/>
    <w:rsid w:val="00D14431"/>
    <w:rsid w:val="00D14442"/>
    <w:rsid w:val="00D144B5"/>
    <w:rsid w:val="00D144C0"/>
    <w:rsid w:val="00D14606"/>
    <w:rsid w:val="00D146B7"/>
    <w:rsid w:val="00D1476D"/>
    <w:rsid w:val="00D147BE"/>
    <w:rsid w:val="00D14839"/>
    <w:rsid w:val="00D148B0"/>
    <w:rsid w:val="00D148C1"/>
    <w:rsid w:val="00D148F9"/>
    <w:rsid w:val="00D1496F"/>
    <w:rsid w:val="00D149EC"/>
    <w:rsid w:val="00D14A3A"/>
    <w:rsid w:val="00D14A98"/>
    <w:rsid w:val="00D14AE7"/>
    <w:rsid w:val="00D14CFD"/>
    <w:rsid w:val="00D14D1A"/>
    <w:rsid w:val="00D14DC8"/>
    <w:rsid w:val="00D14E13"/>
    <w:rsid w:val="00D15027"/>
    <w:rsid w:val="00D1511B"/>
    <w:rsid w:val="00D151AA"/>
    <w:rsid w:val="00D15240"/>
    <w:rsid w:val="00D152F2"/>
    <w:rsid w:val="00D1535B"/>
    <w:rsid w:val="00D15420"/>
    <w:rsid w:val="00D15438"/>
    <w:rsid w:val="00D1555E"/>
    <w:rsid w:val="00D15592"/>
    <w:rsid w:val="00D1562F"/>
    <w:rsid w:val="00D15693"/>
    <w:rsid w:val="00D1570B"/>
    <w:rsid w:val="00D15846"/>
    <w:rsid w:val="00D15904"/>
    <w:rsid w:val="00D1590D"/>
    <w:rsid w:val="00D159CB"/>
    <w:rsid w:val="00D15A09"/>
    <w:rsid w:val="00D15B1D"/>
    <w:rsid w:val="00D15BB6"/>
    <w:rsid w:val="00D15C11"/>
    <w:rsid w:val="00D15C89"/>
    <w:rsid w:val="00D15D1C"/>
    <w:rsid w:val="00D15D73"/>
    <w:rsid w:val="00D15E57"/>
    <w:rsid w:val="00D15ED9"/>
    <w:rsid w:val="00D15F36"/>
    <w:rsid w:val="00D15F5C"/>
    <w:rsid w:val="00D15F94"/>
    <w:rsid w:val="00D16021"/>
    <w:rsid w:val="00D1606F"/>
    <w:rsid w:val="00D16168"/>
    <w:rsid w:val="00D16174"/>
    <w:rsid w:val="00D161DE"/>
    <w:rsid w:val="00D16318"/>
    <w:rsid w:val="00D16746"/>
    <w:rsid w:val="00D1680B"/>
    <w:rsid w:val="00D1685C"/>
    <w:rsid w:val="00D168E0"/>
    <w:rsid w:val="00D1698E"/>
    <w:rsid w:val="00D16993"/>
    <w:rsid w:val="00D16C04"/>
    <w:rsid w:val="00D16C3D"/>
    <w:rsid w:val="00D16E0C"/>
    <w:rsid w:val="00D16EFA"/>
    <w:rsid w:val="00D17077"/>
    <w:rsid w:val="00D1714F"/>
    <w:rsid w:val="00D17150"/>
    <w:rsid w:val="00D17193"/>
    <w:rsid w:val="00D1735B"/>
    <w:rsid w:val="00D17463"/>
    <w:rsid w:val="00D1755E"/>
    <w:rsid w:val="00D1765B"/>
    <w:rsid w:val="00D176F2"/>
    <w:rsid w:val="00D177D2"/>
    <w:rsid w:val="00D17997"/>
    <w:rsid w:val="00D179A5"/>
    <w:rsid w:val="00D17A9C"/>
    <w:rsid w:val="00D17D57"/>
    <w:rsid w:val="00D17D9E"/>
    <w:rsid w:val="00D17EB9"/>
    <w:rsid w:val="00D17F23"/>
    <w:rsid w:val="00D17F27"/>
    <w:rsid w:val="00D17FA0"/>
    <w:rsid w:val="00D20053"/>
    <w:rsid w:val="00D20135"/>
    <w:rsid w:val="00D20278"/>
    <w:rsid w:val="00D202A3"/>
    <w:rsid w:val="00D2033D"/>
    <w:rsid w:val="00D20384"/>
    <w:rsid w:val="00D203E0"/>
    <w:rsid w:val="00D20568"/>
    <w:rsid w:val="00D20582"/>
    <w:rsid w:val="00D2059E"/>
    <w:rsid w:val="00D205CF"/>
    <w:rsid w:val="00D20636"/>
    <w:rsid w:val="00D20772"/>
    <w:rsid w:val="00D207D2"/>
    <w:rsid w:val="00D20836"/>
    <w:rsid w:val="00D2092B"/>
    <w:rsid w:val="00D2097B"/>
    <w:rsid w:val="00D20998"/>
    <w:rsid w:val="00D20C2D"/>
    <w:rsid w:val="00D20C8A"/>
    <w:rsid w:val="00D20CE4"/>
    <w:rsid w:val="00D20DA9"/>
    <w:rsid w:val="00D20E4B"/>
    <w:rsid w:val="00D20E6C"/>
    <w:rsid w:val="00D20E8C"/>
    <w:rsid w:val="00D20EF1"/>
    <w:rsid w:val="00D20FD0"/>
    <w:rsid w:val="00D21056"/>
    <w:rsid w:val="00D210A1"/>
    <w:rsid w:val="00D211F4"/>
    <w:rsid w:val="00D212C1"/>
    <w:rsid w:val="00D212DE"/>
    <w:rsid w:val="00D21331"/>
    <w:rsid w:val="00D213B0"/>
    <w:rsid w:val="00D213F5"/>
    <w:rsid w:val="00D21404"/>
    <w:rsid w:val="00D21431"/>
    <w:rsid w:val="00D214C4"/>
    <w:rsid w:val="00D21501"/>
    <w:rsid w:val="00D21519"/>
    <w:rsid w:val="00D21565"/>
    <w:rsid w:val="00D21582"/>
    <w:rsid w:val="00D21788"/>
    <w:rsid w:val="00D21793"/>
    <w:rsid w:val="00D21797"/>
    <w:rsid w:val="00D21956"/>
    <w:rsid w:val="00D219C9"/>
    <w:rsid w:val="00D21B54"/>
    <w:rsid w:val="00D21C64"/>
    <w:rsid w:val="00D21CF2"/>
    <w:rsid w:val="00D21D8D"/>
    <w:rsid w:val="00D21DB5"/>
    <w:rsid w:val="00D21DDC"/>
    <w:rsid w:val="00D21F9E"/>
    <w:rsid w:val="00D21FB6"/>
    <w:rsid w:val="00D21FD3"/>
    <w:rsid w:val="00D220C9"/>
    <w:rsid w:val="00D220E4"/>
    <w:rsid w:val="00D22397"/>
    <w:rsid w:val="00D223BA"/>
    <w:rsid w:val="00D2244A"/>
    <w:rsid w:val="00D2248C"/>
    <w:rsid w:val="00D2254A"/>
    <w:rsid w:val="00D226B7"/>
    <w:rsid w:val="00D2270F"/>
    <w:rsid w:val="00D227F1"/>
    <w:rsid w:val="00D22901"/>
    <w:rsid w:val="00D22954"/>
    <w:rsid w:val="00D2295B"/>
    <w:rsid w:val="00D22993"/>
    <w:rsid w:val="00D22C0E"/>
    <w:rsid w:val="00D22D30"/>
    <w:rsid w:val="00D22D48"/>
    <w:rsid w:val="00D22EBF"/>
    <w:rsid w:val="00D22F94"/>
    <w:rsid w:val="00D22FC2"/>
    <w:rsid w:val="00D2308D"/>
    <w:rsid w:val="00D230BA"/>
    <w:rsid w:val="00D23130"/>
    <w:rsid w:val="00D2315A"/>
    <w:rsid w:val="00D23161"/>
    <w:rsid w:val="00D231BD"/>
    <w:rsid w:val="00D23223"/>
    <w:rsid w:val="00D232B3"/>
    <w:rsid w:val="00D232CA"/>
    <w:rsid w:val="00D2360B"/>
    <w:rsid w:val="00D23652"/>
    <w:rsid w:val="00D236E8"/>
    <w:rsid w:val="00D2373D"/>
    <w:rsid w:val="00D23935"/>
    <w:rsid w:val="00D23942"/>
    <w:rsid w:val="00D239A3"/>
    <w:rsid w:val="00D23BF9"/>
    <w:rsid w:val="00D23C90"/>
    <w:rsid w:val="00D23D69"/>
    <w:rsid w:val="00D23DDE"/>
    <w:rsid w:val="00D23E5A"/>
    <w:rsid w:val="00D23EA6"/>
    <w:rsid w:val="00D240EB"/>
    <w:rsid w:val="00D24136"/>
    <w:rsid w:val="00D241A3"/>
    <w:rsid w:val="00D241E0"/>
    <w:rsid w:val="00D24294"/>
    <w:rsid w:val="00D24393"/>
    <w:rsid w:val="00D24478"/>
    <w:rsid w:val="00D24737"/>
    <w:rsid w:val="00D2476D"/>
    <w:rsid w:val="00D247B4"/>
    <w:rsid w:val="00D24805"/>
    <w:rsid w:val="00D24870"/>
    <w:rsid w:val="00D24ACC"/>
    <w:rsid w:val="00D24AE1"/>
    <w:rsid w:val="00D24C5A"/>
    <w:rsid w:val="00D24CEC"/>
    <w:rsid w:val="00D24E5B"/>
    <w:rsid w:val="00D25055"/>
    <w:rsid w:val="00D251F1"/>
    <w:rsid w:val="00D25217"/>
    <w:rsid w:val="00D252BD"/>
    <w:rsid w:val="00D25311"/>
    <w:rsid w:val="00D2534B"/>
    <w:rsid w:val="00D25383"/>
    <w:rsid w:val="00D25486"/>
    <w:rsid w:val="00D2566B"/>
    <w:rsid w:val="00D25685"/>
    <w:rsid w:val="00D256B6"/>
    <w:rsid w:val="00D256BE"/>
    <w:rsid w:val="00D256C4"/>
    <w:rsid w:val="00D25874"/>
    <w:rsid w:val="00D2588C"/>
    <w:rsid w:val="00D258AD"/>
    <w:rsid w:val="00D258C0"/>
    <w:rsid w:val="00D25B17"/>
    <w:rsid w:val="00D25CAA"/>
    <w:rsid w:val="00D25CF7"/>
    <w:rsid w:val="00D25E1C"/>
    <w:rsid w:val="00D25EC3"/>
    <w:rsid w:val="00D25EDB"/>
    <w:rsid w:val="00D25FF4"/>
    <w:rsid w:val="00D2601B"/>
    <w:rsid w:val="00D2626B"/>
    <w:rsid w:val="00D262AA"/>
    <w:rsid w:val="00D262EC"/>
    <w:rsid w:val="00D2642B"/>
    <w:rsid w:val="00D2642D"/>
    <w:rsid w:val="00D264FE"/>
    <w:rsid w:val="00D2650F"/>
    <w:rsid w:val="00D26558"/>
    <w:rsid w:val="00D2656E"/>
    <w:rsid w:val="00D2657D"/>
    <w:rsid w:val="00D26661"/>
    <w:rsid w:val="00D267B3"/>
    <w:rsid w:val="00D267D9"/>
    <w:rsid w:val="00D26859"/>
    <w:rsid w:val="00D26884"/>
    <w:rsid w:val="00D268AF"/>
    <w:rsid w:val="00D268B6"/>
    <w:rsid w:val="00D26A17"/>
    <w:rsid w:val="00D26A69"/>
    <w:rsid w:val="00D26A6F"/>
    <w:rsid w:val="00D26B0E"/>
    <w:rsid w:val="00D26C9D"/>
    <w:rsid w:val="00D26CD5"/>
    <w:rsid w:val="00D26D22"/>
    <w:rsid w:val="00D26E24"/>
    <w:rsid w:val="00D26F12"/>
    <w:rsid w:val="00D26F56"/>
    <w:rsid w:val="00D2703E"/>
    <w:rsid w:val="00D2715B"/>
    <w:rsid w:val="00D271E9"/>
    <w:rsid w:val="00D27227"/>
    <w:rsid w:val="00D272B5"/>
    <w:rsid w:val="00D27397"/>
    <w:rsid w:val="00D27431"/>
    <w:rsid w:val="00D2748F"/>
    <w:rsid w:val="00D274ED"/>
    <w:rsid w:val="00D27670"/>
    <w:rsid w:val="00D2767F"/>
    <w:rsid w:val="00D2775A"/>
    <w:rsid w:val="00D278E6"/>
    <w:rsid w:val="00D27924"/>
    <w:rsid w:val="00D27A43"/>
    <w:rsid w:val="00D27AB6"/>
    <w:rsid w:val="00D27B73"/>
    <w:rsid w:val="00D27B82"/>
    <w:rsid w:val="00D27BFD"/>
    <w:rsid w:val="00D27EFA"/>
    <w:rsid w:val="00D27F2C"/>
    <w:rsid w:val="00D2BADE"/>
    <w:rsid w:val="00D300D0"/>
    <w:rsid w:val="00D30238"/>
    <w:rsid w:val="00D3049C"/>
    <w:rsid w:val="00D30518"/>
    <w:rsid w:val="00D30559"/>
    <w:rsid w:val="00D305F0"/>
    <w:rsid w:val="00D3062C"/>
    <w:rsid w:val="00D3073C"/>
    <w:rsid w:val="00D307E3"/>
    <w:rsid w:val="00D3085D"/>
    <w:rsid w:val="00D30A1C"/>
    <w:rsid w:val="00D30AD3"/>
    <w:rsid w:val="00D30BE7"/>
    <w:rsid w:val="00D30BFB"/>
    <w:rsid w:val="00D30C67"/>
    <w:rsid w:val="00D30DB9"/>
    <w:rsid w:val="00D31018"/>
    <w:rsid w:val="00D3104E"/>
    <w:rsid w:val="00D3106D"/>
    <w:rsid w:val="00D31238"/>
    <w:rsid w:val="00D31629"/>
    <w:rsid w:val="00D316A8"/>
    <w:rsid w:val="00D31792"/>
    <w:rsid w:val="00D317B7"/>
    <w:rsid w:val="00D31929"/>
    <w:rsid w:val="00D31990"/>
    <w:rsid w:val="00D31AA8"/>
    <w:rsid w:val="00D31AE3"/>
    <w:rsid w:val="00D31B23"/>
    <w:rsid w:val="00D31B9F"/>
    <w:rsid w:val="00D31C75"/>
    <w:rsid w:val="00D31C94"/>
    <w:rsid w:val="00D31CF4"/>
    <w:rsid w:val="00D31D06"/>
    <w:rsid w:val="00D31E6A"/>
    <w:rsid w:val="00D31EC5"/>
    <w:rsid w:val="00D31F9B"/>
    <w:rsid w:val="00D32071"/>
    <w:rsid w:val="00D320A3"/>
    <w:rsid w:val="00D32184"/>
    <w:rsid w:val="00D321FE"/>
    <w:rsid w:val="00D32286"/>
    <w:rsid w:val="00D322C5"/>
    <w:rsid w:val="00D32456"/>
    <w:rsid w:val="00D3246A"/>
    <w:rsid w:val="00D32476"/>
    <w:rsid w:val="00D324D7"/>
    <w:rsid w:val="00D32561"/>
    <w:rsid w:val="00D326BB"/>
    <w:rsid w:val="00D32711"/>
    <w:rsid w:val="00D32776"/>
    <w:rsid w:val="00D32819"/>
    <w:rsid w:val="00D32875"/>
    <w:rsid w:val="00D3296F"/>
    <w:rsid w:val="00D329A0"/>
    <w:rsid w:val="00D329DF"/>
    <w:rsid w:val="00D32A44"/>
    <w:rsid w:val="00D32ABB"/>
    <w:rsid w:val="00D32AD7"/>
    <w:rsid w:val="00D32B00"/>
    <w:rsid w:val="00D32B31"/>
    <w:rsid w:val="00D32B51"/>
    <w:rsid w:val="00D32B53"/>
    <w:rsid w:val="00D32BD0"/>
    <w:rsid w:val="00D32D5C"/>
    <w:rsid w:val="00D32D95"/>
    <w:rsid w:val="00D32E2B"/>
    <w:rsid w:val="00D32E86"/>
    <w:rsid w:val="00D32EBA"/>
    <w:rsid w:val="00D32EEF"/>
    <w:rsid w:val="00D33033"/>
    <w:rsid w:val="00D330C4"/>
    <w:rsid w:val="00D3317F"/>
    <w:rsid w:val="00D33241"/>
    <w:rsid w:val="00D3336D"/>
    <w:rsid w:val="00D3347A"/>
    <w:rsid w:val="00D334F2"/>
    <w:rsid w:val="00D33514"/>
    <w:rsid w:val="00D3353C"/>
    <w:rsid w:val="00D336FC"/>
    <w:rsid w:val="00D33730"/>
    <w:rsid w:val="00D337B7"/>
    <w:rsid w:val="00D33830"/>
    <w:rsid w:val="00D3386C"/>
    <w:rsid w:val="00D33888"/>
    <w:rsid w:val="00D33934"/>
    <w:rsid w:val="00D33939"/>
    <w:rsid w:val="00D33991"/>
    <w:rsid w:val="00D339A9"/>
    <w:rsid w:val="00D33A2B"/>
    <w:rsid w:val="00D33A68"/>
    <w:rsid w:val="00D33A99"/>
    <w:rsid w:val="00D33AC3"/>
    <w:rsid w:val="00D33ACC"/>
    <w:rsid w:val="00D33B81"/>
    <w:rsid w:val="00D33E29"/>
    <w:rsid w:val="00D33EF3"/>
    <w:rsid w:val="00D3407E"/>
    <w:rsid w:val="00D340D2"/>
    <w:rsid w:val="00D340D5"/>
    <w:rsid w:val="00D34105"/>
    <w:rsid w:val="00D34111"/>
    <w:rsid w:val="00D34193"/>
    <w:rsid w:val="00D34231"/>
    <w:rsid w:val="00D3432E"/>
    <w:rsid w:val="00D344B5"/>
    <w:rsid w:val="00D34513"/>
    <w:rsid w:val="00D34531"/>
    <w:rsid w:val="00D34688"/>
    <w:rsid w:val="00D34828"/>
    <w:rsid w:val="00D34917"/>
    <w:rsid w:val="00D34B47"/>
    <w:rsid w:val="00D34B74"/>
    <w:rsid w:val="00D34BB3"/>
    <w:rsid w:val="00D34C5E"/>
    <w:rsid w:val="00D34C83"/>
    <w:rsid w:val="00D34C9C"/>
    <w:rsid w:val="00D34D16"/>
    <w:rsid w:val="00D34E2E"/>
    <w:rsid w:val="00D34F5F"/>
    <w:rsid w:val="00D34FE5"/>
    <w:rsid w:val="00D35001"/>
    <w:rsid w:val="00D350B0"/>
    <w:rsid w:val="00D35107"/>
    <w:rsid w:val="00D3513F"/>
    <w:rsid w:val="00D35186"/>
    <w:rsid w:val="00D35393"/>
    <w:rsid w:val="00D35413"/>
    <w:rsid w:val="00D35492"/>
    <w:rsid w:val="00D354BE"/>
    <w:rsid w:val="00D354C2"/>
    <w:rsid w:val="00D354CC"/>
    <w:rsid w:val="00D354E1"/>
    <w:rsid w:val="00D35683"/>
    <w:rsid w:val="00D35729"/>
    <w:rsid w:val="00D3578D"/>
    <w:rsid w:val="00D357A5"/>
    <w:rsid w:val="00D35800"/>
    <w:rsid w:val="00D35854"/>
    <w:rsid w:val="00D359D8"/>
    <w:rsid w:val="00D359FC"/>
    <w:rsid w:val="00D35A16"/>
    <w:rsid w:val="00D35CF2"/>
    <w:rsid w:val="00D35EE1"/>
    <w:rsid w:val="00D35F95"/>
    <w:rsid w:val="00D3613A"/>
    <w:rsid w:val="00D3622D"/>
    <w:rsid w:val="00D36253"/>
    <w:rsid w:val="00D362B3"/>
    <w:rsid w:val="00D362B6"/>
    <w:rsid w:val="00D362E8"/>
    <w:rsid w:val="00D36318"/>
    <w:rsid w:val="00D363B0"/>
    <w:rsid w:val="00D363CC"/>
    <w:rsid w:val="00D36584"/>
    <w:rsid w:val="00D367FC"/>
    <w:rsid w:val="00D3681C"/>
    <w:rsid w:val="00D36AE2"/>
    <w:rsid w:val="00D36B47"/>
    <w:rsid w:val="00D36C83"/>
    <w:rsid w:val="00D36C92"/>
    <w:rsid w:val="00D36CC1"/>
    <w:rsid w:val="00D36CC5"/>
    <w:rsid w:val="00D36E73"/>
    <w:rsid w:val="00D36EE6"/>
    <w:rsid w:val="00D36FAD"/>
    <w:rsid w:val="00D36FB8"/>
    <w:rsid w:val="00D36FC8"/>
    <w:rsid w:val="00D370B7"/>
    <w:rsid w:val="00D3714F"/>
    <w:rsid w:val="00D372B4"/>
    <w:rsid w:val="00D3776F"/>
    <w:rsid w:val="00D377F2"/>
    <w:rsid w:val="00D37847"/>
    <w:rsid w:val="00D37897"/>
    <w:rsid w:val="00D378CF"/>
    <w:rsid w:val="00D378E2"/>
    <w:rsid w:val="00D37A1F"/>
    <w:rsid w:val="00D37B89"/>
    <w:rsid w:val="00D37BE1"/>
    <w:rsid w:val="00D37C0E"/>
    <w:rsid w:val="00D37DF2"/>
    <w:rsid w:val="00D37E03"/>
    <w:rsid w:val="00D37E5B"/>
    <w:rsid w:val="00D37E5F"/>
    <w:rsid w:val="00D37E83"/>
    <w:rsid w:val="00D37F5D"/>
    <w:rsid w:val="00D3812F"/>
    <w:rsid w:val="00D4008A"/>
    <w:rsid w:val="00D400EF"/>
    <w:rsid w:val="00D40104"/>
    <w:rsid w:val="00D40121"/>
    <w:rsid w:val="00D40289"/>
    <w:rsid w:val="00D40379"/>
    <w:rsid w:val="00D403CF"/>
    <w:rsid w:val="00D403E9"/>
    <w:rsid w:val="00D403EB"/>
    <w:rsid w:val="00D404E5"/>
    <w:rsid w:val="00D4059A"/>
    <w:rsid w:val="00D406D2"/>
    <w:rsid w:val="00D40868"/>
    <w:rsid w:val="00D408C0"/>
    <w:rsid w:val="00D4093A"/>
    <w:rsid w:val="00D40963"/>
    <w:rsid w:val="00D40AA5"/>
    <w:rsid w:val="00D40AC2"/>
    <w:rsid w:val="00D40C05"/>
    <w:rsid w:val="00D40C50"/>
    <w:rsid w:val="00D40C64"/>
    <w:rsid w:val="00D40C80"/>
    <w:rsid w:val="00D40D22"/>
    <w:rsid w:val="00D40D80"/>
    <w:rsid w:val="00D40E21"/>
    <w:rsid w:val="00D40E48"/>
    <w:rsid w:val="00D41026"/>
    <w:rsid w:val="00D4103B"/>
    <w:rsid w:val="00D410A8"/>
    <w:rsid w:val="00D411AD"/>
    <w:rsid w:val="00D41398"/>
    <w:rsid w:val="00D413A0"/>
    <w:rsid w:val="00D41495"/>
    <w:rsid w:val="00D41568"/>
    <w:rsid w:val="00D416CD"/>
    <w:rsid w:val="00D417B0"/>
    <w:rsid w:val="00D41825"/>
    <w:rsid w:val="00D41826"/>
    <w:rsid w:val="00D41879"/>
    <w:rsid w:val="00D418A5"/>
    <w:rsid w:val="00D419FA"/>
    <w:rsid w:val="00D41BAB"/>
    <w:rsid w:val="00D41C1B"/>
    <w:rsid w:val="00D41C6B"/>
    <w:rsid w:val="00D41CBF"/>
    <w:rsid w:val="00D41D2D"/>
    <w:rsid w:val="00D41D99"/>
    <w:rsid w:val="00D41DC3"/>
    <w:rsid w:val="00D42144"/>
    <w:rsid w:val="00D42203"/>
    <w:rsid w:val="00D4233F"/>
    <w:rsid w:val="00D42373"/>
    <w:rsid w:val="00D42380"/>
    <w:rsid w:val="00D42437"/>
    <w:rsid w:val="00D4248C"/>
    <w:rsid w:val="00D424C0"/>
    <w:rsid w:val="00D424F4"/>
    <w:rsid w:val="00D42697"/>
    <w:rsid w:val="00D4280C"/>
    <w:rsid w:val="00D42828"/>
    <w:rsid w:val="00D42834"/>
    <w:rsid w:val="00D4284D"/>
    <w:rsid w:val="00D42CDA"/>
    <w:rsid w:val="00D42CDD"/>
    <w:rsid w:val="00D42DF9"/>
    <w:rsid w:val="00D42E07"/>
    <w:rsid w:val="00D42E0A"/>
    <w:rsid w:val="00D42E1D"/>
    <w:rsid w:val="00D42EDC"/>
    <w:rsid w:val="00D42F14"/>
    <w:rsid w:val="00D42F3E"/>
    <w:rsid w:val="00D431A3"/>
    <w:rsid w:val="00D431C9"/>
    <w:rsid w:val="00D43503"/>
    <w:rsid w:val="00D435CD"/>
    <w:rsid w:val="00D43725"/>
    <w:rsid w:val="00D4383A"/>
    <w:rsid w:val="00D43883"/>
    <w:rsid w:val="00D43C03"/>
    <w:rsid w:val="00D43E77"/>
    <w:rsid w:val="00D4400C"/>
    <w:rsid w:val="00D4407E"/>
    <w:rsid w:val="00D440B7"/>
    <w:rsid w:val="00D440F6"/>
    <w:rsid w:val="00D441EA"/>
    <w:rsid w:val="00D442B9"/>
    <w:rsid w:val="00D444EC"/>
    <w:rsid w:val="00D445E7"/>
    <w:rsid w:val="00D44694"/>
    <w:rsid w:val="00D44796"/>
    <w:rsid w:val="00D44869"/>
    <w:rsid w:val="00D44886"/>
    <w:rsid w:val="00D4491F"/>
    <w:rsid w:val="00D44980"/>
    <w:rsid w:val="00D44A5A"/>
    <w:rsid w:val="00D44A63"/>
    <w:rsid w:val="00D44C28"/>
    <w:rsid w:val="00D44C3C"/>
    <w:rsid w:val="00D44E34"/>
    <w:rsid w:val="00D45109"/>
    <w:rsid w:val="00D45146"/>
    <w:rsid w:val="00D451B8"/>
    <w:rsid w:val="00D45254"/>
    <w:rsid w:val="00D453E6"/>
    <w:rsid w:val="00D45440"/>
    <w:rsid w:val="00D454BD"/>
    <w:rsid w:val="00D455BB"/>
    <w:rsid w:val="00D45746"/>
    <w:rsid w:val="00D4578C"/>
    <w:rsid w:val="00D4582E"/>
    <w:rsid w:val="00D458A1"/>
    <w:rsid w:val="00D459AC"/>
    <w:rsid w:val="00D45A3F"/>
    <w:rsid w:val="00D45ACD"/>
    <w:rsid w:val="00D45AFB"/>
    <w:rsid w:val="00D45D37"/>
    <w:rsid w:val="00D45E06"/>
    <w:rsid w:val="00D45EDB"/>
    <w:rsid w:val="00D45F21"/>
    <w:rsid w:val="00D45FA6"/>
    <w:rsid w:val="00D45FDE"/>
    <w:rsid w:val="00D45FE1"/>
    <w:rsid w:val="00D460FE"/>
    <w:rsid w:val="00D461D5"/>
    <w:rsid w:val="00D461F8"/>
    <w:rsid w:val="00D462F9"/>
    <w:rsid w:val="00D4639F"/>
    <w:rsid w:val="00D46445"/>
    <w:rsid w:val="00D46514"/>
    <w:rsid w:val="00D4656B"/>
    <w:rsid w:val="00D465B8"/>
    <w:rsid w:val="00D4661E"/>
    <w:rsid w:val="00D467C2"/>
    <w:rsid w:val="00D46816"/>
    <w:rsid w:val="00D46947"/>
    <w:rsid w:val="00D46A70"/>
    <w:rsid w:val="00D46B79"/>
    <w:rsid w:val="00D46C0D"/>
    <w:rsid w:val="00D46CB8"/>
    <w:rsid w:val="00D46D92"/>
    <w:rsid w:val="00D46DD1"/>
    <w:rsid w:val="00D46DDA"/>
    <w:rsid w:val="00D46E9C"/>
    <w:rsid w:val="00D46ED3"/>
    <w:rsid w:val="00D46FB5"/>
    <w:rsid w:val="00D47152"/>
    <w:rsid w:val="00D471AC"/>
    <w:rsid w:val="00D47217"/>
    <w:rsid w:val="00D473E3"/>
    <w:rsid w:val="00D47452"/>
    <w:rsid w:val="00D476D2"/>
    <w:rsid w:val="00D4775C"/>
    <w:rsid w:val="00D47880"/>
    <w:rsid w:val="00D478A0"/>
    <w:rsid w:val="00D47A3B"/>
    <w:rsid w:val="00D47B42"/>
    <w:rsid w:val="00D47B51"/>
    <w:rsid w:val="00D47BE8"/>
    <w:rsid w:val="00D47C16"/>
    <w:rsid w:val="00D47CF0"/>
    <w:rsid w:val="00D47E54"/>
    <w:rsid w:val="00D47F14"/>
    <w:rsid w:val="00D500F1"/>
    <w:rsid w:val="00D500F3"/>
    <w:rsid w:val="00D50118"/>
    <w:rsid w:val="00D50134"/>
    <w:rsid w:val="00D501E5"/>
    <w:rsid w:val="00D5021C"/>
    <w:rsid w:val="00D50329"/>
    <w:rsid w:val="00D503C7"/>
    <w:rsid w:val="00D50414"/>
    <w:rsid w:val="00D504F7"/>
    <w:rsid w:val="00D50708"/>
    <w:rsid w:val="00D50749"/>
    <w:rsid w:val="00D507A7"/>
    <w:rsid w:val="00D507C3"/>
    <w:rsid w:val="00D50853"/>
    <w:rsid w:val="00D5094A"/>
    <w:rsid w:val="00D509D8"/>
    <w:rsid w:val="00D50B7D"/>
    <w:rsid w:val="00D50C89"/>
    <w:rsid w:val="00D50CBF"/>
    <w:rsid w:val="00D50F60"/>
    <w:rsid w:val="00D50F81"/>
    <w:rsid w:val="00D50F9B"/>
    <w:rsid w:val="00D5102C"/>
    <w:rsid w:val="00D51165"/>
    <w:rsid w:val="00D511EF"/>
    <w:rsid w:val="00D5126A"/>
    <w:rsid w:val="00D51351"/>
    <w:rsid w:val="00D514B4"/>
    <w:rsid w:val="00D514BD"/>
    <w:rsid w:val="00D51595"/>
    <w:rsid w:val="00D515DD"/>
    <w:rsid w:val="00D515F8"/>
    <w:rsid w:val="00D5160A"/>
    <w:rsid w:val="00D5167E"/>
    <w:rsid w:val="00D516AD"/>
    <w:rsid w:val="00D516ED"/>
    <w:rsid w:val="00D5178B"/>
    <w:rsid w:val="00D517F3"/>
    <w:rsid w:val="00D5183B"/>
    <w:rsid w:val="00D5184E"/>
    <w:rsid w:val="00D519A3"/>
    <w:rsid w:val="00D51A67"/>
    <w:rsid w:val="00D51B1F"/>
    <w:rsid w:val="00D51BB6"/>
    <w:rsid w:val="00D51C91"/>
    <w:rsid w:val="00D51CA0"/>
    <w:rsid w:val="00D51CED"/>
    <w:rsid w:val="00D51E8F"/>
    <w:rsid w:val="00D51EA5"/>
    <w:rsid w:val="00D51FBD"/>
    <w:rsid w:val="00D520B3"/>
    <w:rsid w:val="00D5218E"/>
    <w:rsid w:val="00D521AF"/>
    <w:rsid w:val="00D52287"/>
    <w:rsid w:val="00D522C6"/>
    <w:rsid w:val="00D522E8"/>
    <w:rsid w:val="00D5234F"/>
    <w:rsid w:val="00D52394"/>
    <w:rsid w:val="00D524DA"/>
    <w:rsid w:val="00D524E0"/>
    <w:rsid w:val="00D52546"/>
    <w:rsid w:val="00D52640"/>
    <w:rsid w:val="00D52659"/>
    <w:rsid w:val="00D526EA"/>
    <w:rsid w:val="00D527E2"/>
    <w:rsid w:val="00D527EC"/>
    <w:rsid w:val="00D52841"/>
    <w:rsid w:val="00D528E0"/>
    <w:rsid w:val="00D5297D"/>
    <w:rsid w:val="00D52A6A"/>
    <w:rsid w:val="00D52ABF"/>
    <w:rsid w:val="00D52AE0"/>
    <w:rsid w:val="00D52B58"/>
    <w:rsid w:val="00D52D90"/>
    <w:rsid w:val="00D52D9A"/>
    <w:rsid w:val="00D52DE8"/>
    <w:rsid w:val="00D52E8D"/>
    <w:rsid w:val="00D52F87"/>
    <w:rsid w:val="00D530E6"/>
    <w:rsid w:val="00D53111"/>
    <w:rsid w:val="00D53126"/>
    <w:rsid w:val="00D53320"/>
    <w:rsid w:val="00D53333"/>
    <w:rsid w:val="00D533D7"/>
    <w:rsid w:val="00D53465"/>
    <w:rsid w:val="00D5349D"/>
    <w:rsid w:val="00D53545"/>
    <w:rsid w:val="00D537B5"/>
    <w:rsid w:val="00D5386D"/>
    <w:rsid w:val="00D5387F"/>
    <w:rsid w:val="00D538F3"/>
    <w:rsid w:val="00D53971"/>
    <w:rsid w:val="00D53A49"/>
    <w:rsid w:val="00D53B22"/>
    <w:rsid w:val="00D53B33"/>
    <w:rsid w:val="00D53BEF"/>
    <w:rsid w:val="00D53C1E"/>
    <w:rsid w:val="00D53C2A"/>
    <w:rsid w:val="00D53DC3"/>
    <w:rsid w:val="00D53E94"/>
    <w:rsid w:val="00D53F8B"/>
    <w:rsid w:val="00D53FA1"/>
    <w:rsid w:val="00D5402E"/>
    <w:rsid w:val="00D540B2"/>
    <w:rsid w:val="00D540CA"/>
    <w:rsid w:val="00D5419B"/>
    <w:rsid w:val="00D5427A"/>
    <w:rsid w:val="00D54384"/>
    <w:rsid w:val="00D544BD"/>
    <w:rsid w:val="00D54783"/>
    <w:rsid w:val="00D547C1"/>
    <w:rsid w:val="00D547E7"/>
    <w:rsid w:val="00D54802"/>
    <w:rsid w:val="00D54837"/>
    <w:rsid w:val="00D54887"/>
    <w:rsid w:val="00D5495C"/>
    <w:rsid w:val="00D54974"/>
    <w:rsid w:val="00D54A32"/>
    <w:rsid w:val="00D54A3F"/>
    <w:rsid w:val="00D54BE1"/>
    <w:rsid w:val="00D54CC1"/>
    <w:rsid w:val="00D54D1A"/>
    <w:rsid w:val="00D54D1C"/>
    <w:rsid w:val="00D54DB1"/>
    <w:rsid w:val="00D54E5B"/>
    <w:rsid w:val="00D54F66"/>
    <w:rsid w:val="00D54FAA"/>
    <w:rsid w:val="00D55211"/>
    <w:rsid w:val="00D55263"/>
    <w:rsid w:val="00D55344"/>
    <w:rsid w:val="00D55370"/>
    <w:rsid w:val="00D55397"/>
    <w:rsid w:val="00D553C1"/>
    <w:rsid w:val="00D55480"/>
    <w:rsid w:val="00D55571"/>
    <w:rsid w:val="00D55572"/>
    <w:rsid w:val="00D556BF"/>
    <w:rsid w:val="00D557BE"/>
    <w:rsid w:val="00D557E6"/>
    <w:rsid w:val="00D55A3C"/>
    <w:rsid w:val="00D55CBF"/>
    <w:rsid w:val="00D55D0A"/>
    <w:rsid w:val="00D55DCC"/>
    <w:rsid w:val="00D55E92"/>
    <w:rsid w:val="00D55EA9"/>
    <w:rsid w:val="00D55EEE"/>
    <w:rsid w:val="00D55EFC"/>
    <w:rsid w:val="00D55F2E"/>
    <w:rsid w:val="00D56214"/>
    <w:rsid w:val="00D562A7"/>
    <w:rsid w:val="00D56411"/>
    <w:rsid w:val="00D56453"/>
    <w:rsid w:val="00D5646C"/>
    <w:rsid w:val="00D564DE"/>
    <w:rsid w:val="00D565DD"/>
    <w:rsid w:val="00D56677"/>
    <w:rsid w:val="00D566DE"/>
    <w:rsid w:val="00D566E7"/>
    <w:rsid w:val="00D56702"/>
    <w:rsid w:val="00D56862"/>
    <w:rsid w:val="00D56905"/>
    <w:rsid w:val="00D569B3"/>
    <w:rsid w:val="00D56A49"/>
    <w:rsid w:val="00D56A90"/>
    <w:rsid w:val="00D56AFE"/>
    <w:rsid w:val="00D56C00"/>
    <w:rsid w:val="00D56C26"/>
    <w:rsid w:val="00D56CA9"/>
    <w:rsid w:val="00D56CD9"/>
    <w:rsid w:val="00D56DD4"/>
    <w:rsid w:val="00D56DD5"/>
    <w:rsid w:val="00D56EA7"/>
    <w:rsid w:val="00D56ECB"/>
    <w:rsid w:val="00D56EDC"/>
    <w:rsid w:val="00D5708C"/>
    <w:rsid w:val="00D5719F"/>
    <w:rsid w:val="00D5723E"/>
    <w:rsid w:val="00D57404"/>
    <w:rsid w:val="00D57498"/>
    <w:rsid w:val="00D574F5"/>
    <w:rsid w:val="00D574F6"/>
    <w:rsid w:val="00D5759B"/>
    <w:rsid w:val="00D576C1"/>
    <w:rsid w:val="00D57701"/>
    <w:rsid w:val="00D5770E"/>
    <w:rsid w:val="00D577F4"/>
    <w:rsid w:val="00D5784B"/>
    <w:rsid w:val="00D57880"/>
    <w:rsid w:val="00D578EB"/>
    <w:rsid w:val="00D57C63"/>
    <w:rsid w:val="00D57C7C"/>
    <w:rsid w:val="00D57E17"/>
    <w:rsid w:val="00D57E81"/>
    <w:rsid w:val="00D57F14"/>
    <w:rsid w:val="00D6009E"/>
    <w:rsid w:val="00D60137"/>
    <w:rsid w:val="00D6015D"/>
    <w:rsid w:val="00D60160"/>
    <w:rsid w:val="00D6023C"/>
    <w:rsid w:val="00D6026A"/>
    <w:rsid w:val="00D60286"/>
    <w:rsid w:val="00D6028F"/>
    <w:rsid w:val="00D6033D"/>
    <w:rsid w:val="00D60474"/>
    <w:rsid w:val="00D604A1"/>
    <w:rsid w:val="00D60506"/>
    <w:rsid w:val="00D6059A"/>
    <w:rsid w:val="00D606F6"/>
    <w:rsid w:val="00D60804"/>
    <w:rsid w:val="00D60886"/>
    <w:rsid w:val="00D608BA"/>
    <w:rsid w:val="00D60925"/>
    <w:rsid w:val="00D6099C"/>
    <w:rsid w:val="00D60BB1"/>
    <w:rsid w:val="00D60CEE"/>
    <w:rsid w:val="00D60D6C"/>
    <w:rsid w:val="00D60E5A"/>
    <w:rsid w:val="00D60E88"/>
    <w:rsid w:val="00D60F89"/>
    <w:rsid w:val="00D60FB7"/>
    <w:rsid w:val="00D60FE0"/>
    <w:rsid w:val="00D611B7"/>
    <w:rsid w:val="00D611FD"/>
    <w:rsid w:val="00D61205"/>
    <w:rsid w:val="00D61261"/>
    <w:rsid w:val="00D612D2"/>
    <w:rsid w:val="00D61317"/>
    <w:rsid w:val="00D6133F"/>
    <w:rsid w:val="00D61356"/>
    <w:rsid w:val="00D61532"/>
    <w:rsid w:val="00D615AB"/>
    <w:rsid w:val="00D615E1"/>
    <w:rsid w:val="00D6161C"/>
    <w:rsid w:val="00D6165E"/>
    <w:rsid w:val="00D616F8"/>
    <w:rsid w:val="00D61757"/>
    <w:rsid w:val="00D617E6"/>
    <w:rsid w:val="00D61876"/>
    <w:rsid w:val="00D6187B"/>
    <w:rsid w:val="00D618A8"/>
    <w:rsid w:val="00D6190F"/>
    <w:rsid w:val="00D619E2"/>
    <w:rsid w:val="00D61A76"/>
    <w:rsid w:val="00D61B81"/>
    <w:rsid w:val="00D61C0B"/>
    <w:rsid w:val="00D61C4C"/>
    <w:rsid w:val="00D61C5F"/>
    <w:rsid w:val="00D61DE8"/>
    <w:rsid w:val="00D61DFC"/>
    <w:rsid w:val="00D61E03"/>
    <w:rsid w:val="00D61E10"/>
    <w:rsid w:val="00D61E22"/>
    <w:rsid w:val="00D61F9A"/>
    <w:rsid w:val="00D61FB5"/>
    <w:rsid w:val="00D620A9"/>
    <w:rsid w:val="00D62136"/>
    <w:rsid w:val="00D621E8"/>
    <w:rsid w:val="00D622E5"/>
    <w:rsid w:val="00D6239E"/>
    <w:rsid w:val="00D62437"/>
    <w:rsid w:val="00D624CC"/>
    <w:rsid w:val="00D624DD"/>
    <w:rsid w:val="00D6258F"/>
    <w:rsid w:val="00D6259A"/>
    <w:rsid w:val="00D6259E"/>
    <w:rsid w:val="00D62600"/>
    <w:rsid w:val="00D6262C"/>
    <w:rsid w:val="00D626B9"/>
    <w:rsid w:val="00D626DF"/>
    <w:rsid w:val="00D626ED"/>
    <w:rsid w:val="00D62A54"/>
    <w:rsid w:val="00D62A99"/>
    <w:rsid w:val="00D62B98"/>
    <w:rsid w:val="00D62C6E"/>
    <w:rsid w:val="00D62D1A"/>
    <w:rsid w:val="00D62D4D"/>
    <w:rsid w:val="00D62DB9"/>
    <w:rsid w:val="00D62F44"/>
    <w:rsid w:val="00D62F88"/>
    <w:rsid w:val="00D630C8"/>
    <w:rsid w:val="00D63118"/>
    <w:rsid w:val="00D632A3"/>
    <w:rsid w:val="00D632CF"/>
    <w:rsid w:val="00D633E1"/>
    <w:rsid w:val="00D63545"/>
    <w:rsid w:val="00D6354B"/>
    <w:rsid w:val="00D636A4"/>
    <w:rsid w:val="00D636AD"/>
    <w:rsid w:val="00D636F6"/>
    <w:rsid w:val="00D63717"/>
    <w:rsid w:val="00D637BC"/>
    <w:rsid w:val="00D638ED"/>
    <w:rsid w:val="00D63904"/>
    <w:rsid w:val="00D63950"/>
    <w:rsid w:val="00D63983"/>
    <w:rsid w:val="00D63A85"/>
    <w:rsid w:val="00D63C8E"/>
    <w:rsid w:val="00D63D22"/>
    <w:rsid w:val="00D63D3A"/>
    <w:rsid w:val="00D63D55"/>
    <w:rsid w:val="00D63D59"/>
    <w:rsid w:val="00D63DB4"/>
    <w:rsid w:val="00D63E1D"/>
    <w:rsid w:val="00D63E52"/>
    <w:rsid w:val="00D63ECB"/>
    <w:rsid w:val="00D63ED9"/>
    <w:rsid w:val="00D63F6D"/>
    <w:rsid w:val="00D63FA7"/>
    <w:rsid w:val="00D640C1"/>
    <w:rsid w:val="00D64113"/>
    <w:rsid w:val="00D6420A"/>
    <w:rsid w:val="00D64271"/>
    <w:rsid w:val="00D643ED"/>
    <w:rsid w:val="00D64473"/>
    <w:rsid w:val="00D64481"/>
    <w:rsid w:val="00D644FE"/>
    <w:rsid w:val="00D64518"/>
    <w:rsid w:val="00D64530"/>
    <w:rsid w:val="00D64566"/>
    <w:rsid w:val="00D6457F"/>
    <w:rsid w:val="00D64587"/>
    <w:rsid w:val="00D645EA"/>
    <w:rsid w:val="00D646CF"/>
    <w:rsid w:val="00D646D2"/>
    <w:rsid w:val="00D64704"/>
    <w:rsid w:val="00D6478A"/>
    <w:rsid w:val="00D647B8"/>
    <w:rsid w:val="00D647C0"/>
    <w:rsid w:val="00D6485F"/>
    <w:rsid w:val="00D6489D"/>
    <w:rsid w:val="00D648FD"/>
    <w:rsid w:val="00D649B5"/>
    <w:rsid w:val="00D64A0E"/>
    <w:rsid w:val="00D64A36"/>
    <w:rsid w:val="00D64B04"/>
    <w:rsid w:val="00D64C05"/>
    <w:rsid w:val="00D64E08"/>
    <w:rsid w:val="00D64E55"/>
    <w:rsid w:val="00D64F01"/>
    <w:rsid w:val="00D64F86"/>
    <w:rsid w:val="00D64FC4"/>
    <w:rsid w:val="00D65034"/>
    <w:rsid w:val="00D650DF"/>
    <w:rsid w:val="00D65167"/>
    <w:rsid w:val="00D651B8"/>
    <w:rsid w:val="00D65260"/>
    <w:rsid w:val="00D65287"/>
    <w:rsid w:val="00D65348"/>
    <w:rsid w:val="00D65378"/>
    <w:rsid w:val="00D653FD"/>
    <w:rsid w:val="00D65427"/>
    <w:rsid w:val="00D65492"/>
    <w:rsid w:val="00D654A9"/>
    <w:rsid w:val="00D654DE"/>
    <w:rsid w:val="00D6558E"/>
    <w:rsid w:val="00D65592"/>
    <w:rsid w:val="00D6566E"/>
    <w:rsid w:val="00D65756"/>
    <w:rsid w:val="00D65845"/>
    <w:rsid w:val="00D658BC"/>
    <w:rsid w:val="00D65A3C"/>
    <w:rsid w:val="00D65A68"/>
    <w:rsid w:val="00D65BD2"/>
    <w:rsid w:val="00D65D35"/>
    <w:rsid w:val="00D65D4F"/>
    <w:rsid w:val="00D65E12"/>
    <w:rsid w:val="00D65E38"/>
    <w:rsid w:val="00D65E5E"/>
    <w:rsid w:val="00D65EAA"/>
    <w:rsid w:val="00D65F12"/>
    <w:rsid w:val="00D65FA8"/>
    <w:rsid w:val="00D65FF0"/>
    <w:rsid w:val="00D6602C"/>
    <w:rsid w:val="00D66051"/>
    <w:rsid w:val="00D66057"/>
    <w:rsid w:val="00D66120"/>
    <w:rsid w:val="00D661E6"/>
    <w:rsid w:val="00D661EC"/>
    <w:rsid w:val="00D66209"/>
    <w:rsid w:val="00D66223"/>
    <w:rsid w:val="00D66457"/>
    <w:rsid w:val="00D6646B"/>
    <w:rsid w:val="00D664B3"/>
    <w:rsid w:val="00D66514"/>
    <w:rsid w:val="00D665B2"/>
    <w:rsid w:val="00D66688"/>
    <w:rsid w:val="00D666BC"/>
    <w:rsid w:val="00D667C1"/>
    <w:rsid w:val="00D66974"/>
    <w:rsid w:val="00D669BD"/>
    <w:rsid w:val="00D66A5B"/>
    <w:rsid w:val="00D66A91"/>
    <w:rsid w:val="00D66A98"/>
    <w:rsid w:val="00D66B79"/>
    <w:rsid w:val="00D66BC0"/>
    <w:rsid w:val="00D66C1E"/>
    <w:rsid w:val="00D66C4D"/>
    <w:rsid w:val="00D66EF2"/>
    <w:rsid w:val="00D67061"/>
    <w:rsid w:val="00D6715F"/>
    <w:rsid w:val="00D6732C"/>
    <w:rsid w:val="00D673C6"/>
    <w:rsid w:val="00D674E3"/>
    <w:rsid w:val="00D6776B"/>
    <w:rsid w:val="00D67839"/>
    <w:rsid w:val="00D678E4"/>
    <w:rsid w:val="00D67944"/>
    <w:rsid w:val="00D679E6"/>
    <w:rsid w:val="00D679F8"/>
    <w:rsid w:val="00D67ABC"/>
    <w:rsid w:val="00D67B2C"/>
    <w:rsid w:val="00D67B85"/>
    <w:rsid w:val="00D67BA2"/>
    <w:rsid w:val="00D67BA4"/>
    <w:rsid w:val="00D67C3C"/>
    <w:rsid w:val="00D67D39"/>
    <w:rsid w:val="00D67D5D"/>
    <w:rsid w:val="00D67D66"/>
    <w:rsid w:val="00D67D7D"/>
    <w:rsid w:val="00D67F99"/>
    <w:rsid w:val="00D70055"/>
    <w:rsid w:val="00D700A3"/>
    <w:rsid w:val="00D700D7"/>
    <w:rsid w:val="00D70216"/>
    <w:rsid w:val="00D70257"/>
    <w:rsid w:val="00D7041F"/>
    <w:rsid w:val="00D7051E"/>
    <w:rsid w:val="00D70925"/>
    <w:rsid w:val="00D70AA3"/>
    <w:rsid w:val="00D70C26"/>
    <w:rsid w:val="00D70D72"/>
    <w:rsid w:val="00D70DE2"/>
    <w:rsid w:val="00D70DE5"/>
    <w:rsid w:val="00D70E24"/>
    <w:rsid w:val="00D70FEB"/>
    <w:rsid w:val="00D71036"/>
    <w:rsid w:val="00D71118"/>
    <w:rsid w:val="00D71246"/>
    <w:rsid w:val="00D71262"/>
    <w:rsid w:val="00D7143C"/>
    <w:rsid w:val="00D71445"/>
    <w:rsid w:val="00D7144B"/>
    <w:rsid w:val="00D714EE"/>
    <w:rsid w:val="00D71531"/>
    <w:rsid w:val="00D71592"/>
    <w:rsid w:val="00D715C3"/>
    <w:rsid w:val="00D71622"/>
    <w:rsid w:val="00D71624"/>
    <w:rsid w:val="00D71867"/>
    <w:rsid w:val="00D718B1"/>
    <w:rsid w:val="00D7197A"/>
    <w:rsid w:val="00D71A25"/>
    <w:rsid w:val="00D71A88"/>
    <w:rsid w:val="00D71B00"/>
    <w:rsid w:val="00D71B65"/>
    <w:rsid w:val="00D71C04"/>
    <w:rsid w:val="00D71F60"/>
    <w:rsid w:val="00D71FF7"/>
    <w:rsid w:val="00D720AA"/>
    <w:rsid w:val="00D7225F"/>
    <w:rsid w:val="00D722BE"/>
    <w:rsid w:val="00D723F0"/>
    <w:rsid w:val="00D72461"/>
    <w:rsid w:val="00D72466"/>
    <w:rsid w:val="00D72524"/>
    <w:rsid w:val="00D725B8"/>
    <w:rsid w:val="00D725BA"/>
    <w:rsid w:val="00D72605"/>
    <w:rsid w:val="00D727EA"/>
    <w:rsid w:val="00D72836"/>
    <w:rsid w:val="00D72869"/>
    <w:rsid w:val="00D728CC"/>
    <w:rsid w:val="00D728E1"/>
    <w:rsid w:val="00D72960"/>
    <w:rsid w:val="00D72EAD"/>
    <w:rsid w:val="00D72F6F"/>
    <w:rsid w:val="00D72FB8"/>
    <w:rsid w:val="00D7304D"/>
    <w:rsid w:val="00D73141"/>
    <w:rsid w:val="00D73177"/>
    <w:rsid w:val="00D731A1"/>
    <w:rsid w:val="00D7323A"/>
    <w:rsid w:val="00D7326D"/>
    <w:rsid w:val="00D73376"/>
    <w:rsid w:val="00D7337A"/>
    <w:rsid w:val="00D73452"/>
    <w:rsid w:val="00D7357C"/>
    <w:rsid w:val="00D737AB"/>
    <w:rsid w:val="00D73A96"/>
    <w:rsid w:val="00D73B28"/>
    <w:rsid w:val="00D73B4D"/>
    <w:rsid w:val="00D73B95"/>
    <w:rsid w:val="00D73BAC"/>
    <w:rsid w:val="00D73D3F"/>
    <w:rsid w:val="00D73EEF"/>
    <w:rsid w:val="00D740FE"/>
    <w:rsid w:val="00D741AC"/>
    <w:rsid w:val="00D74211"/>
    <w:rsid w:val="00D74268"/>
    <w:rsid w:val="00D7430D"/>
    <w:rsid w:val="00D74312"/>
    <w:rsid w:val="00D7432B"/>
    <w:rsid w:val="00D743A4"/>
    <w:rsid w:val="00D743B9"/>
    <w:rsid w:val="00D743C8"/>
    <w:rsid w:val="00D7457F"/>
    <w:rsid w:val="00D7458C"/>
    <w:rsid w:val="00D745CB"/>
    <w:rsid w:val="00D7466B"/>
    <w:rsid w:val="00D74796"/>
    <w:rsid w:val="00D747F2"/>
    <w:rsid w:val="00D748B4"/>
    <w:rsid w:val="00D74A4B"/>
    <w:rsid w:val="00D74A7D"/>
    <w:rsid w:val="00D74B38"/>
    <w:rsid w:val="00D74B66"/>
    <w:rsid w:val="00D74B79"/>
    <w:rsid w:val="00D74C7C"/>
    <w:rsid w:val="00D74CFD"/>
    <w:rsid w:val="00D74EE3"/>
    <w:rsid w:val="00D74F12"/>
    <w:rsid w:val="00D74F2D"/>
    <w:rsid w:val="00D74FC2"/>
    <w:rsid w:val="00D75018"/>
    <w:rsid w:val="00D75076"/>
    <w:rsid w:val="00D75081"/>
    <w:rsid w:val="00D7509F"/>
    <w:rsid w:val="00D750CE"/>
    <w:rsid w:val="00D75102"/>
    <w:rsid w:val="00D7512E"/>
    <w:rsid w:val="00D751D5"/>
    <w:rsid w:val="00D75226"/>
    <w:rsid w:val="00D75276"/>
    <w:rsid w:val="00D753BD"/>
    <w:rsid w:val="00D75415"/>
    <w:rsid w:val="00D75522"/>
    <w:rsid w:val="00D7554E"/>
    <w:rsid w:val="00D75550"/>
    <w:rsid w:val="00D7595F"/>
    <w:rsid w:val="00D75ABE"/>
    <w:rsid w:val="00D75B44"/>
    <w:rsid w:val="00D75EC0"/>
    <w:rsid w:val="00D761FD"/>
    <w:rsid w:val="00D7634C"/>
    <w:rsid w:val="00D763A6"/>
    <w:rsid w:val="00D76451"/>
    <w:rsid w:val="00D76745"/>
    <w:rsid w:val="00D76856"/>
    <w:rsid w:val="00D768E4"/>
    <w:rsid w:val="00D768FD"/>
    <w:rsid w:val="00D76947"/>
    <w:rsid w:val="00D769A4"/>
    <w:rsid w:val="00D76BD2"/>
    <w:rsid w:val="00D76CD9"/>
    <w:rsid w:val="00D76CE5"/>
    <w:rsid w:val="00D76E3D"/>
    <w:rsid w:val="00D76E8D"/>
    <w:rsid w:val="00D76F2C"/>
    <w:rsid w:val="00D76F3D"/>
    <w:rsid w:val="00D76F44"/>
    <w:rsid w:val="00D7731C"/>
    <w:rsid w:val="00D7732B"/>
    <w:rsid w:val="00D7732D"/>
    <w:rsid w:val="00D773D9"/>
    <w:rsid w:val="00D7740A"/>
    <w:rsid w:val="00D7742B"/>
    <w:rsid w:val="00D77500"/>
    <w:rsid w:val="00D775D9"/>
    <w:rsid w:val="00D776C4"/>
    <w:rsid w:val="00D77821"/>
    <w:rsid w:val="00D77885"/>
    <w:rsid w:val="00D778BC"/>
    <w:rsid w:val="00D77903"/>
    <w:rsid w:val="00D7794C"/>
    <w:rsid w:val="00D77B14"/>
    <w:rsid w:val="00D77D4F"/>
    <w:rsid w:val="00D77D69"/>
    <w:rsid w:val="00D77E42"/>
    <w:rsid w:val="00D77EBE"/>
    <w:rsid w:val="00D77F00"/>
    <w:rsid w:val="00D77F9A"/>
    <w:rsid w:val="00D77FB2"/>
    <w:rsid w:val="00D80022"/>
    <w:rsid w:val="00D80056"/>
    <w:rsid w:val="00D801E7"/>
    <w:rsid w:val="00D8034A"/>
    <w:rsid w:val="00D804AE"/>
    <w:rsid w:val="00D8053E"/>
    <w:rsid w:val="00D805A8"/>
    <w:rsid w:val="00D805F8"/>
    <w:rsid w:val="00D806B7"/>
    <w:rsid w:val="00D807CF"/>
    <w:rsid w:val="00D808AF"/>
    <w:rsid w:val="00D80957"/>
    <w:rsid w:val="00D809B6"/>
    <w:rsid w:val="00D809FF"/>
    <w:rsid w:val="00D80BF9"/>
    <w:rsid w:val="00D80C23"/>
    <w:rsid w:val="00D80DDB"/>
    <w:rsid w:val="00D80DED"/>
    <w:rsid w:val="00D80E6A"/>
    <w:rsid w:val="00D80F7A"/>
    <w:rsid w:val="00D80FBE"/>
    <w:rsid w:val="00D81011"/>
    <w:rsid w:val="00D81196"/>
    <w:rsid w:val="00D8124A"/>
    <w:rsid w:val="00D81290"/>
    <w:rsid w:val="00D813AC"/>
    <w:rsid w:val="00D81438"/>
    <w:rsid w:val="00D815D0"/>
    <w:rsid w:val="00D815DD"/>
    <w:rsid w:val="00D815E1"/>
    <w:rsid w:val="00D8161B"/>
    <w:rsid w:val="00D81668"/>
    <w:rsid w:val="00D816CE"/>
    <w:rsid w:val="00D817CD"/>
    <w:rsid w:val="00D8184C"/>
    <w:rsid w:val="00D8192B"/>
    <w:rsid w:val="00D8197D"/>
    <w:rsid w:val="00D819CC"/>
    <w:rsid w:val="00D81A10"/>
    <w:rsid w:val="00D81AE8"/>
    <w:rsid w:val="00D81B93"/>
    <w:rsid w:val="00D81BCA"/>
    <w:rsid w:val="00D81CB0"/>
    <w:rsid w:val="00D81D8F"/>
    <w:rsid w:val="00D81E18"/>
    <w:rsid w:val="00D81E28"/>
    <w:rsid w:val="00D81EBD"/>
    <w:rsid w:val="00D81F66"/>
    <w:rsid w:val="00D81FE0"/>
    <w:rsid w:val="00D81FF4"/>
    <w:rsid w:val="00D8218F"/>
    <w:rsid w:val="00D82283"/>
    <w:rsid w:val="00D82288"/>
    <w:rsid w:val="00D82400"/>
    <w:rsid w:val="00D82408"/>
    <w:rsid w:val="00D82421"/>
    <w:rsid w:val="00D82425"/>
    <w:rsid w:val="00D82489"/>
    <w:rsid w:val="00D824A9"/>
    <w:rsid w:val="00D8254B"/>
    <w:rsid w:val="00D82629"/>
    <w:rsid w:val="00D826B4"/>
    <w:rsid w:val="00D82707"/>
    <w:rsid w:val="00D828E0"/>
    <w:rsid w:val="00D82924"/>
    <w:rsid w:val="00D8296E"/>
    <w:rsid w:val="00D82988"/>
    <w:rsid w:val="00D82B27"/>
    <w:rsid w:val="00D82B6B"/>
    <w:rsid w:val="00D82C85"/>
    <w:rsid w:val="00D82CCC"/>
    <w:rsid w:val="00D82D57"/>
    <w:rsid w:val="00D82D63"/>
    <w:rsid w:val="00D82E6D"/>
    <w:rsid w:val="00D82FB9"/>
    <w:rsid w:val="00D82FBE"/>
    <w:rsid w:val="00D82FF6"/>
    <w:rsid w:val="00D830BC"/>
    <w:rsid w:val="00D830FC"/>
    <w:rsid w:val="00D8312C"/>
    <w:rsid w:val="00D83170"/>
    <w:rsid w:val="00D831F2"/>
    <w:rsid w:val="00D83226"/>
    <w:rsid w:val="00D832FF"/>
    <w:rsid w:val="00D8336A"/>
    <w:rsid w:val="00D83416"/>
    <w:rsid w:val="00D834DD"/>
    <w:rsid w:val="00D834DE"/>
    <w:rsid w:val="00D83535"/>
    <w:rsid w:val="00D83556"/>
    <w:rsid w:val="00D83619"/>
    <w:rsid w:val="00D836CD"/>
    <w:rsid w:val="00D836E6"/>
    <w:rsid w:val="00D83801"/>
    <w:rsid w:val="00D8384E"/>
    <w:rsid w:val="00D8395D"/>
    <w:rsid w:val="00D83968"/>
    <w:rsid w:val="00D839E6"/>
    <w:rsid w:val="00D83AA6"/>
    <w:rsid w:val="00D83B41"/>
    <w:rsid w:val="00D83C25"/>
    <w:rsid w:val="00D83C50"/>
    <w:rsid w:val="00D83CA7"/>
    <w:rsid w:val="00D83DFE"/>
    <w:rsid w:val="00D83E21"/>
    <w:rsid w:val="00D8408B"/>
    <w:rsid w:val="00D840E0"/>
    <w:rsid w:val="00D84129"/>
    <w:rsid w:val="00D84351"/>
    <w:rsid w:val="00D84393"/>
    <w:rsid w:val="00D84568"/>
    <w:rsid w:val="00D84594"/>
    <w:rsid w:val="00D8459F"/>
    <w:rsid w:val="00D8477D"/>
    <w:rsid w:val="00D847CA"/>
    <w:rsid w:val="00D84876"/>
    <w:rsid w:val="00D848E2"/>
    <w:rsid w:val="00D849C3"/>
    <w:rsid w:val="00D849C6"/>
    <w:rsid w:val="00D84A6B"/>
    <w:rsid w:val="00D84B07"/>
    <w:rsid w:val="00D84B0F"/>
    <w:rsid w:val="00D84B25"/>
    <w:rsid w:val="00D84B45"/>
    <w:rsid w:val="00D84C02"/>
    <w:rsid w:val="00D84C24"/>
    <w:rsid w:val="00D84D68"/>
    <w:rsid w:val="00D84EFB"/>
    <w:rsid w:val="00D84F6C"/>
    <w:rsid w:val="00D84F94"/>
    <w:rsid w:val="00D85091"/>
    <w:rsid w:val="00D850E3"/>
    <w:rsid w:val="00D85490"/>
    <w:rsid w:val="00D8568F"/>
    <w:rsid w:val="00D8571C"/>
    <w:rsid w:val="00D857D3"/>
    <w:rsid w:val="00D8586E"/>
    <w:rsid w:val="00D85984"/>
    <w:rsid w:val="00D85ABA"/>
    <w:rsid w:val="00D85C3D"/>
    <w:rsid w:val="00D85D2D"/>
    <w:rsid w:val="00D85D5D"/>
    <w:rsid w:val="00D85F33"/>
    <w:rsid w:val="00D85FB3"/>
    <w:rsid w:val="00D85FD4"/>
    <w:rsid w:val="00D86013"/>
    <w:rsid w:val="00D86061"/>
    <w:rsid w:val="00D86077"/>
    <w:rsid w:val="00D86087"/>
    <w:rsid w:val="00D860F0"/>
    <w:rsid w:val="00D860F1"/>
    <w:rsid w:val="00D86140"/>
    <w:rsid w:val="00D86222"/>
    <w:rsid w:val="00D86238"/>
    <w:rsid w:val="00D863A5"/>
    <w:rsid w:val="00D863FB"/>
    <w:rsid w:val="00D86422"/>
    <w:rsid w:val="00D86426"/>
    <w:rsid w:val="00D86462"/>
    <w:rsid w:val="00D8647D"/>
    <w:rsid w:val="00D864EF"/>
    <w:rsid w:val="00D86617"/>
    <w:rsid w:val="00D86777"/>
    <w:rsid w:val="00D86918"/>
    <w:rsid w:val="00D869B0"/>
    <w:rsid w:val="00D86E43"/>
    <w:rsid w:val="00D87178"/>
    <w:rsid w:val="00D871F4"/>
    <w:rsid w:val="00D872A1"/>
    <w:rsid w:val="00D872A9"/>
    <w:rsid w:val="00D872E3"/>
    <w:rsid w:val="00D872EB"/>
    <w:rsid w:val="00D8739A"/>
    <w:rsid w:val="00D873BB"/>
    <w:rsid w:val="00D87414"/>
    <w:rsid w:val="00D87543"/>
    <w:rsid w:val="00D87551"/>
    <w:rsid w:val="00D875D3"/>
    <w:rsid w:val="00D87635"/>
    <w:rsid w:val="00D876BB"/>
    <w:rsid w:val="00D876FE"/>
    <w:rsid w:val="00D8778C"/>
    <w:rsid w:val="00D877B8"/>
    <w:rsid w:val="00D8782C"/>
    <w:rsid w:val="00D8787F"/>
    <w:rsid w:val="00D8791D"/>
    <w:rsid w:val="00D8798E"/>
    <w:rsid w:val="00D8799C"/>
    <w:rsid w:val="00D879CB"/>
    <w:rsid w:val="00D87A39"/>
    <w:rsid w:val="00D87AB4"/>
    <w:rsid w:val="00D87C0D"/>
    <w:rsid w:val="00D87C2B"/>
    <w:rsid w:val="00D87F4A"/>
    <w:rsid w:val="00D8BD17"/>
    <w:rsid w:val="00D900A4"/>
    <w:rsid w:val="00D900C3"/>
    <w:rsid w:val="00D90180"/>
    <w:rsid w:val="00D90229"/>
    <w:rsid w:val="00D905CB"/>
    <w:rsid w:val="00D90857"/>
    <w:rsid w:val="00D9089C"/>
    <w:rsid w:val="00D9091E"/>
    <w:rsid w:val="00D9092F"/>
    <w:rsid w:val="00D9093C"/>
    <w:rsid w:val="00D909A0"/>
    <w:rsid w:val="00D90A5F"/>
    <w:rsid w:val="00D90B4E"/>
    <w:rsid w:val="00D90B62"/>
    <w:rsid w:val="00D90B76"/>
    <w:rsid w:val="00D90B7F"/>
    <w:rsid w:val="00D90C58"/>
    <w:rsid w:val="00D90C5D"/>
    <w:rsid w:val="00D90D97"/>
    <w:rsid w:val="00D90DDD"/>
    <w:rsid w:val="00D90E6C"/>
    <w:rsid w:val="00D90F2E"/>
    <w:rsid w:val="00D90FF1"/>
    <w:rsid w:val="00D910B4"/>
    <w:rsid w:val="00D91112"/>
    <w:rsid w:val="00D91136"/>
    <w:rsid w:val="00D91316"/>
    <w:rsid w:val="00D91613"/>
    <w:rsid w:val="00D91683"/>
    <w:rsid w:val="00D916EC"/>
    <w:rsid w:val="00D9173D"/>
    <w:rsid w:val="00D91769"/>
    <w:rsid w:val="00D91888"/>
    <w:rsid w:val="00D919F8"/>
    <w:rsid w:val="00D91BEB"/>
    <w:rsid w:val="00D91BED"/>
    <w:rsid w:val="00D91C57"/>
    <w:rsid w:val="00D91E92"/>
    <w:rsid w:val="00D91EA6"/>
    <w:rsid w:val="00D91EC1"/>
    <w:rsid w:val="00D91F41"/>
    <w:rsid w:val="00D91F4A"/>
    <w:rsid w:val="00D9202D"/>
    <w:rsid w:val="00D920CC"/>
    <w:rsid w:val="00D921E8"/>
    <w:rsid w:val="00D92224"/>
    <w:rsid w:val="00D92322"/>
    <w:rsid w:val="00D9233F"/>
    <w:rsid w:val="00D923E2"/>
    <w:rsid w:val="00D92564"/>
    <w:rsid w:val="00D925EE"/>
    <w:rsid w:val="00D92675"/>
    <w:rsid w:val="00D926BC"/>
    <w:rsid w:val="00D927E8"/>
    <w:rsid w:val="00D92811"/>
    <w:rsid w:val="00D9288F"/>
    <w:rsid w:val="00D92A52"/>
    <w:rsid w:val="00D92AC1"/>
    <w:rsid w:val="00D92B6D"/>
    <w:rsid w:val="00D92B98"/>
    <w:rsid w:val="00D92D00"/>
    <w:rsid w:val="00D92D30"/>
    <w:rsid w:val="00D92D6D"/>
    <w:rsid w:val="00D92D71"/>
    <w:rsid w:val="00D92DCA"/>
    <w:rsid w:val="00D92E2C"/>
    <w:rsid w:val="00D92E6A"/>
    <w:rsid w:val="00D92E80"/>
    <w:rsid w:val="00D92F5E"/>
    <w:rsid w:val="00D93024"/>
    <w:rsid w:val="00D93066"/>
    <w:rsid w:val="00D9306F"/>
    <w:rsid w:val="00D93096"/>
    <w:rsid w:val="00D93135"/>
    <w:rsid w:val="00D931EE"/>
    <w:rsid w:val="00D93274"/>
    <w:rsid w:val="00D932CE"/>
    <w:rsid w:val="00D93318"/>
    <w:rsid w:val="00D93358"/>
    <w:rsid w:val="00D9337F"/>
    <w:rsid w:val="00D93481"/>
    <w:rsid w:val="00D934A1"/>
    <w:rsid w:val="00D934B6"/>
    <w:rsid w:val="00D93578"/>
    <w:rsid w:val="00D935BE"/>
    <w:rsid w:val="00D93772"/>
    <w:rsid w:val="00D937F2"/>
    <w:rsid w:val="00D93859"/>
    <w:rsid w:val="00D939D9"/>
    <w:rsid w:val="00D93BED"/>
    <w:rsid w:val="00D93D11"/>
    <w:rsid w:val="00D93D12"/>
    <w:rsid w:val="00D93D44"/>
    <w:rsid w:val="00D93EA6"/>
    <w:rsid w:val="00D93F77"/>
    <w:rsid w:val="00D93F7F"/>
    <w:rsid w:val="00D93F8F"/>
    <w:rsid w:val="00D93FF0"/>
    <w:rsid w:val="00D94009"/>
    <w:rsid w:val="00D94024"/>
    <w:rsid w:val="00D940B3"/>
    <w:rsid w:val="00D940E4"/>
    <w:rsid w:val="00D94106"/>
    <w:rsid w:val="00D941D8"/>
    <w:rsid w:val="00D941F2"/>
    <w:rsid w:val="00D94227"/>
    <w:rsid w:val="00D9425C"/>
    <w:rsid w:val="00D942EE"/>
    <w:rsid w:val="00D94514"/>
    <w:rsid w:val="00D94549"/>
    <w:rsid w:val="00D94597"/>
    <w:rsid w:val="00D9477D"/>
    <w:rsid w:val="00D94791"/>
    <w:rsid w:val="00D94799"/>
    <w:rsid w:val="00D947F1"/>
    <w:rsid w:val="00D94826"/>
    <w:rsid w:val="00D948F2"/>
    <w:rsid w:val="00D9493A"/>
    <w:rsid w:val="00D94A84"/>
    <w:rsid w:val="00D94A87"/>
    <w:rsid w:val="00D94BA1"/>
    <w:rsid w:val="00D94BC5"/>
    <w:rsid w:val="00D94D66"/>
    <w:rsid w:val="00D94E19"/>
    <w:rsid w:val="00D94EF5"/>
    <w:rsid w:val="00D94F7D"/>
    <w:rsid w:val="00D951E2"/>
    <w:rsid w:val="00D95306"/>
    <w:rsid w:val="00D9538B"/>
    <w:rsid w:val="00D95393"/>
    <w:rsid w:val="00D95480"/>
    <w:rsid w:val="00D95483"/>
    <w:rsid w:val="00D956D1"/>
    <w:rsid w:val="00D957C0"/>
    <w:rsid w:val="00D957F9"/>
    <w:rsid w:val="00D9585C"/>
    <w:rsid w:val="00D958A2"/>
    <w:rsid w:val="00D958DD"/>
    <w:rsid w:val="00D95AF3"/>
    <w:rsid w:val="00D95BCE"/>
    <w:rsid w:val="00D95D1A"/>
    <w:rsid w:val="00D95E34"/>
    <w:rsid w:val="00D95E53"/>
    <w:rsid w:val="00D95EE4"/>
    <w:rsid w:val="00D95FF0"/>
    <w:rsid w:val="00D96081"/>
    <w:rsid w:val="00D96152"/>
    <w:rsid w:val="00D9615D"/>
    <w:rsid w:val="00D9620B"/>
    <w:rsid w:val="00D96296"/>
    <w:rsid w:val="00D96371"/>
    <w:rsid w:val="00D964DF"/>
    <w:rsid w:val="00D9652B"/>
    <w:rsid w:val="00D9653C"/>
    <w:rsid w:val="00D9657B"/>
    <w:rsid w:val="00D965EF"/>
    <w:rsid w:val="00D96638"/>
    <w:rsid w:val="00D966A7"/>
    <w:rsid w:val="00D96734"/>
    <w:rsid w:val="00D968E7"/>
    <w:rsid w:val="00D96A92"/>
    <w:rsid w:val="00D96A9C"/>
    <w:rsid w:val="00D96BE1"/>
    <w:rsid w:val="00D96CEE"/>
    <w:rsid w:val="00D96D35"/>
    <w:rsid w:val="00D96F22"/>
    <w:rsid w:val="00D9712D"/>
    <w:rsid w:val="00D97267"/>
    <w:rsid w:val="00D972FD"/>
    <w:rsid w:val="00D973D5"/>
    <w:rsid w:val="00D9749D"/>
    <w:rsid w:val="00D97611"/>
    <w:rsid w:val="00D97653"/>
    <w:rsid w:val="00D976CC"/>
    <w:rsid w:val="00D97776"/>
    <w:rsid w:val="00D977CC"/>
    <w:rsid w:val="00D97902"/>
    <w:rsid w:val="00D9793D"/>
    <w:rsid w:val="00D97942"/>
    <w:rsid w:val="00D9796E"/>
    <w:rsid w:val="00D97972"/>
    <w:rsid w:val="00D97A9C"/>
    <w:rsid w:val="00D97ACB"/>
    <w:rsid w:val="00D97ADC"/>
    <w:rsid w:val="00D97C5E"/>
    <w:rsid w:val="00D97C8C"/>
    <w:rsid w:val="00D97D55"/>
    <w:rsid w:val="00D97DB9"/>
    <w:rsid w:val="00D97E04"/>
    <w:rsid w:val="00D97E69"/>
    <w:rsid w:val="00D97EF8"/>
    <w:rsid w:val="00D97FA4"/>
    <w:rsid w:val="00D97FB5"/>
    <w:rsid w:val="00DA00E9"/>
    <w:rsid w:val="00DA0222"/>
    <w:rsid w:val="00DA02EB"/>
    <w:rsid w:val="00DA0374"/>
    <w:rsid w:val="00DA0393"/>
    <w:rsid w:val="00DA0419"/>
    <w:rsid w:val="00DA0872"/>
    <w:rsid w:val="00DA08B8"/>
    <w:rsid w:val="00DA08F4"/>
    <w:rsid w:val="00DA0A08"/>
    <w:rsid w:val="00DA0AF8"/>
    <w:rsid w:val="00DA0B31"/>
    <w:rsid w:val="00DA0CD9"/>
    <w:rsid w:val="00DA0CE2"/>
    <w:rsid w:val="00DA0CE6"/>
    <w:rsid w:val="00DA0DC6"/>
    <w:rsid w:val="00DA0F51"/>
    <w:rsid w:val="00DA0F6F"/>
    <w:rsid w:val="00DA1122"/>
    <w:rsid w:val="00DA1374"/>
    <w:rsid w:val="00DA139C"/>
    <w:rsid w:val="00DA13E3"/>
    <w:rsid w:val="00DA145A"/>
    <w:rsid w:val="00DA14B9"/>
    <w:rsid w:val="00DA1564"/>
    <w:rsid w:val="00DA1694"/>
    <w:rsid w:val="00DA16CB"/>
    <w:rsid w:val="00DA16E7"/>
    <w:rsid w:val="00DA1886"/>
    <w:rsid w:val="00DA188E"/>
    <w:rsid w:val="00DA18AB"/>
    <w:rsid w:val="00DA18ED"/>
    <w:rsid w:val="00DA1962"/>
    <w:rsid w:val="00DA1C49"/>
    <w:rsid w:val="00DA1C77"/>
    <w:rsid w:val="00DA1CE7"/>
    <w:rsid w:val="00DA1D44"/>
    <w:rsid w:val="00DA1E0A"/>
    <w:rsid w:val="00DA1F59"/>
    <w:rsid w:val="00DA1F8E"/>
    <w:rsid w:val="00DA2195"/>
    <w:rsid w:val="00DA21B2"/>
    <w:rsid w:val="00DA2272"/>
    <w:rsid w:val="00DA230C"/>
    <w:rsid w:val="00DA26E1"/>
    <w:rsid w:val="00DA27CC"/>
    <w:rsid w:val="00DA2829"/>
    <w:rsid w:val="00DA2977"/>
    <w:rsid w:val="00DA29F2"/>
    <w:rsid w:val="00DA2BE1"/>
    <w:rsid w:val="00DA2D27"/>
    <w:rsid w:val="00DA2D94"/>
    <w:rsid w:val="00DA2DE8"/>
    <w:rsid w:val="00DA2F8C"/>
    <w:rsid w:val="00DA3031"/>
    <w:rsid w:val="00DA3068"/>
    <w:rsid w:val="00DA30BF"/>
    <w:rsid w:val="00DA310A"/>
    <w:rsid w:val="00DA3163"/>
    <w:rsid w:val="00DA3166"/>
    <w:rsid w:val="00DA316A"/>
    <w:rsid w:val="00DA31D1"/>
    <w:rsid w:val="00DA32E2"/>
    <w:rsid w:val="00DA334D"/>
    <w:rsid w:val="00DA340F"/>
    <w:rsid w:val="00DA3453"/>
    <w:rsid w:val="00DA34DD"/>
    <w:rsid w:val="00DA3691"/>
    <w:rsid w:val="00DA36FC"/>
    <w:rsid w:val="00DA37F2"/>
    <w:rsid w:val="00DA3888"/>
    <w:rsid w:val="00DA393C"/>
    <w:rsid w:val="00DA397A"/>
    <w:rsid w:val="00DA3ACC"/>
    <w:rsid w:val="00DA3C1B"/>
    <w:rsid w:val="00DA3C40"/>
    <w:rsid w:val="00DA3CC1"/>
    <w:rsid w:val="00DA3D25"/>
    <w:rsid w:val="00DA3D4E"/>
    <w:rsid w:val="00DA3EB0"/>
    <w:rsid w:val="00DA3F62"/>
    <w:rsid w:val="00DA3F7A"/>
    <w:rsid w:val="00DA40DF"/>
    <w:rsid w:val="00DA4149"/>
    <w:rsid w:val="00DA4159"/>
    <w:rsid w:val="00DA41E0"/>
    <w:rsid w:val="00DA42A0"/>
    <w:rsid w:val="00DA42D6"/>
    <w:rsid w:val="00DA43A8"/>
    <w:rsid w:val="00DA43F9"/>
    <w:rsid w:val="00DA445A"/>
    <w:rsid w:val="00DA4531"/>
    <w:rsid w:val="00DA4532"/>
    <w:rsid w:val="00DA4576"/>
    <w:rsid w:val="00DA457E"/>
    <w:rsid w:val="00DA47A4"/>
    <w:rsid w:val="00DA47C6"/>
    <w:rsid w:val="00DA48DB"/>
    <w:rsid w:val="00DA490B"/>
    <w:rsid w:val="00DA498B"/>
    <w:rsid w:val="00DA4B1F"/>
    <w:rsid w:val="00DA4B8B"/>
    <w:rsid w:val="00DA4B9A"/>
    <w:rsid w:val="00DA4BB4"/>
    <w:rsid w:val="00DA4CD0"/>
    <w:rsid w:val="00DA4DB6"/>
    <w:rsid w:val="00DA4DD1"/>
    <w:rsid w:val="00DA4F18"/>
    <w:rsid w:val="00DA4FBE"/>
    <w:rsid w:val="00DA4FF2"/>
    <w:rsid w:val="00DA5013"/>
    <w:rsid w:val="00DA5057"/>
    <w:rsid w:val="00DA5064"/>
    <w:rsid w:val="00DA50F0"/>
    <w:rsid w:val="00DA5197"/>
    <w:rsid w:val="00DA5212"/>
    <w:rsid w:val="00DA5258"/>
    <w:rsid w:val="00DA526D"/>
    <w:rsid w:val="00DA52E4"/>
    <w:rsid w:val="00DA540F"/>
    <w:rsid w:val="00DA5484"/>
    <w:rsid w:val="00DA54AF"/>
    <w:rsid w:val="00DA5567"/>
    <w:rsid w:val="00DA5675"/>
    <w:rsid w:val="00DA56B6"/>
    <w:rsid w:val="00DA56EE"/>
    <w:rsid w:val="00DA5964"/>
    <w:rsid w:val="00DA596D"/>
    <w:rsid w:val="00DA59E0"/>
    <w:rsid w:val="00DA59EC"/>
    <w:rsid w:val="00DA5A29"/>
    <w:rsid w:val="00DA5A53"/>
    <w:rsid w:val="00DA5BA1"/>
    <w:rsid w:val="00DA5C49"/>
    <w:rsid w:val="00DA5C9F"/>
    <w:rsid w:val="00DA5F5C"/>
    <w:rsid w:val="00DA60E5"/>
    <w:rsid w:val="00DA61DA"/>
    <w:rsid w:val="00DA621C"/>
    <w:rsid w:val="00DA6254"/>
    <w:rsid w:val="00DA62D6"/>
    <w:rsid w:val="00DA6300"/>
    <w:rsid w:val="00DA6365"/>
    <w:rsid w:val="00DA63AC"/>
    <w:rsid w:val="00DA63C4"/>
    <w:rsid w:val="00DA6414"/>
    <w:rsid w:val="00DA64E7"/>
    <w:rsid w:val="00DA6503"/>
    <w:rsid w:val="00DA65C7"/>
    <w:rsid w:val="00DA665D"/>
    <w:rsid w:val="00DA67F7"/>
    <w:rsid w:val="00DA683D"/>
    <w:rsid w:val="00DA68B7"/>
    <w:rsid w:val="00DA6961"/>
    <w:rsid w:val="00DA6A58"/>
    <w:rsid w:val="00DA6A5D"/>
    <w:rsid w:val="00DA6B6B"/>
    <w:rsid w:val="00DA6C78"/>
    <w:rsid w:val="00DA6DE0"/>
    <w:rsid w:val="00DA6E2C"/>
    <w:rsid w:val="00DA6E80"/>
    <w:rsid w:val="00DA6EBB"/>
    <w:rsid w:val="00DA6ECC"/>
    <w:rsid w:val="00DA6EF5"/>
    <w:rsid w:val="00DA6FA9"/>
    <w:rsid w:val="00DA6FE5"/>
    <w:rsid w:val="00DA701D"/>
    <w:rsid w:val="00DA7221"/>
    <w:rsid w:val="00DA723B"/>
    <w:rsid w:val="00DA72F5"/>
    <w:rsid w:val="00DA73B5"/>
    <w:rsid w:val="00DA75B2"/>
    <w:rsid w:val="00DA76EC"/>
    <w:rsid w:val="00DA77C9"/>
    <w:rsid w:val="00DA78FC"/>
    <w:rsid w:val="00DA79CD"/>
    <w:rsid w:val="00DA7A04"/>
    <w:rsid w:val="00DA7B33"/>
    <w:rsid w:val="00DA7D94"/>
    <w:rsid w:val="00DA7E4D"/>
    <w:rsid w:val="00DA7ED8"/>
    <w:rsid w:val="00DB002A"/>
    <w:rsid w:val="00DB0136"/>
    <w:rsid w:val="00DB01A9"/>
    <w:rsid w:val="00DB035E"/>
    <w:rsid w:val="00DB036B"/>
    <w:rsid w:val="00DB04FF"/>
    <w:rsid w:val="00DB0515"/>
    <w:rsid w:val="00DB057A"/>
    <w:rsid w:val="00DB064C"/>
    <w:rsid w:val="00DB0724"/>
    <w:rsid w:val="00DB0873"/>
    <w:rsid w:val="00DB08DD"/>
    <w:rsid w:val="00DB0A25"/>
    <w:rsid w:val="00DB0CA1"/>
    <w:rsid w:val="00DB0CB1"/>
    <w:rsid w:val="00DB0D84"/>
    <w:rsid w:val="00DB0DC9"/>
    <w:rsid w:val="00DB0F3A"/>
    <w:rsid w:val="00DB0F67"/>
    <w:rsid w:val="00DB1105"/>
    <w:rsid w:val="00DB1127"/>
    <w:rsid w:val="00DB117A"/>
    <w:rsid w:val="00DB122A"/>
    <w:rsid w:val="00DB14C4"/>
    <w:rsid w:val="00DB14F8"/>
    <w:rsid w:val="00DB1764"/>
    <w:rsid w:val="00DB1824"/>
    <w:rsid w:val="00DB19F1"/>
    <w:rsid w:val="00DB1A12"/>
    <w:rsid w:val="00DB1A7D"/>
    <w:rsid w:val="00DB1BA2"/>
    <w:rsid w:val="00DB1C04"/>
    <w:rsid w:val="00DB1C33"/>
    <w:rsid w:val="00DB1D53"/>
    <w:rsid w:val="00DB1DB2"/>
    <w:rsid w:val="00DB1FAF"/>
    <w:rsid w:val="00DB20E2"/>
    <w:rsid w:val="00DB223A"/>
    <w:rsid w:val="00DB228F"/>
    <w:rsid w:val="00DB2295"/>
    <w:rsid w:val="00DB233C"/>
    <w:rsid w:val="00DB2411"/>
    <w:rsid w:val="00DB25AE"/>
    <w:rsid w:val="00DB27B3"/>
    <w:rsid w:val="00DB28A7"/>
    <w:rsid w:val="00DB28BE"/>
    <w:rsid w:val="00DB28F1"/>
    <w:rsid w:val="00DB2AA8"/>
    <w:rsid w:val="00DB2B02"/>
    <w:rsid w:val="00DB2B17"/>
    <w:rsid w:val="00DB2C8E"/>
    <w:rsid w:val="00DB2DF1"/>
    <w:rsid w:val="00DB2E0F"/>
    <w:rsid w:val="00DB2E20"/>
    <w:rsid w:val="00DB2ED0"/>
    <w:rsid w:val="00DB30B9"/>
    <w:rsid w:val="00DB318A"/>
    <w:rsid w:val="00DB3222"/>
    <w:rsid w:val="00DB331E"/>
    <w:rsid w:val="00DB3409"/>
    <w:rsid w:val="00DB34EE"/>
    <w:rsid w:val="00DB35EF"/>
    <w:rsid w:val="00DB38F1"/>
    <w:rsid w:val="00DB39AD"/>
    <w:rsid w:val="00DB3B33"/>
    <w:rsid w:val="00DB3BAF"/>
    <w:rsid w:val="00DB3BF4"/>
    <w:rsid w:val="00DB3CD8"/>
    <w:rsid w:val="00DB3E0E"/>
    <w:rsid w:val="00DB3E17"/>
    <w:rsid w:val="00DB3E39"/>
    <w:rsid w:val="00DB3E94"/>
    <w:rsid w:val="00DB3F19"/>
    <w:rsid w:val="00DB3FD6"/>
    <w:rsid w:val="00DB4008"/>
    <w:rsid w:val="00DB4074"/>
    <w:rsid w:val="00DB413D"/>
    <w:rsid w:val="00DB416D"/>
    <w:rsid w:val="00DB4289"/>
    <w:rsid w:val="00DB42A3"/>
    <w:rsid w:val="00DB4410"/>
    <w:rsid w:val="00DB44FB"/>
    <w:rsid w:val="00DB4566"/>
    <w:rsid w:val="00DB45DE"/>
    <w:rsid w:val="00DB47F8"/>
    <w:rsid w:val="00DB4823"/>
    <w:rsid w:val="00DB4992"/>
    <w:rsid w:val="00DB49C1"/>
    <w:rsid w:val="00DB4ACB"/>
    <w:rsid w:val="00DB4ACD"/>
    <w:rsid w:val="00DB4B30"/>
    <w:rsid w:val="00DB4B4A"/>
    <w:rsid w:val="00DB4BE4"/>
    <w:rsid w:val="00DB4E3A"/>
    <w:rsid w:val="00DB4E90"/>
    <w:rsid w:val="00DB52BA"/>
    <w:rsid w:val="00DB540B"/>
    <w:rsid w:val="00DB5459"/>
    <w:rsid w:val="00DB545B"/>
    <w:rsid w:val="00DB54A4"/>
    <w:rsid w:val="00DB55CD"/>
    <w:rsid w:val="00DB55DC"/>
    <w:rsid w:val="00DB584F"/>
    <w:rsid w:val="00DB5A78"/>
    <w:rsid w:val="00DB5AC1"/>
    <w:rsid w:val="00DB5B9B"/>
    <w:rsid w:val="00DB5C25"/>
    <w:rsid w:val="00DB5CE0"/>
    <w:rsid w:val="00DB5D79"/>
    <w:rsid w:val="00DB5DC8"/>
    <w:rsid w:val="00DB5E9A"/>
    <w:rsid w:val="00DB5EA8"/>
    <w:rsid w:val="00DB5EB2"/>
    <w:rsid w:val="00DB6018"/>
    <w:rsid w:val="00DB601D"/>
    <w:rsid w:val="00DB60AC"/>
    <w:rsid w:val="00DB6245"/>
    <w:rsid w:val="00DB63F0"/>
    <w:rsid w:val="00DB64CB"/>
    <w:rsid w:val="00DB6517"/>
    <w:rsid w:val="00DB657D"/>
    <w:rsid w:val="00DB6701"/>
    <w:rsid w:val="00DB6754"/>
    <w:rsid w:val="00DB6759"/>
    <w:rsid w:val="00DB67C8"/>
    <w:rsid w:val="00DB683C"/>
    <w:rsid w:val="00DB6914"/>
    <w:rsid w:val="00DB691C"/>
    <w:rsid w:val="00DB699B"/>
    <w:rsid w:val="00DB6AB2"/>
    <w:rsid w:val="00DB6AF6"/>
    <w:rsid w:val="00DB6BF2"/>
    <w:rsid w:val="00DB6C13"/>
    <w:rsid w:val="00DB6CBF"/>
    <w:rsid w:val="00DB6DB1"/>
    <w:rsid w:val="00DB6DD5"/>
    <w:rsid w:val="00DB6DEB"/>
    <w:rsid w:val="00DB6F30"/>
    <w:rsid w:val="00DB7013"/>
    <w:rsid w:val="00DB7067"/>
    <w:rsid w:val="00DB71A4"/>
    <w:rsid w:val="00DB71D6"/>
    <w:rsid w:val="00DB7249"/>
    <w:rsid w:val="00DB72E3"/>
    <w:rsid w:val="00DB7308"/>
    <w:rsid w:val="00DB7363"/>
    <w:rsid w:val="00DB749D"/>
    <w:rsid w:val="00DB74B2"/>
    <w:rsid w:val="00DB74F7"/>
    <w:rsid w:val="00DB7506"/>
    <w:rsid w:val="00DB7509"/>
    <w:rsid w:val="00DB75D7"/>
    <w:rsid w:val="00DB76BB"/>
    <w:rsid w:val="00DB771D"/>
    <w:rsid w:val="00DB7789"/>
    <w:rsid w:val="00DB77E1"/>
    <w:rsid w:val="00DB77FA"/>
    <w:rsid w:val="00DB7810"/>
    <w:rsid w:val="00DB7916"/>
    <w:rsid w:val="00DB7AB7"/>
    <w:rsid w:val="00DB7CAA"/>
    <w:rsid w:val="00DB7D17"/>
    <w:rsid w:val="00DB7E77"/>
    <w:rsid w:val="00DB7FCE"/>
    <w:rsid w:val="00DB7FED"/>
    <w:rsid w:val="00DC00A4"/>
    <w:rsid w:val="00DC00AC"/>
    <w:rsid w:val="00DC02E1"/>
    <w:rsid w:val="00DC046B"/>
    <w:rsid w:val="00DC0519"/>
    <w:rsid w:val="00DC052E"/>
    <w:rsid w:val="00DC059D"/>
    <w:rsid w:val="00DC066A"/>
    <w:rsid w:val="00DC0689"/>
    <w:rsid w:val="00DC0722"/>
    <w:rsid w:val="00DC083B"/>
    <w:rsid w:val="00DC0885"/>
    <w:rsid w:val="00DC08F0"/>
    <w:rsid w:val="00DC093E"/>
    <w:rsid w:val="00DC096A"/>
    <w:rsid w:val="00DC09B0"/>
    <w:rsid w:val="00DC09EC"/>
    <w:rsid w:val="00DC0A0F"/>
    <w:rsid w:val="00DC0A8C"/>
    <w:rsid w:val="00DC0B06"/>
    <w:rsid w:val="00DC0B4A"/>
    <w:rsid w:val="00DC0B8F"/>
    <w:rsid w:val="00DC0BC7"/>
    <w:rsid w:val="00DC0C39"/>
    <w:rsid w:val="00DC0C3C"/>
    <w:rsid w:val="00DC0DC8"/>
    <w:rsid w:val="00DC0DEE"/>
    <w:rsid w:val="00DC1026"/>
    <w:rsid w:val="00DC1039"/>
    <w:rsid w:val="00DC113F"/>
    <w:rsid w:val="00DC127E"/>
    <w:rsid w:val="00DC1329"/>
    <w:rsid w:val="00DC1339"/>
    <w:rsid w:val="00DC13A4"/>
    <w:rsid w:val="00DC13C2"/>
    <w:rsid w:val="00DC1468"/>
    <w:rsid w:val="00DC146E"/>
    <w:rsid w:val="00DC147B"/>
    <w:rsid w:val="00DC14D4"/>
    <w:rsid w:val="00DC1534"/>
    <w:rsid w:val="00DC159D"/>
    <w:rsid w:val="00DC15F7"/>
    <w:rsid w:val="00DC165C"/>
    <w:rsid w:val="00DC1660"/>
    <w:rsid w:val="00DC16B9"/>
    <w:rsid w:val="00DC172F"/>
    <w:rsid w:val="00DC180E"/>
    <w:rsid w:val="00DC181A"/>
    <w:rsid w:val="00DC19C4"/>
    <w:rsid w:val="00DC1B10"/>
    <w:rsid w:val="00DC1DEF"/>
    <w:rsid w:val="00DC1E03"/>
    <w:rsid w:val="00DC1F50"/>
    <w:rsid w:val="00DC206D"/>
    <w:rsid w:val="00DC20C7"/>
    <w:rsid w:val="00DC20DC"/>
    <w:rsid w:val="00DC2209"/>
    <w:rsid w:val="00DC22EF"/>
    <w:rsid w:val="00DC255C"/>
    <w:rsid w:val="00DC2584"/>
    <w:rsid w:val="00DC2867"/>
    <w:rsid w:val="00DC29D8"/>
    <w:rsid w:val="00DC29F7"/>
    <w:rsid w:val="00DC2A83"/>
    <w:rsid w:val="00DC2A8E"/>
    <w:rsid w:val="00DC2A96"/>
    <w:rsid w:val="00DC2C45"/>
    <w:rsid w:val="00DC2C83"/>
    <w:rsid w:val="00DC2CF5"/>
    <w:rsid w:val="00DC2E4A"/>
    <w:rsid w:val="00DC2EEE"/>
    <w:rsid w:val="00DC2F78"/>
    <w:rsid w:val="00DC2F9F"/>
    <w:rsid w:val="00DC2FA2"/>
    <w:rsid w:val="00DC3010"/>
    <w:rsid w:val="00DC308C"/>
    <w:rsid w:val="00DC313C"/>
    <w:rsid w:val="00DC3228"/>
    <w:rsid w:val="00DC3238"/>
    <w:rsid w:val="00DC32E7"/>
    <w:rsid w:val="00DC334E"/>
    <w:rsid w:val="00DC352E"/>
    <w:rsid w:val="00DC3576"/>
    <w:rsid w:val="00DC3614"/>
    <w:rsid w:val="00DC3710"/>
    <w:rsid w:val="00DC3885"/>
    <w:rsid w:val="00DC3A3E"/>
    <w:rsid w:val="00DC3A4D"/>
    <w:rsid w:val="00DC3B21"/>
    <w:rsid w:val="00DC3BB9"/>
    <w:rsid w:val="00DC3C37"/>
    <w:rsid w:val="00DC3E3F"/>
    <w:rsid w:val="00DC3F57"/>
    <w:rsid w:val="00DC4047"/>
    <w:rsid w:val="00DC4049"/>
    <w:rsid w:val="00DC4051"/>
    <w:rsid w:val="00DC41A1"/>
    <w:rsid w:val="00DC4374"/>
    <w:rsid w:val="00DC43A1"/>
    <w:rsid w:val="00DC44EB"/>
    <w:rsid w:val="00DC4519"/>
    <w:rsid w:val="00DC46DF"/>
    <w:rsid w:val="00DC4862"/>
    <w:rsid w:val="00DC4886"/>
    <w:rsid w:val="00DC49C5"/>
    <w:rsid w:val="00DC4BE0"/>
    <w:rsid w:val="00DC4C25"/>
    <w:rsid w:val="00DC4CFA"/>
    <w:rsid w:val="00DC4D22"/>
    <w:rsid w:val="00DC4D91"/>
    <w:rsid w:val="00DC4DC8"/>
    <w:rsid w:val="00DC51E7"/>
    <w:rsid w:val="00DC521A"/>
    <w:rsid w:val="00DC5290"/>
    <w:rsid w:val="00DC5424"/>
    <w:rsid w:val="00DC544A"/>
    <w:rsid w:val="00DC54D9"/>
    <w:rsid w:val="00DC560F"/>
    <w:rsid w:val="00DC5736"/>
    <w:rsid w:val="00DC57BA"/>
    <w:rsid w:val="00DC57FF"/>
    <w:rsid w:val="00DC5878"/>
    <w:rsid w:val="00DC58AB"/>
    <w:rsid w:val="00DC598F"/>
    <w:rsid w:val="00DC59A1"/>
    <w:rsid w:val="00DC59DC"/>
    <w:rsid w:val="00DC5B5D"/>
    <w:rsid w:val="00DC5B64"/>
    <w:rsid w:val="00DC5D0B"/>
    <w:rsid w:val="00DC5E0E"/>
    <w:rsid w:val="00DC5E3E"/>
    <w:rsid w:val="00DC5E7F"/>
    <w:rsid w:val="00DC605D"/>
    <w:rsid w:val="00DC6171"/>
    <w:rsid w:val="00DC6196"/>
    <w:rsid w:val="00DC61C2"/>
    <w:rsid w:val="00DC6294"/>
    <w:rsid w:val="00DC62BA"/>
    <w:rsid w:val="00DC6396"/>
    <w:rsid w:val="00DC63A0"/>
    <w:rsid w:val="00DC63A9"/>
    <w:rsid w:val="00DC6498"/>
    <w:rsid w:val="00DC64A2"/>
    <w:rsid w:val="00DC64B3"/>
    <w:rsid w:val="00DC6546"/>
    <w:rsid w:val="00DC655A"/>
    <w:rsid w:val="00DC656C"/>
    <w:rsid w:val="00DC65D0"/>
    <w:rsid w:val="00DC697A"/>
    <w:rsid w:val="00DC69C9"/>
    <w:rsid w:val="00DC69F4"/>
    <w:rsid w:val="00DC69FD"/>
    <w:rsid w:val="00DC6A49"/>
    <w:rsid w:val="00DC6B6C"/>
    <w:rsid w:val="00DC6CB6"/>
    <w:rsid w:val="00DC6D6B"/>
    <w:rsid w:val="00DC6E9F"/>
    <w:rsid w:val="00DC6EB8"/>
    <w:rsid w:val="00DC6F91"/>
    <w:rsid w:val="00DC6FAC"/>
    <w:rsid w:val="00DC703A"/>
    <w:rsid w:val="00DC7051"/>
    <w:rsid w:val="00DC70B9"/>
    <w:rsid w:val="00DC729B"/>
    <w:rsid w:val="00DC72D6"/>
    <w:rsid w:val="00DC72DF"/>
    <w:rsid w:val="00DC7341"/>
    <w:rsid w:val="00DC73FB"/>
    <w:rsid w:val="00DC74D7"/>
    <w:rsid w:val="00DC75A6"/>
    <w:rsid w:val="00DC78C0"/>
    <w:rsid w:val="00DC78C2"/>
    <w:rsid w:val="00DC7902"/>
    <w:rsid w:val="00DC7A65"/>
    <w:rsid w:val="00DC7BC1"/>
    <w:rsid w:val="00DC7C98"/>
    <w:rsid w:val="00DC7ED8"/>
    <w:rsid w:val="00DC7EE6"/>
    <w:rsid w:val="00DC7EE7"/>
    <w:rsid w:val="00DC7F4E"/>
    <w:rsid w:val="00DC7FE9"/>
    <w:rsid w:val="00DCA5BF"/>
    <w:rsid w:val="00DD011D"/>
    <w:rsid w:val="00DD012C"/>
    <w:rsid w:val="00DD0152"/>
    <w:rsid w:val="00DD01BA"/>
    <w:rsid w:val="00DD01CA"/>
    <w:rsid w:val="00DD02EF"/>
    <w:rsid w:val="00DD03B9"/>
    <w:rsid w:val="00DD03EE"/>
    <w:rsid w:val="00DD040C"/>
    <w:rsid w:val="00DD0442"/>
    <w:rsid w:val="00DD04C4"/>
    <w:rsid w:val="00DD059F"/>
    <w:rsid w:val="00DD0997"/>
    <w:rsid w:val="00DD0ADA"/>
    <w:rsid w:val="00DD0AE4"/>
    <w:rsid w:val="00DD0BC1"/>
    <w:rsid w:val="00DD0C7B"/>
    <w:rsid w:val="00DD0C93"/>
    <w:rsid w:val="00DD0CD1"/>
    <w:rsid w:val="00DD0CD9"/>
    <w:rsid w:val="00DD0CDE"/>
    <w:rsid w:val="00DD0CE5"/>
    <w:rsid w:val="00DD0D50"/>
    <w:rsid w:val="00DD0DB4"/>
    <w:rsid w:val="00DD0DE1"/>
    <w:rsid w:val="00DD0DEA"/>
    <w:rsid w:val="00DD0E79"/>
    <w:rsid w:val="00DD0F1C"/>
    <w:rsid w:val="00DD1033"/>
    <w:rsid w:val="00DD106C"/>
    <w:rsid w:val="00DD1098"/>
    <w:rsid w:val="00DD1251"/>
    <w:rsid w:val="00DD1439"/>
    <w:rsid w:val="00DD1486"/>
    <w:rsid w:val="00DD151D"/>
    <w:rsid w:val="00DD161C"/>
    <w:rsid w:val="00DD17B2"/>
    <w:rsid w:val="00DD17D8"/>
    <w:rsid w:val="00DD18D7"/>
    <w:rsid w:val="00DD1A1A"/>
    <w:rsid w:val="00DD1A37"/>
    <w:rsid w:val="00DD1AE6"/>
    <w:rsid w:val="00DD1C0B"/>
    <w:rsid w:val="00DD1C5B"/>
    <w:rsid w:val="00DD1D32"/>
    <w:rsid w:val="00DD1D33"/>
    <w:rsid w:val="00DD1D9F"/>
    <w:rsid w:val="00DD1DA3"/>
    <w:rsid w:val="00DD1E84"/>
    <w:rsid w:val="00DD1FAF"/>
    <w:rsid w:val="00DD2252"/>
    <w:rsid w:val="00DD22FF"/>
    <w:rsid w:val="00DD231A"/>
    <w:rsid w:val="00DD2352"/>
    <w:rsid w:val="00DD23FC"/>
    <w:rsid w:val="00DD24EC"/>
    <w:rsid w:val="00DD2630"/>
    <w:rsid w:val="00DD2677"/>
    <w:rsid w:val="00DD2914"/>
    <w:rsid w:val="00DD2952"/>
    <w:rsid w:val="00DD29D2"/>
    <w:rsid w:val="00DD2C4B"/>
    <w:rsid w:val="00DD2CE1"/>
    <w:rsid w:val="00DD2E17"/>
    <w:rsid w:val="00DD2E7F"/>
    <w:rsid w:val="00DD2EB4"/>
    <w:rsid w:val="00DD2EC1"/>
    <w:rsid w:val="00DD2F56"/>
    <w:rsid w:val="00DD2FB9"/>
    <w:rsid w:val="00DD3016"/>
    <w:rsid w:val="00DD306E"/>
    <w:rsid w:val="00DD31C4"/>
    <w:rsid w:val="00DD32F3"/>
    <w:rsid w:val="00DD331A"/>
    <w:rsid w:val="00DD33F7"/>
    <w:rsid w:val="00DD3442"/>
    <w:rsid w:val="00DD347C"/>
    <w:rsid w:val="00DD3562"/>
    <w:rsid w:val="00DD356E"/>
    <w:rsid w:val="00DD3599"/>
    <w:rsid w:val="00DD35C1"/>
    <w:rsid w:val="00DD3682"/>
    <w:rsid w:val="00DD374F"/>
    <w:rsid w:val="00DD375C"/>
    <w:rsid w:val="00DD3786"/>
    <w:rsid w:val="00DD392F"/>
    <w:rsid w:val="00DD3992"/>
    <w:rsid w:val="00DD3A5E"/>
    <w:rsid w:val="00DD3A92"/>
    <w:rsid w:val="00DD3ABA"/>
    <w:rsid w:val="00DD3BA6"/>
    <w:rsid w:val="00DD3BD6"/>
    <w:rsid w:val="00DD3C55"/>
    <w:rsid w:val="00DD3CB6"/>
    <w:rsid w:val="00DD3CE5"/>
    <w:rsid w:val="00DD3E4C"/>
    <w:rsid w:val="00DD3F2A"/>
    <w:rsid w:val="00DD405D"/>
    <w:rsid w:val="00DD416E"/>
    <w:rsid w:val="00DD4290"/>
    <w:rsid w:val="00DD4421"/>
    <w:rsid w:val="00DD4477"/>
    <w:rsid w:val="00DD44C9"/>
    <w:rsid w:val="00DD44FB"/>
    <w:rsid w:val="00DD4541"/>
    <w:rsid w:val="00DD463D"/>
    <w:rsid w:val="00DD4734"/>
    <w:rsid w:val="00DD474C"/>
    <w:rsid w:val="00DD4757"/>
    <w:rsid w:val="00DD47D0"/>
    <w:rsid w:val="00DD47E2"/>
    <w:rsid w:val="00DD488C"/>
    <w:rsid w:val="00DD48A8"/>
    <w:rsid w:val="00DD48FE"/>
    <w:rsid w:val="00DD491E"/>
    <w:rsid w:val="00DD4925"/>
    <w:rsid w:val="00DD4968"/>
    <w:rsid w:val="00DD49DD"/>
    <w:rsid w:val="00DD49F1"/>
    <w:rsid w:val="00DD4A6D"/>
    <w:rsid w:val="00DD4A87"/>
    <w:rsid w:val="00DD4B09"/>
    <w:rsid w:val="00DD4BBE"/>
    <w:rsid w:val="00DD4CDF"/>
    <w:rsid w:val="00DD4F12"/>
    <w:rsid w:val="00DD4F2B"/>
    <w:rsid w:val="00DD4F4C"/>
    <w:rsid w:val="00DD5027"/>
    <w:rsid w:val="00DD50AB"/>
    <w:rsid w:val="00DD50EA"/>
    <w:rsid w:val="00DD51FA"/>
    <w:rsid w:val="00DD5219"/>
    <w:rsid w:val="00DD526F"/>
    <w:rsid w:val="00DD556E"/>
    <w:rsid w:val="00DD55B3"/>
    <w:rsid w:val="00DD560A"/>
    <w:rsid w:val="00DD56A0"/>
    <w:rsid w:val="00DD571D"/>
    <w:rsid w:val="00DD5724"/>
    <w:rsid w:val="00DD5853"/>
    <w:rsid w:val="00DD5867"/>
    <w:rsid w:val="00DD5909"/>
    <w:rsid w:val="00DD5929"/>
    <w:rsid w:val="00DD5974"/>
    <w:rsid w:val="00DD5990"/>
    <w:rsid w:val="00DD5A1B"/>
    <w:rsid w:val="00DD5ADB"/>
    <w:rsid w:val="00DD5CDF"/>
    <w:rsid w:val="00DD5E51"/>
    <w:rsid w:val="00DD5EB1"/>
    <w:rsid w:val="00DD5F3A"/>
    <w:rsid w:val="00DD638D"/>
    <w:rsid w:val="00DD63CA"/>
    <w:rsid w:val="00DD6417"/>
    <w:rsid w:val="00DD65E0"/>
    <w:rsid w:val="00DD6685"/>
    <w:rsid w:val="00DD678E"/>
    <w:rsid w:val="00DD681C"/>
    <w:rsid w:val="00DD689C"/>
    <w:rsid w:val="00DD690A"/>
    <w:rsid w:val="00DD699B"/>
    <w:rsid w:val="00DD69C3"/>
    <w:rsid w:val="00DD6A28"/>
    <w:rsid w:val="00DD6B5B"/>
    <w:rsid w:val="00DD6B63"/>
    <w:rsid w:val="00DD6BB0"/>
    <w:rsid w:val="00DD6C79"/>
    <w:rsid w:val="00DD6CE5"/>
    <w:rsid w:val="00DD6CFE"/>
    <w:rsid w:val="00DD6D2B"/>
    <w:rsid w:val="00DD6E06"/>
    <w:rsid w:val="00DD6E35"/>
    <w:rsid w:val="00DD6E91"/>
    <w:rsid w:val="00DD6ECA"/>
    <w:rsid w:val="00DD6F53"/>
    <w:rsid w:val="00DD715C"/>
    <w:rsid w:val="00DD7191"/>
    <w:rsid w:val="00DD71C0"/>
    <w:rsid w:val="00DD71D8"/>
    <w:rsid w:val="00DD72EF"/>
    <w:rsid w:val="00DD7408"/>
    <w:rsid w:val="00DD74A8"/>
    <w:rsid w:val="00DD74C8"/>
    <w:rsid w:val="00DD7601"/>
    <w:rsid w:val="00DD78C4"/>
    <w:rsid w:val="00DD7913"/>
    <w:rsid w:val="00DD7992"/>
    <w:rsid w:val="00DD7A09"/>
    <w:rsid w:val="00DD7A1A"/>
    <w:rsid w:val="00DD7A38"/>
    <w:rsid w:val="00DD7ACA"/>
    <w:rsid w:val="00DD7BB6"/>
    <w:rsid w:val="00DD7C31"/>
    <w:rsid w:val="00DD7CDE"/>
    <w:rsid w:val="00DD7D51"/>
    <w:rsid w:val="00DD7D95"/>
    <w:rsid w:val="00DD7DF5"/>
    <w:rsid w:val="00DD7F48"/>
    <w:rsid w:val="00DD7F73"/>
    <w:rsid w:val="00DE00D9"/>
    <w:rsid w:val="00DE0186"/>
    <w:rsid w:val="00DE01D9"/>
    <w:rsid w:val="00DE04CB"/>
    <w:rsid w:val="00DE05FA"/>
    <w:rsid w:val="00DE0616"/>
    <w:rsid w:val="00DE0659"/>
    <w:rsid w:val="00DE080B"/>
    <w:rsid w:val="00DE0A30"/>
    <w:rsid w:val="00DE0A72"/>
    <w:rsid w:val="00DE0BB2"/>
    <w:rsid w:val="00DE0BC2"/>
    <w:rsid w:val="00DE0BD8"/>
    <w:rsid w:val="00DE0C07"/>
    <w:rsid w:val="00DE0C2A"/>
    <w:rsid w:val="00DE0C2E"/>
    <w:rsid w:val="00DE0C7C"/>
    <w:rsid w:val="00DE0D10"/>
    <w:rsid w:val="00DE0D71"/>
    <w:rsid w:val="00DE0F59"/>
    <w:rsid w:val="00DE0F82"/>
    <w:rsid w:val="00DE0FD9"/>
    <w:rsid w:val="00DE10F2"/>
    <w:rsid w:val="00DE114B"/>
    <w:rsid w:val="00DE1373"/>
    <w:rsid w:val="00DE1434"/>
    <w:rsid w:val="00DE162D"/>
    <w:rsid w:val="00DE16A3"/>
    <w:rsid w:val="00DE16D4"/>
    <w:rsid w:val="00DE16D9"/>
    <w:rsid w:val="00DE1758"/>
    <w:rsid w:val="00DE189B"/>
    <w:rsid w:val="00DE18BC"/>
    <w:rsid w:val="00DE197C"/>
    <w:rsid w:val="00DE1984"/>
    <w:rsid w:val="00DE1A40"/>
    <w:rsid w:val="00DE1B8A"/>
    <w:rsid w:val="00DE1C7C"/>
    <w:rsid w:val="00DE1D76"/>
    <w:rsid w:val="00DE1E3E"/>
    <w:rsid w:val="00DE20DA"/>
    <w:rsid w:val="00DE21F4"/>
    <w:rsid w:val="00DE2296"/>
    <w:rsid w:val="00DE22A3"/>
    <w:rsid w:val="00DE22A7"/>
    <w:rsid w:val="00DE231F"/>
    <w:rsid w:val="00DE23AD"/>
    <w:rsid w:val="00DE241D"/>
    <w:rsid w:val="00DE2462"/>
    <w:rsid w:val="00DE25CC"/>
    <w:rsid w:val="00DE2705"/>
    <w:rsid w:val="00DE273C"/>
    <w:rsid w:val="00DE27E9"/>
    <w:rsid w:val="00DE27FF"/>
    <w:rsid w:val="00DE29BF"/>
    <w:rsid w:val="00DE2BF3"/>
    <w:rsid w:val="00DE2C33"/>
    <w:rsid w:val="00DE2CFF"/>
    <w:rsid w:val="00DE2D49"/>
    <w:rsid w:val="00DE2D76"/>
    <w:rsid w:val="00DE2E8E"/>
    <w:rsid w:val="00DE2F19"/>
    <w:rsid w:val="00DE301A"/>
    <w:rsid w:val="00DE308D"/>
    <w:rsid w:val="00DE30AA"/>
    <w:rsid w:val="00DE31AE"/>
    <w:rsid w:val="00DE32BD"/>
    <w:rsid w:val="00DE3303"/>
    <w:rsid w:val="00DE3335"/>
    <w:rsid w:val="00DE3372"/>
    <w:rsid w:val="00DE33B4"/>
    <w:rsid w:val="00DE343F"/>
    <w:rsid w:val="00DE34A3"/>
    <w:rsid w:val="00DE353F"/>
    <w:rsid w:val="00DE3547"/>
    <w:rsid w:val="00DE358B"/>
    <w:rsid w:val="00DE35E5"/>
    <w:rsid w:val="00DE35FB"/>
    <w:rsid w:val="00DE367D"/>
    <w:rsid w:val="00DE386E"/>
    <w:rsid w:val="00DE39AC"/>
    <w:rsid w:val="00DE39F9"/>
    <w:rsid w:val="00DE3A3C"/>
    <w:rsid w:val="00DE3B3B"/>
    <w:rsid w:val="00DE3BA3"/>
    <w:rsid w:val="00DE3BB9"/>
    <w:rsid w:val="00DE3C1A"/>
    <w:rsid w:val="00DE3CB0"/>
    <w:rsid w:val="00DE3E1F"/>
    <w:rsid w:val="00DE3EEE"/>
    <w:rsid w:val="00DE3FD1"/>
    <w:rsid w:val="00DE3FE6"/>
    <w:rsid w:val="00DE3FE9"/>
    <w:rsid w:val="00DE3FEB"/>
    <w:rsid w:val="00DE41E5"/>
    <w:rsid w:val="00DE4227"/>
    <w:rsid w:val="00DE429E"/>
    <w:rsid w:val="00DE4370"/>
    <w:rsid w:val="00DE441B"/>
    <w:rsid w:val="00DE444C"/>
    <w:rsid w:val="00DE4527"/>
    <w:rsid w:val="00DE4535"/>
    <w:rsid w:val="00DE4549"/>
    <w:rsid w:val="00DE454D"/>
    <w:rsid w:val="00DE45BB"/>
    <w:rsid w:val="00DE4794"/>
    <w:rsid w:val="00DE47E2"/>
    <w:rsid w:val="00DE4818"/>
    <w:rsid w:val="00DE485F"/>
    <w:rsid w:val="00DE489F"/>
    <w:rsid w:val="00DE48FF"/>
    <w:rsid w:val="00DE4941"/>
    <w:rsid w:val="00DE4A3C"/>
    <w:rsid w:val="00DE4AC9"/>
    <w:rsid w:val="00DE4BEF"/>
    <w:rsid w:val="00DE4D55"/>
    <w:rsid w:val="00DE4E8F"/>
    <w:rsid w:val="00DE4F41"/>
    <w:rsid w:val="00DE4F81"/>
    <w:rsid w:val="00DE4F89"/>
    <w:rsid w:val="00DE4F9E"/>
    <w:rsid w:val="00DE4FE4"/>
    <w:rsid w:val="00DE501B"/>
    <w:rsid w:val="00DE5028"/>
    <w:rsid w:val="00DE5055"/>
    <w:rsid w:val="00DE5099"/>
    <w:rsid w:val="00DE50BB"/>
    <w:rsid w:val="00DE51AF"/>
    <w:rsid w:val="00DE52D4"/>
    <w:rsid w:val="00DE5324"/>
    <w:rsid w:val="00DE53FC"/>
    <w:rsid w:val="00DE5431"/>
    <w:rsid w:val="00DE54B6"/>
    <w:rsid w:val="00DE5520"/>
    <w:rsid w:val="00DE5562"/>
    <w:rsid w:val="00DE5585"/>
    <w:rsid w:val="00DE55B0"/>
    <w:rsid w:val="00DE5637"/>
    <w:rsid w:val="00DE5647"/>
    <w:rsid w:val="00DE568B"/>
    <w:rsid w:val="00DE56D2"/>
    <w:rsid w:val="00DE5751"/>
    <w:rsid w:val="00DE5776"/>
    <w:rsid w:val="00DE5A00"/>
    <w:rsid w:val="00DE5A43"/>
    <w:rsid w:val="00DE5BEE"/>
    <w:rsid w:val="00DE5C0B"/>
    <w:rsid w:val="00DE5C99"/>
    <w:rsid w:val="00DE5DD4"/>
    <w:rsid w:val="00DE5E46"/>
    <w:rsid w:val="00DE6125"/>
    <w:rsid w:val="00DE61B6"/>
    <w:rsid w:val="00DE6260"/>
    <w:rsid w:val="00DE630C"/>
    <w:rsid w:val="00DE6337"/>
    <w:rsid w:val="00DE639A"/>
    <w:rsid w:val="00DE63B6"/>
    <w:rsid w:val="00DE6573"/>
    <w:rsid w:val="00DE657D"/>
    <w:rsid w:val="00DE660E"/>
    <w:rsid w:val="00DE66C2"/>
    <w:rsid w:val="00DE68C6"/>
    <w:rsid w:val="00DE6905"/>
    <w:rsid w:val="00DE6A38"/>
    <w:rsid w:val="00DE6B62"/>
    <w:rsid w:val="00DE6B86"/>
    <w:rsid w:val="00DE6BA7"/>
    <w:rsid w:val="00DE6C7D"/>
    <w:rsid w:val="00DE6C93"/>
    <w:rsid w:val="00DE6C9C"/>
    <w:rsid w:val="00DE6D0B"/>
    <w:rsid w:val="00DE6DA5"/>
    <w:rsid w:val="00DE6F2C"/>
    <w:rsid w:val="00DE6F3B"/>
    <w:rsid w:val="00DE6FA5"/>
    <w:rsid w:val="00DE6FD0"/>
    <w:rsid w:val="00DE7040"/>
    <w:rsid w:val="00DE7098"/>
    <w:rsid w:val="00DE7112"/>
    <w:rsid w:val="00DE711B"/>
    <w:rsid w:val="00DE71AE"/>
    <w:rsid w:val="00DE71AF"/>
    <w:rsid w:val="00DE71C2"/>
    <w:rsid w:val="00DE729E"/>
    <w:rsid w:val="00DE7387"/>
    <w:rsid w:val="00DE7461"/>
    <w:rsid w:val="00DE74FA"/>
    <w:rsid w:val="00DE7651"/>
    <w:rsid w:val="00DE76DF"/>
    <w:rsid w:val="00DE777C"/>
    <w:rsid w:val="00DE78BB"/>
    <w:rsid w:val="00DE79A3"/>
    <w:rsid w:val="00DE79C7"/>
    <w:rsid w:val="00DE7A74"/>
    <w:rsid w:val="00DE7AF4"/>
    <w:rsid w:val="00DE7B80"/>
    <w:rsid w:val="00DE7C46"/>
    <w:rsid w:val="00DE7CDF"/>
    <w:rsid w:val="00DE7CF4"/>
    <w:rsid w:val="00DE7D30"/>
    <w:rsid w:val="00DE7D5B"/>
    <w:rsid w:val="00DE7DE8"/>
    <w:rsid w:val="00DE7EDC"/>
    <w:rsid w:val="00DE7F81"/>
    <w:rsid w:val="00DE916C"/>
    <w:rsid w:val="00DF0291"/>
    <w:rsid w:val="00DF0420"/>
    <w:rsid w:val="00DF04CB"/>
    <w:rsid w:val="00DF0572"/>
    <w:rsid w:val="00DF05A6"/>
    <w:rsid w:val="00DF06E9"/>
    <w:rsid w:val="00DF070A"/>
    <w:rsid w:val="00DF07AC"/>
    <w:rsid w:val="00DF0831"/>
    <w:rsid w:val="00DF0833"/>
    <w:rsid w:val="00DF08FD"/>
    <w:rsid w:val="00DF090C"/>
    <w:rsid w:val="00DF097A"/>
    <w:rsid w:val="00DF0A8C"/>
    <w:rsid w:val="00DF0C17"/>
    <w:rsid w:val="00DF0C22"/>
    <w:rsid w:val="00DF0C69"/>
    <w:rsid w:val="00DF0E26"/>
    <w:rsid w:val="00DF0EF2"/>
    <w:rsid w:val="00DF0FCA"/>
    <w:rsid w:val="00DF1067"/>
    <w:rsid w:val="00DF1264"/>
    <w:rsid w:val="00DF1355"/>
    <w:rsid w:val="00DF13E4"/>
    <w:rsid w:val="00DF15C6"/>
    <w:rsid w:val="00DF15D8"/>
    <w:rsid w:val="00DF15F9"/>
    <w:rsid w:val="00DF1624"/>
    <w:rsid w:val="00DF1749"/>
    <w:rsid w:val="00DF17D0"/>
    <w:rsid w:val="00DF181A"/>
    <w:rsid w:val="00DF19D4"/>
    <w:rsid w:val="00DF1A0A"/>
    <w:rsid w:val="00DF1BB3"/>
    <w:rsid w:val="00DF1C43"/>
    <w:rsid w:val="00DF1C8D"/>
    <w:rsid w:val="00DF1CA1"/>
    <w:rsid w:val="00DF1CB9"/>
    <w:rsid w:val="00DF1EBD"/>
    <w:rsid w:val="00DF2022"/>
    <w:rsid w:val="00DF2137"/>
    <w:rsid w:val="00DF2151"/>
    <w:rsid w:val="00DF217A"/>
    <w:rsid w:val="00DF21CB"/>
    <w:rsid w:val="00DF229A"/>
    <w:rsid w:val="00DF22F3"/>
    <w:rsid w:val="00DF2314"/>
    <w:rsid w:val="00DF231E"/>
    <w:rsid w:val="00DF23C2"/>
    <w:rsid w:val="00DF2456"/>
    <w:rsid w:val="00DF250C"/>
    <w:rsid w:val="00DF260B"/>
    <w:rsid w:val="00DF26D7"/>
    <w:rsid w:val="00DF273E"/>
    <w:rsid w:val="00DF2892"/>
    <w:rsid w:val="00DF28CF"/>
    <w:rsid w:val="00DF29F7"/>
    <w:rsid w:val="00DF2AC6"/>
    <w:rsid w:val="00DF2AF7"/>
    <w:rsid w:val="00DF2B5D"/>
    <w:rsid w:val="00DF2CD8"/>
    <w:rsid w:val="00DF2E64"/>
    <w:rsid w:val="00DF2F93"/>
    <w:rsid w:val="00DF2FAF"/>
    <w:rsid w:val="00DF2FD3"/>
    <w:rsid w:val="00DF3024"/>
    <w:rsid w:val="00DF30CC"/>
    <w:rsid w:val="00DF312D"/>
    <w:rsid w:val="00DF33DD"/>
    <w:rsid w:val="00DF3420"/>
    <w:rsid w:val="00DF34B7"/>
    <w:rsid w:val="00DF3503"/>
    <w:rsid w:val="00DF36F1"/>
    <w:rsid w:val="00DF3713"/>
    <w:rsid w:val="00DF3741"/>
    <w:rsid w:val="00DF37A7"/>
    <w:rsid w:val="00DF38EB"/>
    <w:rsid w:val="00DF3A33"/>
    <w:rsid w:val="00DF3AD1"/>
    <w:rsid w:val="00DF3C40"/>
    <w:rsid w:val="00DF3C72"/>
    <w:rsid w:val="00DF3CEB"/>
    <w:rsid w:val="00DF3DD4"/>
    <w:rsid w:val="00DF3E5D"/>
    <w:rsid w:val="00DF3F3F"/>
    <w:rsid w:val="00DF3FA9"/>
    <w:rsid w:val="00DF3FD5"/>
    <w:rsid w:val="00DF4138"/>
    <w:rsid w:val="00DF41E8"/>
    <w:rsid w:val="00DF4205"/>
    <w:rsid w:val="00DF4352"/>
    <w:rsid w:val="00DF43C5"/>
    <w:rsid w:val="00DF442A"/>
    <w:rsid w:val="00DF44B1"/>
    <w:rsid w:val="00DF4541"/>
    <w:rsid w:val="00DF4544"/>
    <w:rsid w:val="00DF456A"/>
    <w:rsid w:val="00DF469A"/>
    <w:rsid w:val="00DF4AD3"/>
    <w:rsid w:val="00DF4B1D"/>
    <w:rsid w:val="00DF4B43"/>
    <w:rsid w:val="00DF4B62"/>
    <w:rsid w:val="00DF4B7B"/>
    <w:rsid w:val="00DF4CEF"/>
    <w:rsid w:val="00DF4D4F"/>
    <w:rsid w:val="00DF4D53"/>
    <w:rsid w:val="00DF4E5A"/>
    <w:rsid w:val="00DF4EA9"/>
    <w:rsid w:val="00DF4F86"/>
    <w:rsid w:val="00DF4FA7"/>
    <w:rsid w:val="00DF5067"/>
    <w:rsid w:val="00DF50A9"/>
    <w:rsid w:val="00DF50C5"/>
    <w:rsid w:val="00DF5203"/>
    <w:rsid w:val="00DF5228"/>
    <w:rsid w:val="00DF5266"/>
    <w:rsid w:val="00DF52DA"/>
    <w:rsid w:val="00DF531F"/>
    <w:rsid w:val="00DF53B1"/>
    <w:rsid w:val="00DF53BE"/>
    <w:rsid w:val="00DF53CC"/>
    <w:rsid w:val="00DF5444"/>
    <w:rsid w:val="00DF545F"/>
    <w:rsid w:val="00DF551E"/>
    <w:rsid w:val="00DF556C"/>
    <w:rsid w:val="00DF5595"/>
    <w:rsid w:val="00DF57E3"/>
    <w:rsid w:val="00DF58D8"/>
    <w:rsid w:val="00DF5A33"/>
    <w:rsid w:val="00DF5A49"/>
    <w:rsid w:val="00DF5BF1"/>
    <w:rsid w:val="00DF5BFB"/>
    <w:rsid w:val="00DF5C30"/>
    <w:rsid w:val="00DF5C72"/>
    <w:rsid w:val="00DF5D79"/>
    <w:rsid w:val="00DF5E61"/>
    <w:rsid w:val="00DF5F20"/>
    <w:rsid w:val="00DF5F39"/>
    <w:rsid w:val="00DF5FDC"/>
    <w:rsid w:val="00DF61B9"/>
    <w:rsid w:val="00DF62B1"/>
    <w:rsid w:val="00DF62EC"/>
    <w:rsid w:val="00DF633A"/>
    <w:rsid w:val="00DF63EA"/>
    <w:rsid w:val="00DF6407"/>
    <w:rsid w:val="00DF6537"/>
    <w:rsid w:val="00DF655D"/>
    <w:rsid w:val="00DF6585"/>
    <w:rsid w:val="00DF65A7"/>
    <w:rsid w:val="00DF66AC"/>
    <w:rsid w:val="00DF6751"/>
    <w:rsid w:val="00DF690E"/>
    <w:rsid w:val="00DF6A77"/>
    <w:rsid w:val="00DF6B19"/>
    <w:rsid w:val="00DF6C23"/>
    <w:rsid w:val="00DF6CD9"/>
    <w:rsid w:val="00DF6D32"/>
    <w:rsid w:val="00DF6E97"/>
    <w:rsid w:val="00DF6FBA"/>
    <w:rsid w:val="00DF700B"/>
    <w:rsid w:val="00DF7111"/>
    <w:rsid w:val="00DF720A"/>
    <w:rsid w:val="00DF7292"/>
    <w:rsid w:val="00DF7447"/>
    <w:rsid w:val="00DF7652"/>
    <w:rsid w:val="00DF76C2"/>
    <w:rsid w:val="00DF7779"/>
    <w:rsid w:val="00DF7819"/>
    <w:rsid w:val="00DF784D"/>
    <w:rsid w:val="00DF78CF"/>
    <w:rsid w:val="00DF79B6"/>
    <w:rsid w:val="00DF7A3C"/>
    <w:rsid w:val="00DF7A57"/>
    <w:rsid w:val="00DF7B30"/>
    <w:rsid w:val="00DF7C2A"/>
    <w:rsid w:val="00DF7C37"/>
    <w:rsid w:val="00DF7CB6"/>
    <w:rsid w:val="00DF7D1E"/>
    <w:rsid w:val="00DF7D6F"/>
    <w:rsid w:val="00DF7D94"/>
    <w:rsid w:val="00DF7E4F"/>
    <w:rsid w:val="00DF7E55"/>
    <w:rsid w:val="00DF7E63"/>
    <w:rsid w:val="00DFE855"/>
    <w:rsid w:val="00E0005E"/>
    <w:rsid w:val="00E001B4"/>
    <w:rsid w:val="00E00279"/>
    <w:rsid w:val="00E00282"/>
    <w:rsid w:val="00E002C7"/>
    <w:rsid w:val="00E0031C"/>
    <w:rsid w:val="00E0048F"/>
    <w:rsid w:val="00E004BA"/>
    <w:rsid w:val="00E005E3"/>
    <w:rsid w:val="00E00644"/>
    <w:rsid w:val="00E00821"/>
    <w:rsid w:val="00E008CF"/>
    <w:rsid w:val="00E0099D"/>
    <w:rsid w:val="00E009A8"/>
    <w:rsid w:val="00E00A09"/>
    <w:rsid w:val="00E00A53"/>
    <w:rsid w:val="00E00A5C"/>
    <w:rsid w:val="00E00AAE"/>
    <w:rsid w:val="00E00B2B"/>
    <w:rsid w:val="00E00B9B"/>
    <w:rsid w:val="00E00BAB"/>
    <w:rsid w:val="00E00BD1"/>
    <w:rsid w:val="00E00C4C"/>
    <w:rsid w:val="00E00F3E"/>
    <w:rsid w:val="00E00F87"/>
    <w:rsid w:val="00E00F88"/>
    <w:rsid w:val="00E0114B"/>
    <w:rsid w:val="00E01168"/>
    <w:rsid w:val="00E0128A"/>
    <w:rsid w:val="00E0133F"/>
    <w:rsid w:val="00E013B1"/>
    <w:rsid w:val="00E0144E"/>
    <w:rsid w:val="00E0145E"/>
    <w:rsid w:val="00E0159B"/>
    <w:rsid w:val="00E016FD"/>
    <w:rsid w:val="00E0177C"/>
    <w:rsid w:val="00E01977"/>
    <w:rsid w:val="00E01997"/>
    <w:rsid w:val="00E01A85"/>
    <w:rsid w:val="00E01BD6"/>
    <w:rsid w:val="00E01CD0"/>
    <w:rsid w:val="00E01E06"/>
    <w:rsid w:val="00E01EB0"/>
    <w:rsid w:val="00E0200B"/>
    <w:rsid w:val="00E021F8"/>
    <w:rsid w:val="00E02209"/>
    <w:rsid w:val="00E022A7"/>
    <w:rsid w:val="00E0239B"/>
    <w:rsid w:val="00E023E9"/>
    <w:rsid w:val="00E02431"/>
    <w:rsid w:val="00E025CF"/>
    <w:rsid w:val="00E025DA"/>
    <w:rsid w:val="00E025F2"/>
    <w:rsid w:val="00E026CC"/>
    <w:rsid w:val="00E0274B"/>
    <w:rsid w:val="00E0274D"/>
    <w:rsid w:val="00E02768"/>
    <w:rsid w:val="00E0282E"/>
    <w:rsid w:val="00E02843"/>
    <w:rsid w:val="00E02932"/>
    <w:rsid w:val="00E02955"/>
    <w:rsid w:val="00E0297D"/>
    <w:rsid w:val="00E029AF"/>
    <w:rsid w:val="00E02A1F"/>
    <w:rsid w:val="00E02C27"/>
    <w:rsid w:val="00E02CA4"/>
    <w:rsid w:val="00E02DC4"/>
    <w:rsid w:val="00E02EDB"/>
    <w:rsid w:val="00E02F97"/>
    <w:rsid w:val="00E03159"/>
    <w:rsid w:val="00E03182"/>
    <w:rsid w:val="00E031BA"/>
    <w:rsid w:val="00E031E1"/>
    <w:rsid w:val="00E03256"/>
    <w:rsid w:val="00E03387"/>
    <w:rsid w:val="00E033B9"/>
    <w:rsid w:val="00E033CE"/>
    <w:rsid w:val="00E03429"/>
    <w:rsid w:val="00E036EC"/>
    <w:rsid w:val="00E03710"/>
    <w:rsid w:val="00E03763"/>
    <w:rsid w:val="00E037BB"/>
    <w:rsid w:val="00E03872"/>
    <w:rsid w:val="00E038F4"/>
    <w:rsid w:val="00E038FC"/>
    <w:rsid w:val="00E03A58"/>
    <w:rsid w:val="00E03B51"/>
    <w:rsid w:val="00E03B8D"/>
    <w:rsid w:val="00E03BC2"/>
    <w:rsid w:val="00E03BD2"/>
    <w:rsid w:val="00E03C40"/>
    <w:rsid w:val="00E03C71"/>
    <w:rsid w:val="00E03D93"/>
    <w:rsid w:val="00E03E4B"/>
    <w:rsid w:val="00E03FEB"/>
    <w:rsid w:val="00E04014"/>
    <w:rsid w:val="00E0405D"/>
    <w:rsid w:val="00E040BA"/>
    <w:rsid w:val="00E041E6"/>
    <w:rsid w:val="00E0421F"/>
    <w:rsid w:val="00E044E3"/>
    <w:rsid w:val="00E045F3"/>
    <w:rsid w:val="00E04653"/>
    <w:rsid w:val="00E046BC"/>
    <w:rsid w:val="00E04728"/>
    <w:rsid w:val="00E0479C"/>
    <w:rsid w:val="00E04845"/>
    <w:rsid w:val="00E04A10"/>
    <w:rsid w:val="00E04A17"/>
    <w:rsid w:val="00E04A40"/>
    <w:rsid w:val="00E04B1C"/>
    <w:rsid w:val="00E04B8E"/>
    <w:rsid w:val="00E04BD5"/>
    <w:rsid w:val="00E04C1F"/>
    <w:rsid w:val="00E04CAD"/>
    <w:rsid w:val="00E04DD7"/>
    <w:rsid w:val="00E04E0C"/>
    <w:rsid w:val="00E04E42"/>
    <w:rsid w:val="00E04EF1"/>
    <w:rsid w:val="00E050C3"/>
    <w:rsid w:val="00E05169"/>
    <w:rsid w:val="00E0517E"/>
    <w:rsid w:val="00E051C0"/>
    <w:rsid w:val="00E0521A"/>
    <w:rsid w:val="00E0529D"/>
    <w:rsid w:val="00E052C2"/>
    <w:rsid w:val="00E052D0"/>
    <w:rsid w:val="00E052EF"/>
    <w:rsid w:val="00E05379"/>
    <w:rsid w:val="00E0546D"/>
    <w:rsid w:val="00E0547D"/>
    <w:rsid w:val="00E0573E"/>
    <w:rsid w:val="00E05790"/>
    <w:rsid w:val="00E05826"/>
    <w:rsid w:val="00E05839"/>
    <w:rsid w:val="00E058A3"/>
    <w:rsid w:val="00E058F6"/>
    <w:rsid w:val="00E0597A"/>
    <w:rsid w:val="00E05997"/>
    <w:rsid w:val="00E05A0E"/>
    <w:rsid w:val="00E05A3A"/>
    <w:rsid w:val="00E05B32"/>
    <w:rsid w:val="00E05BB7"/>
    <w:rsid w:val="00E05CD7"/>
    <w:rsid w:val="00E05CE1"/>
    <w:rsid w:val="00E05CEA"/>
    <w:rsid w:val="00E05D73"/>
    <w:rsid w:val="00E05DC2"/>
    <w:rsid w:val="00E05E3A"/>
    <w:rsid w:val="00E06036"/>
    <w:rsid w:val="00E0627E"/>
    <w:rsid w:val="00E06318"/>
    <w:rsid w:val="00E06351"/>
    <w:rsid w:val="00E0636F"/>
    <w:rsid w:val="00E0654B"/>
    <w:rsid w:val="00E065E7"/>
    <w:rsid w:val="00E06627"/>
    <w:rsid w:val="00E0665D"/>
    <w:rsid w:val="00E066F2"/>
    <w:rsid w:val="00E06756"/>
    <w:rsid w:val="00E068C6"/>
    <w:rsid w:val="00E06A4A"/>
    <w:rsid w:val="00E06ADA"/>
    <w:rsid w:val="00E06C44"/>
    <w:rsid w:val="00E06CE8"/>
    <w:rsid w:val="00E06DB6"/>
    <w:rsid w:val="00E06DCB"/>
    <w:rsid w:val="00E06E15"/>
    <w:rsid w:val="00E06E4F"/>
    <w:rsid w:val="00E06F2E"/>
    <w:rsid w:val="00E06F5A"/>
    <w:rsid w:val="00E074D2"/>
    <w:rsid w:val="00E075D9"/>
    <w:rsid w:val="00E076E0"/>
    <w:rsid w:val="00E07789"/>
    <w:rsid w:val="00E077F8"/>
    <w:rsid w:val="00E0782B"/>
    <w:rsid w:val="00E07839"/>
    <w:rsid w:val="00E07A3B"/>
    <w:rsid w:val="00E07A7E"/>
    <w:rsid w:val="00E07A88"/>
    <w:rsid w:val="00E07AA0"/>
    <w:rsid w:val="00E07B0E"/>
    <w:rsid w:val="00E07B34"/>
    <w:rsid w:val="00E07B95"/>
    <w:rsid w:val="00E07C06"/>
    <w:rsid w:val="00E07D32"/>
    <w:rsid w:val="00E07DCC"/>
    <w:rsid w:val="00E07DE6"/>
    <w:rsid w:val="00E07E66"/>
    <w:rsid w:val="00E07F00"/>
    <w:rsid w:val="00E0DBBE"/>
    <w:rsid w:val="00E10169"/>
    <w:rsid w:val="00E10250"/>
    <w:rsid w:val="00E102F4"/>
    <w:rsid w:val="00E105D7"/>
    <w:rsid w:val="00E10612"/>
    <w:rsid w:val="00E10619"/>
    <w:rsid w:val="00E10731"/>
    <w:rsid w:val="00E10758"/>
    <w:rsid w:val="00E10798"/>
    <w:rsid w:val="00E1092E"/>
    <w:rsid w:val="00E10940"/>
    <w:rsid w:val="00E10952"/>
    <w:rsid w:val="00E10A18"/>
    <w:rsid w:val="00E10A7E"/>
    <w:rsid w:val="00E10C11"/>
    <w:rsid w:val="00E10CB9"/>
    <w:rsid w:val="00E10DD1"/>
    <w:rsid w:val="00E10E6E"/>
    <w:rsid w:val="00E10F4E"/>
    <w:rsid w:val="00E10F7B"/>
    <w:rsid w:val="00E10F81"/>
    <w:rsid w:val="00E10FF7"/>
    <w:rsid w:val="00E10FFA"/>
    <w:rsid w:val="00E110CC"/>
    <w:rsid w:val="00E110CD"/>
    <w:rsid w:val="00E111D7"/>
    <w:rsid w:val="00E111DF"/>
    <w:rsid w:val="00E1125C"/>
    <w:rsid w:val="00E112F2"/>
    <w:rsid w:val="00E113D7"/>
    <w:rsid w:val="00E11528"/>
    <w:rsid w:val="00E115A7"/>
    <w:rsid w:val="00E116E2"/>
    <w:rsid w:val="00E116F1"/>
    <w:rsid w:val="00E1170D"/>
    <w:rsid w:val="00E117C4"/>
    <w:rsid w:val="00E117D5"/>
    <w:rsid w:val="00E118C1"/>
    <w:rsid w:val="00E11991"/>
    <w:rsid w:val="00E119F4"/>
    <w:rsid w:val="00E11A31"/>
    <w:rsid w:val="00E11AC5"/>
    <w:rsid w:val="00E11B27"/>
    <w:rsid w:val="00E11D49"/>
    <w:rsid w:val="00E12071"/>
    <w:rsid w:val="00E120AC"/>
    <w:rsid w:val="00E12260"/>
    <w:rsid w:val="00E12295"/>
    <w:rsid w:val="00E12339"/>
    <w:rsid w:val="00E12475"/>
    <w:rsid w:val="00E1264A"/>
    <w:rsid w:val="00E12664"/>
    <w:rsid w:val="00E1271F"/>
    <w:rsid w:val="00E12724"/>
    <w:rsid w:val="00E12755"/>
    <w:rsid w:val="00E127CC"/>
    <w:rsid w:val="00E127E0"/>
    <w:rsid w:val="00E127F1"/>
    <w:rsid w:val="00E128FC"/>
    <w:rsid w:val="00E12908"/>
    <w:rsid w:val="00E12927"/>
    <w:rsid w:val="00E12A1F"/>
    <w:rsid w:val="00E12A31"/>
    <w:rsid w:val="00E12B7C"/>
    <w:rsid w:val="00E12C12"/>
    <w:rsid w:val="00E12C48"/>
    <w:rsid w:val="00E12CE7"/>
    <w:rsid w:val="00E12DAD"/>
    <w:rsid w:val="00E12F35"/>
    <w:rsid w:val="00E130C0"/>
    <w:rsid w:val="00E13174"/>
    <w:rsid w:val="00E132C5"/>
    <w:rsid w:val="00E1331E"/>
    <w:rsid w:val="00E13453"/>
    <w:rsid w:val="00E1345A"/>
    <w:rsid w:val="00E13470"/>
    <w:rsid w:val="00E134FC"/>
    <w:rsid w:val="00E1357A"/>
    <w:rsid w:val="00E135C6"/>
    <w:rsid w:val="00E136C2"/>
    <w:rsid w:val="00E1374F"/>
    <w:rsid w:val="00E1377E"/>
    <w:rsid w:val="00E13899"/>
    <w:rsid w:val="00E139D6"/>
    <w:rsid w:val="00E13A99"/>
    <w:rsid w:val="00E13B2E"/>
    <w:rsid w:val="00E13BE7"/>
    <w:rsid w:val="00E13C31"/>
    <w:rsid w:val="00E13C79"/>
    <w:rsid w:val="00E13D27"/>
    <w:rsid w:val="00E13D8E"/>
    <w:rsid w:val="00E13E23"/>
    <w:rsid w:val="00E13E26"/>
    <w:rsid w:val="00E13ED1"/>
    <w:rsid w:val="00E13F51"/>
    <w:rsid w:val="00E13F7D"/>
    <w:rsid w:val="00E14030"/>
    <w:rsid w:val="00E14187"/>
    <w:rsid w:val="00E142B3"/>
    <w:rsid w:val="00E143FB"/>
    <w:rsid w:val="00E144E9"/>
    <w:rsid w:val="00E144F4"/>
    <w:rsid w:val="00E14541"/>
    <w:rsid w:val="00E14567"/>
    <w:rsid w:val="00E14590"/>
    <w:rsid w:val="00E1461B"/>
    <w:rsid w:val="00E146BC"/>
    <w:rsid w:val="00E146C4"/>
    <w:rsid w:val="00E1479E"/>
    <w:rsid w:val="00E148CC"/>
    <w:rsid w:val="00E149A0"/>
    <w:rsid w:val="00E14AD3"/>
    <w:rsid w:val="00E14B62"/>
    <w:rsid w:val="00E14B8D"/>
    <w:rsid w:val="00E14BED"/>
    <w:rsid w:val="00E14BF7"/>
    <w:rsid w:val="00E14D4E"/>
    <w:rsid w:val="00E14E2D"/>
    <w:rsid w:val="00E14E8A"/>
    <w:rsid w:val="00E14ECD"/>
    <w:rsid w:val="00E14F14"/>
    <w:rsid w:val="00E14FA6"/>
    <w:rsid w:val="00E15084"/>
    <w:rsid w:val="00E15177"/>
    <w:rsid w:val="00E15199"/>
    <w:rsid w:val="00E15440"/>
    <w:rsid w:val="00E1545B"/>
    <w:rsid w:val="00E15488"/>
    <w:rsid w:val="00E1559B"/>
    <w:rsid w:val="00E155DA"/>
    <w:rsid w:val="00E155FC"/>
    <w:rsid w:val="00E1561E"/>
    <w:rsid w:val="00E15694"/>
    <w:rsid w:val="00E15980"/>
    <w:rsid w:val="00E15BA7"/>
    <w:rsid w:val="00E15BB0"/>
    <w:rsid w:val="00E15BCB"/>
    <w:rsid w:val="00E15BFE"/>
    <w:rsid w:val="00E15C0C"/>
    <w:rsid w:val="00E15C1D"/>
    <w:rsid w:val="00E15D16"/>
    <w:rsid w:val="00E15DEF"/>
    <w:rsid w:val="00E15E07"/>
    <w:rsid w:val="00E15E2A"/>
    <w:rsid w:val="00E15E5D"/>
    <w:rsid w:val="00E15E99"/>
    <w:rsid w:val="00E15E9E"/>
    <w:rsid w:val="00E15F58"/>
    <w:rsid w:val="00E1600F"/>
    <w:rsid w:val="00E16157"/>
    <w:rsid w:val="00E16275"/>
    <w:rsid w:val="00E163CD"/>
    <w:rsid w:val="00E1641B"/>
    <w:rsid w:val="00E164BB"/>
    <w:rsid w:val="00E16568"/>
    <w:rsid w:val="00E165CB"/>
    <w:rsid w:val="00E1664C"/>
    <w:rsid w:val="00E16802"/>
    <w:rsid w:val="00E1685E"/>
    <w:rsid w:val="00E1692F"/>
    <w:rsid w:val="00E169D4"/>
    <w:rsid w:val="00E16A38"/>
    <w:rsid w:val="00E16A99"/>
    <w:rsid w:val="00E16AF2"/>
    <w:rsid w:val="00E16B6F"/>
    <w:rsid w:val="00E16C1E"/>
    <w:rsid w:val="00E16CF1"/>
    <w:rsid w:val="00E16E7F"/>
    <w:rsid w:val="00E16F82"/>
    <w:rsid w:val="00E16FA5"/>
    <w:rsid w:val="00E16FCD"/>
    <w:rsid w:val="00E16FF4"/>
    <w:rsid w:val="00E17091"/>
    <w:rsid w:val="00E17258"/>
    <w:rsid w:val="00E1725B"/>
    <w:rsid w:val="00E1735B"/>
    <w:rsid w:val="00E17410"/>
    <w:rsid w:val="00E174B1"/>
    <w:rsid w:val="00E174BA"/>
    <w:rsid w:val="00E175F3"/>
    <w:rsid w:val="00E176C2"/>
    <w:rsid w:val="00E17801"/>
    <w:rsid w:val="00E1785C"/>
    <w:rsid w:val="00E1785F"/>
    <w:rsid w:val="00E17892"/>
    <w:rsid w:val="00E178B5"/>
    <w:rsid w:val="00E178BF"/>
    <w:rsid w:val="00E17949"/>
    <w:rsid w:val="00E179D4"/>
    <w:rsid w:val="00E179FC"/>
    <w:rsid w:val="00E17ADD"/>
    <w:rsid w:val="00E17B03"/>
    <w:rsid w:val="00E17BF9"/>
    <w:rsid w:val="00E17C69"/>
    <w:rsid w:val="00E17CDD"/>
    <w:rsid w:val="00E17E15"/>
    <w:rsid w:val="00E17EC8"/>
    <w:rsid w:val="00E17F51"/>
    <w:rsid w:val="00E17F90"/>
    <w:rsid w:val="00E17F99"/>
    <w:rsid w:val="00E2000B"/>
    <w:rsid w:val="00E2005F"/>
    <w:rsid w:val="00E200CD"/>
    <w:rsid w:val="00E200F8"/>
    <w:rsid w:val="00E20180"/>
    <w:rsid w:val="00E201CA"/>
    <w:rsid w:val="00E2022A"/>
    <w:rsid w:val="00E20477"/>
    <w:rsid w:val="00E204DB"/>
    <w:rsid w:val="00E204F9"/>
    <w:rsid w:val="00E20771"/>
    <w:rsid w:val="00E207BD"/>
    <w:rsid w:val="00E2092B"/>
    <w:rsid w:val="00E2092E"/>
    <w:rsid w:val="00E20968"/>
    <w:rsid w:val="00E209A1"/>
    <w:rsid w:val="00E209A4"/>
    <w:rsid w:val="00E20AC1"/>
    <w:rsid w:val="00E20B6E"/>
    <w:rsid w:val="00E20C7A"/>
    <w:rsid w:val="00E20CBC"/>
    <w:rsid w:val="00E20D47"/>
    <w:rsid w:val="00E20DAC"/>
    <w:rsid w:val="00E20E03"/>
    <w:rsid w:val="00E20E1E"/>
    <w:rsid w:val="00E20EAA"/>
    <w:rsid w:val="00E212C3"/>
    <w:rsid w:val="00E21315"/>
    <w:rsid w:val="00E2152B"/>
    <w:rsid w:val="00E2152D"/>
    <w:rsid w:val="00E21657"/>
    <w:rsid w:val="00E2167B"/>
    <w:rsid w:val="00E216E3"/>
    <w:rsid w:val="00E2171E"/>
    <w:rsid w:val="00E2182F"/>
    <w:rsid w:val="00E21947"/>
    <w:rsid w:val="00E21953"/>
    <w:rsid w:val="00E219BE"/>
    <w:rsid w:val="00E219F1"/>
    <w:rsid w:val="00E21AAD"/>
    <w:rsid w:val="00E21AB3"/>
    <w:rsid w:val="00E21AEA"/>
    <w:rsid w:val="00E21BCC"/>
    <w:rsid w:val="00E21BE8"/>
    <w:rsid w:val="00E21C1D"/>
    <w:rsid w:val="00E21C21"/>
    <w:rsid w:val="00E21C2B"/>
    <w:rsid w:val="00E21C3D"/>
    <w:rsid w:val="00E21DA6"/>
    <w:rsid w:val="00E21DB0"/>
    <w:rsid w:val="00E21DF2"/>
    <w:rsid w:val="00E21EDB"/>
    <w:rsid w:val="00E21F06"/>
    <w:rsid w:val="00E22051"/>
    <w:rsid w:val="00E2209E"/>
    <w:rsid w:val="00E2216D"/>
    <w:rsid w:val="00E221C9"/>
    <w:rsid w:val="00E221E6"/>
    <w:rsid w:val="00E222C5"/>
    <w:rsid w:val="00E225AA"/>
    <w:rsid w:val="00E2270F"/>
    <w:rsid w:val="00E22733"/>
    <w:rsid w:val="00E22870"/>
    <w:rsid w:val="00E228AE"/>
    <w:rsid w:val="00E22AB2"/>
    <w:rsid w:val="00E22ACD"/>
    <w:rsid w:val="00E22BD7"/>
    <w:rsid w:val="00E22BE0"/>
    <w:rsid w:val="00E22C65"/>
    <w:rsid w:val="00E22C82"/>
    <w:rsid w:val="00E22CAA"/>
    <w:rsid w:val="00E22CBC"/>
    <w:rsid w:val="00E22D73"/>
    <w:rsid w:val="00E22E8E"/>
    <w:rsid w:val="00E22F73"/>
    <w:rsid w:val="00E2308C"/>
    <w:rsid w:val="00E230B3"/>
    <w:rsid w:val="00E23332"/>
    <w:rsid w:val="00E23351"/>
    <w:rsid w:val="00E235F4"/>
    <w:rsid w:val="00E23679"/>
    <w:rsid w:val="00E236B5"/>
    <w:rsid w:val="00E236D5"/>
    <w:rsid w:val="00E2372D"/>
    <w:rsid w:val="00E23843"/>
    <w:rsid w:val="00E238E7"/>
    <w:rsid w:val="00E23913"/>
    <w:rsid w:val="00E2391E"/>
    <w:rsid w:val="00E23B1F"/>
    <w:rsid w:val="00E23BC6"/>
    <w:rsid w:val="00E23BDD"/>
    <w:rsid w:val="00E23C1E"/>
    <w:rsid w:val="00E23C37"/>
    <w:rsid w:val="00E23C3C"/>
    <w:rsid w:val="00E23C58"/>
    <w:rsid w:val="00E23D63"/>
    <w:rsid w:val="00E23D85"/>
    <w:rsid w:val="00E23E2A"/>
    <w:rsid w:val="00E23E95"/>
    <w:rsid w:val="00E23FB6"/>
    <w:rsid w:val="00E23FD4"/>
    <w:rsid w:val="00E241C7"/>
    <w:rsid w:val="00E242A9"/>
    <w:rsid w:val="00E2432E"/>
    <w:rsid w:val="00E243BA"/>
    <w:rsid w:val="00E24472"/>
    <w:rsid w:val="00E244F1"/>
    <w:rsid w:val="00E2458E"/>
    <w:rsid w:val="00E24598"/>
    <w:rsid w:val="00E245EF"/>
    <w:rsid w:val="00E247DE"/>
    <w:rsid w:val="00E247E2"/>
    <w:rsid w:val="00E247FA"/>
    <w:rsid w:val="00E248F3"/>
    <w:rsid w:val="00E24A00"/>
    <w:rsid w:val="00E24C75"/>
    <w:rsid w:val="00E24D73"/>
    <w:rsid w:val="00E24EC9"/>
    <w:rsid w:val="00E24F82"/>
    <w:rsid w:val="00E251A3"/>
    <w:rsid w:val="00E25206"/>
    <w:rsid w:val="00E2520E"/>
    <w:rsid w:val="00E2545C"/>
    <w:rsid w:val="00E254A8"/>
    <w:rsid w:val="00E2560F"/>
    <w:rsid w:val="00E2570A"/>
    <w:rsid w:val="00E258D3"/>
    <w:rsid w:val="00E25939"/>
    <w:rsid w:val="00E25945"/>
    <w:rsid w:val="00E2594B"/>
    <w:rsid w:val="00E25AD6"/>
    <w:rsid w:val="00E25BB2"/>
    <w:rsid w:val="00E25CAD"/>
    <w:rsid w:val="00E25D9F"/>
    <w:rsid w:val="00E25DBD"/>
    <w:rsid w:val="00E25DD1"/>
    <w:rsid w:val="00E25F85"/>
    <w:rsid w:val="00E26113"/>
    <w:rsid w:val="00E26140"/>
    <w:rsid w:val="00E26150"/>
    <w:rsid w:val="00E261BC"/>
    <w:rsid w:val="00E262C1"/>
    <w:rsid w:val="00E2633E"/>
    <w:rsid w:val="00E26492"/>
    <w:rsid w:val="00E265C4"/>
    <w:rsid w:val="00E265E3"/>
    <w:rsid w:val="00E26682"/>
    <w:rsid w:val="00E26698"/>
    <w:rsid w:val="00E266A4"/>
    <w:rsid w:val="00E26738"/>
    <w:rsid w:val="00E26853"/>
    <w:rsid w:val="00E26904"/>
    <w:rsid w:val="00E26963"/>
    <w:rsid w:val="00E269E9"/>
    <w:rsid w:val="00E26A48"/>
    <w:rsid w:val="00E26A94"/>
    <w:rsid w:val="00E26B44"/>
    <w:rsid w:val="00E26C76"/>
    <w:rsid w:val="00E26D37"/>
    <w:rsid w:val="00E26EDE"/>
    <w:rsid w:val="00E26F1C"/>
    <w:rsid w:val="00E26FDA"/>
    <w:rsid w:val="00E27007"/>
    <w:rsid w:val="00E27032"/>
    <w:rsid w:val="00E2704B"/>
    <w:rsid w:val="00E271CF"/>
    <w:rsid w:val="00E271FE"/>
    <w:rsid w:val="00E27205"/>
    <w:rsid w:val="00E272AC"/>
    <w:rsid w:val="00E27320"/>
    <w:rsid w:val="00E273E6"/>
    <w:rsid w:val="00E273E8"/>
    <w:rsid w:val="00E27495"/>
    <w:rsid w:val="00E275FC"/>
    <w:rsid w:val="00E27650"/>
    <w:rsid w:val="00E27840"/>
    <w:rsid w:val="00E2789E"/>
    <w:rsid w:val="00E278C8"/>
    <w:rsid w:val="00E279E8"/>
    <w:rsid w:val="00E27A09"/>
    <w:rsid w:val="00E27A94"/>
    <w:rsid w:val="00E27A96"/>
    <w:rsid w:val="00E27B23"/>
    <w:rsid w:val="00E27BC6"/>
    <w:rsid w:val="00E27BFC"/>
    <w:rsid w:val="00E27C78"/>
    <w:rsid w:val="00E27CBE"/>
    <w:rsid w:val="00E27CC8"/>
    <w:rsid w:val="00E27D28"/>
    <w:rsid w:val="00E27D6F"/>
    <w:rsid w:val="00E27DEE"/>
    <w:rsid w:val="00E27E48"/>
    <w:rsid w:val="00E27E77"/>
    <w:rsid w:val="00E27E7C"/>
    <w:rsid w:val="00E27FF8"/>
    <w:rsid w:val="00E3009C"/>
    <w:rsid w:val="00E3009F"/>
    <w:rsid w:val="00E300B7"/>
    <w:rsid w:val="00E300BD"/>
    <w:rsid w:val="00E30276"/>
    <w:rsid w:val="00E30395"/>
    <w:rsid w:val="00E30483"/>
    <w:rsid w:val="00E30499"/>
    <w:rsid w:val="00E305A7"/>
    <w:rsid w:val="00E30601"/>
    <w:rsid w:val="00E306AE"/>
    <w:rsid w:val="00E30803"/>
    <w:rsid w:val="00E30B21"/>
    <w:rsid w:val="00E30F40"/>
    <w:rsid w:val="00E30F5A"/>
    <w:rsid w:val="00E30F6C"/>
    <w:rsid w:val="00E31027"/>
    <w:rsid w:val="00E31161"/>
    <w:rsid w:val="00E31177"/>
    <w:rsid w:val="00E3119E"/>
    <w:rsid w:val="00E311BD"/>
    <w:rsid w:val="00E312B1"/>
    <w:rsid w:val="00E31653"/>
    <w:rsid w:val="00E31693"/>
    <w:rsid w:val="00E31761"/>
    <w:rsid w:val="00E31798"/>
    <w:rsid w:val="00E31885"/>
    <w:rsid w:val="00E318F2"/>
    <w:rsid w:val="00E31953"/>
    <w:rsid w:val="00E31A01"/>
    <w:rsid w:val="00E31AEA"/>
    <w:rsid w:val="00E31B88"/>
    <w:rsid w:val="00E31BC7"/>
    <w:rsid w:val="00E31CA5"/>
    <w:rsid w:val="00E31CF8"/>
    <w:rsid w:val="00E31D50"/>
    <w:rsid w:val="00E31D5B"/>
    <w:rsid w:val="00E31EAC"/>
    <w:rsid w:val="00E31F7D"/>
    <w:rsid w:val="00E31FEC"/>
    <w:rsid w:val="00E3201A"/>
    <w:rsid w:val="00E3201E"/>
    <w:rsid w:val="00E320DE"/>
    <w:rsid w:val="00E32147"/>
    <w:rsid w:val="00E3231B"/>
    <w:rsid w:val="00E32339"/>
    <w:rsid w:val="00E3234B"/>
    <w:rsid w:val="00E32530"/>
    <w:rsid w:val="00E325DF"/>
    <w:rsid w:val="00E3261A"/>
    <w:rsid w:val="00E32636"/>
    <w:rsid w:val="00E326FC"/>
    <w:rsid w:val="00E32744"/>
    <w:rsid w:val="00E32A66"/>
    <w:rsid w:val="00E32CF0"/>
    <w:rsid w:val="00E32D46"/>
    <w:rsid w:val="00E32F35"/>
    <w:rsid w:val="00E330A6"/>
    <w:rsid w:val="00E3311B"/>
    <w:rsid w:val="00E3315C"/>
    <w:rsid w:val="00E33229"/>
    <w:rsid w:val="00E33316"/>
    <w:rsid w:val="00E33399"/>
    <w:rsid w:val="00E333D3"/>
    <w:rsid w:val="00E334F3"/>
    <w:rsid w:val="00E33776"/>
    <w:rsid w:val="00E338EA"/>
    <w:rsid w:val="00E3393D"/>
    <w:rsid w:val="00E339CC"/>
    <w:rsid w:val="00E339D7"/>
    <w:rsid w:val="00E339EA"/>
    <w:rsid w:val="00E33B37"/>
    <w:rsid w:val="00E33B5F"/>
    <w:rsid w:val="00E33F65"/>
    <w:rsid w:val="00E340A9"/>
    <w:rsid w:val="00E340BE"/>
    <w:rsid w:val="00E3419E"/>
    <w:rsid w:val="00E341B0"/>
    <w:rsid w:val="00E341E1"/>
    <w:rsid w:val="00E3427B"/>
    <w:rsid w:val="00E34282"/>
    <w:rsid w:val="00E34349"/>
    <w:rsid w:val="00E3434F"/>
    <w:rsid w:val="00E3439F"/>
    <w:rsid w:val="00E343E8"/>
    <w:rsid w:val="00E34447"/>
    <w:rsid w:val="00E34698"/>
    <w:rsid w:val="00E34869"/>
    <w:rsid w:val="00E348E5"/>
    <w:rsid w:val="00E349DB"/>
    <w:rsid w:val="00E34B2D"/>
    <w:rsid w:val="00E34C03"/>
    <w:rsid w:val="00E34C91"/>
    <w:rsid w:val="00E34CF1"/>
    <w:rsid w:val="00E34CF7"/>
    <w:rsid w:val="00E34D3B"/>
    <w:rsid w:val="00E34DC1"/>
    <w:rsid w:val="00E34DFA"/>
    <w:rsid w:val="00E34E04"/>
    <w:rsid w:val="00E34E4D"/>
    <w:rsid w:val="00E34E9E"/>
    <w:rsid w:val="00E34F59"/>
    <w:rsid w:val="00E34FC8"/>
    <w:rsid w:val="00E3506A"/>
    <w:rsid w:val="00E35142"/>
    <w:rsid w:val="00E3522F"/>
    <w:rsid w:val="00E352F5"/>
    <w:rsid w:val="00E35306"/>
    <w:rsid w:val="00E353A7"/>
    <w:rsid w:val="00E353B5"/>
    <w:rsid w:val="00E354C4"/>
    <w:rsid w:val="00E355D7"/>
    <w:rsid w:val="00E3562F"/>
    <w:rsid w:val="00E3567A"/>
    <w:rsid w:val="00E35695"/>
    <w:rsid w:val="00E356D2"/>
    <w:rsid w:val="00E3572F"/>
    <w:rsid w:val="00E3575F"/>
    <w:rsid w:val="00E357AE"/>
    <w:rsid w:val="00E35846"/>
    <w:rsid w:val="00E35847"/>
    <w:rsid w:val="00E3586B"/>
    <w:rsid w:val="00E358E4"/>
    <w:rsid w:val="00E35933"/>
    <w:rsid w:val="00E35A26"/>
    <w:rsid w:val="00E35A7F"/>
    <w:rsid w:val="00E35CAD"/>
    <w:rsid w:val="00E35D27"/>
    <w:rsid w:val="00E35E1A"/>
    <w:rsid w:val="00E35E44"/>
    <w:rsid w:val="00E35E99"/>
    <w:rsid w:val="00E35FD0"/>
    <w:rsid w:val="00E36063"/>
    <w:rsid w:val="00E36083"/>
    <w:rsid w:val="00E360F4"/>
    <w:rsid w:val="00E3615F"/>
    <w:rsid w:val="00E36194"/>
    <w:rsid w:val="00E361CC"/>
    <w:rsid w:val="00E361EB"/>
    <w:rsid w:val="00E3631E"/>
    <w:rsid w:val="00E363F3"/>
    <w:rsid w:val="00E36400"/>
    <w:rsid w:val="00E3642D"/>
    <w:rsid w:val="00E36465"/>
    <w:rsid w:val="00E36522"/>
    <w:rsid w:val="00E3652E"/>
    <w:rsid w:val="00E366BD"/>
    <w:rsid w:val="00E366ED"/>
    <w:rsid w:val="00E367A0"/>
    <w:rsid w:val="00E367F7"/>
    <w:rsid w:val="00E36821"/>
    <w:rsid w:val="00E3694B"/>
    <w:rsid w:val="00E369ED"/>
    <w:rsid w:val="00E36AEE"/>
    <w:rsid w:val="00E36B3F"/>
    <w:rsid w:val="00E36C7A"/>
    <w:rsid w:val="00E36CF6"/>
    <w:rsid w:val="00E36D33"/>
    <w:rsid w:val="00E36D39"/>
    <w:rsid w:val="00E36D4B"/>
    <w:rsid w:val="00E36D6F"/>
    <w:rsid w:val="00E36E0F"/>
    <w:rsid w:val="00E36E6F"/>
    <w:rsid w:val="00E36F4A"/>
    <w:rsid w:val="00E3712E"/>
    <w:rsid w:val="00E37198"/>
    <w:rsid w:val="00E37238"/>
    <w:rsid w:val="00E37273"/>
    <w:rsid w:val="00E3736A"/>
    <w:rsid w:val="00E373EA"/>
    <w:rsid w:val="00E375FE"/>
    <w:rsid w:val="00E37607"/>
    <w:rsid w:val="00E3760D"/>
    <w:rsid w:val="00E3764E"/>
    <w:rsid w:val="00E37660"/>
    <w:rsid w:val="00E37704"/>
    <w:rsid w:val="00E377A2"/>
    <w:rsid w:val="00E378B7"/>
    <w:rsid w:val="00E37A18"/>
    <w:rsid w:val="00E37BA6"/>
    <w:rsid w:val="00E37BF0"/>
    <w:rsid w:val="00E37C6B"/>
    <w:rsid w:val="00E37C8C"/>
    <w:rsid w:val="00E37C97"/>
    <w:rsid w:val="00E37DED"/>
    <w:rsid w:val="00E37E6C"/>
    <w:rsid w:val="00E37E80"/>
    <w:rsid w:val="00E37ECA"/>
    <w:rsid w:val="00E37EF5"/>
    <w:rsid w:val="00E40102"/>
    <w:rsid w:val="00E40115"/>
    <w:rsid w:val="00E401B6"/>
    <w:rsid w:val="00E40247"/>
    <w:rsid w:val="00E4039E"/>
    <w:rsid w:val="00E40437"/>
    <w:rsid w:val="00E40528"/>
    <w:rsid w:val="00E4052A"/>
    <w:rsid w:val="00E40598"/>
    <w:rsid w:val="00E405C6"/>
    <w:rsid w:val="00E40629"/>
    <w:rsid w:val="00E4062B"/>
    <w:rsid w:val="00E406A3"/>
    <w:rsid w:val="00E406B0"/>
    <w:rsid w:val="00E406C5"/>
    <w:rsid w:val="00E407C6"/>
    <w:rsid w:val="00E408C6"/>
    <w:rsid w:val="00E40A27"/>
    <w:rsid w:val="00E40A6E"/>
    <w:rsid w:val="00E40BF4"/>
    <w:rsid w:val="00E40C63"/>
    <w:rsid w:val="00E40D6C"/>
    <w:rsid w:val="00E40D95"/>
    <w:rsid w:val="00E40DBF"/>
    <w:rsid w:val="00E40DDE"/>
    <w:rsid w:val="00E40F0A"/>
    <w:rsid w:val="00E40F6C"/>
    <w:rsid w:val="00E40FB4"/>
    <w:rsid w:val="00E4105A"/>
    <w:rsid w:val="00E41084"/>
    <w:rsid w:val="00E410DD"/>
    <w:rsid w:val="00E411FD"/>
    <w:rsid w:val="00E41208"/>
    <w:rsid w:val="00E41379"/>
    <w:rsid w:val="00E413DC"/>
    <w:rsid w:val="00E41445"/>
    <w:rsid w:val="00E41641"/>
    <w:rsid w:val="00E4168C"/>
    <w:rsid w:val="00E41771"/>
    <w:rsid w:val="00E4178A"/>
    <w:rsid w:val="00E41AD3"/>
    <w:rsid w:val="00E41B4C"/>
    <w:rsid w:val="00E41B72"/>
    <w:rsid w:val="00E41B7E"/>
    <w:rsid w:val="00E41BB5"/>
    <w:rsid w:val="00E41C7B"/>
    <w:rsid w:val="00E41CCE"/>
    <w:rsid w:val="00E41D25"/>
    <w:rsid w:val="00E41D74"/>
    <w:rsid w:val="00E41D8E"/>
    <w:rsid w:val="00E41DAC"/>
    <w:rsid w:val="00E41DD8"/>
    <w:rsid w:val="00E41F12"/>
    <w:rsid w:val="00E420A4"/>
    <w:rsid w:val="00E42120"/>
    <w:rsid w:val="00E42125"/>
    <w:rsid w:val="00E4212C"/>
    <w:rsid w:val="00E42150"/>
    <w:rsid w:val="00E42364"/>
    <w:rsid w:val="00E4248B"/>
    <w:rsid w:val="00E424B8"/>
    <w:rsid w:val="00E42592"/>
    <w:rsid w:val="00E425CB"/>
    <w:rsid w:val="00E426D4"/>
    <w:rsid w:val="00E427A4"/>
    <w:rsid w:val="00E427EB"/>
    <w:rsid w:val="00E42855"/>
    <w:rsid w:val="00E42927"/>
    <w:rsid w:val="00E429D2"/>
    <w:rsid w:val="00E429D8"/>
    <w:rsid w:val="00E42A4A"/>
    <w:rsid w:val="00E42A78"/>
    <w:rsid w:val="00E42B06"/>
    <w:rsid w:val="00E42B7B"/>
    <w:rsid w:val="00E42C25"/>
    <w:rsid w:val="00E42C85"/>
    <w:rsid w:val="00E42CD8"/>
    <w:rsid w:val="00E42D45"/>
    <w:rsid w:val="00E42D8E"/>
    <w:rsid w:val="00E42EB6"/>
    <w:rsid w:val="00E43066"/>
    <w:rsid w:val="00E4316C"/>
    <w:rsid w:val="00E432C2"/>
    <w:rsid w:val="00E4350B"/>
    <w:rsid w:val="00E4362E"/>
    <w:rsid w:val="00E43633"/>
    <w:rsid w:val="00E437D4"/>
    <w:rsid w:val="00E43945"/>
    <w:rsid w:val="00E43955"/>
    <w:rsid w:val="00E43A56"/>
    <w:rsid w:val="00E43AB6"/>
    <w:rsid w:val="00E43B03"/>
    <w:rsid w:val="00E43B7E"/>
    <w:rsid w:val="00E43C42"/>
    <w:rsid w:val="00E43DDF"/>
    <w:rsid w:val="00E43E02"/>
    <w:rsid w:val="00E43E4C"/>
    <w:rsid w:val="00E43FF4"/>
    <w:rsid w:val="00E44047"/>
    <w:rsid w:val="00E4419B"/>
    <w:rsid w:val="00E441CF"/>
    <w:rsid w:val="00E441E9"/>
    <w:rsid w:val="00E441F0"/>
    <w:rsid w:val="00E44269"/>
    <w:rsid w:val="00E4427A"/>
    <w:rsid w:val="00E44324"/>
    <w:rsid w:val="00E44472"/>
    <w:rsid w:val="00E4451E"/>
    <w:rsid w:val="00E44583"/>
    <w:rsid w:val="00E44639"/>
    <w:rsid w:val="00E446D0"/>
    <w:rsid w:val="00E446F4"/>
    <w:rsid w:val="00E44763"/>
    <w:rsid w:val="00E44785"/>
    <w:rsid w:val="00E447A6"/>
    <w:rsid w:val="00E44944"/>
    <w:rsid w:val="00E4496E"/>
    <w:rsid w:val="00E44990"/>
    <w:rsid w:val="00E44A41"/>
    <w:rsid w:val="00E44AE2"/>
    <w:rsid w:val="00E44B0F"/>
    <w:rsid w:val="00E44B50"/>
    <w:rsid w:val="00E44B74"/>
    <w:rsid w:val="00E44B9B"/>
    <w:rsid w:val="00E44CEE"/>
    <w:rsid w:val="00E44F3E"/>
    <w:rsid w:val="00E450F3"/>
    <w:rsid w:val="00E45186"/>
    <w:rsid w:val="00E452A1"/>
    <w:rsid w:val="00E45372"/>
    <w:rsid w:val="00E45483"/>
    <w:rsid w:val="00E454C7"/>
    <w:rsid w:val="00E45589"/>
    <w:rsid w:val="00E45747"/>
    <w:rsid w:val="00E457C4"/>
    <w:rsid w:val="00E458C2"/>
    <w:rsid w:val="00E45AB2"/>
    <w:rsid w:val="00E45B2D"/>
    <w:rsid w:val="00E45B68"/>
    <w:rsid w:val="00E45BB6"/>
    <w:rsid w:val="00E45D7B"/>
    <w:rsid w:val="00E45E8D"/>
    <w:rsid w:val="00E45ED9"/>
    <w:rsid w:val="00E45F0F"/>
    <w:rsid w:val="00E45F32"/>
    <w:rsid w:val="00E45F56"/>
    <w:rsid w:val="00E45FD0"/>
    <w:rsid w:val="00E460DD"/>
    <w:rsid w:val="00E46108"/>
    <w:rsid w:val="00E461D9"/>
    <w:rsid w:val="00E461E5"/>
    <w:rsid w:val="00E461FE"/>
    <w:rsid w:val="00E46253"/>
    <w:rsid w:val="00E46306"/>
    <w:rsid w:val="00E46445"/>
    <w:rsid w:val="00E464E4"/>
    <w:rsid w:val="00E464FD"/>
    <w:rsid w:val="00E46605"/>
    <w:rsid w:val="00E4676A"/>
    <w:rsid w:val="00E467FD"/>
    <w:rsid w:val="00E46859"/>
    <w:rsid w:val="00E46946"/>
    <w:rsid w:val="00E469EB"/>
    <w:rsid w:val="00E46AD1"/>
    <w:rsid w:val="00E46B3B"/>
    <w:rsid w:val="00E46B6C"/>
    <w:rsid w:val="00E46BF1"/>
    <w:rsid w:val="00E46CC6"/>
    <w:rsid w:val="00E46D8B"/>
    <w:rsid w:val="00E46DD4"/>
    <w:rsid w:val="00E46E15"/>
    <w:rsid w:val="00E46EB7"/>
    <w:rsid w:val="00E46FC4"/>
    <w:rsid w:val="00E46FE8"/>
    <w:rsid w:val="00E4706C"/>
    <w:rsid w:val="00E47078"/>
    <w:rsid w:val="00E470A8"/>
    <w:rsid w:val="00E470E3"/>
    <w:rsid w:val="00E47149"/>
    <w:rsid w:val="00E47280"/>
    <w:rsid w:val="00E47553"/>
    <w:rsid w:val="00E47721"/>
    <w:rsid w:val="00E477BC"/>
    <w:rsid w:val="00E4785E"/>
    <w:rsid w:val="00E479A3"/>
    <w:rsid w:val="00E479EC"/>
    <w:rsid w:val="00E47A27"/>
    <w:rsid w:val="00E47A62"/>
    <w:rsid w:val="00E47A8F"/>
    <w:rsid w:val="00E47AFD"/>
    <w:rsid w:val="00E47B78"/>
    <w:rsid w:val="00E47C84"/>
    <w:rsid w:val="00E47F47"/>
    <w:rsid w:val="00E47F6D"/>
    <w:rsid w:val="00E500D1"/>
    <w:rsid w:val="00E500E0"/>
    <w:rsid w:val="00E5013F"/>
    <w:rsid w:val="00E50171"/>
    <w:rsid w:val="00E50250"/>
    <w:rsid w:val="00E502AA"/>
    <w:rsid w:val="00E50505"/>
    <w:rsid w:val="00E5053A"/>
    <w:rsid w:val="00E5054B"/>
    <w:rsid w:val="00E5064D"/>
    <w:rsid w:val="00E50674"/>
    <w:rsid w:val="00E507AB"/>
    <w:rsid w:val="00E507B3"/>
    <w:rsid w:val="00E5088D"/>
    <w:rsid w:val="00E508A1"/>
    <w:rsid w:val="00E50902"/>
    <w:rsid w:val="00E5092F"/>
    <w:rsid w:val="00E5096D"/>
    <w:rsid w:val="00E509A1"/>
    <w:rsid w:val="00E509F8"/>
    <w:rsid w:val="00E50A06"/>
    <w:rsid w:val="00E50A83"/>
    <w:rsid w:val="00E50ADA"/>
    <w:rsid w:val="00E50B4F"/>
    <w:rsid w:val="00E50C51"/>
    <w:rsid w:val="00E50E6F"/>
    <w:rsid w:val="00E50EB7"/>
    <w:rsid w:val="00E50F14"/>
    <w:rsid w:val="00E50F24"/>
    <w:rsid w:val="00E51066"/>
    <w:rsid w:val="00E5106F"/>
    <w:rsid w:val="00E5108E"/>
    <w:rsid w:val="00E51139"/>
    <w:rsid w:val="00E5118E"/>
    <w:rsid w:val="00E511E8"/>
    <w:rsid w:val="00E512AB"/>
    <w:rsid w:val="00E51312"/>
    <w:rsid w:val="00E5136E"/>
    <w:rsid w:val="00E5137C"/>
    <w:rsid w:val="00E51416"/>
    <w:rsid w:val="00E51439"/>
    <w:rsid w:val="00E514E7"/>
    <w:rsid w:val="00E5154B"/>
    <w:rsid w:val="00E515B6"/>
    <w:rsid w:val="00E51605"/>
    <w:rsid w:val="00E51640"/>
    <w:rsid w:val="00E518F3"/>
    <w:rsid w:val="00E51A1B"/>
    <w:rsid w:val="00E51AB4"/>
    <w:rsid w:val="00E51ABF"/>
    <w:rsid w:val="00E51AD6"/>
    <w:rsid w:val="00E51BB7"/>
    <w:rsid w:val="00E51BCA"/>
    <w:rsid w:val="00E51BF4"/>
    <w:rsid w:val="00E51EFD"/>
    <w:rsid w:val="00E51F13"/>
    <w:rsid w:val="00E51FAE"/>
    <w:rsid w:val="00E5204C"/>
    <w:rsid w:val="00E52079"/>
    <w:rsid w:val="00E520AB"/>
    <w:rsid w:val="00E52273"/>
    <w:rsid w:val="00E524D1"/>
    <w:rsid w:val="00E525DB"/>
    <w:rsid w:val="00E525DC"/>
    <w:rsid w:val="00E526FD"/>
    <w:rsid w:val="00E526FE"/>
    <w:rsid w:val="00E52887"/>
    <w:rsid w:val="00E5295B"/>
    <w:rsid w:val="00E529C2"/>
    <w:rsid w:val="00E52AFC"/>
    <w:rsid w:val="00E52BCB"/>
    <w:rsid w:val="00E52BD6"/>
    <w:rsid w:val="00E52D78"/>
    <w:rsid w:val="00E52DDC"/>
    <w:rsid w:val="00E5305D"/>
    <w:rsid w:val="00E5305E"/>
    <w:rsid w:val="00E53091"/>
    <w:rsid w:val="00E5316B"/>
    <w:rsid w:val="00E531CD"/>
    <w:rsid w:val="00E531D6"/>
    <w:rsid w:val="00E53536"/>
    <w:rsid w:val="00E53652"/>
    <w:rsid w:val="00E537BE"/>
    <w:rsid w:val="00E5384E"/>
    <w:rsid w:val="00E53886"/>
    <w:rsid w:val="00E539AF"/>
    <w:rsid w:val="00E53ACA"/>
    <w:rsid w:val="00E53C1F"/>
    <w:rsid w:val="00E53CD5"/>
    <w:rsid w:val="00E53D10"/>
    <w:rsid w:val="00E53D19"/>
    <w:rsid w:val="00E53D81"/>
    <w:rsid w:val="00E53E11"/>
    <w:rsid w:val="00E53F40"/>
    <w:rsid w:val="00E53F87"/>
    <w:rsid w:val="00E54030"/>
    <w:rsid w:val="00E540F3"/>
    <w:rsid w:val="00E540FA"/>
    <w:rsid w:val="00E5412F"/>
    <w:rsid w:val="00E54197"/>
    <w:rsid w:val="00E541BA"/>
    <w:rsid w:val="00E54260"/>
    <w:rsid w:val="00E54261"/>
    <w:rsid w:val="00E542D3"/>
    <w:rsid w:val="00E5430F"/>
    <w:rsid w:val="00E543BE"/>
    <w:rsid w:val="00E5457A"/>
    <w:rsid w:val="00E546E0"/>
    <w:rsid w:val="00E5471D"/>
    <w:rsid w:val="00E54A03"/>
    <w:rsid w:val="00E54AE4"/>
    <w:rsid w:val="00E54B37"/>
    <w:rsid w:val="00E54BC4"/>
    <w:rsid w:val="00E54BEF"/>
    <w:rsid w:val="00E54CB1"/>
    <w:rsid w:val="00E54D55"/>
    <w:rsid w:val="00E5501D"/>
    <w:rsid w:val="00E552C7"/>
    <w:rsid w:val="00E55327"/>
    <w:rsid w:val="00E5537F"/>
    <w:rsid w:val="00E5545C"/>
    <w:rsid w:val="00E554C8"/>
    <w:rsid w:val="00E555D7"/>
    <w:rsid w:val="00E556F7"/>
    <w:rsid w:val="00E5578C"/>
    <w:rsid w:val="00E557AB"/>
    <w:rsid w:val="00E5584A"/>
    <w:rsid w:val="00E55873"/>
    <w:rsid w:val="00E55938"/>
    <w:rsid w:val="00E55995"/>
    <w:rsid w:val="00E55A1A"/>
    <w:rsid w:val="00E55AAA"/>
    <w:rsid w:val="00E55ACC"/>
    <w:rsid w:val="00E55C18"/>
    <w:rsid w:val="00E55C20"/>
    <w:rsid w:val="00E55C7D"/>
    <w:rsid w:val="00E55DBE"/>
    <w:rsid w:val="00E55EDD"/>
    <w:rsid w:val="00E55F67"/>
    <w:rsid w:val="00E55FA4"/>
    <w:rsid w:val="00E55FD1"/>
    <w:rsid w:val="00E561C4"/>
    <w:rsid w:val="00E56241"/>
    <w:rsid w:val="00E5631C"/>
    <w:rsid w:val="00E56378"/>
    <w:rsid w:val="00E563C0"/>
    <w:rsid w:val="00E56453"/>
    <w:rsid w:val="00E5653A"/>
    <w:rsid w:val="00E5658F"/>
    <w:rsid w:val="00E56621"/>
    <w:rsid w:val="00E56639"/>
    <w:rsid w:val="00E566F8"/>
    <w:rsid w:val="00E5673D"/>
    <w:rsid w:val="00E568CA"/>
    <w:rsid w:val="00E56993"/>
    <w:rsid w:val="00E569DE"/>
    <w:rsid w:val="00E569F9"/>
    <w:rsid w:val="00E56AE0"/>
    <w:rsid w:val="00E56AEA"/>
    <w:rsid w:val="00E56BBF"/>
    <w:rsid w:val="00E56EA1"/>
    <w:rsid w:val="00E56EDB"/>
    <w:rsid w:val="00E56F4A"/>
    <w:rsid w:val="00E56FAA"/>
    <w:rsid w:val="00E570AA"/>
    <w:rsid w:val="00E571AB"/>
    <w:rsid w:val="00E571F4"/>
    <w:rsid w:val="00E5728F"/>
    <w:rsid w:val="00E57312"/>
    <w:rsid w:val="00E5742B"/>
    <w:rsid w:val="00E57445"/>
    <w:rsid w:val="00E57542"/>
    <w:rsid w:val="00E57562"/>
    <w:rsid w:val="00E575DE"/>
    <w:rsid w:val="00E575F3"/>
    <w:rsid w:val="00E57604"/>
    <w:rsid w:val="00E5768D"/>
    <w:rsid w:val="00E576B0"/>
    <w:rsid w:val="00E57715"/>
    <w:rsid w:val="00E57716"/>
    <w:rsid w:val="00E57745"/>
    <w:rsid w:val="00E57948"/>
    <w:rsid w:val="00E57BD1"/>
    <w:rsid w:val="00E57D8B"/>
    <w:rsid w:val="00E57E0E"/>
    <w:rsid w:val="00E57E83"/>
    <w:rsid w:val="00E57FDE"/>
    <w:rsid w:val="00E60065"/>
    <w:rsid w:val="00E6008E"/>
    <w:rsid w:val="00E6015F"/>
    <w:rsid w:val="00E601A7"/>
    <w:rsid w:val="00E601B2"/>
    <w:rsid w:val="00E60201"/>
    <w:rsid w:val="00E60271"/>
    <w:rsid w:val="00E60284"/>
    <w:rsid w:val="00E60285"/>
    <w:rsid w:val="00E6028F"/>
    <w:rsid w:val="00E6040C"/>
    <w:rsid w:val="00E60416"/>
    <w:rsid w:val="00E60545"/>
    <w:rsid w:val="00E606A8"/>
    <w:rsid w:val="00E608FB"/>
    <w:rsid w:val="00E6090C"/>
    <w:rsid w:val="00E60A13"/>
    <w:rsid w:val="00E60A15"/>
    <w:rsid w:val="00E60AD3"/>
    <w:rsid w:val="00E60B56"/>
    <w:rsid w:val="00E60BAB"/>
    <w:rsid w:val="00E60BD7"/>
    <w:rsid w:val="00E60CE2"/>
    <w:rsid w:val="00E60D54"/>
    <w:rsid w:val="00E60D5A"/>
    <w:rsid w:val="00E60DC0"/>
    <w:rsid w:val="00E60DC5"/>
    <w:rsid w:val="00E60DF3"/>
    <w:rsid w:val="00E60E91"/>
    <w:rsid w:val="00E60FBA"/>
    <w:rsid w:val="00E611B1"/>
    <w:rsid w:val="00E61211"/>
    <w:rsid w:val="00E6129B"/>
    <w:rsid w:val="00E61426"/>
    <w:rsid w:val="00E61446"/>
    <w:rsid w:val="00E61465"/>
    <w:rsid w:val="00E614B0"/>
    <w:rsid w:val="00E615F8"/>
    <w:rsid w:val="00E61700"/>
    <w:rsid w:val="00E6171B"/>
    <w:rsid w:val="00E618E4"/>
    <w:rsid w:val="00E61A3E"/>
    <w:rsid w:val="00E61A70"/>
    <w:rsid w:val="00E61B1A"/>
    <w:rsid w:val="00E61CE6"/>
    <w:rsid w:val="00E61D79"/>
    <w:rsid w:val="00E61E1F"/>
    <w:rsid w:val="00E61EFE"/>
    <w:rsid w:val="00E61F12"/>
    <w:rsid w:val="00E62006"/>
    <w:rsid w:val="00E620F4"/>
    <w:rsid w:val="00E6225C"/>
    <w:rsid w:val="00E62265"/>
    <w:rsid w:val="00E6239B"/>
    <w:rsid w:val="00E62524"/>
    <w:rsid w:val="00E62530"/>
    <w:rsid w:val="00E625AF"/>
    <w:rsid w:val="00E625C0"/>
    <w:rsid w:val="00E62625"/>
    <w:rsid w:val="00E6268D"/>
    <w:rsid w:val="00E627E1"/>
    <w:rsid w:val="00E62844"/>
    <w:rsid w:val="00E628EA"/>
    <w:rsid w:val="00E628F4"/>
    <w:rsid w:val="00E62997"/>
    <w:rsid w:val="00E62C88"/>
    <w:rsid w:val="00E62CE8"/>
    <w:rsid w:val="00E62D9C"/>
    <w:rsid w:val="00E62DF3"/>
    <w:rsid w:val="00E62E75"/>
    <w:rsid w:val="00E62E80"/>
    <w:rsid w:val="00E62F2B"/>
    <w:rsid w:val="00E62F8B"/>
    <w:rsid w:val="00E63095"/>
    <w:rsid w:val="00E630E8"/>
    <w:rsid w:val="00E63156"/>
    <w:rsid w:val="00E631AA"/>
    <w:rsid w:val="00E63255"/>
    <w:rsid w:val="00E6325A"/>
    <w:rsid w:val="00E632AA"/>
    <w:rsid w:val="00E63358"/>
    <w:rsid w:val="00E6337D"/>
    <w:rsid w:val="00E633AE"/>
    <w:rsid w:val="00E6341D"/>
    <w:rsid w:val="00E63467"/>
    <w:rsid w:val="00E63569"/>
    <w:rsid w:val="00E6366C"/>
    <w:rsid w:val="00E63780"/>
    <w:rsid w:val="00E63864"/>
    <w:rsid w:val="00E63882"/>
    <w:rsid w:val="00E638DA"/>
    <w:rsid w:val="00E63904"/>
    <w:rsid w:val="00E63A80"/>
    <w:rsid w:val="00E63ACD"/>
    <w:rsid w:val="00E63AF4"/>
    <w:rsid w:val="00E63B6E"/>
    <w:rsid w:val="00E63BA3"/>
    <w:rsid w:val="00E63BAB"/>
    <w:rsid w:val="00E63BDC"/>
    <w:rsid w:val="00E63C79"/>
    <w:rsid w:val="00E63D17"/>
    <w:rsid w:val="00E63D2A"/>
    <w:rsid w:val="00E63D46"/>
    <w:rsid w:val="00E63F88"/>
    <w:rsid w:val="00E64198"/>
    <w:rsid w:val="00E64394"/>
    <w:rsid w:val="00E64442"/>
    <w:rsid w:val="00E64496"/>
    <w:rsid w:val="00E644E0"/>
    <w:rsid w:val="00E645C2"/>
    <w:rsid w:val="00E645CA"/>
    <w:rsid w:val="00E645F1"/>
    <w:rsid w:val="00E64737"/>
    <w:rsid w:val="00E64863"/>
    <w:rsid w:val="00E648DB"/>
    <w:rsid w:val="00E64BDB"/>
    <w:rsid w:val="00E64C1B"/>
    <w:rsid w:val="00E64CED"/>
    <w:rsid w:val="00E64D26"/>
    <w:rsid w:val="00E64D36"/>
    <w:rsid w:val="00E64E4D"/>
    <w:rsid w:val="00E64EBF"/>
    <w:rsid w:val="00E64ECA"/>
    <w:rsid w:val="00E64F12"/>
    <w:rsid w:val="00E64F70"/>
    <w:rsid w:val="00E64F97"/>
    <w:rsid w:val="00E64FFE"/>
    <w:rsid w:val="00E6509F"/>
    <w:rsid w:val="00E650DA"/>
    <w:rsid w:val="00E651F0"/>
    <w:rsid w:val="00E6523B"/>
    <w:rsid w:val="00E6527F"/>
    <w:rsid w:val="00E65310"/>
    <w:rsid w:val="00E653B9"/>
    <w:rsid w:val="00E654D9"/>
    <w:rsid w:val="00E654F8"/>
    <w:rsid w:val="00E65500"/>
    <w:rsid w:val="00E657C3"/>
    <w:rsid w:val="00E657ED"/>
    <w:rsid w:val="00E65800"/>
    <w:rsid w:val="00E65855"/>
    <w:rsid w:val="00E65903"/>
    <w:rsid w:val="00E65A9B"/>
    <w:rsid w:val="00E65B9B"/>
    <w:rsid w:val="00E65E15"/>
    <w:rsid w:val="00E65F37"/>
    <w:rsid w:val="00E66000"/>
    <w:rsid w:val="00E6600F"/>
    <w:rsid w:val="00E66210"/>
    <w:rsid w:val="00E6626E"/>
    <w:rsid w:val="00E662DE"/>
    <w:rsid w:val="00E6637C"/>
    <w:rsid w:val="00E6637E"/>
    <w:rsid w:val="00E66422"/>
    <w:rsid w:val="00E664A4"/>
    <w:rsid w:val="00E664AC"/>
    <w:rsid w:val="00E6669C"/>
    <w:rsid w:val="00E66707"/>
    <w:rsid w:val="00E66728"/>
    <w:rsid w:val="00E66869"/>
    <w:rsid w:val="00E668D3"/>
    <w:rsid w:val="00E66920"/>
    <w:rsid w:val="00E66978"/>
    <w:rsid w:val="00E6698B"/>
    <w:rsid w:val="00E669C0"/>
    <w:rsid w:val="00E66A1E"/>
    <w:rsid w:val="00E66B56"/>
    <w:rsid w:val="00E66E6C"/>
    <w:rsid w:val="00E66FB7"/>
    <w:rsid w:val="00E66FD1"/>
    <w:rsid w:val="00E67113"/>
    <w:rsid w:val="00E671E0"/>
    <w:rsid w:val="00E6725C"/>
    <w:rsid w:val="00E672D1"/>
    <w:rsid w:val="00E673F0"/>
    <w:rsid w:val="00E67616"/>
    <w:rsid w:val="00E676CA"/>
    <w:rsid w:val="00E676D0"/>
    <w:rsid w:val="00E6773C"/>
    <w:rsid w:val="00E67BE2"/>
    <w:rsid w:val="00E67CBD"/>
    <w:rsid w:val="00E67D9B"/>
    <w:rsid w:val="00E67E48"/>
    <w:rsid w:val="00E67E72"/>
    <w:rsid w:val="00E67FAE"/>
    <w:rsid w:val="00E7000D"/>
    <w:rsid w:val="00E70288"/>
    <w:rsid w:val="00E702D2"/>
    <w:rsid w:val="00E70489"/>
    <w:rsid w:val="00E70539"/>
    <w:rsid w:val="00E7053F"/>
    <w:rsid w:val="00E7062F"/>
    <w:rsid w:val="00E70638"/>
    <w:rsid w:val="00E70698"/>
    <w:rsid w:val="00E707FE"/>
    <w:rsid w:val="00E7080C"/>
    <w:rsid w:val="00E70898"/>
    <w:rsid w:val="00E7089C"/>
    <w:rsid w:val="00E70988"/>
    <w:rsid w:val="00E709D6"/>
    <w:rsid w:val="00E70A28"/>
    <w:rsid w:val="00E70AA3"/>
    <w:rsid w:val="00E70AC0"/>
    <w:rsid w:val="00E70B19"/>
    <w:rsid w:val="00E70BBC"/>
    <w:rsid w:val="00E70D3C"/>
    <w:rsid w:val="00E70D41"/>
    <w:rsid w:val="00E70DC0"/>
    <w:rsid w:val="00E70E5F"/>
    <w:rsid w:val="00E7105E"/>
    <w:rsid w:val="00E710B0"/>
    <w:rsid w:val="00E7120D"/>
    <w:rsid w:val="00E7122C"/>
    <w:rsid w:val="00E713B2"/>
    <w:rsid w:val="00E7143E"/>
    <w:rsid w:val="00E714C6"/>
    <w:rsid w:val="00E71677"/>
    <w:rsid w:val="00E71713"/>
    <w:rsid w:val="00E7179B"/>
    <w:rsid w:val="00E717AC"/>
    <w:rsid w:val="00E71843"/>
    <w:rsid w:val="00E7185A"/>
    <w:rsid w:val="00E71863"/>
    <w:rsid w:val="00E71944"/>
    <w:rsid w:val="00E719D7"/>
    <w:rsid w:val="00E71B63"/>
    <w:rsid w:val="00E71BB0"/>
    <w:rsid w:val="00E71D3B"/>
    <w:rsid w:val="00E71D64"/>
    <w:rsid w:val="00E71E5F"/>
    <w:rsid w:val="00E71E91"/>
    <w:rsid w:val="00E71EE4"/>
    <w:rsid w:val="00E71F4D"/>
    <w:rsid w:val="00E71F99"/>
    <w:rsid w:val="00E72167"/>
    <w:rsid w:val="00E72231"/>
    <w:rsid w:val="00E72292"/>
    <w:rsid w:val="00E72331"/>
    <w:rsid w:val="00E72410"/>
    <w:rsid w:val="00E72584"/>
    <w:rsid w:val="00E72616"/>
    <w:rsid w:val="00E726E1"/>
    <w:rsid w:val="00E7289E"/>
    <w:rsid w:val="00E728C0"/>
    <w:rsid w:val="00E72916"/>
    <w:rsid w:val="00E7299C"/>
    <w:rsid w:val="00E72B78"/>
    <w:rsid w:val="00E72B9A"/>
    <w:rsid w:val="00E72D71"/>
    <w:rsid w:val="00E72E2A"/>
    <w:rsid w:val="00E72E49"/>
    <w:rsid w:val="00E73253"/>
    <w:rsid w:val="00E7325D"/>
    <w:rsid w:val="00E732B9"/>
    <w:rsid w:val="00E73381"/>
    <w:rsid w:val="00E73383"/>
    <w:rsid w:val="00E73385"/>
    <w:rsid w:val="00E73494"/>
    <w:rsid w:val="00E736BD"/>
    <w:rsid w:val="00E73750"/>
    <w:rsid w:val="00E73894"/>
    <w:rsid w:val="00E738D9"/>
    <w:rsid w:val="00E738EF"/>
    <w:rsid w:val="00E73933"/>
    <w:rsid w:val="00E7393A"/>
    <w:rsid w:val="00E73ADE"/>
    <w:rsid w:val="00E73AE9"/>
    <w:rsid w:val="00E73AF2"/>
    <w:rsid w:val="00E73C52"/>
    <w:rsid w:val="00E73D1F"/>
    <w:rsid w:val="00E73D5D"/>
    <w:rsid w:val="00E73F72"/>
    <w:rsid w:val="00E7405F"/>
    <w:rsid w:val="00E74067"/>
    <w:rsid w:val="00E740A6"/>
    <w:rsid w:val="00E740E6"/>
    <w:rsid w:val="00E74143"/>
    <w:rsid w:val="00E7418D"/>
    <w:rsid w:val="00E7419E"/>
    <w:rsid w:val="00E741E8"/>
    <w:rsid w:val="00E74229"/>
    <w:rsid w:val="00E74261"/>
    <w:rsid w:val="00E74348"/>
    <w:rsid w:val="00E74423"/>
    <w:rsid w:val="00E744BD"/>
    <w:rsid w:val="00E744DB"/>
    <w:rsid w:val="00E74587"/>
    <w:rsid w:val="00E74597"/>
    <w:rsid w:val="00E745FD"/>
    <w:rsid w:val="00E7475B"/>
    <w:rsid w:val="00E74792"/>
    <w:rsid w:val="00E74887"/>
    <w:rsid w:val="00E74A4A"/>
    <w:rsid w:val="00E74C15"/>
    <w:rsid w:val="00E74CA0"/>
    <w:rsid w:val="00E74CC7"/>
    <w:rsid w:val="00E74D64"/>
    <w:rsid w:val="00E74DE1"/>
    <w:rsid w:val="00E74E7F"/>
    <w:rsid w:val="00E74EEF"/>
    <w:rsid w:val="00E74F16"/>
    <w:rsid w:val="00E74FBE"/>
    <w:rsid w:val="00E74FDB"/>
    <w:rsid w:val="00E75009"/>
    <w:rsid w:val="00E751CA"/>
    <w:rsid w:val="00E75378"/>
    <w:rsid w:val="00E7542C"/>
    <w:rsid w:val="00E7545D"/>
    <w:rsid w:val="00E754FA"/>
    <w:rsid w:val="00E755FC"/>
    <w:rsid w:val="00E7563B"/>
    <w:rsid w:val="00E758A6"/>
    <w:rsid w:val="00E758C6"/>
    <w:rsid w:val="00E75916"/>
    <w:rsid w:val="00E7592C"/>
    <w:rsid w:val="00E75A6E"/>
    <w:rsid w:val="00E75AE5"/>
    <w:rsid w:val="00E75D06"/>
    <w:rsid w:val="00E75E01"/>
    <w:rsid w:val="00E75E60"/>
    <w:rsid w:val="00E75E79"/>
    <w:rsid w:val="00E75ECC"/>
    <w:rsid w:val="00E75F68"/>
    <w:rsid w:val="00E75F8B"/>
    <w:rsid w:val="00E76071"/>
    <w:rsid w:val="00E76567"/>
    <w:rsid w:val="00E7668E"/>
    <w:rsid w:val="00E768C2"/>
    <w:rsid w:val="00E76AA4"/>
    <w:rsid w:val="00E76BBD"/>
    <w:rsid w:val="00E76C17"/>
    <w:rsid w:val="00E76C41"/>
    <w:rsid w:val="00E76E7E"/>
    <w:rsid w:val="00E76F15"/>
    <w:rsid w:val="00E76FBE"/>
    <w:rsid w:val="00E7711B"/>
    <w:rsid w:val="00E77210"/>
    <w:rsid w:val="00E7733C"/>
    <w:rsid w:val="00E7734E"/>
    <w:rsid w:val="00E7736B"/>
    <w:rsid w:val="00E773E1"/>
    <w:rsid w:val="00E7744A"/>
    <w:rsid w:val="00E77498"/>
    <w:rsid w:val="00E7749D"/>
    <w:rsid w:val="00E774A4"/>
    <w:rsid w:val="00E77588"/>
    <w:rsid w:val="00E775B2"/>
    <w:rsid w:val="00E775EE"/>
    <w:rsid w:val="00E7766A"/>
    <w:rsid w:val="00E776A3"/>
    <w:rsid w:val="00E776CC"/>
    <w:rsid w:val="00E7771F"/>
    <w:rsid w:val="00E778B8"/>
    <w:rsid w:val="00E77A70"/>
    <w:rsid w:val="00E77B44"/>
    <w:rsid w:val="00E77B69"/>
    <w:rsid w:val="00E77CCD"/>
    <w:rsid w:val="00E77CE8"/>
    <w:rsid w:val="00E77CF2"/>
    <w:rsid w:val="00E77D4E"/>
    <w:rsid w:val="00E77DEE"/>
    <w:rsid w:val="00E77EAF"/>
    <w:rsid w:val="00E77F01"/>
    <w:rsid w:val="00E77F33"/>
    <w:rsid w:val="00E77FB5"/>
    <w:rsid w:val="00E77FE6"/>
    <w:rsid w:val="00E77FFB"/>
    <w:rsid w:val="00E800C9"/>
    <w:rsid w:val="00E80168"/>
    <w:rsid w:val="00E8032B"/>
    <w:rsid w:val="00E80363"/>
    <w:rsid w:val="00E80400"/>
    <w:rsid w:val="00E8046E"/>
    <w:rsid w:val="00E804B0"/>
    <w:rsid w:val="00E806AA"/>
    <w:rsid w:val="00E8071C"/>
    <w:rsid w:val="00E80828"/>
    <w:rsid w:val="00E808FB"/>
    <w:rsid w:val="00E80A90"/>
    <w:rsid w:val="00E80A92"/>
    <w:rsid w:val="00E80B67"/>
    <w:rsid w:val="00E80B93"/>
    <w:rsid w:val="00E80D11"/>
    <w:rsid w:val="00E80D36"/>
    <w:rsid w:val="00E80D7C"/>
    <w:rsid w:val="00E80D82"/>
    <w:rsid w:val="00E80D88"/>
    <w:rsid w:val="00E80E89"/>
    <w:rsid w:val="00E81018"/>
    <w:rsid w:val="00E8107B"/>
    <w:rsid w:val="00E81097"/>
    <w:rsid w:val="00E810C8"/>
    <w:rsid w:val="00E8112D"/>
    <w:rsid w:val="00E81132"/>
    <w:rsid w:val="00E811F2"/>
    <w:rsid w:val="00E812A9"/>
    <w:rsid w:val="00E8131C"/>
    <w:rsid w:val="00E814EA"/>
    <w:rsid w:val="00E8159B"/>
    <w:rsid w:val="00E815C9"/>
    <w:rsid w:val="00E81629"/>
    <w:rsid w:val="00E81787"/>
    <w:rsid w:val="00E8179F"/>
    <w:rsid w:val="00E817C7"/>
    <w:rsid w:val="00E817F4"/>
    <w:rsid w:val="00E81891"/>
    <w:rsid w:val="00E8191E"/>
    <w:rsid w:val="00E81966"/>
    <w:rsid w:val="00E819C4"/>
    <w:rsid w:val="00E819C6"/>
    <w:rsid w:val="00E819C7"/>
    <w:rsid w:val="00E81AD2"/>
    <w:rsid w:val="00E81B39"/>
    <w:rsid w:val="00E81B43"/>
    <w:rsid w:val="00E81B4B"/>
    <w:rsid w:val="00E81C2A"/>
    <w:rsid w:val="00E81D08"/>
    <w:rsid w:val="00E81D88"/>
    <w:rsid w:val="00E81E55"/>
    <w:rsid w:val="00E81ED3"/>
    <w:rsid w:val="00E81F61"/>
    <w:rsid w:val="00E81FA3"/>
    <w:rsid w:val="00E82031"/>
    <w:rsid w:val="00E820B7"/>
    <w:rsid w:val="00E820E5"/>
    <w:rsid w:val="00E82189"/>
    <w:rsid w:val="00E822DE"/>
    <w:rsid w:val="00E822FE"/>
    <w:rsid w:val="00E823B5"/>
    <w:rsid w:val="00E823CB"/>
    <w:rsid w:val="00E823CE"/>
    <w:rsid w:val="00E82558"/>
    <w:rsid w:val="00E825BB"/>
    <w:rsid w:val="00E826B2"/>
    <w:rsid w:val="00E8275B"/>
    <w:rsid w:val="00E827D2"/>
    <w:rsid w:val="00E82807"/>
    <w:rsid w:val="00E82849"/>
    <w:rsid w:val="00E8291A"/>
    <w:rsid w:val="00E82AEC"/>
    <w:rsid w:val="00E82B81"/>
    <w:rsid w:val="00E8301F"/>
    <w:rsid w:val="00E83035"/>
    <w:rsid w:val="00E83044"/>
    <w:rsid w:val="00E830AD"/>
    <w:rsid w:val="00E830C7"/>
    <w:rsid w:val="00E8317C"/>
    <w:rsid w:val="00E831B5"/>
    <w:rsid w:val="00E832D4"/>
    <w:rsid w:val="00E8354B"/>
    <w:rsid w:val="00E83693"/>
    <w:rsid w:val="00E836BC"/>
    <w:rsid w:val="00E836E6"/>
    <w:rsid w:val="00E836E8"/>
    <w:rsid w:val="00E837C6"/>
    <w:rsid w:val="00E838C7"/>
    <w:rsid w:val="00E839D2"/>
    <w:rsid w:val="00E83A95"/>
    <w:rsid w:val="00E83AFD"/>
    <w:rsid w:val="00E83B53"/>
    <w:rsid w:val="00E83B8A"/>
    <w:rsid w:val="00E83C02"/>
    <w:rsid w:val="00E83C35"/>
    <w:rsid w:val="00E83CC8"/>
    <w:rsid w:val="00E83DF9"/>
    <w:rsid w:val="00E83EEE"/>
    <w:rsid w:val="00E83F26"/>
    <w:rsid w:val="00E83F5B"/>
    <w:rsid w:val="00E83FCC"/>
    <w:rsid w:val="00E840C7"/>
    <w:rsid w:val="00E840C8"/>
    <w:rsid w:val="00E84104"/>
    <w:rsid w:val="00E8426D"/>
    <w:rsid w:val="00E843A4"/>
    <w:rsid w:val="00E843C8"/>
    <w:rsid w:val="00E843DB"/>
    <w:rsid w:val="00E843DE"/>
    <w:rsid w:val="00E8454A"/>
    <w:rsid w:val="00E845C7"/>
    <w:rsid w:val="00E84687"/>
    <w:rsid w:val="00E846A6"/>
    <w:rsid w:val="00E848B7"/>
    <w:rsid w:val="00E84911"/>
    <w:rsid w:val="00E8493F"/>
    <w:rsid w:val="00E84949"/>
    <w:rsid w:val="00E84C60"/>
    <w:rsid w:val="00E84C76"/>
    <w:rsid w:val="00E84E47"/>
    <w:rsid w:val="00E84ECF"/>
    <w:rsid w:val="00E85015"/>
    <w:rsid w:val="00E85049"/>
    <w:rsid w:val="00E850B9"/>
    <w:rsid w:val="00E850EC"/>
    <w:rsid w:val="00E851BD"/>
    <w:rsid w:val="00E853AE"/>
    <w:rsid w:val="00E8542D"/>
    <w:rsid w:val="00E85438"/>
    <w:rsid w:val="00E8547F"/>
    <w:rsid w:val="00E85531"/>
    <w:rsid w:val="00E856EB"/>
    <w:rsid w:val="00E85700"/>
    <w:rsid w:val="00E85708"/>
    <w:rsid w:val="00E858DB"/>
    <w:rsid w:val="00E85993"/>
    <w:rsid w:val="00E859B9"/>
    <w:rsid w:val="00E85A11"/>
    <w:rsid w:val="00E85A39"/>
    <w:rsid w:val="00E85AEE"/>
    <w:rsid w:val="00E85B26"/>
    <w:rsid w:val="00E85B97"/>
    <w:rsid w:val="00E85BE1"/>
    <w:rsid w:val="00E85C3F"/>
    <w:rsid w:val="00E85CFD"/>
    <w:rsid w:val="00E85D73"/>
    <w:rsid w:val="00E85E53"/>
    <w:rsid w:val="00E85EF2"/>
    <w:rsid w:val="00E86065"/>
    <w:rsid w:val="00E860DE"/>
    <w:rsid w:val="00E86197"/>
    <w:rsid w:val="00E86357"/>
    <w:rsid w:val="00E86427"/>
    <w:rsid w:val="00E86699"/>
    <w:rsid w:val="00E8674E"/>
    <w:rsid w:val="00E8689F"/>
    <w:rsid w:val="00E86A48"/>
    <w:rsid w:val="00E86AE4"/>
    <w:rsid w:val="00E86C35"/>
    <w:rsid w:val="00E86CDD"/>
    <w:rsid w:val="00E86DAA"/>
    <w:rsid w:val="00E86E4A"/>
    <w:rsid w:val="00E86EDC"/>
    <w:rsid w:val="00E86F31"/>
    <w:rsid w:val="00E87026"/>
    <w:rsid w:val="00E8708C"/>
    <w:rsid w:val="00E8717A"/>
    <w:rsid w:val="00E871B1"/>
    <w:rsid w:val="00E87212"/>
    <w:rsid w:val="00E872FB"/>
    <w:rsid w:val="00E87429"/>
    <w:rsid w:val="00E87432"/>
    <w:rsid w:val="00E874D5"/>
    <w:rsid w:val="00E87548"/>
    <w:rsid w:val="00E87566"/>
    <w:rsid w:val="00E87667"/>
    <w:rsid w:val="00E87680"/>
    <w:rsid w:val="00E877EC"/>
    <w:rsid w:val="00E87898"/>
    <w:rsid w:val="00E878F7"/>
    <w:rsid w:val="00E8790A"/>
    <w:rsid w:val="00E87988"/>
    <w:rsid w:val="00E87A05"/>
    <w:rsid w:val="00E87C07"/>
    <w:rsid w:val="00E87D48"/>
    <w:rsid w:val="00E87F65"/>
    <w:rsid w:val="00E87F8E"/>
    <w:rsid w:val="00E87FFC"/>
    <w:rsid w:val="00E900B5"/>
    <w:rsid w:val="00E900E6"/>
    <w:rsid w:val="00E901AA"/>
    <w:rsid w:val="00E90316"/>
    <w:rsid w:val="00E90379"/>
    <w:rsid w:val="00E903E5"/>
    <w:rsid w:val="00E90464"/>
    <w:rsid w:val="00E90515"/>
    <w:rsid w:val="00E90528"/>
    <w:rsid w:val="00E90530"/>
    <w:rsid w:val="00E9053E"/>
    <w:rsid w:val="00E90564"/>
    <w:rsid w:val="00E90825"/>
    <w:rsid w:val="00E9094E"/>
    <w:rsid w:val="00E90B98"/>
    <w:rsid w:val="00E90C8B"/>
    <w:rsid w:val="00E90C95"/>
    <w:rsid w:val="00E90CE0"/>
    <w:rsid w:val="00E90E79"/>
    <w:rsid w:val="00E90EC8"/>
    <w:rsid w:val="00E90ED3"/>
    <w:rsid w:val="00E9102E"/>
    <w:rsid w:val="00E9119C"/>
    <w:rsid w:val="00E911E3"/>
    <w:rsid w:val="00E91277"/>
    <w:rsid w:val="00E91322"/>
    <w:rsid w:val="00E9139B"/>
    <w:rsid w:val="00E913BB"/>
    <w:rsid w:val="00E913DD"/>
    <w:rsid w:val="00E91407"/>
    <w:rsid w:val="00E91459"/>
    <w:rsid w:val="00E9148D"/>
    <w:rsid w:val="00E914CB"/>
    <w:rsid w:val="00E914EC"/>
    <w:rsid w:val="00E915FC"/>
    <w:rsid w:val="00E9163A"/>
    <w:rsid w:val="00E916BE"/>
    <w:rsid w:val="00E917D4"/>
    <w:rsid w:val="00E91849"/>
    <w:rsid w:val="00E9192A"/>
    <w:rsid w:val="00E9194D"/>
    <w:rsid w:val="00E9195B"/>
    <w:rsid w:val="00E91A8A"/>
    <w:rsid w:val="00E91BB8"/>
    <w:rsid w:val="00E91CB5"/>
    <w:rsid w:val="00E91E02"/>
    <w:rsid w:val="00E91E0D"/>
    <w:rsid w:val="00E91E3C"/>
    <w:rsid w:val="00E91F0B"/>
    <w:rsid w:val="00E91F71"/>
    <w:rsid w:val="00E9201A"/>
    <w:rsid w:val="00E92077"/>
    <w:rsid w:val="00E920AB"/>
    <w:rsid w:val="00E92114"/>
    <w:rsid w:val="00E92186"/>
    <w:rsid w:val="00E92260"/>
    <w:rsid w:val="00E9229A"/>
    <w:rsid w:val="00E9233F"/>
    <w:rsid w:val="00E9243A"/>
    <w:rsid w:val="00E925CB"/>
    <w:rsid w:val="00E926B6"/>
    <w:rsid w:val="00E926BD"/>
    <w:rsid w:val="00E9270B"/>
    <w:rsid w:val="00E927FE"/>
    <w:rsid w:val="00E92887"/>
    <w:rsid w:val="00E928D6"/>
    <w:rsid w:val="00E928E8"/>
    <w:rsid w:val="00E9296B"/>
    <w:rsid w:val="00E929A9"/>
    <w:rsid w:val="00E92A59"/>
    <w:rsid w:val="00E92B3C"/>
    <w:rsid w:val="00E92B49"/>
    <w:rsid w:val="00E92DC0"/>
    <w:rsid w:val="00E92EEB"/>
    <w:rsid w:val="00E92F34"/>
    <w:rsid w:val="00E92FB8"/>
    <w:rsid w:val="00E930C1"/>
    <w:rsid w:val="00E930C8"/>
    <w:rsid w:val="00E93147"/>
    <w:rsid w:val="00E93219"/>
    <w:rsid w:val="00E93223"/>
    <w:rsid w:val="00E932E6"/>
    <w:rsid w:val="00E93349"/>
    <w:rsid w:val="00E93384"/>
    <w:rsid w:val="00E93425"/>
    <w:rsid w:val="00E93440"/>
    <w:rsid w:val="00E936BF"/>
    <w:rsid w:val="00E93750"/>
    <w:rsid w:val="00E9376F"/>
    <w:rsid w:val="00E937C4"/>
    <w:rsid w:val="00E9387F"/>
    <w:rsid w:val="00E9389F"/>
    <w:rsid w:val="00E938F7"/>
    <w:rsid w:val="00E9395A"/>
    <w:rsid w:val="00E939AF"/>
    <w:rsid w:val="00E93A1F"/>
    <w:rsid w:val="00E93CAB"/>
    <w:rsid w:val="00E93D1E"/>
    <w:rsid w:val="00E93D6A"/>
    <w:rsid w:val="00E93DB6"/>
    <w:rsid w:val="00E93DEC"/>
    <w:rsid w:val="00E93E40"/>
    <w:rsid w:val="00E93F68"/>
    <w:rsid w:val="00E93F75"/>
    <w:rsid w:val="00E93F93"/>
    <w:rsid w:val="00E94116"/>
    <w:rsid w:val="00E94156"/>
    <w:rsid w:val="00E94221"/>
    <w:rsid w:val="00E9436B"/>
    <w:rsid w:val="00E94385"/>
    <w:rsid w:val="00E943B8"/>
    <w:rsid w:val="00E94477"/>
    <w:rsid w:val="00E94519"/>
    <w:rsid w:val="00E94549"/>
    <w:rsid w:val="00E945C2"/>
    <w:rsid w:val="00E94751"/>
    <w:rsid w:val="00E94800"/>
    <w:rsid w:val="00E94893"/>
    <w:rsid w:val="00E948D9"/>
    <w:rsid w:val="00E94922"/>
    <w:rsid w:val="00E9493D"/>
    <w:rsid w:val="00E94976"/>
    <w:rsid w:val="00E94B4B"/>
    <w:rsid w:val="00E94C20"/>
    <w:rsid w:val="00E94C4C"/>
    <w:rsid w:val="00E94C77"/>
    <w:rsid w:val="00E94CC3"/>
    <w:rsid w:val="00E94D54"/>
    <w:rsid w:val="00E94E9B"/>
    <w:rsid w:val="00E94FF5"/>
    <w:rsid w:val="00E95071"/>
    <w:rsid w:val="00E9510C"/>
    <w:rsid w:val="00E95161"/>
    <w:rsid w:val="00E95325"/>
    <w:rsid w:val="00E9533A"/>
    <w:rsid w:val="00E9538D"/>
    <w:rsid w:val="00E9540E"/>
    <w:rsid w:val="00E955BC"/>
    <w:rsid w:val="00E956F7"/>
    <w:rsid w:val="00E9570F"/>
    <w:rsid w:val="00E9590C"/>
    <w:rsid w:val="00E95A48"/>
    <w:rsid w:val="00E95A56"/>
    <w:rsid w:val="00E95B56"/>
    <w:rsid w:val="00E95B59"/>
    <w:rsid w:val="00E95B5A"/>
    <w:rsid w:val="00E95B9F"/>
    <w:rsid w:val="00E95C14"/>
    <w:rsid w:val="00E95C1C"/>
    <w:rsid w:val="00E95E7E"/>
    <w:rsid w:val="00E95EB9"/>
    <w:rsid w:val="00E95F8D"/>
    <w:rsid w:val="00E96133"/>
    <w:rsid w:val="00E9613C"/>
    <w:rsid w:val="00E96167"/>
    <w:rsid w:val="00E9624F"/>
    <w:rsid w:val="00E963E0"/>
    <w:rsid w:val="00E964AB"/>
    <w:rsid w:val="00E96649"/>
    <w:rsid w:val="00E9664B"/>
    <w:rsid w:val="00E9665E"/>
    <w:rsid w:val="00E96665"/>
    <w:rsid w:val="00E966B2"/>
    <w:rsid w:val="00E9678B"/>
    <w:rsid w:val="00E967CB"/>
    <w:rsid w:val="00E96801"/>
    <w:rsid w:val="00E96815"/>
    <w:rsid w:val="00E96841"/>
    <w:rsid w:val="00E9694E"/>
    <w:rsid w:val="00E96A2C"/>
    <w:rsid w:val="00E96ABE"/>
    <w:rsid w:val="00E96B08"/>
    <w:rsid w:val="00E96E4F"/>
    <w:rsid w:val="00E96ED8"/>
    <w:rsid w:val="00E97098"/>
    <w:rsid w:val="00E97225"/>
    <w:rsid w:val="00E97241"/>
    <w:rsid w:val="00E972DF"/>
    <w:rsid w:val="00E972F2"/>
    <w:rsid w:val="00E9731A"/>
    <w:rsid w:val="00E97324"/>
    <w:rsid w:val="00E9735D"/>
    <w:rsid w:val="00E97363"/>
    <w:rsid w:val="00E9754C"/>
    <w:rsid w:val="00E9759D"/>
    <w:rsid w:val="00E975A5"/>
    <w:rsid w:val="00E975EF"/>
    <w:rsid w:val="00E9767A"/>
    <w:rsid w:val="00E97886"/>
    <w:rsid w:val="00E97903"/>
    <w:rsid w:val="00E97A9F"/>
    <w:rsid w:val="00E97ABA"/>
    <w:rsid w:val="00E97C31"/>
    <w:rsid w:val="00E97CD6"/>
    <w:rsid w:val="00E97ECA"/>
    <w:rsid w:val="00E97FF6"/>
    <w:rsid w:val="00EA02D9"/>
    <w:rsid w:val="00EA033A"/>
    <w:rsid w:val="00EA03FD"/>
    <w:rsid w:val="00EA0482"/>
    <w:rsid w:val="00EA0544"/>
    <w:rsid w:val="00EA0580"/>
    <w:rsid w:val="00EA05DA"/>
    <w:rsid w:val="00EA0636"/>
    <w:rsid w:val="00EA063D"/>
    <w:rsid w:val="00EA066C"/>
    <w:rsid w:val="00EA0707"/>
    <w:rsid w:val="00EA0A35"/>
    <w:rsid w:val="00EA0AE1"/>
    <w:rsid w:val="00EA0AFF"/>
    <w:rsid w:val="00EA0B6C"/>
    <w:rsid w:val="00EA0BA0"/>
    <w:rsid w:val="00EA0C20"/>
    <w:rsid w:val="00EA0D16"/>
    <w:rsid w:val="00EA0D42"/>
    <w:rsid w:val="00EA0EC7"/>
    <w:rsid w:val="00EA0F18"/>
    <w:rsid w:val="00EA102E"/>
    <w:rsid w:val="00EA1099"/>
    <w:rsid w:val="00EA137C"/>
    <w:rsid w:val="00EA145C"/>
    <w:rsid w:val="00EA150B"/>
    <w:rsid w:val="00EA15F3"/>
    <w:rsid w:val="00EA1630"/>
    <w:rsid w:val="00EA1672"/>
    <w:rsid w:val="00EA1702"/>
    <w:rsid w:val="00EA1797"/>
    <w:rsid w:val="00EA1871"/>
    <w:rsid w:val="00EA189E"/>
    <w:rsid w:val="00EA1910"/>
    <w:rsid w:val="00EA19C2"/>
    <w:rsid w:val="00EA19F3"/>
    <w:rsid w:val="00EA1A0E"/>
    <w:rsid w:val="00EA1A62"/>
    <w:rsid w:val="00EA1D1A"/>
    <w:rsid w:val="00EA1D30"/>
    <w:rsid w:val="00EA1F60"/>
    <w:rsid w:val="00EA1F83"/>
    <w:rsid w:val="00EA1FCA"/>
    <w:rsid w:val="00EA2028"/>
    <w:rsid w:val="00EA20AA"/>
    <w:rsid w:val="00EA2167"/>
    <w:rsid w:val="00EA216B"/>
    <w:rsid w:val="00EA229D"/>
    <w:rsid w:val="00EA22EB"/>
    <w:rsid w:val="00EA2328"/>
    <w:rsid w:val="00EA2513"/>
    <w:rsid w:val="00EA2555"/>
    <w:rsid w:val="00EA258A"/>
    <w:rsid w:val="00EA25A8"/>
    <w:rsid w:val="00EA25D9"/>
    <w:rsid w:val="00EA2712"/>
    <w:rsid w:val="00EA2752"/>
    <w:rsid w:val="00EA27D0"/>
    <w:rsid w:val="00EA2971"/>
    <w:rsid w:val="00EA2C67"/>
    <w:rsid w:val="00EA2DC0"/>
    <w:rsid w:val="00EA2E07"/>
    <w:rsid w:val="00EA2E61"/>
    <w:rsid w:val="00EA2EBB"/>
    <w:rsid w:val="00EA2F57"/>
    <w:rsid w:val="00EA2F75"/>
    <w:rsid w:val="00EA2F76"/>
    <w:rsid w:val="00EA3085"/>
    <w:rsid w:val="00EA30F0"/>
    <w:rsid w:val="00EA3101"/>
    <w:rsid w:val="00EA311D"/>
    <w:rsid w:val="00EA31D4"/>
    <w:rsid w:val="00EA323A"/>
    <w:rsid w:val="00EA339E"/>
    <w:rsid w:val="00EA33B9"/>
    <w:rsid w:val="00EA33E2"/>
    <w:rsid w:val="00EA36F2"/>
    <w:rsid w:val="00EA3962"/>
    <w:rsid w:val="00EA399B"/>
    <w:rsid w:val="00EA399C"/>
    <w:rsid w:val="00EA3AB5"/>
    <w:rsid w:val="00EA3B03"/>
    <w:rsid w:val="00EA3B0C"/>
    <w:rsid w:val="00EA3B5D"/>
    <w:rsid w:val="00EA3B93"/>
    <w:rsid w:val="00EA3D32"/>
    <w:rsid w:val="00EA3D43"/>
    <w:rsid w:val="00EA3D4C"/>
    <w:rsid w:val="00EA3D95"/>
    <w:rsid w:val="00EA3E99"/>
    <w:rsid w:val="00EA3F5B"/>
    <w:rsid w:val="00EA3FB8"/>
    <w:rsid w:val="00EA4004"/>
    <w:rsid w:val="00EA413B"/>
    <w:rsid w:val="00EA41B8"/>
    <w:rsid w:val="00EA41FE"/>
    <w:rsid w:val="00EA428F"/>
    <w:rsid w:val="00EA430F"/>
    <w:rsid w:val="00EA432B"/>
    <w:rsid w:val="00EA439B"/>
    <w:rsid w:val="00EA449F"/>
    <w:rsid w:val="00EA45BA"/>
    <w:rsid w:val="00EA4624"/>
    <w:rsid w:val="00EA4668"/>
    <w:rsid w:val="00EA46A9"/>
    <w:rsid w:val="00EA479D"/>
    <w:rsid w:val="00EA47A6"/>
    <w:rsid w:val="00EA4903"/>
    <w:rsid w:val="00EA493A"/>
    <w:rsid w:val="00EA498A"/>
    <w:rsid w:val="00EA4A1A"/>
    <w:rsid w:val="00EA4A24"/>
    <w:rsid w:val="00EA4A99"/>
    <w:rsid w:val="00EA4B6F"/>
    <w:rsid w:val="00EA4B90"/>
    <w:rsid w:val="00EA4C65"/>
    <w:rsid w:val="00EA4D38"/>
    <w:rsid w:val="00EA4DA6"/>
    <w:rsid w:val="00EA4E6F"/>
    <w:rsid w:val="00EA4E81"/>
    <w:rsid w:val="00EA4F2D"/>
    <w:rsid w:val="00EA5097"/>
    <w:rsid w:val="00EA523E"/>
    <w:rsid w:val="00EA5409"/>
    <w:rsid w:val="00EA5555"/>
    <w:rsid w:val="00EA55AA"/>
    <w:rsid w:val="00EA5682"/>
    <w:rsid w:val="00EA56EE"/>
    <w:rsid w:val="00EA5776"/>
    <w:rsid w:val="00EA58D1"/>
    <w:rsid w:val="00EA5919"/>
    <w:rsid w:val="00EA5D68"/>
    <w:rsid w:val="00EA5EC2"/>
    <w:rsid w:val="00EA5EC9"/>
    <w:rsid w:val="00EA5ED0"/>
    <w:rsid w:val="00EA5F19"/>
    <w:rsid w:val="00EA6002"/>
    <w:rsid w:val="00EA61EC"/>
    <w:rsid w:val="00EA63A6"/>
    <w:rsid w:val="00EA64E7"/>
    <w:rsid w:val="00EA6557"/>
    <w:rsid w:val="00EA660F"/>
    <w:rsid w:val="00EA665B"/>
    <w:rsid w:val="00EA6703"/>
    <w:rsid w:val="00EA674B"/>
    <w:rsid w:val="00EA68A7"/>
    <w:rsid w:val="00EA693B"/>
    <w:rsid w:val="00EA6AD6"/>
    <w:rsid w:val="00EA6B64"/>
    <w:rsid w:val="00EA6BBE"/>
    <w:rsid w:val="00EA6BE5"/>
    <w:rsid w:val="00EA6CEC"/>
    <w:rsid w:val="00EA6D1A"/>
    <w:rsid w:val="00EA6D80"/>
    <w:rsid w:val="00EA6EC1"/>
    <w:rsid w:val="00EA6EF9"/>
    <w:rsid w:val="00EA7050"/>
    <w:rsid w:val="00EA70EB"/>
    <w:rsid w:val="00EA70FD"/>
    <w:rsid w:val="00EA716C"/>
    <w:rsid w:val="00EA7258"/>
    <w:rsid w:val="00EA7279"/>
    <w:rsid w:val="00EA72B8"/>
    <w:rsid w:val="00EA7426"/>
    <w:rsid w:val="00EA7427"/>
    <w:rsid w:val="00EA7480"/>
    <w:rsid w:val="00EA7552"/>
    <w:rsid w:val="00EA7555"/>
    <w:rsid w:val="00EA7613"/>
    <w:rsid w:val="00EA766F"/>
    <w:rsid w:val="00EA76F4"/>
    <w:rsid w:val="00EA7702"/>
    <w:rsid w:val="00EA7905"/>
    <w:rsid w:val="00EA7AC4"/>
    <w:rsid w:val="00EA7C09"/>
    <w:rsid w:val="00EA7CCF"/>
    <w:rsid w:val="00EA7ED4"/>
    <w:rsid w:val="00EA7EDC"/>
    <w:rsid w:val="00EA7F17"/>
    <w:rsid w:val="00EA7FA3"/>
    <w:rsid w:val="00EB0062"/>
    <w:rsid w:val="00EB00EA"/>
    <w:rsid w:val="00EB016D"/>
    <w:rsid w:val="00EB0177"/>
    <w:rsid w:val="00EB019C"/>
    <w:rsid w:val="00EB0229"/>
    <w:rsid w:val="00EB0248"/>
    <w:rsid w:val="00EB0413"/>
    <w:rsid w:val="00EB04A2"/>
    <w:rsid w:val="00EB04B3"/>
    <w:rsid w:val="00EB0520"/>
    <w:rsid w:val="00EB067D"/>
    <w:rsid w:val="00EB0752"/>
    <w:rsid w:val="00EB084F"/>
    <w:rsid w:val="00EB0947"/>
    <w:rsid w:val="00EB0954"/>
    <w:rsid w:val="00EB09B0"/>
    <w:rsid w:val="00EB09D2"/>
    <w:rsid w:val="00EB0AB1"/>
    <w:rsid w:val="00EB0B2A"/>
    <w:rsid w:val="00EB0CEC"/>
    <w:rsid w:val="00EB0E02"/>
    <w:rsid w:val="00EB0E50"/>
    <w:rsid w:val="00EB0E7A"/>
    <w:rsid w:val="00EB0EFD"/>
    <w:rsid w:val="00EB0F98"/>
    <w:rsid w:val="00EB1037"/>
    <w:rsid w:val="00EB104F"/>
    <w:rsid w:val="00EB1063"/>
    <w:rsid w:val="00EB10F3"/>
    <w:rsid w:val="00EB114A"/>
    <w:rsid w:val="00EB1197"/>
    <w:rsid w:val="00EB11A4"/>
    <w:rsid w:val="00EB11D5"/>
    <w:rsid w:val="00EB13D4"/>
    <w:rsid w:val="00EB151B"/>
    <w:rsid w:val="00EB169D"/>
    <w:rsid w:val="00EB16F4"/>
    <w:rsid w:val="00EB1731"/>
    <w:rsid w:val="00EB179A"/>
    <w:rsid w:val="00EB1851"/>
    <w:rsid w:val="00EB18F0"/>
    <w:rsid w:val="00EB18FA"/>
    <w:rsid w:val="00EB1995"/>
    <w:rsid w:val="00EB1A06"/>
    <w:rsid w:val="00EB1A7F"/>
    <w:rsid w:val="00EB1AAB"/>
    <w:rsid w:val="00EB1BF5"/>
    <w:rsid w:val="00EB1C20"/>
    <w:rsid w:val="00EB1CA9"/>
    <w:rsid w:val="00EB1D82"/>
    <w:rsid w:val="00EB1D85"/>
    <w:rsid w:val="00EB1D90"/>
    <w:rsid w:val="00EB209E"/>
    <w:rsid w:val="00EB20EB"/>
    <w:rsid w:val="00EB2182"/>
    <w:rsid w:val="00EB21E2"/>
    <w:rsid w:val="00EB21FA"/>
    <w:rsid w:val="00EB22E9"/>
    <w:rsid w:val="00EB23FF"/>
    <w:rsid w:val="00EB244E"/>
    <w:rsid w:val="00EB2481"/>
    <w:rsid w:val="00EB24D4"/>
    <w:rsid w:val="00EB24FF"/>
    <w:rsid w:val="00EB2537"/>
    <w:rsid w:val="00EB263F"/>
    <w:rsid w:val="00EB26D8"/>
    <w:rsid w:val="00EB27A5"/>
    <w:rsid w:val="00EB281C"/>
    <w:rsid w:val="00EB2A67"/>
    <w:rsid w:val="00EB2B11"/>
    <w:rsid w:val="00EB2B36"/>
    <w:rsid w:val="00EB2B56"/>
    <w:rsid w:val="00EB2BB6"/>
    <w:rsid w:val="00EB2CB7"/>
    <w:rsid w:val="00EB2CCF"/>
    <w:rsid w:val="00EB2CE9"/>
    <w:rsid w:val="00EB2D43"/>
    <w:rsid w:val="00EB2E3F"/>
    <w:rsid w:val="00EB2E94"/>
    <w:rsid w:val="00EB2F6B"/>
    <w:rsid w:val="00EB2FB8"/>
    <w:rsid w:val="00EB3164"/>
    <w:rsid w:val="00EB31A4"/>
    <w:rsid w:val="00EB3239"/>
    <w:rsid w:val="00EB3301"/>
    <w:rsid w:val="00EB3494"/>
    <w:rsid w:val="00EB34BA"/>
    <w:rsid w:val="00EB35E6"/>
    <w:rsid w:val="00EB35EF"/>
    <w:rsid w:val="00EB3641"/>
    <w:rsid w:val="00EB376E"/>
    <w:rsid w:val="00EB3837"/>
    <w:rsid w:val="00EB3975"/>
    <w:rsid w:val="00EB3A67"/>
    <w:rsid w:val="00EB3D87"/>
    <w:rsid w:val="00EB3ECB"/>
    <w:rsid w:val="00EB3F9E"/>
    <w:rsid w:val="00EB3FB3"/>
    <w:rsid w:val="00EB40D1"/>
    <w:rsid w:val="00EB40F4"/>
    <w:rsid w:val="00EB414C"/>
    <w:rsid w:val="00EB4235"/>
    <w:rsid w:val="00EB42A0"/>
    <w:rsid w:val="00EB431E"/>
    <w:rsid w:val="00EB436B"/>
    <w:rsid w:val="00EB44AC"/>
    <w:rsid w:val="00EB44AE"/>
    <w:rsid w:val="00EB44B2"/>
    <w:rsid w:val="00EB4667"/>
    <w:rsid w:val="00EB46B9"/>
    <w:rsid w:val="00EB4AEE"/>
    <w:rsid w:val="00EB4B4B"/>
    <w:rsid w:val="00EB4BD2"/>
    <w:rsid w:val="00EB4C03"/>
    <w:rsid w:val="00EB4C27"/>
    <w:rsid w:val="00EB4CDE"/>
    <w:rsid w:val="00EB4D34"/>
    <w:rsid w:val="00EB4D4B"/>
    <w:rsid w:val="00EB4DB0"/>
    <w:rsid w:val="00EB4E8D"/>
    <w:rsid w:val="00EB4FC6"/>
    <w:rsid w:val="00EB5019"/>
    <w:rsid w:val="00EB51EF"/>
    <w:rsid w:val="00EB52B1"/>
    <w:rsid w:val="00EB53BD"/>
    <w:rsid w:val="00EB540E"/>
    <w:rsid w:val="00EB5458"/>
    <w:rsid w:val="00EB54FF"/>
    <w:rsid w:val="00EB550D"/>
    <w:rsid w:val="00EB551D"/>
    <w:rsid w:val="00EB5574"/>
    <w:rsid w:val="00EB55CC"/>
    <w:rsid w:val="00EB5613"/>
    <w:rsid w:val="00EB5759"/>
    <w:rsid w:val="00EB578A"/>
    <w:rsid w:val="00EB5803"/>
    <w:rsid w:val="00EB58CC"/>
    <w:rsid w:val="00EB593B"/>
    <w:rsid w:val="00EB59C7"/>
    <w:rsid w:val="00EB59D5"/>
    <w:rsid w:val="00EB5A9C"/>
    <w:rsid w:val="00EB5B23"/>
    <w:rsid w:val="00EB5B31"/>
    <w:rsid w:val="00EB5BCB"/>
    <w:rsid w:val="00EB5C9B"/>
    <w:rsid w:val="00EB5CD1"/>
    <w:rsid w:val="00EB5D02"/>
    <w:rsid w:val="00EB5D45"/>
    <w:rsid w:val="00EB5F68"/>
    <w:rsid w:val="00EB5F8A"/>
    <w:rsid w:val="00EB600D"/>
    <w:rsid w:val="00EB603D"/>
    <w:rsid w:val="00EB6049"/>
    <w:rsid w:val="00EB6080"/>
    <w:rsid w:val="00EB61C1"/>
    <w:rsid w:val="00EB62AB"/>
    <w:rsid w:val="00EB6354"/>
    <w:rsid w:val="00EB6392"/>
    <w:rsid w:val="00EB641F"/>
    <w:rsid w:val="00EB642A"/>
    <w:rsid w:val="00EB644A"/>
    <w:rsid w:val="00EB6524"/>
    <w:rsid w:val="00EB65D1"/>
    <w:rsid w:val="00EB6994"/>
    <w:rsid w:val="00EB69B7"/>
    <w:rsid w:val="00EB69FC"/>
    <w:rsid w:val="00EB6A29"/>
    <w:rsid w:val="00EB6C02"/>
    <w:rsid w:val="00EB6C9A"/>
    <w:rsid w:val="00EB6CD5"/>
    <w:rsid w:val="00EB6E53"/>
    <w:rsid w:val="00EB6F0D"/>
    <w:rsid w:val="00EB6F61"/>
    <w:rsid w:val="00EB6FA4"/>
    <w:rsid w:val="00EB6FED"/>
    <w:rsid w:val="00EB714C"/>
    <w:rsid w:val="00EB723C"/>
    <w:rsid w:val="00EB72E3"/>
    <w:rsid w:val="00EB731C"/>
    <w:rsid w:val="00EB74B7"/>
    <w:rsid w:val="00EB7512"/>
    <w:rsid w:val="00EB7542"/>
    <w:rsid w:val="00EB75CF"/>
    <w:rsid w:val="00EB76A3"/>
    <w:rsid w:val="00EB76C7"/>
    <w:rsid w:val="00EB76D1"/>
    <w:rsid w:val="00EB78BB"/>
    <w:rsid w:val="00EB7901"/>
    <w:rsid w:val="00EB7A3F"/>
    <w:rsid w:val="00EB7B4A"/>
    <w:rsid w:val="00EB7BEE"/>
    <w:rsid w:val="00EB7C3C"/>
    <w:rsid w:val="00EB7C74"/>
    <w:rsid w:val="00EB7CBC"/>
    <w:rsid w:val="00EB7D19"/>
    <w:rsid w:val="00EB7D61"/>
    <w:rsid w:val="00EB7E45"/>
    <w:rsid w:val="00EC000E"/>
    <w:rsid w:val="00EC0126"/>
    <w:rsid w:val="00EC01B4"/>
    <w:rsid w:val="00EC0227"/>
    <w:rsid w:val="00EC0261"/>
    <w:rsid w:val="00EC02EE"/>
    <w:rsid w:val="00EC02FE"/>
    <w:rsid w:val="00EC0462"/>
    <w:rsid w:val="00EC04B5"/>
    <w:rsid w:val="00EC0540"/>
    <w:rsid w:val="00EC0547"/>
    <w:rsid w:val="00EC0573"/>
    <w:rsid w:val="00EC0587"/>
    <w:rsid w:val="00EC0597"/>
    <w:rsid w:val="00EC059D"/>
    <w:rsid w:val="00EC05ED"/>
    <w:rsid w:val="00EC0771"/>
    <w:rsid w:val="00EC0861"/>
    <w:rsid w:val="00EC088D"/>
    <w:rsid w:val="00EC08DB"/>
    <w:rsid w:val="00EC092C"/>
    <w:rsid w:val="00EC093C"/>
    <w:rsid w:val="00EC097C"/>
    <w:rsid w:val="00EC0AF6"/>
    <w:rsid w:val="00EC0B15"/>
    <w:rsid w:val="00EC0B87"/>
    <w:rsid w:val="00EC0BE6"/>
    <w:rsid w:val="00EC0BE7"/>
    <w:rsid w:val="00EC0C00"/>
    <w:rsid w:val="00EC0C1A"/>
    <w:rsid w:val="00EC0CCF"/>
    <w:rsid w:val="00EC0DBF"/>
    <w:rsid w:val="00EC0E32"/>
    <w:rsid w:val="00EC0F29"/>
    <w:rsid w:val="00EC0F32"/>
    <w:rsid w:val="00EC0F4E"/>
    <w:rsid w:val="00EC10A0"/>
    <w:rsid w:val="00EC10AD"/>
    <w:rsid w:val="00EC1107"/>
    <w:rsid w:val="00EC11FB"/>
    <w:rsid w:val="00EC12CD"/>
    <w:rsid w:val="00EC133D"/>
    <w:rsid w:val="00EC1362"/>
    <w:rsid w:val="00EC13A7"/>
    <w:rsid w:val="00EC14E8"/>
    <w:rsid w:val="00EC153A"/>
    <w:rsid w:val="00EC1726"/>
    <w:rsid w:val="00EC18A8"/>
    <w:rsid w:val="00EC1B40"/>
    <w:rsid w:val="00EC1C68"/>
    <w:rsid w:val="00EC1D35"/>
    <w:rsid w:val="00EC1D50"/>
    <w:rsid w:val="00EC1D82"/>
    <w:rsid w:val="00EC1DA1"/>
    <w:rsid w:val="00EC1DDD"/>
    <w:rsid w:val="00EC1E5A"/>
    <w:rsid w:val="00EC218B"/>
    <w:rsid w:val="00EC220B"/>
    <w:rsid w:val="00EC230C"/>
    <w:rsid w:val="00EC23C1"/>
    <w:rsid w:val="00EC242F"/>
    <w:rsid w:val="00EC2575"/>
    <w:rsid w:val="00EC26F3"/>
    <w:rsid w:val="00EC27FF"/>
    <w:rsid w:val="00EC2803"/>
    <w:rsid w:val="00EC2966"/>
    <w:rsid w:val="00EC2A2B"/>
    <w:rsid w:val="00EC2A70"/>
    <w:rsid w:val="00EC2A7E"/>
    <w:rsid w:val="00EC2A7F"/>
    <w:rsid w:val="00EC2AA6"/>
    <w:rsid w:val="00EC2B67"/>
    <w:rsid w:val="00EC2B7B"/>
    <w:rsid w:val="00EC2C64"/>
    <w:rsid w:val="00EC2D6E"/>
    <w:rsid w:val="00EC2DFE"/>
    <w:rsid w:val="00EC2F83"/>
    <w:rsid w:val="00EC2F9B"/>
    <w:rsid w:val="00EC2FFC"/>
    <w:rsid w:val="00EC3035"/>
    <w:rsid w:val="00EC310A"/>
    <w:rsid w:val="00EC3198"/>
    <w:rsid w:val="00EC33A7"/>
    <w:rsid w:val="00EC34D8"/>
    <w:rsid w:val="00EC3558"/>
    <w:rsid w:val="00EC3570"/>
    <w:rsid w:val="00EC358E"/>
    <w:rsid w:val="00EC363E"/>
    <w:rsid w:val="00EC3673"/>
    <w:rsid w:val="00EC379A"/>
    <w:rsid w:val="00EC3886"/>
    <w:rsid w:val="00EC393C"/>
    <w:rsid w:val="00EC39B7"/>
    <w:rsid w:val="00EC3A4D"/>
    <w:rsid w:val="00EC3C9D"/>
    <w:rsid w:val="00EC3CA7"/>
    <w:rsid w:val="00EC3CB1"/>
    <w:rsid w:val="00EC3D11"/>
    <w:rsid w:val="00EC3E67"/>
    <w:rsid w:val="00EC3E6C"/>
    <w:rsid w:val="00EC3E94"/>
    <w:rsid w:val="00EC3EA9"/>
    <w:rsid w:val="00EC3F3B"/>
    <w:rsid w:val="00EC3F87"/>
    <w:rsid w:val="00EC3FB5"/>
    <w:rsid w:val="00EC3FE8"/>
    <w:rsid w:val="00EC4054"/>
    <w:rsid w:val="00EC40DC"/>
    <w:rsid w:val="00EC41CB"/>
    <w:rsid w:val="00EC42C1"/>
    <w:rsid w:val="00EC42C9"/>
    <w:rsid w:val="00EC42EF"/>
    <w:rsid w:val="00EC4428"/>
    <w:rsid w:val="00EC4439"/>
    <w:rsid w:val="00EC44A8"/>
    <w:rsid w:val="00EC46E7"/>
    <w:rsid w:val="00EC47F5"/>
    <w:rsid w:val="00EC493D"/>
    <w:rsid w:val="00EC4998"/>
    <w:rsid w:val="00EC4A18"/>
    <w:rsid w:val="00EC4A4B"/>
    <w:rsid w:val="00EC4ABF"/>
    <w:rsid w:val="00EC4BB2"/>
    <w:rsid w:val="00EC4BBA"/>
    <w:rsid w:val="00EC4C74"/>
    <w:rsid w:val="00EC4D14"/>
    <w:rsid w:val="00EC4E80"/>
    <w:rsid w:val="00EC4F26"/>
    <w:rsid w:val="00EC50BD"/>
    <w:rsid w:val="00EC51D0"/>
    <w:rsid w:val="00EC5224"/>
    <w:rsid w:val="00EC54A3"/>
    <w:rsid w:val="00EC5522"/>
    <w:rsid w:val="00EC5583"/>
    <w:rsid w:val="00EC559D"/>
    <w:rsid w:val="00EC55B4"/>
    <w:rsid w:val="00EC5635"/>
    <w:rsid w:val="00EC569C"/>
    <w:rsid w:val="00EC5753"/>
    <w:rsid w:val="00EC5803"/>
    <w:rsid w:val="00EC586E"/>
    <w:rsid w:val="00EC5922"/>
    <w:rsid w:val="00EC5944"/>
    <w:rsid w:val="00EC5998"/>
    <w:rsid w:val="00EC5A05"/>
    <w:rsid w:val="00EC5A36"/>
    <w:rsid w:val="00EC5C46"/>
    <w:rsid w:val="00EC5FC9"/>
    <w:rsid w:val="00EC6006"/>
    <w:rsid w:val="00EC6192"/>
    <w:rsid w:val="00EC62AB"/>
    <w:rsid w:val="00EC6330"/>
    <w:rsid w:val="00EC64CF"/>
    <w:rsid w:val="00EC65A0"/>
    <w:rsid w:val="00EC676F"/>
    <w:rsid w:val="00EC68B8"/>
    <w:rsid w:val="00EC699B"/>
    <w:rsid w:val="00EC69B8"/>
    <w:rsid w:val="00EC6AB3"/>
    <w:rsid w:val="00EC6CC9"/>
    <w:rsid w:val="00EC6D49"/>
    <w:rsid w:val="00EC6D8D"/>
    <w:rsid w:val="00EC6E1F"/>
    <w:rsid w:val="00EC6F17"/>
    <w:rsid w:val="00EC6F5A"/>
    <w:rsid w:val="00EC702C"/>
    <w:rsid w:val="00EC70D5"/>
    <w:rsid w:val="00EC7150"/>
    <w:rsid w:val="00EC7311"/>
    <w:rsid w:val="00EC737D"/>
    <w:rsid w:val="00EC7426"/>
    <w:rsid w:val="00EC7597"/>
    <w:rsid w:val="00EC7734"/>
    <w:rsid w:val="00EC77B6"/>
    <w:rsid w:val="00EC77DC"/>
    <w:rsid w:val="00EC77FE"/>
    <w:rsid w:val="00EC78BF"/>
    <w:rsid w:val="00EC79D6"/>
    <w:rsid w:val="00EC7AD0"/>
    <w:rsid w:val="00EC7B5E"/>
    <w:rsid w:val="00EC7BF7"/>
    <w:rsid w:val="00EC7C3F"/>
    <w:rsid w:val="00EC7E52"/>
    <w:rsid w:val="00EC7E56"/>
    <w:rsid w:val="00EC7FD5"/>
    <w:rsid w:val="00ED002A"/>
    <w:rsid w:val="00ED009F"/>
    <w:rsid w:val="00ED00C9"/>
    <w:rsid w:val="00ED0327"/>
    <w:rsid w:val="00ED0347"/>
    <w:rsid w:val="00ED0408"/>
    <w:rsid w:val="00ED0409"/>
    <w:rsid w:val="00ED0470"/>
    <w:rsid w:val="00ED04D3"/>
    <w:rsid w:val="00ED06A3"/>
    <w:rsid w:val="00ED0872"/>
    <w:rsid w:val="00ED08AD"/>
    <w:rsid w:val="00ED09AF"/>
    <w:rsid w:val="00ED09EC"/>
    <w:rsid w:val="00ED0A2C"/>
    <w:rsid w:val="00ED0B3C"/>
    <w:rsid w:val="00ED0BC4"/>
    <w:rsid w:val="00ED0C30"/>
    <w:rsid w:val="00ED0C7A"/>
    <w:rsid w:val="00ED0CA2"/>
    <w:rsid w:val="00ED0CA4"/>
    <w:rsid w:val="00ED0D55"/>
    <w:rsid w:val="00ED0E31"/>
    <w:rsid w:val="00ED0E6D"/>
    <w:rsid w:val="00ED0EA1"/>
    <w:rsid w:val="00ED0EE7"/>
    <w:rsid w:val="00ED100B"/>
    <w:rsid w:val="00ED101E"/>
    <w:rsid w:val="00ED115F"/>
    <w:rsid w:val="00ED1547"/>
    <w:rsid w:val="00ED1674"/>
    <w:rsid w:val="00ED1737"/>
    <w:rsid w:val="00ED1888"/>
    <w:rsid w:val="00ED1898"/>
    <w:rsid w:val="00ED1A0D"/>
    <w:rsid w:val="00ED1AC4"/>
    <w:rsid w:val="00ED1AFF"/>
    <w:rsid w:val="00ED1B58"/>
    <w:rsid w:val="00ED1B73"/>
    <w:rsid w:val="00ED1C2D"/>
    <w:rsid w:val="00ED1D82"/>
    <w:rsid w:val="00ED1D83"/>
    <w:rsid w:val="00ED1EA9"/>
    <w:rsid w:val="00ED1FC8"/>
    <w:rsid w:val="00ED20AA"/>
    <w:rsid w:val="00ED20DC"/>
    <w:rsid w:val="00ED2138"/>
    <w:rsid w:val="00ED21EF"/>
    <w:rsid w:val="00ED2227"/>
    <w:rsid w:val="00ED22AD"/>
    <w:rsid w:val="00ED233D"/>
    <w:rsid w:val="00ED23DB"/>
    <w:rsid w:val="00ED260C"/>
    <w:rsid w:val="00ED2648"/>
    <w:rsid w:val="00ED2ABC"/>
    <w:rsid w:val="00ED2B9D"/>
    <w:rsid w:val="00ED2EB9"/>
    <w:rsid w:val="00ED2EE7"/>
    <w:rsid w:val="00ED2EED"/>
    <w:rsid w:val="00ED2EF9"/>
    <w:rsid w:val="00ED2F03"/>
    <w:rsid w:val="00ED2FBC"/>
    <w:rsid w:val="00ED302A"/>
    <w:rsid w:val="00ED3052"/>
    <w:rsid w:val="00ED3055"/>
    <w:rsid w:val="00ED3068"/>
    <w:rsid w:val="00ED3089"/>
    <w:rsid w:val="00ED30F8"/>
    <w:rsid w:val="00ED3157"/>
    <w:rsid w:val="00ED316C"/>
    <w:rsid w:val="00ED31B1"/>
    <w:rsid w:val="00ED31D8"/>
    <w:rsid w:val="00ED31DA"/>
    <w:rsid w:val="00ED31E9"/>
    <w:rsid w:val="00ED321A"/>
    <w:rsid w:val="00ED329A"/>
    <w:rsid w:val="00ED32EC"/>
    <w:rsid w:val="00ED3396"/>
    <w:rsid w:val="00ED3499"/>
    <w:rsid w:val="00ED34BD"/>
    <w:rsid w:val="00ED356C"/>
    <w:rsid w:val="00ED3573"/>
    <w:rsid w:val="00ED3588"/>
    <w:rsid w:val="00ED358C"/>
    <w:rsid w:val="00ED35F5"/>
    <w:rsid w:val="00ED3685"/>
    <w:rsid w:val="00ED36AD"/>
    <w:rsid w:val="00ED36FD"/>
    <w:rsid w:val="00ED382A"/>
    <w:rsid w:val="00ED3901"/>
    <w:rsid w:val="00ED3936"/>
    <w:rsid w:val="00ED3957"/>
    <w:rsid w:val="00ED3964"/>
    <w:rsid w:val="00ED3972"/>
    <w:rsid w:val="00ED399B"/>
    <w:rsid w:val="00ED39BF"/>
    <w:rsid w:val="00ED3A84"/>
    <w:rsid w:val="00ED3A9E"/>
    <w:rsid w:val="00ED3C22"/>
    <w:rsid w:val="00ED3C7A"/>
    <w:rsid w:val="00ED3D68"/>
    <w:rsid w:val="00ED3D7E"/>
    <w:rsid w:val="00ED3E0C"/>
    <w:rsid w:val="00ED3E9B"/>
    <w:rsid w:val="00ED3EEA"/>
    <w:rsid w:val="00ED3F36"/>
    <w:rsid w:val="00ED3FD7"/>
    <w:rsid w:val="00ED3FE3"/>
    <w:rsid w:val="00ED4034"/>
    <w:rsid w:val="00ED405A"/>
    <w:rsid w:val="00ED4086"/>
    <w:rsid w:val="00ED40B5"/>
    <w:rsid w:val="00ED41AF"/>
    <w:rsid w:val="00ED42A5"/>
    <w:rsid w:val="00ED4466"/>
    <w:rsid w:val="00ED453D"/>
    <w:rsid w:val="00ED460F"/>
    <w:rsid w:val="00ED46BC"/>
    <w:rsid w:val="00ED46D8"/>
    <w:rsid w:val="00ED4703"/>
    <w:rsid w:val="00ED4744"/>
    <w:rsid w:val="00ED4781"/>
    <w:rsid w:val="00ED47AA"/>
    <w:rsid w:val="00ED47F8"/>
    <w:rsid w:val="00ED494C"/>
    <w:rsid w:val="00ED49AA"/>
    <w:rsid w:val="00ED4A42"/>
    <w:rsid w:val="00ED4A6D"/>
    <w:rsid w:val="00ED4A93"/>
    <w:rsid w:val="00ED4AB3"/>
    <w:rsid w:val="00ED4AE7"/>
    <w:rsid w:val="00ED4BB2"/>
    <w:rsid w:val="00ED4BBF"/>
    <w:rsid w:val="00ED4BCC"/>
    <w:rsid w:val="00ED4E0C"/>
    <w:rsid w:val="00ED4F16"/>
    <w:rsid w:val="00ED5103"/>
    <w:rsid w:val="00ED5143"/>
    <w:rsid w:val="00ED5168"/>
    <w:rsid w:val="00ED5172"/>
    <w:rsid w:val="00ED518B"/>
    <w:rsid w:val="00ED51AD"/>
    <w:rsid w:val="00ED524D"/>
    <w:rsid w:val="00ED5370"/>
    <w:rsid w:val="00ED550C"/>
    <w:rsid w:val="00ED5675"/>
    <w:rsid w:val="00ED5710"/>
    <w:rsid w:val="00ED5737"/>
    <w:rsid w:val="00ED5867"/>
    <w:rsid w:val="00ED598F"/>
    <w:rsid w:val="00ED5A14"/>
    <w:rsid w:val="00ED5A30"/>
    <w:rsid w:val="00ED5A98"/>
    <w:rsid w:val="00ED5B22"/>
    <w:rsid w:val="00ED5BAB"/>
    <w:rsid w:val="00ED5C25"/>
    <w:rsid w:val="00ED5C46"/>
    <w:rsid w:val="00ED5C64"/>
    <w:rsid w:val="00ED5D41"/>
    <w:rsid w:val="00ED5DEE"/>
    <w:rsid w:val="00ED5F6A"/>
    <w:rsid w:val="00ED60CB"/>
    <w:rsid w:val="00ED6140"/>
    <w:rsid w:val="00ED6164"/>
    <w:rsid w:val="00ED6278"/>
    <w:rsid w:val="00ED63D3"/>
    <w:rsid w:val="00ED63F3"/>
    <w:rsid w:val="00ED642D"/>
    <w:rsid w:val="00ED66E4"/>
    <w:rsid w:val="00ED6791"/>
    <w:rsid w:val="00ED67B8"/>
    <w:rsid w:val="00ED67DA"/>
    <w:rsid w:val="00ED67FC"/>
    <w:rsid w:val="00ED6850"/>
    <w:rsid w:val="00ED68DF"/>
    <w:rsid w:val="00ED6947"/>
    <w:rsid w:val="00ED6B6D"/>
    <w:rsid w:val="00ED6C50"/>
    <w:rsid w:val="00ED6D17"/>
    <w:rsid w:val="00ED6D2B"/>
    <w:rsid w:val="00ED6DCF"/>
    <w:rsid w:val="00ED6DDA"/>
    <w:rsid w:val="00ED6E55"/>
    <w:rsid w:val="00ED6F4C"/>
    <w:rsid w:val="00ED6FF3"/>
    <w:rsid w:val="00ED7039"/>
    <w:rsid w:val="00ED707F"/>
    <w:rsid w:val="00ED71A2"/>
    <w:rsid w:val="00ED71DB"/>
    <w:rsid w:val="00ED7305"/>
    <w:rsid w:val="00ED7400"/>
    <w:rsid w:val="00ED7413"/>
    <w:rsid w:val="00ED742C"/>
    <w:rsid w:val="00ED74C5"/>
    <w:rsid w:val="00ED74F4"/>
    <w:rsid w:val="00ED7616"/>
    <w:rsid w:val="00ED7769"/>
    <w:rsid w:val="00ED779E"/>
    <w:rsid w:val="00ED7C52"/>
    <w:rsid w:val="00ED7C95"/>
    <w:rsid w:val="00ED7CBC"/>
    <w:rsid w:val="00ED7DCE"/>
    <w:rsid w:val="00ED7E19"/>
    <w:rsid w:val="00ED7F62"/>
    <w:rsid w:val="00ED7F93"/>
    <w:rsid w:val="00ED7FFA"/>
    <w:rsid w:val="00EE000F"/>
    <w:rsid w:val="00EE0072"/>
    <w:rsid w:val="00EE0074"/>
    <w:rsid w:val="00EE0091"/>
    <w:rsid w:val="00EE0174"/>
    <w:rsid w:val="00EE01BD"/>
    <w:rsid w:val="00EE023B"/>
    <w:rsid w:val="00EE0335"/>
    <w:rsid w:val="00EE0346"/>
    <w:rsid w:val="00EE0375"/>
    <w:rsid w:val="00EE03B5"/>
    <w:rsid w:val="00EE046B"/>
    <w:rsid w:val="00EE0500"/>
    <w:rsid w:val="00EE0567"/>
    <w:rsid w:val="00EE0598"/>
    <w:rsid w:val="00EE0652"/>
    <w:rsid w:val="00EE06B9"/>
    <w:rsid w:val="00EE06F9"/>
    <w:rsid w:val="00EE0756"/>
    <w:rsid w:val="00EE07AB"/>
    <w:rsid w:val="00EE07B8"/>
    <w:rsid w:val="00EE07F1"/>
    <w:rsid w:val="00EE07F5"/>
    <w:rsid w:val="00EE0925"/>
    <w:rsid w:val="00EE0957"/>
    <w:rsid w:val="00EE095A"/>
    <w:rsid w:val="00EE0B1C"/>
    <w:rsid w:val="00EE0B74"/>
    <w:rsid w:val="00EE0BA8"/>
    <w:rsid w:val="00EE0C30"/>
    <w:rsid w:val="00EE0C3F"/>
    <w:rsid w:val="00EE0C6D"/>
    <w:rsid w:val="00EE0CE6"/>
    <w:rsid w:val="00EE0D76"/>
    <w:rsid w:val="00EE0DCE"/>
    <w:rsid w:val="00EE0E43"/>
    <w:rsid w:val="00EE0E47"/>
    <w:rsid w:val="00EE0FF8"/>
    <w:rsid w:val="00EE0FFF"/>
    <w:rsid w:val="00EE1026"/>
    <w:rsid w:val="00EE1076"/>
    <w:rsid w:val="00EE1124"/>
    <w:rsid w:val="00EE115D"/>
    <w:rsid w:val="00EE1335"/>
    <w:rsid w:val="00EE1420"/>
    <w:rsid w:val="00EE146A"/>
    <w:rsid w:val="00EE14AC"/>
    <w:rsid w:val="00EE1569"/>
    <w:rsid w:val="00EE15BF"/>
    <w:rsid w:val="00EE15CF"/>
    <w:rsid w:val="00EE16D4"/>
    <w:rsid w:val="00EE1717"/>
    <w:rsid w:val="00EE1779"/>
    <w:rsid w:val="00EE17CD"/>
    <w:rsid w:val="00EE17D7"/>
    <w:rsid w:val="00EE17F0"/>
    <w:rsid w:val="00EE18A8"/>
    <w:rsid w:val="00EE1917"/>
    <w:rsid w:val="00EE1992"/>
    <w:rsid w:val="00EE1A1E"/>
    <w:rsid w:val="00EE1BCE"/>
    <w:rsid w:val="00EE1BE9"/>
    <w:rsid w:val="00EE1C12"/>
    <w:rsid w:val="00EE1C87"/>
    <w:rsid w:val="00EE1D15"/>
    <w:rsid w:val="00EE1D78"/>
    <w:rsid w:val="00EE1D87"/>
    <w:rsid w:val="00EE1DF0"/>
    <w:rsid w:val="00EE1E6E"/>
    <w:rsid w:val="00EE1F07"/>
    <w:rsid w:val="00EE2009"/>
    <w:rsid w:val="00EE229F"/>
    <w:rsid w:val="00EE2338"/>
    <w:rsid w:val="00EE239C"/>
    <w:rsid w:val="00EE24B9"/>
    <w:rsid w:val="00EE258E"/>
    <w:rsid w:val="00EE266C"/>
    <w:rsid w:val="00EE26DD"/>
    <w:rsid w:val="00EE2782"/>
    <w:rsid w:val="00EE2AE7"/>
    <w:rsid w:val="00EE2B6E"/>
    <w:rsid w:val="00EE2BD0"/>
    <w:rsid w:val="00EE2C56"/>
    <w:rsid w:val="00EE2C87"/>
    <w:rsid w:val="00EE2D92"/>
    <w:rsid w:val="00EE2DCF"/>
    <w:rsid w:val="00EE2E3A"/>
    <w:rsid w:val="00EE2EAA"/>
    <w:rsid w:val="00EE313F"/>
    <w:rsid w:val="00EE3186"/>
    <w:rsid w:val="00EE3310"/>
    <w:rsid w:val="00EE332B"/>
    <w:rsid w:val="00EE33C0"/>
    <w:rsid w:val="00EE33E1"/>
    <w:rsid w:val="00EE3442"/>
    <w:rsid w:val="00EE34B7"/>
    <w:rsid w:val="00EE34C9"/>
    <w:rsid w:val="00EE34DC"/>
    <w:rsid w:val="00EE3553"/>
    <w:rsid w:val="00EE3692"/>
    <w:rsid w:val="00EE3755"/>
    <w:rsid w:val="00EE385B"/>
    <w:rsid w:val="00EE38BA"/>
    <w:rsid w:val="00EE39C6"/>
    <w:rsid w:val="00EE39FC"/>
    <w:rsid w:val="00EE3A19"/>
    <w:rsid w:val="00EE3A54"/>
    <w:rsid w:val="00EE3AD1"/>
    <w:rsid w:val="00EE3B3D"/>
    <w:rsid w:val="00EE3BA7"/>
    <w:rsid w:val="00EE3C79"/>
    <w:rsid w:val="00EE3CB2"/>
    <w:rsid w:val="00EE3D46"/>
    <w:rsid w:val="00EE3E20"/>
    <w:rsid w:val="00EE3E2D"/>
    <w:rsid w:val="00EE3EA6"/>
    <w:rsid w:val="00EE4018"/>
    <w:rsid w:val="00EE401C"/>
    <w:rsid w:val="00EE40B5"/>
    <w:rsid w:val="00EE4119"/>
    <w:rsid w:val="00EE4124"/>
    <w:rsid w:val="00EE414A"/>
    <w:rsid w:val="00EE423E"/>
    <w:rsid w:val="00EE428D"/>
    <w:rsid w:val="00EE438C"/>
    <w:rsid w:val="00EE439D"/>
    <w:rsid w:val="00EE43F9"/>
    <w:rsid w:val="00EE445F"/>
    <w:rsid w:val="00EE4577"/>
    <w:rsid w:val="00EE4761"/>
    <w:rsid w:val="00EE4903"/>
    <w:rsid w:val="00EE4973"/>
    <w:rsid w:val="00EE4A1B"/>
    <w:rsid w:val="00EE4A56"/>
    <w:rsid w:val="00EE4A8C"/>
    <w:rsid w:val="00EE4B27"/>
    <w:rsid w:val="00EE4C6E"/>
    <w:rsid w:val="00EE4CA3"/>
    <w:rsid w:val="00EE4CAF"/>
    <w:rsid w:val="00EE4DE2"/>
    <w:rsid w:val="00EE4FB0"/>
    <w:rsid w:val="00EE501B"/>
    <w:rsid w:val="00EE5027"/>
    <w:rsid w:val="00EE5122"/>
    <w:rsid w:val="00EE51DD"/>
    <w:rsid w:val="00EE5224"/>
    <w:rsid w:val="00EE539B"/>
    <w:rsid w:val="00EE543B"/>
    <w:rsid w:val="00EE54E4"/>
    <w:rsid w:val="00EE55CA"/>
    <w:rsid w:val="00EE5653"/>
    <w:rsid w:val="00EE56D5"/>
    <w:rsid w:val="00EE5713"/>
    <w:rsid w:val="00EE57F4"/>
    <w:rsid w:val="00EE5803"/>
    <w:rsid w:val="00EE5880"/>
    <w:rsid w:val="00EE5923"/>
    <w:rsid w:val="00EE595A"/>
    <w:rsid w:val="00EE59FF"/>
    <w:rsid w:val="00EE5B02"/>
    <w:rsid w:val="00EE5B1B"/>
    <w:rsid w:val="00EE5B1F"/>
    <w:rsid w:val="00EE5D05"/>
    <w:rsid w:val="00EE5D43"/>
    <w:rsid w:val="00EE5DF6"/>
    <w:rsid w:val="00EE5E37"/>
    <w:rsid w:val="00EE5F47"/>
    <w:rsid w:val="00EE601F"/>
    <w:rsid w:val="00EE61A2"/>
    <w:rsid w:val="00EE61F0"/>
    <w:rsid w:val="00EE6210"/>
    <w:rsid w:val="00EE622E"/>
    <w:rsid w:val="00EE6317"/>
    <w:rsid w:val="00EE6453"/>
    <w:rsid w:val="00EE6458"/>
    <w:rsid w:val="00EE64DA"/>
    <w:rsid w:val="00EE64F7"/>
    <w:rsid w:val="00EE6679"/>
    <w:rsid w:val="00EE6688"/>
    <w:rsid w:val="00EE66D4"/>
    <w:rsid w:val="00EE67DB"/>
    <w:rsid w:val="00EE6915"/>
    <w:rsid w:val="00EE69CD"/>
    <w:rsid w:val="00EE6A3C"/>
    <w:rsid w:val="00EE6A94"/>
    <w:rsid w:val="00EE6AD5"/>
    <w:rsid w:val="00EE6B53"/>
    <w:rsid w:val="00EE6DE6"/>
    <w:rsid w:val="00EE6E10"/>
    <w:rsid w:val="00EE6E9F"/>
    <w:rsid w:val="00EE6EDF"/>
    <w:rsid w:val="00EE6FA3"/>
    <w:rsid w:val="00EE700F"/>
    <w:rsid w:val="00EE7037"/>
    <w:rsid w:val="00EE70A1"/>
    <w:rsid w:val="00EE70D9"/>
    <w:rsid w:val="00EE70F4"/>
    <w:rsid w:val="00EE7162"/>
    <w:rsid w:val="00EE721F"/>
    <w:rsid w:val="00EE72A4"/>
    <w:rsid w:val="00EE7358"/>
    <w:rsid w:val="00EE735B"/>
    <w:rsid w:val="00EE73E5"/>
    <w:rsid w:val="00EE74F6"/>
    <w:rsid w:val="00EE76B1"/>
    <w:rsid w:val="00EE76C6"/>
    <w:rsid w:val="00EE7751"/>
    <w:rsid w:val="00EE7818"/>
    <w:rsid w:val="00EE7855"/>
    <w:rsid w:val="00EE7897"/>
    <w:rsid w:val="00EE7902"/>
    <w:rsid w:val="00EE79BA"/>
    <w:rsid w:val="00EE7A38"/>
    <w:rsid w:val="00EE7D4B"/>
    <w:rsid w:val="00EE7DA3"/>
    <w:rsid w:val="00EE7DB1"/>
    <w:rsid w:val="00EE7F07"/>
    <w:rsid w:val="00EE7F7C"/>
    <w:rsid w:val="00EF0058"/>
    <w:rsid w:val="00EF0236"/>
    <w:rsid w:val="00EF03D8"/>
    <w:rsid w:val="00EF0542"/>
    <w:rsid w:val="00EF061D"/>
    <w:rsid w:val="00EF06C2"/>
    <w:rsid w:val="00EF0781"/>
    <w:rsid w:val="00EF07CB"/>
    <w:rsid w:val="00EF07DC"/>
    <w:rsid w:val="00EF0925"/>
    <w:rsid w:val="00EF09DD"/>
    <w:rsid w:val="00EF09F0"/>
    <w:rsid w:val="00EF0A0B"/>
    <w:rsid w:val="00EF0B06"/>
    <w:rsid w:val="00EF0BCF"/>
    <w:rsid w:val="00EF0C6C"/>
    <w:rsid w:val="00EF0E45"/>
    <w:rsid w:val="00EF0E49"/>
    <w:rsid w:val="00EF103D"/>
    <w:rsid w:val="00EF1180"/>
    <w:rsid w:val="00EF122D"/>
    <w:rsid w:val="00EF14C6"/>
    <w:rsid w:val="00EF1543"/>
    <w:rsid w:val="00EF173B"/>
    <w:rsid w:val="00EF1773"/>
    <w:rsid w:val="00EF1794"/>
    <w:rsid w:val="00EF17D5"/>
    <w:rsid w:val="00EF183D"/>
    <w:rsid w:val="00EF195D"/>
    <w:rsid w:val="00EF1A0D"/>
    <w:rsid w:val="00EF1A1C"/>
    <w:rsid w:val="00EF1A55"/>
    <w:rsid w:val="00EF1AA6"/>
    <w:rsid w:val="00EF1C52"/>
    <w:rsid w:val="00EF1F50"/>
    <w:rsid w:val="00EF1FF1"/>
    <w:rsid w:val="00EF2017"/>
    <w:rsid w:val="00EF2077"/>
    <w:rsid w:val="00EF21BB"/>
    <w:rsid w:val="00EF2289"/>
    <w:rsid w:val="00EF22F1"/>
    <w:rsid w:val="00EF2364"/>
    <w:rsid w:val="00EF249C"/>
    <w:rsid w:val="00EF2536"/>
    <w:rsid w:val="00EF260E"/>
    <w:rsid w:val="00EF26B5"/>
    <w:rsid w:val="00EF2745"/>
    <w:rsid w:val="00EF279D"/>
    <w:rsid w:val="00EF27C8"/>
    <w:rsid w:val="00EF2831"/>
    <w:rsid w:val="00EF28CF"/>
    <w:rsid w:val="00EF2959"/>
    <w:rsid w:val="00EF2998"/>
    <w:rsid w:val="00EF2C19"/>
    <w:rsid w:val="00EF2CDF"/>
    <w:rsid w:val="00EF2D71"/>
    <w:rsid w:val="00EF2E9A"/>
    <w:rsid w:val="00EF2F1B"/>
    <w:rsid w:val="00EF2F28"/>
    <w:rsid w:val="00EF308C"/>
    <w:rsid w:val="00EF30C6"/>
    <w:rsid w:val="00EF31B7"/>
    <w:rsid w:val="00EF31E8"/>
    <w:rsid w:val="00EF323A"/>
    <w:rsid w:val="00EF3303"/>
    <w:rsid w:val="00EF331D"/>
    <w:rsid w:val="00EF339A"/>
    <w:rsid w:val="00EF33BF"/>
    <w:rsid w:val="00EF33E5"/>
    <w:rsid w:val="00EF35E1"/>
    <w:rsid w:val="00EF3633"/>
    <w:rsid w:val="00EF3696"/>
    <w:rsid w:val="00EF36D6"/>
    <w:rsid w:val="00EF37B6"/>
    <w:rsid w:val="00EF3829"/>
    <w:rsid w:val="00EF3857"/>
    <w:rsid w:val="00EF398B"/>
    <w:rsid w:val="00EF39DC"/>
    <w:rsid w:val="00EF3A51"/>
    <w:rsid w:val="00EF3AA5"/>
    <w:rsid w:val="00EF3AC8"/>
    <w:rsid w:val="00EF3AF6"/>
    <w:rsid w:val="00EF3B0A"/>
    <w:rsid w:val="00EF3B60"/>
    <w:rsid w:val="00EF3C64"/>
    <w:rsid w:val="00EF3DB2"/>
    <w:rsid w:val="00EF3E27"/>
    <w:rsid w:val="00EF3E8D"/>
    <w:rsid w:val="00EF3F45"/>
    <w:rsid w:val="00EF4086"/>
    <w:rsid w:val="00EF408C"/>
    <w:rsid w:val="00EF410E"/>
    <w:rsid w:val="00EF4287"/>
    <w:rsid w:val="00EF43B1"/>
    <w:rsid w:val="00EF43D3"/>
    <w:rsid w:val="00EF440B"/>
    <w:rsid w:val="00EF4552"/>
    <w:rsid w:val="00EF46D5"/>
    <w:rsid w:val="00EF47A9"/>
    <w:rsid w:val="00EF48D4"/>
    <w:rsid w:val="00EF4955"/>
    <w:rsid w:val="00EF49CB"/>
    <w:rsid w:val="00EF49DC"/>
    <w:rsid w:val="00EF4A06"/>
    <w:rsid w:val="00EF4AE6"/>
    <w:rsid w:val="00EF4BEB"/>
    <w:rsid w:val="00EF4C3D"/>
    <w:rsid w:val="00EF4E2D"/>
    <w:rsid w:val="00EF4EBF"/>
    <w:rsid w:val="00EF4FA2"/>
    <w:rsid w:val="00EF4FDE"/>
    <w:rsid w:val="00EF5151"/>
    <w:rsid w:val="00EF52A7"/>
    <w:rsid w:val="00EF52D5"/>
    <w:rsid w:val="00EF555E"/>
    <w:rsid w:val="00EF5643"/>
    <w:rsid w:val="00EF56B0"/>
    <w:rsid w:val="00EF581C"/>
    <w:rsid w:val="00EF58C3"/>
    <w:rsid w:val="00EF598E"/>
    <w:rsid w:val="00EF5ADF"/>
    <w:rsid w:val="00EF5AE8"/>
    <w:rsid w:val="00EF5CD4"/>
    <w:rsid w:val="00EF5D64"/>
    <w:rsid w:val="00EF5E4B"/>
    <w:rsid w:val="00EF5ED3"/>
    <w:rsid w:val="00EF5F1E"/>
    <w:rsid w:val="00EF6030"/>
    <w:rsid w:val="00EF6031"/>
    <w:rsid w:val="00EF60A2"/>
    <w:rsid w:val="00EF61AD"/>
    <w:rsid w:val="00EF6424"/>
    <w:rsid w:val="00EF6437"/>
    <w:rsid w:val="00EF645C"/>
    <w:rsid w:val="00EF673B"/>
    <w:rsid w:val="00EF6816"/>
    <w:rsid w:val="00EF681A"/>
    <w:rsid w:val="00EF69CB"/>
    <w:rsid w:val="00EF6A4D"/>
    <w:rsid w:val="00EF6AC3"/>
    <w:rsid w:val="00EF6B6F"/>
    <w:rsid w:val="00EF6BE1"/>
    <w:rsid w:val="00EF6C2B"/>
    <w:rsid w:val="00EF6C48"/>
    <w:rsid w:val="00EF6CF3"/>
    <w:rsid w:val="00EF6DE0"/>
    <w:rsid w:val="00EF6EF0"/>
    <w:rsid w:val="00EF7032"/>
    <w:rsid w:val="00EF70D5"/>
    <w:rsid w:val="00EF70E9"/>
    <w:rsid w:val="00EF70F0"/>
    <w:rsid w:val="00EF70F9"/>
    <w:rsid w:val="00EF722C"/>
    <w:rsid w:val="00EF7255"/>
    <w:rsid w:val="00EF726B"/>
    <w:rsid w:val="00EF727A"/>
    <w:rsid w:val="00EF72FF"/>
    <w:rsid w:val="00EF7393"/>
    <w:rsid w:val="00EF73AD"/>
    <w:rsid w:val="00EF742A"/>
    <w:rsid w:val="00EF74F8"/>
    <w:rsid w:val="00EF7576"/>
    <w:rsid w:val="00EF764F"/>
    <w:rsid w:val="00EF7982"/>
    <w:rsid w:val="00EF798E"/>
    <w:rsid w:val="00EF7ACE"/>
    <w:rsid w:val="00EF7AFC"/>
    <w:rsid w:val="00EF7B0B"/>
    <w:rsid w:val="00EF7BE0"/>
    <w:rsid w:val="00EF7CDA"/>
    <w:rsid w:val="00EF7EDD"/>
    <w:rsid w:val="00EF7F6F"/>
    <w:rsid w:val="00EF7F86"/>
    <w:rsid w:val="00F00068"/>
    <w:rsid w:val="00F000AB"/>
    <w:rsid w:val="00F0010D"/>
    <w:rsid w:val="00F00282"/>
    <w:rsid w:val="00F002B1"/>
    <w:rsid w:val="00F00351"/>
    <w:rsid w:val="00F004FD"/>
    <w:rsid w:val="00F00720"/>
    <w:rsid w:val="00F0084D"/>
    <w:rsid w:val="00F008A5"/>
    <w:rsid w:val="00F009F0"/>
    <w:rsid w:val="00F00A04"/>
    <w:rsid w:val="00F00AAD"/>
    <w:rsid w:val="00F00B49"/>
    <w:rsid w:val="00F00B97"/>
    <w:rsid w:val="00F00DB5"/>
    <w:rsid w:val="00F00E7A"/>
    <w:rsid w:val="00F00F6F"/>
    <w:rsid w:val="00F01027"/>
    <w:rsid w:val="00F0114C"/>
    <w:rsid w:val="00F0119E"/>
    <w:rsid w:val="00F011AA"/>
    <w:rsid w:val="00F011F3"/>
    <w:rsid w:val="00F011F7"/>
    <w:rsid w:val="00F013D7"/>
    <w:rsid w:val="00F013E2"/>
    <w:rsid w:val="00F015AD"/>
    <w:rsid w:val="00F01614"/>
    <w:rsid w:val="00F016BC"/>
    <w:rsid w:val="00F016ED"/>
    <w:rsid w:val="00F0175D"/>
    <w:rsid w:val="00F017CA"/>
    <w:rsid w:val="00F01815"/>
    <w:rsid w:val="00F018C8"/>
    <w:rsid w:val="00F01949"/>
    <w:rsid w:val="00F01A4A"/>
    <w:rsid w:val="00F01A8C"/>
    <w:rsid w:val="00F01ABB"/>
    <w:rsid w:val="00F01AC1"/>
    <w:rsid w:val="00F01B10"/>
    <w:rsid w:val="00F01B73"/>
    <w:rsid w:val="00F01BED"/>
    <w:rsid w:val="00F01C6C"/>
    <w:rsid w:val="00F01D56"/>
    <w:rsid w:val="00F01F05"/>
    <w:rsid w:val="00F01F09"/>
    <w:rsid w:val="00F01F8A"/>
    <w:rsid w:val="00F020D3"/>
    <w:rsid w:val="00F021EA"/>
    <w:rsid w:val="00F02231"/>
    <w:rsid w:val="00F0232D"/>
    <w:rsid w:val="00F02358"/>
    <w:rsid w:val="00F02392"/>
    <w:rsid w:val="00F023CF"/>
    <w:rsid w:val="00F024A4"/>
    <w:rsid w:val="00F024B6"/>
    <w:rsid w:val="00F02619"/>
    <w:rsid w:val="00F0267C"/>
    <w:rsid w:val="00F026AE"/>
    <w:rsid w:val="00F026FC"/>
    <w:rsid w:val="00F0279D"/>
    <w:rsid w:val="00F027C0"/>
    <w:rsid w:val="00F02828"/>
    <w:rsid w:val="00F02871"/>
    <w:rsid w:val="00F029F4"/>
    <w:rsid w:val="00F02A16"/>
    <w:rsid w:val="00F02A62"/>
    <w:rsid w:val="00F02AEF"/>
    <w:rsid w:val="00F02B1F"/>
    <w:rsid w:val="00F02B27"/>
    <w:rsid w:val="00F02B38"/>
    <w:rsid w:val="00F02C26"/>
    <w:rsid w:val="00F02C4E"/>
    <w:rsid w:val="00F02C93"/>
    <w:rsid w:val="00F02CBD"/>
    <w:rsid w:val="00F02DC0"/>
    <w:rsid w:val="00F02E15"/>
    <w:rsid w:val="00F02E1E"/>
    <w:rsid w:val="00F02E73"/>
    <w:rsid w:val="00F02EB7"/>
    <w:rsid w:val="00F02F90"/>
    <w:rsid w:val="00F03126"/>
    <w:rsid w:val="00F0315E"/>
    <w:rsid w:val="00F031D5"/>
    <w:rsid w:val="00F03220"/>
    <w:rsid w:val="00F03222"/>
    <w:rsid w:val="00F03237"/>
    <w:rsid w:val="00F03250"/>
    <w:rsid w:val="00F032B3"/>
    <w:rsid w:val="00F032D6"/>
    <w:rsid w:val="00F0345F"/>
    <w:rsid w:val="00F03470"/>
    <w:rsid w:val="00F034B9"/>
    <w:rsid w:val="00F03600"/>
    <w:rsid w:val="00F03607"/>
    <w:rsid w:val="00F03740"/>
    <w:rsid w:val="00F038C8"/>
    <w:rsid w:val="00F03940"/>
    <w:rsid w:val="00F03978"/>
    <w:rsid w:val="00F0398B"/>
    <w:rsid w:val="00F03B48"/>
    <w:rsid w:val="00F03B81"/>
    <w:rsid w:val="00F03CFD"/>
    <w:rsid w:val="00F03D64"/>
    <w:rsid w:val="00F03D70"/>
    <w:rsid w:val="00F03D82"/>
    <w:rsid w:val="00F03F7A"/>
    <w:rsid w:val="00F04169"/>
    <w:rsid w:val="00F041B8"/>
    <w:rsid w:val="00F041E1"/>
    <w:rsid w:val="00F0429D"/>
    <w:rsid w:val="00F042CC"/>
    <w:rsid w:val="00F04405"/>
    <w:rsid w:val="00F044CB"/>
    <w:rsid w:val="00F0459F"/>
    <w:rsid w:val="00F045B9"/>
    <w:rsid w:val="00F045CC"/>
    <w:rsid w:val="00F04669"/>
    <w:rsid w:val="00F047B6"/>
    <w:rsid w:val="00F04A4C"/>
    <w:rsid w:val="00F04AF9"/>
    <w:rsid w:val="00F04B47"/>
    <w:rsid w:val="00F04C07"/>
    <w:rsid w:val="00F04D4B"/>
    <w:rsid w:val="00F04D79"/>
    <w:rsid w:val="00F04D86"/>
    <w:rsid w:val="00F04DB0"/>
    <w:rsid w:val="00F04DEF"/>
    <w:rsid w:val="00F04F01"/>
    <w:rsid w:val="00F051D0"/>
    <w:rsid w:val="00F054AE"/>
    <w:rsid w:val="00F0566E"/>
    <w:rsid w:val="00F05672"/>
    <w:rsid w:val="00F056C6"/>
    <w:rsid w:val="00F056FB"/>
    <w:rsid w:val="00F05916"/>
    <w:rsid w:val="00F0591F"/>
    <w:rsid w:val="00F05951"/>
    <w:rsid w:val="00F05981"/>
    <w:rsid w:val="00F059A9"/>
    <w:rsid w:val="00F059E1"/>
    <w:rsid w:val="00F05A5B"/>
    <w:rsid w:val="00F05A8E"/>
    <w:rsid w:val="00F05ACF"/>
    <w:rsid w:val="00F05B68"/>
    <w:rsid w:val="00F05D24"/>
    <w:rsid w:val="00F05D65"/>
    <w:rsid w:val="00F05D7A"/>
    <w:rsid w:val="00F06086"/>
    <w:rsid w:val="00F06123"/>
    <w:rsid w:val="00F061AA"/>
    <w:rsid w:val="00F061AB"/>
    <w:rsid w:val="00F0623B"/>
    <w:rsid w:val="00F0625B"/>
    <w:rsid w:val="00F0628A"/>
    <w:rsid w:val="00F06464"/>
    <w:rsid w:val="00F06498"/>
    <w:rsid w:val="00F0652C"/>
    <w:rsid w:val="00F06660"/>
    <w:rsid w:val="00F067C0"/>
    <w:rsid w:val="00F0680D"/>
    <w:rsid w:val="00F06921"/>
    <w:rsid w:val="00F06982"/>
    <w:rsid w:val="00F06999"/>
    <w:rsid w:val="00F06A28"/>
    <w:rsid w:val="00F06A39"/>
    <w:rsid w:val="00F06A7D"/>
    <w:rsid w:val="00F06AC3"/>
    <w:rsid w:val="00F06BCC"/>
    <w:rsid w:val="00F06BCF"/>
    <w:rsid w:val="00F06BEE"/>
    <w:rsid w:val="00F06C0D"/>
    <w:rsid w:val="00F06CD4"/>
    <w:rsid w:val="00F06CD5"/>
    <w:rsid w:val="00F06CDD"/>
    <w:rsid w:val="00F06CFA"/>
    <w:rsid w:val="00F06D07"/>
    <w:rsid w:val="00F06FA4"/>
    <w:rsid w:val="00F06FEB"/>
    <w:rsid w:val="00F07011"/>
    <w:rsid w:val="00F07231"/>
    <w:rsid w:val="00F07298"/>
    <w:rsid w:val="00F07399"/>
    <w:rsid w:val="00F0740C"/>
    <w:rsid w:val="00F0742D"/>
    <w:rsid w:val="00F07480"/>
    <w:rsid w:val="00F074DD"/>
    <w:rsid w:val="00F07580"/>
    <w:rsid w:val="00F075D7"/>
    <w:rsid w:val="00F07603"/>
    <w:rsid w:val="00F0763D"/>
    <w:rsid w:val="00F078A9"/>
    <w:rsid w:val="00F079C1"/>
    <w:rsid w:val="00F07A57"/>
    <w:rsid w:val="00F07C17"/>
    <w:rsid w:val="00F07C5D"/>
    <w:rsid w:val="00F07CDE"/>
    <w:rsid w:val="00F07DCF"/>
    <w:rsid w:val="00F07E80"/>
    <w:rsid w:val="00F07EAB"/>
    <w:rsid w:val="00F07F52"/>
    <w:rsid w:val="00F10007"/>
    <w:rsid w:val="00F100A6"/>
    <w:rsid w:val="00F1016F"/>
    <w:rsid w:val="00F101FC"/>
    <w:rsid w:val="00F102DD"/>
    <w:rsid w:val="00F102F2"/>
    <w:rsid w:val="00F102F3"/>
    <w:rsid w:val="00F10325"/>
    <w:rsid w:val="00F10360"/>
    <w:rsid w:val="00F10368"/>
    <w:rsid w:val="00F1039C"/>
    <w:rsid w:val="00F1043C"/>
    <w:rsid w:val="00F1055C"/>
    <w:rsid w:val="00F10587"/>
    <w:rsid w:val="00F10680"/>
    <w:rsid w:val="00F106BC"/>
    <w:rsid w:val="00F106EB"/>
    <w:rsid w:val="00F10742"/>
    <w:rsid w:val="00F10758"/>
    <w:rsid w:val="00F10768"/>
    <w:rsid w:val="00F107D0"/>
    <w:rsid w:val="00F10854"/>
    <w:rsid w:val="00F108FD"/>
    <w:rsid w:val="00F10ACF"/>
    <w:rsid w:val="00F10B73"/>
    <w:rsid w:val="00F10C7C"/>
    <w:rsid w:val="00F10CBF"/>
    <w:rsid w:val="00F10D06"/>
    <w:rsid w:val="00F10D15"/>
    <w:rsid w:val="00F10D2C"/>
    <w:rsid w:val="00F10EF5"/>
    <w:rsid w:val="00F10F79"/>
    <w:rsid w:val="00F10FAF"/>
    <w:rsid w:val="00F110DF"/>
    <w:rsid w:val="00F11137"/>
    <w:rsid w:val="00F1114C"/>
    <w:rsid w:val="00F1116E"/>
    <w:rsid w:val="00F111BC"/>
    <w:rsid w:val="00F111D7"/>
    <w:rsid w:val="00F111EC"/>
    <w:rsid w:val="00F11226"/>
    <w:rsid w:val="00F11258"/>
    <w:rsid w:val="00F11270"/>
    <w:rsid w:val="00F1135B"/>
    <w:rsid w:val="00F11396"/>
    <w:rsid w:val="00F1152E"/>
    <w:rsid w:val="00F11644"/>
    <w:rsid w:val="00F11656"/>
    <w:rsid w:val="00F11670"/>
    <w:rsid w:val="00F116AC"/>
    <w:rsid w:val="00F1178C"/>
    <w:rsid w:val="00F11809"/>
    <w:rsid w:val="00F1196F"/>
    <w:rsid w:val="00F1198F"/>
    <w:rsid w:val="00F119CA"/>
    <w:rsid w:val="00F11A48"/>
    <w:rsid w:val="00F11ACB"/>
    <w:rsid w:val="00F11B66"/>
    <w:rsid w:val="00F11BAD"/>
    <w:rsid w:val="00F11E63"/>
    <w:rsid w:val="00F11EF2"/>
    <w:rsid w:val="00F11F66"/>
    <w:rsid w:val="00F11F76"/>
    <w:rsid w:val="00F1220F"/>
    <w:rsid w:val="00F12212"/>
    <w:rsid w:val="00F12221"/>
    <w:rsid w:val="00F12247"/>
    <w:rsid w:val="00F12341"/>
    <w:rsid w:val="00F1236E"/>
    <w:rsid w:val="00F1239A"/>
    <w:rsid w:val="00F125AC"/>
    <w:rsid w:val="00F125CE"/>
    <w:rsid w:val="00F12623"/>
    <w:rsid w:val="00F12703"/>
    <w:rsid w:val="00F1277C"/>
    <w:rsid w:val="00F1285A"/>
    <w:rsid w:val="00F12961"/>
    <w:rsid w:val="00F129C6"/>
    <w:rsid w:val="00F12A29"/>
    <w:rsid w:val="00F12A7D"/>
    <w:rsid w:val="00F12A82"/>
    <w:rsid w:val="00F12AF9"/>
    <w:rsid w:val="00F12BBD"/>
    <w:rsid w:val="00F12BFB"/>
    <w:rsid w:val="00F12C9C"/>
    <w:rsid w:val="00F12D22"/>
    <w:rsid w:val="00F12D45"/>
    <w:rsid w:val="00F12EAE"/>
    <w:rsid w:val="00F12ED8"/>
    <w:rsid w:val="00F12EFB"/>
    <w:rsid w:val="00F1305A"/>
    <w:rsid w:val="00F13118"/>
    <w:rsid w:val="00F133A7"/>
    <w:rsid w:val="00F13448"/>
    <w:rsid w:val="00F134CA"/>
    <w:rsid w:val="00F13534"/>
    <w:rsid w:val="00F135F2"/>
    <w:rsid w:val="00F136FA"/>
    <w:rsid w:val="00F1379D"/>
    <w:rsid w:val="00F137BA"/>
    <w:rsid w:val="00F137DF"/>
    <w:rsid w:val="00F13880"/>
    <w:rsid w:val="00F139EF"/>
    <w:rsid w:val="00F13B3D"/>
    <w:rsid w:val="00F13BB3"/>
    <w:rsid w:val="00F13C0D"/>
    <w:rsid w:val="00F13C1A"/>
    <w:rsid w:val="00F13D3F"/>
    <w:rsid w:val="00F13D4C"/>
    <w:rsid w:val="00F13E1A"/>
    <w:rsid w:val="00F13E2F"/>
    <w:rsid w:val="00F13ED2"/>
    <w:rsid w:val="00F13F05"/>
    <w:rsid w:val="00F141D5"/>
    <w:rsid w:val="00F141F7"/>
    <w:rsid w:val="00F14497"/>
    <w:rsid w:val="00F144AB"/>
    <w:rsid w:val="00F144BC"/>
    <w:rsid w:val="00F144F6"/>
    <w:rsid w:val="00F145B9"/>
    <w:rsid w:val="00F145EF"/>
    <w:rsid w:val="00F1464D"/>
    <w:rsid w:val="00F14711"/>
    <w:rsid w:val="00F147EF"/>
    <w:rsid w:val="00F14822"/>
    <w:rsid w:val="00F1495B"/>
    <w:rsid w:val="00F14A5C"/>
    <w:rsid w:val="00F14DC0"/>
    <w:rsid w:val="00F14E86"/>
    <w:rsid w:val="00F14EB9"/>
    <w:rsid w:val="00F14FBD"/>
    <w:rsid w:val="00F15102"/>
    <w:rsid w:val="00F1512D"/>
    <w:rsid w:val="00F1518C"/>
    <w:rsid w:val="00F1523B"/>
    <w:rsid w:val="00F1537F"/>
    <w:rsid w:val="00F153C7"/>
    <w:rsid w:val="00F15600"/>
    <w:rsid w:val="00F156C1"/>
    <w:rsid w:val="00F1583A"/>
    <w:rsid w:val="00F158CF"/>
    <w:rsid w:val="00F158D6"/>
    <w:rsid w:val="00F15939"/>
    <w:rsid w:val="00F1596B"/>
    <w:rsid w:val="00F15B07"/>
    <w:rsid w:val="00F15B9B"/>
    <w:rsid w:val="00F15C34"/>
    <w:rsid w:val="00F15DCF"/>
    <w:rsid w:val="00F15E27"/>
    <w:rsid w:val="00F15E2D"/>
    <w:rsid w:val="00F15E4B"/>
    <w:rsid w:val="00F15EAA"/>
    <w:rsid w:val="00F15F5C"/>
    <w:rsid w:val="00F15F6A"/>
    <w:rsid w:val="00F15F75"/>
    <w:rsid w:val="00F15FA2"/>
    <w:rsid w:val="00F15FB1"/>
    <w:rsid w:val="00F15FBB"/>
    <w:rsid w:val="00F16066"/>
    <w:rsid w:val="00F1608D"/>
    <w:rsid w:val="00F160D2"/>
    <w:rsid w:val="00F16217"/>
    <w:rsid w:val="00F16236"/>
    <w:rsid w:val="00F1624F"/>
    <w:rsid w:val="00F162E4"/>
    <w:rsid w:val="00F16339"/>
    <w:rsid w:val="00F16371"/>
    <w:rsid w:val="00F16475"/>
    <w:rsid w:val="00F1654B"/>
    <w:rsid w:val="00F1660A"/>
    <w:rsid w:val="00F16754"/>
    <w:rsid w:val="00F16797"/>
    <w:rsid w:val="00F1689F"/>
    <w:rsid w:val="00F16962"/>
    <w:rsid w:val="00F16A31"/>
    <w:rsid w:val="00F16C35"/>
    <w:rsid w:val="00F16E30"/>
    <w:rsid w:val="00F16F33"/>
    <w:rsid w:val="00F16F57"/>
    <w:rsid w:val="00F16F96"/>
    <w:rsid w:val="00F1708D"/>
    <w:rsid w:val="00F170BA"/>
    <w:rsid w:val="00F17169"/>
    <w:rsid w:val="00F171C0"/>
    <w:rsid w:val="00F173EB"/>
    <w:rsid w:val="00F17442"/>
    <w:rsid w:val="00F1765F"/>
    <w:rsid w:val="00F17874"/>
    <w:rsid w:val="00F17878"/>
    <w:rsid w:val="00F17891"/>
    <w:rsid w:val="00F179C3"/>
    <w:rsid w:val="00F17A54"/>
    <w:rsid w:val="00F17BB7"/>
    <w:rsid w:val="00F17BCF"/>
    <w:rsid w:val="00F17C06"/>
    <w:rsid w:val="00F17C50"/>
    <w:rsid w:val="00F17C5D"/>
    <w:rsid w:val="00F17C79"/>
    <w:rsid w:val="00F17E22"/>
    <w:rsid w:val="00F17E46"/>
    <w:rsid w:val="00F17E69"/>
    <w:rsid w:val="00F17E91"/>
    <w:rsid w:val="00F17F10"/>
    <w:rsid w:val="00F17F93"/>
    <w:rsid w:val="00F20052"/>
    <w:rsid w:val="00F20108"/>
    <w:rsid w:val="00F20141"/>
    <w:rsid w:val="00F20231"/>
    <w:rsid w:val="00F20240"/>
    <w:rsid w:val="00F2028E"/>
    <w:rsid w:val="00F203D3"/>
    <w:rsid w:val="00F20451"/>
    <w:rsid w:val="00F2051B"/>
    <w:rsid w:val="00F20753"/>
    <w:rsid w:val="00F20756"/>
    <w:rsid w:val="00F20761"/>
    <w:rsid w:val="00F20884"/>
    <w:rsid w:val="00F208AB"/>
    <w:rsid w:val="00F20A6D"/>
    <w:rsid w:val="00F20ADA"/>
    <w:rsid w:val="00F20BAF"/>
    <w:rsid w:val="00F20BBD"/>
    <w:rsid w:val="00F20C1A"/>
    <w:rsid w:val="00F20CA2"/>
    <w:rsid w:val="00F20D98"/>
    <w:rsid w:val="00F20E32"/>
    <w:rsid w:val="00F20F1C"/>
    <w:rsid w:val="00F20FFC"/>
    <w:rsid w:val="00F21036"/>
    <w:rsid w:val="00F211AA"/>
    <w:rsid w:val="00F21233"/>
    <w:rsid w:val="00F2126B"/>
    <w:rsid w:val="00F21280"/>
    <w:rsid w:val="00F21298"/>
    <w:rsid w:val="00F2134E"/>
    <w:rsid w:val="00F213AA"/>
    <w:rsid w:val="00F21436"/>
    <w:rsid w:val="00F21463"/>
    <w:rsid w:val="00F21676"/>
    <w:rsid w:val="00F21695"/>
    <w:rsid w:val="00F216BC"/>
    <w:rsid w:val="00F21832"/>
    <w:rsid w:val="00F21913"/>
    <w:rsid w:val="00F21958"/>
    <w:rsid w:val="00F21975"/>
    <w:rsid w:val="00F21A4C"/>
    <w:rsid w:val="00F21B42"/>
    <w:rsid w:val="00F21B6D"/>
    <w:rsid w:val="00F21B85"/>
    <w:rsid w:val="00F21BC8"/>
    <w:rsid w:val="00F21BF2"/>
    <w:rsid w:val="00F21C93"/>
    <w:rsid w:val="00F21CEE"/>
    <w:rsid w:val="00F21D96"/>
    <w:rsid w:val="00F21DDE"/>
    <w:rsid w:val="00F21E86"/>
    <w:rsid w:val="00F21EE7"/>
    <w:rsid w:val="00F2205D"/>
    <w:rsid w:val="00F220C0"/>
    <w:rsid w:val="00F2225E"/>
    <w:rsid w:val="00F223C8"/>
    <w:rsid w:val="00F224BB"/>
    <w:rsid w:val="00F224D8"/>
    <w:rsid w:val="00F2250D"/>
    <w:rsid w:val="00F2251B"/>
    <w:rsid w:val="00F22587"/>
    <w:rsid w:val="00F22747"/>
    <w:rsid w:val="00F2286E"/>
    <w:rsid w:val="00F22883"/>
    <w:rsid w:val="00F22962"/>
    <w:rsid w:val="00F2298C"/>
    <w:rsid w:val="00F22AA9"/>
    <w:rsid w:val="00F22B8C"/>
    <w:rsid w:val="00F22C91"/>
    <w:rsid w:val="00F22CA8"/>
    <w:rsid w:val="00F22DB4"/>
    <w:rsid w:val="00F2308D"/>
    <w:rsid w:val="00F231E2"/>
    <w:rsid w:val="00F23255"/>
    <w:rsid w:val="00F23266"/>
    <w:rsid w:val="00F23276"/>
    <w:rsid w:val="00F23295"/>
    <w:rsid w:val="00F232F8"/>
    <w:rsid w:val="00F23337"/>
    <w:rsid w:val="00F233DE"/>
    <w:rsid w:val="00F23463"/>
    <w:rsid w:val="00F2348A"/>
    <w:rsid w:val="00F236A3"/>
    <w:rsid w:val="00F23827"/>
    <w:rsid w:val="00F23849"/>
    <w:rsid w:val="00F23872"/>
    <w:rsid w:val="00F238A9"/>
    <w:rsid w:val="00F23ABD"/>
    <w:rsid w:val="00F23AE7"/>
    <w:rsid w:val="00F23B00"/>
    <w:rsid w:val="00F23B70"/>
    <w:rsid w:val="00F23CD1"/>
    <w:rsid w:val="00F23D3B"/>
    <w:rsid w:val="00F23E51"/>
    <w:rsid w:val="00F23F2C"/>
    <w:rsid w:val="00F2424D"/>
    <w:rsid w:val="00F242F4"/>
    <w:rsid w:val="00F245EA"/>
    <w:rsid w:val="00F245F4"/>
    <w:rsid w:val="00F24639"/>
    <w:rsid w:val="00F24748"/>
    <w:rsid w:val="00F24755"/>
    <w:rsid w:val="00F24757"/>
    <w:rsid w:val="00F247FC"/>
    <w:rsid w:val="00F24806"/>
    <w:rsid w:val="00F24884"/>
    <w:rsid w:val="00F24A5E"/>
    <w:rsid w:val="00F24B65"/>
    <w:rsid w:val="00F24C40"/>
    <w:rsid w:val="00F24C44"/>
    <w:rsid w:val="00F24C66"/>
    <w:rsid w:val="00F24D2A"/>
    <w:rsid w:val="00F24D49"/>
    <w:rsid w:val="00F24D8D"/>
    <w:rsid w:val="00F24E34"/>
    <w:rsid w:val="00F24F6E"/>
    <w:rsid w:val="00F24FA7"/>
    <w:rsid w:val="00F250A2"/>
    <w:rsid w:val="00F252FE"/>
    <w:rsid w:val="00F25356"/>
    <w:rsid w:val="00F2547A"/>
    <w:rsid w:val="00F25558"/>
    <w:rsid w:val="00F25566"/>
    <w:rsid w:val="00F256FE"/>
    <w:rsid w:val="00F2572C"/>
    <w:rsid w:val="00F25747"/>
    <w:rsid w:val="00F257ED"/>
    <w:rsid w:val="00F25935"/>
    <w:rsid w:val="00F259CD"/>
    <w:rsid w:val="00F25A6E"/>
    <w:rsid w:val="00F25AC9"/>
    <w:rsid w:val="00F25AE5"/>
    <w:rsid w:val="00F25B8D"/>
    <w:rsid w:val="00F25D14"/>
    <w:rsid w:val="00F25D6F"/>
    <w:rsid w:val="00F25DEF"/>
    <w:rsid w:val="00F25E79"/>
    <w:rsid w:val="00F261F9"/>
    <w:rsid w:val="00F263F9"/>
    <w:rsid w:val="00F26407"/>
    <w:rsid w:val="00F2652E"/>
    <w:rsid w:val="00F2655A"/>
    <w:rsid w:val="00F2655D"/>
    <w:rsid w:val="00F265B9"/>
    <w:rsid w:val="00F265D7"/>
    <w:rsid w:val="00F266E4"/>
    <w:rsid w:val="00F267C4"/>
    <w:rsid w:val="00F268D0"/>
    <w:rsid w:val="00F2693C"/>
    <w:rsid w:val="00F269D7"/>
    <w:rsid w:val="00F26A2E"/>
    <w:rsid w:val="00F26AFF"/>
    <w:rsid w:val="00F26B13"/>
    <w:rsid w:val="00F26BDE"/>
    <w:rsid w:val="00F26C02"/>
    <w:rsid w:val="00F26C1F"/>
    <w:rsid w:val="00F26DD0"/>
    <w:rsid w:val="00F26EB2"/>
    <w:rsid w:val="00F27057"/>
    <w:rsid w:val="00F270E7"/>
    <w:rsid w:val="00F27108"/>
    <w:rsid w:val="00F2720D"/>
    <w:rsid w:val="00F2734C"/>
    <w:rsid w:val="00F2737A"/>
    <w:rsid w:val="00F273CA"/>
    <w:rsid w:val="00F27549"/>
    <w:rsid w:val="00F27597"/>
    <w:rsid w:val="00F276A3"/>
    <w:rsid w:val="00F276BC"/>
    <w:rsid w:val="00F27750"/>
    <w:rsid w:val="00F27770"/>
    <w:rsid w:val="00F2783B"/>
    <w:rsid w:val="00F278E5"/>
    <w:rsid w:val="00F278EB"/>
    <w:rsid w:val="00F2791F"/>
    <w:rsid w:val="00F2799C"/>
    <w:rsid w:val="00F279D2"/>
    <w:rsid w:val="00F27A45"/>
    <w:rsid w:val="00F27B0F"/>
    <w:rsid w:val="00F27D39"/>
    <w:rsid w:val="00F27E3C"/>
    <w:rsid w:val="00F27E50"/>
    <w:rsid w:val="00F27EE8"/>
    <w:rsid w:val="00F27F48"/>
    <w:rsid w:val="00F27FAB"/>
    <w:rsid w:val="00F27FDA"/>
    <w:rsid w:val="00F30172"/>
    <w:rsid w:val="00F3018A"/>
    <w:rsid w:val="00F30216"/>
    <w:rsid w:val="00F302A9"/>
    <w:rsid w:val="00F302AE"/>
    <w:rsid w:val="00F30343"/>
    <w:rsid w:val="00F3035D"/>
    <w:rsid w:val="00F30377"/>
    <w:rsid w:val="00F30579"/>
    <w:rsid w:val="00F3059C"/>
    <w:rsid w:val="00F305D7"/>
    <w:rsid w:val="00F305DA"/>
    <w:rsid w:val="00F306C6"/>
    <w:rsid w:val="00F30819"/>
    <w:rsid w:val="00F3081C"/>
    <w:rsid w:val="00F30973"/>
    <w:rsid w:val="00F309B9"/>
    <w:rsid w:val="00F309C2"/>
    <w:rsid w:val="00F309DE"/>
    <w:rsid w:val="00F30AA7"/>
    <w:rsid w:val="00F30AC4"/>
    <w:rsid w:val="00F30B31"/>
    <w:rsid w:val="00F30C76"/>
    <w:rsid w:val="00F30DDC"/>
    <w:rsid w:val="00F30E72"/>
    <w:rsid w:val="00F31021"/>
    <w:rsid w:val="00F3106B"/>
    <w:rsid w:val="00F310D3"/>
    <w:rsid w:val="00F3111E"/>
    <w:rsid w:val="00F31276"/>
    <w:rsid w:val="00F312A4"/>
    <w:rsid w:val="00F31301"/>
    <w:rsid w:val="00F31315"/>
    <w:rsid w:val="00F3137B"/>
    <w:rsid w:val="00F3150F"/>
    <w:rsid w:val="00F3157F"/>
    <w:rsid w:val="00F315C2"/>
    <w:rsid w:val="00F3177A"/>
    <w:rsid w:val="00F3179A"/>
    <w:rsid w:val="00F3181D"/>
    <w:rsid w:val="00F3191E"/>
    <w:rsid w:val="00F31940"/>
    <w:rsid w:val="00F319AC"/>
    <w:rsid w:val="00F31A05"/>
    <w:rsid w:val="00F31A9C"/>
    <w:rsid w:val="00F31D4A"/>
    <w:rsid w:val="00F31D9B"/>
    <w:rsid w:val="00F31DBA"/>
    <w:rsid w:val="00F31EEE"/>
    <w:rsid w:val="00F31F14"/>
    <w:rsid w:val="00F31FFA"/>
    <w:rsid w:val="00F32032"/>
    <w:rsid w:val="00F3217A"/>
    <w:rsid w:val="00F3221D"/>
    <w:rsid w:val="00F324E2"/>
    <w:rsid w:val="00F324FC"/>
    <w:rsid w:val="00F325F3"/>
    <w:rsid w:val="00F32702"/>
    <w:rsid w:val="00F3275D"/>
    <w:rsid w:val="00F32981"/>
    <w:rsid w:val="00F32BBB"/>
    <w:rsid w:val="00F32CFA"/>
    <w:rsid w:val="00F32D56"/>
    <w:rsid w:val="00F32DBD"/>
    <w:rsid w:val="00F32E56"/>
    <w:rsid w:val="00F32EA9"/>
    <w:rsid w:val="00F33036"/>
    <w:rsid w:val="00F33084"/>
    <w:rsid w:val="00F33163"/>
    <w:rsid w:val="00F331FE"/>
    <w:rsid w:val="00F33341"/>
    <w:rsid w:val="00F33343"/>
    <w:rsid w:val="00F33394"/>
    <w:rsid w:val="00F3343B"/>
    <w:rsid w:val="00F334B6"/>
    <w:rsid w:val="00F334FB"/>
    <w:rsid w:val="00F33544"/>
    <w:rsid w:val="00F338AC"/>
    <w:rsid w:val="00F338CE"/>
    <w:rsid w:val="00F33B2E"/>
    <w:rsid w:val="00F33BE3"/>
    <w:rsid w:val="00F33C49"/>
    <w:rsid w:val="00F33DAB"/>
    <w:rsid w:val="00F33DC2"/>
    <w:rsid w:val="00F34074"/>
    <w:rsid w:val="00F340A6"/>
    <w:rsid w:val="00F340B5"/>
    <w:rsid w:val="00F3415D"/>
    <w:rsid w:val="00F34287"/>
    <w:rsid w:val="00F342ED"/>
    <w:rsid w:val="00F342EF"/>
    <w:rsid w:val="00F34308"/>
    <w:rsid w:val="00F34404"/>
    <w:rsid w:val="00F34427"/>
    <w:rsid w:val="00F34443"/>
    <w:rsid w:val="00F34453"/>
    <w:rsid w:val="00F34489"/>
    <w:rsid w:val="00F344A9"/>
    <w:rsid w:val="00F34513"/>
    <w:rsid w:val="00F3456A"/>
    <w:rsid w:val="00F34572"/>
    <w:rsid w:val="00F345BD"/>
    <w:rsid w:val="00F345DE"/>
    <w:rsid w:val="00F345E3"/>
    <w:rsid w:val="00F345F2"/>
    <w:rsid w:val="00F34649"/>
    <w:rsid w:val="00F34667"/>
    <w:rsid w:val="00F34758"/>
    <w:rsid w:val="00F347EA"/>
    <w:rsid w:val="00F348D5"/>
    <w:rsid w:val="00F3498C"/>
    <w:rsid w:val="00F34992"/>
    <w:rsid w:val="00F34B80"/>
    <w:rsid w:val="00F34C0E"/>
    <w:rsid w:val="00F34CD3"/>
    <w:rsid w:val="00F34D38"/>
    <w:rsid w:val="00F34D70"/>
    <w:rsid w:val="00F34E60"/>
    <w:rsid w:val="00F34F5E"/>
    <w:rsid w:val="00F35016"/>
    <w:rsid w:val="00F3526E"/>
    <w:rsid w:val="00F35292"/>
    <w:rsid w:val="00F3534E"/>
    <w:rsid w:val="00F35579"/>
    <w:rsid w:val="00F3579A"/>
    <w:rsid w:val="00F357A9"/>
    <w:rsid w:val="00F3580C"/>
    <w:rsid w:val="00F35812"/>
    <w:rsid w:val="00F35815"/>
    <w:rsid w:val="00F35857"/>
    <w:rsid w:val="00F359EB"/>
    <w:rsid w:val="00F35A12"/>
    <w:rsid w:val="00F35BBC"/>
    <w:rsid w:val="00F35C01"/>
    <w:rsid w:val="00F35CB1"/>
    <w:rsid w:val="00F35E6C"/>
    <w:rsid w:val="00F35E74"/>
    <w:rsid w:val="00F35EEB"/>
    <w:rsid w:val="00F35F33"/>
    <w:rsid w:val="00F36101"/>
    <w:rsid w:val="00F36174"/>
    <w:rsid w:val="00F36281"/>
    <w:rsid w:val="00F3629E"/>
    <w:rsid w:val="00F3638D"/>
    <w:rsid w:val="00F363C2"/>
    <w:rsid w:val="00F364E4"/>
    <w:rsid w:val="00F365C1"/>
    <w:rsid w:val="00F36604"/>
    <w:rsid w:val="00F367C6"/>
    <w:rsid w:val="00F36887"/>
    <w:rsid w:val="00F36AA4"/>
    <w:rsid w:val="00F36AEB"/>
    <w:rsid w:val="00F36D0C"/>
    <w:rsid w:val="00F36DBF"/>
    <w:rsid w:val="00F36E3C"/>
    <w:rsid w:val="00F36E41"/>
    <w:rsid w:val="00F36E6A"/>
    <w:rsid w:val="00F36EF4"/>
    <w:rsid w:val="00F36F6B"/>
    <w:rsid w:val="00F36F9E"/>
    <w:rsid w:val="00F36FEF"/>
    <w:rsid w:val="00F370E8"/>
    <w:rsid w:val="00F370FA"/>
    <w:rsid w:val="00F371EC"/>
    <w:rsid w:val="00F372B8"/>
    <w:rsid w:val="00F373EE"/>
    <w:rsid w:val="00F374A2"/>
    <w:rsid w:val="00F374F5"/>
    <w:rsid w:val="00F37561"/>
    <w:rsid w:val="00F37607"/>
    <w:rsid w:val="00F376AF"/>
    <w:rsid w:val="00F37973"/>
    <w:rsid w:val="00F37A2A"/>
    <w:rsid w:val="00F37ABC"/>
    <w:rsid w:val="00F37B62"/>
    <w:rsid w:val="00F37C0C"/>
    <w:rsid w:val="00F37CF7"/>
    <w:rsid w:val="00F37EFE"/>
    <w:rsid w:val="00F37F7C"/>
    <w:rsid w:val="00F37FCB"/>
    <w:rsid w:val="00F40019"/>
    <w:rsid w:val="00F40046"/>
    <w:rsid w:val="00F4006E"/>
    <w:rsid w:val="00F40326"/>
    <w:rsid w:val="00F4035C"/>
    <w:rsid w:val="00F40381"/>
    <w:rsid w:val="00F403B6"/>
    <w:rsid w:val="00F40463"/>
    <w:rsid w:val="00F40525"/>
    <w:rsid w:val="00F4053E"/>
    <w:rsid w:val="00F406D3"/>
    <w:rsid w:val="00F40783"/>
    <w:rsid w:val="00F4082E"/>
    <w:rsid w:val="00F40846"/>
    <w:rsid w:val="00F409D3"/>
    <w:rsid w:val="00F40A6B"/>
    <w:rsid w:val="00F40B68"/>
    <w:rsid w:val="00F40BB7"/>
    <w:rsid w:val="00F40C7C"/>
    <w:rsid w:val="00F40DF9"/>
    <w:rsid w:val="00F40ED9"/>
    <w:rsid w:val="00F40EE3"/>
    <w:rsid w:val="00F40F90"/>
    <w:rsid w:val="00F410AA"/>
    <w:rsid w:val="00F410D7"/>
    <w:rsid w:val="00F410DF"/>
    <w:rsid w:val="00F411E9"/>
    <w:rsid w:val="00F411F8"/>
    <w:rsid w:val="00F41349"/>
    <w:rsid w:val="00F41402"/>
    <w:rsid w:val="00F41527"/>
    <w:rsid w:val="00F41580"/>
    <w:rsid w:val="00F41669"/>
    <w:rsid w:val="00F41729"/>
    <w:rsid w:val="00F41842"/>
    <w:rsid w:val="00F4187E"/>
    <w:rsid w:val="00F418CD"/>
    <w:rsid w:val="00F41C62"/>
    <w:rsid w:val="00F41E09"/>
    <w:rsid w:val="00F41E6B"/>
    <w:rsid w:val="00F41EB0"/>
    <w:rsid w:val="00F41F5D"/>
    <w:rsid w:val="00F41F68"/>
    <w:rsid w:val="00F4203D"/>
    <w:rsid w:val="00F42092"/>
    <w:rsid w:val="00F42188"/>
    <w:rsid w:val="00F4219E"/>
    <w:rsid w:val="00F4220E"/>
    <w:rsid w:val="00F4232C"/>
    <w:rsid w:val="00F423D6"/>
    <w:rsid w:val="00F424D3"/>
    <w:rsid w:val="00F429EC"/>
    <w:rsid w:val="00F42AAD"/>
    <w:rsid w:val="00F42B8B"/>
    <w:rsid w:val="00F42BBA"/>
    <w:rsid w:val="00F42C4A"/>
    <w:rsid w:val="00F42CB5"/>
    <w:rsid w:val="00F42D3B"/>
    <w:rsid w:val="00F42D7C"/>
    <w:rsid w:val="00F42DA2"/>
    <w:rsid w:val="00F42EB2"/>
    <w:rsid w:val="00F4305F"/>
    <w:rsid w:val="00F4316A"/>
    <w:rsid w:val="00F4318A"/>
    <w:rsid w:val="00F431E6"/>
    <w:rsid w:val="00F432E9"/>
    <w:rsid w:val="00F43379"/>
    <w:rsid w:val="00F43419"/>
    <w:rsid w:val="00F43603"/>
    <w:rsid w:val="00F43805"/>
    <w:rsid w:val="00F43849"/>
    <w:rsid w:val="00F43A97"/>
    <w:rsid w:val="00F43B5B"/>
    <w:rsid w:val="00F43B66"/>
    <w:rsid w:val="00F43B7A"/>
    <w:rsid w:val="00F43B87"/>
    <w:rsid w:val="00F43BF9"/>
    <w:rsid w:val="00F43C30"/>
    <w:rsid w:val="00F43C33"/>
    <w:rsid w:val="00F43D30"/>
    <w:rsid w:val="00F43D63"/>
    <w:rsid w:val="00F43EC6"/>
    <w:rsid w:val="00F44117"/>
    <w:rsid w:val="00F44170"/>
    <w:rsid w:val="00F44374"/>
    <w:rsid w:val="00F44387"/>
    <w:rsid w:val="00F44405"/>
    <w:rsid w:val="00F44501"/>
    <w:rsid w:val="00F44573"/>
    <w:rsid w:val="00F44594"/>
    <w:rsid w:val="00F445E4"/>
    <w:rsid w:val="00F44702"/>
    <w:rsid w:val="00F4471F"/>
    <w:rsid w:val="00F44732"/>
    <w:rsid w:val="00F44740"/>
    <w:rsid w:val="00F44745"/>
    <w:rsid w:val="00F448EC"/>
    <w:rsid w:val="00F448FF"/>
    <w:rsid w:val="00F44B30"/>
    <w:rsid w:val="00F44DE5"/>
    <w:rsid w:val="00F44DF7"/>
    <w:rsid w:val="00F45100"/>
    <w:rsid w:val="00F4515C"/>
    <w:rsid w:val="00F451AB"/>
    <w:rsid w:val="00F45232"/>
    <w:rsid w:val="00F453FC"/>
    <w:rsid w:val="00F4542B"/>
    <w:rsid w:val="00F45481"/>
    <w:rsid w:val="00F4555B"/>
    <w:rsid w:val="00F455DA"/>
    <w:rsid w:val="00F4561C"/>
    <w:rsid w:val="00F456DB"/>
    <w:rsid w:val="00F459ED"/>
    <w:rsid w:val="00F45A2A"/>
    <w:rsid w:val="00F45AA4"/>
    <w:rsid w:val="00F45CB4"/>
    <w:rsid w:val="00F45D31"/>
    <w:rsid w:val="00F45DB0"/>
    <w:rsid w:val="00F45E4F"/>
    <w:rsid w:val="00F45F98"/>
    <w:rsid w:val="00F45FD4"/>
    <w:rsid w:val="00F460DF"/>
    <w:rsid w:val="00F4613B"/>
    <w:rsid w:val="00F46177"/>
    <w:rsid w:val="00F461E0"/>
    <w:rsid w:val="00F46355"/>
    <w:rsid w:val="00F46422"/>
    <w:rsid w:val="00F46469"/>
    <w:rsid w:val="00F4649E"/>
    <w:rsid w:val="00F464B9"/>
    <w:rsid w:val="00F464C0"/>
    <w:rsid w:val="00F46504"/>
    <w:rsid w:val="00F465D9"/>
    <w:rsid w:val="00F466AA"/>
    <w:rsid w:val="00F46826"/>
    <w:rsid w:val="00F468BB"/>
    <w:rsid w:val="00F46ACC"/>
    <w:rsid w:val="00F46B21"/>
    <w:rsid w:val="00F46B22"/>
    <w:rsid w:val="00F46B58"/>
    <w:rsid w:val="00F46B6F"/>
    <w:rsid w:val="00F46CA0"/>
    <w:rsid w:val="00F46CF1"/>
    <w:rsid w:val="00F46DA7"/>
    <w:rsid w:val="00F46E5A"/>
    <w:rsid w:val="00F46F3E"/>
    <w:rsid w:val="00F470E6"/>
    <w:rsid w:val="00F471A6"/>
    <w:rsid w:val="00F471C6"/>
    <w:rsid w:val="00F47254"/>
    <w:rsid w:val="00F4726B"/>
    <w:rsid w:val="00F473B8"/>
    <w:rsid w:val="00F47527"/>
    <w:rsid w:val="00F4752D"/>
    <w:rsid w:val="00F4763B"/>
    <w:rsid w:val="00F4765E"/>
    <w:rsid w:val="00F477A7"/>
    <w:rsid w:val="00F477C9"/>
    <w:rsid w:val="00F47802"/>
    <w:rsid w:val="00F47812"/>
    <w:rsid w:val="00F47872"/>
    <w:rsid w:val="00F47885"/>
    <w:rsid w:val="00F47891"/>
    <w:rsid w:val="00F478C7"/>
    <w:rsid w:val="00F47AD4"/>
    <w:rsid w:val="00F47B0B"/>
    <w:rsid w:val="00F47CDA"/>
    <w:rsid w:val="00F47CEA"/>
    <w:rsid w:val="00F47DB3"/>
    <w:rsid w:val="00F47E15"/>
    <w:rsid w:val="00F47E53"/>
    <w:rsid w:val="00F47FE8"/>
    <w:rsid w:val="00F47FEA"/>
    <w:rsid w:val="00F47FED"/>
    <w:rsid w:val="00F50484"/>
    <w:rsid w:val="00F505F5"/>
    <w:rsid w:val="00F506AA"/>
    <w:rsid w:val="00F506EF"/>
    <w:rsid w:val="00F5079B"/>
    <w:rsid w:val="00F50A3E"/>
    <w:rsid w:val="00F50B77"/>
    <w:rsid w:val="00F50D36"/>
    <w:rsid w:val="00F50EA3"/>
    <w:rsid w:val="00F50F96"/>
    <w:rsid w:val="00F51108"/>
    <w:rsid w:val="00F51183"/>
    <w:rsid w:val="00F5118A"/>
    <w:rsid w:val="00F511BE"/>
    <w:rsid w:val="00F512C0"/>
    <w:rsid w:val="00F512EA"/>
    <w:rsid w:val="00F51302"/>
    <w:rsid w:val="00F5133F"/>
    <w:rsid w:val="00F5136A"/>
    <w:rsid w:val="00F5136B"/>
    <w:rsid w:val="00F513A0"/>
    <w:rsid w:val="00F5140D"/>
    <w:rsid w:val="00F51444"/>
    <w:rsid w:val="00F51458"/>
    <w:rsid w:val="00F5158A"/>
    <w:rsid w:val="00F515BE"/>
    <w:rsid w:val="00F517C5"/>
    <w:rsid w:val="00F51805"/>
    <w:rsid w:val="00F5185D"/>
    <w:rsid w:val="00F518D3"/>
    <w:rsid w:val="00F51A51"/>
    <w:rsid w:val="00F51A5C"/>
    <w:rsid w:val="00F51B3F"/>
    <w:rsid w:val="00F51B8B"/>
    <w:rsid w:val="00F51C1A"/>
    <w:rsid w:val="00F51F18"/>
    <w:rsid w:val="00F51FF8"/>
    <w:rsid w:val="00F520A3"/>
    <w:rsid w:val="00F52163"/>
    <w:rsid w:val="00F5217D"/>
    <w:rsid w:val="00F523F5"/>
    <w:rsid w:val="00F523FB"/>
    <w:rsid w:val="00F5240F"/>
    <w:rsid w:val="00F525B9"/>
    <w:rsid w:val="00F525EB"/>
    <w:rsid w:val="00F52694"/>
    <w:rsid w:val="00F526CA"/>
    <w:rsid w:val="00F526DF"/>
    <w:rsid w:val="00F5274C"/>
    <w:rsid w:val="00F527A1"/>
    <w:rsid w:val="00F528CE"/>
    <w:rsid w:val="00F529EE"/>
    <w:rsid w:val="00F52AA5"/>
    <w:rsid w:val="00F52AC7"/>
    <w:rsid w:val="00F52ADD"/>
    <w:rsid w:val="00F52B27"/>
    <w:rsid w:val="00F52E13"/>
    <w:rsid w:val="00F52E33"/>
    <w:rsid w:val="00F52E68"/>
    <w:rsid w:val="00F52E6B"/>
    <w:rsid w:val="00F52F4C"/>
    <w:rsid w:val="00F52F9D"/>
    <w:rsid w:val="00F53076"/>
    <w:rsid w:val="00F53140"/>
    <w:rsid w:val="00F5317A"/>
    <w:rsid w:val="00F531C5"/>
    <w:rsid w:val="00F533C8"/>
    <w:rsid w:val="00F5344E"/>
    <w:rsid w:val="00F534E8"/>
    <w:rsid w:val="00F5359C"/>
    <w:rsid w:val="00F537FA"/>
    <w:rsid w:val="00F538FB"/>
    <w:rsid w:val="00F5392A"/>
    <w:rsid w:val="00F5392F"/>
    <w:rsid w:val="00F53ACE"/>
    <w:rsid w:val="00F53B7F"/>
    <w:rsid w:val="00F53CD1"/>
    <w:rsid w:val="00F53D34"/>
    <w:rsid w:val="00F53D80"/>
    <w:rsid w:val="00F53D91"/>
    <w:rsid w:val="00F53E51"/>
    <w:rsid w:val="00F53E8A"/>
    <w:rsid w:val="00F53F62"/>
    <w:rsid w:val="00F53F83"/>
    <w:rsid w:val="00F54118"/>
    <w:rsid w:val="00F5427C"/>
    <w:rsid w:val="00F5439A"/>
    <w:rsid w:val="00F543D2"/>
    <w:rsid w:val="00F5447F"/>
    <w:rsid w:val="00F544B9"/>
    <w:rsid w:val="00F5451F"/>
    <w:rsid w:val="00F545E2"/>
    <w:rsid w:val="00F5462F"/>
    <w:rsid w:val="00F54645"/>
    <w:rsid w:val="00F5477F"/>
    <w:rsid w:val="00F5478A"/>
    <w:rsid w:val="00F54828"/>
    <w:rsid w:val="00F5494A"/>
    <w:rsid w:val="00F549A8"/>
    <w:rsid w:val="00F54C04"/>
    <w:rsid w:val="00F54C9D"/>
    <w:rsid w:val="00F54FE5"/>
    <w:rsid w:val="00F54FEE"/>
    <w:rsid w:val="00F55154"/>
    <w:rsid w:val="00F552CC"/>
    <w:rsid w:val="00F5530B"/>
    <w:rsid w:val="00F5535A"/>
    <w:rsid w:val="00F553EF"/>
    <w:rsid w:val="00F55422"/>
    <w:rsid w:val="00F5543D"/>
    <w:rsid w:val="00F554C4"/>
    <w:rsid w:val="00F5551D"/>
    <w:rsid w:val="00F55555"/>
    <w:rsid w:val="00F5557E"/>
    <w:rsid w:val="00F5567F"/>
    <w:rsid w:val="00F556EE"/>
    <w:rsid w:val="00F556F3"/>
    <w:rsid w:val="00F55721"/>
    <w:rsid w:val="00F557C7"/>
    <w:rsid w:val="00F558CB"/>
    <w:rsid w:val="00F55925"/>
    <w:rsid w:val="00F55AE8"/>
    <w:rsid w:val="00F55BB0"/>
    <w:rsid w:val="00F55C50"/>
    <w:rsid w:val="00F55C5A"/>
    <w:rsid w:val="00F55C9E"/>
    <w:rsid w:val="00F55E3F"/>
    <w:rsid w:val="00F55EA5"/>
    <w:rsid w:val="00F55FB8"/>
    <w:rsid w:val="00F5609B"/>
    <w:rsid w:val="00F560BF"/>
    <w:rsid w:val="00F561B1"/>
    <w:rsid w:val="00F56297"/>
    <w:rsid w:val="00F5629B"/>
    <w:rsid w:val="00F565A3"/>
    <w:rsid w:val="00F565F1"/>
    <w:rsid w:val="00F566E8"/>
    <w:rsid w:val="00F56709"/>
    <w:rsid w:val="00F567B8"/>
    <w:rsid w:val="00F567E3"/>
    <w:rsid w:val="00F568F5"/>
    <w:rsid w:val="00F56937"/>
    <w:rsid w:val="00F56953"/>
    <w:rsid w:val="00F56A5E"/>
    <w:rsid w:val="00F56C67"/>
    <w:rsid w:val="00F56E4F"/>
    <w:rsid w:val="00F56EED"/>
    <w:rsid w:val="00F56F35"/>
    <w:rsid w:val="00F57021"/>
    <w:rsid w:val="00F5702D"/>
    <w:rsid w:val="00F5705C"/>
    <w:rsid w:val="00F570B3"/>
    <w:rsid w:val="00F57102"/>
    <w:rsid w:val="00F57203"/>
    <w:rsid w:val="00F572E9"/>
    <w:rsid w:val="00F5730C"/>
    <w:rsid w:val="00F57435"/>
    <w:rsid w:val="00F575B1"/>
    <w:rsid w:val="00F575CD"/>
    <w:rsid w:val="00F5763D"/>
    <w:rsid w:val="00F5768B"/>
    <w:rsid w:val="00F576E1"/>
    <w:rsid w:val="00F577B5"/>
    <w:rsid w:val="00F5780C"/>
    <w:rsid w:val="00F57A20"/>
    <w:rsid w:val="00F57AD3"/>
    <w:rsid w:val="00F57B87"/>
    <w:rsid w:val="00F57C1E"/>
    <w:rsid w:val="00F57CA7"/>
    <w:rsid w:val="00F57D11"/>
    <w:rsid w:val="00F57DFB"/>
    <w:rsid w:val="00F57E04"/>
    <w:rsid w:val="00F60065"/>
    <w:rsid w:val="00F60075"/>
    <w:rsid w:val="00F600A5"/>
    <w:rsid w:val="00F600F5"/>
    <w:rsid w:val="00F60152"/>
    <w:rsid w:val="00F601DB"/>
    <w:rsid w:val="00F60292"/>
    <w:rsid w:val="00F602C6"/>
    <w:rsid w:val="00F6041E"/>
    <w:rsid w:val="00F60439"/>
    <w:rsid w:val="00F60488"/>
    <w:rsid w:val="00F60494"/>
    <w:rsid w:val="00F604DF"/>
    <w:rsid w:val="00F60518"/>
    <w:rsid w:val="00F60640"/>
    <w:rsid w:val="00F60656"/>
    <w:rsid w:val="00F606FD"/>
    <w:rsid w:val="00F608EE"/>
    <w:rsid w:val="00F60910"/>
    <w:rsid w:val="00F609F2"/>
    <w:rsid w:val="00F60B6D"/>
    <w:rsid w:val="00F60BF0"/>
    <w:rsid w:val="00F60C7A"/>
    <w:rsid w:val="00F60CA6"/>
    <w:rsid w:val="00F60CE2"/>
    <w:rsid w:val="00F60CE5"/>
    <w:rsid w:val="00F60D8D"/>
    <w:rsid w:val="00F60E0F"/>
    <w:rsid w:val="00F60E23"/>
    <w:rsid w:val="00F60F6B"/>
    <w:rsid w:val="00F60F9C"/>
    <w:rsid w:val="00F60FE7"/>
    <w:rsid w:val="00F610B9"/>
    <w:rsid w:val="00F61155"/>
    <w:rsid w:val="00F611E4"/>
    <w:rsid w:val="00F61267"/>
    <w:rsid w:val="00F61379"/>
    <w:rsid w:val="00F613BE"/>
    <w:rsid w:val="00F61477"/>
    <w:rsid w:val="00F6147F"/>
    <w:rsid w:val="00F6152F"/>
    <w:rsid w:val="00F616E0"/>
    <w:rsid w:val="00F616EB"/>
    <w:rsid w:val="00F6186C"/>
    <w:rsid w:val="00F6195B"/>
    <w:rsid w:val="00F619D2"/>
    <w:rsid w:val="00F61A2D"/>
    <w:rsid w:val="00F61BAE"/>
    <w:rsid w:val="00F61BF1"/>
    <w:rsid w:val="00F61C2C"/>
    <w:rsid w:val="00F61C86"/>
    <w:rsid w:val="00F61C9C"/>
    <w:rsid w:val="00F61CC3"/>
    <w:rsid w:val="00F61D0E"/>
    <w:rsid w:val="00F61D90"/>
    <w:rsid w:val="00F61E21"/>
    <w:rsid w:val="00F61E78"/>
    <w:rsid w:val="00F61E82"/>
    <w:rsid w:val="00F622E6"/>
    <w:rsid w:val="00F62391"/>
    <w:rsid w:val="00F623DD"/>
    <w:rsid w:val="00F62424"/>
    <w:rsid w:val="00F62513"/>
    <w:rsid w:val="00F625F9"/>
    <w:rsid w:val="00F6262D"/>
    <w:rsid w:val="00F626FE"/>
    <w:rsid w:val="00F6270C"/>
    <w:rsid w:val="00F6273C"/>
    <w:rsid w:val="00F62740"/>
    <w:rsid w:val="00F627A3"/>
    <w:rsid w:val="00F6299F"/>
    <w:rsid w:val="00F629BE"/>
    <w:rsid w:val="00F62A83"/>
    <w:rsid w:val="00F62AB1"/>
    <w:rsid w:val="00F62ABA"/>
    <w:rsid w:val="00F62B72"/>
    <w:rsid w:val="00F62D0A"/>
    <w:rsid w:val="00F62D24"/>
    <w:rsid w:val="00F62E49"/>
    <w:rsid w:val="00F62EC3"/>
    <w:rsid w:val="00F62F7B"/>
    <w:rsid w:val="00F62FFB"/>
    <w:rsid w:val="00F63034"/>
    <w:rsid w:val="00F63044"/>
    <w:rsid w:val="00F63071"/>
    <w:rsid w:val="00F63163"/>
    <w:rsid w:val="00F63295"/>
    <w:rsid w:val="00F632E6"/>
    <w:rsid w:val="00F633BE"/>
    <w:rsid w:val="00F633C5"/>
    <w:rsid w:val="00F63465"/>
    <w:rsid w:val="00F63491"/>
    <w:rsid w:val="00F6354A"/>
    <w:rsid w:val="00F635AA"/>
    <w:rsid w:val="00F635B7"/>
    <w:rsid w:val="00F635C6"/>
    <w:rsid w:val="00F635D1"/>
    <w:rsid w:val="00F636C0"/>
    <w:rsid w:val="00F6388A"/>
    <w:rsid w:val="00F638F1"/>
    <w:rsid w:val="00F639B5"/>
    <w:rsid w:val="00F63AD4"/>
    <w:rsid w:val="00F63B92"/>
    <w:rsid w:val="00F63C42"/>
    <w:rsid w:val="00F63C52"/>
    <w:rsid w:val="00F63D3C"/>
    <w:rsid w:val="00F63D93"/>
    <w:rsid w:val="00F63EF9"/>
    <w:rsid w:val="00F63F69"/>
    <w:rsid w:val="00F63FEA"/>
    <w:rsid w:val="00F64019"/>
    <w:rsid w:val="00F6405F"/>
    <w:rsid w:val="00F640BD"/>
    <w:rsid w:val="00F6419E"/>
    <w:rsid w:val="00F641C8"/>
    <w:rsid w:val="00F64272"/>
    <w:rsid w:val="00F6427F"/>
    <w:rsid w:val="00F64296"/>
    <w:rsid w:val="00F64334"/>
    <w:rsid w:val="00F6439E"/>
    <w:rsid w:val="00F64435"/>
    <w:rsid w:val="00F6446C"/>
    <w:rsid w:val="00F644F8"/>
    <w:rsid w:val="00F64533"/>
    <w:rsid w:val="00F6458A"/>
    <w:rsid w:val="00F6459A"/>
    <w:rsid w:val="00F6462A"/>
    <w:rsid w:val="00F64803"/>
    <w:rsid w:val="00F64874"/>
    <w:rsid w:val="00F648F0"/>
    <w:rsid w:val="00F64981"/>
    <w:rsid w:val="00F649C7"/>
    <w:rsid w:val="00F64A3C"/>
    <w:rsid w:val="00F64AAB"/>
    <w:rsid w:val="00F64B45"/>
    <w:rsid w:val="00F64C16"/>
    <w:rsid w:val="00F64C91"/>
    <w:rsid w:val="00F64DCA"/>
    <w:rsid w:val="00F64DEC"/>
    <w:rsid w:val="00F64E60"/>
    <w:rsid w:val="00F64ED1"/>
    <w:rsid w:val="00F64EE1"/>
    <w:rsid w:val="00F64EF1"/>
    <w:rsid w:val="00F64F25"/>
    <w:rsid w:val="00F651AB"/>
    <w:rsid w:val="00F65391"/>
    <w:rsid w:val="00F65470"/>
    <w:rsid w:val="00F655C3"/>
    <w:rsid w:val="00F655C4"/>
    <w:rsid w:val="00F655FD"/>
    <w:rsid w:val="00F656D1"/>
    <w:rsid w:val="00F65739"/>
    <w:rsid w:val="00F65789"/>
    <w:rsid w:val="00F6592D"/>
    <w:rsid w:val="00F6593C"/>
    <w:rsid w:val="00F659AD"/>
    <w:rsid w:val="00F659C5"/>
    <w:rsid w:val="00F65A7A"/>
    <w:rsid w:val="00F65C13"/>
    <w:rsid w:val="00F65D4F"/>
    <w:rsid w:val="00F65D67"/>
    <w:rsid w:val="00F65E41"/>
    <w:rsid w:val="00F65E47"/>
    <w:rsid w:val="00F66164"/>
    <w:rsid w:val="00F66331"/>
    <w:rsid w:val="00F66334"/>
    <w:rsid w:val="00F663AD"/>
    <w:rsid w:val="00F66545"/>
    <w:rsid w:val="00F6655B"/>
    <w:rsid w:val="00F665E7"/>
    <w:rsid w:val="00F66655"/>
    <w:rsid w:val="00F66730"/>
    <w:rsid w:val="00F6678A"/>
    <w:rsid w:val="00F668B5"/>
    <w:rsid w:val="00F668D4"/>
    <w:rsid w:val="00F668D7"/>
    <w:rsid w:val="00F669DD"/>
    <w:rsid w:val="00F66A51"/>
    <w:rsid w:val="00F66B6B"/>
    <w:rsid w:val="00F66B74"/>
    <w:rsid w:val="00F66DC6"/>
    <w:rsid w:val="00F66E30"/>
    <w:rsid w:val="00F66EA9"/>
    <w:rsid w:val="00F66F2D"/>
    <w:rsid w:val="00F66F4B"/>
    <w:rsid w:val="00F66F89"/>
    <w:rsid w:val="00F66FE1"/>
    <w:rsid w:val="00F67027"/>
    <w:rsid w:val="00F6715E"/>
    <w:rsid w:val="00F671A7"/>
    <w:rsid w:val="00F672AD"/>
    <w:rsid w:val="00F6739F"/>
    <w:rsid w:val="00F673F2"/>
    <w:rsid w:val="00F674B8"/>
    <w:rsid w:val="00F67528"/>
    <w:rsid w:val="00F675CD"/>
    <w:rsid w:val="00F6771E"/>
    <w:rsid w:val="00F677DB"/>
    <w:rsid w:val="00F678E5"/>
    <w:rsid w:val="00F67A1D"/>
    <w:rsid w:val="00F67A40"/>
    <w:rsid w:val="00F67A91"/>
    <w:rsid w:val="00F67B1E"/>
    <w:rsid w:val="00F67C85"/>
    <w:rsid w:val="00F67E55"/>
    <w:rsid w:val="00F67F79"/>
    <w:rsid w:val="00F67FC7"/>
    <w:rsid w:val="00F7000A"/>
    <w:rsid w:val="00F700C1"/>
    <w:rsid w:val="00F700C9"/>
    <w:rsid w:val="00F7011E"/>
    <w:rsid w:val="00F7024B"/>
    <w:rsid w:val="00F703B9"/>
    <w:rsid w:val="00F703FF"/>
    <w:rsid w:val="00F704BA"/>
    <w:rsid w:val="00F704EE"/>
    <w:rsid w:val="00F7055D"/>
    <w:rsid w:val="00F70614"/>
    <w:rsid w:val="00F706BE"/>
    <w:rsid w:val="00F706DD"/>
    <w:rsid w:val="00F70714"/>
    <w:rsid w:val="00F70796"/>
    <w:rsid w:val="00F7083F"/>
    <w:rsid w:val="00F70892"/>
    <w:rsid w:val="00F708A3"/>
    <w:rsid w:val="00F708CC"/>
    <w:rsid w:val="00F709BB"/>
    <w:rsid w:val="00F70A1F"/>
    <w:rsid w:val="00F70B2F"/>
    <w:rsid w:val="00F70B47"/>
    <w:rsid w:val="00F70B4A"/>
    <w:rsid w:val="00F70BA4"/>
    <w:rsid w:val="00F70BE4"/>
    <w:rsid w:val="00F70C17"/>
    <w:rsid w:val="00F70DD4"/>
    <w:rsid w:val="00F70EE4"/>
    <w:rsid w:val="00F70F5E"/>
    <w:rsid w:val="00F70F61"/>
    <w:rsid w:val="00F7100B"/>
    <w:rsid w:val="00F710CD"/>
    <w:rsid w:val="00F71111"/>
    <w:rsid w:val="00F71147"/>
    <w:rsid w:val="00F711C0"/>
    <w:rsid w:val="00F71209"/>
    <w:rsid w:val="00F712CA"/>
    <w:rsid w:val="00F71316"/>
    <w:rsid w:val="00F714ED"/>
    <w:rsid w:val="00F715F6"/>
    <w:rsid w:val="00F716A9"/>
    <w:rsid w:val="00F71713"/>
    <w:rsid w:val="00F71825"/>
    <w:rsid w:val="00F71833"/>
    <w:rsid w:val="00F71881"/>
    <w:rsid w:val="00F718C9"/>
    <w:rsid w:val="00F718D5"/>
    <w:rsid w:val="00F718E4"/>
    <w:rsid w:val="00F71952"/>
    <w:rsid w:val="00F71A47"/>
    <w:rsid w:val="00F71A53"/>
    <w:rsid w:val="00F71AF9"/>
    <w:rsid w:val="00F71B1F"/>
    <w:rsid w:val="00F71BF8"/>
    <w:rsid w:val="00F71C43"/>
    <w:rsid w:val="00F71CB9"/>
    <w:rsid w:val="00F71CBC"/>
    <w:rsid w:val="00F71D63"/>
    <w:rsid w:val="00F71D74"/>
    <w:rsid w:val="00F71D86"/>
    <w:rsid w:val="00F71ED3"/>
    <w:rsid w:val="00F71FBC"/>
    <w:rsid w:val="00F71FEB"/>
    <w:rsid w:val="00F72086"/>
    <w:rsid w:val="00F72163"/>
    <w:rsid w:val="00F721B3"/>
    <w:rsid w:val="00F7235F"/>
    <w:rsid w:val="00F7238E"/>
    <w:rsid w:val="00F723EB"/>
    <w:rsid w:val="00F7245C"/>
    <w:rsid w:val="00F72544"/>
    <w:rsid w:val="00F72728"/>
    <w:rsid w:val="00F72750"/>
    <w:rsid w:val="00F72793"/>
    <w:rsid w:val="00F727ED"/>
    <w:rsid w:val="00F72852"/>
    <w:rsid w:val="00F7295E"/>
    <w:rsid w:val="00F72999"/>
    <w:rsid w:val="00F729E6"/>
    <w:rsid w:val="00F72AC4"/>
    <w:rsid w:val="00F72B47"/>
    <w:rsid w:val="00F72B72"/>
    <w:rsid w:val="00F72BAA"/>
    <w:rsid w:val="00F72CED"/>
    <w:rsid w:val="00F72D8B"/>
    <w:rsid w:val="00F72D95"/>
    <w:rsid w:val="00F72D9D"/>
    <w:rsid w:val="00F72DA8"/>
    <w:rsid w:val="00F72DCA"/>
    <w:rsid w:val="00F72EA0"/>
    <w:rsid w:val="00F72EC9"/>
    <w:rsid w:val="00F72ED7"/>
    <w:rsid w:val="00F72FF0"/>
    <w:rsid w:val="00F73136"/>
    <w:rsid w:val="00F7318D"/>
    <w:rsid w:val="00F7333E"/>
    <w:rsid w:val="00F7335B"/>
    <w:rsid w:val="00F73375"/>
    <w:rsid w:val="00F7344B"/>
    <w:rsid w:val="00F73500"/>
    <w:rsid w:val="00F73549"/>
    <w:rsid w:val="00F735C4"/>
    <w:rsid w:val="00F7367F"/>
    <w:rsid w:val="00F737A6"/>
    <w:rsid w:val="00F737A7"/>
    <w:rsid w:val="00F73802"/>
    <w:rsid w:val="00F73870"/>
    <w:rsid w:val="00F73C84"/>
    <w:rsid w:val="00F73CE0"/>
    <w:rsid w:val="00F73D22"/>
    <w:rsid w:val="00F73D26"/>
    <w:rsid w:val="00F73D98"/>
    <w:rsid w:val="00F73DFC"/>
    <w:rsid w:val="00F73E31"/>
    <w:rsid w:val="00F74148"/>
    <w:rsid w:val="00F7435C"/>
    <w:rsid w:val="00F744A5"/>
    <w:rsid w:val="00F745BC"/>
    <w:rsid w:val="00F7468E"/>
    <w:rsid w:val="00F74773"/>
    <w:rsid w:val="00F747C1"/>
    <w:rsid w:val="00F748C5"/>
    <w:rsid w:val="00F748EF"/>
    <w:rsid w:val="00F748FD"/>
    <w:rsid w:val="00F74911"/>
    <w:rsid w:val="00F74944"/>
    <w:rsid w:val="00F7498A"/>
    <w:rsid w:val="00F74A09"/>
    <w:rsid w:val="00F74A1A"/>
    <w:rsid w:val="00F74BE7"/>
    <w:rsid w:val="00F74C57"/>
    <w:rsid w:val="00F74D16"/>
    <w:rsid w:val="00F74D50"/>
    <w:rsid w:val="00F74D7E"/>
    <w:rsid w:val="00F74DB2"/>
    <w:rsid w:val="00F74DB5"/>
    <w:rsid w:val="00F74EB9"/>
    <w:rsid w:val="00F74EC2"/>
    <w:rsid w:val="00F74FF4"/>
    <w:rsid w:val="00F7500C"/>
    <w:rsid w:val="00F7507D"/>
    <w:rsid w:val="00F75146"/>
    <w:rsid w:val="00F75183"/>
    <w:rsid w:val="00F752BD"/>
    <w:rsid w:val="00F75326"/>
    <w:rsid w:val="00F7532A"/>
    <w:rsid w:val="00F75483"/>
    <w:rsid w:val="00F754C0"/>
    <w:rsid w:val="00F755DF"/>
    <w:rsid w:val="00F75644"/>
    <w:rsid w:val="00F7574D"/>
    <w:rsid w:val="00F757F3"/>
    <w:rsid w:val="00F758CC"/>
    <w:rsid w:val="00F75979"/>
    <w:rsid w:val="00F75A24"/>
    <w:rsid w:val="00F75A3F"/>
    <w:rsid w:val="00F75A97"/>
    <w:rsid w:val="00F75B06"/>
    <w:rsid w:val="00F75BDF"/>
    <w:rsid w:val="00F75BFB"/>
    <w:rsid w:val="00F75C3A"/>
    <w:rsid w:val="00F75CC1"/>
    <w:rsid w:val="00F75CE8"/>
    <w:rsid w:val="00F75D21"/>
    <w:rsid w:val="00F75D73"/>
    <w:rsid w:val="00F75DFA"/>
    <w:rsid w:val="00F75EA6"/>
    <w:rsid w:val="00F75F18"/>
    <w:rsid w:val="00F75FC0"/>
    <w:rsid w:val="00F7604D"/>
    <w:rsid w:val="00F761BD"/>
    <w:rsid w:val="00F761E0"/>
    <w:rsid w:val="00F7622F"/>
    <w:rsid w:val="00F76256"/>
    <w:rsid w:val="00F7635B"/>
    <w:rsid w:val="00F764C1"/>
    <w:rsid w:val="00F76570"/>
    <w:rsid w:val="00F766A6"/>
    <w:rsid w:val="00F7671C"/>
    <w:rsid w:val="00F76760"/>
    <w:rsid w:val="00F767AC"/>
    <w:rsid w:val="00F76841"/>
    <w:rsid w:val="00F768C4"/>
    <w:rsid w:val="00F768F2"/>
    <w:rsid w:val="00F768F3"/>
    <w:rsid w:val="00F768F4"/>
    <w:rsid w:val="00F76ABE"/>
    <w:rsid w:val="00F76AC5"/>
    <w:rsid w:val="00F76B0D"/>
    <w:rsid w:val="00F76B28"/>
    <w:rsid w:val="00F76D73"/>
    <w:rsid w:val="00F76E76"/>
    <w:rsid w:val="00F76EC5"/>
    <w:rsid w:val="00F76FA2"/>
    <w:rsid w:val="00F76FB5"/>
    <w:rsid w:val="00F7704A"/>
    <w:rsid w:val="00F770BD"/>
    <w:rsid w:val="00F771DC"/>
    <w:rsid w:val="00F77235"/>
    <w:rsid w:val="00F77239"/>
    <w:rsid w:val="00F772A7"/>
    <w:rsid w:val="00F772F0"/>
    <w:rsid w:val="00F77333"/>
    <w:rsid w:val="00F773D7"/>
    <w:rsid w:val="00F7745D"/>
    <w:rsid w:val="00F77472"/>
    <w:rsid w:val="00F774BC"/>
    <w:rsid w:val="00F775B3"/>
    <w:rsid w:val="00F776B7"/>
    <w:rsid w:val="00F776DC"/>
    <w:rsid w:val="00F776FF"/>
    <w:rsid w:val="00F7788C"/>
    <w:rsid w:val="00F77953"/>
    <w:rsid w:val="00F779B5"/>
    <w:rsid w:val="00F77A97"/>
    <w:rsid w:val="00F77AD9"/>
    <w:rsid w:val="00F77AE6"/>
    <w:rsid w:val="00F77B3E"/>
    <w:rsid w:val="00F77B72"/>
    <w:rsid w:val="00F77BC6"/>
    <w:rsid w:val="00F77BCE"/>
    <w:rsid w:val="00F77D09"/>
    <w:rsid w:val="00F77E83"/>
    <w:rsid w:val="00F77EA7"/>
    <w:rsid w:val="00F77ECD"/>
    <w:rsid w:val="00F77ED4"/>
    <w:rsid w:val="00F77EE7"/>
    <w:rsid w:val="00F77F1B"/>
    <w:rsid w:val="00F77F79"/>
    <w:rsid w:val="00F77F7E"/>
    <w:rsid w:val="00F80016"/>
    <w:rsid w:val="00F8010E"/>
    <w:rsid w:val="00F8039A"/>
    <w:rsid w:val="00F80408"/>
    <w:rsid w:val="00F80513"/>
    <w:rsid w:val="00F80741"/>
    <w:rsid w:val="00F807AE"/>
    <w:rsid w:val="00F8082B"/>
    <w:rsid w:val="00F8094C"/>
    <w:rsid w:val="00F80974"/>
    <w:rsid w:val="00F80980"/>
    <w:rsid w:val="00F809D8"/>
    <w:rsid w:val="00F809F7"/>
    <w:rsid w:val="00F80AF2"/>
    <w:rsid w:val="00F80B30"/>
    <w:rsid w:val="00F80B93"/>
    <w:rsid w:val="00F80C48"/>
    <w:rsid w:val="00F80C55"/>
    <w:rsid w:val="00F80C7C"/>
    <w:rsid w:val="00F80C7F"/>
    <w:rsid w:val="00F80D13"/>
    <w:rsid w:val="00F80D1B"/>
    <w:rsid w:val="00F80EEB"/>
    <w:rsid w:val="00F80FB8"/>
    <w:rsid w:val="00F80FC2"/>
    <w:rsid w:val="00F80FFA"/>
    <w:rsid w:val="00F81044"/>
    <w:rsid w:val="00F810F6"/>
    <w:rsid w:val="00F8110A"/>
    <w:rsid w:val="00F81143"/>
    <w:rsid w:val="00F811D5"/>
    <w:rsid w:val="00F81274"/>
    <w:rsid w:val="00F8129F"/>
    <w:rsid w:val="00F81305"/>
    <w:rsid w:val="00F8138E"/>
    <w:rsid w:val="00F814BC"/>
    <w:rsid w:val="00F81681"/>
    <w:rsid w:val="00F81727"/>
    <w:rsid w:val="00F817EF"/>
    <w:rsid w:val="00F81817"/>
    <w:rsid w:val="00F8182E"/>
    <w:rsid w:val="00F818A5"/>
    <w:rsid w:val="00F81970"/>
    <w:rsid w:val="00F81B3E"/>
    <w:rsid w:val="00F81B9D"/>
    <w:rsid w:val="00F81BE5"/>
    <w:rsid w:val="00F81DEB"/>
    <w:rsid w:val="00F81F59"/>
    <w:rsid w:val="00F81F83"/>
    <w:rsid w:val="00F820EB"/>
    <w:rsid w:val="00F8214B"/>
    <w:rsid w:val="00F8218A"/>
    <w:rsid w:val="00F821B6"/>
    <w:rsid w:val="00F822AE"/>
    <w:rsid w:val="00F822D7"/>
    <w:rsid w:val="00F82312"/>
    <w:rsid w:val="00F82351"/>
    <w:rsid w:val="00F8235F"/>
    <w:rsid w:val="00F8236D"/>
    <w:rsid w:val="00F82598"/>
    <w:rsid w:val="00F825A5"/>
    <w:rsid w:val="00F8271C"/>
    <w:rsid w:val="00F82737"/>
    <w:rsid w:val="00F8285A"/>
    <w:rsid w:val="00F8289D"/>
    <w:rsid w:val="00F829E0"/>
    <w:rsid w:val="00F82E73"/>
    <w:rsid w:val="00F82EAE"/>
    <w:rsid w:val="00F82F39"/>
    <w:rsid w:val="00F83052"/>
    <w:rsid w:val="00F8321F"/>
    <w:rsid w:val="00F832F5"/>
    <w:rsid w:val="00F8340F"/>
    <w:rsid w:val="00F83484"/>
    <w:rsid w:val="00F83549"/>
    <w:rsid w:val="00F83564"/>
    <w:rsid w:val="00F835EB"/>
    <w:rsid w:val="00F83791"/>
    <w:rsid w:val="00F83816"/>
    <w:rsid w:val="00F83858"/>
    <w:rsid w:val="00F838EC"/>
    <w:rsid w:val="00F8390F"/>
    <w:rsid w:val="00F83918"/>
    <w:rsid w:val="00F83A88"/>
    <w:rsid w:val="00F83BCA"/>
    <w:rsid w:val="00F83C76"/>
    <w:rsid w:val="00F83E31"/>
    <w:rsid w:val="00F83F13"/>
    <w:rsid w:val="00F83FC1"/>
    <w:rsid w:val="00F84084"/>
    <w:rsid w:val="00F84202"/>
    <w:rsid w:val="00F84225"/>
    <w:rsid w:val="00F8429D"/>
    <w:rsid w:val="00F842CE"/>
    <w:rsid w:val="00F844A2"/>
    <w:rsid w:val="00F844F1"/>
    <w:rsid w:val="00F8452A"/>
    <w:rsid w:val="00F8459A"/>
    <w:rsid w:val="00F84632"/>
    <w:rsid w:val="00F8463C"/>
    <w:rsid w:val="00F84692"/>
    <w:rsid w:val="00F846E1"/>
    <w:rsid w:val="00F847F5"/>
    <w:rsid w:val="00F847F9"/>
    <w:rsid w:val="00F8480C"/>
    <w:rsid w:val="00F84828"/>
    <w:rsid w:val="00F848F9"/>
    <w:rsid w:val="00F84A49"/>
    <w:rsid w:val="00F84AB4"/>
    <w:rsid w:val="00F84ACE"/>
    <w:rsid w:val="00F84C75"/>
    <w:rsid w:val="00F84D0F"/>
    <w:rsid w:val="00F84D29"/>
    <w:rsid w:val="00F84D3E"/>
    <w:rsid w:val="00F84E10"/>
    <w:rsid w:val="00F84E5B"/>
    <w:rsid w:val="00F84E69"/>
    <w:rsid w:val="00F84ED3"/>
    <w:rsid w:val="00F84F9B"/>
    <w:rsid w:val="00F84FBE"/>
    <w:rsid w:val="00F84FF2"/>
    <w:rsid w:val="00F850A7"/>
    <w:rsid w:val="00F85186"/>
    <w:rsid w:val="00F851A8"/>
    <w:rsid w:val="00F853BF"/>
    <w:rsid w:val="00F8544E"/>
    <w:rsid w:val="00F854F3"/>
    <w:rsid w:val="00F85524"/>
    <w:rsid w:val="00F85592"/>
    <w:rsid w:val="00F855B2"/>
    <w:rsid w:val="00F856AA"/>
    <w:rsid w:val="00F85742"/>
    <w:rsid w:val="00F857F7"/>
    <w:rsid w:val="00F85801"/>
    <w:rsid w:val="00F85872"/>
    <w:rsid w:val="00F858B2"/>
    <w:rsid w:val="00F85928"/>
    <w:rsid w:val="00F8592B"/>
    <w:rsid w:val="00F85A16"/>
    <w:rsid w:val="00F85A9E"/>
    <w:rsid w:val="00F85B20"/>
    <w:rsid w:val="00F85CF6"/>
    <w:rsid w:val="00F85EBE"/>
    <w:rsid w:val="00F8600E"/>
    <w:rsid w:val="00F86076"/>
    <w:rsid w:val="00F860C7"/>
    <w:rsid w:val="00F861EC"/>
    <w:rsid w:val="00F8627C"/>
    <w:rsid w:val="00F8644E"/>
    <w:rsid w:val="00F86520"/>
    <w:rsid w:val="00F86548"/>
    <w:rsid w:val="00F865E2"/>
    <w:rsid w:val="00F866F4"/>
    <w:rsid w:val="00F86832"/>
    <w:rsid w:val="00F86899"/>
    <w:rsid w:val="00F868BF"/>
    <w:rsid w:val="00F86914"/>
    <w:rsid w:val="00F86928"/>
    <w:rsid w:val="00F86930"/>
    <w:rsid w:val="00F86A12"/>
    <w:rsid w:val="00F86B03"/>
    <w:rsid w:val="00F86B9E"/>
    <w:rsid w:val="00F86C25"/>
    <w:rsid w:val="00F86E74"/>
    <w:rsid w:val="00F86F78"/>
    <w:rsid w:val="00F86FFB"/>
    <w:rsid w:val="00F87044"/>
    <w:rsid w:val="00F87113"/>
    <w:rsid w:val="00F8721B"/>
    <w:rsid w:val="00F872EB"/>
    <w:rsid w:val="00F872FA"/>
    <w:rsid w:val="00F8730F"/>
    <w:rsid w:val="00F87459"/>
    <w:rsid w:val="00F875BE"/>
    <w:rsid w:val="00F87760"/>
    <w:rsid w:val="00F87892"/>
    <w:rsid w:val="00F879F8"/>
    <w:rsid w:val="00F87A84"/>
    <w:rsid w:val="00F87ACE"/>
    <w:rsid w:val="00F87AF5"/>
    <w:rsid w:val="00F87B5C"/>
    <w:rsid w:val="00F87C89"/>
    <w:rsid w:val="00F87E34"/>
    <w:rsid w:val="00F87F77"/>
    <w:rsid w:val="00F87F80"/>
    <w:rsid w:val="00F87FAF"/>
    <w:rsid w:val="00F87FD7"/>
    <w:rsid w:val="00F901A4"/>
    <w:rsid w:val="00F90295"/>
    <w:rsid w:val="00F9030F"/>
    <w:rsid w:val="00F9033C"/>
    <w:rsid w:val="00F90422"/>
    <w:rsid w:val="00F905B5"/>
    <w:rsid w:val="00F9063A"/>
    <w:rsid w:val="00F9088F"/>
    <w:rsid w:val="00F908C2"/>
    <w:rsid w:val="00F909D5"/>
    <w:rsid w:val="00F90A3B"/>
    <w:rsid w:val="00F90B2D"/>
    <w:rsid w:val="00F90C2C"/>
    <w:rsid w:val="00F90C7B"/>
    <w:rsid w:val="00F90D00"/>
    <w:rsid w:val="00F90D53"/>
    <w:rsid w:val="00F90D57"/>
    <w:rsid w:val="00F90DAC"/>
    <w:rsid w:val="00F90EAD"/>
    <w:rsid w:val="00F90F8E"/>
    <w:rsid w:val="00F910C9"/>
    <w:rsid w:val="00F9112F"/>
    <w:rsid w:val="00F9113D"/>
    <w:rsid w:val="00F9119D"/>
    <w:rsid w:val="00F911F5"/>
    <w:rsid w:val="00F9121F"/>
    <w:rsid w:val="00F914AA"/>
    <w:rsid w:val="00F91515"/>
    <w:rsid w:val="00F9152F"/>
    <w:rsid w:val="00F91532"/>
    <w:rsid w:val="00F91616"/>
    <w:rsid w:val="00F916DA"/>
    <w:rsid w:val="00F9175B"/>
    <w:rsid w:val="00F9195C"/>
    <w:rsid w:val="00F919A1"/>
    <w:rsid w:val="00F91A4D"/>
    <w:rsid w:val="00F91ACE"/>
    <w:rsid w:val="00F91BAC"/>
    <w:rsid w:val="00F91BD3"/>
    <w:rsid w:val="00F91C06"/>
    <w:rsid w:val="00F91C68"/>
    <w:rsid w:val="00F91E94"/>
    <w:rsid w:val="00F91F0C"/>
    <w:rsid w:val="00F91F20"/>
    <w:rsid w:val="00F92152"/>
    <w:rsid w:val="00F921A4"/>
    <w:rsid w:val="00F921B5"/>
    <w:rsid w:val="00F92339"/>
    <w:rsid w:val="00F923D8"/>
    <w:rsid w:val="00F92418"/>
    <w:rsid w:val="00F9241C"/>
    <w:rsid w:val="00F92472"/>
    <w:rsid w:val="00F92557"/>
    <w:rsid w:val="00F9255C"/>
    <w:rsid w:val="00F9266A"/>
    <w:rsid w:val="00F926EB"/>
    <w:rsid w:val="00F9278A"/>
    <w:rsid w:val="00F927FE"/>
    <w:rsid w:val="00F92814"/>
    <w:rsid w:val="00F92903"/>
    <w:rsid w:val="00F92922"/>
    <w:rsid w:val="00F92960"/>
    <w:rsid w:val="00F92966"/>
    <w:rsid w:val="00F929E8"/>
    <w:rsid w:val="00F92A37"/>
    <w:rsid w:val="00F92B0A"/>
    <w:rsid w:val="00F92B35"/>
    <w:rsid w:val="00F92D5F"/>
    <w:rsid w:val="00F92E18"/>
    <w:rsid w:val="00F92EB4"/>
    <w:rsid w:val="00F92EC7"/>
    <w:rsid w:val="00F93055"/>
    <w:rsid w:val="00F9312A"/>
    <w:rsid w:val="00F931FB"/>
    <w:rsid w:val="00F932CF"/>
    <w:rsid w:val="00F93368"/>
    <w:rsid w:val="00F9337E"/>
    <w:rsid w:val="00F93434"/>
    <w:rsid w:val="00F93482"/>
    <w:rsid w:val="00F934E0"/>
    <w:rsid w:val="00F93572"/>
    <w:rsid w:val="00F935C5"/>
    <w:rsid w:val="00F936FA"/>
    <w:rsid w:val="00F937BD"/>
    <w:rsid w:val="00F937CB"/>
    <w:rsid w:val="00F9380A"/>
    <w:rsid w:val="00F93839"/>
    <w:rsid w:val="00F93865"/>
    <w:rsid w:val="00F93920"/>
    <w:rsid w:val="00F93953"/>
    <w:rsid w:val="00F93A18"/>
    <w:rsid w:val="00F93A2F"/>
    <w:rsid w:val="00F93A3F"/>
    <w:rsid w:val="00F93B8B"/>
    <w:rsid w:val="00F93C21"/>
    <w:rsid w:val="00F93C6A"/>
    <w:rsid w:val="00F93CFE"/>
    <w:rsid w:val="00F93D42"/>
    <w:rsid w:val="00F93E03"/>
    <w:rsid w:val="00F93E2D"/>
    <w:rsid w:val="00F93F1A"/>
    <w:rsid w:val="00F93FD4"/>
    <w:rsid w:val="00F9415E"/>
    <w:rsid w:val="00F94161"/>
    <w:rsid w:val="00F941D3"/>
    <w:rsid w:val="00F94340"/>
    <w:rsid w:val="00F94354"/>
    <w:rsid w:val="00F9443D"/>
    <w:rsid w:val="00F94460"/>
    <w:rsid w:val="00F94472"/>
    <w:rsid w:val="00F9464E"/>
    <w:rsid w:val="00F94650"/>
    <w:rsid w:val="00F946B7"/>
    <w:rsid w:val="00F94865"/>
    <w:rsid w:val="00F94883"/>
    <w:rsid w:val="00F94979"/>
    <w:rsid w:val="00F9498F"/>
    <w:rsid w:val="00F949DE"/>
    <w:rsid w:val="00F94A2B"/>
    <w:rsid w:val="00F94ACF"/>
    <w:rsid w:val="00F94B07"/>
    <w:rsid w:val="00F94B5F"/>
    <w:rsid w:val="00F94B84"/>
    <w:rsid w:val="00F94B97"/>
    <w:rsid w:val="00F94BBA"/>
    <w:rsid w:val="00F94BDA"/>
    <w:rsid w:val="00F94BFF"/>
    <w:rsid w:val="00F94C53"/>
    <w:rsid w:val="00F94CB8"/>
    <w:rsid w:val="00F94DB4"/>
    <w:rsid w:val="00F94EA0"/>
    <w:rsid w:val="00F9507D"/>
    <w:rsid w:val="00F95130"/>
    <w:rsid w:val="00F953E5"/>
    <w:rsid w:val="00F9541E"/>
    <w:rsid w:val="00F95532"/>
    <w:rsid w:val="00F95671"/>
    <w:rsid w:val="00F956AA"/>
    <w:rsid w:val="00F956F3"/>
    <w:rsid w:val="00F95887"/>
    <w:rsid w:val="00F95897"/>
    <w:rsid w:val="00F958CE"/>
    <w:rsid w:val="00F95929"/>
    <w:rsid w:val="00F95A6C"/>
    <w:rsid w:val="00F95BF9"/>
    <w:rsid w:val="00F95DCD"/>
    <w:rsid w:val="00F95F82"/>
    <w:rsid w:val="00F960D4"/>
    <w:rsid w:val="00F960E2"/>
    <w:rsid w:val="00F960E3"/>
    <w:rsid w:val="00F960EE"/>
    <w:rsid w:val="00F9610E"/>
    <w:rsid w:val="00F961CD"/>
    <w:rsid w:val="00F96275"/>
    <w:rsid w:val="00F962D0"/>
    <w:rsid w:val="00F96313"/>
    <w:rsid w:val="00F963C2"/>
    <w:rsid w:val="00F96439"/>
    <w:rsid w:val="00F9643B"/>
    <w:rsid w:val="00F964F0"/>
    <w:rsid w:val="00F9658D"/>
    <w:rsid w:val="00F96641"/>
    <w:rsid w:val="00F9664F"/>
    <w:rsid w:val="00F966DE"/>
    <w:rsid w:val="00F96760"/>
    <w:rsid w:val="00F968C2"/>
    <w:rsid w:val="00F9694B"/>
    <w:rsid w:val="00F9698E"/>
    <w:rsid w:val="00F96AEE"/>
    <w:rsid w:val="00F96CF1"/>
    <w:rsid w:val="00F96D2C"/>
    <w:rsid w:val="00F96E2C"/>
    <w:rsid w:val="00F96F0E"/>
    <w:rsid w:val="00F971C8"/>
    <w:rsid w:val="00F972BD"/>
    <w:rsid w:val="00F972BF"/>
    <w:rsid w:val="00F97324"/>
    <w:rsid w:val="00F9739C"/>
    <w:rsid w:val="00F973C8"/>
    <w:rsid w:val="00F973D7"/>
    <w:rsid w:val="00F9744C"/>
    <w:rsid w:val="00F9746E"/>
    <w:rsid w:val="00F9747B"/>
    <w:rsid w:val="00F97524"/>
    <w:rsid w:val="00F9754F"/>
    <w:rsid w:val="00F97594"/>
    <w:rsid w:val="00F977D1"/>
    <w:rsid w:val="00F9785D"/>
    <w:rsid w:val="00F97933"/>
    <w:rsid w:val="00F97A60"/>
    <w:rsid w:val="00F97A9D"/>
    <w:rsid w:val="00F97AE0"/>
    <w:rsid w:val="00F97BD8"/>
    <w:rsid w:val="00F97D58"/>
    <w:rsid w:val="00F97E70"/>
    <w:rsid w:val="00F97FCA"/>
    <w:rsid w:val="00FA0261"/>
    <w:rsid w:val="00FA0432"/>
    <w:rsid w:val="00FA0484"/>
    <w:rsid w:val="00FA04A4"/>
    <w:rsid w:val="00FA04C4"/>
    <w:rsid w:val="00FA04DE"/>
    <w:rsid w:val="00FA04FA"/>
    <w:rsid w:val="00FA05F4"/>
    <w:rsid w:val="00FA06CB"/>
    <w:rsid w:val="00FA071A"/>
    <w:rsid w:val="00FA08C0"/>
    <w:rsid w:val="00FA0911"/>
    <w:rsid w:val="00FA0A33"/>
    <w:rsid w:val="00FA0A90"/>
    <w:rsid w:val="00FA0B36"/>
    <w:rsid w:val="00FA0B7F"/>
    <w:rsid w:val="00FA0BAA"/>
    <w:rsid w:val="00FA0BC2"/>
    <w:rsid w:val="00FA0C40"/>
    <w:rsid w:val="00FA0C4B"/>
    <w:rsid w:val="00FA0CF2"/>
    <w:rsid w:val="00FA0D54"/>
    <w:rsid w:val="00FA0E5A"/>
    <w:rsid w:val="00FA0E63"/>
    <w:rsid w:val="00FA1116"/>
    <w:rsid w:val="00FA118E"/>
    <w:rsid w:val="00FA11BD"/>
    <w:rsid w:val="00FA11C7"/>
    <w:rsid w:val="00FA1252"/>
    <w:rsid w:val="00FA138C"/>
    <w:rsid w:val="00FA1489"/>
    <w:rsid w:val="00FA152F"/>
    <w:rsid w:val="00FA16A8"/>
    <w:rsid w:val="00FA1748"/>
    <w:rsid w:val="00FA185F"/>
    <w:rsid w:val="00FA189C"/>
    <w:rsid w:val="00FA1939"/>
    <w:rsid w:val="00FA1954"/>
    <w:rsid w:val="00FA197A"/>
    <w:rsid w:val="00FA19C2"/>
    <w:rsid w:val="00FA1A3E"/>
    <w:rsid w:val="00FA1F1B"/>
    <w:rsid w:val="00FA216E"/>
    <w:rsid w:val="00FA236B"/>
    <w:rsid w:val="00FA23A5"/>
    <w:rsid w:val="00FA2407"/>
    <w:rsid w:val="00FA25B9"/>
    <w:rsid w:val="00FA2765"/>
    <w:rsid w:val="00FA277F"/>
    <w:rsid w:val="00FA2840"/>
    <w:rsid w:val="00FA285E"/>
    <w:rsid w:val="00FA2866"/>
    <w:rsid w:val="00FA2988"/>
    <w:rsid w:val="00FA29A2"/>
    <w:rsid w:val="00FA2A02"/>
    <w:rsid w:val="00FA2AA2"/>
    <w:rsid w:val="00FA2AFF"/>
    <w:rsid w:val="00FA2B0C"/>
    <w:rsid w:val="00FA2D5D"/>
    <w:rsid w:val="00FA2D92"/>
    <w:rsid w:val="00FA2DA4"/>
    <w:rsid w:val="00FA2EEE"/>
    <w:rsid w:val="00FA2F77"/>
    <w:rsid w:val="00FA30B5"/>
    <w:rsid w:val="00FA30C0"/>
    <w:rsid w:val="00FA313E"/>
    <w:rsid w:val="00FA3166"/>
    <w:rsid w:val="00FA31AB"/>
    <w:rsid w:val="00FA31F6"/>
    <w:rsid w:val="00FA3201"/>
    <w:rsid w:val="00FA324D"/>
    <w:rsid w:val="00FA3344"/>
    <w:rsid w:val="00FA3411"/>
    <w:rsid w:val="00FA3693"/>
    <w:rsid w:val="00FA36A5"/>
    <w:rsid w:val="00FA36B2"/>
    <w:rsid w:val="00FA36C7"/>
    <w:rsid w:val="00FA36D6"/>
    <w:rsid w:val="00FA378D"/>
    <w:rsid w:val="00FA3839"/>
    <w:rsid w:val="00FA38A2"/>
    <w:rsid w:val="00FA38B2"/>
    <w:rsid w:val="00FA3A68"/>
    <w:rsid w:val="00FA3CBF"/>
    <w:rsid w:val="00FA3D90"/>
    <w:rsid w:val="00FA3E0D"/>
    <w:rsid w:val="00FA3E6B"/>
    <w:rsid w:val="00FA3EA7"/>
    <w:rsid w:val="00FA3F71"/>
    <w:rsid w:val="00FA400B"/>
    <w:rsid w:val="00FA4041"/>
    <w:rsid w:val="00FA4164"/>
    <w:rsid w:val="00FA41BF"/>
    <w:rsid w:val="00FA41D9"/>
    <w:rsid w:val="00FA4274"/>
    <w:rsid w:val="00FA43B4"/>
    <w:rsid w:val="00FA43DA"/>
    <w:rsid w:val="00FA4403"/>
    <w:rsid w:val="00FA458B"/>
    <w:rsid w:val="00FA46C7"/>
    <w:rsid w:val="00FA46D4"/>
    <w:rsid w:val="00FA46F5"/>
    <w:rsid w:val="00FA47B4"/>
    <w:rsid w:val="00FA4953"/>
    <w:rsid w:val="00FA497B"/>
    <w:rsid w:val="00FA49AF"/>
    <w:rsid w:val="00FA49D2"/>
    <w:rsid w:val="00FA4B0F"/>
    <w:rsid w:val="00FA4B72"/>
    <w:rsid w:val="00FA4CFE"/>
    <w:rsid w:val="00FA4D38"/>
    <w:rsid w:val="00FA4D6A"/>
    <w:rsid w:val="00FA4D96"/>
    <w:rsid w:val="00FA4F2B"/>
    <w:rsid w:val="00FA5029"/>
    <w:rsid w:val="00FA50DD"/>
    <w:rsid w:val="00FA5122"/>
    <w:rsid w:val="00FA518D"/>
    <w:rsid w:val="00FA51A0"/>
    <w:rsid w:val="00FA51A4"/>
    <w:rsid w:val="00FA5249"/>
    <w:rsid w:val="00FA53CF"/>
    <w:rsid w:val="00FA5538"/>
    <w:rsid w:val="00FA5677"/>
    <w:rsid w:val="00FA56F6"/>
    <w:rsid w:val="00FA58B1"/>
    <w:rsid w:val="00FA58B4"/>
    <w:rsid w:val="00FA58BD"/>
    <w:rsid w:val="00FA5A4D"/>
    <w:rsid w:val="00FA5AF0"/>
    <w:rsid w:val="00FA5C6D"/>
    <w:rsid w:val="00FA5C7B"/>
    <w:rsid w:val="00FA5E6A"/>
    <w:rsid w:val="00FA608C"/>
    <w:rsid w:val="00FA6092"/>
    <w:rsid w:val="00FA6184"/>
    <w:rsid w:val="00FA6354"/>
    <w:rsid w:val="00FA6380"/>
    <w:rsid w:val="00FA6476"/>
    <w:rsid w:val="00FA6484"/>
    <w:rsid w:val="00FA650C"/>
    <w:rsid w:val="00FA6557"/>
    <w:rsid w:val="00FA66A5"/>
    <w:rsid w:val="00FA67DA"/>
    <w:rsid w:val="00FA67F5"/>
    <w:rsid w:val="00FA67FC"/>
    <w:rsid w:val="00FA68B7"/>
    <w:rsid w:val="00FA68D7"/>
    <w:rsid w:val="00FA697A"/>
    <w:rsid w:val="00FA6B51"/>
    <w:rsid w:val="00FA6C35"/>
    <w:rsid w:val="00FA6C55"/>
    <w:rsid w:val="00FA6CAD"/>
    <w:rsid w:val="00FA6D7F"/>
    <w:rsid w:val="00FA6DCC"/>
    <w:rsid w:val="00FA6E44"/>
    <w:rsid w:val="00FA6EC4"/>
    <w:rsid w:val="00FA6EF7"/>
    <w:rsid w:val="00FA7001"/>
    <w:rsid w:val="00FA707E"/>
    <w:rsid w:val="00FA71B3"/>
    <w:rsid w:val="00FA7258"/>
    <w:rsid w:val="00FA7296"/>
    <w:rsid w:val="00FA72CC"/>
    <w:rsid w:val="00FA72FC"/>
    <w:rsid w:val="00FA73C1"/>
    <w:rsid w:val="00FA73C8"/>
    <w:rsid w:val="00FA7429"/>
    <w:rsid w:val="00FA745D"/>
    <w:rsid w:val="00FA758D"/>
    <w:rsid w:val="00FA7641"/>
    <w:rsid w:val="00FA76FA"/>
    <w:rsid w:val="00FA77F7"/>
    <w:rsid w:val="00FA79D2"/>
    <w:rsid w:val="00FA79EB"/>
    <w:rsid w:val="00FA7B40"/>
    <w:rsid w:val="00FA7C73"/>
    <w:rsid w:val="00FA7CD3"/>
    <w:rsid w:val="00FA7D14"/>
    <w:rsid w:val="00FA7F0C"/>
    <w:rsid w:val="00FB009A"/>
    <w:rsid w:val="00FB0162"/>
    <w:rsid w:val="00FB01EC"/>
    <w:rsid w:val="00FB025A"/>
    <w:rsid w:val="00FB03B2"/>
    <w:rsid w:val="00FB049A"/>
    <w:rsid w:val="00FB04B0"/>
    <w:rsid w:val="00FB04FC"/>
    <w:rsid w:val="00FB058C"/>
    <w:rsid w:val="00FB05E9"/>
    <w:rsid w:val="00FB060E"/>
    <w:rsid w:val="00FB0676"/>
    <w:rsid w:val="00FB075E"/>
    <w:rsid w:val="00FB07AF"/>
    <w:rsid w:val="00FB07D1"/>
    <w:rsid w:val="00FB0A5E"/>
    <w:rsid w:val="00FB0A93"/>
    <w:rsid w:val="00FB0D97"/>
    <w:rsid w:val="00FB0D99"/>
    <w:rsid w:val="00FB0FE3"/>
    <w:rsid w:val="00FB1033"/>
    <w:rsid w:val="00FB10BD"/>
    <w:rsid w:val="00FB110D"/>
    <w:rsid w:val="00FB1262"/>
    <w:rsid w:val="00FB1307"/>
    <w:rsid w:val="00FB13D5"/>
    <w:rsid w:val="00FB148F"/>
    <w:rsid w:val="00FB14F9"/>
    <w:rsid w:val="00FB1528"/>
    <w:rsid w:val="00FB156A"/>
    <w:rsid w:val="00FB1599"/>
    <w:rsid w:val="00FB15AE"/>
    <w:rsid w:val="00FB1751"/>
    <w:rsid w:val="00FB175F"/>
    <w:rsid w:val="00FB1949"/>
    <w:rsid w:val="00FB19FC"/>
    <w:rsid w:val="00FB1A6F"/>
    <w:rsid w:val="00FB1A92"/>
    <w:rsid w:val="00FB1B7C"/>
    <w:rsid w:val="00FB1B89"/>
    <w:rsid w:val="00FB1B9B"/>
    <w:rsid w:val="00FB1E09"/>
    <w:rsid w:val="00FB1E95"/>
    <w:rsid w:val="00FB1EE2"/>
    <w:rsid w:val="00FB1F12"/>
    <w:rsid w:val="00FB1F83"/>
    <w:rsid w:val="00FB20A6"/>
    <w:rsid w:val="00FB214B"/>
    <w:rsid w:val="00FB2226"/>
    <w:rsid w:val="00FB2233"/>
    <w:rsid w:val="00FB2293"/>
    <w:rsid w:val="00FB2383"/>
    <w:rsid w:val="00FB25C1"/>
    <w:rsid w:val="00FB276F"/>
    <w:rsid w:val="00FB27B8"/>
    <w:rsid w:val="00FB27BA"/>
    <w:rsid w:val="00FB280F"/>
    <w:rsid w:val="00FB285C"/>
    <w:rsid w:val="00FB2998"/>
    <w:rsid w:val="00FB29CE"/>
    <w:rsid w:val="00FB2A59"/>
    <w:rsid w:val="00FB2A96"/>
    <w:rsid w:val="00FB2AF8"/>
    <w:rsid w:val="00FB2B56"/>
    <w:rsid w:val="00FB2B6E"/>
    <w:rsid w:val="00FB2C3E"/>
    <w:rsid w:val="00FB2CBF"/>
    <w:rsid w:val="00FB2CC3"/>
    <w:rsid w:val="00FB2DCE"/>
    <w:rsid w:val="00FB2E4A"/>
    <w:rsid w:val="00FB2E68"/>
    <w:rsid w:val="00FB2F37"/>
    <w:rsid w:val="00FB2F63"/>
    <w:rsid w:val="00FB2FF0"/>
    <w:rsid w:val="00FB3034"/>
    <w:rsid w:val="00FB31ED"/>
    <w:rsid w:val="00FB32BC"/>
    <w:rsid w:val="00FB333B"/>
    <w:rsid w:val="00FB3406"/>
    <w:rsid w:val="00FB3582"/>
    <w:rsid w:val="00FB36C9"/>
    <w:rsid w:val="00FB37A6"/>
    <w:rsid w:val="00FB38BC"/>
    <w:rsid w:val="00FB38F8"/>
    <w:rsid w:val="00FB39F0"/>
    <w:rsid w:val="00FB3A82"/>
    <w:rsid w:val="00FB3A91"/>
    <w:rsid w:val="00FB3A9B"/>
    <w:rsid w:val="00FB3B3E"/>
    <w:rsid w:val="00FB3B96"/>
    <w:rsid w:val="00FB3D7C"/>
    <w:rsid w:val="00FB3D7E"/>
    <w:rsid w:val="00FB3D80"/>
    <w:rsid w:val="00FB3E76"/>
    <w:rsid w:val="00FB3F79"/>
    <w:rsid w:val="00FB407D"/>
    <w:rsid w:val="00FB425B"/>
    <w:rsid w:val="00FB4267"/>
    <w:rsid w:val="00FB43A0"/>
    <w:rsid w:val="00FB4441"/>
    <w:rsid w:val="00FB45CD"/>
    <w:rsid w:val="00FB460D"/>
    <w:rsid w:val="00FB462A"/>
    <w:rsid w:val="00FB46B2"/>
    <w:rsid w:val="00FB47A7"/>
    <w:rsid w:val="00FB48B3"/>
    <w:rsid w:val="00FB4920"/>
    <w:rsid w:val="00FB49AD"/>
    <w:rsid w:val="00FB49C9"/>
    <w:rsid w:val="00FB4C0A"/>
    <w:rsid w:val="00FB4CD6"/>
    <w:rsid w:val="00FB4E38"/>
    <w:rsid w:val="00FB4E6B"/>
    <w:rsid w:val="00FB4ED6"/>
    <w:rsid w:val="00FB501D"/>
    <w:rsid w:val="00FB5037"/>
    <w:rsid w:val="00FB51F5"/>
    <w:rsid w:val="00FB5232"/>
    <w:rsid w:val="00FB5241"/>
    <w:rsid w:val="00FB526B"/>
    <w:rsid w:val="00FB5356"/>
    <w:rsid w:val="00FB5549"/>
    <w:rsid w:val="00FB55C6"/>
    <w:rsid w:val="00FB57F9"/>
    <w:rsid w:val="00FB586A"/>
    <w:rsid w:val="00FB5884"/>
    <w:rsid w:val="00FB58F6"/>
    <w:rsid w:val="00FB5A4B"/>
    <w:rsid w:val="00FB5D26"/>
    <w:rsid w:val="00FB5D9F"/>
    <w:rsid w:val="00FB5DC1"/>
    <w:rsid w:val="00FB5DDD"/>
    <w:rsid w:val="00FB5F60"/>
    <w:rsid w:val="00FB5F79"/>
    <w:rsid w:val="00FB6043"/>
    <w:rsid w:val="00FB604B"/>
    <w:rsid w:val="00FB6161"/>
    <w:rsid w:val="00FB63FE"/>
    <w:rsid w:val="00FB641B"/>
    <w:rsid w:val="00FB655D"/>
    <w:rsid w:val="00FB6603"/>
    <w:rsid w:val="00FB662B"/>
    <w:rsid w:val="00FB667B"/>
    <w:rsid w:val="00FB66A7"/>
    <w:rsid w:val="00FB6780"/>
    <w:rsid w:val="00FB67DC"/>
    <w:rsid w:val="00FB6928"/>
    <w:rsid w:val="00FB69D6"/>
    <w:rsid w:val="00FB6AA9"/>
    <w:rsid w:val="00FB6B73"/>
    <w:rsid w:val="00FB6C38"/>
    <w:rsid w:val="00FB6C52"/>
    <w:rsid w:val="00FB6DAF"/>
    <w:rsid w:val="00FB6E39"/>
    <w:rsid w:val="00FB6EF9"/>
    <w:rsid w:val="00FB6F4C"/>
    <w:rsid w:val="00FB7297"/>
    <w:rsid w:val="00FB7331"/>
    <w:rsid w:val="00FB735D"/>
    <w:rsid w:val="00FB7417"/>
    <w:rsid w:val="00FB7419"/>
    <w:rsid w:val="00FB749C"/>
    <w:rsid w:val="00FB7524"/>
    <w:rsid w:val="00FB77B7"/>
    <w:rsid w:val="00FB7810"/>
    <w:rsid w:val="00FB7833"/>
    <w:rsid w:val="00FB796A"/>
    <w:rsid w:val="00FB7A34"/>
    <w:rsid w:val="00FB7A45"/>
    <w:rsid w:val="00FB7B7C"/>
    <w:rsid w:val="00FB7BE2"/>
    <w:rsid w:val="00FB7C67"/>
    <w:rsid w:val="00FB7CB8"/>
    <w:rsid w:val="00FB7D02"/>
    <w:rsid w:val="00FB7D53"/>
    <w:rsid w:val="00FB7DFD"/>
    <w:rsid w:val="00FB7EB7"/>
    <w:rsid w:val="00FB7ECC"/>
    <w:rsid w:val="00FB7ECE"/>
    <w:rsid w:val="00FB7F3D"/>
    <w:rsid w:val="00FB7FD8"/>
    <w:rsid w:val="00FC014B"/>
    <w:rsid w:val="00FC0156"/>
    <w:rsid w:val="00FC02FA"/>
    <w:rsid w:val="00FC030B"/>
    <w:rsid w:val="00FC0334"/>
    <w:rsid w:val="00FC0341"/>
    <w:rsid w:val="00FC035E"/>
    <w:rsid w:val="00FC03B1"/>
    <w:rsid w:val="00FC0508"/>
    <w:rsid w:val="00FC0585"/>
    <w:rsid w:val="00FC05FE"/>
    <w:rsid w:val="00FC088D"/>
    <w:rsid w:val="00FC0894"/>
    <w:rsid w:val="00FC08DF"/>
    <w:rsid w:val="00FC08E2"/>
    <w:rsid w:val="00FC0963"/>
    <w:rsid w:val="00FC096A"/>
    <w:rsid w:val="00FC0A30"/>
    <w:rsid w:val="00FC0A65"/>
    <w:rsid w:val="00FC0B53"/>
    <w:rsid w:val="00FC0B68"/>
    <w:rsid w:val="00FC0C5D"/>
    <w:rsid w:val="00FC0C82"/>
    <w:rsid w:val="00FC0CC5"/>
    <w:rsid w:val="00FC0CCA"/>
    <w:rsid w:val="00FC0D5E"/>
    <w:rsid w:val="00FC0D74"/>
    <w:rsid w:val="00FC0E05"/>
    <w:rsid w:val="00FC0EBF"/>
    <w:rsid w:val="00FC0F2D"/>
    <w:rsid w:val="00FC0F4C"/>
    <w:rsid w:val="00FC111A"/>
    <w:rsid w:val="00FC1134"/>
    <w:rsid w:val="00FC12BA"/>
    <w:rsid w:val="00FC14B1"/>
    <w:rsid w:val="00FC1532"/>
    <w:rsid w:val="00FC1622"/>
    <w:rsid w:val="00FC16A3"/>
    <w:rsid w:val="00FC17C3"/>
    <w:rsid w:val="00FC17FA"/>
    <w:rsid w:val="00FC183C"/>
    <w:rsid w:val="00FC1874"/>
    <w:rsid w:val="00FC192F"/>
    <w:rsid w:val="00FC19ED"/>
    <w:rsid w:val="00FC1B1A"/>
    <w:rsid w:val="00FC1B68"/>
    <w:rsid w:val="00FC1B72"/>
    <w:rsid w:val="00FC1B95"/>
    <w:rsid w:val="00FC1BCC"/>
    <w:rsid w:val="00FC1BEB"/>
    <w:rsid w:val="00FC1C08"/>
    <w:rsid w:val="00FC1E3F"/>
    <w:rsid w:val="00FC203D"/>
    <w:rsid w:val="00FC2104"/>
    <w:rsid w:val="00FC2142"/>
    <w:rsid w:val="00FC21C3"/>
    <w:rsid w:val="00FC220D"/>
    <w:rsid w:val="00FC23F4"/>
    <w:rsid w:val="00FC2439"/>
    <w:rsid w:val="00FC244E"/>
    <w:rsid w:val="00FC24E4"/>
    <w:rsid w:val="00FC26DB"/>
    <w:rsid w:val="00FC27DD"/>
    <w:rsid w:val="00FC2A13"/>
    <w:rsid w:val="00FC2A1F"/>
    <w:rsid w:val="00FC2AAE"/>
    <w:rsid w:val="00FC2AD8"/>
    <w:rsid w:val="00FC2ADA"/>
    <w:rsid w:val="00FC2B0D"/>
    <w:rsid w:val="00FC2BE0"/>
    <w:rsid w:val="00FC2C74"/>
    <w:rsid w:val="00FC2CF1"/>
    <w:rsid w:val="00FC30A6"/>
    <w:rsid w:val="00FC3141"/>
    <w:rsid w:val="00FC31ED"/>
    <w:rsid w:val="00FC31F8"/>
    <w:rsid w:val="00FC328C"/>
    <w:rsid w:val="00FC32B6"/>
    <w:rsid w:val="00FC3300"/>
    <w:rsid w:val="00FC348F"/>
    <w:rsid w:val="00FC34EB"/>
    <w:rsid w:val="00FC372B"/>
    <w:rsid w:val="00FC37E9"/>
    <w:rsid w:val="00FC3952"/>
    <w:rsid w:val="00FC3A22"/>
    <w:rsid w:val="00FC3A4B"/>
    <w:rsid w:val="00FC3A87"/>
    <w:rsid w:val="00FC3E8B"/>
    <w:rsid w:val="00FC3E94"/>
    <w:rsid w:val="00FC3E9D"/>
    <w:rsid w:val="00FC3ECA"/>
    <w:rsid w:val="00FC3F31"/>
    <w:rsid w:val="00FC3F4D"/>
    <w:rsid w:val="00FC3FE9"/>
    <w:rsid w:val="00FC4105"/>
    <w:rsid w:val="00FC4126"/>
    <w:rsid w:val="00FC4164"/>
    <w:rsid w:val="00FC4263"/>
    <w:rsid w:val="00FC42DF"/>
    <w:rsid w:val="00FC4302"/>
    <w:rsid w:val="00FC435A"/>
    <w:rsid w:val="00FC43A4"/>
    <w:rsid w:val="00FC43AE"/>
    <w:rsid w:val="00FC44A2"/>
    <w:rsid w:val="00FC44BD"/>
    <w:rsid w:val="00FC44CA"/>
    <w:rsid w:val="00FC44E4"/>
    <w:rsid w:val="00FC4539"/>
    <w:rsid w:val="00FC454B"/>
    <w:rsid w:val="00FC4617"/>
    <w:rsid w:val="00FC469D"/>
    <w:rsid w:val="00FC494B"/>
    <w:rsid w:val="00FC4B25"/>
    <w:rsid w:val="00FC4B7E"/>
    <w:rsid w:val="00FC4BB6"/>
    <w:rsid w:val="00FC4EB0"/>
    <w:rsid w:val="00FC4EF6"/>
    <w:rsid w:val="00FC4F7F"/>
    <w:rsid w:val="00FC5256"/>
    <w:rsid w:val="00FC5489"/>
    <w:rsid w:val="00FC551A"/>
    <w:rsid w:val="00FC5533"/>
    <w:rsid w:val="00FC569E"/>
    <w:rsid w:val="00FC571E"/>
    <w:rsid w:val="00FC5801"/>
    <w:rsid w:val="00FC5814"/>
    <w:rsid w:val="00FC5859"/>
    <w:rsid w:val="00FC5950"/>
    <w:rsid w:val="00FC5978"/>
    <w:rsid w:val="00FC59B5"/>
    <w:rsid w:val="00FC5A0E"/>
    <w:rsid w:val="00FC5C06"/>
    <w:rsid w:val="00FC5C5F"/>
    <w:rsid w:val="00FC5CC8"/>
    <w:rsid w:val="00FC5D09"/>
    <w:rsid w:val="00FC5D66"/>
    <w:rsid w:val="00FC5D7A"/>
    <w:rsid w:val="00FC5E92"/>
    <w:rsid w:val="00FC5F53"/>
    <w:rsid w:val="00FC5F8F"/>
    <w:rsid w:val="00FC5FFF"/>
    <w:rsid w:val="00FC6122"/>
    <w:rsid w:val="00FC61AC"/>
    <w:rsid w:val="00FC61C9"/>
    <w:rsid w:val="00FC624D"/>
    <w:rsid w:val="00FC62F8"/>
    <w:rsid w:val="00FC63E7"/>
    <w:rsid w:val="00FC64FB"/>
    <w:rsid w:val="00FC6624"/>
    <w:rsid w:val="00FC663C"/>
    <w:rsid w:val="00FC6843"/>
    <w:rsid w:val="00FC68C9"/>
    <w:rsid w:val="00FC6984"/>
    <w:rsid w:val="00FC69B0"/>
    <w:rsid w:val="00FC69B4"/>
    <w:rsid w:val="00FC69DD"/>
    <w:rsid w:val="00FC69E7"/>
    <w:rsid w:val="00FC6A0E"/>
    <w:rsid w:val="00FC6A2B"/>
    <w:rsid w:val="00FC6A4D"/>
    <w:rsid w:val="00FC6C10"/>
    <w:rsid w:val="00FC6D48"/>
    <w:rsid w:val="00FC6D60"/>
    <w:rsid w:val="00FC6E05"/>
    <w:rsid w:val="00FC7002"/>
    <w:rsid w:val="00FC7142"/>
    <w:rsid w:val="00FC719C"/>
    <w:rsid w:val="00FC7272"/>
    <w:rsid w:val="00FC7434"/>
    <w:rsid w:val="00FC746B"/>
    <w:rsid w:val="00FC749F"/>
    <w:rsid w:val="00FC7520"/>
    <w:rsid w:val="00FC7641"/>
    <w:rsid w:val="00FC7773"/>
    <w:rsid w:val="00FC77AE"/>
    <w:rsid w:val="00FC77E4"/>
    <w:rsid w:val="00FC7812"/>
    <w:rsid w:val="00FC7873"/>
    <w:rsid w:val="00FC78B0"/>
    <w:rsid w:val="00FC78D2"/>
    <w:rsid w:val="00FC78D5"/>
    <w:rsid w:val="00FC7A6C"/>
    <w:rsid w:val="00FC7B40"/>
    <w:rsid w:val="00FC7B4F"/>
    <w:rsid w:val="00FC7C30"/>
    <w:rsid w:val="00FC7CA8"/>
    <w:rsid w:val="00FC7EA1"/>
    <w:rsid w:val="00FD011E"/>
    <w:rsid w:val="00FD0266"/>
    <w:rsid w:val="00FD02E2"/>
    <w:rsid w:val="00FD039E"/>
    <w:rsid w:val="00FD05D7"/>
    <w:rsid w:val="00FD0710"/>
    <w:rsid w:val="00FD07B0"/>
    <w:rsid w:val="00FD07DE"/>
    <w:rsid w:val="00FD07F5"/>
    <w:rsid w:val="00FD0865"/>
    <w:rsid w:val="00FD0868"/>
    <w:rsid w:val="00FD08E4"/>
    <w:rsid w:val="00FD098B"/>
    <w:rsid w:val="00FD09A0"/>
    <w:rsid w:val="00FD0ABB"/>
    <w:rsid w:val="00FD0B15"/>
    <w:rsid w:val="00FD0D6C"/>
    <w:rsid w:val="00FD0E03"/>
    <w:rsid w:val="00FD0E82"/>
    <w:rsid w:val="00FD0E88"/>
    <w:rsid w:val="00FD0EA5"/>
    <w:rsid w:val="00FD11E0"/>
    <w:rsid w:val="00FD131F"/>
    <w:rsid w:val="00FD132F"/>
    <w:rsid w:val="00FD13B6"/>
    <w:rsid w:val="00FD1457"/>
    <w:rsid w:val="00FD1463"/>
    <w:rsid w:val="00FD1579"/>
    <w:rsid w:val="00FD158E"/>
    <w:rsid w:val="00FD1611"/>
    <w:rsid w:val="00FD173C"/>
    <w:rsid w:val="00FD185D"/>
    <w:rsid w:val="00FD18A1"/>
    <w:rsid w:val="00FD1A18"/>
    <w:rsid w:val="00FD1B65"/>
    <w:rsid w:val="00FD1C5E"/>
    <w:rsid w:val="00FD1CDD"/>
    <w:rsid w:val="00FD1DF3"/>
    <w:rsid w:val="00FD1F7C"/>
    <w:rsid w:val="00FD1F9C"/>
    <w:rsid w:val="00FD1FE2"/>
    <w:rsid w:val="00FD2303"/>
    <w:rsid w:val="00FD2310"/>
    <w:rsid w:val="00FD233E"/>
    <w:rsid w:val="00FD24D1"/>
    <w:rsid w:val="00FD2554"/>
    <w:rsid w:val="00FD2560"/>
    <w:rsid w:val="00FD26C2"/>
    <w:rsid w:val="00FD26E5"/>
    <w:rsid w:val="00FD27DD"/>
    <w:rsid w:val="00FD281F"/>
    <w:rsid w:val="00FD288F"/>
    <w:rsid w:val="00FD28EE"/>
    <w:rsid w:val="00FD290E"/>
    <w:rsid w:val="00FD2942"/>
    <w:rsid w:val="00FD2A43"/>
    <w:rsid w:val="00FD2AD0"/>
    <w:rsid w:val="00FD2C26"/>
    <w:rsid w:val="00FD2C4F"/>
    <w:rsid w:val="00FD2DA4"/>
    <w:rsid w:val="00FD2E6F"/>
    <w:rsid w:val="00FD3055"/>
    <w:rsid w:val="00FD3173"/>
    <w:rsid w:val="00FD332E"/>
    <w:rsid w:val="00FD33FA"/>
    <w:rsid w:val="00FD348E"/>
    <w:rsid w:val="00FD34EE"/>
    <w:rsid w:val="00FD35FA"/>
    <w:rsid w:val="00FD36F2"/>
    <w:rsid w:val="00FD3899"/>
    <w:rsid w:val="00FD38AA"/>
    <w:rsid w:val="00FD39BF"/>
    <w:rsid w:val="00FD3AF5"/>
    <w:rsid w:val="00FD3B3E"/>
    <w:rsid w:val="00FD3BFD"/>
    <w:rsid w:val="00FD3D87"/>
    <w:rsid w:val="00FD3DE8"/>
    <w:rsid w:val="00FD3EB4"/>
    <w:rsid w:val="00FD3F2A"/>
    <w:rsid w:val="00FD4049"/>
    <w:rsid w:val="00FD4050"/>
    <w:rsid w:val="00FD413B"/>
    <w:rsid w:val="00FD415C"/>
    <w:rsid w:val="00FD4175"/>
    <w:rsid w:val="00FD41A5"/>
    <w:rsid w:val="00FD41A7"/>
    <w:rsid w:val="00FD423C"/>
    <w:rsid w:val="00FD4320"/>
    <w:rsid w:val="00FD43A9"/>
    <w:rsid w:val="00FD43DB"/>
    <w:rsid w:val="00FD4496"/>
    <w:rsid w:val="00FD46D7"/>
    <w:rsid w:val="00FD4727"/>
    <w:rsid w:val="00FD4739"/>
    <w:rsid w:val="00FD47B6"/>
    <w:rsid w:val="00FD47F0"/>
    <w:rsid w:val="00FD4814"/>
    <w:rsid w:val="00FD491A"/>
    <w:rsid w:val="00FD497D"/>
    <w:rsid w:val="00FD4ACE"/>
    <w:rsid w:val="00FD4AE8"/>
    <w:rsid w:val="00FD4CB9"/>
    <w:rsid w:val="00FD4CE4"/>
    <w:rsid w:val="00FD4DA2"/>
    <w:rsid w:val="00FD4DA3"/>
    <w:rsid w:val="00FD4F28"/>
    <w:rsid w:val="00FD4F50"/>
    <w:rsid w:val="00FD4FA6"/>
    <w:rsid w:val="00FD4FB7"/>
    <w:rsid w:val="00FD501D"/>
    <w:rsid w:val="00FD505C"/>
    <w:rsid w:val="00FD5223"/>
    <w:rsid w:val="00FD5235"/>
    <w:rsid w:val="00FD52A2"/>
    <w:rsid w:val="00FD532A"/>
    <w:rsid w:val="00FD536D"/>
    <w:rsid w:val="00FD5394"/>
    <w:rsid w:val="00FD5398"/>
    <w:rsid w:val="00FD5421"/>
    <w:rsid w:val="00FD5491"/>
    <w:rsid w:val="00FD55E7"/>
    <w:rsid w:val="00FD561E"/>
    <w:rsid w:val="00FD5687"/>
    <w:rsid w:val="00FD569E"/>
    <w:rsid w:val="00FD5705"/>
    <w:rsid w:val="00FD5867"/>
    <w:rsid w:val="00FD5961"/>
    <w:rsid w:val="00FD5968"/>
    <w:rsid w:val="00FD59D2"/>
    <w:rsid w:val="00FD5A85"/>
    <w:rsid w:val="00FD5AB1"/>
    <w:rsid w:val="00FD5B85"/>
    <w:rsid w:val="00FD5BBC"/>
    <w:rsid w:val="00FD5C0A"/>
    <w:rsid w:val="00FD5C23"/>
    <w:rsid w:val="00FD5CC9"/>
    <w:rsid w:val="00FD5D2D"/>
    <w:rsid w:val="00FD5D6C"/>
    <w:rsid w:val="00FD5E26"/>
    <w:rsid w:val="00FD5E3E"/>
    <w:rsid w:val="00FD5EBF"/>
    <w:rsid w:val="00FD5F41"/>
    <w:rsid w:val="00FD600A"/>
    <w:rsid w:val="00FD602F"/>
    <w:rsid w:val="00FD6313"/>
    <w:rsid w:val="00FD6379"/>
    <w:rsid w:val="00FD63B9"/>
    <w:rsid w:val="00FD6514"/>
    <w:rsid w:val="00FD657D"/>
    <w:rsid w:val="00FD6621"/>
    <w:rsid w:val="00FD662B"/>
    <w:rsid w:val="00FD66AB"/>
    <w:rsid w:val="00FD68AA"/>
    <w:rsid w:val="00FD68DE"/>
    <w:rsid w:val="00FD6A1E"/>
    <w:rsid w:val="00FD6A2B"/>
    <w:rsid w:val="00FD6CA8"/>
    <w:rsid w:val="00FD6CC2"/>
    <w:rsid w:val="00FD6D7E"/>
    <w:rsid w:val="00FD6E51"/>
    <w:rsid w:val="00FD6E98"/>
    <w:rsid w:val="00FD6EF3"/>
    <w:rsid w:val="00FD6FFC"/>
    <w:rsid w:val="00FD7004"/>
    <w:rsid w:val="00FD700E"/>
    <w:rsid w:val="00FD717F"/>
    <w:rsid w:val="00FD71BB"/>
    <w:rsid w:val="00FD71F0"/>
    <w:rsid w:val="00FD7257"/>
    <w:rsid w:val="00FD72DA"/>
    <w:rsid w:val="00FD72EA"/>
    <w:rsid w:val="00FD7348"/>
    <w:rsid w:val="00FD7585"/>
    <w:rsid w:val="00FD76B0"/>
    <w:rsid w:val="00FD76BF"/>
    <w:rsid w:val="00FD76D3"/>
    <w:rsid w:val="00FD7791"/>
    <w:rsid w:val="00FD779A"/>
    <w:rsid w:val="00FD7999"/>
    <w:rsid w:val="00FD7B02"/>
    <w:rsid w:val="00FD7BDF"/>
    <w:rsid w:val="00FD7C13"/>
    <w:rsid w:val="00FD7C40"/>
    <w:rsid w:val="00FD7CC2"/>
    <w:rsid w:val="00FD7D2C"/>
    <w:rsid w:val="00FD7D79"/>
    <w:rsid w:val="00FD7DBA"/>
    <w:rsid w:val="00FD7ED8"/>
    <w:rsid w:val="00FD7F5F"/>
    <w:rsid w:val="00FE0024"/>
    <w:rsid w:val="00FE003C"/>
    <w:rsid w:val="00FE010E"/>
    <w:rsid w:val="00FE0133"/>
    <w:rsid w:val="00FE0229"/>
    <w:rsid w:val="00FE0262"/>
    <w:rsid w:val="00FE0270"/>
    <w:rsid w:val="00FE028C"/>
    <w:rsid w:val="00FE032A"/>
    <w:rsid w:val="00FE04D9"/>
    <w:rsid w:val="00FE0577"/>
    <w:rsid w:val="00FE05F7"/>
    <w:rsid w:val="00FE0636"/>
    <w:rsid w:val="00FE072A"/>
    <w:rsid w:val="00FE0750"/>
    <w:rsid w:val="00FE08B7"/>
    <w:rsid w:val="00FE094E"/>
    <w:rsid w:val="00FE09AA"/>
    <w:rsid w:val="00FE0A1B"/>
    <w:rsid w:val="00FE0AE4"/>
    <w:rsid w:val="00FE0AFA"/>
    <w:rsid w:val="00FE0B3E"/>
    <w:rsid w:val="00FE0B98"/>
    <w:rsid w:val="00FE0C45"/>
    <w:rsid w:val="00FE0C74"/>
    <w:rsid w:val="00FE0C93"/>
    <w:rsid w:val="00FE0D08"/>
    <w:rsid w:val="00FE0E32"/>
    <w:rsid w:val="00FE0EA3"/>
    <w:rsid w:val="00FE0F9F"/>
    <w:rsid w:val="00FE1019"/>
    <w:rsid w:val="00FE10D1"/>
    <w:rsid w:val="00FE10E1"/>
    <w:rsid w:val="00FE1128"/>
    <w:rsid w:val="00FE1167"/>
    <w:rsid w:val="00FE1212"/>
    <w:rsid w:val="00FE124C"/>
    <w:rsid w:val="00FE128A"/>
    <w:rsid w:val="00FE12A6"/>
    <w:rsid w:val="00FE13F2"/>
    <w:rsid w:val="00FE140A"/>
    <w:rsid w:val="00FE147C"/>
    <w:rsid w:val="00FE14EA"/>
    <w:rsid w:val="00FE14F9"/>
    <w:rsid w:val="00FE165B"/>
    <w:rsid w:val="00FE169D"/>
    <w:rsid w:val="00FE1750"/>
    <w:rsid w:val="00FE1755"/>
    <w:rsid w:val="00FE1782"/>
    <w:rsid w:val="00FE1797"/>
    <w:rsid w:val="00FE17D6"/>
    <w:rsid w:val="00FE1800"/>
    <w:rsid w:val="00FE1871"/>
    <w:rsid w:val="00FE188E"/>
    <w:rsid w:val="00FE1A83"/>
    <w:rsid w:val="00FE1B13"/>
    <w:rsid w:val="00FE1B69"/>
    <w:rsid w:val="00FE1B88"/>
    <w:rsid w:val="00FE1BB4"/>
    <w:rsid w:val="00FE1C06"/>
    <w:rsid w:val="00FE1C9C"/>
    <w:rsid w:val="00FE1F6D"/>
    <w:rsid w:val="00FE206C"/>
    <w:rsid w:val="00FE20B1"/>
    <w:rsid w:val="00FE21C9"/>
    <w:rsid w:val="00FE24CE"/>
    <w:rsid w:val="00FE2692"/>
    <w:rsid w:val="00FE26BE"/>
    <w:rsid w:val="00FE27A0"/>
    <w:rsid w:val="00FE285F"/>
    <w:rsid w:val="00FE2AD3"/>
    <w:rsid w:val="00FE2B23"/>
    <w:rsid w:val="00FE2B37"/>
    <w:rsid w:val="00FE2B39"/>
    <w:rsid w:val="00FE2B3A"/>
    <w:rsid w:val="00FE2C67"/>
    <w:rsid w:val="00FE2CC1"/>
    <w:rsid w:val="00FE2CCF"/>
    <w:rsid w:val="00FE2D4F"/>
    <w:rsid w:val="00FE2E30"/>
    <w:rsid w:val="00FE2F01"/>
    <w:rsid w:val="00FE30B9"/>
    <w:rsid w:val="00FE30C6"/>
    <w:rsid w:val="00FE30FD"/>
    <w:rsid w:val="00FE3211"/>
    <w:rsid w:val="00FE33A0"/>
    <w:rsid w:val="00FE3692"/>
    <w:rsid w:val="00FE36A4"/>
    <w:rsid w:val="00FE387F"/>
    <w:rsid w:val="00FE3BAA"/>
    <w:rsid w:val="00FE3BB3"/>
    <w:rsid w:val="00FE3D64"/>
    <w:rsid w:val="00FE3E28"/>
    <w:rsid w:val="00FE3FDD"/>
    <w:rsid w:val="00FE4087"/>
    <w:rsid w:val="00FE4104"/>
    <w:rsid w:val="00FE4109"/>
    <w:rsid w:val="00FE41BA"/>
    <w:rsid w:val="00FE4240"/>
    <w:rsid w:val="00FE430A"/>
    <w:rsid w:val="00FE4328"/>
    <w:rsid w:val="00FE433F"/>
    <w:rsid w:val="00FE4490"/>
    <w:rsid w:val="00FE4539"/>
    <w:rsid w:val="00FE4582"/>
    <w:rsid w:val="00FE45C0"/>
    <w:rsid w:val="00FE45F8"/>
    <w:rsid w:val="00FE476A"/>
    <w:rsid w:val="00FE47CB"/>
    <w:rsid w:val="00FE47F3"/>
    <w:rsid w:val="00FE4892"/>
    <w:rsid w:val="00FE49CB"/>
    <w:rsid w:val="00FE4A1F"/>
    <w:rsid w:val="00FE4AE3"/>
    <w:rsid w:val="00FE4B5D"/>
    <w:rsid w:val="00FE4D57"/>
    <w:rsid w:val="00FE4DBD"/>
    <w:rsid w:val="00FE4EA5"/>
    <w:rsid w:val="00FE501E"/>
    <w:rsid w:val="00FE5038"/>
    <w:rsid w:val="00FE51B9"/>
    <w:rsid w:val="00FE52B0"/>
    <w:rsid w:val="00FE52DB"/>
    <w:rsid w:val="00FE5323"/>
    <w:rsid w:val="00FE5334"/>
    <w:rsid w:val="00FE53A0"/>
    <w:rsid w:val="00FE53EF"/>
    <w:rsid w:val="00FE5415"/>
    <w:rsid w:val="00FE54B6"/>
    <w:rsid w:val="00FE5534"/>
    <w:rsid w:val="00FE56C5"/>
    <w:rsid w:val="00FE5787"/>
    <w:rsid w:val="00FE5795"/>
    <w:rsid w:val="00FE57CE"/>
    <w:rsid w:val="00FE58E5"/>
    <w:rsid w:val="00FE5B6B"/>
    <w:rsid w:val="00FE5B78"/>
    <w:rsid w:val="00FE5BA2"/>
    <w:rsid w:val="00FE5BB6"/>
    <w:rsid w:val="00FE5C55"/>
    <w:rsid w:val="00FE5DCD"/>
    <w:rsid w:val="00FE5DCF"/>
    <w:rsid w:val="00FE5DEC"/>
    <w:rsid w:val="00FE5E41"/>
    <w:rsid w:val="00FE5F8B"/>
    <w:rsid w:val="00FE5FA4"/>
    <w:rsid w:val="00FE5FD8"/>
    <w:rsid w:val="00FE60AF"/>
    <w:rsid w:val="00FE60D0"/>
    <w:rsid w:val="00FE60FD"/>
    <w:rsid w:val="00FE634E"/>
    <w:rsid w:val="00FE636F"/>
    <w:rsid w:val="00FE6373"/>
    <w:rsid w:val="00FE63B7"/>
    <w:rsid w:val="00FE63D9"/>
    <w:rsid w:val="00FE63F2"/>
    <w:rsid w:val="00FE6474"/>
    <w:rsid w:val="00FE64DD"/>
    <w:rsid w:val="00FE6532"/>
    <w:rsid w:val="00FE66B8"/>
    <w:rsid w:val="00FE67AF"/>
    <w:rsid w:val="00FE6866"/>
    <w:rsid w:val="00FE690E"/>
    <w:rsid w:val="00FE6924"/>
    <w:rsid w:val="00FE6969"/>
    <w:rsid w:val="00FE69D2"/>
    <w:rsid w:val="00FE6A98"/>
    <w:rsid w:val="00FE6ACA"/>
    <w:rsid w:val="00FE6B2E"/>
    <w:rsid w:val="00FE6BF7"/>
    <w:rsid w:val="00FE6D48"/>
    <w:rsid w:val="00FE6D6A"/>
    <w:rsid w:val="00FE6E71"/>
    <w:rsid w:val="00FE6EAD"/>
    <w:rsid w:val="00FE6EE9"/>
    <w:rsid w:val="00FE6FAE"/>
    <w:rsid w:val="00FE70F3"/>
    <w:rsid w:val="00FE716A"/>
    <w:rsid w:val="00FE7173"/>
    <w:rsid w:val="00FE718A"/>
    <w:rsid w:val="00FE71B6"/>
    <w:rsid w:val="00FE72CF"/>
    <w:rsid w:val="00FE73EA"/>
    <w:rsid w:val="00FE749B"/>
    <w:rsid w:val="00FE757B"/>
    <w:rsid w:val="00FE7694"/>
    <w:rsid w:val="00FE772D"/>
    <w:rsid w:val="00FE77A6"/>
    <w:rsid w:val="00FE7875"/>
    <w:rsid w:val="00FE78B4"/>
    <w:rsid w:val="00FE7930"/>
    <w:rsid w:val="00FE79C6"/>
    <w:rsid w:val="00FE7AE4"/>
    <w:rsid w:val="00FE7C03"/>
    <w:rsid w:val="00FE7C55"/>
    <w:rsid w:val="00FE7C58"/>
    <w:rsid w:val="00FE7E0D"/>
    <w:rsid w:val="00FE7E60"/>
    <w:rsid w:val="00FE7E6F"/>
    <w:rsid w:val="00FE7E9C"/>
    <w:rsid w:val="00FE7FE9"/>
    <w:rsid w:val="00FF007A"/>
    <w:rsid w:val="00FF0089"/>
    <w:rsid w:val="00FF016E"/>
    <w:rsid w:val="00FF01FB"/>
    <w:rsid w:val="00FF0264"/>
    <w:rsid w:val="00FF0273"/>
    <w:rsid w:val="00FF02CA"/>
    <w:rsid w:val="00FF03DE"/>
    <w:rsid w:val="00FF03FB"/>
    <w:rsid w:val="00FF044E"/>
    <w:rsid w:val="00FF05BB"/>
    <w:rsid w:val="00FF0694"/>
    <w:rsid w:val="00FF06D3"/>
    <w:rsid w:val="00FF070A"/>
    <w:rsid w:val="00FF0769"/>
    <w:rsid w:val="00FF07A1"/>
    <w:rsid w:val="00FF08A7"/>
    <w:rsid w:val="00FF0A5A"/>
    <w:rsid w:val="00FF0A8D"/>
    <w:rsid w:val="00FF0AC0"/>
    <w:rsid w:val="00FF0B02"/>
    <w:rsid w:val="00FF0B18"/>
    <w:rsid w:val="00FF0C35"/>
    <w:rsid w:val="00FF0CD7"/>
    <w:rsid w:val="00FF0CF6"/>
    <w:rsid w:val="00FF0F52"/>
    <w:rsid w:val="00FF0F5F"/>
    <w:rsid w:val="00FF1007"/>
    <w:rsid w:val="00FF101D"/>
    <w:rsid w:val="00FF108B"/>
    <w:rsid w:val="00FF10AD"/>
    <w:rsid w:val="00FF11AF"/>
    <w:rsid w:val="00FF11C9"/>
    <w:rsid w:val="00FF1200"/>
    <w:rsid w:val="00FF12EE"/>
    <w:rsid w:val="00FF1452"/>
    <w:rsid w:val="00FF1456"/>
    <w:rsid w:val="00FF157B"/>
    <w:rsid w:val="00FF1594"/>
    <w:rsid w:val="00FF188D"/>
    <w:rsid w:val="00FF1A0B"/>
    <w:rsid w:val="00FF1A79"/>
    <w:rsid w:val="00FF1AF0"/>
    <w:rsid w:val="00FF1B7D"/>
    <w:rsid w:val="00FF1B88"/>
    <w:rsid w:val="00FF1CAB"/>
    <w:rsid w:val="00FF1CB1"/>
    <w:rsid w:val="00FF1CB6"/>
    <w:rsid w:val="00FF1CCF"/>
    <w:rsid w:val="00FF1D40"/>
    <w:rsid w:val="00FF1DEB"/>
    <w:rsid w:val="00FF1E8D"/>
    <w:rsid w:val="00FF1F0B"/>
    <w:rsid w:val="00FF1F94"/>
    <w:rsid w:val="00FF1FD6"/>
    <w:rsid w:val="00FF1FF8"/>
    <w:rsid w:val="00FF201A"/>
    <w:rsid w:val="00FF2084"/>
    <w:rsid w:val="00FF2100"/>
    <w:rsid w:val="00FF230A"/>
    <w:rsid w:val="00FF241F"/>
    <w:rsid w:val="00FF242A"/>
    <w:rsid w:val="00FF2468"/>
    <w:rsid w:val="00FF25B5"/>
    <w:rsid w:val="00FF294D"/>
    <w:rsid w:val="00FF29CE"/>
    <w:rsid w:val="00FF2BA5"/>
    <w:rsid w:val="00FF2C0B"/>
    <w:rsid w:val="00FF2C13"/>
    <w:rsid w:val="00FF2CAA"/>
    <w:rsid w:val="00FF2CC5"/>
    <w:rsid w:val="00FF2CCC"/>
    <w:rsid w:val="00FF2D01"/>
    <w:rsid w:val="00FF2D86"/>
    <w:rsid w:val="00FF2E71"/>
    <w:rsid w:val="00FF2FDE"/>
    <w:rsid w:val="00FF30F3"/>
    <w:rsid w:val="00FF3162"/>
    <w:rsid w:val="00FF317B"/>
    <w:rsid w:val="00FF329C"/>
    <w:rsid w:val="00FF3617"/>
    <w:rsid w:val="00FF3636"/>
    <w:rsid w:val="00FF3662"/>
    <w:rsid w:val="00FF36F0"/>
    <w:rsid w:val="00FF3705"/>
    <w:rsid w:val="00FF3709"/>
    <w:rsid w:val="00FF38B8"/>
    <w:rsid w:val="00FF38C7"/>
    <w:rsid w:val="00FF3920"/>
    <w:rsid w:val="00FF3921"/>
    <w:rsid w:val="00FF3943"/>
    <w:rsid w:val="00FF3964"/>
    <w:rsid w:val="00FF3ADF"/>
    <w:rsid w:val="00FF3AF7"/>
    <w:rsid w:val="00FF3B28"/>
    <w:rsid w:val="00FF3B72"/>
    <w:rsid w:val="00FF3BA2"/>
    <w:rsid w:val="00FF3C3E"/>
    <w:rsid w:val="00FF3CF0"/>
    <w:rsid w:val="00FF3DA6"/>
    <w:rsid w:val="00FF3EAC"/>
    <w:rsid w:val="00FF3EEA"/>
    <w:rsid w:val="00FF3F0B"/>
    <w:rsid w:val="00FF3F50"/>
    <w:rsid w:val="00FF3FA9"/>
    <w:rsid w:val="00FF3FD3"/>
    <w:rsid w:val="00FF40EE"/>
    <w:rsid w:val="00FF411E"/>
    <w:rsid w:val="00FF41EC"/>
    <w:rsid w:val="00FF420E"/>
    <w:rsid w:val="00FF4269"/>
    <w:rsid w:val="00FF4271"/>
    <w:rsid w:val="00FF4334"/>
    <w:rsid w:val="00FF440B"/>
    <w:rsid w:val="00FF444A"/>
    <w:rsid w:val="00FF4522"/>
    <w:rsid w:val="00FF45CA"/>
    <w:rsid w:val="00FF4730"/>
    <w:rsid w:val="00FF4771"/>
    <w:rsid w:val="00FF47DA"/>
    <w:rsid w:val="00FF4910"/>
    <w:rsid w:val="00FF4B11"/>
    <w:rsid w:val="00FF4B97"/>
    <w:rsid w:val="00FF4BBC"/>
    <w:rsid w:val="00FF4C75"/>
    <w:rsid w:val="00FF4D7A"/>
    <w:rsid w:val="00FF4D8E"/>
    <w:rsid w:val="00FF4E43"/>
    <w:rsid w:val="00FF509F"/>
    <w:rsid w:val="00FF50D0"/>
    <w:rsid w:val="00FF51A1"/>
    <w:rsid w:val="00FF52B0"/>
    <w:rsid w:val="00FF52C3"/>
    <w:rsid w:val="00FF539F"/>
    <w:rsid w:val="00FF53C8"/>
    <w:rsid w:val="00FF53E3"/>
    <w:rsid w:val="00FF5470"/>
    <w:rsid w:val="00FF54F2"/>
    <w:rsid w:val="00FF551D"/>
    <w:rsid w:val="00FF55B4"/>
    <w:rsid w:val="00FF55E2"/>
    <w:rsid w:val="00FF5624"/>
    <w:rsid w:val="00FF578C"/>
    <w:rsid w:val="00FF586E"/>
    <w:rsid w:val="00FF5887"/>
    <w:rsid w:val="00FF5942"/>
    <w:rsid w:val="00FF5946"/>
    <w:rsid w:val="00FF59D9"/>
    <w:rsid w:val="00FF5AA3"/>
    <w:rsid w:val="00FF5AE7"/>
    <w:rsid w:val="00FF5B63"/>
    <w:rsid w:val="00FF5C00"/>
    <w:rsid w:val="00FF5C59"/>
    <w:rsid w:val="00FF5C82"/>
    <w:rsid w:val="00FF5CFC"/>
    <w:rsid w:val="00FF5D80"/>
    <w:rsid w:val="00FF5DD6"/>
    <w:rsid w:val="00FF604A"/>
    <w:rsid w:val="00FF621F"/>
    <w:rsid w:val="00FF6279"/>
    <w:rsid w:val="00FF6313"/>
    <w:rsid w:val="00FF632A"/>
    <w:rsid w:val="00FF637A"/>
    <w:rsid w:val="00FF63E4"/>
    <w:rsid w:val="00FF64D0"/>
    <w:rsid w:val="00FF654B"/>
    <w:rsid w:val="00FF6648"/>
    <w:rsid w:val="00FF6668"/>
    <w:rsid w:val="00FF666B"/>
    <w:rsid w:val="00FF6744"/>
    <w:rsid w:val="00FF676B"/>
    <w:rsid w:val="00FF679B"/>
    <w:rsid w:val="00FF67ED"/>
    <w:rsid w:val="00FF6968"/>
    <w:rsid w:val="00FF6986"/>
    <w:rsid w:val="00FF6A9B"/>
    <w:rsid w:val="00FF6B4D"/>
    <w:rsid w:val="00FF6BA1"/>
    <w:rsid w:val="00FF6C1D"/>
    <w:rsid w:val="00FF6D74"/>
    <w:rsid w:val="00FF6D7C"/>
    <w:rsid w:val="00FF6D9A"/>
    <w:rsid w:val="00FF6DEB"/>
    <w:rsid w:val="00FF700B"/>
    <w:rsid w:val="00FF71D5"/>
    <w:rsid w:val="00FF721F"/>
    <w:rsid w:val="00FF726E"/>
    <w:rsid w:val="00FF72E5"/>
    <w:rsid w:val="00FF7335"/>
    <w:rsid w:val="00FF7353"/>
    <w:rsid w:val="00FF745B"/>
    <w:rsid w:val="00FF7460"/>
    <w:rsid w:val="00FF76D8"/>
    <w:rsid w:val="00FF77FD"/>
    <w:rsid w:val="00FF78AE"/>
    <w:rsid w:val="00FF78EB"/>
    <w:rsid w:val="00FF7BB5"/>
    <w:rsid w:val="00FF7E2A"/>
    <w:rsid w:val="00FF7F52"/>
    <w:rsid w:val="01063D88"/>
    <w:rsid w:val="0122A8C6"/>
    <w:rsid w:val="0123ACF0"/>
    <w:rsid w:val="012A0FA2"/>
    <w:rsid w:val="012AE484"/>
    <w:rsid w:val="012D9DD7"/>
    <w:rsid w:val="012E3AC2"/>
    <w:rsid w:val="01317277"/>
    <w:rsid w:val="0131E360"/>
    <w:rsid w:val="0133DE08"/>
    <w:rsid w:val="0136B6A9"/>
    <w:rsid w:val="013732CA"/>
    <w:rsid w:val="013B1C17"/>
    <w:rsid w:val="013B7738"/>
    <w:rsid w:val="013C2EC1"/>
    <w:rsid w:val="013CA350"/>
    <w:rsid w:val="013F8D9F"/>
    <w:rsid w:val="0144EC7A"/>
    <w:rsid w:val="014650DE"/>
    <w:rsid w:val="014D9307"/>
    <w:rsid w:val="0153FD9F"/>
    <w:rsid w:val="01577220"/>
    <w:rsid w:val="015786DA"/>
    <w:rsid w:val="0164D9D6"/>
    <w:rsid w:val="016764D0"/>
    <w:rsid w:val="016EF43A"/>
    <w:rsid w:val="0175B2D0"/>
    <w:rsid w:val="017BB5CA"/>
    <w:rsid w:val="018E8EE6"/>
    <w:rsid w:val="0193BE6E"/>
    <w:rsid w:val="019960DB"/>
    <w:rsid w:val="01998822"/>
    <w:rsid w:val="019B7D39"/>
    <w:rsid w:val="019D5D15"/>
    <w:rsid w:val="019E2312"/>
    <w:rsid w:val="01B13333"/>
    <w:rsid w:val="01C9958B"/>
    <w:rsid w:val="01C9F195"/>
    <w:rsid w:val="01CCAAE7"/>
    <w:rsid w:val="01CE364F"/>
    <w:rsid w:val="01D23655"/>
    <w:rsid w:val="01DC96FB"/>
    <w:rsid w:val="01E52770"/>
    <w:rsid w:val="01E72A85"/>
    <w:rsid w:val="01E829CC"/>
    <w:rsid w:val="01F3AE5A"/>
    <w:rsid w:val="01FABE11"/>
    <w:rsid w:val="01FDB5D8"/>
    <w:rsid w:val="0206DF52"/>
    <w:rsid w:val="02167493"/>
    <w:rsid w:val="021EFBFB"/>
    <w:rsid w:val="0220125A"/>
    <w:rsid w:val="0228F0C9"/>
    <w:rsid w:val="022AE71E"/>
    <w:rsid w:val="0231BAEA"/>
    <w:rsid w:val="0233319C"/>
    <w:rsid w:val="0234D4A1"/>
    <w:rsid w:val="02393A19"/>
    <w:rsid w:val="023E6E86"/>
    <w:rsid w:val="024BD11C"/>
    <w:rsid w:val="024F9BA6"/>
    <w:rsid w:val="0254D3D8"/>
    <w:rsid w:val="025C860F"/>
    <w:rsid w:val="025D2A0E"/>
    <w:rsid w:val="025D776D"/>
    <w:rsid w:val="026D4314"/>
    <w:rsid w:val="028707D9"/>
    <w:rsid w:val="028A512C"/>
    <w:rsid w:val="028BFE2D"/>
    <w:rsid w:val="029031DF"/>
    <w:rsid w:val="02905E5A"/>
    <w:rsid w:val="02989B01"/>
    <w:rsid w:val="02A388CB"/>
    <w:rsid w:val="02B3AF3F"/>
    <w:rsid w:val="02B47F29"/>
    <w:rsid w:val="02B9DF4F"/>
    <w:rsid w:val="02BB545A"/>
    <w:rsid w:val="02BF3705"/>
    <w:rsid w:val="02BF5A66"/>
    <w:rsid w:val="02BFF005"/>
    <w:rsid w:val="02C279D9"/>
    <w:rsid w:val="02D11268"/>
    <w:rsid w:val="02E697E9"/>
    <w:rsid w:val="02E7083A"/>
    <w:rsid w:val="02EB624E"/>
    <w:rsid w:val="02EC1300"/>
    <w:rsid w:val="02F34979"/>
    <w:rsid w:val="02F68927"/>
    <w:rsid w:val="02F9532C"/>
    <w:rsid w:val="0305DEE1"/>
    <w:rsid w:val="030883FE"/>
    <w:rsid w:val="0308FB0E"/>
    <w:rsid w:val="030EBBFE"/>
    <w:rsid w:val="0312E41C"/>
    <w:rsid w:val="03197732"/>
    <w:rsid w:val="0324A20D"/>
    <w:rsid w:val="0324DB15"/>
    <w:rsid w:val="0324F55C"/>
    <w:rsid w:val="03344DDB"/>
    <w:rsid w:val="03409A15"/>
    <w:rsid w:val="03442AA1"/>
    <w:rsid w:val="0350253B"/>
    <w:rsid w:val="0352ED95"/>
    <w:rsid w:val="035F37F1"/>
    <w:rsid w:val="0361060D"/>
    <w:rsid w:val="036367AF"/>
    <w:rsid w:val="0367193F"/>
    <w:rsid w:val="036A6AA4"/>
    <w:rsid w:val="036F0855"/>
    <w:rsid w:val="03700A3A"/>
    <w:rsid w:val="0371682E"/>
    <w:rsid w:val="037B5D52"/>
    <w:rsid w:val="037C6682"/>
    <w:rsid w:val="037F87F4"/>
    <w:rsid w:val="037FB735"/>
    <w:rsid w:val="038051C6"/>
    <w:rsid w:val="0380E8DF"/>
    <w:rsid w:val="03892D0A"/>
    <w:rsid w:val="0389F712"/>
    <w:rsid w:val="038C7AE7"/>
    <w:rsid w:val="0391B95A"/>
    <w:rsid w:val="0395A463"/>
    <w:rsid w:val="03982798"/>
    <w:rsid w:val="039C3AF4"/>
    <w:rsid w:val="039C9766"/>
    <w:rsid w:val="03A2B465"/>
    <w:rsid w:val="03A77B77"/>
    <w:rsid w:val="03AB3997"/>
    <w:rsid w:val="03AC9BD3"/>
    <w:rsid w:val="03ACE066"/>
    <w:rsid w:val="03B07B28"/>
    <w:rsid w:val="03B4ACB1"/>
    <w:rsid w:val="03B7414D"/>
    <w:rsid w:val="03BC5CB0"/>
    <w:rsid w:val="03C5504C"/>
    <w:rsid w:val="03C8C35B"/>
    <w:rsid w:val="03D48344"/>
    <w:rsid w:val="03DA6F61"/>
    <w:rsid w:val="03DB086F"/>
    <w:rsid w:val="03DC5139"/>
    <w:rsid w:val="03E44B6C"/>
    <w:rsid w:val="03E73123"/>
    <w:rsid w:val="03EF1658"/>
    <w:rsid w:val="03F2050E"/>
    <w:rsid w:val="03F62ECC"/>
    <w:rsid w:val="03FA5AF5"/>
    <w:rsid w:val="03FCBF83"/>
    <w:rsid w:val="03FE6692"/>
    <w:rsid w:val="0402945A"/>
    <w:rsid w:val="040FFE50"/>
    <w:rsid w:val="041433B1"/>
    <w:rsid w:val="0414FDFF"/>
    <w:rsid w:val="04157435"/>
    <w:rsid w:val="04198524"/>
    <w:rsid w:val="04198ECA"/>
    <w:rsid w:val="041AEC35"/>
    <w:rsid w:val="0420D2BF"/>
    <w:rsid w:val="042232FD"/>
    <w:rsid w:val="04237936"/>
    <w:rsid w:val="042D4CDD"/>
    <w:rsid w:val="042D9285"/>
    <w:rsid w:val="042E3798"/>
    <w:rsid w:val="0431109E"/>
    <w:rsid w:val="04332FD1"/>
    <w:rsid w:val="0437ADAB"/>
    <w:rsid w:val="044C25A1"/>
    <w:rsid w:val="044D5F8A"/>
    <w:rsid w:val="044EDD4A"/>
    <w:rsid w:val="0457721D"/>
    <w:rsid w:val="04598552"/>
    <w:rsid w:val="045BB204"/>
    <w:rsid w:val="045CE536"/>
    <w:rsid w:val="045F28E5"/>
    <w:rsid w:val="046505FA"/>
    <w:rsid w:val="04725CDC"/>
    <w:rsid w:val="04730924"/>
    <w:rsid w:val="04740D2D"/>
    <w:rsid w:val="04786065"/>
    <w:rsid w:val="04790356"/>
    <w:rsid w:val="047DDE75"/>
    <w:rsid w:val="0482EE9F"/>
    <w:rsid w:val="04870A7F"/>
    <w:rsid w:val="048A517F"/>
    <w:rsid w:val="04930A9A"/>
    <w:rsid w:val="04A115DB"/>
    <w:rsid w:val="04A3B92D"/>
    <w:rsid w:val="04A4793D"/>
    <w:rsid w:val="04A7284E"/>
    <w:rsid w:val="04A9F5CB"/>
    <w:rsid w:val="04AEA135"/>
    <w:rsid w:val="04B25B70"/>
    <w:rsid w:val="04B2E427"/>
    <w:rsid w:val="04BB0B59"/>
    <w:rsid w:val="04C67935"/>
    <w:rsid w:val="04C754ED"/>
    <w:rsid w:val="04CAE85A"/>
    <w:rsid w:val="04CCB324"/>
    <w:rsid w:val="04CD4C06"/>
    <w:rsid w:val="04D0621D"/>
    <w:rsid w:val="04D3C6B4"/>
    <w:rsid w:val="04D56050"/>
    <w:rsid w:val="04D817CE"/>
    <w:rsid w:val="04DA3C13"/>
    <w:rsid w:val="04E3ABE6"/>
    <w:rsid w:val="04ED7B81"/>
    <w:rsid w:val="04EDB1E3"/>
    <w:rsid w:val="04FBD3C3"/>
    <w:rsid w:val="04FC1698"/>
    <w:rsid w:val="04FD578D"/>
    <w:rsid w:val="04FFA78F"/>
    <w:rsid w:val="050005F5"/>
    <w:rsid w:val="0504F7BD"/>
    <w:rsid w:val="050CDC72"/>
    <w:rsid w:val="050DE121"/>
    <w:rsid w:val="0510D79F"/>
    <w:rsid w:val="051113AF"/>
    <w:rsid w:val="051274E4"/>
    <w:rsid w:val="05163395"/>
    <w:rsid w:val="051E665C"/>
    <w:rsid w:val="05217886"/>
    <w:rsid w:val="05264402"/>
    <w:rsid w:val="052F1DFC"/>
    <w:rsid w:val="0530DD73"/>
    <w:rsid w:val="0533D3A4"/>
    <w:rsid w:val="0540CA14"/>
    <w:rsid w:val="0546AF76"/>
    <w:rsid w:val="0547AB2B"/>
    <w:rsid w:val="0551ACC4"/>
    <w:rsid w:val="05552F92"/>
    <w:rsid w:val="055C9F8C"/>
    <w:rsid w:val="055F8AA8"/>
    <w:rsid w:val="05625DC0"/>
    <w:rsid w:val="0563F83E"/>
    <w:rsid w:val="0569464B"/>
    <w:rsid w:val="056D7B6B"/>
    <w:rsid w:val="0574860A"/>
    <w:rsid w:val="05796AD5"/>
    <w:rsid w:val="057B5CA7"/>
    <w:rsid w:val="0582C1AE"/>
    <w:rsid w:val="05876F31"/>
    <w:rsid w:val="058A10C8"/>
    <w:rsid w:val="058C9F93"/>
    <w:rsid w:val="059068F8"/>
    <w:rsid w:val="05928D76"/>
    <w:rsid w:val="0596CD7F"/>
    <w:rsid w:val="059CA5EA"/>
    <w:rsid w:val="05A39FC0"/>
    <w:rsid w:val="05A7CFD6"/>
    <w:rsid w:val="05ADF4DF"/>
    <w:rsid w:val="05B1B0B8"/>
    <w:rsid w:val="05BD1A46"/>
    <w:rsid w:val="05C11751"/>
    <w:rsid w:val="05C374BE"/>
    <w:rsid w:val="05CA2290"/>
    <w:rsid w:val="05CC8569"/>
    <w:rsid w:val="05CFAE78"/>
    <w:rsid w:val="05D5D21D"/>
    <w:rsid w:val="05D63477"/>
    <w:rsid w:val="05DCD597"/>
    <w:rsid w:val="05E406E5"/>
    <w:rsid w:val="05E8B93C"/>
    <w:rsid w:val="05EADD26"/>
    <w:rsid w:val="05F82BE1"/>
    <w:rsid w:val="05F9B094"/>
    <w:rsid w:val="05FA8794"/>
    <w:rsid w:val="05FB54AF"/>
    <w:rsid w:val="0601DA3A"/>
    <w:rsid w:val="060F35DD"/>
    <w:rsid w:val="060FA15A"/>
    <w:rsid w:val="06131171"/>
    <w:rsid w:val="06137102"/>
    <w:rsid w:val="0613C70C"/>
    <w:rsid w:val="06153C10"/>
    <w:rsid w:val="0618A9CE"/>
    <w:rsid w:val="061984D4"/>
    <w:rsid w:val="061DEA1F"/>
    <w:rsid w:val="06342EF3"/>
    <w:rsid w:val="0639ECAA"/>
    <w:rsid w:val="06445E96"/>
    <w:rsid w:val="064CD582"/>
    <w:rsid w:val="064DFEC0"/>
    <w:rsid w:val="06557FA3"/>
    <w:rsid w:val="065B9C5D"/>
    <w:rsid w:val="06684090"/>
    <w:rsid w:val="066B01B6"/>
    <w:rsid w:val="067AAA64"/>
    <w:rsid w:val="067EBE48"/>
    <w:rsid w:val="068F731F"/>
    <w:rsid w:val="0697F36D"/>
    <w:rsid w:val="06A23413"/>
    <w:rsid w:val="06A40BF1"/>
    <w:rsid w:val="06A9F993"/>
    <w:rsid w:val="06AE66E6"/>
    <w:rsid w:val="06B83F17"/>
    <w:rsid w:val="06B8588E"/>
    <w:rsid w:val="06BE82A9"/>
    <w:rsid w:val="06C33DD3"/>
    <w:rsid w:val="06C68968"/>
    <w:rsid w:val="06CCED8A"/>
    <w:rsid w:val="06CE5CF1"/>
    <w:rsid w:val="06CE9144"/>
    <w:rsid w:val="06D5D017"/>
    <w:rsid w:val="06DC901C"/>
    <w:rsid w:val="06DCF1C2"/>
    <w:rsid w:val="06DE16D5"/>
    <w:rsid w:val="06E9F420"/>
    <w:rsid w:val="06EED4E6"/>
    <w:rsid w:val="06EF9497"/>
    <w:rsid w:val="06FDF010"/>
    <w:rsid w:val="06FDFDAA"/>
    <w:rsid w:val="070E375B"/>
    <w:rsid w:val="070FCAF5"/>
    <w:rsid w:val="07188971"/>
    <w:rsid w:val="071A3115"/>
    <w:rsid w:val="071CC2AD"/>
    <w:rsid w:val="071FC681"/>
    <w:rsid w:val="07210414"/>
    <w:rsid w:val="0726E74F"/>
    <w:rsid w:val="07290616"/>
    <w:rsid w:val="072E08F4"/>
    <w:rsid w:val="073157BB"/>
    <w:rsid w:val="07318065"/>
    <w:rsid w:val="073280BE"/>
    <w:rsid w:val="0737322B"/>
    <w:rsid w:val="07387CAC"/>
    <w:rsid w:val="073FA916"/>
    <w:rsid w:val="07401F9D"/>
    <w:rsid w:val="07432C57"/>
    <w:rsid w:val="07456F5C"/>
    <w:rsid w:val="074D0903"/>
    <w:rsid w:val="074DAD39"/>
    <w:rsid w:val="074E0AC3"/>
    <w:rsid w:val="0750267C"/>
    <w:rsid w:val="0750711D"/>
    <w:rsid w:val="07514665"/>
    <w:rsid w:val="07532E18"/>
    <w:rsid w:val="075A02FE"/>
    <w:rsid w:val="075A35BB"/>
    <w:rsid w:val="075E3FE6"/>
    <w:rsid w:val="076B37BE"/>
    <w:rsid w:val="0770D10D"/>
    <w:rsid w:val="077653D6"/>
    <w:rsid w:val="077B0914"/>
    <w:rsid w:val="07837359"/>
    <w:rsid w:val="07845F32"/>
    <w:rsid w:val="0784A9F7"/>
    <w:rsid w:val="0786C4B6"/>
    <w:rsid w:val="07871DEE"/>
    <w:rsid w:val="078A617E"/>
    <w:rsid w:val="078BC215"/>
    <w:rsid w:val="079563D4"/>
    <w:rsid w:val="079F3273"/>
    <w:rsid w:val="07A57178"/>
    <w:rsid w:val="07A69738"/>
    <w:rsid w:val="07B23DCC"/>
    <w:rsid w:val="07B6AF25"/>
    <w:rsid w:val="07BF5538"/>
    <w:rsid w:val="07C67E60"/>
    <w:rsid w:val="07C8184A"/>
    <w:rsid w:val="07CC5E8E"/>
    <w:rsid w:val="07CC75BA"/>
    <w:rsid w:val="07E0176D"/>
    <w:rsid w:val="07E22262"/>
    <w:rsid w:val="07E32BFB"/>
    <w:rsid w:val="07EDAC8D"/>
    <w:rsid w:val="07F6192C"/>
    <w:rsid w:val="07FA0ABF"/>
    <w:rsid w:val="0801046A"/>
    <w:rsid w:val="080B6AE7"/>
    <w:rsid w:val="080D1D4D"/>
    <w:rsid w:val="080F0A86"/>
    <w:rsid w:val="081542B9"/>
    <w:rsid w:val="0816482C"/>
    <w:rsid w:val="081B135B"/>
    <w:rsid w:val="081BC4F5"/>
    <w:rsid w:val="081F065A"/>
    <w:rsid w:val="0823D4CD"/>
    <w:rsid w:val="082AAB5E"/>
    <w:rsid w:val="08305658"/>
    <w:rsid w:val="0831A5F8"/>
    <w:rsid w:val="083AAE65"/>
    <w:rsid w:val="083CDC6B"/>
    <w:rsid w:val="083EF084"/>
    <w:rsid w:val="08435D91"/>
    <w:rsid w:val="084569EC"/>
    <w:rsid w:val="084616BE"/>
    <w:rsid w:val="0853B6E2"/>
    <w:rsid w:val="0856D35A"/>
    <w:rsid w:val="085AD022"/>
    <w:rsid w:val="085FF394"/>
    <w:rsid w:val="086148C1"/>
    <w:rsid w:val="0866721A"/>
    <w:rsid w:val="0872E5B0"/>
    <w:rsid w:val="087B9F17"/>
    <w:rsid w:val="089134AA"/>
    <w:rsid w:val="08A86A7A"/>
    <w:rsid w:val="08ACDC19"/>
    <w:rsid w:val="08AD8A8D"/>
    <w:rsid w:val="08B0D089"/>
    <w:rsid w:val="08B1124F"/>
    <w:rsid w:val="08B2197D"/>
    <w:rsid w:val="08B4EC6B"/>
    <w:rsid w:val="08B81C65"/>
    <w:rsid w:val="08B9B48A"/>
    <w:rsid w:val="08BA4EBB"/>
    <w:rsid w:val="08BB0ABC"/>
    <w:rsid w:val="08BB9178"/>
    <w:rsid w:val="08BC3113"/>
    <w:rsid w:val="08BC3E43"/>
    <w:rsid w:val="08C331FC"/>
    <w:rsid w:val="08C6A699"/>
    <w:rsid w:val="08CB8F1C"/>
    <w:rsid w:val="08D74A7C"/>
    <w:rsid w:val="08D8C886"/>
    <w:rsid w:val="08E03A09"/>
    <w:rsid w:val="08E203B2"/>
    <w:rsid w:val="08E806EA"/>
    <w:rsid w:val="08E8D518"/>
    <w:rsid w:val="08EEC5EA"/>
    <w:rsid w:val="08EEFDD3"/>
    <w:rsid w:val="08F07646"/>
    <w:rsid w:val="09029EDA"/>
    <w:rsid w:val="0916037B"/>
    <w:rsid w:val="091A510C"/>
    <w:rsid w:val="09201E2B"/>
    <w:rsid w:val="0928C473"/>
    <w:rsid w:val="09343C93"/>
    <w:rsid w:val="093D3C97"/>
    <w:rsid w:val="094AB2CD"/>
    <w:rsid w:val="094EB50F"/>
    <w:rsid w:val="094EEB13"/>
    <w:rsid w:val="09507BC2"/>
    <w:rsid w:val="09531A0C"/>
    <w:rsid w:val="0958A802"/>
    <w:rsid w:val="096111F8"/>
    <w:rsid w:val="0961CF73"/>
    <w:rsid w:val="09622BDA"/>
    <w:rsid w:val="0962663F"/>
    <w:rsid w:val="096959AD"/>
    <w:rsid w:val="096A4FCB"/>
    <w:rsid w:val="096B66D6"/>
    <w:rsid w:val="096DCCAB"/>
    <w:rsid w:val="09768EA4"/>
    <w:rsid w:val="0979ED3C"/>
    <w:rsid w:val="097D1BC5"/>
    <w:rsid w:val="098764A1"/>
    <w:rsid w:val="0987DCB9"/>
    <w:rsid w:val="098D7BCD"/>
    <w:rsid w:val="098DA716"/>
    <w:rsid w:val="098E597A"/>
    <w:rsid w:val="098EF1AD"/>
    <w:rsid w:val="09926FA2"/>
    <w:rsid w:val="0994C76E"/>
    <w:rsid w:val="099DAD44"/>
    <w:rsid w:val="09A33EE6"/>
    <w:rsid w:val="09A573DE"/>
    <w:rsid w:val="09AB7CE0"/>
    <w:rsid w:val="09ABCE41"/>
    <w:rsid w:val="09B0D751"/>
    <w:rsid w:val="09B2DB65"/>
    <w:rsid w:val="09B5C5F2"/>
    <w:rsid w:val="09B6B4B2"/>
    <w:rsid w:val="09B7C21B"/>
    <w:rsid w:val="09BB7023"/>
    <w:rsid w:val="09BC556E"/>
    <w:rsid w:val="09C7CCF9"/>
    <w:rsid w:val="09C7D942"/>
    <w:rsid w:val="09CAE67B"/>
    <w:rsid w:val="09D06D9C"/>
    <w:rsid w:val="09D0E216"/>
    <w:rsid w:val="09D63303"/>
    <w:rsid w:val="09D8A04B"/>
    <w:rsid w:val="09D928C3"/>
    <w:rsid w:val="09DAC834"/>
    <w:rsid w:val="09E56A6F"/>
    <w:rsid w:val="09EE6A43"/>
    <w:rsid w:val="09EFBFE5"/>
    <w:rsid w:val="09F111C2"/>
    <w:rsid w:val="09F23F90"/>
    <w:rsid w:val="09F254E9"/>
    <w:rsid w:val="09F5DB11"/>
    <w:rsid w:val="09FFBB5F"/>
    <w:rsid w:val="0A058EF9"/>
    <w:rsid w:val="0A0C14BE"/>
    <w:rsid w:val="0A0CB129"/>
    <w:rsid w:val="0A10C1A8"/>
    <w:rsid w:val="0A1EF94B"/>
    <w:rsid w:val="0A206FA6"/>
    <w:rsid w:val="0A277BE1"/>
    <w:rsid w:val="0A27EC11"/>
    <w:rsid w:val="0A29344E"/>
    <w:rsid w:val="0A34AC69"/>
    <w:rsid w:val="0A381E67"/>
    <w:rsid w:val="0A415E84"/>
    <w:rsid w:val="0A476B38"/>
    <w:rsid w:val="0A47AEC9"/>
    <w:rsid w:val="0A48F3C2"/>
    <w:rsid w:val="0A4A16D7"/>
    <w:rsid w:val="0A4BAAB9"/>
    <w:rsid w:val="0A4D5CB6"/>
    <w:rsid w:val="0A4EB9CC"/>
    <w:rsid w:val="0A582D25"/>
    <w:rsid w:val="0A61ABC6"/>
    <w:rsid w:val="0A68C05A"/>
    <w:rsid w:val="0A727A74"/>
    <w:rsid w:val="0A766FA4"/>
    <w:rsid w:val="0A7A5823"/>
    <w:rsid w:val="0A7AAD9E"/>
    <w:rsid w:val="0A7C9437"/>
    <w:rsid w:val="0A7CB635"/>
    <w:rsid w:val="0A8283B4"/>
    <w:rsid w:val="0A854294"/>
    <w:rsid w:val="0A86953A"/>
    <w:rsid w:val="0A97099B"/>
    <w:rsid w:val="0A9B5F71"/>
    <w:rsid w:val="0AA1C8C6"/>
    <w:rsid w:val="0AA836CB"/>
    <w:rsid w:val="0AAB0985"/>
    <w:rsid w:val="0AB270E6"/>
    <w:rsid w:val="0AC4A8F6"/>
    <w:rsid w:val="0AC4EC65"/>
    <w:rsid w:val="0ACC468A"/>
    <w:rsid w:val="0ACCA3B7"/>
    <w:rsid w:val="0ACDB20C"/>
    <w:rsid w:val="0ACE04B5"/>
    <w:rsid w:val="0AD98C04"/>
    <w:rsid w:val="0ADE78B4"/>
    <w:rsid w:val="0AE56288"/>
    <w:rsid w:val="0AE56505"/>
    <w:rsid w:val="0AE5BCC2"/>
    <w:rsid w:val="0AE7542F"/>
    <w:rsid w:val="0AED4296"/>
    <w:rsid w:val="0AF64BFC"/>
    <w:rsid w:val="0AFA9E57"/>
    <w:rsid w:val="0B043867"/>
    <w:rsid w:val="0B11293E"/>
    <w:rsid w:val="0B11907C"/>
    <w:rsid w:val="0B1F65F4"/>
    <w:rsid w:val="0B224352"/>
    <w:rsid w:val="0B28F909"/>
    <w:rsid w:val="0B2ADBFA"/>
    <w:rsid w:val="0B2F73C2"/>
    <w:rsid w:val="0B36F2CA"/>
    <w:rsid w:val="0B3C02A7"/>
    <w:rsid w:val="0B3DB702"/>
    <w:rsid w:val="0B3E16BE"/>
    <w:rsid w:val="0B447DF7"/>
    <w:rsid w:val="0B50F0DD"/>
    <w:rsid w:val="0B51F7BF"/>
    <w:rsid w:val="0B58266D"/>
    <w:rsid w:val="0B5896DF"/>
    <w:rsid w:val="0B5D3CDF"/>
    <w:rsid w:val="0B5ECBB4"/>
    <w:rsid w:val="0B60D235"/>
    <w:rsid w:val="0B657575"/>
    <w:rsid w:val="0B6EBA42"/>
    <w:rsid w:val="0B6F6245"/>
    <w:rsid w:val="0B737DEC"/>
    <w:rsid w:val="0B853FBF"/>
    <w:rsid w:val="0B8FE259"/>
    <w:rsid w:val="0B92E0B4"/>
    <w:rsid w:val="0B9309A6"/>
    <w:rsid w:val="0B9A497E"/>
    <w:rsid w:val="0BA1AD80"/>
    <w:rsid w:val="0BA2D841"/>
    <w:rsid w:val="0BA34321"/>
    <w:rsid w:val="0BA4F455"/>
    <w:rsid w:val="0BA68DF0"/>
    <w:rsid w:val="0BA721FF"/>
    <w:rsid w:val="0BAAB3EE"/>
    <w:rsid w:val="0BADD807"/>
    <w:rsid w:val="0BB7339A"/>
    <w:rsid w:val="0BB94FA3"/>
    <w:rsid w:val="0BBB858E"/>
    <w:rsid w:val="0BCCEE1F"/>
    <w:rsid w:val="0BCE569B"/>
    <w:rsid w:val="0BD015F6"/>
    <w:rsid w:val="0BD304F3"/>
    <w:rsid w:val="0BD67205"/>
    <w:rsid w:val="0BDD4F40"/>
    <w:rsid w:val="0BDE1653"/>
    <w:rsid w:val="0BDF05CE"/>
    <w:rsid w:val="0BDFD869"/>
    <w:rsid w:val="0BE00C2D"/>
    <w:rsid w:val="0BE68DB2"/>
    <w:rsid w:val="0BE76BAA"/>
    <w:rsid w:val="0BEB8881"/>
    <w:rsid w:val="0BF61821"/>
    <w:rsid w:val="0BF767BF"/>
    <w:rsid w:val="0BF796EE"/>
    <w:rsid w:val="0BF91005"/>
    <w:rsid w:val="0BFBF62F"/>
    <w:rsid w:val="0BFE3FCD"/>
    <w:rsid w:val="0C09447C"/>
    <w:rsid w:val="0C0C03D9"/>
    <w:rsid w:val="0C14C4FA"/>
    <w:rsid w:val="0C165008"/>
    <w:rsid w:val="0C1D1F70"/>
    <w:rsid w:val="0C235F6D"/>
    <w:rsid w:val="0C24FE3C"/>
    <w:rsid w:val="0C25CD80"/>
    <w:rsid w:val="0C2B6813"/>
    <w:rsid w:val="0C2E1F02"/>
    <w:rsid w:val="0C34F974"/>
    <w:rsid w:val="0C3D205C"/>
    <w:rsid w:val="0C4821F5"/>
    <w:rsid w:val="0C4AD36C"/>
    <w:rsid w:val="0C4B8310"/>
    <w:rsid w:val="0C52383E"/>
    <w:rsid w:val="0C544032"/>
    <w:rsid w:val="0C59A0C6"/>
    <w:rsid w:val="0C5D6EBE"/>
    <w:rsid w:val="0C604327"/>
    <w:rsid w:val="0C688A5D"/>
    <w:rsid w:val="0C68A52E"/>
    <w:rsid w:val="0C6A8A30"/>
    <w:rsid w:val="0C775655"/>
    <w:rsid w:val="0C7DFBFD"/>
    <w:rsid w:val="0C8477F3"/>
    <w:rsid w:val="0C85047F"/>
    <w:rsid w:val="0C8A01D5"/>
    <w:rsid w:val="0C8A6C40"/>
    <w:rsid w:val="0C8AF1BB"/>
    <w:rsid w:val="0C8E30F5"/>
    <w:rsid w:val="0C909E7F"/>
    <w:rsid w:val="0C957C90"/>
    <w:rsid w:val="0C97A235"/>
    <w:rsid w:val="0C98D6B3"/>
    <w:rsid w:val="0C9A2019"/>
    <w:rsid w:val="0C9A7F67"/>
    <w:rsid w:val="0C9C8CA5"/>
    <w:rsid w:val="0CAE6127"/>
    <w:rsid w:val="0CB00FFD"/>
    <w:rsid w:val="0CB901E2"/>
    <w:rsid w:val="0CC2AD60"/>
    <w:rsid w:val="0CC2C478"/>
    <w:rsid w:val="0CC3A0D9"/>
    <w:rsid w:val="0CC4A8BD"/>
    <w:rsid w:val="0CD4B708"/>
    <w:rsid w:val="0CD8B17B"/>
    <w:rsid w:val="0CDA2B39"/>
    <w:rsid w:val="0CDCB287"/>
    <w:rsid w:val="0CEB5DC1"/>
    <w:rsid w:val="0CF2A864"/>
    <w:rsid w:val="0CF390AD"/>
    <w:rsid w:val="0CF40382"/>
    <w:rsid w:val="0CFCAAD9"/>
    <w:rsid w:val="0D02CCC8"/>
    <w:rsid w:val="0D08E3F0"/>
    <w:rsid w:val="0D091857"/>
    <w:rsid w:val="0D0ECEBE"/>
    <w:rsid w:val="0D1324AF"/>
    <w:rsid w:val="0D1616D2"/>
    <w:rsid w:val="0D20EEA6"/>
    <w:rsid w:val="0D21DF6E"/>
    <w:rsid w:val="0D2C62EE"/>
    <w:rsid w:val="0D3424F6"/>
    <w:rsid w:val="0D363A29"/>
    <w:rsid w:val="0D38AE43"/>
    <w:rsid w:val="0D3D8642"/>
    <w:rsid w:val="0D4C3983"/>
    <w:rsid w:val="0D4C775B"/>
    <w:rsid w:val="0D4DAF36"/>
    <w:rsid w:val="0D53281A"/>
    <w:rsid w:val="0D5511FD"/>
    <w:rsid w:val="0D580BEA"/>
    <w:rsid w:val="0D5967C3"/>
    <w:rsid w:val="0D63A07A"/>
    <w:rsid w:val="0D6A57E0"/>
    <w:rsid w:val="0D6FFBB1"/>
    <w:rsid w:val="0D80E9CC"/>
    <w:rsid w:val="0D910571"/>
    <w:rsid w:val="0D953E7E"/>
    <w:rsid w:val="0D973BE5"/>
    <w:rsid w:val="0D9B1636"/>
    <w:rsid w:val="0DA7B247"/>
    <w:rsid w:val="0DA8B423"/>
    <w:rsid w:val="0DAB1BAA"/>
    <w:rsid w:val="0DB216EB"/>
    <w:rsid w:val="0DB35A78"/>
    <w:rsid w:val="0DB488FC"/>
    <w:rsid w:val="0DBD50AD"/>
    <w:rsid w:val="0DBE6AB7"/>
    <w:rsid w:val="0DBE77E6"/>
    <w:rsid w:val="0DBFF772"/>
    <w:rsid w:val="0DC58402"/>
    <w:rsid w:val="0DCB2000"/>
    <w:rsid w:val="0DD165E7"/>
    <w:rsid w:val="0DD2A3B8"/>
    <w:rsid w:val="0DD38047"/>
    <w:rsid w:val="0DDA6219"/>
    <w:rsid w:val="0DDB5209"/>
    <w:rsid w:val="0DDD53D1"/>
    <w:rsid w:val="0DE026A0"/>
    <w:rsid w:val="0DE563DA"/>
    <w:rsid w:val="0DF20641"/>
    <w:rsid w:val="0DF367A7"/>
    <w:rsid w:val="0DFC6F41"/>
    <w:rsid w:val="0DFF83D9"/>
    <w:rsid w:val="0E0ACA15"/>
    <w:rsid w:val="0E1084B7"/>
    <w:rsid w:val="0E141DA8"/>
    <w:rsid w:val="0E1BDE90"/>
    <w:rsid w:val="0E2141E5"/>
    <w:rsid w:val="0E23500A"/>
    <w:rsid w:val="0E23C5D0"/>
    <w:rsid w:val="0E28EFDC"/>
    <w:rsid w:val="0E2C31C4"/>
    <w:rsid w:val="0E2DB7D2"/>
    <w:rsid w:val="0E2E6469"/>
    <w:rsid w:val="0E2F5E61"/>
    <w:rsid w:val="0E331658"/>
    <w:rsid w:val="0E36F251"/>
    <w:rsid w:val="0E39310C"/>
    <w:rsid w:val="0E3B5F96"/>
    <w:rsid w:val="0E3FBA97"/>
    <w:rsid w:val="0E41AC9F"/>
    <w:rsid w:val="0E4D76A5"/>
    <w:rsid w:val="0E4E7146"/>
    <w:rsid w:val="0E51100F"/>
    <w:rsid w:val="0E556693"/>
    <w:rsid w:val="0E567DE6"/>
    <w:rsid w:val="0E5A5B1C"/>
    <w:rsid w:val="0E5A7457"/>
    <w:rsid w:val="0E5FE743"/>
    <w:rsid w:val="0E63A6B5"/>
    <w:rsid w:val="0E754761"/>
    <w:rsid w:val="0E75F0C3"/>
    <w:rsid w:val="0E7ABBCF"/>
    <w:rsid w:val="0E7B5624"/>
    <w:rsid w:val="0E7BBA13"/>
    <w:rsid w:val="0E7FAD4F"/>
    <w:rsid w:val="0E844C8A"/>
    <w:rsid w:val="0E85CF7E"/>
    <w:rsid w:val="0E8883DF"/>
    <w:rsid w:val="0E89F9DE"/>
    <w:rsid w:val="0E8B089F"/>
    <w:rsid w:val="0E8C6330"/>
    <w:rsid w:val="0E8E39F2"/>
    <w:rsid w:val="0E8E5EA6"/>
    <w:rsid w:val="0E90A25B"/>
    <w:rsid w:val="0E99E0D1"/>
    <w:rsid w:val="0E9E02CD"/>
    <w:rsid w:val="0EA21E87"/>
    <w:rsid w:val="0EA5F755"/>
    <w:rsid w:val="0EA74950"/>
    <w:rsid w:val="0EAB117B"/>
    <w:rsid w:val="0EAC175B"/>
    <w:rsid w:val="0ECCCDAF"/>
    <w:rsid w:val="0ECEFDBD"/>
    <w:rsid w:val="0ED2337D"/>
    <w:rsid w:val="0ED8F47F"/>
    <w:rsid w:val="0EDA2139"/>
    <w:rsid w:val="0EDCFCDB"/>
    <w:rsid w:val="0EDF05D6"/>
    <w:rsid w:val="0EE2ABE2"/>
    <w:rsid w:val="0EE661BC"/>
    <w:rsid w:val="0EE86928"/>
    <w:rsid w:val="0EE93F83"/>
    <w:rsid w:val="0EECEA46"/>
    <w:rsid w:val="0EEEF5F7"/>
    <w:rsid w:val="0EEFD4E0"/>
    <w:rsid w:val="0EFBECF0"/>
    <w:rsid w:val="0F01DF72"/>
    <w:rsid w:val="0F07998F"/>
    <w:rsid w:val="0F091C00"/>
    <w:rsid w:val="0F0A2DF5"/>
    <w:rsid w:val="0F0ED374"/>
    <w:rsid w:val="0F0F3095"/>
    <w:rsid w:val="0F0FB8D5"/>
    <w:rsid w:val="0F137239"/>
    <w:rsid w:val="0F156FB5"/>
    <w:rsid w:val="0F1B0570"/>
    <w:rsid w:val="0F1F4C89"/>
    <w:rsid w:val="0F248603"/>
    <w:rsid w:val="0F28250D"/>
    <w:rsid w:val="0F31BB98"/>
    <w:rsid w:val="0F38C081"/>
    <w:rsid w:val="0F43CB50"/>
    <w:rsid w:val="0F44578E"/>
    <w:rsid w:val="0F4A2163"/>
    <w:rsid w:val="0F4F3627"/>
    <w:rsid w:val="0F4FCBA2"/>
    <w:rsid w:val="0F5025F4"/>
    <w:rsid w:val="0F566E22"/>
    <w:rsid w:val="0F570991"/>
    <w:rsid w:val="0F5F0F80"/>
    <w:rsid w:val="0F6116FA"/>
    <w:rsid w:val="0F62EDE6"/>
    <w:rsid w:val="0F661D25"/>
    <w:rsid w:val="0F6D1429"/>
    <w:rsid w:val="0F703735"/>
    <w:rsid w:val="0F7E18A8"/>
    <w:rsid w:val="0F7F58AF"/>
    <w:rsid w:val="0F80EC83"/>
    <w:rsid w:val="0F8FD525"/>
    <w:rsid w:val="0F94D865"/>
    <w:rsid w:val="0F9695F9"/>
    <w:rsid w:val="0FA1C99B"/>
    <w:rsid w:val="0FA40CFF"/>
    <w:rsid w:val="0FA4B6C0"/>
    <w:rsid w:val="0FA71205"/>
    <w:rsid w:val="0FAB4285"/>
    <w:rsid w:val="0FAD4B40"/>
    <w:rsid w:val="0FAD6B51"/>
    <w:rsid w:val="0FB2D8E3"/>
    <w:rsid w:val="0FB58675"/>
    <w:rsid w:val="0FB65739"/>
    <w:rsid w:val="0FBFB9D3"/>
    <w:rsid w:val="0FC27D95"/>
    <w:rsid w:val="0FCD0BE7"/>
    <w:rsid w:val="0FCEF33F"/>
    <w:rsid w:val="0FD30CF3"/>
    <w:rsid w:val="0FD87B44"/>
    <w:rsid w:val="0FD9D8E7"/>
    <w:rsid w:val="0FDC19BC"/>
    <w:rsid w:val="0FE0CE09"/>
    <w:rsid w:val="0FE470BE"/>
    <w:rsid w:val="0FF0079E"/>
    <w:rsid w:val="0FF20CAF"/>
    <w:rsid w:val="0FFF3016"/>
    <w:rsid w:val="1015CFB4"/>
    <w:rsid w:val="101EFAD9"/>
    <w:rsid w:val="1020CB05"/>
    <w:rsid w:val="1022D591"/>
    <w:rsid w:val="102C0D91"/>
    <w:rsid w:val="10316AFE"/>
    <w:rsid w:val="10377651"/>
    <w:rsid w:val="1043EFB0"/>
    <w:rsid w:val="1048C87A"/>
    <w:rsid w:val="1049EF64"/>
    <w:rsid w:val="104D6765"/>
    <w:rsid w:val="104EF0A1"/>
    <w:rsid w:val="10515B73"/>
    <w:rsid w:val="1053510A"/>
    <w:rsid w:val="105387C2"/>
    <w:rsid w:val="1055C045"/>
    <w:rsid w:val="10566707"/>
    <w:rsid w:val="1056ECFE"/>
    <w:rsid w:val="1061AA42"/>
    <w:rsid w:val="10623FD4"/>
    <w:rsid w:val="10631C39"/>
    <w:rsid w:val="1066DB3B"/>
    <w:rsid w:val="1071CD3C"/>
    <w:rsid w:val="1076A3FA"/>
    <w:rsid w:val="10785958"/>
    <w:rsid w:val="107D858F"/>
    <w:rsid w:val="10838C54"/>
    <w:rsid w:val="10842D2A"/>
    <w:rsid w:val="108803A3"/>
    <w:rsid w:val="10886B2B"/>
    <w:rsid w:val="108A2BF1"/>
    <w:rsid w:val="108A9489"/>
    <w:rsid w:val="108D272A"/>
    <w:rsid w:val="108D5E85"/>
    <w:rsid w:val="108E0145"/>
    <w:rsid w:val="1094BD16"/>
    <w:rsid w:val="10964536"/>
    <w:rsid w:val="10989987"/>
    <w:rsid w:val="109F9D03"/>
    <w:rsid w:val="10A0F58D"/>
    <w:rsid w:val="10A5D752"/>
    <w:rsid w:val="10B7C50F"/>
    <w:rsid w:val="10B8EB26"/>
    <w:rsid w:val="10B8F723"/>
    <w:rsid w:val="10BBB848"/>
    <w:rsid w:val="10C3AECA"/>
    <w:rsid w:val="10C576B2"/>
    <w:rsid w:val="10DAD654"/>
    <w:rsid w:val="10DEDCFB"/>
    <w:rsid w:val="10E12F48"/>
    <w:rsid w:val="10E2839A"/>
    <w:rsid w:val="10E2E761"/>
    <w:rsid w:val="10EA615B"/>
    <w:rsid w:val="10EC7B43"/>
    <w:rsid w:val="10F19340"/>
    <w:rsid w:val="110931AE"/>
    <w:rsid w:val="110D6D39"/>
    <w:rsid w:val="11129894"/>
    <w:rsid w:val="1115C71C"/>
    <w:rsid w:val="111B45A6"/>
    <w:rsid w:val="111B5AB9"/>
    <w:rsid w:val="111FFE35"/>
    <w:rsid w:val="1123FC06"/>
    <w:rsid w:val="11287ED7"/>
    <w:rsid w:val="11296ABF"/>
    <w:rsid w:val="11297A2F"/>
    <w:rsid w:val="112B4BDE"/>
    <w:rsid w:val="112CB69A"/>
    <w:rsid w:val="112F1706"/>
    <w:rsid w:val="113CDE47"/>
    <w:rsid w:val="113DABAF"/>
    <w:rsid w:val="114B1169"/>
    <w:rsid w:val="114DC47D"/>
    <w:rsid w:val="114EE1C7"/>
    <w:rsid w:val="1154F80E"/>
    <w:rsid w:val="1155278A"/>
    <w:rsid w:val="115B0E63"/>
    <w:rsid w:val="115C9748"/>
    <w:rsid w:val="115DD59F"/>
    <w:rsid w:val="115F0C53"/>
    <w:rsid w:val="1162B018"/>
    <w:rsid w:val="11643752"/>
    <w:rsid w:val="116EEBD0"/>
    <w:rsid w:val="1176083B"/>
    <w:rsid w:val="11771A94"/>
    <w:rsid w:val="117826F3"/>
    <w:rsid w:val="1178AD87"/>
    <w:rsid w:val="117EE62E"/>
    <w:rsid w:val="11877C78"/>
    <w:rsid w:val="1190A97A"/>
    <w:rsid w:val="1192DC97"/>
    <w:rsid w:val="11989D71"/>
    <w:rsid w:val="11A1C42C"/>
    <w:rsid w:val="11A366D5"/>
    <w:rsid w:val="11A939CA"/>
    <w:rsid w:val="11A9CE02"/>
    <w:rsid w:val="11AABAB0"/>
    <w:rsid w:val="11B98717"/>
    <w:rsid w:val="11B9B00D"/>
    <w:rsid w:val="11BC3668"/>
    <w:rsid w:val="11C4C2F5"/>
    <w:rsid w:val="11C63332"/>
    <w:rsid w:val="11C8CC8F"/>
    <w:rsid w:val="11C9C6FC"/>
    <w:rsid w:val="11D2D1C4"/>
    <w:rsid w:val="11D879B2"/>
    <w:rsid w:val="11E151E4"/>
    <w:rsid w:val="11E6192F"/>
    <w:rsid w:val="11E6ACFE"/>
    <w:rsid w:val="11F1D27C"/>
    <w:rsid w:val="11F9499C"/>
    <w:rsid w:val="120180F0"/>
    <w:rsid w:val="12084C05"/>
    <w:rsid w:val="12095C45"/>
    <w:rsid w:val="12098D13"/>
    <w:rsid w:val="120D606A"/>
    <w:rsid w:val="1226A1F4"/>
    <w:rsid w:val="12307804"/>
    <w:rsid w:val="1239D5D0"/>
    <w:rsid w:val="123D47FE"/>
    <w:rsid w:val="123E9A0C"/>
    <w:rsid w:val="123F8691"/>
    <w:rsid w:val="12410AA0"/>
    <w:rsid w:val="124348F5"/>
    <w:rsid w:val="124401DE"/>
    <w:rsid w:val="1247FFC2"/>
    <w:rsid w:val="1259D48A"/>
    <w:rsid w:val="1264E9A7"/>
    <w:rsid w:val="126551E7"/>
    <w:rsid w:val="1268FF6A"/>
    <w:rsid w:val="126FD47C"/>
    <w:rsid w:val="1271832A"/>
    <w:rsid w:val="127B4686"/>
    <w:rsid w:val="127DB2BA"/>
    <w:rsid w:val="127E6E8C"/>
    <w:rsid w:val="12888987"/>
    <w:rsid w:val="1288E2C1"/>
    <w:rsid w:val="1289079C"/>
    <w:rsid w:val="12900FA3"/>
    <w:rsid w:val="12934608"/>
    <w:rsid w:val="129AB2DD"/>
    <w:rsid w:val="129D28BE"/>
    <w:rsid w:val="129E998B"/>
    <w:rsid w:val="12A28BFD"/>
    <w:rsid w:val="12A2FC28"/>
    <w:rsid w:val="12A4603B"/>
    <w:rsid w:val="12A77596"/>
    <w:rsid w:val="12B545E6"/>
    <w:rsid w:val="12BCD850"/>
    <w:rsid w:val="12BE8D47"/>
    <w:rsid w:val="12BFFB36"/>
    <w:rsid w:val="12C27F97"/>
    <w:rsid w:val="12CF79ED"/>
    <w:rsid w:val="12D74434"/>
    <w:rsid w:val="12DAE7F4"/>
    <w:rsid w:val="12DBC378"/>
    <w:rsid w:val="12DCAE5B"/>
    <w:rsid w:val="12E0BEB7"/>
    <w:rsid w:val="12E100A6"/>
    <w:rsid w:val="12EFF35D"/>
    <w:rsid w:val="1305790F"/>
    <w:rsid w:val="13098B71"/>
    <w:rsid w:val="131124FA"/>
    <w:rsid w:val="1321CC92"/>
    <w:rsid w:val="13221897"/>
    <w:rsid w:val="13322DAE"/>
    <w:rsid w:val="133748C3"/>
    <w:rsid w:val="13383CC8"/>
    <w:rsid w:val="133A8CF7"/>
    <w:rsid w:val="133F4680"/>
    <w:rsid w:val="13435D2F"/>
    <w:rsid w:val="1345AA5B"/>
    <w:rsid w:val="13483C8D"/>
    <w:rsid w:val="13498239"/>
    <w:rsid w:val="134B1091"/>
    <w:rsid w:val="134EB5C9"/>
    <w:rsid w:val="134FE14C"/>
    <w:rsid w:val="135195D6"/>
    <w:rsid w:val="13535666"/>
    <w:rsid w:val="13560A2F"/>
    <w:rsid w:val="136673D6"/>
    <w:rsid w:val="1366B983"/>
    <w:rsid w:val="136D984A"/>
    <w:rsid w:val="13772ACD"/>
    <w:rsid w:val="1381E92A"/>
    <w:rsid w:val="1382E2FD"/>
    <w:rsid w:val="13835CAD"/>
    <w:rsid w:val="138B432B"/>
    <w:rsid w:val="1391072E"/>
    <w:rsid w:val="13921E66"/>
    <w:rsid w:val="1399A595"/>
    <w:rsid w:val="139ACAC6"/>
    <w:rsid w:val="139C953E"/>
    <w:rsid w:val="139DAF17"/>
    <w:rsid w:val="13A0B1CA"/>
    <w:rsid w:val="13A66376"/>
    <w:rsid w:val="13BC0007"/>
    <w:rsid w:val="13C2D115"/>
    <w:rsid w:val="13C30E7E"/>
    <w:rsid w:val="13C85412"/>
    <w:rsid w:val="13EA5976"/>
    <w:rsid w:val="14047B1B"/>
    <w:rsid w:val="14087D8A"/>
    <w:rsid w:val="14096810"/>
    <w:rsid w:val="140EB903"/>
    <w:rsid w:val="14117283"/>
    <w:rsid w:val="1414ADCF"/>
    <w:rsid w:val="14196782"/>
    <w:rsid w:val="142057EE"/>
    <w:rsid w:val="1424395C"/>
    <w:rsid w:val="14265CCA"/>
    <w:rsid w:val="1428C316"/>
    <w:rsid w:val="1429400A"/>
    <w:rsid w:val="142CCE85"/>
    <w:rsid w:val="142DE51E"/>
    <w:rsid w:val="1435AA4F"/>
    <w:rsid w:val="14389BBE"/>
    <w:rsid w:val="1446BFC8"/>
    <w:rsid w:val="1447DC7E"/>
    <w:rsid w:val="144BE8D1"/>
    <w:rsid w:val="144D0104"/>
    <w:rsid w:val="1451DCFA"/>
    <w:rsid w:val="1455AD17"/>
    <w:rsid w:val="145667B0"/>
    <w:rsid w:val="146852F5"/>
    <w:rsid w:val="1469181B"/>
    <w:rsid w:val="146964EC"/>
    <w:rsid w:val="146DE489"/>
    <w:rsid w:val="14711C66"/>
    <w:rsid w:val="14736AAA"/>
    <w:rsid w:val="1476A282"/>
    <w:rsid w:val="1477C604"/>
    <w:rsid w:val="1481614D"/>
    <w:rsid w:val="148505B2"/>
    <w:rsid w:val="1486CA2A"/>
    <w:rsid w:val="14892534"/>
    <w:rsid w:val="148A5285"/>
    <w:rsid w:val="148F5828"/>
    <w:rsid w:val="1492B8B1"/>
    <w:rsid w:val="14A006A6"/>
    <w:rsid w:val="14AFA5E2"/>
    <w:rsid w:val="14B62B69"/>
    <w:rsid w:val="14B72A85"/>
    <w:rsid w:val="14B77661"/>
    <w:rsid w:val="14BAC1AA"/>
    <w:rsid w:val="14BE048E"/>
    <w:rsid w:val="14BFA52E"/>
    <w:rsid w:val="14C23243"/>
    <w:rsid w:val="14D4BC58"/>
    <w:rsid w:val="14D9434B"/>
    <w:rsid w:val="14DA7514"/>
    <w:rsid w:val="14E722CB"/>
    <w:rsid w:val="14EF5E77"/>
    <w:rsid w:val="14F48312"/>
    <w:rsid w:val="14F87CB9"/>
    <w:rsid w:val="14F8ADA2"/>
    <w:rsid w:val="14FBF2D5"/>
    <w:rsid w:val="14FE134B"/>
    <w:rsid w:val="14FED8EF"/>
    <w:rsid w:val="1501147F"/>
    <w:rsid w:val="15022692"/>
    <w:rsid w:val="15034FD9"/>
    <w:rsid w:val="1505D7E1"/>
    <w:rsid w:val="15071D30"/>
    <w:rsid w:val="150DE8A9"/>
    <w:rsid w:val="151670E1"/>
    <w:rsid w:val="15197EA0"/>
    <w:rsid w:val="1520CA0D"/>
    <w:rsid w:val="15286523"/>
    <w:rsid w:val="152914E9"/>
    <w:rsid w:val="1529F272"/>
    <w:rsid w:val="152B6973"/>
    <w:rsid w:val="152BFBC7"/>
    <w:rsid w:val="15339C2A"/>
    <w:rsid w:val="1542A18F"/>
    <w:rsid w:val="1545CBFC"/>
    <w:rsid w:val="1549EA1A"/>
    <w:rsid w:val="154CD22B"/>
    <w:rsid w:val="154ED5A5"/>
    <w:rsid w:val="154F762C"/>
    <w:rsid w:val="1554AFB5"/>
    <w:rsid w:val="15551D35"/>
    <w:rsid w:val="15553C0D"/>
    <w:rsid w:val="155777F7"/>
    <w:rsid w:val="156B2383"/>
    <w:rsid w:val="156DBD76"/>
    <w:rsid w:val="1570F9CC"/>
    <w:rsid w:val="15764484"/>
    <w:rsid w:val="15819A72"/>
    <w:rsid w:val="158584FE"/>
    <w:rsid w:val="1587935C"/>
    <w:rsid w:val="158ED799"/>
    <w:rsid w:val="159478FB"/>
    <w:rsid w:val="159B8040"/>
    <w:rsid w:val="159DCBE1"/>
    <w:rsid w:val="159F7E5E"/>
    <w:rsid w:val="15A965CB"/>
    <w:rsid w:val="15AD7C17"/>
    <w:rsid w:val="15B0E1FD"/>
    <w:rsid w:val="15B86F15"/>
    <w:rsid w:val="15B897FA"/>
    <w:rsid w:val="15BC56F8"/>
    <w:rsid w:val="15BC8B17"/>
    <w:rsid w:val="15C23E2C"/>
    <w:rsid w:val="15C2BC53"/>
    <w:rsid w:val="15C7F1DC"/>
    <w:rsid w:val="15C9E17B"/>
    <w:rsid w:val="15CA4ED6"/>
    <w:rsid w:val="15CE75E3"/>
    <w:rsid w:val="15D532D8"/>
    <w:rsid w:val="15DD9AE0"/>
    <w:rsid w:val="15DF6FBA"/>
    <w:rsid w:val="15E0DDDA"/>
    <w:rsid w:val="15E606EC"/>
    <w:rsid w:val="15F33D6B"/>
    <w:rsid w:val="15F70400"/>
    <w:rsid w:val="15F879D9"/>
    <w:rsid w:val="160EAE7A"/>
    <w:rsid w:val="16108907"/>
    <w:rsid w:val="16117F40"/>
    <w:rsid w:val="16120925"/>
    <w:rsid w:val="16129C48"/>
    <w:rsid w:val="16157A58"/>
    <w:rsid w:val="161724DD"/>
    <w:rsid w:val="1623B080"/>
    <w:rsid w:val="1628F7EB"/>
    <w:rsid w:val="162A0415"/>
    <w:rsid w:val="162C17DF"/>
    <w:rsid w:val="1633B6FE"/>
    <w:rsid w:val="16360F0A"/>
    <w:rsid w:val="1640B83C"/>
    <w:rsid w:val="16430146"/>
    <w:rsid w:val="164BB0F4"/>
    <w:rsid w:val="164C01F6"/>
    <w:rsid w:val="165C75D2"/>
    <w:rsid w:val="165D9B52"/>
    <w:rsid w:val="165FFB0C"/>
    <w:rsid w:val="166CEBEC"/>
    <w:rsid w:val="1672A7A9"/>
    <w:rsid w:val="1674321E"/>
    <w:rsid w:val="16793019"/>
    <w:rsid w:val="167C3F30"/>
    <w:rsid w:val="167C8009"/>
    <w:rsid w:val="16855B94"/>
    <w:rsid w:val="16873ABE"/>
    <w:rsid w:val="1695A731"/>
    <w:rsid w:val="169842B4"/>
    <w:rsid w:val="169C5905"/>
    <w:rsid w:val="169F71D9"/>
    <w:rsid w:val="16A3B541"/>
    <w:rsid w:val="16A48728"/>
    <w:rsid w:val="16A62388"/>
    <w:rsid w:val="16A675A4"/>
    <w:rsid w:val="16A9F6F5"/>
    <w:rsid w:val="16AD33DC"/>
    <w:rsid w:val="16AF20F9"/>
    <w:rsid w:val="16B5257F"/>
    <w:rsid w:val="16B9D3C8"/>
    <w:rsid w:val="16BD0DAC"/>
    <w:rsid w:val="16BF9EC4"/>
    <w:rsid w:val="16C67395"/>
    <w:rsid w:val="16C81685"/>
    <w:rsid w:val="16C8D974"/>
    <w:rsid w:val="16CA4877"/>
    <w:rsid w:val="16CDA5F5"/>
    <w:rsid w:val="16D18829"/>
    <w:rsid w:val="16D65CE9"/>
    <w:rsid w:val="16DC062C"/>
    <w:rsid w:val="16DE1D20"/>
    <w:rsid w:val="16E17C4B"/>
    <w:rsid w:val="16E3DE9C"/>
    <w:rsid w:val="16E65DF7"/>
    <w:rsid w:val="16E714FB"/>
    <w:rsid w:val="16EC3291"/>
    <w:rsid w:val="16EE30AB"/>
    <w:rsid w:val="16EE4800"/>
    <w:rsid w:val="16EEEDE4"/>
    <w:rsid w:val="16F34173"/>
    <w:rsid w:val="16FA6666"/>
    <w:rsid w:val="16FEE617"/>
    <w:rsid w:val="170345AB"/>
    <w:rsid w:val="1705484A"/>
    <w:rsid w:val="17057CB6"/>
    <w:rsid w:val="17059A42"/>
    <w:rsid w:val="170651B4"/>
    <w:rsid w:val="170F4065"/>
    <w:rsid w:val="17171987"/>
    <w:rsid w:val="172BED15"/>
    <w:rsid w:val="173B3618"/>
    <w:rsid w:val="173E0229"/>
    <w:rsid w:val="1741EC81"/>
    <w:rsid w:val="174AB5B0"/>
    <w:rsid w:val="1750DE8C"/>
    <w:rsid w:val="175A99B1"/>
    <w:rsid w:val="1764C605"/>
    <w:rsid w:val="17665894"/>
    <w:rsid w:val="176DA7A0"/>
    <w:rsid w:val="176EF85B"/>
    <w:rsid w:val="17751BC3"/>
    <w:rsid w:val="17766B53"/>
    <w:rsid w:val="1779FD2D"/>
    <w:rsid w:val="177A1F23"/>
    <w:rsid w:val="1784602A"/>
    <w:rsid w:val="17859FBE"/>
    <w:rsid w:val="1786CB98"/>
    <w:rsid w:val="17899FD2"/>
    <w:rsid w:val="179717B7"/>
    <w:rsid w:val="17979AAC"/>
    <w:rsid w:val="179908B9"/>
    <w:rsid w:val="17994744"/>
    <w:rsid w:val="17A0AA94"/>
    <w:rsid w:val="17A30A3C"/>
    <w:rsid w:val="17A40986"/>
    <w:rsid w:val="17ADCE8C"/>
    <w:rsid w:val="17B27A4A"/>
    <w:rsid w:val="17B5F5C0"/>
    <w:rsid w:val="17B8C657"/>
    <w:rsid w:val="17BB99DB"/>
    <w:rsid w:val="17BBBB59"/>
    <w:rsid w:val="17BD0754"/>
    <w:rsid w:val="17C0838D"/>
    <w:rsid w:val="17C17165"/>
    <w:rsid w:val="17D81C37"/>
    <w:rsid w:val="17DAA384"/>
    <w:rsid w:val="17DB758B"/>
    <w:rsid w:val="17DBD678"/>
    <w:rsid w:val="17E07700"/>
    <w:rsid w:val="17E22BF3"/>
    <w:rsid w:val="17EAB3A5"/>
    <w:rsid w:val="17F634F4"/>
    <w:rsid w:val="17FCF7D9"/>
    <w:rsid w:val="17FF4ADF"/>
    <w:rsid w:val="18048DE9"/>
    <w:rsid w:val="1806BAA7"/>
    <w:rsid w:val="1807478A"/>
    <w:rsid w:val="1807E684"/>
    <w:rsid w:val="181599E0"/>
    <w:rsid w:val="1817B34C"/>
    <w:rsid w:val="1821A5B2"/>
    <w:rsid w:val="1824E6AD"/>
    <w:rsid w:val="1828234A"/>
    <w:rsid w:val="18285726"/>
    <w:rsid w:val="182AFB00"/>
    <w:rsid w:val="182D7DD5"/>
    <w:rsid w:val="1839DD64"/>
    <w:rsid w:val="183AFC29"/>
    <w:rsid w:val="18426848"/>
    <w:rsid w:val="1844C427"/>
    <w:rsid w:val="184A9B43"/>
    <w:rsid w:val="18521A03"/>
    <w:rsid w:val="18542E0E"/>
    <w:rsid w:val="185A3E21"/>
    <w:rsid w:val="185C876F"/>
    <w:rsid w:val="18614C2C"/>
    <w:rsid w:val="1868C27F"/>
    <w:rsid w:val="18715860"/>
    <w:rsid w:val="18733BFB"/>
    <w:rsid w:val="187907D4"/>
    <w:rsid w:val="187DD392"/>
    <w:rsid w:val="187EF2FE"/>
    <w:rsid w:val="188459E6"/>
    <w:rsid w:val="1885E4F7"/>
    <w:rsid w:val="18883DE1"/>
    <w:rsid w:val="188A5CA1"/>
    <w:rsid w:val="18924A71"/>
    <w:rsid w:val="1893037A"/>
    <w:rsid w:val="18934078"/>
    <w:rsid w:val="1894344C"/>
    <w:rsid w:val="18A50E3A"/>
    <w:rsid w:val="18A522D3"/>
    <w:rsid w:val="18AFA1D7"/>
    <w:rsid w:val="18AFFD34"/>
    <w:rsid w:val="18B37DF3"/>
    <w:rsid w:val="18B4A571"/>
    <w:rsid w:val="18BD7D43"/>
    <w:rsid w:val="18BF4AD2"/>
    <w:rsid w:val="18C2CE74"/>
    <w:rsid w:val="18DE26F6"/>
    <w:rsid w:val="18DFFCD8"/>
    <w:rsid w:val="18EC24B2"/>
    <w:rsid w:val="18EE1EF8"/>
    <w:rsid w:val="18EE5A23"/>
    <w:rsid w:val="18EFE006"/>
    <w:rsid w:val="18F0C94E"/>
    <w:rsid w:val="18F1395B"/>
    <w:rsid w:val="18F2ED26"/>
    <w:rsid w:val="18F6F414"/>
    <w:rsid w:val="18F70B80"/>
    <w:rsid w:val="18F83A5F"/>
    <w:rsid w:val="18F9EEAA"/>
    <w:rsid w:val="190298A8"/>
    <w:rsid w:val="190C5570"/>
    <w:rsid w:val="191A2DD0"/>
    <w:rsid w:val="19204FF8"/>
    <w:rsid w:val="192885EB"/>
    <w:rsid w:val="192C80DB"/>
    <w:rsid w:val="192CAFE9"/>
    <w:rsid w:val="192D535D"/>
    <w:rsid w:val="192F9ECA"/>
    <w:rsid w:val="193B7545"/>
    <w:rsid w:val="193F477B"/>
    <w:rsid w:val="19415630"/>
    <w:rsid w:val="1945214A"/>
    <w:rsid w:val="195A30FA"/>
    <w:rsid w:val="195ED3A5"/>
    <w:rsid w:val="1960118A"/>
    <w:rsid w:val="1961D9F0"/>
    <w:rsid w:val="1963720B"/>
    <w:rsid w:val="19705C7A"/>
    <w:rsid w:val="197208AD"/>
    <w:rsid w:val="197822C7"/>
    <w:rsid w:val="1987AD51"/>
    <w:rsid w:val="198B7A93"/>
    <w:rsid w:val="1990E0C1"/>
    <w:rsid w:val="19936DBD"/>
    <w:rsid w:val="1993A615"/>
    <w:rsid w:val="199D87F8"/>
    <w:rsid w:val="199F13AE"/>
    <w:rsid w:val="19AF114D"/>
    <w:rsid w:val="19B5C956"/>
    <w:rsid w:val="19BDEFF5"/>
    <w:rsid w:val="19C747B1"/>
    <w:rsid w:val="19DD584F"/>
    <w:rsid w:val="19DEF927"/>
    <w:rsid w:val="19E335E7"/>
    <w:rsid w:val="19E96A91"/>
    <w:rsid w:val="19EC619C"/>
    <w:rsid w:val="19FDDC12"/>
    <w:rsid w:val="19FE85DE"/>
    <w:rsid w:val="19FEF85B"/>
    <w:rsid w:val="1A0118B0"/>
    <w:rsid w:val="1A06C999"/>
    <w:rsid w:val="1A0748E9"/>
    <w:rsid w:val="1A0E6783"/>
    <w:rsid w:val="1A0E94AE"/>
    <w:rsid w:val="1A0FA353"/>
    <w:rsid w:val="1A14F3DD"/>
    <w:rsid w:val="1A1EF362"/>
    <w:rsid w:val="1A251D6B"/>
    <w:rsid w:val="1A28A832"/>
    <w:rsid w:val="1A2B388A"/>
    <w:rsid w:val="1A2B8152"/>
    <w:rsid w:val="1A2EACCA"/>
    <w:rsid w:val="1A30704E"/>
    <w:rsid w:val="1A330F2D"/>
    <w:rsid w:val="1A3445DC"/>
    <w:rsid w:val="1A3E6A72"/>
    <w:rsid w:val="1A45EAF3"/>
    <w:rsid w:val="1A4AFFFE"/>
    <w:rsid w:val="1A4DD544"/>
    <w:rsid w:val="1A4E5F89"/>
    <w:rsid w:val="1A4FA1F0"/>
    <w:rsid w:val="1A508765"/>
    <w:rsid w:val="1A51E74F"/>
    <w:rsid w:val="1A5297EC"/>
    <w:rsid w:val="1A531CB2"/>
    <w:rsid w:val="1A5CBBFB"/>
    <w:rsid w:val="1A5CC32B"/>
    <w:rsid w:val="1A5E067E"/>
    <w:rsid w:val="1A65D325"/>
    <w:rsid w:val="1A660A08"/>
    <w:rsid w:val="1A6A7251"/>
    <w:rsid w:val="1A6C3333"/>
    <w:rsid w:val="1A6ED837"/>
    <w:rsid w:val="1A7E3B0E"/>
    <w:rsid w:val="1A828C80"/>
    <w:rsid w:val="1A86F755"/>
    <w:rsid w:val="1A8BE880"/>
    <w:rsid w:val="1A8C9BCA"/>
    <w:rsid w:val="1A922414"/>
    <w:rsid w:val="1A923F9F"/>
    <w:rsid w:val="1A97F637"/>
    <w:rsid w:val="1A99EDCC"/>
    <w:rsid w:val="1A9ACE37"/>
    <w:rsid w:val="1A9CEEAD"/>
    <w:rsid w:val="1AAC20E4"/>
    <w:rsid w:val="1AAD42B5"/>
    <w:rsid w:val="1ABEA3B1"/>
    <w:rsid w:val="1AC1635F"/>
    <w:rsid w:val="1AC4DEFE"/>
    <w:rsid w:val="1ACC32C0"/>
    <w:rsid w:val="1AD0B25F"/>
    <w:rsid w:val="1AD2432C"/>
    <w:rsid w:val="1AD540BC"/>
    <w:rsid w:val="1AD5BFBB"/>
    <w:rsid w:val="1AD76260"/>
    <w:rsid w:val="1AD80BEF"/>
    <w:rsid w:val="1AE69ADC"/>
    <w:rsid w:val="1AF52743"/>
    <w:rsid w:val="1AF60854"/>
    <w:rsid w:val="1B021FEB"/>
    <w:rsid w:val="1B07FD05"/>
    <w:rsid w:val="1B0C0BA0"/>
    <w:rsid w:val="1B135898"/>
    <w:rsid w:val="1B14C466"/>
    <w:rsid w:val="1B1886A4"/>
    <w:rsid w:val="1B1C104D"/>
    <w:rsid w:val="1B2C6C8C"/>
    <w:rsid w:val="1B31A095"/>
    <w:rsid w:val="1B3211A4"/>
    <w:rsid w:val="1B32C5D3"/>
    <w:rsid w:val="1B34899D"/>
    <w:rsid w:val="1B3CFB6E"/>
    <w:rsid w:val="1B3F5483"/>
    <w:rsid w:val="1B4B339A"/>
    <w:rsid w:val="1B4E35E8"/>
    <w:rsid w:val="1B4E7FCE"/>
    <w:rsid w:val="1B539651"/>
    <w:rsid w:val="1B59E98F"/>
    <w:rsid w:val="1B5A485D"/>
    <w:rsid w:val="1B5FBF51"/>
    <w:rsid w:val="1B64C1F2"/>
    <w:rsid w:val="1B65B642"/>
    <w:rsid w:val="1B6B2C94"/>
    <w:rsid w:val="1B70721A"/>
    <w:rsid w:val="1B7109B3"/>
    <w:rsid w:val="1B7345A0"/>
    <w:rsid w:val="1B7E6D53"/>
    <w:rsid w:val="1B7EB987"/>
    <w:rsid w:val="1B82940F"/>
    <w:rsid w:val="1B82CDAE"/>
    <w:rsid w:val="1B8C1947"/>
    <w:rsid w:val="1B9C3AC7"/>
    <w:rsid w:val="1BAE9F09"/>
    <w:rsid w:val="1BB059E7"/>
    <w:rsid w:val="1BB2D60E"/>
    <w:rsid w:val="1BB5EE81"/>
    <w:rsid w:val="1BBF0508"/>
    <w:rsid w:val="1BCCC6B2"/>
    <w:rsid w:val="1BCF9CD5"/>
    <w:rsid w:val="1BD27DF2"/>
    <w:rsid w:val="1BD373A4"/>
    <w:rsid w:val="1BD4A865"/>
    <w:rsid w:val="1BDC7E12"/>
    <w:rsid w:val="1BE4FAE0"/>
    <w:rsid w:val="1BF98242"/>
    <w:rsid w:val="1BFA86F6"/>
    <w:rsid w:val="1BFFF31C"/>
    <w:rsid w:val="1C01CDEF"/>
    <w:rsid w:val="1C058581"/>
    <w:rsid w:val="1C058EB4"/>
    <w:rsid w:val="1C11BB69"/>
    <w:rsid w:val="1C12ABD0"/>
    <w:rsid w:val="1C12BDCE"/>
    <w:rsid w:val="1C15267F"/>
    <w:rsid w:val="1C154B80"/>
    <w:rsid w:val="1C17B8B1"/>
    <w:rsid w:val="1C1F433A"/>
    <w:rsid w:val="1C21B5A8"/>
    <w:rsid w:val="1C2463D5"/>
    <w:rsid w:val="1C2DF205"/>
    <w:rsid w:val="1C2FB469"/>
    <w:rsid w:val="1C304921"/>
    <w:rsid w:val="1C36187B"/>
    <w:rsid w:val="1C370495"/>
    <w:rsid w:val="1C397D13"/>
    <w:rsid w:val="1C3A9F7F"/>
    <w:rsid w:val="1C3C18C5"/>
    <w:rsid w:val="1C439B94"/>
    <w:rsid w:val="1C447DBD"/>
    <w:rsid w:val="1C46809B"/>
    <w:rsid w:val="1C4DEBD6"/>
    <w:rsid w:val="1C5517B6"/>
    <w:rsid w:val="1C5917F8"/>
    <w:rsid w:val="1C5CE180"/>
    <w:rsid w:val="1C61AC96"/>
    <w:rsid w:val="1C6C303F"/>
    <w:rsid w:val="1C762C80"/>
    <w:rsid w:val="1C79A877"/>
    <w:rsid w:val="1C7FD348"/>
    <w:rsid w:val="1C820553"/>
    <w:rsid w:val="1C8237B2"/>
    <w:rsid w:val="1C83486E"/>
    <w:rsid w:val="1C84C3EC"/>
    <w:rsid w:val="1C84EECA"/>
    <w:rsid w:val="1C8552E2"/>
    <w:rsid w:val="1C87C416"/>
    <w:rsid w:val="1C88CABC"/>
    <w:rsid w:val="1C96F2E4"/>
    <w:rsid w:val="1C96F745"/>
    <w:rsid w:val="1C987A50"/>
    <w:rsid w:val="1C99CCDC"/>
    <w:rsid w:val="1C99E2FE"/>
    <w:rsid w:val="1C9DE660"/>
    <w:rsid w:val="1CACA83E"/>
    <w:rsid w:val="1CAE285A"/>
    <w:rsid w:val="1CB5B540"/>
    <w:rsid w:val="1CB5D9DB"/>
    <w:rsid w:val="1CB6F753"/>
    <w:rsid w:val="1CBB1966"/>
    <w:rsid w:val="1CC696C9"/>
    <w:rsid w:val="1CC80AC4"/>
    <w:rsid w:val="1CCA2BCC"/>
    <w:rsid w:val="1CCDA022"/>
    <w:rsid w:val="1CD39EB6"/>
    <w:rsid w:val="1CD8599D"/>
    <w:rsid w:val="1CDF62A2"/>
    <w:rsid w:val="1CE4C6BD"/>
    <w:rsid w:val="1CE8482F"/>
    <w:rsid w:val="1CEA191B"/>
    <w:rsid w:val="1CEDB06B"/>
    <w:rsid w:val="1CEF55C6"/>
    <w:rsid w:val="1CF0ABE8"/>
    <w:rsid w:val="1CF57C77"/>
    <w:rsid w:val="1CFAE386"/>
    <w:rsid w:val="1CFC943A"/>
    <w:rsid w:val="1D05D3B0"/>
    <w:rsid w:val="1D084A56"/>
    <w:rsid w:val="1D0C4F48"/>
    <w:rsid w:val="1D0F99A8"/>
    <w:rsid w:val="1D0FF4C5"/>
    <w:rsid w:val="1D191A5A"/>
    <w:rsid w:val="1D1B9C0F"/>
    <w:rsid w:val="1D279A4C"/>
    <w:rsid w:val="1D28C260"/>
    <w:rsid w:val="1D394563"/>
    <w:rsid w:val="1D3E72D0"/>
    <w:rsid w:val="1D404CE1"/>
    <w:rsid w:val="1D45C9AC"/>
    <w:rsid w:val="1D492D3B"/>
    <w:rsid w:val="1D50E8F7"/>
    <w:rsid w:val="1D52FEA6"/>
    <w:rsid w:val="1D605FFF"/>
    <w:rsid w:val="1D6382ED"/>
    <w:rsid w:val="1D63F3DC"/>
    <w:rsid w:val="1D662289"/>
    <w:rsid w:val="1D6EC6CA"/>
    <w:rsid w:val="1D73F65F"/>
    <w:rsid w:val="1D7B6CF6"/>
    <w:rsid w:val="1D7C228E"/>
    <w:rsid w:val="1D81B352"/>
    <w:rsid w:val="1D89734F"/>
    <w:rsid w:val="1D8DE6C4"/>
    <w:rsid w:val="1D8F3B72"/>
    <w:rsid w:val="1D9D9FB6"/>
    <w:rsid w:val="1D9EEF78"/>
    <w:rsid w:val="1DA02E37"/>
    <w:rsid w:val="1DA313D2"/>
    <w:rsid w:val="1DA3A37D"/>
    <w:rsid w:val="1DA43409"/>
    <w:rsid w:val="1DA71EA3"/>
    <w:rsid w:val="1DA87A4A"/>
    <w:rsid w:val="1DAC9FA8"/>
    <w:rsid w:val="1DACC85C"/>
    <w:rsid w:val="1DAD1237"/>
    <w:rsid w:val="1DB1E731"/>
    <w:rsid w:val="1DB51B4D"/>
    <w:rsid w:val="1DBC784A"/>
    <w:rsid w:val="1DBD216A"/>
    <w:rsid w:val="1DCA68BE"/>
    <w:rsid w:val="1DCB3D10"/>
    <w:rsid w:val="1DCD57C2"/>
    <w:rsid w:val="1DD1D634"/>
    <w:rsid w:val="1DD48B45"/>
    <w:rsid w:val="1DDA97A2"/>
    <w:rsid w:val="1DDB7032"/>
    <w:rsid w:val="1DDC0266"/>
    <w:rsid w:val="1DE48222"/>
    <w:rsid w:val="1DE93866"/>
    <w:rsid w:val="1DE9E6C1"/>
    <w:rsid w:val="1DEB7EE2"/>
    <w:rsid w:val="1DEF3377"/>
    <w:rsid w:val="1DF1E85D"/>
    <w:rsid w:val="1DF1F012"/>
    <w:rsid w:val="1DF3E759"/>
    <w:rsid w:val="1E048689"/>
    <w:rsid w:val="1E05AE65"/>
    <w:rsid w:val="1E0C963F"/>
    <w:rsid w:val="1E0CB609"/>
    <w:rsid w:val="1E0DAF1B"/>
    <w:rsid w:val="1E150FC2"/>
    <w:rsid w:val="1E15D2A3"/>
    <w:rsid w:val="1E216135"/>
    <w:rsid w:val="1E2274B6"/>
    <w:rsid w:val="1E22C8CF"/>
    <w:rsid w:val="1E234A14"/>
    <w:rsid w:val="1E23F6C0"/>
    <w:rsid w:val="1E289B09"/>
    <w:rsid w:val="1E2ABBC1"/>
    <w:rsid w:val="1E304253"/>
    <w:rsid w:val="1E336290"/>
    <w:rsid w:val="1E36E80D"/>
    <w:rsid w:val="1E406A99"/>
    <w:rsid w:val="1E40EEC6"/>
    <w:rsid w:val="1E4ECE9C"/>
    <w:rsid w:val="1E4F83FA"/>
    <w:rsid w:val="1E53499D"/>
    <w:rsid w:val="1E5496C3"/>
    <w:rsid w:val="1E55D3BC"/>
    <w:rsid w:val="1E55F2CA"/>
    <w:rsid w:val="1E579146"/>
    <w:rsid w:val="1E658CB0"/>
    <w:rsid w:val="1E6EDABF"/>
    <w:rsid w:val="1E70483B"/>
    <w:rsid w:val="1E78385E"/>
    <w:rsid w:val="1E79D19C"/>
    <w:rsid w:val="1E7E887B"/>
    <w:rsid w:val="1E7EAE7D"/>
    <w:rsid w:val="1E844EF3"/>
    <w:rsid w:val="1E858AF8"/>
    <w:rsid w:val="1E8A824A"/>
    <w:rsid w:val="1E8E032C"/>
    <w:rsid w:val="1E8FAF8B"/>
    <w:rsid w:val="1E960030"/>
    <w:rsid w:val="1E98681D"/>
    <w:rsid w:val="1E9BDB55"/>
    <w:rsid w:val="1EA8EE26"/>
    <w:rsid w:val="1EAA594E"/>
    <w:rsid w:val="1EB3CB42"/>
    <w:rsid w:val="1EBCCFC8"/>
    <w:rsid w:val="1EC35116"/>
    <w:rsid w:val="1EC5B6D1"/>
    <w:rsid w:val="1EC9E074"/>
    <w:rsid w:val="1ECA6F50"/>
    <w:rsid w:val="1ECC7042"/>
    <w:rsid w:val="1ED0F3BC"/>
    <w:rsid w:val="1ED5618E"/>
    <w:rsid w:val="1ED90207"/>
    <w:rsid w:val="1EE231EB"/>
    <w:rsid w:val="1EE73FAF"/>
    <w:rsid w:val="1EE832E6"/>
    <w:rsid w:val="1EE84034"/>
    <w:rsid w:val="1EF0F2D9"/>
    <w:rsid w:val="1EF1C1C9"/>
    <w:rsid w:val="1EFABD1A"/>
    <w:rsid w:val="1EFFBF04"/>
    <w:rsid w:val="1F016114"/>
    <w:rsid w:val="1F0F68B6"/>
    <w:rsid w:val="1F12464D"/>
    <w:rsid w:val="1F13D4CE"/>
    <w:rsid w:val="1F197466"/>
    <w:rsid w:val="1F19AB3E"/>
    <w:rsid w:val="1F345A53"/>
    <w:rsid w:val="1F345B2B"/>
    <w:rsid w:val="1F4E45ED"/>
    <w:rsid w:val="1F541458"/>
    <w:rsid w:val="1F541F49"/>
    <w:rsid w:val="1F575F64"/>
    <w:rsid w:val="1F589A70"/>
    <w:rsid w:val="1F595D6C"/>
    <w:rsid w:val="1F59B03F"/>
    <w:rsid w:val="1F5EE748"/>
    <w:rsid w:val="1F63F9E8"/>
    <w:rsid w:val="1F66FFC0"/>
    <w:rsid w:val="1F67E87F"/>
    <w:rsid w:val="1F6AB4C9"/>
    <w:rsid w:val="1F6D1C3D"/>
    <w:rsid w:val="1F6DBAB1"/>
    <w:rsid w:val="1F76F76B"/>
    <w:rsid w:val="1F783349"/>
    <w:rsid w:val="1F798A10"/>
    <w:rsid w:val="1F7B9F18"/>
    <w:rsid w:val="1F7D2CB5"/>
    <w:rsid w:val="1F8142A1"/>
    <w:rsid w:val="1F822CAB"/>
    <w:rsid w:val="1F851C69"/>
    <w:rsid w:val="1F8EE4E9"/>
    <w:rsid w:val="1F972E08"/>
    <w:rsid w:val="1F9D20C2"/>
    <w:rsid w:val="1F9E7D52"/>
    <w:rsid w:val="1F9F2AC7"/>
    <w:rsid w:val="1FA6D485"/>
    <w:rsid w:val="1FAACE50"/>
    <w:rsid w:val="1FAAFE58"/>
    <w:rsid w:val="1FB80D01"/>
    <w:rsid w:val="1FB958FC"/>
    <w:rsid w:val="1FC3763E"/>
    <w:rsid w:val="1FC4746C"/>
    <w:rsid w:val="1FCFFB7B"/>
    <w:rsid w:val="1FD0C6EA"/>
    <w:rsid w:val="1FD104D0"/>
    <w:rsid w:val="1FD6B6AF"/>
    <w:rsid w:val="1FD87851"/>
    <w:rsid w:val="1FDE78B3"/>
    <w:rsid w:val="1FE30C50"/>
    <w:rsid w:val="1FE9A3C8"/>
    <w:rsid w:val="1FE9D6B1"/>
    <w:rsid w:val="1FEC2F34"/>
    <w:rsid w:val="1FEC6DF1"/>
    <w:rsid w:val="1FECB991"/>
    <w:rsid w:val="1FF0D31C"/>
    <w:rsid w:val="1FF42648"/>
    <w:rsid w:val="1FF6B6E2"/>
    <w:rsid w:val="1FF8EE56"/>
    <w:rsid w:val="1FFDC1F1"/>
    <w:rsid w:val="200C4C5F"/>
    <w:rsid w:val="20107323"/>
    <w:rsid w:val="20135246"/>
    <w:rsid w:val="2018547E"/>
    <w:rsid w:val="201F1A52"/>
    <w:rsid w:val="20213C01"/>
    <w:rsid w:val="20248D7F"/>
    <w:rsid w:val="202667AC"/>
    <w:rsid w:val="202A0156"/>
    <w:rsid w:val="203158D2"/>
    <w:rsid w:val="203F8B2E"/>
    <w:rsid w:val="204F0D8A"/>
    <w:rsid w:val="205DCB93"/>
    <w:rsid w:val="206CE33B"/>
    <w:rsid w:val="206EC025"/>
    <w:rsid w:val="206F1212"/>
    <w:rsid w:val="2078B88A"/>
    <w:rsid w:val="207CC574"/>
    <w:rsid w:val="2083C9A5"/>
    <w:rsid w:val="2088FFEE"/>
    <w:rsid w:val="208AD8FB"/>
    <w:rsid w:val="208E7FDC"/>
    <w:rsid w:val="208F6D30"/>
    <w:rsid w:val="209386FC"/>
    <w:rsid w:val="20A1F738"/>
    <w:rsid w:val="20A365D2"/>
    <w:rsid w:val="20A6E81C"/>
    <w:rsid w:val="20ACE1F5"/>
    <w:rsid w:val="20AE0274"/>
    <w:rsid w:val="20AFD92F"/>
    <w:rsid w:val="20BA6EF7"/>
    <w:rsid w:val="20C10744"/>
    <w:rsid w:val="20C1829F"/>
    <w:rsid w:val="20C1D18D"/>
    <w:rsid w:val="20D29EB9"/>
    <w:rsid w:val="20D3DD15"/>
    <w:rsid w:val="20D70B81"/>
    <w:rsid w:val="20DD63F7"/>
    <w:rsid w:val="20DEC843"/>
    <w:rsid w:val="20E68C5E"/>
    <w:rsid w:val="20F04DA6"/>
    <w:rsid w:val="20F598DA"/>
    <w:rsid w:val="210AFDD9"/>
    <w:rsid w:val="210B0BAF"/>
    <w:rsid w:val="2115A8C2"/>
    <w:rsid w:val="211828A7"/>
    <w:rsid w:val="211D6576"/>
    <w:rsid w:val="2121AF31"/>
    <w:rsid w:val="21265072"/>
    <w:rsid w:val="2129F208"/>
    <w:rsid w:val="212BDF24"/>
    <w:rsid w:val="214A6AC6"/>
    <w:rsid w:val="214B59C9"/>
    <w:rsid w:val="214DD262"/>
    <w:rsid w:val="214DFC83"/>
    <w:rsid w:val="215752B7"/>
    <w:rsid w:val="21578EB3"/>
    <w:rsid w:val="2157FBE1"/>
    <w:rsid w:val="215B7143"/>
    <w:rsid w:val="2166C265"/>
    <w:rsid w:val="216EEDDF"/>
    <w:rsid w:val="216F68F1"/>
    <w:rsid w:val="2173952B"/>
    <w:rsid w:val="2176EBD3"/>
    <w:rsid w:val="2178AFE1"/>
    <w:rsid w:val="218254BF"/>
    <w:rsid w:val="2184BC6A"/>
    <w:rsid w:val="21852515"/>
    <w:rsid w:val="2191F5B7"/>
    <w:rsid w:val="21938172"/>
    <w:rsid w:val="2194CB8D"/>
    <w:rsid w:val="2196CDB9"/>
    <w:rsid w:val="219E6EF9"/>
    <w:rsid w:val="219F8601"/>
    <w:rsid w:val="21A7E5AA"/>
    <w:rsid w:val="21AAAF22"/>
    <w:rsid w:val="21AAB991"/>
    <w:rsid w:val="21AB5C0F"/>
    <w:rsid w:val="21AD9399"/>
    <w:rsid w:val="21B20CCB"/>
    <w:rsid w:val="21B4C591"/>
    <w:rsid w:val="21B4CDAF"/>
    <w:rsid w:val="21B513E1"/>
    <w:rsid w:val="21B5A8E2"/>
    <w:rsid w:val="21B8E6CA"/>
    <w:rsid w:val="21BFFC4D"/>
    <w:rsid w:val="21C14725"/>
    <w:rsid w:val="21C394DB"/>
    <w:rsid w:val="21C562C6"/>
    <w:rsid w:val="21C5E541"/>
    <w:rsid w:val="21CAE38B"/>
    <w:rsid w:val="21CE02AC"/>
    <w:rsid w:val="21D28FB8"/>
    <w:rsid w:val="21D55B78"/>
    <w:rsid w:val="21D645FB"/>
    <w:rsid w:val="21E01D8D"/>
    <w:rsid w:val="21E1E278"/>
    <w:rsid w:val="21ECA99C"/>
    <w:rsid w:val="21F0A94A"/>
    <w:rsid w:val="21F10045"/>
    <w:rsid w:val="21F48D63"/>
    <w:rsid w:val="21F79A9E"/>
    <w:rsid w:val="21F7EC63"/>
    <w:rsid w:val="21FC9AF1"/>
    <w:rsid w:val="2200453C"/>
    <w:rsid w:val="2200F420"/>
    <w:rsid w:val="22064ED9"/>
    <w:rsid w:val="2215CD90"/>
    <w:rsid w:val="221867AD"/>
    <w:rsid w:val="221F0F0E"/>
    <w:rsid w:val="22200A38"/>
    <w:rsid w:val="2224B073"/>
    <w:rsid w:val="22252212"/>
    <w:rsid w:val="222CBEA0"/>
    <w:rsid w:val="22339347"/>
    <w:rsid w:val="22409A2A"/>
    <w:rsid w:val="2247D30F"/>
    <w:rsid w:val="22550A49"/>
    <w:rsid w:val="22586904"/>
    <w:rsid w:val="2260006C"/>
    <w:rsid w:val="228293F9"/>
    <w:rsid w:val="2282A0AE"/>
    <w:rsid w:val="2284051D"/>
    <w:rsid w:val="22856AEE"/>
    <w:rsid w:val="22876CFA"/>
    <w:rsid w:val="228E1E79"/>
    <w:rsid w:val="2292F552"/>
    <w:rsid w:val="229523C8"/>
    <w:rsid w:val="2297820B"/>
    <w:rsid w:val="229AF2B5"/>
    <w:rsid w:val="229E18D0"/>
    <w:rsid w:val="229F8D6D"/>
    <w:rsid w:val="22A1B47D"/>
    <w:rsid w:val="22A5F428"/>
    <w:rsid w:val="22A6CDD1"/>
    <w:rsid w:val="22AA36EA"/>
    <w:rsid w:val="22AEA8E2"/>
    <w:rsid w:val="22AEB1AC"/>
    <w:rsid w:val="22C61FBF"/>
    <w:rsid w:val="22CA0BAC"/>
    <w:rsid w:val="22CA14CA"/>
    <w:rsid w:val="22CA4424"/>
    <w:rsid w:val="22D09A87"/>
    <w:rsid w:val="22D87DA4"/>
    <w:rsid w:val="22DD7ABE"/>
    <w:rsid w:val="22E3DAAF"/>
    <w:rsid w:val="22E7E3F1"/>
    <w:rsid w:val="22E92DFB"/>
    <w:rsid w:val="22ED662A"/>
    <w:rsid w:val="22EF0AA4"/>
    <w:rsid w:val="22FB6F26"/>
    <w:rsid w:val="22FC3213"/>
    <w:rsid w:val="22FF4741"/>
    <w:rsid w:val="230605FF"/>
    <w:rsid w:val="2307C773"/>
    <w:rsid w:val="230F71F1"/>
    <w:rsid w:val="231C6786"/>
    <w:rsid w:val="231DB361"/>
    <w:rsid w:val="231F8BCC"/>
    <w:rsid w:val="23210ED4"/>
    <w:rsid w:val="2324DD4C"/>
    <w:rsid w:val="23259A72"/>
    <w:rsid w:val="2325B34E"/>
    <w:rsid w:val="232715A9"/>
    <w:rsid w:val="232EEB57"/>
    <w:rsid w:val="2335A906"/>
    <w:rsid w:val="233E9B0E"/>
    <w:rsid w:val="233E9E18"/>
    <w:rsid w:val="233FD660"/>
    <w:rsid w:val="234057E2"/>
    <w:rsid w:val="2349B5C8"/>
    <w:rsid w:val="234B62B3"/>
    <w:rsid w:val="234E4168"/>
    <w:rsid w:val="23506785"/>
    <w:rsid w:val="236039D0"/>
    <w:rsid w:val="23620D29"/>
    <w:rsid w:val="2367AEC9"/>
    <w:rsid w:val="2368A8B7"/>
    <w:rsid w:val="2372ADDC"/>
    <w:rsid w:val="2379EEDD"/>
    <w:rsid w:val="237B938A"/>
    <w:rsid w:val="238B8B41"/>
    <w:rsid w:val="239B586F"/>
    <w:rsid w:val="239C6F24"/>
    <w:rsid w:val="239C7369"/>
    <w:rsid w:val="239D3CA7"/>
    <w:rsid w:val="239DC254"/>
    <w:rsid w:val="23A34026"/>
    <w:rsid w:val="23A7971C"/>
    <w:rsid w:val="23A7A527"/>
    <w:rsid w:val="23B3F641"/>
    <w:rsid w:val="23B69F15"/>
    <w:rsid w:val="23BDF1E3"/>
    <w:rsid w:val="23BE0C2D"/>
    <w:rsid w:val="23C0144D"/>
    <w:rsid w:val="23C0BD9B"/>
    <w:rsid w:val="23C6B8F7"/>
    <w:rsid w:val="23CF60D5"/>
    <w:rsid w:val="23D76850"/>
    <w:rsid w:val="23E1FE1B"/>
    <w:rsid w:val="23E26718"/>
    <w:rsid w:val="23E3350D"/>
    <w:rsid w:val="23E75D6F"/>
    <w:rsid w:val="23E7F580"/>
    <w:rsid w:val="23EBC280"/>
    <w:rsid w:val="23ED556C"/>
    <w:rsid w:val="23F142EA"/>
    <w:rsid w:val="23F438AC"/>
    <w:rsid w:val="23F80D3E"/>
    <w:rsid w:val="23FFBCDD"/>
    <w:rsid w:val="240096AD"/>
    <w:rsid w:val="2401A3C0"/>
    <w:rsid w:val="24022D15"/>
    <w:rsid w:val="240277B9"/>
    <w:rsid w:val="24051FF7"/>
    <w:rsid w:val="2405A12F"/>
    <w:rsid w:val="2408FD72"/>
    <w:rsid w:val="240B5F72"/>
    <w:rsid w:val="24176D5A"/>
    <w:rsid w:val="24180016"/>
    <w:rsid w:val="241E03C9"/>
    <w:rsid w:val="241EA3DA"/>
    <w:rsid w:val="241EF285"/>
    <w:rsid w:val="2420352D"/>
    <w:rsid w:val="2421232D"/>
    <w:rsid w:val="2425AC2D"/>
    <w:rsid w:val="24264D89"/>
    <w:rsid w:val="2427CB15"/>
    <w:rsid w:val="242B533C"/>
    <w:rsid w:val="24313E67"/>
    <w:rsid w:val="243575A1"/>
    <w:rsid w:val="2435EB3B"/>
    <w:rsid w:val="2437DD9C"/>
    <w:rsid w:val="2442C5AD"/>
    <w:rsid w:val="24445817"/>
    <w:rsid w:val="244C9250"/>
    <w:rsid w:val="244E0F9F"/>
    <w:rsid w:val="24557C45"/>
    <w:rsid w:val="24579518"/>
    <w:rsid w:val="245AF8F4"/>
    <w:rsid w:val="2467C04A"/>
    <w:rsid w:val="24693FF5"/>
    <w:rsid w:val="246C3139"/>
    <w:rsid w:val="2473610C"/>
    <w:rsid w:val="2474CE0C"/>
    <w:rsid w:val="24790445"/>
    <w:rsid w:val="248096D5"/>
    <w:rsid w:val="24832D42"/>
    <w:rsid w:val="2484368C"/>
    <w:rsid w:val="2487EADF"/>
    <w:rsid w:val="2489D4BD"/>
    <w:rsid w:val="248C9B9D"/>
    <w:rsid w:val="2493CE72"/>
    <w:rsid w:val="24A0A5A8"/>
    <w:rsid w:val="24A7DE7C"/>
    <w:rsid w:val="24AC6B5B"/>
    <w:rsid w:val="24B0A1B5"/>
    <w:rsid w:val="24B2BD33"/>
    <w:rsid w:val="24B2EA68"/>
    <w:rsid w:val="24B34184"/>
    <w:rsid w:val="24BBEC42"/>
    <w:rsid w:val="24BD6A9F"/>
    <w:rsid w:val="24BD9D70"/>
    <w:rsid w:val="24C9F54B"/>
    <w:rsid w:val="24D2FE26"/>
    <w:rsid w:val="24D5FB84"/>
    <w:rsid w:val="24DBF906"/>
    <w:rsid w:val="24E28161"/>
    <w:rsid w:val="24E68B5E"/>
    <w:rsid w:val="24E85045"/>
    <w:rsid w:val="24EBD8ED"/>
    <w:rsid w:val="24F0A6E7"/>
    <w:rsid w:val="24FC89FD"/>
    <w:rsid w:val="24FE2E3A"/>
    <w:rsid w:val="24FFC76B"/>
    <w:rsid w:val="25020F54"/>
    <w:rsid w:val="2503B825"/>
    <w:rsid w:val="2508AB41"/>
    <w:rsid w:val="251492D5"/>
    <w:rsid w:val="25196A72"/>
    <w:rsid w:val="251E6508"/>
    <w:rsid w:val="251FB7D0"/>
    <w:rsid w:val="25254518"/>
    <w:rsid w:val="2526D3F6"/>
    <w:rsid w:val="252A1988"/>
    <w:rsid w:val="252D86BC"/>
    <w:rsid w:val="2531A6E1"/>
    <w:rsid w:val="25337C76"/>
    <w:rsid w:val="253A54AB"/>
    <w:rsid w:val="2547F005"/>
    <w:rsid w:val="2549DFA4"/>
    <w:rsid w:val="254A62F6"/>
    <w:rsid w:val="2551B47E"/>
    <w:rsid w:val="25593B66"/>
    <w:rsid w:val="2568D2EC"/>
    <w:rsid w:val="256FA4D9"/>
    <w:rsid w:val="25700DFA"/>
    <w:rsid w:val="25723CFB"/>
    <w:rsid w:val="257CECB7"/>
    <w:rsid w:val="25802657"/>
    <w:rsid w:val="2582A8DD"/>
    <w:rsid w:val="258819A3"/>
    <w:rsid w:val="2589D4BC"/>
    <w:rsid w:val="2595B1EF"/>
    <w:rsid w:val="2597224B"/>
    <w:rsid w:val="259B508B"/>
    <w:rsid w:val="25A41FA7"/>
    <w:rsid w:val="25B04B4D"/>
    <w:rsid w:val="25B59DAB"/>
    <w:rsid w:val="25C33778"/>
    <w:rsid w:val="25C3AB90"/>
    <w:rsid w:val="25CB8D83"/>
    <w:rsid w:val="25CE22D4"/>
    <w:rsid w:val="25E747D4"/>
    <w:rsid w:val="25F4E7CC"/>
    <w:rsid w:val="25FE459C"/>
    <w:rsid w:val="25FFB870"/>
    <w:rsid w:val="2604A35B"/>
    <w:rsid w:val="26071137"/>
    <w:rsid w:val="260DCA44"/>
    <w:rsid w:val="2622B81B"/>
    <w:rsid w:val="2626F76E"/>
    <w:rsid w:val="26290B7B"/>
    <w:rsid w:val="26300DB9"/>
    <w:rsid w:val="263860B7"/>
    <w:rsid w:val="2638FA20"/>
    <w:rsid w:val="263B9C4B"/>
    <w:rsid w:val="263BE3FB"/>
    <w:rsid w:val="26437BD4"/>
    <w:rsid w:val="2651D42E"/>
    <w:rsid w:val="2655F817"/>
    <w:rsid w:val="265A6266"/>
    <w:rsid w:val="266C7211"/>
    <w:rsid w:val="266EEC07"/>
    <w:rsid w:val="266FF4EE"/>
    <w:rsid w:val="2670F049"/>
    <w:rsid w:val="2677B26D"/>
    <w:rsid w:val="267D9AE8"/>
    <w:rsid w:val="2682CCBB"/>
    <w:rsid w:val="26884A23"/>
    <w:rsid w:val="268C693F"/>
    <w:rsid w:val="26908742"/>
    <w:rsid w:val="269AD58A"/>
    <w:rsid w:val="26A15D35"/>
    <w:rsid w:val="26A4A94E"/>
    <w:rsid w:val="26AD685C"/>
    <w:rsid w:val="26AE61C1"/>
    <w:rsid w:val="26AEB4E7"/>
    <w:rsid w:val="26B9B0E9"/>
    <w:rsid w:val="26BB53FD"/>
    <w:rsid w:val="26C5B4FD"/>
    <w:rsid w:val="26C8434E"/>
    <w:rsid w:val="26CA8A2D"/>
    <w:rsid w:val="26D20F79"/>
    <w:rsid w:val="26D54124"/>
    <w:rsid w:val="26D8915F"/>
    <w:rsid w:val="26D99281"/>
    <w:rsid w:val="26EE2D1E"/>
    <w:rsid w:val="26F4B2D2"/>
    <w:rsid w:val="26F4E1D1"/>
    <w:rsid w:val="26F95626"/>
    <w:rsid w:val="26FEA400"/>
    <w:rsid w:val="2702E686"/>
    <w:rsid w:val="27049FB6"/>
    <w:rsid w:val="2705AA1F"/>
    <w:rsid w:val="27064681"/>
    <w:rsid w:val="2707E9EE"/>
    <w:rsid w:val="2708ECB4"/>
    <w:rsid w:val="2711A434"/>
    <w:rsid w:val="27131671"/>
    <w:rsid w:val="27180225"/>
    <w:rsid w:val="271E5BFC"/>
    <w:rsid w:val="27224D62"/>
    <w:rsid w:val="272438F0"/>
    <w:rsid w:val="27305B41"/>
    <w:rsid w:val="273E1170"/>
    <w:rsid w:val="2741E521"/>
    <w:rsid w:val="2747A363"/>
    <w:rsid w:val="2748A83B"/>
    <w:rsid w:val="2749D252"/>
    <w:rsid w:val="274FD472"/>
    <w:rsid w:val="275411A8"/>
    <w:rsid w:val="2754319C"/>
    <w:rsid w:val="2755DD87"/>
    <w:rsid w:val="2756189A"/>
    <w:rsid w:val="2758656C"/>
    <w:rsid w:val="2758EC2A"/>
    <w:rsid w:val="2776AA76"/>
    <w:rsid w:val="27808EE4"/>
    <w:rsid w:val="2782345B"/>
    <w:rsid w:val="278305CA"/>
    <w:rsid w:val="278535EF"/>
    <w:rsid w:val="278633C2"/>
    <w:rsid w:val="2786E05C"/>
    <w:rsid w:val="278A9F61"/>
    <w:rsid w:val="278D2E9E"/>
    <w:rsid w:val="27913B60"/>
    <w:rsid w:val="279186F5"/>
    <w:rsid w:val="27971155"/>
    <w:rsid w:val="27A2418C"/>
    <w:rsid w:val="27A507A2"/>
    <w:rsid w:val="27A53093"/>
    <w:rsid w:val="27B1C85C"/>
    <w:rsid w:val="27BA514F"/>
    <w:rsid w:val="27C2418B"/>
    <w:rsid w:val="27C2AB7F"/>
    <w:rsid w:val="27C4D783"/>
    <w:rsid w:val="27C61F40"/>
    <w:rsid w:val="27C6A9FD"/>
    <w:rsid w:val="27C983D7"/>
    <w:rsid w:val="27D2C442"/>
    <w:rsid w:val="27D3FFDE"/>
    <w:rsid w:val="27D77329"/>
    <w:rsid w:val="27DB319D"/>
    <w:rsid w:val="27DC57CA"/>
    <w:rsid w:val="27DC9A57"/>
    <w:rsid w:val="27E01925"/>
    <w:rsid w:val="27E1E3E2"/>
    <w:rsid w:val="27E61B70"/>
    <w:rsid w:val="27EB43EB"/>
    <w:rsid w:val="27ECDF15"/>
    <w:rsid w:val="27F3CCD5"/>
    <w:rsid w:val="27F7C388"/>
    <w:rsid w:val="27F98747"/>
    <w:rsid w:val="28012439"/>
    <w:rsid w:val="281039B2"/>
    <w:rsid w:val="281B7595"/>
    <w:rsid w:val="281CA4C5"/>
    <w:rsid w:val="2822FE87"/>
    <w:rsid w:val="28287F9C"/>
    <w:rsid w:val="28289603"/>
    <w:rsid w:val="2828A374"/>
    <w:rsid w:val="2829FCF4"/>
    <w:rsid w:val="28349AA4"/>
    <w:rsid w:val="28384682"/>
    <w:rsid w:val="2839156D"/>
    <w:rsid w:val="28396884"/>
    <w:rsid w:val="2839CCBF"/>
    <w:rsid w:val="283BC1D6"/>
    <w:rsid w:val="2848B297"/>
    <w:rsid w:val="284D9BB8"/>
    <w:rsid w:val="28529B3F"/>
    <w:rsid w:val="2854383B"/>
    <w:rsid w:val="28582C7A"/>
    <w:rsid w:val="285B8642"/>
    <w:rsid w:val="285C8D30"/>
    <w:rsid w:val="285F77D3"/>
    <w:rsid w:val="28646F23"/>
    <w:rsid w:val="286986D4"/>
    <w:rsid w:val="2869EDFB"/>
    <w:rsid w:val="286C0E4D"/>
    <w:rsid w:val="28735163"/>
    <w:rsid w:val="287B5AEE"/>
    <w:rsid w:val="2880204A"/>
    <w:rsid w:val="2886D53F"/>
    <w:rsid w:val="288861D3"/>
    <w:rsid w:val="2888CAF5"/>
    <w:rsid w:val="288B607F"/>
    <w:rsid w:val="289029ED"/>
    <w:rsid w:val="28949CC0"/>
    <w:rsid w:val="28A1286B"/>
    <w:rsid w:val="28A24879"/>
    <w:rsid w:val="28A54B94"/>
    <w:rsid w:val="28AD9A38"/>
    <w:rsid w:val="28AF3321"/>
    <w:rsid w:val="28AF37EB"/>
    <w:rsid w:val="28AF7BAD"/>
    <w:rsid w:val="28AFC4C8"/>
    <w:rsid w:val="28C53708"/>
    <w:rsid w:val="28C707DF"/>
    <w:rsid w:val="28C8B962"/>
    <w:rsid w:val="28CA1A05"/>
    <w:rsid w:val="28CB390B"/>
    <w:rsid w:val="28CB52F2"/>
    <w:rsid w:val="28CF3BB4"/>
    <w:rsid w:val="28CF699A"/>
    <w:rsid w:val="28D15769"/>
    <w:rsid w:val="28D4D3EF"/>
    <w:rsid w:val="28D96BC2"/>
    <w:rsid w:val="28DA0524"/>
    <w:rsid w:val="28DAA04E"/>
    <w:rsid w:val="28DD9B5D"/>
    <w:rsid w:val="28EAEFFD"/>
    <w:rsid w:val="28ED3CBA"/>
    <w:rsid w:val="28FA47A0"/>
    <w:rsid w:val="290209BB"/>
    <w:rsid w:val="29065559"/>
    <w:rsid w:val="290868C6"/>
    <w:rsid w:val="290BA2C1"/>
    <w:rsid w:val="290C68EE"/>
    <w:rsid w:val="290C7C0F"/>
    <w:rsid w:val="291078A0"/>
    <w:rsid w:val="291A1EC7"/>
    <w:rsid w:val="291CE4ED"/>
    <w:rsid w:val="291D56E4"/>
    <w:rsid w:val="291FB774"/>
    <w:rsid w:val="29220A7F"/>
    <w:rsid w:val="292B667D"/>
    <w:rsid w:val="292E255D"/>
    <w:rsid w:val="2932E33C"/>
    <w:rsid w:val="293EE15D"/>
    <w:rsid w:val="294488AC"/>
    <w:rsid w:val="29498933"/>
    <w:rsid w:val="294D6694"/>
    <w:rsid w:val="2959E581"/>
    <w:rsid w:val="295B1C35"/>
    <w:rsid w:val="295D114B"/>
    <w:rsid w:val="2960D91D"/>
    <w:rsid w:val="296369DA"/>
    <w:rsid w:val="2966D973"/>
    <w:rsid w:val="29672C51"/>
    <w:rsid w:val="2967C4C4"/>
    <w:rsid w:val="2971A4C8"/>
    <w:rsid w:val="29745504"/>
    <w:rsid w:val="297CF06F"/>
    <w:rsid w:val="297D0ED7"/>
    <w:rsid w:val="29831E61"/>
    <w:rsid w:val="2986E56E"/>
    <w:rsid w:val="29A2CAB4"/>
    <w:rsid w:val="29AB8200"/>
    <w:rsid w:val="29B81556"/>
    <w:rsid w:val="29BC88A0"/>
    <w:rsid w:val="29BCDDEC"/>
    <w:rsid w:val="29C57610"/>
    <w:rsid w:val="29C5E9F5"/>
    <w:rsid w:val="29C8F797"/>
    <w:rsid w:val="29CB1C3B"/>
    <w:rsid w:val="29CDE49F"/>
    <w:rsid w:val="29CE1889"/>
    <w:rsid w:val="29D4C999"/>
    <w:rsid w:val="29D93F60"/>
    <w:rsid w:val="29DBE890"/>
    <w:rsid w:val="29DE7628"/>
    <w:rsid w:val="29E28D06"/>
    <w:rsid w:val="29E963B7"/>
    <w:rsid w:val="29EA1574"/>
    <w:rsid w:val="29ED50B3"/>
    <w:rsid w:val="29EE295F"/>
    <w:rsid w:val="29F7600D"/>
    <w:rsid w:val="29F7C3FF"/>
    <w:rsid w:val="29FCED55"/>
    <w:rsid w:val="2A0B450A"/>
    <w:rsid w:val="2A0D9393"/>
    <w:rsid w:val="2A18076D"/>
    <w:rsid w:val="2A244D9B"/>
    <w:rsid w:val="2A3BFFDF"/>
    <w:rsid w:val="2A3C18B7"/>
    <w:rsid w:val="2A477A69"/>
    <w:rsid w:val="2A4DD7CE"/>
    <w:rsid w:val="2A4DD9B7"/>
    <w:rsid w:val="2A50084B"/>
    <w:rsid w:val="2A580B66"/>
    <w:rsid w:val="2A5A95A1"/>
    <w:rsid w:val="2A5B8F26"/>
    <w:rsid w:val="2A610DD0"/>
    <w:rsid w:val="2A61DB4C"/>
    <w:rsid w:val="2A65B4DC"/>
    <w:rsid w:val="2A67E3EF"/>
    <w:rsid w:val="2A6B47E1"/>
    <w:rsid w:val="2A766841"/>
    <w:rsid w:val="2A76781F"/>
    <w:rsid w:val="2A7A0A63"/>
    <w:rsid w:val="2A7A77B1"/>
    <w:rsid w:val="2A805CC1"/>
    <w:rsid w:val="2A8202D9"/>
    <w:rsid w:val="2A82B216"/>
    <w:rsid w:val="2A8384F7"/>
    <w:rsid w:val="2A863371"/>
    <w:rsid w:val="2A88495D"/>
    <w:rsid w:val="2A8C06B6"/>
    <w:rsid w:val="2A8D0A18"/>
    <w:rsid w:val="2A8D551B"/>
    <w:rsid w:val="2A8D5F17"/>
    <w:rsid w:val="2A962BF6"/>
    <w:rsid w:val="2A98D7C0"/>
    <w:rsid w:val="2A996E96"/>
    <w:rsid w:val="2A9D6160"/>
    <w:rsid w:val="2AA9817F"/>
    <w:rsid w:val="2AB04960"/>
    <w:rsid w:val="2AB25404"/>
    <w:rsid w:val="2AB38FE8"/>
    <w:rsid w:val="2AB3B277"/>
    <w:rsid w:val="2AB43FBA"/>
    <w:rsid w:val="2ABB85C6"/>
    <w:rsid w:val="2ABC5673"/>
    <w:rsid w:val="2AC046A0"/>
    <w:rsid w:val="2AC3F190"/>
    <w:rsid w:val="2AC4059B"/>
    <w:rsid w:val="2AC40C94"/>
    <w:rsid w:val="2AC567E1"/>
    <w:rsid w:val="2ACD714F"/>
    <w:rsid w:val="2AD057A1"/>
    <w:rsid w:val="2AD14329"/>
    <w:rsid w:val="2AD2D068"/>
    <w:rsid w:val="2AD76386"/>
    <w:rsid w:val="2AE474BF"/>
    <w:rsid w:val="2AE5DABB"/>
    <w:rsid w:val="2AE7F710"/>
    <w:rsid w:val="2AF1459F"/>
    <w:rsid w:val="2AFB5189"/>
    <w:rsid w:val="2B02400F"/>
    <w:rsid w:val="2B02D2D4"/>
    <w:rsid w:val="2B06C165"/>
    <w:rsid w:val="2B0F6462"/>
    <w:rsid w:val="2B175EAC"/>
    <w:rsid w:val="2B1784ED"/>
    <w:rsid w:val="2B2000B6"/>
    <w:rsid w:val="2B23297C"/>
    <w:rsid w:val="2B26CFB1"/>
    <w:rsid w:val="2B2F08D5"/>
    <w:rsid w:val="2B348087"/>
    <w:rsid w:val="2B34DB9B"/>
    <w:rsid w:val="2B3A4FE9"/>
    <w:rsid w:val="2B4B55C4"/>
    <w:rsid w:val="2B536AEF"/>
    <w:rsid w:val="2B54B6C5"/>
    <w:rsid w:val="2B54DC19"/>
    <w:rsid w:val="2B5654F2"/>
    <w:rsid w:val="2B5A626D"/>
    <w:rsid w:val="2B5FA166"/>
    <w:rsid w:val="2B7D6858"/>
    <w:rsid w:val="2B817F99"/>
    <w:rsid w:val="2B83D03B"/>
    <w:rsid w:val="2B84D4B0"/>
    <w:rsid w:val="2B8B0EAA"/>
    <w:rsid w:val="2B907A67"/>
    <w:rsid w:val="2B91AEFB"/>
    <w:rsid w:val="2B9550FA"/>
    <w:rsid w:val="2B987333"/>
    <w:rsid w:val="2BA147D1"/>
    <w:rsid w:val="2BA2F663"/>
    <w:rsid w:val="2BA8A6AF"/>
    <w:rsid w:val="2BA8E619"/>
    <w:rsid w:val="2BB558B2"/>
    <w:rsid w:val="2BC2BB58"/>
    <w:rsid w:val="2BC73750"/>
    <w:rsid w:val="2BCAE29F"/>
    <w:rsid w:val="2BD117EC"/>
    <w:rsid w:val="2BD6C5FC"/>
    <w:rsid w:val="2BDE6FC4"/>
    <w:rsid w:val="2BDF4002"/>
    <w:rsid w:val="2BE7B7E8"/>
    <w:rsid w:val="2BF07739"/>
    <w:rsid w:val="2BF42544"/>
    <w:rsid w:val="2BF7772B"/>
    <w:rsid w:val="2C02E331"/>
    <w:rsid w:val="2C0F1A63"/>
    <w:rsid w:val="2C0FD80A"/>
    <w:rsid w:val="2C13DC86"/>
    <w:rsid w:val="2C188C2A"/>
    <w:rsid w:val="2C1C2D67"/>
    <w:rsid w:val="2C21C108"/>
    <w:rsid w:val="2C262F95"/>
    <w:rsid w:val="2C2A3114"/>
    <w:rsid w:val="2C2ABFDF"/>
    <w:rsid w:val="2C2D5D46"/>
    <w:rsid w:val="2C34CCFB"/>
    <w:rsid w:val="2C36C1F9"/>
    <w:rsid w:val="2C396A18"/>
    <w:rsid w:val="2C3A279F"/>
    <w:rsid w:val="2C400A5E"/>
    <w:rsid w:val="2C449C7A"/>
    <w:rsid w:val="2C44CA2E"/>
    <w:rsid w:val="2C45262B"/>
    <w:rsid w:val="2C48848F"/>
    <w:rsid w:val="2C4903E6"/>
    <w:rsid w:val="2C4CEC1D"/>
    <w:rsid w:val="2C58480E"/>
    <w:rsid w:val="2C5D1123"/>
    <w:rsid w:val="2C66A356"/>
    <w:rsid w:val="2C7B4537"/>
    <w:rsid w:val="2C7F8DFC"/>
    <w:rsid w:val="2C88388E"/>
    <w:rsid w:val="2C8D8C25"/>
    <w:rsid w:val="2C93F71E"/>
    <w:rsid w:val="2C9E96DF"/>
    <w:rsid w:val="2C9FE8ED"/>
    <w:rsid w:val="2CA0A7B7"/>
    <w:rsid w:val="2CAF3269"/>
    <w:rsid w:val="2CB22587"/>
    <w:rsid w:val="2CB25076"/>
    <w:rsid w:val="2CBC61B9"/>
    <w:rsid w:val="2CBCD52B"/>
    <w:rsid w:val="2CBD3FA3"/>
    <w:rsid w:val="2CC13AA4"/>
    <w:rsid w:val="2CCA764A"/>
    <w:rsid w:val="2CD278F8"/>
    <w:rsid w:val="2CD4E4C3"/>
    <w:rsid w:val="2CD67A32"/>
    <w:rsid w:val="2CDC48CF"/>
    <w:rsid w:val="2CDE78A7"/>
    <w:rsid w:val="2CE56000"/>
    <w:rsid w:val="2CEE29F2"/>
    <w:rsid w:val="2D01C938"/>
    <w:rsid w:val="2D0A6D6A"/>
    <w:rsid w:val="2D0E6EF9"/>
    <w:rsid w:val="2D1306C6"/>
    <w:rsid w:val="2D15BB77"/>
    <w:rsid w:val="2D19492A"/>
    <w:rsid w:val="2D1EF552"/>
    <w:rsid w:val="2D22B38E"/>
    <w:rsid w:val="2D308F7B"/>
    <w:rsid w:val="2D3095CC"/>
    <w:rsid w:val="2D3731C0"/>
    <w:rsid w:val="2D39B15D"/>
    <w:rsid w:val="2D3E6C0B"/>
    <w:rsid w:val="2D41DDFB"/>
    <w:rsid w:val="2D4EF9A0"/>
    <w:rsid w:val="2D549DAB"/>
    <w:rsid w:val="2D5B3503"/>
    <w:rsid w:val="2D5F4204"/>
    <w:rsid w:val="2D6AF465"/>
    <w:rsid w:val="2D6F1B67"/>
    <w:rsid w:val="2D72C6B1"/>
    <w:rsid w:val="2D736F75"/>
    <w:rsid w:val="2D74E529"/>
    <w:rsid w:val="2D7A88ED"/>
    <w:rsid w:val="2D7B8F3B"/>
    <w:rsid w:val="2D81D8DD"/>
    <w:rsid w:val="2D9ADC10"/>
    <w:rsid w:val="2D9CB744"/>
    <w:rsid w:val="2DA0F08A"/>
    <w:rsid w:val="2DA867E7"/>
    <w:rsid w:val="2DABAB23"/>
    <w:rsid w:val="2DAF17E6"/>
    <w:rsid w:val="2DAFA6E7"/>
    <w:rsid w:val="2DB3DB5A"/>
    <w:rsid w:val="2DB4B952"/>
    <w:rsid w:val="2DB830F8"/>
    <w:rsid w:val="2DB8D282"/>
    <w:rsid w:val="2DBBD324"/>
    <w:rsid w:val="2DBDEFF6"/>
    <w:rsid w:val="2DC6E2E7"/>
    <w:rsid w:val="2DC7CA25"/>
    <w:rsid w:val="2DCDBE60"/>
    <w:rsid w:val="2DD13C79"/>
    <w:rsid w:val="2DD56599"/>
    <w:rsid w:val="2DDCD63D"/>
    <w:rsid w:val="2DDFAFCD"/>
    <w:rsid w:val="2DE71865"/>
    <w:rsid w:val="2DE791B1"/>
    <w:rsid w:val="2DEAE60D"/>
    <w:rsid w:val="2DF356C9"/>
    <w:rsid w:val="2DF37554"/>
    <w:rsid w:val="2DF71C6E"/>
    <w:rsid w:val="2DF99DF9"/>
    <w:rsid w:val="2E05BD16"/>
    <w:rsid w:val="2E0E39F3"/>
    <w:rsid w:val="2E0F6C22"/>
    <w:rsid w:val="2E1DC76D"/>
    <w:rsid w:val="2E21F8E4"/>
    <w:rsid w:val="2E24B59D"/>
    <w:rsid w:val="2E25B148"/>
    <w:rsid w:val="2E2776DD"/>
    <w:rsid w:val="2E2DFC5B"/>
    <w:rsid w:val="2E33984B"/>
    <w:rsid w:val="2E37071D"/>
    <w:rsid w:val="2E3BC86B"/>
    <w:rsid w:val="2E3C849A"/>
    <w:rsid w:val="2E3DB4F3"/>
    <w:rsid w:val="2E3F4E2B"/>
    <w:rsid w:val="2E40C5C2"/>
    <w:rsid w:val="2E41B989"/>
    <w:rsid w:val="2E4BDDD5"/>
    <w:rsid w:val="2E51A8F5"/>
    <w:rsid w:val="2E51CF6C"/>
    <w:rsid w:val="2E538FFE"/>
    <w:rsid w:val="2E53C5A3"/>
    <w:rsid w:val="2E5803B5"/>
    <w:rsid w:val="2E64A53A"/>
    <w:rsid w:val="2E68AD07"/>
    <w:rsid w:val="2E6D479D"/>
    <w:rsid w:val="2E71FDF7"/>
    <w:rsid w:val="2E74DE1E"/>
    <w:rsid w:val="2E7AD72B"/>
    <w:rsid w:val="2E7FF317"/>
    <w:rsid w:val="2E8467F3"/>
    <w:rsid w:val="2E8C5970"/>
    <w:rsid w:val="2E8F27D0"/>
    <w:rsid w:val="2E96F038"/>
    <w:rsid w:val="2E9CAA58"/>
    <w:rsid w:val="2EA0DB66"/>
    <w:rsid w:val="2EA1891F"/>
    <w:rsid w:val="2EA3E04B"/>
    <w:rsid w:val="2EABEDB3"/>
    <w:rsid w:val="2EAE0F5A"/>
    <w:rsid w:val="2EAF0D09"/>
    <w:rsid w:val="2EB76DBA"/>
    <w:rsid w:val="2EB90E0B"/>
    <w:rsid w:val="2EBAB317"/>
    <w:rsid w:val="2EBD36C9"/>
    <w:rsid w:val="2EC460CD"/>
    <w:rsid w:val="2EC80D77"/>
    <w:rsid w:val="2ECD8EB3"/>
    <w:rsid w:val="2ED2E5D7"/>
    <w:rsid w:val="2EDD9B81"/>
    <w:rsid w:val="2EDF3335"/>
    <w:rsid w:val="2EE71375"/>
    <w:rsid w:val="2EEC98FD"/>
    <w:rsid w:val="2EF0BA33"/>
    <w:rsid w:val="2F010A7F"/>
    <w:rsid w:val="2F03D729"/>
    <w:rsid w:val="2F15C0CD"/>
    <w:rsid w:val="2F1CBE10"/>
    <w:rsid w:val="2F2146B4"/>
    <w:rsid w:val="2F2404CD"/>
    <w:rsid w:val="2F347579"/>
    <w:rsid w:val="2F371FEE"/>
    <w:rsid w:val="2F3B121B"/>
    <w:rsid w:val="2F420682"/>
    <w:rsid w:val="2F431C9C"/>
    <w:rsid w:val="2F4D633C"/>
    <w:rsid w:val="2F50860C"/>
    <w:rsid w:val="2F511A19"/>
    <w:rsid w:val="2F52DDF0"/>
    <w:rsid w:val="2F64B441"/>
    <w:rsid w:val="2F674FF5"/>
    <w:rsid w:val="2F6785EC"/>
    <w:rsid w:val="2F698C7A"/>
    <w:rsid w:val="2F6C9B11"/>
    <w:rsid w:val="2F701A4B"/>
    <w:rsid w:val="2F71C27C"/>
    <w:rsid w:val="2F747732"/>
    <w:rsid w:val="2F750521"/>
    <w:rsid w:val="2F7EBB98"/>
    <w:rsid w:val="2F7FB8E9"/>
    <w:rsid w:val="2F816A39"/>
    <w:rsid w:val="2F83EB22"/>
    <w:rsid w:val="2F8481C7"/>
    <w:rsid w:val="2F86830C"/>
    <w:rsid w:val="2F871FBE"/>
    <w:rsid w:val="2F8A9FA7"/>
    <w:rsid w:val="2F8E53D1"/>
    <w:rsid w:val="2F91D26F"/>
    <w:rsid w:val="2F9C58A9"/>
    <w:rsid w:val="2F9FC9F5"/>
    <w:rsid w:val="2FA29CE8"/>
    <w:rsid w:val="2FA94F97"/>
    <w:rsid w:val="2FAF2AB9"/>
    <w:rsid w:val="2FB7B719"/>
    <w:rsid w:val="2FB92DAB"/>
    <w:rsid w:val="2FBC45EC"/>
    <w:rsid w:val="2FC41C7D"/>
    <w:rsid w:val="2FE094E9"/>
    <w:rsid w:val="2FE79016"/>
    <w:rsid w:val="2FEC505B"/>
    <w:rsid w:val="2FF3DA61"/>
    <w:rsid w:val="2FF9D13C"/>
    <w:rsid w:val="2FFC9B10"/>
    <w:rsid w:val="2FFF6D44"/>
    <w:rsid w:val="300422F4"/>
    <w:rsid w:val="3005F879"/>
    <w:rsid w:val="3006BCE6"/>
    <w:rsid w:val="30082A28"/>
    <w:rsid w:val="300856A9"/>
    <w:rsid w:val="300ED477"/>
    <w:rsid w:val="300F601D"/>
    <w:rsid w:val="301617FA"/>
    <w:rsid w:val="301AE3DC"/>
    <w:rsid w:val="301BEFF1"/>
    <w:rsid w:val="301D254F"/>
    <w:rsid w:val="3020445A"/>
    <w:rsid w:val="3021B7D6"/>
    <w:rsid w:val="302717ED"/>
    <w:rsid w:val="30274C2A"/>
    <w:rsid w:val="3037C3CA"/>
    <w:rsid w:val="304085C6"/>
    <w:rsid w:val="304CA131"/>
    <w:rsid w:val="304CD658"/>
    <w:rsid w:val="3058D9B0"/>
    <w:rsid w:val="30593EA6"/>
    <w:rsid w:val="305A3C76"/>
    <w:rsid w:val="305D2DC8"/>
    <w:rsid w:val="305F54FB"/>
    <w:rsid w:val="305F8E15"/>
    <w:rsid w:val="3060B6C6"/>
    <w:rsid w:val="306609BE"/>
    <w:rsid w:val="30721A11"/>
    <w:rsid w:val="30745093"/>
    <w:rsid w:val="3075A3D8"/>
    <w:rsid w:val="30768E2A"/>
    <w:rsid w:val="307D446C"/>
    <w:rsid w:val="3087C8A6"/>
    <w:rsid w:val="3087F113"/>
    <w:rsid w:val="308A67E8"/>
    <w:rsid w:val="3095B593"/>
    <w:rsid w:val="3099D51E"/>
    <w:rsid w:val="309AACFB"/>
    <w:rsid w:val="309B7BFE"/>
    <w:rsid w:val="309E82BF"/>
    <w:rsid w:val="309FD55A"/>
    <w:rsid w:val="30A3780D"/>
    <w:rsid w:val="30A47543"/>
    <w:rsid w:val="30A6EAFA"/>
    <w:rsid w:val="30AA064E"/>
    <w:rsid w:val="30AC208D"/>
    <w:rsid w:val="30B10E93"/>
    <w:rsid w:val="30C20C48"/>
    <w:rsid w:val="30C73B09"/>
    <w:rsid w:val="30CA7C56"/>
    <w:rsid w:val="30D136C1"/>
    <w:rsid w:val="30D333D9"/>
    <w:rsid w:val="30D9D1E5"/>
    <w:rsid w:val="30E0DE01"/>
    <w:rsid w:val="30ED2372"/>
    <w:rsid w:val="30EE1494"/>
    <w:rsid w:val="30F0E1BA"/>
    <w:rsid w:val="30F525F7"/>
    <w:rsid w:val="30FA0908"/>
    <w:rsid w:val="310A58C7"/>
    <w:rsid w:val="310E4899"/>
    <w:rsid w:val="31133D3D"/>
    <w:rsid w:val="3113D735"/>
    <w:rsid w:val="311C90D2"/>
    <w:rsid w:val="311C99A8"/>
    <w:rsid w:val="311FB73F"/>
    <w:rsid w:val="3122FA64"/>
    <w:rsid w:val="31233DF2"/>
    <w:rsid w:val="312A417F"/>
    <w:rsid w:val="31315F57"/>
    <w:rsid w:val="31323296"/>
    <w:rsid w:val="313522E7"/>
    <w:rsid w:val="3136DE47"/>
    <w:rsid w:val="31414904"/>
    <w:rsid w:val="31428C7F"/>
    <w:rsid w:val="314E0639"/>
    <w:rsid w:val="315320D4"/>
    <w:rsid w:val="3154ECA8"/>
    <w:rsid w:val="3159B065"/>
    <w:rsid w:val="315FC605"/>
    <w:rsid w:val="3160D6FC"/>
    <w:rsid w:val="31667045"/>
    <w:rsid w:val="3175A90C"/>
    <w:rsid w:val="3176A30C"/>
    <w:rsid w:val="317C8820"/>
    <w:rsid w:val="317EFC99"/>
    <w:rsid w:val="31824B43"/>
    <w:rsid w:val="319DB4A3"/>
    <w:rsid w:val="319E8DC9"/>
    <w:rsid w:val="31A137B9"/>
    <w:rsid w:val="31A43CA0"/>
    <w:rsid w:val="31AE86BD"/>
    <w:rsid w:val="31B12C10"/>
    <w:rsid w:val="31B7D3DF"/>
    <w:rsid w:val="31B7DDCB"/>
    <w:rsid w:val="31BAC5B2"/>
    <w:rsid w:val="31C3CFDD"/>
    <w:rsid w:val="31D0CA19"/>
    <w:rsid w:val="31D12AD8"/>
    <w:rsid w:val="31D24650"/>
    <w:rsid w:val="31D5CE7F"/>
    <w:rsid w:val="31D7C94B"/>
    <w:rsid w:val="31DCB339"/>
    <w:rsid w:val="31DE77FE"/>
    <w:rsid w:val="31E57B6F"/>
    <w:rsid w:val="31E87192"/>
    <w:rsid w:val="31E9A49F"/>
    <w:rsid w:val="31EB2BD4"/>
    <w:rsid w:val="31ED6339"/>
    <w:rsid w:val="31F77C33"/>
    <w:rsid w:val="31FC1E6A"/>
    <w:rsid w:val="3200431C"/>
    <w:rsid w:val="3202A800"/>
    <w:rsid w:val="320808D7"/>
    <w:rsid w:val="320E96CA"/>
    <w:rsid w:val="320EA80D"/>
    <w:rsid w:val="3211DBAC"/>
    <w:rsid w:val="321DABDD"/>
    <w:rsid w:val="3220783B"/>
    <w:rsid w:val="3222D27C"/>
    <w:rsid w:val="322F8D9A"/>
    <w:rsid w:val="32309116"/>
    <w:rsid w:val="3238B579"/>
    <w:rsid w:val="3239D1C7"/>
    <w:rsid w:val="323E3990"/>
    <w:rsid w:val="32441047"/>
    <w:rsid w:val="324845DB"/>
    <w:rsid w:val="324AA99B"/>
    <w:rsid w:val="324C7931"/>
    <w:rsid w:val="325B3DEA"/>
    <w:rsid w:val="326151D8"/>
    <w:rsid w:val="326FDEB4"/>
    <w:rsid w:val="32749D07"/>
    <w:rsid w:val="327889B0"/>
    <w:rsid w:val="327D010C"/>
    <w:rsid w:val="32805B83"/>
    <w:rsid w:val="3285779E"/>
    <w:rsid w:val="3285C290"/>
    <w:rsid w:val="3288B5ED"/>
    <w:rsid w:val="3289DA33"/>
    <w:rsid w:val="3289F67A"/>
    <w:rsid w:val="32942E03"/>
    <w:rsid w:val="329C2509"/>
    <w:rsid w:val="32A7269C"/>
    <w:rsid w:val="32AD7B89"/>
    <w:rsid w:val="32C0F825"/>
    <w:rsid w:val="32C594C1"/>
    <w:rsid w:val="32C6C745"/>
    <w:rsid w:val="32C83B44"/>
    <w:rsid w:val="32CD5C15"/>
    <w:rsid w:val="32D1D2FB"/>
    <w:rsid w:val="32D6F5CF"/>
    <w:rsid w:val="32D7BA0B"/>
    <w:rsid w:val="32DC773A"/>
    <w:rsid w:val="32DD9CC8"/>
    <w:rsid w:val="32DF1247"/>
    <w:rsid w:val="32DFC0F6"/>
    <w:rsid w:val="32E06F5C"/>
    <w:rsid w:val="32E47860"/>
    <w:rsid w:val="32E8459C"/>
    <w:rsid w:val="32E8C959"/>
    <w:rsid w:val="32EAA697"/>
    <w:rsid w:val="32EEC259"/>
    <w:rsid w:val="32FD2467"/>
    <w:rsid w:val="32FFD1C9"/>
    <w:rsid w:val="330319B1"/>
    <w:rsid w:val="330BB119"/>
    <w:rsid w:val="330F5DAC"/>
    <w:rsid w:val="3314AFE9"/>
    <w:rsid w:val="33150A3C"/>
    <w:rsid w:val="331DC5E2"/>
    <w:rsid w:val="3325E7A0"/>
    <w:rsid w:val="3338B387"/>
    <w:rsid w:val="333F6CAF"/>
    <w:rsid w:val="334488A6"/>
    <w:rsid w:val="3347F66B"/>
    <w:rsid w:val="335270D8"/>
    <w:rsid w:val="33574376"/>
    <w:rsid w:val="336054ED"/>
    <w:rsid w:val="336425DC"/>
    <w:rsid w:val="33666170"/>
    <w:rsid w:val="336B6E51"/>
    <w:rsid w:val="337DB123"/>
    <w:rsid w:val="337F39FE"/>
    <w:rsid w:val="3384A594"/>
    <w:rsid w:val="3386B444"/>
    <w:rsid w:val="3386F334"/>
    <w:rsid w:val="338FDAA8"/>
    <w:rsid w:val="339653D0"/>
    <w:rsid w:val="33A1819C"/>
    <w:rsid w:val="33A24A4B"/>
    <w:rsid w:val="33A2F880"/>
    <w:rsid w:val="33AF1430"/>
    <w:rsid w:val="33B27A8D"/>
    <w:rsid w:val="33B72481"/>
    <w:rsid w:val="33BB63F0"/>
    <w:rsid w:val="33BE3993"/>
    <w:rsid w:val="33BED658"/>
    <w:rsid w:val="33BF7BC7"/>
    <w:rsid w:val="33C52DD4"/>
    <w:rsid w:val="33C55707"/>
    <w:rsid w:val="33C6A449"/>
    <w:rsid w:val="33C87FA7"/>
    <w:rsid w:val="33D7B54F"/>
    <w:rsid w:val="33D97621"/>
    <w:rsid w:val="33D9ACC4"/>
    <w:rsid w:val="33DEC58C"/>
    <w:rsid w:val="33F043E6"/>
    <w:rsid w:val="33F0E9A9"/>
    <w:rsid w:val="33F7043A"/>
    <w:rsid w:val="33F9D60A"/>
    <w:rsid w:val="3406E4B1"/>
    <w:rsid w:val="340F3C7D"/>
    <w:rsid w:val="3411B9A4"/>
    <w:rsid w:val="3414E347"/>
    <w:rsid w:val="341ABD5C"/>
    <w:rsid w:val="341BDC5D"/>
    <w:rsid w:val="341E38FA"/>
    <w:rsid w:val="341FDF69"/>
    <w:rsid w:val="3420C86E"/>
    <w:rsid w:val="34324A85"/>
    <w:rsid w:val="3433390B"/>
    <w:rsid w:val="3436F94B"/>
    <w:rsid w:val="343C0A33"/>
    <w:rsid w:val="34478A30"/>
    <w:rsid w:val="3450CE62"/>
    <w:rsid w:val="345292DA"/>
    <w:rsid w:val="3452993B"/>
    <w:rsid w:val="34563EE1"/>
    <w:rsid w:val="345B04E0"/>
    <w:rsid w:val="345DB868"/>
    <w:rsid w:val="345E6CC5"/>
    <w:rsid w:val="3460E4E1"/>
    <w:rsid w:val="3461929A"/>
    <w:rsid w:val="34639331"/>
    <w:rsid w:val="34640BA5"/>
    <w:rsid w:val="34721520"/>
    <w:rsid w:val="3473EF54"/>
    <w:rsid w:val="34761CBB"/>
    <w:rsid w:val="347E7DCE"/>
    <w:rsid w:val="3482036C"/>
    <w:rsid w:val="3483365C"/>
    <w:rsid w:val="348B76BE"/>
    <w:rsid w:val="34B8F13B"/>
    <w:rsid w:val="34BD22C6"/>
    <w:rsid w:val="34C277D3"/>
    <w:rsid w:val="34C66D99"/>
    <w:rsid w:val="34C8365E"/>
    <w:rsid w:val="34CBE17A"/>
    <w:rsid w:val="34CC3CE0"/>
    <w:rsid w:val="34CFE4B4"/>
    <w:rsid w:val="34DD9813"/>
    <w:rsid w:val="34E2E104"/>
    <w:rsid w:val="34E4206A"/>
    <w:rsid w:val="34E7EB67"/>
    <w:rsid w:val="34ECCA93"/>
    <w:rsid w:val="34ECF891"/>
    <w:rsid w:val="34EEF08A"/>
    <w:rsid w:val="34F67D86"/>
    <w:rsid w:val="34F81096"/>
    <w:rsid w:val="34FF5E74"/>
    <w:rsid w:val="34FFA85E"/>
    <w:rsid w:val="35079351"/>
    <w:rsid w:val="35097008"/>
    <w:rsid w:val="350C1A78"/>
    <w:rsid w:val="350F55D0"/>
    <w:rsid w:val="3510277E"/>
    <w:rsid w:val="351368F7"/>
    <w:rsid w:val="351CB2BA"/>
    <w:rsid w:val="3523EF37"/>
    <w:rsid w:val="3524D09C"/>
    <w:rsid w:val="352CDE87"/>
    <w:rsid w:val="352DFA6E"/>
    <w:rsid w:val="3533975A"/>
    <w:rsid w:val="3538234C"/>
    <w:rsid w:val="3538C7F5"/>
    <w:rsid w:val="353B714C"/>
    <w:rsid w:val="353DFDF3"/>
    <w:rsid w:val="354B66C3"/>
    <w:rsid w:val="354E1EBD"/>
    <w:rsid w:val="354F239D"/>
    <w:rsid w:val="3551EEEC"/>
    <w:rsid w:val="3554EEAE"/>
    <w:rsid w:val="3555CB33"/>
    <w:rsid w:val="355EBFC5"/>
    <w:rsid w:val="3561D9E9"/>
    <w:rsid w:val="356BE844"/>
    <w:rsid w:val="356CDC99"/>
    <w:rsid w:val="356FC3F8"/>
    <w:rsid w:val="3574F2D3"/>
    <w:rsid w:val="35789FFC"/>
    <w:rsid w:val="357BC60B"/>
    <w:rsid w:val="35847628"/>
    <w:rsid w:val="3585552D"/>
    <w:rsid w:val="35876075"/>
    <w:rsid w:val="358A0105"/>
    <w:rsid w:val="358F7B96"/>
    <w:rsid w:val="3592FB9F"/>
    <w:rsid w:val="35A6695B"/>
    <w:rsid w:val="35A7F080"/>
    <w:rsid w:val="35AC3313"/>
    <w:rsid w:val="35ADAA36"/>
    <w:rsid w:val="35B47AAF"/>
    <w:rsid w:val="35BE4284"/>
    <w:rsid w:val="35C0E8B5"/>
    <w:rsid w:val="35CD090A"/>
    <w:rsid w:val="35CE9886"/>
    <w:rsid w:val="35D20ADA"/>
    <w:rsid w:val="35E85691"/>
    <w:rsid w:val="35E86DBC"/>
    <w:rsid w:val="35E8E9AF"/>
    <w:rsid w:val="35EB90CE"/>
    <w:rsid w:val="35ECB3E2"/>
    <w:rsid w:val="35EF6BE2"/>
    <w:rsid w:val="35F013BC"/>
    <w:rsid w:val="35F7641C"/>
    <w:rsid w:val="35FA0B12"/>
    <w:rsid w:val="36032814"/>
    <w:rsid w:val="360AA478"/>
    <w:rsid w:val="360F0EEF"/>
    <w:rsid w:val="36138407"/>
    <w:rsid w:val="36173860"/>
    <w:rsid w:val="361B2AF0"/>
    <w:rsid w:val="361CDCE0"/>
    <w:rsid w:val="362749E2"/>
    <w:rsid w:val="362E9B2F"/>
    <w:rsid w:val="362EF070"/>
    <w:rsid w:val="362F109E"/>
    <w:rsid w:val="3631162F"/>
    <w:rsid w:val="36314321"/>
    <w:rsid w:val="3639A930"/>
    <w:rsid w:val="363FF916"/>
    <w:rsid w:val="3650BBF9"/>
    <w:rsid w:val="36518642"/>
    <w:rsid w:val="36545D4E"/>
    <w:rsid w:val="365BF591"/>
    <w:rsid w:val="36624159"/>
    <w:rsid w:val="3665DAD0"/>
    <w:rsid w:val="36688E04"/>
    <w:rsid w:val="3669ED68"/>
    <w:rsid w:val="3670C08B"/>
    <w:rsid w:val="36727A61"/>
    <w:rsid w:val="36754356"/>
    <w:rsid w:val="368D0809"/>
    <w:rsid w:val="369C4968"/>
    <w:rsid w:val="36A30259"/>
    <w:rsid w:val="36A63B86"/>
    <w:rsid w:val="36AB7DAC"/>
    <w:rsid w:val="36B02159"/>
    <w:rsid w:val="36BA66BE"/>
    <w:rsid w:val="36BAA1E3"/>
    <w:rsid w:val="36C0D4E8"/>
    <w:rsid w:val="36C0F5A2"/>
    <w:rsid w:val="36C34C29"/>
    <w:rsid w:val="36C976D1"/>
    <w:rsid w:val="36CA88CC"/>
    <w:rsid w:val="36D356F6"/>
    <w:rsid w:val="36DA0C92"/>
    <w:rsid w:val="36DB630B"/>
    <w:rsid w:val="36E08B44"/>
    <w:rsid w:val="36E9E7CB"/>
    <w:rsid w:val="36EC6AFA"/>
    <w:rsid w:val="36EF7C42"/>
    <w:rsid w:val="36F1AA5F"/>
    <w:rsid w:val="36F28380"/>
    <w:rsid w:val="36F6B239"/>
    <w:rsid w:val="36FD9DB8"/>
    <w:rsid w:val="3705DA2C"/>
    <w:rsid w:val="370C2D2E"/>
    <w:rsid w:val="370F2E2E"/>
    <w:rsid w:val="371468ED"/>
    <w:rsid w:val="371C5A62"/>
    <w:rsid w:val="3721510B"/>
    <w:rsid w:val="372197D6"/>
    <w:rsid w:val="3721D346"/>
    <w:rsid w:val="3727FC12"/>
    <w:rsid w:val="37284268"/>
    <w:rsid w:val="37290115"/>
    <w:rsid w:val="372A2E30"/>
    <w:rsid w:val="372E5FFD"/>
    <w:rsid w:val="37304B0D"/>
    <w:rsid w:val="37319D80"/>
    <w:rsid w:val="3736755D"/>
    <w:rsid w:val="373C1084"/>
    <w:rsid w:val="374551C4"/>
    <w:rsid w:val="374E9EF2"/>
    <w:rsid w:val="375923B8"/>
    <w:rsid w:val="375A8E63"/>
    <w:rsid w:val="375CF626"/>
    <w:rsid w:val="3760D194"/>
    <w:rsid w:val="376251AD"/>
    <w:rsid w:val="37673332"/>
    <w:rsid w:val="37681CF5"/>
    <w:rsid w:val="376AC0EE"/>
    <w:rsid w:val="376C6A7E"/>
    <w:rsid w:val="376D0217"/>
    <w:rsid w:val="37709063"/>
    <w:rsid w:val="37727159"/>
    <w:rsid w:val="37751164"/>
    <w:rsid w:val="3776FE9B"/>
    <w:rsid w:val="3781FD89"/>
    <w:rsid w:val="37825AC3"/>
    <w:rsid w:val="3783CC88"/>
    <w:rsid w:val="378D49C2"/>
    <w:rsid w:val="378E4889"/>
    <w:rsid w:val="379010CC"/>
    <w:rsid w:val="379159BB"/>
    <w:rsid w:val="379AA07E"/>
    <w:rsid w:val="379D1113"/>
    <w:rsid w:val="37A6CF35"/>
    <w:rsid w:val="37AC8D3D"/>
    <w:rsid w:val="37B125C4"/>
    <w:rsid w:val="37B5C669"/>
    <w:rsid w:val="37C770E4"/>
    <w:rsid w:val="37CA8C57"/>
    <w:rsid w:val="37CEB388"/>
    <w:rsid w:val="37D0F81B"/>
    <w:rsid w:val="37D2CD80"/>
    <w:rsid w:val="37D5FEDC"/>
    <w:rsid w:val="37DC9730"/>
    <w:rsid w:val="37DD1947"/>
    <w:rsid w:val="37DE0067"/>
    <w:rsid w:val="37E2B1F7"/>
    <w:rsid w:val="37E3CAEE"/>
    <w:rsid w:val="37E3E105"/>
    <w:rsid w:val="37E69E1E"/>
    <w:rsid w:val="37E6BF18"/>
    <w:rsid w:val="37F06DB4"/>
    <w:rsid w:val="37F420CB"/>
    <w:rsid w:val="38034912"/>
    <w:rsid w:val="380459A9"/>
    <w:rsid w:val="381F242B"/>
    <w:rsid w:val="3824FB40"/>
    <w:rsid w:val="383B66CB"/>
    <w:rsid w:val="383BB9A2"/>
    <w:rsid w:val="383FDFF6"/>
    <w:rsid w:val="3844BD54"/>
    <w:rsid w:val="3844E667"/>
    <w:rsid w:val="38499A54"/>
    <w:rsid w:val="384CEE48"/>
    <w:rsid w:val="384EE4E7"/>
    <w:rsid w:val="38581A3A"/>
    <w:rsid w:val="3859B0D6"/>
    <w:rsid w:val="385CD7CE"/>
    <w:rsid w:val="38603977"/>
    <w:rsid w:val="386141B4"/>
    <w:rsid w:val="386988DF"/>
    <w:rsid w:val="386DB666"/>
    <w:rsid w:val="3874B75F"/>
    <w:rsid w:val="387AD26E"/>
    <w:rsid w:val="387C6A4C"/>
    <w:rsid w:val="3886FE64"/>
    <w:rsid w:val="388C3608"/>
    <w:rsid w:val="389B9D1F"/>
    <w:rsid w:val="389EA0C3"/>
    <w:rsid w:val="389ECB90"/>
    <w:rsid w:val="38A1AE86"/>
    <w:rsid w:val="38A3DF20"/>
    <w:rsid w:val="38B735BD"/>
    <w:rsid w:val="38B8BEB7"/>
    <w:rsid w:val="38BB7C48"/>
    <w:rsid w:val="38BF3670"/>
    <w:rsid w:val="38C3412B"/>
    <w:rsid w:val="38C88D9D"/>
    <w:rsid w:val="38C93003"/>
    <w:rsid w:val="38CD8E5E"/>
    <w:rsid w:val="38D0AE77"/>
    <w:rsid w:val="38D749FB"/>
    <w:rsid w:val="38D9AAF7"/>
    <w:rsid w:val="38DA6CCA"/>
    <w:rsid w:val="38E7B43B"/>
    <w:rsid w:val="38EB1DDA"/>
    <w:rsid w:val="38EE15D3"/>
    <w:rsid w:val="38EE7F32"/>
    <w:rsid w:val="38EF2FEE"/>
    <w:rsid w:val="38F0AAF4"/>
    <w:rsid w:val="38F18713"/>
    <w:rsid w:val="38F5C522"/>
    <w:rsid w:val="38F9844F"/>
    <w:rsid w:val="39071E91"/>
    <w:rsid w:val="390D8D3D"/>
    <w:rsid w:val="390DD0EA"/>
    <w:rsid w:val="391A3DA6"/>
    <w:rsid w:val="391B0D55"/>
    <w:rsid w:val="391D81E2"/>
    <w:rsid w:val="391F8F43"/>
    <w:rsid w:val="39273858"/>
    <w:rsid w:val="392E8346"/>
    <w:rsid w:val="3933A946"/>
    <w:rsid w:val="3934A6A9"/>
    <w:rsid w:val="393CAFBC"/>
    <w:rsid w:val="394514E4"/>
    <w:rsid w:val="3946A0D3"/>
    <w:rsid w:val="39485300"/>
    <w:rsid w:val="394A99DE"/>
    <w:rsid w:val="394BDCFF"/>
    <w:rsid w:val="3953896B"/>
    <w:rsid w:val="3959B43A"/>
    <w:rsid w:val="395B8C88"/>
    <w:rsid w:val="395B8E71"/>
    <w:rsid w:val="39622802"/>
    <w:rsid w:val="39629D3F"/>
    <w:rsid w:val="39635181"/>
    <w:rsid w:val="3963A689"/>
    <w:rsid w:val="3966E8A5"/>
    <w:rsid w:val="397247E2"/>
    <w:rsid w:val="397476F0"/>
    <w:rsid w:val="3987D48F"/>
    <w:rsid w:val="39892276"/>
    <w:rsid w:val="398BD30F"/>
    <w:rsid w:val="398E8BBB"/>
    <w:rsid w:val="3990717F"/>
    <w:rsid w:val="39A024F4"/>
    <w:rsid w:val="39A5A2B6"/>
    <w:rsid w:val="39AF0CC6"/>
    <w:rsid w:val="39B619E6"/>
    <w:rsid w:val="39C175A8"/>
    <w:rsid w:val="39C48F55"/>
    <w:rsid w:val="39C9E7E3"/>
    <w:rsid w:val="39CA2ADE"/>
    <w:rsid w:val="39CDD75E"/>
    <w:rsid w:val="39D35608"/>
    <w:rsid w:val="39D5178D"/>
    <w:rsid w:val="39D57917"/>
    <w:rsid w:val="39D6953F"/>
    <w:rsid w:val="39DDE16C"/>
    <w:rsid w:val="39E5ACFC"/>
    <w:rsid w:val="39E7F0E6"/>
    <w:rsid w:val="39E84450"/>
    <w:rsid w:val="39E85D57"/>
    <w:rsid w:val="39E87B4A"/>
    <w:rsid w:val="39EBB5D9"/>
    <w:rsid w:val="39FE42A3"/>
    <w:rsid w:val="39FEC619"/>
    <w:rsid w:val="39FF0716"/>
    <w:rsid w:val="39FFE787"/>
    <w:rsid w:val="3A03D249"/>
    <w:rsid w:val="3A0DB712"/>
    <w:rsid w:val="3A0F8DB5"/>
    <w:rsid w:val="3A17775B"/>
    <w:rsid w:val="3A1AE3DD"/>
    <w:rsid w:val="3A1C9A20"/>
    <w:rsid w:val="3A1D8799"/>
    <w:rsid w:val="3A1DB170"/>
    <w:rsid w:val="3A1E3A45"/>
    <w:rsid w:val="3A209E9D"/>
    <w:rsid w:val="3A21E741"/>
    <w:rsid w:val="3A27F2FC"/>
    <w:rsid w:val="3A2B426D"/>
    <w:rsid w:val="3A3377F0"/>
    <w:rsid w:val="3A35940B"/>
    <w:rsid w:val="3A434ED3"/>
    <w:rsid w:val="3A47A6ED"/>
    <w:rsid w:val="3A4B5A3C"/>
    <w:rsid w:val="3A518629"/>
    <w:rsid w:val="3A532CB8"/>
    <w:rsid w:val="3A5B6F7B"/>
    <w:rsid w:val="3A607676"/>
    <w:rsid w:val="3A691985"/>
    <w:rsid w:val="3A6AE470"/>
    <w:rsid w:val="3A6CEE52"/>
    <w:rsid w:val="3A6D7270"/>
    <w:rsid w:val="3A6E69EB"/>
    <w:rsid w:val="3A7841D0"/>
    <w:rsid w:val="3A7FF54B"/>
    <w:rsid w:val="3A8807D4"/>
    <w:rsid w:val="3A91AFB3"/>
    <w:rsid w:val="3A96D19B"/>
    <w:rsid w:val="3AA8B763"/>
    <w:rsid w:val="3AA9640D"/>
    <w:rsid w:val="3AA9E38E"/>
    <w:rsid w:val="3AAB8887"/>
    <w:rsid w:val="3AAC2612"/>
    <w:rsid w:val="3AB15002"/>
    <w:rsid w:val="3AB25745"/>
    <w:rsid w:val="3AB47618"/>
    <w:rsid w:val="3AB48BF3"/>
    <w:rsid w:val="3ABE6A13"/>
    <w:rsid w:val="3AC40DE7"/>
    <w:rsid w:val="3AC46EDD"/>
    <w:rsid w:val="3AC6D6A0"/>
    <w:rsid w:val="3AC72E7B"/>
    <w:rsid w:val="3ACBDE1D"/>
    <w:rsid w:val="3AD2AD50"/>
    <w:rsid w:val="3AD2D765"/>
    <w:rsid w:val="3AD5D596"/>
    <w:rsid w:val="3AD91D8C"/>
    <w:rsid w:val="3ADAF3E0"/>
    <w:rsid w:val="3ADB9981"/>
    <w:rsid w:val="3AEAABB5"/>
    <w:rsid w:val="3AEAB127"/>
    <w:rsid w:val="3AEB6B53"/>
    <w:rsid w:val="3AED525E"/>
    <w:rsid w:val="3AEEC2BB"/>
    <w:rsid w:val="3AF19A1D"/>
    <w:rsid w:val="3AF25B68"/>
    <w:rsid w:val="3AFAF961"/>
    <w:rsid w:val="3AFE7B15"/>
    <w:rsid w:val="3B015716"/>
    <w:rsid w:val="3B020F09"/>
    <w:rsid w:val="3B041491"/>
    <w:rsid w:val="3B05F163"/>
    <w:rsid w:val="3B115947"/>
    <w:rsid w:val="3B139795"/>
    <w:rsid w:val="3B167EC3"/>
    <w:rsid w:val="3B1A4ACA"/>
    <w:rsid w:val="3B1C78D0"/>
    <w:rsid w:val="3B236708"/>
    <w:rsid w:val="3B2812F2"/>
    <w:rsid w:val="3B2882AB"/>
    <w:rsid w:val="3B29EF93"/>
    <w:rsid w:val="3B2F25EC"/>
    <w:rsid w:val="3B3157DD"/>
    <w:rsid w:val="3B32F0D3"/>
    <w:rsid w:val="3B33FEC6"/>
    <w:rsid w:val="3B34F2E3"/>
    <w:rsid w:val="3B37766D"/>
    <w:rsid w:val="3B37F53A"/>
    <w:rsid w:val="3B4706FB"/>
    <w:rsid w:val="3B48D90D"/>
    <w:rsid w:val="3B4CF876"/>
    <w:rsid w:val="3B516385"/>
    <w:rsid w:val="3B52E820"/>
    <w:rsid w:val="3B53EDD3"/>
    <w:rsid w:val="3B56F5A7"/>
    <w:rsid w:val="3B63516C"/>
    <w:rsid w:val="3B68D876"/>
    <w:rsid w:val="3B6D8D9A"/>
    <w:rsid w:val="3B789788"/>
    <w:rsid w:val="3B7C6D5C"/>
    <w:rsid w:val="3B7E2F55"/>
    <w:rsid w:val="3B81BF81"/>
    <w:rsid w:val="3B83D02C"/>
    <w:rsid w:val="3B873312"/>
    <w:rsid w:val="3B88BB64"/>
    <w:rsid w:val="3B92E4FF"/>
    <w:rsid w:val="3B9AC25B"/>
    <w:rsid w:val="3B9BABA3"/>
    <w:rsid w:val="3BA091F9"/>
    <w:rsid w:val="3BA4E1E5"/>
    <w:rsid w:val="3BA5F029"/>
    <w:rsid w:val="3BAC6C4A"/>
    <w:rsid w:val="3BAFD44F"/>
    <w:rsid w:val="3BB0A283"/>
    <w:rsid w:val="3BB231F1"/>
    <w:rsid w:val="3BB3D345"/>
    <w:rsid w:val="3BB6AB19"/>
    <w:rsid w:val="3BB83294"/>
    <w:rsid w:val="3BBCF787"/>
    <w:rsid w:val="3BBD24AE"/>
    <w:rsid w:val="3BC57B8A"/>
    <w:rsid w:val="3BC7A9F3"/>
    <w:rsid w:val="3BD20196"/>
    <w:rsid w:val="3BDA27E3"/>
    <w:rsid w:val="3BDBB28C"/>
    <w:rsid w:val="3BDCD47A"/>
    <w:rsid w:val="3BDD1B16"/>
    <w:rsid w:val="3BE1F48A"/>
    <w:rsid w:val="3BE4C455"/>
    <w:rsid w:val="3BE653BC"/>
    <w:rsid w:val="3BF3B37B"/>
    <w:rsid w:val="3BF6E706"/>
    <w:rsid w:val="3BF74DEF"/>
    <w:rsid w:val="3BFEDF66"/>
    <w:rsid w:val="3C057F73"/>
    <w:rsid w:val="3C07B4AB"/>
    <w:rsid w:val="3C0A120A"/>
    <w:rsid w:val="3C11C5BC"/>
    <w:rsid w:val="3C1380CC"/>
    <w:rsid w:val="3C1E6215"/>
    <w:rsid w:val="3C27DC8A"/>
    <w:rsid w:val="3C296F0A"/>
    <w:rsid w:val="3C2FB447"/>
    <w:rsid w:val="3C325E2E"/>
    <w:rsid w:val="3C375586"/>
    <w:rsid w:val="3C3766F2"/>
    <w:rsid w:val="3C3A9571"/>
    <w:rsid w:val="3C3BD64D"/>
    <w:rsid w:val="3C403E0D"/>
    <w:rsid w:val="3C4BB845"/>
    <w:rsid w:val="3C4CE234"/>
    <w:rsid w:val="3C4E7E88"/>
    <w:rsid w:val="3C506B97"/>
    <w:rsid w:val="3C518585"/>
    <w:rsid w:val="3C56AA20"/>
    <w:rsid w:val="3C582912"/>
    <w:rsid w:val="3C6807EB"/>
    <w:rsid w:val="3C68A770"/>
    <w:rsid w:val="3C69A120"/>
    <w:rsid w:val="3C724E54"/>
    <w:rsid w:val="3C768E74"/>
    <w:rsid w:val="3C7A4A22"/>
    <w:rsid w:val="3C80B0FC"/>
    <w:rsid w:val="3C8E783D"/>
    <w:rsid w:val="3CA6E827"/>
    <w:rsid w:val="3CAAD1E2"/>
    <w:rsid w:val="3CAC30A0"/>
    <w:rsid w:val="3CB2624D"/>
    <w:rsid w:val="3CB8A46F"/>
    <w:rsid w:val="3CC3C538"/>
    <w:rsid w:val="3CCC20DA"/>
    <w:rsid w:val="3CD02BFF"/>
    <w:rsid w:val="3CD03778"/>
    <w:rsid w:val="3CD9AC3F"/>
    <w:rsid w:val="3CDD028E"/>
    <w:rsid w:val="3CE1CEC7"/>
    <w:rsid w:val="3CF483DE"/>
    <w:rsid w:val="3CF485D1"/>
    <w:rsid w:val="3CF91DA8"/>
    <w:rsid w:val="3CFB44E9"/>
    <w:rsid w:val="3CFEC7E7"/>
    <w:rsid w:val="3D028CB2"/>
    <w:rsid w:val="3D0A6D7D"/>
    <w:rsid w:val="3D1000C4"/>
    <w:rsid w:val="3D1AF4CA"/>
    <w:rsid w:val="3D20C335"/>
    <w:rsid w:val="3D271053"/>
    <w:rsid w:val="3D30D107"/>
    <w:rsid w:val="3D3DE9E4"/>
    <w:rsid w:val="3D48869E"/>
    <w:rsid w:val="3D4E259E"/>
    <w:rsid w:val="3D650F5A"/>
    <w:rsid w:val="3D686789"/>
    <w:rsid w:val="3D6CE66C"/>
    <w:rsid w:val="3D6EFD92"/>
    <w:rsid w:val="3D72D8E8"/>
    <w:rsid w:val="3D7620E1"/>
    <w:rsid w:val="3D7707D4"/>
    <w:rsid w:val="3D7C5F96"/>
    <w:rsid w:val="3D800D02"/>
    <w:rsid w:val="3D834925"/>
    <w:rsid w:val="3D834E81"/>
    <w:rsid w:val="3D849084"/>
    <w:rsid w:val="3D864020"/>
    <w:rsid w:val="3D8BD18C"/>
    <w:rsid w:val="3D8C953B"/>
    <w:rsid w:val="3D8D3053"/>
    <w:rsid w:val="3D8D654A"/>
    <w:rsid w:val="3D93983C"/>
    <w:rsid w:val="3D94DCA8"/>
    <w:rsid w:val="3D9AA431"/>
    <w:rsid w:val="3DA80AA7"/>
    <w:rsid w:val="3DB507AF"/>
    <w:rsid w:val="3DB8F0EC"/>
    <w:rsid w:val="3DBA798C"/>
    <w:rsid w:val="3DBEC485"/>
    <w:rsid w:val="3DD3675C"/>
    <w:rsid w:val="3DE0AE7C"/>
    <w:rsid w:val="3DE3D506"/>
    <w:rsid w:val="3DE59D7A"/>
    <w:rsid w:val="3DF2696E"/>
    <w:rsid w:val="3E00F85F"/>
    <w:rsid w:val="3E067E08"/>
    <w:rsid w:val="3E06B890"/>
    <w:rsid w:val="3E06EA51"/>
    <w:rsid w:val="3E0CC76F"/>
    <w:rsid w:val="3E0F2122"/>
    <w:rsid w:val="3E13CCE4"/>
    <w:rsid w:val="3E147B3B"/>
    <w:rsid w:val="3E1EB9C7"/>
    <w:rsid w:val="3E286A67"/>
    <w:rsid w:val="3E2B0319"/>
    <w:rsid w:val="3E310585"/>
    <w:rsid w:val="3E36DF9E"/>
    <w:rsid w:val="3E38F9C3"/>
    <w:rsid w:val="3E3D6701"/>
    <w:rsid w:val="3E3E9050"/>
    <w:rsid w:val="3E416CBB"/>
    <w:rsid w:val="3E4537C7"/>
    <w:rsid w:val="3E469DDD"/>
    <w:rsid w:val="3E48D231"/>
    <w:rsid w:val="3E4A3909"/>
    <w:rsid w:val="3E4EF6B6"/>
    <w:rsid w:val="3E5FDF48"/>
    <w:rsid w:val="3E60737D"/>
    <w:rsid w:val="3E62A398"/>
    <w:rsid w:val="3E65956C"/>
    <w:rsid w:val="3E6D2B6C"/>
    <w:rsid w:val="3E6FA874"/>
    <w:rsid w:val="3E7108CB"/>
    <w:rsid w:val="3E72B5A9"/>
    <w:rsid w:val="3E740517"/>
    <w:rsid w:val="3E7CAB38"/>
    <w:rsid w:val="3E824D2A"/>
    <w:rsid w:val="3E87926F"/>
    <w:rsid w:val="3E91BDFD"/>
    <w:rsid w:val="3E935B1B"/>
    <w:rsid w:val="3E95CD39"/>
    <w:rsid w:val="3E99E789"/>
    <w:rsid w:val="3E9BE8DB"/>
    <w:rsid w:val="3EA214B1"/>
    <w:rsid w:val="3EA382CE"/>
    <w:rsid w:val="3EAC5C23"/>
    <w:rsid w:val="3EB87F71"/>
    <w:rsid w:val="3EBAF429"/>
    <w:rsid w:val="3EC3BE2B"/>
    <w:rsid w:val="3ECBCA11"/>
    <w:rsid w:val="3ECFF390"/>
    <w:rsid w:val="3ED26AA3"/>
    <w:rsid w:val="3ED3447C"/>
    <w:rsid w:val="3ED9772C"/>
    <w:rsid w:val="3EDC1648"/>
    <w:rsid w:val="3EDDB7A1"/>
    <w:rsid w:val="3EE226B6"/>
    <w:rsid w:val="3EE37DAB"/>
    <w:rsid w:val="3EECF73C"/>
    <w:rsid w:val="3EEF1FA3"/>
    <w:rsid w:val="3EF28106"/>
    <w:rsid w:val="3F04032E"/>
    <w:rsid w:val="3F08EE6E"/>
    <w:rsid w:val="3F1AF7EF"/>
    <w:rsid w:val="3F1F21EC"/>
    <w:rsid w:val="3F209A9C"/>
    <w:rsid w:val="3F284253"/>
    <w:rsid w:val="3F2D63FC"/>
    <w:rsid w:val="3F2D7985"/>
    <w:rsid w:val="3F312FB5"/>
    <w:rsid w:val="3F314AF7"/>
    <w:rsid w:val="3F323B57"/>
    <w:rsid w:val="3F36E242"/>
    <w:rsid w:val="3F36E966"/>
    <w:rsid w:val="3F38BE62"/>
    <w:rsid w:val="3F3B92F5"/>
    <w:rsid w:val="3F46FF8D"/>
    <w:rsid w:val="3F5171AB"/>
    <w:rsid w:val="3F564BA4"/>
    <w:rsid w:val="3F59B285"/>
    <w:rsid w:val="3F5D619E"/>
    <w:rsid w:val="3F5DC7B0"/>
    <w:rsid w:val="3F5DCF75"/>
    <w:rsid w:val="3F60BD0C"/>
    <w:rsid w:val="3F61BD2F"/>
    <w:rsid w:val="3F6AD93C"/>
    <w:rsid w:val="3F6CDF4B"/>
    <w:rsid w:val="3F741E59"/>
    <w:rsid w:val="3F751190"/>
    <w:rsid w:val="3F7603BF"/>
    <w:rsid w:val="3F79BABA"/>
    <w:rsid w:val="3F82697B"/>
    <w:rsid w:val="3F8380E0"/>
    <w:rsid w:val="3F8778A2"/>
    <w:rsid w:val="3F8CC137"/>
    <w:rsid w:val="3F909FD6"/>
    <w:rsid w:val="3F993F39"/>
    <w:rsid w:val="3FA18601"/>
    <w:rsid w:val="3FA658B6"/>
    <w:rsid w:val="3FA84316"/>
    <w:rsid w:val="3FAAA8B1"/>
    <w:rsid w:val="3FAC54BC"/>
    <w:rsid w:val="3FB7F98D"/>
    <w:rsid w:val="3FBCDDF9"/>
    <w:rsid w:val="3FBEEAF4"/>
    <w:rsid w:val="3FC6D356"/>
    <w:rsid w:val="3FD065B5"/>
    <w:rsid w:val="3FD218CC"/>
    <w:rsid w:val="3FD370A3"/>
    <w:rsid w:val="3FD3AD7E"/>
    <w:rsid w:val="3FDBDD67"/>
    <w:rsid w:val="3FE0896D"/>
    <w:rsid w:val="3FE29D65"/>
    <w:rsid w:val="3FF24DE6"/>
    <w:rsid w:val="3FF8D2A0"/>
    <w:rsid w:val="4001CB4E"/>
    <w:rsid w:val="40031A87"/>
    <w:rsid w:val="4003CACA"/>
    <w:rsid w:val="4004EFDC"/>
    <w:rsid w:val="4005D46A"/>
    <w:rsid w:val="4009C1D6"/>
    <w:rsid w:val="400A61AB"/>
    <w:rsid w:val="400DAE18"/>
    <w:rsid w:val="4010C7FD"/>
    <w:rsid w:val="4012CD8E"/>
    <w:rsid w:val="4017CEC0"/>
    <w:rsid w:val="401B7A5B"/>
    <w:rsid w:val="4021ED7D"/>
    <w:rsid w:val="4024742D"/>
    <w:rsid w:val="40275DDE"/>
    <w:rsid w:val="402DC479"/>
    <w:rsid w:val="40346B3A"/>
    <w:rsid w:val="40411770"/>
    <w:rsid w:val="404119C4"/>
    <w:rsid w:val="4045D6FE"/>
    <w:rsid w:val="40470A5D"/>
    <w:rsid w:val="404DF83A"/>
    <w:rsid w:val="4055AB73"/>
    <w:rsid w:val="405969C7"/>
    <w:rsid w:val="40654F04"/>
    <w:rsid w:val="4066B736"/>
    <w:rsid w:val="406AFC68"/>
    <w:rsid w:val="406BA068"/>
    <w:rsid w:val="4071F132"/>
    <w:rsid w:val="4077BCCD"/>
    <w:rsid w:val="4079DAA9"/>
    <w:rsid w:val="408418D0"/>
    <w:rsid w:val="408A3859"/>
    <w:rsid w:val="409514BA"/>
    <w:rsid w:val="40957BDB"/>
    <w:rsid w:val="4095FAE8"/>
    <w:rsid w:val="4098A6FD"/>
    <w:rsid w:val="4098E1DC"/>
    <w:rsid w:val="4099E83A"/>
    <w:rsid w:val="40A1AD22"/>
    <w:rsid w:val="40A50323"/>
    <w:rsid w:val="40A51304"/>
    <w:rsid w:val="40A9360E"/>
    <w:rsid w:val="40A9BBA9"/>
    <w:rsid w:val="40AC8C73"/>
    <w:rsid w:val="40AEA81F"/>
    <w:rsid w:val="40AEC7FE"/>
    <w:rsid w:val="40AF2B31"/>
    <w:rsid w:val="40B17483"/>
    <w:rsid w:val="40BA2DF6"/>
    <w:rsid w:val="40C17A88"/>
    <w:rsid w:val="40CC1566"/>
    <w:rsid w:val="40D0FD24"/>
    <w:rsid w:val="40D9A451"/>
    <w:rsid w:val="40DAAD54"/>
    <w:rsid w:val="40DE45C1"/>
    <w:rsid w:val="40DF5482"/>
    <w:rsid w:val="40DF7EEA"/>
    <w:rsid w:val="40E2DA5E"/>
    <w:rsid w:val="40E78E16"/>
    <w:rsid w:val="40F00F70"/>
    <w:rsid w:val="40F1C3CC"/>
    <w:rsid w:val="40F354DC"/>
    <w:rsid w:val="41033518"/>
    <w:rsid w:val="410EFFE9"/>
    <w:rsid w:val="4114B58B"/>
    <w:rsid w:val="4115052D"/>
    <w:rsid w:val="4119F5D7"/>
    <w:rsid w:val="4120D02A"/>
    <w:rsid w:val="4121E1CE"/>
    <w:rsid w:val="41246860"/>
    <w:rsid w:val="412A8672"/>
    <w:rsid w:val="41327490"/>
    <w:rsid w:val="413D28AB"/>
    <w:rsid w:val="4145A873"/>
    <w:rsid w:val="414B39AC"/>
    <w:rsid w:val="414E1971"/>
    <w:rsid w:val="41572B1F"/>
    <w:rsid w:val="415E17C2"/>
    <w:rsid w:val="415E8EAD"/>
    <w:rsid w:val="415FAF43"/>
    <w:rsid w:val="4160B983"/>
    <w:rsid w:val="4162E67C"/>
    <w:rsid w:val="4163A860"/>
    <w:rsid w:val="4164FC56"/>
    <w:rsid w:val="416742D8"/>
    <w:rsid w:val="4169BEC1"/>
    <w:rsid w:val="416C71BB"/>
    <w:rsid w:val="417176CA"/>
    <w:rsid w:val="41731969"/>
    <w:rsid w:val="417A1095"/>
    <w:rsid w:val="4180B987"/>
    <w:rsid w:val="4180EF4B"/>
    <w:rsid w:val="4181FAF1"/>
    <w:rsid w:val="4182A36A"/>
    <w:rsid w:val="4184D7AE"/>
    <w:rsid w:val="4184E081"/>
    <w:rsid w:val="418A1571"/>
    <w:rsid w:val="418E23C9"/>
    <w:rsid w:val="418F6D64"/>
    <w:rsid w:val="418F89AE"/>
    <w:rsid w:val="419A4B43"/>
    <w:rsid w:val="419C296A"/>
    <w:rsid w:val="419EF55B"/>
    <w:rsid w:val="41A2B68F"/>
    <w:rsid w:val="41ABD725"/>
    <w:rsid w:val="41AC0664"/>
    <w:rsid w:val="41ADE732"/>
    <w:rsid w:val="41BB86EC"/>
    <w:rsid w:val="41BC1720"/>
    <w:rsid w:val="41BC5269"/>
    <w:rsid w:val="41BF44EF"/>
    <w:rsid w:val="41C01927"/>
    <w:rsid w:val="41C066F6"/>
    <w:rsid w:val="41C195CF"/>
    <w:rsid w:val="41C50265"/>
    <w:rsid w:val="41C6DEE5"/>
    <w:rsid w:val="41D0D4AE"/>
    <w:rsid w:val="41D306C7"/>
    <w:rsid w:val="41D3EC01"/>
    <w:rsid w:val="41D67DE1"/>
    <w:rsid w:val="41D8A3A9"/>
    <w:rsid w:val="41DA5AB5"/>
    <w:rsid w:val="41DD9866"/>
    <w:rsid w:val="41E330F6"/>
    <w:rsid w:val="41E83E3B"/>
    <w:rsid w:val="41E92F27"/>
    <w:rsid w:val="41ECE69D"/>
    <w:rsid w:val="41F12BF3"/>
    <w:rsid w:val="4204DD9E"/>
    <w:rsid w:val="421137CF"/>
    <w:rsid w:val="42145EDA"/>
    <w:rsid w:val="4214D87B"/>
    <w:rsid w:val="421C2690"/>
    <w:rsid w:val="421C2D8E"/>
    <w:rsid w:val="42297872"/>
    <w:rsid w:val="422C6333"/>
    <w:rsid w:val="42309927"/>
    <w:rsid w:val="42360F1F"/>
    <w:rsid w:val="423F6D85"/>
    <w:rsid w:val="423FD658"/>
    <w:rsid w:val="424728D6"/>
    <w:rsid w:val="424834CF"/>
    <w:rsid w:val="42504961"/>
    <w:rsid w:val="4259A944"/>
    <w:rsid w:val="425A66E2"/>
    <w:rsid w:val="425F756D"/>
    <w:rsid w:val="4260BE71"/>
    <w:rsid w:val="427278BA"/>
    <w:rsid w:val="4277B88C"/>
    <w:rsid w:val="42858A59"/>
    <w:rsid w:val="428F2838"/>
    <w:rsid w:val="4296C532"/>
    <w:rsid w:val="429C7BC9"/>
    <w:rsid w:val="429C8D79"/>
    <w:rsid w:val="429E54B1"/>
    <w:rsid w:val="42A0A3CC"/>
    <w:rsid w:val="42A23613"/>
    <w:rsid w:val="42AB78CA"/>
    <w:rsid w:val="42B2C619"/>
    <w:rsid w:val="42B2FAD5"/>
    <w:rsid w:val="42C36716"/>
    <w:rsid w:val="42CEFC0D"/>
    <w:rsid w:val="42D19102"/>
    <w:rsid w:val="42DB24C0"/>
    <w:rsid w:val="42ED26C1"/>
    <w:rsid w:val="42EF471A"/>
    <w:rsid w:val="430CA5BE"/>
    <w:rsid w:val="43127534"/>
    <w:rsid w:val="431A3AEC"/>
    <w:rsid w:val="43227392"/>
    <w:rsid w:val="43244445"/>
    <w:rsid w:val="4325D59C"/>
    <w:rsid w:val="4326A041"/>
    <w:rsid w:val="4326F46C"/>
    <w:rsid w:val="4331B222"/>
    <w:rsid w:val="43337B13"/>
    <w:rsid w:val="4335F858"/>
    <w:rsid w:val="4339486C"/>
    <w:rsid w:val="433A1FB7"/>
    <w:rsid w:val="433D75DA"/>
    <w:rsid w:val="43412A9A"/>
    <w:rsid w:val="434AB087"/>
    <w:rsid w:val="434BBAB8"/>
    <w:rsid w:val="4350103E"/>
    <w:rsid w:val="4350BAAC"/>
    <w:rsid w:val="4355D0FD"/>
    <w:rsid w:val="435698A6"/>
    <w:rsid w:val="4356C7A4"/>
    <w:rsid w:val="43595F7A"/>
    <w:rsid w:val="435CA0C8"/>
    <w:rsid w:val="435E4ABD"/>
    <w:rsid w:val="436231CB"/>
    <w:rsid w:val="43658778"/>
    <w:rsid w:val="43670DD6"/>
    <w:rsid w:val="436BF23D"/>
    <w:rsid w:val="436DDE27"/>
    <w:rsid w:val="4376BB3D"/>
    <w:rsid w:val="437C4CA6"/>
    <w:rsid w:val="437EA088"/>
    <w:rsid w:val="4380DDFB"/>
    <w:rsid w:val="43830E24"/>
    <w:rsid w:val="43860FCF"/>
    <w:rsid w:val="4387D650"/>
    <w:rsid w:val="438CE6E6"/>
    <w:rsid w:val="438E0838"/>
    <w:rsid w:val="43911CF3"/>
    <w:rsid w:val="4393B0CD"/>
    <w:rsid w:val="439B51BB"/>
    <w:rsid w:val="439F10FE"/>
    <w:rsid w:val="439FCF83"/>
    <w:rsid w:val="43A011C8"/>
    <w:rsid w:val="43AED6DE"/>
    <w:rsid w:val="43B1179D"/>
    <w:rsid w:val="43B4C3A2"/>
    <w:rsid w:val="43BA4F96"/>
    <w:rsid w:val="43BC8DEE"/>
    <w:rsid w:val="43BFF540"/>
    <w:rsid w:val="43C03248"/>
    <w:rsid w:val="43C0A78B"/>
    <w:rsid w:val="43C674BF"/>
    <w:rsid w:val="43C6C0ED"/>
    <w:rsid w:val="43CF43EF"/>
    <w:rsid w:val="43D0B89A"/>
    <w:rsid w:val="43D11F28"/>
    <w:rsid w:val="43D3A0B2"/>
    <w:rsid w:val="43DF4008"/>
    <w:rsid w:val="43E52DD8"/>
    <w:rsid w:val="43EBF8F6"/>
    <w:rsid w:val="43F17D74"/>
    <w:rsid w:val="43F40E62"/>
    <w:rsid w:val="43F429D3"/>
    <w:rsid w:val="43F53DE4"/>
    <w:rsid w:val="43F60BCE"/>
    <w:rsid w:val="440DCB0E"/>
    <w:rsid w:val="440EBE1D"/>
    <w:rsid w:val="441AED81"/>
    <w:rsid w:val="44221101"/>
    <w:rsid w:val="4429DDBB"/>
    <w:rsid w:val="442DF482"/>
    <w:rsid w:val="442FFECC"/>
    <w:rsid w:val="443009A9"/>
    <w:rsid w:val="44305D5B"/>
    <w:rsid w:val="44314C68"/>
    <w:rsid w:val="44342B87"/>
    <w:rsid w:val="443B79CE"/>
    <w:rsid w:val="4443201B"/>
    <w:rsid w:val="445407EA"/>
    <w:rsid w:val="445E627E"/>
    <w:rsid w:val="4460CD81"/>
    <w:rsid w:val="446B7B9A"/>
    <w:rsid w:val="446BD3C2"/>
    <w:rsid w:val="446DAF22"/>
    <w:rsid w:val="44700904"/>
    <w:rsid w:val="4470D6F5"/>
    <w:rsid w:val="4472EFC0"/>
    <w:rsid w:val="44735ADA"/>
    <w:rsid w:val="4476F293"/>
    <w:rsid w:val="448230E8"/>
    <w:rsid w:val="44918925"/>
    <w:rsid w:val="449D472D"/>
    <w:rsid w:val="449FB29B"/>
    <w:rsid w:val="44A02A24"/>
    <w:rsid w:val="44AB524B"/>
    <w:rsid w:val="44AB7797"/>
    <w:rsid w:val="44B60864"/>
    <w:rsid w:val="44B973C1"/>
    <w:rsid w:val="44BB7FA0"/>
    <w:rsid w:val="44C0246D"/>
    <w:rsid w:val="44C44350"/>
    <w:rsid w:val="44C53C61"/>
    <w:rsid w:val="44CE9BA5"/>
    <w:rsid w:val="44CF5C58"/>
    <w:rsid w:val="44CFB334"/>
    <w:rsid w:val="44D4ABB2"/>
    <w:rsid w:val="44D88458"/>
    <w:rsid w:val="44DDA719"/>
    <w:rsid w:val="44DEE504"/>
    <w:rsid w:val="44EBA254"/>
    <w:rsid w:val="44ED3B05"/>
    <w:rsid w:val="44F119C7"/>
    <w:rsid w:val="44FDF3B7"/>
    <w:rsid w:val="44FEBB60"/>
    <w:rsid w:val="450239EE"/>
    <w:rsid w:val="4502D072"/>
    <w:rsid w:val="4506B158"/>
    <w:rsid w:val="45096FF4"/>
    <w:rsid w:val="451513A6"/>
    <w:rsid w:val="4515A974"/>
    <w:rsid w:val="451A90EF"/>
    <w:rsid w:val="451DE6DD"/>
    <w:rsid w:val="452BB215"/>
    <w:rsid w:val="45308EA1"/>
    <w:rsid w:val="453098A3"/>
    <w:rsid w:val="45325ADC"/>
    <w:rsid w:val="453852F4"/>
    <w:rsid w:val="453F2EC4"/>
    <w:rsid w:val="453FF3D8"/>
    <w:rsid w:val="454AF9BB"/>
    <w:rsid w:val="454B14B2"/>
    <w:rsid w:val="4556A1A4"/>
    <w:rsid w:val="4561A58B"/>
    <w:rsid w:val="4561EF99"/>
    <w:rsid w:val="4567910D"/>
    <w:rsid w:val="4567DFCC"/>
    <w:rsid w:val="456F6891"/>
    <w:rsid w:val="457A4504"/>
    <w:rsid w:val="457F22BC"/>
    <w:rsid w:val="4580D297"/>
    <w:rsid w:val="458116B4"/>
    <w:rsid w:val="458897B5"/>
    <w:rsid w:val="4590CCB7"/>
    <w:rsid w:val="459166A5"/>
    <w:rsid w:val="4599DF15"/>
    <w:rsid w:val="459E7EE2"/>
    <w:rsid w:val="45A37F31"/>
    <w:rsid w:val="45A73127"/>
    <w:rsid w:val="45A8A50E"/>
    <w:rsid w:val="45B288EB"/>
    <w:rsid w:val="45B3F2EC"/>
    <w:rsid w:val="45B7C27B"/>
    <w:rsid w:val="45BC8337"/>
    <w:rsid w:val="45C139DA"/>
    <w:rsid w:val="45C22728"/>
    <w:rsid w:val="45CB08F2"/>
    <w:rsid w:val="45DD4CEF"/>
    <w:rsid w:val="45DF8F27"/>
    <w:rsid w:val="45ECED09"/>
    <w:rsid w:val="45EE8694"/>
    <w:rsid w:val="45F2CB22"/>
    <w:rsid w:val="460A53A4"/>
    <w:rsid w:val="460CBB95"/>
    <w:rsid w:val="461477CB"/>
    <w:rsid w:val="461809B7"/>
    <w:rsid w:val="46221373"/>
    <w:rsid w:val="4623E3ED"/>
    <w:rsid w:val="46254E7B"/>
    <w:rsid w:val="4625D009"/>
    <w:rsid w:val="4629F85B"/>
    <w:rsid w:val="462C782B"/>
    <w:rsid w:val="46332ACF"/>
    <w:rsid w:val="463D765A"/>
    <w:rsid w:val="4642A87C"/>
    <w:rsid w:val="464E3F50"/>
    <w:rsid w:val="46546D81"/>
    <w:rsid w:val="465ECD57"/>
    <w:rsid w:val="465F81A9"/>
    <w:rsid w:val="4665C1E2"/>
    <w:rsid w:val="4670A113"/>
    <w:rsid w:val="46715F91"/>
    <w:rsid w:val="467194A4"/>
    <w:rsid w:val="4675B0E7"/>
    <w:rsid w:val="467ED349"/>
    <w:rsid w:val="468280D4"/>
    <w:rsid w:val="46835C9D"/>
    <w:rsid w:val="4685698E"/>
    <w:rsid w:val="46876FB2"/>
    <w:rsid w:val="468A1EA3"/>
    <w:rsid w:val="468CE25C"/>
    <w:rsid w:val="469FEB95"/>
    <w:rsid w:val="46A00410"/>
    <w:rsid w:val="46ADAEFD"/>
    <w:rsid w:val="46AFA790"/>
    <w:rsid w:val="46B43022"/>
    <w:rsid w:val="46B7868E"/>
    <w:rsid w:val="46B96229"/>
    <w:rsid w:val="46BCD64B"/>
    <w:rsid w:val="46BD7560"/>
    <w:rsid w:val="46BE1D30"/>
    <w:rsid w:val="46BE9A50"/>
    <w:rsid w:val="46C6CACA"/>
    <w:rsid w:val="46D12C07"/>
    <w:rsid w:val="46D46D20"/>
    <w:rsid w:val="46D8BDBB"/>
    <w:rsid w:val="46DB20C5"/>
    <w:rsid w:val="46DE8C78"/>
    <w:rsid w:val="46E0EAB0"/>
    <w:rsid w:val="46E284BA"/>
    <w:rsid w:val="46E8FB28"/>
    <w:rsid w:val="46EB2E73"/>
    <w:rsid w:val="46EF3639"/>
    <w:rsid w:val="46F274C3"/>
    <w:rsid w:val="46F882ED"/>
    <w:rsid w:val="46FB06CA"/>
    <w:rsid w:val="46FD17AF"/>
    <w:rsid w:val="47005326"/>
    <w:rsid w:val="470382DC"/>
    <w:rsid w:val="47053B39"/>
    <w:rsid w:val="4705FEE6"/>
    <w:rsid w:val="470C69E4"/>
    <w:rsid w:val="4713B99A"/>
    <w:rsid w:val="471891B2"/>
    <w:rsid w:val="47191077"/>
    <w:rsid w:val="4719F7FC"/>
    <w:rsid w:val="471CA64D"/>
    <w:rsid w:val="471FE591"/>
    <w:rsid w:val="472C9D18"/>
    <w:rsid w:val="473320AD"/>
    <w:rsid w:val="473FFE5C"/>
    <w:rsid w:val="474146AD"/>
    <w:rsid w:val="47417791"/>
    <w:rsid w:val="47463FEF"/>
    <w:rsid w:val="47497EC5"/>
    <w:rsid w:val="474A0031"/>
    <w:rsid w:val="474A890C"/>
    <w:rsid w:val="474CEED8"/>
    <w:rsid w:val="475193B4"/>
    <w:rsid w:val="47522AD1"/>
    <w:rsid w:val="476679A2"/>
    <w:rsid w:val="476BC3B8"/>
    <w:rsid w:val="47788D8F"/>
    <w:rsid w:val="477986B5"/>
    <w:rsid w:val="477E435B"/>
    <w:rsid w:val="478126ED"/>
    <w:rsid w:val="478C3240"/>
    <w:rsid w:val="479360AD"/>
    <w:rsid w:val="4793BCCA"/>
    <w:rsid w:val="47944F8C"/>
    <w:rsid w:val="47960C78"/>
    <w:rsid w:val="47982A16"/>
    <w:rsid w:val="47A4DDBE"/>
    <w:rsid w:val="47A596A9"/>
    <w:rsid w:val="47AB674E"/>
    <w:rsid w:val="47AB8F43"/>
    <w:rsid w:val="47B33C8E"/>
    <w:rsid w:val="47B7FA88"/>
    <w:rsid w:val="47B9C97A"/>
    <w:rsid w:val="47BCCC8A"/>
    <w:rsid w:val="47C1E616"/>
    <w:rsid w:val="47C593E7"/>
    <w:rsid w:val="47C7B5CA"/>
    <w:rsid w:val="47D528E0"/>
    <w:rsid w:val="47E259C6"/>
    <w:rsid w:val="47E3243B"/>
    <w:rsid w:val="47E3D014"/>
    <w:rsid w:val="47F20BDF"/>
    <w:rsid w:val="47F308E4"/>
    <w:rsid w:val="47F6FAB6"/>
    <w:rsid w:val="47F98444"/>
    <w:rsid w:val="47FB6E99"/>
    <w:rsid w:val="48001F32"/>
    <w:rsid w:val="48111917"/>
    <w:rsid w:val="4815D307"/>
    <w:rsid w:val="481E0742"/>
    <w:rsid w:val="481FC711"/>
    <w:rsid w:val="4825382B"/>
    <w:rsid w:val="4832223C"/>
    <w:rsid w:val="4834AF0E"/>
    <w:rsid w:val="4835D45A"/>
    <w:rsid w:val="48368D0C"/>
    <w:rsid w:val="48374471"/>
    <w:rsid w:val="483BBFAC"/>
    <w:rsid w:val="4841DDB7"/>
    <w:rsid w:val="48472E35"/>
    <w:rsid w:val="484832FC"/>
    <w:rsid w:val="48559632"/>
    <w:rsid w:val="485CAF0C"/>
    <w:rsid w:val="485ECB35"/>
    <w:rsid w:val="48610BB1"/>
    <w:rsid w:val="48632F90"/>
    <w:rsid w:val="4867F727"/>
    <w:rsid w:val="4868CDBE"/>
    <w:rsid w:val="486DEDF6"/>
    <w:rsid w:val="487342C9"/>
    <w:rsid w:val="48737DC3"/>
    <w:rsid w:val="487AF287"/>
    <w:rsid w:val="487DA090"/>
    <w:rsid w:val="487E7A3F"/>
    <w:rsid w:val="487EEB44"/>
    <w:rsid w:val="488305EB"/>
    <w:rsid w:val="488628D5"/>
    <w:rsid w:val="488A29F1"/>
    <w:rsid w:val="48970219"/>
    <w:rsid w:val="48996647"/>
    <w:rsid w:val="48A0244D"/>
    <w:rsid w:val="48A79B3B"/>
    <w:rsid w:val="48AAFA7D"/>
    <w:rsid w:val="48AE6118"/>
    <w:rsid w:val="48B1B2CD"/>
    <w:rsid w:val="48BBDA4F"/>
    <w:rsid w:val="48C06323"/>
    <w:rsid w:val="48CCB2DC"/>
    <w:rsid w:val="48CD0FA3"/>
    <w:rsid w:val="48D359F4"/>
    <w:rsid w:val="48DA1D2A"/>
    <w:rsid w:val="48DB11EF"/>
    <w:rsid w:val="48DC2DF4"/>
    <w:rsid w:val="48E93855"/>
    <w:rsid w:val="48EA429C"/>
    <w:rsid w:val="48EE087A"/>
    <w:rsid w:val="48F4A1AD"/>
    <w:rsid w:val="48FFC859"/>
    <w:rsid w:val="49028233"/>
    <w:rsid w:val="490A8896"/>
    <w:rsid w:val="490D2572"/>
    <w:rsid w:val="4914DE8A"/>
    <w:rsid w:val="491ACD0C"/>
    <w:rsid w:val="491C771E"/>
    <w:rsid w:val="491EE18D"/>
    <w:rsid w:val="491F1C59"/>
    <w:rsid w:val="4922333B"/>
    <w:rsid w:val="4922A62F"/>
    <w:rsid w:val="492364DB"/>
    <w:rsid w:val="492473C0"/>
    <w:rsid w:val="4925022A"/>
    <w:rsid w:val="492F1A3A"/>
    <w:rsid w:val="493508A3"/>
    <w:rsid w:val="49377A83"/>
    <w:rsid w:val="493B4D02"/>
    <w:rsid w:val="4940A792"/>
    <w:rsid w:val="49520AD1"/>
    <w:rsid w:val="496244ED"/>
    <w:rsid w:val="49687B0B"/>
    <w:rsid w:val="49744DF6"/>
    <w:rsid w:val="497B8AEA"/>
    <w:rsid w:val="497E9A8D"/>
    <w:rsid w:val="497FBA66"/>
    <w:rsid w:val="498709DE"/>
    <w:rsid w:val="498B1320"/>
    <w:rsid w:val="4991422A"/>
    <w:rsid w:val="4992C798"/>
    <w:rsid w:val="4997A595"/>
    <w:rsid w:val="4999DCB1"/>
    <w:rsid w:val="499B25D9"/>
    <w:rsid w:val="49AAD833"/>
    <w:rsid w:val="49AAE40F"/>
    <w:rsid w:val="49AAF49C"/>
    <w:rsid w:val="49AC4DB3"/>
    <w:rsid w:val="49AF7993"/>
    <w:rsid w:val="49B1C0E1"/>
    <w:rsid w:val="49B2E832"/>
    <w:rsid w:val="49B72D99"/>
    <w:rsid w:val="49BEAC22"/>
    <w:rsid w:val="49C70D47"/>
    <w:rsid w:val="49CB7E3B"/>
    <w:rsid w:val="49CEB47B"/>
    <w:rsid w:val="49DF4891"/>
    <w:rsid w:val="49E044A7"/>
    <w:rsid w:val="49E3184F"/>
    <w:rsid w:val="49E4634C"/>
    <w:rsid w:val="49EAADA4"/>
    <w:rsid w:val="49F0A622"/>
    <w:rsid w:val="49F8DEC8"/>
    <w:rsid w:val="4A0D5FF6"/>
    <w:rsid w:val="4A11D54A"/>
    <w:rsid w:val="4A11D831"/>
    <w:rsid w:val="4A153BD7"/>
    <w:rsid w:val="4A190515"/>
    <w:rsid w:val="4A1D1A8B"/>
    <w:rsid w:val="4A1F6141"/>
    <w:rsid w:val="4A203CDC"/>
    <w:rsid w:val="4A225985"/>
    <w:rsid w:val="4A226479"/>
    <w:rsid w:val="4A23E66F"/>
    <w:rsid w:val="4A243167"/>
    <w:rsid w:val="4A24338D"/>
    <w:rsid w:val="4A24F8A2"/>
    <w:rsid w:val="4A262230"/>
    <w:rsid w:val="4A2735C9"/>
    <w:rsid w:val="4A29E0F3"/>
    <w:rsid w:val="4A2C1DEC"/>
    <w:rsid w:val="4A2CD821"/>
    <w:rsid w:val="4A344D41"/>
    <w:rsid w:val="4A3DF67A"/>
    <w:rsid w:val="4A421B26"/>
    <w:rsid w:val="4A47DE4E"/>
    <w:rsid w:val="4A4A0943"/>
    <w:rsid w:val="4A4E9C51"/>
    <w:rsid w:val="4A4F39C5"/>
    <w:rsid w:val="4A4FE992"/>
    <w:rsid w:val="4A511B00"/>
    <w:rsid w:val="4A520BAD"/>
    <w:rsid w:val="4A6236F8"/>
    <w:rsid w:val="4A6244C6"/>
    <w:rsid w:val="4A64094A"/>
    <w:rsid w:val="4A6621C5"/>
    <w:rsid w:val="4A71D97E"/>
    <w:rsid w:val="4A767978"/>
    <w:rsid w:val="4A798979"/>
    <w:rsid w:val="4A83F101"/>
    <w:rsid w:val="4A859E2C"/>
    <w:rsid w:val="4A88E2B4"/>
    <w:rsid w:val="4A9F8569"/>
    <w:rsid w:val="4A9F8960"/>
    <w:rsid w:val="4AA1429D"/>
    <w:rsid w:val="4AA325FB"/>
    <w:rsid w:val="4AA3EBED"/>
    <w:rsid w:val="4AA54FD5"/>
    <w:rsid w:val="4AAB1FD6"/>
    <w:rsid w:val="4AAF6688"/>
    <w:rsid w:val="4AC104A3"/>
    <w:rsid w:val="4AC6FD84"/>
    <w:rsid w:val="4AC90343"/>
    <w:rsid w:val="4ACABC60"/>
    <w:rsid w:val="4ACB6D08"/>
    <w:rsid w:val="4AD3E563"/>
    <w:rsid w:val="4AD6DE5C"/>
    <w:rsid w:val="4ADD7DAD"/>
    <w:rsid w:val="4AE46E09"/>
    <w:rsid w:val="4AE53980"/>
    <w:rsid w:val="4AE87A45"/>
    <w:rsid w:val="4AECD519"/>
    <w:rsid w:val="4AEDA7AE"/>
    <w:rsid w:val="4AF0A657"/>
    <w:rsid w:val="4AF4B933"/>
    <w:rsid w:val="4AF6F986"/>
    <w:rsid w:val="4AF90079"/>
    <w:rsid w:val="4AF94844"/>
    <w:rsid w:val="4B0CFD4A"/>
    <w:rsid w:val="4B10F165"/>
    <w:rsid w:val="4B148663"/>
    <w:rsid w:val="4B2055D4"/>
    <w:rsid w:val="4B23E33C"/>
    <w:rsid w:val="4B25C93D"/>
    <w:rsid w:val="4B2B6A22"/>
    <w:rsid w:val="4B376EAB"/>
    <w:rsid w:val="4B38E336"/>
    <w:rsid w:val="4B3EC5B9"/>
    <w:rsid w:val="4B3F0BCD"/>
    <w:rsid w:val="4B412C6E"/>
    <w:rsid w:val="4B443445"/>
    <w:rsid w:val="4B44B563"/>
    <w:rsid w:val="4B460778"/>
    <w:rsid w:val="4B4B40A2"/>
    <w:rsid w:val="4B4D1452"/>
    <w:rsid w:val="4B5218AB"/>
    <w:rsid w:val="4B577A2E"/>
    <w:rsid w:val="4B5AA811"/>
    <w:rsid w:val="4B62F6DF"/>
    <w:rsid w:val="4B6857E0"/>
    <w:rsid w:val="4B759E81"/>
    <w:rsid w:val="4B75F979"/>
    <w:rsid w:val="4B7781BA"/>
    <w:rsid w:val="4B783A72"/>
    <w:rsid w:val="4B815F56"/>
    <w:rsid w:val="4B83C3D5"/>
    <w:rsid w:val="4B87089B"/>
    <w:rsid w:val="4B87F361"/>
    <w:rsid w:val="4B93C111"/>
    <w:rsid w:val="4B94DC3B"/>
    <w:rsid w:val="4B99EBD4"/>
    <w:rsid w:val="4B9E0D57"/>
    <w:rsid w:val="4BA26673"/>
    <w:rsid w:val="4BA39E55"/>
    <w:rsid w:val="4BA45A00"/>
    <w:rsid w:val="4BA76C30"/>
    <w:rsid w:val="4BAF831E"/>
    <w:rsid w:val="4BB0DEEF"/>
    <w:rsid w:val="4BB3D34C"/>
    <w:rsid w:val="4BB877B9"/>
    <w:rsid w:val="4BBF3261"/>
    <w:rsid w:val="4BCB6537"/>
    <w:rsid w:val="4BD28D1B"/>
    <w:rsid w:val="4BD8990A"/>
    <w:rsid w:val="4BD9707E"/>
    <w:rsid w:val="4BDBD8BA"/>
    <w:rsid w:val="4BDDE743"/>
    <w:rsid w:val="4BE15818"/>
    <w:rsid w:val="4BE5F89B"/>
    <w:rsid w:val="4BED2C6F"/>
    <w:rsid w:val="4BEDE342"/>
    <w:rsid w:val="4BEEB618"/>
    <w:rsid w:val="4BF5CC4B"/>
    <w:rsid w:val="4BF629DC"/>
    <w:rsid w:val="4BFA5310"/>
    <w:rsid w:val="4BFE0759"/>
    <w:rsid w:val="4C00A2B2"/>
    <w:rsid w:val="4C0132D7"/>
    <w:rsid w:val="4C063368"/>
    <w:rsid w:val="4C074347"/>
    <w:rsid w:val="4C2065B1"/>
    <w:rsid w:val="4C2104CE"/>
    <w:rsid w:val="4C22EA80"/>
    <w:rsid w:val="4C260192"/>
    <w:rsid w:val="4C31A5D1"/>
    <w:rsid w:val="4C396D86"/>
    <w:rsid w:val="4C3A7150"/>
    <w:rsid w:val="4C3F8CCA"/>
    <w:rsid w:val="4C427961"/>
    <w:rsid w:val="4C478518"/>
    <w:rsid w:val="4C4CF31A"/>
    <w:rsid w:val="4C4DF39B"/>
    <w:rsid w:val="4C57CCA9"/>
    <w:rsid w:val="4C5ABB85"/>
    <w:rsid w:val="4C712600"/>
    <w:rsid w:val="4C7D4DBD"/>
    <w:rsid w:val="4C807EDB"/>
    <w:rsid w:val="4C80F89D"/>
    <w:rsid w:val="4C858923"/>
    <w:rsid w:val="4C975A92"/>
    <w:rsid w:val="4C99843C"/>
    <w:rsid w:val="4C9AF6D6"/>
    <w:rsid w:val="4CA02108"/>
    <w:rsid w:val="4CA19ABE"/>
    <w:rsid w:val="4CA33751"/>
    <w:rsid w:val="4CA99235"/>
    <w:rsid w:val="4CC442FB"/>
    <w:rsid w:val="4CC6A5B3"/>
    <w:rsid w:val="4CCAE1F8"/>
    <w:rsid w:val="4CD3001F"/>
    <w:rsid w:val="4CE59984"/>
    <w:rsid w:val="4CE668F1"/>
    <w:rsid w:val="4CE80CA7"/>
    <w:rsid w:val="4CEB9E34"/>
    <w:rsid w:val="4CF363E6"/>
    <w:rsid w:val="4CF565B4"/>
    <w:rsid w:val="4CF75EE7"/>
    <w:rsid w:val="4D00847B"/>
    <w:rsid w:val="4D13A22C"/>
    <w:rsid w:val="4D1A0BD5"/>
    <w:rsid w:val="4D219AEA"/>
    <w:rsid w:val="4D23C37C"/>
    <w:rsid w:val="4D326A69"/>
    <w:rsid w:val="4D3B4B67"/>
    <w:rsid w:val="4D42EBB4"/>
    <w:rsid w:val="4D43A568"/>
    <w:rsid w:val="4D4AC0C1"/>
    <w:rsid w:val="4D4DFF6D"/>
    <w:rsid w:val="4D4E6D5A"/>
    <w:rsid w:val="4D5B834F"/>
    <w:rsid w:val="4D5E70B7"/>
    <w:rsid w:val="4D5FD93A"/>
    <w:rsid w:val="4D67683B"/>
    <w:rsid w:val="4D6A26BD"/>
    <w:rsid w:val="4D6BAD4F"/>
    <w:rsid w:val="4D6D9862"/>
    <w:rsid w:val="4D71909B"/>
    <w:rsid w:val="4D737FF1"/>
    <w:rsid w:val="4D752E88"/>
    <w:rsid w:val="4D816A79"/>
    <w:rsid w:val="4D84CD46"/>
    <w:rsid w:val="4D8537F0"/>
    <w:rsid w:val="4D94D27D"/>
    <w:rsid w:val="4D9B6094"/>
    <w:rsid w:val="4D9C24BD"/>
    <w:rsid w:val="4D9F04D3"/>
    <w:rsid w:val="4D9FAB34"/>
    <w:rsid w:val="4DA00421"/>
    <w:rsid w:val="4DA5483E"/>
    <w:rsid w:val="4DA81090"/>
    <w:rsid w:val="4DAA3629"/>
    <w:rsid w:val="4DAEC482"/>
    <w:rsid w:val="4DB4674E"/>
    <w:rsid w:val="4DB7B7ED"/>
    <w:rsid w:val="4DBB3DBC"/>
    <w:rsid w:val="4DBD3C7C"/>
    <w:rsid w:val="4DBE093B"/>
    <w:rsid w:val="4DC02355"/>
    <w:rsid w:val="4DC213DD"/>
    <w:rsid w:val="4DD2F528"/>
    <w:rsid w:val="4DD852C6"/>
    <w:rsid w:val="4DD91C65"/>
    <w:rsid w:val="4DD989E5"/>
    <w:rsid w:val="4DE3D6B2"/>
    <w:rsid w:val="4DE45CC2"/>
    <w:rsid w:val="4DE97AA5"/>
    <w:rsid w:val="4DED4E1C"/>
    <w:rsid w:val="4DF0EA3E"/>
    <w:rsid w:val="4DF66BD3"/>
    <w:rsid w:val="4DF71FAE"/>
    <w:rsid w:val="4DFF9890"/>
    <w:rsid w:val="4E02CC12"/>
    <w:rsid w:val="4E02E078"/>
    <w:rsid w:val="4E0CFB0E"/>
    <w:rsid w:val="4E0E6AFF"/>
    <w:rsid w:val="4E161D88"/>
    <w:rsid w:val="4E1F4CB2"/>
    <w:rsid w:val="4E20E18F"/>
    <w:rsid w:val="4E268FD3"/>
    <w:rsid w:val="4E2DCDD4"/>
    <w:rsid w:val="4E3663C7"/>
    <w:rsid w:val="4E375179"/>
    <w:rsid w:val="4E39CE0D"/>
    <w:rsid w:val="4E3C471D"/>
    <w:rsid w:val="4E3DEE19"/>
    <w:rsid w:val="4E3F14E4"/>
    <w:rsid w:val="4E443249"/>
    <w:rsid w:val="4E4E7BB1"/>
    <w:rsid w:val="4E506818"/>
    <w:rsid w:val="4E58A15A"/>
    <w:rsid w:val="4E69528C"/>
    <w:rsid w:val="4E7010AB"/>
    <w:rsid w:val="4E72FA9B"/>
    <w:rsid w:val="4E7E2211"/>
    <w:rsid w:val="4E8012B7"/>
    <w:rsid w:val="4E88471D"/>
    <w:rsid w:val="4E998715"/>
    <w:rsid w:val="4E9A9B67"/>
    <w:rsid w:val="4EA2B7EC"/>
    <w:rsid w:val="4EA75275"/>
    <w:rsid w:val="4EA96502"/>
    <w:rsid w:val="4EA9F1EC"/>
    <w:rsid w:val="4EAF5FA9"/>
    <w:rsid w:val="4EB1EDFA"/>
    <w:rsid w:val="4EB20BD6"/>
    <w:rsid w:val="4EB6D068"/>
    <w:rsid w:val="4EBDCBDE"/>
    <w:rsid w:val="4EBF38B5"/>
    <w:rsid w:val="4EC0E7DA"/>
    <w:rsid w:val="4EC220C6"/>
    <w:rsid w:val="4ECA9C15"/>
    <w:rsid w:val="4ECC6A71"/>
    <w:rsid w:val="4ECC9C5B"/>
    <w:rsid w:val="4ECDB57E"/>
    <w:rsid w:val="4ECF50C5"/>
    <w:rsid w:val="4ED669BA"/>
    <w:rsid w:val="4EDD7C07"/>
    <w:rsid w:val="4EDFD6F3"/>
    <w:rsid w:val="4EE33A2E"/>
    <w:rsid w:val="4EE6057D"/>
    <w:rsid w:val="4EED546E"/>
    <w:rsid w:val="4EF04880"/>
    <w:rsid w:val="4EF87057"/>
    <w:rsid w:val="4EFA1F36"/>
    <w:rsid w:val="4EFD4EB2"/>
    <w:rsid w:val="4F034913"/>
    <w:rsid w:val="4F06EB67"/>
    <w:rsid w:val="4F0BF64D"/>
    <w:rsid w:val="4F121585"/>
    <w:rsid w:val="4F143693"/>
    <w:rsid w:val="4F156B06"/>
    <w:rsid w:val="4F178DFA"/>
    <w:rsid w:val="4F188790"/>
    <w:rsid w:val="4F1D0580"/>
    <w:rsid w:val="4F1D4C81"/>
    <w:rsid w:val="4F1E3F1B"/>
    <w:rsid w:val="4F1EA26F"/>
    <w:rsid w:val="4F242BED"/>
    <w:rsid w:val="4F24E83E"/>
    <w:rsid w:val="4F2E9F1B"/>
    <w:rsid w:val="4F332773"/>
    <w:rsid w:val="4F3A9B27"/>
    <w:rsid w:val="4F3AD29F"/>
    <w:rsid w:val="4F3DA89F"/>
    <w:rsid w:val="4F41A66D"/>
    <w:rsid w:val="4F488D53"/>
    <w:rsid w:val="4F4FA531"/>
    <w:rsid w:val="4F5D01B9"/>
    <w:rsid w:val="4F5F7581"/>
    <w:rsid w:val="4F60F6AC"/>
    <w:rsid w:val="4F6823A1"/>
    <w:rsid w:val="4F6AF66C"/>
    <w:rsid w:val="4F6C1A08"/>
    <w:rsid w:val="4F6C469F"/>
    <w:rsid w:val="4F763748"/>
    <w:rsid w:val="4F7BB096"/>
    <w:rsid w:val="4F884EBF"/>
    <w:rsid w:val="4F916F23"/>
    <w:rsid w:val="4F925186"/>
    <w:rsid w:val="4F9B8A80"/>
    <w:rsid w:val="4F9D6D33"/>
    <w:rsid w:val="4FA3D767"/>
    <w:rsid w:val="4FA7B201"/>
    <w:rsid w:val="4FAAA914"/>
    <w:rsid w:val="4FADE96E"/>
    <w:rsid w:val="4FB5B252"/>
    <w:rsid w:val="4FB68EF8"/>
    <w:rsid w:val="4FB84C47"/>
    <w:rsid w:val="4FBA6C27"/>
    <w:rsid w:val="4FBD0354"/>
    <w:rsid w:val="4FBD32D4"/>
    <w:rsid w:val="4FC6A62E"/>
    <w:rsid w:val="4FC88412"/>
    <w:rsid w:val="4FD262ED"/>
    <w:rsid w:val="4FD3D703"/>
    <w:rsid w:val="4FDA91A2"/>
    <w:rsid w:val="4FDD8D12"/>
    <w:rsid w:val="4FDE74E4"/>
    <w:rsid w:val="4FE7FA80"/>
    <w:rsid w:val="4FE934FE"/>
    <w:rsid w:val="4FF058B6"/>
    <w:rsid w:val="4FF5C512"/>
    <w:rsid w:val="4FFD8D6B"/>
    <w:rsid w:val="4FFE3692"/>
    <w:rsid w:val="4FFE87DC"/>
    <w:rsid w:val="50033B14"/>
    <w:rsid w:val="50053E06"/>
    <w:rsid w:val="50138BC1"/>
    <w:rsid w:val="50172596"/>
    <w:rsid w:val="501ABCCD"/>
    <w:rsid w:val="501FD6AA"/>
    <w:rsid w:val="501FE5E5"/>
    <w:rsid w:val="50249D1B"/>
    <w:rsid w:val="50256334"/>
    <w:rsid w:val="5032FDBB"/>
    <w:rsid w:val="50369DA0"/>
    <w:rsid w:val="5039A462"/>
    <w:rsid w:val="503D67CB"/>
    <w:rsid w:val="503DDB49"/>
    <w:rsid w:val="50418CF0"/>
    <w:rsid w:val="5041F652"/>
    <w:rsid w:val="504BFAC1"/>
    <w:rsid w:val="5055F99A"/>
    <w:rsid w:val="505C1ADF"/>
    <w:rsid w:val="50694C1D"/>
    <w:rsid w:val="506E1C3B"/>
    <w:rsid w:val="50764293"/>
    <w:rsid w:val="50772367"/>
    <w:rsid w:val="507FFE86"/>
    <w:rsid w:val="5082EDE3"/>
    <w:rsid w:val="50836B81"/>
    <w:rsid w:val="50848453"/>
    <w:rsid w:val="50850145"/>
    <w:rsid w:val="5087F2C5"/>
    <w:rsid w:val="50914D6B"/>
    <w:rsid w:val="509317ED"/>
    <w:rsid w:val="509A179D"/>
    <w:rsid w:val="509D6F58"/>
    <w:rsid w:val="509DF232"/>
    <w:rsid w:val="50A37D68"/>
    <w:rsid w:val="50A82E69"/>
    <w:rsid w:val="50AA66B8"/>
    <w:rsid w:val="50AE3FE5"/>
    <w:rsid w:val="50BC6015"/>
    <w:rsid w:val="50CD514A"/>
    <w:rsid w:val="50CD5ACD"/>
    <w:rsid w:val="50D2D82B"/>
    <w:rsid w:val="50D428E9"/>
    <w:rsid w:val="50D5EA96"/>
    <w:rsid w:val="50D9F1EB"/>
    <w:rsid w:val="50E2E859"/>
    <w:rsid w:val="50E36BDF"/>
    <w:rsid w:val="50E40A63"/>
    <w:rsid w:val="50E771AA"/>
    <w:rsid w:val="50EA3C8A"/>
    <w:rsid w:val="50EEBDDC"/>
    <w:rsid w:val="50EF40F8"/>
    <w:rsid w:val="50F00F58"/>
    <w:rsid w:val="50F27999"/>
    <w:rsid w:val="50FA142E"/>
    <w:rsid w:val="50FA73E9"/>
    <w:rsid w:val="50FB9918"/>
    <w:rsid w:val="5103AC3F"/>
    <w:rsid w:val="510C6EAF"/>
    <w:rsid w:val="51108A2C"/>
    <w:rsid w:val="511278A9"/>
    <w:rsid w:val="5115754E"/>
    <w:rsid w:val="511B8B5F"/>
    <w:rsid w:val="5121C0BB"/>
    <w:rsid w:val="512B16A7"/>
    <w:rsid w:val="5131079C"/>
    <w:rsid w:val="513C4A92"/>
    <w:rsid w:val="513DA0E2"/>
    <w:rsid w:val="514B208D"/>
    <w:rsid w:val="51539BC4"/>
    <w:rsid w:val="51558BB3"/>
    <w:rsid w:val="5156E0E3"/>
    <w:rsid w:val="51598937"/>
    <w:rsid w:val="515F2ED1"/>
    <w:rsid w:val="51620699"/>
    <w:rsid w:val="5168A3A8"/>
    <w:rsid w:val="5169CCD5"/>
    <w:rsid w:val="516B9EE7"/>
    <w:rsid w:val="516DF696"/>
    <w:rsid w:val="516E6AAA"/>
    <w:rsid w:val="51736885"/>
    <w:rsid w:val="51736ED5"/>
    <w:rsid w:val="518036F9"/>
    <w:rsid w:val="5181A43A"/>
    <w:rsid w:val="518428BA"/>
    <w:rsid w:val="519F6E9A"/>
    <w:rsid w:val="51A5ECCF"/>
    <w:rsid w:val="51AF9EF4"/>
    <w:rsid w:val="51B1C5F7"/>
    <w:rsid w:val="51B47C03"/>
    <w:rsid w:val="51B6CE85"/>
    <w:rsid w:val="51B9ABE9"/>
    <w:rsid w:val="51BBB7B2"/>
    <w:rsid w:val="51BC543D"/>
    <w:rsid w:val="51BCCDEF"/>
    <w:rsid w:val="51C1BA15"/>
    <w:rsid w:val="51C284D2"/>
    <w:rsid w:val="51C3108C"/>
    <w:rsid w:val="51C4FC07"/>
    <w:rsid w:val="51CD9978"/>
    <w:rsid w:val="51D04F08"/>
    <w:rsid w:val="51D13B3C"/>
    <w:rsid w:val="51E8E388"/>
    <w:rsid w:val="51EB4DDA"/>
    <w:rsid w:val="51ED7221"/>
    <w:rsid w:val="51F0DC72"/>
    <w:rsid w:val="51F6C177"/>
    <w:rsid w:val="51F6D97D"/>
    <w:rsid w:val="51FF2E91"/>
    <w:rsid w:val="51FFB07C"/>
    <w:rsid w:val="52072C77"/>
    <w:rsid w:val="5209B968"/>
    <w:rsid w:val="520EF7A3"/>
    <w:rsid w:val="520FAB59"/>
    <w:rsid w:val="520FC0BB"/>
    <w:rsid w:val="52180110"/>
    <w:rsid w:val="521905B8"/>
    <w:rsid w:val="5219F123"/>
    <w:rsid w:val="521B998E"/>
    <w:rsid w:val="52212ABE"/>
    <w:rsid w:val="52273D9F"/>
    <w:rsid w:val="52297351"/>
    <w:rsid w:val="522DE14E"/>
    <w:rsid w:val="52317D72"/>
    <w:rsid w:val="5232F0B3"/>
    <w:rsid w:val="52342CFB"/>
    <w:rsid w:val="523A95FB"/>
    <w:rsid w:val="523B6E59"/>
    <w:rsid w:val="523F162C"/>
    <w:rsid w:val="52437015"/>
    <w:rsid w:val="524721B2"/>
    <w:rsid w:val="5248F0A7"/>
    <w:rsid w:val="524A9038"/>
    <w:rsid w:val="524EC29F"/>
    <w:rsid w:val="52524062"/>
    <w:rsid w:val="52529F2F"/>
    <w:rsid w:val="5252D98E"/>
    <w:rsid w:val="5254A6A4"/>
    <w:rsid w:val="52583C8B"/>
    <w:rsid w:val="525A1C6B"/>
    <w:rsid w:val="525AFC78"/>
    <w:rsid w:val="526060CC"/>
    <w:rsid w:val="52643E3E"/>
    <w:rsid w:val="5266178A"/>
    <w:rsid w:val="526C7AD3"/>
    <w:rsid w:val="52715E14"/>
    <w:rsid w:val="5272982B"/>
    <w:rsid w:val="5272A813"/>
    <w:rsid w:val="527329BA"/>
    <w:rsid w:val="5275A224"/>
    <w:rsid w:val="5278E5F8"/>
    <w:rsid w:val="527BF2EE"/>
    <w:rsid w:val="527D8622"/>
    <w:rsid w:val="52894838"/>
    <w:rsid w:val="528B07D2"/>
    <w:rsid w:val="528CCEBA"/>
    <w:rsid w:val="52A2F523"/>
    <w:rsid w:val="52A47569"/>
    <w:rsid w:val="52A600FB"/>
    <w:rsid w:val="52A910B4"/>
    <w:rsid w:val="52A98BA2"/>
    <w:rsid w:val="52AF2CAF"/>
    <w:rsid w:val="52CF949B"/>
    <w:rsid w:val="52D52EFD"/>
    <w:rsid w:val="52D72403"/>
    <w:rsid w:val="52D93E84"/>
    <w:rsid w:val="52DE5B5E"/>
    <w:rsid w:val="52DE796F"/>
    <w:rsid w:val="52DF5F94"/>
    <w:rsid w:val="52E2A64E"/>
    <w:rsid w:val="52E2ABEC"/>
    <w:rsid w:val="52E3192F"/>
    <w:rsid w:val="52E3AC4A"/>
    <w:rsid w:val="52E68063"/>
    <w:rsid w:val="52EC67CE"/>
    <w:rsid w:val="52EDE208"/>
    <w:rsid w:val="52F126FE"/>
    <w:rsid w:val="52F518C5"/>
    <w:rsid w:val="52F67C03"/>
    <w:rsid w:val="52FA09DD"/>
    <w:rsid w:val="52FB8933"/>
    <w:rsid w:val="52FC1429"/>
    <w:rsid w:val="53036134"/>
    <w:rsid w:val="53060C90"/>
    <w:rsid w:val="5309BA57"/>
    <w:rsid w:val="53108187"/>
    <w:rsid w:val="5312A308"/>
    <w:rsid w:val="531552E7"/>
    <w:rsid w:val="531A20D2"/>
    <w:rsid w:val="5325854D"/>
    <w:rsid w:val="5337AC1B"/>
    <w:rsid w:val="533A59BB"/>
    <w:rsid w:val="533ABC39"/>
    <w:rsid w:val="53452562"/>
    <w:rsid w:val="53523639"/>
    <w:rsid w:val="535F1745"/>
    <w:rsid w:val="5364BA99"/>
    <w:rsid w:val="53683E5A"/>
    <w:rsid w:val="536B1D59"/>
    <w:rsid w:val="536C5BEA"/>
    <w:rsid w:val="536DF6A2"/>
    <w:rsid w:val="536FF437"/>
    <w:rsid w:val="53795BD9"/>
    <w:rsid w:val="537D2D31"/>
    <w:rsid w:val="5386BE37"/>
    <w:rsid w:val="5387E5BF"/>
    <w:rsid w:val="53892F33"/>
    <w:rsid w:val="538C821A"/>
    <w:rsid w:val="538DA9AC"/>
    <w:rsid w:val="538FE3DE"/>
    <w:rsid w:val="5394C5B4"/>
    <w:rsid w:val="53950A89"/>
    <w:rsid w:val="53988E3D"/>
    <w:rsid w:val="539E86EA"/>
    <w:rsid w:val="53A2887C"/>
    <w:rsid w:val="53AD4CF4"/>
    <w:rsid w:val="53BAEC50"/>
    <w:rsid w:val="53BD58EA"/>
    <w:rsid w:val="53C5CBBD"/>
    <w:rsid w:val="53C7A0D4"/>
    <w:rsid w:val="53CF0091"/>
    <w:rsid w:val="53D07697"/>
    <w:rsid w:val="53D09D04"/>
    <w:rsid w:val="53D0E02E"/>
    <w:rsid w:val="53D7507D"/>
    <w:rsid w:val="53DAA676"/>
    <w:rsid w:val="53DD7138"/>
    <w:rsid w:val="53E27674"/>
    <w:rsid w:val="53E5C7B7"/>
    <w:rsid w:val="53E6A912"/>
    <w:rsid w:val="53E76D9F"/>
    <w:rsid w:val="53E90027"/>
    <w:rsid w:val="53E92E8C"/>
    <w:rsid w:val="53EFF1E6"/>
    <w:rsid w:val="53F030B8"/>
    <w:rsid w:val="53F3C00D"/>
    <w:rsid w:val="53F3DC25"/>
    <w:rsid w:val="53FAB758"/>
    <w:rsid w:val="53FC29E3"/>
    <w:rsid w:val="53FCEC0A"/>
    <w:rsid w:val="54039400"/>
    <w:rsid w:val="540D244C"/>
    <w:rsid w:val="541B957D"/>
    <w:rsid w:val="54214CAA"/>
    <w:rsid w:val="542227B2"/>
    <w:rsid w:val="5424F265"/>
    <w:rsid w:val="5426E99C"/>
    <w:rsid w:val="5429E325"/>
    <w:rsid w:val="5429ED57"/>
    <w:rsid w:val="543008A4"/>
    <w:rsid w:val="543014E1"/>
    <w:rsid w:val="543822E2"/>
    <w:rsid w:val="5439F527"/>
    <w:rsid w:val="543C96E9"/>
    <w:rsid w:val="543FF069"/>
    <w:rsid w:val="544B21AC"/>
    <w:rsid w:val="544B8CE0"/>
    <w:rsid w:val="5451805C"/>
    <w:rsid w:val="545710E2"/>
    <w:rsid w:val="5457930C"/>
    <w:rsid w:val="545917F2"/>
    <w:rsid w:val="5459466A"/>
    <w:rsid w:val="545A5FF5"/>
    <w:rsid w:val="545AACA0"/>
    <w:rsid w:val="545E6EF5"/>
    <w:rsid w:val="5461D771"/>
    <w:rsid w:val="5464FC9C"/>
    <w:rsid w:val="5465B540"/>
    <w:rsid w:val="5465E46C"/>
    <w:rsid w:val="5471DB2C"/>
    <w:rsid w:val="547DDF3A"/>
    <w:rsid w:val="5482EAE1"/>
    <w:rsid w:val="5482FBE9"/>
    <w:rsid w:val="5484CE3F"/>
    <w:rsid w:val="54881DB2"/>
    <w:rsid w:val="548C8F41"/>
    <w:rsid w:val="5491B638"/>
    <w:rsid w:val="549458FB"/>
    <w:rsid w:val="54962EE6"/>
    <w:rsid w:val="5499982E"/>
    <w:rsid w:val="549C62D4"/>
    <w:rsid w:val="54A043D2"/>
    <w:rsid w:val="54A4CB43"/>
    <w:rsid w:val="54A750F1"/>
    <w:rsid w:val="54B0E2C4"/>
    <w:rsid w:val="54BCD8E1"/>
    <w:rsid w:val="54BF3E1A"/>
    <w:rsid w:val="54C9468C"/>
    <w:rsid w:val="54D059FE"/>
    <w:rsid w:val="54D61287"/>
    <w:rsid w:val="54D6A056"/>
    <w:rsid w:val="54DBE9F1"/>
    <w:rsid w:val="54DC893C"/>
    <w:rsid w:val="54E17ECA"/>
    <w:rsid w:val="54E67E84"/>
    <w:rsid w:val="54EA510F"/>
    <w:rsid w:val="54EC47E0"/>
    <w:rsid w:val="54ED9391"/>
    <w:rsid w:val="54EEFE8C"/>
    <w:rsid w:val="54FBB74A"/>
    <w:rsid w:val="54FF1166"/>
    <w:rsid w:val="54FFDF9C"/>
    <w:rsid w:val="550354E0"/>
    <w:rsid w:val="55161201"/>
    <w:rsid w:val="551BBD58"/>
    <w:rsid w:val="551EE8BB"/>
    <w:rsid w:val="5524C429"/>
    <w:rsid w:val="55265E15"/>
    <w:rsid w:val="5526DD1F"/>
    <w:rsid w:val="5531A6C3"/>
    <w:rsid w:val="5533E09F"/>
    <w:rsid w:val="553692E5"/>
    <w:rsid w:val="55402759"/>
    <w:rsid w:val="554147D2"/>
    <w:rsid w:val="5543B15A"/>
    <w:rsid w:val="554E48A1"/>
    <w:rsid w:val="554F997D"/>
    <w:rsid w:val="5559F085"/>
    <w:rsid w:val="555FDA69"/>
    <w:rsid w:val="5564471D"/>
    <w:rsid w:val="55697727"/>
    <w:rsid w:val="556F6A12"/>
    <w:rsid w:val="55777B19"/>
    <w:rsid w:val="5579CEF1"/>
    <w:rsid w:val="557C59FA"/>
    <w:rsid w:val="557E1ADD"/>
    <w:rsid w:val="5581F8EB"/>
    <w:rsid w:val="5584C34F"/>
    <w:rsid w:val="5588C987"/>
    <w:rsid w:val="558B006C"/>
    <w:rsid w:val="558D2581"/>
    <w:rsid w:val="55927953"/>
    <w:rsid w:val="55928E7C"/>
    <w:rsid w:val="5599C275"/>
    <w:rsid w:val="5599F55B"/>
    <w:rsid w:val="55A943D5"/>
    <w:rsid w:val="55B399C1"/>
    <w:rsid w:val="55B4732D"/>
    <w:rsid w:val="55B5A51F"/>
    <w:rsid w:val="55BCD45C"/>
    <w:rsid w:val="55BF39C0"/>
    <w:rsid w:val="55C8392F"/>
    <w:rsid w:val="55CCAFFE"/>
    <w:rsid w:val="55CD7855"/>
    <w:rsid w:val="55CDD2E2"/>
    <w:rsid w:val="55D079E5"/>
    <w:rsid w:val="55D3A09C"/>
    <w:rsid w:val="55D45F6E"/>
    <w:rsid w:val="55D8E6F1"/>
    <w:rsid w:val="55DFE2E2"/>
    <w:rsid w:val="55E090D1"/>
    <w:rsid w:val="55E3FB44"/>
    <w:rsid w:val="55E4C4B1"/>
    <w:rsid w:val="55E9D745"/>
    <w:rsid w:val="55F25782"/>
    <w:rsid w:val="55F71B8D"/>
    <w:rsid w:val="55FF68F5"/>
    <w:rsid w:val="56002C67"/>
    <w:rsid w:val="5608B470"/>
    <w:rsid w:val="560B2879"/>
    <w:rsid w:val="560C214D"/>
    <w:rsid w:val="560CE6E2"/>
    <w:rsid w:val="560F23A3"/>
    <w:rsid w:val="5612CCBE"/>
    <w:rsid w:val="5612DF15"/>
    <w:rsid w:val="56135AB7"/>
    <w:rsid w:val="56157C3E"/>
    <w:rsid w:val="561875BC"/>
    <w:rsid w:val="5634A5B6"/>
    <w:rsid w:val="56360432"/>
    <w:rsid w:val="563B2930"/>
    <w:rsid w:val="563D05C7"/>
    <w:rsid w:val="564C32C0"/>
    <w:rsid w:val="56516520"/>
    <w:rsid w:val="56540832"/>
    <w:rsid w:val="565C632A"/>
    <w:rsid w:val="5664E5C9"/>
    <w:rsid w:val="566C4391"/>
    <w:rsid w:val="566F1D09"/>
    <w:rsid w:val="56715259"/>
    <w:rsid w:val="567BD06C"/>
    <w:rsid w:val="567C4E59"/>
    <w:rsid w:val="567CAA74"/>
    <w:rsid w:val="5680EAF7"/>
    <w:rsid w:val="5686099D"/>
    <w:rsid w:val="5693C372"/>
    <w:rsid w:val="56948701"/>
    <w:rsid w:val="569CA44F"/>
    <w:rsid w:val="56A03533"/>
    <w:rsid w:val="56A46B9A"/>
    <w:rsid w:val="56AC40C5"/>
    <w:rsid w:val="56ADAC08"/>
    <w:rsid w:val="56AE5EA0"/>
    <w:rsid w:val="56BE448D"/>
    <w:rsid w:val="56C2BAE9"/>
    <w:rsid w:val="56C3CB7C"/>
    <w:rsid w:val="56C76826"/>
    <w:rsid w:val="56C9A896"/>
    <w:rsid w:val="56D495AF"/>
    <w:rsid w:val="56DD53A7"/>
    <w:rsid w:val="56DFE811"/>
    <w:rsid w:val="56E54F66"/>
    <w:rsid w:val="56E6B25D"/>
    <w:rsid w:val="56E91298"/>
    <w:rsid w:val="56F02E31"/>
    <w:rsid w:val="56F31888"/>
    <w:rsid w:val="57087C58"/>
    <w:rsid w:val="5708D783"/>
    <w:rsid w:val="570EA8B8"/>
    <w:rsid w:val="5711BBEA"/>
    <w:rsid w:val="57157DB6"/>
    <w:rsid w:val="571B4058"/>
    <w:rsid w:val="571CDBE3"/>
    <w:rsid w:val="572A7476"/>
    <w:rsid w:val="5732C92A"/>
    <w:rsid w:val="57366AEF"/>
    <w:rsid w:val="573B915B"/>
    <w:rsid w:val="573D77CC"/>
    <w:rsid w:val="573DD6E6"/>
    <w:rsid w:val="57528623"/>
    <w:rsid w:val="5758AEB3"/>
    <w:rsid w:val="575CC053"/>
    <w:rsid w:val="57619F46"/>
    <w:rsid w:val="5762B2D7"/>
    <w:rsid w:val="5763D170"/>
    <w:rsid w:val="576877B9"/>
    <w:rsid w:val="576EA07F"/>
    <w:rsid w:val="577710FE"/>
    <w:rsid w:val="577A0FCF"/>
    <w:rsid w:val="577D5646"/>
    <w:rsid w:val="578078B9"/>
    <w:rsid w:val="57862ADA"/>
    <w:rsid w:val="5787E581"/>
    <w:rsid w:val="578FB714"/>
    <w:rsid w:val="5790237A"/>
    <w:rsid w:val="57983970"/>
    <w:rsid w:val="579C4AD3"/>
    <w:rsid w:val="57A090A4"/>
    <w:rsid w:val="57A6F7BE"/>
    <w:rsid w:val="57AD4EC8"/>
    <w:rsid w:val="57B3A984"/>
    <w:rsid w:val="57BB3693"/>
    <w:rsid w:val="57C00D35"/>
    <w:rsid w:val="57CAA6D9"/>
    <w:rsid w:val="57D2E717"/>
    <w:rsid w:val="57D90694"/>
    <w:rsid w:val="57DD5384"/>
    <w:rsid w:val="57E247FA"/>
    <w:rsid w:val="57E608AA"/>
    <w:rsid w:val="57ED49B9"/>
    <w:rsid w:val="57ED70DD"/>
    <w:rsid w:val="57F7D18E"/>
    <w:rsid w:val="57F89929"/>
    <w:rsid w:val="57FC5328"/>
    <w:rsid w:val="57FCAA94"/>
    <w:rsid w:val="57FE1627"/>
    <w:rsid w:val="580E4843"/>
    <w:rsid w:val="58144BFA"/>
    <w:rsid w:val="58152910"/>
    <w:rsid w:val="58186B92"/>
    <w:rsid w:val="581BA6B0"/>
    <w:rsid w:val="581CCD25"/>
    <w:rsid w:val="58219514"/>
    <w:rsid w:val="5824433C"/>
    <w:rsid w:val="582D1575"/>
    <w:rsid w:val="58413822"/>
    <w:rsid w:val="5841EF3F"/>
    <w:rsid w:val="58433056"/>
    <w:rsid w:val="58446612"/>
    <w:rsid w:val="584488DA"/>
    <w:rsid w:val="5845E568"/>
    <w:rsid w:val="584A35B8"/>
    <w:rsid w:val="584D23B8"/>
    <w:rsid w:val="584FBAD2"/>
    <w:rsid w:val="5852CE08"/>
    <w:rsid w:val="58538EB0"/>
    <w:rsid w:val="58540F8C"/>
    <w:rsid w:val="585559C7"/>
    <w:rsid w:val="585B2FBB"/>
    <w:rsid w:val="5865EBEE"/>
    <w:rsid w:val="586B7A8B"/>
    <w:rsid w:val="586BEAA2"/>
    <w:rsid w:val="586FA49C"/>
    <w:rsid w:val="58724690"/>
    <w:rsid w:val="5878F02C"/>
    <w:rsid w:val="588DFB7D"/>
    <w:rsid w:val="5892A573"/>
    <w:rsid w:val="5895CDC8"/>
    <w:rsid w:val="5896A4D2"/>
    <w:rsid w:val="589B990A"/>
    <w:rsid w:val="58AEB83F"/>
    <w:rsid w:val="58B1901C"/>
    <w:rsid w:val="58BC5B12"/>
    <w:rsid w:val="58BF6CF3"/>
    <w:rsid w:val="58BFA971"/>
    <w:rsid w:val="58C208B0"/>
    <w:rsid w:val="58C2B4C0"/>
    <w:rsid w:val="58C6908F"/>
    <w:rsid w:val="58C9191D"/>
    <w:rsid w:val="58CCDDDA"/>
    <w:rsid w:val="58D42A1E"/>
    <w:rsid w:val="58D79722"/>
    <w:rsid w:val="58DFA46F"/>
    <w:rsid w:val="58E0EF15"/>
    <w:rsid w:val="58EAB051"/>
    <w:rsid w:val="58F1620F"/>
    <w:rsid w:val="58F4DE42"/>
    <w:rsid w:val="58F5883F"/>
    <w:rsid w:val="58F9034B"/>
    <w:rsid w:val="58FD53DE"/>
    <w:rsid w:val="5904054B"/>
    <w:rsid w:val="59092728"/>
    <w:rsid w:val="590A0DA7"/>
    <w:rsid w:val="590C81BE"/>
    <w:rsid w:val="59100C80"/>
    <w:rsid w:val="5916A46E"/>
    <w:rsid w:val="59189050"/>
    <w:rsid w:val="591B1B44"/>
    <w:rsid w:val="59278D1A"/>
    <w:rsid w:val="5928EFBC"/>
    <w:rsid w:val="5935C10D"/>
    <w:rsid w:val="593A6EF9"/>
    <w:rsid w:val="593EE943"/>
    <w:rsid w:val="5941A912"/>
    <w:rsid w:val="5949760B"/>
    <w:rsid w:val="594A24AC"/>
    <w:rsid w:val="594C4721"/>
    <w:rsid w:val="594DA804"/>
    <w:rsid w:val="595EB2C0"/>
    <w:rsid w:val="5968F736"/>
    <w:rsid w:val="5971D60C"/>
    <w:rsid w:val="597A429B"/>
    <w:rsid w:val="597B4228"/>
    <w:rsid w:val="5981D001"/>
    <w:rsid w:val="5992798B"/>
    <w:rsid w:val="59949398"/>
    <w:rsid w:val="5994C4AE"/>
    <w:rsid w:val="599B48E3"/>
    <w:rsid w:val="59B0D255"/>
    <w:rsid w:val="59B9BDB7"/>
    <w:rsid w:val="59C23078"/>
    <w:rsid w:val="59CA2E5F"/>
    <w:rsid w:val="59CCFAEC"/>
    <w:rsid w:val="59D438EC"/>
    <w:rsid w:val="59D4D003"/>
    <w:rsid w:val="59D72A25"/>
    <w:rsid w:val="59D9834E"/>
    <w:rsid w:val="59DA9736"/>
    <w:rsid w:val="59DAA426"/>
    <w:rsid w:val="59E52340"/>
    <w:rsid w:val="59E5F29C"/>
    <w:rsid w:val="59EE97F4"/>
    <w:rsid w:val="59EF15EA"/>
    <w:rsid w:val="59FDDC86"/>
    <w:rsid w:val="5A027EA9"/>
    <w:rsid w:val="5A06C720"/>
    <w:rsid w:val="5A0822EB"/>
    <w:rsid w:val="5A0896F0"/>
    <w:rsid w:val="5A0A2208"/>
    <w:rsid w:val="5A100400"/>
    <w:rsid w:val="5A1D1601"/>
    <w:rsid w:val="5A269C75"/>
    <w:rsid w:val="5A295E37"/>
    <w:rsid w:val="5A2B6E4C"/>
    <w:rsid w:val="5A2B8BD6"/>
    <w:rsid w:val="5A2DFFA3"/>
    <w:rsid w:val="5A3B570D"/>
    <w:rsid w:val="5A3C80D3"/>
    <w:rsid w:val="5A3F07C0"/>
    <w:rsid w:val="5A57E844"/>
    <w:rsid w:val="5A5E5D2C"/>
    <w:rsid w:val="5A5F0A29"/>
    <w:rsid w:val="5A676BAB"/>
    <w:rsid w:val="5A7B6317"/>
    <w:rsid w:val="5A7CB941"/>
    <w:rsid w:val="5A834842"/>
    <w:rsid w:val="5A8F4DF6"/>
    <w:rsid w:val="5A938A82"/>
    <w:rsid w:val="5A96D9FD"/>
    <w:rsid w:val="5A9E201F"/>
    <w:rsid w:val="5AA085D8"/>
    <w:rsid w:val="5AA98544"/>
    <w:rsid w:val="5AAC0884"/>
    <w:rsid w:val="5AB5F5D2"/>
    <w:rsid w:val="5ABD8A5A"/>
    <w:rsid w:val="5AC00FF3"/>
    <w:rsid w:val="5AC6AD38"/>
    <w:rsid w:val="5AC76AD7"/>
    <w:rsid w:val="5AD23426"/>
    <w:rsid w:val="5AD3105E"/>
    <w:rsid w:val="5ADF809E"/>
    <w:rsid w:val="5AE494D4"/>
    <w:rsid w:val="5AEDD819"/>
    <w:rsid w:val="5AF14183"/>
    <w:rsid w:val="5AF22F8C"/>
    <w:rsid w:val="5AF7E38E"/>
    <w:rsid w:val="5AF8B95B"/>
    <w:rsid w:val="5B016523"/>
    <w:rsid w:val="5B0273AE"/>
    <w:rsid w:val="5B05547A"/>
    <w:rsid w:val="5B069E47"/>
    <w:rsid w:val="5B0775CF"/>
    <w:rsid w:val="5B084961"/>
    <w:rsid w:val="5B091644"/>
    <w:rsid w:val="5B0F7770"/>
    <w:rsid w:val="5B1286A4"/>
    <w:rsid w:val="5B146252"/>
    <w:rsid w:val="5B1963CE"/>
    <w:rsid w:val="5B1D664C"/>
    <w:rsid w:val="5B234668"/>
    <w:rsid w:val="5B25CC88"/>
    <w:rsid w:val="5B38599F"/>
    <w:rsid w:val="5B3C925B"/>
    <w:rsid w:val="5B43BE91"/>
    <w:rsid w:val="5B624108"/>
    <w:rsid w:val="5B7084DD"/>
    <w:rsid w:val="5B74CA30"/>
    <w:rsid w:val="5B76721C"/>
    <w:rsid w:val="5B887051"/>
    <w:rsid w:val="5B921C3D"/>
    <w:rsid w:val="5B97584E"/>
    <w:rsid w:val="5B9979BB"/>
    <w:rsid w:val="5B9A918F"/>
    <w:rsid w:val="5B9AD490"/>
    <w:rsid w:val="5BA3B231"/>
    <w:rsid w:val="5BA60516"/>
    <w:rsid w:val="5BA7A19E"/>
    <w:rsid w:val="5BA8B25B"/>
    <w:rsid w:val="5BB541B3"/>
    <w:rsid w:val="5BB5E125"/>
    <w:rsid w:val="5BC0785E"/>
    <w:rsid w:val="5BCE428F"/>
    <w:rsid w:val="5BCFD81B"/>
    <w:rsid w:val="5BD5C1AD"/>
    <w:rsid w:val="5BD948DF"/>
    <w:rsid w:val="5BDA83EF"/>
    <w:rsid w:val="5BDC99E5"/>
    <w:rsid w:val="5BE318EC"/>
    <w:rsid w:val="5BE465E4"/>
    <w:rsid w:val="5BE6C440"/>
    <w:rsid w:val="5BEA76BA"/>
    <w:rsid w:val="5BEC1132"/>
    <w:rsid w:val="5BEC26EC"/>
    <w:rsid w:val="5BEF6782"/>
    <w:rsid w:val="5BF43B46"/>
    <w:rsid w:val="5BF611E5"/>
    <w:rsid w:val="5BFE5675"/>
    <w:rsid w:val="5C012B1F"/>
    <w:rsid w:val="5C062B07"/>
    <w:rsid w:val="5C06F666"/>
    <w:rsid w:val="5C0FE52D"/>
    <w:rsid w:val="5C0FF01A"/>
    <w:rsid w:val="5C101FE8"/>
    <w:rsid w:val="5C20934A"/>
    <w:rsid w:val="5C2A2B0F"/>
    <w:rsid w:val="5C2E08B1"/>
    <w:rsid w:val="5C2E899B"/>
    <w:rsid w:val="5C37B732"/>
    <w:rsid w:val="5C4183B6"/>
    <w:rsid w:val="5C4A984D"/>
    <w:rsid w:val="5C4DA188"/>
    <w:rsid w:val="5C4DF4A4"/>
    <w:rsid w:val="5C50E309"/>
    <w:rsid w:val="5C552473"/>
    <w:rsid w:val="5C55ED5D"/>
    <w:rsid w:val="5C569D3D"/>
    <w:rsid w:val="5C5B92B1"/>
    <w:rsid w:val="5C6502DF"/>
    <w:rsid w:val="5C698393"/>
    <w:rsid w:val="5C71BE9D"/>
    <w:rsid w:val="5C747833"/>
    <w:rsid w:val="5C800565"/>
    <w:rsid w:val="5C82D684"/>
    <w:rsid w:val="5C8358FC"/>
    <w:rsid w:val="5C8A42E1"/>
    <w:rsid w:val="5C8B890E"/>
    <w:rsid w:val="5C99DA5D"/>
    <w:rsid w:val="5C9ECB6A"/>
    <w:rsid w:val="5CA71720"/>
    <w:rsid w:val="5CA76E9B"/>
    <w:rsid w:val="5CA817BB"/>
    <w:rsid w:val="5CA93365"/>
    <w:rsid w:val="5CC31B9A"/>
    <w:rsid w:val="5CC5B37B"/>
    <w:rsid w:val="5CC680B4"/>
    <w:rsid w:val="5CC6A377"/>
    <w:rsid w:val="5CCD4FA0"/>
    <w:rsid w:val="5CD91DD5"/>
    <w:rsid w:val="5CDF4D9D"/>
    <w:rsid w:val="5CE640AA"/>
    <w:rsid w:val="5CE682DB"/>
    <w:rsid w:val="5CEA4592"/>
    <w:rsid w:val="5CEC43F6"/>
    <w:rsid w:val="5CEC6D1E"/>
    <w:rsid w:val="5CED4EC1"/>
    <w:rsid w:val="5CEE9859"/>
    <w:rsid w:val="5CFA0FD9"/>
    <w:rsid w:val="5CFEDB11"/>
    <w:rsid w:val="5D035EAE"/>
    <w:rsid w:val="5D059785"/>
    <w:rsid w:val="5D086A1B"/>
    <w:rsid w:val="5D093EEF"/>
    <w:rsid w:val="5D099083"/>
    <w:rsid w:val="5D111145"/>
    <w:rsid w:val="5D13740D"/>
    <w:rsid w:val="5D13B12C"/>
    <w:rsid w:val="5D13BB59"/>
    <w:rsid w:val="5D1610CD"/>
    <w:rsid w:val="5D25054D"/>
    <w:rsid w:val="5D289FF2"/>
    <w:rsid w:val="5D30992A"/>
    <w:rsid w:val="5D32EB04"/>
    <w:rsid w:val="5D3952AB"/>
    <w:rsid w:val="5D3B6B4B"/>
    <w:rsid w:val="5D41E05A"/>
    <w:rsid w:val="5D4264A2"/>
    <w:rsid w:val="5D440463"/>
    <w:rsid w:val="5D4614AB"/>
    <w:rsid w:val="5D4A5E75"/>
    <w:rsid w:val="5D53E15B"/>
    <w:rsid w:val="5D5FA2B4"/>
    <w:rsid w:val="5D5FBC27"/>
    <w:rsid w:val="5D69240C"/>
    <w:rsid w:val="5D6DC69F"/>
    <w:rsid w:val="5D6FF8A1"/>
    <w:rsid w:val="5D73AD50"/>
    <w:rsid w:val="5D7A4538"/>
    <w:rsid w:val="5D804862"/>
    <w:rsid w:val="5D812B72"/>
    <w:rsid w:val="5D8314AB"/>
    <w:rsid w:val="5D883FED"/>
    <w:rsid w:val="5D887750"/>
    <w:rsid w:val="5D91807B"/>
    <w:rsid w:val="5D91AD67"/>
    <w:rsid w:val="5D9481E8"/>
    <w:rsid w:val="5D95FC27"/>
    <w:rsid w:val="5D9CA660"/>
    <w:rsid w:val="5DA790BD"/>
    <w:rsid w:val="5DABF386"/>
    <w:rsid w:val="5DAE5D10"/>
    <w:rsid w:val="5DB70B4A"/>
    <w:rsid w:val="5DB8E35B"/>
    <w:rsid w:val="5DC910B9"/>
    <w:rsid w:val="5DC9DF69"/>
    <w:rsid w:val="5DCB3F80"/>
    <w:rsid w:val="5DCB714B"/>
    <w:rsid w:val="5DDC1D0E"/>
    <w:rsid w:val="5DDE4E90"/>
    <w:rsid w:val="5DE0D0E8"/>
    <w:rsid w:val="5DE2A224"/>
    <w:rsid w:val="5DE2A934"/>
    <w:rsid w:val="5DE48CAF"/>
    <w:rsid w:val="5DE4B38E"/>
    <w:rsid w:val="5DFD7272"/>
    <w:rsid w:val="5E03CEA0"/>
    <w:rsid w:val="5E0C21FF"/>
    <w:rsid w:val="5E10D82F"/>
    <w:rsid w:val="5E114B23"/>
    <w:rsid w:val="5E1374C2"/>
    <w:rsid w:val="5E192F33"/>
    <w:rsid w:val="5E1D7160"/>
    <w:rsid w:val="5E204F0B"/>
    <w:rsid w:val="5E220756"/>
    <w:rsid w:val="5E2731D2"/>
    <w:rsid w:val="5E2F0329"/>
    <w:rsid w:val="5E366C9B"/>
    <w:rsid w:val="5E387820"/>
    <w:rsid w:val="5E415113"/>
    <w:rsid w:val="5E456C49"/>
    <w:rsid w:val="5E4778E4"/>
    <w:rsid w:val="5E4BF636"/>
    <w:rsid w:val="5E4CB68D"/>
    <w:rsid w:val="5E4D0ED8"/>
    <w:rsid w:val="5E4D9662"/>
    <w:rsid w:val="5E51BEA2"/>
    <w:rsid w:val="5E5980A5"/>
    <w:rsid w:val="5E5B742D"/>
    <w:rsid w:val="5E667964"/>
    <w:rsid w:val="5E66C988"/>
    <w:rsid w:val="5E694A68"/>
    <w:rsid w:val="5E6AFBB5"/>
    <w:rsid w:val="5E6E947F"/>
    <w:rsid w:val="5E6F20C9"/>
    <w:rsid w:val="5E71AD46"/>
    <w:rsid w:val="5E728CA2"/>
    <w:rsid w:val="5E7577E7"/>
    <w:rsid w:val="5E7AA32A"/>
    <w:rsid w:val="5E7ED140"/>
    <w:rsid w:val="5E81B64A"/>
    <w:rsid w:val="5E99288D"/>
    <w:rsid w:val="5E998791"/>
    <w:rsid w:val="5E99C0CB"/>
    <w:rsid w:val="5E9EDFEF"/>
    <w:rsid w:val="5EA97D4D"/>
    <w:rsid w:val="5EC239E8"/>
    <w:rsid w:val="5EC57C9D"/>
    <w:rsid w:val="5EC9A7FE"/>
    <w:rsid w:val="5EDB0417"/>
    <w:rsid w:val="5EE09483"/>
    <w:rsid w:val="5EE26B80"/>
    <w:rsid w:val="5EE7EC55"/>
    <w:rsid w:val="5EE8C9E0"/>
    <w:rsid w:val="5EE9385B"/>
    <w:rsid w:val="5EF27A77"/>
    <w:rsid w:val="5EF5818C"/>
    <w:rsid w:val="5EF9698D"/>
    <w:rsid w:val="5EFB317E"/>
    <w:rsid w:val="5EFDFB5A"/>
    <w:rsid w:val="5F08298D"/>
    <w:rsid w:val="5F0A18B6"/>
    <w:rsid w:val="5F0B2006"/>
    <w:rsid w:val="5F0C478E"/>
    <w:rsid w:val="5F14F0F7"/>
    <w:rsid w:val="5F1A5C92"/>
    <w:rsid w:val="5F1A6015"/>
    <w:rsid w:val="5F20DB9F"/>
    <w:rsid w:val="5F213920"/>
    <w:rsid w:val="5F29C5A6"/>
    <w:rsid w:val="5F2C1908"/>
    <w:rsid w:val="5F317210"/>
    <w:rsid w:val="5F3B04C3"/>
    <w:rsid w:val="5F3B0604"/>
    <w:rsid w:val="5F3C4487"/>
    <w:rsid w:val="5F414863"/>
    <w:rsid w:val="5F4AB26A"/>
    <w:rsid w:val="5F4D1148"/>
    <w:rsid w:val="5F56A24D"/>
    <w:rsid w:val="5F5C0447"/>
    <w:rsid w:val="5F600573"/>
    <w:rsid w:val="5F685766"/>
    <w:rsid w:val="5F6BF9CD"/>
    <w:rsid w:val="5F70EB3A"/>
    <w:rsid w:val="5F79176B"/>
    <w:rsid w:val="5F918BCB"/>
    <w:rsid w:val="5F925BDA"/>
    <w:rsid w:val="5F9D88B5"/>
    <w:rsid w:val="5F9DA111"/>
    <w:rsid w:val="5FAC2E44"/>
    <w:rsid w:val="5FBB5049"/>
    <w:rsid w:val="5FBBEEC6"/>
    <w:rsid w:val="5FBF08EC"/>
    <w:rsid w:val="5FC5A8A9"/>
    <w:rsid w:val="5FCFDB1C"/>
    <w:rsid w:val="5FCFF5D2"/>
    <w:rsid w:val="5FDA7DF0"/>
    <w:rsid w:val="5FDB9DBE"/>
    <w:rsid w:val="5FE2CC93"/>
    <w:rsid w:val="5FE4A795"/>
    <w:rsid w:val="5FEDF414"/>
    <w:rsid w:val="5FEFB6A5"/>
    <w:rsid w:val="5FF42FC9"/>
    <w:rsid w:val="5FF78A68"/>
    <w:rsid w:val="5FF7BEEF"/>
    <w:rsid w:val="5FFB06A9"/>
    <w:rsid w:val="60034CD1"/>
    <w:rsid w:val="600450DF"/>
    <w:rsid w:val="6007D89C"/>
    <w:rsid w:val="600ED5ED"/>
    <w:rsid w:val="601781A1"/>
    <w:rsid w:val="60217449"/>
    <w:rsid w:val="6022B6F9"/>
    <w:rsid w:val="6022D891"/>
    <w:rsid w:val="603194D5"/>
    <w:rsid w:val="603620A1"/>
    <w:rsid w:val="603ADC68"/>
    <w:rsid w:val="603BB174"/>
    <w:rsid w:val="603C0C54"/>
    <w:rsid w:val="603EBA34"/>
    <w:rsid w:val="60463DDA"/>
    <w:rsid w:val="604715B0"/>
    <w:rsid w:val="604C7CED"/>
    <w:rsid w:val="60550DB6"/>
    <w:rsid w:val="605828E5"/>
    <w:rsid w:val="60589FC2"/>
    <w:rsid w:val="605912CC"/>
    <w:rsid w:val="605A1C13"/>
    <w:rsid w:val="605D8193"/>
    <w:rsid w:val="6060575A"/>
    <w:rsid w:val="60695F2B"/>
    <w:rsid w:val="60708218"/>
    <w:rsid w:val="60757B00"/>
    <w:rsid w:val="6083AD11"/>
    <w:rsid w:val="608D9C88"/>
    <w:rsid w:val="60960E7D"/>
    <w:rsid w:val="609D2B17"/>
    <w:rsid w:val="60A6D9CF"/>
    <w:rsid w:val="60AB9FEA"/>
    <w:rsid w:val="60AF9656"/>
    <w:rsid w:val="60AFBCA9"/>
    <w:rsid w:val="60B1861F"/>
    <w:rsid w:val="60B26196"/>
    <w:rsid w:val="60B3AABC"/>
    <w:rsid w:val="60B5C2B1"/>
    <w:rsid w:val="60BFC8B5"/>
    <w:rsid w:val="60C95EE2"/>
    <w:rsid w:val="60D26D15"/>
    <w:rsid w:val="60D3C343"/>
    <w:rsid w:val="60D65919"/>
    <w:rsid w:val="60DE3FC4"/>
    <w:rsid w:val="60E8FE1F"/>
    <w:rsid w:val="60F394E9"/>
    <w:rsid w:val="60F68D89"/>
    <w:rsid w:val="60FA660E"/>
    <w:rsid w:val="60FF879D"/>
    <w:rsid w:val="61055DB5"/>
    <w:rsid w:val="6107AEDC"/>
    <w:rsid w:val="611028FB"/>
    <w:rsid w:val="61121E22"/>
    <w:rsid w:val="611643FA"/>
    <w:rsid w:val="6116DF78"/>
    <w:rsid w:val="611957D4"/>
    <w:rsid w:val="6121D22A"/>
    <w:rsid w:val="6122A380"/>
    <w:rsid w:val="6130EA01"/>
    <w:rsid w:val="613285B4"/>
    <w:rsid w:val="6135589D"/>
    <w:rsid w:val="6137226F"/>
    <w:rsid w:val="614163FB"/>
    <w:rsid w:val="615043AA"/>
    <w:rsid w:val="6150BA88"/>
    <w:rsid w:val="6151A0AB"/>
    <w:rsid w:val="615297F5"/>
    <w:rsid w:val="6155FCFE"/>
    <w:rsid w:val="615CA81C"/>
    <w:rsid w:val="615F29F8"/>
    <w:rsid w:val="6160F671"/>
    <w:rsid w:val="6167BDEF"/>
    <w:rsid w:val="6168EA1C"/>
    <w:rsid w:val="616DC54F"/>
    <w:rsid w:val="6171E1F2"/>
    <w:rsid w:val="61776DB6"/>
    <w:rsid w:val="6177F57D"/>
    <w:rsid w:val="61896B61"/>
    <w:rsid w:val="61896FBF"/>
    <w:rsid w:val="6196DDA5"/>
    <w:rsid w:val="61989BA5"/>
    <w:rsid w:val="619DA490"/>
    <w:rsid w:val="61A51A99"/>
    <w:rsid w:val="61A8548D"/>
    <w:rsid w:val="61AB9BEF"/>
    <w:rsid w:val="61AE5891"/>
    <w:rsid w:val="61C20671"/>
    <w:rsid w:val="61C2268D"/>
    <w:rsid w:val="61C66BE4"/>
    <w:rsid w:val="61C745E8"/>
    <w:rsid w:val="61CFFCD1"/>
    <w:rsid w:val="61D3317B"/>
    <w:rsid w:val="61D67771"/>
    <w:rsid w:val="61D76DB7"/>
    <w:rsid w:val="61DB78DF"/>
    <w:rsid w:val="61E91324"/>
    <w:rsid w:val="61EB94D5"/>
    <w:rsid w:val="61F523C8"/>
    <w:rsid w:val="61F5809C"/>
    <w:rsid w:val="621C0402"/>
    <w:rsid w:val="621D1E5F"/>
    <w:rsid w:val="62204B8F"/>
    <w:rsid w:val="62235411"/>
    <w:rsid w:val="6228640C"/>
    <w:rsid w:val="622C00E7"/>
    <w:rsid w:val="622DB392"/>
    <w:rsid w:val="622E8F66"/>
    <w:rsid w:val="622F3E35"/>
    <w:rsid w:val="623C0048"/>
    <w:rsid w:val="6241204B"/>
    <w:rsid w:val="62467917"/>
    <w:rsid w:val="624C20E2"/>
    <w:rsid w:val="624FEE2A"/>
    <w:rsid w:val="62542244"/>
    <w:rsid w:val="6258DE41"/>
    <w:rsid w:val="625C5876"/>
    <w:rsid w:val="625E11AA"/>
    <w:rsid w:val="625EB0E5"/>
    <w:rsid w:val="626C394D"/>
    <w:rsid w:val="626F5DC8"/>
    <w:rsid w:val="62779062"/>
    <w:rsid w:val="6279CB6B"/>
    <w:rsid w:val="62800E44"/>
    <w:rsid w:val="628165C3"/>
    <w:rsid w:val="62847587"/>
    <w:rsid w:val="628ADFBD"/>
    <w:rsid w:val="62940042"/>
    <w:rsid w:val="62AAED68"/>
    <w:rsid w:val="62ACD433"/>
    <w:rsid w:val="62AD1436"/>
    <w:rsid w:val="62B7F200"/>
    <w:rsid w:val="62B8F496"/>
    <w:rsid w:val="62BF8C59"/>
    <w:rsid w:val="62C1510D"/>
    <w:rsid w:val="62C51FF3"/>
    <w:rsid w:val="62C5DD52"/>
    <w:rsid w:val="62CB1EC6"/>
    <w:rsid w:val="62D13A75"/>
    <w:rsid w:val="62D95312"/>
    <w:rsid w:val="62DFB4CC"/>
    <w:rsid w:val="62E942BE"/>
    <w:rsid w:val="62EABC44"/>
    <w:rsid w:val="62EF5254"/>
    <w:rsid w:val="62F38C11"/>
    <w:rsid w:val="6302B7BF"/>
    <w:rsid w:val="63050773"/>
    <w:rsid w:val="630B8DDB"/>
    <w:rsid w:val="630CC026"/>
    <w:rsid w:val="630FE4DB"/>
    <w:rsid w:val="6310DA4D"/>
    <w:rsid w:val="6311B2A3"/>
    <w:rsid w:val="63144618"/>
    <w:rsid w:val="6316FCB9"/>
    <w:rsid w:val="631A62D1"/>
    <w:rsid w:val="6328E65B"/>
    <w:rsid w:val="632D647A"/>
    <w:rsid w:val="63411C48"/>
    <w:rsid w:val="634198AE"/>
    <w:rsid w:val="63429809"/>
    <w:rsid w:val="6343952D"/>
    <w:rsid w:val="635398A5"/>
    <w:rsid w:val="635619A6"/>
    <w:rsid w:val="635859A3"/>
    <w:rsid w:val="635A5018"/>
    <w:rsid w:val="635AC761"/>
    <w:rsid w:val="635C7D95"/>
    <w:rsid w:val="635F3C2C"/>
    <w:rsid w:val="6366AD5F"/>
    <w:rsid w:val="636E6633"/>
    <w:rsid w:val="636F0653"/>
    <w:rsid w:val="63733317"/>
    <w:rsid w:val="6373AA6F"/>
    <w:rsid w:val="637A914D"/>
    <w:rsid w:val="6382F866"/>
    <w:rsid w:val="63830FDE"/>
    <w:rsid w:val="63839C66"/>
    <w:rsid w:val="6389CB8B"/>
    <w:rsid w:val="63900CEF"/>
    <w:rsid w:val="63904F14"/>
    <w:rsid w:val="6397FA6E"/>
    <w:rsid w:val="6398E187"/>
    <w:rsid w:val="639B5E18"/>
    <w:rsid w:val="639DA112"/>
    <w:rsid w:val="639F74EF"/>
    <w:rsid w:val="63A2DFE4"/>
    <w:rsid w:val="63A71E8A"/>
    <w:rsid w:val="63AC4826"/>
    <w:rsid w:val="63AFD9BC"/>
    <w:rsid w:val="63B4C3E2"/>
    <w:rsid w:val="63B62031"/>
    <w:rsid w:val="63BB3EB8"/>
    <w:rsid w:val="63BFEB12"/>
    <w:rsid w:val="63CE0237"/>
    <w:rsid w:val="63D5F52F"/>
    <w:rsid w:val="63E350AB"/>
    <w:rsid w:val="63E5B08D"/>
    <w:rsid w:val="63E96558"/>
    <w:rsid w:val="63EB8870"/>
    <w:rsid w:val="63F16DBF"/>
    <w:rsid w:val="63F1FF08"/>
    <w:rsid w:val="640E926A"/>
    <w:rsid w:val="6410A706"/>
    <w:rsid w:val="6410C12A"/>
    <w:rsid w:val="6410DCEA"/>
    <w:rsid w:val="641CA6DD"/>
    <w:rsid w:val="641D86A9"/>
    <w:rsid w:val="6420EE86"/>
    <w:rsid w:val="6425640D"/>
    <w:rsid w:val="6428E6B2"/>
    <w:rsid w:val="642933D7"/>
    <w:rsid w:val="64336EE7"/>
    <w:rsid w:val="643DEE90"/>
    <w:rsid w:val="645353A3"/>
    <w:rsid w:val="645610EB"/>
    <w:rsid w:val="64610696"/>
    <w:rsid w:val="6463A40E"/>
    <w:rsid w:val="646F2666"/>
    <w:rsid w:val="64728F47"/>
    <w:rsid w:val="64781C79"/>
    <w:rsid w:val="64784059"/>
    <w:rsid w:val="64785D9B"/>
    <w:rsid w:val="6489BAA1"/>
    <w:rsid w:val="648EC2BB"/>
    <w:rsid w:val="64958355"/>
    <w:rsid w:val="64A79BA5"/>
    <w:rsid w:val="64A98163"/>
    <w:rsid w:val="64B2F98A"/>
    <w:rsid w:val="64B5C973"/>
    <w:rsid w:val="64B87B80"/>
    <w:rsid w:val="64B883E5"/>
    <w:rsid w:val="64C32460"/>
    <w:rsid w:val="64C59983"/>
    <w:rsid w:val="64C92C6F"/>
    <w:rsid w:val="64D58B3A"/>
    <w:rsid w:val="64E21810"/>
    <w:rsid w:val="64E4081A"/>
    <w:rsid w:val="64EF3220"/>
    <w:rsid w:val="64F4220C"/>
    <w:rsid w:val="64F8E6A9"/>
    <w:rsid w:val="64FBF497"/>
    <w:rsid w:val="6500D344"/>
    <w:rsid w:val="65087B08"/>
    <w:rsid w:val="650D207C"/>
    <w:rsid w:val="650D25E6"/>
    <w:rsid w:val="650DAA84"/>
    <w:rsid w:val="65165C3C"/>
    <w:rsid w:val="6522494E"/>
    <w:rsid w:val="6522787B"/>
    <w:rsid w:val="6522E0FC"/>
    <w:rsid w:val="65236D0C"/>
    <w:rsid w:val="6524A707"/>
    <w:rsid w:val="6525AEE0"/>
    <w:rsid w:val="652640C0"/>
    <w:rsid w:val="6527F5B9"/>
    <w:rsid w:val="65291FB0"/>
    <w:rsid w:val="653182F9"/>
    <w:rsid w:val="6534B8AC"/>
    <w:rsid w:val="653B74D6"/>
    <w:rsid w:val="6554C6F2"/>
    <w:rsid w:val="655568CD"/>
    <w:rsid w:val="655FB2AA"/>
    <w:rsid w:val="65605766"/>
    <w:rsid w:val="6562EC87"/>
    <w:rsid w:val="65688D3A"/>
    <w:rsid w:val="65705805"/>
    <w:rsid w:val="65736EDC"/>
    <w:rsid w:val="657A03AD"/>
    <w:rsid w:val="657C047F"/>
    <w:rsid w:val="657C5D11"/>
    <w:rsid w:val="658500A3"/>
    <w:rsid w:val="6585B375"/>
    <w:rsid w:val="658721C9"/>
    <w:rsid w:val="6588693A"/>
    <w:rsid w:val="658A8D9E"/>
    <w:rsid w:val="658CC3DE"/>
    <w:rsid w:val="6590DF1E"/>
    <w:rsid w:val="659364A7"/>
    <w:rsid w:val="6593C4CD"/>
    <w:rsid w:val="65983F41"/>
    <w:rsid w:val="659A8260"/>
    <w:rsid w:val="659B13D2"/>
    <w:rsid w:val="65AAA6D4"/>
    <w:rsid w:val="65B6C349"/>
    <w:rsid w:val="65B705B3"/>
    <w:rsid w:val="65B81ED0"/>
    <w:rsid w:val="65B93AD6"/>
    <w:rsid w:val="65BAE351"/>
    <w:rsid w:val="65C46369"/>
    <w:rsid w:val="65C7F5D3"/>
    <w:rsid w:val="65CA5973"/>
    <w:rsid w:val="65CE65B7"/>
    <w:rsid w:val="65D0947F"/>
    <w:rsid w:val="65D1B51E"/>
    <w:rsid w:val="65D656A9"/>
    <w:rsid w:val="65D75703"/>
    <w:rsid w:val="65D8BFC2"/>
    <w:rsid w:val="65DA05E6"/>
    <w:rsid w:val="65E0AA25"/>
    <w:rsid w:val="65E0DADD"/>
    <w:rsid w:val="65E5B3D3"/>
    <w:rsid w:val="65EE8423"/>
    <w:rsid w:val="65F1891B"/>
    <w:rsid w:val="65FAF816"/>
    <w:rsid w:val="660222C8"/>
    <w:rsid w:val="66025A86"/>
    <w:rsid w:val="6607FFDC"/>
    <w:rsid w:val="66097CE5"/>
    <w:rsid w:val="660A18AC"/>
    <w:rsid w:val="660F1449"/>
    <w:rsid w:val="66110857"/>
    <w:rsid w:val="661250E3"/>
    <w:rsid w:val="66127AFB"/>
    <w:rsid w:val="66154A4C"/>
    <w:rsid w:val="6618B3F5"/>
    <w:rsid w:val="661C1480"/>
    <w:rsid w:val="662708E7"/>
    <w:rsid w:val="662BCD1F"/>
    <w:rsid w:val="6631B3B7"/>
    <w:rsid w:val="6640ED73"/>
    <w:rsid w:val="664537FC"/>
    <w:rsid w:val="664755B4"/>
    <w:rsid w:val="664A5B26"/>
    <w:rsid w:val="664BB7A9"/>
    <w:rsid w:val="666AD1CD"/>
    <w:rsid w:val="666DD5C1"/>
    <w:rsid w:val="6671F1DD"/>
    <w:rsid w:val="6677AAA9"/>
    <w:rsid w:val="66788594"/>
    <w:rsid w:val="66790413"/>
    <w:rsid w:val="667A0F61"/>
    <w:rsid w:val="66831C32"/>
    <w:rsid w:val="6683DE39"/>
    <w:rsid w:val="6688FA6D"/>
    <w:rsid w:val="668C07FA"/>
    <w:rsid w:val="6691F69A"/>
    <w:rsid w:val="669522F0"/>
    <w:rsid w:val="6695C2A0"/>
    <w:rsid w:val="669EA61E"/>
    <w:rsid w:val="66A1DB1B"/>
    <w:rsid w:val="66A25FDF"/>
    <w:rsid w:val="66A46DC1"/>
    <w:rsid w:val="66A8997E"/>
    <w:rsid w:val="66B61C26"/>
    <w:rsid w:val="66BD862D"/>
    <w:rsid w:val="66BFC737"/>
    <w:rsid w:val="66C2ED09"/>
    <w:rsid w:val="66C323FE"/>
    <w:rsid w:val="66C5C4A0"/>
    <w:rsid w:val="66C988E5"/>
    <w:rsid w:val="66D4DC7F"/>
    <w:rsid w:val="66D6851F"/>
    <w:rsid w:val="66DD55BA"/>
    <w:rsid w:val="66E19412"/>
    <w:rsid w:val="66E4DF13"/>
    <w:rsid w:val="66E54B8D"/>
    <w:rsid w:val="66E6A2B2"/>
    <w:rsid w:val="66EC1F95"/>
    <w:rsid w:val="66FACC90"/>
    <w:rsid w:val="66FB4F7D"/>
    <w:rsid w:val="66FB537D"/>
    <w:rsid w:val="670623B1"/>
    <w:rsid w:val="670C7D74"/>
    <w:rsid w:val="670E7380"/>
    <w:rsid w:val="67134D5B"/>
    <w:rsid w:val="6718A836"/>
    <w:rsid w:val="672237EC"/>
    <w:rsid w:val="6723F007"/>
    <w:rsid w:val="67242D18"/>
    <w:rsid w:val="67262839"/>
    <w:rsid w:val="672AF708"/>
    <w:rsid w:val="672CB6BE"/>
    <w:rsid w:val="672E72FB"/>
    <w:rsid w:val="6741FE3C"/>
    <w:rsid w:val="67464A91"/>
    <w:rsid w:val="67467928"/>
    <w:rsid w:val="67469679"/>
    <w:rsid w:val="67480FE1"/>
    <w:rsid w:val="674874A1"/>
    <w:rsid w:val="6749B04E"/>
    <w:rsid w:val="676CDBEB"/>
    <w:rsid w:val="676D55AF"/>
    <w:rsid w:val="6772C8CD"/>
    <w:rsid w:val="677427D2"/>
    <w:rsid w:val="6776410C"/>
    <w:rsid w:val="67780BEE"/>
    <w:rsid w:val="67814C2D"/>
    <w:rsid w:val="67863486"/>
    <w:rsid w:val="678851F4"/>
    <w:rsid w:val="67892339"/>
    <w:rsid w:val="6789E6E7"/>
    <w:rsid w:val="6791D37E"/>
    <w:rsid w:val="6791DA84"/>
    <w:rsid w:val="67934ED6"/>
    <w:rsid w:val="6794285B"/>
    <w:rsid w:val="67967687"/>
    <w:rsid w:val="679DA682"/>
    <w:rsid w:val="67A0B9B1"/>
    <w:rsid w:val="67A345B3"/>
    <w:rsid w:val="67ABA1BB"/>
    <w:rsid w:val="67B389FF"/>
    <w:rsid w:val="67BF1041"/>
    <w:rsid w:val="67C2CE96"/>
    <w:rsid w:val="67C44D58"/>
    <w:rsid w:val="67C4CB45"/>
    <w:rsid w:val="67CE0924"/>
    <w:rsid w:val="67CE1773"/>
    <w:rsid w:val="67D24F6E"/>
    <w:rsid w:val="67D71E24"/>
    <w:rsid w:val="67D9F14B"/>
    <w:rsid w:val="67DA42E0"/>
    <w:rsid w:val="67DD81B6"/>
    <w:rsid w:val="67E50D09"/>
    <w:rsid w:val="67EF5E3F"/>
    <w:rsid w:val="67F36207"/>
    <w:rsid w:val="67F68337"/>
    <w:rsid w:val="67F73F04"/>
    <w:rsid w:val="67F8BCFF"/>
    <w:rsid w:val="67FA3BB8"/>
    <w:rsid w:val="67FD754F"/>
    <w:rsid w:val="6800D311"/>
    <w:rsid w:val="68049FB5"/>
    <w:rsid w:val="680B07F8"/>
    <w:rsid w:val="68100C92"/>
    <w:rsid w:val="68102172"/>
    <w:rsid w:val="681331E3"/>
    <w:rsid w:val="6818EB0B"/>
    <w:rsid w:val="681926B5"/>
    <w:rsid w:val="681B8972"/>
    <w:rsid w:val="681CE796"/>
    <w:rsid w:val="6822F3D2"/>
    <w:rsid w:val="68394BF8"/>
    <w:rsid w:val="68397953"/>
    <w:rsid w:val="6839987B"/>
    <w:rsid w:val="6840A701"/>
    <w:rsid w:val="684BB1FB"/>
    <w:rsid w:val="684F543E"/>
    <w:rsid w:val="685141E1"/>
    <w:rsid w:val="685164C2"/>
    <w:rsid w:val="6853CB46"/>
    <w:rsid w:val="685E597E"/>
    <w:rsid w:val="6862416D"/>
    <w:rsid w:val="68654552"/>
    <w:rsid w:val="6865FA80"/>
    <w:rsid w:val="68679C91"/>
    <w:rsid w:val="6867C360"/>
    <w:rsid w:val="6870583A"/>
    <w:rsid w:val="6876B9FE"/>
    <w:rsid w:val="68773B52"/>
    <w:rsid w:val="687811F4"/>
    <w:rsid w:val="687C6CB3"/>
    <w:rsid w:val="688CD45E"/>
    <w:rsid w:val="688CD50C"/>
    <w:rsid w:val="688E8D6C"/>
    <w:rsid w:val="6896D0B6"/>
    <w:rsid w:val="689ACC78"/>
    <w:rsid w:val="689E6D53"/>
    <w:rsid w:val="68A4DD0F"/>
    <w:rsid w:val="68AAAA64"/>
    <w:rsid w:val="68B010A3"/>
    <w:rsid w:val="68BCA9A8"/>
    <w:rsid w:val="68BE0A53"/>
    <w:rsid w:val="68C7CC5C"/>
    <w:rsid w:val="68C842DC"/>
    <w:rsid w:val="68D00EBF"/>
    <w:rsid w:val="68D0D723"/>
    <w:rsid w:val="68D60171"/>
    <w:rsid w:val="68D886CB"/>
    <w:rsid w:val="68D8DB2F"/>
    <w:rsid w:val="68D9AD49"/>
    <w:rsid w:val="68DC585E"/>
    <w:rsid w:val="68DF0C96"/>
    <w:rsid w:val="68E907A8"/>
    <w:rsid w:val="68ECD1C4"/>
    <w:rsid w:val="68F7F4A9"/>
    <w:rsid w:val="68FE6E9E"/>
    <w:rsid w:val="68FFE055"/>
    <w:rsid w:val="6903BC79"/>
    <w:rsid w:val="6903E61C"/>
    <w:rsid w:val="69053293"/>
    <w:rsid w:val="6905C7A2"/>
    <w:rsid w:val="690819B7"/>
    <w:rsid w:val="69081C50"/>
    <w:rsid w:val="6913FC8C"/>
    <w:rsid w:val="691CAD74"/>
    <w:rsid w:val="691E8CC6"/>
    <w:rsid w:val="69227D2E"/>
    <w:rsid w:val="6922C317"/>
    <w:rsid w:val="69235FEB"/>
    <w:rsid w:val="69362EDC"/>
    <w:rsid w:val="6936A739"/>
    <w:rsid w:val="6938B243"/>
    <w:rsid w:val="693AFC2A"/>
    <w:rsid w:val="693BC480"/>
    <w:rsid w:val="6941C20F"/>
    <w:rsid w:val="69489FDE"/>
    <w:rsid w:val="694D54D3"/>
    <w:rsid w:val="694E8391"/>
    <w:rsid w:val="6950158A"/>
    <w:rsid w:val="695063D1"/>
    <w:rsid w:val="695C1C9C"/>
    <w:rsid w:val="695D0B8B"/>
    <w:rsid w:val="695DB223"/>
    <w:rsid w:val="6969A376"/>
    <w:rsid w:val="696B89BA"/>
    <w:rsid w:val="6978469E"/>
    <w:rsid w:val="69789D0B"/>
    <w:rsid w:val="69873D05"/>
    <w:rsid w:val="698C423D"/>
    <w:rsid w:val="698DDA8A"/>
    <w:rsid w:val="6992757D"/>
    <w:rsid w:val="69953A68"/>
    <w:rsid w:val="6998E01D"/>
    <w:rsid w:val="699995D2"/>
    <w:rsid w:val="699B5299"/>
    <w:rsid w:val="699BE7FD"/>
    <w:rsid w:val="69A14F33"/>
    <w:rsid w:val="69A284B4"/>
    <w:rsid w:val="69A9F91B"/>
    <w:rsid w:val="69AC8E49"/>
    <w:rsid w:val="69C103BA"/>
    <w:rsid w:val="69C5BCA7"/>
    <w:rsid w:val="69C7740A"/>
    <w:rsid w:val="69C838FA"/>
    <w:rsid w:val="69CC8063"/>
    <w:rsid w:val="69CD5B52"/>
    <w:rsid w:val="69CDA47E"/>
    <w:rsid w:val="69D3DF44"/>
    <w:rsid w:val="69D4A5B5"/>
    <w:rsid w:val="69DD5B71"/>
    <w:rsid w:val="69DDC9D4"/>
    <w:rsid w:val="69DF766E"/>
    <w:rsid w:val="69E0858D"/>
    <w:rsid w:val="69E28978"/>
    <w:rsid w:val="69E3EE78"/>
    <w:rsid w:val="69E56BE9"/>
    <w:rsid w:val="69EDFB44"/>
    <w:rsid w:val="69EF8EDB"/>
    <w:rsid w:val="69F1C741"/>
    <w:rsid w:val="69F521AE"/>
    <w:rsid w:val="69F5D777"/>
    <w:rsid w:val="69FA77CC"/>
    <w:rsid w:val="69FC3FCF"/>
    <w:rsid w:val="69FDB084"/>
    <w:rsid w:val="6A0AB277"/>
    <w:rsid w:val="6A0B3E99"/>
    <w:rsid w:val="6A0B7F67"/>
    <w:rsid w:val="6A0F7D63"/>
    <w:rsid w:val="6A128CB0"/>
    <w:rsid w:val="6A1628F4"/>
    <w:rsid w:val="6A28C406"/>
    <w:rsid w:val="6A2B97D5"/>
    <w:rsid w:val="6A300AA2"/>
    <w:rsid w:val="6A368C52"/>
    <w:rsid w:val="6A3E727A"/>
    <w:rsid w:val="6A40AD88"/>
    <w:rsid w:val="6A47625C"/>
    <w:rsid w:val="6A47D167"/>
    <w:rsid w:val="6A48C7E0"/>
    <w:rsid w:val="6A498FF8"/>
    <w:rsid w:val="6A4E5654"/>
    <w:rsid w:val="6A4F117B"/>
    <w:rsid w:val="6A53707C"/>
    <w:rsid w:val="6A608BEA"/>
    <w:rsid w:val="6A68E124"/>
    <w:rsid w:val="6A6DB7F8"/>
    <w:rsid w:val="6A6E3B6A"/>
    <w:rsid w:val="6A6EFCD7"/>
    <w:rsid w:val="6A75C2FF"/>
    <w:rsid w:val="6A786628"/>
    <w:rsid w:val="6A7D8039"/>
    <w:rsid w:val="6A7DE356"/>
    <w:rsid w:val="6A7FEE0C"/>
    <w:rsid w:val="6A8079F1"/>
    <w:rsid w:val="6A81FD41"/>
    <w:rsid w:val="6A82DDDF"/>
    <w:rsid w:val="6A831F36"/>
    <w:rsid w:val="6A8B6264"/>
    <w:rsid w:val="6A8C89C6"/>
    <w:rsid w:val="6A9384DC"/>
    <w:rsid w:val="6A954ACB"/>
    <w:rsid w:val="6A956F7B"/>
    <w:rsid w:val="6A9CF5D0"/>
    <w:rsid w:val="6AA1996E"/>
    <w:rsid w:val="6AA8D928"/>
    <w:rsid w:val="6AA9F804"/>
    <w:rsid w:val="6AAEC220"/>
    <w:rsid w:val="6ABE1B7D"/>
    <w:rsid w:val="6AC1DEB1"/>
    <w:rsid w:val="6AC5ECB3"/>
    <w:rsid w:val="6AC6FFB3"/>
    <w:rsid w:val="6AC72CCE"/>
    <w:rsid w:val="6AC9F8DD"/>
    <w:rsid w:val="6ACAC2C3"/>
    <w:rsid w:val="6AD0703A"/>
    <w:rsid w:val="6AD1BE70"/>
    <w:rsid w:val="6AD4479F"/>
    <w:rsid w:val="6ADFCA75"/>
    <w:rsid w:val="6AE211D0"/>
    <w:rsid w:val="6AEA8E5B"/>
    <w:rsid w:val="6AF7806E"/>
    <w:rsid w:val="6B031D54"/>
    <w:rsid w:val="6B077C5F"/>
    <w:rsid w:val="6B0FA887"/>
    <w:rsid w:val="6B118F5F"/>
    <w:rsid w:val="6B12A688"/>
    <w:rsid w:val="6B17FD64"/>
    <w:rsid w:val="6B25986E"/>
    <w:rsid w:val="6B25B2F7"/>
    <w:rsid w:val="6B270C8E"/>
    <w:rsid w:val="6B2B390C"/>
    <w:rsid w:val="6B2CCA01"/>
    <w:rsid w:val="6B33CFE3"/>
    <w:rsid w:val="6B40F476"/>
    <w:rsid w:val="6B497CD3"/>
    <w:rsid w:val="6B498FED"/>
    <w:rsid w:val="6B4B70BD"/>
    <w:rsid w:val="6B536F74"/>
    <w:rsid w:val="6B5F6A3B"/>
    <w:rsid w:val="6B65A3F8"/>
    <w:rsid w:val="6B6DCE2E"/>
    <w:rsid w:val="6B6E33BF"/>
    <w:rsid w:val="6B7BA2C8"/>
    <w:rsid w:val="6B805137"/>
    <w:rsid w:val="6B86916F"/>
    <w:rsid w:val="6B89B62F"/>
    <w:rsid w:val="6B8BB5B0"/>
    <w:rsid w:val="6B8E7AEF"/>
    <w:rsid w:val="6B8FA38A"/>
    <w:rsid w:val="6B924CEE"/>
    <w:rsid w:val="6B96A68D"/>
    <w:rsid w:val="6BA20A3A"/>
    <w:rsid w:val="6BAF71F0"/>
    <w:rsid w:val="6BB4CFD4"/>
    <w:rsid w:val="6BB504E3"/>
    <w:rsid w:val="6BBC0B84"/>
    <w:rsid w:val="6BC0C5E5"/>
    <w:rsid w:val="6BC96B31"/>
    <w:rsid w:val="6BC9E28A"/>
    <w:rsid w:val="6BD14270"/>
    <w:rsid w:val="6BD362D5"/>
    <w:rsid w:val="6BD83303"/>
    <w:rsid w:val="6BDFD358"/>
    <w:rsid w:val="6BE035AE"/>
    <w:rsid w:val="6BE822FD"/>
    <w:rsid w:val="6BEF6CA9"/>
    <w:rsid w:val="6BEFBEDB"/>
    <w:rsid w:val="6BF16437"/>
    <w:rsid w:val="6BF18303"/>
    <w:rsid w:val="6BF1BEDF"/>
    <w:rsid w:val="6BF4D12F"/>
    <w:rsid w:val="6BF5E531"/>
    <w:rsid w:val="6BFA9ECD"/>
    <w:rsid w:val="6C01DFD4"/>
    <w:rsid w:val="6C055631"/>
    <w:rsid w:val="6C075FAD"/>
    <w:rsid w:val="6C081ABC"/>
    <w:rsid w:val="6C08BBC9"/>
    <w:rsid w:val="6C0C73B6"/>
    <w:rsid w:val="6C11ECFC"/>
    <w:rsid w:val="6C12D72F"/>
    <w:rsid w:val="6C1E203F"/>
    <w:rsid w:val="6C1F7622"/>
    <w:rsid w:val="6C26DA97"/>
    <w:rsid w:val="6C2A5DFB"/>
    <w:rsid w:val="6C2B49E2"/>
    <w:rsid w:val="6C2D24F8"/>
    <w:rsid w:val="6C2D5F95"/>
    <w:rsid w:val="6C2FFF4F"/>
    <w:rsid w:val="6C376021"/>
    <w:rsid w:val="6C3F1FCA"/>
    <w:rsid w:val="6C416EA1"/>
    <w:rsid w:val="6C4870F0"/>
    <w:rsid w:val="6C5459E9"/>
    <w:rsid w:val="6C5567B1"/>
    <w:rsid w:val="6C5C5D39"/>
    <w:rsid w:val="6C62D123"/>
    <w:rsid w:val="6C640A29"/>
    <w:rsid w:val="6C67FC71"/>
    <w:rsid w:val="6C6D8BCC"/>
    <w:rsid w:val="6C71B428"/>
    <w:rsid w:val="6C7824D0"/>
    <w:rsid w:val="6C78617F"/>
    <w:rsid w:val="6C7C0438"/>
    <w:rsid w:val="6C8294DD"/>
    <w:rsid w:val="6C83E797"/>
    <w:rsid w:val="6C864E38"/>
    <w:rsid w:val="6C8F746B"/>
    <w:rsid w:val="6C8FEC56"/>
    <w:rsid w:val="6C93406C"/>
    <w:rsid w:val="6C9559BC"/>
    <w:rsid w:val="6C98D053"/>
    <w:rsid w:val="6C9DADF5"/>
    <w:rsid w:val="6CA306F5"/>
    <w:rsid w:val="6CA95F4D"/>
    <w:rsid w:val="6CAA98E6"/>
    <w:rsid w:val="6CAB8C98"/>
    <w:rsid w:val="6CB04B06"/>
    <w:rsid w:val="6CB307C9"/>
    <w:rsid w:val="6CB8A282"/>
    <w:rsid w:val="6CB94E9F"/>
    <w:rsid w:val="6CC053EE"/>
    <w:rsid w:val="6CC4BC09"/>
    <w:rsid w:val="6CC5E4D7"/>
    <w:rsid w:val="6CC6B330"/>
    <w:rsid w:val="6CCA042F"/>
    <w:rsid w:val="6CCA1719"/>
    <w:rsid w:val="6CCEA437"/>
    <w:rsid w:val="6CD26940"/>
    <w:rsid w:val="6CD326BC"/>
    <w:rsid w:val="6CD76492"/>
    <w:rsid w:val="6CD9D404"/>
    <w:rsid w:val="6CE0DF6E"/>
    <w:rsid w:val="6CE703F2"/>
    <w:rsid w:val="6CE813E8"/>
    <w:rsid w:val="6CE8CAAD"/>
    <w:rsid w:val="6CEAC400"/>
    <w:rsid w:val="6CFEFCC4"/>
    <w:rsid w:val="6D024BCB"/>
    <w:rsid w:val="6D153294"/>
    <w:rsid w:val="6D18094A"/>
    <w:rsid w:val="6D1AF4A1"/>
    <w:rsid w:val="6D1CC028"/>
    <w:rsid w:val="6D1FEA0E"/>
    <w:rsid w:val="6D20C90A"/>
    <w:rsid w:val="6D2B2E55"/>
    <w:rsid w:val="6D2E0FB1"/>
    <w:rsid w:val="6D3343B9"/>
    <w:rsid w:val="6D3D5A50"/>
    <w:rsid w:val="6D4071BE"/>
    <w:rsid w:val="6D4161DE"/>
    <w:rsid w:val="6D41A94F"/>
    <w:rsid w:val="6D46758C"/>
    <w:rsid w:val="6D484FEC"/>
    <w:rsid w:val="6D4C64AE"/>
    <w:rsid w:val="6D4F41B2"/>
    <w:rsid w:val="6D580D3A"/>
    <w:rsid w:val="6D656E63"/>
    <w:rsid w:val="6D665AE5"/>
    <w:rsid w:val="6D691196"/>
    <w:rsid w:val="6D70455F"/>
    <w:rsid w:val="6D75F5E5"/>
    <w:rsid w:val="6D7D729D"/>
    <w:rsid w:val="6D885886"/>
    <w:rsid w:val="6D91E4B1"/>
    <w:rsid w:val="6D97D43E"/>
    <w:rsid w:val="6D999F5A"/>
    <w:rsid w:val="6DA15C54"/>
    <w:rsid w:val="6DA5B3AC"/>
    <w:rsid w:val="6DA75016"/>
    <w:rsid w:val="6DB4B91A"/>
    <w:rsid w:val="6DB76B46"/>
    <w:rsid w:val="6DBB418E"/>
    <w:rsid w:val="6DBDDD2A"/>
    <w:rsid w:val="6DBE4B2A"/>
    <w:rsid w:val="6DBF8802"/>
    <w:rsid w:val="6DC29D70"/>
    <w:rsid w:val="6DC496A5"/>
    <w:rsid w:val="6DCBD57C"/>
    <w:rsid w:val="6DCC77CA"/>
    <w:rsid w:val="6DCCF3B0"/>
    <w:rsid w:val="6DD450AD"/>
    <w:rsid w:val="6DD472E2"/>
    <w:rsid w:val="6DDF7413"/>
    <w:rsid w:val="6DE1BC98"/>
    <w:rsid w:val="6DE26DC3"/>
    <w:rsid w:val="6DE3BCDB"/>
    <w:rsid w:val="6DEE01DA"/>
    <w:rsid w:val="6DF306E8"/>
    <w:rsid w:val="6DF37E3C"/>
    <w:rsid w:val="6DF6AA95"/>
    <w:rsid w:val="6DFF70DF"/>
    <w:rsid w:val="6E03D209"/>
    <w:rsid w:val="6E08BE5E"/>
    <w:rsid w:val="6E0B4368"/>
    <w:rsid w:val="6E0CBC0E"/>
    <w:rsid w:val="6E0E924E"/>
    <w:rsid w:val="6E10D4B0"/>
    <w:rsid w:val="6E18E1A2"/>
    <w:rsid w:val="6E28145F"/>
    <w:rsid w:val="6E288397"/>
    <w:rsid w:val="6E2B24AA"/>
    <w:rsid w:val="6E32A792"/>
    <w:rsid w:val="6E3BCE50"/>
    <w:rsid w:val="6E3D7780"/>
    <w:rsid w:val="6E40556C"/>
    <w:rsid w:val="6E4537F6"/>
    <w:rsid w:val="6E48A908"/>
    <w:rsid w:val="6E48B415"/>
    <w:rsid w:val="6E4E2F58"/>
    <w:rsid w:val="6E5BECE7"/>
    <w:rsid w:val="6E5D4F31"/>
    <w:rsid w:val="6E60A452"/>
    <w:rsid w:val="6E69FDBD"/>
    <w:rsid w:val="6E6EFC2C"/>
    <w:rsid w:val="6E734BA9"/>
    <w:rsid w:val="6E7E218B"/>
    <w:rsid w:val="6E80AE1B"/>
    <w:rsid w:val="6E81375A"/>
    <w:rsid w:val="6E88EF2D"/>
    <w:rsid w:val="6E8CAD38"/>
    <w:rsid w:val="6E8F59CA"/>
    <w:rsid w:val="6E8F8C46"/>
    <w:rsid w:val="6E93903B"/>
    <w:rsid w:val="6E977F84"/>
    <w:rsid w:val="6EA54C7B"/>
    <w:rsid w:val="6EAEADA7"/>
    <w:rsid w:val="6EB0FAAC"/>
    <w:rsid w:val="6EBB962D"/>
    <w:rsid w:val="6EBD3327"/>
    <w:rsid w:val="6EBD62D0"/>
    <w:rsid w:val="6EBD7CBA"/>
    <w:rsid w:val="6EBE029F"/>
    <w:rsid w:val="6EC6DFE3"/>
    <w:rsid w:val="6EC83578"/>
    <w:rsid w:val="6ECA6173"/>
    <w:rsid w:val="6ECB530D"/>
    <w:rsid w:val="6ECBAC8F"/>
    <w:rsid w:val="6ECD2D8C"/>
    <w:rsid w:val="6ED0EBCB"/>
    <w:rsid w:val="6ED51F9F"/>
    <w:rsid w:val="6ED65D11"/>
    <w:rsid w:val="6ED7B251"/>
    <w:rsid w:val="6EDB759B"/>
    <w:rsid w:val="6EDD714B"/>
    <w:rsid w:val="6EE03DBF"/>
    <w:rsid w:val="6EE312E1"/>
    <w:rsid w:val="6EE49BD2"/>
    <w:rsid w:val="6EEBD4AC"/>
    <w:rsid w:val="6EF290D2"/>
    <w:rsid w:val="6EF4866F"/>
    <w:rsid w:val="6EFA9471"/>
    <w:rsid w:val="6F009D34"/>
    <w:rsid w:val="6F0CC916"/>
    <w:rsid w:val="6F0D5038"/>
    <w:rsid w:val="6F13456B"/>
    <w:rsid w:val="6F176C57"/>
    <w:rsid w:val="6F1A3C4C"/>
    <w:rsid w:val="6F1C2C91"/>
    <w:rsid w:val="6F1D6CFA"/>
    <w:rsid w:val="6F1F656E"/>
    <w:rsid w:val="6F222E01"/>
    <w:rsid w:val="6F238F26"/>
    <w:rsid w:val="6F31DF18"/>
    <w:rsid w:val="6F352E46"/>
    <w:rsid w:val="6F3A47CB"/>
    <w:rsid w:val="6F462352"/>
    <w:rsid w:val="6F47195F"/>
    <w:rsid w:val="6F562051"/>
    <w:rsid w:val="6F590D08"/>
    <w:rsid w:val="6F5CB594"/>
    <w:rsid w:val="6F5F0A51"/>
    <w:rsid w:val="6F607715"/>
    <w:rsid w:val="6F60A023"/>
    <w:rsid w:val="6F62AEB9"/>
    <w:rsid w:val="6F677B1F"/>
    <w:rsid w:val="6F79F4D3"/>
    <w:rsid w:val="6F89663A"/>
    <w:rsid w:val="6F8CA1C6"/>
    <w:rsid w:val="6F8FDB3A"/>
    <w:rsid w:val="6FA7A61B"/>
    <w:rsid w:val="6FA7C353"/>
    <w:rsid w:val="6FACCE98"/>
    <w:rsid w:val="6FB21A53"/>
    <w:rsid w:val="6FB2DBD7"/>
    <w:rsid w:val="6FB3D0C6"/>
    <w:rsid w:val="6FBC43FA"/>
    <w:rsid w:val="6FBCF1ED"/>
    <w:rsid w:val="6FC74D04"/>
    <w:rsid w:val="6FCD0703"/>
    <w:rsid w:val="6FD16AF1"/>
    <w:rsid w:val="6FD1F819"/>
    <w:rsid w:val="6FE30E7C"/>
    <w:rsid w:val="6FE3B238"/>
    <w:rsid w:val="6FE4E012"/>
    <w:rsid w:val="6FE83153"/>
    <w:rsid w:val="6FEA3FB2"/>
    <w:rsid w:val="6FEC104A"/>
    <w:rsid w:val="6FEF9B6C"/>
    <w:rsid w:val="6FF202E9"/>
    <w:rsid w:val="6FF72173"/>
    <w:rsid w:val="6FFC224B"/>
    <w:rsid w:val="700032EF"/>
    <w:rsid w:val="7004C8A4"/>
    <w:rsid w:val="701676FB"/>
    <w:rsid w:val="701BB457"/>
    <w:rsid w:val="70235014"/>
    <w:rsid w:val="7028A876"/>
    <w:rsid w:val="702B0635"/>
    <w:rsid w:val="702EEC17"/>
    <w:rsid w:val="7040F9A5"/>
    <w:rsid w:val="70479320"/>
    <w:rsid w:val="704913E0"/>
    <w:rsid w:val="7049BFE1"/>
    <w:rsid w:val="704D0E29"/>
    <w:rsid w:val="704D6448"/>
    <w:rsid w:val="7053B82A"/>
    <w:rsid w:val="70567B78"/>
    <w:rsid w:val="70580A07"/>
    <w:rsid w:val="7059B2DC"/>
    <w:rsid w:val="7068583A"/>
    <w:rsid w:val="70693843"/>
    <w:rsid w:val="7069F173"/>
    <w:rsid w:val="706BCE9C"/>
    <w:rsid w:val="706F93F4"/>
    <w:rsid w:val="70714210"/>
    <w:rsid w:val="7072A29C"/>
    <w:rsid w:val="7074FEC1"/>
    <w:rsid w:val="707800F9"/>
    <w:rsid w:val="707C9814"/>
    <w:rsid w:val="707F07F0"/>
    <w:rsid w:val="7085E005"/>
    <w:rsid w:val="7086569A"/>
    <w:rsid w:val="7088291A"/>
    <w:rsid w:val="708A705D"/>
    <w:rsid w:val="708B4D59"/>
    <w:rsid w:val="708D898B"/>
    <w:rsid w:val="709CA4E0"/>
    <w:rsid w:val="709F88EF"/>
    <w:rsid w:val="70A3E1D5"/>
    <w:rsid w:val="70A48A49"/>
    <w:rsid w:val="70A99278"/>
    <w:rsid w:val="70B20A23"/>
    <w:rsid w:val="70B82638"/>
    <w:rsid w:val="70C10735"/>
    <w:rsid w:val="70C62744"/>
    <w:rsid w:val="70CA876A"/>
    <w:rsid w:val="70DD9DEC"/>
    <w:rsid w:val="70E2BB20"/>
    <w:rsid w:val="70E553E6"/>
    <w:rsid w:val="70E57EC2"/>
    <w:rsid w:val="70E68603"/>
    <w:rsid w:val="70E6B4AC"/>
    <w:rsid w:val="70E917F3"/>
    <w:rsid w:val="70E95E0D"/>
    <w:rsid w:val="70EAF532"/>
    <w:rsid w:val="70EF8B7C"/>
    <w:rsid w:val="70F294F4"/>
    <w:rsid w:val="70F71C13"/>
    <w:rsid w:val="70F77B81"/>
    <w:rsid w:val="70F85DA0"/>
    <w:rsid w:val="70F920E5"/>
    <w:rsid w:val="70F9F845"/>
    <w:rsid w:val="7105477C"/>
    <w:rsid w:val="7106CBC7"/>
    <w:rsid w:val="7108EDEE"/>
    <w:rsid w:val="710E6080"/>
    <w:rsid w:val="7111004E"/>
    <w:rsid w:val="71113E0B"/>
    <w:rsid w:val="71136FC1"/>
    <w:rsid w:val="711D31E3"/>
    <w:rsid w:val="712C1D1F"/>
    <w:rsid w:val="712E59D5"/>
    <w:rsid w:val="7130CFCA"/>
    <w:rsid w:val="71317A7A"/>
    <w:rsid w:val="7131E38B"/>
    <w:rsid w:val="71441B2D"/>
    <w:rsid w:val="7144ECBA"/>
    <w:rsid w:val="71471011"/>
    <w:rsid w:val="71499042"/>
    <w:rsid w:val="714BC181"/>
    <w:rsid w:val="7158E670"/>
    <w:rsid w:val="7159F800"/>
    <w:rsid w:val="716604EC"/>
    <w:rsid w:val="7167B77F"/>
    <w:rsid w:val="716C2931"/>
    <w:rsid w:val="717140A5"/>
    <w:rsid w:val="7173971F"/>
    <w:rsid w:val="71776E19"/>
    <w:rsid w:val="718104C5"/>
    <w:rsid w:val="718A4647"/>
    <w:rsid w:val="718AE783"/>
    <w:rsid w:val="718AF64E"/>
    <w:rsid w:val="71911188"/>
    <w:rsid w:val="7194BE20"/>
    <w:rsid w:val="71960C7F"/>
    <w:rsid w:val="719C8D5D"/>
    <w:rsid w:val="719D32E6"/>
    <w:rsid w:val="71A83F36"/>
    <w:rsid w:val="71AB0CE4"/>
    <w:rsid w:val="71AC2E79"/>
    <w:rsid w:val="71BAF395"/>
    <w:rsid w:val="71BD6E76"/>
    <w:rsid w:val="71BF5C0A"/>
    <w:rsid w:val="71C0F983"/>
    <w:rsid w:val="71C6D72E"/>
    <w:rsid w:val="71D2838C"/>
    <w:rsid w:val="71D603B9"/>
    <w:rsid w:val="71D6612C"/>
    <w:rsid w:val="71DD05AA"/>
    <w:rsid w:val="71DE5E42"/>
    <w:rsid w:val="71E12D71"/>
    <w:rsid w:val="71E66137"/>
    <w:rsid w:val="71E93BF2"/>
    <w:rsid w:val="71EC7DC6"/>
    <w:rsid w:val="71EC87E4"/>
    <w:rsid w:val="71ED6EC4"/>
    <w:rsid w:val="71EE612D"/>
    <w:rsid w:val="71F21B7D"/>
    <w:rsid w:val="71FD382D"/>
    <w:rsid w:val="71FE86C4"/>
    <w:rsid w:val="720360BF"/>
    <w:rsid w:val="72042523"/>
    <w:rsid w:val="7204D663"/>
    <w:rsid w:val="720768F5"/>
    <w:rsid w:val="720CA054"/>
    <w:rsid w:val="720DE7CF"/>
    <w:rsid w:val="7211873D"/>
    <w:rsid w:val="7211E6DE"/>
    <w:rsid w:val="7214CD99"/>
    <w:rsid w:val="7218D045"/>
    <w:rsid w:val="721C9CC1"/>
    <w:rsid w:val="721F58BD"/>
    <w:rsid w:val="72240419"/>
    <w:rsid w:val="722BD4CC"/>
    <w:rsid w:val="72334E2F"/>
    <w:rsid w:val="72346B6F"/>
    <w:rsid w:val="7238DFAB"/>
    <w:rsid w:val="723902E9"/>
    <w:rsid w:val="723906B5"/>
    <w:rsid w:val="7258E2B8"/>
    <w:rsid w:val="7267A640"/>
    <w:rsid w:val="726B10FE"/>
    <w:rsid w:val="726B8765"/>
    <w:rsid w:val="72741AC0"/>
    <w:rsid w:val="727D0DB1"/>
    <w:rsid w:val="72850E73"/>
    <w:rsid w:val="7285DD5C"/>
    <w:rsid w:val="7287E1E2"/>
    <w:rsid w:val="7293609F"/>
    <w:rsid w:val="72944977"/>
    <w:rsid w:val="7295EA53"/>
    <w:rsid w:val="729979A3"/>
    <w:rsid w:val="729A0372"/>
    <w:rsid w:val="729D27C0"/>
    <w:rsid w:val="72A1128E"/>
    <w:rsid w:val="72A38855"/>
    <w:rsid w:val="72A80720"/>
    <w:rsid w:val="72AAB39F"/>
    <w:rsid w:val="72B178F8"/>
    <w:rsid w:val="72B48C0C"/>
    <w:rsid w:val="72B692E8"/>
    <w:rsid w:val="72B937D4"/>
    <w:rsid w:val="72BCB1EE"/>
    <w:rsid w:val="72C074F7"/>
    <w:rsid w:val="72C361E0"/>
    <w:rsid w:val="72C69694"/>
    <w:rsid w:val="72C78A76"/>
    <w:rsid w:val="72CE6F06"/>
    <w:rsid w:val="72CFF6E0"/>
    <w:rsid w:val="72CFFD79"/>
    <w:rsid w:val="72D14C6C"/>
    <w:rsid w:val="72D7189D"/>
    <w:rsid w:val="72DF57AA"/>
    <w:rsid w:val="72E2BD9D"/>
    <w:rsid w:val="72E636A6"/>
    <w:rsid w:val="72E6746A"/>
    <w:rsid w:val="72E9A247"/>
    <w:rsid w:val="72EA19AE"/>
    <w:rsid w:val="72EB2B32"/>
    <w:rsid w:val="72EB50C6"/>
    <w:rsid w:val="72F0E419"/>
    <w:rsid w:val="72F28286"/>
    <w:rsid w:val="72F47B80"/>
    <w:rsid w:val="72FA5E85"/>
    <w:rsid w:val="72FEF3D0"/>
    <w:rsid w:val="73004CFC"/>
    <w:rsid w:val="73005372"/>
    <w:rsid w:val="7304EBB5"/>
    <w:rsid w:val="730565AB"/>
    <w:rsid w:val="73090D7D"/>
    <w:rsid w:val="7309AC9F"/>
    <w:rsid w:val="730A321E"/>
    <w:rsid w:val="73113B39"/>
    <w:rsid w:val="7312A20E"/>
    <w:rsid w:val="731A1465"/>
    <w:rsid w:val="731C2B1F"/>
    <w:rsid w:val="731D01E9"/>
    <w:rsid w:val="732741BF"/>
    <w:rsid w:val="7328E9C8"/>
    <w:rsid w:val="732DC96D"/>
    <w:rsid w:val="73330BD1"/>
    <w:rsid w:val="733871F6"/>
    <w:rsid w:val="7338C32A"/>
    <w:rsid w:val="733B118F"/>
    <w:rsid w:val="733EA598"/>
    <w:rsid w:val="733EB51F"/>
    <w:rsid w:val="73452CF1"/>
    <w:rsid w:val="734BA515"/>
    <w:rsid w:val="73555203"/>
    <w:rsid w:val="7358192A"/>
    <w:rsid w:val="7369B77F"/>
    <w:rsid w:val="736F743D"/>
    <w:rsid w:val="73718C88"/>
    <w:rsid w:val="73735B1B"/>
    <w:rsid w:val="7373626C"/>
    <w:rsid w:val="73783DCC"/>
    <w:rsid w:val="7381E3D3"/>
    <w:rsid w:val="73823A9C"/>
    <w:rsid w:val="738647D7"/>
    <w:rsid w:val="73893F01"/>
    <w:rsid w:val="738B57B6"/>
    <w:rsid w:val="738F563E"/>
    <w:rsid w:val="73949A7C"/>
    <w:rsid w:val="739AD70D"/>
    <w:rsid w:val="739DD296"/>
    <w:rsid w:val="739DF46C"/>
    <w:rsid w:val="73A15D54"/>
    <w:rsid w:val="73B522F8"/>
    <w:rsid w:val="73B6FAF3"/>
    <w:rsid w:val="73B92052"/>
    <w:rsid w:val="73BA618B"/>
    <w:rsid w:val="73BB9281"/>
    <w:rsid w:val="73C5830F"/>
    <w:rsid w:val="73C59054"/>
    <w:rsid w:val="73C94352"/>
    <w:rsid w:val="73CAF339"/>
    <w:rsid w:val="73D6CC8F"/>
    <w:rsid w:val="73D7F39F"/>
    <w:rsid w:val="73D9A776"/>
    <w:rsid w:val="73DA8604"/>
    <w:rsid w:val="73DC2F73"/>
    <w:rsid w:val="73DDEE80"/>
    <w:rsid w:val="73E5DFE4"/>
    <w:rsid w:val="73EF2B12"/>
    <w:rsid w:val="73F2A5DD"/>
    <w:rsid w:val="73F5D92E"/>
    <w:rsid w:val="73F691BB"/>
    <w:rsid w:val="740063E5"/>
    <w:rsid w:val="7402A4E5"/>
    <w:rsid w:val="740723A0"/>
    <w:rsid w:val="74091F4E"/>
    <w:rsid w:val="740FE1A6"/>
    <w:rsid w:val="74145966"/>
    <w:rsid w:val="741E0C92"/>
    <w:rsid w:val="74257F6A"/>
    <w:rsid w:val="742A0218"/>
    <w:rsid w:val="742D2246"/>
    <w:rsid w:val="743A64D9"/>
    <w:rsid w:val="743D6E59"/>
    <w:rsid w:val="743FBE31"/>
    <w:rsid w:val="74419650"/>
    <w:rsid w:val="744AEC7D"/>
    <w:rsid w:val="744B19E7"/>
    <w:rsid w:val="745C5358"/>
    <w:rsid w:val="74666272"/>
    <w:rsid w:val="7467ECC1"/>
    <w:rsid w:val="74802127"/>
    <w:rsid w:val="74803A8B"/>
    <w:rsid w:val="748204E8"/>
    <w:rsid w:val="7482910A"/>
    <w:rsid w:val="748375A2"/>
    <w:rsid w:val="74888694"/>
    <w:rsid w:val="748A737E"/>
    <w:rsid w:val="749214CF"/>
    <w:rsid w:val="749471BD"/>
    <w:rsid w:val="74963626"/>
    <w:rsid w:val="74972F1D"/>
    <w:rsid w:val="749C3C8C"/>
    <w:rsid w:val="749E9619"/>
    <w:rsid w:val="74A514B4"/>
    <w:rsid w:val="74ADC770"/>
    <w:rsid w:val="74B039A6"/>
    <w:rsid w:val="74B229D6"/>
    <w:rsid w:val="74B23291"/>
    <w:rsid w:val="74B46025"/>
    <w:rsid w:val="74BA486C"/>
    <w:rsid w:val="74BCC585"/>
    <w:rsid w:val="74C2CB16"/>
    <w:rsid w:val="74CAA62F"/>
    <w:rsid w:val="74D1605C"/>
    <w:rsid w:val="74DE7A08"/>
    <w:rsid w:val="74E2D0DF"/>
    <w:rsid w:val="74E383B5"/>
    <w:rsid w:val="74EF56AF"/>
    <w:rsid w:val="74F11083"/>
    <w:rsid w:val="74FA2FC6"/>
    <w:rsid w:val="74FB8EC4"/>
    <w:rsid w:val="74FCDFCD"/>
    <w:rsid w:val="74FF4021"/>
    <w:rsid w:val="7500A816"/>
    <w:rsid w:val="7504FB67"/>
    <w:rsid w:val="7508E26E"/>
    <w:rsid w:val="750A0601"/>
    <w:rsid w:val="750CC6B3"/>
    <w:rsid w:val="750E5F94"/>
    <w:rsid w:val="7513989D"/>
    <w:rsid w:val="75163C06"/>
    <w:rsid w:val="7518A967"/>
    <w:rsid w:val="751D615D"/>
    <w:rsid w:val="7525BDB4"/>
    <w:rsid w:val="75290421"/>
    <w:rsid w:val="752C1AF0"/>
    <w:rsid w:val="752C9885"/>
    <w:rsid w:val="7530C51F"/>
    <w:rsid w:val="7534D9C9"/>
    <w:rsid w:val="753CE299"/>
    <w:rsid w:val="75460AAF"/>
    <w:rsid w:val="754E61EC"/>
    <w:rsid w:val="755AD7A6"/>
    <w:rsid w:val="755C9A7F"/>
    <w:rsid w:val="7562F9D1"/>
    <w:rsid w:val="7567082E"/>
    <w:rsid w:val="75689698"/>
    <w:rsid w:val="756F2BA9"/>
    <w:rsid w:val="757D4E50"/>
    <w:rsid w:val="757FDF8C"/>
    <w:rsid w:val="758633F8"/>
    <w:rsid w:val="758B6BD9"/>
    <w:rsid w:val="758F8641"/>
    <w:rsid w:val="7593B412"/>
    <w:rsid w:val="7595C332"/>
    <w:rsid w:val="759936CD"/>
    <w:rsid w:val="75A62531"/>
    <w:rsid w:val="75A7C0F4"/>
    <w:rsid w:val="75AABC73"/>
    <w:rsid w:val="75B68D61"/>
    <w:rsid w:val="75BE76C4"/>
    <w:rsid w:val="75C187BD"/>
    <w:rsid w:val="75C7A6AF"/>
    <w:rsid w:val="75D1E030"/>
    <w:rsid w:val="75DCACFE"/>
    <w:rsid w:val="75DD05EC"/>
    <w:rsid w:val="75E4B429"/>
    <w:rsid w:val="75E76BEB"/>
    <w:rsid w:val="75E9A883"/>
    <w:rsid w:val="75EC0044"/>
    <w:rsid w:val="75EDA239"/>
    <w:rsid w:val="75F57B45"/>
    <w:rsid w:val="75FC084B"/>
    <w:rsid w:val="760461BD"/>
    <w:rsid w:val="760B3CEA"/>
    <w:rsid w:val="7613C2BB"/>
    <w:rsid w:val="761814DE"/>
    <w:rsid w:val="76181DF1"/>
    <w:rsid w:val="761BE5AA"/>
    <w:rsid w:val="761FC555"/>
    <w:rsid w:val="762405BF"/>
    <w:rsid w:val="763268C0"/>
    <w:rsid w:val="76413E5C"/>
    <w:rsid w:val="764649A7"/>
    <w:rsid w:val="7647C7BE"/>
    <w:rsid w:val="764D2660"/>
    <w:rsid w:val="764DCD2A"/>
    <w:rsid w:val="7651AE4F"/>
    <w:rsid w:val="765A5750"/>
    <w:rsid w:val="765C2CAD"/>
    <w:rsid w:val="76609E3A"/>
    <w:rsid w:val="76637466"/>
    <w:rsid w:val="766483DF"/>
    <w:rsid w:val="7666EC40"/>
    <w:rsid w:val="766EFA33"/>
    <w:rsid w:val="76703DC7"/>
    <w:rsid w:val="7670514A"/>
    <w:rsid w:val="76761FF0"/>
    <w:rsid w:val="7688F0D8"/>
    <w:rsid w:val="769157FC"/>
    <w:rsid w:val="7693941E"/>
    <w:rsid w:val="76A01842"/>
    <w:rsid w:val="76A7CBAB"/>
    <w:rsid w:val="76A80E7F"/>
    <w:rsid w:val="76A93DB0"/>
    <w:rsid w:val="76AD26C2"/>
    <w:rsid w:val="76B97611"/>
    <w:rsid w:val="76BC22E3"/>
    <w:rsid w:val="76BF7948"/>
    <w:rsid w:val="76C41D98"/>
    <w:rsid w:val="76C90473"/>
    <w:rsid w:val="76C94A01"/>
    <w:rsid w:val="76CC8685"/>
    <w:rsid w:val="76D5B3DA"/>
    <w:rsid w:val="76E4A3DD"/>
    <w:rsid w:val="76E62403"/>
    <w:rsid w:val="76EF9B67"/>
    <w:rsid w:val="76F161F8"/>
    <w:rsid w:val="76F3676F"/>
    <w:rsid w:val="76F39157"/>
    <w:rsid w:val="76FE2606"/>
    <w:rsid w:val="76FE9926"/>
    <w:rsid w:val="76FEB176"/>
    <w:rsid w:val="77045880"/>
    <w:rsid w:val="770F7984"/>
    <w:rsid w:val="7712EC1C"/>
    <w:rsid w:val="77175E0E"/>
    <w:rsid w:val="7720145A"/>
    <w:rsid w:val="772671AC"/>
    <w:rsid w:val="77338286"/>
    <w:rsid w:val="7735950C"/>
    <w:rsid w:val="7736B183"/>
    <w:rsid w:val="77395D50"/>
    <w:rsid w:val="773A6390"/>
    <w:rsid w:val="773DB9E8"/>
    <w:rsid w:val="773EC4AF"/>
    <w:rsid w:val="773FFDD8"/>
    <w:rsid w:val="77439324"/>
    <w:rsid w:val="77456E15"/>
    <w:rsid w:val="774D68E6"/>
    <w:rsid w:val="77534829"/>
    <w:rsid w:val="77536242"/>
    <w:rsid w:val="7754E410"/>
    <w:rsid w:val="775589B1"/>
    <w:rsid w:val="77595453"/>
    <w:rsid w:val="775A2C11"/>
    <w:rsid w:val="775C9EAF"/>
    <w:rsid w:val="775E5F22"/>
    <w:rsid w:val="77660080"/>
    <w:rsid w:val="777275B1"/>
    <w:rsid w:val="7778CCD2"/>
    <w:rsid w:val="778154AF"/>
    <w:rsid w:val="7789A4BC"/>
    <w:rsid w:val="778E3F83"/>
    <w:rsid w:val="77999256"/>
    <w:rsid w:val="77A120BE"/>
    <w:rsid w:val="77A2D5E8"/>
    <w:rsid w:val="77A4D14F"/>
    <w:rsid w:val="77A68F31"/>
    <w:rsid w:val="77A6F17D"/>
    <w:rsid w:val="77A8585E"/>
    <w:rsid w:val="77AB3D2A"/>
    <w:rsid w:val="77ABA995"/>
    <w:rsid w:val="77B3F3C6"/>
    <w:rsid w:val="77B491F8"/>
    <w:rsid w:val="77B6EF3E"/>
    <w:rsid w:val="77B7A1CF"/>
    <w:rsid w:val="77B9A564"/>
    <w:rsid w:val="77B9CC74"/>
    <w:rsid w:val="77BA6BB8"/>
    <w:rsid w:val="77C1A8E7"/>
    <w:rsid w:val="77C1CF26"/>
    <w:rsid w:val="77C4CB11"/>
    <w:rsid w:val="77CEA5A0"/>
    <w:rsid w:val="77DF9ADC"/>
    <w:rsid w:val="77E56AF4"/>
    <w:rsid w:val="77F0F2FF"/>
    <w:rsid w:val="77F777CF"/>
    <w:rsid w:val="77F84D49"/>
    <w:rsid w:val="77FCBF92"/>
    <w:rsid w:val="780363EC"/>
    <w:rsid w:val="7805558E"/>
    <w:rsid w:val="78077009"/>
    <w:rsid w:val="780F2181"/>
    <w:rsid w:val="780F8660"/>
    <w:rsid w:val="781216A1"/>
    <w:rsid w:val="7818D3A2"/>
    <w:rsid w:val="7818D922"/>
    <w:rsid w:val="7818ED77"/>
    <w:rsid w:val="7819690D"/>
    <w:rsid w:val="781A03BB"/>
    <w:rsid w:val="781E0355"/>
    <w:rsid w:val="781EB042"/>
    <w:rsid w:val="782A1C8C"/>
    <w:rsid w:val="78351A7B"/>
    <w:rsid w:val="7838A34D"/>
    <w:rsid w:val="783C7CFA"/>
    <w:rsid w:val="783DDBB0"/>
    <w:rsid w:val="783E079D"/>
    <w:rsid w:val="78430561"/>
    <w:rsid w:val="78440727"/>
    <w:rsid w:val="784B245C"/>
    <w:rsid w:val="784DC94B"/>
    <w:rsid w:val="784FCBAA"/>
    <w:rsid w:val="785821C6"/>
    <w:rsid w:val="785B46B2"/>
    <w:rsid w:val="78674ED9"/>
    <w:rsid w:val="7869CCA8"/>
    <w:rsid w:val="786A2B1D"/>
    <w:rsid w:val="786F479E"/>
    <w:rsid w:val="787410D8"/>
    <w:rsid w:val="7878D739"/>
    <w:rsid w:val="787EFD7F"/>
    <w:rsid w:val="7880DA19"/>
    <w:rsid w:val="7884CA99"/>
    <w:rsid w:val="7885716A"/>
    <w:rsid w:val="788C0240"/>
    <w:rsid w:val="78901208"/>
    <w:rsid w:val="7894391F"/>
    <w:rsid w:val="78A3BAE2"/>
    <w:rsid w:val="78A98206"/>
    <w:rsid w:val="78AD55BD"/>
    <w:rsid w:val="78B306E2"/>
    <w:rsid w:val="78C84574"/>
    <w:rsid w:val="78CBD040"/>
    <w:rsid w:val="78CE87F2"/>
    <w:rsid w:val="78CEB30A"/>
    <w:rsid w:val="78D7EB25"/>
    <w:rsid w:val="78E3155F"/>
    <w:rsid w:val="78E3D138"/>
    <w:rsid w:val="78EAB67E"/>
    <w:rsid w:val="78EE8E2D"/>
    <w:rsid w:val="79030674"/>
    <w:rsid w:val="7907A2EC"/>
    <w:rsid w:val="7909F9AC"/>
    <w:rsid w:val="79112F89"/>
    <w:rsid w:val="791F01AD"/>
    <w:rsid w:val="791F3A0D"/>
    <w:rsid w:val="7922BB55"/>
    <w:rsid w:val="7927B577"/>
    <w:rsid w:val="793242A9"/>
    <w:rsid w:val="7932D685"/>
    <w:rsid w:val="7934609C"/>
    <w:rsid w:val="7935CF7C"/>
    <w:rsid w:val="793B21B1"/>
    <w:rsid w:val="793CB888"/>
    <w:rsid w:val="793CE82D"/>
    <w:rsid w:val="7947892C"/>
    <w:rsid w:val="79490C52"/>
    <w:rsid w:val="794A194C"/>
    <w:rsid w:val="794EC0FF"/>
    <w:rsid w:val="79525CB9"/>
    <w:rsid w:val="79526A14"/>
    <w:rsid w:val="79561668"/>
    <w:rsid w:val="7956168B"/>
    <w:rsid w:val="795E223D"/>
    <w:rsid w:val="79610746"/>
    <w:rsid w:val="79643044"/>
    <w:rsid w:val="7964B75D"/>
    <w:rsid w:val="796526C1"/>
    <w:rsid w:val="79669A43"/>
    <w:rsid w:val="7969C361"/>
    <w:rsid w:val="797704BD"/>
    <w:rsid w:val="7977C824"/>
    <w:rsid w:val="797919E0"/>
    <w:rsid w:val="79840747"/>
    <w:rsid w:val="7985717C"/>
    <w:rsid w:val="7985EAC5"/>
    <w:rsid w:val="7986A306"/>
    <w:rsid w:val="798B78B7"/>
    <w:rsid w:val="798B8856"/>
    <w:rsid w:val="798E66D4"/>
    <w:rsid w:val="7991C09A"/>
    <w:rsid w:val="799A3993"/>
    <w:rsid w:val="79A4DDC8"/>
    <w:rsid w:val="79A651A5"/>
    <w:rsid w:val="79AC416A"/>
    <w:rsid w:val="79AE38A5"/>
    <w:rsid w:val="79AFEE99"/>
    <w:rsid w:val="79B0001E"/>
    <w:rsid w:val="79B1917C"/>
    <w:rsid w:val="79B1D413"/>
    <w:rsid w:val="79BB8DF6"/>
    <w:rsid w:val="79BC7C77"/>
    <w:rsid w:val="79C1C568"/>
    <w:rsid w:val="79CAB2A8"/>
    <w:rsid w:val="79D4EE5B"/>
    <w:rsid w:val="79D69CCB"/>
    <w:rsid w:val="79E37BB5"/>
    <w:rsid w:val="79EB589E"/>
    <w:rsid w:val="79F1912B"/>
    <w:rsid w:val="79FEF62D"/>
    <w:rsid w:val="7A0A5482"/>
    <w:rsid w:val="7A0C03D7"/>
    <w:rsid w:val="7A103DDC"/>
    <w:rsid w:val="7A195C5D"/>
    <w:rsid w:val="7A1CF224"/>
    <w:rsid w:val="7A1F5E63"/>
    <w:rsid w:val="7A224AD3"/>
    <w:rsid w:val="7A237A59"/>
    <w:rsid w:val="7A282C03"/>
    <w:rsid w:val="7A2ECC77"/>
    <w:rsid w:val="7A3453B8"/>
    <w:rsid w:val="7A388855"/>
    <w:rsid w:val="7A39E0AA"/>
    <w:rsid w:val="7A3B408C"/>
    <w:rsid w:val="7A3EB4D8"/>
    <w:rsid w:val="7A4133B1"/>
    <w:rsid w:val="7A4E837B"/>
    <w:rsid w:val="7A536416"/>
    <w:rsid w:val="7A57DE42"/>
    <w:rsid w:val="7A59F853"/>
    <w:rsid w:val="7A5BF4F5"/>
    <w:rsid w:val="7A6EA2FF"/>
    <w:rsid w:val="7A70EB93"/>
    <w:rsid w:val="7A77E96B"/>
    <w:rsid w:val="7A79BD14"/>
    <w:rsid w:val="7A7BE1D4"/>
    <w:rsid w:val="7A7FD608"/>
    <w:rsid w:val="7A8769B8"/>
    <w:rsid w:val="7A8878ED"/>
    <w:rsid w:val="7A8C59A1"/>
    <w:rsid w:val="7A933AAA"/>
    <w:rsid w:val="7A95977D"/>
    <w:rsid w:val="7A9A360C"/>
    <w:rsid w:val="7A9E37A5"/>
    <w:rsid w:val="7AA0B18A"/>
    <w:rsid w:val="7AA35931"/>
    <w:rsid w:val="7AA9A502"/>
    <w:rsid w:val="7AAFDB08"/>
    <w:rsid w:val="7AB04CCE"/>
    <w:rsid w:val="7AB408AF"/>
    <w:rsid w:val="7ABE242C"/>
    <w:rsid w:val="7ABE8308"/>
    <w:rsid w:val="7AC05ABB"/>
    <w:rsid w:val="7AC38FD6"/>
    <w:rsid w:val="7AD2E3BD"/>
    <w:rsid w:val="7AD4A418"/>
    <w:rsid w:val="7AD5B211"/>
    <w:rsid w:val="7ADC3C4F"/>
    <w:rsid w:val="7AE5BE31"/>
    <w:rsid w:val="7AE9AB8C"/>
    <w:rsid w:val="7AEDB1D4"/>
    <w:rsid w:val="7AF8F41B"/>
    <w:rsid w:val="7B003699"/>
    <w:rsid w:val="7B134258"/>
    <w:rsid w:val="7B1B1537"/>
    <w:rsid w:val="7B1C1CFA"/>
    <w:rsid w:val="7B234EAB"/>
    <w:rsid w:val="7B242A4A"/>
    <w:rsid w:val="7B25A046"/>
    <w:rsid w:val="7B2E3F55"/>
    <w:rsid w:val="7B392B1B"/>
    <w:rsid w:val="7B3CEA39"/>
    <w:rsid w:val="7B462EA3"/>
    <w:rsid w:val="7B467171"/>
    <w:rsid w:val="7B4D851D"/>
    <w:rsid w:val="7B4DDBC5"/>
    <w:rsid w:val="7B5DB5D6"/>
    <w:rsid w:val="7B5EFD6C"/>
    <w:rsid w:val="7B696679"/>
    <w:rsid w:val="7B69AB28"/>
    <w:rsid w:val="7B6A826D"/>
    <w:rsid w:val="7B6A8F68"/>
    <w:rsid w:val="7B6E65CF"/>
    <w:rsid w:val="7B76E823"/>
    <w:rsid w:val="7B7B1DD7"/>
    <w:rsid w:val="7B82D9B8"/>
    <w:rsid w:val="7B82E8A0"/>
    <w:rsid w:val="7B86505E"/>
    <w:rsid w:val="7B8E7617"/>
    <w:rsid w:val="7B92F4AE"/>
    <w:rsid w:val="7B93161D"/>
    <w:rsid w:val="7B94C98A"/>
    <w:rsid w:val="7B99A9AA"/>
    <w:rsid w:val="7B9B29EC"/>
    <w:rsid w:val="7B9D93D5"/>
    <w:rsid w:val="7B9E4BE1"/>
    <w:rsid w:val="7BA275D9"/>
    <w:rsid w:val="7BA540C4"/>
    <w:rsid w:val="7BA8A704"/>
    <w:rsid w:val="7BA8E8EB"/>
    <w:rsid w:val="7BAF9A6E"/>
    <w:rsid w:val="7BB0EF42"/>
    <w:rsid w:val="7BB71179"/>
    <w:rsid w:val="7BB98324"/>
    <w:rsid w:val="7BBD82D7"/>
    <w:rsid w:val="7BC20D79"/>
    <w:rsid w:val="7BC26BB7"/>
    <w:rsid w:val="7BCB831E"/>
    <w:rsid w:val="7BCBDD01"/>
    <w:rsid w:val="7BCFAAED"/>
    <w:rsid w:val="7BDE6095"/>
    <w:rsid w:val="7BE24C49"/>
    <w:rsid w:val="7BECCDB8"/>
    <w:rsid w:val="7C039C31"/>
    <w:rsid w:val="7C05BEF4"/>
    <w:rsid w:val="7C05CF68"/>
    <w:rsid w:val="7C09B472"/>
    <w:rsid w:val="7C10FA58"/>
    <w:rsid w:val="7C11CC78"/>
    <w:rsid w:val="7C13E3E8"/>
    <w:rsid w:val="7C1526C4"/>
    <w:rsid w:val="7C1F18F1"/>
    <w:rsid w:val="7C1F5600"/>
    <w:rsid w:val="7C2430EE"/>
    <w:rsid w:val="7C29FA20"/>
    <w:rsid w:val="7C2DB291"/>
    <w:rsid w:val="7C2E03AA"/>
    <w:rsid w:val="7C2FD9E2"/>
    <w:rsid w:val="7C3573A6"/>
    <w:rsid w:val="7C358623"/>
    <w:rsid w:val="7C3ADD49"/>
    <w:rsid w:val="7C436A93"/>
    <w:rsid w:val="7C54BEBF"/>
    <w:rsid w:val="7C56284A"/>
    <w:rsid w:val="7C598127"/>
    <w:rsid w:val="7C5B7ABA"/>
    <w:rsid w:val="7C74CBB6"/>
    <w:rsid w:val="7C77C9F0"/>
    <w:rsid w:val="7C7C6509"/>
    <w:rsid w:val="7C85C037"/>
    <w:rsid w:val="7C88E60C"/>
    <w:rsid w:val="7C8EB053"/>
    <w:rsid w:val="7C93ED62"/>
    <w:rsid w:val="7C9462F3"/>
    <w:rsid w:val="7C9D00AE"/>
    <w:rsid w:val="7C9DAA1A"/>
    <w:rsid w:val="7C9E6F98"/>
    <w:rsid w:val="7CACACEC"/>
    <w:rsid w:val="7CACB5E4"/>
    <w:rsid w:val="7CB48A2D"/>
    <w:rsid w:val="7CB681ED"/>
    <w:rsid w:val="7CC5B78D"/>
    <w:rsid w:val="7CCAEC17"/>
    <w:rsid w:val="7CCD1177"/>
    <w:rsid w:val="7CD1B1A4"/>
    <w:rsid w:val="7CD553EF"/>
    <w:rsid w:val="7CD6A2D0"/>
    <w:rsid w:val="7CD6F12E"/>
    <w:rsid w:val="7CDA26E4"/>
    <w:rsid w:val="7CDB37B0"/>
    <w:rsid w:val="7CE90FAC"/>
    <w:rsid w:val="7CED49C9"/>
    <w:rsid w:val="7CF0183F"/>
    <w:rsid w:val="7CF2FBE7"/>
    <w:rsid w:val="7CF30CD4"/>
    <w:rsid w:val="7CF6E998"/>
    <w:rsid w:val="7CFA1DAF"/>
    <w:rsid w:val="7CFBB57A"/>
    <w:rsid w:val="7CFBDC64"/>
    <w:rsid w:val="7CFD258F"/>
    <w:rsid w:val="7D018D71"/>
    <w:rsid w:val="7D0878DE"/>
    <w:rsid w:val="7D0BA00C"/>
    <w:rsid w:val="7D151BFD"/>
    <w:rsid w:val="7D176621"/>
    <w:rsid w:val="7D1D84D3"/>
    <w:rsid w:val="7D21EE56"/>
    <w:rsid w:val="7D285496"/>
    <w:rsid w:val="7D2A97F1"/>
    <w:rsid w:val="7D392C65"/>
    <w:rsid w:val="7D50E4CC"/>
    <w:rsid w:val="7D543E0F"/>
    <w:rsid w:val="7D563671"/>
    <w:rsid w:val="7D59CD85"/>
    <w:rsid w:val="7D5E7A9A"/>
    <w:rsid w:val="7D62DDBD"/>
    <w:rsid w:val="7D652D4C"/>
    <w:rsid w:val="7D66056E"/>
    <w:rsid w:val="7D6C9D93"/>
    <w:rsid w:val="7D754C42"/>
    <w:rsid w:val="7D7A579F"/>
    <w:rsid w:val="7D7ACEAD"/>
    <w:rsid w:val="7D80E653"/>
    <w:rsid w:val="7D8149E3"/>
    <w:rsid w:val="7D92C329"/>
    <w:rsid w:val="7D9324F7"/>
    <w:rsid w:val="7D94EA8A"/>
    <w:rsid w:val="7D96768B"/>
    <w:rsid w:val="7D9E9326"/>
    <w:rsid w:val="7DA58688"/>
    <w:rsid w:val="7DAF3780"/>
    <w:rsid w:val="7DAF71B5"/>
    <w:rsid w:val="7DB46BC7"/>
    <w:rsid w:val="7DB931B2"/>
    <w:rsid w:val="7DBA13DE"/>
    <w:rsid w:val="7DC0E6F1"/>
    <w:rsid w:val="7DC4A2A0"/>
    <w:rsid w:val="7DC4F87D"/>
    <w:rsid w:val="7DC6CB5B"/>
    <w:rsid w:val="7DCB0CEA"/>
    <w:rsid w:val="7DD46D0F"/>
    <w:rsid w:val="7DD50A62"/>
    <w:rsid w:val="7DD61128"/>
    <w:rsid w:val="7DD6E885"/>
    <w:rsid w:val="7DDC5E39"/>
    <w:rsid w:val="7DE32592"/>
    <w:rsid w:val="7DE513AA"/>
    <w:rsid w:val="7DEDC30E"/>
    <w:rsid w:val="7DF1662B"/>
    <w:rsid w:val="7DF54DA3"/>
    <w:rsid w:val="7DF5B637"/>
    <w:rsid w:val="7DF70F13"/>
    <w:rsid w:val="7DF810E7"/>
    <w:rsid w:val="7DF8F891"/>
    <w:rsid w:val="7DFA9CD6"/>
    <w:rsid w:val="7DFB506B"/>
    <w:rsid w:val="7E08C6FA"/>
    <w:rsid w:val="7E09BBA6"/>
    <w:rsid w:val="7E1A576C"/>
    <w:rsid w:val="7E1BA353"/>
    <w:rsid w:val="7E20E827"/>
    <w:rsid w:val="7E2CF2EF"/>
    <w:rsid w:val="7E2E3A60"/>
    <w:rsid w:val="7E3CD8E0"/>
    <w:rsid w:val="7E418D08"/>
    <w:rsid w:val="7E43B593"/>
    <w:rsid w:val="7E478272"/>
    <w:rsid w:val="7E4E2756"/>
    <w:rsid w:val="7E501797"/>
    <w:rsid w:val="7E5D4AAE"/>
    <w:rsid w:val="7E60BA6F"/>
    <w:rsid w:val="7E65F05D"/>
    <w:rsid w:val="7E7BD60F"/>
    <w:rsid w:val="7E7C9D47"/>
    <w:rsid w:val="7E838D3B"/>
    <w:rsid w:val="7E8D4C83"/>
    <w:rsid w:val="7E92B82C"/>
    <w:rsid w:val="7E96A789"/>
    <w:rsid w:val="7E99FDAD"/>
    <w:rsid w:val="7EB43426"/>
    <w:rsid w:val="7EB8E9CF"/>
    <w:rsid w:val="7EB92D73"/>
    <w:rsid w:val="7EBA4E44"/>
    <w:rsid w:val="7EBB33F9"/>
    <w:rsid w:val="7EBBC3BD"/>
    <w:rsid w:val="7EC3650F"/>
    <w:rsid w:val="7EC68A30"/>
    <w:rsid w:val="7EC7F638"/>
    <w:rsid w:val="7EC83E27"/>
    <w:rsid w:val="7ECB555B"/>
    <w:rsid w:val="7ED14CE1"/>
    <w:rsid w:val="7ED44800"/>
    <w:rsid w:val="7ED51F57"/>
    <w:rsid w:val="7ED5ABE5"/>
    <w:rsid w:val="7ED67D21"/>
    <w:rsid w:val="7ED8788A"/>
    <w:rsid w:val="7EDCE370"/>
    <w:rsid w:val="7EE32EC1"/>
    <w:rsid w:val="7EE781A6"/>
    <w:rsid w:val="7EE7F6F6"/>
    <w:rsid w:val="7EE8FB70"/>
    <w:rsid w:val="7EE9DA40"/>
    <w:rsid w:val="7EEDD694"/>
    <w:rsid w:val="7EF25A90"/>
    <w:rsid w:val="7EF4D6D2"/>
    <w:rsid w:val="7EFF1EC8"/>
    <w:rsid w:val="7F09573D"/>
    <w:rsid w:val="7F0B60DA"/>
    <w:rsid w:val="7F0B7813"/>
    <w:rsid w:val="7F0E876D"/>
    <w:rsid w:val="7F0FEDE5"/>
    <w:rsid w:val="7F158743"/>
    <w:rsid w:val="7F1AB88A"/>
    <w:rsid w:val="7F1E5AC8"/>
    <w:rsid w:val="7F24EDAF"/>
    <w:rsid w:val="7F26938E"/>
    <w:rsid w:val="7F2836BB"/>
    <w:rsid w:val="7F2B0529"/>
    <w:rsid w:val="7F35B675"/>
    <w:rsid w:val="7F37BBF2"/>
    <w:rsid w:val="7F3A0931"/>
    <w:rsid w:val="7F3F1A87"/>
    <w:rsid w:val="7F43CFF2"/>
    <w:rsid w:val="7F4BF2A7"/>
    <w:rsid w:val="7F4D897B"/>
    <w:rsid w:val="7F52E937"/>
    <w:rsid w:val="7F578D33"/>
    <w:rsid w:val="7F585811"/>
    <w:rsid w:val="7F690F8E"/>
    <w:rsid w:val="7F7841A4"/>
    <w:rsid w:val="7F795E42"/>
    <w:rsid w:val="7F7C71BC"/>
    <w:rsid w:val="7F7DFDD0"/>
    <w:rsid w:val="7F8074B4"/>
    <w:rsid w:val="7F88260B"/>
    <w:rsid w:val="7F89CDBE"/>
    <w:rsid w:val="7F978491"/>
    <w:rsid w:val="7F9AC5FC"/>
    <w:rsid w:val="7FA7AC24"/>
    <w:rsid w:val="7FAED8C6"/>
    <w:rsid w:val="7FB09A5D"/>
    <w:rsid w:val="7FB34CDE"/>
    <w:rsid w:val="7FB45691"/>
    <w:rsid w:val="7FB5F739"/>
    <w:rsid w:val="7FD4AB7B"/>
    <w:rsid w:val="7FD5C342"/>
    <w:rsid w:val="7FE738A7"/>
    <w:rsid w:val="7FED1D2C"/>
    <w:rsid w:val="7FED5451"/>
    <w:rsid w:val="7FEDF1C6"/>
    <w:rsid w:val="7FFD7013"/>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1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qFormat="1"/>
    <w:lsdException w:name="heading 4" w:uiPriority="0" w:qFormat="1"/>
    <w:lsdException w:name="heading 5" w:semiHidden="1" w:uiPriority="0"/>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iPriority="10" w:unhideWhenUsed="1"/>
    <w:lsdException w:name="footer"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5A"/>
    <w:pPr>
      <w:spacing w:after="170"/>
    </w:pPr>
    <w:rPr>
      <w:lang w:val="en-AU"/>
    </w:rPr>
  </w:style>
  <w:style w:type="paragraph" w:styleId="Heading1">
    <w:name w:val="heading 1"/>
    <w:basedOn w:val="Normal"/>
    <w:next w:val="Normal"/>
    <w:link w:val="Heading1Char"/>
    <w:uiPriority w:val="1"/>
    <w:qFormat/>
    <w:rsid w:val="00C666FE"/>
    <w:pPr>
      <w:keepNext/>
      <w:keepLines/>
      <w:pageBreakBefore/>
      <w:numPr>
        <w:numId w:val="80"/>
      </w:numPr>
      <w:spacing w:after="480" w:line="720" w:lineRule="atLeast"/>
      <w:contextualSpacing/>
      <w:outlineLvl w:val="0"/>
    </w:pPr>
    <w:rPr>
      <w:rFonts w:eastAsiaTheme="majorEastAsia" w:cstheme="majorBidi"/>
      <w:bCs/>
      <w:sz w:val="60"/>
      <w:szCs w:val="28"/>
    </w:rPr>
  </w:style>
  <w:style w:type="paragraph" w:styleId="Heading2">
    <w:name w:val="heading 2"/>
    <w:basedOn w:val="Normal"/>
    <w:next w:val="Normal"/>
    <w:link w:val="Heading2Char"/>
    <w:uiPriority w:val="1"/>
    <w:qFormat/>
    <w:rsid w:val="00411FCC"/>
    <w:pPr>
      <w:keepNext/>
      <w:keepLines/>
      <w:numPr>
        <w:ilvl w:val="1"/>
        <w:numId w:val="80"/>
      </w:numPr>
      <w:spacing w:before="240" w:after="0" w:line="280" w:lineRule="atLeast"/>
      <w:outlineLvl w:val="1"/>
    </w:pPr>
    <w:rPr>
      <w:rFonts w:eastAsiaTheme="majorEastAsia" w:cstheme="majorBidi"/>
      <w:b/>
      <w:bCs/>
      <w:color w:val="007CB0"/>
      <w:sz w:val="22"/>
      <w:szCs w:val="26"/>
    </w:rPr>
  </w:style>
  <w:style w:type="paragraph" w:styleId="Heading3">
    <w:name w:val="heading 3"/>
    <w:basedOn w:val="Normal"/>
    <w:next w:val="Normal"/>
    <w:link w:val="Heading3Char"/>
    <w:uiPriority w:val="1"/>
    <w:qFormat/>
    <w:rsid w:val="002B2382"/>
    <w:pPr>
      <w:keepNext/>
      <w:keepLines/>
      <w:numPr>
        <w:ilvl w:val="2"/>
        <w:numId w:val="80"/>
      </w:numPr>
      <w:spacing w:after="0"/>
      <w:outlineLvl w:val="2"/>
    </w:pPr>
    <w:rPr>
      <w:rFonts w:eastAsiaTheme="majorEastAsia" w:cstheme="majorBidi"/>
      <w:b/>
      <w:bCs/>
    </w:rPr>
  </w:style>
  <w:style w:type="paragraph" w:styleId="Heading4">
    <w:name w:val="heading 4"/>
    <w:basedOn w:val="Normal"/>
    <w:next w:val="Normal"/>
    <w:link w:val="Heading4Char"/>
    <w:uiPriority w:val="1"/>
    <w:qFormat/>
    <w:rsid w:val="0017325E"/>
    <w:pPr>
      <w:keepNext/>
      <w:keepLines/>
      <w:numPr>
        <w:ilvl w:val="3"/>
        <w:numId w:val="80"/>
      </w:numPr>
      <w:tabs>
        <w:tab w:val="left" w:pos="340"/>
      </w:tabs>
      <w:spacing w:after="0"/>
      <w:outlineLvl w:val="3"/>
    </w:pPr>
    <w:rPr>
      <w:rFonts w:eastAsiaTheme="majorEastAsia" w:cstheme="majorBidi"/>
      <w:b/>
      <w:bCs/>
      <w:iCs/>
      <w:color w:val="57595C" w:themeColor="accent6" w:themeShade="BF"/>
    </w:rPr>
  </w:style>
  <w:style w:type="paragraph" w:styleId="Heading5">
    <w:name w:val="heading 5"/>
    <w:basedOn w:val="Normal"/>
    <w:next w:val="Normal"/>
    <w:link w:val="Heading5Char"/>
    <w:uiPriority w:val="1"/>
    <w:rsid w:val="002B2382"/>
    <w:pPr>
      <w:keepNext/>
      <w:keepLines/>
      <w:numPr>
        <w:ilvl w:val="4"/>
        <w:numId w:val="80"/>
      </w:numPr>
      <w:spacing w:after="0"/>
      <w:outlineLvl w:val="4"/>
    </w:pPr>
    <w:rPr>
      <w:rFonts w:eastAsiaTheme="majorEastAsia" w:cstheme="majorBidi"/>
      <w:b/>
    </w:rPr>
  </w:style>
  <w:style w:type="paragraph" w:styleId="Heading6">
    <w:name w:val="heading 6"/>
    <w:basedOn w:val="Normal"/>
    <w:next w:val="Normal"/>
    <w:link w:val="Heading6Char"/>
    <w:uiPriority w:val="1"/>
    <w:semiHidden/>
    <w:qFormat/>
    <w:rsid w:val="002B2382"/>
    <w:pPr>
      <w:keepNext/>
      <w:keepLines/>
      <w:numPr>
        <w:ilvl w:val="5"/>
        <w:numId w:val="80"/>
      </w:numPr>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2D6A5A"/>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2D6A5A"/>
    <w:pPr>
      <w:keepNext/>
      <w:keepLines/>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2D6A5A"/>
    <w:pPr>
      <w:keepNext/>
      <w:keepLines/>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6A5A"/>
    <w:rPr>
      <w:rFonts w:eastAsiaTheme="majorEastAsia" w:cstheme="majorBidi"/>
      <w:bCs/>
      <w:sz w:val="60"/>
      <w:szCs w:val="28"/>
      <w:lang w:val="en-AU"/>
    </w:rPr>
  </w:style>
  <w:style w:type="character" w:customStyle="1" w:styleId="Heading2Char">
    <w:name w:val="Heading 2 Char"/>
    <w:basedOn w:val="DefaultParagraphFont"/>
    <w:link w:val="Heading2"/>
    <w:uiPriority w:val="1"/>
    <w:rsid w:val="00411FCC"/>
    <w:rPr>
      <w:rFonts w:eastAsiaTheme="majorEastAsia" w:cstheme="majorBidi"/>
      <w:b/>
      <w:bCs/>
      <w:color w:val="007CB0"/>
      <w:sz w:val="22"/>
      <w:szCs w:val="26"/>
      <w:lang w:val="en-AU"/>
    </w:rPr>
  </w:style>
  <w:style w:type="table" w:styleId="TableGrid">
    <w:name w:val="Table Grid"/>
    <w:basedOn w:val="TableNormal"/>
    <w:uiPriority w:val="39"/>
    <w:rsid w:val="002D6A5A"/>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10"/>
    <w:rsid w:val="002D6A5A"/>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rsid w:val="002D6A5A"/>
    <w:rPr>
      <w:sz w:val="14"/>
      <w:lang w:val="en-AU"/>
    </w:rPr>
  </w:style>
  <w:style w:type="paragraph" w:styleId="Footer">
    <w:name w:val="footer"/>
    <w:basedOn w:val="Normal"/>
    <w:link w:val="FooterChar"/>
    <w:uiPriority w:val="99"/>
    <w:qFormat/>
    <w:rsid w:val="002D6A5A"/>
    <w:pPr>
      <w:tabs>
        <w:tab w:val="right" w:pos="7371"/>
      </w:tabs>
      <w:spacing w:after="0" w:line="200" w:lineRule="atLeast"/>
    </w:pPr>
    <w:rPr>
      <w:sz w:val="16"/>
    </w:rPr>
  </w:style>
  <w:style w:type="character" w:customStyle="1" w:styleId="FooterChar">
    <w:name w:val="Footer Char"/>
    <w:basedOn w:val="DefaultParagraphFont"/>
    <w:link w:val="Footer"/>
    <w:uiPriority w:val="99"/>
    <w:rsid w:val="002D6A5A"/>
    <w:rPr>
      <w:sz w:val="16"/>
      <w:lang w:val="en-AU"/>
    </w:rPr>
  </w:style>
  <w:style w:type="paragraph" w:styleId="BalloonText">
    <w:name w:val="Balloon Text"/>
    <w:basedOn w:val="Normal"/>
    <w:link w:val="BalloonTextChar"/>
    <w:uiPriority w:val="99"/>
    <w:semiHidden/>
    <w:rsid w:val="002D6A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A5A"/>
    <w:rPr>
      <w:rFonts w:ascii="Tahoma" w:hAnsi="Tahoma" w:cs="Tahoma"/>
      <w:sz w:val="16"/>
      <w:szCs w:val="16"/>
      <w:lang w:val="en-AU"/>
    </w:rPr>
  </w:style>
  <w:style w:type="paragraph" w:customStyle="1" w:styleId="Subject">
    <w:name w:val="Subject"/>
    <w:basedOn w:val="Normal"/>
    <w:uiPriority w:val="6"/>
    <w:semiHidden/>
    <w:qFormat/>
    <w:rsid w:val="002D6A5A"/>
    <w:pPr>
      <w:spacing w:after="0"/>
    </w:pPr>
    <w:rPr>
      <w:b/>
    </w:rPr>
  </w:style>
  <w:style w:type="character" w:styleId="PlaceholderText">
    <w:name w:val="Placeholder Text"/>
    <w:basedOn w:val="DefaultParagraphFont"/>
    <w:uiPriority w:val="10"/>
    <w:semiHidden/>
    <w:rsid w:val="002D6A5A"/>
    <w:rPr>
      <w:color w:val="808080"/>
      <w:lang w:val="en-AU"/>
    </w:rPr>
  </w:style>
  <w:style w:type="paragraph" w:styleId="ListBullet">
    <w:name w:val="List Bullet"/>
    <w:basedOn w:val="Normal"/>
    <w:uiPriority w:val="3"/>
    <w:qFormat/>
    <w:rsid w:val="002B2382"/>
    <w:pPr>
      <w:numPr>
        <w:numId w:val="2"/>
      </w:numPr>
      <w:spacing w:after="0"/>
      <w:contextualSpacing/>
    </w:pPr>
    <w:rPr>
      <w:szCs w:val="17"/>
    </w:rPr>
  </w:style>
  <w:style w:type="paragraph" w:styleId="ListBullet2">
    <w:name w:val="List Bullet 2"/>
    <w:basedOn w:val="Normal"/>
    <w:uiPriority w:val="3"/>
    <w:rsid w:val="002B2382"/>
    <w:pPr>
      <w:numPr>
        <w:numId w:val="44"/>
      </w:numPr>
      <w:spacing w:after="0"/>
      <w:contextualSpacing/>
    </w:pPr>
    <w:rPr>
      <w:szCs w:val="17"/>
    </w:rPr>
  </w:style>
  <w:style w:type="paragraph" w:styleId="ListNumber">
    <w:name w:val="List Number"/>
    <w:basedOn w:val="Normal"/>
    <w:uiPriority w:val="3"/>
    <w:qFormat/>
    <w:rsid w:val="002B2382"/>
    <w:pPr>
      <w:numPr>
        <w:numId w:val="58"/>
      </w:numPr>
      <w:spacing w:after="0"/>
      <w:contextualSpacing/>
    </w:pPr>
    <w:rPr>
      <w:szCs w:val="17"/>
    </w:rPr>
  </w:style>
  <w:style w:type="paragraph" w:styleId="ListNumber2">
    <w:name w:val="List Number 2"/>
    <w:basedOn w:val="Normal"/>
    <w:uiPriority w:val="3"/>
    <w:qFormat/>
    <w:rsid w:val="002D6A5A"/>
    <w:pPr>
      <w:spacing w:after="0"/>
      <w:contextualSpacing/>
    </w:pPr>
  </w:style>
  <w:style w:type="character" w:customStyle="1" w:styleId="Heading3Char">
    <w:name w:val="Heading 3 Char"/>
    <w:basedOn w:val="DefaultParagraphFont"/>
    <w:link w:val="Heading3"/>
    <w:uiPriority w:val="1"/>
    <w:rsid w:val="002D6A5A"/>
    <w:rPr>
      <w:rFonts w:eastAsiaTheme="majorEastAsia" w:cstheme="majorBidi"/>
      <w:b/>
      <w:bCs/>
      <w:lang w:val="en-AU"/>
    </w:rPr>
  </w:style>
  <w:style w:type="character" w:customStyle="1" w:styleId="Heading4Char">
    <w:name w:val="Heading 4 Char"/>
    <w:basedOn w:val="DefaultParagraphFont"/>
    <w:link w:val="Heading4"/>
    <w:uiPriority w:val="1"/>
    <w:rsid w:val="0017325E"/>
    <w:rPr>
      <w:rFonts w:eastAsiaTheme="majorEastAsia" w:cstheme="majorBidi"/>
      <w:b/>
      <w:bCs/>
      <w:iCs/>
      <w:color w:val="57595C" w:themeColor="accent6" w:themeShade="BF"/>
      <w:lang w:val="en-AU"/>
    </w:rPr>
  </w:style>
  <w:style w:type="paragraph" w:styleId="FootnoteText">
    <w:name w:val="footnote text"/>
    <w:aliases w:val="fn,FT,ft,SD Footnote Text,Footnote Text AG,Footnote Text Char1 Char,Footnote Text Char Char1 Char,Footnote Text Char Char Char Char Char1,Footnote Text Char Char Char,Footnote Text Char Char Char Char"/>
    <w:basedOn w:val="Normal"/>
    <w:link w:val="FootnoteTextChar"/>
    <w:uiPriority w:val="99"/>
    <w:qFormat/>
    <w:rsid w:val="002D6A5A"/>
    <w:pPr>
      <w:spacing w:after="0" w:line="240" w:lineRule="auto"/>
    </w:pPr>
    <w:rPr>
      <w:sz w:val="16"/>
      <w:szCs w:val="20"/>
    </w:rPr>
  </w:style>
  <w:style w:type="character" w:customStyle="1" w:styleId="FootnoteTextChar">
    <w:name w:val="Footnote Text Char"/>
    <w:aliases w:val="fn Char,FT Char,ft Char,SD Footnote Text Char,Footnote Text AG Char,Footnote Text Char1 Char Char,Footnote Text Char Char1 Char Char,Footnote Text Char Char Char Char Char1 Char,Footnote Text Char Char Char Char1"/>
    <w:basedOn w:val="DefaultParagraphFont"/>
    <w:link w:val="FootnoteText"/>
    <w:uiPriority w:val="99"/>
    <w:rsid w:val="002D6A5A"/>
    <w:rPr>
      <w:sz w:val="16"/>
      <w:szCs w:val="20"/>
      <w:lang w:val="en-AU"/>
    </w:rPr>
  </w:style>
  <w:style w:type="paragraph" w:customStyle="1" w:styleId="Documenttitle">
    <w:name w:val="Document title"/>
    <w:next w:val="Documentsubtitle"/>
    <w:uiPriority w:val="7"/>
    <w:rsid w:val="002D6A5A"/>
    <w:pPr>
      <w:spacing w:line="440" w:lineRule="atLeast"/>
    </w:pPr>
    <w:rPr>
      <w:rFonts w:eastAsiaTheme="majorEastAsia" w:cstheme="majorBidi"/>
      <w:b/>
      <w:bCs/>
      <w:color w:val="000000"/>
      <w:sz w:val="32"/>
      <w:szCs w:val="28"/>
      <w:lang w:val="en-AU"/>
    </w:rPr>
  </w:style>
  <w:style w:type="paragraph" w:customStyle="1" w:styleId="Subheading">
    <w:name w:val="Subheading"/>
    <w:basedOn w:val="Normal"/>
    <w:next w:val="Normal"/>
    <w:uiPriority w:val="6"/>
    <w:semiHidden/>
    <w:qFormat/>
    <w:rsid w:val="002D6A5A"/>
    <w:pPr>
      <w:spacing w:after="0"/>
    </w:pPr>
    <w:rPr>
      <w:rFonts w:eastAsiaTheme="majorEastAsia" w:cstheme="majorBidi"/>
      <w:b/>
      <w:bCs/>
      <w:iCs/>
      <w:color w:val="000000" w:themeColor="text1"/>
    </w:rPr>
  </w:style>
  <w:style w:type="character" w:styleId="FootnoteReference">
    <w:name w:val="footnote reference"/>
    <w:aliases w:val="fr,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qFormat/>
    <w:rsid w:val="002D6A5A"/>
    <w:rPr>
      <w:vertAlign w:val="superscript"/>
      <w:lang w:val="en-AU"/>
    </w:rPr>
  </w:style>
  <w:style w:type="paragraph" w:customStyle="1" w:styleId="Sectionintro">
    <w:name w:val="Section intro"/>
    <w:basedOn w:val="Normal"/>
    <w:next w:val="Normal"/>
    <w:uiPriority w:val="2"/>
    <w:qFormat/>
    <w:rsid w:val="002D6A5A"/>
    <w:pPr>
      <w:spacing w:after="360" w:line="360" w:lineRule="atLeast"/>
      <w:contextualSpacing/>
    </w:pPr>
    <w:rPr>
      <w:sz w:val="28"/>
    </w:rPr>
  </w:style>
  <w:style w:type="paragraph" w:customStyle="1" w:styleId="Documentdate">
    <w:name w:val="Document date"/>
    <w:uiPriority w:val="7"/>
    <w:rsid w:val="002D6A5A"/>
    <w:rPr>
      <w:color w:val="000000"/>
      <w:lang w:val="en-AU"/>
    </w:rPr>
  </w:style>
  <w:style w:type="paragraph" w:customStyle="1" w:styleId="Heading1un-numbered">
    <w:name w:val="Heading 1 (un-numbered)"/>
    <w:basedOn w:val="Normal"/>
    <w:next w:val="Normal"/>
    <w:uiPriority w:val="2"/>
    <w:qFormat/>
    <w:rsid w:val="002D6A5A"/>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2D6A5A"/>
    <w:pPr>
      <w:spacing w:after="0" w:line="360" w:lineRule="atLeast"/>
    </w:pPr>
    <w:rPr>
      <w:color w:val="62B5E5" w:themeColor="accent3"/>
      <w:sz w:val="28"/>
    </w:rPr>
  </w:style>
  <w:style w:type="paragraph" w:customStyle="1" w:styleId="Contacttext">
    <w:name w:val="Contact text"/>
    <w:basedOn w:val="Normal"/>
    <w:uiPriority w:val="7"/>
    <w:semiHidden/>
    <w:rsid w:val="002D6A5A"/>
    <w:pPr>
      <w:spacing w:after="0"/>
    </w:pPr>
  </w:style>
  <w:style w:type="paragraph" w:customStyle="1" w:styleId="Contactus">
    <w:name w:val="Contact us"/>
    <w:basedOn w:val="Contacttext"/>
    <w:next w:val="Contacttext"/>
    <w:uiPriority w:val="7"/>
    <w:semiHidden/>
    <w:rsid w:val="002D6A5A"/>
    <w:pPr>
      <w:spacing w:after="240" w:line="340" w:lineRule="atLeast"/>
    </w:pPr>
    <w:rPr>
      <w:sz w:val="28"/>
    </w:rPr>
  </w:style>
  <w:style w:type="paragraph" w:styleId="Caption">
    <w:name w:val="caption"/>
    <w:basedOn w:val="Normal"/>
    <w:next w:val="Normal"/>
    <w:uiPriority w:val="3"/>
    <w:qFormat/>
    <w:rsid w:val="002D6A5A"/>
    <w:pPr>
      <w:keepNext/>
      <w:keepLines/>
      <w:spacing w:before="240" w:after="240"/>
    </w:pPr>
    <w:rPr>
      <w:iCs/>
      <w:color w:val="75787B" w:themeColor="accent6"/>
      <w:sz w:val="17"/>
    </w:rPr>
  </w:style>
  <w:style w:type="character" w:styleId="Hyperlink">
    <w:name w:val="Hyperlink"/>
    <w:basedOn w:val="DefaultParagraphFont"/>
    <w:uiPriority w:val="99"/>
    <w:rsid w:val="00640A02"/>
    <w:rPr>
      <w:color w:val="57595C" w:themeColor="accent6" w:themeShade="BF"/>
      <w:u w:val="single"/>
      <w:lang w:val="en-AU"/>
    </w:rPr>
  </w:style>
  <w:style w:type="paragraph" w:customStyle="1" w:styleId="PulloutGreen">
    <w:name w:val="Pullout Green"/>
    <w:basedOn w:val="PulloutBlue"/>
    <w:next w:val="Normal"/>
    <w:uiPriority w:val="6"/>
    <w:rsid w:val="002D6A5A"/>
    <w:rPr>
      <w:color w:val="86BC25" w:themeColor="accent1"/>
    </w:rPr>
  </w:style>
  <w:style w:type="paragraph" w:customStyle="1" w:styleId="QuotesourceBlue">
    <w:name w:val="Quote source Blue"/>
    <w:basedOn w:val="Normal"/>
    <w:next w:val="Normal"/>
    <w:uiPriority w:val="6"/>
    <w:rsid w:val="002D6A5A"/>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2D6A5A"/>
    <w:rPr>
      <w:color w:val="86BC25" w:themeColor="accent1"/>
    </w:rPr>
  </w:style>
  <w:style w:type="paragraph" w:customStyle="1" w:styleId="Paneltext">
    <w:name w:val="Panel text"/>
    <w:basedOn w:val="Normal"/>
    <w:uiPriority w:val="6"/>
    <w:rsid w:val="002D6A5A"/>
    <w:pPr>
      <w:spacing w:after="0"/>
    </w:pPr>
    <w:rPr>
      <w:color w:val="FFFFFF"/>
      <w:sz w:val="17"/>
    </w:rPr>
  </w:style>
  <w:style w:type="paragraph" w:customStyle="1" w:styleId="Paneltitle">
    <w:name w:val="Panel title"/>
    <w:basedOn w:val="Paneltext"/>
    <w:next w:val="Paneltext"/>
    <w:uiPriority w:val="6"/>
    <w:rsid w:val="002D6A5A"/>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2D6A5A"/>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2D6A5A"/>
    <w:pPr>
      <w:spacing w:after="120" w:line="440" w:lineRule="atLeast"/>
    </w:pPr>
    <w:rPr>
      <w:color w:val="000000"/>
      <w:sz w:val="28"/>
    </w:rPr>
  </w:style>
  <w:style w:type="paragraph" w:customStyle="1" w:styleId="Contentstitle">
    <w:name w:val="Contents title"/>
    <w:basedOn w:val="Heading1un-numbered"/>
    <w:next w:val="Normal"/>
    <w:uiPriority w:val="7"/>
    <w:semiHidden/>
    <w:rsid w:val="002D6A5A"/>
  </w:style>
  <w:style w:type="paragraph" w:styleId="TOC1">
    <w:name w:val="toc 1"/>
    <w:basedOn w:val="Normal"/>
    <w:next w:val="Normal"/>
    <w:uiPriority w:val="39"/>
    <w:rsid w:val="002D6A5A"/>
    <w:pPr>
      <w:tabs>
        <w:tab w:val="left" w:pos="567"/>
        <w:tab w:val="right" w:pos="8959"/>
      </w:tabs>
      <w:spacing w:after="120" w:line="320" w:lineRule="atLeast"/>
      <w:ind w:left="567" w:right="567" w:hanging="567"/>
    </w:pPr>
  </w:style>
  <w:style w:type="paragraph" w:customStyle="1" w:styleId="Quotetext">
    <w:name w:val="Quote text"/>
    <w:basedOn w:val="PulloutBlue"/>
    <w:uiPriority w:val="6"/>
    <w:rsid w:val="002D6A5A"/>
    <w:pPr>
      <w:spacing w:line="720" w:lineRule="atLeast"/>
    </w:pPr>
    <w:rPr>
      <w:color w:val="FFFFFF"/>
      <w:sz w:val="60"/>
    </w:rPr>
  </w:style>
  <w:style w:type="paragraph" w:customStyle="1" w:styleId="Legaltext">
    <w:name w:val="Legal text"/>
    <w:basedOn w:val="Normal"/>
    <w:uiPriority w:val="7"/>
    <w:semiHidden/>
    <w:qFormat/>
    <w:rsid w:val="002D6A5A"/>
    <w:pPr>
      <w:spacing w:after="0" w:line="180" w:lineRule="atLeast"/>
    </w:pPr>
    <w:rPr>
      <w:sz w:val="14"/>
    </w:rPr>
  </w:style>
  <w:style w:type="table" w:customStyle="1" w:styleId="Deloittetable">
    <w:name w:val="Deloitte table"/>
    <w:basedOn w:val="TableNormal"/>
    <w:uiPriority w:val="99"/>
    <w:rsid w:val="002D6A5A"/>
    <w:pPr>
      <w:ind w:left="57" w:right="57"/>
    </w:pPr>
    <w:rPr>
      <w:sz w:val="17"/>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2D6A5A"/>
    <w:pPr>
      <w:spacing w:after="0" w:line="200" w:lineRule="atLeast"/>
      <w:ind w:left="57" w:right="57"/>
    </w:pPr>
    <w:rPr>
      <w:sz w:val="17"/>
    </w:rPr>
  </w:style>
  <w:style w:type="paragraph" w:customStyle="1" w:styleId="TableHeadingLeft">
    <w:name w:val="Table Heading Left"/>
    <w:basedOn w:val="TabletextLeft"/>
    <w:uiPriority w:val="5"/>
    <w:rsid w:val="002D6A5A"/>
    <w:rPr>
      <w:b/>
      <w:color w:val="62B5E5" w:themeColor="accent3"/>
    </w:rPr>
  </w:style>
  <w:style w:type="paragraph" w:customStyle="1" w:styleId="Source">
    <w:name w:val="Source"/>
    <w:basedOn w:val="Caption"/>
    <w:next w:val="Normal"/>
    <w:uiPriority w:val="6"/>
    <w:rsid w:val="009B59AA"/>
    <w:pPr>
      <w:keepNext w:val="0"/>
      <w:keepLines w:val="0"/>
      <w:spacing w:before="120"/>
    </w:pPr>
    <w:rPr>
      <w:color w:val="57595C" w:themeColor="accent6" w:themeShade="BF"/>
      <w:sz w:val="14"/>
    </w:rPr>
  </w:style>
  <w:style w:type="paragraph" w:customStyle="1" w:styleId="Tablebullets">
    <w:name w:val="Table bullets"/>
    <w:basedOn w:val="TabletextLeft"/>
    <w:uiPriority w:val="5"/>
    <w:rsid w:val="002B2382"/>
    <w:pPr>
      <w:framePr w:hSpace="180" w:wrap="around" w:vAnchor="text" w:hAnchor="text" w:y="1"/>
      <w:numPr>
        <w:numId w:val="64"/>
      </w:numPr>
      <w:suppressOverlap/>
    </w:pPr>
  </w:style>
  <w:style w:type="paragraph" w:customStyle="1" w:styleId="Tablenumbered">
    <w:name w:val="Table numbered"/>
    <w:basedOn w:val="TabletextLeft"/>
    <w:uiPriority w:val="5"/>
    <w:rsid w:val="002B2382"/>
    <w:pPr>
      <w:framePr w:hSpace="180" w:wrap="around" w:vAnchor="text" w:hAnchor="text" w:y="1"/>
      <w:numPr>
        <w:numId w:val="65"/>
      </w:numPr>
      <w:suppressOverlap/>
    </w:pPr>
  </w:style>
  <w:style w:type="paragraph" w:customStyle="1" w:styleId="Charttitle">
    <w:name w:val="Chart title"/>
    <w:uiPriority w:val="7"/>
    <w:rsid w:val="002D6A5A"/>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2D6A5A"/>
  </w:style>
  <w:style w:type="paragraph" w:styleId="BlockText">
    <w:name w:val="Block Text"/>
    <w:basedOn w:val="Normal"/>
    <w:uiPriority w:val="99"/>
    <w:semiHidden/>
    <w:rsid w:val="002D6A5A"/>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2D6A5A"/>
    <w:pPr>
      <w:spacing w:after="240"/>
    </w:pPr>
  </w:style>
  <w:style w:type="character" w:customStyle="1" w:styleId="BodyTextChar">
    <w:name w:val="Body Text Char"/>
    <w:basedOn w:val="DefaultParagraphFont"/>
    <w:link w:val="BodyText"/>
    <w:semiHidden/>
    <w:rsid w:val="002D6A5A"/>
    <w:rPr>
      <w:lang w:val="en-AU"/>
    </w:rPr>
  </w:style>
  <w:style w:type="paragraph" w:styleId="BodyText2">
    <w:name w:val="Body Text 2"/>
    <w:basedOn w:val="Normal"/>
    <w:link w:val="BodyText2Char"/>
    <w:uiPriority w:val="99"/>
    <w:semiHidden/>
    <w:rsid w:val="002D6A5A"/>
    <w:pPr>
      <w:spacing w:after="120" w:line="480" w:lineRule="auto"/>
    </w:pPr>
  </w:style>
  <w:style w:type="character" w:customStyle="1" w:styleId="BodyText2Char">
    <w:name w:val="Body Text 2 Char"/>
    <w:basedOn w:val="DefaultParagraphFont"/>
    <w:link w:val="BodyText2"/>
    <w:uiPriority w:val="99"/>
    <w:semiHidden/>
    <w:rsid w:val="002D6A5A"/>
    <w:rPr>
      <w:lang w:val="en-AU"/>
    </w:rPr>
  </w:style>
  <w:style w:type="paragraph" w:styleId="BodyText3">
    <w:name w:val="Body Text 3"/>
    <w:basedOn w:val="Normal"/>
    <w:link w:val="BodyText3Char"/>
    <w:uiPriority w:val="99"/>
    <w:semiHidden/>
    <w:rsid w:val="002D6A5A"/>
    <w:pPr>
      <w:spacing w:after="120"/>
    </w:pPr>
    <w:rPr>
      <w:sz w:val="16"/>
      <w:szCs w:val="16"/>
    </w:rPr>
  </w:style>
  <w:style w:type="character" w:customStyle="1" w:styleId="BodyText3Char">
    <w:name w:val="Body Text 3 Char"/>
    <w:basedOn w:val="DefaultParagraphFont"/>
    <w:link w:val="BodyText3"/>
    <w:uiPriority w:val="99"/>
    <w:semiHidden/>
    <w:rsid w:val="002D6A5A"/>
    <w:rPr>
      <w:sz w:val="16"/>
      <w:szCs w:val="16"/>
      <w:lang w:val="en-AU"/>
    </w:rPr>
  </w:style>
  <w:style w:type="paragraph" w:styleId="BodyTextFirstIndent">
    <w:name w:val="Body Text First Indent"/>
    <w:basedOn w:val="BodyText"/>
    <w:link w:val="BodyTextFirstIndentChar"/>
    <w:uiPriority w:val="99"/>
    <w:semiHidden/>
    <w:rsid w:val="002D6A5A"/>
    <w:pPr>
      <w:ind w:firstLine="360"/>
    </w:pPr>
  </w:style>
  <w:style w:type="character" w:customStyle="1" w:styleId="BodyTextFirstIndentChar">
    <w:name w:val="Body Text First Indent Char"/>
    <w:basedOn w:val="BodyTextChar"/>
    <w:link w:val="BodyTextFirstIndent"/>
    <w:uiPriority w:val="99"/>
    <w:semiHidden/>
    <w:rsid w:val="002D6A5A"/>
    <w:rPr>
      <w:lang w:val="en-AU"/>
    </w:rPr>
  </w:style>
  <w:style w:type="paragraph" w:styleId="BodyTextIndent">
    <w:name w:val="Body Text Indent"/>
    <w:basedOn w:val="Normal"/>
    <w:link w:val="BodyTextIndentChar"/>
    <w:uiPriority w:val="99"/>
    <w:semiHidden/>
    <w:rsid w:val="002D6A5A"/>
    <w:pPr>
      <w:spacing w:after="120"/>
      <w:ind w:left="283"/>
    </w:pPr>
  </w:style>
  <w:style w:type="character" w:customStyle="1" w:styleId="BodyTextIndentChar">
    <w:name w:val="Body Text Indent Char"/>
    <w:basedOn w:val="DefaultParagraphFont"/>
    <w:link w:val="BodyTextIndent"/>
    <w:uiPriority w:val="99"/>
    <w:semiHidden/>
    <w:rsid w:val="002D6A5A"/>
    <w:rPr>
      <w:lang w:val="en-AU"/>
    </w:rPr>
  </w:style>
  <w:style w:type="paragraph" w:styleId="BodyTextFirstIndent2">
    <w:name w:val="Body Text First Indent 2"/>
    <w:basedOn w:val="BodyTextIndent"/>
    <w:link w:val="BodyTextFirstIndent2Char"/>
    <w:uiPriority w:val="99"/>
    <w:semiHidden/>
    <w:rsid w:val="002D6A5A"/>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2D6A5A"/>
    <w:rPr>
      <w:lang w:val="en-AU"/>
    </w:rPr>
  </w:style>
  <w:style w:type="paragraph" w:styleId="BodyTextIndent2">
    <w:name w:val="Body Text Indent 2"/>
    <w:basedOn w:val="Normal"/>
    <w:link w:val="BodyTextIndent2Char"/>
    <w:uiPriority w:val="99"/>
    <w:semiHidden/>
    <w:rsid w:val="002D6A5A"/>
    <w:pPr>
      <w:spacing w:after="120" w:line="480" w:lineRule="auto"/>
      <w:ind w:left="283"/>
    </w:pPr>
  </w:style>
  <w:style w:type="character" w:customStyle="1" w:styleId="BodyTextIndent2Char">
    <w:name w:val="Body Text Indent 2 Char"/>
    <w:basedOn w:val="DefaultParagraphFont"/>
    <w:link w:val="BodyTextIndent2"/>
    <w:uiPriority w:val="99"/>
    <w:semiHidden/>
    <w:rsid w:val="002D6A5A"/>
    <w:rPr>
      <w:lang w:val="en-AU"/>
    </w:rPr>
  </w:style>
  <w:style w:type="paragraph" w:styleId="BodyTextIndent3">
    <w:name w:val="Body Text Indent 3"/>
    <w:basedOn w:val="Normal"/>
    <w:link w:val="BodyTextIndent3Char"/>
    <w:uiPriority w:val="99"/>
    <w:semiHidden/>
    <w:rsid w:val="002D6A5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D6A5A"/>
    <w:rPr>
      <w:sz w:val="16"/>
      <w:szCs w:val="16"/>
      <w:lang w:val="en-AU"/>
    </w:rPr>
  </w:style>
  <w:style w:type="character" w:styleId="BookTitle">
    <w:name w:val="Book Title"/>
    <w:basedOn w:val="DefaultParagraphFont"/>
    <w:uiPriority w:val="99"/>
    <w:semiHidden/>
    <w:qFormat/>
    <w:rsid w:val="002D6A5A"/>
    <w:rPr>
      <w:b/>
      <w:bCs/>
      <w:smallCaps/>
      <w:spacing w:val="5"/>
      <w:lang w:val="en-AU"/>
    </w:rPr>
  </w:style>
  <w:style w:type="paragraph" w:styleId="Closing">
    <w:name w:val="Closing"/>
    <w:basedOn w:val="Normal"/>
    <w:link w:val="ClosingChar"/>
    <w:uiPriority w:val="99"/>
    <w:semiHidden/>
    <w:rsid w:val="002D6A5A"/>
    <w:pPr>
      <w:spacing w:line="240" w:lineRule="auto"/>
      <w:ind w:left="4252"/>
    </w:pPr>
  </w:style>
  <w:style w:type="character" w:customStyle="1" w:styleId="ClosingChar">
    <w:name w:val="Closing Char"/>
    <w:basedOn w:val="DefaultParagraphFont"/>
    <w:link w:val="Closing"/>
    <w:uiPriority w:val="99"/>
    <w:semiHidden/>
    <w:rsid w:val="002D6A5A"/>
    <w:rPr>
      <w:lang w:val="en-AU"/>
    </w:rPr>
  </w:style>
  <w:style w:type="table" w:styleId="ColorfulGrid">
    <w:name w:val="Colorful Grid"/>
    <w:basedOn w:val="TableNormal"/>
    <w:uiPriority w:val="73"/>
    <w:rsid w:val="002D6A5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D6A5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2D6A5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2D6A5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2D6A5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2D6A5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2D6A5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2D6A5A"/>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D6A5A"/>
    <w:pPr>
      <w:spacing w:line="240" w:lineRule="auto"/>
    </w:pPr>
    <w:rPr>
      <w:color w:val="000000" w:themeColor="text1"/>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2D6A5A"/>
    <w:pPr>
      <w:spacing w:line="240" w:lineRule="auto"/>
    </w:pPr>
    <w:rPr>
      <w:color w:val="000000" w:themeColor="text1"/>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2D6A5A"/>
    <w:pPr>
      <w:spacing w:line="240" w:lineRule="auto"/>
    </w:pPr>
    <w:rPr>
      <w:color w:val="000000" w:themeColor="text1"/>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2D6A5A"/>
    <w:pPr>
      <w:spacing w:line="240" w:lineRule="auto"/>
    </w:pPr>
    <w:rPr>
      <w:color w:val="000000" w:themeColor="text1"/>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2D6A5A"/>
    <w:pPr>
      <w:spacing w:line="240" w:lineRule="auto"/>
    </w:pPr>
    <w:rPr>
      <w:color w:val="000000" w:themeColor="text1"/>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2D6A5A"/>
    <w:pPr>
      <w:spacing w:line="240" w:lineRule="auto"/>
    </w:pPr>
    <w:rPr>
      <w:color w:val="000000" w:themeColor="text1"/>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2D6A5A"/>
    <w:pPr>
      <w:spacing w:line="240" w:lineRule="auto"/>
    </w:pPr>
    <w:rPr>
      <w:color w:val="000000" w:themeColor="text1"/>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D6A5A"/>
    <w:pPr>
      <w:spacing w:line="240" w:lineRule="auto"/>
    </w:pPr>
    <w:rPr>
      <w:color w:val="000000" w:themeColor="text1"/>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D6A5A"/>
    <w:pPr>
      <w:spacing w:line="240" w:lineRule="auto"/>
    </w:pPr>
    <w:rPr>
      <w:color w:val="000000" w:themeColor="text1"/>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D6A5A"/>
    <w:pPr>
      <w:spacing w:line="240" w:lineRule="auto"/>
    </w:pPr>
    <w:rPr>
      <w:color w:val="000000" w:themeColor="text1"/>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2D6A5A"/>
    <w:pPr>
      <w:spacing w:line="240" w:lineRule="auto"/>
    </w:pPr>
    <w:rPr>
      <w:color w:val="000000" w:themeColor="text1"/>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D6A5A"/>
    <w:pPr>
      <w:spacing w:line="240" w:lineRule="auto"/>
    </w:pPr>
    <w:rPr>
      <w:color w:val="000000" w:themeColor="text1"/>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D6A5A"/>
    <w:pPr>
      <w:spacing w:line="240" w:lineRule="auto"/>
    </w:pPr>
    <w:rPr>
      <w:color w:val="000000" w:themeColor="text1"/>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2D6A5A"/>
    <w:rPr>
      <w:sz w:val="16"/>
      <w:szCs w:val="16"/>
      <w:lang w:val="en-AU"/>
    </w:rPr>
  </w:style>
  <w:style w:type="paragraph" w:styleId="CommentText">
    <w:name w:val="annotation text"/>
    <w:basedOn w:val="Normal"/>
    <w:link w:val="CommentTextChar"/>
    <w:uiPriority w:val="99"/>
    <w:rsid w:val="002D6A5A"/>
    <w:pPr>
      <w:spacing w:line="240" w:lineRule="auto"/>
    </w:pPr>
    <w:rPr>
      <w:sz w:val="20"/>
      <w:szCs w:val="20"/>
    </w:rPr>
  </w:style>
  <w:style w:type="character" w:customStyle="1" w:styleId="CommentTextChar">
    <w:name w:val="Comment Text Char"/>
    <w:basedOn w:val="DefaultParagraphFont"/>
    <w:link w:val="CommentText"/>
    <w:uiPriority w:val="99"/>
    <w:rsid w:val="002D6A5A"/>
    <w:rPr>
      <w:sz w:val="20"/>
      <w:szCs w:val="20"/>
      <w:lang w:val="en-AU"/>
    </w:rPr>
  </w:style>
  <w:style w:type="paragraph" w:styleId="CommentSubject">
    <w:name w:val="annotation subject"/>
    <w:basedOn w:val="CommentText"/>
    <w:next w:val="CommentText"/>
    <w:link w:val="CommentSubjectChar"/>
    <w:uiPriority w:val="99"/>
    <w:semiHidden/>
    <w:rsid w:val="002D6A5A"/>
    <w:rPr>
      <w:b/>
      <w:bCs/>
    </w:rPr>
  </w:style>
  <w:style w:type="character" w:customStyle="1" w:styleId="CommentSubjectChar">
    <w:name w:val="Comment Subject Char"/>
    <w:basedOn w:val="CommentTextChar"/>
    <w:link w:val="CommentSubject"/>
    <w:uiPriority w:val="99"/>
    <w:semiHidden/>
    <w:rsid w:val="002D6A5A"/>
    <w:rPr>
      <w:b/>
      <w:bCs/>
      <w:sz w:val="20"/>
      <w:szCs w:val="20"/>
      <w:lang w:val="en-AU"/>
    </w:rPr>
  </w:style>
  <w:style w:type="table" w:styleId="DarkList">
    <w:name w:val="Dark List"/>
    <w:basedOn w:val="TableNormal"/>
    <w:uiPriority w:val="70"/>
    <w:rsid w:val="002D6A5A"/>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D6A5A"/>
    <w:pPr>
      <w:spacing w:line="240" w:lineRule="auto"/>
    </w:pPr>
    <w:rPr>
      <w:color w:val="FFFFFF" w:themeColor="background1"/>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2D6A5A"/>
    <w:pPr>
      <w:spacing w:line="240" w:lineRule="auto"/>
    </w:pPr>
    <w:rPr>
      <w:color w:val="FFFFFF" w:themeColor="background1"/>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2D6A5A"/>
    <w:pPr>
      <w:spacing w:line="240" w:lineRule="auto"/>
    </w:pPr>
    <w:rPr>
      <w:color w:val="FFFFFF" w:themeColor="background1"/>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2D6A5A"/>
    <w:pPr>
      <w:spacing w:line="240" w:lineRule="auto"/>
    </w:pPr>
    <w:rPr>
      <w:color w:val="FFFFFF" w:themeColor="background1"/>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2D6A5A"/>
    <w:pPr>
      <w:spacing w:line="240" w:lineRule="auto"/>
    </w:pPr>
    <w:rPr>
      <w:color w:val="FFFFFF" w:themeColor="background1"/>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2D6A5A"/>
    <w:pPr>
      <w:spacing w:line="240" w:lineRule="auto"/>
    </w:pPr>
    <w:rPr>
      <w:color w:val="FFFFFF" w:themeColor="background1"/>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2D6A5A"/>
  </w:style>
  <w:style w:type="character" w:customStyle="1" w:styleId="DateChar">
    <w:name w:val="Date Char"/>
    <w:basedOn w:val="DefaultParagraphFont"/>
    <w:link w:val="Date"/>
    <w:uiPriority w:val="99"/>
    <w:semiHidden/>
    <w:rsid w:val="002D6A5A"/>
    <w:rPr>
      <w:lang w:val="en-AU"/>
    </w:rPr>
  </w:style>
  <w:style w:type="paragraph" w:styleId="DocumentMap">
    <w:name w:val="Document Map"/>
    <w:basedOn w:val="Normal"/>
    <w:link w:val="DocumentMapChar"/>
    <w:uiPriority w:val="99"/>
    <w:semiHidden/>
    <w:rsid w:val="002D6A5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D6A5A"/>
    <w:rPr>
      <w:rFonts w:ascii="Tahoma" w:hAnsi="Tahoma" w:cs="Tahoma"/>
      <w:sz w:val="16"/>
      <w:szCs w:val="16"/>
      <w:lang w:val="en-AU"/>
    </w:rPr>
  </w:style>
  <w:style w:type="paragraph" w:styleId="E-mailSignature">
    <w:name w:val="E-mail Signature"/>
    <w:basedOn w:val="Normal"/>
    <w:link w:val="E-mailSignatureChar"/>
    <w:uiPriority w:val="99"/>
    <w:semiHidden/>
    <w:rsid w:val="002D6A5A"/>
    <w:pPr>
      <w:spacing w:line="240" w:lineRule="auto"/>
    </w:pPr>
  </w:style>
  <w:style w:type="character" w:customStyle="1" w:styleId="E-mailSignatureChar">
    <w:name w:val="E-mail Signature Char"/>
    <w:basedOn w:val="DefaultParagraphFont"/>
    <w:link w:val="E-mailSignature"/>
    <w:uiPriority w:val="99"/>
    <w:semiHidden/>
    <w:rsid w:val="002D6A5A"/>
    <w:rPr>
      <w:lang w:val="en-AU"/>
    </w:rPr>
  </w:style>
  <w:style w:type="character" w:styleId="Emphasis">
    <w:name w:val="Emphasis"/>
    <w:basedOn w:val="DefaultParagraphFont"/>
    <w:uiPriority w:val="20"/>
    <w:rsid w:val="002D6A5A"/>
    <w:rPr>
      <w:b/>
      <w:i w:val="0"/>
      <w:iCs/>
      <w:color w:val="44546A" w:themeColor="text2"/>
      <w:lang w:val="en-AU"/>
    </w:rPr>
  </w:style>
  <w:style w:type="character" w:styleId="EndnoteReference">
    <w:name w:val="endnote reference"/>
    <w:basedOn w:val="DefaultParagraphFont"/>
    <w:uiPriority w:val="99"/>
    <w:semiHidden/>
    <w:rsid w:val="002D6A5A"/>
    <w:rPr>
      <w:vertAlign w:val="superscript"/>
      <w:lang w:val="en-AU"/>
    </w:rPr>
  </w:style>
  <w:style w:type="paragraph" w:styleId="EndnoteText">
    <w:name w:val="endnote text"/>
    <w:basedOn w:val="Normal"/>
    <w:link w:val="EndnoteTextChar"/>
    <w:uiPriority w:val="99"/>
    <w:semiHidden/>
    <w:rsid w:val="002D6A5A"/>
    <w:pPr>
      <w:spacing w:line="240" w:lineRule="auto"/>
    </w:pPr>
    <w:rPr>
      <w:szCs w:val="20"/>
    </w:rPr>
  </w:style>
  <w:style w:type="character" w:customStyle="1" w:styleId="EndnoteTextChar">
    <w:name w:val="Endnote Text Char"/>
    <w:basedOn w:val="DefaultParagraphFont"/>
    <w:link w:val="EndnoteText"/>
    <w:uiPriority w:val="99"/>
    <w:semiHidden/>
    <w:rsid w:val="002D6A5A"/>
    <w:rPr>
      <w:szCs w:val="20"/>
      <w:lang w:val="en-AU"/>
    </w:rPr>
  </w:style>
  <w:style w:type="paragraph" w:styleId="EnvelopeAddress">
    <w:name w:val="envelope address"/>
    <w:basedOn w:val="Normal"/>
    <w:uiPriority w:val="99"/>
    <w:semiHidden/>
    <w:rsid w:val="00E479A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D6A5A"/>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2D6A5A"/>
    <w:rPr>
      <w:color w:val="53565A"/>
      <w:u w:val="single"/>
      <w:lang w:val="en-AU"/>
    </w:rPr>
  </w:style>
  <w:style w:type="character" w:customStyle="1" w:styleId="Heading5Char">
    <w:name w:val="Heading 5 Char"/>
    <w:basedOn w:val="DefaultParagraphFont"/>
    <w:link w:val="Heading5"/>
    <w:uiPriority w:val="1"/>
    <w:rsid w:val="002D6A5A"/>
    <w:rPr>
      <w:rFonts w:eastAsiaTheme="majorEastAsia" w:cstheme="majorBidi"/>
      <w:b/>
      <w:lang w:val="en-AU"/>
    </w:rPr>
  </w:style>
  <w:style w:type="character" w:customStyle="1" w:styleId="Heading6Char">
    <w:name w:val="Heading 6 Char"/>
    <w:basedOn w:val="DefaultParagraphFont"/>
    <w:link w:val="Heading6"/>
    <w:uiPriority w:val="1"/>
    <w:semiHidden/>
    <w:rsid w:val="002D6A5A"/>
    <w:rPr>
      <w:rFonts w:eastAsiaTheme="majorEastAsia" w:cstheme="majorBidi"/>
      <w:b/>
      <w:iCs/>
      <w:lang w:val="en-AU"/>
    </w:rPr>
  </w:style>
  <w:style w:type="character" w:customStyle="1" w:styleId="Heading7Char">
    <w:name w:val="Heading 7 Char"/>
    <w:basedOn w:val="DefaultParagraphFont"/>
    <w:link w:val="Heading7"/>
    <w:uiPriority w:val="1"/>
    <w:semiHidden/>
    <w:rsid w:val="002D6A5A"/>
    <w:rPr>
      <w:rFonts w:eastAsiaTheme="majorEastAsia" w:cstheme="majorBidi"/>
      <w:b/>
      <w:iCs/>
      <w:lang w:val="en-AU"/>
    </w:rPr>
  </w:style>
  <w:style w:type="character" w:customStyle="1" w:styleId="Heading8Char">
    <w:name w:val="Heading 8 Char"/>
    <w:basedOn w:val="DefaultParagraphFont"/>
    <w:link w:val="Heading8"/>
    <w:uiPriority w:val="1"/>
    <w:semiHidden/>
    <w:rsid w:val="002D6A5A"/>
    <w:rPr>
      <w:rFonts w:eastAsiaTheme="majorEastAsia" w:cstheme="majorBidi"/>
      <w:b/>
      <w:szCs w:val="20"/>
      <w:lang w:val="en-AU"/>
    </w:rPr>
  </w:style>
  <w:style w:type="character" w:customStyle="1" w:styleId="Heading9Char">
    <w:name w:val="Heading 9 Char"/>
    <w:basedOn w:val="DefaultParagraphFont"/>
    <w:link w:val="Heading9"/>
    <w:uiPriority w:val="1"/>
    <w:semiHidden/>
    <w:rsid w:val="002D6A5A"/>
    <w:rPr>
      <w:rFonts w:eastAsiaTheme="majorEastAsia" w:cstheme="majorBidi"/>
      <w:b/>
      <w:iCs/>
      <w:szCs w:val="20"/>
      <w:lang w:val="en-AU"/>
    </w:rPr>
  </w:style>
  <w:style w:type="character" w:styleId="HTMLAcronym">
    <w:name w:val="HTML Acronym"/>
    <w:basedOn w:val="DefaultParagraphFont"/>
    <w:uiPriority w:val="99"/>
    <w:semiHidden/>
    <w:rsid w:val="002D6A5A"/>
    <w:rPr>
      <w:lang w:val="en-AU"/>
    </w:rPr>
  </w:style>
  <w:style w:type="paragraph" w:styleId="HTMLAddress">
    <w:name w:val="HTML Address"/>
    <w:basedOn w:val="Normal"/>
    <w:link w:val="HTMLAddressChar"/>
    <w:uiPriority w:val="99"/>
    <w:semiHidden/>
    <w:rsid w:val="002D6A5A"/>
    <w:pPr>
      <w:spacing w:line="240" w:lineRule="auto"/>
    </w:pPr>
    <w:rPr>
      <w:i/>
      <w:iCs/>
    </w:rPr>
  </w:style>
  <w:style w:type="character" w:customStyle="1" w:styleId="HTMLAddressChar">
    <w:name w:val="HTML Address Char"/>
    <w:basedOn w:val="DefaultParagraphFont"/>
    <w:link w:val="HTMLAddress"/>
    <w:uiPriority w:val="99"/>
    <w:semiHidden/>
    <w:rsid w:val="002D6A5A"/>
    <w:rPr>
      <w:i/>
      <w:iCs/>
      <w:lang w:val="en-AU"/>
    </w:rPr>
  </w:style>
  <w:style w:type="character" w:styleId="HTMLCite">
    <w:name w:val="HTML Cite"/>
    <w:basedOn w:val="DefaultParagraphFont"/>
    <w:uiPriority w:val="99"/>
    <w:semiHidden/>
    <w:rsid w:val="002D6A5A"/>
    <w:rPr>
      <w:i/>
      <w:iCs/>
      <w:lang w:val="en-AU"/>
    </w:rPr>
  </w:style>
  <w:style w:type="character" w:styleId="HTMLCode">
    <w:name w:val="HTML Code"/>
    <w:basedOn w:val="DefaultParagraphFont"/>
    <w:uiPriority w:val="99"/>
    <w:semiHidden/>
    <w:rsid w:val="002D6A5A"/>
    <w:rPr>
      <w:rFonts w:ascii="Consolas" w:hAnsi="Consolas"/>
      <w:sz w:val="20"/>
      <w:szCs w:val="20"/>
      <w:lang w:val="en-AU"/>
    </w:rPr>
  </w:style>
  <w:style w:type="character" w:styleId="HTMLDefinition">
    <w:name w:val="HTML Definition"/>
    <w:basedOn w:val="DefaultParagraphFont"/>
    <w:uiPriority w:val="99"/>
    <w:semiHidden/>
    <w:rsid w:val="002D6A5A"/>
    <w:rPr>
      <w:i/>
      <w:iCs/>
      <w:lang w:val="en-AU"/>
    </w:rPr>
  </w:style>
  <w:style w:type="character" w:styleId="HTMLKeyboard">
    <w:name w:val="HTML Keyboard"/>
    <w:basedOn w:val="DefaultParagraphFont"/>
    <w:uiPriority w:val="99"/>
    <w:semiHidden/>
    <w:rsid w:val="002D6A5A"/>
    <w:rPr>
      <w:rFonts w:ascii="Consolas" w:hAnsi="Consolas"/>
      <w:sz w:val="20"/>
      <w:szCs w:val="20"/>
      <w:lang w:val="en-AU"/>
    </w:rPr>
  </w:style>
  <w:style w:type="paragraph" w:styleId="HTMLPreformatted">
    <w:name w:val="HTML Preformatted"/>
    <w:basedOn w:val="Normal"/>
    <w:link w:val="HTMLPreformattedChar"/>
    <w:uiPriority w:val="99"/>
    <w:semiHidden/>
    <w:rsid w:val="002D6A5A"/>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D6A5A"/>
    <w:rPr>
      <w:rFonts w:ascii="Consolas" w:hAnsi="Consolas"/>
      <w:sz w:val="20"/>
      <w:szCs w:val="20"/>
      <w:lang w:val="en-AU"/>
    </w:rPr>
  </w:style>
  <w:style w:type="character" w:styleId="HTMLSample">
    <w:name w:val="HTML Sample"/>
    <w:basedOn w:val="DefaultParagraphFont"/>
    <w:uiPriority w:val="99"/>
    <w:semiHidden/>
    <w:rsid w:val="002D6A5A"/>
    <w:rPr>
      <w:rFonts w:ascii="Consolas" w:hAnsi="Consolas"/>
      <w:sz w:val="24"/>
      <w:szCs w:val="24"/>
      <w:lang w:val="en-AU"/>
    </w:rPr>
  </w:style>
  <w:style w:type="character" w:styleId="HTMLTypewriter">
    <w:name w:val="HTML Typewriter"/>
    <w:basedOn w:val="DefaultParagraphFont"/>
    <w:uiPriority w:val="99"/>
    <w:semiHidden/>
    <w:rsid w:val="002D6A5A"/>
    <w:rPr>
      <w:rFonts w:ascii="Consolas" w:hAnsi="Consolas"/>
      <w:sz w:val="20"/>
      <w:szCs w:val="20"/>
      <w:lang w:val="en-AU"/>
    </w:rPr>
  </w:style>
  <w:style w:type="character" w:styleId="HTMLVariable">
    <w:name w:val="HTML Variable"/>
    <w:basedOn w:val="DefaultParagraphFont"/>
    <w:uiPriority w:val="99"/>
    <w:semiHidden/>
    <w:rsid w:val="002D6A5A"/>
    <w:rPr>
      <w:i/>
      <w:iCs/>
      <w:lang w:val="en-AU"/>
    </w:rPr>
  </w:style>
  <w:style w:type="paragraph" w:styleId="Index1">
    <w:name w:val="index 1"/>
    <w:basedOn w:val="Normal"/>
    <w:next w:val="Normal"/>
    <w:autoRedefine/>
    <w:uiPriority w:val="99"/>
    <w:semiHidden/>
    <w:rsid w:val="002D6A5A"/>
    <w:pPr>
      <w:spacing w:line="240" w:lineRule="auto"/>
      <w:ind w:left="180" w:hanging="180"/>
    </w:pPr>
  </w:style>
  <w:style w:type="paragraph" w:styleId="Index2">
    <w:name w:val="index 2"/>
    <w:basedOn w:val="Normal"/>
    <w:next w:val="Normal"/>
    <w:autoRedefine/>
    <w:uiPriority w:val="99"/>
    <w:semiHidden/>
    <w:rsid w:val="002D6A5A"/>
    <w:pPr>
      <w:spacing w:line="240" w:lineRule="auto"/>
      <w:ind w:left="360" w:hanging="180"/>
    </w:pPr>
  </w:style>
  <w:style w:type="paragraph" w:styleId="Index3">
    <w:name w:val="index 3"/>
    <w:basedOn w:val="Normal"/>
    <w:next w:val="Normal"/>
    <w:autoRedefine/>
    <w:uiPriority w:val="99"/>
    <w:semiHidden/>
    <w:rsid w:val="002D6A5A"/>
    <w:pPr>
      <w:spacing w:line="240" w:lineRule="auto"/>
      <w:ind w:left="540" w:hanging="180"/>
    </w:pPr>
  </w:style>
  <w:style w:type="paragraph" w:styleId="Index4">
    <w:name w:val="index 4"/>
    <w:basedOn w:val="Normal"/>
    <w:next w:val="Normal"/>
    <w:autoRedefine/>
    <w:uiPriority w:val="99"/>
    <w:semiHidden/>
    <w:rsid w:val="002D6A5A"/>
    <w:pPr>
      <w:spacing w:line="240" w:lineRule="auto"/>
      <w:ind w:left="720" w:hanging="180"/>
    </w:pPr>
  </w:style>
  <w:style w:type="paragraph" w:styleId="Index5">
    <w:name w:val="index 5"/>
    <w:basedOn w:val="Normal"/>
    <w:next w:val="Normal"/>
    <w:autoRedefine/>
    <w:uiPriority w:val="99"/>
    <w:semiHidden/>
    <w:rsid w:val="002D6A5A"/>
    <w:pPr>
      <w:spacing w:line="240" w:lineRule="auto"/>
      <w:ind w:left="900" w:hanging="180"/>
    </w:pPr>
  </w:style>
  <w:style w:type="paragraph" w:styleId="Index6">
    <w:name w:val="index 6"/>
    <w:basedOn w:val="Normal"/>
    <w:next w:val="Normal"/>
    <w:autoRedefine/>
    <w:uiPriority w:val="99"/>
    <w:semiHidden/>
    <w:rsid w:val="002D6A5A"/>
    <w:pPr>
      <w:spacing w:line="240" w:lineRule="auto"/>
      <w:ind w:left="1080" w:hanging="180"/>
    </w:pPr>
  </w:style>
  <w:style w:type="paragraph" w:styleId="Index7">
    <w:name w:val="index 7"/>
    <w:basedOn w:val="Normal"/>
    <w:next w:val="Normal"/>
    <w:autoRedefine/>
    <w:uiPriority w:val="99"/>
    <w:semiHidden/>
    <w:rsid w:val="002D6A5A"/>
    <w:pPr>
      <w:spacing w:line="240" w:lineRule="auto"/>
      <w:ind w:left="1260" w:hanging="180"/>
    </w:pPr>
  </w:style>
  <w:style w:type="paragraph" w:styleId="Index8">
    <w:name w:val="index 8"/>
    <w:basedOn w:val="Normal"/>
    <w:next w:val="Normal"/>
    <w:autoRedefine/>
    <w:uiPriority w:val="99"/>
    <w:semiHidden/>
    <w:rsid w:val="002D6A5A"/>
    <w:pPr>
      <w:spacing w:line="240" w:lineRule="auto"/>
      <w:ind w:left="1440" w:hanging="180"/>
    </w:pPr>
  </w:style>
  <w:style w:type="paragraph" w:styleId="Index9">
    <w:name w:val="index 9"/>
    <w:basedOn w:val="Normal"/>
    <w:next w:val="Normal"/>
    <w:autoRedefine/>
    <w:uiPriority w:val="99"/>
    <w:semiHidden/>
    <w:rsid w:val="002D6A5A"/>
    <w:pPr>
      <w:spacing w:line="240" w:lineRule="auto"/>
      <w:ind w:left="1620" w:hanging="180"/>
    </w:pPr>
  </w:style>
  <w:style w:type="paragraph" w:styleId="IndexHeading">
    <w:name w:val="index heading"/>
    <w:basedOn w:val="Normal"/>
    <w:next w:val="Index1"/>
    <w:uiPriority w:val="99"/>
    <w:semiHidden/>
    <w:rsid w:val="002D6A5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D6A5A"/>
    <w:rPr>
      <w:b/>
      <w:bCs/>
      <w:i/>
      <w:iCs/>
      <w:color w:val="86BC25" w:themeColor="accent1"/>
      <w:lang w:val="en-AU"/>
    </w:rPr>
  </w:style>
  <w:style w:type="paragraph" w:styleId="IntenseQuote">
    <w:name w:val="Intense Quote"/>
    <w:basedOn w:val="Normal"/>
    <w:next w:val="Normal"/>
    <w:link w:val="IntenseQuoteChar"/>
    <w:uiPriority w:val="30"/>
    <w:semiHidden/>
    <w:rsid w:val="002D6A5A"/>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semiHidden/>
    <w:rsid w:val="002D6A5A"/>
    <w:rPr>
      <w:b/>
      <w:bCs/>
      <w:i/>
      <w:iCs/>
      <w:color w:val="86BC25" w:themeColor="accent1"/>
      <w:lang w:val="en-AU"/>
    </w:rPr>
  </w:style>
  <w:style w:type="character" w:styleId="IntenseReference">
    <w:name w:val="Intense Reference"/>
    <w:basedOn w:val="DefaultParagraphFont"/>
    <w:uiPriority w:val="99"/>
    <w:semiHidden/>
    <w:qFormat/>
    <w:rsid w:val="002D6A5A"/>
    <w:rPr>
      <w:b/>
      <w:bCs/>
      <w:smallCaps/>
      <w:color w:val="046A38" w:themeColor="accent2"/>
      <w:spacing w:val="5"/>
      <w:u w:val="single"/>
      <w:lang w:val="en-AU"/>
    </w:rPr>
  </w:style>
  <w:style w:type="table" w:styleId="LightGrid">
    <w:name w:val="Light Grid"/>
    <w:basedOn w:val="TableNormal"/>
    <w:uiPriority w:val="62"/>
    <w:rsid w:val="002D6A5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D6A5A"/>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2D6A5A"/>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2D6A5A"/>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2D6A5A"/>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2D6A5A"/>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2D6A5A"/>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2D6A5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D6A5A"/>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2D6A5A"/>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2D6A5A"/>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2D6A5A"/>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2D6A5A"/>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2D6A5A"/>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2D6A5A"/>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D6A5A"/>
    <w:pPr>
      <w:spacing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2D6A5A"/>
    <w:pPr>
      <w:spacing w:line="240" w:lineRule="auto"/>
    </w:pPr>
    <w:rPr>
      <w:color w:val="034F29" w:themeColor="accent2" w:themeShade="BF"/>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2D6A5A"/>
    <w:pPr>
      <w:spacing w:line="240" w:lineRule="auto"/>
    </w:pPr>
    <w:rPr>
      <w:color w:val="2291D1" w:themeColor="accent3" w:themeShade="BF"/>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2D6A5A"/>
    <w:pPr>
      <w:spacing w:line="240" w:lineRule="auto"/>
    </w:pPr>
    <w:rPr>
      <w:color w:val="00184E" w:themeColor="accent4" w:themeShade="BF"/>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2D6A5A"/>
    <w:pPr>
      <w:spacing w:line="240" w:lineRule="auto"/>
    </w:pPr>
    <w:rPr>
      <w:color w:val="00707E" w:themeColor="accent5" w:themeShade="BF"/>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2D6A5A"/>
    <w:pPr>
      <w:spacing w:line="240" w:lineRule="auto"/>
    </w:pPr>
    <w:rPr>
      <w:color w:val="57595C" w:themeColor="accent6" w:themeShade="BF"/>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2D6A5A"/>
    <w:rPr>
      <w:lang w:val="en-AU"/>
    </w:rPr>
  </w:style>
  <w:style w:type="paragraph" w:styleId="List">
    <w:name w:val="List"/>
    <w:basedOn w:val="Normal"/>
    <w:uiPriority w:val="99"/>
    <w:semiHidden/>
    <w:rsid w:val="002D6A5A"/>
    <w:pPr>
      <w:ind w:left="283" w:hanging="283"/>
      <w:contextualSpacing/>
    </w:pPr>
  </w:style>
  <w:style w:type="paragraph" w:styleId="List2">
    <w:name w:val="List 2"/>
    <w:basedOn w:val="Normal"/>
    <w:uiPriority w:val="99"/>
    <w:semiHidden/>
    <w:rsid w:val="002D6A5A"/>
    <w:pPr>
      <w:ind w:left="566" w:hanging="283"/>
      <w:contextualSpacing/>
    </w:pPr>
  </w:style>
  <w:style w:type="paragraph" w:styleId="List3">
    <w:name w:val="List 3"/>
    <w:basedOn w:val="Normal"/>
    <w:uiPriority w:val="99"/>
    <w:semiHidden/>
    <w:rsid w:val="002D6A5A"/>
    <w:pPr>
      <w:ind w:left="849" w:hanging="283"/>
      <w:contextualSpacing/>
    </w:pPr>
  </w:style>
  <w:style w:type="paragraph" w:styleId="List4">
    <w:name w:val="List 4"/>
    <w:basedOn w:val="Normal"/>
    <w:uiPriority w:val="99"/>
    <w:semiHidden/>
    <w:rsid w:val="002D6A5A"/>
    <w:pPr>
      <w:ind w:left="1132" w:hanging="283"/>
      <w:contextualSpacing/>
    </w:pPr>
  </w:style>
  <w:style w:type="paragraph" w:styleId="List5">
    <w:name w:val="List 5"/>
    <w:basedOn w:val="Normal"/>
    <w:uiPriority w:val="99"/>
    <w:semiHidden/>
    <w:rsid w:val="002D6A5A"/>
    <w:pPr>
      <w:ind w:left="1415" w:hanging="283"/>
      <w:contextualSpacing/>
    </w:pPr>
  </w:style>
  <w:style w:type="paragraph" w:styleId="ListBullet3">
    <w:name w:val="List Bullet 3"/>
    <w:basedOn w:val="Normal"/>
    <w:uiPriority w:val="3"/>
    <w:rsid w:val="002B2382"/>
    <w:pPr>
      <w:numPr>
        <w:numId w:val="55"/>
      </w:numPr>
      <w:spacing w:after="0"/>
      <w:contextualSpacing/>
    </w:pPr>
  </w:style>
  <w:style w:type="paragraph" w:styleId="ListBullet4">
    <w:name w:val="List Bullet 4"/>
    <w:basedOn w:val="Normal"/>
    <w:uiPriority w:val="99"/>
    <w:semiHidden/>
    <w:rsid w:val="002B2382"/>
    <w:pPr>
      <w:numPr>
        <w:numId w:val="56"/>
      </w:numPr>
      <w:contextualSpacing/>
    </w:pPr>
  </w:style>
  <w:style w:type="paragraph" w:styleId="ListBullet5">
    <w:name w:val="List Bullet 5"/>
    <w:basedOn w:val="Normal"/>
    <w:uiPriority w:val="99"/>
    <w:semiHidden/>
    <w:rsid w:val="002B2382"/>
    <w:pPr>
      <w:numPr>
        <w:numId w:val="57"/>
      </w:numPr>
      <w:contextualSpacing/>
    </w:pPr>
  </w:style>
  <w:style w:type="paragraph" w:styleId="ListContinue">
    <w:name w:val="List Continue"/>
    <w:basedOn w:val="Normal"/>
    <w:uiPriority w:val="99"/>
    <w:semiHidden/>
    <w:rsid w:val="002D6A5A"/>
    <w:pPr>
      <w:spacing w:after="120"/>
      <w:ind w:left="283"/>
      <w:contextualSpacing/>
    </w:pPr>
  </w:style>
  <w:style w:type="paragraph" w:styleId="ListContinue2">
    <w:name w:val="List Continue 2"/>
    <w:basedOn w:val="Normal"/>
    <w:uiPriority w:val="99"/>
    <w:semiHidden/>
    <w:rsid w:val="002D6A5A"/>
    <w:pPr>
      <w:spacing w:after="120"/>
      <w:ind w:left="566"/>
      <w:contextualSpacing/>
    </w:pPr>
  </w:style>
  <w:style w:type="paragraph" w:styleId="ListContinue3">
    <w:name w:val="List Continue 3"/>
    <w:basedOn w:val="Normal"/>
    <w:uiPriority w:val="99"/>
    <w:semiHidden/>
    <w:rsid w:val="002D6A5A"/>
    <w:pPr>
      <w:spacing w:after="120"/>
      <w:ind w:left="849"/>
      <w:contextualSpacing/>
    </w:pPr>
  </w:style>
  <w:style w:type="paragraph" w:styleId="ListContinue4">
    <w:name w:val="List Continue 4"/>
    <w:basedOn w:val="Normal"/>
    <w:uiPriority w:val="99"/>
    <w:semiHidden/>
    <w:rsid w:val="002D6A5A"/>
    <w:pPr>
      <w:spacing w:after="120"/>
      <w:ind w:left="1132"/>
      <w:contextualSpacing/>
    </w:pPr>
  </w:style>
  <w:style w:type="paragraph" w:styleId="ListContinue5">
    <w:name w:val="List Continue 5"/>
    <w:basedOn w:val="Normal"/>
    <w:uiPriority w:val="99"/>
    <w:semiHidden/>
    <w:rsid w:val="002D6A5A"/>
    <w:pPr>
      <w:spacing w:after="120"/>
      <w:ind w:left="1415"/>
      <w:contextualSpacing/>
    </w:pPr>
  </w:style>
  <w:style w:type="paragraph" w:styleId="ListNumber3">
    <w:name w:val="List Number 3"/>
    <w:basedOn w:val="Normal"/>
    <w:uiPriority w:val="99"/>
    <w:semiHidden/>
    <w:rsid w:val="002D6A5A"/>
    <w:pPr>
      <w:contextualSpacing/>
    </w:pPr>
  </w:style>
  <w:style w:type="paragraph" w:styleId="ListNumber4">
    <w:name w:val="List Number 4"/>
    <w:basedOn w:val="Normal"/>
    <w:uiPriority w:val="99"/>
    <w:semiHidden/>
    <w:rsid w:val="002B2382"/>
    <w:pPr>
      <w:numPr>
        <w:numId w:val="59"/>
      </w:numPr>
      <w:contextualSpacing/>
    </w:pPr>
  </w:style>
  <w:style w:type="paragraph" w:styleId="ListNumber5">
    <w:name w:val="List Number 5"/>
    <w:basedOn w:val="Normal"/>
    <w:uiPriority w:val="99"/>
    <w:semiHidden/>
    <w:rsid w:val="002B2382"/>
    <w:pPr>
      <w:numPr>
        <w:numId w:val="60"/>
      </w:numPr>
      <w:contextualSpacing/>
    </w:pPr>
  </w:style>
  <w:style w:type="paragraph" w:styleId="ListParagraph">
    <w:name w:val="List Paragraph"/>
    <w:basedOn w:val="Normal"/>
    <w:uiPriority w:val="34"/>
    <w:qFormat/>
    <w:rsid w:val="00C666FE"/>
    <w:pPr>
      <w:numPr>
        <w:numId w:val="61"/>
      </w:numPr>
      <w:contextualSpacing/>
    </w:pPr>
  </w:style>
  <w:style w:type="paragraph" w:styleId="MacroText">
    <w:name w:val="macro"/>
    <w:link w:val="MacroTextChar"/>
    <w:uiPriority w:val="99"/>
    <w:semiHidden/>
    <w:rsid w:val="002D6A5A"/>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2D6A5A"/>
    <w:rPr>
      <w:rFonts w:ascii="Consolas" w:hAnsi="Consolas"/>
      <w:sz w:val="20"/>
      <w:szCs w:val="20"/>
      <w:lang w:val="en-AU"/>
    </w:rPr>
  </w:style>
  <w:style w:type="table" w:styleId="MediumGrid1">
    <w:name w:val="Medium Grid 1"/>
    <w:basedOn w:val="TableNormal"/>
    <w:uiPriority w:val="67"/>
    <w:rsid w:val="002D6A5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D6A5A"/>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2D6A5A"/>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2D6A5A"/>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2D6A5A"/>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2D6A5A"/>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2D6A5A"/>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D6A5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D6A5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2D6A5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2D6A5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2D6A5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2D6A5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2D6A5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2D6A5A"/>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D6A5A"/>
    <w:pPr>
      <w:spacing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2D6A5A"/>
    <w:pPr>
      <w:spacing w:line="240" w:lineRule="auto"/>
    </w:pPr>
    <w:rPr>
      <w:color w:val="000000" w:themeColor="text1"/>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2D6A5A"/>
    <w:pPr>
      <w:spacing w:line="240" w:lineRule="auto"/>
    </w:pPr>
    <w:rPr>
      <w:color w:val="000000" w:themeColor="text1"/>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2D6A5A"/>
    <w:pPr>
      <w:spacing w:line="240" w:lineRule="auto"/>
    </w:pPr>
    <w:rPr>
      <w:color w:val="000000" w:themeColor="text1"/>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2D6A5A"/>
    <w:pPr>
      <w:spacing w:line="240" w:lineRule="auto"/>
    </w:pPr>
    <w:rPr>
      <w:color w:val="000000" w:themeColor="text1"/>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2D6A5A"/>
    <w:pPr>
      <w:spacing w:line="240" w:lineRule="auto"/>
    </w:pPr>
    <w:rPr>
      <w:color w:val="000000" w:themeColor="text1"/>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D6A5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2D6A5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D6A5A"/>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D6A5A"/>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D6A5A"/>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D6A5A"/>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D6A5A"/>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D6A5A"/>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D6A5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D6A5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D6A5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D6A5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D6A5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D6A5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D6A5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2D6A5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D6A5A"/>
    <w:rPr>
      <w:rFonts w:asciiTheme="majorHAnsi" w:eastAsiaTheme="majorEastAsia" w:hAnsiTheme="majorHAnsi" w:cstheme="majorBidi"/>
      <w:sz w:val="24"/>
      <w:szCs w:val="24"/>
      <w:shd w:val="pct20" w:color="auto" w:fill="auto"/>
      <w:lang w:val="en-AU"/>
    </w:rPr>
  </w:style>
  <w:style w:type="paragraph" w:styleId="NoSpacing">
    <w:name w:val="No Spacing"/>
    <w:qFormat/>
    <w:rsid w:val="002D6A5A"/>
    <w:rPr>
      <w:lang w:val="en-AU"/>
    </w:rPr>
  </w:style>
  <w:style w:type="paragraph" w:styleId="NormalWeb">
    <w:name w:val="Normal (Web)"/>
    <w:basedOn w:val="Normal"/>
    <w:uiPriority w:val="99"/>
    <w:semiHidden/>
    <w:rsid w:val="002D6A5A"/>
    <w:rPr>
      <w:rFonts w:ascii="Times New Roman" w:hAnsi="Times New Roman" w:cs="Times New Roman"/>
      <w:sz w:val="24"/>
      <w:szCs w:val="24"/>
    </w:rPr>
  </w:style>
  <w:style w:type="paragraph" w:styleId="NormalIndent">
    <w:name w:val="Normal Indent"/>
    <w:basedOn w:val="Normal"/>
    <w:uiPriority w:val="99"/>
    <w:semiHidden/>
    <w:rsid w:val="002D6A5A"/>
    <w:pPr>
      <w:ind w:left="1304"/>
    </w:pPr>
  </w:style>
  <w:style w:type="paragraph" w:styleId="NoteHeading">
    <w:name w:val="Note Heading"/>
    <w:basedOn w:val="Normal"/>
    <w:next w:val="Normal"/>
    <w:link w:val="NoteHeadingChar"/>
    <w:uiPriority w:val="99"/>
    <w:semiHidden/>
    <w:rsid w:val="002D6A5A"/>
    <w:pPr>
      <w:spacing w:line="240" w:lineRule="auto"/>
    </w:pPr>
  </w:style>
  <w:style w:type="character" w:customStyle="1" w:styleId="NoteHeadingChar">
    <w:name w:val="Note Heading Char"/>
    <w:basedOn w:val="DefaultParagraphFont"/>
    <w:link w:val="NoteHeading"/>
    <w:uiPriority w:val="99"/>
    <w:semiHidden/>
    <w:rsid w:val="002D6A5A"/>
    <w:rPr>
      <w:lang w:val="en-AU"/>
    </w:rPr>
  </w:style>
  <w:style w:type="character" w:styleId="PageNumber">
    <w:name w:val="page number"/>
    <w:basedOn w:val="DefaultParagraphFont"/>
    <w:uiPriority w:val="10"/>
    <w:semiHidden/>
    <w:rsid w:val="002D6A5A"/>
    <w:rPr>
      <w:lang w:val="en-AU"/>
    </w:rPr>
  </w:style>
  <w:style w:type="paragraph" w:styleId="PlainText">
    <w:name w:val="Plain Text"/>
    <w:basedOn w:val="Normal"/>
    <w:link w:val="PlainTextChar"/>
    <w:uiPriority w:val="99"/>
    <w:semiHidden/>
    <w:rsid w:val="002D6A5A"/>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D6A5A"/>
    <w:rPr>
      <w:rFonts w:ascii="Consolas" w:hAnsi="Consolas"/>
      <w:sz w:val="21"/>
      <w:szCs w:val="21"/>
      <w:lang w:val="en-AU"/>
    </w:rPr>
  </w:style>
  <w:style w:type="paragraph" w:styleId="Quote">
    <w:name w:val="Quote"/>
    <w:basedOn w:val="Normal"/>
    <w:next w:val="Normal"/>
    <w:link w:val="QuoteChar"/>
    <w:uiPriority w:val="29"/>
    <w:semiHidden/>
    <w:qFormat/>
    <w:rsid w:val="002D6A5A"/>
    <w:pPr>
      <w:spacing w:after="0"/>
    </w:pPr>
    <w:rPr>
      <w:i/>
      <w:iCs/>
      <w:color w:val="000000" w:themeColor="text1"/>
    </w:rPr>
  </w:style>
  <w:style w:type="character" w:customStyle="1" w:styleId="QuoteChar">
    <w:name w:val="Quote Char"/>
    <w:basedOn w:val="DefaultParagraphFont"/>
    <w:link w:val="Quote"/>
    <w:uiPriority w:val="29"/>
    <w:semiHidden/>
    <w:rsid w:val="002D6A5A"/>
    <w:rPr>
      <w:i/>
      <w:iCs/>
      <w:color w:val="000000" w:themeColor="text1"/>
      <w:lang w:val="en-AU"/>
    </w:rPr>
  </w:style>
  <w:style w:type="paragraph" w:styleId="Salutation">
    <w:name w:val="Salutation"/>
    <w:basedOn w:val="Normal"/>
    <w:next w:val="Normal"/>
    <w:link w:val="SalutationChar"/>
    <w:uiPriority w:val="99"/>
    <w:semiHidden/>
    <w:rsid w:val="002D6A5A"/>
  </w:style>
  <w:style w:type="character" w:customStyle="1" w:styleId="SalutationChar">
    <w:name w:val="Salutation Char"/>
    <w:basedOn w:val="DefaultParagraphFont"/>
    <w:link w:val="Salutation"/>
    <w:uiPriority w:val="99"/>
    <w:semiHidden/>
    <w:rsid w:val="002D6A5A"/>
    <w:rPr>
      <w:lang w:val="en-AU"/>
    </w:rPr>
  </w:style>
  <w:style w:type="paragraph" w:styleId="Signature">
    <w:name w:val="Signature"/>
    <w:basedOn w:val="Normal"/>
    <w:link w:val="SignatureChar"/>
    <w:uiPriority w:val="99"/>
    <w:semiHidden/>
    <w:rsid w:val="002D6A5A"/>
    <w:pPr>
      <w:keepNext/>
      <w:keepLines/>
    </w:pPr>
  </w:style>
  <w:style w:type="character" w:customStyle="1" w:styleId="SignatureChar">
    <w:name w:val="Signature Char"/>
    <w:basedOn w:val="DefaultParagraphFont"/>
    <w:link w:val="Signature"/>
    <w:uiPriority w:val="99"/>
    <w:semiHidden/>
    <w:rsid w:val="002D6A5A"/>
    <w:rPr>
      <w:lang w:val="en-AU"/>
    </w:rPr>
  </w:style>
  <w:style w:type="character" w:styleId="Strong">
    <w:name w:val="Strong"/>
    <w:basedOn w:val="DefaultParagraphFont"/>
    <w:uiPriority w:val="22"/>
    <w:qFormat/>
    <w:rsid w:val="002D6A5A"/>
    <w:rPr>
      <w:b/>
      <w:bCs/>
      <w:lang w:val="en-AU"/>
    </w:rPr>
  </w:style>
  <w:style w:type="paragraph" w:styleId="Subtitle">
    <w:name w:val="Subtitle"/>
    <w:basedOn w:val="Normal"/>
    <w:next w:val="Normal"/>
    <w:link w:val="SubtitleChar"/>
    <w:uiPriority w:val="11"/>
    <w:semiHidden/>
    <w:qFormat/>
    <w:rsid w:val="002D6A5A"/>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semiHidden/>
    <w:rsid w:val="002D6A5A"/>
    <w:rPr>
      <w:rFonts w:eastAsiaTheme="majorEastAsia" w:cstheme="majorBidi"/>
      <w:i/>
      <w:iCs/>
      <w:color w:val="86BC25" w:themeColor="accent1"/>
      <w:spacing w:val="15"/>
      <w:sz w:val="24"/>
      <w:szCs w:val="24"/>
      <w:lang w:val="en-AU"/>
    </w:rPr>
  </w:style>
  <w:style w:type="character" w:styleId="SubtleEmphasis">
    <w:name w:val="Subtle Emphasis"/>
    <w:basedOn w:val="DefaultParagraphFont"/>
    <w:uiPriority w:val="99"/>
    <w:semiHidden/>
    <w:qFormat/>
    <w:rsid w:val="002D6A5A"/>
    <w:rPr>
      <w:i/>
      <w:iCs/>
      <w:color w:val="808080" w:themeColor="text1" w:themeTint="7F"/>
      <w:lang w:val="en-AU"/>
    </w:rPr>
  </w:style>
  <w:style w:type="character" w:styleId="SubtleReference">
    <w:name w:val="Subtle Reference"/>
    <w:basedOn w:val="DefaultParagraphFont"/>
    <w:uiPriority w:val="99"/>
    <w:semiHidden/>
    <w:qFormat/>
    <w:rsid w:val="002D6A5A"/>
    <w:rPr>
      <w:smallCaps/>
      <w:color w:val="046A38" w:themeColor="accent2"/>
      <w:u w:val="single"/>
      <w:lang w:val="en-AU"/>
    </w:rPr>
  </w:style>
  <w:style w:type="table" w:styleId="Table3Deffects1">
    <w:name w:val="Table 3D effects 1"/>
    <w:basedOn w:val="TableNormal"/>
    <w:uiPriority w:val="99"/>
    <w:semiHidden/>
    <w:unhideWhenUsed/>
    <w:rsid w:val="002D6A5A"/>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D6A5A"/>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D6A5A"/>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D6A5A"/>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D6A5A"/>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D6A5A"/>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D6A5A"/>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D6A5A"/>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D6A5A"/>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D6A5A"/>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D6A5A"/>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D6A5A"/>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D6A5A"/>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D6A5A"/>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D6A5A"/>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D6A5A"/>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D6A5A"/>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D6A5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D6A5A"/>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D6A5A"/>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D6A5A"/>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D6A5A"/>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D6A5A"/>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D6A5A"/>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D6A5A"/>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D6A5A"/>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D6A5A"/>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D6A5A"/>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D6A5A"/>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D6A5A"/>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D6A5A"/>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D6A5A"/>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D6A5A"/>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2D6A5A"/>
    <w:pPr>
      <w:ind w:left="180" w:hanging="180"/>
    </w:pPr>
  </w:style>
  <w:style w:type="paragraph" w:styleId="TableofFigures">
    <w:name w:val="table of figures"/>
    <w:basedOn w:val="Normal"/>
    <w:next w:val="Normal"/>
    <w:uiPriority w:val="99"/>
    <w:semiHidden/>
    <w:rsid w:val="002D6A5A"/>
  </w:style>
  <w:style w:type="table" w:styleId="TableProfessional">
    <w:name w:val="Table Professional"/>
    <w:basedOn w:val="TableNormal"/>
    <w:uiPriority w:val="99"/>
    <w:semiHidden/>
    <w:unhideWhenUsed/>
    <w:rsid w:val="002D6A5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D6A5A"/>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D6A5A"/>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D6A5A"/>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D6A5A"/>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D6A5A"/>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D6A5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D6A5A"/>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D6A5A"/>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D6A5A"/>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2D6A5A"/>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2D6A5A"/>
    <w:rPr>
      <w:rFonts w:eastAsiaTheme="majorEastAsia" w:cstheme="majorBidi"/>
      <w:color w:val="323E4F" w:themeColor="text2" w:themeShade="BF"/>
      <w:spacing w:val="5"/>
      <w:kern w:val="28"/>
      <w:sz w:val="52"/>
      <w:szCs w:val="52"/>
      <w:lang w:val="en-AU"/>
    </w:rPr>
  </w:style>
  <w:style w:type="paragraph" w:styleId="TOAHeading">
    <w:name w:val="toa heading"/>
    <w:basedOn w:val="Normal"/>
    <w:next w:val="Normal"/>
    <w:uiPriority w:val="99"/>
    <w:semiHidden/>
    <w:rsid w:val="002D6A5A"/>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2D6A5A"/>
    <w:pPr>
      <w:tabs>
        <w:tab w:val="left" w:pos="567"/>
        <w:tab w:val="right" w:pos="8959"/>
      </w:tabs>
      <w:spacing w:after="100"/>
      <w:ind w:left="1134" w:right="567" w:hanging="567"/>
      <w:contextualSpacing/>
    </w:pPr>
  </w:style>
  <w:style w:type="paragraph" w:styleId="TOC3">
    <w:name w:val="toc 3"/>
    <w:basedOn w:val="Normal"/>
    <w:next w:val="Normal"/>
    <w:uiPriority w:val="39"/>
    <w:rsid w:val="002D6A5A"/>
    <w:pPr>
      <w:tabs>
        <w:tab w:val="left" w:pos="1021"/>
        <w:tab w:val="right" w:pos="8959"/>
      </w:tabs>
      <w:spacing w:after="100"/>
      <w:ind w:left="567" w:right="567"/>
      <w:contextualSpacing/>
    </w:pPr>
  </w:style>
  <w:style w:type="paragraph" w:styleId="TOC4">
    <w:name w:val="toc 4"/>
    <w:basedOn w:val="Normal"/>
    <w:next w:val="Normal"/>
    <w:uiPriority w:val="39"/>
    <w:rsid w:val="002D6A5A"/>
    <w:pPr>
      <w:tabs>
        <w:tab w:val="right" w:pos="8959"/>
      </w:tabs>
      <w:spacing w:after="100"/>
      <w:ind w:right="567"/>
      <w:contextualSpacing/>
    </w:pPr>
  </w:style>
  <w:style w:type="paragraph" w:styleId="TOC5">
    <w:name w:val="toc 5"/>
    <w:basedOn w:val="Normal"/>
    <w:next w:val="Normal"/>
    <w:uiPriority w:val="39"/>
    <w:rsid w:val="002D6A5A"/>
    <w:pPr>
      <w:spacing w:after="100"/>
      <w:ind w:left="567" w:right="567"/>
      <w:contextualSpacing/>
    </w:pPr>
  </w:style>
  <w:style w:type="paragraph" w:styleId="TOC6">
    <w:name w:val="toc 6"/>
    <w:basedOn w:val="Normal"/>
    <w:next w:val="Normal"/>
    <w:uiPriority w:val="39"/>
    <w:rsid w:val="002D6A5A"/>
    <w:pPr>
      <w:tabs>
        <w:tab w:val="right" w:pos="8959"/>
      </w:tabs>
      <w:spacing w:after="100"/>
      <w:ind w:right="567"/>
      <w:contextualSpacing/>
    </w:pPr>
  </w:style>
  <w:style w:type="paragraph" w:styleId="TOC7">
    <w:name w:val="toc 7"/>
    <w:basedOn w:val="Normal"/>
    <w:next w:val="Normal"/>
    <w:uiPriority w:val="39"/>
    <w:rsid w:val="002D6A5A"/>
    <w:pPr>
      <w:tabs>
        <w:tab w:val="right" w:pos="8959"/>
      </w:tabs>
      <w:spacing w:after="100"/>
      <w:ind w:right="567"/>
      <w:contextualSpacing/>
    </w:pPr>
  </w:style>
  <w:style w:type="paragraph" w:styleId="TOC8">
    <w:name w:val="toc 8"/>
    <w:basedOn w:val="Normal"/>
    <w:next w:val="Normal"/>
    <w:uiPriority w:val="39"/>
    <w:rsid w:val="002D6A5A"/>
    <w:pPr>
      <w:tabs>
        <w:tab w:val="right" w:pos="8959"/>
      </w:tabs>
      <w:spacing w:after="100"/>
      <w:ind w:right="567"/>
      <w:contextualSpacing/>
    </w:pPr>
  </w:style>
  <w:style w:type="paragraph" w:styleId="TOC9">
    <w:name w:val="toc 9"/>
    <w:basedOn w:val="Normal"/>
    <w:next w:val="Normal"/>
    <w:uiPriority w:val="39"/>
    <w:rsid w:val="002D6A5A"/>
    <w:pPr>
      <w:spacing w:after="100"/>
      <w:ind w:left="567" w:right="567"/>
      <w:contextualSpacing/>
    </w:pPr>
  </w:style>
  <w:style w:type="paragraph" w:styleId="TOCHeading">
    <w:name w:val="TOC Heading"/>
    <w:next w:val="Normal"/>
    <w:uiPriority w:val="39"/>
    <w:semiHidden/>
    <w:rsid w:val="002D6A5A"/>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2D6A5A"/>
    <w:pPr>
      <w:tabs>
        <w:tab w:val="left" w:pos="567"/>
      </w:tabs>
      <w:spacing w:after="0" w:line="280" w:lineRule="atLeast"/>
    </w:pPr>
    <w:rPr>
      <w:noProof/>
      <w:sz w:val="16"/>
    </w:rPr>
  </w:style>
  <w:style w:type="paragraph" w:customStyle="1" w:styleId="Template-Dato">
    <w:name w:val="Template - Dato"/>
    <w:basedOn w:val="Normal"/>
    <w:uiPriority w:val="9"/>
    <w:semiHidden/>
    <w:rsid w:val="002D6A5A"/>
    <w:pPr>
      <w:spacing w:after="0" w:line="280" w:lineRule="atLeast"/>
    </w:pPr>
    <w:rPr>
      <w:noProof/>
      <w:sz w:val="16"/>
    </w:rPr>
  </w:style>
  <w:style w:type="paragraph" w:customStyle="1" w:styleId="Letterheadaddressnospacing">
    <w:name w:val="Letterhead address (no spacing)"/>
    <w:uiPriority w:val="99"/>
    <w:semiHidden/>
    <w:qFormat/>
    <w:rsid w:val="002D6A5A"/>
    <w:pPr>
      <w:framePr w:wrap="around" w:vAnchor="page" w:hAnchor="page" w:x="1" w:y="1"/>
      <w:spacing w:line="240" w:lineRule="auto"/>
      <w:suppressOverlap/>
    </w:pPr>
    <w:rPr>
      <w:rFonts w:eastAsia="Times New Roman" w:cs="Times New Roman"/>
      <w:noProof/>
      <w:color w:val="7F7F7F" w:themeColor="text1" w:themeTint="80"/>
      <w:sz w:val="14"/>
      <w:lang w:val="en-AU" w:bidi="en-US"/>
    </w:rPr>
  </w:style>
  <w:style w:type="paragraph" w:customStyle="1" w:styleId="DocumentHeading">
    <w:name w:val="Document Heading"/>
    <w:basedOn w:val="Normal"/>
    <w:next w:val="BodyText"/>
    <w:uiPriority w:val="99"/>
    <w:semiHidden/>
    <w:rsid w:val="002D6A5A"/>
    <w:pPr>
      <w:suppressAutoHyphens/>
      <w:spacing w:before="240" w:after="240"/>
    </w:pPr>
    <w:rPr>
      <w:b/>
    </w:rPr>
  </w:style>
  <w:style w:type="paragraph" w:customStyle="1" w:styleId="Disclaimer">
    <w:name w:val="Disclaimer"/>
    <w:basedOn w:val="Footer"/>
    <w:rsid w:val="002D6A5A"/>
    <w:pPr>
      <w:tabs>
        <w:tab w:val="clear" w:pos="7371"/>
      </w:tabs>
      <w:spacing w:line="130" w:lineRule="atLeast"/>
      <w:suppressOverlap/>
    </w:pPr>
    <w:rPr>
      <w:rFonts w:eastAsia="Times New Roman" w:cs="Arial"/>
      <w:sz w:val="11"/>
      <w:szCs w:val="17"/>
      <w:lang w:eastAsia="en-GB"/>
    </w:rPr>
  </w:style>
  <w:style w:type="paragraph" w:customStyle="1" w:styleId="SenderName">
    <w:name w:val="Sender Name"/>
    <w:basedOn w:val="Normal"/>
    <w:uiPriority w:val="8"/>
    <w:rsid w:val="002D6A5A"/>
    <w:pPr>
      <w:keepNext/>
      <w:keepLines/>
      <w:spacing w:after="0"/>
    </w:pPr>
    <w:rPr>
      <w:b/>
      <w:szCs w:val="17"/>
    </w:rPr>
  </w:style>
  <w:style w:type="paragraph" w:customStyle="1" w:styleId="SignatureName">
    <w:name w:val="Signature Name"/>
    <w:basedOn w:val="Normal"/>
    <w:next w:val="SignatureTitle"/>
    <w:uiPriority w:val="7"/>
    <w:semiHidden/>
    <w:rsid w:val="002D6A5A"/>
    <w:pPr>
      <w:keepNext/>
      <w:keepLines/>
      <w:spacing w:after="0"/>
    </w:pPr>
    <w:rPr>
      <w:b/>
      <w:color w:val="62B5E5" w:themeColor="accent3"/>
    </w:rPr>
  </w:style>
  <w:style w:type="paragraph" w:customStyle="1" w:styleId="SignatureTitle">
    <w:name w:val="Signature Title"/>
    <w:basedOn w:val="Normal"/>
    <w:next w:val="BodyText"/>
    <w:uiPriority w:val="7"/>
    <w:semiHidden/>
    <w:rsid w:val="002D6A5A"/>
    <w:pPr>
      <w:spacing w:after="0"/>
    </w:pPr>
    <w:rPr>
      <w:b/>
    </w:rPr>
  </w:style>
  <w:style w:type="paragraph" w:customStyle="1" w:styleId="Heading2un-numbered">
    <w:name w:val="Heading 2 (un-numbered)"/>
    <w:basedOn w:val="Heading2"/>
    <w:next w:val="Normal"/>
    <w:uiPriority w:val="2"/>
    <w:qFormat/>
    <w:rsid w:val="00003425"/>
    <w:pPr>
      <w:numPr>
        <w:ilvl w:val="0"/>
        <w:numId w:val="0"/>
      </w:numPr>
    </w:pPr>
  </w:style>
  <w:style w:type="paragraph" w:customStyle="1" w:styleId="Heading3un-numbered">
    <w:name w:val="Heading 3 (un-numbered)"/>
    <w:basedOn w:val="Heading3"/>
    <w:next w:val="Normal"/>
    <w:uiPriority w:val="2"/>
    <w:qFormat/>
    <w:rsid w:val="00C666FE"/>
    <w:pPr>
      <w:numPr>
        <w:ilvl w:val="0"/>
        <w:numId w:val="0"/>
      </w:numPr>
    </w:pPr>
  </w:style>
  <w:style w:type="paragraph" w:customStyle="1" w:styleId="Heading4un-numbered">
    <w:name w:val="Heading 4 (un-numbered)"/>
    <w:basedOn w:val="Heading4"/>
    <w:next w:val="Normal"/>
    <w:uiPriority w:val="2"/>
    <w:qFormat/>
    <w:rsid w:val="00076776"/>
    <w:pPr>
      <w:numPr>
        <w:ilvl w:val="0"/>
        <w:numId w:val="0"/>
      </w:numPr>
    </w:pPr>
  </w:style>
  <w:style w:type="paragraph" w:customStyle="1" w:styleId="BulletedText1">
    <w:name w:val="Bulleted Text 1"/>
    <w:basedOn w:val="Normal"/>
    <w:uiPriority w:val="4"/>
    <w:semiHidden/>
    <w:qFormat/>
    <w:rsid w:val="002B2382"/>
    <w:pPr>
      <w:numPr>
        <w:numId w:val="53"/>
      </w:numPr>
      <w:suppressAutoHyphens/>
      <w:spacing w:after="0" w:line="250" w:lineRule="atLeast"/>
    </w:pPr>
  </w:style>
  <w:style w:type="paragraph" w:customStyle="1" w:styleId="BulletedText2">
    <w:name w:val="Bulleted Text 2"/>
    <w:basedOn w:val="Normal"/>
    <w:uiPriority w:val="4"/>
    <w:semiHidden/>
    <w:rsid w:val="002D6A5A"/>
    <w:pPr>
      <w:numPr>
        <w:ilvl w:val="1"/>
        <w:numId w:val="53"/>
      </w:numPr>
      <w:suppressAutoHyphens/>
      <w:spacing w:after="0" w:line="250" w:lineRule="atLeast"/>
    </w:pPr>
  </w:style>
  <w:style w:type="paragraph" w:customStyle="1" w:styleId="Numberslevel1">
    <w:name w:val="Numbers level 1"/>
    <w:basedOn w:val="Normal"/>
    <w:uiPriority w:val="4"/>
    <w:semiHidden/>
    <w:qFormat/>
    <w:rsid w:val="002B2382"/>
    <w:pPr>
      <w:numPr>
        <w:numId w:val="62"/>
      </w:numPr>
      <w:suppressAutoHyphens/>
      <w:spacing w:after="0" w:line="250" w:lineRule="atLeast"/>
    </w:pPr>
  </w:style>
  <w:style w:type="paragraph" w:customStyle="1" w:styleId="Numberslevel2">
    <w:name w:val="Numbers level 2"/>
    <w:basedOn w:val="Normal"/>
    <w:uiPriority w:val="4"/>
    <w:semiHidden/>
    <w:rsid w:val="002D6A5A"/>
    <w:pPr>
      <w:numPr>
        <w:ilvl w:val="1"/>
        <w:numId w:val="62"/>
      </w:numPr>
      <w:suppressAutoHyphens/>
      <w:spacing w:after="0" w:line="250" w:lineRule="atLeast"/>
    </w:pPr>
  </w:style>
  <w:style w:type="paragraph" w:customStyle="1" w:styleId="Numberslevel3">
    <w:name w:val="Numbers level 3"/>
    <w:basedOn w:val="Normal"/>
    <w:uiPriority w:val="4"/>
    <w:semiHidden/>
    <w:rsid w:val="002D6A5A"/>
    <w:pPr>
      <w:numPr>
        <w:ilvl w:val="2"/>
        <w:numId w:val="62"/>
      </w:numPr>
      <w:suppressAutoHyphens/>
      <w:spacing w:after="0" w:line="250" w:lineRule="atLeast"/>
    </w:pPr>
  </w:style>
  <w:style w:type="paragraph" w:customStyle="1" w:styleId="TabletextLeftTotal">
    <w:name w:val="Table text Left Total"/>
    <w:basedOn w:val="TabletextLeft"/>
    <w:uiPriority w:val="5"/>
    <w:rsid w:val="002D6A5A"/>
    <w:rPr>
      <w:b/>
    </w:rPr>
  </w:style>
  <w:style w:type="paragraph" w:customStyle="1" w:styleId="TabletextRightTotal">
    <w:name w:val="Table text Right Total"/>
    <w:basedOn w:val="TabletextRight"/>
    <w:uiPriority w:val="5"/>
    <w:rsid w:val="002D6A5A"/>
    <w:rPr>
      <w:b/>
    </w:rPr>
  </w:style>
  <w:style w:type="table" w:customStyle="1" w:styleId="DeloitteBandedrows">
    <w:name w:val="Deloitte Banded rows"/>
    <w:basedOn w:val="TableNormal"/>
    <w:uiPriority w:val="99"/>
    <w:rsid w:val="002D6A5A"/>
    <w:pPr>
      <w:spacing w:line="200" w:lineRule="atLeast"/>
      <w:ind w:left="57" w:right="57"/>
    </w:pPr>
    <w:rPr>
      <w:sz w:val="17"/>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2D6A5A"/>
    <w:pPr>
      <w:spacing w:after="0"/>
      <w:ind w:left="-57"/>
    </w:pPr>
    <w:rPr>
      <w:color w:val="FF0000"/>
      <w:sz w:val="36"/>
    </w:rPr>
  </w:style>
  <w:style w:type="paragraph" w:customStyle="1" w:styleId="CV-Name">
    <w:name w:val="CV - Name"/>
    <w:basedOn w:val="Normal"/>
    <w:uiPriority w:val="7"/>
    <w:rsid w:val="002D6A5A"/>
    <w:pPr>
      <w:spacing w:after="240"/>
      <w:contextualSpacing/>
    </w:pPr>
    <w:rPr>
      <w:b/>
      <w:color w:val="62B5E5" w:themeColor="accent3"/>
    </w:rPr>
  </w:style>
  <w:style w:type="paragraph" w:customStyle="1" w:styleId="HeadingA">
    <w:name w:val="Heading A"/>
    <w:next w:val="Normal"/>
    <w:uiPriority w:val="3"/>
    <w:rsid w:val="002D6A5A"/>
    <w:pPr>
      <w:keepNext/>
      <w:keepLines/>
      <w:spacing w:before="240" w:line="280" w:lineRule="atLeast"/>
    </w:pPr>
    <w:rPr>
      <w:rFonts w:eastAsia="Times New Roman" w:cs="Times New Roman"/>
      <w:b/>
      <w:color w:val="62B5E5" w:themeColor="accent3"/>
      <w:sz w:val="22"/>
      <w:szCs w:val="28"/>
      <w:lang w:val="en-AU"/>
    </w:rPr>
  </w:style>
  <w:style w:type="paragraph" w:customStyle="1" w:styleId="HeadingB">
    <w:name w:val="Heading B"/>
    <w:basedOn w:val="HeadingA"/>
    <w:next w:val="Normal"/>
    <w:uiPriority w:val="3"/>
    <w:rsid w:val="002D6A5A"/>
    <w:pPr>
      <w:spacing w:before="0"/>
    </w:pPr>
    <w:rPr>
      <w:color w:val="auto"/>
      <w:szCs w:val="26"/>
    </w:rPr>
  </w:style>
  <w:style w:type="paragraph" w:customStyle="1" w:styleId="HeadingC">
    <w:name w:val="Heading C"/>
    <w:basedOn w:val="Normal"/>
    <w:next w:val="Normal"/>
    <w:uiPriority w:val="3"/>
    <w:rsid w:val="002D6A5A"/>
    <w:pPr>
      <w:keepNext/>
      <w:keepLines/>
      <w:spacing w:after="0"/>
    </w:pPr>
    <w:rPr>
      <w:rFonts w:eastAsia="Times New Roman" w:cs="Times New Roman"/>
      <w:b/>
      <w:color w:val="75787B" w:themeColor="accent6"/>
      <w:szCs w:val="28"/>
    </w:rPr>
  </w:style>
  <w:style w:type="paragraph" w:customStyle="1" w:styleId="CaptionTable">
    <w:name w:val="Caption_Table"/>
    <w:basedOn w:val="Normal"/>
    <w:next w:val="Normal"/>
    <w:uiPriority w:val="4"/>
    <w:rsid w:val="00C4758D"/>
    <w:pPr>
      <w:keepNext/>
      <w:keepLines/>
      <w:numPr>
        <w:ilvl w:val="6"/>
        <w:numId w:val="80"/>
      </w:numPr>
      <w:spacing w:before="240" w:after="240"/>
    </w:pPr>
    <w:rPr>
      <w:rFonts w:eastAsia="Times New Roman" w:cs="Times New Roman"/>
      <w:color w:val="57595C" w:themeColor="accent6" w:themeShade="BF"/>
      <w:sz w:val="17"/>
      <w:szCs w:val="20"/>
    </w:rPr>
  </w:style>
  <w:style w:type="paragraph" w:customStyle="1" w:styleId="CaptionFigure">
    <w:name w:val="Caption_Figure"/>
    <w:basedOn w:val="Normal"/>
    <w:next w:val="Normal"/>
    <w:uiPriority w:val="4"/>
    <w:rsid w:val="004F7788"/>
    <w:pPr>
      <w:keepNext/>
      <w:keepLines/>
      <w:numPr>
        <w:ilvl w:val="8"/>
        <w:numId w:val="80"/>
      </w:numPr>
    </w:pPr>
    <w:rPr>
      <w:bCs/>
      <w:color w:val="57595C" w:themeColor="accent6" w:themeShade="BF"/>
      <w:sz w:val="17"/>
      <w:szCs w:val="22"/>
    </w:rPr>
  </w:style>
  <w:style w:type="paragraph" w:customStyle="1" w:styleId="CaptionChart">
    <w:name w:val="Caption_Chart"/>
    <w:basedOn w:val="Normal"/>
    <w:next w:val="Normal"/>
    <w:uiPriority w:val="4"/>
    <w:rsid w:val="00DF17D0"/>
    <w:pPr>
      <w:keepNext/>
      <w:keepLines/>
      <w:numPr>
        <w:ilvl w:val="7"/>
        <w:numId w:val="80"/>
      </w:numPr>
    </w:pPr>
    <w:rPr>
      <w:color w:val="57595C" w:themeColor="accent6" w:themeShade="BF"/>
      <w:sz w:val="17"/>
    </w:rPr>
  </w:style>
  <w:style w:type="paragraph" w:customStyle="1" w:styleId="ExecutiveHeading">
    <w:name w:val="Executive Heading"/>
    <w:basedOn w:val="Heading1un-numbered"/>
    <w:next w:val="Normal"/>
    <w:uiPriority w:val="3"/>
    <w:rsid w:val="002B2382"/>
    <w:pPr>
      <w:numPr>
        <w:numId w:val="54"/>
      </w:numPr>
    </w:pPr>
  </w:style>
  <w:style w:type="paragraph" w:customStyle="1" w:styleId="Reference">
    <w:name w:val="Reference"/>
    <w:basedOn w:val="Normal"/>
    <w:uiPriority w:val="4"/>
    <w:rsid w:val="002D6A5A"/>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2D6A5A"/>
    <w:pPr>
      <w:numPr>
        <w:ilvl w:val="2"/>
        <w:numId w:val="54"/>
      </w:numPr>
    </w:pPr>
    <w:rPr>
      <w:rFonts w:eastAsia="Times New Roman" w:cs="Times New Roman"/>
      <w:szCs w:val="20"/>
    </w:rPr>
  </w:style>
  <w:style w:type="paragraph" w:customStyle="1" w:styleId="ExecFigureCaption">
    <w:name w:val="Exec Figure Caption"/>
    <w:basedOn w:val="Caption"/>
    <w:next w:val="Normal"/>
    <w:uiPriority w:val="4"/>
    <w:rsid w:val="005051DF"/>
    <w:pPr>
      <w:numPr>
        <w:ilvl w:val="3"/>
        <w:numId w:val="54"/>
      </w:numPr>
    </w:pPr>
    <w:rPr>
      <w:rFonts w:eastAsia="Times New Roman" w:cs="Times New Roman"/>
      <w:color w:val="57595C" w:themeColor="accent6" w:themeShade="BF"/>
      <w:szCs w:val="20"/>
    </w:rPr>
  </w:style>
  <w:style w:type="paragraph" w:customStyle="1" w:styleId="ExecTableCaption">
    <w:name w:val="Exec Table Caption"/>
    <w:basedOn w:val="Caption"/>
    <w:next w:val="Normal"/>
    <w:uiPriority w:val="4"/>
    <w:rsid w:val="002D6A5A"/>
    <w:pPr>
      <w:numPr>
        <w:ilvl w:val="1"/>
        <w:numId w:val="54"/>
      </w:numPr>
    </w:pPr>
    <w:rPr>
      <w:rFonts w:eastAsia="Times New Roman" w:cs="Times New Roman"/>
      <w:szCs w:val="20"/>
    </w:rPr>
  </w:style>
  <w:style w:type="paragraph" w:customStyle="1" w:styleId="Appendixhead2">
    <w:name w:val="Appendix_head_2"/>
    <w:basedOn w:val="Heading2"/>
    <w:next w:val="Normal"/>
    <w:link w:val="Appendixhead2Char"/>
    <w:uiPriority w:val="3"/>
    <w:rsid w:val="00E479A3"/>
    <w:pPr>
      <w:numPr>
        <w:numId w:val="52"/>
      </w:numPr>
      <w:tabs>
        <w:tab w:val="left" w:pos="851"/>
      </w:tabs>
      <w:outlineLvl w:val="9"/>
    </w:pPr>
    <w:rPr>
      <w:rFonts w:eastAsia="Times New Roman" w:cs="Times New Roman"/>
      <w:bCs w:val="0"/>
      <w:color w:val="auto"/>
      <w:szCs w:val="28"/>
      <w:lang w:eastAsia="en-AU"/>
    </w:rPr>
  </w:style>
  <w:style w:type="paragraph" w:customStyle="1" w:styleId="Appendixhead3">
    <w:name w:val="Appendix_head_3"/>
    <w:basedOn w:val="Heading3"/>
    <w:next w:val="Normal"/>
    <w:link w:val="Appendixhead3Char"/>
    <w:uiPriority w:val="3"/>
    <w:rsid w:val="00E479A3"/>
    <w:pPr>
      <w:numPr>
        <w:numId w:val="52"/>
      </w:numPr>
      <w:spacing w:before="240" w:after="240"/>
      <w:outlineLvl w:val="9"/>
    </w:pPr>
    <w:rPr>
      <w:rFonts w:eastAsia="Times New Roman" w:cs="Times New Roman"/>
      <w:bCs w:val="0"/>
      <w:szCs w:val="20"/>
    </w:rPr>
  </w:style>
  <w:style w:type="paragraph" w:customStyle="1" w:styleId="Appendixhead4">
    <w:name w:val="Appendix_head_4"/>
    <w:basedOn w:val="Heading4"/>
    <w:next w:val="Normal"/>
    <w:uiPriority w:val="3"/>
    <w:rsid w:val="00E479A3"/>
    <w:pPr>
      <w:numPr>
        <w:numId w:val="52"/>
      </w:numPr>
      <w:tabs>
        <w:tab w:val="clear" w:pos="340"/>
      </w:tabs>
      <w:outlineLvl w:val="9"/>
    </w:pPr>
    <w:rPr>
      <w:rFonts w:eastAsia="Times New Roman" w:cs="Times New Roman"/>
      <w:bCs w:val="0"/>
      <w:iCs w:val="0"/>
      <w:szCs w:val="24"/>
      <w:lang w:eastAsia="en-AU"/>
    </w:rPr>
  </w:style>
  <w:style w:type="paragraph" w:customStyle="1" w:styleId="Appendixhead1">
    <w:name w:val="Appendix_head_1"/>
    <w:basedOn w:val="Heading1"/>
    <w:next w:val="Normal"/>
    <w:link w:val="Appendixhead1Char"/>
    <w:uiPriority w:val="3"/>
    <w:rsid w:val="002B2382"/>
    <w:pPr>
      <w:numPr>
        <w:numId w:val="52"/>
      </w:numPr>
    </w:pPr>
    <w:rPr>
      <w:rFonts w:eastAsia="Times New Roman" w:cs="Arial"/>
      <w:szCs w:val="20"/>
    </w:rPr>
  </w:style>
  <w:style w:type="character" w:customStyle="1" w:styleId="Appendixhead1Char">
    <w:name w:val="Appendix_head_1 Char"/>
    <w:basedOn w:val="DefaultParagraphFont"/>
    <w:link w:val="Appendixhead1"/>
    <w:uiPriority w:val="3"/>
    <w:rsid w:val="002D6A5A"/>
    <w:rPr>
      <w:rFonts w:eastAsia="Times New Roman" w:cs="Arial"/>
      <w:bCs/>
      <w:sz w:val="60"/>
      <w:szCs w:val="20"/>
      <w:lang w:val="en-AU"/>
    </w:rPr>
  </w:style>
  <w:style w:type="paragraph" w:customStyle="1" w:styleId="AppendixTableCaption">
    <w:name w:val="Appendix Table Caption"/>
    <w:basedOn w:val="Appendixhead4"/>
    <w:next w:val="Normal"/>
    <w:link w:val="AppendixTableCaptionChar"/>
    <w:uiPriority w:val="4"/>
    <w:rsid w:val="002B2382"/>
    <w:pPr>
      <w:numPr>
        <w:ilvl w:val="6"/>
      </w:numPr>
      <w:spacing w:after="240"/>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2B2382"/>
    <w:pPr>
      <w:numPr>
        <w:ilvl w:val="7"/>
      </w:numPr>
      <w:outlineLvl w:val="5"/>
    </w:pPr>
  </w:style>
  <w:style w:type="paragraph" w:customStyle="1" w:styleId="AppendixFigureCaption">
    <w:name w:val="Appendix Figure Caption"/>
    <w:basedOn w:val="AppendixChartCaption"/>
    <w:next w:val="Normal"/>
    <w:link w:val="AppendixFigureCaptionChar"/>
    <w:uiPriority w:val="4"/>
    <w:rsid w:val="002B2382"/>
    <w:pPr>
      <w:numPr>
        <w:ilvl w:val="8"/>
      </w:numPr>
      <w:outlineLvl w:val="6"/>
    </w:pPr>
  </w:style>
  <w:style w:type="character" w:customStyle="1" w:styleId="Appendixhead2Char">
    <w:name w:val="Appendix_head_2 Char"/>
    <w:basedOn w:val="DefaultParagraphFont"/>
    <w:link w:val="Appendixhead2"/>
    <w:uiPriority w:val="3"/>
    <w:rsid w:val="002D6A5A"/>
    <w:rPr>
      <w:rFonts w:eastAsia="Times New Roman" w:cs="Times New Roman"/>
      <w:b/>
      <w:sz w:val="22"/>
      <w:szCs w:val="28"/>
      <w:lang w:val="en-AU" w:eastAsia="en-AU"/>
    </w:rPr>
  </w:style>
  <w:style w:type="character" w:customStyle="1" w:styleId="AppendixTableCaptionChar">
    <w:name w:val="Appendix Table Caption Char"/>
    <w:basedOn w:val="DefaultParagraphFont"/>
    <w:link w:val="AppendixTableCaption"/>
    <w:uiPriority w:val="4"/>
    <w:rsid w:val="002D6A5A"/>
    <w:rPr>
      <w:rFonts w:eastAsia="Times New Roman" w:cs="Times New Roman"/>
      <w:color w:val="75787B" w:themeColor="accent6"/>
      <w:sz w:val="17"/>
      <w:szCs w:val="22"/>
      <w:lang w:val="en-AU" w:eastAsia="en-AU"/>
    </w:rPr>
  </w:style>
  <w:style w:type="character" w:customStyle="1" w:styleId="Appendixhead3Char">
    <w:name w:val="Appendix_head_3 Char"/>
    <w:basedOn w:val="DefaultParagraphFont"/>
    <w:link w:val="Appendixhead3"/>
    <w:uiPriority w:val="3"/>
    <w:rsid w:val="002D6A5A"/>
    <w:rPr>
      <w:rFonts w:eastAsia="Times New Roman" w:cs="Times New Roman"/>
      <w:b/>
      <w:szCs w:val="20"/>
      <w:lang w:val="en-AU"/>
    </w:rPr>
  </w:style>
  <w:style w:type="character" w:customStyle="1" w:styleId="AppendixFigureCaptionChar">
    <w:name w:val="Appendix Figure Caption Char"/>
    <w:basedOn w:val="DefaultParagraphFont"/>
    <w:link w:val="AppendixFigureCaption"/>
    <w:uiPriority w:val="4"/>
    <w:rsid w:val="002D6A5A"/>
    <w:rPr>
      <w:rFonts w:eastAsia="Times New Roman" w:cs="Times New Roman"/>
      <w:color w:val="75787B" w:themeColor="accent6"/>
      <w:sz w:val="17"/>
      <w:szCs w:val="22"/>
      <w:lang w:val="en-AU" w:eastAsia="en-AU"/>
    </w:rPr>
  </w:style>
  <w:style w:type="character" w:customStyle="1" w:styleId="AppendixChartCaptionChar">
    <w:name w:val="Appendix Chart Caption Char"/>
    <w:basedOn w:val="AppendixTableCaptionChar"/>
    <w:link w:val="AppendixChartCaption"/>
    <w:uiPriority w:val="4"/>
    <w:rsid w:val="002D6A5A"/>
    <w:rPr>
      <w:rFonts w:eastAsia="Times New Roman" w:cs="Times New Roman"/>
      <w:color w:val="75787B" w:themeColor="accent6"/>
      <w:sz w:val="17"/>
      <w:szCs w:val="22"/>
      <w:lang w:val="en-AU" w:eastAsia="en-AU"/>
    </w:rPr>
  </w:style>
  <w:style w:type="paragraph" w:customStyle="1" w:styleId="SourcetextTableorChart">
    <w:name w:val="Source text Table or Chart"/>
    <w:basedOn w:val="Caption"/>
    <w:next w:val="Normal"/>
    <w:uiPriority w:val="6"/>
    <w:semiHidden/>
    <w:rsid w:val="002D6A5A"/>
    <w:pPr>
      <w:keepNext w:val="0"/>
      <w:keepLines w:val="0"/>
      <w:spacing w:before="120"/>
    </w:pPr>
    <w:rPr>
      <w:sz w:val="14"/>
    </w:rPr>
  </w:style>
  <w:style w:type="paragraph" w:customStyle="1" w:styleId="AlphabeticList">
    <w:name w:val="Alphabetic List"/>
    <w:basedOn w:val="Normal"/>
    <w:uiPriority w:val="4"/>
    <w:qFormat/>
    <w:rsid w:val="002B2382"/>
    <w:pPr>
      <w:numPr>
        <w:numId w:val="51"/>
      </w:numPr>
      <w:spacing w:after="0"/>
      <w:contextualSpacing/>
    </w:pPr>
    <w:rPr>
      <w:rFonts w:eastAsia="Times New Roman" w:cs="Times New Roman"/>
      <w:szCs w:val="20"/>
    </w:rPr>
  </w:style>
  <w:style w:type="paragraph" w:customStyle="1" w:styleId="CV-Heading">
    <w:name w:val="CV - Heading"/>
    <w:basedOn w:val="Normal"/>
    <w:uiPriority w:val="7"/>
    <w:rsid w:val="002D6A5A"/>
    <w:pPr>
      <w:spacing w:before="240" w:after="0"/>
      <w:contextualSpacing/>
    </w:pPr>
    <w:rPr>
      <w:b/>
    </w:rPr>
  </w:style>
  <w:style w:type="paragraph" w:customStyle="1" w:styleId="TableHeadingCentre">
    <w:name w:val="Table Heading Centre"/>
    <w:basedOn w:val="TableHeadingLeft"/>
    <w:uiPriority w:val="5"/>
    <w:rsid w:val="002D6A5A"/>
    <w:pPr>
      <w:jc w:val="center"/>
    </w:pPr>
  </w:style>
  <w:style w:type="paragraph" w:customStyle="1" w:styleId="TableHeadingRight">
    <w:name w:val="Table Heading Right"/>
    <w:basedOn w:val="TableHeadingCentre"/>
    <w:uiPriority w:val="5"/>
    <w:rsid w:val="002D6A5A"/>
    <w:pPr>
      <w:jc w:val="right"/>
    </w:pPr>
  </w:style>
  <w:style w:type="paragraph" w:customStyle="1" w:styleId="TabletextRight">
    <w:name w:val="Table text Right"/>
    <w:basedOn w:val="TabletextLeft"/>
    <w:uiPriority w:val="5"/>
    <w:rsid w:val="002D6A5A"/>
    <w:pPr>
      <w:jc w:val="right"/>
    </w:pPr>
  </w:style>
  <w:style w:type="paragraph" w:customStyle="1" w:styleId="TabletextCentre">
    <w:name w:val="Table text Centre"/>
    <w:basedOn w:val="TabletextRight"/>
    <w:uiPriority w:val="5"/>
    <w:rsid w:val="002D6A5A"/>
    <w:pPr>
      <w:jc w:val="center"/>
    </w:pPr>
  </w:style>
  <w:style w:type="paragraph" w:customStyle="1" w:styleId="TableNote">
    <w:name w:val="Table Note"/>
    <w:basedOn w:val="TabletextLeft"/>
    <w:uiPriority w:val="5"/>
    <w:semiHidden/>
    <w:rsid w:val="002D6A5A"/>
    <w:rPr>
      <w:sz w:val="15"/>
    </w:rPr>
  </w:style>
  <w:style w:type="paragraph" w:customStyle="1" w:styleId="TabletextCentreTotal">
    <w:name w:val="Table text Centre Total"/>
    <w:basedOn w:val="TabletextCentre"/>
    <w:uiPriority w:val="5"/>
    <w:rsid w:val="002D6A5A"/>
    <w:rPr>
      <w:b/>
    </w:rPr>
  </w:style>
  <w:style w:type="paragraph" w:customStyle="1" w:styleId="AlphabeticList2">
    <w:name w:val="Alphabetic List 2"/>
    <w:basedOn w:val="AlphabeticList"/>
    <w:uiPriority w:val="4"/>
    <w:qFormat/>
    <w:rsid w:val="002B2382"/>
    <w:pPr>
      <w:numPr>
        <w:ilvl w:val="1"/>
      </w:numPr>
    </w:pPr>
  </w:style>
  <w:style w:type="table" w:styleId="GridTable1Light">
    <w:name w:val="Grid Table 1 Light"/>
    <w:basedOn w:val="TableNormal"/>
    <w:uiPriority w:val="46"/>
    <w:rsid w:val="002D6A5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D6A5A"/>
    <w:pPr>
      <w:spacing w:line="240" w:lineRule="auto"/>
    </w:p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D6A5A"/>
    <w:pPr>
      <w:spacing w:line="240" w:lineRule="auto"/>
    </w:p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D6A5A"/>
    <w:pPr>
      <w:spacing w:line="240" w:lineRule="auto"/>
    </w:p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D6A5A"/>
    <w:pPr>
      <w:spacing w:line="240" w:lineRule="auto"/>
    </w:p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D6A5A"/>
    <w:pPr>
      <w:spacing w:line="240" w:lineRule="auto"/>
    </w:p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D6A5A"/>
    <w:pPr>
      <w:spacing w:line="240" w:lineRule="auto"/>
    </w:p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D6A5A"/>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D6A5A"/>
    <w:pPr>
      <w:spacing w:line="240" w:lineRule="auto"/>
    </w:p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2-Accent2">
    <w:name w:val="Grid Table 2 Accent 2"/>
    <w:basedOn w:val="TableNormal"/>
    <w:uiPriority w:val="47"/>
    <w:rsid w:val="002D6A5A"/>
    <w:pPr>
      <w:spacing w:line="240" w:lineRule="auto"/>
    </w:p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2-Accent3">
    <w:name w:val="Grid Table 2 Accent 3"/>
    <w:basedOn w:val="TableNormal"/>
    <w:uiPriority w:val="47"/>
    <w:rsid w:val="002D6A5A"/>
    <w:pPr>
      <w:spacing w:line="240" w:lineRule="auto"/>
    </w:p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2-Accent4">
    <w:name w:val="Grid Table 2 Accent 4"/>
    <w:basedOn w:val="TableNormal"/>
    <w:uiPriority w:val="47"/>
    <w:rsid w:val="002D6A5A"/>
    <w:pPr>
      <w:spacing w:line="240" w:lineRule="auto"/>
    </w:p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2-Accent5">
    <w:name w:val="Grid Table 2 Accent 5"/>
    <w:basedOn w:val="TableNormal"/>
    <w:uiPriority w:val="47"/>
    <w:rsid w:val="002D6A5A"/>
    <w:pPr>
      <w:spacing w:line="240" w:lineRule="auto"/>
    </w:p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2-Accent6">
    <w:name w:val="Grid Table 2 Accent 6"/>
    <w:basedOn w:val="TableNormal"/>
    <w:uiPriority w:val="47"/>
    <w:rsid w:val="002D6A5A"/>
    <w:pPr>
      <w:spacing w:line="240" w:lineRule="auto"/>
    </w:p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
    <w:name w:val="Grid Table 3"/>
    <w:basedOn w:val="TableNormal"/>
    <w:uiPriority w:val="48"/>
    <w:rsid w:val="002D6A5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D6A5A"/>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3-Accent2">
    <w:name w:val="Grid Table 3 Accent 2"/>
    <w:basedOn w:val="TableNormal"/>
    <w:uiPriority w:val="48"/>
    <w:rsid w:val="002D6A5A"/>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3-Accent3">
    <w:name w:val="Grid Table 3 Accent 3"/>
    <w:basedOn w:val="TableNormal"/>
    <w:uiPriority w:val="48"/>
    <w:rsid w:val="002D6A5A"/>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3-Accent4">
    <w:name w:val="Grid Table 3 Accent 4"/>
    <w:basedOn w:val="TableNormal"/>
    <w:uiPriority w:val="48"/>
    <w:rsid w:val="002D6A5A"/>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3-Accent5">
    <w:name w:val="Grid Table 3 Accent 5"/>
    <w:basedOn w:val="TableNormal"/>
    <w:uiPriority w:val="48"/>
    <w:rsid w:val="002D6A5A"/>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3-Accent6">
    <w:name w:val="Grid Table 3 Accent 6"/>
    <w:basedOn w:val="TableNormal"/>
    <w:uiPriority w:val="48"/>
    <w:rsid w:val="002D6A5A"/>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
    <w:name w:val="Grid Table 4"/>
    <w:basedOn w:val="TableNormal"/>
    <w:uiPriority w:val="49"/>
    <w:rsid w:val="002D6A5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D6A5A"/>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4-Accent2">
    <w:name w:val="Grid Table 4 Accent 2"/>
    <w:basedOn w:val="TableNormal"/>
    <w:uiPriority w:val="49"/>
    <w:rsid w:val="002D6A5A"/>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4-Accent3">
    <w:name w:val="Grid Table 4 Accent 3"/>
    <w:basedOn w:val="TableNormal"/>
    <w:uiPriority w:val="49"/>
    <w:rsid w:val="002D6A5A"/>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4-Accent4">
    <w:name w:val="Grid Table 4 Accent 4"/>
    <w:basedOn w:val="TableNormal"/>
    <w:uiPriority w:val="49"/>
    <w:rsid w:val="002D6A5A"/>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4-Accent5">
    <w:name w:val="Grid Table 4 Accent 5"/>
    <w:basedOn w:val="TableNormal"/>
    <w:uiPriority w:val="49"/>
    <w:rsid w:val="002D6A5A"/>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4-Accent6">
    <w:name w:val="Grid Table 4 Accent 6"/>
    <w:basedOn w:val="TableNormal"/>
    <w:uiPriority w:val="49"/>
    <w:rsid w:val="002D6A5A"/>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
    <w:name w:val="Grid Table 5 Dark"/>
    <w:basedOn w:val="TableNormal"/>
    <w:uiPriority w:val="50"/>
    <w:rsid w:val="002D6A5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D6A5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5Dark-Accent2">
    <w:name w:val="Grid Table 5 Dark Accent 2"/>
    <w:basedOn w:val="TableNormal"/>
    <w:uiPriority w:val="50"/>
    <w:rsid w:val="002D6A5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5Dark-Accent3">
    <w:name w:val="Grid Table 5 Dark Accent 3"/>
    <w:basedOn w:val="TableNormal"/>
    <w:uiPriority w:val="50"/>
    <w:rsid w:val="002D6A5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5Dark-Accent4">
    <w:name w:val="Grid Table 5 Dark Accent 4"/>
    <w:basedOn w:val="TableNormal"/>
    <w:uiPriority w:val="50"/>
    <w:rsid w:val="002D6A5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5Dark-Accent5">
    <w:name w:val="Grid Table 5 Dark Accent 5"/>
    <w:basedOn w:val="TableNormal"/>
    <w:uiPriority w:val="50"/>
    <w:rsid w:val="002D6A5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5Dark-Accent6">
    <w:name w:val="Grid Table 5 Dark Accent 6"/>
    <w:basedOn w:val="TableNormal"/>
    <w:uiPriority w:val="50"/>
    <w:rsid w:val="002D6A5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
    <w:name w:val="Grid Table 6 Colorful"/>
    <w:basedOn w:val="TableNormal"/>
    <w:uiPriority w:val="51"/>
    <w:rsid w:val="002D6A5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D6A5A"/>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6Colorful-Accent2">
    <w:name w:val="Grid Table 6 Colorful Accent 2"/>
    <w:basedOn w:val="TableNormal"/>
    <w:uiPriority w:val="51"/>
    <w:rsid w:val="002D6A5A"/>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6Colorful-Accent3">
    <w:name w:val="Grid Table 6 Colorful Accent 3"/>
    <w:basedOn w:val="TableNormal"/>
    <w:uiPriority w:val="51"/>
    <w:rsid w:val="002D6A5A"/>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6Colorful-Accent4">
    <w:name w:val="Grid Table 6 Colorful Accent 4"/>
    <w:basedOn w:val="TableNormal"/>
    <w:uiPriority w:val="51"/>
    <w:rsid w:val="002D6A5A"/>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6Colorful-Accent5">
    <w:name w:val="Grid Table 6 Colorful Accent 5"/>
    <w:basedOn w:val="TableNormal"/>
    <w:uiPriority w:val="51"/>
    <w:rsid w:val="002D6A5A"/>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6Colorful-Accent6">
    <w:name w:val="Grid Table 6 Colorful Accent 6"/>
    <w:basedOn w:val="TableNormal"/>
    <w:uiPriority w:val="51"/>
    <w:rsid w:val="002D6A5A"/>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
    <w:name w:val="Grid Table 7 Colorful"/>
    <w:basedOn w:val="TableNormal"/>
    <w:uiPriority w:val="52"/>
    <w:rsid w:val="002D6A5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D6A5A"/>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7Colorful-Accent2">
    <w:name w:val="Grid Table 7 Colorful Accent 2"/>
    <w:basedOn w:val="TableNormal"/>
    <w:uiPriority w:val="52"/>
    <w:rsid w:val="002D6A5A"/>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7Colorful-Accent3">
    <w:name w:val="Grid Table 7 Colorful Accent 3"/>
    <w:basedOn w:val="TableNormal"/>
    <w:uiPriority w:val="52"/>
    <w:rsid w:val="002D6A5A"/>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7Colorful-Accent4">
    <w:name w:val="Grid Table 7 Colorful Accent 4"/>
    <w:basedOn w:val="TableNormal"/>
    <w:uiPriority w:val="52"/>
    <w:rsid w:val="002D6A5A"/>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7Colorful-Accent5">
    <w:name w:val="Grid Table 7 Colorful Accent 5"/>
    <w:basedOn w:val="TableNormal"/>
    <w:uiPriority w:val="52"/>
    <w:rsid w:val="002D6A5A"/>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7Colorful-Accent6">
    <w:name w:val="Grid Table 7 Colorful Accent 6"/>
    <w:basedOn w:val="TableNormal"/>
    <w:uiPriority w:val="52"/>
    <w:rsid w:val="002D6A5A"/>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2D6A5A"/>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D6A5A"/>
    <w:pPr>
      <w:spacing w:line="240" w:lineRule="auto"/>
    </w:p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1Light-Accent2">
    <w:name w:val="List Table 1 Light Accent 2"/>
    <w:basedOn w:val="TableNormal"/>
    <w:uiPriority w:val="46"/>
    <w:rsid w:val="002D6A5A"/>
    <w:pPr>
      <w:spacing w:line="240" w:lineRule="auto"/>
    </w:p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1Light-Accent3">
    <w:name w:val="List Table 1 Light Accent 3"/>
    <w:basedOn w:val="TableNormal"/>
    <w:uiPriority w:val="46"/>
    <w:rsid w:val="002D6A5A"/>
    <w:pPr>
      <w:spacing w:line="240" w:lineRule="auto"/>
    </w:p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1Light-Accent4">
    <w:name w:val="List Table 1 Light Accent 4"/>
    <w:basedOn w:val="TableNormal"/>
    <w:uiPriority w:val="46"/>
    <w:rsid w:val="002D6A5A"/>
    <w:pPr>
      <w:spacing w:line="240" w:lineRule="auto"/>
    </w:p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1Light-Accent5">
    <w:name w:val="List Table 1 Light Accent 5"/>
    <w:basedOn w:val="TableNormal"/>
    <w:uiPriority w:val="46"/>
    <w:rsid w:val="002D6A5A"/>
    <w:pPr>
      <w:spacing w:line="240" w:lineRule="auto"/>
    </w:p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1Light-Accent6">
    <w:name w:val="List Table 1 Light Accent 6"/>
    <w:basedOn w:val="TableNormal"/>
    <w:uiPriority w:val="46"/>
    <w:rsid w:val="002D6A5A"/>
    <w:pPr>
      <w:spacing w:line="240" w:lineRule="auto"/>
    </w:p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
    <w:name w:val="List Table 2"/>
    <w:basedOn w:val="TableNormal"/>
    <w:uiPriority w:val="47"/>
    <w:rsid w:val="002D6A5A"/>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D6A5A"/>
    <w:pPr>
      <w:spacing w:line="240" w:lineRule="auto"/>
    </w:p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2">
    <w:name w:val="List Table 2 Accent 2"/>
    <w:basedOn w:val="TableNormal"/>
    <w:uiPriority w:val="47"/>
    <w:rsid w:val="002D6A5A"/>
    <w:pPr>
      <w:spacing w:line="240" w:lineRule="auto"/>
    </w:p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3">
    <w:name w:val="List Table 2 Accent 3"/>
    <w:basedOn w:val="TableNormal"/>
    <w:uiPriority w:val="47"/>
    <w:rsid w:val="002D6A5A"/>
    <w:pPr>
      <w:spacing w:line="240" w:lineRule="auto"/>
    </w:p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4">
    <w:name w:val="List Table 2 Accent 4"/>
    <w:basedOn w:val="TableNormal"/>
    <w:uiPriority w:val="47"/>
    <w:rsid w:val="002D6A5A"/>
    <w:pPr>
      <w:spacing w:line="240" w:lineRule="auto"/>
    </w:p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5">
    <w:name w:val="List Table 2 Accent 5"/>
    <w:basedOn w:val="TableNormal"/>
    <w:uiPriority w:val="47"/>
    <w:rsid w:val="002D6A5A"/>
    <w:pPr>
      <w:spacing w:line="240" w:lineRule="auto"/>
    </w:p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6">
    <w:name w:val="List Table 2 Accent 6"/>
    <w:basedOn w:val="TableNormal"/>
    <w:uiPriority w:val="47"/>
    <w:rsid w:val="002D6A5A"/>
    <w:pPr>
      <w:spacing w:line="240" w:lineRule="auto"/>
    </w:p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
    <w:name w:val="List Table 3"/>
    <w:basedOn w:val="TableNormal"/>
    <w:uiPriority w:val="48"/>
    <w:rsid w:val="002D6A5A"/>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D6A5A"/>
    <w:pPr>
      <w:spacing w:line="240" w:lineRule="auto"/>
    </w:p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3-Accent2">
    <w:name w:val="List Table 3 Accent 2"/>
    <w:basedOn w:val="TableNormal"/>
    <w:uiPriority w:val="48"/>
    <w:rsid w:val="002D6A5A"/>
    <w:pPr>
      <w:spacing w:line="240" w:lineRule="auto"/>
    </w:p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3-Accent3">
    <w:name w:val="List Table 3 Accent 3"/>
    <w:basedOn w:val="TableNormal"/>
    <w:uiPriority w:val="48"/>
    <w:rsid w:val="002D6A5A"/>
    <w:pPr>
      <w:spacing w:line="240" w:lineRule="auto"/>
    </w:p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3-Accent4">
    <w:name w:val="List Table 3 Accent 4"/>
    <w:basedOn w:val="TableNormal"/>
    <w:uiPriority w:val="48"/>
    <w:rsid w:val="002D6A5A"/>
    <w:pPr>
      <w:spacing w:line="240" w:lineRule="auto"/>
    </w:p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3-Accent5">
    <w:name w:val="List Table 3 Accent 5"/>
    <w:basedOn w:val="TableNormal"/>
    <w:uiPriority w:val="48"/>
    <w:rsid w:val="002D6A5A"/>
    <w:pPr>
      <w:spacing w:line="240" w:lineRule="auto"/>
    </w:p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3-Accent6">
    <w:name w:val="List Table 3 Accent 6"/>
    <w:basedOn w:val="TableNormal"/>
    <w:uiPriority w:val="48"/>
    <w:rsid w:val="002D6A5A"/>
    <w:pPr>
      <w:spacing w:line="240" w:lineRule="auto"/>
    </w:p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
    <w:name w:val="List Table 4"/>
    <w:basedOn w:val="TableNormal"/>
    <w:uiPriority w:val="49"/>
    <w:rsid w:val="002D6A5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D6A5A"/>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4-Accent2">
    <w:name w:val="List Table 4 Accent 2"/>
    <w:basedOn w:val="TableNormal"/>
    <w:uiPriority w:val="49"/>
    <w:rsid w:val="002D6A5A"/>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4-Accent3">
    <w:name w:val="List Table 4 Accent 3"/>
    <w:basedOn w:val="TableNormal"/>
    <w:uiPriority w:val="49"/>
    <w:rsid w:val="002D6A5A"/>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4-Accent4">
    <w:name w:val="List Table 4 Accent 4"/>
    <w:basedOn w:val="TableNormal"/>
    <w:uiPriority w:val="49"/>
    <w:rsid w:val="002D6A5A"/>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4-Accent5">
    <w:name w:val="List Table 4 Accent 5"/>
    <w:basedOn w:val="TableNormal"/>
    <w:uiPriority w:val="49"/>
    <w:rsid w:val="002D6A5A"/>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4-Accent6">
    <w:name w:val="List Table 4 Accent 6"/>
    <w:basedOn w:val="TableNormal"/>
    <w:uiPriority w:val="49"/>
    <w:rsid w:val="002D6A5A"/>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
    <w:name w:val="List Table 5 Dark"/>
    <w:basedOn w:val="TableNormal"/>
    <w:uiPriority w:val="50"/>
    <w:rsid w:val="002D6A5A"/>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D6A5A"/>
    <w:pPr>
      <w:spacing w:line="240" w:lineRule="auto"/>
    </w:pPr>
    <w:rPr>
      <w:color w:val="FFFFFF" w:themeColor="background1"/>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D6A5A"/>
    <w:pPr>
      <w:spacing w:line="240" w:lineRule="auto"/>
    </w:pPr>
    <w:rPr>
      <w:color w:val="FFFFFF" w:themeColor="background1"/>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D6A5A"/>
    <w:pPr>
      <w:spacing w:line="240" w:lineRule="auto"/>
    </w:pPr>
    <w:rPr>
      <w:color w:val="FFFFFF" w:themeColor="background1"/>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D6A5A"/>
    <w:pPr>
      <w:spacing w:line="240" w:lineRule="auto"/>
    </w:pPr>
    <w:rPr>
      <w:color w:val="FFFFFF" w:themeColor="background1"/>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D6A5A"/>
    <w:pPr>
      <w:spacing w:line="240" w:lineRule="auto"/>
    </w:pPr>
    <w:rPr>
      <w:color w:val="FFFFFF" w:themeColor="background1"/>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D6A5A"/>
    <w:pPr>
      <w:spacing w:line="240" w:lineRule="auto"/>
    </w:pPr>
    <w:rPr>
      <w:color w:val="FFFFFF" w:themeColor="background1"/>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D6A5A"/>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D6A5A"/>
    <w:pPr>
      <w:spacing w:line="240" w:lineRule="auto"/>
    </w:pPr>
    <w:rPr>
      <w:color w:val="638C1B" w:themeColor="accent1" w:themeShade="BF"/>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6Colorful-Accent2">
    <w:name w:val="List Table 6 Colorful Accent 2"/>
    <w:basedOn w:val="TableNormal"/>
    <w:uiPriority w:val="51"/>
    <w:rsid w:val="002D6A5A"/>
    <w:pPr>
      <w:spacing w:line="240" w:lineRule="auto"/>
    </w:pPr>
    <w:rPr>
      <w:color w:val="034F29" w:themeColor="accent2" w:themeShade="BF"/>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6Colorful-Accent3">
    <w:name w:val="List Table 6 Colorful Accent 3"/>
    <w:basedOn w:val="TableNormal"/>
    <w:uiPriority w:val="51"/>
    <w:rsid w:val="002D6A5A"/>
    <w:pPr>
      <w:spacing w:line="240" w:lineRule="auto"/>
    </w:pPr>
    <w:rPr>
      <w:color w:val="2291D1" w:themeColor="accent3" w:themeShade="BF"/>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6Colorful-Accent4">
    <w:name w:val="List Table 6 Colorful Accent 4"/>
    <w:basedOn w:val="TableNormal"/>
    <w:uiPriority w:val="51"/>
    <w:rsid w:val="002D6A5A"/>
    <w:pPr>
      <w:spacing w:line="240" w:lineRule="auto"/>
    </w:pPr>
    <w:rPr>
      <w:color w:val="00184E" w:themeColor="accent4" w:themeShade="BF"/>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6Colorful-Accent5">
    <w:name w:val="List Table 6 Colorful Accent 5"/>
    <w:basedOn w:val="TableNormal"/>
    <w:uiPriority w:val="51"/>
    <w:rsid w:val="002D6A5A"/>
    <w:pPr>
      <w:spacing w:line="240" w:lineRule="auto"/>
    </w:pPr>
    <w:rPr>
      <w:color w:val="00707E" w:themeColor="accent5" w:themeShade="BF"/>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6Colorful-Accent6">
    <w:name w:val="List Table 6 Colorful Accent 6"/>
    <w:basedOn w:val="TableNormal"/>
    <w:uiPriority w:val="51"/>
    <w:rsid w:val="002D6A5A"/>
    <w:pPr>
      <w:spacing w:line="240" w:lineRule="auto"/>
    </w:pPr>
    <w:rPr>
      <w:color w:val="57595C" w:themeColor="accent6" w:themeShade="BF"/>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
    <w:name w:val="List Table 7 Colorful"/>
    <w:basedOn w:val="TableNormal"/>
    <w:uiPriority w:val="52"/>
    <w:rsid w:val="002D6A5A"/>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D6A5A"/>
    <w:pPr>
      <w:spacing w:line="240" w:lineRule="auto"/>
    </w:pPr>
    <w:rPr>
      <w:color w:val="638C1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D6A5A"/>
    <w:pPr>
      <w:spacing w:line="240" w:lineRule="auto"/>
    </w:pPr>
    <w:rPr>
      <w:color w:val="034F2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D6A5A"/>
    <w:pPr>
      <w:spacing w:line="240" w:lineRule="auto"/>
    </w:pPr>
    <w:rPr>
      <w:color w:val="2291D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D6A5A"/>
    <w:pPr>
      <w:spacing w:line="240" w:lineRule="auto"/>
    </w:pPr>
    <w:rPr>
      <w:color w:val="0018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D6A5A"/>
    <w:pPr>
      <w:spacing w:line="240" w:lineRule="auto"/>
    </w:pPr>
    <w:rPr>
      <w:color w:val="00707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D6A5A"/>
    <w:pPr>
      <w:spacing w:line="240" w:lineRule="auto"/>
    </w:pPr>
    <w:rPr>
      <w:color w:val="57595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D6A5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D6A5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D6A5A"/>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D6A5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D6A5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D6A5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2D6A5A"/>
    <w:pPr>
      <w:spacing w:line="240" w:lineRule="auto"/>
    </w:p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Pullout-QuoteBlue">
    <w:name w:val="Pullout - Quote Blue"/>
    <w:basedOn w:val="PulloutBlue"/>
    <w:uiPriority w:val="6"/>
    <w:rsid w:val="002D6A5A"/>
    <w:pPr>
      <w:ind w:left="227" w:right="227"/>
    </w:pPr>
    <w:rPr>
      <w:i/>
    </w:rPr>
  </w:style>
  <w:style w:type="paragraph" w:customStyle="1" w:styleId="Pullout-QuoteGreen">
    <w:name w:val="Pullout - Quote Green"/>
    <w:basedOn w:val="Pullout-QuoteBlue"/>
    <w:qFormat/>
    <w:rsid w:val="002D6A5A"/>
    <w:rPr>
      <w:color w:val="86BC25" w:themeColor="accent1"/>
    </w:rPr>
  </w:style>
  <w:style w:type="character" w:styleId="UnresolvedMention">
    <w:name w:val="Unresolved Mention"/>
    <w:basedOn w:val="DefaultParagraphFont"/>
    <w:uiPriority w:val="99"/>
    <w:unhideWhenUsed/>
    <w:rsid w:val="002D6A5A"/>
    <w:rPr>
      <w:color w:val="605E5C"/>
      <w:shd w:val="clear" w:color="auto" w:fill="E1DFDD"/>
    </w:rPr>
  </w:style>
  <w:style w:type="character" w:styleId="Mention">
    <w:name w:val="Mention"/>
    <w:basedOn w:val="DefaultParagraphFont"/>
    <w:uiPriority w:val="99"/>
    <w:unhideWhenUsed/>
    <w:rsid w:val="002D6A5A"/>
    <w:rPr>
      <w:color w:val="2B579A"/>
      <w:shd w:val="clear" w:color="auto" w:fill="E1DFDD"/>
    </w:rPr>
  </w:style>
  <w:style w:type="paragraph" w:customStyle="1" w:styleId="Deloitteaddress">
    <w:name w:val="Deloitte address"/>
    <w:basedOn w:val="Normal"/>
    <w:qFormat/>
    <w:rsid w:val="002D6A5A"/>
    <w:pPr>
      <w:spacing w:after="0" w:line="170" w:lineRule="atLeast"/>
    </w:pPr>
    <w:rPr>
      <w:rFonts w:asciiTheme="minorHAnsi" w:hAnsiTheme="minorHAnsi"/>
      <w:sz w:val="16"/>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2D6A5A"/>
    <w:pPr>
      <w:spacing w:after="160" w:line="240" w:lineRule="exact"/>
      <w:jc w:val="both"/>
    </w:pPr>
    <w:rPr>
      <w:vertAlign w:val="superscript"/>
    </w:rPr>
  </w:style>
  <w:style w:type="paragraph" w:styleId="Revision">
    <w:name w:val="Revision"/>
    <w:hidden/>
    <w:uiPriority w:val="99"/>
    <w:semiHidden/>
    <w:rsid w:val="004839C1"/>
    <w:pPr>
      <w:spacing w:line="240" w:lineRule="auto"/>
    </w:pPr>
    <w:rPr>
      <w:lang w:val="en-AU"/>
    </w:rPr>
  </w:style>
  <w:style w:type="paragraph" w:customStyle="1" w:styleId="Confidentiality">
    <w:name w:val="Confidentiality"/>
    <w:basedOn w:val="Disclaimer"/>
    <w:uiPriority w:val="7"/>
    <w:semiHidden/>
    <w:rsid w:val="002D6A5A"/>
    <w:pPr>
      <w:tabs>
        <w:tab w:val="right" w:pos="7371"/>
      </w:tabs>
      <w:spacing w:line="150" w:lineRule="exact"/>
      <w:ind w:right="230"/>
      <w:suppressOverlap w:val="0"/>
      <w:jc w:val="center"/>
    </w:pPr>
    <w:rPr>
      <w:rFonts w:ascii="Calibri" w:eastAsiaTheme="minorHAnsi" w:hAnsi="Calibri" w:cstheme="minorBidi"/>
      <w:b/>
      <w:caps/>
      <w:noProof/>
      <w:spacing w:val="8"/>
      <w:sz w:val="14"/>
      <w:szCs w:val="14"/>
      <w:lang w:eastAsia="en-US"/>
    </w:rPr>
  </w:style>
  <w:style w:type="paragraph" w:customStyle="1" w:styleId="DraftText">
    <w:name w:val="Draft Text"/>
    <w:basedOn w:val="Normal"/>
    <w:uiPriority w:val="7"/>
    <w:semiHidden/>
    <w:rsid w:val="002D6A5A"/>
    <w:pPr>
      <w:spacing w:after="0" w:line="150" w:lineRule="exact"/>
    </w:pPr>
    <w:rPr>
      <w:rFonts w:ascii="Calibri" w:hAnsi="Calibri"/>
      <w:sz w:val="14"/>
      <w:szCs w:val="20"/>
    </w:rPr>
  </w:style>
  <w:style w:type="table" w:customStyle="1" w:styleId="Blank">
    <w:name w:val="Blank"/>
    <w:basedOn w:val="TableNormal"/>
    <w:uiPriority w:val="99"/>
    <w:rsid w:val="002D6A5A"/>
    <w:pPr>
      <w:spacing w:line="240" w:lineRule="auto"/>
    </w:pPr>
    <w:rPr>
      <w:rFonts w:asciiTheme="minorHAnsi" w:hAnsiTheme="minorHAnsi"/>
      <w:sz w:val="20"/>
      <w:szCs w:val="20"/>
    </w:rPr>
    <w:tblPr>
      <w:tblCellMar>
        <w:left w:w="0" w:type="dxa"/>
        <w:right w:w="0" w:type="dxa"/>
      </w:tblCellMar>
    </w:tblPr>
  </w:style>
  <w:style w:type="paragraph" w:customStyle="1" w:styleId="TextEntryLine">
    <w:name w:val="TextEntryLine"/>
    <w:basedOn w:val="Normal"/>
    <w:qFormat/>
    <w:rsid w:val="002D6A5A"/>
    <w:pPr>
      <w:spacing w:before="240" w:after="0" w:line="240" w:lineRule="auto"/>
    </w:pPr>
    <w:rPr>
      <w:rFonts w:asciiTheme="minorHAnsi" w:eastAsiaTheme="minorEastAsia" w:hAnsiTheme="minorHAnsi"/>
      <w:sz w:val="22"/>
      <w:szCs w:val="22"/>
      <w:lang w:val="en-US"/>
    </w:rPr>
  </w:style>
  <w:style w:type="numbering" w:customStyle="1" w:styleId="Singlepunch">
    <w:name w:val="Single punch"/>
    <w:rsid w:val="002D6A5A"/>
  </w:style>
  <w:style w:type="paragraph" w:customStyle="1" w:styleId="QuestionSeparator">
    <w:name w:val="QuestionSeparator"/>
    <w:basedOn w:val="Normal"/>
    <w:qFormat/>
    <w:rsid w:val="002D6A5A"/>
    <w:pPr>
      <w:pBdr>
        <w:top w:val="dashed" w:sz="8" w:space="0" w:color="CCCCCC"/>
      </w:pBdr>
      <w:spacing w:before="120" w:after="120" w:line="120" w:lineRule="auto"/>
    </w:pPr>
    <w:rPr>
      <w:rFonts w:asciiTheme="minorHAnsi" w:eastAsiaTheme="minorEastAsia" w:hAnsiTheme="minorHAnsi"/>
      <w:sz w:val="22"/>
      <w:szCs w:val="22"/>
      <w:lang w:val="en-US"/>
    </w:rPr>
  </w:style>
  <w:style w:type="character" w:customStyle="1" w:styleId="ui-provider">
    <w:name w:val="ui-provider"/>
    <w:basedOn w:val="DefaultParagraphFont"/>
    <w:rsid w:val="002D6A5A"/>
  </w:style>
  <w:style w:type="paragraph" w:customStyle="1" w:styleId="Questionheading">
    <w:name w:val="Question heading"/>
    <w:basedOn w:val="Heading3"/>
    <w:link w:val="QuestionheadingChar"/>
    <w:qFormat/>
    <w:rsid w:val="00C666FE"/>
    <w:pPr>
      <w:keepNext w:val="0"/>
      <w:keepLines w:val="0"/>
      <w:widowControl w:val="0"/>
      <w:numPr>
        <w:ilvl w:val="0"/>
        <w:numId w:val="0"/>
      </w:numPr>
      <w:tabs>
        <w:tab w:val="num" w:pos="720"/>
      </w:tabs>
      <w:spacing w:before="240" w:after="360" w:line="240" w:lineRule="auto"/>
      <w:ind w:left="720" w:hanging="360"/>
    </w:pPr>
    <w:rPr>
      <w:rFonts w:ascii="Calibri" w:hAnsi="Calibri" w:cs="Calibri"/>
      <w:color w:val="000000"/>
      <w:sz w:val="24"/>
      <w:szCs w:val="24"/>
      <w:lang w:val="en-US"/>
    </w:rPr>
  </w:style>
  <w:style w:type="paragraph" w:customStyle="1" w:styleId="Subquestionheading">
    <w:name w:val="Subquestion heading"/>
    <w:basedOn w:val="Heading4"/>
    <w:link w:val="SubquestionheadingChar"/>
    <w:qFormat/>
    <w:rsid w:val="00C666FE"/>
    <w:pPr>
      <w:widowControl w:val="0"/>
      <w:numPr>
        <w:ilvl w:val="0"/>
        <w:numId w:val="0"/>
      </w:numPr>
      <w:tabs>
        <w:tab w:val="num" w:pos="1440"/>
      </w:tabs>
      <w:spacing w:before="160" w:after="120" w:line="240" w:lineRule="auto"/>
      <w:ind w:left="1440" w:hanging="360"/>
    </w:pPr>
    <w:rPr>
      <w:rFonts w:ascii="Calibri" w:hAnsi="Calibri"/>
      <w:bCs w:val="0"/>
      <w:sz w:val="22"/>
      <w:szCs w:val="22"/>
      <w:lang w:val="en-US"/>
    </w:rPr>
  </w:style>
  <w:style w:type="character" w:customStyle="1" w:styleId="QuestionheadingChar">
    <w:name w:val="Question heading Char"/>
    <w:basedOn w:val="Heading3Char"/>
    <w:link w:val="Questionheading"/>
    <w:rsid w:val="002D6A5A"/>
    <w:rPr>
      <w:rFonts w:ascii="Calibri" w:eastAsiaTheme="majorEastAsia" w:hAnsi="Calibri" w:cs="Calibri"/>
      <w:b/>
      <w:bCs/>
      <w:color w:val="000000"/>
      <w:sz w:val="24"/>
      <w:szCs w:val="24"/>
      <w:lang w:val="en-US"/>
    </w:rPr>
  </w:style>
  <w:style w:type="character" w:customStyle="1" w:styleId="SubquestionheadingChar">
    <w:name w:val="Subquestion heading Char"/>
    <w:basedOn w:val="Heading4Char"/>
    <w:link w:val="Subquestionheading"/>
    <w:rsid w:val="002D6A5A"/>
    <w:rPr>
      <w:rFonts w:ascii="Calibri" w:eastAsiaTheme="majorEastAsia" w:hAnsi="Calibri" w:cstheme="majorBidi"/>
      <w:b/>
      <w:bCs w:val="0"/>
      <w:iCs/>
      <w:color w:val="75787B" w:themeColor="accent6"/>
      <w:sz w:val="22"/>
      <w:szCs w:val="22"/>
      <w:lang w:val="en-US"/>
    </w:rPr>
  </w:style>
  <w:style w:type="numbering" w:customStyle="1" w:styleId="Multipunch">
    <w:name w:val="Multi punch"/>
    <w:rsid w:val="00C666FE"/>
    <w:pPr>
      <w:numPr>
        <w:numId w:val="89"/>
      </w:numPr>
    </w:pPr>
  </w:style>
  <w:style w:type="table" w:customStyle="1" w:styleId="QTable">
    <w:name w:val="QTable"/>
    <w:uiPriority w:val="99"/>
    <w:qFormat/>
    <w:rsid w:val="002D6A5A"/>
    <w:pPr>
      <w:spacing w:line="240" w:lineRule="auto"/>
    </w:pPr>
    <w:rPr>
      <w:rFonts w:asciiTheme="minorHAnsi" w:eastAsiaTheme="minorEastAsia" w:hAnsiTheme="minorHAnsi"/>
      <w:sz w:val="22"/>
      <w:szCs w:val="22"/>
      <w:lang w:val="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2D6A5A"/>
    <w:pPr>
      <w:spacing w:line="240" w:lineRule="auto"/>
      <w:jc w:val="center"/>
    </w:pPr>
    <w:rPr>
      <w:rFonts w:asciiTheme="minorHAnsi" w:eastAsiaTheme="minorEastAsia" w:hAnsiTheme="minorHAnsi"/>
      <w:sz w:val="22"/>
      <w:szCs w:val="22"/>
      <w:lang w:val="en-US" w:eastAsia="en-AU"/>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2D6A5A"/>
    <w:pPr>
      <w:spacing w:line="240" w:lineRule="auto"/>
      <w:jc w:val="center"/>
    </w:pPr>
    <w:rPr>
      <w:rFonts w:asciiTheme="minorHAnsi" w:eastAsiaTheme="minorEastAsia" w:hAnsiTheme="minorHAnsi"/>
      <w:sz w:val="22"/>
      <w:szCs w:val="22"/>
      <w:lang w:val="en-US" w:eastAsia="en-AU"/>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2D6A5A"/>
    <w:pPr>
      <w:spacing w:line="240" w:lineRule="auto"/>
      <w:jc w:val="center"/>
    </w:pPr>
    <w:rPr>
      <w:rFonts w:asciiTheme="minorHAnsi" w:eastAsiaTheme="minorEastAsia" w:hAnsiTheme="minorHAnsi"/>
      <w:sz w:val="22"/>
      <w:szCs w:val="22"/>
      <w:lang w:val="en-US" w:eastAsia="en-AU"/>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2D6A5A"/>
    <w:pPr>
      <w:spacing w:line="240" w:lineRule="auto"/>
      <w:jc w:val="center"/>
    </w:pPr>
    <w:rPr>
      <w:rFonts w:asciiTheme="minorHAnsi" w:eastAsiaTheme="minorEastAsia" w:hAnsiTheme="minorHAnsi"/>
      <w:sz w:val="22"/>
      <w:szCs w:val="22"/>
      <w:lang w:val="en-US" w:eastAsia="en-AU"/>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2D6A5A"/>
    <w:pPr>
      <w:spacing w:line="240" w:lineRule="auto"/>
      <w:jc w:val="center"/>
    </w:pPr>
    <w:rPr>
      <w:rFonts w:asciiTheme="minorHAnsi" w:eastAsiaTheme="minorEastAsia" w:hAnsiTheme="minorHAnsi"/>
      <w:sz w:val="22"/>
      <w:szCs w:val="22"/>
      <w:lang w:val="en-US" w:eastAsia="en-AU"/>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2D6A5A"/>
    <w:pPr>
      <w:spacing w:line="240" w:lineRule="auto"/>
    </w:pPr>
    <w:rPr>
      <w:rFonts w:asciiTheme="minorHAnsi" w:eastAsiaTheme="minorEastAsia" w:hAnsiTheme="minorHAnsi"/>
      <w:sz w:val="22"/>
      <w:szCs w:val="22"/>
      <w:lang w:val="en-US" w:eastAsia="en-AU"/>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2D6A5A"/>
    <w:pPr>
      <w:spacing w:line="240" w:lineRule="auto"/>
    </w:pPr>
    <w:rPr>
      <w:rFonts w:asciiTheme="minorHAnsi" w:eastAsiaTheme="minorEastAsia" w:hAnsiTheme="minorHAnsi"/>
      <w:sz w:val="22"/>
      <w:szCs w:val="22"/>
      <w:lang w:val="en-US" w:eastAsia="en-AU"/>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2D6A5A"/>
    <w:pPr>
      <w:spacing w:after="120" w:line="240" w:lineRule="auto"/>
      <w:jc w:val="center"/>
    </w:pPr>
    <w:rPr>
      <w:rFonts w:asciiTheme="minorHAnsi" w:eastAsiaTheme="minorEastAsia" w:hAnsiTheme="minorHAnsi"/>
      <w:sz w:val="22"/>
      <w:szCs w:val="22"/>
      <w:lang w:val="en-US"/>
    </w:rPr>
    <w:tblPr>
      <w:tblCellMar>
        <w:top w:w="40" w:type="dxa"/>
        <w:left w:w="40" w:type="dxa"/>
        <w:bottom w:w="40" w:type="dxa"/>
        <w:right w:w="40" w:type="dxa"/>
      </w:tblCellMar>
    </w:tblPr>
  </w:style>
  <w:style w:type="table" w:customStyle="1" w:styleId="QStarSliderTable">
    <w:name w:val="QStarSliderTable"/>
    <w:uiPriority w:val="99"/>
    <w:qFormat/>
    <w:rsid w:val="002D6A5A"/>
    <w:pPr>
      <w:spacing w:after="120" w:line="240" w:lineRule="auto"/>
      <w:jc w:val="center"/>
    </w:pPr>
    <w:rPr>
      <w:rFonts w:asciiTheme="minorHAnsi" w:eastAsiaTheme="minorEastAsia" w:hAnsiTheme="minorHAnsi"/>
      <w:sz w:val="22"/>
      <w:szCs w:val="22"/>
      <w:lang w:val="en-US"/>
    </w:rPr>
    <w:tblPr>
      <w:tblCellMar>
        <w:top w:w="0" w:type="dxa"/>
        <w:left w:w="20" w:type="dxa"/>
        <w:bottom w:w="0" w:type="dxa"/>
        <w:right w:w="20" w:type="dxa"/>
      </w:tblCellMar>
    </w:tblPr>
  </w:style>
  <w:style w:type="table" w:customStyle="1" w:styleId="QStandardSliderTable">
    <w:name w:val="QStandardSliderTable"/>
    <w:uiPriority w:val="99"/>
    <w:qFormat/>
    <w:rsid w:val="002D6A5A"/>
    <w:pPr>
      <w:spacing w:line="240" w:lineRule="auto"/>
      <w:jc w:val="center"/>
    </w:pPr>
    <w:rPr>
      <w:rFonts w:asciiTheme="minorHAnsi" w:eastAsiaTheme="minorEastAsia" w:hAnsiTheme="minorHAnsi"/>
      <w:sz w:val="22"/>
      <w:szCs w:val="22"/>
      <w:lang w:val="en-US" w:eastAsia="en-AU"/>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2D6A5A"/>
    <w:pPr>
      <w:spacing w:line="240" w:lineRule="auto"/>
      <w:jc w:val="center"/>
    </w:pPr>
    <w:rPr>
      <w:rFonts w:asciiTheme="minorHAnsi" w:eastAsiaTheme="minorEastAsia" w:hAnsiTheme="minorHAnsi"/>
      <w:sz w:val="22"/>
      <w:szCs w:val="22"/>
      <w:lang w:val="en-US" w:eastAsia="en-AU"/>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2D6A5A"/>
    <w:pPr>
      <w:spacing w:line="240" w:lineRule="auto"/>
      <w:jc w:val="center"/>
    </w:pPr>
    <w:rPr>
      <w:rFonts w:asciiTheme="minorHAnsi" w:eastAsiaTheme="minorEastAsia" w:hAnsiTheme="minorHAnsi"/>
      <w:sz w:val="22"/>
      <w:szCs w:val="22"/>
      <w:lang w:val="en-US"/>
    </w:rPr>
    <w:tblPr>
      <w:tblCellMar>
        <w:top w:w="0" w:type="dxa"/>
        <w:left w:w="0" w:type="dxa"/>
        <w:bottom w:w="0" w:type="dxa"/>
        <w:right w:w="0" w:type="dxa"/>
      </w:tblCellMar>
    </w:tblPr>
  </w:style>
  <w:style w:type="paragraph" w:customStyle="1" w:styleId="QSummary">
    <w:name w:val="QSummary"/>
    <w:basedOn w:val="Normal"/>
    <w:qFormat/>
    <w:rsid w:val="002D6A5A"/>
    <w:pPr>
      <w:spacing w:after="0" w:line="276" w:lineRule="auto"/>
    </w:pPr>
    <w:rPr>
      <w:rFonts w:asciiTheme="minorHAnsi" w:eastAsiaTheme="minorEastAsia" w:hAnsiTheme="minorHAnsi"/>
      <w:b/>
      <w:sz w:val="22"/>
      <w:szCs w:val="22"/>
      <w:lang w:val="en-US"/>
    </w:rPr>
  </w:style>
  <w:style w:type="table" w:customStyle="1" w:styleId="QQuestionIconTable">
    <w:name w:val="QQuestionIconTable"/>
    <w:uiPriority w:val="99"/>
    <w:qFormat/>
    <w:rsid w:val="002D6A5A"/>
    <w:pPr>
      <w:spacing w:line="240" w:lineRule="auto"/>
      <w:jc w:val="center"/>
    </w:pPr>
    <w:rPr>
      <w:rFonts w:asciiTheme="minorHAnsi" w:eastAsiaTheme="minorEastAsia" w:hAnsiTheme="minorHAnsi"/>
      <w:sz w:val="22"/>
      <w:szCs w:val="22"/>
      <w:lang w:val="en-US"/>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2D6A5A"/>
    <w:pPr>
      <w:pBdr>
        <w:left w:val="single" w:sz="4" w:space="4" w:color="D9D9D9" w:themeColor="background1" w:themeShade="D9"/>
        <w:right w:val="single" w:sz="4" w:space="4" w:color="D9D9D9" w:themeColor="background1" w:themeShade="D9"/>
      </w:pBdr>
      <w:shd w:val="clear" w:color="auto" w:fill="D9D9D9" w:themeFill="background1" w:themeFillShade="D9"/>
      <w:spacing w:after="0" w:line="276" w:lineRule="auto"/>
    </w:pPr>
    <w:rPr>
      <w:rFonts w:asciiTheme="minorHAnsi" w:eastAsiaTheme="minorEastAsia" w:hAnsiTheme="minorHAnsi"/>
      <w:b/>
      <w:sz w:val="32"/>
      <w:szCs w:val="22"/>
      <w:lang w:val="en-US"/>
    </w:rPr>
  </w:style>
  <w:style w:type="table" w:customStyle="1" w:styleId="QBar">
    <w:name w:val="QBar"/>
    <w:uiPriority w:val="99"/>
    <w:qFormat/>
    <w:rsid w:val="002D6A5A"/>
    <w:pPr>
      <w:spacing w:line="240" w:lineRule="auto"/>
    </w:pPr>
    <w:rPr>
      <w:rFonts w:asciiTheme="minorHAnsi" w:eastAsiaTheme="minorEastAsia" w:hAnsiTheme="minorHAnsi"/>
      <w:sz w:val="20"/>
      <w:szCs w:val="20"/>
      <w:lang w:val="en-AU"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2D6A5A"/>
    <w:pPr>
      <w:spacing w:line="240" w:lineRule="auto"/>
    </w:pPr>
    <w:rPr>
      <w:rFonts w:asciiTheme="minorHAnsi" w:eastAsiaTheme="minorEastAsia" w:hAnsiTheme="minorHAnsi"/>
      <w:sz w:val="20"/>
      <w:szCs w:val="20"/>
      <w:lang w:val="en-AU" w:eastAsia="en-AU"/>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2D6A5A"/>
    <w:pPr>
      <w:spacing w:line="240" w:lineRule="auto"/>
    </w:pPr>
    <w:rPr>
      <w:rFonts w:asciiTheme="minorHAnsi" w:eastAsiaTheme="minorEastAsia" w:hAnsiTheme="minorHAnsi"/>
      <w:b/>
      <w:color w:val="FFFFFF" w:themeColor="background1"/>
      <w:sz w:val="20"/>
      <w:szCs w:val="20"/>
      <w:lang w:val="en-AU"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2D6A5A"/>
    <w:pPr>
      <w:spacing w:line="240" w:lineRule="auto"/>
    </w:pPr>
    <w:rPr>
      <w:rFonts w:asciiTheme="minorHAnsi" w:eastAsiaTheme="minorEastAsia" w:hAnsiTheme="minorHAnsi"/>
      <w:color w:val="FFFFFF" w:themeColor="background1"/>
      <w:sz w:val="22"/>
      <w:szCs w:val="22"/>
      <w:lang w:val="en-US"/>
    </w:rPr>
  </w:style>
  <w:style w:type="paragraph" w:customStyle="1" w:styleId="WhiteCompositeLabel">
    <w:name w:val="WhiteCompositeLabel"/>
    <w:next w:val="Normal"/>
    <w:rsid w:val="002D6A5A"/>
    <w:pPr>
      <w:spacing w:before="43" w:after="43" w:line="240" w:lineRule="auto"/>
      <w:jc w:val="center"/>
    </w:pPr>
    <w:rPr>
      <w:rFonts w:ascii="Calibri" w:eastAsia="Times New Roman" w:hAnsi="Calibri" w:cs="Times New Roman"/>
      <w:b/>
      <w:color w:val="FFFFFF"/>
      <w:sz w:val="22"/>
      <w:szCs w:val="22"/>
      <w:lang w:val="en-US"/>
    </w:rPr>
  </w:style>
  <w:style w:type="paragraph" w:customStyle="1" w:styleId="CompositeLabel">
    <w:name w:val="CompositeLabel"/>
    <w:next w:val="Normal"/>
    <w:rsid w:val="002D6A5A"/>
    <w:pPr>
      <w:spacing w:before="43" w:after="43" w:line="240" w:lineRule="auto"/>
      <w:jc w:val="center"/>
    </w:pPr>
    <w:rPr>
      <w:rFonts w:ascii="Calibri" w:eastAsia="Times New Roman" w:hAnsi="Calibri" w:cs="Times New Roman"/>
      <w:b/>
      <w:sz w:val="22"/>
      <w:szCs w:val="22"/>
      <w:lang w:val="en-US"/>
    </w:rPr>
  </w:style>
  <w:style w:type="paragraph" w:customStyle="1" w:styleId="SingleLineText">
    <w:name w:val="SingleLineText"/>
    <w:next w:val="Normal"/>
    <w:rsid w:val="002D6A5A"/>
    <w:pPr>
      <w:spacing w:line="240" w:lineRule="auto"/>
    </w:pPr>
    <w:rPr>
      <w:rFonts w:asciiTheme="minorHAnsi" w:eastAsiaTheme="minorEastAsia" w:hAnsiTheme="minorHAnsi"/>
      <w:sz w:val="22"/>
      <w:szCs w:val="22"/>
      <w:lang w:val="en-US"/>
    </w:rPr>
  </w:style>
  <w:style w:type="paragraph" w:customStyle="1" w:styleId="QDynamicChoices">
    <w:name w:val="QDynamicChoices"/>
    <w:basedOn w:val="Normal"/>
    <w:qFormat/>
    <w:rsid w:val="002D6A5A"/>
    <w:pPr>
      <w:shd w:val="clear" w:color="auto" w:fill="6FAC3D"/>
      <w:spacing w:before="120" w:after="120" w:line="240" w:lineRule="auto"/>
    </w:pPr>
    <w:rPr>
      <w:rFonts w:asciiTheme="minorHAnsi" w:eastAsiaTheme="minorEastAsia" w:hAnsiTheme="minorHAnsi"/>
      <w:i/>
      <w:color w:val="FFFFFF"/>
      <w:sz w:val="20"/>
      <w:szCs w:val="22"/>
      <w:lang w:val="en-US"/>
    </w:rPr>
  </w:style>
  <w:style w:type="paragraph" w:customStyle="1" w:styleId="QReusableChoices">
    <w:name w:val="QReusableChoices"/>
    <w:basedOn w:val="Normal"/>
    <w:qFormat/>
    <w:rsid w:val="002D6A5A"/>
    <w:pPr>
      <w:shd w:val="clear" w:color="auto" w:fill="3EA18E"/>
      <w:spacing w:before="120" w:after="120" w:line="240" w:lineRule="auto"/>
    </w:pPr>
    <w:rPr>
      <w:rFonts w:asciiTheme="minorHAnsi" w:eastAsiaTheme="minorEastAsia" w:hAnsiTheme="minorHAnsi"/>
      <w:i/>
      <w:color w:val="FFFFFF"/>
      <w:sz w:val="20"/>
      <w:szCs w:val="22"/>
      <w:lang w:val="en-US"/>
    </w:rPr>
  </w:style>
  <w:style w:type="paragraph" w:customStyle="1" w:styleId="SFGreen">
    <w:name w:val="SFGreen"/>
    <w:basedOn w:val="Normal"/>
    <w:qFormat/>
    <w:rsid w:val="002D6A5A"/>
    <w:pPr>
      <w:pBdr>
        <w:top w:val="single" w:sz="4" w:space="4" w:color="D1D9BD"/>
        <w:left w:val="single" w:sz="4" w:space="4" w:color="D1D9BD"/>
        <w:bottom w:val="single" w:sz="4" w:space="4" w:color="D1D9BD"/>
        <w:right w:val="single" w:sz="4" w:space="4" w:color="D1D9BD"/>
      </w:pBdr>
      <w:shd w:val="clear" w:color="auto" w:fill="EDF2E3"/>
      <w:spacing w:after="0" w:line="276" w:lineRule="auto"/>
    </w:pPr>
    <w:rPr>
      <w:rFonts w:asciiTheme="minorHAnsi" w:eastAsiaTheme="minorEastAsia" w:hAnsiTheme="minorHAnsi"/>
      <w:b/>
      <w:color w:val="809163"/>
      <w:sz w:val="22"/>
      <w:szCs w:val="22"/>
      <w:lang w:val="en-US"/>
    </w:rPr>
  </w:style>
  <w:style w:type="paragraph" w:customStyle="1" w:styleId="SFBlue">
    <w:name w:val="SFBlue"/>
    <w:basedOn w:val="Normal"/>
    <w:qFormat/>
    <w:rsid w:val="002D6A5A"/>
    <w:pPr>
      <w:pBdr>
        <w:top w:val="single" w:sz="4" w:space="4" w:color="C3CDDB"/>
        <w:left w:val="single" w:sz="4" w:space="4" w:color="C3CDDB"/>
        <w:bottom w:val="single" w:sz="4" w:space="4" w:color="C3CDDB"/>
        <w:right w:val="single" w:sz="4" w:space="4" w:color="C3CDDB"/>
      </w:pBdr>
      <w:shd w:val="clear" w:color="auto" w:fill="E6ECF5"/>
      <w:spacing w:after="0" w:line="276" w:lineRule="auto"/>
    </w:pPr>
    <w:rPr>
      <w:rFonts w:asciiTheme="minorHAnsi" w:eastAsiaTheme="minorEastAsia" w:hAnsiTheme="minorHAnsi"/>
      <w:b/>
      <w:color w:val="426092"/>
      <w:sz w:val="22"/>
      <w:szCs w:val="22"/>
      <w:lang w:val="en-US"/>
    </w:rPr>
  </w:style>
  <w:style w:type="paragraph" w:customStyle="1" w:styleId="SFPurple">
    <w:name w:val="SFPurple"/>
    <w:basedOn w:val="Normal"/>
    <w:qFormat/>
    <w:rsid w:val="002D6A5A"/>
    <w:pPr>
      <w:pBdr>
        <w:top w:val="single" w:sz="4" w:space="4" w:color="D1C0D1"/>
        <w:left w:val="single" w:sz="4" w:space="4" w:color="D1C0D1"/>
        <w:bottom w:val="single" w:sz="4" w:space="4" w:color="D1C0D1"/>
        <w:right w:val="single" w:sz="4" w:space="4" w:color="D1C0D1"/>
      </w:pBdr>
      <w:shd w:val="clear" w:color="auto" w:fill="F2E3F2"/>
      <w:spacing w:after="0" w:line="276" w:lineRule="auto"/>
    </w:pPr>
    <w:rPr>
      <w:rFonts w:asciiTheme="minorHAnsi" w:eastAsiaTheme="minorEastAsia" w:hAnsiTheme="minorHAnsi"/>
      <w:b/>
      <w:color w:val="916391"/>
      <w:sz w:val="22"/>
      <w:szCs w:val="22"/>
      <w:lang w:val="en-US"/>
    </w:rPr>
  </w:style>
  <w:style w:type="paragraph" w:customStyle="1" w:styleId="SFGray">
    <w:name w:val="SFGray"/>
    <w:basedOn w:val="Normal"/>
    <w:qFormat/>
    <w:rsid w:val="002D6A5A"/>
    <w:pPr>
      <w:pBdr>
        <w:top w:val="single" w:sz="4" w:space="4" w:color="CFCFCF"/>
        <w:left w:val="single" w:sz="4" w:space="4" w:color="CFCFCF"/>
        <w:bottom w:val="single" w:sz="4" w:space="4" w:color="CFCFCF"/>
        <w:right w:val="single" w:sz="4" w:space="4" w:color="CFCFCF"/>
      </w:pBdr>
      <w:shd w:val="clear" w:color="auto" w:fill="F2F2F2"/>
      <w:spacing w:after="0" w:line="276" w:lineRule="auto"/>
    </w:pPr>
    <w:rPr>
      <w:rFonts w:asciiTheme="minorHAnsi" w:eastAsiaTheme="minorEastAsia" w:hAnsiTheme="minorHAnsi"/>
      <w:b/>
      <w:color w:val="555555"/>
      <w:sz w:val="22"/>
      <w:szCs w:val="22"/>
      <w:lang w:val="en-US"/>
    </w:rPr>
  </w:style>
  <w:style w:type="paragraph" w:customStyle="1" w:styleId="SFRed">
    <w:name w:val="SFRed"/>
    <w:basedOn w:val="Normal"/>
    <w:qFormat/>
    <w:rsid w:val="002D6A5A"/>
    <w:pPr>
      <w:pBdr>
        <w:top w:val="single" w:sz="4" w:space="4" w:color="700606"/>
        <w:left w:val="single" w:sz="4" w:space="4" w:color="700606"/>
        <w:bottom w:val="single" w:sz="4" w:space="4" w:color="700606"/>
        <w:right w:val="single" w:sz="4" w:space="4" w:color="700606"/>
      </w:pBdr>
      <w:shd w:val="clear" w:color="auto" w:fill="8C0707"/>
      <w:spacing w:after="0" w:line="276" w:lineRule="auto"/>
    </w:pPr>
    <w:rPr>
      <w:rFonts w:asciiTheme="minorHAnsi" w:eastAsiaTheme="minorEastAsia" w:hAnsiTheme="minorHAnsi"/>
      <w:b/>
      <w:color w:val="FFFFFF"/>
      <w:sz w:val="22"/>
      <w:szCs w:val="22"/>
      <w:lang w:val="en-US"/>
    </w:rPr>
  </w:style>
  <w:style w:type="paragraph" w:customStyle="1" w:styleId="subsection">
    <w:name w:val="subsection"/>
    <w:basedOn w:val="Normal"/>
    <w:rsid w:val="002D6A5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2D6A5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2D6A5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Recommendations">
    <w:name w:val="Recommendations"/>
    <w:basedOn w:val="Normal"/>
    <w:qFormat/>
    <w:rsid w:val="00741DA0"/>
    <w:pPr>
      <w:spacing w:after="160" w:line="259" w:lineRule="auto"/>
    </w:pPr>
    <w:rPr>
      <w:rFonts w:eastAsia="Calibri" w:cs="Times New Roman"/>
      <w:b/>
      <w:color w:val="26890D"/>
    </w:rPr>
  </w:style>
  <w:style w:type="paragraph" w:customStyle="1" w:styleId="QDisplayLogic">
    <w:name w:val="QDisplayLogic"/>
    <w:basedOn w:val="Normal"/>
    <w:qFormat/>
    <w:rsid w:val="001B5B58"/>
    <w:pPr>
      <w:shd w:val="clear" w:color="auto" w:fill="6898BB"/>
      <w:spacing w:before="120" w:after="120" w:line="240" w:lineRule="auto"/>
    </w:pPr>
    <w:rPr>
      <w:rFonts w:asciiTheme="minorHAnsi" w:eastAsiaTheme="minorEastAsia" w:hAnsiTheme="minorHAnsi"/>
      <w:i/>
      <w:sz w:val="20"/>
      <w:szCs w:val="22"/>
      <w:lang w:val="en-US"/>
    </w:rPr>
  </w:style>
  <w:style w:type="paragraph" w:customStyle="1" w:styleId="QSkipLogic">
    <w:name w:val="QSkipLogic"/>
    <w:basedOn w:val="Normal"/>
    <w:qFormat/>
    <w:rsid w:val="002D6A5A"/>
    <w:pPr>
      <w:shd w:val="clear" w:color="auto" w:fill="8D8D8D"/>
      <w:spacing w:before="120" w:after="120" w:line="240" w:lineRule="auto"/>
    </w:pPr>
    <w:rPr>
      <w:rFonts w:asciiTheme="minorHAnsi" w:eastAsiaTheme="minorEastAsia" w:hAnsiTheme="minorHAnsi"/>
      <w:i/>
      <w:color w:val="FFFFFF"/>
      <w:sz w:val="20"/>
      <w:szCs w:val="22"/>
      <w:lang w:val="en-US"/>
    </w:rPr>
  </w:style>
  <w:style w:type="paragraph" w:customStyle="1" w:styleId="BlockEndLabel">
    <w:name w:val="BlockEndLabel"/>
    <w:basedOn w:val="Normal"/>
    <w:qFormat/>
    <w:rsid w:val="002D6A5A"/>
    <w:pPr>
      <w:spacing w:before="120" w:after="0" w:line="240" w:lineRule="auto"/>
    </w:pPr>
    <w:rPr>
      <w:rFonts w:asciiTheme="minorHAnsi" w:eastAsiaTheme="minorEastAsia" w:hAnsiTheme="minorHAnsi"/>
      <w:b/>
      <w:color w:val="CCCCCC"/>
      <w:sz w:val="22"/>
      <w:szCs w:val="22"/>
      <w:lang w:val="en-US"/>
    </w:rPr>
  </w:style>
  <w:style w:type="paragraph" w:customStyle="1" w:styleId="BlockSeparator">
    <w:name w:val="BlockSeparator"/>
    <w:basedOn w:val="Normal"/>
    <w:qFormat/>
    <w:rsid w:val="002D6A5A"/>
    <w:pPr>
      <w:pBdr>
        <w:bottom w:val="single" w:sz="8" w:space="0" w:color="CCCCCC"/>
      </w:pBdr>
      <w:spacing w:after="0" w:line="120" w:lineRule="auto"/>
      <w:jc w:val="center"/>
    </w:pPr>
    <w:rPr>
      <w:rFonts w:asciiTheme="minorHAnsi" w:eastAsiaTheme="minorEastAsia" w:hAnsiTheme="minorHAnsi"/>
      <w:b/>
      <w:color w:val="CCCCCC"/>
      <w:sz w:val="22"/>
      <w:szCs w:val="22"/>
      <w:lang w:val="en-US"/>
    </w:rPr>
  </w:style>
  <w:style w:type="table" w:customStyle="1" w:styleId="TableGrid10">
    <w:name w:val="Table Grid1"/>
    <w:basedOn w:val="TableNormal"/>
    <w:next w:val="TableGrid"/>
    <w:uiPriority w:val="39"/>
    <w:rsid w:val="002D6A5A"/>
    <w:rPr>
      <w:rFonts w:asciiTheme="minorHAnsi" w:hAnsiTheme="minorHAnsi"/>
      <w:sz w:val="20"/>
      <w:szCs w:val="20"/>
    </w:rPr>
    <w:tblPr/>
  </w:style>
  <w:style w:type="character" w:customStyle="1" w:styleId="cf01">
    <w:name w:val="cf01"/>
    <w:basedOn w:val="DefaultParagraphFont"/>
    <w:rsid w:val="002D6A5A"/>
    <w:rPr>
      <w:rFonts w:ascii="Segoe UI" w:hAnsi="Segoe UI" w:cs="Segoe UI" w:hint="default"/>
      <w:sz w:val="18"/>
      <w:szCs w:val="18"/>
    </w:rPr>
  </w:style>
  <w:style w:type="paragraph" w:customStyle="1" w:styleId="pf0">
    <w:name w:val="pf0"/>
    <w:basedOn w:val="Normal"/>
    <w:rsid w:val="002D6A5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11">
    <w:name w:val="cf11"/>
    <w:basedOn w:val="DefaultParagraphFont"/>
    <w:rsid w:val="002D6A5A"/>
    <w:rPr>
      <w:rFonts w:ascii="Segoe UI" w:hAnsi="Segoe UI" w:cs="Segoe UI" w:hint="default"/>
      <w:sz w:val="18"/>
      <w:szCs w:val="18"/>
    </w:rPr>
  </w:style>
  <w:style w:type="character" w:customStyle="1" w:styleId="cf21">
    <w:name w:val="cf21"/>
    <w:basedOn w:val="DefaultParagraphFont"/>
    <w:rsid w:val="002D6A5A"/>
    <w:rPr>
      <w:rFonts w:ascii="Segoe UI" w:hAnsi="Segoe UI" w:cs="Segoe UI" w:hint="default"/>
      <w:i/>
      <w:iCs/>
      <w:sz w:val="18"/>
      <w:szCs w:val="18"/>
    </w:rPr>
  </w:style>
  <w:style w:type="paragraph" w:customStyle="1" w:styleId="Surveyoptions">
    <w:name w:val="Survey options"/>
    <w:basedOn w:val="ListParagraph"/>
    <w:qFormat/>
    <w:rsid w:val="002B2382"/>
    <w:pPr>
      <w:numPr>
        <w:numId w:val="63"/>
      </w:numPr>
    </w:pPr>
  </w:style>
  <w:style w:type="paragraph" w:customStyle="1" w:styleId="Heading11">
    <w:name w:val="Heading 11"/>
    <w:basedOn w:val="Normal"/>
    <w:next w:val="Normal"/>
    <w:uiPriority w:val="1"/>
    <w:qFormat/>
    <w:rsid w:val="002D6A5A"/>
    <w:pPr>
      <w:keepNext/>
      <w:keepLines/>
      <w:pageBreakBefore/>
      <w:tabs>
        <w:tab w:val="num" w:pos="360"/>
      </w:tabs>
      <w:spacing w:after="480" w:line="720" w:lineRule="atLeast"/>
      <w:contextualSpacing/>
      <w:outlineLvl w:val="0"/>
    </w:pPr>
    <w:rPr>
      <w:rFonts w:eastAsia="MingLiU" w:cs="Times New Roman"/>
      <w:bCs/>
      <w:sz w:val="60"/>
      <w:szCs w:val="28"/>
    </w:rPr>
  </w:style>
  <w:style w:type="paragraph" w:customStyle="1" w:styleId="Heading21">
    <w:name w:val="Heading 21"/>
    <w:basedOn w:val="Normal"/>
    <w:next w:val="Normal"/>
    <w:uiPriority w:val="1"/>
    <w:qFormat/>
    <w:rsid w:val="005A79E2"/>
    <w:pPr>
      <w:keepNext/>
      <w:keepLines/>
      <w:tabs>
        <w:tab w:val="num" w:pos="360"/>
      </w:tabs>
      <w:spacing w:before="240" w:after="0" w:line="280" w:lineRule="atLeast"/>
      <w:outlineLvl w:val="1"/>
    </w:pPr>
    <w:rPr>
      <w:rFonts w:eastAsia="MingLiU" w:cs="Times New Roman"/>
      <w:b/>
      <w:bCs/>
      <w:color w:val="007CB0"/>
      <w:sz w:val="22"/>
      <w:szCs w:val="26"/>
    </w:rPr>
  </w:style>
  <w:style w:type="paragraph" w:customStyle="1" w:styleId="Heading31">
    <w:name w:val="Heading 31"/>
    <w:basedOn w:val="Normal"/>
    <w:next w:val="Normal"/>
    <w:uiPriority w:val="1"/>
    <w:qFormat/>
    <w:rsid w:val="002D6A5A"/>
    <w:pPr>
      <w:keepNext/>
      <w:keepLines/>
      <w:tabs>
        <w:tab w:val="num" w:pos="360"/>
      </w:tabs>
      <w:spacing w:after="0"/>
      <w:outlineLvl w:val="2"/>
    </w:pPr>
    <w:rPr>
      <w:rFonts w:eastAsia="MingLiU" w:cs="Times New Roman"/>
      <w:b/>
      <w:bCs/>
    </w:rPr>
  </w:style>
  <w:style w:type="paragraph" w:customStyle="1" w:styleId="Heading41">
    <w:name w:val="Heading 41"/>
    <w:basedOn w:val="Normal"/>
    <w:next w:val="Normal"/>
    <w:uiPriority w:val="1"/>
    <w:qFormat/>
    <w:rsid w:val="002D6A5A"/>
    <w:pPr>
      <w:keepNext/>
      <w:keepLines/>
      <w:tabs>
        <w:tab w:val="left" w:pos="340"/>
      </w:tabs>
      <w:spacing w:after="0"/>
      <w:outlineLvl w:val="3"/>
    </w:pPr>
    <w:rPr>
      <w:rFonts w:eastAsia="MingLiU" w:cs="Times New Roman"/>
      <w:b/>
      <w:bCs/>
      <w:iCs/>
      <w:color w:val="75787B"/>
    </w:rPr>
  </w:style>
  <w:style w:type="paragraph" w:customStyle="1" w:styleId="Heading51">
    <w:name w:val="Heading 51"/>
    <w:basedOn w:val="Normal"/>
    <w:next w:val="Normal"/>
    <w:uiPriority w:val="1"/>
    <w:rsid w:val="002D6A5A"/>
    <w:pPr>
      <w:keepNext/>
      <w:keepLines/>
      <w:tabs>
        <w:tab w:val="num" w:pos="360"/>
      </w:tabs>
      <w:spacing w:after="0"/>
      <w:outlineLvl w:val="4"/>
    </w:pPr>
    <w:rPr>
      <w:rFonts w:eastAsia="MingLiU" w:cs="Times New Roman"/>
      <w:b/>
    </w:rPr>
  </w:style>
  <w:style w:type="paragraph" w:customStyle="1" w:styleId="Heading61">
    <w:name w:val="Heading 61"/>
    <w:basedOn w:val="Normal"/>
    <w:next w:val="Normal"/>
    <w:uiPriority w:val="1"/>
    <w:semiHidden/>
    <w:qFormat/>
    <w:rsid w:val="002D6A5A"/>
    <w:pPr>
      <w:keepNext/>
      <w:keepLines/>
      <w:tabs>
        <w:tab w:val="num" w:pos="360"/>
      </w:tabs>
      <w:spacing w:after="0"/>
      <w:outlineLvl w:val="5"/>
    </w:pPr>
    <w:rPr>
      <w:rFonts w:eastAsia="MingLiU" w:cs="Times New Roman"/>
      <w:b/>
      <w:iCs/>
    </w:rPr>
  </w:style>
  <w:style w:type="table" w:customStyle="1" w:styleId="ListTable3-Accent41">
    <w:name w:val="List Table 3 - Accent 41"/>
    <w:basedOn w:val="TableNormal"/>
    <w:next w:val="ListTable3-Accent4"/>
    <w:uiPriority w:val="48"/>
    <w:rsid w:val="002D6A5A"/>
    <w:pPr>
      <w:spacing w:line="240" w:lineRule="auto"/>
    </w:pPr>
    <w:tblPr>
      <w:tblStyleRowBandSize w:val="1"/>
      <w:tblStyleColBandSize w:val="1"/>
      <w:tblBorders>
        <w:top w:val="single" w:sz="4" w:space="0" w:color="012169"/>
        <w:left w:val="single" w:sz="4" w:space="0" w:color="012169"/>
        <w:bottom w:val="single" w:sz="4" w:space="0" w:color="012169"/>
        <w:right w:val="single" w:sz="4" w:space="0" w:color="012169"/>
      </w:tblBorders>
    </w:tblPr>
    <w:tblStylePr w:type="firstRow">
      <w:rPr>
        <w:b/>
        <w:bCs/>
        <w:color w:val="FFFFFF"/>
      </w:rPr>
      <w:tblPr/>
      <w:tcPr>
        <w:shd w:val="clear" w:color="auto" w:fill="012169"/>
      </w:tcPr>
    </w:tblStylePr>
    <w:tblStylePr w:type="lastRow">
      <w:rPr>
        <w:b/>
        <w:bCs/>
      </w:rPr>
      <w:tblPr/>
      <w:tcPr>
        <w:tcBorders>
          <w:top w:val="double" w:sz="4" w:space="0" w:color="0121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12169"/>
          <w:right w:val="single" w:sz="4" w:space="0" w:color="012169"/>
        </w:tcBorders>
      </w:tcPr>
    </w:tblStylePr>
    <w:tblStylePr w:type="band1Horz">
      <w:tblPr/>
      <w:tcPr>
        <w:tcBorders>
          <w:top w:val="single" w:sz="4" w:space="0" w:color="012169"/>
          <w:bottom w:val="single" w:sz="4" w:space="0" w:color="0121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left w:val="nil"/>
        </w:tcBorders>
      </w:tcPr>
    </w:tblStylePr>
    <w:tblStylePr w:type="swCell">
      <w:tblPr/>
      <w:tcPr>
        <w:tcBorders>
          <w:top w:val="double" w:sz="4" w:space="0" w:color="012169"/>
          <w:right w:val="nil"/>
        </w:tcBorders>
      </w:tcPr>
    </w:tblStylePr>
  </w:style>
  <w:style w:type="paragraph" w:customStyle="1" w:styleId="Heading5un-numbered">
    <w:name w:val="Heading 5 (un-numbered)"/>
    <w:basedOn w:val="Heading5"/>
    <w:next w:val="Normal"/>
    <w:qFormat/>
    <w:rsid w:val="00C666FE"/>
    <w:pPr>
      <w:numPr>
        <w:ilvl w:val="0"/>
        <w:numId w:val="0"/>
      </w:numPr>
    </w:pPr>
  </w:style>
  <w:style w:type="numbering" w:customStyle="1" w:styleId="Singlepunch1">
    <w:name w:val="Single punch1"/>
    <w:rsid w:val="00C666FE"/>
    <w:pPr>
      <w:numPr>
        <w:numId w:val="93"/>
      </w:numPr>
    </w:pPr>
  </w:style>
  <w:style w:type="numbering" w:customStyle="1" w:styleId="Multipunch1">
    <w:name w:val="Multi punch1"/>
    <w:rsid w:val="00C666FE"/>
    <w:pPr>
      <w:numPr>
        <w:numId w:val="94"/>
      </w:numPr>
    </w:pPr>
  </w:style>
  <w:style w:type="paragraph" w:customStyle="1" w:styleId="H2">
    <w:name w:val="H2"/>
    <w:next w:val="Normal"/>
    <w:rsid w:val="002D6A5A"/>
    <w:pPr>
      <w:spacing w:after="240" w:line="240" w:lineRule="auto"/>
    </w:pPr>
    <w:rPr>
      <w:rFonts w:asciiTheme="minorHAnsi" w:eastAsiaTheme="minorEastAsia" w:hAnsiTheme="minorHAnsi"/>
      <w:b/>
      <w:color w:val="000000"/>
      <w:sz w:val="48"/>
      <w:szCs w:val="48"/>
      <w:lang w:val="en-US"/>
    </w:rPr>
  </w:style>
  <w:style w:type="paragraph" w:customStyle="1" w:styleId="BarSlider">
    <w:name w:val="BarSlider"/>
    <w:basedOn w:val="Normal"/>
    <w:qFormat/>
    <w:rsid w:val="002D6A5A"/>
    <w:pPr>
      <w:pBdr>
        <w:top w:val="single" w:sz="160" w:space="0" w:color="499FD1"/>
      </w:pBdr>
      <w:spacing w:before="80" w:after="0" w:line="240" w:lineRule="auto"/>
    </w:pPr>
    <w:rPr>
      <w:rFonts w:asciiTheme="minorHAnsi" w:eastAsiaTheme="minorEastAsia" w:hAnsiTheme="minorHAnsi"/>
      <w:sz w:val="22"/>
      <w:szCs w:val="22"/>
      <w:lang w:val="en-US"/>
    </w:rPr>
  </w:style>
  <w:style w:type="paragraph" w:customStyle="1" w:styleId="H1">
    <w:name w:val="H1"/>
    <w:next w:val="Normal"/>
    <w:rsid w:val="002D6A5A"/>
    <w:pPr>
      <w:spacing w:after="240" w:line="240" w:lineRule="auto"/>
    </w:pPr>
    <w:rPr>
      <w:rFonts w:asciiTheme="minorHAnsi" w:eastAsiaTheme="minorEastAsia" w:hAnsiTheme="minorHAnsi"/>
      <w:b/>
      <w:color w:val="000000"/>
      <w:sz w:val="64"/>
      <w:szCs w:val="64"/>
      <w:lang w:val="en-US"/>
    </w:rPr>
  </w:style>
  <w:style w:type="paragraph" w:customStyle="1" w:styleId="H3">
    <w:name w:val="H3"/>
    <w:next w:val="Normal"/>
    <w:rsid w:val="002D6A5A"/>
    <w:pPr>
      <w:spacing w:after="120" w:line="240" w:lineRule="auto"/>
    </w:pPr>
    <w:rPr>
      <w:rFonts w:asciiTheme="minorHAnsi" w:eastAsiaTheme="minorEastAsia" w:hAnsiTheme="minorHAnsi"/>
      <w:b/>
      <w:color w:val="000000"/>
      <w:sz w:val="36"/>
      <w:szCs w:val="36"/>
      <w:lang w:val="en-US"/>
    </w:rPr>
  </w:style>
  <w:style w:type="paragraph" w:customStyle="1" w:styleId="BlockStartLabel">
    <w:name w:val="BlockStartLabel"/>
    <w:basedOn w:val="Normal"/>
    <w:qFormat/>
    <w:rsid w:val="002D6A5A"/>
    <w:pPr>
      <w:spacing w:before="120" w:after="120" w:line="240" w:lineRule="auto"/>
    </w:pPr>
    <w:rPr>
      <w:rFonts w:asciiTheme="minorHAnsi" w:eastAsiaTheme="minorEastAsia" w:hAnsiTheme="minorHAnsi"/>
      <w:b/>
      <w:color w:val="CCCCCC"/>
      <w:sz w:val="22"/>
      <w:szCs w:val="22"/>
      <w:lang w:val="en-US"/>
    </w:rPr>
  </w:style>
  <w:style w:type="paragraph" w:customStyle="1" w:styleId="Dropdown">
    <w:name w:val="Dropdown"/>
    <w:basedOn w:val="Normal"/>
    <w:qFormat/>
    <w:rsid w:val="002D6A5A"/>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eastAsiaTheme="minorEastAsia" w:hAnsiTheme="minorHAnsi"/>
      <w:sz w:val="22"/>
      <w:szCs w:val="22"/>
      <w:lang w:val="en-US"/>
    </w:rPr>
  </w:style>
  <w:style w:type="paragraph" w:customStyle="1" w:styleId="QPlaceholderAlert">
    <w:name w:val="QPlaceholderAlert"/>
    <w:basedOn w:val="Normal"/>
    <w:qFormat/>
    <w:rsid w:val="002D6A5A"/>
    <w:pPr>
      <w:spacing w:after="0" w:line="276" w:lineRule="auto"/>
    </w:pPr>
    <w:rPr>
      <w:rFonts w:asciiTheme="minorHAnsi" w:eastAsiaTheme="minorEastAsia" w:hAnsiTheme="minorHAnsi"/>
      <w:color w:val="FF0000"/>
      <w:sz w:val="22"/>
      <w:szCs w:val="22"/>
      <w:lang w:val="en-US"/>
    </w:rPr>
  </w:style>
  <w:style w:type="table" w:customStyle="1" w:styleId="ListTable3-Accent21">
    <w:name w:val="List Table 3 - Accent 21"/>
    <w:basedOn w:val="TableNormal"/>
    <w:next w:val="ListTable3-Accent2"/>
    <w:uiPriority w:val="48"/>
    <w:rsid w:val="002D6A5A"/>
    <w:pPr>
      <w:spacing w:line="240" w:lineRule="auto"/>
    </w:pPr>
    <w:tblPr>
      <w:tblStyleRowBandSize w:val="1"/>
      <w:tblStyleColBandSize w:val="1"/>
      <w:tblBorders>
        <w:top w:val="single" w:sz="4" w:space="0" w:color="046A38"/>
        <w:left w:val="single" w:sz="4" w:space="0" w:color="046A38"/>
        <w:bottom w:val="single" w:sz="4" w:space="0" w:color="046A38"/>
        <w:right w:val="single" w:sz="4" w:space="0" w:color="046A38"/>
      </w:tblBorders>
    </w:tblPr>
    <w:tblStylePr w:type="firstRow">
      <w:rPr>
        <w:b/>
        <w:bCs/>
        <w:color w:val="FFFFFF"/>
      </w:rPr>
      <w:tblPr/>
      <w:tcPr>
        <w:shd w:val="clear" w:color="auto" w:fill="046A38"/>
      </w:tcPr>
    </w:tblStylePr>
    <w:tblStylePr w:type="lastRow">
      <w:rPr>
        <w:b/>
        <w:bCs/>
      </w:rPr>
      <w:tblPr/>
      <w:tcPr>
        <w:tcBorders>
          <w:top w:val="double" w:sz="4" w:space="0" w:color="046A3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46A38"/>
          <w:right w:val="single" w:sz="4" w:space="0" w:color="046A38"/>
        </w:tcBorders>
      </w:tcPr>
    </w:tblStylePr>
    <w:tblStylePr w:type="band1Horz">
      <w:tblPr/>
      <w:tcPr>
        <w:tcBorders>
          <w:top w:val="single" w:sz="4" w:space="0" w:color="046A38"/>
          <w:bottom w:val="single" w:sz="4" w:space="0" w:color="046A3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left w:val="nil"/>
        </w:tcBorders>
      </w:tcPr>
    </w:tblStylePr>
    <w:tblStylePr w:type="swCell">
      <w:tblPr/>
      <w:tcPr>
        <w:tcBorders>
          <w:top w:val="double" w:sz="4" w:space="0" w:color="046A38"/>
          <w:right w:val="nil"/>
        </w:tcBorders>
      </w:tcPr>
    </w:tblStylePr>
  </w:style>
  <w:style w:type="paragraph" w:customStyle="1" w:styleId="pf1">
    <w:name w:val="pf1"/>
    <w:basedOn w:val="Normal"/>
    <w:rsid w:val="006A421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97">
      <w:bodyDiv w:val="1"/>
      <w:marLeft w:val="0"/>
      <w:marRight w:val="0"/>
      <w:marTop w:val="0"/>
      <w:marBottom w:val="0"/>
      <w:divBdr>
        <w:top w:val="none" w:sz="0" w:space="0" w:color="auto"/>
        <w:left w:val="none" w:sz="0" w:space="0" w:color="auto"/>
        <w:bottom w:val="none" w:sz="0" w:space="0" w:color="auto"/>
        <w:right w:val="none" w:sz="0" w:space="0" w:color="auto"/>
      </w:divBdr>
    </w:div>
    <w:div w:id="26948910">
      <w:bodyDiv w:val="1"/>
      <w:marLeft w:val="0"/>
      <w:marRight w:val="0"/>
      <w:marTop w:val="0"/>
      <w:marBottom w:val="0"/>
      <w:divBdr>
        <w:top w:val="none" w:sz="0" w:space="0" w:color="auto"/>
        <w:left w:val="none" w:sz="0" w:space="0" w:color="auto"/>
        <w:bottom w:val="none" w:sz="0" w:space="0" w:color="auto"/>
        <w:right w:val="none" w:sz="0" w:space="0" w:color="auto"/>
      </w:divBdr>
      <w:divsChild>
        <w:div w:id="326396545">
          <w:marLeft w:val="274"/>
          <w:marRight w:val="0"/>
          <w:marTop w:val="0"/>
          <w:marBottom w:val="120"/>
          <w:divBdr>
            <w:top w:val="none" w:sz="0" w:space="0" w:color="auto"/>
            <w:left w:val="none" w:sz="0" w:space="0" w:color="auto"/>
            <w:bottom w:val="none" w:sz="0" w:space="0" w:color="auto"/>
            <w:right w:val="none" w:sz="0" w:space="0" w:color="auto"/>
          </w:divBdr>
        </w:div>
      </w:divsChild>
    </w:div>
    <w:div w:id="31270493">
      <w:bodyDiv w:val="1"/>
      <w:marLeft w:val="0"/>
      <w:marRight w:val="0"/>
      <w:marTop w:val="0"/>
      <w:marBottom w:val="0"/>
      <w:divBdr>
        <w:top w:val="none" w:sz="0" w:space="0" w:color="auto"/>
        <w:left w:val="none" w:sz="0" w:space="0" w:color="auto"/>
        <w:bottom w:val="none" w:sz="0" w:space="0" w:color="auto"/>
        <w:right w:val="none" w:sz="0" w:space="0" w:color="auto"/>
      </w:divBdr>
    </w:div>
    <w:div w:id="46732018">
      <w:bodyDiv w:val="1"/>
      <w:marLeft w:val="0"/>
      <w:marRight w:val="0"/>
      <w:marTop w:val="0"/>
      <w:marBottom w:val="0"/>
      <w:divBdr>
        <w:top w:val="none" w:sz="0" w:space="0" w:color="auto"/>
        <w:left w:val="none" w:sz="0" w:space="0" w:color="auto"/>
        <w:bottom w:val="none" w:sz="0" w:space="0" w:color="auto"/>
        <w:right w:val="none" w:sz="0" w:space="0" w:color="auto"/>
      </w:divBdr>
      <w:divsChild>
        <w:div w:id="1627808651">
          <w:marLeft w:val="274"/>
          <w:marRight w:val="0"/>
          <w:marTop w:val="120"/>
          <w:marBottom w:val="120"/>
          <w:divBdr>
            <w:top w:val="none" w:sz="0" w:space="0" w:color="auto"/>
            <w:left w:val="none" w:sz="0" w:space="0" w:color="auto"/>
            <w:bottom w:val="none" w:sz="0" w:space="0" w:color="auto"/>
            <w:right w:val="none" w:sz="0" w:space="0" w:color="auto"/>
          </w:divBdr>
        </w:div>
      </w:divsChild>
    </w:div>
    <w:div w:id="90975876">
      <w:bodyDiv w:val="1"/>
      <w:marLeft w:val="0"/>
      <w:marRight w:val="0"/>
      <w:marTop w:val="0"/>
      <w:marBottom w:val="0"/>
      <w:divBdr>
        <w:top w:val="none" w:sz="0" w:space="0" w:color="auto"/>
        <w:left w:val="none" w:sz="0" w:space="0" w:color="auto"/>
        <w:bottom w:val="none" w:sz="0" w:space="0" w:color="auto"/>
        <w:right w:val="none" w:sz="0" w:space="0" w:color="auto"/>
      </w:divBdr>
      <w:divsChild>
        <w:div w:id="1115440003">
          <w:marLeft w:val="0"/>
          <w:marRight w:val="0"/>
          <w:marTop w:val="0"/>
          <w:marBottom w:val="0"/>
          <w:divBdr>
            <w:top w:val="none" w:sz="0" w:space="0" w:color="auto"/>
            <w:left w:val="none" w:sz="0" w:space="0" w:color="auto"/>
            <w:bottom w:val="none" w:sz="0" w:space="0" w:color="auto"/>
            <w:right w:val="none" w:sz="0" w:space="0" w:color="auto"/>
          </w:divBdr>
          <w:divsChild>
            <w:div w:id="583956099">
              <w:marLeft w:val="0"/>
              <w:marRight w:val="0"/>
              <w:marTop w:val="0"/>
              <w:marBottom w:val="0"/>
              <w:divBdr>
                <w:top w:val="none" w:sz="0" w:space="0" w:color="auto"/>
                <w:left w:val="none" w:sz="0" w:space="0" w:color="auto"/>
                <w:bottom w:val="none" w:sz="0" w:space="0" w:color="auto"/>
                <w:right w:val="none" w:sz="0" w:space="0" w:color="auto"/>
              </w:divBdr>
            </w:div>
            <w:div w:id="1269655494">
              <w:marLeft w:val="0"/>
              <w:marRight w:val="0"/>
              <w:marTop w:val="0"/>
              <w:marBottom w:val="0"/>
              <w:divBdr>
                <w:top w:val="none" w:sz="0" w:space="0" w:color="auto"/>
                <w:left w:val="none" w:sz="0" w:space="0" w:color="auto"/>
                <w:bottom w:val="none" w:sz="0" w:space="0" w:color="auto"/>
                <w:right w:val="none" w:sz="0" w:space="0" w:color="auto"/>
              </w:divBdr>
            </w:div>
            <w:div w:id="1897811084">
              <w:marLeft w:val="0"/>
              <w:marRight w:val="0"/>
              <w:marTop w:val="0"/>
              <w:marBottom w:val="0"/>
              <w:divBdr>
                <w:top w:val="none" w:sz="0" w:space="0" w:color="auto"/>
                <w:left w:val="none" w:sz="0" w:space="0" w:color="auto"/>
                <w:bottom w:val="none" w:sz="0" w:space="0" w:color="auto"/>
                <w:right w:val="none" w:sz="0" w:space="0" w:color="auto"/>
              </w:divBdr>
            </w:div>
          </w:divsChild>
        </w:div>
        <w:div w:id="2115443490">
          <w:marLeft w:val="0"/>
          <w:marRight w:val="0"/>
          <w:marTop w:val="0"/>
          <w:marBottom w:val="0"/>
          <w:divBdr>
            <w:top w:val="none" w:sz="0" w:space="0" w:color="auto"/>
            <w:left w:val="none" w:sz="0" w:space="0" w:color="auto"/>
            <w:bottom w:val="none" w:sz="0" w:space="0" w:color="auto"/>
            <w:right w:val="none" w:sz="0" w:space="0" w:color="auto"/>
          </w:divBdr>
          <w:divsChild>
            <w:div w:id="201940971">
              <w:marLeft w:val="0"/>
              <w:marRight w:val="0"/>
              <w:marTop w:val="0"/>
              <w:marBottom w:val="0"/>
              <w:divBdr>
                <w:top w:val="none" w:sz="0" w:space="0" w:color="auto"/>
                <w:left w:val="none" w:sz="0" w:space="0" w:color="auto"/>
                <w:bottom w:val="none" w:sz="0" w:space="0" w:color="auto"/>
                <w:right w:val="none" w:sz="0" w:space="0" w:color="auto"/>
              </w:divBdr>
            </w:div>
            <w:div w:id="974749160">
              <w:marLeft w:val="0"/>
              <w:marRight w:val="0"/>
              <w:marTop w:val="0"/>
              <w:marBottom w:val="0"/>
              <w:divBdr>
                <w:top w:val="none" w:sz="0" w:space="0" w:color="auto"/>
                <w:left w:val="none" w:sz="0" w:space="0" w:color="auto"/>
                <w:bottom w:val="none" w:sz="0" w:space="0" w:color="auto"/>
                <w:right w:val="none" w:sz="0" w:space="0" w:color="auto"/>
              </w:divBdr>
            </w:div>
            <w:div w:id="17068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401">
      <w:bodyDiv w:val="1"/>
      <w:marLeft w:val="0"/>
      <w:marRight w:val="0"/>
      <w:marTop w:val="0"/>
      <w:marBottom w:val="0"/>
      <w:divBdr>
        <w:top w:val="none" w:sz="0" w:space="0" w:color="auto"/>
        <w:left w:val="none" w:sz="0" w:space="0" w:color="auto"/>
        <w:bottom w:val="none" w:sz="0" w:space="0" w:color="auto"/>
        <w:right w:val="none" w:sz="0" w:space="0" w:color="auto"/>
      </w:divBdr>
    </w:div>
    <w:div w:id="120805087">
      <w:bodyDiv w:val="1"/>
      <w:marLeft w:val="0"/>
      <w:marRight w:val="0"/>
      <w:marTop w:val="0"/>
      <w:marBottom w:val="0"/>
      <w:divBdr>
        <w:top w:val="none" w:sz="0" w:space="0" w:color="auto"/>
        <w:left w:val="none" w:sz="0" w:space="0" w:color="auto"/>
        <w:bottom w:val="none" w:sz="0" w:space="0" w:color="auto"/>
        <w:right w:val="none" w:sz="0" w:space="0" w:color="auto"/>
      </w:divBdr>
    </w:div>
    <w:div w:id="154690187">
      <w:bodyDiv w:val="1"/>
      <w:marLeft w:val="0"/>
      <w:marRight w:val="0"/>
      <w:marTop w:val="0"/>
      <w:marBottom w:val="0"/>
      <w:divBdr>
        <w:top w:val="none" w:sz="0" w:space="0" w:color="auto"/>
        <w:left w:val="none" w:sz="0" w:space="0" w:color="auto"/>
        <w:bottom w:val="none" w:sz="0" w:space="0" w:color="auto"/>
        <w:right w:val="none" w:sz="0" w:space="0" w:color="auto"/>
      </w:divBdr>
    </w:div>
    <w:div w:id="161505711">
      <w:bodyDiv w:val="1"/>
      <w:marLeft w:val="0"/>
      <w:marRight w:val="0"/>
      <w:marTop w:val="0"/>
      <w:marBottom w:val="0"/>
      <w:divBdr>
        <w:top w:val="none" w:sz="0" w:space="0" w:color="auto"/>
        <w:left w:val="none" w:sz="0" w:space="0" w:color="auto"/>
        <w:bottom w:val="none" w:sz="0" w:space="0" w:color="auto"/>
        <w:right w:val="none" w:sz="0" w:space="0" w:color="auto"/>
      </w:divBdr>
      <w:divsChild>
        <w:div w:id="306469860">
          <w:marLeft w:val="0"/>
          <w:marRight w:val="0"/>
          <w:marTop w:val="0"/>
          <w:marBottom w:val="240"/>
          <w:divBdr>
            <w:top w:val="none" w:sz="0" w:space="0" w:color="auto"/>
            <w:left w:val="none" w:sz="0" w:space="0" w:color="auto"/>
            <w:bottom w:val="none" w:sz="0" w:space="0" w:color="auto"/>
            <w:right w:val="none" w:sz="0" w:space="0" w:color="auto"/>
          </w:divBdr>
        </w:div>
      </w:divsChild>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169415445">
      <w:bodyDiv w:val="1"/>
      <w:marLeft w:val="0"/>
      <w:marRight w:val="0"/>
      <w:marTop w:val="0"/>
      <w:marBottom w:val="0"/>
      <w:divBdr>
        <w:top w:val="none" w:sz="0" w:space="0" w:color="auto"/>
        <w:left w:val="none" w:sz="0" w:space="0" w:color="auto"/>
        <w:bottom w:val="none" w:sz="0" w:space="0" w:color="auto"/>
        <w:right w:val="none" w:sz="0" w:space="0" w:color="auto"/>
      </w:divBdr>
    </w:div>
    <w:div w:id="189799877">
      <w:bodyDiv w:val="1"/>
      <w:marLeft w:val="0"/>
      <w:marRight w:val="0"/>
      <w:marTop w:val="0"/>
      <w:marBottom w:val="0"/>
      <w:divBdr>
        <w:top w:val="none" w:sz="0" w:space="0" w:color="auto"/>
        <w:left w:val="none" w:sz="0" w:space="0" w:color="auto"/>
        <w:bottom w:val="none" w:sz="0" w:space="0" w:color="auto"/>
        <w:right w:val="none" w:sz="0" w:space="0" w:color="auto"/>
      </w:divBdr>
    </w:div>
    <w:div w:id="239559020">
      <w:bodyDiv w:val="1"/>
      <w:marLeft w:val="0"/>
      <w:marRight w:val="0"/>
      <w:marTop w:val="0"/>
      <w:marBottom w:val="0"/>
      <w:divBdr>
        <w:top w:val="none" w:sz="0" w:space="0" w:color="auto"/>
        <w:left w:val="none" w:sz="0" w:space="0" w:color="auto"/>
        <w:bottom w:val="none" w:sz="0" w:space="0" w:color="auto"/>
        <w:right w:val="none" w:sz="0" w:space="0" w:color="auto"/>
      </w:divBdr>
      <w:divsChild>
        <w:div w:id="1032456413">
          <w:marLeft w:val="274"/>
          <w:marRight w:val="0"/>
          <w:marTop w:val="120"/>
          <w:marBottom w:val="120"/>
          <w:divBdr>
            <w:top w:val="none" w:sz="0" w:space="0" w:color="auto"/>
            <w:left w:val="none" w:sz="0" w:space="0" w:color="auto"/>
            <w:bottom w:val="none" w:sz="0" w:space="0" w:color="auto"/>
            <w:right w:val="none" w:sz="0" w:space="0" w:color="auto"/>
          </w:divBdr>
        </w:div>
        <w:div w:id="1375228065">
          <w:marLeft w:val="994"/>
          <w:marRight w:val="0"/>
          <w:marTop w:val="120"/>
          <w:marBottom w:val="120"/>
          <w:divBdr>
            <w:top w:val="none" w:sz="0" w:space="0" w:color="auto"/>
            <w:left w:val="none" w:sz="0" w:space="0" w:color="auto"/>
            <w:bottom w:val="none" w:sz="0" w:space="0" w:color="auto"/>
            <w:right w:val="none" w:sz="0" w:space="0" w:color="auto"/>
          </w:divBdr>
        </w:div>
        <w:div w:id="1629970869">
          <w:marLeft w:val="274"/>
          <w:marRight w:val="0"/>
          <w:marTop w:val="120"/>
          <w:marBottom w:val="120"/>
          <w:divBdr>
            <w:top w:val="none" w:sz="0" w:space="0" w:color="auto"/>
            <w:left w:val="none" w:sz="0" w:space="0" w:color="auto"/>
            <w:bottom w:val="none" w:sz="0" w:space="0" w:color="auto"/>
            <w:right w:val="none" w:sz="0" w:space="0" w:color="auto"/>
          </w:divBdr>
        </w:div>
        <w:div w:id="1916234493">
          <w:marLeft w:val="274"/>
          <w:marRight w:val="0"/>
          <w:marTop w:val="120"/>
          <w:marBottom w:val="120"/>
          <w:divBdr>
            <w:top w:val="none" w:sz="0" w:space="0" w:color="auto"/>
            <w:left w:val="none" w:sz="0" w:space="0" w:color="auto"/>
            <w:bottom w:val="none" w:sz="0" w:space="0" w:color="auto"/>
            <w:right w:val="none" w:sz="0" w:space="0" w:color="auto"/>
          </w:divBdr>
        </w:div>
      </w:divsChild>
    </w:div>
    <w:div w:id="243147700">
      <w:bodyDiv w:val="1"/>
      <w:marLeft w:val="0"/>
      <w:marRight w:val="0"/>
      <w:marTop w:val="0"/>
      <w:marBottom w:val="0"/>
      <w:divBdr>
        <w:top w:val="none" w:sz="0" w:space="0" w:color="auto"/>
        <w:left w:val="none" w:sz="0" w:space="0" w:color="auto"/>
        <w:bottom w:val="none" w:sz="0" w:space="0" w:color="auto"/>
        <w:right w:val="none" w:sz="0" w:space="0" w:color="auto"/>
      </w:divBdr>
    </w:div>
    <w:div w:id="287666311">
      <w:bodyDiv w:val="1"/>
      <w:marLeft w:val="0"/>
      <w:marRight w:val="0"/>
      <w:marTop w:val="0"/>
      <w:marBottom w:val="0"/>
      <w:divBdr>
        <w:top w:val="none" w:sz="0" w:space="0" w:color="auto"/>
        <w:left w:val="none" w:sz="0" w:space="0" w:color="auto"/>
        <w:bottom w:val="none" w:sz="0" w:space="0" w:color="auto"/>
        <w:right w:val="none" w:sz="0" w:space="0" w:color="auto"/>
      </w:divBdr>
      <w:divsChild>
        <w:div w:id="61754992">
          <w:marLeft w:val="274"/>
          <w:marRight w:val="0"/>
          <w:marTop w:val="0"/>
          <w:marBottom w:val="0"/>
          <w:divBdr>
            <w:top w:val="none" w:sz="0" w:space="0" w:color="auto"/>
            <w:left w:val="none" w:sz="0" w:space="0" w:color="auto"/>
            <w:bottom w:val="none" w:sz="0" w:space="0" w:color="auto"/>
            <w:right w:val="none" w:sz="0" w:space="0" w:color="auto"/>
          </w:divBdr>
        </w:div>
        <w:div w:id="174198969">
          <w:marLeft w:val="446"/>
          <w:marRight w:val="0"/>
          <w:marTop w:val="0"/>
          <w:marBottom w:val="0"/>
          <w:divBdr>
            <w:top w:val="none" w:sz="0" w:space="0" w:color="auto"/>
            <w:left w:val="none" w:sz="0" w:space="0" w:color="auto"/>
            <w:bottom w:val="none" w:sz="0" w:space="0" w:color="auto"/>
            <w:right w:val="none" w:sz="0" w:space="0" w:color="auto"/>
          </w:divBdr>
        </w:div>
        <w:div w:id="538006082">
          <w:marLeft w:val="446"/>
          <w:marRight w:val="0"/>
          <w:marTop w:val="0"/>
          <w:marBottom w:val="0"/>
          <w:divBdr>
            <w:top w:val="none" w:sz="0" w:space="0" w:color="auto"/>
            <w:left w:val="none" w:sz="0" w:space="0" w:color="auto"/>
            <w:bottom w:val="none" w:sz="0" w:space="0" w:color="auto"/>
            <w:right w:val="none" w:sz="0" w:space="0" w:color="auto"/>
          </w:divBdr>
        </w:div>
        <w:div w:id="2105223182">
          <w:marLeft w:val="446"/>
          <w:marRight w:val="0"/>
          <w:marTop w:val="0"/>
          <w:marBottom w:val="0"/>
          <w:divBdr>
            <w:top w:val="none" w:sz="0" w:space="0" w:color="auto"/>
            <w:left w:val="none" w:sz="0" w:space="0" w:color="auto"/>
            <w:bottom w:val="none" w:sz="0" w:space="0" w:color="auto"/>
            <w:right w:val="none" w:sz="0" w:space="0" w:color="auto"/>
          </w:divBdr>
        </w:div>
      </w:divsChild>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321856286">
      <w:bodyDiv w:val="1"/>
      <w:marLeft w:val="0"/>
      <w:marRight w:val="0"/>
      <w:marTop w:val="0"/>
      <w:marBottom w:val="0"/>
      <w:divBdr>
        <w:top w:val="none" w:sz="0" w:space="0" w:color="auto"/>
        <w:left w:val="none" w:sz="0" w:space="0" w:color="auto"/>
        <w:bottom w:val="none" w:sz="0" w:space="0" w:color="auto"/>
        <w:right w:val="none" w:sz="0" w:space="0" w:color="auto"/>
      </w:divBdr>
    </w:div>
    <w:div w:id="327637080">
      <w:bodyDiv w:val="1"/>
      <w:marLeft w:val="0"/>
      <w:marRight w:val="0"/>
      <w:marTop w:val="0"/>
      <w:marBottom w:val="0"/>
      <w:divBdr>
        <w:top w:val="none" w:sz="0" w:space="0" w:color="auto"/>
        <w:left w:val="none" w:sz="0" w:space="0" w:color="auto"/>
        <w:bottom w:val="none" w:sz="0" w:space="0" w:color="auto"/>
        <w:right w:val="none" w:sz="0" w:space="0" w:color="auto"/>
      </w:divBdr>
    </w:div>
    <w:div w:id="332340937">
      <w:bodyDiv w:val="1"/>
      <w:marLeft w:val="0"/>
      <w:marRight w:val="0"/>
      <w:marTop w:val="0"/>
      <w:marBottom w:val="0"/>
      <w:divBdr>
        <w:top w:val="none" w:sz="0" w:space="0" w:color="auto"/>
        <w:left w:val="none" w:sz="0" w:space="0" w:color="auto"/>
        <w:bottom w:val="none" w:sz="0" w:space="0" w:color="auto"/>
        <w:right w:val="none" w:sz="0" w:space="0" w:color="auto"/>
      </w:divBdr>
    </w:div>
    <w:div w:id="338504279">
      <w:bodyDiv w:val="1"/>
      <w:marLeft w:val="0"/>
      <w:marRight w:val="0"/>
      <w:marTop w:val="0"/>
      <w:marBottom w:val="0"/>
      <w:divBdr>
        <w:top w:val="none" w:sz="0" w:space="0" w:color="auto"/>
        <w:left w:val="none" w:sz="0" w:space="0" w:color="auto"/>
        <w:bottom w:val="none" w:sz="0" w:space="0" w:color="auto"/>
        <w:right w:val="none" w:sz="0" w:space="0" w:color="auto"/>
      </w:divBdr>
    </w:div>
    <w:div w:id="359167351">
      <w:bodyDiv w:val="1"/>
      <w:marLeft w:val="0"/>
      <w:marRight w:val="0"/>
      <w:marTop w:val="0"/>
      <w:marBottom w:val="0"/>
      <w:divBdr>
        <w:top w:val="none" w:sz="0" w:space="0" w:color="auto"/>
        <w:left w:val="none" w:sz="0" w:space="0" w:color="auto"/>
        <w:bottom w:val="none" w:sz="0" w:space="0" w:color="auto"/>
        <w:right w:val="none" w:sz="0" w:space="0" w:color="auto"/>
      </w:divBdr>
    </w:div>
    <w:div w:id="418716037">
      <w:bodyDiv w:val="1"/>
      <w:marLeft w:val="0"/>
      <w:marRight w:val="0"/>
      <w:marTop w:val="0"/>
      <w:marBottom w:val="0"/>
      <w:divBdr>
        <w:top w:val="none" w:sz="0" w:space="0" w:color="auto"/>
        <w:left w:val="none" w:sz="0" w:space="0" w:color="auto"/>
        <w:bottom w:val="none" w:sz="0" w:space="0" w:color="auto"/>
        <w:right w:val="none" w:sz="0" w:space="0" w:color="auto"/>
      </w:divBdr>
      <w:divsChild>
        <w:div w:id="1453134509">
          <w:marLeft w:val="274"/>
          <w:marRight w:val="0"/>
          <w:marTop w:val="0"/>
          <w:marBottom w:val="120"/>
          <w:divBdr>
            <w:top w:val="none" w:sz="0" w:space="0" w:color="auto"/>
            <w:left w:val="none" w:sz="0" w:space="0" w:color="auto"/>
            <w:bottom w:val="none" w:sz="0" w:space="0" w:color="auto"/>
            <w:right w:val="none" w:sz="0" w:space="0" w:color="auto"/>
          </w:divBdr>
        </w:div>
        <w:div w:id="1531842329">
          <w:marLeft w:val="274"/>
          <w:marRight w:val="0"/>
          <w:marTop w:val="0"/>
          <w:marBottom w:val="120"/>
          <w:divBdr>
            <w:top w:val="none" w:sz="0" w:space="0" w:color="auto"/>
            <w:left w:val="none" w:sz="0" w:space="0" w:color="auto"/>
            <w:bottom w:val="none" w:sz="0" w:space="0" w:color="auto"/>
            <w:right w:val="none" w:sz="0" w:space="0" w:color="auto"/>
          </w:divBdr>
        </w:div>
        <w:div w:id="1933050207">
          <w:marLeft w:val="274"/>
          <w:marRight w:val="0"/>
          <w:marTop w:val="0"/>
          <w:marBottom w:val="120"/>
          <w:divBdr>
            <w:top w:val="none" w:sz="0" w:space="0" w:color="auto"/>
            <w:left w:val="none" w:sz="0" w:space="0" w:color="auto"/>
            <w:bottom w:val="none" w:sz="0" w:space="0" w:color="auto"/>
            <w:right w:val="none" w:sz="0" w:space="0" w:color="auto"/>
          </w:divBdr>
        </w:div>
      </w:divsChild>
    </w:div>
    <w:div w:id="438722497">
      <w:bodyDiv w:val="1"/>
      <w:marLeft w:val="0"/>
      <w:marRight w:val="0"/>
      <w:marTop w:val="0"/>
      <w:marBottom w:val="0"/>
      <w:divBdr>
        <w:top w:val="none" w:sz="0" w:space="0" w:color="auto"/>
        <w:left w:val="none" w:sz="0" w:space="0" w:color="auto"/>
        <w:bottom w:val="none" w:sz="0" w:space="0" w:color="auto"/>
        <w:right w:val="none" w:sz="0" w:space="0" w:color="auto"/>
      </w:divBdr>
      <w:divsChild>
        <w:div w:id="982928128">
          <w:marLeft w:val="0"/>
          <w:marRight w:val="0"/>
          <w:marTop w:val="0"/>
          <w:marBottom w:val="0"/>
          <w:divBdr>
            <w:top w:val="none" w:sz="0" w:space="0" w:color="auto"/>
            <w:left w:val="none" w:sz="0" w:space="0" w:color="auto"/>
            <w:bottom w:val="none" w:sz="0" w:space="0" w:color="auto"/>
            <w:right w:val="none" w:sz="0" w:space="0" w:color="auto"/>
          </w:divBdr>
        </w:div>
        <w:div w:id="1043940287">
          <w:marLeft w:val="0"/>
          <w:marRight w:val="0"/>
          <w:marTop w:val="0"/>
          <w:marBottom w:val="0"/>
          <w:divBdr>
            <w:top w:val="none" w:sz="0" w:space="0" w:color="auto"/>
            <w:left w:val="none" w:sz="0" w:space="0" w:color="auto"/>
            <w:bottom w:val="none" w:sz="0" w:space="0" w:color="auto"/>
            <w:right w:val="none" w:sz="0" w:space="0" w:color="auto"/>
          </w:divBdr>
        </w:div>
        <w:div w:id="1631550180">
          <w:marLeft w:val="0"/>
          <w:marRight w:val="0"/>
          <w:marTop w:val="0"/>
          <w:marBottom w:val="0"/>
          <w:divBdr>
            <w:top w:val="none" w:sz="0" w:space="0" w:color="auto"/>
            <w:left w:val="none" w:sz="0" w:space="0" w:color="auto"/>
            <w:bottom w:val="none" w:sz="0" w:space="0" w:color="auto"/>
            <w:right w:val="none" w:sz="0" w:space="0" w:color="auto"/>
          </w:divBdr>
        </w:div>
      </w:divsChild>
    </w:div>
    <w:div w:id="446899035">
      <w:bodyDiv w:val="1"/>
      <w:marLeft w:val="0"/>
      <w:marRight w:val="0"/>
      <w:marTop w:val="0"/>
      <w:marBottom w:val="0"/>
      <w:divBdr>
        <w:top w:val="none" w:sz="0" w:space="0" w:color="auto"/>
        <w:left w:val="none" w:sz="0" w:space="0" w:color="auto"/>
        <w:bottom w:val="none" w:sz="0" w:space="0" w:color="auto"/>
        <w:right w:val="none" w:sz="0" w:space="0" w:color="auto"/>
      </w:divBdr>
    </w:div>
    <w:div w:id="464735382">
      <w:bodyDiv w:val="1"/>
      <w:marLeft w:val="0"/>
      <w:marRight w:val="0"/>
      <w:marTop w:val="0"/>
      <w:marBottom w:val="0"/>
      <w:divBdr>
        <w:top w:val="none" w:sz="0" w:space="0" w:color="auto"/>
        <w:left w:val="none" w:sz="0" w:space="0" w:color="auto"/>
        <w:bottom w:val="none" w:sz="0" w:space="0" w:color="auto"/>
        <w:right w:val="none" w:sz="0" w:space="0" w:color="auto"/>
      </w:divBdr>
      <w:divsChild>
        <w:div w:id="736324179">
          <w:marLeft w:val="0"/>
          <w:marRight w:val="0"/>
          <w:marTop w:val="0"/>
          <w:marBottom w:val="0"/>
          <w:divBdr>
            <w:top w:val="none" w:sz="0" w:space="0" w:color="auto"/>
            <w:left w:val="none" w:sz="0" w:space="0" w:color="auto"/>
            <w:bottom w:val="none" w:sz="0" w:space="0" w:color="auto"/>
            <w:right w:val="none" w:sz="0" w:space="0" w:color="auto"/>
          </w:divBdr>
          <w:divsChild>
            <w:div w:id="12983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5727">
      <w:bodyDiv w:val="1"/>
      <w:marLeft w:val="0"/>
      <w:marRight w:val="0"/>
      <w:marTop w:val="0"/>
      <w:marBottom w:val="0"/>
      <w:divBdr>
        <w:top w:val="none" w:sz="0" w:space="0" w:color="auto"/>
        <w:left w:val="none" w:sz="0" w:space="0" w:color="auto"/>
        <w:bottom w:val="none" w:sz="0" w:space="0" w:color="auto"/>
        <w:right w:val="none" w:sz="0" w:space="0" w:color="auto"/>
      </w:divBdr>
    </w:div>
    <w:div w:id="509566290">
      <w:bodyDiv w:val="1"/>
      <w:marLeft w:val="0"/>
      <w:marRight w:val="0"/>
      <w:marTop w:val="0"/>
      <w:marBottom w:val="0"/>
      <w:divBdr>
        <w:top w:val="none" w:sz="0" w:space="0" w:color="auto"/>
        <w:left w:val="none" w:sz="0" w:space="0" w:color="auto"/>
        <w:bottom w:val="none" w:sz="0" w:space="0" w:color="auto"/>
        <w:right w:val="none" w:sz="0" w:space="0" w:color="auto"/>
      </w:divBdr>
    </w:div>
    <w:div w:id="513113769">
      <w:bodyDiv w:val="1"/>
      <w:marLeft w:val="0"/>
      <w:marRight w:val="0"/>
      <w:marTop w:val="0"/>
      <w:marBottom w:val="0"/>
      <w:divBdr>
        <w:top w:val="none" w:sz="0" w:space="0" w:color="auto"/>
        <w:left w:val="none" w:sz="0" w:space="0" w:color="auto"/>
        <w:bottom w:val="none" w:sz="0" w:space="0" w:color="auto"/>
        <w:right w:val="none" w:sz="0" w:space="0" w:color="auto"/>
      </w:divBdr>
      <w:divsChild>
        <w:div w:id="1410225115">
          <w:marLeft w:val="677"/>
          <w:marRight w:val="0"/>
          <w:marTop w:val="80"/>
          <w:marBottom w:val="0"/>
          <w:divBdr>
            <w:top w:val="none" w:sz="0" w:space="0" w:color="auto"/>
            <w:left w:val="none" w:sz="0" w:space="0" w:color="auto"/>
            <w:bottom w:val="none" w:sz="0" w:space="0" w:color="auto"/>
            <w:right w:val="none" w:sz="0" w:space="0" w:color="auto"/>
          </w:divBdr>
        </w:div>
      </w:divsChild>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534465783">
      <w:bodyDiv w:val="1"/>
      <w:marLeft w:val="0"/>
      <w:marRight w:val="0"/>
      <w:marTop w:val="0"/>
      <w:marBottom w:val="0"/>
      <w:divBdr>
        <w:top w:val="none" w:sz="0" w:space="0" w:color="auto"/>
        <w:left w:val="none" w:sz="0" w:space="0" w:color="auto"/>
        <w:bottom w:val="none" w:sz="0" w:space="0" w:color="auto"/>
        <w:right w:val="none" w:sz="0" w:space="0" w:color="auto"/>
      </w:divBdr>
    </w:div>
    <w:div w:id="537009100">
      <w:bodyDiv w:val="1"/>
      <w:marLeft w:val="0"/>
      <w:marRight w:val="0"/>
      <w:marTop w:val="0"/>
      <w:marBottom w:val="0"/>
      <w:divBdr>
        <w:top w:val="none" w:sz="0" w:space="0" w:color="auto"/>
        <w:left w:val="none" w:sz="0" w:space="0" w:color="auto"/>
        <w:bottom w:val="none" w:sz="0" w:space="0" w:color="auto"/>
        <w:right w:val="none" w:sz="0" w:space="0" w:color="auto"/>
      </w:divBdr>
      <w:divsChild>
        <w:div w:id="818422203">
          <w:marLeft w:val="994"/>
          <w:marRight w:val="0"/>
          <w:marTop w:val="60"/>
          <w:marBottom w:val="60"/>
          <w:divBdr>
            <w:top w:val="none" w:sz="0" w:space="0" w:color="auto"/>
            <w:left w:val="none" w:sz="0" w:space="0" w:color="auto"/>
            <w:bottom w:val="none" w:sz="0" w:space="0" w:color="auto"/>
            <w:right w:val="none" w:sz="0" w:space="0" w:color="auto"/>
          </w:divBdr>
        </w:div>
        <w:div w:id="1224218077">
          <w:marLeft w:val="994"/>
          <w:marRight w:val="0"/>
          <w:marTop w:val="60"/>
          <w:marBottom w:val="60"/>
          <w:divBdr>
            <w:top w:val="none" w:sz="0" w:space="0" w:color="auto"/>
            <w:left w:val="none" w:sz="0" w:space="0" w:color="auto"/>
            <w:bottom w:val="none" w:sz="0" w:space="0" w:color="auto"/>
            <w:right w:val="none" w:sz="0" w:space="0" w:color="auto"/>
          </w:divBdr>
        </w:div>
        <w:div w:id="1368413568">
          <w:marLeft w:val="994"/>
          <w:marRight w:val="0"/>
          <w:marTop w:val="60"/>
          <w:marBottom w:val="60"/>
          <w:divBdr>
            <w:top w:val="none" w:sz="0" w:space="0" w:color="auto"/>
            <w:left w:val="none" w:sz="0" w:space="0" w:color="auto"/>
            <w:bottom w:val="none" w:sz="0" w:space="0" w:color="auto"/>
            <w:right w:val="none" w:sz="0" w:space="0" w:color="auto"/>
          </w:divBdr>
        </w:div>
      </w:divsChild>
    </w:div>
    <w:div w:id="569314344">
      <w:bodyDiv w:val="1"/>
      <w:marLeft w:val="0"/>
      <w:marRight w:val="0"/>
      <w:marTop w:val="0"/>
      <w:marBottom w:val="0"/>
      <w:divBdr>
        <w:top w:val="none" w:sz="0" w:space="0" w:color="auto"/>
        <w:left w:val="none" w:sz="0" w:space="0" w:color="auto"/>
        <w:bottom w:val="none" w:sz="0" w:space="0" w:color="auto"/>
        <w:right w:val="none" w:sz="0" w:space="0" w:color="auto"/>
      </w:divBdr>
      <w:divsChild>
        <w:div w:id="1377925219">
          <w:marLeft w:val="274"/>
          <w:marRight w:val="0"/>
          <w:marTop w:val="0"/>
          <w:marBottom w:val="120"/>
          <w:divBdr>
            <w:top w:val="none" w:sz="0" w:space="0" w:color="auto"/>
            <w:left w:val="none" w:sz="0" w:space="0" w:color="auto"/>
            <w:bottom w:val="none" w:sz="0" w:space="0" w:color="auto"/>
            <w:right w:val="none" w:sz="0" w:space="0" w:color="auto"/>
          </w:divBdr>
        </w:div>
      </w:divsChild>
    </w:div>
    <w:div w:id="595022720">
      <w:bodyDiv w:val="1"/>
      <w:marLeft w:val="0"/>
      <w:marRight w:val="0"/>
      <w:marTop w:val="0"/>
      <w:marBottom w:val="0"/>
      <w:divBdr>
        <w:top w:val="none" w:sz="0" w:space="0" w:color="auto"/>
        <w:left w:val="none" w:sz="0" w:space="0" w:color="auto"/>
        <w:bottom w:val="none" w:sz="0" w:space="0" w:color="auto"/>
        <w:right w:val="none" w:sz="0" w:space="0" w:color="auto"/>
      </w:divBdr>
    </w:div>
    <w:div w:id="601915370">
      <w:bodyDiv w:val="1"/>
      <w:marLeft w:val="0"/>
      <w:marRight w:val="0"/>
      <w:marTop w:val="0"/>
      <w:marBottom w:val="0"/>
      <w:divBdr>
        <w:top w:val="none" w:sz="0" w:space="0" w:color="auto"/>
        <w:left w:val="none" w:sz="0" w:space="0" w:color="auto"/>
        <w:bottom w:val="none" w:sz="0" w:space="0" w:color="auto"/>
        <w:right w:val="none" w:sz="0" w:space="0" w:color="auto"/>
      </w:divBdr>
    </w:div>
    <w:div w:id="627246044">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648827005">
      <w:bodyDiv w:val="1"/>
      <w:marLeft w:val="0"/>
      <w:marRight w:val="0"/>
      <w:marTop w:val="0"/>
      <w:marBottom w:val="0"/>
      <w:divBdr>
        <w:top w:val="none" w:sz="0" w:space="0" w:color="auto"/>
        <w:left w:val="none" w:sz="0" w:space="0" w:color="auto"/>
        <w:bottom w:val="none" w:sz="0" w:space="0" w:color="auto"/>
        <w:right w:val="none" w:sz="0" w:space="0" w:color="auto"/>
      </w:divBdr>
      <w:divsChild>
        <w:div w:id="1500078701">
          <w:marLeft w:val="0"/>
          <w:marRight w:val="0"/>
          <w:marTop w:val="0"/>
          <w:marBottom w:val="0"/>
          <w:divBdr>
            <w:top w:val="none" w:sz="0" w:space="0" w:color="auto"/>
            <w:left w:val="none" w:sz="0" w:space="0" w:color="auto"/>
            <w:bottom w:val="none" w:sz="0" w:space="0" w:color="auto"/>
            <w:right w:val="none" w:sz="0" w:space="0" w:color="auto"/>
          </w:divBdr>
          <w:divsChild>
            <w:div w:id="35324896">
              <w:marLeft w:val="0"/>
              <w:marRight w:val="0"/>
              <w:marTop w:val="0"/>
              <w:marBottom w:val="0"/>
              <w:divBdr>
                <w:top w:val="none" w:sz="0" w:space="0" w:color="auto"/>
                <w:left w:val="none" w:sz="0" w:space="0" w:color="auto"/>
                <w:bottom w:val="none" w:sz="0" w:space="0" w:color="auto"/>
                <w:right w:val="none" w:sz="0" w:space="0" w:color="auto"/>
              </w:divBdr>
            </w:div>
            <w:div w:id="106119924">
              <w:marLeft w:val="0"/>
              <w:marRight w:val="0"/>
              <w:marTop w:val="0"/>
              <w:marBottom w:val="0"/>
              <w:divBdr>
                <w:top w:val="none" w:sz="0" w:space="0" w:color="auto"/>
                <w:left w:val="none" w:sz="0" w:space="0" w:color="auto"/>
                <w:bottom w:val="none" w:sz="0" w:space="0" w:color="auto"/>
                <w:right w:val="none" w:sz="0" w:space="0" w:color="auto"/>
              </w:divBdr>
            </w:div>
            <w:div w:id="203056390">
              <w:marLeft w:val="0"/>
              <w:marRight w:val="0"/>
              <w:marTop w:val="0"/>
              <w:marBottom w:val="0"/>
              <w:divBdr>
                <w:top w:val="none" w:sz="0" w:space="0" w:color="auto"/>
                <w:left w:val="none" w:sz="0" w:space="0" w:color="auto"/>
                <w:bottom w:val="none" w:sz="0" w:space="0" w:color="auto"/>
                <w:right w:val="none" w:sz="0" w:space="0" w:color="auto"/>
              </w:divBdr>
            </w:div>
            <w:div w:id="350375056">
              <w:marLeft w:val="0"/>
              <w:marRight w:val="0"/>
              <w:marTop w:val="0"/>
              <w:marBottom w:val="0"/>
              <w:divBdr>
                <w:top w:val="none" w:sz="0" w:space="0" w:color="auto"/>
                <w:left w:val="none" w:sz="0" w:space="0" w:color="auto"/>
                <w:bottom w:val="none" w:sz="0" w:space="0" w:color="auto"/>
                <w:right w:val="none" w:sz="0" w:space="0" w:color="auto"/>
              </w:divBdr>
            </w:div>
            <w:div w:id="870262855">
              <w:marLeft w:val="0"/>
              <w:marRight w:val="0"/>
              <w:marTop w:val="0"/>
              <w:marBottom w:val="0"/>
              <w:divBdr>
                <w:top w:val="none" w:sz="0" w:space="0" w:color="auto"/>
                <w:left w:val="none" w:sz="0" w:space="0" w:color="auto"/>
                <w:bottom w:val="none" w:sz="0" w:space="0" w:color="auto"/>
                <w:right w:val="none" w:sz="0" w:space="0" w:color="auto"/>
              </w:divBdr>
            </w:div>
            <w:div w:id="942032776">
              <w:marLeft w:val="0"/>
              <w:marRight w:val="0"/>
              <w:marTop w:val="0"/>
              <w:marBottom w:val="0"/>
              <w:divBdr>
                <w:top w:val="none" w:sz="0" w:space="0" w:color="auto"/>
                <w:left w:val="none" w:sz="0" w:space="0" w:color="auto"/>
                <w:bottom w:val="none" w:sz="0" w:space="0" w:color="auto"/>
                <w:right w:val="none" w:sz="0" w:space="0" w:color="auto"/>
              </w:divBdr>
            </w:div>
            <w:div w:id="1008408526">
              <w:marLeft w:val="0"/>
              <w:marRight w:val="0"/>
              <w:marTop w:val="0"/>
              <w:marBottom w:val="0"/>
              <w:divBdr>
                <w:top w:val="none" w:sz="0" w:space="0" w:color="auto"/>
                <w:left w:val="none" w:sz="0" w:space="0" w:color="auto"/>
                <w:bottom w:val="none" w:sz="0" w:space="0" w:color="auto"/>
                <w:right w:val="none" w:sz="0" w:space="0" w:color="auto"/>
              </w:divBdr>
            </w:div>
            <w:div w:id="1079595068">
              <w:marLeft w:val="0"/>
              <w:marRight w:val="0"/>
              <w:marTop w:val="0"/>
              <w:marBottom w:val="0"/>
              <w:divBdr>
                <w:top w:val="none" w:sz="0" w:space="0" w:color="auto"/>
                <w:left w:val="none" w:sz="0" w:space="0" w:color="auto"/>
                <w:bottom w:val="none" w:sz="0" w:space="0" w:color="auto"/>
                <w:right w:val="none" w:sz="0" w:space="0" w:color="auto"/>
              </w:divBdr>
            </w:div>
            <w:div w:id="1307079600">
              <w:marLeft w:val="0"/>
              <w:marRight w:val="0"/>
              <w:marTop w:val="0"/>
              <w:marBottom w:val="0"/>
              <w:divBdr>
                <w:top w:val="none" w:sz="0" w:space="0" w:color="auto"/>
                <w:left w:val="none" w:sz="0" w:space="0" w:color="auto"/>
                <w:bottom w:val="none" w:sz="0" w:space="0" w:color="auto"/>
                <w:right w:val="none" w:sz="0" w:space="0" w:color="auto"/>
              </w:divBdr>
            </w:div>
            <w:div w:id="1749883820">
              <w:marLeft w:val="0"/>
              <w:marRight w:val="0"/>
              <w:marTop w:val="0"/>
              <w:marBottom w:val="0"/>
              <w:divBdr>
                <w:top w:val="none" w:sz="0" w:space="0" w:color="auto"/>
                <w:left w:val="none" w:sz="0" w:space="0" w:color="auto"/>
                <w:bottom w:val="none" w:sz="0" w:space="0" w:color="auto"/>
                <w:right w:val="none" w:sz="0" w:space="0" w:color="auto"/>
              </w:divBdr>
            </w:div>
          </w:divsChild>
        </w:div>
        <w:div w:id="1636637556">
          <w:marLeft w:val="0"/>
          <w:marRight w:val="0"/>
          <w:marTop w:val="0"/>
          <w:marBottom w:val="0"/>
          <w:divBdr>
            <w:top w:val="none" w:sz="0" w:space="0" w:color="auto"/>
            <w:left w:val="none" w:sz="0" w:space="0" w:color="auto"/>
            <w:bottom w:val="none" w:sz="0" w:space="0" w:color="auto"/>
            <w:right w:val="none" w:sz="0" w:space="0" w:color="auto"/>
          </w:divBdr>
          <w:divsChild>
            <w:div w:id="286740698">
              <w:marLeft w:val="0"/>
              <w:marRight w:val="0"/>
              <w:marTop w:val="0"/>
              <w:marBottom w:val="0"/>
              <w:divBdr>
                <w:top w:val="none" w:sz="0" w:space="0" w:color="auto"/>
                <w:left w:val="none" w:sz="0" w:space="0" w:color="auto"/>
                <w:bottom w:val="none" w:sz="0" w:space="0" w:color="auto"/>
                <w:right w:val="none" w:sz="0" w:space="0" w:color="auto"/>
              </w:divBdr>
            </w:div>
            <w:div w:id="514998369">
              <w:marLeft w:val="0"/>
              <w:marRight w:val="0"/>
              <w:marTop w:val="0"/>
              <w:marBottom w:val="0"/>
              <w:divBdr>
                <w:top w:val="none" w:sz="0" w:space="0" w:color="auto"/>
                <w:left w:val="none" w:sz="0" w:space="0" w:color="auto"/>
                <w:bottom w:val="none" w:sz="0" w:space="0" w:color="auto"/>
                <w:right w:val="none" w:sz="0" w:space="0" w:color="auto"/>
              </w:divBdr>
            </w:div>
            <w:div w:id="1307050473">
              <w:marLeft w:val="0"/>
              <w:marRight w:val="0"/>
              <w:marTop w:val="0"/>
              <w:marBottom w:val="0"/>
              <w:divBdr>
                <w:top w:val="none" w:sz="0" w:space="0" w:color="auto"/>
                <w:left w:val="none" w:sz="0" w:space="0" w:color="auto"/>
                <w:bottom w:val="none" w:sz="0" w:space="0" w:color="auto"/>
                <w:right w:val="none" w:sz="0" w:space="0" w:color="auto"/>
              </w:divBdr>
            </w:div>
            <w:div w:id="1355184806">
              <w:marLeft w:val="0"/>
              <w:marRight w:val="0"/>
              <w:marTop w:val="0"/>
              <w:marBottom w:val="0"/>
              <w:divBdr>
                <w:top w:val="none" w:sz="0" w:space="0" w:color="auto"/>
                <w:left w:val="none" w:sz="0" w:space="0" w:color="auto"/>
                <w:bottom w:val="none" w:sz="0" w:space="0" w:color="auto"/>
                <w:right w:val="none" w:sz="0" w:space="0" w:color="auto"/>
              </w:divBdr>
            </w:div>
            <w:div w:id="15321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24">
      <w:bodyDiv w:val="1"/>
      <w:marLeft w:val="0"/>
      <w:marRight w:val="0"/>
      <w:marTop w:val="0"/>
      <w:marBottom w:val="0"/>
      <w:divBdr>
        <w:top w:val="none" w:sz="0" w:space="0" w:color="auto"/>
        <w:left w:val="none" w:sz="0" w:space="0" w:color="auto"/>
        <w:bottom w:val="none" w:sz="0" w:space="0" w:color="auto"/>
        <w:right w:val="none" w:sz="0" w:space="0" w:color="auto"/>
      </w:divBdr>
      <w:divsChild>
        <w:div w:id="23755639">
          <w:marLeft w:val="0"/>
          <w:marRight w:val="0"/>
          <w:marTop w:val="0"/>
          <w:marBottom w:val="0"/>
          <w:divBdr>
            <w:top w:val="none" w:sz="0" w:space="0" w:color="auto"/>
            <w:left w:val="none" w:sz="0" w:space="0" w:color="auto"/>
            <w:bottom w:val="none" w:sz="0" w:space="0" w:color="auto"/>
            <w:right w:val="none" w:sz="0" w:space="0" w:color="auto"/>
          </w:divBdr>
          <w:divsChild>
            <w:div w:id="159541512">
              <w:marLeft w:val="0"/>
              <w:marRight w:val="0"/>
              <w:marTop w:val="0"/>
              <w:marBottom w:val="0"/>
              <w:divBdr>
                <w:top w:val="none" w:sz="0" w:space="0" w:color="auto"/>
                <w:left w:val="none" w:sz="0" w:space="0" w:color="auto"/>
                <w:bottom w:val="none" w:sz="0" w:space="0" w:color="auto"/>
                <w:right w:val="none" w:sz="0" w:space="0" w:color="auto"/>
              </w:divBdr>
            </w:div>
          </w:divsChild>
        </w:div>
        <w:div w:id="255943748">
          <w:marLeft w:val="0"/>
          <w:marRight w:val="0"/>
          <w:marTop w:val="0"/>
          <w:marBottom w:val="0"/>
          <w:divBdr>
            <w:top w:val="none" w:sz="0" w:space="0" w:color="auto"/>
            <w:left w:val="none" w:sz="0" w:space="0" w:color="auto"/>
            <w:bottom w:val="none" w:sz="0" w:space="0" w:color="auto"/>
            <w:right w:val="none" w:sz="0" w:space="0" w:color="auto"/>
          </w:divBdr>
          <w:divsChild>
            <w:div w:id="405153728">
              <w:marLeft w:val="0"/>
              <w:marRight w:val="0"/>
              <w:marTop w:val="0"/>
              <w:marBottom w:val="0"/>
              <w:divBdr>
                <w:top w:val="none" w:sz="0" w:space="0" w:color="auto"/>
                <w:left w:val="none" w:sz="0" w:space="0" w:color="auto"/>
                <w:bottom w:val="none" w:sz="0" w:space="0" w:color="auto"/>
                <w:right w:val="none" w:sz="0" w:space="0" w:color="auto"/>
              </w:divBdr>
            </w:div>
          </w:divsChild>
        </w:div>
        <w:div w:id="340204008">
          <w:marLeft w:val="0"/>
          <w:marRight w:val="0"/>
          <w:marTop w:val="0"/>
          <w:marBottom w:val="0"/>
          <w:divBdr>
            <w:top w:val="none" w:sz="0" w:space="0" w:color="auto"/>
            <w:left w:val="none" w:sz="0" w:space="0" w:color="auto"/>
            <w:bottom w:val="none" w:sz="0" w:space="0" w:color="auto"/>
            <w:right w:val="none" w:sz="0" w:space="0" w:color="auto"/>
          </w:divBdr>
          <w:divsChild>
            <w:div w:id="436949448">
              <w:marLeft w:val="0"/>
              <w:marRight w:val="0"/>
              <w:marTop w:val="0"/>
              <w:marBottom w:val="0"/>
              <w:divBdr>
                <w:top w:val="none" w:sz="0" w:space="0" w:color="auto"/>
                <w:left w:val="none" w:sz="0" w:space="0" w:color="auto"/>
                <w:bottom w:val="none" w:sz="0" w:space="0" w:color="auto"/>
                <w:right w:val="none" w:sz="0" w:space="0" w:color="auto"/>
              </w:divBdr>
            </w:div>
          </w:divsChild>
        </w:div>
        <w:div w:id="375475684">
          <w:marLeft w:val="0"/>
          <w:marRight w:val="0"/>
          <w:marTop w:val="0"/>
          <w:marBottom w:val="0"/>
          <w:divBdr>
            <w:top w:val="none" w:sz="0" w:space="0" w:color="auto"/>
            <w:left w:val="none" w:sz="0" w:space="0" w:color="auto"/>
            <w:bottom w:val="none" w:sz="0" w:space="0" w:color="auto"/>
            <w:right w:val="none" w:sz="0" w:space="0" w:color="auto"/>
          </w:divBdr>
          <w:divsChild>
            <w:div w:id="575365017">
              <w:marLeft w:val="0"/>
              <w:marRight w:val="0"/>
              <w:marTop w:val="0"/>
              <w:marBottom w:val="0"/>
              <w:divBdr>
                <w:top w:val="none" w:sz="0" w:space="0" w:color="auto"/>
                <w:left w:val="none" w:sz="0" w:space="0" w:color="auto"/>
                <w:bottom w:val="none" w:sz="0" w:space="0" w:color="auto"/>
                <w:right w:val="none" w:sz="0" w:space="0" w:color="auto"/>
              </w:divBdr>
            </w:div>
          </w:divsChild>
        </w:div>
        <w:div w:id="401022902">
          <w:marLeft w:val="0"/>
          <w:marRight w:val="0"/>
          <w:marTop w:val="0"/>
          <w:marBottom w:val="0"/>
          <w:divBdr>
            <w:top w:val="none" w:sz="0" w:space="0" w:color="auto"/>
            <w:left w:val="none" w:sz="0" w:space="0" w:color="auto"/>
            <w:bottom w:val="none" w:sz="0" w:space="0" w:color="auto"/>
            <w:right w:val="none" w:sz="0" w:space="0" w:color="auto"/>
          </w:divBdr>
          <w:divsChild>
            <w:div w:id="1041324529">
              <w:marLeft w:val="0"/>
              <w:marRight w:val="0"/>
              <w:marTop w:val="0"/>
              <w:marBottom w:val="0"/>
              <w:divBdr>
                <w:top w:val="none" w:sz="0" w:space="0" w:color="auto"/>
                <w:left w:val="none" w:sz="0" w:space="0" w:color="auto"/>
                <w:bottom w:val="none" w:sz="0" w:space="0" w:color="auto"/>
                <w:right w:val="none" w:sz="0" w:space="0" w:color="auto"/>
              </w:divBdr>
            </w:div>
          </w:divsChild>
        </w:div>
        <w:div w:id="420026006">
          <w:marLeft w:val="0"/>
          <w:marRight w:val="0"/>
          <w:marTop w:val="0"/>
          <w:marBottom w:val="0"/>
          <w:divBdr>
            <w:top w:val="none" w:sz="0" w:space="0" w:color="auto"/>
            <w:left w:val="none" w:sz="0" w:space="0" w:color="auto"/>
            <w:bottom w:val="none" w:sz="0" w:space="0" w:color="auto"/>
            <w:right w:val="none" w:sz="0" w:space="0" w:color="auto"/>
          </w:divBdr>
          <w:divsChild>
            <w:div w:id="171263502">
              <w:marLeft w:val="0"/>
              <w:marRight w:val="0"/>
              <w:marTop w:val="0"/>
              <w:marBottom w:val="0"/>
              <w:divBdr>
                <w:top w:val="none" w:sz="0" w:space="0" w:color="auto"/>
                <w:left w:val="none" w:sz="0" w:space="0" w:color="auto"/>
                <w:bottom w:val="none" w:sz="0" w:space="0" w:color="auto"/>
                <w:right w:val="none" w:sz="0" w:space="0" w:color="auto"/>
              </w:divBdr>
            </w:div>
          </w:divsChild>
        </w:div>
        <w:div w:id="752359719">
          <w:marLeft w:val="0"/>
          <w:marRight w:val="0"/>
          <w:marTop w:val="0"/>
          <w:marBottom w:val="0"/>
          <w:divBdr>
            <w:top w:val="none" w:sz="0" w:space="0" w:color="auto"/>
            <w:left w:val="none" w:sz="0" w:space="0" w:color="auto"/>
            <w:bottom w:val="none" w:sz="0" w:space="0" w:color="auto"/>
            <w:right w:val="none" w:sz="0" w:space="0" w:color="auto"/>
          </w:divBdr>
          <w:divsChild>
            <w:div w:id="1598709399">
              <w:marLeft w:val="0"/>
              <w:marRight w:val="0"/>
              <w:marTop w:val="0"/>
              <w:marBottom w:val="0"/>
              <w:divBdr>
                <w:top w:val="none" w:sz="0" w:space="0" w:color="auto"/>
                <w:left w:val="none" w:sz="0" w:space="0" w:color="auto"/>
                <w:bottom w:val="none" w:sz="0" w:space="0" w:color="auto"/>
                <w:right w:val="none" w:sz="0" w:space="0" w:color="auto"/>
              </w:divBdr>
            </w:div>
            <w:div w:id="1920289558">
              <w:marLeft w:val="0"/>
              <w:marRight w:val="0"/>
              <w:marTop w:val="0"/>
              <w:marBottom w:val="0"/>
              <w:divBdr>
                <w:top w:val="none" w:sz="0" w:space="0" w:color="auto"/>
                <w:left w:val="none" w:sz="0" w:space="0" w:color="auto"/>
                <w:bottom w:val="none" w:sz="0" w:space="0" w:color="auto"/>
                <w:right w:val="none" w:sz="0" w:space="0" w:color="auto"/>
              </w:divBdr>
            </w:div>
          </w:divsChild>
        </w:div>
        <w:div w:id="940918149">
          <w:marLeft w:val="0"/>
          <w:marRight w:val="0"/>
          <w:marTop w:val="0"/>
          <w:marBottom w:val="0"/>
          <w:divBdr>
            <w:top w:val="none" w:sz="0" w:space="0" w:color="auto"/>
            <w:left w:val="none" w:sz="0" w:space="0" w:color="auto"/>
            <w:bottom w:val="none" w:sz="0" w:space="0" w:color="auto"/>
            <w:right w:val="none" w:sz="0" w:space="0" w:color="auto"/>
          </w:divBdr>
          <w:divsChild>
            <w:div w:id="2034114594">
              <w:marLeft w:val="0"/>
              <w:marRight w:val="0"/>
              <w:marTop w:val="0"/>
              <w:marBottom w:val="0"/>
              <w:divBdr>
                <w:top w:val="none" w:sz="0" w:space="0" w:color="auto"/>
                <w:left w:val="none" w:sz="0" w:space="0" w:color="auto"/>
                <w:bottom w:val="none" w:sz="0" w:space="0" w:color="auto"/>
                <w:right w:val="none" w:sz="0" w:space="0" w:color="auto"/>
              </w:divBdr>
            </w:div>
          </w:divsChild>
        </w:div>
        <w:div w:id="952401027">
          <w:marLeft w:val="0"/>
          <w:marRight w:val="0"/>
          <w:marTop w:val="0"/>
          <w:marBottom w:val="0"/>
          <w:divBdr>
            <w:top w:val="none" w:sz="0" w:space="0" w:color="auto"/>
            <w:left w:val="none" w:sz="0" w:space="0" w:color="auto"/>
            <w:bottom w:val="none" w:sz="0" w:space="0" w:color="auto"/>
            <w:right w:val="none" w:sz="0" w:space="0" w:color="auto"/>
          </w:divBdr>
          <w:divsChild>
            <w:div w:id="427429453">
              <w:marLeft w:val="0"/>
              <w:marRight w:val="0"/>
              <w:marTop w:val="0"/>
              <w:marBottom w:val="0"/>
              <w:divBdr>
                <w:top w:val="none" w:sz="0" w:space="0" w:color="auto"/>
                <w:left w:val="none" w:sz="0" w:space="0" w:color="auto"/>
                <w:bottom w:val="none" w:sz="0" w:space="0" w:color="auto"/>
                <w:right w:val="none" w:sz="0" w:space="0" w:color="auto"/>
              </w:divBdr>
            </w:div>
          </w:divsChild>
        </w:div>
        <w:div w:id="1121995521">
          <w:marLeft w:val="0"/>
          <w:marRight w:val="0"/>
          <w:marTop w:val="0"/>
          <w:marBottom w:val="0"/>
          <w:divBdr>
            <w:top w:val="none" w:sz="0" w:space="0" w:color="auto"/>
            <w:left w:val="none" w:sz="0" w:space="0" w:color="auto"/>
            <w:bottom w:val="none" w:sz="0" w:space="0" w:color="auto"/>
            <w:right w:val="none" w:sz="0" w:space="0" w:color="auto"/>
          </w:divBdr>
          <w:divsChild>
            <w:div w:id="382608001">
              <w:marLeft w:val="0"/>
              <w:marRight w:val="0"/>
              <w:marTop w:val="0"/>
              <w:marBottom w:val="0"/>
              <w:divBdr>
                <w:top w:val="none" w:sz="0" w:space="0" w:color="auto"/>
                <w:left w:val="none" w:sz="0" w:space="0" w:color="auto"/>
                <w:bottom w:val="none" w:sz="0" w:space="0" w:color="auto"/>
                <w:right w:val="none" w:sz="0" w:space="0" w:color="auto"/>
              </w:divBdr>
            </w:div>
            <w:div w:id="1072316936">
              <w:marLeft w:val="0"/>
              <w:marRight w:val="0"/>
              <w:marTop w:val="0"/>
              <w:marBottom w:val="0"/>
              <w:divBdr>
                <w:top w:val="none" w:sz="0" w:space="0" w:color="auto"/>
                <w:left w:val="none" w:sz="0" w:space="0" w:color="auto"/>
                <w:bottom w:val="none" w:sz="0" w:space="0" w:color="auto"/>
                <w:right w:val="none" w:sz="0" w:space="0" w:color="auto"/>
              </w:divBdr>
            </w:div>
          </w:divsChild>
        </w:div>
        <w:div w:id="1293246087">
          <w:marLeft w:val="0"/>
          <w:marRight w:val="0"/>
          <w:marTop w:val="0"/>
          <w:marBottom w:val="0"/>
          <w:divBdr>
            <w:top w:val="none" w:sz="0" w:space="0" w:color="auto"/>
            <w:left w:val="none" w:sz="0" w:space="0" w:color="auto"/>
            <w:bottom w:val="none" w:sz="0" w:space="0" w:color="auto"/>
            <w:right w:val="none" w:sz="0" w:space="0" w:color="auto"/>
          </w:divBdr>
          <w:divsChild>
            <w:div w:id="1752385379">
              <w:marLeft w:val="0"/>
              <w:marRight w:val="0"/>
              <w:marTop w:val="0"/>
              <w:marBottom w:val="0"/>
              <w:divBdr>
                <w:top w:val="none" w:sz="0" w:space="0" w:color="auto"/>
                <w:left w:val="none" w:sz="0" w:space="0" w:color="auto"/>
                <w:bottom w:val="none" w:sz="0" w:space="0" w:color="auto"/>
                <w:right w:val="none" w:sz="0" w:space="0" w:color="auto"/>
              </w:divBdr>
            </w:div>
          </w:divsChild>
        </w:div>
        <w:div w:id="1295334291">
          <w:marLeft w:val="0"/>
          <w:marRight w:val="0"/>
          <w:marTop w:val="0"/>
          <w:marBottom w:val="0"/>
          <w:divBdr>
            <w:top w:val="none" w:sz="0" w:space="0" w:color="auto"/>
            <w:left w:val="none" w:sz="0" w:space="0" w:color="auto"/>
            <w:bottom w:val="none" w:sz="0" w:space="0" w:color="auto"/>
            <w:right w:val="none" w:sz="0" w:space="0" w:color="auto"/>
          </w:divBdr>
          <w:divsChild>
            <w:div w:id="210966935">
              <w:marLeft w:val="0"/>
              <w:marRight w:val="0"/>
              <w:marTop w:val="0"/>
              <w:marBottom w:val="0"/>
              <w:divBdr>
                <w:top w:val="none" w:sz="0" w:space="0" w:color="auto"/>
                <w:left w:val="none" w:sz="0" w:space="0" w:color="auto"/>
                <w:bottom w:val="none" w:sz="0" w:space="0" w:color="auto"/>
                <w:right w:val="none" w:sz="0" w:space="0" w:color="auto"/>
              </w:divBdr>
            </w:div>
          </w:divsChild>
        </w:div>
        <w:div w:id="1411730775">
          <w:marLeft w:val="0"/>
          <w:marRight w:val="0"/>
          <w:marTop w:val="0"/>
          <w:marBottom w:val="0"/>
          <w:divBdr>
            <w:top w:val="none" w:sz="0" w:space="0" w:color="auto"/>
            <w:left w:val="none" w:sz="0" w:space="0" w:color="auto"/>
            <w:bottom w:val="none" w:sz="0" w:space="0" w:color="auto"/>
            <w:right w:val="none" w:sz="0" w:space="0" w:color="auto"/>
          </w:divBdr>
          <w:divsChild>
            <w:div w:id="253437677">
              <w:marLeft w:val="0"/>
              <w:marRight w:val="0"/>
              <w:marTop w:val="0"/>
              <w:marBottom w:val="0"/>
              <w:divBdr>
                <w:top w:val="none" w:sz="0" w:space="0" w:color="auto"/>
                <w:left w:val="none" w:sz="0" w:space="0" w:color="auto"/>
                <w:bottom w:val="none" w:sz="0" w:space="0" w:color="auto"/>
                <w:right w:val="none" w:sz="0" w:space="0" w:color="auto"/>
              </w:divBdr>
            </w:div>
          </w:divsChild>
        </w:div>
        <w:div w:id="1529369090">
          <w:marLeft w:val="0"/>
          <w:marRight w:val="0"/>
          <w:marTop w:val="0"/>
          <w:marBottom w:val="0"/>
          <w:divBdr>
            <w:top w:val="none" w:sz="0" w:space="0" w:color="auto"/>
            <w:left w:val="none" w:sz="0" w:space="0" w:color="auto"/>
            <w:bottom w:val="none" w:sz="0" w:space="0" w:color="auto"/>
            <w:right w:val="none" w:sz="0" w:space="0" w:color="auto"/>
          </w:divBdr>
          <w:divsChild>
            <w:div w:id="1340694433">
              <w:marLeft w:val="0"/>
              <w:marRight w:val="0"/>
              <w:marTop w:val="0"/>
              <w:marBottom w:val="0"/>
              <w:divBdr>
                <w:top w:val="none" w:sz="0" w:space="0" w:color="auto"/>
                <w:left w:val="none" w:sz="0" w:space="0" w:color="auto"/>
                <w:bottom w:val="none" w:sz="0" w:space="0" w:color="auto"/>
                <w:right w:val="none" w:sz="0" w:space="0" w:color="auto"/>
              </w:divBdr>
            </w:div>
          </w:divsChild>
        </w:div>
        <w:div w:id="1580403979">
          <w:marLeft w:val="0"/>
          <w:marRight w:val="0"/>
          <w:marTop w:val="0"/>
          <w:marBottom w:val="0"/>
          <w:divBdr>
            <w:top w:val="none" w:sz="0" w:space="0" w:color="auto"/>
            <w:left w:val="none" w:sz="0" w:space="0" w:color="auto"/>
            <w:bottom w:val="none" w:sz="0" w:space="0" w:color="auto"/>
            <w:right w:val="none" w:sz="0" w:space="0" w:color="auto"/>
          </w:divBdr>
          <w:divsChild>
            <w:div w:id="1145511180">
              <w:marLeft w:val="0"/>
              <w:marRight w:val="0"/>
              <w:marTop w:val="0"/>
              <w:marBottom w:val="0"/>
              <w:divBdr>
                <w:top w:val="none" w:sz="0" w:space="0" w:color="auto"/>
                <w:left w:val="none" w:sz="0" w:space="0" w:color="auto"/>
                <w:bottom w:val="none" w:sz="0" w:space="0" w:color="auto"/>
                <w:right w:val="none" w:sz="0" w:space="0" w:color="auto"/>
              </w:divBdr>
            </w:div>
          </w:divsChild>
        </w:div>
        <w:div w:id="1607493318">
          <w:marLeft w:val="0"/>
          <w:marRight w:val="0"/>
          <w:marTop w:val="0"/>
          <w:marBottom w:val="0"/>
          <w:divBdr>
            <w:top w:val="none" w:sz="0" w:space="0" w:color="auto"/>
            <w:left w:val="none" w:sz="0" w:space="0" w:color="auto"/>
            <w:bottom w:val="none" w:sz="0" w:space="0" w:color="auto"/>
            <w:right w:val="none" w:sz="0" w:space="0" w:color="auto"/>
          </w:divBdr>
          <w:divsChild>
            <w:div w:id="162672405">
              <w:marLeft w:val="0"/>
              <w:marRight w:val="0"/>
              <w:marTop w:val="0"/>
              <w:marBottom w:val="0"/>
              <w:divBdr>
                <w:top w:val="none" w:sz="0" w:space="0" w:color="auto"/>
                <w:left w:val="none" w:sz="0" w:space="0" w:color="auto"/>
                <w:bottom w:val="none" w:sz="0" w:space="0" w:color="auto"/>
                <w:right w:val="none" w:sz="0" w:space="0" w:color="auto"/>
              </w:divBdr>
            </w:div>
            <w:div w:id="959991186">
              <w:marLeft w:val="0"/>
              <w:marRight w:val="0"/>
              <w:marTop w:val="0"/>
              <w:marBottom w:val="0"/>
              <w:divBdr>
                <w:top w:val="none" w:sz="0" w:space="0" w:color="auto"/>
                <w:left w:val="none" w:sz="0" w:space="0" w:color="auto"/>
                <w:bottom w:val="none" w:sz="0" w:space="0" w:color="auto"/>
                <w:right w:val="none" w:sz="0" w:space="0" w:color="auto"/>
              </w:divBdr>
            </w:div>
            <w:div w:id="1596329843">
              <w:marLeft w:val="0"/>
              <w:marRight w:val="0"/>
              <w:marTop w:val="0"/>
              <w:marBottom w:val="0"/>
              <w:divBdr>
                <w:top w:val="none" w:sz="0" w:space="0" w:color="auto"/>
                <w:left w:val="none" w:sz="0" w:space="0" w:color="auto"/>
                <w:bottom w:val="none" w:sz="0" w:space="0" w:color="auto"/>
                <w:right w:val="none" w:sz="0" w:space="0" w:color="auto"/>
              </w:divBdr>
            </w:div>
          </w:divsChild>
        </w:div>
        <w:div w:id="1694382814">
          <w:marLeft w:val="0"/>
          <w:marRight w:val="0"/>
          <w:marTop w:val="0"/>
          <w:marBottom w:val="0"/>
          <w:divBdr>
            <w:top w:val="none" w:sz="0" w:space="0" w:color="auto"/>
            <w:left w:val="none" w:sz="0" w:space="0" w:color="auto"/>
            <w:bottom w:val="none" w:sz="0" w:space="0" w:color="auto"/>
            <w:right w:val="none" w:sz="0" w:space="0" w:color="auto"/>
          </w:divBdr>
          <w:divsChild>
            <w:div w:id="88819840">
              <w:marLeft w:val="0"/>
              <w:marRight w:val="0"/>
              <w:marTop w:val="0"/>
              <w:marBottom w:val="0"/>
              <w:divBdr>
                <w:top w:val="none" w:sz="0" w:space="0" w:color="auto"/>
                <w:left w:val="none" w:sz="0" w:space="0" w:color="auto"/>
                <w:bottom w:val="none" w:sz="0" w:space="0" w:color="auto"/>
                <w:right w:val="none" w:sz="0" w:space="0" w:color="auto"/>
              </w:divBdr>
            </w:div>
            <w:div w:id="1015039705">
              <w:marLeft w:val="0"/>
              <w:marRight w:val="0"/>
              <w:marTop w:val="0"/>
              <w:marBottom w:val="0"/>
              <w:divBdr>
                <w:top w:val="none" w:sz="0" w:space="0" w:color="auto"/>
                <w:left w:val="none" w:sz="0" w:space="0" w:color="auto"/>
                <w:bottom w:val="none" w:sz="0" w:space="0" w:color="auto"/>
                <w:right w:val="none" w:sz="0" w:space="0" w:color="auto"/>
              </w:divBdr>
            </w:div>
          </w:divsChild>
        </w:div>
        <w:div w:id="1778062018">
          <w:marLeft w:val="0"/>
          <w:marRight w:val="0"/>
          <w:marTop w:val="0"/>
          <w:marBottom w:val="0"/>
          <w:divBdr>
            <w:top w:val="none" w:sz="0" w:space="0" w:color="auto"/>
            <w:left w:val="none" w:sz="0" w:space="0" w:color="auto"/>
            <w:bottom w:val="none" w:sz="0" w:space="0" w:color="auto"/>
            <w:right w:val="none" w:sz="0" w:space="0" w:color="auto"/>
          </w:divBdr>
          <w:divsChild>
            <w:div w:id="147791704">
              <w:marLeft w:val="0"/>
              <w:marRight w:val="0"/>
              <w:marTop w:val="0"/>
              <w:marBottom w:val="0"/>
              <w:divBdr>
                <w:top w:val="none" w:sz="0" w:space="0" w:color="auto"/>
                <w:left w:val="none" w:sz="0" w:space="0" w:color="auto"/>
                <w:bottom w:val="none" w:sz="0" w:space="0" w:color="auto"/>
                <w:right w:val="none" w:sz="0" w:space="0" w:color="auto"/>
              </w:divBdr>
            </w:div>
            <w:div w:id="1006174754">
              <w:marLeft w:val="0"/>
              <w:marRight w:val="0"/>
              <w:marTop w:val="0"/>
              <w:marBottom w:val="0"/>
              <w:divBdr>
                <w:top w:val="none" w:sz="0" w:space="0" w:color="auto"/>
                <w:left w:val="none" w:sz="0" w:space="0" w:color="auto"/>
                <w:bottom w:val="none" w:sz="0" w:space="0" w:color="auto"/>
                <w:right w:val="none" w:sz="0" w:space="0" w:color="auto"/>
              </w:divBdr>
            </w:div>
            <w:div w:id="2034569425">
              <w:marLeft w:val="0"/>
              <w:marRight w:val="0"/>
              <w:marTop w:val="0"/>
              <w:marBottom w:val="0"/>
              <w:divBdr>
                <w:top w:val="none" w:sz="0" w:space="0" w:color="auto"/>
                <w:left w:val="none" w:sz="0" w:space="0" w:color="auto"/>
                <w:bottom w:val="none" w:sz="0" w:space="0" w:color="auto"/>
                <w:right w:val="none" w:sz="0" w:space="0" w:color="auto"/>
              </w:divBdr>
            </w:div>
          </w:divsChild>
        </w:div>
        <w:div w:id="1944989812">
          <w:marLeft w:val="0"/>
          <w:marRight w:val="0"/>
          <w:marTop w:val="0"/>
          <w:marBottom w:val="0"/>
          <w:divBdr>
            <w:top w:val="none" w:sz="0" w:space="0" w:color="auto"/>
            <w:left w:val="none" w:sz="0" w:space="0" w:color="auto"/>
            <w:bottom w:val="none" w:sz="0" w:space="0" w:color="auto"/>
            <w:right w:val="none" w:sz="0" w:space="0" w:color="auto"/>
          </w:divBdr>
          <w:divsChild>
            <w:div w:id="1928341586">
              <w:marLeft w:val="0"/>
              <w:marRight w:val="0"/>
              <w:marTop w:val="0"/>
              <w:marBottom w:val="0"/>
              <w:divBdr>
                <w:top w:val="none" w:sz="0" w:space="0" w:color="auto"/>
                <w:left w:val="none" w:sz="0" w:space="0" w:color="auto"/>
                <w:bottom w:val="none" w:sz="0" w:space="0" w:color="auto"/>
                <w:right w:val="none" w:sz="0" w:space="0" w:color="auto"/>
              </w:divBdr>
            </w:div>
          </w:divsChild>
        </w:div>
        <w:div w:id="2024356578">
          <w:marLeft w:val="0"/>
          <w:marRight w:val="0"/>
          <w:marTop w:val="0"/>
          <w:marBottom w:val="0"/>
          <w:divBdr>
            <w:top w:val="none" w:sz="0" w:space="0" w:color="auto"/>
            <w:left w:val="none" w:sz="0" w:space="0" w:color="auto"/>
            <w:bottom w:val="none" w:sz="0" w:space="0" w:color="auto"/>
            <w:right w:val="none" w:sz="0" w:space="0" w:color="auto"/>
          </w:divBdr>
          <w:divsChild>
            <w:div w:id="829638095">
              <w:marLeft w:val="0"/>
              <w:marRight w:val="0"/>
              <w:marTop w:val="0"/>
              <w:marBottom w:val="0"/>
              <w:divBdr>
                <w:top w:val="none" w:sz="0" w:space="0" w:color="auto"/>
                <w:left w:val="none" w:sz="0" w:space="0" w:color="auto"/>
                <w:bottom w:val="none" w:sz="0" w:space="0" w:color="auto"/>
                <w:right w:val="none" w:sz="0" w:space="0" w:color="auto"/>
              </w:divBdr>
            </w:div>
            <w:div w:id="1164206800">
              <w:marLeft w:val="0"/>
              <w:marRight w:val="0"/>
              <w:marTop w:val="0"/>
              <w:marBottom w:val="0"/>
              <w:divBdr>
                <w:top w:val="none" w:sz="0" w:space="0" w:color="auto"/>
                <w:left w:val="none" w:sz="0" w:space="0" w:color="auto"/>
                <w:bottom w:val="none" w:sz="0" w:space="0" w:color="auto"/>
                <w:right w:val="none" w:sz="0" w:space="0" w:color="auto"/>
              </w:divBdr>
            </w:div>
          </w:divsChild>
        </w:div>
        <w:div w:id="2027974424">
          <w:marLeft w:val="0"/>
          <w:marRight w:val="0"/>
          <w:marTop w:val="0"/>
          <w:marBottom w:val="0"/>
          <w:divBdr>
            <w:top w:val="none" w:sz="0" w:space="0" w:color="auto"/>
            <w:left w:val="none" w:sz="0" w:space="0" w:color="auto"/>
            <w:bottom w:val="none" w:sz="0" w:space="0" w:color="auto"/>
            <w:right w:val="none" w:sz="0" w:space="0" w:color="auto"/>
          </w:divBdr>
          <w:divsChild>
            <w:div w:id="1207912966">
              <w:marLeft w:val="0"/>
              <w:marRight w:val="0"/>
              <w:marTop w:val="0"/>
              <w:marBottom w:val="0"/>
              <w:divBdr>
                <w:top w:val="none" w:sz="0" w:space="0" w:color="auto"/>
                <w:left w:val="none" w:sz="0" w:space="0" w:color="auto"/>
                <w:bottom w:val="none" w:sz="0" w:space="0" w:color="auto"/>
                <w:right w:val="none" w:sz="0" w:space="0" w:color="auto"/>
              </w:divBdr>
            </w:div>
            <w:div w:id="1767457678">
              <w:marLeft w:val="0"/>
              <w:marRight w:val="0"/>
              <w:marTop w:val="0"/>
              <w:marBottom w:val="0"/>
              <w:divBdr>
                <w:top w:val="none" w:sz="0" w:space="0" w:color="auto"/>
                <w:left w:val="none" w:sz="0" w:space="0" w:color="auto"/>
                <w:bottom w:val="none" w:sz="0" w:space="0" w:color="auto"/>
                <w:right w:val="none" w:sz="0" w:space="0" w:color="auto"/>
              </w:divBdr>
            </w:div>
            <w:div w:id="2110270176">
              <w:marLeft w:val="0"/>
              <w:marRight w:val="0"/>
              <w:marTop w:val="0"/>
              <w:marBottom w:val="0"/>
              <w:divBdr>
                <w:top w:val="none" w:sz="0" w:space="0" w:color="auto"/>
                <w:left w:val="none" w:sz="0" w:space="0" w:color="auto"/>
                <w:bottom w:val="none" w:sz="0" w:space="0" w:color="auto"/>
                <w:right w:val="none" w:sz="0" w:space="0" w:color="auto"/>
              </w:divBdr>
            </w:div>
          </w:divsChild>
        </w:div>
        <w:div w:id="2117751011">
          <w:marLeft w:val="0"/>
          <w:marRight w:val="0"/>
          <w:marTop w:val="0"/>
          <w:marBottom w:val="0"/>
          <w:divBdr>
            <w:top w:val="none" w:sz="0" w:space="0" w:color="auto"/>
            <w:left w:val="none" w:sz="0" w:space="0" w:color="auto"/>
            <w:bottom w:val="none" w:sz="0" w:space="0" w:color="auto"/>
            <w:right w:val="none" w:sz="0" w:space="0" w:color="auto"/>
          </w:divBdr>
          <w:divsChild>
            <w:div w:id="5626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60403">
      <w:bodyDiv w:val="1"/>
      <w:marLeft w:val="0"/>
      <w:marRight w:val="0"/>
      <w:marTop w:val="0"/>
      <w:marBottom w:val="0"/>
      <w:divBdr>
        <w:top w:val="none" w:sz="0" w:space="0" w:color="auto"/>
        <w:left w:val="none" w:sz="0" w:space="0" w:color="auto"/>
        <w:bottom w:val="none" w:sz="0" w:space="0" w:color="auto"/>
        <w:right w:val="none" w:sz="0" w:space="0" w:color="auto"/>
      </w:divBdr>
    </w:div>
    <w:div w:id="670374901">
      <w:bodyDiv w:val="1"/>
      <w:marLeft w:val="0"/>
      <w:marRight w:val="0"/>
      <w:marTop w:val="0"/>
      <w:marBottom w:val="0"/>
      <w:divBdr>
        <w:top w:val="none" w:sz="0" w:space="0" w:color="auto"/>
        <w:left w:val="none" w:sz="0" w:space="0" w:color="auto"/>
        <w:bottom w:val="none" w:sz="0" w:space="0" w:color="auto"/>
        <w:right w:val="none" w:sz="0" w:space="0" w:color="auto"/>
      </w:divBdr>
    </w:div>
    <w:div w:id="684869894">
      <w:bodyDiv w:val="1"/>
      <w:marLeft w:val="0"/>
      <w:marRight w:val="0"/>
      <w:marTop w:val="0"/>
      <w:marBottom w:val="0"/>
      <w:divBdr>
        <w:top w:val="none" w:sz="0" w:space="0" w:color="auto"/>
        <w:left w:val="none" w:sz="0" w:space="0" w:color="auto"/>
        <w:bottom w:val="none" w:sz="0" w:space="0" w:color="auto"/>
        <w:right w:val="none" w:sz="0" w:space="0" w:color="auto"/>
      </w:divBdr>
      <w:divsChild>
        <w:div w:id="1752268793">
          <w:marLeft w:val="274"/>
          <w:marRight w:val="0"/>
          <w:marTop w:val="0"/>
          <w:marBottom w:val="120"/>
          <w:divBdr>
            <w:top w:val="none" w:sz="0" w:space="0" w:color="auto"/>
            <w:left w:val="none" w:sz="0" w:space="0" w:color="auto"/>
            <w:bottom w:val="none" w:sz="0" w:space="0" w:color="auto"/>
            <w:right w:val="none" w:sz="0" w:space="0" w:color="auto"/>
          </w:divBdr>
        </w:div>
      </w:divsChild>
    </w:div>
    <w:div w:id="687760365">
      <w:bodyDiv w:val="1"/>
      <w:marLeft w:val="0"/>
      <w:marRight w:val="0"/>
      <w:marTop w:val="0"/>
      <w:marBottom w:val="0"/>
      <w:divBdr>
        <w:top w:val="none" w:sz="0" w:space="0" w:color="auto"/>
        <w:left w:val="none" w:sz="0" w:space="0" w:color="auto"/>
        <w:bottom w:val="none" w:sz="0" w:space="0" w:color="auto"/>
        <w:right w:val="none" w:sz="0" w:space="0" w:color="auto"/>
      </w:divBdr>
      <w:divsChild>
        <w:div w:id="376929900">
          <w:marLeft w:val="274"/>
          <w:marRight w:val="0"/>
          <w:marTop w:val="120"/>
          <w:marBottom w:val="120"/>
          <w:divBdr>
            <w:top w:val="none" w:sz="0" w:space="0" w:color="auto"/>
            <w:left w:val="none" w:sz="0" w:space="0" w:color="auto"/>
            <w:bottom w:val="none" w:sz="0" w:space="0" w:color="auto"/>
            <w:right w:val="none" w:sz="0" w:space="0" w:color="auto"/>
          </w:divBdr>
        </w:div>
        <w:div w:id="745957350">
          <w:marLeft w:val="274"/>
          <w:marRight w:val="0"/>
          <w:marTop w:val="120"/>
          <w:marBottom w:val="120"/>
          <w:divBdr>
            <w:top w:val="none" w:sz="0" w:space="0" w:color="auto"/>
            <w:left w:val="none" w:sz="0" w:space="0" w:color="auto"/>
            <w:bottom w:val="none" w:sz="0" w:space="0" w:color="auto"/>
            <w:right w:val="none" w:sz="0" w:space="0" w:color="auto"/>
          </w:divBdr>
        </w:div>
        <w:div w:id="1641572974">
          <w:marLeft w:val="994"/>
          <w:marRight w:val="0"/>
          <w:marTop w:val="120"/>
          <w:marBottom w:val="120"/>
          <w:divBdr>
            <w:top w:val="none" w:sz="0" w:space="0" w:color="auto"/>
            <w:left w:val="none" w:sz="0" w:space="0" w:color="auto"/>
            <w:bottom w:val="none" w:sz="0" w:space="0" w:color="auto"/>
            <w:right w:val="none" w:sz="0" w:space="0" w:color="auto"/>
          </w:divBdr>
        </w:div>
      </w:divsChild>
    </w:div>
    <w:div w:id="705716745">
      <w:bodyDiv w:val="1"/>
      <w:marLeft w:val="0"/>
      <w:marRight w:val="0"/>
      <w:marTop w:val="0"/>
      <w:marBottom w:val="0"/>
      <w:divBdr>
        <w:top w:val="none" w:sz="0" w:space="0" w:color="auto"/>
        <w:left w:val="none" w:sz="0" w:space="0" w:color="auto"/>
        <w:bottom w:val="none" w:sz="0" w:space="0" w:color="auto"/>
        <w:right w:val="none" w:sz="0" w:space="0" w:color="auto"/>
      </w:divBdr>
    </w:div>
    <w:div w:id="714432628">
      <w:bodyDiv w:val="1"/>
      <w:marLeft w:val="0"/>
      <w:marRight w:val="0"/>
      <w:marTop w:val="0"/>
      <w:marBottom w:val="0"/>
      <w:divBdr>
        <w:top w:val="none" w:sz="0" w:space="0" w:color="auto"/>
        <w:left w:val="none" w:sz="0" w:space="0" w:color="auto"/>
        <w:bottom w:val="none" w:sz="0" w:space="0" w:color="auto"/>
        <w:right w:val="none" w:sz="0" w:space="0" w:color="auto"/>
      </w:divBdr>
    </w:div>
    <w:div w:id="761492995">
      <w:bodyDiv w:val="1"/>
      <w:marLeft w:val="0"/>
      <w:marRight w:val="0"/>
      <w:marTop w:val="0"/>
      <w:marBottom w:val="0"/>
      <w:divBdr>
        <w:top w:val="none" w:sz="0" w:space="0" w:color="auto"/>
        <w:left w:val="none" w:sz="0" w:space="0" w:color="auto"/>
        <w:bottom w:val="none" w:sz="0" w:space="0" w:color="auto"/>
        <w:right w:val="none" w:sz="0" w:space="0" w:color="auto"/>
      </w:divBdr>
    </w:div>
    <w:div w:id="817764814">
      <w:bodyDiv w:val="1"/>
      <w:marLeft w:val="0"/>
      <w:marRight w:val="0"/>
      <w:marTop w:val="0"/>
      <w:marBottom w:val="0"/>
      <w:divBdr>
        <w:top w:val="none" w:sz="0" w:space="0" w:color="auto"/>
        <w:left w:val="none" w:sz="0" w:space="0" w:color="auto"/>
        <w:bottom w:val="none" w:sz="0" w:space="0" w:color="auto"/>
        <w:right w:val="none" w:sz="0" w:space="0" w:color="auto"/>
      </w:divBdr>
      <w:divsChild>
        <w:div w:id="610089589">
          <w:marLeft w:val="677"/>
          <w:marRight w:val="0"/>
          <w:marTop w:val="80"/>
          <w:marBottom w:val="40"/>
          <w:divBdr>
            <w:top w:val="none" w:sz="0" w:space="0" w:color="auto"/>
            <w:left w:val="none" w:sz="0" w:space="0" w:color="auto"/>
            <w:bottom w:val="none" w:sz="0" w:space="0" w:color="auto"/>
            <w:right w:val="none" w:sz="0" w:space="0" w:color="auto"/>
          </w:divBdr>
        </w:div>
        <w:div w:id="840700413">
          <w:marLeft w:val="677"/>
          <w:marRight w:val="0"/>
          <w:marTop w:val="80"/>
          <w:marBottom w:val="0"/>
          <w:divBdr>
            <w:top w:val="none" w:sz="0" w:space="0" w:color="auto"/>
            <w:left w:val="none" w:sz="0" w:space="0" w:color="auto"/>
            <w:bottom w:val="none" w:sz="0" w:space="0" w:color="auto"/>
            <w:right w:val="none" w:sz="0" w:space="0" w:color="auto"/>
          </w:divBdr>
        </w:div>
        <w:div w:id="940258104">
          <w:marLeft w:val="677"/>
          <w:marRight w:val="0"/>
          <w:marTop w:val="80"/>
          <w:marBottom w:val="0"/>
          <w:divBdr>
            <w:top w:val="none" w:sz="0" w:space="0" w:color="auto"/>
            <w:left w:val="none" w:sz="0" w:space="0" w:color="auto"/>
            <w:bottom w:val="none" w:sz="0" w:space="0" w:color="auto"/>
            <w:right w:val="none" w:sz="0" w:space="0" w:color="auto"/>
          </w:divBdr>
        </w:div>
        <w:div w:id="1163620849">
          <w:marLeft w:val="274"/>
          <w:marRight w:val="0"/>
          <w:marTop w:val="80"/>
          <w:marBottom w:val="160"/>
          <w:divBdr>
            <w:top w:val="none" w:sz="0" w:space="0" w:color="auto"/>
            <w:left w:val="none" w:sz="0" w:space="0" w:color="auto"/>
            <w:bottom w:val="none" w:sz="0" w:space="0" w:color="auto"/>
            <w:right w:val="none" w:sz="0" w:space="0" w:color="auto"/>
          </w:divBdr>
        </w:div>
      </w:divsChild>
    </w:div>
    <w:div w:id="817919854">
      <w:bodyDiv w:val="1"/>
      <w:marLeft w:val="0"/>
      <w:marRight w:val="0"/>
      <w:marTop w:val="0"/>
      <w:marBottom w:val="0"/>
      <w:divBdr>
        <w:top w:val="none" w:sz="0" w:space="0" w:color="auto"/>
        <w:left w:val="none" w:sz="0" w:space="0" w:color="auto"/>
        <w:bottom w:val="none" w:sz="0" w:space="0" w:color="auto"/>
        <w:right w:val="none" w:sz="0" w:space="0" w:color="auto"/>
      </w:divBdr>
    </w:div>
    <w:div w:id="852184715">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887185098">
      <w:bodyDiv w:val="1"/>
      <w:marLeft w:val="0"/>
      <w:marRight w:val="0"/>
      <w:marTop w:val="0"/>
      <w:marBottom w:val="0"/>
      <w:divBdr>
        <w:top w:val="none" w:sz="0" w:space="0" w:color="auto"/>
        <w:left w:val="none" w:sz="0" w:space="0" w:color="auto"/>
        <w:bottom w:val="none" w:sz="0" w:space="0" w:color="auto"/>
        <w:right w:val="none" w:sz="0" w:space="0" w:color="auto"/>
      </w:divBdr>
      <w:divsChild>
        <w:div w:id="1564484283">
          <w:marLeft w:val="0"/>
          <w:marRight w:val="0"/>
          <w:marTop w:val="0"/>
          <w:marBottom w:val="0"/>
          <w:divBdr>
            <w:top w:val="none" w:sz="0" w:space="0" w:color="auto"/>
            <w:left w:val="none" w:sz="0" w:space="0" w:color="auto"/>
            <w:bottom w:val="none" w:sz="0" w:space="0" w:color="auto"/>
            <w:right w:val="none" w:sz="0" w:space="0" w:color="auto"/>
          </w:divBdr>
        </w:div>
        <w:div w:id="1847741120">
          <w:marLeft w:val="0"/>
          <w:marRight w:val="0"/>
          <w:marTop w:val="0"/>
          <w:marBottom w:val="0"/>
          <w:divBdr>
            <w:top w:val="none" w:sz="0" w:space="0" w:color="auto"/>
            <w:left w:val="none" w:sz="0" w:space="0" w:color="auto"/>
            <w:bottom w:val="none" w:sz="0" w:space="0" w:color="auto"/>
            <w:right w:val="none" w:sz="0" w:space="0" w:color="auto"/>
          </w:divBdr>
        </w:div>
      </w:divsChild>
    </w:div>
    <w:div w:id="903839078">
      <w:bodyDiv w:val="1"/>
      <w:marLeft w:val="0"/>
      <w:marRight w:val="0"/>
      <w:marTop w:val="0"/>
      <w:marBottom w:val="0"/>
      <w:divBdr>
        <w:top w:val="none" w:sz="0" w:space="0" w:color="auto"/>
        <w:left w:val="none" w:sz="0" w:space="0" w:color="auto"/>
        <w:bottom w:val="none" w:sz="0" w:space="0" w:color="auto"/>
        <w:right w:val="none" w:sz="0" w:space="0" w:color="auto"/>
      </w:divBdr>
    </w:div>
    <w:div w:id="905266303">
      <w:bodyDiv w:val="1"/>
      <w:marLeft w:val="0"/>
      <w:marRight w:val="0"/>
      <w:marTop w:val="0"/>
      <w:marBottom w:val="0"/>
      <w:divBdr>
        <w:top w:val="none" w:sz="0" w:space="0" w:color="auto"/>
        <w:left w:val="none" w:sz="0" w:space="0" w:color="auto"/>
        <w:bottom w:val="none" w:sz="0" w:space="0" w:color="auto"/>
        <w:right w:val="none" w:sz="0" w:space="0" w:color="auto"/>
      </w:divBdr>
    </w:div>
    <w:div w:id="907881254">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939723448">
      <w:bodyDiv w:val="1"/>
      <w:marLeft w:val="0"/>
      <w:marRight w:val="0"/>
      <w:marTop w:val="0"/>
      <w:marBottom w:val="0"/>
      <w:divBdr>
        <w:top w:val="none" w:sz="0" w:space="0" w:color="auto"/>
        <w:left w:val="none" w:sz="0" w:space="0" w:color="auto"/>
        <w:bottom w:val="none" w:sz="0" w:space="0" w:color="auto"/>
        <w:right w:val="none" w:sz="0" w:space="0" w:color="auto"/>
      </w:divBdr>
      <w:divsChild>
        <w:div w:id="1910798356">
          <w:marLeft w:val="0"/>
          <w:marRight w:val="0"/>
          <w:marTop w:val="0"/>
          <w:marBottom w:val="0"/>
          <w:divBdr>
            <w:top w:val="none" w:sz="0" w:space="0" w:color="auto"/>
            <w:left w:val="none" w:sz="0" w:space="0" w:color="auto"/>
            <w:bottom w:val="none" w:sz="0" w:space="0" w:color="auto"/>
            <w:right w:val="none" w:sz="0" w:space="0" w:color="auto"/>
          </w:divBdr>
        </w:div>
      </w:divsChild>
    </w:div>
    <w:div w:id="963732955">
      <w:bodyDiv w:val="1"/>
      <w:marLeft w:val="0"/>
      <w:marRight w:val="0"/>
      <w:marTop w:val="0"/>
      <w:marBottom w:val="0"/>
      <w:divBdr>
        <w:top w:val="none" w:sz="0" w:space="0" w:color="auto"/>
        <w:left w:val="none" w:sz="0" w:space="0" w:color="auto"/>
        <w:bottom w:val="none" w:sz="0" w:space="0" w:color="auto"/>
        <w:right w:val="none" w:sz="0" w:space="0" w:color="auto"/>
      </w:divBdr>
    </w:div>
    <w:div w:id="983855685">
      <w:bodyDiv w:val="1"/>
      <w:marLeft w:val="0"/>
      <w:marRight w:val="0"/>
      <w:marTop w:val="0"/>
      <w:marBottom w:val="0"/>
      <w:divBdr>
        <w:top w:val="none" w:sz="0" w:space="0" w:color="auto"/>
        <w:left w:val="none" w:sz="0" w:space="0" w:color="auto"/>
        <w:bottom w:val="none" w:sz="0" w:space="0" w:color="auto"/>
        <w:right w:val="none" w:sz="0" w:space="0" w:color="auto"/>
      </w:divBdr>
    </w:div>
    <w:div w:id="996957729">
      <w:bodyDiv w:val="1"/>
      <w:marLeft w:val="0"/>
      <w:marRight w:val="0"/>
      <w:marTop w:val="0"/>
      <w:marBottom w:val="0"/>
      <w:divBdr>
        <w:top w:val="none" w:sz="0" w:space="0" w:color="auto"/>
        <w:left w:val="none" w:sz="0" w:space="0" w:color="auto"/>
        <w:bottom w:val="none" w:sz="0" w:space="0" w:color="auto"/>
        <w:right w:val="none" w:sz="0" w:space="0" w:color="auto"/>
      </w:divBdr>
    </w:div>
    <w:div w:id="1103303159">
      <w:bodyDiv w:val="1"/>
      <w:marLeft w:val="0"/>
      <w:marRight w:val="0"/>
      <w:marTop w:val="0"/>
      <w:marBottom w:val="0"/>
      <w:divBdr>
        <w:top w:val="none" w:sz="0" w:space="0" w:color="auto"/>
        <w:left w:val="none" w:sz="0" w:space="0" w:color="auto"/>
        <w:bottom w:val="none" w:sz="0" w:space="0" w:color="auto"/>
        <w:right w:val="none" w:sz="0" w:space="0" w:color="auto"/>
      </w:divBdr>
    </w:div>
    <w:div w:id="1106581446">
      <w:bodyDiv w:val="1"/>
      <w:marLeft w:val="0"/>
      <w:marRight w:val="0"/>
      <w:marTop w:val="0"/>
      <w:marBottom w:val="0"/>
      <w:divBdr>
        <w:top w:val="none" w:sz="0" w:space="0" w:color="auto"/>
        <w:left w:val="none" w:sz="0" w:space="0" w:color="auto"/>
        <w:bottom w:val="none" w:sz="0" w:space="0" w:color="auto"/>
        <w:right w:val="none" w:sz="0" w:space="0" w:color="auto"/>
      </w:divBdr>
    </w:div>
    <w:div w:id="1113744552">
      <w:bodyDiv w:val="1"/>
      <w:marLeft w:val="0"/>
      <w:marRight w:val="0"/>
      <w:marTop w:val="0"/>
      <w:marBottom w:val="0"/>
      <w:divBdr>
        <w:top w:val="none" w:sz="0" w:space="0" w:color="auto"/>
        <w:left w:val="none" w:sz="0" w:space="0" w:color="auto"/>
        <w:bottom w:val="none" w:sz="0" w:space="0" w:color="auto"/>
        <w:right w:val="none" w:sz="0" w:space="0" w:color="auto"/>
      </w:divBdr>
    </w:div>
    <w:div w:id="1141534932">
      <w:bodyDiv w:val="1"/>
      <w:marLeft w:val="0"/>
      <w:marRight w:val="0"/>
      <w:marTop w:val="0"/>
      <w:marBottom w:val="0"/>
      <w:divBdr>
        <w:top w:val="none" w:sz="0" w:space="0" w:color="auto"/>
        <w:left w:val="none" w:sz="0" w:space="0" w:color="auto"/>
        <w:bottom w:val="none" w:sz="0" w:space="0" w:color="auto"/>
        <w:right w:val="none" w:sz="0" w:space="0" w:color="auto"/>
      </w:divBdr>
    </w:div>
    <w:div w:id="1143742010">
      <w:bodyDiv w:val="1"/>
      <w:marLeft w:val="0"/>
      <w:marRight w:val="0"/>
      <w:marTop w:val="0"/>
      <w:marBottom w:val="0"/>
      <w:divBdr>
        <w:top w:val="none" w:sz="0" w:space="0" w:color="auto"/>
        <w:left w:val="none" w:sz="0" w:space="0" w:color="auto"/>
        <w:bottom w:val="none" w:sz="0" w:space="0" w:color="auto"/>
        <w:right w:val="none" w:sz="0" w:space="0" w:color="auto"/>
      </w:divBdr>
      <w:divsChild>
        <w:div w:id="216747669">
          <w:marLeft w:val="0"/>
          <w:marRight w:val="0"/>
          <w:marTop w:val="0"/>
          <w:marBottom w:val="0"/>
          <w:divBdr>
            <w:top w:val="none" w:sz="0" w:space="0" w:color="auto"/>
            <w:left w:val="none" w:sz="0" w:space="0" w:color="auto"/>
            <w:bottom w:val="none" w:sz="0" w:space="0" w:color="auto"/>
            <w:right w:val="none" w:sz="0" w:space="0" w:color="auto"/>
          </w:divBdr>
          <w:divsChild>
            <w:div w:id="872577116">
              <w:marLeft w:val="0"/>
              <w:marRight w:val="0"/>
              <w:marTop w:val="0"/>
              <w:marBottom w:val="0"/>
              <w:divBdr>
                <w:top w:val="none" w:sz="0" w:space="0" w:color="auto"/>
                <w:left w:val="none" w:sz="0" w:space="0" w:color="auto"/>
                <w:bottom w:val="none" w:sz="0" w:space="0" w:color="auto"/>
                <w:right w:val="none" w:sz="0" w:space="0" w:color="auto"/>
              </w:divBdr>
            </w:div>
            <w:div w:id="1400519859">
              <w:marLeft w:val="0"/>
              <w:marRight w:val="0"/>
              <w:marTop w:val="0"/>
              <w:marBottom w:val="0"/>
              <w:divBdr>
                <w:top w:val="none" w:sz="0" w:space="0" w:color="auto"/>
                <w:left w:val="none" w:sz="0" w:space="0" w:color="auto"/>
                <w:bottom w:val="none" w:sz="0" w:space="0" w:color="auto"/>
                <w:right w:val="none" w:sz="0" w:space="0" w:color="auto"/>
              </w:divBdr>
            </w:div>
          </w:divsChild>
        </w:div>
        <w:div w:id="312567542">
          <w:marLeft w:val="0"/>
          <w:marRight w:val="0"/>
          <w:marTop w:val="0"/>
          <w:marBottom w:val="0"/>
          <w:divBdr>
            <w:top w:val="none" w:sz="0" w:space="0" w:color="auto"/>
            <w:left w:val="none" w:sz="0" w:space="0" w:color="auto"/>
            <w:bottom w:val="none" w:sz="0" w:space="0" w:color="auto"/>
            <w:right w:val="none" w:sz="0" w:space="0" w:color="auto"/>
          </w:divBdr>
          <w:divsChild>
            <w:div w:id="1793476607">
              <w:marLeft w:val="0"/>
              <w:marRight w:val="0"/>
              <w:marTop w:val="0"/>
              <w:marBottom w:val="0"/>
              <w:divBdr>
                <w:top w:val="none" w:sz="0" w:space="0" w:color="auto"/>
                <w:left w:val="none" w:sz="0" w:space="0" w:color="auto"/>
                <w:bottom w:val="none" w:sz="0" w:space="0" w:color="auto"/>
                <w:right w:val="none" w:sz="0" w:space="0" w:color="auto"/>
              </w:divBdr>
            </w:div>
          </w:divsChild>
        </w:div>
        <w:div w:id="362049640">
          <w:marLeft w:val="0"/>
          <w:marRight w:val="0"/>
          <w:marTop w:val="0"/>
          <w:marBottom w:val="0"/>
          <w:divBdr>
            <w:top w:val="none" w:sz="0" w:space="0" w:color="auto"/>
            <w:left w:val="none" w:sz="0" w:space="0" w:color="auto"/>
            <w:bottom w:val="none" w:sz="0" w:space="0" w:color="auto"/>
            <w:right w:val="none" w:sz="0" w:space="0" w:color="auto"/>
          </w:divBdr>
          <w:divsChild>
            <w:div w:id="1347949530">
              <w:marLeft w:val="0"/>
              <w:marRight w:val="0"/>
              <w:marTop w:val="0"/>
              <w:marBottom w:val="0"/>
              <w:divBdr>
                <w:top w:val="none" w:sz="0" w:space="0" w:color="auto"/>
                <w:left w:val="none" w:sz="0" w:space="0" w:color="auto"/>
                <w:bottom w:val="none" w:sz="0" w:space="0" w:color="auto"/>
                <w:right w:val="none" w:sz="0" w:space="0" w:color="auto"/>
              </w:divBdr>
            </w:div>
          </w:divsChild>
        </w:div>
        <w:div w:id="400098654">
          <w:marLeft w:val="0"/>
          <w:marRight w:val="0"/>
          <w:marTop w:val="0"/>
          <w:marBottom w:val="0"/>
          <w:divBdr>
            <w:top w:val="none" w:sz="0" w:space="0" w:color="auto"/>
            <w:left w:val="none" w:sz="0" w:space="0" w:color="auto"/>
            <w:bottom w:val="none" w:sz="0" w:space="0" w:color="auto"/>
            <w:right w:val="none" w:sz="0" w:space="0" w:color="auto"/>
          </w:divBdr>
          <w:divsChild>
            <w:div w:id="69813807">
              <w:marLeft w:val="0"/>
              <w:marRight w:val="0"/>
              <w:marTop w:val="0"/>
              <w:marBottom w:val="0"/>
              <w:divBdr>
                <w:top w:val="none" w:sz="0" w:space="0" w:color="auto"/>
                <w:left w:val="none" w:sz="0" w:space="0" w:color="auto"/>
                <w:bottom w:val="none" w:sz="0" w:space="0" w:color="auto"/>
                <w:right w:val="none" w:sz="0" w:space="0" w:color="auto"/>
              </w:divBdr>
            </w:div>
          </w:divsChild>
        </w:div>
        <w:div w:id="516887136">
          <w:marLeft w:val="0"/>
          <w:marRight w:val="0"/>
          <w:marTop w:val="0"/>
          <w:marBottom w:val="0"/>
          <w:divBdr>
            <w:top w:val="none" w:sz="0" w:space="0" w:color="auto"/>
            <w:left w:val="none" w:sz="0" w:space="0" w:color="auto"/>
            <w:bottom w:val="none" w:sz="0" w:space="0" w:color="auto"/>
            <w:right w:val="none" w:sz="0" w:space="0" w:color="auto"/>
          </w:divBdr>
          <w:divsChild>
            <w:div w:id="1093360217">
              <w:marLeft w:val="0"/>
              <w:marRight w:val="0"/>
              <w:marTop w:val="0"/>
              <w:marBottom w:val="0"/>
              <w:divBdr>
                <w:top w:val="none" w:sz="0" w:space="0" w:color="auto"/>
                <w:left w:val="none" w:sz="0" w:space="0" w:color="auto"/>
                <w:bottom w:val="none" w:sz="0" w:space="0" w:color="auto"/>
                <w:right w:val="none" w:sz="0" w:space="0" w:color="auto"/>
              </w:divBdr>
            </w:div>
          </w:divsChild>
        </w:div>
        <w:div w:id="535655796">
          <w:marLeft w:val="0"/>
          <w:marRight w:val="0"/>
          <w:marTop w:val="0"/>
          <w:marBottom w:val="0"/>
          <w:divBdr>
            <w:top w:val="none" w:sz="0" w:space="0" w:color="auto"/>
            <w:left w:val="none" w:sz="0" w:space="0" w:color="auto"/>
            <w:bottom w:val="none" w:sz="0" w:space="0" w:color="auto"/>
            <w:right w:val="none" w:sz="0" w:space="0" w:color="auto"/>
          </w:divBdr>
          <w:divsChild>
            <w:div w:id="745036554">
              <w:marLeft w:val="0"/>
              <w:marRight w:val="0"/>
              <w:marTop w:val="0"/>
              <w:marBottom w:val="0"/>
              <w:divBdr>
                <w:top w:val="none" w:sz="0" w:space="0" w:color="auto"/>
                <w:left w:val="none" w:sz="0" w:space="0" w:color="auto"/>
                <w:bottom w:val="none" w:sz="0" w:space="0" w:color="auto"/>
                <w:right w:val="none" w:sz="0" w:space="0" w:color="auto"/>
              </w:divBdr>
            </w:div>
          </w:divsChild>
        </w:div>
        <w:div w:id="576599047">
          <w:marLeft w:val="0"/>
          <w:marRight w:val="0"/>
          <w:marTop w:val="0"/>
          <w:marBottom w:val="0"/>
          <w:divBdr>
            <w:top w:val="none" w:sz="0" w:space="0" w:color="auto"/>
            <w:left w:val="none" w:sz="0" w:space="0" w:color="auto"/>
            <w:bottom w:val="none" w:sz="0" w:space="0" w:color="auto"/>
            <w:right w:val="none" w:sz="0" w:space="0" w:color="auto"/>
          </w:divBdr>
          <w:divsChild>
            <w:div w:id="1931573214">
              <w:marLeft w:val="0"/>
              <w:marRight w:val="0"/>
              <w:marTop w:val="0"/>
              <w:marBottom w:val="0"/>
              <w:divBdr>
                <w:top w:val="none" w:sz="0" w:space="0" w:color="auto"/>
                <w:left w:val="none" w:sz="0" w:space="0" w:color="auto"/>
                <w:bottom w:val="none" w:sz="0" w:space="0" w:color="auto"/>
                <w:right w:val="none" w:sz="0" w:space="0" w:color="auto"/>
              </w:divBdr>
            </w:div>
          </w:divsChild>
        </w:div>
        <w:div w:id="669216346">
          <w:marLeft w:val="0"/>
          <w:marRight w:val="0"/>
          <w:marTop w:val="0"/>
          <w:marBottom w:val="0"/>
          <w:divBdr>
            <w:top w:val="none" w:sz="0" w:space="0" w:color="auto"/>
            <w:left w:val="none" w:sz="0" w:space="0" w:color="auto"/>
            <w:bottom w:val="none" w:sz="0" w:space="0" w:color="auto"/>
            <w:right w:val="none" w:sz="0" w:space="0" w:color="auto"/>
          </w:divBdr>
          <w:divsChild>
            <w:div w:id="301619404">
              <w:marLeft w:val="0"/>
              <w:marRight w:val="0"/>
              <w:marTop w:val="0"/>
              <w:marBottom w:val="0"/>
              <w:divBdr>
                <w:top w:val="none" w:sz="0" w:space="0" w:color="auto"/>
                <w:left w:val="none" w:sz="0" w:space="0" w:color="auto"/>
                <w:bottom w:val="none" w:sz="0" w:space="0" w:color="auto"/>
                <w:right w:val="none" w:sz="0" w:space="0" w:color="auto"/>
              </w:divBdr>
            </w:div>
          </w:divsChild>
        </w:div>
        <w:div w:id="792599032">
          <w:marLeft w:val="0"/>
          <w:marRight w:val="0"/>
          <w:marTop w:val="0"/>
          <w:marBottom w:val="0"/>
          <w:divBdr>
            <w:top w:val="none" w:sz="0" w:space="0" w:color="auto"/>
            <w:left w:val="none" w:sz="0" w:space="0" w:color="auto"/>
            <w:bottom w:val="none" w:sz="0" w:space="0" w:color="auto"/>
            <w:right w:val="none" w:sz="0" w:space="0" w:color="auto"/>
          </w:divBdr>
          <w:divsChild>
            <w:div w:id="602497015">
              <w:marLeft w:val="0"/>
              <w:marRight w:val="0"/>
              <w:marTop w:val="0"/>
              <w:marBottom w:val="0"/>
              <w:divBdr>
                <w:top w:val="none" w:sz="0" w:space="0" w:color="auto"/>
                <w:left w:val="none" w:sz="0" w:space="0" w:color="auto"/>
                <w:bottom w:val="none" w:sz="0" w:space="0" w:color="auto"/>
                <w:right w:val="none" w:sz="0" w:space="0" w:color="auto"/>
              </w:divBdr>
            </w:div>
          </w:divsChild>
        </w:div>
        <w:div w:id="888759149">
          <w:marLeft w:val="0"/>
          <w:marRight w:val="0"/>
          <w:marTop w:val="0"/>
          <w:marBottom w:val="0"/>
          <w:divBdr>
            <w:top w:val="none" w:sz="0" w:space="0" w:color="auto"/>
            <w:left w:val="none" w:sz="0" w:space="0" w:color="auto"/>
            <w:bottom w:val="none" w:sz="0" w:space="0" w:color="auto"/>
            <w:right w:val="none" w:sz="0" w:space="0" w:color="auto"/>
          </w:divBdr>
          <w:divsChild>
            <w:div w:id="1571840852">
              <w:marLeft w:val="0"/>
              <w:marRight w:val="0"/>
              <w:marTop w:val="0"/>
              <w:marBottom w:val="0"/>
              <w:divBdr>
                <w:top w:val="none" w:sz="0" w:space="0" w:color="auto"/>
                <w:left w:val="none" w:sz="0" w:space="0" w:color="auto"/>
                <w:bottom w:val="none" w:sz="0" w:space="0" w:color="auto"/>
                <w:right w:val="none" w:sz="0" w:space="0" w:color="auto"/>
              </w:divBdr>
            </w:div>
          </w:divsChild>
        </w:div>
        <w:div w:id="972519912">
          <w:marLeft w:val="0"/>
          <w:marRight w:val="0"/>
          <w:marTop w:val="0"/>
          <w:marBottom w:val="0"/>
          <w:divBdr>
            <w:top w:val="none" w:sz="0" w:space="0" w:color="auto"/>
            <w:left w:val="none" w:sz="0" w:space="0" w:color="auto"/>
            <w:bottom w:val="none" w:sz="0" w:space="0" w:color="auto"/>
            <w:right w:val="none" w:sz="0" w:space="0" w:color="auto"/>
          </w:divBdr>
          <w:divsChild>
            <w:div w:id="137967022">
              <w:marLeft w:val="0"/>
              <w:marRight w:val="0"/>
              <w:marTop w:val="0"/>
              <w:marBottom w:val="0"/>
              <w:divBdr>
                <w:top w:val="none" w:sz="0" w:space="0" w:color="auto"/>
                <w:left w:val="none" w:sz="0" w:space="0" w:color="auto"/>
                <w:bottom w:val="none" w:sz="0" w:space="0" w:color="auto"/>
                <w:right w:val="none" w:sz="0" w:space="0" w:color="auto"/>
              </w:divBdr>
            </w:div>
            <w:div w:id="1645816356">
              <w:marLeft w:val="0"/>
              <w:marRight w:val="0"/>
              <w:marTop w:val="0"/>
              <w:marBottom w:val="0"/>
              <w:divBdr>
                <w:top w:val="none" w:sz="0" w:space="0" w:color="auto"/>
                <w:left w:val="none" w:sz="0" w:space="0" w:color="auto"/>
                <w:bottom w:val="none" w:sz="0" w:space="0" w:color="auto"/>
                <w:right w:val="none" w:sz="0" w:space="0" w:color="auto"/>
              </w:divBdr>
            </w:div>
          </w:divsChild>
        </w:div>
        <w:div w:id="984310775">
          <w:marLeft w:val="0"/>
          <w:marRight w:val="0"/>
          <w:marTop w:val="0"/>
          <w:marBottom w:val="0"/>
          <w:divBdr>
            <w:top w:val="none" w:sz="0" w:space="0" w:color="auto"/>
            <w:left w:val="none" w:sz="0" w:space="0" w:color="auto"/>
            <w:bottom w:val="none" w:sz="0" w:space="0" w:color="auto"/>
            <w:right w:val="none" w:sz="0" w:space="0" w:color="auto"/>
          </w:divBdr>
          <w:divsChild>
            <w:div w:id="456724837">
              <w:marLeft w:val="0"/>
              <w:marRight w:val="0"/>
              <w:marTop w:val="0"/>
              <w:marBottom w:val="0"/>
              <w:divBdr>
                <w:top w:val="none" w:sz="0" w:space="0" w:color="auto"/>
                <w:left w:val="none" w:sz="0" w:space="0" w:color="auto"/>
                <w:bottom w:val="none" w:sz="0" w:space="0" w:color="auto"/>
                <w:right w:val="none" w:sz="0" w:space="0" w:color="auto"/>
              </w:divBdr>
            </w:div>
            <w:div w:id="1692145200">
              <w:marLeft w:val="0"/>
              <w:marRight w:val="0"/>
              <w:marTop w:val="0"/>
              <w:marBottom w:val="0"/>
              <w:divBdr>
                <w:top w:val="none" w:sz="0" w:space="0" w:color="auto"/>
                <w:left w:val="none" w:sz="0" w:space="0" w:color="auto"/>
                <w:bottom w:val="none" w:sz="0" w:space="0" w:color="auto"/>
                <w:right w:val="none" w:sz="0" w:space="0" w:color="auto"/>
              </w:divBdr>
            </w:div>
          </w:divsChild>
        </w:div>
        <w:div w:id="1110660953">
          <w:marLeft w:val="0"/>
          <w:marRight w:val="0"/>
          <w:marTop w:val="0"/>
          <w:marBottom w:val="0"/>
          <w:divBdr>
            <w:top w:val="none" w:sz="0" w:space="0" w:color="auto"/>
            <w:left w:val="none" w:sz="0" w:space="0" w:color="auto"/>
            <w:bottom w:val="none" w:sz="0" w:space="0" w:color="auto"/>
            <w:right w:val="none" w:sz="0" w:space="0" w:color="auto"/>
          </w:divBdr>
          <w:divsChild>
            <w:div w:id="1081561405">
              <w:marLeft w:val="0"/>
              <w:marRight w:val="0"/>
              <w:marTop w:val="0"/>
              <w:marBottom w:val="0"/>
              <w:divBdr>
                <w:top w:val="none" w:sz="0" w:space="0" w:color="auto"/>
                <w:left w:val="none" w:sz="0" w:space="0" w:color="auto"/>
                <w:bottom w:val="none" w:sz="0" w:space="0" w:color="auto"/>
                <w:right w:val="none" w:sz="0" w:space="0" w:color="auto"/>
              </w:divBdr>
            </w:div>
          </w:divsChild>
        </w:div>
        <w:div w:id="1134718212">
          <w:marLeft w:val="0"/>
          <w:marRight w:val="0"/>
          <w:marTop w:val="0"/>
          <w:marBottom w:val="0"/>
          <w:divBdr>
            <w:top w:val="none" w:sz="0" w:space="0" w:color="auto"/>
            <w:left w:val="none" w:sz="0" w:space="0" w:color="auto"/>
            <w:bottom w:val="none" w:sz="0" w:space="0" w:color="auto"/>
            <w:right w:val="none" w:sz="0" w:space="0" w:color="auto"/>
          </w:divBdr>
          <w:divsChild>
            <w:div w:id="496306015">
              <w:marLeft w:val="0"/>
              <w:marRight w:val="0"/>
              <w:marTop w:val="0"/>
              <w:marBottom w:val="0"/>
              <w:divBdr>
                <w:top w:val="none" w:sz="0" w:space="0" w:color="auto"/>
                <w:left w:val="none" w:sz="0" w:space="0" w:color="auto"/>
                <w:bottom w:val="none" w:sz="0" w:space="0" w:color="auto"/>
                <w:right w:val="none" w:sz="0" w:space="0" w:color="auto"/>
              </w:divBdr>
            </w:div>
          </w:divsChild>
        </w:div>
        <w:div w:id="1191995385">
          <w:marLeft w:val="0"/>
          <w:marRight w:val="0"/>
          <w:marTop w:val="0"/>
          <w:marBottom w:val="0"/>
          <w:divBdr>
            <w:top w:val="none" w:sz="0" w:space="0" w:color="auto"/>
            <w:left w:val="none" w:sz="0" w:space="0" w:color="auto"/>
            <w:bottom w:val="none" w:sz="0" w:space="0" w:color="auto"/>
            <w:right w:val="none" w:sz="0" w:space="0" w:color="auto"/>
          </w:divBdr>
          <w:divsChild>
            <w:div w:id="1571888012">
              <w:marLeft w:val="0"/>
              <w:marRight w:val="0"/>
              <w:marTop w:val="0"/>
              <w:marBottom w:val="0"/>
              <w:divBdr>
                <w:top w:val="none" w:sz="0" w:space="0" w:color="auto"/>
                <w:left w:val="none" w:sz="0" w:space="0" w:color="auto"/>
                <w:bottom w:val="none" w:sz="0" w:space="0" w:color="auto"/>
                <w:right w:val="none" w:sz="0" w:space="0" w:color="auto"/>
              </w:divBdr>
            </w:div>
          </w:divsChild>
        </w:div>
        <w:div w:id="1391267631">
          <w:marLeft w:val="0"/>
          <w:marRight w:val="0"/>
          <w:marTop w:val="0"/>
          <w:marBottom w:val="0"/>
          <w:divBdr>
            <w:top w:val="none" w:sz="0" w:space="0" w:color="auto"/>
            <w:left w:val="none" w:sz="0" w:space="0" w:color="auto"/>
            <w:bottom w:val="none" w:sz="0" w:space="0" w:color="auto"/>
            <w:right w:val="none" w:sz="0" w:space="0" w:color="auto"/>
          </w:divBdr>
          <w:divsChild>
            <w:div w:id="395278276">
              <w:marLeft w:val="0"/>
              <w:marRight w:val="0"/>
              <w:marTop w:val="0"/>
              <w:marBottom w:val="0"/>
              <w:divBdr>
                <w:top w:val="none" w:sz="0" w:space="0" w:color="auto"/>
                <w:left w:val="none" w:sz="0" w:space="0" w:color="auto"/>
                <w:bottom w:val="none" w:sz="0" w:space="0" w:color="auto"/>
                <w:right w:val="none" w:sz="0" w:space="0" w:color="auto"/>
              </w:divBdr>
            </w:div>
          </w:divsChild>
        </w:div>
        <w:div w:id="1465611765">
          <w:marLeft w:val="0"/>
          <w:marRight w:val="0"/>
          <w:marTop w:val="0"/>
          <w:marBottom w:val="0"/>
          <w:divBdr>
            <w:top w:val="none" w:sz="0" w:space="0" w:color="auto"/>
            <w:left w:val="none" w:sz="0" w:space="0" w:color="auto"/>
            <w:bottom w:val="none" w:sz="0" w:space="0" w:color="auto"/>
            <w:right w:val="none" w:sz="0" w:space="0" w:color="auto"/>
          </w:divBdr>
          <w:divsChild>
            <w:div w:id="1603227079">
              <w:marLeft w:val="0"/>
              <w:marRight w:val="0"/>
              <w:marTop w:val="0"/>
              <w:marBottom w:val="0"/>
              <w:divBdr>
                <w:top w:val="none" w:sz="0" w:space="0" w:color="auto"/>
                <w:left w:val="none" w:sz="0" w:space="0" w:color="auto"/>
                <w:bottom w:val="none" w:sz="0" w:space="0" w:color="auto"/>
                <w:right w:val="none" w:sz="0" w:space="0" w:color="auto"/>
              </w:divBdr>
            </w:div>
          </w:divsChild>
        </w:div>
        <w:div w:id="1638609458">
          <w:marLeft w:val="0"/>
          <w:marRight w:val="0"/>
          <w:marTop w:val="0"/>
          <w:marBottom w:val="0"/>
          <w:divBdr>
            <w:top w:val="none" w:sz="0" w:space="0" w:color="auto"/>
            <w:left w:val="none" w:sz="0" w:space="0" w:color="auto"/>
            <w:bottom w:val="none" w:sz="0" w:space="0" w:color="auto"/>
            <w:right w:val="none" w:sz="0" w:space="0" w:color="auto"/>
          </w:divBdr>
          <w:divsChild>
            <w:div w:id="1447429670">
              <w:marLeft w:val="0"/>
              <w:marRight w:val="0"/>
              <w:marTop w:val="0"/>
              <w:marBottom w:val="0"/>
              <w:divBdr>
                <w:top w:val="none" w:sz="0" w:space="0" w:color="auto"/>
                <w:left w:val="none" w:sz="0" w:space="0" w:color="auto"/>
                <w:bottom w:val="none" w:sz="0" w:space="0" w:color="auto"/>
                <w:right w:val="none" w:sz="0" w:space="0" w:color="auto"/>
              </w:divBdr>
            </w:div>
            <w:div w:id="1496871753">
              <w:marLeft w:val="0"/>
              <w:marRight w:val="0"/>
              <w:marTop w:val="0"/>
              <w:marBottom w:val="0"/>
              <w:divBdr>
                <w:top w:val="none" w:sz="0" w:space="0" w:color="auto"/>
                <w:left w:val="none" w:sz="0" w:space="0" w:color="auto"/>
                <w:bottom w:val="none" w:sz="0" w:space="0" w:color="auto"/>
                <w:right w:val="none" w:sz="0" w:space="0" w:color="auto"/>
              </w:divBdr>
            </w:div>
          </w:divsChild>
        </w:div>
        <w:div w:id="1666742837">
          <w:marLeft w:val="0"/>
          <w:marRight w:val="0"/>
          <w:marTop w:val="0"/>
          <w:marBottom w:val="0"/>
          <w:divBdr>
            <w:top w:val="none" w:sz="0" w:space="0" w:color="auto"/>
            <w:left w:val="none" w:sz="0" w:space="0" w:color="auto"/>
            <w:bottom w:val="none" w:sz="0" w:space="0" w:color="auto"/>
            <w:right w:val="none" w:sz="0" w:space="0" w:color="auto"/>
          </w:divBdr>
          <w:divsChild>
            <w:div w:id="225335865">
              <w:marLeft w:val="0"/>
              <w:marRight w:val="0"/>
              <w:marTop w:val="0"/>
              <w:marBottom w:val="0"/>
              <w:divBdr>
                <w:top w:val="none" w:sz="0" w:space="0" w:color="auto"/>
                <w:left w:val="none" w:sz="0" w:space="0" w:color="auto"/>
                <w:bottom w:val="none" w:sz="0" w:space="0" w:color="auto"/>
                <w:right w:val="none" w:sz="0" w:space="0" w:color="auto"/>
              </w:divBdr>
            </w:div>
          </w:divsChild>
        </w:div>
        <w:div w:id="1847090408">
          <w:marLeft w:val="0"/>
          <w:marRight w:val="0"/>
          <w:marTop w:val="0"/>
          <w:marBottom w:val="0"/>
          <w:divBdr>
            <w:top w:val="none" w:sz="0" w:space="0" w:color="auto"/>
            <w:left w:val="none" w:sz="0" w:space="0" w:color="auto"/>
            <w:bottom w:val="none" w:sz="0" w:space="0" w:color="auto"/>
            <w:right w:val="none" w:sz="0" w:space="0" w:color="auto"/>
          </w:divBdr>
          <w:divsChild>
            <w:div w:id="289433880">
              <w:marLeft w:val="0"/>
              <w:marRight w:val="0"/>
              <w:marTop w:val="0"/>
              <w:marBottom w:val="0"/>
              <w:divBdr>
                <w:top w:val="none" w:sz="0" w:space="0" w:color="auto"/>
                <w:left w:val="none" w:sz="0" w:space="0" w:color="auto"/>
                <w:bottom w:val="none" w:sz="0" w:space="0" w:color="auto"/>
                <w:right w:val="none" w:sz="0" w:space="0" w:color="auto"/>
              </w:divBdr>
            </w:div>
          </w:divsChild>
        </w:div>
        <w:div w:id="1855151848">
          <w:marLeft w:val="0"/>
          <w:marRight w:val="0"/>
          <w:marTop w:val="0"/>
          <w:marBottom w:val="0"/>
          <w:divBdr>
            <w:top w:val="none" w:sz="0" w:space="0" w:color="auto"/>
            <w:left w:val="none" w:sz="0" w:space="0" w:color="auto"/>
            <w:bottom w:val="none" w:sz="0" w:space="0" w:color="auto"/>
            <w:right w:val="none" w:sz="0" w:space="0" w:color="auto"/>
          </w:divBdr>
          <w:divsChild>
            <w:div w:id="1871184045">
              <w:marLeft w:val="0"/>
              <w:marRight w:val="0"/>
              <w:marTop w:val="0"/>
              <w:marBottom w:val="0"/>
              <w:divBdr>
                <w:top w:val="none" w:sz="0" w:space="0" w:color="auto"/>
                <w:left w:val="none" w:sz="0" w:space="0" w:color="auto"/>
                <w:bottom w:val="none" w:sz="0" w:space="0" w:color="auto"/>
                <w:right w:val="none" w:sz="0" w:space="0" w:color="auto"/>
              </w:divBdr>
            </w:div>
          </w:divsChild>
        </w:div>
        <w:div w:id="1905217733">
          <w:marLeft w:val="0"/>
          <w:marRight w:val="0"/>
          <w:marTop w:val="0"/>
          <w:marBottom w:val="0"/>
          <w:divBdr>
            <w:top w:val="none" w:sz="0" w:space="0" w:color="auto"/>
            <w:left w:val="none" w:sz="0" w:space="0" w:color="auto"/>
            <w:bottom w:val="none" w:sz="0" w:space="0" w:color="auto"/>
            <w:right w:val="none" w:sz="0" w:space="0" w:color="auto"/>
          </w:divBdr>
          <w:divsChild>
            <w:div w:id="122540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5851">
      <w:bodyDiv w:val="1"/>
      <w:marLeft w:val="0"/>
      <w:marRight w:val="0"/>
      <w:marTop w:val="0"/>
      <w:marBottom w:val="0"/>
      <w:divBdr>
        <w:top w:val="none" w:sz="0" w:space="0" w:color="auto"/>
        <w:left w:val="none" w:sz="0" w:space="0" w:color="auto"/>
        <w:bottom w:val="none" w:sz="0" w:space="0" w:color="auto"/>
        <w:right w:val="none" w:sz="0" w:space="0" w:color="auto"/>
      </w:divBdr>
    </w:div>
    <w:div w:id="1156801665">
      <w:bodyDiv w:val="1"/>
      <w:marLeft w:val="0"/>
      <w:marRight w:val="0"/>
      <w:marTop w:val="0"/>
      <w:marBottom w:val="0"/>
      <w:divBdr>
        <w:top w:val="none" w:sz="0" w:space="0" w:color="auto"/>
        <w:left w:val="none" w:sz="0" w:space="0" w:color="auto"/>
        <w:bottom w:val="none" w:sz="0" w:space="0" w:color="auto"/>
        <w:right w:val="none" w:sz="0" w:space="0" w:color="auto"/>
      </w:divBdr>
      <w:divsChild>
        <w:div w:id="192619991">
          <w:marLeft w:val="0"/>
          <w:marRight w:val="0"/>
          <w:marTop w:val="0"/>
          <w:marBottom w:val="0"/>
          <w:divBdr>
            <w:top w:val="none" w:sz="0" w:space="0" w:color="auto"/>
            <w:left w:val="none" w:sz="0" w:space="0" w:color="auto"/>
            <w:bottom w:val="none" w:sz="0" w:space="0" w:color="auto"/>
            <w:right w:val="none" w:sz="0" w:space="0" w:color="auto"/>
          </w:divBdr>
          <w:divsChild>
            <w:div w:id="501235867">
              <w:marLeft w:val="0"/>
              <w:marRight w:val="0"/>
              <w:marTop w:val="0"/>
              <w:marBottom w:val="0"/>
              <w:divBdr>
                <w:top w:val="none" w:sz="0" w:space="0" w:color="auto"/>
                <w:left w:val="none" w:sz="0" w:space="0" w:color="auto"/>
                <w:bottom w:val="none" w:sz="0" w:space="0" w:color="auto"/>
                <w:right w:val="none" w:sz="0" w:space="0" w:color="auto"/>
              </w:divBdr>
            </w:div>
          </w:divsChild>
        </w:div>
        <w:div w:id="276183777">
          <w:marLeft w:val="0"/>
          <w:marRight w:val="0"/>
          <w:marTop w:val="0"/>
          <w:marBottom w:val="0"/>
          <w:divBdr>
            <w:top w:val="none" w:sz="0" w:space="0" w:color="auto"/>
            <w:left w:val="none" w:sz="0" w:space="0" w:color="auto"/>
            <w:bottom w:val="none" w:sz="0" w:space="0" w:color="auto"/>
            <w:right w:val="none" w:sz="0" w:space="0" w:color="auto"/>
          </w:divBdr>
          <w:divsChild>
            <w:div w:id="1578249907">
              <w:marLeft w:val="0"/>
              <w:marRight w:val="0"/>
              <w:marTop w:val="0"/>
              <w:marBottom w:val="0"/>
              <w:divBdr>
                <w:top w:val="none" w:sz="0" w:space="0" w:color="auto"/>
                <w:left w:val="none" w:sz="0" w:space="0" w:color="auto"/>
                <w:bottom w:val="none" w:sz="0" w:space="0" w:color="auto"/>
                <w:right w:val="none" w:sz="0" w:space="0" w:color="auto"/>
              </w:divBdr>
            </w:div>
          </w:divsChild>
        </w:div>
        <w:div w:id="362365733">
          <w:marLeft w:val="0"/>
          <w:marRight w:val="0"/>
          <w:marTop w:val="0"/>
          <w:marBottom w:val="0"/>
          <w:divBdr>
            <w:top w:val="none" w:sz="0" w:space="0" w:color="auto"/>
            <w:left w:val="none" w:sz="0" w:space="0" w:color="auto"/>
            <w:bottom w:val="none" w:sz="0" w:space="0" w:color="auto"/>
            <w:right w:val="none" w:sz="0" w:space="0" w:color="auto"/>
          </w:divBdr>
          <w:divsChild>
            <w:div w:id="114642126">
              <w:marLeft w:val="0"/>
              <w:marRight w:val="0"/>
              <w:marTop w:val="0"/>
              <w:marBottom w:val="0"/>
              <w:divBdr>
                <w:top w:val="none" w:sz="0" w:space="0" w:color="auto"/>
                <w:left w:val="none" w:sz="0" w:space="0" w:color="auto"/>
                <w:bottom w:val="none" w:sz="0" w:space="0" w:color="auto"/>
                <w:right w:val="none" w:sz="0" w:space="0" w:color="auto"/>
              </w:divBdr>
            </w:div>
          </w:divsChild>
        </w:div>
        <w:div w:id="427584382">
          <w:marLeft w:val="0"/>
          <w:marRight w:val="0"/>
          <w:marTop w:val="0"/>
          <w:marBottom w:val="0"/>
          <w:divBdr>
            <w:top w:val="none" w:sz="0" w:space="0" w:color="auto"/>
            <w:left w:val="none" w:sz="0" w:space="0" w:color="auto"/>
            <w:bottom w:val="none" w:sz="0" w:space="0" w:color="auto"/>
            <w:right w:val="none" w:sz="0" w:space="0" w:color="auto"/>
          </w:divBdr>
          <w:divsChild>
            <w:div w:id="720638277">
              <w:marLeft w:val="0"/>
              <w:marRight w:val="0"/>
              <w:marTop w:val="0"/>
              <w:marBottom w:val="0"/>
              <w:divBdr>
                <w:top w:val="none" w:sz="0" w:space="0" w:color="auto"/>
                <w:left w:val="none" w:sz="0" w:space="0" w:color="auto"/>
                <w:bottom w:val="none" w:sz="0" w:space="0" w:color="auto"/>
                <w:right w:val="none" w:sz="0" w:space="0" w:color="auto"/>
              </w:divBdr>
            </w:div>
          </w:divsChild>
        </w:div>
        <w:div w:id="435708958">
          <w:marLeft w:val="0"/>
          <w:marRight w:val="0"/>
          <w:marTop w:val="0"/>
          <w:marBottom w:val="0"/>
          <w:divBdr>
            <w:top w:val="none" w:sz="0" w:space="0" w:color="auto"/>
            <w:left w:val="none" w:sz="0" w:space="0" w:color="auto"/>
            <w:bottom w:val="none" w:sz="0" w:space="0" w:color="auto"/>
            <w:right w:val="none" w:sz="0" w:space="0" w:color="auto"/>
          </w:divBdr>
          <w:divsChild>
            <w:div w:id="243805161">
              <w:marLeft w:val="0"/>
              <w:marRight w:val="0"/>
              <w:marTop w:val="0"/>
              <w:marBottom w:val="0"/>
              <w:divBdr>
                <w:top w:val="none" w:sz="0" w:space="0" w:color="auto"/>
                <w:left w:val="none" w:sz="0" w:space="0" w:color="auto"/>
                <w:bottom w:val="none" w:sz="0" w:space="0" w:color="auto"/>
                <w:right w:val="none" w:sz="0" w:space="0" w:color="auto"/>
              </w:divBdr>
            </w:div>
          </w:divsChild>
        </w:div>
        <w:div w:id="467090016">
          <w:marLeft w:val="0"/>
          <w:marRight w:val="0"/>
          <w:marTop w:val="0"/>
          <w:marBottom w:val="0"/>
          <w:divBdr>
            <w:top w:val="none" w:sz="0" w:space="0" w:color="auto"/>
            <w:left w:val="none" w:sz="0" w:space="0" w:color="auto"/>
            <w:bottom w:val="none" w:sz="0" w:space="0" w:color="auto"/>
            <w:right w:val="none" w:sz="0" w:space="0" w:color="auto"/>
          </w:divBdr>
          <w:divsChild>
            <w:div w:id="1338920182">
              <w:marLeft w:val="0"/>
              <w:marRight w:val="0"/>
              <w:marTop w:val="0"/>
              <w:marBottom w:val="0"/>
              <w:divBdr>
                <w:top w:val="none" w:sz="0" w:space="0" w:color="auto"/>
                <w:left w:val="none" w:sz="0" w:space="0" w:color="auto"/>
                <w:bottom w:val="none" w:sz="0" w:space="0" w:color="auto"/>
                <w:right w:val="none" w:sz="0" w:space="0" w:color="auto"/>
              </w:divBdr>
            </w:div>
          </w:divsChild>
        </w:div>
        <w:div w:id="509218018">
          <w:marLeft w:val="0"/>
          <w:marRight w:val="0"/>
          <w:marTop w:val="0"/>
          <w:marBottom w:val="0"/>
          <w:divBdr>
            <w:top w:val="none" w:sz="0" w:space="0" w:color="auto"/>
            <w:left w:val="none" w:sz="0" w:space="0" w:color="auto"/>
            <w:bottom w:val="none" w:sz="0" w:space="0" w:color="auto"/>
            <w:right w:val="none" w:sz="0" w:space="0" w:color="auto"/>
          </w:divBdr>
          <w:divsChild>
            <w:div w:id="1594434290">
              <w:marLeft w:val="0"/>
              <w:marRight w:val="0"/>
              <w:marTop w:val="0"/>
              <w:marBottom w:val="0"/>
              <w:divBdr>
                <w:top w:val="none" w:sz="0" w:space="0" w:color="auto"/>
                <w:left w:val="none" w:sz="0" w:space="0" w:color="auto"/>
                <w:bottom w:val="none" w:sz="0" w:space="0" w:color="auto"/>
                <w:right w:val="none" w:sz="0" w:space="0" w:color="auto"/>
              </w:divBdr>
            </w:div>
          </w:divsChild>
        </w:div>
        <w:div w:id="567496462">
          <w:marLeft w:val="0"/>
          <w:marRight w:val="0"/>
          <w:marTop w:val="0"/>
          <w:marBottom w:val="0"/>
          <w:divBdr>
            <w:top w:val="none" w:sz="0" w:space="0" w:color="auto"/>
            <w:left w:val="none" w:sz="0" w:space="0" w:color="auto"/>
            <w:bottom w:val="none" w:sz="0" w:space="0" w:color="auto"/>
            <w:right w:val="none" w:sz="0" w:space="0" w:color="auto"/>
          </w:divBdr>
          <w:divsChild>
            <w:div w:id="1110590343">
              <w:marLeft w:val="0"/>
              <w:marRight w:val="0"/>
              <w:marTop w:val="0"/>
              <w:marBottom w:val="0"/>
              <w:divBdr>
                <w:top w:val="none" w:sz="0" w:space="0" w:color="auto"/>
                <w:left w:val="none" w:sz="0" w:space="0" w:color="auto"/>
                <w:bottom w:val="none" w:sz="0" w:space="0" w:color="auto"/>
                <w:right w:val="none" w:sz="0" w:space="0" w:color="auto"/>
              </w:divBdr>
            </w:div>
          </w:divsChild>
        </w:div>
        <w:div w:id="773405756">
          <w:marLeft w:val="0"/>
          <w:marRight w:val="0"/>
          <w:marTop w:val="0"/>
          <w:marBottom w:val="0"/>
          <w:divBdr>
            <w:top w:val="none" w:sz="0" w:space="0" w:color="auto"/>
            <w:left w:val="none" w:sz="0" w:space="0" w:color="auto"/>
            <w:bottom w:val="none" w:sz="0" w:space="0" w:color="auto"/>
            <w:right w:val="none" w:sz="0" w:space="0" w:color="auto"/>
          </w:divBdr>
          <w:divsChild>
            <w:div w:id="54623025">
              <w:marLeft w:val="0"/>
              <w:marRight w:val="0"/>
              <w:marTop w:val="0"/>
              <w:marBottom w:val="0"/>
              <w:divBdr>
                <w:top w:val="none" w:sz="0" w:space="0" w:color="auto"/>
                <w:left w:val="none" w:sz="0" w:space="0" w:color="auto"/>
                <w:bottom w:val="none" w:sz="0" w:space="0" w:color="auto"/>
                <w:right w:val="none" w:sz="0" w:space="0" w:color="auto"/>
              </w:divBdr>
            </w:div>
          </w:divsChild>
        </w:div>
        <w:div w:id="888414445">
          <w:marLeft w:val="0"/>
          <w:marRight w:val="0"/>
          <w:marTop w:val="0"/>
          <w:marBottom w:val="0"/>
          <w:divBdr>
            <w:top w:val="none" w:sz="0" w:space="0" w:color="auto"/>
            <w:left w:val="none" w:sz="0" w:space="0" w:color="auto"/>
            <w:bottom w:val="none" w:sz="0" w:space="0" w:color="auto"/>
            <w:right w:val="none" w:sz="0" w:space="0" w:color="auto"/>
          </w:divBdr>
          <w:divsChild>
            <w:div w:id="1916283998">
              <w:marLeft w:val="0"/>
              <w:marRight w:val="0"/>
              <w:marTop w:val="0"/>
              <w:marBottom w:val="0"/>
              <w:divBdr>
                <w:top w:val="none" w:sz="0" w:space="0" w:color="auto"/>
                <w:left w:val="none" w:sz="0" w:space="0" w:color="auto"/>
                <w:bottom w:val="none" w:sz="0" w:space="0" w:color="auto"/>
                <w:right w:val="none" w:sz="0" w:space="0" w:color="auto"/>
              </w:divBdr>
            </w:div>
          </w:divsChild>
        </w:div>
        <w:div w:id="927037663">
          <w:marLeft w:val="0"/>
          <w:marRight w:val="0"/>
          <w:marTop w:val="0"/>
          <w:marBottom w:val="0"/>
          <w:divBdr>
            <w:top w:val="none" w:sz="0" w:space="0" w:color="auto"/>
            <w:left w:val="none" w:sz="0" w:space="0" w:color="auto"/>
            <w:bottom w:val="none" w:sz="0" w:space="0" w:color="auto"/>
            <w:right w:val="none" w:sz="0" w:space="0" w:color="auto"/>
          </w:divBdr>
          <w:divsChild>
            <w:div w:id="1902279927">
              <w:marLeft w:val="0"/>
              <w:marRight w:val="0"/>
              <w:marTop w:val="0"/>
              <w:marBottom w:val="0"/>
              <w:divBdr>
                <w:top w:val="none" w:sz="0" w:space="0" w:color="auto"/>
                <w:left w:val="none" w:sz="0" w:space="0" w:color="auto"/>
                <w:bottom w:val="none" w:sz="0" w:space="0" w:color="auto"/>
                <w:right w:val="none" w:sz="0" w:space="0" w:color="auto"/>
              </w:divBdr>
            </w:div>
          </w:divsChild>
        </w:div>
        <w:div w:id="1030372772">
          <w:marLeft w:val="0"/>
          <w:marRight w:val="0"/>
          <w:marTop w:val="0"/>
          <w:marBottom w:val="0"/>
          <w:divBdr>
            <w:top w:val="none" w:sz="0" w:space="0" w:color="auto"/>
            <w:left w:val="none" w:sz="0" w:space="0" w:color="auto"/>
            <w:bottom w:val="none" w:sz="0" w:space="0" w:color="auto"/>
            <w:right w:val="none" w:sz="0" w:space="0" w:color="auto"/>
          </w:divBdr>
          <w:divsChild>
            <w:div w:id="1473404342">
              <w:marLeft w:val="0"/>
              <w:marRight w:val="0"/>
              <w:marTop w:val="0"/>
              <w:marBottom w:val="0"/>
              <w:divBdr>
                <w:top w:val="none" w:sz="0" w:space="0" w:color="auto"/>
                <w:left w:val="none" w:sz="0" w:space="0" w:color="auto"/>
                <w:bottom w:val="none" w:sz="0" w:space="0" w:color="auto"/>
                <w:right w:val="none" w:sz="0" w:space="0" w:color="auto"/>
              </w:divBdr>
            </w:div>
          </w:divsChild>
        </w:div>
        <w:div w:id="1104035521">
          <w:marLeft w:val="0"/>
          <w:marRight w:val="0"/>
          <w:marTop w:val="0"/>
          <w:marBottom w:val="0"/>
          <w:divBdr>
            <w:top w:val="none" w:sz="0" w:space="0" w:color="auto"/>
            <w:left w:val="none" w:sz="0" w:space="0" w:color="auto"/>
            <w:bottom w:val="none" w:sz="0" w:space="0" w:color="auto"/>
            <w:right w:val="none" w:sz="0" w:space="0" w:color="auto"/>
          </w:divBdr>
          <w:divsChild>
            <w:div w:id="6061533">
              <w:marLeft w:val="0"/>
              <w:marRight w:val="0"/>
              <w:marTop w:val="0"/>
              <w:marBottom w:val="0"/>
              <w:divBdr>
                <w:top w:val="none" w:sz="0" w:space="0" w:color="auto"/>
                <w:left w:val="none" w:sz="0" w:space="0" w:color="auto"/>
                <w:bottom w:val="none" w:sz="0" w:space="0" w:color="auto"/>
                <w:right w:val="none" w:sz="0" w:space="0" w:color="auto"/>
              </w:divBdr>
            </w:div>
            <w:div w:id="1168716151">
              <w:marLeft w:val="0"/>
              <w:marRight w:val="0"/>
              <w:marTop w:val="0"/>
              <w:marBottom w:val="0"/>
              <w:divBdr>
                <w:top w:val="none" w:sz="0" w:space="0" w:color="auto"/>
                <w:left w:val="none" w:sz="0" w:space="0" w:color="auto"/>
                <w:bottom w:val="none" w:sz="0" w:space="0" w:color="auto"/>
                <w:right w:val="none" w:sz="0" w:space="0" w:color="auto"/>
              </w:divBdr>
            </w:div>
            <w:div w:id="1612007926">
              <w:marLeft w:val="0"/>
              <w:marRight w:val="0"/>
              <w:marTop w:val="0"/>
              <w:marBottom w:val="0"/>
              <w:divBdr>
                <w:top w:val="none" w:sz="0" w:space="0" w:color="auto"/>
                <w:left w:val="none" w:sz="0" w:space="0" w:color="auto"/>
                <w:bottom w:val="none" w:sz="0" w:space="0" w:color="auto"/>
                <w:right w:val="none" w:sz="0" w:space="0" w:color="auto"/>
              </w:divBdr>
            </w:div>
          </w:divsChild>
        </w:div>
        <w:div w:id="1138182646">
          <w:marLeft w:val="0"/>
          <w:marRight w:val="0"/>
          <w:marTop w:val="0"/>
          <w:marBottom w:val="0"/>
          <w:divBdr>
            <w:top w:val="none" w:sz="0" w:space="0" w:color="auto"/>
            <w:left w:val="none" w:sz="0" w:space="0" w:color="auto"/>
            <w:bottom w:val="none" w:sz="0" w:space="0" w:color="auto"/>
            <w:right w:val="none" w:sz="0" w:space="0" w:color="auto"/>
          </w:divBdr>
          <w:divsChild>
            <w:div w:id="344206861">
              <w:marLeft w:val="0"/>
              <w:marRight w:val="0"/>
              <w:marTop w:val="0"/>
              <w:marBottom w:val="0"/>
              <w:divBdr>
                <w:top w:val="none" w:sz="0" w:space="0" w:color="auto"/>
                <w:left w:val="none" w:sz="0" w:space="0" w:color="auto"/>
                <w:bottom w:val="none" w:sz="0" w:space="0" w:color="auto"/>
                <w:right w:val="none" w:sz="0" w:space="0" w:color="auto"/>
              </w:divBdr>
            </w:div>
            <w:div w:id="802384885">
              <w:marLeft w:val="0"/>
              <w:marRight w:val="0"/>
              <w:marTop w:val="0"/>
              <w:marBottom w:val="0"/>
              <w:divBdr>
                <w:top w:val="none" w:sz="0" w:space="0" w:color="auto"/>
                <w:left w:val="none" w:sz="0" w:space="0" w:color="auto"/>
                <w:bottom w:val="none" w:sz="0" w:space="0" w:color="auto"/>
                <w:right w:val="none" w:sz="0" w:space="0" w:color="auto"/>
              </w:divBdr>
            </w:div>
            <w:div w:id="960722490">
              <w:marLeft w:val="0"/>
              <w:marRight w:val="0"/>
              <w:marTop w:val="0"/>
              <w:marBottom w:val="0"/>
              <w:divBdr>
                <w:top w:val="none" w:sz="0" w:space="0" w:color="auto"/>
                <w:left w:val="none" w:sz="0" w:space="0" w:color="auto"/>
                <w:bottom w:val="none" w:sz="0" w:space="0" w:color="auto"/>
                <w:right w:val="none" w:sz="0" w:space="0" w:color="auto"/>
              </w:divBdr>
            </w:div>
            <w:div w:id="1196314430">
              <w:marLeft w:val="0"/>
              <w:marRight w:val="0"/>
              <w:marTop w:val="0"/>
              <w:marBottom w:val="0"/>
              <w:divBdr>
                <w:top w:val="none" w:sz="0" w:space="0" w:color="auto"/>
                <w:left w:val="none" w:sz="0" w:space="0" w:color="auto"/>
                <w:bottom w:val="none" w:sz="0" w:space="0" w:color="auto"/>
                <w:right w:val="none" w:sz="0" w:space="0" w:color="auto"/>
              </w:divBdr>
            </w:div>
          </w:divsChild>
        </w:div>
        <w:div w:id="1278100296">
          <w:marLeft w:val="0"/>
          <w:marRight w:val="0"/>
          <w:marTop w:val="0"/>
          <w:marBottom w:val="0"/>
          <w:divBdr>
            <w:top w:val="none" w:sz="0" w:space="0" w:color="auto"/>
            <w:left w:val="none" w:sz="0" w:space="0" w:color="auto"/>
            <w:bottom w:val="none" w:sz="0" w:space="0" w:color="auto"/>
            <w:right w:val="none" w:sz="0" w:space="0" w:color="auto"/>
          </w:divBdr>
          <w:divsChild>
            <w:div w:id="494995505">
              <w:marLeft w:val="0"/>
              <w:marRight w:val="0"/>
              <w:marTop w:val="0"/>
              <w:marBottom w:val="0"/>
              <w:divBdr>
                <w:top w:val="none" w:sz="0" w:space="0" w:color="auto"/>
                <w:left w:val="none" w:sz="0" w:space="0" w:color="auto"/>
                <w:bottom w:val="none" w:sz="0" w:space="0" w:color="auto"/>
                <w:right w:val="none" w:sz="0" w:space="0" w:color="auto"/>
              </w:divBdr>
            </w:div>
            <w:div w:id="847720128">
              <w:marLeft w:val="0"/>
              <w:marRight w:val="0"/>
              <w:marTop w:val="0"/>
              <w:marBottom w:val="0"/>
              <w:divBdr>
                <w:top w:val="none" w:sz="0" w:space="0" w:color="auto"/>
                <w:left w:val="none" w:sz="0" w:space="0" w:color="auto"/>
                <w:bottom w:val="none" w:sz="0" w:space="0" w:color="auto"/>
                <w:right w:val="none" w:sz="0" w:space="0" w:color="auto"/>
              </w:divBdr>
            </w:div>
            <w:div w:id="1923295576">
              <w:marLeft w:val="0"/>
              <w:marRight w:val="0"/>
              <w:marTop w:val="0"/>
              <w:marBottom w:val="0"/>
              <w:divBdr>
                <w:top w:val="none" w:sz="0" w:space="0" w:color="auto"/>
                <w:left w:val="none" w:sz="0" w:space="0" w:color="auto"/>
                <w:bottom w:val="none" w:sz="0" w:space="0" w:color="auto"/>
                <w:right w:val="none" w:sz="0" w:space="0" w:color="auto"/>
              </w:divBdr>
            </w:div>
          </w:divsChild>
        </w:div>
        <w:div w:id="1376927258">
          <w:marLeft w:val="0"/>
          <w:marRight w:val="0"/>
          <w:marTop w:val="0"/>
          <w:marBottom w:val="0"/>
          <w:divBdr>
            <w:top w:val="none" w:sz="0" w:space="0" w:color="auto"/>
            <w:left w:val="none" w:sz="0" w:space="0" w:color="auto"/>
            <w:bottom w:val="none" w:sz="0" w:space="0" w:color="auto"/>
            <w:right w:val="none" w:sz="0" w:space="0" w:color="auto"/>
          </w:divBdr>
          <w:divsChild>
            <w:div w:id="903836919">
              <w:marLeft w:val="0"/>
              <w:marRight w:val="0"/>
              <w:marTop w:val="0"/>
              <w:marBottom w:val="0"/>
              <w:divBdr>
                <w:top w:val="none" w:sz="0" w:space="0" w:color="auto"/>
                <w:left w:val="none" w:sz="0" w:space="0" w:color="auto"/>
                <w:bottom w:val="none" w:sz="0" w:space="0" w:color="auto"/>
                <w:right w:val="none" w:sz="0" w:space="0" w:color="auto"/>
              </w:divBdr>
            </w:div>
          </w:divsChild>
        </w:div>
        <w:div w:id="1621492998">
          <w:marLeft w:val="0"/>
          <w:marRight w:val="0"/>
          <w:marTop w:val="0"/>
          <w:marBottom w:val="0"/>
          <w:divBdr>
            <w:top w:val="none" w:sz="0" w:space="0" w:color="auto"/>
            <w:left w:val="none" w:sz="0" w:space="0" w:color="auto"/>
            <w:bottom w:val="none" w:sz="0" w:space="0" w:color="auto"/>
            <w:right w:val="none" w:sz="0" w:space="0" w:color="auto"/>
          </w:divBdr>
          <w:divsChild>
            <w:div w:id="29956287">
              <w:marLeft w:val="0"/>
              <w:marRight w:val="0"/>
              <w:marTop w:val="0"/>
              <w:marBottom w:val="0"/>
              <w:divBdr>
                <w:top w:val="none" w:sz="0" w:space="0" w:color="auto"/>
                <w:left w:val="none" w:sz="0" w:space="0" w:color="auto"/>
                <w:bottom w:val="none" w:sz="0" w:space="0" w:color="auto"/>
                <w:right w:val="none" w:sz="0" w:space="0" w:color="auto"/>
              </w:divBdr>
            </w:div>
          </w:divsChild>
        </w:div>
        <w:div w:id="1654483984">
          <w:marLeft w:val="0"/>
          <w:marRight w:val="0"/>
          <w:marTop w:val="0"/>
          <w:marBottom w:val="0"/>
          <w:divBdr>
            <w:top w:val="none" w:sz="0" w:space="0" w:color="auto"/>
            <w:left w:val="none" w:sz="0" w:space="0" w:color="auto"/>
            <w:bottom w:val="none" w:sz="0" w:space="0" w:color="auto"/>
            <w:right w:val="none" w:sz="0" w:space="0" w:color="auto"/>
          </w:divBdr>
          <w:divsChild>
            <w:div w:id="802767275">
              <w:marLeft w:val="0"/>
              <w:marRight w:val="0"/>
              <w:marTop w:val="0"/>
              <w:marBottom w:val="0"/>
              <w:divBdr>
                <w:top w:val="none" w:sz="0" w:space="0" w:color="auto"/>
                <w:left w:val="none" w:sz="0" w:space="0" w:color="auto"/>
                <w:bottom w:val="none" w:sz="0" w:space="0" w:color="auto"/>
                <w:right w:val="none" w:sz="0" w:space="0" w:color="auto"/>
              </w:divBdr>
            </w:div>
          </w:divsChild>
        </w:div>
        <w:div w:id="1753501845">
          <w:marLeft w:val="0"/>
          <w:marRight w:val="0"/>
          <w:marTop w:val="0"/>
          <w:marBottom w:val="0"/>
          <w:divBdr>
            <w:top w:val="none" w:sz="0" w:space="0" w:color="auto"/>
            <w:left w:val="none" w:sz="0" w:space="0" w:color="auto"/>
            <w:bottom w:val="none" w:sz="0" w:space="0" w:color="auto"/>
            <w:right w:val="none" w:sz="0" w:space="0" w:color="auto"/>
          </w:divBdr>
          <w:divsChild>
            <w:div w:id="1809736807">
              <w:marLeft w:val="0"/>
              <w:marRight w:val="0"/>
              <w:marTop w:val="0"/>
              <w:marBottom w:val="0"/>
              <w:divBdr>
                <w:top w:val="none" w:sz="0" w:space="0" w:color="auto"/>
                <w:left w:val="none" w:sz="0" w:space="0" w:color="auto"/>
                <w:bottom w:val="none" w:sz="0" w:space="0" w:color="auto"/>
                <w:right w:val="none" w:sz="0" w:space="0" w:color="auto"/>
              </w:divBdr>
            </w:div>
          </w:divsChild>
        </w:div>
        <w:div w:id="1802730525">
          <w:marLeft w:val="0"/>
          <w:marRight w:val="0"/>
          <w:marTop w:val="0"/>
          <w:marBottom w:val="0"/>
          <w:divBdr>
            <w:top w:val="none" w:sz="0" w:space="0" w:color="auto"/>
            <w:left w:val="none" w:sz="0" w:space="0" w:color="auto"/>
            <w:bottom w:val="none" w:sz="0" w:space="0" w:color="auto"/>
            <w:right w:val="none" w:sz="0" w:space="0" w:color="auto"/>
          </w:divBdr>
          <w:divsChild>
            <w:div w:id="2146383435">
              <w:marLeft w:val="0"/>
              <w:marRight w:val="0"/>
              <w:marTop w:val="0"/>
              <w:marBottom w:val="0"/>
              <w:divBdr>
                <w:top w:val="none" w:sz="0" w:space="0" w:color="auto"/>
                <w:left w:val="none" w:sz="0" w:space="0" w:color="auto"/>
                <w:bottom w:val="none" w:sz="0" w:space="0" w:color="auto"/>
                <w:right w:val="none" w:sz="0" w:space="0" w:color="auto"/>
              </w:divBdr>
            </w:div>
          </w:divsChild>
        </w:div>
        <w:div w:id="1856770304">
          <w:marLeft w:val="0"/>
          <w:marRight w:val="0"/>
          <w:marTop w:val="0"/>
          <w:marBottom w:val="0"/>
          <w:divBdr>
            <w:top w:val="none" w:sz="0" w:space="0" w:color="auto"/>
            <w:left w:val="none" w:sz="0" w:space="0" w:color="auto"/>
            <w:bottom w:val="none" w:sz="0" w:space="0" w:color="auto"/>
            <w:right w:val="none" w:sz="0" w:space="0" w:color="auto"/>
          </w:divBdr>
          <w:divsChild>
            <w:div w:id="432701171">
              <w:marLeft w:val="0"/>
              <w:marRight w:val="0"/>
              <w:marTop w:val="0"/>
              <w:marBottom w:val="0"/>
              <w:divBdr>
                <w:top w:val="none" w:sz="0" w:space="0" w:color="auto"/>
                <w:left w:val="none" w:sz="0" w:space="0" w:color="auto"/>
                <w:bottom w:val="none" w:sz="0" w:space="0" w:color="auto"/>
                <w:right w:val="none" w:sz="0" w:space="0" w:color="auto"/>
              </w:divBdr>
            </w:div>
          </w:divsChild>
        </w:div>
        <w:div w:id="2116359893">
          <w:marLeft w:val="0"/>
          <w:marRight w:val="0"/>
          <w:marTop w:val="0"/>
          <w:marBottom w:val="0"/>
          <w:divBdr>
            <w:top w:val="none" w:sz="0" w:space="0" w:color="auto"/>
            <w:left w:val="none" w:sz="0" w:space="0" w:color="auto"/>
            <w:bottom w:val="none" w:sz="0" w:space="0" w:color="auto"/>
            <w:right w:val="none" w:sz="0" w:space="0" w:color="auto"/>
          </w:divBdr>
          <w:divsChild>
            <w:div w:id="1181235407">
              <w:marLeft w:val="0"/>
              <w:marRight w:val="0"/>
              <w:marTop w:val="0"/>
              <w:marBottom w:val="0"/>
              <w:divBdr>
                <w:top w:val="none" w:sz="0" w:space="0" w:color="auto"/>
                <w:left w:val="none" w:sz="0" w:space="0" w:color="auto"/>
                <w:bottom w:val="none" w:sz="0" w:space="0" w:color="auto"/>
                <w:right w:val="none" w:sz="0" w:space="0" w:color="auto"/>
              </w:divBdr>
            </w:div>
            <w:div w:id="1211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71406">
      <w:bodyDiv w:val="1"/>
      <w:marLeft w:val="0"/>
      <w:marRight w:val="0"/>
      <w:marTop w:val="0"/>
      <w:marBottom w:val="0"/>
      <w:divBdr>
        <w:top w:val="none" w:sz="0" w:space="0" w:color="auto"/>
        <w:left w:val="none" w:sz="0" w:space="0" w:color="auto"/>
        <w:bottom w:val="none" w:sz="0" w:space="0" w:color="auto"/>
        <w:right w:val="none" w:sz="0" w:space="0" w:color="auto"/>
      </w:divBdr>
    </w:div>
    <w:div w:id="1203517141">
      <w:bodyDiv w:val="1"/>
      <w:marLeft w:val="0"/>
      <w:marRight w:val="0"/>
      <w:marTop w:val="0"/>
      <w:marBottom w:val="0"/>
      <w:divBdr>
        <w:top w:val="none" w:sz="0" w:space="0" w:color="auto"/>
        <w:left w:val="none" w:sz="0" w:space="0" w:color="auto"/>
        <w:bottom w:val="none" w:sz="0" w:space="0" w:color="auto"/>
        <w:right w:val="none" w:sz="0" w:space="0" w:color="auto"/>
      </w:divBdr>
    </w:div>
    <w:div w:id="1229801611">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404717760">
      <w:bodyDiv w:val="1"/>
      <w:marLeft w:val="0"/>
      <w:marRight w:val="0"/>
      <w:marTop w:val="0"/>
      <w:marBottom w:val="0"/>
      <w:divBdr>
        <w:top w:val="none" w:sz="0" w:space="0" w:color="auto"/>
        <w:left w:val="none" w:sz="0" w:space="0" w:color="auto"/>
        <w:bottom w:val="none" w:sz="0" w:space="0" w:color="auto"/>
        <w:right w:val="none" w:sz="0" w:space="0" w:color="auto"/>
      </w:divBdr>
    </w:div>
    <w:div w:id="1433890184">
      <w:bodyDiv w:val="1"/>
      <w:marLeft w:val="0"/>
      <w:marRight w:val="0"/>
      <w:marTop w:val="0"/>
      <w:marBottom w:val="0"/>
      <w:divBdr>
        <w:top w:val="none" w:sz="0" w:space="0" w:color="auto"/>
        <w:left w:val="none" w:sz="0" w:space="0" w:color="auto"/>
        <w:bottom w:val="none" w:sz="0" w:space="0" w:color="auto"/>
        <w:right w:val="none" w:sz="0" w:space="0" w:color="auto"/>
      </w:divBdr>
      <w:divsChild>
        <w:div w:id="1331132497">
          <w:marLeft w:val="274"/>
          <w:marRight w:val="0"/>
          <w:marTop w:val="0"/>
          <w:marBottom w:val="120"/>
          <w:divBdr>
            <w:top w:val="none" w:sz="0" w:space="0" w:color="auto"/>
            <w:left w:val="none" w:sz="0" w:space="0" w:color="auto"/>
            <w:bottom w:val="none" w:sz="0" w:space="0" w:color="auto"/>
            <w:right w:val="none" w:sz="0" w:space="0" w:color="auto"/>
          </w:divBdr>
        </w:div>
      </w:divsChild>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57723290">
      <w:bodyDiv w:val="1"/>
      <w:marLeft w:val="0"/>
      <w:marRight w:val="0"/>
      <w:marTop w:val="0"/>
      <w:marBottom w:val="0"/>
      <w:divBdr>
        <w:top w:val="none" w:sz="0" w:space="0" w:color="auto"/>
        <w:left w:val="none" w:sz="0" w:space="0" w:color="auto"/>
        <w:bottom w:val="none" w:sz="0" w:space="0" w:color="auto"/>
        <w:right w:val="none" w:sz="0" w:space="0" w:color="auto"/>
      </w:divBdr>
    </w:div>
    <w:div w:id="1462502475">
      <w:bodyDiv w:val="1"/>
      <w:marLeft w:val="0"/>
      <w:marRight w:val="0"/>
      <w:marTop w:val="0"/>
      <w:marBottom w:val="0"/>
      <w:divBdr>
        <w:top w:val="none" w:sz="0" w:space="0" w:color="auto"/>
        <w:left w:val="none" w:sz="0" w:space="0" w:color="auto"/>
        <w:bottom w:val="none" w:sz="0" w:space="0" w:color="auto"/>
        <w:right w:val="none" w:sz="0" w:space="0" w:color="auto"/>
      </w:divBdr>
    </w:div>
    <w:div w:id="1488013308">
      <w:bodyDiv w:val="1"/>
      <w:marLeft w:val="0"/>
      <w:marRight w:val="0"/>
      <w:marTop w:val="0"/>
      <w:marBottom w:val="0"/>
      <w:divBdr>
        <w:top w:val="none" w:sz="0" w:space="0" w:color="auto"/>
        <w:left w:val="none" w:sz="0" w:space="0" w:color="auto"/>
        <w:bottom w:val="none" w:sz="0" w:space="0" w:color="auto"/>
        <w:right w:val="none" w:sz="0" w:space="0" w:color="auto"/>
      </w:divBdr>
    </w:div>
    <w:div w:id="1497921192">
      <w:bodyDiv w:val="1"/>
      <w:marLeft w:val="0"/>
      <w:marRight w:val="0"/>
      <w:marTop w:val="0"/>
      <w:marBottom w:val="0"/>
      <w:divBdr>
        <w:top w:val="none" w:sz="0" w:space="0" w:color="auto"/>
        <w:left w:val="none" w:sz="0" w:space="0" w:color="auto"/>
        <w:bottom w:val="none" w:sz="0" w:space="0" w:color="auto"/>
        <w:right w:val="none" w:sz="0" w:space="0" w:color="auto"/>
      </w:divBdr>
    </w:div>
    <w:div w:id="1498768471">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526794991">
      <w:bodyDiv w:val="1"/>
      <w:marLeft w:val="0"/>
      <w:marRight w:val="0"/>
      <w:marTop w:val="0"/>
      <w:marBottom w:val="0"/>
      <w:divBdr>
        <w:top w:val="none" w:sz="0" w:space="0" w:color="auto"/>
        <w:left w:val="none" w:sz="0" w:space="0" w:color="auto"/>
        <w:bottom w:val="none" w:sz="0" w:space="0" w:color="auto"/>
        <w:right w:val="none" w:sz="0" w:space="0" w:color="auto"/>
      </w:divBdr>
    </w:div>
    <w:div w:id="1533106448">
      <w:bodyDiv w:val="1"/>
      <w:marLeft w:val="0"/>
      <w:marRight w:val="0"/>
      <w:marTop w:val="0"/>
      <w:marBottom w:val="0"/>
      <w:divBdr>
        <w:top w:val="none" w:sz="0" w:space="0" w:color="auto"/>
        <w:left w:val="none" w:sz="0" w:space="0" w:color="auto"/>
        <w:bottom w:val="none" w:sz="0" w:space="0" w:color="auto"/>
        <w:right w:val="none" w:sz="0" w:space="0" w:color="auto"/>
      </w:divBdr>
    </w:div>
    <w:div w:id="1593902404">
      <w:bodyDiv w:val="1"/>
      <w:marLeft w:val="0"/>
      <w:marRight w:val="0"/>
      <w:marTop w:val="0"/>
      <w:marBottom w:val="0"/>
      <w:divBdr>
        <w:top w:val="none" w:sz="0" w:space="0" w:color="auto"/>
        <w:left w:val="none" w:sz="0" w:space="0" w:color="auto"/>
        <w:bottom w:val="none" w:sz="0" w:space="0" w:color="auto"/>
        <w:right w:val="none" w:sz="0" w:space="0" w:color="auto"/>
      </w:divBdr>
    </w:div>
    <w:div w:id="1619146200">
      <w:bodyDiv w:val="1"/>
      <w:marLeft w:val="0"/>
      <w:marRight w:val="0"/>
      <w:marTop w:val="0"/>
      <w:marBottom w:val="0"/>
      <w:divBdr>
        <w:top w:val="none" w:sz="0" w:space="0" w:color="auto"/>
        <w:left w:val="none" w:sz="0" w:space="0" w:color="auto"/>
        <w:bottom w:val="none" w:sz="0" w:space="0" w:color="auto"/>
        <w:right w:val="none" w:sz="0" w:space="0" w:color="auto"/>
      </w:divBdr>
    </w:div>
    <w:div w:id="1621107013">
      <w:bodyDiv w:val="1"/>
      <w:marLeft w:val="0"/>
      <w:marRight w:val="0"/>
      <w:marTop w:val="0"/>
      <w:marBottom w:val="0"/>
      <w:divBdr>
        <w:top w:val="none" w:sz="0" w:space="0" w:color="auto"/>
        <w:left w:val="none" w:sz="0" w:space="0" w:color="auto"/>
        <w:bottom w:val="none" w:sz="0" w:space="0" w:color="auto"/>
        <w:right w:val="none" w:sz="0" w:space="0" w:color="auto"/>
      </w:divBdr>
    </w:div>
    <w:div w:id="1621719380">
      <w:bodyDiv w:val="1"/>
      <w:marLeft w:val="0"/>
      <w:marRight w:val="0"/>
      <w:marTop w:val="0"/>
      <w:marBottom w:val="0"/>
      <w:divBdr>
        <w:top w:val="none" w:sz="0" w:space="0" w:color="auto"/>
        <w:left w:val="none" w:sz="0" w:space="0" w:color="auto"/>
        <w:bottom w:val="none" w:sz="0" w:space="0" w:color="auto"/>
        <w:right w:val="none" w:sz="0" w:space="0" w:color="auto"/>
      </w:divBdr>
      <w:divsChild>
        <w:div w:id="1591505247">
          <w:marLeft w:val="0"/>
          <w:marRight w:val="0"/>
          <w:marTop w:val="0"/>
          <w:marBottom w:val="0"/>
          <w:divBdr>
            <w:top w:val="none" w:sz="0" w:space="0" w:color="auto"/>
            <w:left w:val="none" w:sz="0" w:space="0" w:color="auto"/>
            <w:bottom w:val="none" w:sz="0" w:space="0" w:color="auto"/>
            <w:right w:val="none" w:sz="0" w:space="0" w:color="auto"/>
          </w:divBdr>
        </w:div>
      </w:divsChild>
    </w:div>
    <w:div w:id="1628318101">
      <w:bodyDiv w:val="1"/>
      <w:marLeft w:val="0"/>
      <w:marRight w:val="0"/>
      <w:marTop w:val="0"/>
      <w:marBottom w:val="0"/>
      <w:divBdr>
        <w:top w:val="none" w:sz="0" w:space="0" w:color="auto"/>
        <w:left w:val="none" w:sz="0" w:space="0" w:color="auto"/>
        <w:bottom w:val="none" w:sz="0" w:space="0" w:color="auto"/>
        <w:right w:val="none" w:sz="0" w:space="0" w:color="auto"/>
      </w:divBdr>
    </w:div>
    <w:div w:id="1636595017">
      <w:bodyDiv w:val="1"/>
      <w:marLeft w:val="0"/>
      <w:marRight w:val="0"/>
      <w:marTop w:val="0"/>
      <w:marBottom w:val="0"/>
      <w:divBdr>
        <w:top w:val="none" w:sz="0" w:space="0" w:color="auto"/>
        <w:left w:val="none" w:sz="0" w:space="0" w:color="auto"/>
        <w:bottom w:val="none" w:sz="0" w:space="0" w:color="auto"/>
        <w:right w:val="none" w:sz="0" w:space="0" w:color="auto"/>
      </w:divBdr>
    </w:div>
    <w:div w:id="1649935562">
      <w:bodyDiv w:val="1"/>
      <w:marLeft w:val="0"/>
      <w:marRight w:val="0"/>
      <w:marTop w:val="0"/>
      <w:marBottom w:val="0"/>
      <w:divBdr>
        <w:top w:val="none" w:sz="0" w:space="0" w:color="auto"/>
        <w:left w:val="none" w:sz="0" w:space="0" w:color="auto"/>
        <w:bottom w:val="none" w:sz="0" w:space="0" w:color="auto"/>
        <w:right w:val="none" w:sz="0" w:space="0" w:color="auto"/>
      </w:divBdr>
    </w:div>
    <w:div w:id="1667631437">
      <w:bodyDiv w:val="1"/>
      <w:marLeft w:val="0"/>
      <w:marRight w:val="0"/>
      <w:marTop w:val="0"/>
      <w:marBottom w:val="0"/>
      <w:divBdr>
        <w:top w:val="none" w:sz="0" w:space="0" w:color="auto"/>
        <w:left w:val="none" w:sz="0" w:space="0" w:color="auto"/>
        <w:bottom w:val="none" w:sz="0" w:space="0" w:color="auto"/>
        <w:right w:val="none" w:sz="0" w:space="0" w:color="auto"/>
      </w:divBdr>
    </w:div>
    <w:div w:id="1685521894">
      <w:bodyDiv w:val="1"/>
      <w:marLeft w:val="0"/>
      <w:marRight w:val="0"/>
      <w:marTop w:val="0"/>
      <w:marBottom w:val="0"/>
      <w:divBdr>
        <w:top w:val="none" w:sz="0" w:space="0" w:color="auto"/>
        <w:left w:val="none" w:sz="0" w:space="0" w:color="auto"/>
        <w:bottom w:val="none" w:sz="0" w:space="0" w:color="auto"/>
        <w:right w:val="none" w:sz="0" w:space="0" w:color="auto"/>
      </w:divBdr>
    </w:div>
    <w:div w:id="1686512409">
      <w:bodyDiv w:val="1"/>
      <w:marLeft w:val="0"/>
      <w:marRight w:val="0"/>
      <w:marTop w:val="0"/>
      <w:marBottom w:val="0"/>
      <w:divBdr>
        <w:top w:val="none" w:sz="0" w:space="0" w:color="auto"/>
        <w:left w:val="none" w:sz="0" w:space="0" w:color="auto"/>
        <w:bottom w:val="none" w:sz="0" w:space="0" w:color="auto"/>
        <w:right w:val="none" w:sz="0" w:space="0" w:color="auto"/>
      </w:divBdr>
    </w:div>
    <w:div w:id="1718044552">
      <w:bodyDiv w:val="1"/>
      <w:marLeft w:val="0"/>
      <w:marRight w:val="0"/>
      <w:marTop w:val="0"/>
      <w:marBottom w:val="0"/>
      <w:divBdr>
        <w:top w:val="none" w:sz="0" w:space="0" w:color="auto"/>
        <w:left w:val="none" w:sz="0" w:space="0" w:color="auto"/>
        <w:bottom w:val="none" w:sz="0" w:space="0" w:color="auto"/>
        <w:right w:val="none" w:sz="0" w:space="0" w:color="auto"/>
      </w:divBdr>
      <w:divsChild>
        <w:div w:id="823358014">
          <w:marLeft w:val="1642"/>
          <w:marRight w:val="0"/>
          <w:marTop w:val="50"/>
          <w:marBottom w:val="0"/>
          <w:divBdr>
            <w:top w:val="none" w:sz="0" w:space="0" w:color="auto"/>
            <w:left w:val="none" w:sz="0" w:space="0" w:color="auto"/>
            <w:bottom w:val="none" w:sz="0" w:space="0" w:color="auto"/>
            <w:right w:val="none" w:sz="0" w:space="0" w:color="auto"/>
          </w:divBdr>
        </w:div>
        <w:div w:id="1128744947">
          <w:marLeft w:val="677"/>
          <w:marRight w:val="0"/>
          <w:marTop w:val="50"/>
          <w:marBottom w:val="0"/>
          <w:divBdr>
            <w:top w:val="none" w:sz="0" w:space="0" w:color="auto"/>
            <w:left w:val="none" w:sz="0" w:space="0" w:color="auto"/>
            <w:bottom w:val="none" w:sz="0" w:space="0" w:color="auto"/>
            <w:right w:val="none" w:sz="0" w:space="0" w:color="auto"/>
          </w:divBdr>
        </w:div>
      </w:divsChild>
    </w:div>
    <w:div w:id="1762028132">
      <w:bodyDiv w:val="1"/>
      <w:marLeft w:val="0"/>
      <w:marRight w:val="0"/>
      <w:marTop w:val="0"/>
      <w:marBottom w:val="0"/>
      <w:divBdr>
        <w:top w:val="none" w:sz="0" w:space="0" w:color="auto"/>
        <w:left w:val="none" w:sz="0" w:space="0" w:color="auto"/>
        <w:bottom w:val="none" w:sz="0" w:space="0" w:color="auto"/>
        <w:right w:val="none" w:sz="0" w:space="0" w:color="auto"/>
      </w:divBdr>
      <w:divsChild>
        <w:div w:id="989600305">
          <w:marLeft w:val="274"/>
          <w:marRight w:val="0"/>
          <w:marTop w:val="0"/>
          <w:marBottom w:val="120"/>
          <w:divBdr>
            <w:top w:val="none" w:sz="0" w:space="0" w:color="auto"/>
            <w:left w:val="none" w:sz="0" w:space="0" w:color="auto"/>
            <w:bottom w:val="none" w:sz="0" w:space="0" w:color="auto"/>
            <w:right w:val="none" w:sz="0" w:space="0" w:color="auto"/>
          </w:divBdr>
        </w:div>
      </w:divsChild>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1810128610">
      <w:bodyDiv w:val="1"/>
      <w:marLeft w:val="0"/>
      <w:marRight w:val="0"/>
      <w:marTop w:val="0"/>
      <w:marBottom w:val="0"/>
      <w:divBdr>
        <w:top w:val="none" w:sz="0" w:space="0" w:color="auto"/>
        <w:left w:val="none" w:sz="0" w:space="0" w:color="auto"/>
        <w:bottom w:val="none" w:sz="0" w:space="0" w:color="auto"/>
        <w:right w:val="none" w:sz="0" w:space="0" w:color="auto"/>
      </w:divBdr>
    </w:div>
    <w:div w:id="1817602892">
      <w:bodyDiv w:val="1"/>
      <w:marLeft w:val="0"/>
      <w:marRight w:val="0"/>
      <w:marTop w:val="0"/>
      <w:marBottom w:val="0"/>
      <w:divBdr>
        <w:top w:val="none" w:sz="0" w:space="0" w:color="auto"/>
        <w:left w:val="none" w:sz="0" w:space="0" w:color="auto"/>
        <w:bottom w:val="none" w:sz="0" w:space="0" w:color="auto"/>
        <w:right w:val="none" w:sz="0" w:space="0" w:color="auto"/>
      </w:divBdr>
    </w:div>
    <w:div w:id="1826436141">
      <w:bodyDiv w:val="1"/>
      <w:marLeft w:val="0"/>
      <w:marRight w:val="0"/>
      <w:marTop w:val="0"/>
      <w:marBottom w:val="0"/>
      <w:divBdr>
        <w:top w:val="none" w:sz="0" w:space="0" w:color="auto"/>
        <w:left w:val="none" w:sz="0" w:space="0" w:color="auto"/>
        <w:bottom w:val="none" w:sz="0" w:space="0" w:color="auto"/>
        <w:right w:val="none" w:sz="0" w:space="0" w:color="auto"/>
      </w:divBdr>
    </w:div>
    <w:div w:id="1856384530">
      <w:bodyDiv w:val="1"/>
      <w:marLeft w:val="0"/>
      <w:marRight w:val="0"/>
      <w:marTop w:val="0"/>
      <w:marBottom w:val="0"/>
      <w:divBdr>
        <w:top w:val="none" w:sz="0" w:space="0" w:color="auto"/>
        <w:left w:val="none" w:sz="0" w:space="0" w:color="auto"/>
        <w:bottom w:val="none" w:sz="0" w:space="0" w:color="auto"/>
        <w:right w:val="none" w:sz="0" w:space="0" w:color="auto"/>
      </w:divBdr>
    </w:div>
    <w:div w:id="1858887610">
      <w:bodyDiv w:val="1"/>
      <w:marLeft w:val="0"/>
      <w:marRight w:val="0"/>
      <w:marTop w:val="0"/>
      <w:marBottom w:val="0"/>
      <w:divBdr>
        <w:top w:val="none" w:sz="0" w:space="0" w:color="auto"/>
        <w:left w:val="none" w:sz="0" w:space="0" w:color="auto"/>
        <w:bottom w:val="none" w:sz="0" w:space="0" w:color="auto"/>
        <w:right w:val="none" w:sz="0" w:space="0" w:color="auto"/>
      </w:divBdr>
    </w:div>
    <w:div w:id="1886680287">
      <w:bodyDiv w:val="1"/>
      <w:marLeft w:val="0"/>
      <w:marRight w:val="0"/>
      <w:marTop w:val="0"/>
      <w:marBottom w:val="0"/>
      <w:divBdr>
        <w:top w:val="none" w:sz="0" w:space="0" w:color="auto"/>
        <w:left w:val="none" w:sz="0" w:space="0" w:color="auto"/>
        <w:bottom w:val="none" w:sz="0" w:space="0" w:color="auto"/>
        <w:right w:val="none" w:sz="0" w:space="0" w:color="auto"/>
      </w:divBdr>
    </w:div>
    <w:div w:id="1913662602">
      <w:bodyDiv w:val="1"/>
      <w:marLeft w:val="0"/>
      <w:marRight w:val="0"/>
      <w:marTop w:val="0"/>
      <w:marBottom w:val="0"/>
      <w:divBdr>
        <w:top w:val="none" w:sz="0" w:space="0" w:color="auto"/>
        <w:left w:val="none" w:sz="0" w:space="0" w:color="auto"/>
        <w:bottom w:val="none" w:sz="0" w:space="0" w:color="auto"/>
        <w:right w:val="none" w:sz="0" w:space="0" w:color="auto"/>
      </w:divBdr>
      <w:divsChild>
        <w:div w:id="1985816910">
          <w:marLeft w:val="0"/>
          <w:marRight w:val="0"/>
          <w:marTop w:val="0"/>
          <w:marBottom w:val="0"/>
          <w:divBdr>
            <w:top w:val="none" w:sz="0" w:space="0" w:color="auto"/>
            <w:left w:val="none" w:sz="0" w:space="0" w:color="auto"/>
            <w:bottom w:val="none" w:sz="0" w:space="0" w:color="auto"/>
            <w:right w:val="none" w:sz="0" w:space="0" w:color="auto"/>
          </w:divBdr>
          <w:divsChild>
            <w:div w:id="6066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2559">
      <w:bodyDiv w:val="1"/>
      <w:marLeft w:val="0"/>
      <w:marRight w:val="0"/>
      <w:marTop w:val="0"/>
      <w:marBottom w:val="0"/>
      <w:divBdr>
        <w:top w:val="none" w:sz="0" w:space="0" w:color="auto"/>
        <w:left w:val="none" w:sz="0" w:space="0" w:color="auto"/>
        <w:bottom w:val="none" w:sz="0" w:space="0" w:color="auto"/>
        <w:right w:val="none" w:sz="0" w:space="0" w:color="auto"/>
      </w:divBdr>
    </w:div>
    <w:div w:id="1948779569">
      <w:bodyDiv w:val="1"/>
      <w:marLeft w:val="0"/>
      <w:marRight w:val="0"/>
      <w:marTop w:val="0"/>
      <w:marBottom w:val="0"/>
      <w:divBdr>
        <w:top w:val="none" w:sz="0" w:space="0" w:color="auto"/>
        <w:left w:val="none" w:sz="0" w:space="0" w:color="auto"/>
        <w:bottom w:val="none" w:sz="0" w:space="0" w:color="auto"/>
        <w:right w:val="none" w:sz="0" w:space="0" w:color="auto"/>
      </w:divBdr>
      <w:divsChild>
        <w:div w:id="1592935661">
          <w:marLeft w:val="0"/>
          <w:marRight w:val="0"/>
          <w:marTop w:val="0"/>
          <w:marBottom w:val="0"/>
          <w:divBdr>
            <w:top w:val="none" w:sz="0" w:space="0" w:color="auto"/>
            <w:left w:val="none" w:sz="0" w:space="0" w:color="auto"/>
            <w:bottom w:val="none" w:sz="0" w:space="0" w:color="auto"/>
            <w:right w:val="none" w:sz="0" w:space="0" w:color="auto"/>
          </w:divBdr>
          <w:divsChild>
            <w:div w:id="87242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6887">
      <w:bodyDiv w:val="1"/>
      <w:marLeft w:val="0"/>
      <w:marRight w:val="0"/>
      <w:marTop w:val="0"/>
      <w:marBottom w:val="0"/>
      <w:divBdr>
        <w:top w:val="none" w:sz="0" w:space="0" w:color="auto"/>
        <w:left w:val="none" w:sz="0" w:space="0" w:color="auto"/>
        <w:bottom w:val="none" w:sz="0" w:space="0" w:color="auto"/>
        <w:right w:val="none" w:sz="0" w:space="0" w:color="auto"/>
      </w:divBdr>
    </w:div>
    <w:div w:id="2005014451">
      <w:bodyDiv w:val="1"/>
      <w:marLeft w:val="0"/>
      <w:marRight w:val="0"/>
      <w:marTop w:val="0"/>
      <w:marBottom w:val="0"/>
      <w:divBdr>
        <w:top w:val="none" w:sz="0" w:space="0" w:color="auto"/>
        <w:left w:val="none" w:sz="0" w:space="0" w:color="auto"/>
        <w:bottom w:val="none" w:sz="0" w:space="0" w:color="auto"/>
        <w:right w:val="none" w:sz="0" w:space="0" w:color="auto"/>
      </w:divBdr>
    </w:div>
    <w:div w:id="2064329400">
      <w:bodyDiv w:val="1"/>
      <w:marLeft w:val="0"/>
      <w:marRight w:val="0"/>
      <w:marTop w:val="0"/>
      <w:marBottom w:val="0"/>
      <w:divBdr>
        <w:top w:val="none" w:sz="0" w:space="0" w:color="auto"/>
        <w:left w:val="none" w:sz="0" w:space="0" w:color="auto"/>
        <w:bottom w:val="none" w:sz="0" w:space="0" w:color="auto"/>
        <w:right w:val="none" w:sz="0" w:space="0" w:color="auto"/>
      </w:divBdr>
    </w:div>
    <w:div w:id="2086606689">
      <w:bodyDiv w:val="1"/>
      <w:marLeft w:val="0"/>
      <w:marRight w:val="0"/>
      <w:marTop w:val="0"/>
      <w:marBottom w:val="0"/>
      <w:divBdr>
        <w:top w:val="none" w:sz="0" w:space="0" w:color="auto"/>
        <w:left w:val="none" w:sz="0" w:space="0" w:color="auto"/>
        <w:bottom w:val="none" w:sz="0" w:space="0" w:color="auto"/>
        <w:right w:val="none" w:sz="0" w:space="0" w:color="auto"/>
      </w:divBdr>
    </w:div>
    <w:div w:id="2132550018">
      <w:bodyDiv w:val="1"/>
      <w:marLeft w:val="0"/>
      <w:marRight w:val="0"/>
      <w:marTop w:val="0"/>
      <w:marBottom w:val="0"/>
      <w:divBdr>
        <w:top w:val="none" w:sz="0" w:space="0" w:color="auto"/>
        <w:left w:val="none" w:sz="0" w:space="0" w:color="auto"/>
        <w:bottom w:val="none" w:sz="0" w:space="0" w:color="auto"/>
        <w:right w:val="none" w:sz="0" w:space="0" w:color="auto"/>
      </w:divBdr>
      <w:divsChild>
        <w:div w:id="454983532">
          <w:marLeft w:val="274"/>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5.xml"/><Relationship Id="rId21" Type="http://schemas.openxmlformats.org/officeDocument/2006/relationships/header" Target="header3.xml"/><Relationship Id="rId42" Type="http://schemas.openxmlformats.org/officeDocument/2006/relationships/image" Target="media/image12.emf"/><Relationship Id="rId63" Type="http://schemas.openxmlformats.org/officeDocument/2006/relationships/header" Target="header14.xml"/><Relationship Id="rId84" Type="http://schemas.openxmlformats.org/officeDocument/2006/relationships/image" Target="media/image50.emf"/><Relationship Id="rId138" Type="http://schemas.openxmlformats.org/officeDocument/2006/relationships/footer" Target="footer20.xml"/><Relationship Id="rId159" Type="http://schemas.openxmlformats.org/officeDocument/2006/relationships/hyperlink" Target="https://federalfinancialrelations.gov.au/sites/federalfinancialrelations.gov.au/files/2022-12/PRA%20Variation_compilation_All%20States.pdf" TargetMode="External"/><Relationship Id="rId170" Type="http://schemas.openxmlformats.org/officeDocument/2006/relationships/hyperlink" Target="https://www.servicesaustralia.gov.au/activity-test-for-child-care-subsidy-for-aboriginal-and-torres-strait-islander-children?context=41186" TargetMode="External"/><Relationship Id="rId191" Type="http://schemas.openxmlformats.org/officeDocument/2006/relationships/hyperlink" Target="https://www.legislation.gov.au/Details/F2022C00009" TargetMode="External"/><Relationship Id="rId205" Type="http://schemas.openxmlformats.org/officeDocument/2006/relationships/hyperlink" Target="https://www.niaa.gov.au/resource-centre/indigenous-affairs/national-aboriginal-and-torres-strait-islander-early-childhood-strategy" TargetMode="External"/><Relationship Id="rId226" Type="http://schemas.openxmlformats.org/officeDocument/2006/relationships/hyperlink" Target="https://www.education.gov.au/early-childhood/resources/measuring-vulnerability-and-disadvantage-early-childhood-data-collections" TargetMode="External"/><Relationship Id="rId107" Type="http://schemas.openxmlformats.org/officeDocument/2006/relationships/header" Target="header21.xml"/><Relationship Id="rId11" Type="http://schemas.openxmlformats.org/officeDocument/2006/relationships/footnotes" Target="footnotes.xml"/><Relationship Id="rId32" Type="http://schemas.openxmlformats.org/officeDocument/2006/relationships/header" Target="header10.xml"/><Relationship Id="rId53" Type="http://schemas.openxmlformats.org/officeDocument/2006/relationships/image" Target="media/image23.png"/><Relationship Id="rId74" Type="http://schemas.openxmlformats.org/officeDocument/2006/relationships/image" Target="media/image40.emf"/><Relationship Id="rId128" Type="http://schemas.openxmlformats.org/officeDocument/2006/relationships/image" Target="media/image72.emf"/><Relationship Id="rId149" Type="http://schemas.openxmlformats.org/officeDocument/2006/relationships/hyperlink" Target="https://www.education.gov.au/early-childhood/resources/community-child-care-fund-restricted-grants-guide-grant-recipients" TargetMode="External"/><Relationship Id="rId5" Type="http://schemas.openxmlformats.org/officeDocument/2006/relationships/customXml" Target="../customXml/item5.xml"/><Relationship Id="rId95" Type="http://schemas.openxmlformats.org/officeDocument/2006/relationships/image" Target="media/image55.emf"/><Relationship Id="rId160" Type="http://schemas.openxmlformats.org/officeDocument/2006/relationships/hyperlink" Target="https://www.education.gov.au/early-childhood/provider-obligations/collecting-gap-fees" TargetMode="External"/><Relationship Id="rId181" Type="http://schemas.openxmlformats.org/officeDocument/2006/relationships/hyperlink" Target="https://www.indigenous.gov.au/news-and-media/announcements/minister-scullion-backing-early-learning-and-care-disadvantaged" TargetMode="External"/><Relationship Id="rId216" Type="http://schemas.openxmlformats.org/officeDocument/2006/relationships/hyperlink" Target="https://www.pc.gov.au/inquiries/completed/closing-the-gap-review/report" TargetMode="External"/><Relationship Id="rId237" Type="http://schemas.openxmlformats.org/officeDocument/2006/relationships/fontTable" Target="fontTable.xml"/><Relationship Id="rId22" Type="http://schemas.openxmlformats.org/officeDocument/2006/relationships/footer" Target="footer2.xml"/><Relationship Id="rId43" Type="http://schemas.openxmlformats.org/officeDocument/2006/relationships/image" Target="media/image13.emf"/><Relationship Id="rId64" Type="http://schemas.openxmlformats.org/officeDocument/2006/relationships/header" Target="header15.xml"/><Relationship Id="rId118" Type="http://schemas.openxmlformats.org/officeDocument/2006/relationships/header" Target="header26.xml"/><Relationship Id="rId139" Type="http://schemas.openxmlformats.org/officeDocument/2006/relationships/hyperlink" Target="https://www.energy.gov.au/households/energy-rating" TargetMode="External"/><Relationship Id="rId85" Type="http://schemas.openxmlformats.org/officeDocument/2006/relationships/header" Target="header17.xml"/><Relationship Id="rId150" Type="http://schemas.openxmlformats.org/officeDocument/2006/relationships/hyperlink" Target="https://guides.dss.gov.au/family-assistance-guide/1/2/6" TargetMode="External"/><Relationship Id="rId171" Type="http://schemas.openxmlformats.org/officeDocument/2006/relationships/hyperlink" Target="https://aifs.gov.au/sites/default/files/2022-12/2021_child_care_package_evaluation_final_report.pdf" TargetMode="External"/><Relationship Id="rId192" Type="http://schemas.openxmlformats.org/officeDocument/2006/relationships/hyperlink" Target="https://www.legislation.gov.au/Details/F2022C00009" TargetMode="External"/><Relationship Id="rId206" Type="http://schemas.openxmlformats.org/officeDocument/2006/relationships/hyperlink" Target="https://www.niaa.gov.au/indigenous-affairs/grants-and-funding/indigenous-advancement-strategy" TargetMode="External"/><Relationship Id="rId227" Type="http://schemas.openxmlformats.org/officeDocument/2006/relationships/hyperlink" Target="https://www.qld.gov.au/law/laws-regulated-industries-and-accountability/queensland-laws-and-regulations/regulated-industries-and-licensing/fair-trading-enforcement/compliance-program" TargetMode="External"/><Relationship Id="rId12" Type="http://schemas.openxmlformats.org/officeDocument/2006/relationships/endnotes" Target="endnotes.xml"/><Relationship Id="rId33" Type="http://schemas.openxmlformats.org/officeDocument/2006/relationships/header" Target="header11.xml"/><Relationship Id="rId108" Type="http://schemas.openxmlformats.org/officeDocument/2006/relationships/footer" Target="footer10.xml"/><Relationship Id="rId129" Type="http://schemas.openxmlformats.org/officeDocument/2006/relationships/image" Target="media/image73.emf"/><Relationship Id="rId54" Type="http://schemas.openxmlformats.org/officeDocument/2006/relationships/image" Target="media/image24.emf"/><Relationship Id="rId75" Type="http://schemas.openxmlformats.org/officeDocument/2006/relationships/image" Target="media/image41.emf"/><Relationship Id="rId96" Type="http://schemas.openxmlformats.org/officeDocument/2006/relationships/image" Target="media/image56.emf"/><Relationship Id="rId140" Type="http://schemas.openxmlformats.org/officeDocument/2006/relationships/image" Target="media/image76.emf"/><Relationship Id="rId161" Type="http://schemas.openxmlformats.org/officeDocument/2006/relationships/hyperlink" Target="http://www.education.gov.au/early-childhood/provider-obligations/persons-management-or-control" TargetMode="External"/><Relationship Id="rId182" Type="http://schemas.openxmlformats.org/officeDocument/2006/relationships/hyperlink" Target="https://ihcsupportagency.org.au/wp-content/uploads/2019/07/ChildCareProviderHandbookV2.pdf" TargetMode="External"/><Relationship Id="rId217" Type="http://schemas.openxmlformats.org/officeDocument/2006/relationships/hyperlink" Target="https://www.ppic.org/wp-content/uploads/content/pubs/ffg/FF_1003TRFF.pdf" TargetMode="External"/><Relationship Id="rId6" Type="http://schemas.openxmlformats.org/officeDocument/2006/relationships/customXml" Target="../customXml/item6.xml"/><Relationship Id="rId238" Type="http://schemas.openxmlformats.org/officeDocument/2006/relationships/glossaryDocument" Target="glossary/document.xml"/><Relationship Id="rId23" Type="http://schemas.openxmlformats.org/officeDocument/2006/relationships/header" Target="header4.xml"/><Relationship Id="rId119" Type="http://schemas.openxmlformats.org/officeDocument/2006/relationships/footer" Target="footer16.xml"/><Relationship Id="rId44" Type="http://schemas.openxmlformats.org/officeDocument/2006/relationships/image" Target="media/image14.emf"/><Relationship Id="rId65" Type="http://schemas.openxmlformats.org/officeDocument/2006/relationships/footer" Target="footer6.xml"/><Relationship Id="rId86" Type="http://schemas.openxmlformats.org/officeDocument/2006/relationships/footer" Target="footer7.xml"/><Relationship Id="rId130" Type="http://schemas.openxmlformats.org/officeDocument/2006/relationships/image" Target="media/image74.emf"/><Relationship Id="rId151" Type="http://schemas.openxmlformats.org/officeDocument/2006/relationships/hyperlink" Target="http://www.closingthegap.gov.au" TargetMode="External"/><Relationship Id="rId172" Type="http://schemas.openxmlformats.org/officeDocument/2006/relationships/hyperlink" Target="https://www.aihw.gov.au/reports/children-youth/australias-children" TargetMode="External"/><Relationship Id="rId193" Type="http://schemas.openxmlformats.org/officeDocument/2006/relationships/hyperlink" Target="https://formerministers.dss.gov.au/15859/job-for-families-child-care-package-delivers-choice-for-families/" TargetMode="External"/><Relationship Id="rId207" Type="http://schemas.openxmlformats.org/officeDocument/2006/relationships/hyperlink" Target="http://www.ndisreview.gov.au" TargetMode="External"/><Relationship Id="rId228" Type="http://schemas.openxmlformats.org/officeDocument/2006/relationships/hyperlink" Target="https://eprints.lse.ac.uk/12761/1/Multi-criteria_Analysis.pdf" TargetMode="External"/><Relationship Id="rId13" Type="http://schemas.openxmlformats.org/officeDocument/2006/relationships/image" Target="media/image1.emf"/><Relationship Id="rId109" Type="http://schemas.openxmlformats.org/officeDocument/2006/relationships/footer" Target="footer11.xml"/><Relationship Id="rId34" Type="http://schemas.openxmlformats.org/officeDocument/2006/relationships/header" Target="header12.xml"/><Relationship Id="rId55" Type="http://schemas.openxmlformats.org/officeDocument/2006/relationships/image" Target="media/image25.emf"/><Relationship Id="rId76" Type="http://schemas.openxmlformats.org/officeDocument/2006/relationships/image" Target="media/image42.emf"/><Relationship Id="rId97" Type="http://schemas.openxmlformats.org/officeDocument/2006/relationships/image" Target="media/image57.emf"/><Relationship Id="rId120" Type="http://schemas.openxmlformats.org/officeDocument/2006/relationships/header" Target="header27.xml"/><Relationship Id="rId141" Type="http://schemas.openxmlformats.org/officeDocument/2006/relationships/hyperlink" Target="https://www.acecqa.gov.au/sites/default/files/2018-04/QA2-ActiveSupervisionEnsuringSafetyAndPromotingLearning_1.pdf" TargetMode="External"/><Relationship Id="rId7" Type="http://schemas.openxmlformats.org/officeDocument/2006/relationships/numbering" Target="numbering.xml"/><Relationship Id="rId162" Type="http://schemas.openxmlformats.org/officeDocument/2006/relationships/hyperlink" Target="https://www.education.gov.au/early-childhood/provider-obligations/persons-management-or-control/pmcs-organisation-type" TargetMode="External"/><Relationship Id="rId183" Type="http://schemas.openxmlformats.org/officeDocument/2006/relationships/hyperlink" Target="https://www.education.gov.au/early-childhood/provider-obligations/family-assistance-law" TargetMode="External"/><Relationship Id="rId218" Type="http://schemas.openxmlformats.org/officeDocument/2006/relationships/hyperlink" Target="https://www.esb.sa.gov.au/early-childhood/residual-services" TargetMode="External"/><Relationship Id="rId239" Type="http://schemas.openxmlformats.org/officeDocument/2006/relationships/theme" Target="theme/theme1.xml"/><Relationship Id="rId24" Type="http://schemas.openxmlformats.org/officeDocument/2006/relationships/header" Target="header5.xml"/><Relationship Id="rId45" Type="http://schemas.openxmlformats.org/officeDocument/2006/relationships/image" Target="media/image15.emf"/><Relationship Id="rId66" Type="http://schemas.openxmlformats.org/officeDocument/2006/relationships/header" Target="header16.xml"/><Relationship Id="rId87" Type="http://schemas.openxmlformats.org/officeDocument/2006/relationships/header" Target="header18.xml"/><Relationship Id="rId110" Type="http://schemas.openxmlformats.org/officeDocument/2006/relationships/header" Target="header22.xml"/><Relationship Id="rId131" Type="http://schemas.openxmlformats.org/officeDocument/2006/relationships/image" Target="media/image75.png"/><Relationship Id="rId152" Type="http://schemas.openxmlformats.org/officeDocument/2006/relationships/hyperlink" Target="https://www.closingthegap.gov.au/national-agreement/national-agreement-closing-the-gap" TargetMode="External"/><Relationship Id="rId173" Type="http://schemas.openxmlformats.org/officeDocument/2006/relationships/hyperlink" Target="https://aifs.gov.au/sites/default/files/2022-12/2021_child_care_package_evaluation_final_report.pdf" TargetMode="External"/><Relationship Id="rId194" Type="http://schemas.openxmlformats.org/officeDocument/2006/relationships/hyperlink" Target="https://thesector.com.au/2018/12/06/transition-pathways-for-budget-based-funded-services-revealed-through-senate-questions/" TargetMode="External"/><Relationship Id="rId208" Type="http://schemas.openxmlformats.org/officeDocument/2006/relationships/hyperlink" Target="https://education.nsw.gov.au/content/dam/main-education/early-childhood-education/regulation-and-compliance/The_Regulatory_Authoritys_Approach_to_Compliance.pdf" TargetMode="External"/><Relationship Id="rId229" Type="http://schemas.openxmlformats.org/officeDocument/2006/relationships/hyperlink" Target="https://www.acf.hhs.gov/ohs/about/head-start" TargetMode="External"/><Relationship Id="rId14" Type="http://schemas.openxmlformats.org/officeDocument/2006/relationships/image" Target="media/image2.emf"/><Relationship Id="rId35" Type="http://schemas.openxmlformats.org/officeDocument/2006/relationships/footer" Target="footer5.xml"/><Relationship Id="rId56" Type="http://schemas.openxmlformats.org/officeDocument/2006/relationships/image" Target="media/image26.emf"/><Relationship Id="rId77" Type="http://schemas.openxmlformats.org/officeDocument/2006/relationships/image" Target="media/image43.emf"/><Relationship Id="rId100" Type="http://schemas.openxmlformats.org/officeDocument/2006/relationships/image" Target="media/image60.emf"/><Relationship Id="rId8" Type="http://schemas.openxmlformats.org/officeDocument/2006/relationships/styles" Target="styles.xml"/><Relationship Id="rId98" Type="http://schemas.openxmlformats.org/officeDocument/2006/relationships/image" Target="media/image58.emf"/><Relationship Id="rId121" Type="http://schemas.openxmlformats.org/officeDocument/2006/relationships/footer" Target="footer17.xml"/><Relationship Id="rId142" Type="http://schemas.openxmlformats.org/officeDocument/2006/relationships/hyperlink" Target="https://www.acecqa.gov.au/nqf/about/guide" TargetMode="External"/><Relationship Id="rId163" Type="http://schemas.openxmlformats.org/officeDocument/2006/relationships/hyperlink" Target="https://www.grants.gov.au/Fo/DownloadDocument/e99c0c70-f434-c990-87d3-6ddebfa904f5?docType=Fo&amp;fileName=CCCF%20Restricted%20non-competitive%20grant%20opportunity%20guidelines%20%20311017.pdf&amp;location=s3Restricted" TargetMode="External"/><Relationship Id="rId184" Type="http://schemas.openxmlformats.org/officeDocument/2006/relationships/hyperlink" Target="https://www.education.gov.au/early-childhood/strategy-and-evaluation/national-vision-early-childhood-education-and-care" TargetMode="External"/><Relationship Id="rId219" Type="http://schemas.openxmlformats.org/officeDocument/2006/relationships/hyperlink" Target="https://www.servicesaustralia.gov.au/centrelink-customer-reference-number-crn?context=64107" TargetMode="External"/><Relationship Id="rId230" Type="http://schemas.openxmlformats.org/officeDocument/2006/relationships/hyperlink" Target="https://www.vic.gov.au/access-early-learning" TargetMode="External"/><Relationship Id="rId25" Type="http://schemas.openxmlformats.org/officeDocument/2006/relationships/header" Target="header6.xml"/><Relationship Id="rId46" Type="http://schemas.openxmlformats.org/officeDocument/2006/relationships/image" Target="media/image16.emf"/><Relationship Id="rId67" Type="http://schemas.openxmlformats.org/officeDocument/2006/relationships/image" Target="media/image33.emf"/><Relationship Id="rId88" Type="http://schemas.openxmlformats.org/officeDocument/2006/relationships/footer" Target="footer8.xml"/><Relationship Id="rId111" Type="http://schemas.openxmlformats.org/officeDocument/2006/relationships/footer" Target="footer12.xml"/><Relationship Id="rId132" Type="http://schemas.openxmlformats.org/officeDocument/2006/relationships/header" Target="header28.xml"/><Relationship Id="rId153" Type="http://schemas.openxmlformats.org/officeDocument/2006/relationships/hyperlink" Target="https://www.agedcarequality.gov.au/media/94534" TargetMode="External"/><Relationship Id="rId174" Type="http://schemas.openxmlformats.org/officeDocument/2006/relationships/hyperlink" Target="https://www.dss.gov.au/sites/default/files/documents/04_2022/cafis_1h_-_strengths-based_approaches.pdf" TargetMode="External"/><Relationship Id="rId195" Type="http://schemas.openxmlformats.org/officeDocument/2006/relationships/hyperlink" Target="https://www.canada.ca/en/public-health/services/child-infant-health/supports-programs-pregnancy/aboriginal-head-start-urban-northern-communities-ahsunc.html" TargetMode="External"/><Relationship Id="rId209" Type="http://schemas.openxmlformats.org/officeDocument/2006/relationships/hyperlink" Target="https://education.nsw.gov.au/early-childhood-education/operating-an-early-childhood-education-service/current-service-providers/making-services-accessible-for-all-children/aboriginal-access/cultural-safety-framework-consultation" TargetMode="External"/><Relationship Id="rId190" Type="http://schemas.openxmlformats.org/officeDocument/2006/relationships/hyperlink" Target="https://guides.dss.gov.au/family-assistance-guide/1/1/a/90" TargetMode="External"/><Relationship Id="rId204" Type="http://schemas.openxmlformats.org/officeDocument/2006/relationships/hyperlink" Target="http://www.niaa.gov.au" TargetMode="External"/><Relationship Id="rId220" Type="http://schemas.openxmlformats.org/officeDocument/2006/relationships/hyperlink" Target="https://my.gov.au/en/services/raising-kids/toddlers-and-preschoolers/payments-for-toddlers-and-preschoolers/child-care-subsidy" TargetMode="External"/><Relationship Id="rId225" Type="http://schemas.openxmlformats.org/officeDocument/2006/relationships/hyperlink" Target="https://www.health.harvard.edu/blog/eat-more-plants-fewer-animals-2018112915198" TargetMode="External"/><Relationship Id="rId15" Type="http://schemas.openxmlformats.org/officeDocument/2006/relationships/image" Target="media/image3.png"/><Relationship Id="rId36" Type="http://schemas.openxmlformats.org/officeDocument/2006/relationships/header" Target="header13.xml"/><Relationship Id="rId57" Type="http://schemas.openxmlformats.org/officeDocument/2006/relationships/image" Target="media/image27.emf"/><Relationship Id="rId106" Type="http://schemas.openxmlformats.org/officeDocument/2006/relationships/header" Target="header20.xml"/><Relationship Id="rId127" Type="http://schemas.openxmlformats.org/officeDocument/2006/relationships/image" Target="media/image71.emf"/><Relationship Id="rId10" Type="http://schemas.openxmlformats.org/officeDocument/2006/relationships/webSettings" Target="webSettings.xml"/><Relationship Id="rId31" Type="http://schemas.openxmlformats.org/officeDocument/2006/relationships/footer" Target="footer4.xml"/><Relationship Id="rId52" Type="http://schemas.openxmlformats.org/officeDocument/2006/relationships/image" Target="media/image22.png"/><Relationship Id="rId73" Type="http://schemas.openxmlformats.org/officeDocument/2006/relationships/image" Target="media/image39.emf"/><Relationship Id="rId78" Type="http://schemas.openxmlformats.org/officeDocument/2006/relationships/image" Target="media/image44.emf"/><Relationship Id="rId94" Type="http://schemas.openxmlformats.org/officeDocument/2006/relationships/image" Target="media/image54.emf"/><Relationship Id="rId99" Type="http://schemas.openxmlformats.org/officeDocument/2006/relationships/image" Target="media/image59.emf"/><Relationship Id="rId101" Type="http://schemas.openxmlformats.org/officeDocument/2006/relationships/image" Target="media/image61.emf"/><Relationship Id="rId122" Type="http://schemas.openxmlformats.org/officeDocument/2006/relationships/image" Target="media/image66.emf"/><Relationship Id="rId143" Type="http://schemas.openxmlformats.org/officeDocument/2006/relationships/hyperlink" Target="https://www.acecqa.gov.au/sites/default/files/2023-11/Guide-to-the-NQF-2310i-web.pdf" TargetMode="External"/><Relationship Id="rId148" Type="http://schemas.openxmlformats.org/officeDocument/2006/relationships/hyperlink" Target="https://www.accc.gov.au/inquiries-and-consultations/childcare-inquiry-2023/december-2023-final-report" TargetMode="External"/><Relationship Id="rId164" Type="http://schemas.openxmlformats.org/officeDocument/2006/relationships/hyperlink" Target="https://guides.dss.gov.au/family-assistance-guide/1/1/a/05" TargetMode="External"/><Relationship Id="rId169" Type="http://schemas.openxmlformats.org/officeDocument/2006/relationships/hyperlink" Target="https://www.pc.gov.au/inquiries/completed/closing-the-gap-review/report/closing-the-gap-review-report.pdf" TargetMode="External"/><Relationship Id="rId185" Type="http://schemas.openxmlformats.org/officeDocument/2006/relationships/hyperlink" Target="http://www.dss.gov.au" TargetMode="Externa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hyperlink" Target="https://www.education.gov.au/early-childhood/community-child-care-fund-restricted-guide/introduction/cccf-restricted-grant-expansion" TargetMode="External"/><Relationship Id="rId210" Type="http://schemas.openxmlformats.org/officeDocument/2006/relationships/hyperlink" Target="https://education.nsw.gov.au/early-childhood-education/operating-an-early-childhood-education-service/grants-and-funded-programs/quality-and-participation-grants-program" TargetMode="External"/><Relationship Id="rId215" Type="http://schemas.openxmlformats.org/officeDocument/2006/relationships/hyperlink" Target="https://www.pc.gov.au/inquiries/current/childhood/draft" TargetMode="External"/><Relationship Id="rId236" Type="http://schemas.openxmlformats.org/officeDocument/2006/relationships/hyperlink" Target="http://www.deloitte.com/au/deloitte-access-economics" TargetMode="External"/><Relationship Id="rId26" Type="http://schemas.openxmlformats.org/officeDocument/2006/relationships/footer" Target="footer3.xml"/><Relationship Id="rId231" Type="http://schemas.openxmlformats.org/officeDocument/2006/relationships/hyperlink" Target="https://www.lowitja.org.au/wp-content/uploads/2023/05/deficit-discourse.pdf" TargetMode="External"/><Relationship Id="rId47" Type="http://schemas.openxmlformats.org/officeDocument/2006/relationships/image" Target="media/image17.emf"/><Relationship Id="rId68" Type="http://schemas.openxmlformats.org/officeDocument/2006/relationships/image" Target="media/image34.emf"/><Relationship Id="rId89" Type="http://schemas.openxmlformats.org/officeDocument/2006/relationships/image" Target="media/image51.emf"/><Relationship Id="rId112" Type="http://schemas.openxmlformats.org/officeDocument/2006/relationships/header" Target="header23.xml"/><Relationship Id="rId133" Type="http://schemas.openxmlformats.org/officeDocument/2006/relationships/footer" Target="footer18.xml"/><Relationship Id="rId154" Type="http://schemas.openxmlformats.org/officeDocument/2006/relationships/hyperlink" Target="https://www.education.gov.au/early-childhood/community-child-care-fund/business-support" TargetMode="External"/><Relationship Id="rId175" Type="http://schemas.openxmlformats.org/officeDocument/2006/relationships/hyperlink" Target="https://www.closingthegap.gov.au/sites/default/files/2021-12/sector-strengthening-plan-early-childhood-care-development.pdf" TargetMode="External"/><Relationship Id="rId196" Type="http://schemas.openxmlformats.org/officeDocument/2006/relationships/hyperlink" Target="https://www.acecqa.gov.au/sites/default/files/2020-01/Guide-to-the-NQF_2.pdf" TargetMode="External"/><Relationship Id="rId200" Type="http://schemas.openxmlformats.org/officeDocument/2006/relationships/hyperlink" Target="https://www.jstor.org/stable/26754065" TargetMode="External"/><Relationship Id="rId16" Type="http://schemas.openxmlformats.org/officeDocument/2006/relationships/image" Target="media/image4.emf"/><Relationship Id="rId221" Type="http://schemas.openxmlformats.org/officeDocument/2006/relationships/hyperlink" Target="https://www.snaicc.org.au/budget-based-funded-services/" TargetMode="External"/><Relationship Id="rId37" Type="http://schemas.openxmlformats.org/officeDocument/2006/relationships/image" Target="media/image7.png"/><Relationship Id="rId58" Type="http://schemas.openxmlformats.org/officeDocument/2006/relationships/image" Target="media/image28.png"/><Relationship Id="rId79" Type="http://schemas.openxmlformats.org/officeDocument/2006/relationships/image" Target="media/image45.png"/><Relationship Id="rId102" Type="http://schemas.openxmlformats.org/officeDocument/2006/relationships/image" Target="media/image62.emf"/><Relationship Id="rId123" Type="http://schemas.openxmlformats.org/officeDocument/2006/relationships/image" Target="media/image67.emf"/><Relationship Id="rId144" Type="http://schemas.openxmlformats.org/officeDocument/2006/relationships/hyperlink" Target="https://www.acecqa.gov.au/sites/default/files/2023-07/InformationSheet_EYLF-Aboriginal%20and%20Torres%20Strait%20Islander%20perspectives.pdf" TargetMode="External"/><Relationship Id="rId90" Type="http://schemas.openxmlformats.org/officeDocument/2006/relationships/header" Target="header19.xml"/><Relationship Id="rId165" Type="http://schemas.openxmlformats.org/officeDocument/2006/relationships/hyperlink" Target="http://www.dss.gov.au" TargetMode="External"/><Relationship Id="rId186" Type="http://schemas.openxmlformats.org/officeDocument/2006/relationships/hyperlink" Target="https://www.dss.gov.au/families-and-children-programs-services-early-years-strategy/national-early-years-summit-summary-and-agenda" TargetMode="External"/><Relationship Id="rId211" Type="http://schemas.openxmlformats.org/officeDocument/2006/relationships/hyperlink" Target="https://legislation.nsw.gov.au/view/pdf/asmade/sl-2019-203" TargetMode="External"/><Relationship Id="rId232" Type="http://schemas.openxmlformats.org/officeDocument/2006/relationships/header" Target="header32.xml"/><Relationship Id="rId27" Type="http://schemas.openxmlformats.org/officeDocument/2006/relationships/header" Target="header7.xml"/><Relationship Id="rId48" Type="http://schemas.openxmlformats.org/officeDocument/2006/relationships/image" Target="media/image18.emf"/><Relationship Id="rId69" Type="http://schemas.openxmlformats.org/officeDocument/2006/relationships/image" Target="media/image35.emf"/><Relationship Id="rId113" Type="http://schemas.openxmlformats.org/officeDocument/2006/relationships/footer" Target="footer13.xml"/><Relationship Id="rId134" Type="http://schemas.openxmlformats.org/officeDocument/2006/relationships/header" Target="header29.xml"/><Relationship Id="rId80" Type="http://schemas.openxmlformats.org/officeDocument/2006/relationships/image" Target="media/image46.emf"/><Relationship Id="rId155" Type="http://schemas.openxmlformats.org/officeDocument/2006/relationships/hyperlink" Target="https://www.education.gov.au/early-childhood/child-care-subsidy/payments-and-fees" TargetMode="External"/><Relationship Id="rId176" Type="http://schemas.openxmlformats.org/officeDocument/2006/relationships/hyperlink" Target="https://www.education.gov.au/early-childhood/community-child-care-fund/cccf-restricted-grant/community-child-care-fund-restricted-grant-review" TargetMode="External"/><Relationship Id="rId197" Type="http://schemas.openxmlformats.org/officeDocument/2006/relationships/hyperlink" Target="https://www.canada.ca/content/dam/phac-aspc/documents/corporate/transparency/corporate-management-reporting/evaluation/aboriginal-head-start-urban-northern-communities-program.pdf" TargetMode="External"/><Relationship Id="rId201" Type="http://schemas.openxmlformats.org/officeDocument/2006/relationships/hyperlink" Target="https://www.education.govt.nz/early-childhood/funding-and-data/funding-handbooks/ece-funding-handbook/" TargetMode="External"/><Relationship Id="rId222" Type="http://schemas.openxmlformats.org/officeDocument/2006/relationships/hyperlink" Target="https://www.snaicc.org.au/wp-content/uploads/2015/12/02897.pdf" TargetMode="External"/><Relationship Id="rId17" Type="http://schemas.openxmlformats.org/officeDocument/2006/relationships/image" Target="media/image5.emf"/><Relationship Id="rId38" Type="http://schemas.openxmlformats.org/officeDocument/2006/relationships/image" Target="media/image8.png"/><Relationship Id="rId59" Type="http://schemas.openxmlformats.org/officeDocument/2006/relationships/image" Target="media/image29.png"/><Relationship Id="rId103" Type="http://schemas.openxmlformats.org/officeDocument/2006/relationships/image" Target="media/image63.emf"/><Relationship Id="rId124" Type="http://schemas.openxmlformats.org/officeDocument/2006/relationships/image" Target="media/image68.jpeg"/><Relationship Id="rId70" Type="http://schemas.openxmlformats.org/officeDocument/2006/relationships/image" Target="media/image36.emf"/><Relationship Id="rId91" Type="http://schemas.openxmlformats.org/officeDocument/2006/relationships/footer" Target="footer9.xml"/><Relationship Id="rId145" Type="http://schemas.openxmlformats.org/officeDocument/2006/relationships/hyperlink" Target="https://www.acecqa.gov.au/sites/default/files/2022-12/NQF%20Annual%20Performance%20Report%202022%20FINAL.pdf" TargetMode="External"/><Relationship Id="rId166" Type="http://schemas.openxmlformats.org/officeDocument/2006/relationships/hyperlink" Target="https://www.dss.gov.au/families-and-children-programs-services-early-years-strategy/national-early-years-summit-summary-and-agenda" TargetMode="External"/><Relationship Id="rId187" Type="http://schemas.openxmlformats.org/officeDocument/2006/relationships/hyperlink" Target="https://www.acecqa.gov.au/sites/default/files/2021-10/ShapingOurFutureChildrensEducationandCareNationalWorkforceStrategy-September2021.pdf" TargetMode="External"/><Relationship Id="rId1" Type="http://schemas.openxmlformats.org/officeDocument/2006/relationships/customXml" Target="../customXml/item1.xml"/><Relationship Id="rId212" Type="http://schemas.openxmlformats.org/officeDocument/2006/relationships/hyperlink" Target="https://parlinfo.aph.gov.au/parlInfo/search/display/display.w3p;query=Id%3A%22legislation%2Fbillsdgs%2F4511107%22" TargetMode="External"/><Relationship Id="rId233" Type="http://schemas.openxmlformats.org/officeDocument/2006/relationships/header" Target="header33.xml"/><Relationship Id="rId28" Type="http://schemas.openxmlformats.org/officeDocument/2006/relationships/image" Target="media/image6.emf"/><Relationship Id="rId49" Type="http://schemas.openxmlformats.org/officeDocument/2006/relationships/image" Target="media/image19.png"/><Relationship Id="rId114" Type="http://schemas.openxmlformats.org/officeDocument/2006/relationships/header" Target="header24.xml"/><Relationship Id="rId60" Type="http://schemas.openxmlformats.org/officeDocument/2006/relationships/image" Target="media/image30.png"/><Relationship Id="rId81" Type="http://schemas.openxmlformats.org/officeDocument/2006/relationships/image" Target="media/image47.emf"/><Relationship Id="rId135" Type="http://schemas.openxmlformats.org/officeDocument/2006/relationships/header" Target="header30.xml"/><Relationship Id="rId156" Type="http://schemas.openxmlformats.org/officeDocument/2006/relationships/hyperlink" Target="https://www.education.gov.au/early-childhood/resources/community-child-care-fund-restricted-grants-guide-grant-recipients" TargetMode="External"/><Relationship Id="rId177" Type="http://schemas.openxmlformats.org/officeDocument/2006/relationships/hyperlink" Target="https://www.cela.org.au/training/approved-provider-program" TargetMode="External"/><Relationship Id="rId198" Type="http://schemas.openxmlformats.org/officeDocument/2006/relationships/hyperlink" Target="https://www.theguardian.com/australia-news/2020/may/18/a-quarter-of-all-childcare-centres-say-free-scheme-wont-help-them-remain-viable" TargetMode="External"/><Relationship Id="rId202" Type="http://schemas.openxmlformats.org/officeDocument/2006/relationships/hyperlink" Target="https://www.rch.org.au/uploadedFiles/Main/Content/ccchdev/Restacking-the-Odds_ECEC_communication-summary.pdf" TargetMode="External"/><Relationship Id="rId223" Type="http://schemas.openxmlformats.org/officeDocument/2006/relationships/hyperlink" Target="https://theconversation.com/all-electric-homes-are-better-for-your-hip-pocket-and-the-planet-heres-how-governments-can-help-us-get-off-gas-207409" TargetMode="External"/><Relationship Id="rId18" Type="http://schemas.openxmlformats.org/officeDocument/2006/relationships/header" Target="header1.xml"/><Relationship Id="rId39" Type="http://schemas.openxmlformats.org/officeDocument/2006/relationships/image" Target="media/image9.png"/><Relationship Id="rId50" Type="http://schemas.openxmlformats.org/officeDocument/2006/relationships/image" Target="media/image20.emf"/><Relationship Id="rId104" Type="http://schemas.openxmlformats.org/officeDocument/2006/relationships/image" Target="media/image64.emf"/><Relationship Id="rId125" Type="http://schemas.openxmlformats.org/officeDocument/2006/relationships/image" Target="media/image69.emf"/><Relationship Id="rId146" Type="http://schemas.openxmlformats.org/officeDocument/2006/relationships/hyperlink" Target="http://www.accc.gov.au" TargetMode="External"/><Relationship Id="rId167" Type="http://schemas.openxmlformats.org/officeDocument/2006/relationships/hyperlink" Target="https://www.indigenous.gov.au/news-and-media/announcements/minister-scullion-backing-early-learning-and-care-disadvantaged" TargetMode="External"/><Relationship Id="rId188" Type="http://schemas.openxmlformats.org/officeDocument/2006/relationships/hyperlink" Target="https://www.suttontrust.com/wp-content/uploads/2023/01/Equal-Hours.pdf" TargetMode="External"/><Relationship Id="rId71" Type="http://schemas.openxmlformats.org/officeDocument/2006/relationships/image" Target="media/image37.emf"/><Relationship Id="rId92" Type="http://schemas.openxmlformats.org/officeDocument/2006/relationships/image" Target="media/image52.emf"/><Relationship Id="rId213" Type="http://schemas.openxmlformats.org/officeDocument/2006/relationships/hyperlink" Target="https://www.education.vic.gov.au/Documents/about/research/LiftingOurGame.PDF" TargetMode="External"/><Relationship Id="rId234" Type="http://schemas.openxmlformats.org/officeDocument/2006/relationships/footer" Target="footer21.xml"/><Relationship Id="rId2" Type="http://schemas.openxmlformats.org/officeDocument/2006/relationships/customXml" Target="../customXml/item2.xml"/><Relationship Id="rId29" Type="http://schemas.openxmlformats.org/officeDocument/2006/relationships/header" Target="header8.xml"/><Relationship Id="rId40" Type="http://schemas.openxmlformats.org/officeDocument/2006/relationships/image" Target="media/image10.png"/><Relationship Id="rId115" Type="http://schemas.openxmlformats.org/officeDocument/2006/relationships/footer" Target="footer14.xml"/><Relationship Id="rId136" Type="http://schemas.openxmlformats.org/officeDocument/2006/relationships/footer" Target="footer19.xml"/><Relationship Id="rId157" Type="http://schemas.openxmlformats.org/officeDocument/2006/relationships/hyperlink" Target="https://www.education.gov.au/early-childhood/resources/2021-early-childhood-education-and-care-national-workforce-census-report" TargetMode="External"/><Relationship Id="rId178" Type="http://schemas.openxmlformats.org/officeDocument/2006/relationships/hyperlink" Target="https://www.education.gov.au/early-childhood/resources/community-child-care-fund-restricted-grants-guide-grant-recipients" TargetMode="External"/><Relationship Id="rId61" Type="http://schemas.openxmlformats.org/officeDocument/2006/relationships/image" Target="media/image31.emf"/><Relationship Id="rId82" Type="http://schemas.openxmlformats.org/officeDocument/2006/relationships/image" Target="media/image48.emf"/><Relationship Id="rId199" Type="http://schemas.openxmlformats.org/officeDocument/2006/relationships/hyperlink" Target="https://www.mja.com.au/journal/2018/208/7/damp-housing-gas-stoves-and-burden-childhood-asthma-australia" TargetMode="External"/><Relationship Id="rId203" Type="http://schemas.openxmlformats.org/officeDocument/2006/relationships/hyperlink" Target="https://www.dss.gov.au/sites/default/files/documents/05_2015/research_summary_no1_2004_-_multiple_disadvantage_-_accessible_version_.pdf" TargetMode="External"/><Relationship Id="rId19" Type="http://schemas.openxmlformats.org/officeDocument/2006/relationships/footer" Target="footer1.xml"/><Relationship Id="rId224" Type="http://schemas.openxmlformats.org/officeDocument/2006/relationships/hyperlink" Target="https://www.sciencedirect.com/science/article/pii/S0959652622043542" TargetMode="External"/><Relationship Id="rId30" Type="http://schemas.openxmlformats.org/officeDocument/2006/relationships/header" Target="header9.xml"/><Relationship Id="rId105" Type="http://schemas.openxmlformats.org/officeDocument/2006/relationships/image" Target="media/image65.emf"/><Relationship Id="rId126" Type="http://schemas.openxmlformats.org/officeDocument/2006/relationships/image" Target="media/image70.emf"/><Relationship Id="rId147" Type="http://schemas.openxmlformats.org/officeDocument/2006/relationships/hyperlink" Target="https://www.accc.gov.au/inquiries-and-consultations/childcare-inquiry-2023/september-2023-interim-report" TargetMode="External"/><Relationship Id="rId168" Type="http://schemas.openxmlformats.org/officeDocument/2006/relationships/hyperlink" Target="https://www.pc.gov.au/inquiries/current/childhood/draft/childhood-draft.pdf" TargetMode="External"/><Relationship Id="rId51" Type="http://schemas.openxmlformats.org/officeDocument/2006/relationships/image" Target="media/image21.png"/><Relationship Id="rId72" Type="http://schemas.openxmlformats.org/officeDocument/2006/relationships/image" Target="media/image38.emf"/><Relationship Id="rId93" Type="http://schemas.openxmlformats.org/officeDocument/2006/relationships/image" Target="media/image53.emf"/><Relationship Id="rId189" Type="http://schemas.openxmlformats.org/officeDocument/2006/relationships/hyperlink" Target="https://ro.uow.edu.au/sspapers/1993/" TargetMode="External"/><Relationship Id="rId3" Type="http://schemas.openxmlformats.org/officeDocument/2006/relationships/customXml" Target="../customXml/item3.xml"/><Relationship Id="rId214" Type="http://schemas.openxmlformats.org/officeDocument/2006/relationships/hyperlink" Target="http://www.paulramsayfoundation.org.au/news-resources/new-investment-to-strengthen-early-years-for-children" TargetMode="External"/><Relationship Id="rId235" Type="http://schemas.openxmlformats.org/officeDocument/2006/relationships/header" Target="header34.xml"/><Relationship Id="rId116" Type="http://schemas.openxmlformats.org/officeDocument/2006/relationships/header" Target="header25.xml"/><Relationship Id="rId137" Type="http://schemas.openxmlformats.org/officeDocument/2006/relationships/header" Target="header31.xml"/><Relationship Id="rId158" Type="http://schemas.openxmlformats.org/officeDocument/2006/relationships/hyperlink" Target="https://www.education.gov.au/early-childhood/inclusion-support-program" TargetMode="External"/><Relationship Id="rId20" Type="http://schemas.openxmlformats.org/officeDocument/2006/relationships/header" Target="header2.xml"/><Relationship Id="rId41" Type="http://schemas.openxmlformats.org/officeDocument/2006/relationships/image" Target="media/image11.png"/><Relationship Id="rId62" Type="http://schemas.openxmlformats.org/officeDocument/2006/relationships/image" Target="media/image32.png"/><Relationship Id="rId83" Type="http://schemas.openxmlformats.org/officeDocument/2006/relationships/image" Target="media/image49.png"/><Relationship Id="rId179" Type="http://schemas.openxmlformats.org/officeDocument/2006/relationships/hyperlink" Target="https://www.education.gov.au/early-childhood/community-child-care-fund/cccf-restricted-gran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c.gov.au/inquiries/completed/closing-the-gap-review/report/closing-the-gap-review-report.pdf" TargetMode="External"/><Relationship Id="rId13" Type="http://schemas.openxmlformats.org/officeDocument/2006/relationships/hyperlink" Target="https://www.sciencedirect.com/science/article/pii/S0959652622043542" TargetMode="External"/><Relationship Id="rId3" Type="http://schemas.openxmlformats.org/officeDocument/2006/relationships/hyperlink" Target="https://www.education.gov.au/early-childhood/community-child-care-fund-restricted-guide/introduction/cccf-restricted-grant-expansion" TargetMode="External"/><Relationship Id="rId7" Type="http://schemas.openxmlformats.org/officeDocument/2006/relationships/hyperlink" Target="https://www.pc.gov.au/inquiries/current/childhood/draft/childhood-draft.pdf" TargetMode="External"/><Relationship Id="rId12" Type="http://schemas.openxmlformats.org/officeDocument/2006/relationships/hyperlink" Target="https://www.mja.com.au/journal/2018/208/7/damp-housing-gas-stoves-and-burden-childhood-asthma-australia" TargetMode="External"/><Relationship Id="rId2" Type="http://schemas.openxmlformats.org/officeDocument/2006/relationships/hyperlink" Target="https://www.pc.gov.au/inquiries/completed/closing-the-gap-review/report/closing-the-gap-review-report.pdf" TargetMode="External"/><Relationship Id="rId1" Type="http://schemas.openxmlformats.org/officeDocument/2006/relationships/hyperlink" Target="https://www.pc.gov.au/inquiries/current/childhood/draft/childhood-draft.pdf" TargetMode="External"/><Relationship Id="rId6" Type="http://schemas.openxmlformats.org/officeDocument/2006/relationships/hyperlink" Target="https://www.education.gov.au/early-childhood/provider-obligations/family-assistance-law" TargetMode="External"/><Relationship Id="rId11" Type="http://schemas.openxmlformats.org/officeDocument/2006/relationships/hyperlink" Target="https://theconversation.com/all-electric-homes-are-better-for-your-hip-pocket-and-the-planet-heres-how-governments-can-help-us-get-off-gas-207409" TargetMode="External"/><Relationship Id="rId5" Type="http://schemas.openxmlformats.org/officeDocument/2006/relationships/hyperlink" Target="https://www.education.gov.au/early-childhood/resources/community-child-care-fund-restricted-grants-guide-grant-recipients" TargetMode="External"/><Relationship Id="rId10" Type="http://schemas.openxmlformats.org/officeDocument/2006/relationships/hyperlink" Target="https://eprints.lse.ac.uk/12761/1/Multi-criteria_Analysis.pdf" TargetMode="External"/><Relationship Id="rId4" Type="http://schemas.openxmlformats.org/officeDocument/2006/relationships/hyperlink" Target="https://www.acecqa.gov.au/sites/default/files/2021-10/ShapingOurFutureChildrensEducationandCareNationalWorkforceStrategy-September2021.pdf" TargetMode="External"/><Relationship Id="rId9" Type="http://schemas.openxmlformats.org/officeDocument/2006/relationships/hyperlink" Target="https://www.aph.gov.au/-/media/Estimates/ca/add2324/Social_Services/01_TabledDoc_ServicesAustralia_ResponseToSenatorsInformationRequests.pdf?la=en&amp;hash=D0D29D50D5638FC659090DED5EBFBEA75E4DEC45" TargetMode="External"/><Relationship Id="rId14" Type="http://schemas.openxmlformats.org/officeDocument/2006/relationships/hyperlink" Target="https://www.health.harvard.edu/blog/eat-more-plants-fewer-animals-201811291519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F0CBBC093450CBF19FFECDC3D743B"/>
        <w:category>
          <w:name w:val="General"/>
          <w:gallery w:val="placeholder"/>
        </w:category>
        <w:types>
          <w:type w:val="bbPlcHdr"/>
        </w:types>
        <w:behaviors>
          <w:behavior w:val="content"/>
        </w:behaviors>
        <w:guid w:val="{244583BF-90C2-4CC9-BA70-E730F96FF4A7}"/>
      </w:docPartPr>
      <w:docPartBody>
        <w:p w:rsidR="00C74E15" w:rsidRDefault="00C74E15">
          <w:pPr>
            <w:pStyle w:val="630F0CBBC093450CBF19FFECDC3D743B"/>
          </w:pPr>
          <w:r w:rsidRPr="00782FB9">
            <w:rPr>
              <w:rStyle w:val="PlaceholderText"/>
            </w:rPr>
            <w:t>Disclaimer.Disclaimer</w:t>
          </w:r>
        </w:p>
      </w:docPartBody>
    </w:docPart>
    <w:docPart>
      <w:docPartPr>
        <w:name w:val="DFD5DD0D852F4F7B9DCC5A19FBAC40CF"/>
        <w:category>
          <w:name w:val="General"/>
          <w:gallery w:val="placeholder"/>
        </w:category>
        <w:types>
          <w:type w:val="bbPlcHdr"/>
        </w:types>
        <w:behaviors>
          <w:behavior w:val="content"/>
        </w:behaviors>
        <w:guid w:val="{763676CC-6CD5-4A69-B1FA-6B60E9997047}"/>
      </w:docPartPr>
      <w:docPartBody>
        <w:p w:rsidR="00C74E15" w:rsidRDefault="00C74E15">
          <w:pPr>
            <w:pStyle w:val="DFD5DD0D852F4F7B9DCC5A19FBAC40CF"/>
          </w:pPr>
          <w:r w:rsidRPr="00782FB9">
            <w:rPr>
              <w:rStyle w:val="PlaceholderText"/>
            </w:rPr>
            <w:t>Confidential</w:t>
          </w:r>
        </w:p>
        <w:bookmarkStart w:id="0" w:name="start"/>
        <w:bookmarkStart w:id="1" w:name="start"/>
        <w:bookmarkEnd w:id="0"/>
        <w:bookmarkEnd w:id="1"/>
      </w:docPartBody>
    </w:docPart>
    <w:docPart>
      <w:docPartPr>
        <w:name w:val="20C687CC77C8468EBA16FECE8E82A80C"/>
        <w:category>
          <w:name w:val="General"/>
          <w:gallery w:val="placeholder"/>
        </w:category>
        <w:types>
          <w:type w:val="bbPlcHdr"/>
        </w:types>
        <w:behaviors>
          <w:behavior w:val="content"/>
        </w:behaviors>
        <w:guid w:val="{9D03A6A1-5F89-453C-B5B6-86EBDAB7F728}"/>
      </w:docPartPr>
      <w:docPartBody>
        <w:p w:rsidR="00EF2B1F" w:rsidRDefault="004D266F" w:rsidP="004D266F">
          <w:pPr>
            <w:pStyle w:val="20C687CC77C8468EBA16FECE8E82A80C"/>
          </w:pPr>
          <w:r w:rsidRPr="000D34FF">
            <w:rPr>
              <w:rStyle w:val="PlaceholderText"/>
            </w:rPr>
            <w:t>Click or tap here to enter text.</w:t>
          </w:r>
        </w:p>
        <w:bookmarkStart w:id="2" w:name="start"/>
        <w:bookmarkEnd w:id="2"/>
      </w:docPartBody>
    </w:docPart>
    <w:docPart>
      <w:docPartPr>
        <w:name w:val="0F6ED4FA61E74BF6AF91E18391F98F76"/>
        <w:category>
          <w:name w:val="General"/>
          <w:gallery w:val="placeholder"/>
        </w:category>
        <w:types>
          <w:type w:val="bbPlcHdr"/>
        </w:types>
        <w:behaviors>
          <w:behavior w:val="content"/>
        </w:behaviors>
        <w:guid w:val="{C8A95989-9ECD-4975-9135-0A9EB4A5FBD5}"/>
      </w:docPartPr>
      <w:docPartBody>
        <w:p w:rsidR="00EF2B1F" w:rsidRDefault="004D266F" w:rsidP="004D266F">
          <w:pPr>
            <w:pStyle w:val="0F6ED4FA61E74BF6AF91E18391F98F76"/>
          </w:pPr>
          <w:r w:rsidRPr="001E3502">
            <w:rPr>
              <w:rStyle w:val="PlaceholderText"/>
            </w:rPr>
            <w:t>Click or tap here to enter text.</w:t>
          </w:r>
        </w:p>
        <w:bookmarkStart w:id="3" w:name="start"/>
        <w:bookmarkEnd w:id="3"/>
      </w:docPartBody>
    </w:docPart>
    <w:docPart>
      <w:docPartPr>
        <w:name w:val="C81980B167D142B48D4842340FA4B581"/>
        <w:category>
          <w:name w:val="General"/>
          <w:gallery w:val="placeholder"/>
        </w:category>
        <w:types>
          <w:type w:val="bbPlcHdr"/>
        </w:types>
        <w:behaviors>
          <w:behavior w:val="content"/>
        </w:behaviors>
        <w:guid w:val="{10890CA0-0CBF-40C2-BBFB-6A8C3B33656E}"/>
      </w:docPartPr>
      <w:docPartBody>
        <w:p w:rsidR="00641427" w:rsidRDefault="004D266F">
          <w:pPr>
            <w:pStyle w:val="C81980B167D142B48D4842340FA4B581"/>
          </w:pPr>
          <w:r w:rsidRPr="001E35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57"/>
    <w:rsid w:val="00020C3F"/>
    <w:rsid w:val="00040F88"/>
    <w:rsid w:val="00042BED"/>
    <w:rsid w:val="00063ABA"/>
    <w:rsid w:val="0006605A"/>
    <w:rsid w:val="000674F5"/>
    <w:rsid w:val="0007503F"/>
    <w:rsid w:val="00083C6E"/>
    <w:rsid w:val="0008750E"/>
    <w:rsid w:val="00094E95"/>
    <w:rsid w:val="000F1DE4"/>
    <w:rsid w:val="000F436A"/>
    <w:rsid w:val="00114EA4"/>
    <w:rsid w:val="00116449"/>
    <w:rsid w:val="00132499"/>
    <w:rsid w:val="00144097"/>
    <w:rsid w:val="001503D3"/>
    <w:rsid w:val="001A7449"/>
    <w:rsid w:val="001B2BBF"/>
    <w:rsid w:val="00251EDE"/>
    <w:rsid w:val="002601B9"/>
    <w:rsid w:val="00261254"/>
    <w:rsid w:val="00261B7C"/>
    <w:rsid w:val="00271E86"/>
    <w:rsid w:val="00282A3C"/>
    <w:rsid w:val="00294ED8"/>
    <w:rsid w:val="002A7BF4"/>
    <w:rsid w:val="002B4DCF"/>
    <w:rsid w:val="002E7526"/>
    <w:rsid w:val="002F47A2"/>
    <w:rsid w:val="003737F9"/>
    <w:rsid w:val="003A5694"/>
    <w:rsid w:val="003B4D83"/>
    <w:rsid w:val="003B6098"/>
    <w:rsid w:val="003C02DC"/>
    <w:rsid w:val="003D659F"/>
    <w:rsid w:val="00411A1C"/>
    <w:rsid w:val="004D266F"/>
    <w:rsid w:val="00580A48"/>
    <w:rsid w:val="005A33D4"/>
    <w:rsid w:val="00641427"/>
    <w:rsid w:val="00712007"/>
    <w:rsid w:val="007554E1"/>
    <w:rsid w:val="00782315"/>
    <w:rsid w:val="007841E3"/>
    <w:rsid w:val="007C2376"/>
    <w:rsid w:val="00830103"/>
    <w:rsid w:val="008310F0"/>
    <w:rsid w:val="008801A4"/>
    <w:rsid w:val="008A05CE"/>
    <w:rsid w:val="009252D4"/>
    <w:rsid w:val="009C6FC0"/>
    <w:rsid w:val="00A27A81"/>
    <w:rsid w:val="00A35606"/>
    <w:rsid w:val="00A57CFD"/>
    <w:rsid w:val="00A77082"/>
    <w:rsid w:val="00AA4C45"/>
    <w:rsid w:val="00AF651D"/>
    <w:rsid w:val="00B86D34"/>
    <w:rsid w:val="00B90162"/>
    <w:rsid w:val="00BB22F2"/>
    <w:rsid w:val="00C17B85"/>
    <w:rsid w:val="00C45969"/>
    <w:rsid w:val="00C472AF"/>
    <w:rsid w:val="00C73198"/>
    <w:rsid w:val="00C74E15"/>
    <w:rsid w:val="00CB5623"/>
    <w:rsid w:val="00CC1545"/>
    <w:rsid w:val="00CC24E6"/>
    <w:rsid w:val="00CF74B5"/>
    <w:rsid w:val="00D30137"/>
    <w:rsid w:val="00D35CE7"/>
    <w:rsid w:val="00D35E57"/>
    <w:rsid w:val="00D62C9E"/>
    <w:rsid w:val="00DC3CE6"/>
    <w:rsid w:val="00DC521A"/>
    <w:rsid w:val="00DF089B"/>
    <w:rsid w:val="00DF4A7E"/>
    <w:rsid w:val="00E41EEB"/>
    <w:rsid w:val="00E472BC"/>
    <w:rsid w:val="00E676CA"/>
    <w:rsid w:val="00EB38BE"/>
    <w:rsid w:val="00ED75D9"/>
    <w:rsid w:val="00EF2B1F"/>
    <w:rsid w:val="00F066AD"/>
    <w:rsid w:val="00F1501D"/>
    <w:rsid w:val="00F238C3"/>
    <w:rsid w:val="00F95D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66F"/>
    <w:rPr>
      <w:color w:val="808080"/>
    </w:rPr>
  </w:style>
  <w:style w:type="paragraph" w:customStyle="1" w:styleId="630F0CBBC093450CBF19FFECDC3D743B">
    <w:name w:val="630F0CBBC093450CBF19FFECDC3D743B"/>
  </w:style>
  <w:style w:type="paragraph" w:customStyle="1" w:styleId="DFD5DD0D852F4F7B9DCC5A19FBAC40CF">
    <w:name w:val="DFD5DD0D852F4F7B9DCC5A19FBAC40CF"/>
  </w:style>
  <w:style w:type="paragraph" w:customStyle="1" w:styleId="20C687CC77C8468EBA16FECE8E82A80C">
    <w:name w:val="20C687CC77C8468EBA16FECE8E82A80C"/>
    <w:rsid w:val="004D266F"/>
  </w:style>
  <w:style w:type="paragraph" w:customStyle="1" w:styleId="0F6ED4FA61E74BF6AF91E18391F98F76">
    <w:name w:val="0F6ED4FA61E74BF6AF91E18391F98F76"/>
    <w:rsid w:val="004D266F"/>
  </w:style>
  <w:style w:type="paragraph" w:customStyle="1" w:styleId="C81980B167D142B48D4842340FA4B581">
    <w:name w:val="C81980B167D142B48D4842340FA4B58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1" ma:contentTypeDescription="Create a new document." ma:contentTypeScope="" ma:versionID="251f9232299a8d5cc8f8ccfa443bb2ae">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42406e58d85bc1f47ce32f519df5a50a"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emplafyTemplateConfiguration><![CDATA[{"elementsMetadata":[{"elementConfiguration":{"binding":"{{Form.Disclaimer.Disclaimer}}","visibility":"","removeAndKeepContent":false,"disableUpdates":false,"type":"text"},"type":"richTextContentControl","id":"3c997bb5-4f88-4bfc-9109-d0d1e88234e0"},{"elementConfiguration":{"binding":"{{Form.Classification.Confidential}}","visibility":"","removeAndKeepContent":false,"disableUpdates":false,"type":"text"},"type":"richTextContentControl","id":"403bce57-6add-46c6-a76d-2c17738f8b2d"}],"transformationConfigurations":[],"templateName":"DAE_Client Report with wordmark","templateDescription":"","enableDocumentContentUpdater":false,"version":"2.0"}]]></TemplafyTemplateConfiguration>
</file>

<file path=customXml/item6.xml><?xml version="1.0" encoding="utf-8"?>
<TemplafyFormConfiguration><![CDATA[{"formFields":[{"distinct":false,"hideIfNoUserInteractionRequired":false,"required":false,"autoSelectFirstOption":false,"helpTexts":{},"spacing":{},"shareValue":false,"type":"dropDown","dataSourceName":"Disclaimers","dataSourceFieldName":"InternalExternal","name":"Disclaimer","label":"Audience"},{"distinct":false,"hideIfNoUserInteractionRequired":false,"required":false,"autoSelectFirstOption":false,"helpTexts":{},"spacing":{},"shareValue":false,"type":"dropDown","dataSourceName":"Confidentiality","dataSourceFieldName":"ShowName","name":"Classification","label":"Classification"}],"formDataEntries":[{"name":"Disclaimer","value":"vQiEy/OI7BTNdnfNJXE+7fChHEv2tpWm2VG7/haDOCg="}]}]]></TemplafyFormConfiguration>
</file>

<file path=customXml/itemProps1.xml><?xml version="1.0" encoding="utf-8"?>
<ds:datastoreItem xmlns:ds="http://schemas.openxmlformats.org/officeDocument/2006/customXml" ds:itemID="{3E46DC13-9424-4855-8B39-CF9A8777F5FF}">
  <ds:schemaRefs>
    <ds:schemaRef ds:uri="http://schemas.microsoft.com/sharepoint/v3/contenttype/forms"/>
  </ds:schemaRefs>
</ds:datastoreItem>
</file>

<file path=customXml/itemProps2.xml><?xml version="1.0" encoding="utf-8"?>
<ds:datastoreItem xmlns:ds="http://schemas.openxmlformats.org/officeDocument/2006/customXml" ds:itemID="{F8E4B11C-4B7B-41D8-B613-C20CA17540E1}">
  <ds:schemaRefs>
    <ds:schemaRef ds:uri="http://schemas.microsoft.com/office/2006/metadata/properties"/>
    <ds:schemaRef ds:uri="http://schemas.microsoft.com/office/infopath/2007/PartnerControls"/>
    <ds:schemaRef ds:uri="a62bb0cd-5bac-4332-8c80-9a459d884f39"/>
    <ds:schemaRef ds:uri="09694f86-599a-4ecd-ab00-47f33435690d"/>
  </ds:schemaRefs>
</ds:datastoreItem>
</file>

<file path=customXml/itemProps3.xml><?xml version="1.0" encoding="utf-8"?>
<ds:datastoreItem xmlns:ds="http://schemas.openxmlformats.org/officeDocument/2006/customXml" ds:itemID="{D7533BAF-86C6-4088-9782-DB16EF2EEDA1}"/>
</file>

<file path=customXml/itemProps4.xml><?xml version="1.0" encoding="utf-8"?>
<ds:datastoreItem xmlns:ds="http://schemas.openxmlformats.org/officeDocument/2006/customXml" ds:itemID="{821A25DB-2451-47BB-BC38-4DB013C8072D}">
  <ds:schemaRefs>
    <ds:schemaRef ds:uri="http://schemas.openxmlformats.org/officeDocument/2006/bibliography"/>
  </ds:schemaRefs>
</ds:datastoreItem>
</file>

<file path=customXml/itemProps5.xml><?xml version="1.0" encoding="utf-8"?>
<ds:datastoreItem xmlns:ds="http://schemas.openxmlformats.org/officeDocument/2006/customXml" ds:itemID="{DF72D312-4D48-46C9-AC8B-92AA6398047F}">
  <ds:schemaRefs/>
</ds:datastoreItem>
</file>

<file path=customXml/itemProps6.xml><?xml version="1.0" encoding="utf-8"?>
<ds:datastoreItem xmlns:ds="http://schemas.openxmlformats.org/officeDocument/2006/customXml" ds:itemID="{E7FE40AD-0DFA-41B4-9AA4-EA0A45AE08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319</Pages>
  <Words>126400</Words>
  <Characters>720485</Characters>
  <Application>Microsoft Office Word</Application>
  <DocSecurity>0</DocSecurity>
  <Lines>6004</Lines>
  <Paragraphs>1690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845195</CharactersWithSpaces>
  <SharedDoc>false</SharedDoc>
  <HLinks>
    <vt:vector size="1626" baseType="variant">
      <vt:variant>
        <vt:i4>1507407</vt:i4>
      </vt:variant>
      <vt:variant>
        <vt:i4>1731</vt:i4>
      </vt:variant>
      <vt:variant>
        <vt:i4>0</vt:i4>
      </vt:variant>
      <vt:variant>
        <vt:i4>5</vt:i4>
      </vt:variant>
      <vt:variant>
        <vt:lpwstr>http://www.deloitte.com/au/deloitte-access-economics</vt:lpwstr>
      </vt:variant>
      <vt:variant>
        <vt:lpwstr/>
      </vt:variant>
      <vt:variant>
        <vt:i4>6619263</vt:i4>
      </vt:variant>
      <vt:variant>
        <vt:i4>1728</vt:i4>
      </vt:variant>
      <vt:variant>
        <vt:i4>0</vt:i4>
      </vt:variant>
      <vt:variant>
        <vt:i4>5</vt:i4>
      </vt:variant>
      <vt:variant>
        <vt:lpwstr>https://www.lowitja.org.au/wp-content/uploads/2023/05/deficit-discourse.pdf</vt:lpwstr>
      </vt:variant>
      <vt:variant>
        <vt:lpwstr/>
      </vt:variant>
      <vt:variant>
        <vt:i4>6160412</vt:i4>
      </vt:variant>
      <vt:variant>
        <vt:i4>1725</vt:i4>
      </vt:variant>
      <vt:variant>
        <vt:i4>0</vt:i4>
      </vt:variant>
      <vt:variant>
        <vt:i4>5</vt:i4>
      </vt:variant>
      <vt:variant>
        <vt:lpwstr>https://www.vic.gov.au/access-early-learning</vt:lpwstr>
      </vt:variant>
      <vt:variant>
        <vt:lpwstr/>
      </vt:variant>
      <vt:variant>
        <vt:i4>1769481</vt:i4>
      </vt:variant>
      <vt:variant>
        <vt:i4>1722</vt:i4>
      </vt:variant>
      <vt:variant>
        <vt:i4>0</vt:i4>
      </vt:variant>
      <vt:variant>
        <vt:i4>5</vt:i4>
      </vt:variant>
      <vt:variant>
        <vt:lpwstr>https://www.acf.hhs.gov/ohs/about/head-start</vt:lpwstr>
      </vt:variant>
      <vt:variant>
        <vt:lpwstr/>
      </vt:variant>
      <vt:variant>
        <vt:i4>5308450</vt:i4>
      </vt:variant>
      <vt:variant>
        <vt:i4>1719</vt:i4>
      </vt:variant>
      <vt:variant>
        <vt:i4>0</vt:i4>
      </vt:variant>
      <vt:variant>
        <vt:i4>5</vt:i4>
      </vt:variant>
      <vt:variant>
        <vt:lpwstr>https://eprints.lse.ac.uk/12761/1/Multi-criteria_Analysis.pdf</vt:lpwstr>
      </vt:variant>
      <vt:variant>
        <vt:lpwstr/>
      </vt:variant>
      <vt:variant>
        <vt:i4>2359413</vt:i4>
      </vt:variant>
      <vt:variant>
        <vt:i4>1716</vt:i4>
      </vt:variant>
      <vt:variant>
        <vt:i4>0</vt:i4>
      </vt:variant>
      <vt:variant>
        <vt:i4>5</vt:i4>
      </vt:variant>
      <vt:variant>
        <vt:lpwstr>https://www.qld.gov.au/law/laws-regulated-industries-and-accountability/queensland-laws-and-regulations/regulated-industries-and-licensing/fair-trading-enforcement/compliance-program</vt:lpwstr>
      </vt:variant>
      <vt:variant>
        <vt:lpwstr/>
      </vt:variant>
      <vt:variant>
        <vt:i4>1310792</vt:i4>
      </vt:variant>
      <vt:variant>
        <vt:i4>1713</vt:i4>
      </vt:variant>
      <vt:variant>
        <vt:i4>0</vt:i4>
      </vt:variant>
      <vt:variant>
        <vt:i4>5</vt:i4>
      </vt:variant>
      <vt:variant>
        <vt:lpwstr>https://www.education.gov.au/early-childhood/resources/measuring-vulnerability-and-disadvantage-early-childhood-data-collections</vt:lpwstr>
      </vt:variant>
      <vt:variant>
        <vt:lpwstr/>
      </vt:variant>
      <vt:variant>
        <vt:i4>1310790</vt:i4>
      </vt:variant>
      <vt:variant>
        <vt:i4>1710</vt:i4>
      </vt:variant>
      <vt:variant>
        <vt:i4>0</vt:i4>
      </vt:variant>
      <vt:variant>
        <vt:i4>5</vt:i4>
      </vt:variant>
      <vt:variant>
        <vt:lpwstr>https://www.health.harvard.edu/blog/eat-more-plants-fewer-animals-2018112915198</vt:lpwstr>
      </vt:variant>
      <vt:variant>
        <vt:lpwstr>:~:text=Science%20has%20shown%20us%20over,lower%20our%20body%20mass%20index</vt:lpwstr>
      </vt:variant>
      <vt:variant>
        <vt:i4>6291511</vt:i4>
      </vt:variant>
      <vt:variant>
        <vt:i4>1707</vt:i4>
      </vt:variant>
      <vt:variant>
        <vt:i4>0</vt:i4>
      </vt:variant>
      <vt:variant>
        <vt:i4>5</vt:i4>
      </vt:variant>
      <vt:variant>
        <vt:lpwstr>https://www.sciencedirect.com/science/article/pii/S0959652622043542</vt:lpwstr>
      </vt:variant>
      <vt:variant>
        <vt:lpwstr>:~:text=On%20average%2C%20meat%2Dbased%20meals,environmental%20impact%20than%20vegan%20meals</vt:lpwstr>
      </vt:variant>
      <vt:variant>
        <vt:i4>65605</vt:i4>
      </vt:variant>
      <vt:variant>
        <vt:i4>1704</vt:i4>
      </vt:variant>
      <vt:variant>
        <vt:i4>0</vt:i4>
      </vt:variant>
      <vt:variant>
        <vt:i4>5</vt:i4>
      </vt:variant>
      <vt:variant>
        <vt:lpwstr>https://theconversation.com/all-electric-homes-are-better-for-your-hip-pocket-and-the-planet-heres-how-governments-can-help-us-get-off-gas-207409</vt:lpwstr>
      </vt:variant>
      <vt:variant>
        <vt:lpwstr/>
      </vt:variant>
      <vt:variant>
        <vt:i4>3801144</vt:i4>
      </vt:variant>
      <vt:variant>
        <vt:i4>1701</vt:i4>
      </vt:variant>
      <vt:variant>
        <vt:i4>0</vt:i4>
      </vt:variant>
      <vt:variant>
        <vt:i4>5</vt:i4>
      </vt:variant>
      <vt:variant>
        <vt:lpwstr>https://www.snaicc.org.au/wp-content/uploads/2015/12/02897.pdf</vt:lpwstr>
      </vt:variant>
      <vt:variant>
        <vt:lpwstr/>
      </vt:variant>
      <vt:variant>
        <vt:i4>3801129</vt:i4>
      </vt:variant>
      <vt:variant>
        <vt:i4>1698</vt:i4>
      </vt:variant>
      <vt:variant>
        <vt:i4>0</vt:i4>
      </vt:variant>
      <vt:variant>
        <vt:i4>5</vt:i4>
      </vt:variant>
      <vt:variant>
        <vt:lpwstr>https://www.snaicc.org.au/budget-based-funded-services/</vt:lpwstr>
      </vt:variant>
      <vt:variant>
        <vt:lpwstr/>
      </vt:variant>
      <vt:variant>
        <vt:i4>2818110</vt:i4>
      </vt:variant>
      <vt:variant>
        <vt:i4>1695</vt:i4>
      </vt:variant>
      <vt:variant>
        <vt:i4>0</vt:i4>
      </vt:variant>
      <vt:variant>
        <vt:i4>5</vt:i4>
      </vt:variant>
      <vt:variant>
        <vt:lpwstr>https://my.gov.au/en/services/raising-kids/toddlers-and-preschoolers/payments-for-toddlers-and-preschoolers/child-care-subsidy</vt:lpwstr>
      </vt:variant>
      <vt:variant>
        <vt:lpwstr/>
      </vt:variant>
      <vt:variant>
        <vt:i4>2556006</vt:i4>
      </vt:variant>
      <vt:variant>
        <vt:i4>1692</vt:i4>
      </vt:variant>
      <vt:variant>
        <vt:i4>0</vt:i4>
      </vt:variant>
      <vt:variant>
        <vt:i4>5</vt:i4>
      </vt:variant>
      <vt:variant>
        <vt:lpwstr>https://www.servicesaustralia.gov.au/centrelink-customer-reference-number-crn?context=64107</vt:lpwstr>
      </vt:variant>
      <vt:variant>
        <vt:lpwstr/>
      </vt:variant>
      <vt:variant>
        <vt:i4>4128892</vt:i4>
      </vt:variant>
      <vt:variant>
        <vt:i4>1689</vt:i4>
      </vt:variant>
      <vt:variant>
        <vt:i4>0</vt:i4>
      </vt:variant>
      <vt:variant>
        <vt:i4>5</vt:i4>
      </vt:variant>
      <vt:variant>
        <vt:lpwstr>https://www.esb.sa.gov.au/early-childhood/residual-services</vt:lpwstr>
      </vt:variant>
      <vt:variant>
        <vt:lpwstr/>
      </vt:variant>
      <vt:variant>
        <vt:i4>6422554</vt:i4>
      </vt:variant>
      <vt:variant>
        <vt:i4>1686</vt:i4>
      </vt:variant>
      <vt:variant>
        <vt:i4>0</vt:i4>
      </vt:variant>
      <vt:variant>
        <vt:i4>5</vt:i4>
      </vt:variant>
      <vt:variant>
        <vt:lpwstr>https://www.ppic.org/wp-content/uploads/content/pubs/ffg/FF_1003TRFF.pdf</vt:lpwstr>
      </vt:variant>
      <vt:variant>
        <vt:lpwstr/>
      </vt:variant>
      <vt:variant>
        <vt:i4>3735667</vt:i4>
      </vt:variant>
      <vt:variant>
        <vt:i4>1683</vt:i4>
      </vt:variant>
      <vt:variant>
        <vt:i4>0</vt:i4>
      </vt:variant>
      <vt:variant>
        <vt:i4>5</vt:i4>
      </vt:variant>
      <vt:variant>
        <vt:lpwstr>https://www.pc.gov.au/inquiries/completed/closing-the-gap-review/report</vt:lpwstr>
      </vt:variant>
      <vt:variant>
        <vt:lpwstr/>
      </vt:variant>
      <vt:variant>
        <vt:i4>2687009</vt:i4>
      </vt:variant>
      <vt:variant>
        <vt:i4>1680</vt:i4>
      </vt:variant>
      <vt:variant>
        <vt:i4>0</vt:i4>
      </vt:variant>
      <vt:variant>
        <vt:i4>5</vt:i4>
      </vt:variant>
      <vt:variant>
        <vt:lpwstr>https://www.pc.gov.au/inquiries/current/childhood/draft</vt:lpwstr>
      </vt:variant>
      <vt:variant>
        <vt:lpwstr/>
      </vt:variant>
      <vt:variant>
        <vt:i4>8323116</vt:i4>
      </vt:variant>
      <vt:variant>
        <vt:i4>1677</vt:i4>
      </vt:variant>
      <vt:variant>
        <vt:i4>0</vt:i4>
      </vt:variant>
      <vt:variant>
        <vt:i4>5</vt:i4>
      </vt:variant>
      <vt:variant>
        <vt:lpwstr>http://www.paulramsayfoundation.org.au/news-resources/new-investment-to-strengthen-early-years-for-children</vt:lpwstr>
      </vt:variant>
      <vt:variant>
        <vt:lpwstr>:~:text=Strengthening%20Early%20Years%20focuses%20on,years%20of%20their%20child's%20life.</vt:lpwstr>
      </vt:variant>
      <vt:variant>
        <vt:i4>5505099</vt:i4>
      </vt:variant>
      <vt:variant>
        <vt:i4>1674</vt:i4>
      </vt:variant>
      <vt:variant>
        <vt:i4>0</vt:i4>
      </vt:variant>
      <vt:variant>
        <vt:i4>5</vt:i4>
      </vt:variant>
      <vt:variant>
        <vt:lpwstr>https://www.education.vic.gov.au/Documents/about/research/LiftingOurGame.PDF</vt:lpwstr>
      </vt:variant>
      <vt:variant>
        <vt:lpwstr/>
      </vt:variant>
      <vt:variant>
        <vt:i4>4390981</vt:i4>
      </vt:variant>
      <vt:variant>
        <vt:i4>1671</vt:i4>
      </vt:variant>
      <vt:variant>
        <vt:i4>0</vt:i4>
      </vt:variant>
      <vt:variant>
        <vt:i4>5</vt:i4>
      </vt:variant>
      <vt:variant>
        <vt:lpwstr>https://parlinfo.aph.gov.au/parlInfo/search/display/display.w3p;query=Id%3A%22legislation%2Fbillsdgs%2F4511107%22</vt:lpwstr>
      </vt:variant>
      <vt:variant>
        <vt:lpwstr/>
      </vt:variant>
      <vt:variant>
        <vt:i4>8060965</vt:i4>
      </vt:variant>
      <vt:variant>
        <vt:i4>1668</vt:i4>
      </vt:variant>
      <vt:variant>
        <vt:i4>0</vt:i4>
      </vt:variant>
      <vt:variant>
        <vt:i4>5</vt:i4>
      </vt:variant>
      <vt:variant>
        <vt:lpwstr>https://legislation.nsw.gov.au/view/pdf/asmade/sl-2019-203</vt:lpwstr>
      </vt:variant>
      <vt:variant>
        <vt:lpwstr/>
      </vt:variant>
      <vt:variant>
        <vt:i4>1638417</vt:i4>
      </vt:variant>
      <vt:variant>
        <vt:i4>1665</vt:i4>
      </vt:variant>
      <vt:variant>
        <vt:i4>0</vt:i4>
      </vt:variant>
      <vt:variant>
        <vt:i4>5</vt:i4>
      </vt:variant>
      <vt:variant>
        <vt:lpwstr>https://education.nsw.gov.au/early-childhood-education/operating-an-early-childhood-education-service/grants-and-funded-programs/quality-and-participation-grants-program</vt:lpwstr>
      </vt:variant>
      <vt:variant>
        <vt:lpwstr/>
      </vt:variant>
      <vt:variant>
        <vt:i4>196610</vt:i4>
      </vt:variant>
      <vt:variant>
        <vt:i4>1662</vt:i4>
      </vt:variant>
      <vt:variant>
        <vt:i4>0</vt:i4>
      </vt:variant>
      <vt:variant>
        <vt:i4>5</vt:i4>
      </vt:variant>
      <vt:variant>
        <vt:lpwstr>https://education.nsw.gov.au/early-childhood-education/operating-an-early-childhood-education-service/current-service-providers/making-services-accessible-for-all-children/aboriginal-access/cultural-safety-framework-consultation</vt:lpwstr>
      </vt:variant>
      <vt:variant>
        <vt:lpwstr/>
      </vt:variant>
      <vt:variant>
        <vt:i4>6946895</vt:i4>
      </vt:variant>
      <vt:variant>
        <vt:i4>1659</vt:i4>
      </vt:variant>
      <vt:variant>
        <vt:i4>0</vt:i4>
      </vt:variant>
      <vt:variant>
        <vt:i4>5</vt:i4>
      </vt:variant>
      <vt:variant>
        <vt:lpwstr>https://education.nsw.gov.au/content/dam/main-education/early-childhood-education/regulation-and-compliance/The_Regulatory_Authoritys_Approach_to_Compliance.pdf</vt:lpwstr>
      </vt:variant>
      <vt:variant>
        <vt:lpwstr/>
      </vt:variant>
      <vt:variant>
        <vt:i4>5701708</vt:i4>
      </vt:variant>
      <vt:variant>
        <vt:i4>1656</vt:i4>
      </vt:variant>
      <vt:variant>
        <vt:i4>0</vt:i4>
      </vt:variant>
      <vt:variant>
        <vt:i4>5</vt:i4>
      </vt:variant>
      <vt:variant>
        <vt:lpwstr>http://www.ndisreview.gov.au/</vt:lpwstr>
      </vt:variant>
      <vt:variant>
        <vt:lpwstr/>
      </vt:variant>
      <vt:variant>
        <vt:i4>5308507</vt:i4>
      </vt:variant>
      <vt:variant>
        <vt:i4>1653</vt:i4>
      </vt:variant>
      <vt:variant>
        <vt:i4>0</vt:i4>
      </vt:variant>
      <vt:variant>
        <vt:i4>5</vt:i4>
      </vt:variant>
      <vt:variant>
        <vt:lpwstr>https://www.niaa.gov.au/indigenous-affairs/grants-and-funding/indigenous-advancement-strategy</vt:lpwstr>
      </vt:variant>
      <vt:variant>
        <vt:lpwstr/>
      </vt:variant>
      <vt:variant>
        <vt:i4>7536672</vt:i4>
      </vt:variant>
      <vt:variant>
        <vt:i4>1650</vt:i4>
      </vt:variant>
      <vt:variant>
        <vt:i4>0</vt:i4>
      </vt:variant>
      <vt:variant>
        <vt:i4>5</vt:i4>
      </vt:variant>
      <vt:variant>
        <vt:lpwstr>https://www.niaa.gov.au/resource-centre/indigenous-affairs/national-aboriginal-and-torres-strait-islander-early-childhood-strategy</vt:lpwstr>
      </vt:variant>
      <vt:variant>
        <vt:lpwstr/>
      </vt:variant>
      <vt:variant>
        <vt:i4>4063272</vt:i4>
      </vt:variant>
      <vt:variant>
        <vt:i4>1647</vt:i4>
      </vt:variant>
      <vt:variant>
        <vt:i4>0</vt:i4>
      </vt:variant>
      <vt:variant>
        <vt:i4>5</vt:i4>
      </vt:variant>
      <vt:variant>
        <vt:lpwstr>http://www.niaa.gov.au/</vt:lpwstr>
      </vt:variant>
      <vt:variant>
        <vt:lpwstr/>
      </vt:variant>
      <vt:variant>
        <vt:i4>3866653</vt:i4>
      </vt:variant>
      <vt:variant>
        <vt:i4>1644</vt:i4>
      </vt:variant>
      <vt:variant>
        <vt:i4>0</vt:i4>
      </vt:variant>
      <vt:variant>
        <vt:i4>5</vt:i4>
      </vt:variant>
      <vt:variant>
        <vt:lpwstr>https://www.dss.gov.au/sites/default/files/documents/05_2015/research_summary_no1_2004_-_multiple_disadvantage_-_accessible_version_.pdf</vt:lpwstr>
      </vt:variant>
      <vt:variant>
        <vt:lpwstr/>
      </vt:variant>
      <vt:variant>
        <vt:i4>2424957</vt:i4>
      </vt:variant>
      <vt:variant>
        <vt:i4>1641</vt:i4>
      </vt:variant>
      <vt:variant>
        <vt:i4>0</vt:i4>
      </vt:variant>
      <vt:variant>
        <vt:i4>5</vt:i4>
      </vt:variant>
      <vt:variant>
        <vt:lpwstr>https://www.rch.org.au/uploadedFiles/Main/Content/ccchdev/Restacking-the-Odds_ECEC_communication-summary.pdf</vt:lpwstr>
      </vt:variant>
      <vt:variant>
        <vt:lpwstr/>
      </vt:variant>
      <vt:variant>
        <vt:i4>6357029</vt:i4>
      </vt:variant>
      <vt:variant>
        <vt:i4>1638</vt:i4>
      </vt:variant>
      <vt:variant>
        <vt:i4>0</vt:i4>
      </vt:variant>
      <vt:variant>
        <vt:i4>5</vt:i4>
      </vt:variant>
      <vt:variant>
        <vt:lpwstr>https://www.education.govt.nz/early-childhood/funding-and-data/funding-handbooks/ece-funding-handbook/</vt:lpwstr>
      </vt:variant>
      <vt:variant>
        <vt:lpwstr/>
      </vt:variant>
      <vt:variant>
        <vt:i4>5439558</vt:i4>
      </vt:variant>
      <vt:variant>
        <vt:i4>1635</vt:i4>
      </vt:variant>
      <vt:variant>
        <vt:i4>0</vt:i4>
      </vt:variant>
      <vt:variant>
        <vt:i4>5</vt:i4>
      </vt:variant>
      <vt:variant>
        <vt:lpwstr>https://www.jstor.org/stable/26754065</vt:lpwstr>
      </vt:variant>
      <vt:variant>
        <vt:lpwstr/>
      </vt:variant>
      <vt:variant>
        <vt:i4>8257577</vt:i4>
      </vt:variant>
      <vt:variant>
        <vt:i4>1632</vt:i4>
      </vt:variant>
      <vt:variant>
        <vt:i4>0</vt:i4>
      </vt:variant>
      <vt:variant>
        <vt:i4>5</vt:i4>
      </vt:variant>
      <vt:variant>
        <vt:lpwstr>https://www.mja.com.au/journal/2018/208/7/damp-housing-gas-stoves-and-burden-childhood-asthma-australia</vt:lpwstr>
      </vt:variant>
      <vt:variant>
        <vt:lpwstr/>
      </vt:variant>
      <vt:variant>
        <vt:i4>3211306</vt:i4>
      </vt:variant>
      <vt:variant>
        <vt:i4>1629</vt:i4>
      </vt:variant>
      <vt:variant>
        <vt:i4>0</vt:i4>
      </vt:variant>
      <vt:variant>
        <vt:i4>5</vt:i4>
      </vt:variant>
      <vt:variant>
        <vt:lpwstr>https://www.theguardian.com/australia-news/2020/may/18/a-quarter-of-all-childcare-centres-say-free-scheme-wont-help-them-remain-viable</vt:lpwstr>
      </vt:variant>
      <vt:variant>
        <vt:lpwstr/>
      </vt:variant>
      <vt:variant>
        <vt:i4>3473451</vt:i4>
      </vt:variant>
      <vt:variant>
        <vt:i4>1626</vt:i4>
      </vt:variant>
      <vt:variant>
        <vt:i4>0</vt:i4>
      </vt:variant>
      <vt:variant>
        <vt:i4>5</vt:i4>
      </vt:variant>
      <vt:variant>
        <vt:lpwstr>https://www.canada.ca/content/dam/phac-aspc/documents/corporate/transparency/corporate-management-reporting/evaluation/aboriginal-head-start-urban-northern-communities-program.pdf</vt:lpwstr>
      </vt:variant>
      <vt:variant>
        <vt:lpwstr/>
      </vt:variant>
      <vt:variant>
        <vt:i4>4194350</vt:i4>
      </vt:variant>
      <vt:variant>
        <vt:i4>1623</vt:i4>
      </vt:variant>
      <vt:variant>
        <vt:i4>0</vt:i4>
      </vt:variant>
      <vt:variant>
        <vt:i4>5</vt:i4>
      </vt:variant>
      <vt:variant>
        <vt:lpwstr>https://www.acecqa.gov.au/sites/default/files/2020-01/Guide-to-the-NQF_2.pdf</vt:lpwstr>
      </vt:variant>
      <vt:variant>
        <vt:lpwstr/>
      </vt:variant>
      <vt:variant>
        <vt:i4>1638470</vt:i4>
      </vt:variant>
      <vt:variant>
        <vt:i4>1620</vt:i4>
      </vt:variant>
      <vt:variant>
        <vt:i4>0</vt:i4>
      </vt:variant>
      <vt:variant>
        <vt:i4>5</vt:i4>
      </vt:variant>
      <vt:variant>
        <vt:lpwstr>https://www.canada.ca/en/public-health/services/child-infant-health/supports-programs-pregnancy/aboriginal-head-start-urban-northern-communities-ahsunc.html</vt:lpwstr>
      </vt:variant>
      <vt:variant>
        <vt:lpwstr/>
      </vt:variant>
      <vt:variant>
        <vt:i4>2556009</vt:i4>
      </vt:variant>
      <vt:variant>
        <vt:i4>1617</vt:i4>
      </vt:variant>
      <vt:variant>
        <vt:i4>0</vt:i4>
      </vt:variant>
      <vt:variant>
        <vt:i4>5</vt:i4>
      </vt:variant>
      <vt:variant>
        <vt:lpwstr>https://thesector.com.au/2018/12/06/transition-pathways-for-budget-based-funded-services-revealed-through-senate-questions/</vt:lpwstr>
      </vt:variant>
      <vt:variant>
        <vt:lpwstr/>
      </vt:variant>
      <vt:variant>
        <vt:i4>6619192</vt:i4>
      </vt:variant>
      <vt:variant>
        <vt:i4>1614</vt:i4>
      </vt:variant>
      <vt:variant>
        <vt:i4>0</vt:i4>
      </vt:variant>
      <vt:variant>
        <vt:i4>5</vt:i4>
      </vt:variant>
      <vt:variant>
        <vt:lpwstr>https://formerministers.dss.gov.au/15859/job-for-families-child-care-package-delivers-choice-for-families/</vt:lpwstr>
      </vt:variant>
      <vt:variant>
        <vt:lpwstr/>
      </vt:variant>
      <vt:variant>
        <vt:i4>8257573</vt:i4>
      </vt:variant>
      <vt:variant>
        <vt:i4>1611</vt:i4>
      </vt:variant>
      <vt:variant>
        <vt:i4>0</vt:i4>
      </vt:variant>
      <vt:variant>
        <vt:i4>5</vt:i4>
      </vt:variant>
      <vt:variant>
        <vt:lpwstr>https://www.legislation.gov.au/Details/F2022C00009</vt:lpwstr>
      </vt:variant>
      <vt:variant>
        <vt:lpwstr/>
      </vt:variant>
      <vt:variant>
        <vt:i4>8257573</vt:i4>
      </vt:variant>
      <vt:variant>
        <vt:i4>1608</vt:i4>
      </vt:variant>
      <vt:variant>
        <vt:i4>0</vt:i4>
      </vt:variant>
      <vt:variant>
        <vt:i4>5</vt:i4>
      </vt:variant>
      <vt:variant>
        <vt:lpwstr>https://www.legislation.gov.au/Details/F2022C00009</vt:lpwstr>
      </vt:variant>
      <vt:variant>
        <vt:lpwstr/>
      </vt:variant>
      <vt:variant>
        <vt:i4>2424944</vt:i4>
      </vt:variant>
      <vt:variant>
        <vt:i4>1605</vt:i4>
      </vt:variant>
      <vt:variant>
        <vt:i4>0</vt:i4>
      </vt:variant>
      <vt:variant>
        <vt:i4>5</vt:i4>
      </vt:variant>
      <vt:variant>
        <vt:lpwstr>https://guides.dss.gov.au/family-assistance-guide/1/1/a/90</vt:lpwstr>
      </vt:variant>
      <vt:variant>
        <vt:lpwstr/>
      </vt:variant>
      <vt:variant>
        <vt:i4>65606</vt:i4>
      </vt:variant>
      <vt:variant>
        <vt:i4>1602</vt:i4>
      </vt:variant>
      <vt:variant>
        <vt:i4>0</vt:i4>
      </vt:variant>
      <vt:variant>
        <vt:i4>5</vt:i4>
      </vt:variant>
      <vt:variant>
        <vt:lpwstr>https://ro.uow.edu.au/sspapers/1993/</vt:lpwstr>
      </vt:variant>
      <vt:variant>
        <vt:lpwstr/>
      </vt:variant>
      <vt:variant>
        <vt:i4>3473521</vt:i4>
      </vt:variant>
      <vt:variant>
        <vt:i4>1599</vt:i4>
      </vt:variant>
      <vt:variant>
        <vt:i4>0</vt:i4>
      </vt:variant>
      <vt:variant>
        <vt:i4>5</vt:i4>
      </vt:variant>
      <vt:variant>
        <vt:lpwstr>https://www.suttontrust.com/wp-content/uploads/2023/01/Equal-Hours.pdf</vt:lpwstr>
      </vt:variant>
      <vt:variant>
        <vt:lpwstr/>
      </vt:variant>
      <vt:variant>
        <vt:i4>3735614</vt:i4>
      </vt:variant>
      <vt:variant>
        <vt:i4>1596</vt:i4>
      </vt:variant>
      <vt:variant>
        <vt:i4>0</vt:i4>
      </vt:variant>
      <vt:variant>
        <vt:i4>5</vt:i4>
      </vt:variant>
      <vt:variant>
        <vt:lpwstr>https://www.acecqa.gov.au/sites/default/files/2021-10/ShapingOurFutureChildrensEducationandCareNationalWorkforceStrategy-September2021.pdf</vt:lpwstr>
      </vt:variant>
      <vt:variant>
        <vt:lpwstr/>
      </vt:variant>
      <vt:variant>
        <vt:i4>7995425</vt:i4>
      </vt:variant>
      <vt:variant>
        <vt:i4>1593</vt:i4>
      </vt:variant>
      <vt:variant>
        <vt:i4>0</vt:i4>
      </vt:variant>
      <vt:variant>
        <vt:i4>5</vt:i4>
      </vt:variant>
      <vt:variant>
        <vt:lpwstr>https://www.dss.gov.au/families-and-children-programs-services-early-years-strategy/national-early-years-summit-summary-and-agenda</vt:lpwstr>
      </vt:variant>
      <vt:variant>
        <vt:lpwstr/>
      </vt:variant>
      <vt:variant>
        <vt:i4>6488121</vt:i4>
      </vt:variant>
      <vt:variant>
        <vt:i4>1590</vt:i4>
      </vt:variant>
      <vt:variant>
        <vt:i4>0</vt:i4>
      </vt:variant>
      <vt:variant>
        <vt:i4>5</vt:i4>
      </vt:variant>
      <vt:variant>
        <vt:lpwstr>http://www.dss.gov.au/</vt:lpwstr>
      </vt:variant>
      <vt:variant>
        <vt:lpwstr/>
      </vt:variant>
      <vt:variant>
        <vt:i4>8061052</vt:i4>
      </vt:variant>
      <vt:variant>
        <vt:i4>1587</vt:i4>
      </vt:variant>
      <vt:variant>
        <vt:i4>0</vt:i4>
      </vt:variant>
      <vt:variant>
        <vt:i4>5</vt:i4>
      </vt:variant>
      <vt:variant>
        <vt:lpwstr>https://www.education.gov.au/early-childhood/strategy-and-evaluation/national-vision-early-childhood-education-and-care</vt:lpwstr>
      </vt:variant>
      <vt:variant>
        <vt:lpwstr/>
      </vt:variant>
      <vt:variant>
        <vt:i4>6750264</vt:i4>
      </vt:variant>
      <vt:variant>
        <vt:i4>1584</vt:i4>
      </vt:variant>
      <vt:variant>
        <vt:i4>0</vt:i4>
      </vt:variant>
      <vt:variant>
        <vt:i4>5</vt:i4>
      </vt:variant>
      <vt:variant>
        <vt:lpwstr>https://www.education.gov.au/early-childhood/provider-obligations/family-assistance-law</vt:lpwstr>
      </vt:variant>
      <vt:variant>
        <vt:lpwstr/>
      </vt:variant>
      <vt:variant>
        <vt:i4>7733294</vt:i4>
      </vt:variant>
      <vt:variant>
        <vt:i4>1581</vt:i4>
      </vt:variant>
      <vt:variant>
        <vt:i4>0</vt:i4>
      </vt:variant>
      <vt:variant>
        <vt:i4>5</vt:i4>
      </vt:variant>
      <vt:variant>
        <vt:lpwstr>https://ihcsupportagency.org.au/wp-content/uploads/2019/07/ChildCareProviderHandbookV2.pdf</vt:lpwstr>
      </vt:variant>
      <vt:variant>
        <vt:lpwstr/>
      </vt:variant>
      <vt:variant>
        <vt:i4>2621496</vt:i4>
      </vt:variant>
      <vt:variant>
        <vt:i4>1578</vt:i4>
      </vt:variant>
      <vt:variant>
        <vt:i4>0</vt:i4>
      </vt:variant>
      <vt:variant>
        <vt:i4>5</vt:i4>
      </vt:variant>
      <vt:variant>
        <vt:lpwstr>https://www.indigenous.gov.au/news-and-media/announcements/minister-scullion-backing-early-learning-and-care-disadvantaged</vt:lpwstr>
      </vt:variant>
      <vt:variant>
        <vt:lpwstr/>
      </vt:variant>
      <vt:variant>
        <vt:i4>6029313</vt:i4>
      </vt:variant>
      <vt:variant>
        <vt:i4>1575</vt:i4>
      </vt:variant>
      <vt:variant>
        <vt:i4>0</vt:i4>
      </vt:variant>
      <vt:variant>
        <vt:i4>5</vt:i4>
      </vt:variant>
      <vt:variant>
        <vt:lpwstr>https://www.education.gov.au/early-childhood/community-child-care-fund-restricted-guide/introduction/cccf-restricted-grant-expansion</vt:lpwstr>
      </vt:variant>
      <vt:variant>
        <vt:lpwstr/>
      </vt:variant>
      <vt:variant>
        <vt:i4>5898267</vt:i4>
      </vt:variant>
      <vt:variant>
        <vt:i4>1572</vt:i4>
      </vt:variant>
      <vt:variant>
        <vt:i4>0</vt:i4>
      </vt:variant>
      <vt:variant>
        <vt:i4>5</vt:i4>
      </vt:variant>
      <vt:variant>
        <vt:lpwstr>https://www.education.gov.au/early-childhood/community-child-care-fund/cccf-restricted-grant</vt:lpwstr>
      </vt:variant>
      <vt:variant>
        <vt:lpwstr/>
      </vt:variant>
      <vt:variant>
        <vt:i4>5701723</vt:i4>
      </vt:variant>
      <vt:variant>
        <vt:i4>1569</vt:i4>
      </vt:variant>
      <vt:variant>
        <vt:i4>0</vt:i4>
      </vt:variant>
      <vt:variant>
        <vt:i4>5</vt:i4>
      </vt:variant>
      <vt:variant>
        <vt:lpwstr>https://www.education.gov.au/early-childhood/resources/community-child-care-fund-restricted-grants-guide-grant-recipients</vt:lpwstr>
      </vt:variant>
      <vt:variant>
        <vt:lpwstr/>
      </vt:variant>
      <vt:variant>
        <vt:i4>3866664</vt:i4>
      </vt:variant>
      <vt:variant>
        <vt:i4>1566</vt:i4>
      </vt:variant>
      <vt:variant>
        <vt:i4>0</vt:i4>
      </vt:variant>
      <vt:variant>
        <vt:i4>5</vt:i4>
      </vt:variant>
      <vt:variant>
        <vt:lpwstr>https://www.cela.org.au/training/approved-provider-program</vt:lpwstr>
      </vt:variant>
      <vt:variant>
        <vt:lpwstr/>
      </vt:variant>
      <vt:variant>
        <vt:i4>6291570</vt:i4>
      </vt:variant>
      <vt:variant>
        <vt:i4>1563</vt:i4>
      </vt:variant>
      <vt:variant>
        <vt:i4>0</vt:i4>
      </vt:variant>
      <vt:variant>
        <vt:i4>5</vt:i4>
      </vt:variant>
      <vt:variant>
        <vt:lpwstr>https://www.education.gov.au/early-childhood/community-child-care-fund/cccf-restricted-grant/community-child-care-fund-restricted-grant-review</vt:lpwstr>
      </vt:variant>
      <vt:variant>
        <vt:lpwstr/>
      </vt:variant>
      <vt:variant>
        <vt:i4>3145840</vt:i4>
      </vt:variant>
      <vt:variant>
        <vt:i4>1560</vt:i4>
      </vt:variant>
      <vt:variant>
        <vt:i4>0</vt:i4>
      </vt:variant>
      <vt:variant>
        <vt:i4>5</vt:i4>
      </vt:variant>
      <vt:variant>
        <vt:lpwstr>https://www.closingthegap.gov.au/sites/default/files/2021-12/sector-strengthening-plan-early-childhood-care-development.pdf</vt:lpwstr>
      </vt:variant>
      <vt:variant>
        <vt:lpwstr/>
      </vt:variant>
      <vt:variant>
        <vt:i4>7602253</vt:i4>
      </vt:variant>
      <vt:variant>
        <vt:i4>1557</vt:i4>
      </vt:variant>
      <vt:variant>
        <vt:i4>0</vt:i4>
      </vt:variant>
      <vt:variant>
        <vt:i4>5</vt:i4>
      </vt:variant>
      <vt:variant>
        <vt:lpwstr>https://www.dss.gov.au/sites/default/files/documents/04_2022/cafis_1h_-_strengths-based_approaches.pdf</vt:lpwstr>
      </vt:variant>
      <vt:variant>
        <vt:lpwstr/>
      </vt:variant>
      <vt:variant>
        <vt:i4>4063287</vt:i4>
      </vt:variant>
      <vt:variant>
        <vt:i4>1554</vt:i4>
      </vt:variant>
      <vt:variant>
        <vt:i4>0</vt:i4>
      </vt:variant>
      <vt:variant>
        <vt:i4>5</vt:i4>
      </vt:variant>
      <vt:variant>
        <vt:lpwstr>https://aifs.gov.au/sites/default/files/2022-12/2021_child_care_package_evaluation_final_report.pdf</vt:lpwstr>
      </vt:variant>
      <vt:variant>
        <vt:lpwstr/>
      </vt:variant>
      <vt:variant>
        <vt:i4>8126515</vt:i4>
      </vt:variant>
      <vt:variant>
        <vt:i4>1551</vt:i4>
      </vt:variant>
      <vt:variant>
        <vt:i4>0</vt:i4>
      </vt:variant>
      <vt:variant>
        <vt:i4>5</vt:i4>
      </vt:variant>
      <vt:variant>
        <vt:lpwstr>https://www.aihw.gov.au/reports/children-youth/australias-children</vt:lpwstr>
      </vt:variant>
      <vt:variant>
        <vt:lpwstr/>
      </vt:variant>
      <vt:variant>
        <vt:i4>4063287</vt:i4>
      </vt:variant>
      <vt:variant>
        <vt:i4>1548</vt:i4>
      </vt:variant>
      <vt:variant>
        <vt:i4>0</vt:i4>
      </vt:variant>
      <vt:variant>
        <vt:i4>5</vt:i4>
      </vt:variant>
      <vt:variant>
        <vt:lpwstr>https://aifs.gov.au/sites/default/files/2022-12/2021_child_care_package_evaluation_final_report.pdf</vt:lpwstr>
      </vt:variant>
      <vt:variant>
        <vt:lpwstr/>
      </vt:variant>
      <vt:variant>
        <vt:i4>7536760</vt:i4>
      </vt:variant>
      <vt:variant>
        <vt:i4>1545</vt:i4>
      </vt:variant>
      <vt:variant>
        <vt:i4>0</vt:i4>
      </vt:variant>
      <vt:variant>
        <vt:i4>5</vt:i4>
      </vt:variant>
      <vt:variant>
        <vt:lpwstr>https://www.servicesaustralia.gov.au/activity-test-for-child-care-subsidy-for-aboriginal-and-torres-strait-islander-children?context=41186</vt:lpwstr>
      </vt:variant>
      <vt:variant>
        <vt:lpwstr/>
      </vt:variant>
      <vt:variant>
        <vt:i4>131137</vt:i4>
      </vt:variant>
      <vt:variant>
        <vt:i4>1542</vt:i4>
      </vt:variant>
      <vt:variant>
        <vt:i4>0</vt:i4>
      </vt:variant>
      <vt:variant>
        <vt:i4>5</vt:i4>
      </vt:variant>
      <vt:variant>
        <vt:lpwstr>https://www.pc.gov.au/inquiries/completed/closing-the-gap-review/report/closing-the-gap-review-report.pdf</vt:lpwstr>
      </vt:variant>
      <vt:variant>
        <vt:lpwstr/>
      </vt:variant>
      <vt:variant>
        <vt:i4>7733297</vt:i4>
      </vt:variant>
      <vt:variant>
        <vt:i4>1539</vt:i4>
      </vt:variant>
      <vt:variant>
        <vt:i4>0</vt:i4>
      </vt:variant>
      <vt:variant>
        <vt:i4>5</vt:i4>
      </vt:variant>
      <vt:variant>
        <vt:lpwstr>https://www.pc.gov.au/inquiries/current/childhood/draft/childhood-draft.pdf</vt:lpwstr>
      </vt:variant>
      <vt:variant>
        <vt:lpwstr/>
      </vt:variant>
      <vt:variant>
        <vt:i4>2621496</vt:i4>
      </vt:variant>
      <vt:variant>
        <vt:i4>1536</vt:i4>
      </vt:variant>
      <vt:variant>
        <vt:i4>0</vt:i4>
      </vt:variant>
      <vt:variant>
        <vt:i4>5</vt:i4>
      </vt:variant>
      <vt:variant>
        <vt:lpwstr>https://www.indigenous.gov.au/news-and-media/announcements/minister-scullion-backing-early-learning-and-care-disadvantaged</vt:lpwstr>
      </vt:variant>
      <vt:variant>
        <vt:lpwstr/>
      </vt:variant>
      <vt:variant>
        <vt:i4>7995425</vt:i4>
      </vt:variant>
      <vt:variant>
        <vt:i4>1533</vt:i4>
      </vt:variant>
      <vt:variant>
        <vt:i4>0</vt:i4>
      </vt:variant>
      <vt:variant>
        <vt:i4>5</vt:i4>
      </vt:variant>
      <vt:variant>
        <vt:lpwstr>https://www.dss.gov.au/families-and-children-programs-services-early-years-strategy/national-early-years-summit-summary-and-agenda</vt:lpwstr>
      </vt:variant>
      <vt:variant>
        <vt:lpwstr/>
      </vt:variant>
      <vt:variant>
        <vt:i4>6488121</vt:i4>
      </vt:variant>
      <vt:variant>
        <vt:i4>1530</vt:i4>
      </vt:variant>
      <vt:variant>
        <vt:i4>0</vt:i4>
      </vt:variant>
      <vt:variant>
        <vt:i4>5</vt:i4>
      </vt:variant>
      <vt:variant>
        <vt:lpwstr>http://www.dss.gov.au/</vt:lpwstr>
      </vt:variant>
      <vt:variant>
        <vt:lpwstr/>
      </vt:variant>
      <vt:variant>
        <vt:i4>2097273</vt:i4>
      </vt:variant>
      <vt:variant>
        <vt:i4>1527</vt:i4>
      </vt:variant>
      <vt:variant>
        <vt:i4>0</vt:i4>
      </vt:variant>
      <vt:variant>
        <vt:i4>5</vt:i4>
      </vt:variant>
      <vt:variant>
        <vt:lpwstr>https://guides.dss.gov.au/family-assistance-guide/1/1/a/05</vt:lpwstr>
      </vt:variant>
      <vt:variant>
        <vt:lpwstr/>
      </vt:variant>
      <vt:variant>
        <vt:i4>4063269</vt:i4>
      </vt:variant>
      <vt:variant>
        <vt:i4>1524</vt:i4>
      </vt:variant>
      <vt:variant>
        <vt:i4>0</vt:i4>
      </vt:variant>
      <vt:variant>
        <vt:i4>5</vt:i4>
      </vt:variant>
      <vt:variant>
        <vt:lpwstr>https://www.grants.gov.au/Fo/DownloadDocument/e99c0c70-f434-c990-87d3-6ddebfa904f5?docType=Fo&amp;fileName=CCCF%20Restricted%20non-competitive%20grant%20opportunity%20guidelines%20%20311017.pdf&amp;location=s3Restricted</vt:lpwstr>
      </vt:variant>
      <vt:variant>
        <vt:lpwstr/>
      </vt:variant>
      <vt:variant>
        <vt:i4>2097256</vt:i4>
      </vt:variant>
      <vt:variant>
        <vt:i4>1521</vt:i4>
      </vt:variant>
      <vt:variant>
        <vt:i4>0</vt:i4>
      </vt:variant>
      <vt:variant>
        <vt:i4>5</vt:i4>
      </vt:variant>
      <vt:variant>
        <vt:lpwstr>https://www.education.gov.au/early-childhood/provider-obligations/persons-management-or-control/pmcs-organisation-type</vt:lpwstr>
      </vt:variant>
      <vt:variant>
        <vt:lpwstr/>
      </vt:variant>
      <vt:variant>
        <vt:i4>2424886</vt:i4>
      </vt:variant>
      <vt:variant>
        <vt:i4>1518</vt:i4>
      </vt:variant>
      <vt:variant>
        <vt:i4>0</vt:i4>
      </vt:variant>
      <vt:variant>
        <vt:i4>5</vt:i4>
      </vt:variant>
      <vt:variant>
        <vt:lpwstr>http://www.education.gov.au/early-childhood/provider-obligations/persons-management-or-control</vt:lpwstr>
      </vt:variant>
      <vt:variant>
        <vt:lpwstr/>
      </vt:variant>
      <vt:variant>
        <vt:i4>4390927</vt:i4>
      </vt:variant>
      <vt:variant>
        <vt:i4>1515</vt:i4>
      </vt:variant>
      <vt:variant>
        <vt:i4>0</vt:i4>
      </vt:variant>
      <vt:variant>
        <vt:i4>5</vt:i4>
      </vt:variant>
      <vt:variant>
        <vt:lpwstr>https://www.education.gov.au/early-childhood/provider-obligations/collecting-gap-fees</vt:lpwstr>
      </vt:variant>
      <vt:variant>
        <vt:lpwstr/>
      </vt:variant>
      <vt:variant>
        <vt:i4>8257635</vt:i4>
      </vt:variant>
      <vt:variant>
        <vt:i4>1512</vt:i4>
      </vt:variant>
      <vt:variant>
        <vt:i4>0</vt:i4>
      </vt:variant>
      <vt:variant>
        <vt:i4>5</vt:i4>
      </vt:variant>
      <vt:variant>
        <vt:lpwstr>https://federalfinancialrelations.gov.au/sites/federalfinancialrelations.gov.au/files/2022-12/PRA Variation_compilation_All States.pdf</vt:lpwstr>
      </vt:variant>
      <vt:variant>
        <vt:lpwstr/>
      </vt:variant>
      <vt:variant>
        <vt:i4>2424952</vt:i4>
      </vt:variant>
      <vt:variant>
        <vt:i4>1509</vt:i4>
      </vt:variant>
      <vt:variant>
        <vt:i4>0</vt:i4>
      </vt:variant>
      <vt:variant>
        <vt:i4>5</vt:i4>
      </vt:variant>
      <vt:variant>
        <vt:lpwstr>https://www.education.gov.au/early-childhood/inclusion-support-program</vt:lpwstr>
      </vt:variant>
      <vt:variant>
        <vt:lpwstr/>
      </vt:variant>
      <vt:variant>
        <vt:i4>8192051</vt:i4>
      </vt:variant>
      <vt:variant>
        <vt:i4>1506</vt:i4>
      </vt:variant>
      <vt:variant>
        <vt:i4>0</vt:i4>
      </vt:variant>
      <vt:variant>
        <vt:i4>5</vt:i4>
      </vt:variant>
      <vt:variant>
        <vt:lpwstr>https://www.education.gov.au/early-childhood/resources/2021-early-childhood-education-and-care-national-workforce-census-report</vt:lpwstr>
      </vt:variant>
      <vt:variant>
        <vt:lpwstr/>
      </vt:variant>
      <vt:variant>
        <vt:i4>5701723</vt:i4>
      </vt:variant>
      <vt:variant>
        <vt:i4>1503</vt:i4>
      </vt:variant>
      <vt:variant>
        <vt:i4>0</vt:i4>
      </vt:variant>
      <vt:variant>
        <vt:i4>5</vt:i4>
      </vt:variant>
      <vt:variant>
        <vt:lpwstr>https://www.education.gov.au/early-childhood/resources/community-child-care-fund-restricted-grants-guide-grant-recipients</vt:lpwstr>
      </vt:variant>
      <vt:variant>
        <vt:lpwstr/>
      </vt:variant>
      <vt:variant>
        <vt:i4>5046362</vt:i4>
      </vt:variant>
      <vt:variant>
        <vt:i4>1500</vt:i4>
      </vt:variant>
      <vt:variant>
        <vt:i4>0</vt:i4>
      </vt:variant>
      <vt:variant>
        <vt:i4>5</vt:i4>
      </vt:variant>
      <vt:variant>
        <vt:lpwstr>https://www.education.gov.au/early-childhood/child-care-subsidy/payments-and-fees</vt:lpwstr>
      </vt:variant>
      <vt:variant>
        <vt:lpwstr/>
      </vt:variant>
      <vt:variant>
        <vt:i4>3866684</vt:i4>
      </vt:variant>
      <vt:variant>
        <vt:i4>1497</vt:i4>
      </vt:variant>
      <vt:variant>
        <vt:i4>0</vt:i4>
      </vt:variant>
      <vt:variant>
        <vt:i4>5</vt:i4>
      </vt:variant>
      <vt:variant>
        <vt:lpwstr>https://www.education.gov.au/early-childhood/community-child-care-fund/business-support</vt:lpwstr>
      </vt:variant>
      <vt:variant>
        <vt:lpwstr/>
      </vt:variant>
      <vt:variant>
        <vt:i4>6815790</vt:i4>
      </vt:variant>
      <vt:variant>
        <vt:i4>1494</vt:i4>
      </vt:variant>
      <vt:variant>
        <vt:i4>0</vt:i4>
      </vt:variant>
      <vt:variant>
        <vt:i4>5</vt:i4>
      </vt:variant>
      <vt:variant>
        <vt:lpwstr>https://www.agedcarequality.gov.au/media/94534</vt:lpwstr>
      </vt:variant>
      <vt:variant>
        <vt:lpwstr/>
      </vt:variant>
      <vt:variant>
        <vt:i4>2949218</vt:i4>
      </vt:variant>
      <vt:variant>
        <vt:i4>1491</vt:i4>
      </vt:variant>
      <vt:variant>
        <vt:i4>0</vt:i4>
      </vt:variant>
      <vt:variant>
        <vt:i4>5</vt:i4>
      </vt:variant>
      <vt:variant>
        <vt:lpwstr>https://www.closingthegap.gov.au/national-agreement/national-agreement-closing-the-gap</vt:lpwstr>
      </vt:variant>
      <vt:variant>
        <vt:lpwstr/>
      </vt:variant>
      <vt:variant>
        <vt:i4>589899</vt:i4>
      </vt:variant>
      <vt:variant>
        <vt:i4>1488</vt:i4>
      </vt:variant>
      <vt:variant>
        <vt:i4>0</vt:i4>
      </vt:variant>
      <vt:variant>
        <vt:i4>5</vt:i4>
      </vt:variant>
      <vt:variant>
        <vt:lpwstr>http://www.closingthegap.gov.au/</vt:lpwstr>
      </vt:variant>
      <vt:variant>
        <vt:lpwstr/>
      </vt:variant>
      <vt:variant>
        <vt:i4>3801131</vt:i4>
      </vt:variant>
      <vt:variant>
        <vt:i4>1485</vt:i4>
      </vt:variant>
      <vt:variant>
        <vt:i4>0</vt:i4>
      </vt:variant>
      <vt:variant>
        <vt:i4>5</vt:i4>
      </vt:variant>
      <vt:variant>
        <vt:lpwstr>https://guides.dss.gov.au/family-assistance-guide/1/2/6</vt:lpwstr>
      </vt:variant>
      <vt:variant>
        <vt:lpwstr/>
      </vt:variant>
      <vt:variant>
        <vt:i4>5701723</vt:i4>
      </vt:variant>
      <vt:variant>
        <vt:i4>1482</vt:i4>
      </vt:variant>
      <vt:variant>
        <vt:i4>0</vt:i4>
      </vt:variant>
      <vt:variant>
        <vt:i4>5</vt:i4>
      </vt:variant>
      <vt:variant>
        <vt:lpwstr>https://www.education.gov.au/early-childhood/resources/community-child-care-fund-restricted-grants-guide-grant-recipients</vt:lpwstr>
      </vt:variant>
      <vt:variant>
        <vt:lpwstr/>
      </vt:variant>
      <vt:variant>
        <vt:i4>393229</vt:i4>
      </vt:variant>
      <vt:variant>
        <vt:i4>1479</vt:i4>
      </vt:variant>
      <vt:variant>
        <vt:i4>0</vt:i4>
      </vt:variant>
      <vt:variant>
        <vt:i4>5</vt:i4>
      </vt:variant>
      <vt:variant>
        <vt:lpwstr>https://www.accc.gov.au/inquiries-and-consultations/childcare-inquiry-2023/december-2023-final-report</vt:lpwstr>
      </vt:variant>
      <vt:variant>
        <vt:lpwstr/>
      </vt:variant>
      <vt:variant>
        <vt:i4>5832794</vt:i4>
      </vt:variant>
      <vt:variant>
        <vt:i4>1476</vt:i4>
      </vt:variant>
      <vt:variant>
        <vt:i4>0</vt:i4>
      </vt:variant>
      <vt:variant>
        <vt:i4>5</vt:i4>
      </vt:variant>
      <vt:variant>
        <vt:lpwstr>https://www.accc.gov.au/inquiries-and-consultations/childcare-inquiry-2023/september-2023-interim-report</vt:lpwstr>
      </vt:variant>
      <vt:variant>
        <vt:lpwstr/>
      </vt:variant>
      <vt:variant>
        <vt:i4>3342368</vt:i4>
      </vt:variant>
      <vt:variant>
        <vt:i4>1473</vt:i4>
      </vt:variant>
      <vt:variant>
        <vt:i4>0</vt:i4>
      </vt:variant>
      <vt:variant>
        <vt:i4>5</vt:i4>
      </vt:variant>
      <vt:variant>
        <vt:lpwstr>http://www.accc.gov.au/</vt:lpwstr>
      </vt:variant>
      <vt:variant>
        <vt:lpwstr/>
      </vt:variant>
      <vt:variant>
        <vt:i4>2097207</vt:i4>
      </vt:variant>
      <vt:variant>
        <vt:i4>1470</vt:i4>
      </vt:variant>
      <vt:variant>
        <vt:i4>0</vt:i4>
      </vt:variant>
      <vt:variant>
        <vt:i4>5</vt:i4>
      </vt:variant>
      <vt:variant>
        <vt:lpwstr>https://www.acecqa.gov.au/sites/default/files/2022-12/NQF Annual Performance Report 2022 FINAL.pdf</vt:lpwstr>
      </vt:variant>
      <vt:variant>
        <vt:lpwstr/>
      </vt:variant>
      <vt:variant>
        <vt:i4>7602201</vt:i4>
      </vt:variant>
      <vt:variant>
        <vt:i4>1467</vt:i4>
      </vt:variant>
      <vt:variant>
        <vt:i4>0</vt:i4>
      </vt:variant>
      <vt:variant>
        <vt:i4>5</vt:i4>
      </vt:variant>
      <vt:variant>
        <vt:lpwstr>https://www.acecqa.gov.au/sites/default/files/2023-07/InformationSheet_EYLF-Aboriginal and Torres Strait Islander perspectives.pdf</vt:lpwstr>
      </vt:variant>
      <vt:variant>
        <vt:lpwstr/>
      </vt:variant>
      <vt:variant>
        <vt:i4>983063</vt:i4>
      </vt:variant>
      <vt:variant>
        <vt:i4>1464</vt:i4>
      </vt:variant>
      <vt:variant>
        <vt:i4>0</vt:i4>
      </vt:variant>
      <vt:variant>
        <vt:i4>5</vt:i4>
      </vt:variant>
      <vt:variant>
        <vt:lpwstr>https://www.acecqa.gov.au/sites/default/files/2023-11/Guide-to-the-NQF-2310i-web.pdf</vt:lpwstr>
      </vt:variant>
      <vt:variant>
        <vt:lpwstr/>
      </vt:variant>
      <vt:variant>
        <vt:i4>65619</vt:i4>
      </vt:variant>
      <vt:variant>
        <vt:i4>1461</vt:i4>
      </vt:variant>
      <vt:variant>
        <vt:i4>0</vt:i4>
      </vt:variant>
      <vt:variant>
        <vt:i4>5</vt:i4>
      </vt:variant>
      <vt:variant>
        <vt:lpwstr>https://www.acecqa.gov.au/nqf/about/guide</vt:lpwstr>
      </vt:variant>
      <vt:variant>
        <vt:lpwstr/>
      </vt:variant>
      <vt:variant>
        <vt:i4>786468</vt:i4>
      </vt:variant>
      <vt:variant>
        <vt:i4>1458</vt:i4>
      </vt:variant>
      <vt:variant>
        <vt:i4>0</vt:i4>
      </vt:variant>
      <vt:variant>
        <vt:i4>5</vt:i4>
      </vt:variant>
      <vt:variant>
        <vt:lpwstr>https://www.acecqa.gov.au/sites/default/files/2018-04/QA2-ActiveSupervisionEnsuringSafetyAndPromotingLearning_1.pdf</vt:lpwstr>
      </vt:variant>
      <vt:variant>
        <vt:lpwstr/>
      </vt:variant>
      <vt:variant>
        <vt:i4>3932268</vt:i4>
      </vt:variant>
      <vt:variant>
        <vt:i4>1446</vt:i4>
      </vt:variant>
      <vt:variant>
        <vt:i4>0</vt:i4>
      </vt:variant>
      <vt:variant>
        <vt:i4>5</vt:i4>
      </vt:variant>
      <vt:variant>
        <vt:lpwstr>https://www.energy.gov.au/households/energy-rating</vt:lpwstr>
      </vt:variant>
      <vt:variant>
        <vt:lpwstr/>
      </vt:variant>
      <vt:variant>
        <vt:i4>1114163</vt:i4>
      </vt:variant>
      <vt:variant>
        <vt:i4>959</vt:i4>
      </vt:variant>
      <vt:variant>
        <vt:i4>0</vt:i4>
      </vt:variant>
      <vt:variant>
        <vt:i4>5</vt:i4>
      </vt:variant>
      <vt:variant>
        <vt:lpwstr/>
      </vt:variant>
      <vt:variant>
        <vt:lpwstr>_Toc167130617</vt:lpwstr>
      </vt:variant>
      <vt:variant>
        <vt:i4>1114163</vt:i4>
      </vt:variant>
      <vt:variant>
        <vt:i4>953</vt:i4>
      </vt:variant>
      <vt:variant>
        <vt:i4>0</vt:i4>
      </vt:variant>
      <vt:variant>
        <vt:i4>5</vt:i4>
      </vt:variant>
      <vt:variant>
        <vt:lpwstr/>
      </vt:variant>
      <vt:variant>
        <vt:lpwstr>_Toc167130616</vt:lpwstr>
      </vt:variant>
      <vt:variant>
        <vt:i4>1114163</vt:i4>
      </vt:variant>
      <vt:variant>
        <vt:i4>947</vt:i4>
      </vt:variant>
      <vt:variant>
        <vt:i4>0</vt:i4>
      </vt:variant>
      <vt:variant>
        <vt:i4>5</vt:i4>
      </vt:variant>
      <vt:variant>
        <vt:lpwstr/>
      </vt:variant>
      <vt:variant>
        <vt:lpwstr>_Toc167130615</vt:lpwstr>
      </vt:variant>
      <vt:variant>
        <vt:i4>1114163</vt:i4>
      </vt:variant>
      <vt:variant>
        <vt:i4>941</vt:i4>
      </vt:variant>
      <vt:variant>
        <vt:i4>0</vt:i4>
      </vt:variant>
      <vt:variant>
        <vt:i4>5</vt:i4>
      </vt:variant>
      <vt:variant>
        <vt:lpwstr/>
      </vt:variant>
      <vt:variant>
        <vt:lpwstr>_Toc167130614</vt:lpwstr>
      </vt:variant>
      <vt:variant>
        <vt:i4>1114163</vt:i4>
      </vt:variant>
      <vt:variant>
        <vt:i4>935</vt:i4>
      </vt:variant>
      <vt:variant>
        <vt:i4>0</vt:i4>
      </vt:variant>
      <vt:variant>
        <vt:i4>5</vt:i4>
      </vt:variant>
      <vt:variant>
        <vt:lpwstr/>
      </vt:variant>
      <vt:variant>
        <vt:lpwstr>_Toc167130613</vt:lpwstr>
      </vt:variant>
      <vt:variant>
        <vt:i4>1114163</vt:i4>
      </vt:variant>
      <vt:variant>
        <vt:i4>929</vt:i4>
      </vt:variant>
      <vt:variant>
        <vt:i4>0</vt:i4>
      </vt:variant>
      <vt:variant>
        <vt:i4>5</vt:i4>
      </vt:variant>
      <vt:variant>
        <vt:lpwstr/>
      </vt:variant>
      <vt:variant>
        <vt:lpwstr>_Toc167130612</vt:lpwstr>
      </vt:variant>
      <vt:variant>
        <vt:i4>1114163</vt:i4>
      </vt:variant>
      <vt:variant>
        <vt:i4>923</vt:i4>
      </vt:variant>
      <vt:variant>
        <vt:i4>0</vt:i4>
      </vt:variant>
      <vt:variant>
        <vt:i4>5</vt:i4>
      </vt:variant>
      <vt:variant>
        <vt:lpwstr/>
      </vt:variant>
      <vt:variant>
        <vt:lpwstr>_Toc167130611</vt:lpwstr>
      </vt:variant>
      <vt:variant>
        <vt:i4>1114163</vt:i4>
      </vt:variant>
      <vt:variant>
        <vt:i4>917</vt:i4>
      </vt:variant>
      <vt:variant>
        <vt:i4>0</vt:i4>
      </vt:variant>
      <vt:variant>
        <vt:i4>5</vt:i4>
      </vt:variant>
      <vt:variant>
        <vt:lpwstr/>
      </vt:variant>
      <vt:variant>
        <vt:lpwstr>_Toc167130610</vt:lpwstr>
      </vt:variant>
      <vt:variant>
        <vt:i4>1048627</vt:i4>
      </vt:variant>
      <vt:variant>
        <vt:i4>911</vt:i4>
      </vt:variant>
      <vt:variant>
        <vt:i4>0</vt:i4>
      </vt:variant>
      <vt:variant>
        <vt:i4>5</vt:i4>
      </vt:variant>
      <vt:variant>
        <vt:lpwstr/>
      </vt:variant>
      <vt:variant>
        <vt:lpwstr>_Toc167130609</vt:lpwstr>
      </vt:variant>
      <vt:variant>
        <vt:i4>1048627</vt:i4>
      </vt:variant>
      <vt:variant>
        <vt:i4>905</vt:i4>
      </vt:variant>
      <vt:variant>
        <vt:i4>0</vt:i4>
      </vt:variant>
      <vt:variant>
        <vt:i4>5</vt:i4>
      </vt:variant>
      <vt:variant>
        <vt:lpwstr/>
      </vt:variant>
      <vt:variant>
        <vt:lpwstr>_Toc167130608</vt:lpwstr>
      </vt:variant>
      <vt:variant>
        <vt:i4>1048627</vt:i4>
      </vt:variant>
      <vt:variant>
        <vt:i4>899</vt:i4>
      </vt:variant>
      <vt:variant>
        <vt:i4>0</vt:i4>
      </vt:variant>
      <vt:variant>
        <vt:i4>5</vt:i4>
      </vt:variant>
      <vt:variant>
        <vt:lpwstr/>
      </vt:variant>
      <vt:variant>
        <vt:lpwstr>_Toc167130607</vt:lpwstr>
      </vt:variant>
      <vt:variant>
        <vt:i4>1048627</vt:i4>
      </vt:variant>
      <vt:variant>
        <vt:i4>893</vt:i4>
      </vt:variant>
      <vt:variant>
        <vt:i4>0</vt:i4>
      </vt:variant>
      <vt:variant>
        <vt:i4>5</vt:i4>
      </vt:variant>
      <vt:variant>
        <vt:lpwstr/>
      </vt:variant>
      <vt:variant>
        <vt:lpwstr>_Toc167130606</vt:lpwstr>
      </vt:variant>
      <vt:variant>
        <vt:i4>1048627</vt:i4>
      </vt:variant>
      <vt:variant>
        <vt:i4>887</vt:i4>
      </vt:variant>
      <vt:variant>
        <vt:i4>0</vt:i4>
      </vt:variant>
      <vt:variant>
        <vt:i4>5</vt:i4>
      </vt:variant>
      <vt:variant>
        <vt:lpwstr/>
      </vt:variant>
      <vt:variant>
        <vt:lpwstr>_Toc167130605</vt:lpwstr>
      </vt:variant>
      <vt:variant>
        <vt:i4>1048627</vt:i4>
      </vt:variant>
      <vt:variant>
        <vt:i4>881</vt:i4>
      </vt:variant>
      <vt:variant>
        <vt:i4>0</vt:i4>
      </vt:variant>
      <vt:variant>
        <vt:i4>5</vt:i4>
      </vt:variant>
      <vt:variant>
        <vt:lpwstr/>
      </vt:variant>
      <vt:variant>
        <vt:lpwstr>_Toc167130604</vt:lpwstr>
      </vt:variant>
      <vt:variant>
        <vt:i4>1048627</vt:i4>
      </vt:variant>
      <vt:variant>
        <vt:i4>875</vt:i4>
      </vt:variant>
      <vt:variant>
        <vt:i4>0</vt:i4>
      </vt:variant>
      <vt:variant>
        <vt:i4>5</vt:i4>
      </vt:variant>
      <vt:variant>
        <vt:lpwstr/>
      </vt:variant>
      <vt:variant>
        <vt:lpwstr>_Toc167130603</vt:lpwstr>
      </vt:variant>
      <vt:variant>
        <vt:i4>1048627</vt:i4>
      </vt:variant>
      <vt:variant>
        <vt:i4>869</vt:i4>
      </vt:variant>
      <vt:variant>
        <vt:i4>0</vt:i4>
      </vt:variant>
      <vt:variant>
        <vt:i4>5</vt:i4>
      </vt:variant>
      <vt:variant>
        <vt:lpwstr/>
      </vt:variant>
      <vt:variant>
        <vt:lpwstr>_Toc167130602</vt:lpwstr>
      </vt:variant>
      <vt:variant>
        <vt:i4>1048627</vt:i4>
      </vt:variant>
      <vt:variant>
        <vt:i4>863</vt:i4>
      </vt:variant>
      <vt:variant>
        <vt:i4>0</vt:i4>
      </vt:variant>
      <vt:variant>
        <vt:i4>5</vt:i4>
      </vt:variant>
      <vt:variant>
        <vt:lpwstr/>
      </vt:variant>
      <vt:variant>
        <vt:lpwstr>_Toc167130601</vt:lpwstr>
      </vt:variant>
      <vt:variant>
        <vt:i4>1048627</vt:i4>
      </vt:variant>
      <vt:variant>
        <vt:i4>857</vt:i4>
      </vt:variant>
      <vt:variant>
        <vt:i4>0</vt:i4>
      </vt:variant>
      <vt:variant>
        <vt:i4>5</vt:i4>
      </vt:variant>
      <vt:variant>
        <vt:lpwstr/>
      </vt:variant>
      <vt:variant>
        <vt:lpwstr>_Toc167130600</vt:lpwstr>
      </vt:variant>
      <vt:variant>
        <vt:i4>1179698</vt:i4>
      </vt:variant>
      <vt:variant>
        <vt:i4>848</vt:i4>
      </vt:variant>
      <vt:variant>
        <vt:i4>0</vt:i4>
      </vt:variant>
      <vt:variant>
        <vt:i4>5</vt:i4>
      </vt:variant>
      <vt:variant>
        <vt:lpwstr/>
      </vt:variant>
      <vt:variant>
        <vt:lpwstr>_Toc167130725</vt:lpwstr>
      </vt:variant>
      <vt:variant>
        <vt:i4>1179698</vt:i4>
      </vt:variant>
      <vt:variant>
        <vt:i4>842</vt:i4>
      </vt:variant>
      <vt:variant>
        <vt:i4>0</vt:i4>
      </vt:variant>
      <vt:variant>
        <vt:i4>5</vt:i4>
      </vt:variant>
      <vt:variant>
        <vt:lpwstr/>
      </vt:variant>
      <vt:variant>
        <vt:lpwstr>_Toc167130724</vt:lpwstr>
      </vt:variant>
      <vt:variant>
        <vt:i4>1179698</vt:i4>
      </vt:variant>
      <vt:variant>
        <vt:i4>836</vt:i4>
      </vt:variant>
      <vt:variant>
        <vt:i4>0</vt:i4>
      </vt:variant>
      <vt:variant>
        <vt:i4>5</vt:i4>
      </vt:variant>
      <vt:variant>
        <vt:lpwstr/>
      </vt:variant>
      <vt:variant>
        <vt:lpwstr>_Toc167130723</vt:lpwstr>
      </vt:variant>
      <vt:variant>
        <vt:i4>1179698</vt:i4>
      </vt:variant>
      <vt:variant>
        <vt:i4>830</vt:i4>
      </vt:variant>
      <vt:variant>
        <vt:i4>0</vt:i4>
      </vt:variant>
      <vt:variant>
        <vt:i4>5</vt:i4>
      </vt:variant>
      <vt:variant>
        <vt:lpwstr/>
      </vt:variant>
      <vt:variant>
        <vt:lpwstr>_Toc167130722</vt:lpwstr>
      </vt:variant>
      <vt:variant>
        <vt:i4>1179698</vt:i4>
      </vt:variant>
      <vt:variant>
        <vt:i4>824</vt:i4>
      </vt:variant>
      <vt:variant>
        <vt:i4>0</vt:i4>
      </vt:variant>
      <vt:variant>
        <vt:i4>5</vt:i4>
      </vt:variant>
      <vt:variant>
        <vt:lpwstr/>
      </vt:variant>
      <vt:variant>
        <vt:lpwstr>_Toc167130721</vt:lpwstr>
      </vt:variant>
      <vt:variant>
        <vt:i4>1179698</vt:i4>
      </vt:variant>
      <vt:variant>
        <vt:i4>818</vt:i4>
      </vt:variant>
      <vt:variant>
        <vt:i4>0</vt:i4>
      </vt:variant>
      <vt:variant>
        <vt:i4>5</vt:i4>
      </vt:variant>
      <vt:variant>
        <vt:lpwstr/>
      </vt:variant>
      <vt:variant>
        <vt:lpwstr>_Toc167130720</vt:lpwstr>
      </vt:variant>
      <vt:variant>
        <vt:i4>1114162</vt:i4>
      </vt:variant>
      <vt:variant>
        <vt:i4>812</vt:i4>
      </vt:variant>
      <vt:variant>
        <vt:i4>0</vt:i4>
      </vt:variant>
      <vt:variant>
        <vt:i4>5</vt:i4>
      </vt:variant>
      <vt:variant>
        <vt:lpwstr/>
      </vt:variant>
      <vt:variant>
        <vt:lpwstr>_Toc167130719</vt:lpwstr>
      </vt:variant>
      <vt:variant>
        <vt:i4>1114162</vt:i4>
      </vt:variant>
      <vt:variant>
        <vt:i4>806</vt:i4>
      </vt:variant>
      <vt:variant>
        <vt:i4>0</vt:i4>
      </vt:variant>
      <vt:variant>
        <vt:i4>5</vt:i4>
      </vt:variant>
      <vt:variant>
        <vt:lpwstr/>
      </vt:variant>
      <vt:variant>
        <vt:lpwstr>_Toc167130718</vt:lpwstr>
      </vt:variant>
      <vt:variant>
        <vt:i4>1114162</vt:i4>
      </vt:variant>
      <vt:variant>
        <vt:i4>800</vt:i4>
      </vt:variant>
      <vt:variant>
        <vt:i4>0</vt:i4>
      </vt:variant>
      <vt:variant>
        <vt:i4>5</vt:i4>
      </vt:variant>
      <vt:variant>
        <vt:lpwstr/>
      </vt:variant>
      <vt:variant>
        <vt:lpwstr>_Toc167130717</vt:lpwstr>
      </vt:variant>
      <vt:variant>
        <vt:i4>1114162</vt:i4>
      </vt:variant>
      <vt:variant>
        <vt:i4>794</vt:i4>
      </vt:variant>
      <vt:variant>
        <vt:i4>0</vt:i4>
      </vt:variant>
      <vt:variant>
        <vt:i4>5</vt:i4>
      </vt:variant>
      <vt:variant>
        <vt:lpwstr/>
      </vt:variant>
      <vt:variant>
        <vt:lpwstr>_Toc167130716</vt:lpwstr>
      </vt:variant>
      <vt:variant>
        <vt:i4>1114162</vt:i4>
      </vt:variant>
      <vt:variant>
        <vt:i4>788</vt:i4>
      </vt:variant>
      <vt:variant>
        <vt:i4>0</vt:i4>
      </vt:variant>
      <vt:variant>
        <vt:i4>5</vt:i4>
      </vt:variant>
      <vt:variant>
        <vt:lpwstr/>
      </vt:variant>
      <vt:variant>
        <vt:lpwstr>_Toc167130715</vt:lpwstr>
      </vt:variant>
      <vt:variant>
        <vt:i4>1114162</vt:i4>
      </vt:variant>
      <vt:variant>
        <vt:i4>782</vt:i4>
      </vt:variant>
      <vt:variant>
        <vt:i4>0</vt:i4>
      </vt:variant>
      <vt:variant>
        <vt:i4>5</vt:i4>
      </vt:variant>
      <vt:variant>
        <vt:lpwstr/>
      </vt:variant>
      <vt:variant>
        <vt:lpwstr>_Toc167130714</vt:lpwstr>
      </vt:variant>
      <vt:variant>
        <vt:i4>1114162</vt:i4>
      </vt:variant>
      <vt:variant>
        <vt:i4>776</vt:i4>
      </vt:variant>
      <vt:variant>
        <vt:i4>0</vt:i4>
      </vt:variant>
      <vt:variant>
        <vt:i4>5</vt:i4>
      </vt:variant>
      <vt:variant>
        <vt:lpwstr/>
      </vt:variant>
      <vt:variant>
        <vt:lpwstr>_Toc167130713</vt:lpwstr>
      </vt:variant>
      <vt:variant>
        <vt:i4>1114162</vt:i4>
      </vt:variant>
      <vt:variant>
        <vt:i4>770</vt:i4>
      </vt:variant>
      <vt:variant>
        <vt:i4>0</vt:i4>
      </vt:variant>
      <vt:variant>
        <vt:i4>5</vt:i4>
      </vt:variant>
      <vt:variant>
        <vt:lpwstr/>
      </vt:variant>
      <vt:variant>
        <vt:lpwstr>_Toc167130712</vt:lpwstr>
      </vt:variant>
      <vt:variant>
        <vt:i4>1114162</vt:i4>
      </vt:variant>
      <vt:variant>
        <vt:i4>764</vt:i4>
      </vt:variant>
      <vt:variant>
        <vt:i4>0</vt:i4>
      </vt:variant>
      <vt:variant>
        <vt:i4>5</vt:i4>
      </vt:variant>
      <vt:variant>
        <vt:lpwstr/>
      </vt:variant>
      <vt:variant>
        <vt:lpwstr>_Toc167130711</vt:lpwstr>
      </vt:variant>
      <vt:variant>
        <vt:i4>1114162</vt:i4>
      </vt:variant>
      <vt:variant>
        <vt:i4>758</vt:i4>
      </vt:variant>
      <vt:variant>
        <vt:i4>0</vt:i4>
      </vt:variant>
      <vt:variant>
        <vt:i4>5</vt:i4>
      </vt:variant>
      <vt:variant>
        <vt:lpwstr/>
      </vt:variant>
      <vt:variant>
        <vt:lpwstr>_Toc167130710</vt:lpwstr>
      </vt:variant>
      <vt:variant>
        <vt:i4>1048626</vt:i4>
      </vt:variant>
      <vt:variant>
        <vt:i4>752</vt:i4>
      </vt:variant>
      <vt:variant>
        <vt:i4>0</vt:i4>
      </vt:variant>
      <vt:variant>
        <vt:i4>5</vt:i4>
      </vt:variant>
      <vt:variant>
        <vt:lpwstr/>
      </vt:variant>
      <vt:variant>
        <vt:lpwstr>_Toc167130709</vt:lpwstr>
      </vt:variant>
      <vt:variant>
        <vt:i4>1048626</vt:i4>
      </vt:variant>
      <vt:variant>
        <vt:i4>746</vt:i4>
      </vt:variant>
      <vt:variant>
        <vt:i4>0</vt:i4>
      </vt:variant>
      <vt:variant>
        <vt:i4>5</vt:i4>
      </vt:variant>
      <vt:variant>
        <vt:lpwstr/>
      </vt:variant>
      <vt:variant>
        <vt:lpwstr>_Toc167130708</vt:lpwstr>
      </vt:variant>
      <vt:variant>
        <vt:i4>1048626</vt:i4>
      </vt:variant>
      <vt:variant>
        <vt:i4>740</vt:i4>
      </vt:variant>
      <vt:variant>
        <vt:i4>0</vt:i4>
      </vt:variant>
      <vt:variant>
        <vt:i4>5</vt:i4>
      </vt:variant>
      <vt:variant>
        <vt:lpwstr/>
      </vt:variant>
      <vt:variant>
        <vt:lpwstr>_Toc167130707</vt:lpwstr>
      </vt:variant>
      <vt:variant>
        <vt:i4>1048626</vt:i4>
      </vt:variant>
      <vt:variant>
        <vt:i4>734</vt:i4>
      </vt:variant>
      <vt:variant>
        <vt:i4>0</vt:i4>
      </vt:variant>
      <vt:variant>
        <vt:i4>5</vt:i4>
      </vt:variant>
      <vt:variant>
        <vt:lpwstr/>
      </vt:variant>
      <vt:variant>
        <vt:lpwstr>_Toc167130706</vt:lpwstr>
      </vt:variant>
      <vt:variant>
        <vt:i4>1048626</vt:i4>
      </vt:variant>
      <vt:variant>
        <vt:i4>728</vt:i4>
      </vt:variant>
      <vt:variant>
        <vt:i4>0</vt:i4>
      </vt:variant>
      <vt:variant>
        <vt:i4>5</vt:i4>
      </vt:variant>
      <vt:variant>
        <vt:lpwstr/>
      </vt:variant>
      <vt:variant>
        <vt:lpwstr>_Toc167130705</vt:lpwstr>
      </vt:variant>
      <vt:variant>
        <vt:i4>1048626</vt:i4>
      </vt:variant>
      <vt:variant>
        <vt:i4>722</vt:i4>
      </vt:variant>
      <vt:variant>
        <vt:i4>0</vt:i4>
      </vt:variant>
      <vt:variant>
        <vt:i4>5</vt:i4>
      </vt:variant>
      <vt:variant>
        <vt:lpwstr/>
      </vt:variant>
      <vt:variant>
        <vt:lpwstr>_Toc167130704</vt:lpwstr>
      </vt:variant>
      <vt:variant>
        <vt:i4>1048626</vt:i4>
      </vt:variant>
      <vt:variant>
        <vt:i4>716</vt:i4>
      </vt:variant>
      <vt:variant>
        <vt:i4>0</vt:i4>
      </vt:variant>
      <vt:variant>
        <vt:i4>5</vt:i4>
      </vt:variant>
      <vt:variant>
        <vt:lpwstr/>
      </vt:variant>
      <vt:variant>
        <vt:lpwstr>_Toc167130703</vt:lpwstr>
      </vt:variant>
      <vt:variant>
        <vt:i4>1048626</vt:i4>
      </vt:variant>
      <vt:variant>
        <vt:i4>710</vt:i4>
      </vt:variant>
      <vt:variant>
        <vt:i4>0</vt:i4>
      </vt:variant>
      <vt:variant>
        <vt:i4>5</vt:i4>
      </vt:variant>
      <vt:variant>
        <vt:lpwstr/>
      </vt:variant>
      <vt:variant>
        <vt:lpwstr>_Toc167130702</vt:lpwstr>
      </vt:variant>
      <vt:variant>
        <vt:i4>1048626</vt:i4>
      </vt:variant>
      <vt:variant>
        <vt:i4>704</vt:i4>
      </vt:variant>
      <vt:variant>
        <vt:i4>0</vt:i4>
      </vt:variant>
      <vt:variant>
        <vt:i4>5</vt:i4>
      </vt:variant>
      <vt:variant>
        <vt:lpwstr/>
      </vt:variant>
      <vt:variant>
        <vt:lpwstr>_Toc167130701</vt:lpwstr>
      </vt:variant>
      <vt:variant>
        <vt:i4>1507376</vt:i4>
      </vt:variant>
      <vt:variant>
        <vt:i4>695</vt:i4>
      </vt:variant>
      <vt:variant>
        <vt:i4>0</vt:i4>
      </vt:variant>
      <vt:variant>
        <vt:i4>5</vt:i4>
      </vt:variant>
      <vt:variant>
        <vt:lpwstr/>
      </vt:variant>
      <vt:variant>
        <vt:lpwstr>_Toc167130574</vt:lpwstr>
      </vt:variant>
      <vt:variant>
        <vt:i4>1507376</vt:i4>
      </vt:variant>
      <vt:variant>
        <vt:i4>689</vt:i4>
      </vt:variant>
      <vt:variant>
        <vt:i4>0</vt:i4>
      </vt:variant>
      <vt:variant>
        <vt:i4>5</vt:i4>
      </vt:variant>
      <vt:variant>
        <vt:lpwstr/>
      </vt:variant>
      <vt:variant>
        <vt:lpwstr>_Toc167130573</vt:lpwstr>
      </vt:variant>
      <vt:variant>
        <vt:i4>1507376</vt:i4>
      </vt:variant>
      <vt:variant>
        <vt:i4>683</vt:i4>
      </vt:variant>
      <vt:variant>
        <vt:i4>0</vt:i4>
      </vt:variant>
      <vt:variant>
        <vt:i4>5</vt:i4>
      </vt:variant>
      <vt:variant>
        <vt:lpwstr/>
      </vt:variant>
      <vt:variant>
        <vt:lpwstr>_Toc167130572</vt:lpwstr>
      </vt:variant>
      <vt:variant>
        <vt:i4>1507376</vt:i4>
      </vt:variant>
      <vt:variant>
        <vt:i4>677</vt:i4>
      </vt:variant>
      <vt:variant>
        <vt:i4>0</vt:i4>
      </vt:variant>
      <vt:variant>
        <vt:i4>5</vt:i4>
      </vt:variant>
      <vt:variant>
        <vt:lpwstr/>
      </vt:variant>
      <vt:variant>
        <vt:lpwstr>_Toc167130571</vt:lpwstr>
      </vt:variant>
      <vt:variant>
        <vt:i4>1507376</vt:i4>
      </vt:variant>
      <vt:variant>
        <vt:i4>671</vt:i4>
      </vt:variant>
      <vt:variant>
        <vt:i4>0</vt:i4>
      </vt:variant>
      <vt:variant>
        <vt:i4>5</vt:i4>
      </vt:variant>
      <vt:variant>
        <vt:lpwstr/>
      </vt:variant>
      <vt:variant>
        <vt:lpwstr>_Toc167130570</vt:lpwstr>
      </vt:variant>
      <vt:variant>
        <vt:i4>1441840</vt:i4>
      </vt:variant>
      <vt:variant>
        <vt:i4>665</vt:i4>
      </vt:variant>
      <vt:variant>
        <vt:i4>0</vt:i4>
      </vt:variant>
      <vt:variant>
        <vt:i4>5</vt:i4>
      </vt:variant>
      <vt:variant>
        <vt:lpwstr/>
      </vt:variant>
      <vt:variant>
        <vt:lpwstr>_Toc167130569</vt:lpwstr>
      </vt:variant>
      <vt:variant>
        <vt:i4>1441840</vt:i4>
      </vt:variant>
      <vt:variant>
        <vt:i4>659</vt:i4>
      </vt:variant>
      <vt:variant>
        <vt:i4>0</vt:i4>
      </vt:variant>
      <vt:variant>
        <vt:i4>5</vt:i4>
      </vt:variant>
      <vt:variant>
        <vt:lpwstr/>
      </vt:variant>
      <vt:variant>
        <vt:lpwstr>_Toc167130568</vt:lpwstr>
      </vt:variant>
      <vt:variant>
        <vt:i4>1441840</vt:i4>
      </vt:variant>
      <vt:variant>
        <vt:i4>653</vt:i4>
      </vt:variant>
      <vt:variant>
        <vt:i4>0</vt:i4>
      </vt:variant>
      <vt:variant>
        <vt:i4>5</vt:i4>
      </vt:variant>
      <vt:variant>
        <vt:lpwstr/>
      </vt:variant>
      <vt:variant>
        <vt:lpwstr>_Toc167130567</vt:lpwstr>
      </vt:variant>
      <vt:variant>
        <vt:i4>1441840</vt:i4>
      </vt:variant>
      <vt:variant>
        <vt:i4>647</vt:i4>
      </vt:variant>
      <vt:variant>
        <vt:i4>0</vt:i4>
      </vt:variant>
      <vt:variant>
        <vt:i4>5</vt:i4>
      </vt:variant>
      <vt:variant>
        <vt:lpwstr/>
      </vt:variant>
      <vt:variant>
        <vt:lpwstr>_Toc167130566</vt:lpwstr>
      </vt:variant>
      <vt:variant>
        <vt:i4>1441840</vt:i4>
      </vt:variant>
      <vt:variant>
        <vt:i4>641</vt:i4>
      </vt:variant>
      <vt:variant>
        <vt:i4>0</vt:i4>
      </vt:variant>
      <vt:variant>
        <vt:i4>5</vt:i4>
      </vt:variant>
      <vt:variant>
        <vt:lpwstr/>
      </vt:variant>
      <vt:variant>
        <vt:lpwstr>_Toc167130565</vt:lpwstr>
      </vt:variant>
      <vt:variant>
        <vt:i4>1441840</vt:i4>
      </vt:variant>
      <vt:variant>
        <vt:i4>635</vt:i4>
      </vt:variant>
      <vt:variant>
        <vt:i4>0</vt:i4>
      </vt:variant>
      <vt:variant>
        <vt:i4>5</vt:i4>
      </vt:variant>
      <vt:variant>
        <vt:lpwstr/>
      </vt:variant>
      <vt:variant>
        <vt:lpwstr>_Toc167130564</vt:lpwstr>
      </vt:variant>
      <vt:variant>
        <vt:i4>1441840</vt:i4>
      </vt:variant>
      <vt:variant>
        <vt:i4>629</vt:i4>
      </vt:variant>
      <vt:variant>
        <vt:i4>0</vt:i4>
      </vt:variant>
      <vt:variant>
        <vt:i4>5</vt:i4>
      </vt:variant>
      <vt:variant>
        <vt:lpwstr/>
      </vt:variant>
      <vt:variant>
        <vt:lpwstr>_Toc167130563</vt:lpwstr>
      </vt:variant>
      <vt:variant>
        <vt:i4>1441840</vt:i4>
      </vt:variant>
      <vt:variant>
        <vt:i4>623</vt:i4>
      </vt:variant>
      <vt:variant>
        <vt:i4>0</vt:i4>
      </vt:variant>
      <vt:variant>
        <vt:i4>5</vt:i4>
      </vt:variant>
      <vt:variant>
        <vt:lpwstr/>
      </vt:variant>
      <vt:variant>
        <vt:lpwstr>_Toc167130562</vt:lpwstr>
      </vt:variant>
      <vt:variant>
        <vt:i4>1441840</vt:i4>
      </vt:variant>
      <vt:variant>
        <vt:i4>617</vt:i4>
      </vt:variant>
      <vt:variant>
        <vt:i4>0</vt:i4>
      </vt:variant>
      <vt:variant>
        <vt:i4>5</vt:i4>
      </vt:variant>
      <vt:variant>
        <vt:lpwstr/>
      </vt:variant>
      <vt:variant>
        <vt:lpwstr>_Toc167130561</vt:lpwstr>
      </vt:variant>
      <vt:variant>
        <vt:i4>1441840</vt:i4>
      </vt:variant>
      <vt:variant>
        <vt:i4>611</vt:i4>
      </vt:variant>
      <vt:variant>
        <vt:i4>0</vt:i4>
      </vt:variant>
      <vt:variant>
        <vt:i4>5</vt:i4>
      </vt:variant>
      <vt:variant>
        <vt:lpwstr/>
      </vt:variant>
      <vt:variant>
        <vt:lpwstr>_Toc167130560</vt:lpwstr>
      </vt:variant>
      <vt:variant>
        <vt:i4>1376304</vt:i4>
      </vt:variant>
      <vt:variant>
        <vt:i4>605</vt:i4>
      </vt:variant>
      <vt:variant>
        <vt:i4>0</vt:i4>
      </vt:variant>
      <vt:variant>
        <vt:i4>5</vt:i4>
      </vt:variant>
      <vt:variant>
        <vt:lpwstr/>
      </vt:variant>
      <vt:variant>
        <vt:lpwstr>_Toc167130559</vt:lpwstr>
      </vt:variant>
      <vt:variant>
        <vt:i4>1376304</vt:i4>
      </vt:variant>
      <vt:variant>
        <vt:i4>599</vt:i4>
      </vt:variant>
      <vt:variant>
        <vt:i4>0</vt:i4>
      </vt:variant>
      <vt:variant>
        <vt:i4>5</vt:i4>
      </vt:variant>
      <vt:variant>
        <vt:lpwstr/>
      </vt:variant>
      <vt:variant>
        <vt:lpwstr>_Toc167130558</vt:lpwstr>
      </vt:variant>
      <vt:variant>
        <vt:i4>1376304</vt:i4>
      </vt:variant>
      <vt:variant>
        <vt:i4>593</vt:i4>
      </vt:variant>
      <vt:variant>
        <vt:i4>0</vt:i4>
      </vt:variant>
      <vt:variant>
        <vt:i4>5</vt:i4>
      </vt:variant>
      <vt:variant>
        <vt:lpwstr/>
      </vt:variant>
      <vt:variant>
        <vt:lpwstr>_Toc167130557</vt:lpwstr>
      </vt:variant>
      <vt:variant>
        <vt:i4>1376304</vt:i4>
      </vt:variant>
      <vt:variant>
        <vt:i4>587</vt:i4>
      </vt:variant>
      <vt:variant>
        <vt:i4>0</vt:i4>
      </vt:variant>
      <vt:variant>
        <vt:i4>5</vt:i4>
      </vt:variant>
      <vt:variant>
        <vt:lpwstr/>
      </vt:variant>
      <vt:variant>
        <vt:lpwstr>_Toc167130556</vt:lpwstr>
      </vt:variant>
      <vt:variant>
        <vt:i4>1376304</vt:i4>
      </vt:variant>
      <vt:variant>
        <vt:i4>581</vt:i4>
      </vt:variant>
      <vt:variant>
        <vt:i4>0</vt:i4>
      </vt:variant>
      <vt:variant>
        <vt:i4>5</vt:i4>
      </vt:variant>
      <vt:variant>
        <vt:lpwstr/>
      </vt:variant>
      <vt:variant>
        <vt:lpwstr>_Toc167130555</vt:lpwstr>
      </vt:variant>
      <vt:variant>
        <vt:i4>1376304</vt:i4>
      </vt:variant>
      <vt:variant>
        <vt:i4>575</vt:i4>
      </vt:variant>
      <vt:variant>
        <vt:i4>0</vt:i4>
      </vt:variant>
      <vt:variant>
        <vt:i4>5</vt:i4>
      </vt:variant>
      <vt:variant>
        <vt:lpwstr/>
      </vt:variant>
      <vt:variant>
        <vt:lpwstr>_Toc167130554</vt:lpwstr>
      </vt:variant>
      <vt:variant>
        <vt:i4>1376304</vt:i4>
      </vt:variant>
      <vt:variant>
        <vt:i4>569</vt:i4>
      </vt:variant>
      <vt:variant>
        <vt:i4>0</vt:i4>
      </vt:variant>
      <vt:variant>
        <vt:i4>5</vt:i4>
      </vt:variant>
      <vt:variant>
        <vt:lpwstr/>
      </vt:variant>
      <vt:variant>
        <vt:lpwstr>_Toc167130553</vt:lpwstr>
      </vt:variant>
      <vt:variant>
        <vt:i4>1376304</vt:i4>
      </vt:variant>
      <vt:variant>
        <vt:i4>563</vt:i4>
      </vt:variant>
      <vt:variant>
        <vt:i4>0</vt:i4>
      </vt:variant>
      <vt:variant>
        <vt:i4>5</vt:i4>
      </vt:variant>
      <vt:variant>
        <vt:lpwstr/>
      </vt:variant>
      <vt:variant>
        <vt:lpwstr>_Toc167130552</vt:lpwstr>
      </vt:variant>
      <vt:variant>
        <vt:i4>1376304</vt:i4>
      </vt:variant>
      <vt:variant>
        <vt:i4>557</vt:i4>
      </vt:variant>
      <vt:variant>
        <vt:i4>0</vt:i4>
      </vt:variant>
      <vt:variant>
        <vt:i4>5</vt:i4>
      </vt:variant>
      <vt:variant>
        <vt:lpwstr/>
      </vt:variant>
      <vt:variant>
        <vt:lpwstr>_Toc167130551</vt:lpwstr>
      </vt:variant>
      <vt:variant>
        <vt:i4>1376304</vt:i4>
      </vt:variant>
      <vt:variant>
        <vt:i4>551</vt:i4>
      </vt:variant>
      <vt:variant>
        <vt:i4>0</vt:i4>
      </vt:variant>
      <vt:variant>
        <vt:i4>5</vt:i4>
      </vt:variant>
      <vt:variant>
        <vt:lpwstr/>
      </vt:variant>
      <vt:variant>
        <vt:lpwstr>_Toc167130550</vt:lpwstr>
      </vt:variant>
      <vt:variant>
        <vt:i4>1310768</vt:i4>
      </vt:variant>
      <vt:variant>
        <vt:i4>545</vt:i4>
      </vt:variant>
      <vt:variant>
        <vt:i4>0</vt:i4>
      </vt:variant>
      <vt:variant>
        <vt:i4>5</vt:i4>
      </vt:variant>
      <vt:variant>
        <vt:lpwstr/>
      </vt:variant>
      <vt:variant>
        <vt:lpwstr>_Toc167130549</vt:lpwstr>
      </vt:variant>
      <vt:variant>
        <vt:i4>1310768</vt:i4>
      </vt:variant>
      <vt:variant>
        <vt:i4>539</vt:i4>
      </vt:variant>
      <vt:variant>
        <vt:i4>0</vt:i4>
      </vt:variant>
      <vt:variant>
        <vt:i4>5</vt:i4>
      </vt:variant>
      <vt:variant>
        <vt:lpwstr/>
      </vt:variant>
      <vt:variant>
        <vt:lpwstr>_Toc167130548</vt:lpwstr>
      </vt:variant>
      <vt:variant>
        <vt:i4>1310768</vt:i4>
      </vt:variant>
      <vt:variant>
        <vt:i4>533</vt:i4>
      </vt:variant>
      <vt:variant>
        <vt:i4>0</vt:i4>
      </vt:variant>
      <vt:variant>
        <vt:i4>5</vt:i4>
      </vt:variant>
      <vt:variant>
        <vt:lpwstr/>
      </vt:variant>
      <vt:variant>
        <vt:lpwstr>_Toc167130547</vt:lpwstr>
      </vt:variant>
      <vt:variant>
        <vt:i4>1310768</vt:i4>
      </vt:variant>
      <vt:variant>
        <vt:i4>527</vt:i4>
      </vt:variant>
      <vt:variant>
        <vt:i4>0</vt:i4>
      </vt:variant>
      <vt:variant>
        <vt:i4>5</vt:i4>
      </vt:variant>
      <vt:variant>
        <vt:lpwstr/>
      </vt:variant>
      <vt:variant>
        <vt:lpwstr>_Toc167130546</vt:lpwstr>
      </vt:variant>
      <vt:variant>
        <vt:i4>1310768</vt:i4>
      </vt:variant>
      <vt:variant>
        <vt:i4>521</vt:i4>
      </vt:variant>
      <vt:variant>
        <vt:i4>0</vt:i4>
      </vt:variant>
      <vt:variant>
        <vt:i4>5</vt:i4>
      </vt:variant>
      <vt:variant>
        <vt:lpwstr/>
      </vt:variant>
      <vt:variant>
        <vt:lpwstr>_Toc167130545</vt:lpwstr>
      </vt:variant>
      <vt:variant>
        <vt:i4>1310768</vt:i4>
      </vt:variant>
      <vt:variant>
        <vt:i4>515</vt:i4>
      </vt:variant>
      <vt:variant>
        <vt:i4>0</vt:i4>
      </vt:variant>
      <vt:variant>
        <vt:i4>5</vt:i4>
      </vt:variant>
      <vt:variant>
        <vt:lpwstr/>
      </vt:variant>
      <vt:variant>
        <vt:lpwstr>_Toc167130544</vt:lpwstr>
      </vt:variant>
      <vt:variant>
        <vt:i4>1310768</vt:i4>
      </vt:variant>
      <vt:variant>
        <vt:i4>509</vt:i4>
      </vt:variant>
      <vt:variant>
        <vt:i4>0</vt:i4>
      </vt:variant>
      <vt:variant>
        <vt:i4>5</vt:i4>
      </vt:variant>
      <vt:variant>
        <vt:lpwstr/>
      </vt:variant>
      <vt:variant>
        <vt:lpwstr>_Toc167130543</vt:lpwstr>
      </vt:variant>
      <vt:variant>
        <vt:i4>1310768</vt:i4>
      </vt:variant>
      <vt:variant>
        <vt:i4>503</vt:i4>
      </vt:variant>
      <vt:variant>
        <vt:i4>0</vt:i4>
      </vt:variant>
      <vt:variant>
        <vt:i4>5</vt:i4>
      </vt:variant>
      <vt:variant>
        <vt:lpwstr/>
      </vt:variant>
      <vt:variant>
        <vt:lpwstr>_Toc167130542</vt:lpwstr>
      </vt:variant>
      <vt:variant>
        <vt:i4>1310768</vt:i4>
      </vt:variant>
      <vt:variant>
        <vt:i4>497</vt:i4>
      </vt:variant>
      <vt:variant>
        <vt:i4>0</vt:i4>
      </vt:variant>
      <vt:variant>
        <vt:i4>5</vt:i4>
      </vt:variant>
      <vt:variant>
        <vt:lpwstr/>
      </vt:variant>
      <vt:variant>
        <vt:lpwstr>_Toc167130541</vt:lpwstr>
      </vt:variant>
      <vt:variant>
        <vt:i4>1310768</vt:i4>
      </vt:variant>
      <vt:variant>
        <vt:i4>491</vt:i4>
      </vt:variant>
      <vt:variant>
        <vt:i4>0</vt:i4>
      </vt:variant>
      <vt:variant>
        <vt:i4>5</vt:i4>
      </vt:variant>
      <vt:variant>
        <vt:lpwstr/>
      </vt:variant>
      <vt:variant>
        <vt:lpwstr>_Toc167130540</vt:lpwstr>
      </vt:variant>
      <vt:variant>
        <vt:i4>1245232</vt:i4>
      </vt:variant>
      <vt:variant>
        <vt:i4>485</vt:i4>
      </vt:variant>
      <vt:variant>
        <vt:i4>0</vt:i4>
      </vt:variant>
      <vt:variant>
        <vt:i4>5</vt:i4>
      </vt:variant>
      <vt:variant>
        <vt:lpwstr/>
      </vt:variant>
      <vt:variant>
        <vt:lpwstr>_Toc167130539</vt:lpwstr>
      </vt:variant>
      <vt:variant>
        <vt:i4>1245232</vt:i4>
      </vt:variant>
      <vt:variant>
        <vt:i4>479</vt:i4>
      </vt:variant>
      <vt:variant>
        <vt:i4>0</vt:i4>
      </vt:variant>
      <vt:variant>
        <vt:i4>5</vt:i4>
      </vt:variant>
      <vt:variant>
        <vt:lpwstr/>
      </vt:variant>
      <vt:variant>
        <vt:lpwstr>_Toc167130538</vt:lpwstr>
      </vt:variant>
      <vt:variant>
        <vt:i4>1245232</vt:i4>
      </vt:variant>
      <vt:variant>
        <vt:i4>473</vt:i4>
      </vt:variant>
      <vt:variant>
        <vt:i4>0</vt:i4>
      </vt:variant>
      <vt:variant>
        <vt:i4>5</vt:i4>
      </vt:variant>
      <vt:variant>
        <vt:lpwstr/>
      </vt:variant>
      <vt:variant>
        <vt:lpwstr>_Toc167130537</vt:lpwstr>
      </vt:variant>
      <vt:variant>
        <vt:i4>1245232</vt:i4>
      </vt:variant>
      <vt:variant>
        <vt:i4>467</vt:i4>
      </vt:variant>
      <vt:variant>
        <vt:i4>0</vt:i4>
      </vt:variant>
      <vt:variant>
        <vt:i4>5</vt:i4>
      </vt:variant>
      <vt:variant>
        <vt:lpwstr/>
      </vt:variant>
      <vt:variant>
        <vt:lpwstr>_Toc167130536</vt:lpwstr>
      </vt:variant>
      <vt:variant>
        <vt:i4>1245232</vt:i4>
      </vt:variant>
      <vt:variant>
        <vt:i4>461</vt:i4>
      </vt:variant>
      <vt:variant>
        <vt:i4>0</vt:i4>
      </vt:variant>
      <vt:variant>
        <vt:i4>5</vt:i4>
      </vt:variant>
      <vt:variant>
        <vt:lpwstr/>
      </vt:variant>
      <vt:variant>
        <vt:lpwstr>_Toc167130535</vt:lpwstr>
      </vt:variant>
      <vt:variant>
        <vt:i4>1245232</vt:i4>
      </vt:variant>
      <vt:variant>
        <vt:i4>455</vt:i4>
      </vt:variant>
      <vt:variant>
        <vt:i4>0</vt:i4>
      </vt:variant>
      <vt:variant>
        <vt:i4>5</vt:i4>
      </vt:variant>
      <vt:variant>
        <vt:lpwstr/>
      </vt:variant>
      <vt:variant>
        <vt:lpwstr>_Toc167130534</vt:lpwstr>
      </vt:variant>
      <vt:variant>
        <vt:i4>1245232</vt:i4>
      </vt:variant>
      <vt:variant>
        <vt:i4>449</vt:i4>
      </vt:variant>
      <vt:variant>
        <vt:i4>0</vt:i4>
      </vt:variant>
      <vt:variant>
        <vt:i4>5</vt:i4>
      </vt:variant>
      <vt:variant>
        <vt:lpwstr/>
      </vt:variant>
      <vt:variant>
        <vt:lpwstr>_Toc167130533</vt:lpwstr>
      </vt:variant>
      <vt:variant>
        <vt:i4>1245232</vt:i4>
      </vt:variant>
      <vt:variant>
        <vt:i4>443</vt:i4>
      </vt:variant>
      <vt:variant>
        <vt:i4>0</vt:i4>
      </vt:variant>
      <vt:variant>
        <vt:i4>5</vt:i4>
      </vt:variant>
      <vt:variant>
        <vt:lpwstr/>
      </vt:variant>
      <vt:variant>
        <vt:lpwstr>_Toc167130532</vt:lpwstr>
      </vt:variant>
      <vt:variant>
        <vt:i4>1245232</vt:i4>
      </vt:variant>
      <vt:variant>
        <vt:i4>437</vt:i4>
      </vt:variant>
      <vt:variant>
        <vt:i4>0</vt:i4>
      </vt:variant>
      <vt:variant>
        <vt:i4>5</vt:i4>
      </vt:variant>
      <vt:variant>
        <vt:lpwstr/>
      </vt:variant>
      <vt:variant>
        <vt:lpwstr>_Toc167130531</vt:lpwstr>
      </vt:variant>
      <vt:variant>
        <vt:i4>1245232</vt:i4>
      </vt:variant>
      <vt:variant>
        <vt:i4>431</vt:i4>
      </vt:variant>
      <vt:variant>
        <vt:i4>0</vt:i4>
      </vt:variant>
      <vt:variant>
        <vt:i4>5</vt:i4>
      </vt:variant>
      <vt:variant>
        <vt:lpwstr/>
      </vt:variant>
      <vt:variant>
        <vt:lpwstr>_Toc167130530</vt:lpwstr>
      </vt:variant>
      <vt:variant>
        <vt:i4>1179696</vt:i4>
      </vt:variant>
      <vt:variant>
        <vt:i4>425</vt:i4>
      </vt:variant>
      <vt:variant>
        <vt:i4>0</vt:i4>
      </vt:variant>
      <vt:variant>
        <vt:i4>5</vt:i4>
      </vt:variant>
      <vt:variant>
        <vt:lpwstr/>
      </vt:variant>
      <vt:variant>
        <vt:lpwstr>_Toc167130529</vt:lpwstr>
      </vt:variant>
      <vt:variant>
        <vt:i4>1179696</vt:i4>
      </vt:variant>
      <vt:variant>
        <vt:i4>419</vt:i4>
      </vt:variant>
      <vt:variant>
        <vt:i4>0</vt:i4>
      </vt:variant>
      <vt:variant>
        <vt:i4>5</vt:i4>
      </vt:variant>
      <vt:variant>
        <vt:lpwstr/>
      </vt:variant>
      <vt:variant>
        <vt:lpwstr>_Toc167130528</vt:lpwstr>
      </vt:variant>
      <vt:variant>
        <vt:i4>1179696</vt:i4>
      </vt:variant>
      <vt:variant>
        <vt:i4>410</vt:i4>
      </vt:variant>
      <vt:variant>
        <vt:i4>0</vt:i4>
      </vt:variant>
      <vt:variant>
        <vt:i4>5</vt:i4>
      </vt:variant>
      <vt:variant>
        <vt:lpwstr/>
      </vt:variant>
      <vt:variant>
        <vt:lpwstr>_Toc167130527</vt:lpwstr>
      </vt:variant>
      <vt:variant>
        <vt:i4>1179696</vt:i4>
      </vt:variant>
      <vt:variant>
        <vt:i4>404</vt:i4>
      </vt:variant>
      <vt:variant>
        <vt:i4>0</vt:i4>
      </vt:variant>
      <vt:variant>
        <vt:i4>5</vt:i4>
      </vt:variant>
      <vt:variant>
        <vt:lpwstr/>
      </vt:variant>
      <vt:variant>
        <vt:lpwstr>_Toc167130526</vt:lpwstr>
      </vt:variant>
      <vt:variant>
        <vt:i4>1179696</vt:i4>
      </vt:variant>
      <vt:variant>
        <vt:i4>398</vt:i4>
      </vt:variant>
      <vt:variant>
        <vt:i4>0</vt:i4>
      </vt:variant>
      <vt:variant>
        <vt:i4>5</vt:i4>
      </vt:variant>
      <vt:variant>
        <vt:lpwstr/>
      </vt:variant>
      <vt:variant>
        <vt:lpwstr>_Toc167130525</vt:lpwstr>
      </vt:variant>
      <vt:variant>
        <vt:i4>1179696</vt:i4>
      </vt:variant>
      <vt:variant>
        <vt:i4>392</vt:i4>
      </vt:variant>
      <vt:variant>
        <vt:i4>0</vt:i4>
      </vt:variant>
      <vt:variant>
        <vt:i4>5</vt:i4>
      </vt:variant>
      <vt:variant>
        <vt:lpwstr/>
      </vt:variant>
      <vt:variant>
        <vt:lpwstr>_Toc167130524</vt:lpwstr>
      </vt:variant>
      <vt:variant>
        <vt:i4>1179696</vt:i4>
      </vt:variant>
      <vt:variant>
        <vt:i4>386</vt:i4>
      </vt:variant>
      <vt:variant>
        <vt:i4>0</vt:i4>
      </vt:variant>
      <vt:variant>
        <vt:i4>5</vt:i4>
      </vt:variant>
      <vt:variant>
        <vt:lpwstr/>
      </vt:variant>
      <vt:variant>
        <vt:lpwstr>_Toc167130523</vt:lpwstr>
      </vt:variant>
      <vt:variant>
        <vt:i4>1179696</vt:i4>
      </vt:variant>
      <vt:variant>
        <vt:i4>380</vt:i4>
      </vt:variant>
      <vt:variant>
        <vt:i4>0</vt:i4>
      </vt:variant>
      <vt:variant>
        <vt:i4>5</vt:i4>
      </vt:variant>
      <vt:variant>
        <vt:lpwstr/>
      </vt:variant>
      <vt:variant>
        <vt:lpwstr>_Toc167130522</vt:lpwstr>
      </vt:variant>
      <vt:variant>
        <vt:i4>1179696</vt:i4>
      </vt:variant>
      <vt:variant>
        <vt:i4>374</vt:i4>
      </vt:variant>
      <vt:variant>
        <vt:i4>0</vt:i4>
      </vt:variant>
      <vt:variant>
        <vt:i4>5</vt:i4>
      </vt:variant>
      <vt:variant>
        <vt:lpwstr/>
      </vt:variant>
      <vt:variant>
        <vt:lpwstr>_Toc167130521</vt:lpwstr>
      </vt:variant>
      <vt:variant>
        <vt:i4>1179696</vt:i4>
      </vt:variant>
      <vt:variant>
        <vt:i4>368</vt:i4>
      </vt:variant>
      <vt:variant>
        <vt:i4>0</vt:i4>
      </vt:variant>
      <vt:variant>
        <vt:i4>5</vt:i4>
      </vt:variant>
      <vt:variant>
        <vt:lpwstr/>
      </vt:variant>
      <vt:variant>
        <vt:lpwstr>_Toc167130520</vt:lpwstr>
      </vt:variant>
      <vt:variant>
        <vt:i4>1114160</vt:i4>
      </vt:variant>
      <vt:variant>
        <vt:i4>362</vt:i4>
      </vt:variant>
      <vt:variant>
        <vt:i4>0</vt:i4>
      </vt:variant>
      <vt:variant>
        <vt:i4>5</vt:i4>
      </vt:variant>
      <vt:variant>
        <vt:lpwstr/>
      </vt:variant>
      <vt:variant>
        <vt:lpwstr>_Toc167130519</vt:lpwstr>
      </vt:variant>
      <vt:variant>
        <vt:i4>1114160</vt:i4>
      </vt:variant>
      <vt:variant>
        <vt:i4>356</vt:i4>
      </vt:variant>
      <vt:variant>
        <vt:i4>0</vt:i4>
      </vt:variant>
      <vt:variant>
        <vt:i4>5</vt:i4>
      </vt:variant>
      <vt:variant>
        <vt:lpwstr/>
      </vt:variant>
      <vt:variant>
        <vt:lpwstr>_Toc167130518</vt:lpwstr>
      </vt:variant>
      <vt:variant>
        <vt:i4>1114160</vt:i4>
      </vt:variant>
      <vt:variant>
        <vt:i4>350</vt:i4>
      </vt:variant>
      <vt:variant>
        <vt:i4>0</vt:i4>
      </vt:variant>
      <vt:variant>
        <vt:i4>5</vt:i4>
      </vt:variant>
      <vt:variant>
        <vt:lpwstr/>
      </vt:variant>
      <vt:variant>
        <vt:lpwstr>_Toc167130517</vt:lpwstr>
      </vt:variant>
      <vt:variant>
        <vt:i4>1114160</vt:i4>
      </vt:variant>
      <vt:variant>
        <vt:i4>344</vt:i4>
      </vt:variant>
      <vt:variant>
        <vt:i4>0</vt:i4>
      </vt:variant>
      <vt:variant>
        <vt:i4>5</vt:i4>
      </vt:variant>
      <vt:variant>
        <vt:lpwstr/>
      </vt:variant>
      <vt:variant>
        <vt:lpwstr>_Toc167130516</vt:lpwstr>
      </vt:variant>
      <vt:variant>
        <vt:i4>1114160</vt:i4>
      </vt:variant>
      <vt:variant>
        <vt:i4>338</vt:i4>
      </vt:variant>
      <vt:variant>
        <vt:i4>0</vt:i4>
      </vt:variant>
      <vt:variant>
        <vt:i4>5</vt:i4>
      </vt:variant>
      <vt:variant>
        <vt:lpwstr/>
      </vt:variant>
      <vt:variant>
        <vt:lpwstr>_Toc167130515</vt:lpwstr>
      </vt:variant>
      <vt:variant>
        <vt:i4>1114160</vt:i4>
      </vt:variant>
      <vt:variant>
        <vt:i4>332</vt:i4>
      </vt:variant>
      <vt:variant>
        <vt:i4>0</vt:i4>
      </vt:variant>
      <vt:variant>
        <vt:i4>5</vt:i4>
      </vt:variant>
      <vt:variant>
        <vt:lpwstr/>
      </vt:variant>
      <vt:variant>
        <vt:lpwstr>_Toc167130514</vt:lpwstr>
      </vt:variant>
      <vt:variant>
        <vt:i4>1114160</vt:i4>
      </vt:variant>
      <vt:variant>
        <vt:i4>326</vt:i4>
      </vt:variant>
      <vt:variant>
        <vt:i4>0</vt:i4>
      </vt:variant>
      <vt:variant>
        <vt:i4>5</vt:i4>
      </vt:variant>
      <vt:variant>
        <vt:lpwstr/>
      </vt:variant>
      <vt:variant>
        <vt:lpwstr>_Toc167130513</vt:lpwstr>
      </vt:variant>
      <vt:variant>
        <vt:i4>1114160</vt:i4>
      </vt:variant>
      <vt:variant>
        <vt:i4>320</vt:i4>
      </vt:variant>
      <vt:variant>
        <vt:i4>0</vt:i4>
      </vt:variant>
      <vt:variant>
        <vt:i4>5</vt:i4>
      </vt:variant>
      <vt:variant>
        <vt:lpwstr/>
      </vt:variant>
      <vt:variant>
        <vt:lpwstr>_Toc167130512</vt:lpwstr>
      </vt:variant>
      <vt:variant>
        <vt:i4>1114160</vt:i4>
      </vt:variant>
      <vt:variant>
        <vt:i4>314</vt:i4>
      </vt:variant>
      <vt:variant>
        <vt:i4>0</vt:i4>
      </vt:variant>
      <vt:variant>
        <vt:i4>5</vt:i4>
      </vt:variant>
      <vt:variant>
        <vt:lpwstr/>
      </vt:variant>
      <vt:variant>
        <vt:lpwstr>_Toc167130511</vt:lpwstr>
      </vt:variant>
      <vt:variant>
        <vt:i4>1114160</vt:i4>
      </vt:variant>
      <vt:variant>
        <vt:i4>308</vt:i4>
      </vt:variant>
      <vt:variant>
        <vt:i4>0</vt:i4>
      </vt:variant>
      <vt:variant>
        <vt:i4>5</vt:i4>
      </vt:variant>
      <vt:variant>
        <vt:lpwstr/>
      </vt:variant>
      <vt:variant>
        <vt:lpwstr>_Toc167130510</vt:lpwstr>
      </vt:variant>
      <vt:variant>
        <vt:i4>1048624</vt:i4>
      </vt:variant>
      <vt:variant>
        <vt:i4>302</vt:i4>
      </vt:variant>
      <vt:variant>
        <vt:i4>0</vt:i4>
      </vt:variant>
      <vt:variant>
        <vt:i4>5</vt:i4>
      </vt:variant>
      <vt:variant>
        <vt:lpwstr/>
      </vt:variant>
      <vt:variant>
        <vt:lpwstr>_Toc167130509</vt:lpwstr>
      </vt:variant>
      <vt:variant>
        <vt:i4>1048624</vt:i4>
      </vt:variant>
      <vt:variant>
        <vt:i4>296</vt:i4>
      </vt:variant>
      <vt:variant>
        <vt:i4>0</vt:i4>
      </vt:variant>
      <vt:variant>
        <vt:i4>5</vt:i4>
      </vt:variant>
      <vt:variant>
        <vt:lpwstr/>
      </vt:variant>
      <vt:variant>
        <vt:lpwstr>_Toc167130508</vt:lpwstr>
      </vt:variant>
      <vt:variant>
        <vt:i4>1048624</vt:i4>
      </vt:variant>
      <vt:variant>
        <vt:i4>290</vt:i4>
      </vt:variant>
      <vt:variant>
        <vt:i4>0</vt:i4>
      </vt:variant>
      <vt:variant>
        <vt:i4>5</vt:i4>
      </vt:variant>
      <vt:variant>
        <vt:lpwstr/>
      </vt:variant>
      <vt:variant>
        <vt:lpwstr>_Toc167130507</vt:lpwstr>
      </vt:variant>
      <vt:variant>
        <vt:i4>1048624</vt:i4>
      </vt:variant>
      <vt:variant>
        <vt:i4>284</vt:i4>
      </vt:variant>
      <vt:variant>
        <vt:i4>0</vt:i4>
      </vt:variant>
      <vt:variant>
        <vt:i4>5</vt:i4>
      </vt:variant>
      <vt:variant>
        <vt:lpwstr/>
      </vt:variant>
      <vt:variant>
        <vt:lpwstr>_Toc167130506</vt:lpwstr>
      </vt:variant>
      <vt:variant>
        <vt:i4>1048624</vt:i4>
      </vt:variant>
      <vt:variant>
        <vt:i4>278</vt:i4>
      </vt:variant>
      <vt:variant>
        <vt:i4>0</vt:i4>
      </vt:variant>
      <vt:variant>
        <vt:i4>5</vt:i4>
      </vt:variant>
      <vt:variant>
        <vt:lpwstr/>
      </vt:variant>
      <vt:variant>
        <vt:lpwstr>_Toc167130505</vt:lpwstr>
      </vt:variant>
      <vt:variant>
        <vt:i4>1048624</vt:i4>
      </vt:variant>
      <vt:variant>
        <vt:i4>272</vt:i4>
      </vt:variant>
      <vt:variant>
        <vt:i4>0</vt:i4>
      </vt:variant>
      <vt:variant>
        <vt:i4>5</vt:i4>
      </vt:variant>
      <vt:variant>
        <vt:lpwstr/>
      </vt:variant>
      <vt:variant>
        <vt:lpwstr>_Toc167130504</vt:lpwstr>
      </vt:variant>
      <vt:variant>
        <vt:i4>1048624</vt:i4>
      </vt:variant>
      <vt:variant>
        <vt:i4>266</vt:i4>
      </vt:variant>
      <vt:variant>
        <vt:i4>0</vt:i4>
      </vt:variant>
      <vt:variant>
        <vt:i4>5</vt:i4>
      </vt:variant>
      <vt:variant>
        <vt:lpwstr/>
      </vt:variant>
      <vt:variant>
        <vt:lpwstr>_Toc167130503</vt:lpwstr>
      </vt:variant>
      <vt:variant>
        <vt:i4>1048624</vt:i4>
      </vt:variant>
      <vt:variant>
        <vt:i4>260</vt:i4>
      </vt:variant>
      <vt:variant>
        <vt:i4>0</vt:i4>
      </vt:variant>
      <vt:variant>
        <vt:i4>5</vt:i4>
      </vt:variant>
      <vt:variant>
        <vt:lpwstr/>
      </vt:variant>
      <vt:variant>
        <vt:lpwstr>_Toc167130502</vt:lpwstr>
      </vt:variant>
      <vt:variant>
        <vt:i4>1048624</vt:i4>
      </vt:variant>
      <vt:variant>
        <vt:i4>254</vt:i4>
      </vt:variant>
      <vt:variant>
        <vt:i4>0</vt:i4>
      </vt:variant>
      <vt:variant>
        <vt:i4>5</vt:i4>
      </vt:variant>
      <vt:variant>
        <vt:lpwstr/>
      </vt:variant>
      <vt:variant>
        <vt:lpwstr>_Toc167130501</vt:lpwstr>
      </vt:variant>
      <vt:variant>
        <vt:i4>1048624</vt:i4>
      </vt:variant>
      <vt:variant>
        <vt:i4>248</vt:i4>
      </vt:variant>
      <vt:variant>
        <vt:i4>0</vt:i4>
      </vt:variant>
      <vt:variant>
        <vt:i4>5</vt:i4>
      </vt:variant>
      <vt:variant>
        <vt:lpwstr/>
      </vt:variant>
      <vt:variant>
        <vt:lpwstr>_Toc167130500</vt:lpwstr>
      </vt:variant>
      <vt:variant>
        <vt:i4>1638449</vt:i4>
      </vt:variant>
      <vt:variant>
        <vt:i4>242</vt:i4>
      </vt:variant>
      <vt:variant>
        <vt:i4>0</vt:i4>
      </vt:variant>
      <vt:variant>
        <vt:i4>5</vt:i4>
      </vt:variant>
      <vt:variant>
        <vt:lpwstr/>
      </vt:variant>
      <vt:variant>
        <vt:lpwstr>_Toc167130499</vt:lpwstr>
      </vt:variant>
      <vt:variant>
        <vt:i4>1638449</vt:i4>
      </vt:variant>
      <vt:variant>
        <vt:i4>236</vt:i4>
      </vt:variant>
      <vt:variant>
        <vt:i4>0</vt:i4>
      </vt:variant>
      <vt:variant>
        <vt:i4>5</vt:i4>
      </vt:variant>
      <vt:variant>
        <vt:lpwstr/>
      </vt:variant>
      <vt:variant>
        <vt:lpwstr>_Toc167130498</vt:lpwstr>
      </vt:variant>
      <vt:variant>
        <vt:i4>1638449</vt:i4>
      </vt:variant>
      <vt:variant>
        <vt:i4>230</vt:i4>
      </vt:variant>
      <vt:variant>
        <vt:i4>0</vt:i4>
      </vt:variant>
      <vt:variant>
        <vt:i4>5</vt:i4>
      </vt:variant>
      <vt:variant>
        <vt:lpwstr/>
      </vt:variant>
      <vt:variant>
        <vt:lpwstr>_Toc167130497</vt:lpwstr>
      </vt:variant>
      <vt:variant>
        <vt:i4>1638449</vt:i4>
      </vt:variant>
      <vt:variant>
        <vt:i4>224</vt:i4>
      </vt:variant>
      <vt:variant>
        <vt:i4>0</vt:i4>
      </vt:variant>
      <vt:variant>
        <vt:i4>5</vt:i4>
      </vt:variant>
      <vt:variant>
        <vt:lpwstr/>
      </vt:variant>
      <vt:variant>
        <vt:lpwstr>_Toc167130496</vt:lpwstr>
      </vt:variant>
      <vt:variant>
        <vt:i4>1638449</vt:i4>
      </vt:variant>
      <vt:variant>
        <vt:i4>218</vt:i4>
      </vt:variant>
      <vt:variant>
        <vt:i4>0</vt:i4>
      </vt:variant>
      <vt:variant>
        <vt:i4>5</vt:i4>
      </vt:variant>
      <vt:variant>
        <vt:lpwstr/>
      </vt:variant>
      <vt:variant>
        <vt:lpwstr>_Toc167130495</vt:lpwstr>
      </vt:variant>
      <vt:variant>
        <vt:i4>1638449</vt:i4>
      </vt:variant>
      <vt:variant>
        <vt:i4>212</vt:i4>
      </vt:variant>
      <vt:variant>
        <vt:i4>0</vt:i4>
      </vt:variant>
      <vt:variant>
        <vt:i4>5</vt:i4>
      </vt:variant>
      <vt:variant>
        <vt:lpwstr/>
      </vt:variant>
      <vt:variant>
        <vt:lpwstr>_Toc167130494</vt:lpwstr>
      </vt:variant>
      <vt:variant>
        <vt:i4>1638449</vt:i4>
      </vt:variant>
      <vt:variant>
        <vt:i4>206</vt:i4>
      </vt:variant>
      <vt:variant>
        <vt:i4>0</vt:i4>
      </vt:variant>
      <vt:variant>
        <vt:i4>5</vt:i4>
      </vt:variant>
      <vt:variant>
        <vt:lpwstr/>
      </vt:variant>
      <vt:variant>
        <vt:lpwstr>_Toc167130493</vt:lpwstr>
      </vt:variant>
      <vt:variant>
        <vt:i4>1638449</vt:i4>
      </vt:variant>
      <vt:variant>
        <vt:i4>200</vt:i4>
      </vt:variant>
      <vt:variant>
        <vt:i4>0</vt:i4>
      </vt:variant>
      <vt:variant>
        <vt:i4>5</vt:i4>
      </vt:variant>
      <vt:variant>
        <vt:lpwstr/>
      </vt:variant>
      <vt:variant>
        <vt:lpwstr>_Toc167130492</vt:lpwstr>
      </vt:variant>
      <vt:variant>
        <vt:i4>1638449</vt:i4>
      </vt:variant>
      <vt:variant>
        <vt:i4>194</vt:i4>
      </vt:variant>
      <vt:variant>
        <vt:i4>0</vt:i4>
      </vt:variant>
      <vt:variant>
        <vt:i4>5</vt:i4>
      </vt:variant>
      <vt:variant>
        <vt:lpwstr/>
      </vt:variant>
      <vt:variant>
        <vt:lpwstr>_Toc167130491</vt:lpwstr>
      </vt:variant>
      <vt:variant>
        <vt:i4>1638449</vt:i4>
      </vt:variant>
      <vt:variant>
        <vt:i4>188</vt:i4>
      </vt:variant>
      <vt:variant>
        <vt:i4>0</vt:i4>
      </vt:variant>
      <vt:variant>
        <vt:i4>5</vt:i4>
      </vt:variant>
      <vt:variant>
        <vt:lpwstr/>
      </vt:variant>
      <vt:variant>
        <vt:lpwstr>_Toc167130490</vt:lpwstr>
      </vt:variant>
      <vt:variant>
        <vt:i4>1572913</vt:i4>
      </vt:variant>
      <vt:variant>
        <vt:i4>182</vt:i4>
      </vt:variant>
      <vt:variant>
        <vt:i4>0</vt:i4>
      </vt:variant>
      <vt:variant>
        <vt:i4>5</vt:i4>
      </vt:variant>
      <vt:variant>
        <vt:lpwstr/>
      </vt:variant>
      <vt:variant>
        <vt:lpwstr>_Toc167130489</vt:lpwstr>
      </vt:variant>
      <vt:variant>
        <vt:i4>1572913</vt:i4>
      </vt:variant>
      <vt:variant>
        <vt:i4>176</vt:i4>
      </vt:variant>
      <vt:variant>
        <vt:i4>0</vt:i4>
      </vt:variant>
      <vt:variant>
        <vt:i4>5</vt:i4>
      </vt:variant>
      <vt:variant>
        <vt:lpwstr/>
      </vt:variant>
      <vt:variant>
        <vt:lpwstr>_Toc167130488</vt:lpwstr>
      </vt:variant>
      <vt:variant>
        <vt:i4>1572913</vt:i4>
      </vt:variant>
      <vt:variant>
        <vt:i4>170</vt:i4>
      </vt:variant>
      <vt:variant>
        <vt:i4>0</vt:i4>
      </vt:variant>
      <vt:variant>
        <vt:i4>5</vt:i4>
      </vt:variant>
      <vt:variant>
        <vt:lpwstr/>
      </vt:variant>
      <vt:variant>
        <vt:lpwstr>_Toc167130487</vt:lpwstr>
      </vt:variant>
      <vt:variant>
        <vt:i4>1572913</vt:i4>
      </vt:variant>
      <vt:variant>
        <vt:i4>164</vt:i4>
      </vt:variant>
      <vt:variant>
        <vt:i4>0</vt:i4>
      </vt:variant>
      <vt:variant>
        <vt:i4>5</vt:i4>
      </vt:variant>
      <vt:variant>
        <vt:lpwstr/>
      </vt:variant>
      <vt:variant>
        <vt:lpwstr>_Toc167130486</vt:lpwstr>
      </vt:variant>
      <vt:variant>
        <vt:i4>1572913</vt:i4>
      </vt:variant>
      <vt:variant>
        <vt:i4>158</vt:i4>
      </vt:variant>
      <vt:variant>
        <vt:i4>0</vt:i4>
      </vt:variant>
      <vt:variant>
        <vt:i4>5</vt:i4>
      </vt:variant>
      <vt:variant>
        <vt:lpwstr/>
      </vt:variant>
      <vt:variant>
        <vt:lpwstr>_Toc167130485</vt:lpwstr>
      </vt:variant>
      <vt:variant>
        <vt:i4>1572913</vt:i4>
      </vt:variant>
      <vt:variant>
        <vt:i4>152</vt:i4>
      </vt:variant>
      <vt:variant>
        <vt:i4>0</vt:i4>
      </vt:variant>
      <vt:variant>
        <vt:i4>5</vt:i4>
      </vt:variant>
      <vt:variant>
        <vt:lpwstr/>
      </vt:variant>
      <vt:variant>
        <vt:lpwstr>_Toc167130484</vt:lpwstr>
      </vt:variant>
      <vt:variant>
        <vt:i4>1572913</vt:i4>
      </vt:variant>
      <vt:variant>
        <vt:i4>146</vt:i4>
      </vt:variant>
      <vt:variant>
        <vt:i4>0</vt:i4>
      </vt:variant>
      <vt:variant>
        <vt:i4>5</vt:i4>
      </vt:variant>
      <vt:variant>
        <vt:lpwstr/>
      </vt:variant>
      <vt:variant>
        <vt:lpwstr>_Toc167130483</vt:lpwstr>
      </vt:variant>
      <vt:variant>
        <vt:i4>1572913</vt:i4>
      </vt:variant>
      <vt:variant>
        <vt:i4>140</vt:i4>
      </vt:variant>
      <vt:variant>
        <vt:i4>0</vt:i4>
      </vt:variant>
      <vt:variant>
        <vt:i4>5</vt:i4>
      </vt:variant>
      <vt:variant>
        <vt:lpwstr/>
      </vt:variant>
      <vt:variant>
        <vt:lpwstr>_Toc167130482</vt:lpwstr>
      </vt:variant>
      <vt:variant>
        <vt:i4>1572913</vt:i4>
      </vt:variant>
      <vt:variant>
        <vt:i4>134</vt:i4>
      </vt:variant>
      <vt:variant>
        <vt:i4>0</vt:i4>
      </vt:variant>
      <vt:variant>
        <vt:i4>5</vt:i4>
      </vt:variant>
      <vt:variant>
        <vt:lpwstr/>
      </vt:variant>
      <vt:variant>
        <vt:lpwstr>_Toc167130481</vt:lpwstr>
      </vt:variant>
      <vt:variant>
        <vt:i4>1572913</vt:i4>
      </vt:variant>
      <vt:variant>
        <vt:i4>128</vt:i4>
      </vt:variant>
      <vt:variant>
        <vt:i4>0</vt:i4>
      </vt:variant>
      <vt:variant>
        <vt:i4>5</vt:i4>
      </vt:variant>
      <vt:variant>
        <vt:lpwstr/>
      </vt:variant>
      <vt:variant>
        <vt:lpwstr>_Toc167130480</vt:lpwstr>
      </vt:variant>
      <vt:variant>
        <vt:i4>1507377</vt:i4>
      </vt:variant>
      <vt:variant>
        <vt:i4>122</vt:i4>
      </vt:variant>
      <vt:variant>
        <vt:i4>0</vt:i4>
      </vt:variant>
      <vt:variant>
        <vt:i4>5</vt:i4>
      </vt:variant>
      <vt:variant>
        <vt:lpwstr/>
      </vt:variant>
      <vt:variant>
        <vt:lpwstr>_Toc167130479</vt:lpwstr>
      </vt:variant>
      <vt:variant>
        <vt:i4>1507377</vt:i4>
      </vt:variant>
      <vt:variant>
        <vt:i4>116</vt:i4>
      </vt:variant>
      <vt:variant>
        <vt:i4>0</vt:i4>
      </vt:variant>
      <vt:variant>
        <vt:i4>5</vt:i4>
      </vt:variant>
      <vt:variant>
        <vt:lpwstr/>
      </vt:variant>
      <vt:variant>
        <vt:lpwstr>_Toc167130478</vt:lpwstr>
      </vt:variant>
      <vt:variant>
        <vt:i4>1507377</vt:i4>
      </vt:variant>
      <vt:variant>
        <vt:i4>110</vt:i4>
      </vt:variant>
      <vt:variant>
        <vt:i4>0</vt:i4>
      </vt:variant>
      <vt:variant>
        <vt:i4>5</vt:i4>
      </vt:variant>
      <vt:variant>
        <vt:lpwstr/>
      </vt:variant>
      <vt:variant>
        <vt:lpwstr>_Toc167130477</vt:lpwstr>
      </vt:variant>
      <vt:variant>
        <vt:i4>1507377</vt:i4>
      </vt:variant>
      <vt:variant>
        <vt:i4>104</vt:i4>
      </vt:variant>
      <vt:variant>
        <vt:i4>0</vt:i4>
      </vt:variant>
      <vt:variant>
        <vt:i4>5</vt:i4>
      </vt:variant>
      <vt:variant>
        <vt:lpwstr/>
      </vt:variant>
      <vt:variant>
        <vt:lpwstr>_Toc167130476</vt:lpwstr>
      </vt:variant>
      <vt:variant>
        <vt:i4>1507377</vt:i4>
      </vt:variant>
      <vt:variant>
        <vt:i4>98</vt:i4>
      </vt:variant>
      <vt:variant>
        <vt:i4>0</vt:i4>
      </vt:variant>
      <vt:variant>
        <vt:i4>5</vt:i4>
      </vt:variant>
      <vt:variant>
        <vt:lpwstr/>
      </vt:variant>
      <vt:variant>
        <vt:lpwstr>_Toc167130475</vt:lpwstr>
      </vt:variant>
      <vt:variant>
        <vt:i4>1507377</vt:i4>
      </vt:variant>
      <vt:variant>
        <vt:i4>92</vt:i4>
      </vt:variant>
      <vt:variant>
        <vt:i4>0</vt:i4>
      </vt:variant>
      <vt:variant>
        <vt:i4>5</vt:i4>
      </vt:variant>
      <vt:variant>
        <vt:lpwstr/>
      </vt:variant>
      <vt:variant>
        <vt:lpwstr>_Toc167130474</vt:lpwstr>
      </vt:variant>
      <vt:variant>
        <vt:i4>1507377</vt:i4>
      </vt:variant>
      <vt:variant>
        <vt:i4>86</vt:i4>
      </vt:variant>
      <vt:variant>
        <vt:i4>0</vt:i4>
      </vt:variant>
      <vt:variant>
        <vt:i4>5</vt:i4>
      </vt:variant>
      <vt:variant>
        <vt:lpwstr/>
      </vt:variant>
      <vt:variant>
        <vt:lpwstr>_Toc167130473</vt:lpwstr>
      </vt:variant>
      <vt:variant>
        <vt:i4>1507377</vt:i4>
      </vt:variant>
      <vt:variant>
        <vt:i4>80</vt:i4>
      </vt:variant>
      <vt:variant>
        <vt:i4>0</vt:i4>
      </vt:variant>
      <vt:variant>
        <vt:i4>5</vt:i4>
      </vt:variant>
      <vt:variant>
        <vt:lpwstr/>
      </vt:variant>
      <vt:variant>
        <vt:lpwstr>_Toc167130472</vt:lpwstr>
      </vt:variant>
      <vt:variant>
        <vt:i4>1507377</vt:i4>
      </vt:variant>
      <vt:variant>
        <vt:i4>74</vt:i4>
      </vt:variant>
      <vt:variant>
        <vt:i4>0</vt:i4>
      </vt:variant>
      <vt:variant>
        <vt:i4>5</vt:i4>
      </vt:variant>
      <vt:variant>
        <vt:lpwstr/>
      </vt:variant>
      <vt:variant>
        <vt:lpwstr>_Toc167130471</vt:lpwstr>
      </vt:variant>
      <vt:variant>
        <vt:i4>1507377</vt:i4>
      </vt:variant>
      <vt:variant>
        <vt:i4>68</vt:i4>
      </vt:variant>
      <vt:variant>
        <vt:i4>0</vt:i4>
      </vt:variant>
      <vt:variant>
        <vt:i4>5</vt:i4>
      </vt:variant>
      <vt:variant>
        <vt:lpwstr/>
      </vt:variant>
      <vt:variant>
        <vt:lpwstr>_Toc167130470</vt:lpwstr>
      </vt:variant>
      <vt:variant>
        <vt:i4>1441841</vt:i4>
      </vt:variant>
      <vt:variant>
        <vt:i4>62</vt:i4>
      </vt:variant>
      <vt:variant>
        <vt:i4>0</vt:i4>
      </vt:variant>
      <vt:variant>
        <vt:i4>5</vt:i4>
      </vt:variant>
      <vt:variant>
        <vt:lpwstr/>
      </vt:variant>
      <vt:variant>
        <vt:lpwstr>_Toc167130469</vt:lpwstr>
      </vt:variant>
      <vt:variant>
        <vt:i4>1441841</vt:i4>
      </vt:variant>
      <vt:variant>
        <vt:i4>56</vt:i4>
      </vt:variant>
      <vt:variant>
        <vt:i4>0</vt:i4>
      </vt:variant>
      <vt:variant>
        <vt:i4>5</vt:i4>
      </vt:variant>
      <vt:variant>
        <vt:lpwstr/>
      </vt:variant>
      <vt:variant>
        <vt:lpwstr>_Toc167130468</vt:lpwstr>
      </vt:variant>
      <vt:variant>
        <vt:i4>1441841</vt:i4>
      </vt:variant>
      <vt:variant>
        <vt:i4>50</vt:i4>
      </vt:variant>
      <vt:variant>
        <vt:i4>0</vt:i4>
      </vt:variant>
      <vt:variant>
        <vt:i4>5</vt:i4>
      </vt:variant>
      <vt:variant>
        <vt:lpwstr/>
      </vt:variant>
      <vt:variant>
        <vt:lpwstr>_Toc167130467</vt:lpwstr>
      </vt:variant>
      <vt:variant>
        <vt:i4>1441841</vt:i4>
      </vt:variant>
      <vt:variant>
        <vt:i4>44</vt:i4>
      </vt:variant>
      <vt:variant>
        <vt:i4>0</vt:i4>
      </vt:variant>
      <vt:variant>
        <vt:i4>5</vt:i4>
      </vt:variant>
      <vt:variant>
        <vt:lpwstr/>
      </vt:variant>
      <vt:variant>
        <vt:lpwstr>_Toc167130466</vt:lpwstr>
      </vt:variant>
      <vt:variant>
        <vt:i4>1441841</vt:i4>
      </vt:variant>
      <vt:variant>
        <vt:i4>38</vt:i4>
      </vt:variant>
      <vt:variant>
        <vt:i4>0</vt:i4>
      </vt:variant>
      <vt:variant>
        <vt:i4>5</vt:i4>
      </vt:variant>
      <vt:variant>
        <vt:lpwstr/>
      </vt:variant>
      <vt:variant>
        <vt:lpwstr>_Toc167130465</vt:lpwstr>
      </vt:variant>
      <vt:variant>
        <vt:i4>1441841</vt:i4>
      </vt:variant>
      <vt:variant>
        <vt:i4>32</vt:i4>
      </vt:variant>
      <vt:variant>
        <vt:i4>0</vt:i4>
      </vt:variant>
      <vt:variant>
        <vt:i4>5</vt:i4>
      </vt:variant>
      <vt:variant>
        <vt:lpwstr/>
      </vt:variant>
      <vt:variant>
        <vt:lpwstr>_Toc167130464</vt:lpwstr>
      </vt:variant>
      <vt:variant>
        <vt:i4>1441841</vt:i4>
      </vt:variant>
      <vt:variant>
        <vt:i4>26</vt:i4>
      </vt:variant>
      <vt:variant>
        <vt:i4>0</vt:i4>
      </vt:variant>
      <vt:variant>
        <vt:i4>5</vt:i4>
      </vt:variant>
      <vt:variant>
        <vt:lpwstr/>
      </vt:variant>
      <vt:variant>
        <vt:lpwstr>_Toc167130463</vt:lpwstr>
      </vt:variant>
      <vt:variant>
        <vt:i4>1441841</vt:i4>
      </vt:variant>
      <vt:variant>
        <vt:i4>20</vt:i4>
      </vt:variant>
      <vt:variant>
        <vt:i4>0</vt:i4>
      </vt:variant>
      <vt:variant>
        <vt:i4>5</vt:i4>
      </vt:variant>
      <vt:variant>
        <vt:lpwstr/>
      </vt:variant>
      <vt:variant>
        <vt:lpwstr>_Toc167130462</vt:lpwstr>
      </vt:variant>
      <vt:variant>
        <vt:i4>1441841</vt:i4>
      </vt:variant>
      <vt:variant>
        <vt:i4>14</vt:i4>
      </vt:variant>
      <vt:variant>
        <vt:i4>0</vt:i4>
      </vt:variant>
      <vt:variant>
        <vt:i4>5</vt:i4>
      </vt:variant>
      <vt:variant>
        <vt:lpwstr/>
      </vt:variant>
      <vt:variant>
        <vt:lpwstr>_Toc167130461</vt:lpwstr>
      </vt:variant>
      <vt:variant>
        <vt:i4>1441841</vt:i4>
      </vt:variant>
      <vt:variant>
        <vt:i4>8</vt:i4>
      </vt:variant>
      <vt:variant>
        <vt:i4>0</vt:i4>
      </vt:variant>
      <vt:variant>
        <vt:i4>5</vt:i4>
      </vt:variant>
      <vt:variant>
        <vt:lpwstr/>
      </vt:variant>
      <vt:variant>
        <vt:lpwstr>_Toc167130460</vt:lpwstr>
      </vt:variant>
      <vt:variant>
        <vt:i4>1376305</vt:i4>
      </vt:variant>
      <vt:variant>
        <vt:i4>2</vt:i4>
      </vt:variant>
      <vt:variant>
        <vt:i4>0</vt:i4>
      </vt:variant>
      <vt:variant>
        <vt:i4>5</vt:i4>
      </vt:variant>
      <vt:variant>
        <vt:lpwstr/>
      </vt:variant>
      <vt:variant>
        <vt:lpwstr>_Toc167130459</vt:lpwstr>
      </vt:variant>
      <vt:variant>
        <vt:i4>1310790</vt:i4>
      </vt:variant>
      <vt:variant>
        <vt:i4>45</vt:i4>
      </vt:variant>
      <vt:variant>
        <vt:i4>0</vt:i4>
      </vt:variant>
      <vt:variant>
        <vt:i4>5</vt:i4>
      </vt:variant>
      <vt:variant>
        <vt:lpwstr>https://www.health.harvard.edu/blog/eat-more-plants-fewer-animals-2018112915198</vt:lpwstr>
      </vt:variant>
      <vt:variant>
        <vt:lpwstr>:~:text=Science%20has%20shown%20us%20over,lower%20our%20body%20mass%20index</vt:lpwstr>
      </vt:variant>
      <vt:variant>
        <vt:i4>6291511</vt:i4>
      </vt:variant>
      <vt:variant>
        <vt:i4>42</vt:i4>
      </vt:variant>
      <vt:variant>
        <vt:i4>0</vt:i4>
      </vt:variant>
      <vt:variant>
        <vt:i4>5</vt:i4>
      </vt:variant>
      <vt:variant>
        <vt:lpwstr>https://www.sciencedirect.com/science/article/pii/S0959652622043542</vt:lpwstr>
      </vt:variant>
      <vt:variant>
        <vt:lpwstr>:~:text=On%20average%2C%20meat%2Dbased%20meals,environmental%20impact%20than%20vegan%20meals</vt:lpwstr>
      </vt:variant>
      <vt:variant>
        <vt:i4>8257577</vt:i4>
      </vt:variant>
      <vt:variant>
        <vt:i4>39</vt:i4>
      </vt:variant>
      <vt:variant>
        <vt:i4>0</vt:i4>
      </vt:variant>
      <vt:variant>
        <vt:i4>5</vt:i4>
      </vt:variant>
      <vt:variant>
        <vt:lpwstr>https://www.mja.com.au/journal/2018/208/7/damp-housing-gas-stoves-and-burden-childhood-asthma-australia</vt:lpwstr>
      </vt:variant>
      <vt:variant>
        <vt:lpwstr/>
      </vt:variant>
      <vt:variant>
        <vt:i4>65605</vt:i4>
      </vt:variant>
      <vt:variant>
        <vt:i4>36</vt:i4>
      </vt:variant>
      <vt:variant>
        <vt:i4>0</vt:i4>
      </vt:variant>
      <vt:variant>
        <vt:i4>5</vt:i4>
      </vt:variant>
      <vt:variant>
        <vt:lpwstr>https://theconversation.com/all-electric-homes-are-better-for-your-hip-pocket-and-the-planet-heres-how-governments-can-help-us-get-off-gas-207409</vt:lpwstr>
      </vt:variant>
      <vt:variant>
        <vt:lpwstr/>
      </vt:variant>
      <vt:variant>
        <vt:i4>5308450</vt:i4>
      </vt:variant>
      <vt:variant>
        <vt:i4>33</vt:i4>
      </vt:variant>
      <vt:variant>
        <vt:i4>0</vt:i4>
      </vt:variant>
      <vt:variant>
        <vt:i4>5</vt:i4>
      </vt:variant>
      <vt:variant>
        <vt:lpwstr>https://eprints.lse.ac.uk/12761/1/Multi-criteria_Analysis.pdf</vt:lpwstr>
      </vt:variant>
      <vt:variant>
        <vt:lpwstr/>
      </vt:variant>
      <vt:variant>
        <vt:i4>393221</vt:i4>
      </vt:variant>
      <vt:variant>
        <vt:i4>30</vt:i4>
      </vt:variant>
      <vt:variant>
        <vt:i4>0</vt:i4>
      </vt:variant>
      <vt:variant>
        <vt:i4>5</vt:i4>
      </vt:variant>
      <vt:variant>
        <vt:lpwstr>https://www.aph.gov.au/-/media/Estimates/ca/add2324/Social_Services/01_TabledDoc_ServicesAustralia_ResponseToSenatorsInformationRequests.pdf?la=en&amp;hash=D0D29D50D5638FC659090DED5EBFBEA75E4DEC45</vt:lpwstr>
      </vt:variant>
      <vt:variant>
        <vt:lpwstr/>
      </vt:variant>
      <vt:variant>
        <vt:i4>131137</vt:i4>
      </vt:variant>
      <vt:variant>
        <vt:i4>27</vt:i4>
      </vt:variant>
      <vt:variant>
        <vt:i4>0</vt:i4>
      </vt:variant>
      <vt:variant>
        <vt:i4>5</vt:i4>
      </vt:variant>
      <vt:variant>
        <vt:lpwstr>https://www.pc.gov.au/inquiries/completed/closing-the-gap-review/report/closing-the-gap-review-report.pdf</vt:lpwstr>
      </vt:variant>
      <vt:variant>
        <vt:lpwstr/>
      </vt:variant>
      <vt:variant>
        <vt:i4>7733297</vt:i4>
      </vt:variant>
      <vt:variant>
        <vt:i4>24</vt:i4>
      </vt:variant>
      <vt:variant>
        <vt:i4>0</vt:i4>
      </vt:variant>
      <vt:variant>
        <vt:i4>5</vt:i4>
      </vt:variant>
      <vt:variant>
        <vt:lpwstr>https://www.pc.gov.au/inquiries/current/childhood/draft/childhood-draft.pdf</vt:lpwstr>
      </vt:variant>
      <vt:variant>
        <vt:lpwstr/>
      </vt:variant>
      <vt:variant>
        <vt:i4>6750264</vt:i4>
      </vt:variant>
      <vt:variant>
        <vt:i4>21</vt:i4>
      </vt:variant>
      <vt:variant>
        <vt:i4>0</vt:i4>
      </vt:variant>
      <vt:variant>
        <vt:i4>5</vt:i4>
      </vt:variant>
      <vt:variant>
        <vt:lpwstr>https://www.education.gov.au/early-childhood/provider-obligations/family-assistance-law</vt:lpwstr>
      </vt:variant>
      <vt:variant>
        <vt:lpwstr/>
      </vt:variant>
      <vt:variant>
        <vt:i4>5701723</vt:i4>
      </vt:variant>
      <vt:variant>
        <vt:i4>18</vt:i4>
      </vt:variant>
      <vt:variant>
        <vt:i4>0</vt:i4>
      </vt:variant>
      <vt:variant>
        <vt:i4>5</vt:i4>
      </vt:variant>
      <vt:variant>
        <vt:lpwstr>https://www.education.gov.au/early-childhood/resources/community-child-care-fund-restricted-grants-guide-grant-recipients</vt:lpwstr>
      </vt:variant>
      <vt:variant>
        <vt:lpwstr/>
      </vt:variant>
      <vt:variant>
        <vt:i4>3735614</vt:i4>
      </vt:variant>
      <vt:variant>
        <vt:i4>15</vt:i4>
      </vt:variant>
      <vt:variant>
        <vt:i4>0</vt:i4>
      </vt:variant>
      <vt:variant>
        <vt:i4>5</vt:i4>
      </vt:variant>
      <vt:variant>
        <vt:lpwstr>https://www.acecqa.gov.au/sites/default/files/2021-10/ShapingOurFutureChildrensEducationandCareNationalWorkforceStrategy-September2021.pdf</vt:lpwstr>
      </vt:variant>
      <vt:variant>
        <vt:lpwstr/>
      </vt:variant>
      <vt:variant>
        <vt:i4>6029313</vt:i4>
      </vt:variant>
      <vt:variant>
        <vt:i4>12</vt:i4>
      </vt:variant>
      <vt:variant>
        <vt:i4>0</vt:i4>
      </vt:variant>
      <vt:variant>
        <vt:i4>5</vt:i4>
      </vt:variant>
      <vt:variant>
        <vt:lpwstr>https://www.education.gov.au/early-childhood/community-child-care-fund-restricted-guide/introduction/cccf-restricted-grant-expansion</vt:lpwstr>
      </vt:variant>
      <vt:variant>
        <vt:lpwstr/>
      </vt:variant>
      <vt:variant>
        <vt:i4>131137</vt:i4>
      </vt:variant>
      <vt:variant>
        <vt:i4>6</vt:i4>
      </vt:variant>
      <vt:variant>
        <vt:i4>0</vt:i4>
      </vt:variant>
      <vt:variant>
        <vt:i4>5</vt:i4>
      </vt:variant>
      <vt:variant>
        <vt:lpwstr>https://www.pc.gov.au/inquiries/completed/closing-the-gap-review/report/closing-the-gap-review-report.pdf</vt:lpwstr>
      </vt:variant>
      <vt:variant>
        <vt:lpwstr/>
      </vt:variant>
      <vt:variant>
        <vt:i4>7733297</vt:i4>
      </vt:variant>
      <vt:variant>
        <vt:i4>0</vt:i4>
      </vt:variant>
      <vt:variant>
        <vt:i4>0</vt:i4>
      </vt:variant>
      <vt:variant>
        <vt:i4>5</vt:i4>
      </vt:variant>
      <vt:variant>
        <vt:lpwstr>https://www.pc.gov.au/inquiries/current/childhood/draft/childhood-draft.pdf</vt:lpwstr>
      </vt:variant>
      <vt:variant>
        <vt:lpwstr/>
      </vt:variant>
      <vt:variant>
        <vt:i4>2424902</vt:i4>
      </vt:variant>
      <vt:variant>
        <vt:i4>12</vt:i4>
      </vt:variant>
      <vt:variant>
        <vt:i4>0</vt:i4>
      </vt:variant>
      <vt:variant>
        <vt:i4>5</vt:i4>
      </vt:variant>
      <vt:variant>
        <vt:lpwstr>mailto:lsmirl@deloitte.com.au</vt:lpwstr>
      </vt:variant>
      <vt:variant>
        <vt:lpwstr/>
      </vt:variant>
      <vt:variant>
        <vt:i4>6029361</vt:i4>
      </vt:variant>
      <vt:variant>
        <vt:i4>9</vt:i4>
      </vt:variant>
      <vt:variant>
        <vt:i4>0</vt:i4>
      </vt:variant>
      <vt:variant>
        <vt:i4>5</vt:i4>
      </vt:variant>
      <vt:variant>
        <vt:lpwstr>mailto:gholland@deloitte.com.au</vt:lpwstr>
      </vt:variant>
      <vt:variant>
        <vt:lpwstr/>
      </vt:variant>
      <vt:variant>
        <vt:i4>2424902</vt:i4>
      </vt:variant>
      <vt:variant>
        <vt:i4>6</vt:i4>
      </vt:variant>
      <vt:variant>
        <vt:i4>0</vt:i4>
      </vt:variant>
      <vt:variant>
        <vt:i4>5</vt:i4>
      </vt:variant>
      <vt:variant>
        <vt:lpwstr>mailto:lsmirl@deloitte.com.au</vt:lpwstr>
      </vt:variant>
      <vt:variant>
        <vt:lpwstr/>
      </vt:variant>
      <vt:variant>
        <vt:i4>6029361</vt:i4>
      </vt:variant>
      <vt:variant>
        <vt:i4>3</vt:i4>
      </vt:variant>
      <vt:variant>
        <vt:i4>0</vt:i4>
      </vt:variant>
      <vt:variant>
        <vt:i4>5</vt:i4>
      </vt:variant>
      <vt:variant>
        <vt:lpwstr>mailto:gholland@deloitte.com.au</vt:lpwstr>
      </vt:variant>
      <vt:variant>
        <vt:lpwstr/>
      </vt:variant>
      <vt:variant>
        <vt:i4>7471114</vt:i4>
      </vt:variant>
      <vt:variant>
        <vt:i4>0</vt:i4>
      </vt:variant>
      <vt:variant>
        <vt:i4>0</vt:i4>
      </vt:variant>
      <vt:variant>
        <vt:i4>5</vt:i4>
      </vt:variant>
      <vt:variant>
        <vt:lpwstr>mailto:kwilson@deloitte.com.au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2024-10-16T21:13:00Z</dcterms:created>
  <dcterms:modified xsi:type="dcterms:W3CDTF">2024-10-16T21:41:00Z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2024-06-25T07:10:09Z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cb5e75a2-052a-43ed-a975-a1901b00e359</vt:lpwstr>
  </property>
  <property fmtid="{D5CDD505-2E9C-101B-9397-08002B2CF9AE}" pid="8" name="MSIP_Label_ea60d57e-af5b-4752-ac57-3e4f28ca11dc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