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02CFE" w14:textId="1EF0EA1D" w:rsidR="00A15779" w:rsidRDefault="008732F6" w:rsidP="008732F6">
      <w:pPr>
        <w:tabs>
          <w:tab w:val="left" w:pos="6240"/>
        </w:tabs>
      </w:pPr>
      <w:r>
        <w:tab/>
      </w:r>
    </w:p>
    <w:p w14:paraId="6C4F9A89" w14:textId="0DB08E8D" w:rsidR="00107DD5" w:rsidRDefault="005B3720" w:rsidP="00CA4815">
      <w:r w:rsidRPr="005B3720">
        <w:rPr>
          <w:b/>
          <w:bCs/>
          <w:noProof/>
          <w:color w:val="47BFAF"/>
        </w:rPr>
        <mc:AlternateContent>
          <mc:Choice Requires="wps">
            <w:drawing>
              <wp:anchor distT="0" distB="0" distL="114300" distR="114300" simplePos="0" relativeHeight="251659264" behindDoc="1" locked="0" layoutInCell="1" allowOverlap="1" wp14:anchorId="4C8AE625" wp14:editId="744AAE20">
                <wp:simplePos x="0" y="0"/>
                <wp:positionH relativeFrom="page">
                  <wp:align>right</wp:align>
                </wp:positionH>
                <wp:positionV relativeFrom="paragraph">
                  <wp:posOffset>1978659</wp:posOffset>
                </wp:positionV>
                <wp:extent cx="5775960" cy="4937760"/>
                <wp:effectExtent l="0" t="0" r="0" b="0"/>
                <wp:wrapNone/>
                <wp:docPr id="4505082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75960" cy="4937760"/>
                        </a:xfrm>
                        <a:prstGeom prst="rect">
                          <a:avLst/>
                        </a:prstGeom>
                        <a:solidFill>
                          <a:srgbClr val="41BDB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AB6CC4" w14:textId="77777777" w:rsidR="005B3720" w:rsidRDefault="005B3720" w:rsidP="005B3720">
                            <w:pPr>
                              <w:jc w:val="center"/>
                            </w:pPr>
                          </w:p>
                          <w:p w14:paraId="0752397F" w14:textId="77777777" w:rsidR="00D17D5F" w:rsidRDefault="00D17D5F" w:rsidP="005B37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AE625" id="Rectangle 1" o:spid="_x0000_s1026" alt="&quot;&quot;" style="position:absolute;margin-left:403.6pt;margin-top:155.8pt;width:454.8pt;height:388.8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" fillcolor="#41bdbd" stroked="f" strokeweight="1pt">
                <v:textbox>
                  <w:txbxContent>
                    <w:p w14:paraId="1BAB6CC4" w14:textId="77777777" w:rsidR="005B3720" w:rsidRDefault="005B3720" w:rsidP="005B3720">
                      <w:pPr>
                        <w:jc w:val="center"/>
                      </w:pPr>
                    </w:p>
                    <w:p w14:paraId="0752397F" w14:textId="77777777" w:rsidR="00D17D5F" w:rsidRDefault="00D17D5F" w:rsidP="005B3720">
                      <w:pPr>
                        <w:jc w:val="center"/>
                      </w:pPr>
                    </w:p>
                  </w:txbxContent>
                </v:textbox>
                <w10:wrap anchorx="page"/>
              </v:rect>
            </w:pict>
          </mc:Fallback>
        </mc:AlternateContent>
      </w:r>
      <w:r w:rsidR="00221D8F" w:rsidRPr="00CA4815">
        <w:rPr>
          <w:b/>
          <w:bCs/>
          <w:noProof/>
        </w:rPr>
        <w:drawing>
          <wp:anchor distT="0" distB="0" distL="114300" distR="114300" simplePos="0" relativeHeight="251658240" behindDoc="1" locked="1" layoutInCell="1" allowOverlap="1" wp14:anchorId="4AA4B308" wp14:editId="6652948F">
            <wp:simplePos x="0" y="0"/>
            <wp:positionH relativeFrom="page">
              <wp:align>right</wp:align>
            </wp:positionH>
            <wp:positionV relativeFrom="paragraph">
              <wp:posOffset>-1650365</wp:posOffset>
            </wp:positionV>
            <wp:extent cx="7540625" cy="1100010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40625" cy="1100010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366F05F" wp14:editId="5F204D6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44E879E6" w14:textId="7A335149" w:rsidR="00221D8F" w:rsidRPr="00DA14AC" w:rsidRDefault="00C61105" w:rsidP="00413545">
      <w:pPr>
        <w:pStyle w:val="Heading1"/>
        <w:spacing w:before="3000"/>
        <w:ind w:left="2268"/>
        <w:rPr>
          <w:rFonts w:ascii="Aptos" w:hAnsi="Aptos" w:cstheme="minorHAnsi"/>
          <w:color w:val="00254A" w:themeColor="text2"/>
          <w:sz w:val="60"/>
          <w:szCs w:val="60"/>
        </w:rPr>
      </w:pPr>
      <w:bookmarkStart w:id="0" w:name="_Toc126923146"/>
      <w:bookmarkStart w:id="1" w:name="_Toc126923157"/>
      <w:r w:rsidRPr="00DA14AC">
        <w:rPr>
          <w:rFonts w:ascii="Aptos" w:eastAsiaTheme="minorHAnsi" w:hAnsi="Aptos" w:cstheme="minorHAnsi"/>
          <w:color w:val="00254A" w:themeColor="text2"/>
          <w:sz w:val="60"/>
          <w:szCs w:val="60"/>
        </w:rPr>
        <w:t>Pulse Check on the implementation of the Guidelines to Counter Foreign Interference in the Australian University Sector</w:t>
      </w:r>
      <w:bookmarkEnd w:id="0"/>
      <w:bookmarkEnd w:id="1"/>
    </w:p>
    <w:p w14:paraId="77F5D1F8" w14:textId="258C3E63" w:rsidR="00D17D5F" w:rsidRPr="0041492C" w:rsidRDefault="00D17D5F" w:rsidP="005B3720">
      <w:pPr>
        <w:pStyle w:val="Subtitle"/>
        <w:ind w:left="2324"/>
        <w:rPr>
          <w:rFonts w:ascii="Aptos" w:hAnsi="Aptos"/>
          <w:b/>
          <w:bCs/>
          <w:color w:val="00254A" w:themeColor="text2"/>
        </w:rPr>
      </w:pPr>
      <w:r w:rsidRPr="00DA14AC">
        <w:rPr>
          <w:rFonts w:ascii="Aptos" w:hAnsi="Aptos"/>
          <w:color w:val="00254A" w:themeColor="text2"/>
        </w:rPr>
        <w:t xml:space="preserve">       </w:t>
      </w:r>
      <w:r w:rsidRPr="00DA14AC">
        <w:rPr>
          <w:rFonts w:ascii="Aptos" w:hAnsi="Aptos"/>
          <w:color w:val="00254A" w:themeColor="text2"/>
        </w:rPr>
        <w:tab/>
      </w:r>
      <w:r w:rsidR="0041492C" w:rsidRPr="0041492C">
        <w:rPr>
          <w:rFonts w:ascii="Aptos" w:hAnsi="Aptos"/>
          <w:b/>
          <w:bCs/>
          <w:color w:val="00254A" w:themeColor="text2"/>
        </w:rPr>
        <w:t>Department of Education</w:t>
      </w:r>
      <w:r w:rsidRPr="0041492C">
        <w:rPr>
          <w:rFonts w:ascii="Aptos" w:hAnsi="Aptos"/>
          <w:b/>
          <w:bCs/>
          <w:color w:val="00254A" w:themeColor="text2"/>
        </w:rPr>
        <w:tab/>
      </w:r>
      <w:r w:rsidRPr="0041492C">
        <w:rPr>
          <w:rFonts w:ascii="Aptos" w:hAnsi="Aptos"/>
          <w:b/>
          <w:bCs/>
          <w:color w:val="00254A" w:themeColor="text2"/>
        </w:rPr>
        <w:tab/>
      </w:r>
      <w:r w:rsidRPr="0041492C">
        <w:rPr>
          <w:rFonts w:ascii="Aptos" w:hAnsi="Aptos"/>
          <w:b/>
          <w:bCs/>
          <w:color w:val="00254A" w:themeColor="text2"/>
        </w:rPr>
        <w:tab/>
      </w:r>
      <w:r w:rsidRPr="0041492C">
        <w:rPr>
          <w:rFonts w:ascii="Aptos" w:hAnsi="Aptos"/>
          <w:b/>
          <w:bCs/>
          <w:color w:val="00254A" w:themeColor="text2"/>
        </w:rPr>
        <w:tab/>
      </w:r>
    </w:p>
    <w:p w14:paraId="01EF7C3C" w14:textId="77777777" w:rsidR="00107D87" w:rsidRDefault="00107D87">
      <w:pPr>
        <w:sectPr w:rsidR="00107D87" w:rsidSect="00D17D5F">
          <w:headerReference w:type="default" r:id="rId11"/>
          <w:pgSz w:w="11906" w:h="16838"/>
          <w:pgMar w:top="1814" w:right="849" w:bottom="1440" w:left="1440" w:header="709" w:footer="709" w:gutter="0"/>
          <w:cols w:space="708"/>
          <w:docGrid w:linePitch="360"/>
        </w:sectPr>
      </w:pPr>
    </w:p>
    <w:p w14:paraId="5B7DA90A" w14:textId="38E359C8" w:rsidR="0017134D" w:rsidRPr="00107D87" w:rsidRDefault="0017134D" w:rsidP="00ED0DDF">
      <w:pPr>
        <w:spacing w:before="8760"/>
        <w:rPr>
          <w:rStyle w:val="Strong"/>
        </w:rPr>
      </w:pPr>
    </w:p>
    <w:p w14:paraId="47413F5C" w14:textId="791F828E" w:rsidR="0017134D" w:rsidRDefault="00107D87" w:rsidP="008F0A37">
      <w:pPr>
        <w:spacing w:after="480"/>
      </w:pPr>
      <w:r>
        <w:br/>
      </w:r>
      <w:r>
        <w:br/>
      </w:r>
      <w:r>
        <w:rPr>
          <w:noProof/>
        </w:rPr>
        <w:drawing>
          <wp:inline distT="0" distB="0" distL="0" distR="0" wp14:anchorId="7545F035" wp14:editId="171D1D43">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2D287FAB"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3"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05B69565"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4"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488E081A" w14:textId="50BDE0D5" w:rsidR="0017134D" w:rsidRDefault="0017134D" w:rsidP="0017134D">
      <w:r>
        <w:t xml:space="preserve">The document must be attributed as the </w:t>
      </w:r>
      <w:r w:rsidR="008F0A37">
        <w:t xml:space="preserve">Pulse Check on the </w:t>
      </w:r>
      <w:r w:rsidR="00903AF8">
        <w:t>i</w:t>
      </w:r>
      <w:r w:rsidR="008F0A37">
        <w:t xml:space="preserve">mplementation of the Guidelines to Counter Foreign </w:t>
      </w:r>
      <w:r w:rsidR="00F9790A">
        <w:t>I</w:t>
      </w:r>
      <w:r w:rsidR="008F0A37">
        <w:t>nterference in the Australian University Sector</w:t>
      </w:r>
      <w:r>
        <w:t>.</w:t>
      </w:r>
    </w:p>
    <w:p w14:paraId="0BD9A112" w14:textId="77777777" w:rsidR="00107D87" w:rsidRDefault="00107D87" w:rsidP="0017134D">
      <w:pPr>
        <w:sectPr w:rsidR="00107D87">
          <w:pgSz w:w="11906" w:h="16838"/>
          <w:pgMar w:top="1440" w:right="1440" w:bottom="1440" w:left="1440" w:header="708" w:footer="708" w:gutter="0"/>
          <w:cols w:space="708"/>
          <w:docGrid w:linePitch="360"/>
        </w:sectPr>
      </w:pPr>
    </w:p>
    <w:p w14:paraId="1FB2E76C" w14:textId="77777777" w:rsidR="00A15779" w:rsidRPr="00DA14AC" w:rsidRDefault="00A15779" w:rsidP="00A15779">
      <w:pPr>
        <w:pStyle w:val="TOCHeading"/>
        <w:rPr>
          <w:rFonts w:ascii="Aptos" w:hAnsi="Aptos"/>
        </w:rPr>
      </w:pPr>
      <w:r w:rsidRPr="00DA14AC">
        <w:rPr>
          <w:rFonts w:ascii="Aptos" w:hAnsi="Aptos"/>
        </w:rPr>
        <w:t>Contents</w:t>
      </w:r>
    </w:p>
    <w:p w14:paraId="658634F6" w14:textId="22EA4E50" w:rsidR="008F0A37" w:rsidRDefault="00A15779">
      <w:pPr>
        <w:pStyle w:val="TOC2"/>
        <w:tabs>
          <w:tab w:val="right" w:leader="dot" w:pos="9016"/>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9799969" w:history="1">
        <w:r w:rsidR="008F0A37" w:rsidRPr="0083416C">
          <w:rPr>
            <w:rStyle w:val="Hyperlink"/>
            <w:rFonts w:ascii="Aptos" w:hAnsi="Aptos"/>
            <w:bCs/>
            <w:noProof/>
          </w:rPr>
          <w:t>Executive Summary</w:t>
        </w:r>
        <w:r w:rsidR="008F0A37">
          <w:rPr>
            <w:noProof/>
            <w:webHidden/>
          </w:rPr>
          <w:tab/>
        </w:r>
        <w:r w:rsidR="008F0A37">
          <w:rPr>
            <w:noProof/>
            <w:webHidden/>
          </w:rPr>
          <w:fldChar w:fldCharType="begin"/>
        </w:r>
        <w:r w:rsidR="008F0A37">
          <w:rPr>
            <w:noProof/>
            <w:webHidden/>
          </w:rPr>
          <w:instrText xml:space="preserve"> PAGEREF _Toc179799969 \h </w:instrText>
        </w:r>
        <w:r w:rsidR="008F0A37">
          <w:rPr>
            <w:noProof/>
            <w:webHidden/>
          </w:rPr>
        </w:r>
        <w:r w:rsidR="008F0A37">
          <w:rPr>
            <w:noProof/>
            <w:webHidden/>
          </w:rPr>
          <w:fldChar w:fldCharType="separate"/>
        </w:r>
        <w:r w:rsidR="004C1046">
          <w:rPr>
            <w:noProof/>
            <w:webHidden/>
          </w:rPr>
          <w:t>4</w:t>
        </w:r>
        <w:r w:rsidR="008F0A37">
          <w:rPr>
            <w:noProof/>
            <w:webHidden/>
          </w:rPr>
          <w:fldChar w:fldCharType="end"/>
        </w:r>
      </w:hyperlink>
    </w:p>
    <w:p w14:paraId="68AAAF96" w14:textId="7B4CBA6E" w:rsidR="008F0A37" w:rsidRDefault="003F1D54">
      <w:pPr>
        <w:pStyle w:val="TOC3"/>
        <w:tabs>
          <w:tab w:val="right" w:leader="dot" w:pos="9016"/>
        </w:tabs>
        <w:rPr>
          <w:rFonts w:eastAsiaTheme="minorEastAsia"/>
          <w:noProof/>
          <w:kern w:val="2"/>
          <w:sz w:val="24"/>
          <w:szCs w:val="24"/>
          <w:lang w:eastAsia="en-AU"/>
          <w14:ligatures w14:val="standardContextual"/>
        </w:rPr>
      </w:pPr>
      <w:hyperlink w:anchor="_Toc179799970" w:history="1">
        <w:r w:rsidR="008F0A37" w:rsidRPr="0083416C">
          <w:rPr>
            <w:rStyle w:val="Hyperlink"/>
            <w:rFonts w:ascii="Aptos" w:eastAsia="MS Mincho" w:hAnsi="Aptos"/>
            <w:noProof/>
            <w:lang w:eastAsia="ja-JP"/>
          </w:rPr>
          <w:t>Introduction</w:t>
        </w:r>
        <w:r w:rsidR="008F0A37">
          <w:rPr>
            <w:noProof/>
            <w:webHidden/>
          </w:rPr>
          <w:tab/>
        </w:r>
        <w:r w:rsidR="008F0A37">
          <w:rPr>
            <w:noProof/>
            <w:webHidden/>
          </w:rPr>
          <w:fldChar w:fldCharType="begin"/>
        </w:r>
        <w:r w:rsidR="008F0A37">
          <w:rPr>
            <w:noProof/>
            <w:webHidden/>
          </w:rPr>
          <w:instrText xml:space="preserve"> PAGEREF _Toc179799970 \h </w:instrText>
        </w:r>
        <w:r w:rsidR="008F0A37">
          <w:rPr>
            <w:noProof/>
            <w:webHidden/>
          </w:rPr>
        </w:r>
        <w:r w:rsidR="008F0A37">
          <w:rPr>
            <w:noProof/>
            <w:webHidden/>
          </w:rPr>
          <w:fldChar w:fldCharType="separate"/>
        </w:r>
        <w:r w:rsidR="004C1046">
          <w:rPr>
            <w:noProof/>
            <w:webHidden/>
          </w:rPr>
          <w:t>4</w:t>
        </w:r>
        <w:r w:rsidR="008F0A37">
          <w:rPr>
            <w:noProof/>
            <w:webHidden/>
          </w:rPr>
          <w:fldChar w:fldCharType="end"/>
        </w:r>
      </w:hyperlink>
    </w:p>
    <w:p w14:paraId="771F05C0" w14:textId="103FAD51" w:rsidR="008F0A37" w:rsidRDefault="003F1D54">
      <w:pPr>
        <w:pStyle w:val="TOC3"/>
        <w:tabs>
          <w:tab w:val="right" w:leader="dot" w:pos="9016"/>
        </w:tabs>
        <w:rPr>
          <w:rFonts w:eastAsiaTheme="minorEastAsia"/>
          <w:noProof/>
          <w:kern w:val="2"/>
          <w:sz w:val="24"/>
          <w:szCs w:val="24"/>
          <w:lang w:eastAsia="en-AU"/>
          <w14:ligatures w14:val="standardContextual"/>
        </w:rPr>
      </w:pPr>
      <w:hyperlink w:anchor="_Toc179799971" w:history="1">
        <w:r w:rsidR="008F0A37" w:rsidRPr="0083416C">
          <w:rPr>
            <w:rStyle w:val="Hyperlink"/>
            <w:rFonts w:ascii="Aptos" w:eastAsia="MS Mincho" w:hAnsi="Aptos"/>
            <w:noProof/>
            <w:lang w:eastAsia="ja-JP"/>
          </w:rPr>
          <w:t>Background</w:t>
        </w:r>
        <w:r w:rsidR="008F0A37">
          <w:rPr>
            <w:noProof/>
            <w:webHidden/>
          </w:rPr>
          <w:tab/>
        </w:r>
        <w:r w:rsidR="008F0A37">
          <w:rPr>
            <w:noProof/>
            <w:webHidden/>
          </w:rPr>
          <w:fldChar w:fldCharType="begin"/>
        </w:r>
        <w:r w:rsidR="008F0A37">
          <w:rPr>
            <w:noProof/>
            <w:webHidden/>
          </w:rPr>
          <w:instrText xml:space="preserve"> PAGEREF _Toc179799971 \h </w:instrText>
        </w:r>
        <w:r w:rsidR="008F0A37">
          <w:rPr>
            <w:noProof/>
            <w:webHidden/>
          </w:rPr>
        </w:r>
        <w:r w:rsidR="008F0A37">
          <w:rPr>
            <w:noProof/>
            <w:webHidden/>
          </w:rPr>
          <w:fldChar w:fldCharType="separate"/>
        </w:r>
        <w:r w:rsidR="004C1046">
          <w:rPr>
            <w:noProof/>
            <w:webHidden/>
          </w:rPr>
          <w:t>4</w:t>
        </w:r>
        <w:r w:rsidR="008F0A37">
          <w:rPr>
            <w:noProof/>
            <w:webHidden/>
          </w:rPr>
          <w:fldChar w:fldCharType="end"/>
        </w:r>
      </w:hyperlink>
    </w:p>
    <w:p w14:paraId="7C2C850B" w14:textId="7D3D853B" w:rsidR="008F0A37" w:rsidRDefault="003F1D54">
      <w:pPr>
        <w:pStyle w:val="TOC3"/>
        <w:tabs>
          <w:tab w:val="right" w:leader="dot" w:pos="9016"/>
        </w:tabs>
        <w:rPr>
          <w:rFonts w:eastAsiaTheme="minorEastAsia"/>
          <w:noProof/>
          <w:kern w:val="2"/>
          <w:sz w:val="24"/>
          <w:szCs w:val="24"/>
          <w:lang w:eastAsia="en-AU"/>
          <w14:ligatures w14:val="standardContextual"/>
        </w:rPr>
      </w:pPr>
      <w:hyperlink w:anchor="_Toc179799972" w:history="1">
        <w:r w:rsidR="008F0A37" w:rsidRPr="0083416C">
          <w:rPr>
            <w:rStyle w:val="Hyperlink"/>
            <w:rFonts w:ascii="Aptos" w:hAnsi="Aptos"/>
            <w:noProof/>
          </w:rPr>
          <w:t>Key Findings from the Annual Survey and Workshop Series</w:t>
        </w:r>
        <w:r w:rsidR="008F0A37">
          <w:rPr>
            <w:noProof/>
            <w:webHidden/>
          </w:rPr>
          <w:tab/>
        </w:r>
        <w:r w:rsidR="008F0A37">
          <w:rPr>
            <w:noProof/>
            <w:webHidden/>
          </w:rPr>
          <w:fldChar w:fldCharType="begin"/>
        </w:r>
        <w:r w:rsidR="008F0A37">
          <w:rPr>
            <w:noProof/>
            <w:webHidden/>
          </w:rPr>
          <w:instrText xml:space="preserve"> PAGEREF _Toc179799972 \h </w:instrText>
        </w:r>
        <w:r w:rsidR="008F0A37">
          <w:rPr>
            <w:noProof/>
            <w:webHidden/>
          </w:rPr>
        </w:r>
        <w:r w:rsidR="008F0A37">
          <w:rPr>
            <w:noProof/>
            <w:webHidden/>
          </w:rPr>
          <w:fldChar w:fldCharType="separate"/>
        </w:r>
        <w:r w:rsidR="004C1046">
          <w:rPr>
            <w:noProof/>
            <w:webHidden/>
          </w:rPr>
          <w:t>5</w:t>
        </w:r>
        <w:r w:rsidR="008F0A37">
          <w:rPr>
            <w:noProof/>
            <w:webHidden/>
          </w:rPr>
          <w:fldChar w:fldCharType="end"/>
        </w:r>
      </w:hyperlink>
    </w:p>
    <w:p w14:paraId="52F8DF38" w14:textId="29382116" w:rsidR="008F0A37" w:rsidRDefault="003F1D54">
      <w:pPr>
        <w:pStyle w:val="TOC2"/>
        <w:tabs>
          <w:tab w:val="right" w:leader="dot" w:pos="9016"/>
        </w:tabs>
        <w:rPr>
          <w:rFonts w:eastAsiaTheme="minorEastAsia"/>
          <w:noProof/>
          <w:kern w:val="2"/>
          <w:sz w:val="24"/>
          <w:szCs w:val="24"/>
          <w:lang w:eastAsia="en-AU"/>
          <w14:ligatures w14:val="standardContextual"/>
        </w:rPr>
      </w:pPr>
      <w:hyperlink w:anchor="_Toc179799973" w:history="1">
        <w:r w:rsidR="008F0A37" w:rsidRPr="0083416C">
          <w:rPr>
            <w:rStyle w:val="Hyperlink"/>
            <w:rFonts w:ascii="Aptos" w:hAnsi="Aptos"/>
            <w:bCs/>
            <w:noProof/>
          </w:rPr>
          <w:t>Consultation</w:t>
        </w:r>
        <w:r w:rsidR="008F0A37">
          <w:rPr>
            <w:noProof/>
            <w:webHidden/>
          </w:rPr>
          <w:tab/>
        </w:r>
        <w:r w:rsidR="008F0A37">
          <w:rPr>
            <w:noProof/>
            <w:webHidden/>
          </w:rPr>
          <w:fldChar w:fldCharType="begin"/>
        </w:r>
        <w:r w:rsidR="008F0A37">
          <w:rPr>
            <w:noProof/>
            <w:webHidden/>
          </w:rPr>
          <w:instrText xml:space="preserve"> PAGEREF _Toc179799973 \h </w:instrText>
        </w:r>
        <w:r w:rsidR="008F0A37">
          <w:rPr>
            <w:noProof/>
            <w:webHidden/>
          </w:rPr>
        </w:r>
        <w:r w:rsidR="008F0A37">
          <w:rPr>
            <w:noProof/>
            <w:webHidden/>
          </w:rPr>
          <w:fldChar w:fldCharType="separate"/>
        </w:r>
        <w:r w:rsidR="004C1046">
          <w:rPr>
            <w:noProof/>
            <w:webHidden/>
          </w:rPr>
          <w:t>6</w:t>
        </w:r>
        <w:r w:rsidR="008F0A37">
          <w:rPr>
            <w:noProof/>
            <w:webHidden/>
          </w:rPr>
          <w:fldChar w:fldCharType="end"/>
        </w:r>
      </w:hyperlink>
    </w:p>
    <w:p w14:paraId="30985AA9" w14:textId="41367FB7" w:rsidR="008F0A37" w:rsidRDefault="003F1D54">
      <w:pPr>
        <w:pStyle w:val="TOC3"/>
        <w:tabs>
          <w:tab w:val="right" w:leader="dot" w:pos="9016"/>
        </w:tabs>
        <w:rPr>
          <w:rFonts w:eastAsiaTheme="minorEastAsia"/>
          <w:noProof/>
          <w:kern w:val="2"/>
          <w:sz w:val="24"/>
          <w:szCs w:val="24"/>
          <w:lang w:eastAsia="en-AU"/>
          <w14:ligatures w14:val="standardContextual"/>
        </w:rPr>
      </w:pPr>
      <w:hyperlink w:anchor="_Toc179799974" w:history="1">
        <w:r w:rsidR="008F0A37" w:rsidRPr="0083416C">
          <w:rPr>
            <w:rStyle w:val="Hyperlink"/>
            <w:rFonts w:ascii="Aptos" w:eastAsia="Aptos" w:hAnsi="Aptos"/>
            <w:noProof/>
            <w:lang w:val="en-US" w:eastAsia="ja-JP"/>
          </w:rPr>
          <w:t>Annual Pulse Survey</w:t>
        </w:r>
        <w:r w:rsidR="008F0A37">
          <w:rPr>
            <w:noProof/>
            <w:webHidden/>
          </w:rPr>
          <w:tab/>
        </w:r>
        <w:r w:rsidR="008F0A37">
          <w:rPr>
            <w:noProof/>
            <w:webHidden/>
          </w:rPr>
          <w:fldChar w:fldCharType="begin"/>
        </w:r>
        <w:r w:rsidR="008F0A37">
          <w:rPr>
            <w:noProof/>
            <w:webHidden/>
          </w:rPr>
          <w:instrText xml:space="preserve"> PAGEREF _Toc179799974 \h </w:instrText>
        </w:r>
        <w:r w:rsidR="008F0A37">
          <w:rPr>
            <w:noProof/>
            <w:webHidden/>
          </w:rPr>
        </w:r>
        <w:r w:rsidR="008F0A37">
          <w:rPr>
            <w:noProof/>
            <w:webHidden/>
          </w:rPr>
          <w:fldChar w:fldCharType="separate"/>
        </w:r>
        <w:r w:rsidR="004C1046">
          <w:rPr>
            <w:noProof/>
            <w:webHidden/>
          </w:rPr>
          <w:t>6</w:t>
        </w:r>
        <w:r w:rsidR="008F0A37">
          <w:rPr>
            <w:noProof/>
            <w:webHidden/>
          </w:rPr>
          <w:fldChar w:fldCharType="end"/>
        </w:r>
      </w:hyperlink>
    </w:p>
    <w:p w14:paraId="5FDACDC6" w14:textId="24BC542D" w:rsidR="008F0A37" w:rsidRDefault="003F1D54">
      <w:pPr>
        <w:pStyle w:val="TOC3"/>
        <w:tabs>
          <w:tab w:val="right" w:leader="dot" w:pos="9016"/>
        </w:tabs>
        <w:rPr>
          <w:rFonts w:eastAsiaTheme="minorEastAsia"/>
          <w:noProof/>
          <w:kern w:val="2"/>
          <w:sz w:val="24"/>
          <w:szCs w:val="24"/>
          <w:lang w:eastAsia="en-AU"/>
          <w14:ligatures w14:val="standardContextual"/>
        </w:rPr>
      </w:pPr>
      <w:hyperlink w:anchor="_Toc179799975" w:history="1">
        <w:r w:rsidR="008F0A37" w:rsidRPr="0083416C">
          <w:rPr>
            <w:rStyle w:val="Hyperlink"/>
            <w:rFonts w:ascii="Aptos" w:eastAsia="Aptos" w:hAnsi="Aptos"/>
            <w:noProof/>
            <w:lang w:val="en-US" w:eastAsia="ja-JP"/>
          </w:rPr>
          <w:t>Countering Foreign Interference Workshop Series</w:t>
        </w:r>
        <w:r w:rsidR="008F0A37">
          <w:rPr>
            <w:noProof/>
            <w:webHidden/>
          </w:rPr>
          <w:tab/>
        </w:r>
        <w:r w:rsidR="008F0A37">
          <w:rPr>
            <w:noProof/>
            <w:webHidden/>
          </w:rPr>
          <w:fldChar w:fldCharType="begin"/>
        </w:r>
        <w:r w:rsidR="008F0A37">
          <w:rPr>
            <w:noProof/>
            <w:webHidden/>
          </w:rPr>
          <w:instrText xml:space="preserve"> PAGEREF _Toc179799975 \h </w:instrText>
        </w:r>
        <w:r w:rsidR="008F0A37">
          <w:rPr>
            <w:noProof/>
            <w:webHidden/>
          </w:rPr>
        </w:r>
        <w:r w:rsidR="008F0A37">
          <w:rPr>
            <w:noProof/>
            <w:webHidden/>
          </w:rPr>
          <w:fldChar w:fldCharType="separate"/>
        </w:r>
        <w:r w:rsidR="004C1046">
          <w:rPr>
            <w:noProof/>
            <w:webHidden/>
          </w:rPr>
          <w:t>6</w:t>
        </w:r>
        <w:r w:rsidR="008F0A37">
          <w:rPr>
            <w:noProof/>
            <w:webHidden/>
          </w:rPr>
          <w:fldChar w:fldCharType="end"/>
        </w:r>
      </w:hyperlink>
    </w:p>
    <w:p w14:paraId="68151099" w14:textId="66651D76" w:rsidR="008F0A37" w:rsidRDefault="003F1D54">
      <w:pPr>
        <w:pStyle w:val="TOC2"/>
        <w:tabs>
          <w:tab w:val="right" w:leader="dot" w:pos="9016"/>
        </w:tabs>
        <w:rPr>
          <w:rFonts w:eastAsiaTheme="minorEastAsia"/>
          <w:noProof/>
          <w:kern w:val="2"/>
          <w:sz w:val="24"/>
          <w:szCs w:val="24"/>
          <w:lang w:eastAsia="en-AU"/>
          <w14:ligatures w14:val="standardContextual"/>
        </w:rPr>
      </w:pPr>
      <w:hyperlink w:anchor="_Toc179799976" w:history="1">
        <w:r w:rsidR="008F0A37" w:rsidRPr="0083416C">
          <w:rPr>
            <w:rStyle w:val="Hyperlink"/>
            <w:rFonts w:ascii="Aptos" w:eastAsia="Aptos" w:hAnsi="Aptos"/>
            <w:noProof/>
            <w:lang w:val="en-US" w:eastAsia="ja-JP"/>
          </w:rPr>
          <w:t>Consultation Findings</w:t>
        </w:r>
        <w:r w:rsidR="008F0A37">
          <w:rPr>
            <w:noProof/>
            <w:webHidden/>
          </w:rPr>
          <w:tab/>
        </w:r>
        <w:r w:rsidR="008F0A37">
          <w:rPr>
            <w:noProof/>
            <w:webHidden/>
          </w:rPr>
          <w:fldChar w:fldCharType="begin"/>
        </w:r>
        <w:r w:rsidR="008F0A37">
          <w:rPr>
            <w:noProof/>
            <w:webHidden/>
          </w:rPr>
          <w:instrText xml:space="preserve"> PAGEREF _Toc179799976 \h </w:instrText>
        </w:r>
        <w:r w:rsidR="008F0A37">
          <w:rPr>
            <w:noProof/>
            <w:webHidden/>
          </w:rPr>
        </w:r>
        <w:r w:rsidR="008F0A37">
          <w:rPr>
            <w:noProof/>
            <w:webHidden/>
          </w:rPr>
          <w:fldChar w:fldCharType="separate"/>
        </w:r>
        <w:r w:rsidR="004C1046">
          <w:rPr>
            <w:noProof/>
            <w:webHidden/>
          </w:rPr>
          <w:t>7</w:t>
        </w:r>
        <w:r w:rsidR="008F0A37">
          <w:rPr>
            <w:noProof/>
            <w:webHidden/>
          </w:rPr>
          <w:fldChar w:fldCharType="end"/>
        </w:r>
      </w:hyperlink>
    </w:p>
    <w:p w14:paraId="0B2ABE76" w14:textId="317A8208" w:rsidR="008F0A37" w:rsidRDefault="003F1D54">
      <w:pPr>
        <w:pStyle w:val="TOC2"/>
        <w:tabs>
          <w:tab w:val="right" w:leader="dot" w:pos="9016"/>
        </w:tabs>
        <w:rPr>
          <w:rFonts w:eastAsiaTheme="minorEastAsia"/>
          <w:noProof/>
          <w:kern w:val="2"/>
          <w:sz w:val="24"/>
          <w:szCs w:val="24"/>
          <w:lang w:eastAsia="en-AU"/>
          <w14:ligatures w14:val="standardContextual"/>
        </w:rPr>
      </w:pPr>
      <w:hyperlink w:anchor="_Toc179799977" w:history="1">
        <w:r w:rsidR="008F0A37" w:rsidRPr="0083416C">
          <w:rPr>
            <w:rStyle w:val="Hyperlink"/>
            <w:rFonts w:ascii="Aptos" w:hAnsi="Aptos"/>
            <w:noProof/>
          </w:rPr>
          <w:t>Next Steps</w:t>
        </w:r>
        <w:r w:rsidR="008F0A37">
          <w:rPr>
            <w:noProof/>
            <w:webHidden/>
          </w:rPr>
          <w:tab/>
        </w:r>
        <w:r w:rsidR="008F0A37">
          <w:rPr>
            <w:noProof/>
            <w:webHidden/>
          </w:rPr>
          <w:fldChar w:fldCharType="begin"/>
        </w:r>
        <w:r w:rsidR="008F0A37">
          <w:rPr>
            <w:noProof/>
            <w:webHidden/>
          </w:rPr>
          <w:instrText xml:space="preserve"> PAGEREF _Toc179799977 \h </w:instrText>
        </w:r>
        <w:r w:rsidR="008F0A37">
          <w:rPr>
            <w:noProof/>
            <w:webHidden/>
          </w:rPr>
        </w:r>
        <w:r w:rsidR="008F0A37">
          <w:rPr>
            <w:noProof/>
            <w:webHidden/>
          </w:rPr>
          <w:fldChar w:fldCharType="separate"/>
        </w:r>
        <w:r w:rsidR="004C1046">
          <w:rPr>
            <w:noProof/>
            <w:webHidden/>
          </w:rPr>
          <w:t>11</w:t>
        </w:r>
        <w:r w:rsidR="008F0A37">
          <w:rPr>
            <w:noProof/>
            <w:webHidden/>
          </w:rPr>
          <w:fldChar w:fldCharType="end"/>
        </w:r>
      </w:hyperlink>
    </w:p>
    <w:p w14:paraId="01D97888" w14:textId="4D304AD4" w:rsidR="008F0A37" w:rsidRDefault="003F1D54">
      <w:pPr>
        <w:pStyle w:val="TOC1"/>
        <w:rPr>
          <w:rFonts w:eastAsiaTheme="minorEastAsia"/>
          <w:noProof/>
          <w:kern w:val="2"/>
          <w:sz w:val="24"/>
          <w:szCs w:val="24"/>
          <w:lang w:eastAsia="en-AU"/>
          <w14:ligatures w14:val="standardContextual"/>
        </w:rPr>
      </w:pPr>
      <w:hyperlink w:anchor="_Toc179799978" w:history="1">
        <w:r w:rsidR="008F0A37" w:rsidRPr="0083416C">
          <w:rPr>
            <w:rStyle w:val="Hyperlink"/>
            <w:rFonts w:ascii="Aptos" w:hAnsi="Aptos"/>
            <w:noProof/>
          </w:rPr>
          <w:t>Annexure A</w:t>
        </w:r>
        <w:r w:rsidR="008F0A37">
          <w:rPr>
            <w:noProof/>
            <w:webHidden/>
          </w:rPr>
          <w:tab/>
        </w:r>
        <w:r w:rsidR="008F0A37">
          <w:rPr>
            <w:noProof/>
            <w:webHidden/>
          </w:rPr>
          <w:fldChar w:fldCharType="begin"/>
        </w:r>
        <w:r w:rsidR="008F0A37">
          <w:rPr>
            <w:noProof/>
            <w:webHidden/>
          </w:rPr>
          <w:instrText xml:space="preserve"> PAGEREF _Toc179799978 \h </w:instrText>
        </w:r>
        <w:r w:rsidR="008F0A37">
          <w:rPr>
            <w:noProof/>
            <w:webHidden/>
          </w:rPr>
        </w:r>
        <w:r w:rsidR="008F0A37">
          <w:rPr>
            <w:noProof/>
            <w:webHidden/>
          </w:rPr>
          <w:fldChar w:fldCharType="separate"/>
        </w:r>
        <w:r w:rsidR="004C1046">
          <w:rPr>
            <w:noProof/>
            <w:webHidden/>
          </w:rPr>
          <w:t>13</w:t>
        </w:r>
        <w:r w:rsidR="008F0A37">
          <w:rPr>
            <w:noProof/>
            <w:webHidden/>
          </w:rPr>
          <w:fldChar w:fldCharType="end"/>
        </w:r>
      </w:hyperlink>
    </w:p>
    <w:p w14:paraId="0EF1ADB6" w14:textId="100752E2" w:rsidR="008F0A37" w:rsidRDefault="003F1D54">
      <w:pPr>
        <w:pStyle w:val="TOC2"/>
        <w:tabs>
          <w:tab w:val="right" w:leader="dot" w:pos="9016"/>
        </w:tabs>
        <w:rPr>
          <w:rFonts w:eastAsiaTheme="minorEastAsia"/>
          <w:noProof/>
          <w:kern w:val="2"/>
          <w:sz w:val="24"/>
          <w:szCs w:val="24"/>
          <w:lang w:eastAsia="en-AU"/>
          <w14:ligatures w14:val="standardContextual"/>
        </w:rPr>
      </w:pPr>
      <w:hyperlink w:anchor="_Toc179799979" w:history="1">
        <w:r w:rsidR="008F0A37" w:rsidRPr="0083416C">
          <w:rPr>
            <w:rStyle w:val="Hyperlink"/>
            <w:rFonts w:ascii="Aptos" w:hAnsi="Aptos"/>
            <w:noProof/>
          </w:rPr>
          <w:t>Achievements 2023-24</w:t>
        </w:r>
        <w:r w:rsidR="008F0A37">
          <w:rPr>
            <w:noProof/>
            <w:webHidden/>
          </w:rPr>
          <w:tab/>
        </w:r>
        <w:r w:rsidR="008F0A37">
          <w:rPr>
            <w:noProof/>
            <w:webHidden/>
          </w:rPr>
          <w:fldChar w:fldCharType="begin"/>
        </w:r>
        <w:r w:rsidR="008F0A37">
          <w:rPr>
            <w:noProof/>
            <w:webHidden/>
          </w:rPr>
          <w:instrText xml:space="preserve"> PAGEREF _Toc179799979 \h </w:instrText>
        </w:r>
        <w:r w:rsidR="008F0A37">
          <w:rPr>
            <w:noProof/>
            <w:webHidden/>
          </w:rPr>
        </w:r>
        <w:r w:rsidR="008F0A37">
          <w:rPr>
            <w:noProof/>
            <w:webHidden/>
          </w:rPr>
          <w:fldChar w:fldCharType="separate"/>
        </w:r>
        <w:r w:rsidR="004C1046">
          <w:rPr>
            <w:noProof/>
            <w:webHidden/>
          </w:rPr>
          <w:t>13</w:t>
        </w:r>
        <w:r w:rsidR="008F0A37">
          <w:rPr>
            <w:noProof/>
            <w:webHidden/>
          </w:rPr>
          <w:fldChar w:fldCharType="end"/>
        </w:r>
      </w:hyperlink>
    </w:p>
    <w:p w14:paraId="4207BDC3" w14:textId="68A1CA5A" w:rsidR="00A15779" w:rsidRDefault="00A15779" w:rsidP="00A15779">
      <w:r>
        <w:fldChar w:fldCharType="end"/>
      </w:r>
      <w:r>
        <w:br w:type="page"/>
      </w:r>
    </w:p>
    <w:p w14:paraId="3E07C2B9" w14:textId="77777777" w:rsidR="00A15779" w:rsidRPr="00905D1F" w:rsidRDefault="00A15779" w:rsidP="00A15779">
      <w:pPr>
        <w:pStyle w:val="Heading3"/>
        <w:rPr>
          <w:rFonts w:ascii="Aptos" w:eastAsia="MS Mincho" w:hAnsi="Aptos"/>
          <w:bCs/>
          <w:lang w:eastAsia="ja-JP"/>
        </w:rPr>
      </w:pPr>
      <w:bookmarkStart w:id="2" w:name="_Toc179799969"/>
      <w:r w:rsidRPr="00905D1F">
        <w:rPr>
          <w:rFonts w:ascii="Aptos" w:hAnsi="Aptos"/>
          <w:bCs/>
          <w:sz w:val="36"/>
          <w:szCs w:val="28"/>
        </w:rPr>
        <w:t>Executive Summary</w:t>
      </w:r>
      <w:bookmarkEnd w:id="2"/>
      <w:r w:rsidRPr="00905D1F">
        <w:rPr>
          <w:rFonts w:ascii="Aptos" w:hAnsi="Aptos"/>
          <w:bCs/>
          <w:sz w:val="36"/>
          <w:szCs w:val="28"/>
        </w:rPr>
        <w:t xml:space="preserve"> </w:t>
      </w:r>
      <w:bookmarkStart w:id="3" w:name="_Toc126923148"/>
      <w:bookmarkStart w:id="4" w:name="_Toc126923159"/>
    </w:p>
    <w:p w14:paraId="4AC607BA" w14:textId="2CDF2652" w:rsidR="00A15779" w:rsidRPr="00905D1F" w:rsidRDefault="00673830" w:rsidP="00A15779">
      <w:pPr>
        <w:pStyle w:val="Heading4"/>
        <w:rPr>
          <w:rFonts w:ascii="Aptos" w:eastAsia="MS Mincho" w:hAnsi="Aptos"/>
          <w:lang w:eastAsia="ja-JP"/>
        </w:rPr>
      </w:pPr>
      <w:bookmarkStart w:id="5" w:name="_Toc179799970"/>
      <w:r>
        <w:rPr>
          <w:rFonts w:ascii="Aptos" w:eastAsia="MS Mincho" w:hAnsi="Aptos"/>
          <w:lang w:eastAsia="ja-JP"/>
        </w:rPr>
        <w:t>Introduction</w:t>
      </w:r>
      <w:bookmarkEnd w:id="5"/>
      <w:r w:rsidR="00A15779" w:rsidRPr="00905D1F">
        <w:rPr>
          <w:rFonts w:ascii="Aptos" w:eastAsia="MS Mincho" w:hAnsi="Aptos"/>
          <w:lang w:eastAsia="ja-JP"/>
        </w:rPr>
        <w:t xml:space="preserve"> </w:t>
      </w:r>
    </w:p>
    <w:p w14:paraId="5A6904E6" w14:textId="72B15BE3" w:rsidR="00A20ED1" w:rsidRPr="005238B4" w:rsidRDefault="00673830" w:rsidP="00673830">
      <w:pPr>
        <w:spacing w:after="160" w:line="279" w:lineRule="auto"/>
        <w:rPr>
          <w:rFonts w:ascii="Aptos" w:eastAsia="MS Mincho" w:hAnsi="Aptos" w:cs="Arial"/>
          <w:sz w:val="24"/>
          <w:szCs w:val="24"/>
          <w:lang w:eastAsia="ja-JP"/>
        </w:rPr>
      </w:pPr>
      <w:r w:rsidRPr="00EA2B75">
        <w:rPr>
          <w:rFonts w:ascii="Aptos" w:eastAsia="MS Mincho" w:hAnsi="Aptos" w:cs="Arial"/>
          <w:sz w:val="24"/>
          <w:szCs w:val="24"/>
          <w:lang w:eastAsia="ja-JP"/>
        </w:rPr>
        <w:t>Australian higher education and research is at the leading edge of policy, research and scientific development. This opens the sector to a range of national security risks</w:t>
      </w:r>
      <w:r w:rsidR="00DC5F7C">
        <w:rPr>
          <w:rFonts w:ascii="Aptos" w:eastAsia="MS Mincho" w:hAnsi="Aptos" w:cs="Arial"/>
          <w:sz w:val="24"/>
          <w:szCs w:val="24"/>
          <w:lang w:eastAsia="ja-JP"/>
        </w:rPr>
        <w:t>, including foreign interference,</w:t>
      </w:r>
      <w:r w:rsidRPr="00EA2B75">
        <w:rPr>
          <w:rFonts w:ascii="Aptos" w:eastAsia="MS Mincho" w:hAnsi="Aptos" w:cs="Arial"/>
          <w:sz w:val="24"/>
          <w:szCs w:val="24"/>
          <w:lang w:eastAsia="ja-JP"/>
        </w:rPr>
        <w:t xml:space="preserve"> in an increasingly complex operating environment.</w:t>
      </w:r>
      <w:r w:rsidR="00A20ED1">
        <w:rPr>
          <w:rFonts w:ascii="Aptos" w:eastAsia="MS Mincho" w:hAnsi="Aptos" w:cs="Arial"/>
          <w:sz w:val="24"/>
          <w:szCs w:val="24"/>
          <w:lang w:eastAsia="ja-JP"/>
        </w:rPr>
        <w:t xml:space="preserve"> </w:t>
      </w:r>
      <w:r w:rsidR="00D3018E" w:rsidRPr="00A20ED1">
        <w:rPr>
          <w:rFonts w:ascii="Aptos" w:eastAsia="MS Mincho" w:hAnsi="Aptos" w:cs="Arial"/>
          <w:sz w:val="24"/>
          <w:szCs w:val="24"/>
          <w:lang w:eastAsia="ja-JP"/>
        </w:rPr>
        <w:t>The 2024 ASIO Annual Threat Assessment has underlined that foreign interference and espionage is the principal</w:t>
      </w:r>
      <w:r w:rsidR="00D3018E" w:rsidRPr="00A20ED1">
        <w:rPr>
          <w:rFonts w:ascii="Arial" w:eastAsia="MS Mincho" w:hAnsi="Arial" w:cs="Arial"/>
          <w:sz w:val="24"/>
          <w:szCs w:val="24"/>
          <w:lang w:eastAsia="ja-JP"/>
        </w:rPr>
        <w:t> </w:t>
      </w:r>
      <w:r w:rsidR="00D3018E" w:rsidRPr="00A20ED1">
        <w:rPr>
          <w:rFonts w:ascii="Aptos" w:eastAsia="MS Mincho" w:hAnsi="Aptos" w:cs="Arial"/>
          <w:sz w:val="24"/>
          <w:szCs w:val="24"/>
          <w:lang w:eastAsia="ja-JP"/>
        </w:rPr>
        <w:t>security</w:t>
      </w:r>
      <w:r w:rsidR="00D3018E" w:rsidRPr="00A20ED1">
        <w:rPr>
          <w:rFonts w:ascii="Arial" w:eastAsia="MS Mincho" w:hAnsi="Arial" w:cs="Arial"/>
          <w:sz w:val="24"/>
          <w:szCs w:val="24"/>
          <w:lang w:eastAsia="ja-JP"/>
        </w:rPr>
        <w:t> </w:t>
      </w:r>
      <w:r w:rsidR="00D3018E" w:rsidRPr="00A20ED1">
        <w:rPr>
          <w:rFonts w:ascii="Aptos" w:eastAsia="MS Mincho" w:hAnsi="Aptos" w:cs="Arial"/>
          <w:sz w:val="24"/>
          <w:szCs w:val="24"/>
          <w:lang w:eastAsia="ja-JP"/>
        </w:rPr>
        <w:t>concern facing Australia. </w:t>
      </w:r>
    </w:p>
    <w:p w14:paraId="0D514CC3" w14:textId="77777777" w:rsidR="00673830" w:rsidRPr="00BE7C06" w:rsidRDefault="00673830" w:rsidP="00673830">
      <w:pPr>
        <w:rPr>
          <w:rFonts w:ascii="Aptos" w:hAnsi="Aptos"/>
          <w:bCs/>
          <w:sz w:val="24"/>
          <w:szCs w:val="24"/>
          <w:lang w:eastAsia="ja-JP"/>
        </w:rPr>
      </w:pPr>
      <w:r w:rsidRPr="00BE7C06">
        <w:rPr>
          <w:rFonts w:ascii="Aptos" w:hAnsi="Aptos"/>
          <w:bCs/>
          <w:sz w:val="24"/>
          <w:szCs w:val="24"/>
          <w:lang w:val="en-US" w:eastAsia="ja-JP"/>
        </w:rPr>
        <w:t xml:space="preserve">Australia’s countering foreign interference approach focuses on raising the awareness of, and building resilience across, the sectors of Australian society which are most </w:t>
      </w:r>
      <w:r w:rsidRPr="00BE7C06">
        <w:rPr>
          <w:rFonts w:ascii="Aptos" w:hAnsi="Aptos"/>
          <w:bCs/>
          <w:sz w:val="24"/>
          <w:szCs w:val="24"/>
          <w:lang w:val="en-US" w:eastAsia="ja-JP"/>
        </w:rPr>
        <w:br/>
        <w:t xml:space="preserve">at-risk from foreign interference, including the university and research sector. </w:t>
      </w:r>
    </w:p>
    <w:p w14:paraId="230185D1" w14:textId="1FD84000" w:rsidR="00685F61" w:rsidRDefault="00673830" w:rsidP="0027698C">
      <w:pPr>
        <w:spacing w:after="160" w:line="279" w:lineRule="auto"/>
        <w:rPr>
          <w:rFonts w:ascii="Aptos" w:hAnsi="Aptos"/>
          <w:sz w:val="24"/>
          <w:szCs w:val="24"/>
          <w:lang w:eastAsia="ja-JP"/>
        </w:rPr>
      </w:pPr>
      <w:r w:rsidRPr="00EA2B75">
        <w:rPr>
          <w:rFonts w:ascii="Aptos" w:eastAsia="MS Mincho" w:hAnsi="Aptos" w:cs="Arial"/>
          <w:sz w:val="24"/>
          <w:szCs w:val="24"/>
          <w:lang w:val="en-US" w:eastAsia="ja-JP"/>
        </w:rPr>
        <w:t xml:space="preserve">The Department of Education </w:t>
      </w:r>
      <w:r>
        <w:rPr>
          <w:rFonts w:ascii="Aptos" w:eastAsia="MS Mincho" w:hAnsi="Aptos" w:cs="Arial"/>
          <w:sz w:val="24"/>
          <w:szCs w:val="24"/>
          <w:lang w:val="en-US" w:eastAsia="ja-JP"/>
        </w:rPr>
        <w:t xml:space="preserve">(the department) </w:t>
      </w:r>
      <w:r w:rsidRPr="00EA2B75">
        <w:rPr>
          <w:rFonts w:ascii="Aptos" w:eastAsia="MS Mincho" w:hAnsi="Aptos" w:cs="Arial"/>
          <w:sz w:val="24"/>
          <w:szCs w:val="24"/>
          <w:lang w:val="en-US" w:eastAsia="ja-JP"/>
        </w:rPr>
        <w:t>maintains strong engagement and collaboration with the higher education and research sector</w:t>
      </w:r>
      <w:r w:rsidR="00685F61">
        <w:rPr>
          <w:rFonts w:ascii="Aptos" w:eastAsia="MS Mincho" w:hAnsi="Aptos" w:cs="Arial"/>
          <w:sz w:val="24"/>
          <w:szCs w:val="24"/>
          <w:lang w:val="en-US" w:eastAsia="ja-JP"/>
        </w:rPr>
        <w:t xml:space="preserve"> </w:t>
      </w:r>
      <w:r w:rsidR="00CA1BCC">
        <w:rPr>
          <w:rFonts w:ascii="Aptos" w:eastAsia="MS Mincho" w:hAnsi="Aptos" w:cs="Arial"/>
          <w:sz w:val="24"/>
          <w:szCs w:val="24"/>
          <w:lang w:val="en-US" w:eastAsia="ja-JP"/>
        </w:rPr>
        <w:t xml:space="preserve">to mitigate risks of foreign interference, </w:t>
      </w:r>
      <w:r w:rsidR="00685F61">
        <w:rPr>
          <w:rFonts w:ascii="Aptos" w:eastAsia="MS Mincho" w:hAnsi="Aptos" w:cs="Arial"/>
          <w:sz w:val="24"/>
          <w:szCs w:val="24"/>
          <w:lang w:val="en-US" w:eastAsia="ja-JP"/>
        </w:rPr>
        <w:t>as well as participating in the University Foreign Interference Taskforce</w:t>
      </w:r>
      <w:r w:rsidR="00CA1BCC">
        <w:rPr>
          <w:rFonts w:ascii="Aptos" w:eastAsia="MS Mincho" w:hAnsi="Aptos" w:cs="Arial"/>
          <w:sz w:val="24"/>
          <w:szCs w:val="24"/>
          <w:lang w:val="en-US" w:eastAsia="ja-JP"/>
        </w:rPr>
        <w:t xml:space="preserve"> (UFIT)</w:t>
      </w:r>
      <w:r w:rsidR="00E941E8">
        <w:rPr>
          <w:rFonts w:ascii="Aptos" w:eastAsia="MS Mincho" w:hAnsi="Aptos" w:cs="Arial"/>
          <w:sz w:val="24"/>
          <w:szCs w:val="24"/>
          <w:lang w:val="en-US" w:eastAsia="ja-JP"/>
        </w:rPr>
        <w:t>.</w:t>
      </w:r>
      <w:r w:rsidR="00685F61">
        <w:rPr>
          <w:rFonts w:ascii="Aptos" w:eastAsia="MS Mincho" w:hAnsi="Aptos" w:cs="Arial"/>
          <w:sz w:val="24"/>
          <w:szCs w:val="24"/>
          <w:lang w:val="en-US" w:eastAsia="ja-JP"/>
        </w:rPr>
        <w:t xml:space="preserve"> </w:t>
      </w:r>
      <w:r w:rsidR="00CA1BCC">
        <w:rPr>
          <w:rFonts w:ascii="Aptos" w:eastAsia="MS Mincho" w:hAnsi="Aptos" w:cs="Arial"/>
          <w:sz w:val="24"/>
          <w:szCs w:val="24"/>
          <w:lang w:val="en-US" w:eastAsia="ja-JP"/>
        </w:rPr>
        <w:t xml:space="preserve">The UFIT was </w:t>
      </w:r>
      <w:r w:rsidR="00685F61">
        <w:rPr>
          <w:rFonts w:ascii="Aptos" w:eastAsia="MS Mincho" w:hAnsi="Aptos" w:cs="Arial"/>
          <w:sz w:val="24"/>
          <w:szCs w:val="24"/>
          <w:lang w:val="en-US" w:eastAsia="ja-JP"/>
        </w:rPr>
        <w:t xml:space="preserve">established to bring together the university sector and </w:t>
      </w:r>
      <w:r w:rsidR="00E941E8">
        <w:rPr>
          <w:rFonts w:ascii="Aptos" w:eastAsia="MS Mincho" w:hAnsi="Aptos" w:cs="Arial"/>
          <w:sz w:val="24"/>
          <w:szCs w:val="24"/>
          <w:lang w:val="en-US" w:eastAsia="ja-JP"/>
        </w:rPr>
        <w:t xml:space="preserve">Australian </w:t>
      </w:r>
      <w:r w:rsidR="00685F61">
        <w:rPr>
          <w:rFonts w:ascii="Aptos" w:eastAsia="MS Mincho" w:hAnsi="Aptos" w:cs="Arial"/>
          <w:sz w:val="24"/>
          <w:szCs w:val="24"/>
          <w:lang w:val="en-US" w:eastAsia="ja-JP"/>
        </w:rPr>
        <w:t xml:space="preserve">Government to better support and build the sector’s </w:t>
      </w:r>
      <w:r w:rsidR="00685F61">
        <w:rPr>
          <w:rFonts w:ascii="Aptos" w:hAnsi="Aptos"/>
          <w:sz w:val="24"/>
          <w:szCs w:val="24"/>
        </w:rPr>
        <w:t>u</w:t>
      </w:r>
      <w:r w:rsidRPr="00D958D4">
        <w:rPr>
          <w:rFonts w:ascii="Aptos" w:hAnsi="Aptos"/>
          <w:sz w:val="24"/>
          <w:szCs w:val="24"/>
        </w:rPr>
        <w:t>nderstand</w:t>
      </w:r>
      <w:r>
        <w:rPr>
          <w:rFonts w:ascii="Aptos" w:hAnsi="Aptos"/>
          <w:sz w:val="24"/>
          <w:szCs w:val="24"/>
        </w:rPr>
        <w:t>ing of</w:t>
      </w:r>
      <w:r w:rsidRPr="00D958D4">
        <w:rPr>
          <w:rFonts w:ascii="Aptos" w:hAnsi="Aptos"/>
          <w:sz w:val="24"/>
          <w:szCs w:val="24"/>
        </w:rPr>
        <w:t xml:space="preserve"> how foreign interference threat</w:t>
      </w:r>
      <w:r>
        <w:rPr>
          <w:rFonts w:ascii="Aptos" w:hAnsi="Aptos"/>
          <w:sz w:val="24"/>
          <w:szCs w:val="24"/>
        </w:rPr>
        <w:t>s</w:t>
      </w:r>
      <w:r w:rsidRPr="00D958D4">
        <w:rPr>
          <w:rFonts w:ascii="Aptos" w:hAnsi="Aptos"/>
          <w:sz w:val="24"/>
          <w:szCs w:val="24"/>
        </w:rPr>
        <w:t xml:space="preserve"> may manifest</w:t>
      </w:r>
      <w:r w:rsidR="00B37335">
        <w:rPr>
          <w:rFonts w:ascii="Aptos" w:hAnsi="Aptos"/>
          <w:sz w:val="24"/>
          <w:szCs w:val="24"/>
        </w:rPr>
        <w:t>.</w:t>
      </w:r>
      <w:r w:rsidR="00DC5F7C">
        <w:rPr>
          <w:rStyle w:val="FootnoteReference"/>
          <w:rFonts w:ascii="Aptos" w:hAnsi="Aptos"/>
          <w:sz w:val="24"/>
          <w:szCs w:val="24"/>
          <w:lang w:eastAsia="ja-JP"/>
        </w:rPr>
        <w:footnoteReference w:id="1"/>
      </w:r>
      <w:r w:rsidR="00A15779" w:rsidRPr="00905D1F">
        <w:rPr>
          <w:rFonts w:ascii="Aptos" w:hAnsi="Aptos"/>
          <w:sz w:val="24"/>
          <w:szCs w:val="24"/>
          <w:lang w:eastAsia="ja-JP"/>
        </w:rPr>
        <w:t xml:space="preserve"> </w:t>
      </w:r>
    </w:p>
    <w:p w14:paraId="5E164AC1" w14:textId="32030241" w:rsidR="00A15779" w:rsidRPr="00905D1F" w:rsidRDefault="00673830" w:rsidP="00A15779">
      <w:pPr>
        <w:pStyle w:val="Heading4"/>
        <w:rPr>
          <w:rFonts w:ascii="Aptos" w:eastAsia="MS Mincho" w:hAnsi="Aptos"/>
          <w:lang w:eastAsia="ja-JP"/>
        </w:rPr>
      </w:pPr>
      <w:bookmarkStart w:id="6" w:name="_Toc179799971"/>
      <w:r>
        <w:rPr>
          <w:rFonts w:ascii="Aptos" w:eastAsia="MS Mincho" w:hAnsi="Aptos"/>
          <w:lang w:eastAsia="ja-JP"/>
        </w:rPr>
        <w:t>Background</w:t>
      </w:r>
      <w:bookmarkEnd w:id="6"/>
      <w:r w:rsidR="00A15779" w:rsidRPr="00905D1F">
        <w:rPr>
          <w:rFonts w:ascii="Aptos" w:eastAsia="MS Mincho" w:hAnsi="Aptos"/>
          <w:lang w:eastAsia="ja-JP"/>
        </w:rPr>
        <w:t xml:space="preserve"> </w:t>
      </w:r>
    </w:p>
    <w:p w14:paraId="4B035D53" w14:textId="498C9060" w:rsidR="00A15779" w:rsidRDefault="00A15779" w:rsidP="00A15779">
      <w:pPr>
        <w:spacing w:after="160" w:line="279" w:lineRule="auto"/>
        <w:rPr>
          <w:rFonts w:ascii="Aptos" w:eastAsia="MS Mincho" w:hAnsi="Aptos" w:cs="Arial"/>
          <w:sz w:val="24"/>
          <w:szCs w:val="24"/>
          <w:lang w:eastAsia="ja-JP"/>
        </w:rPr>
      </w:pPr>
      <w:r w:rsidRPr="00520230">
        <w:rPr>
          <w:rFonts w:ascii="Aptos" w:eastAsia="MS Mincho" w:hAnsi="Aptos" w:cs="Arial"/>
          <w:sz w:val="24"/>
          <w:szCs w:val="24"/>
          <w:lang w:eastAsia="ja-JP"/>
        </w:rPr>
        <w:t>In 202</w:t>
      </w:r>
      <w:r>
        <w:rPr>
          <w:rFonts w:ascii="Aptos" w:eastAsia="MS Mincho" w:hAnsi="Aptos" w:cs="Arial"/>
          <w:sz w:val="24"/>
          <w:szCs w:val="24"/>
          <w:lang w:eastAsia="ja-JP"/>
        </w:rPr>
        <w:t>3</w:t>
      </w:r>
      <w:r w:rsidRPr="00520230">
        <w:rPr>
          <w:rFonts w:ascii="Aptos" w:eastAsia="MS Mincho" w:hAnsi="Aptos" w:cs="Arial"/>
          <w:sz w:val="24"/>
          <w:szCs w:val="24"/>
          <w:lang w:eastAsia="ja-JP"/>
        </w:rPr>
        <w:t xml:space="preserve"> the department released the </w:t>
      </w:r>
      <w:r w:rsidRPr="00520230">
        <w:rPr>
          <w:rFonts w:ascii="Aptos" w:eastAsia="MS Mincho" w:hAnsi="Aptos" w:cs="Arial"/>
          <w:i/>
          <w:iCs/>
          <w:sz w:val="24"/>
          <w:szCs w:val="24"/>
          <w:lang w:eastAsia="ja-JP"/>
        </w:rPr>
        <w:t>Report on implementation of the Guidelines to Counter Foreign Interference in the Australian University Sector</w:t>
      </w:r>
      <w:r>
        <w:rPr>
          <w:rFonts w:ascii="Aptos" w:eastAsia="MS Mincho" w:hAnsi="Aptos" w:cs="Arial"/>
          <w:i/>
          <w:iCs/>
          <w:sz w:val="24"/>
          <w:szCs w:val="24"/>
          <w:lang w:eastAsia="ja-JP"/>
        </w:rPr>
        <w:t xml:space="preserve"> </w:t>
      </w:r>
      <w:r w:rsidRPr="00520230">
        <w:rPr>
          <w:rFonts w:ascii="Aptos" w:eastAsia="MS Mincho" w:hAnsi="Aptos" w:cs="Arial"/>
          <w:sz w:val="24"/>
          <w:szCs w:val="24"/>
          <w:lang w:eastAsia="ja-JP"/>
        </w:rPr>
        <w:t>(the Report).</w:t>
      </w:r>
      <w:r w:rsidR="005E39F7">
        <w:rPr>
          <w:rStyle w:val="FootnoteReference"/>
          <w:rFonts w:ascii="Aptos" w:eastAsia="MS Mincho" w:hAnsi="Aptos" w:cs="Arial"/>
          <w:sz w:val="24"/>
          <w:szCs w:val="24"/>
          <w:lang w:eastAsia="ja-JP"/>
        </w:rPr>
        <w:footnoteReference w:id="2"/>
      </w:r>
      <w:r w:rsidRPr="00520230">
        <w:rPr>
          <w:rFonts w:ascii="Aptos" w:eastAsia="MS Mincho" w:hAnsi="Aptos" w:cs="Arial"/>
          <w:sz w:val="24"/>
          <w:szCs w:val="24"/>
          <w:lang w:eastAsia="ja-JP"/>
        </w:rPr>
        <w:t xml:space="preserve"> </w:t>
      </w:r>
      <w:r w:rsidR="0027698C">
        <w:rPr>
          <w:rFonts w:ascii="Aptos" w:eastAsia="MS Mincho" w:hAnsi="Aptos" w:cs="Arial"/>
          <w:sz w:val="24"/>
          <w:szCs w:val="24"/>
          <w:lang w:eastAsia="ja-JP"/>
        </w:rPr>
        <w:br/>
      </w:r>
      <w:r w:rsidRPr="00520230">
        <w:rPr>
          <w:rFonts w:ascii="Aptos" w:eastAsia="MS Mincho" w:hAnsi="Aptos" w:cs="Arial"/>
          <w:sz w:val="24"/>
          <w:szCs w:val="24"/>
          <w:lang w:eastAsia="ja-JP"/>
        </w:rPr>
        <w:t xml:space="preserve">The Report </w:t>
      </w:r>
      <w:r w:rsidRPr="000C0442">
        <w:rPr>
          <w:rFonts w:ascii="Aptos" w:eastAsia="MS Mincho" w:hAnsi="Aptos" w:cs="Arial"/>
          <w:sz w:val="24"/>
          <w:szCs w:val="24"/>
          <w:lang w:eastAsia="ja-JP"/>
        </w:rPr>
        <w:t>identif</w:t>
      </w:r>
      <w:r>
        <w:rPr>
          <w:rFonts w:ascii="Aptos" w:eastAsia="MS Mincho" w:hAnsi="Aptos" w:cs="Arial"/>
          <w:sz w:val="24"/>
          <w:szCs w:val="24"/>
          <w:lang w:eastAsia="ja-JP"/>
        </w:rPr>
        <w:t>ied</w:t>
      </w:r>
      <w:r w:rsidRPr="00520230">
        <w:rPr>
          <w:rFonts w:ascii="Aptos" w:eastAsia="MS Mincho" w:hAnsi="Aptos" w:cs="Arial"/>
          <w:sz w:val="24"/>
          <w:szCs w:val="24"/>
          <w:lang w:eastAsia="ja-JP"/>
        </w:rPr>
        <w:t xml:space="preserve"> </w:t>
      </w:r>
      <w:r>
        <w:rPr>
          <w:rFonts w:ascii="Aptos" w:eastAsia="MS Mincho" w:hAnsi="Aptos" w:cs="Arial"/>
          <w:sz w:val="24"/>
          <w:szCs w:val="24"/>
          <w:lang w:eastAsia="ja-JP"/>
        </w:rPr>
        <w:t xml:space="preserve">the progress of </w:t>
      </w:r>
      <w:r w:rsidRPr="00520230">
        <w:rPr>
          <w:rFonts w:ascii="Aptos" w:eastAsia="MS Mincho" w:hAnsi="Aptos" w:cs="Arial"/>
          <w:sz w:val="24"/>
          <w:szCs w:val="24"/>
          <w:lang w:eastAsia="ja-JP"/>
        </w:rPr>
        <w:t>universities</w:t>
      </w:r>
      <w:r w:rsidR="00AD6B59">
        <w:rPr>
          <w:rFonts w:ascii="Aptos" w:eastAsia="MS Mincho" w:hAnsi="Aptos" w:cs="Arial"/>
          <w:sz w:val="24"/>
          <w:szCs w:val="24"/>
          <w:lang w:eastAsia="ja-JP"/>
        </w:rPr>
        <w:t>’</w:t>
      </w:r>
      <w:r w:rsidRPr="00520230">
        <w:rPr>
          <w:rFonts w:ascii="Aptos" w:eastAsia="MS Mincho" w:hAnsi="Aptos" w:cs="Arial"/>
          <w:sz w:val="24"/>
          <w:szCs w:val="24"/>
          <w:lang w:eastAsia="ja-JP"/>
        </w:rPr>
        <w:t xml:space="preserve"> uplift in establishing, reviewing or updating key initiatives or measures to address the risk of foreign interference</w:t>
      </w:r>
      <w:r w:rsidR="00CB4DBD">
        <w:rPr>
          <w:rFonts w:ascii="Aptos" w:eastAsia="MS Mincho" w:hAnsi="Aptos" w:cs="Arial"/>
          <w:sz w:val="24"/>
          <w:szCs w:val="24"/>
          <w:lang w:eastAsia="ja-JP"/>
        </w:rPr>
        <w:t>,</w:t>
      </w:r>
      <w:r w:rsidRPr="00520230">
        <w:rPr>
          <w:rFonts w:ascii="Aptos" w:eastAsia="MS Mincho" w:hAnsi="Aptos" w:cs="Arial"/>
          <w:sz w:val="24"/>
          <w:szCs w:val="24"/>
          <w:lang w:eastAsia="ja-JP"/>
        </w:rPr>
        <w:t xml:space="preserve"> and new or emerging barriers to implementing the Guidelines</w:t>
      </w:r>
      <w:r w:rsidR="002718A5">
        <w:rPr>
          <w:rFonts w:ascii="Aptos" w:eastAsia="MS Mincho" w:hAnsi="Aptos" w:cs="Arial"/>
          <w:sz w:val="24"/>
          <w:szCs w:val="24"/>
          <w:lang w:eastAsia="ja-JP"/>
        </w:rPr>
        <w:t xml:space="preserve"> to Counter Foreign Interference in the Australian University Sector (</w:t>
      </w:r>
      <w:r w:rsidR="00042B05">
        <w:rPr>
          <w:rFonts w:ascii="Aptos" w:eastAsia="MS Mincho" w:hAnsi="Aptos" w:cs="Arial"/>
          <w:sz w:val="24"/>
          <w:szCs w:val="24"/>
          <w:lang w:eastAsia="ja-JP"/>
        </w:rPr>
        <w:t xml:space="preserve">the </w:t>
      </w:r>
      <w:r w:rsidR="002718A5">
        <w:rPr>
          <w:rFonts w:ascii="Aptos" w:eastAsia="MS Mincho" w:hAnsi="Aptos" w:cs="Arial"/>
          <w:sz w:val="24"/>
          <w:szCs w:val="24"/>
          <w:lang w:eastAsia="ja-JP"/>
        </w:rPr>
        <w:t>Guidelines)</w:t>
      </w:r>
      <w:r w:rsidRPr="00520230">
        <w:rPr>
          <w:rFonts w:ascii="Aptos" w:eastAsia="MS Mincho" w:hAnsi="Aptos" w:cs="Arial"/>
          <w:sz w:val="24"/>
          <w:szCs w:val="24"/>
          <w:lang w:eastAsia="ja-JP"/>
        </w:rPr>
        <w:t xml:space="preserve">. </w:t>
      </w:r>
    </w:p>
    <w:p w14:paraId="39268C8F" w14:textId="2D552C6E" w:rsidR="00A15779" w:rsidRDefault="00CA1BCC" w:rsidP="00CA1BCC">
      <w:p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Building on findings of the Report, i</w:t>
      </w:r>
      <w:r w:rsidR="00A15779">
        <w:rPr>
          <w:rFonts w:ascii="Aptos" w:eastAsia="MS Mincho" w:hAnsi="Aptos" w:cs="Arial"/>
          <w:sz w:val="24"/>
          <w:szCs w:val="24"/>
          <w:lang w:val="en-US" w:eastAsia="ja-JP"/>
        </w:rPr>
        <w:t>n 2024 t</w:t>
      </w:r>
      <w:r w:rsidR="00A15779" w:rsidRPr="00EA2B75">
        <w:rPr>
          <w:rFonts w:ascii="Aptos" w:eastAsia="MS Mincho" w:hAnsi="Aptos" w:cs="Arial"/>
          <w:sz w:val="24"/>
          <w:szCs w:val="24"/>
          <w:lang w:val="en-US" w:eastAsia="ja-JP"/>
        </w:rPr>
        <w:t>he department</w:t>
      </w:r>
      <w:r w:rsidR="00A15779">
        <w:rPr>
          <w:rFonts w:ascii="Aptos" w:eastAsia="MS Mincho" w:hAnsi="Aptos" w:cs="Arial"/>
          <w:sz w:val="24"/>
          <w:szCs w:val="24"/>
          <w:lang w:val="en-US" w:eastAsia="ja-JP"/>
        </w:rPr>
        <w:t xml:space="preserve"> invited </w:t>
      </w:r>
      <w:r w:rsidR="00561359">
        <w:rPr>
          <w:rFonts w:ascii="Aptos" w:eastAsia="MS Mincho" w:hAnsi="Aptos" w:cs="Arial"/>
          <w:sz w:val="24"/>
          <w:szCs w:val="24"/>
          <w:lang w:val="en-US" w:eastAsia="ja-JP"/>
        </w:rPr>
        <w:t xml:space="preserve">all 42 Australian </w:t>
      </w:r>
      <w:r w:rsidR="00A15779">
        <w:rPr>
          <w:rFonts w:ascii="Aptos" w:eastAsia="MS Mincho" w:hAnsi="Aptos" w:cs="Arial"/>
          <w:sz w:val="24"/>
          <w:szCs w:val="24"/>
          <w:lang w:val="en-US" w:eastAsia="ja-JP"/>
        </w:rPr>
        <w:t xml:space="preserve">universities to participate in </w:t>
      </w:r>
      <w:r w:rsidR="00042B05">
        <w:rPr>
          <w:rFonts w:ascii="Aptos" w:eastAsia="MS Mincho" w:hAnsi="Aptos" w:cs="Arial"/>
          <w:sz w:val="24"/>
          <w:szCs w:val="24"/>
          <w:lang w:val="en-US" w:eastAsia="ja-JP"/>
        </w:rPr>
        <w:t>its</w:t>
      </w:r>
      <w:r w:rsidR="00A15779">
        <w:rPr>
          <w:rFonts w:ascii="Aptos" w:eastAsia="MS Mincho" w:hAnsi="Aptos" w:cs="Arial"/>
          <w:sz w:val="24"/>
          <w:szCs w:val="24"/>
          <w:lang w:val="en-US" w:eastAsia="ja-JP"/>
        </w:rPr>
        <w:t xml:space="preserve"> </w:t>
      </w:r>
      <w:r w:rsidRPr="00CA1BCC">
        <w:rPr>
          <w:rFonts w:ascii="Aptos" w:eastAsia="MS Mincho" w:hAnsi="Aptos" w:cs="Arial"/>
          <w:sz w:val="24"/>
          <w:szCs w:val="24"/>
          <w:lang w:val="en-US" w:eastAsia="ja-JP"/>
        </w:rPr>
        <w:t xml:space="preserve">Annual Pulse Survey (the </w:t>
      </w:r>
      <w:r w:rsidR="00042B05">
        <w:rPr>
          <w:rFonts w:ascii="Aptos" w:eastAsia="MS Mincho" w:hAnsi="Aptos" w:cs="Arial"/>
          <w:sz w:val="24"/>
          <w:szCs w:val="24"/>
          <w:lang w:val="en-US" w:eastAsia="ja-JP"/>
        </w:rPr>
        <w:t xml:space="preserve">Annual </w:t>
      </w:r>
      <w:r w:rsidRPr="00CA1BCC">
        <w:rPr>
          <w:rFonts w:ascii="Aptos" w:eastAsia="MS Mincho" w:hAnsi="Aptos" w:cs="Arial"/>
          <w:sz w:val="24"/>
          <w:szCs w:val="24"/>
          <w:lang w:val="en-US" w:eastAsia="ja-JP"/>
        </w:rPr>
        <w:t xml:space="preserve">Survey) of self-reported implementation </w:t>
      </w:r>
      <w:r>
        <w:rPr>
          <w:rFonts w:ascii="Aptos" w:eastAsia="MS Mincho" w:hAnsi="Aptos" w:cs="Arial"/>
          <w:sz w:val="24"/>
          <w:szCs w:val="24"/>
          <w:lang w:val="en-US" w:eastAsia="ja-JP"/>
        </w:rPr>
        <w:t xml:space="preserve">of the Guidelines </w:t>
      </w:r>
      <w:r w:rsidRPr="00CA1BCC">
        <w:rPr>
          <w:rFonts w:ascii="Aptos" w:eastAsia="MS Mincho" w:hAnsi="Aptos" w:cs="Arial"/>
          <w:sz w:val="24"/>
          <w:szCs w:val="24"/>
          <w:lang w:val="en-US" w:eastAsia="ja-JP"/>
        </w:rPr>
        <w:t>over the past 12 months</w:t>
      </w:r>
      <w:r w:rsidR="00BE1622">
        <w:rPr>
          <w:rFonts w:ascii="Aptos" w:eastAsia="MS Mincho" w:hAnsi="Aptos" w:cs="Arial"/>
          <w:sz w:val="24"/>
          <w:szCs w:val="24"/>
          <w:lang w:val="en-US" w:eastAsia="ja-JP"/>
        </w:rPr>
        <w:t>,</w:t>
      </w:r>
      <w:r w:rsidRPr="00CA1BCC">
        <w:rPr>
          <w:rFonts w:ascii="Aptos" w:eastAsia="MS Mincho" w:hAnsi="Aptos" w:cs="Arial"/>
          <w:sz w:val="24"/>
          <w:szCs w:val="24"/>
          <w:lang w:val="en-US" w:eastAsia="ja-JP"/>
        </w:rPr>
        <w:t xml:space="preserve"> and a Countering Foreign Interference Workshop Series (Workshop Series) across Australia, designed to enhance universities</w:t>
      </w:r>
      <w:r w:rsidR="00AD6B59">
        <w:rPr>
          <w:rFonts w:ascii="Aptos" w:eastAsia="MS Mincho" w:hAnsi="Aptos" w:cs="Arial"/>
          <w:sz w:val="24"/>
          <w:szCs w:val="24"/>
          <w:lang w:val="en-US" w:eastAsia="ja-JP"/>
        </w:rPr>
        <w:t>’</w:t>
      </w:r>
      <w:r w:rsidRPr="00CA1BCC">
        <w:rPr>
          <w:rFonts w:ascii="Aptos" w:eastAsia="MS Mincho" w:hAnsi="Aptos" w:cs="Arial"/>
          <w:sz w:val="24"/>
          <w:szCs w:val="24"/>
          <w:lang w:val="en-US" w:eastAsia="ja-JP"/>
        </w:rPr>
        <w:t xml:space="preserve"> understanding of the risk environment.</w:t>
      </w:r>
      <w:r w:rsidR="00A15779">
        <w:rPr>
          <w:rFonts w:ascii="Aptos" w:eastAsia="MS Mincho" w:hAnsi="Aptos" w:cs="Arial"/>
          <w:sz w:val="24"/>
          <w:szCs w:val="24"/>
          <w:lang w:val="en-US" w:eastAsia="ja-JP"/>
        </w:rPr>
        <w:t xml:space="preserve"> </w:t>
      </w:r>
      <w:bookmarkEnd w:id="3"/>
      <w:bookmarkEnd w:id="4"/>
    </w:p>
    <w:p w14:paraId="65D28E64" w14:textId="61DC6162" w:rsidR="00685F61" w:rsidRDefault="00685F61" w:rsidP="00685F61">
      <w:pPr>
        <w:pStyle w:val="Heading4"/>
        <w:rPr>
          <w:rFonts w:ascii="Aptos" w:hAnsi="Aptos"/>
        </w:rPr>
      </w:pPr>
      <w:bookmarkStart w:id="7" w:name="_Toc179799972"/>
      <w:r w:rsidRPr="00905D1F">
        <w:rPr>
          <w:rFonts w:ascii="Aptos" w:hAnsi="Aptos"/>
        </w:rPr>
        <w:t xml:space="preserve">Key Findings </w:t>
      </w:r>
      <w:r>
        <w:rPr>
          <w:rFonts w:ascii="Aptos" w:hAnsi="Aptos"/>
        </w:rPr>
        <w:t xml:space="preserve">from the </w:t>
      </w:r>
      <w:r w:rsidR="00042B05">
        <w:rPr>
          <w:rFonts w:ascii="Aptos" w:hAnsi="Aptos"/>
        </w:rPr>
        <w:t xml:space="preserve">Annual </w:t>
      </w:r>
      <w:r>
        <w:rPr>
          <w:rFonts w:ascii="Aptos" w:hAnsi="Aptos"/>
        </w:rPr>
        <w:t>Survey and Workshop Series</w:t>
      </w:r>
      <w:bookmarkEnd w:id="7"/>
    </w:p>
    <w:p w14:paraId="6B9D7C83" w14:textId="7039DC38" w:rsidR="000F4D45" w:rsidRDefault="00C13E22" w:rsidP="00DF3B9C">
      <w:pPr>
        <w:rPr>
          <w:rFonts w:ascii="Aptos" w:hAnsi="Aptos"/>
          <w:sz w:val="24"/>
          <w:szCs w:val="24"/>
        </w:rPr>
      </w:pPr>
      <w:r>
        <w:rPr>
          <w:rFonts w:ascii="Aptos" w:hAnsi="Aptos"/>
          <w:sz w:val="24"/>
          <w:szCs w:val="24"/>
        </w:rPr>
        <w:t xml:space="preserve">Universities </w:t>
      </w:r>
      <w:r w:rsidR="00847AE3" w:rsidRPr="00847AE3">
        <w:rPr>
          <w:rFonts w:ascii="Aptos" w:hAnsi="Aptos"/>
          <w:sz w:val="24"/>
          <w:szCs w:val="24"/>
        </w:rPr>
        <w:t xml:space="preserve">continue to actively engage with the Guidelines </w:t>
      </w:r>
      <w:r w:rsidR="00212B3C">
        <w:rPr>
          <w:rFonts w:ascii="Aptos" w:hAnsi="Aptos"/>
          <w:sz w:val="24"/>
          <w:szCs w:val="24"/>
        </w:rPr>
        <w:t xml:space="preserve">and are taking steps to </w:t>
      </w:r>
      <w:r w:rsidR="004324B6">
        <w:rPr>
          <w:rFonts w:ascii="Aptos" w:hAnsi="Aptos"/>
          <w:sz w:val="24"/>
          <w:szCs w:val="24"/>
        </w:rPr>
        <w:t xml:space="preserve">build countering foreign interference capability. </w:t>
      </w:r>
      <w:r w:rsidR="000120D5">
        <w:rPr>
          <w:rFonts w:ascii="Aptos" w:hAnsi="Aptos"/>
          <w:sz w:val="24"/>
          <w:szCs w:val="24"/>
        </w:rPr>
        <w:t xml:space="preserve">The sector acknowledges </w:t>
      </w:r>
      <w:r w:rsidR="009714C1">
        <w:rPr>
          <w:rFonts w:ascii="Aptos" w:hAnsi="Aptos"/>
          <w:sz w:val="24"/>
          <w:szCs w:val="24"/>
        </w:rPr>
        <w:t>th</w:t>
      </w:r>
      <w:r w:rsidR="00B9706C">
        <w:rPr>
          <w:rFonts w:ascii="Aptos" w:hAnsi="Aptos"/>
          <w:sz w:val="24"/>
          <w:szCs w:val="24"/>
        </w:rPr>
        <w:t>at</w:t>
      </w:r>
      <w:r w:rsidR="000120D5">
        <w:rPr>
          <w:rFonts w:ascii="Aptos" w:hAnsi="Aptos"/>
          <w:sz w:val="24"/>
          <w:szCs w:val="24"/>
        </w:rPr>
        <w:t xml:space="preserve"> </w:t>
      </w:r>
      <w:r w:rsidR="00656125">
        <w:rPr>
          <w:rFonts w:ascii="Aptos" w:hAnsi="Aptos"/>
          <w:sz w:val="24"/>
          <w:szCs w:val="24"/>
        </w:rPr>
        <w:t>Guidelines implementation is not a point-in-time endeavour</w:t>
      </w:r>
      <w:r w:rsidR="004936FB">
        <w:rPr>
          <w:rFonts w:ascii="Aptos" w:hAnsi="Aptos"/>
          <w:sz w:val="24"/>
          <w:szCs w:val="24"/>
        </w:rPr>
        <w:t xml:space="preserve">, and </w:t>
      </w:r>
      <w:r>
        <w:rPr>
          <w:rFonts w:ascii="Aptos" w:hAnsi="Aptos"/>
          <w:sz w:val="24"/>
          <w:szCs w:val="24"/>
        </w:rPr>
        <w:t xml:space="preserve">universities </w:t>
      </w:r>
      <w:r w:rsidR="008E088D">
        <w:rPr>
          <w:rFonts w:ascii="Aptos" w:hAnsi="Aptos"/>
          <w:sz w:val="24"/>
          <w:szCs w:val="24"/>
        </w:rPr>
        <w:t xml:space="preserve">are continuing to strengthen and refine </w:t>
      </w:r>
      <w:r w:rsidR="004936FB">
        <w:rPr>
          <w:rFonts w:ascii="Aptos" w:hAnsi="Aptos"/>
          <w:sz w:val="24"/>
          <w:szCs w:val="24"/>
        </w:rPr>
        <w:t xml:space="preserve">countering foreign interference </w:t>
      </w:r>
      <w:r w:rsidR="004402EE">
        <w:rPr>
          <w:rFonts w:ascii="Aptos" w:hAnsi="Aptos"/>
          <w:sz w:val="24"/>
          <w:szCs w:val="24"/>
        </w:rPr>
        <w:t>measures</w:t>
      </w:r>
      <w:r w:rsidR="00D74968">
        <w:rPr>
          <w:rFonts w:ascii="Aptos" w:hAnsi="Aptos"/>
          <w:sz w:val="24"/>
          <w:szCs w:val="24"/>
        </w:rPr>
        <w:t xml:space="preserve"> to </w:t>
      </w:r>
      <w:r w:rsidR="009714C1">
        <w:rPr>
          <w:rFonts w:ascii="Aptos" w:hAnsi="Aptos"/>
          <w:sz w:val="24"/>
          <w:szCs w:val="24"/>
        </w:rPr>
        <w:t>adapt to</w:t>
      </w:r>
      <w:r w:rsidR="00D74968">
        <w:rPr>
          <w:rFonts w:ascii="Aptos" w:hAnsi="Aptos"/>
          <w:sz w:val="24"/>
          <w:szCs w:val="24"/>
        </w:rPr>
        <w:t xml:space="preserve"> the </w:t>
      </w:r>
      <w:r w:rsidR="00343B55">
        <w:rPr>
          <w:rFonts w:ascii="Aptos" w:hAnsi="Aptos"/>
          <w:sz w:val="24"/>
          <w:szCs w:val="24"/>
        </w:rPr>
        <w:t xml:space="preserve">current risk environment. </w:t>
      </w:r>
    </w:p>
    <w:p w14:paraId="3A0BCE3E" w14:textId="3D77CAEE" w:rsidR="000F4D45" w:rsidRDefault="00984321" w:rsidP="000F4D45">
      <w:pPr>
        <w:rPr>
          <w:rFonts w:ascii="Aptos" w:hAnsi="Aptos"/>
          <w:sz w:val="24"/>
          <w:szCs w:val="24"/>
        </w:rPr>
      </w:pPr>
      <w:r>
        <w:rPr>
          <w:rFonts w:ascii="Aptos" w:hAnsi="Aptos"/>
          <w:sz w:val="24"/>
          <w:szCs w:val="24"/>
        </w:rPr>
        <w:t>While</w:t>
      </w:r>
      <w:r w:rsidR="001F3F8C">
        <w:rPr>
          <w:rFonts w:ascii="Aptos" w:hAnsi="Aptos"/>
          <w:sz w:val="24"/>
          <w:szCs w:val="24"/>
        </w:rPr>
        <w:t xml:space="preserve"> </w:t>
      </w:r>
      <w:proofErr w:type="gramStart"/>
      <w:r w:rsidR="001F3F8C">
        <w:rPr>
          <w:rFonts w:ascii="Aptos" w:hAnsi="Aptos"/>
          <w:sz w:val="24"/>
          <w:szCs w:val="24"/>
        </w:rPr>
        <w:t>the majority of</w:t>
      </w:r>
      <w:proofErr w:type="gramEnd"/>
      <w:r w:rsidR="001F3F8C">
        <w:rPr>
          <w:rFonts w:ascii="Aptos" w:hAnsi="Aptos"/>
          <w:sz w:val="24"/>
          <w:szCs w:val="24"/>
        </w:rPr>
        <w:t xml:space="preserve"> universities </w:t>
      </w:r>
      <w:r w:rsidR="0029269D">
        <w:rPr>
          <w:rFonts w:ascii="Aptos" w:hAnsi="Aptos"/>
          <w:sz w:val="24"/>
          <w:szCs w:val="24"/>
        </w:rPr>
        <w:t xml:space="preserve">have strengthened and refined countering foreign interference measures in the past twelve months, </w:t>
      </w:r>
      <w:r w:rsidR="00462185">
        <w:rPr>
          <w:rFonts w:ascii="Aptos" w:hAnsi="Aptos"/>
          <w:sz w:val="24"/>
          <w:szCs w:val="24"/>
        </w:rPr>
        <w:t xml:space="preserve">nearly half </w:t>
      </w:r>
      <w:r w:rsidR="008C74AA">
        <w:rPr>
          <w:rFonts w:ascii="Aptos" w:hAnsi="Aptos"/>
          <w:sz w:val="24"/>
          <w:szCs w:val="24"/>
        </w:rPr>
        <w:t xml:space="preserve">have reported </w:t>
      </w:r>
      <w:r w:rsidR="000F4D45">
        <w:rPr>
          <w:rFonts w:ascii="Aptos" w:hAnsi="Aptos"/>
          <w:sz w:val="24"/>
          <w:szCs w:val="24"/>
        </w:rPr>
        <w:t>continu</w:t>
      </w:r>
      <w:r w:rsidR="008C74AA">
        <w:rPr>
          <w:rFonts w:ascii="Aptos" w:hAnsi="Aptos"/>
          <w:sz w:val="24"/>
          <w:szCs w:val="24"/>
        </w:rPr>
        <w:t>ing</w:t>
      </w:r>
      <w:r w:rsidR="000F4D45">
        <w:rPr>
          <w:rFonts w:ascii="Aptos" w:hAnsi="Aptos"/>
          <w:sz w:val="24"/>
          <w:szCs w:val="24"/>
        </w:rPr>
        <w:t xml:space="preserve"> to face </w:t>
      </w:r>
      <w:r w:rsidR="00462185">
        <w:rPr>
          <w:rFonts w:ascii="Aptos" w:hAnsi="Aptos"/>
          <w:sz w:val="24"/>
          <w:szCs w:val="24"/>
        </w:rPr>
        <w:t xml:space="preserve">new or emerging </w:t>
      </w:r>
      <w:r w:rsidR="000F4D45">
        <w:rPr>
          <w:rFonts w:ascii="Aptos" w:hAnsi="Aptos"/>
          <w:sz w:val="24"/>
          <w:szCs w:val="24"/>
        </w:rPr>
        <w:t>b</w:t>
      </w:r>
      <w:r w:rsidR="00BD65C8">
        <w:rPr>
          <w:rFonts w:ascii="Aptos" w:hAnsi="Aptos"/>
          <w:sz w:val="24"/>
          <w:szCs w:val="24"/>
        </w:rPr>
        <w:t xml:space="preserve">arriers to </w:t>
      </w:r>
      <w:r w:rsidR="0056614B">
        <w:rPr>
          <w:rFonts w:ascii="Aptos" w:hAnsi="Aptos"/>
          <w:sz w:val="24"/>
          <w:szCs w:val="24"/>
        </w:rPr>
        <w:t>implementing the Guidelines</w:t>
      </w:r>
      <w:r w:rsidR="003A6F5D">
        <w:rPr>
          <w:rFonts w:ascii="Aptos" w:hAnsi="Aptos"/>
          <w:sz w:val="24"/>
          <w:szCs w:val="24"/>
        </w:rPr>
        <w:t xml:space="preserve">. </w:t>
      </w:r>
      <w:r w:rsidR="00144D2C">
        <w:rPr>
          <w:rFonts w:ascii="Aptos" w:hAnsi="Aptos"/>
          <w:sz w:val="24"/>
          <w:szCs w:val="24"/>
        </w:rPr>
        <w:br/>
      </w:r>
      <w:r w:rsidR="0029269D">
        <w:rPr>
          <w:rFonts w:ascii="Aptos" w:hAnsi="Aptos"/>
          <w:sz w:val="24"/>
          <w:szCs w:val="24"/>
        </w:rPr>
        <w:t xml:space="preserve"> </w:t>
      </w:r>
      <w:r w:rsidR="006A790C">
        <w:rPr>
          <w:rFonts w:ascii="Aptos" w:hAnsi="Aptos"/>
          <w:sz w:val="24"/>
          <w:szCs w:val="24"/>
        </w:rPr>
        <w:t xml:space="preserve"> </w:t>
      </w:r>
    </w:p>
    <w:p w14:paraId="290D58F6" w14:textId="21DB080F" w:rsidR="00D3018E" w:rsidRPr="005238B4" w:rsidRDefault="00D3018E" w:rsidP="005238B4">
      <w:pPr>
        <w:numPr>
          <w:ilvl w:val="0"/>
          <w:numId w:val="20"/>
        </w:numPr>
        <w:spacing w:after="160" w:line="278" w:lineRule="auto"/>
        <w:rPr>
          <w:rFonts w:ascii="Aptos" w:eastAsia="Times New Roman" w:hAnsi="Aptos" w:cs="Arial"/>
          <w:sz w:val="24"/>
          <w:szCs w:val="24"/>
          <w:lang w:eastAsia="ja-JP"/>
        </w:rPr>
      </w:pPr>
      <w:r w:rsidRPr="005238B4">
        <w:rPr>
          <w:rFonts w:ascii="Aptos" w:eastAsia="Times New Roman" w:hAnsi="Aptos" w:cs="Arial"/>
          <w:sz w:val="24"/>
          <w:szCs w:val="24"/>
          <w:lang w:eastAsia="ja-JP"/>
        </w:rPr>
        <w:t xml:space="preserve">In the past 12 months, </w:t>
      </w:r>
      <w:r w:rsidR="00141B6F" w:rsidRPr="005238B4">
        <w:rPr>
          <w:rFonts w:ascii="Aptos" w:eastAsia="Times New Roman" w:hAnsi="Aptos" w:cs="Arial"/>
          <w:sz w:val="24"/>
          <w:szCs w:val="24"/>
          <w:lang w:eastAsia="ja-JP"/>
        </w:rPr>
        <w:t>92%</w:t>
      </w:r>
      <w:r w:rsidR="00685F61" w:rsidRPr="005238B4">
        <w:rPr>
          <w:rFonts w:ascii="Aptos" w:eastAsia="Times New Roman" w:hAnsi="Aptos" w:cs="Arial"/>
          <w:sz w:val="24"/>
          <w:szCs w:val="24"/>
          <w:lang w:eastAsia="ja-JP"/>
        </w:rPr>
        <w:t xml:space="preserve"> of universities have established or refined key initiatives which strengthen their resilience to foreign interference risks</w:t>
      </w:r>
      <w:r w:rsidR="00931E82" w:rsidRPr="005238B4">
        <w:rPr>
          <w:rFonts w:ascii="Aptos" w:eastAsia="Times New Roman" w:hAnsi="Aptos" w:cs="Arial"/>
          <w:sz w:val="24"/>
          <w:szCs w:val="24"/>
          <w:lang w:eastAsia="ja-JP"/>
        </w:rPr>
        <w:t>.</w:t>
      </w:r>
      <w:r w:rsidR="00685F61" w:rsidRPr="005238B4">
        <w:rPr>
          <w:rFonts w:ascii="Aptos" w:eastAsia="Times New Roman" w:hAnsi="Aptos" w:cs="Arial"/>
          <w:sz w:val="24"/>
          <w:szCs w:val="24"/>
          <w:lang w:eastAsia="ja-JP"/>
        </w:rPr>
        <w:t xml:space="preserve"> </w:t>
      </w:r>
    </w:p>
    <w:p w14:paraId="23DA7246" w14:textId="77777777" w:rsidR="00301476" w:rsidRPr="005238B4" w:rsidRDefault="00301476" w:rsidP="005238B4">
      <w:pPr>
        <w:numPr>
          <w:ilvl w:val="0"/>
          <w:numId w:val="20"/>
        </w:numPr>
        <w:spacing w:after="160" w:line="278" w:lineRule="auto"/>
        <w:rPr>
          <w:rFonts w:ascii="Aptos" w:eastAsia="Times New Roman" w:hAnsi="Aptos" w:cs="Arial"/>
          <w:sz w:val="24"/>
          <w:szCs w:val="24"/>
          <w:lang w:eastAsia="ja-JP"/>
        </w:rPr>
      </w:pPr>
      <w:r w:rsidRPr="005238B4">
        <w:rPr>
          <w:rFonts w:ascii="Aptos" w:eastAsia="Times New Roman" w:hAnsi="Aptos" w:cs="Arial"/>
          <w:sz w:val="24"/>
          <w:szCs w:val="24"/>
          <w:lang w:eastAsia="ja-JP"/>
        </w:rPr>
        <w:t>52% of universities stated cyber security is the pillar of the Guidelines which they had invested the most resources over the past 12 months.</w:t>
      </w:r>
    </w:p>
    <w:p w14:paraId="145384BF" w14:textId="36B28C71" w:rsidR="00301476" w:rsidRPr="005238B4" w:rsidRDefault="00301476" w:rsidP="005238B4">
      <w:pPr>
        <w:numPr>
          <w:ilvl w:val="0"/>
          <w:numId w:val="20"/>
        </w:numPr>
        <w:spacing w:after="160" w:line="278" w:lineRule="auto"/>
        <w:rPr>
          <w:rFonts w:ascii="Aptos" w:eastAsia="Times New Roman" w:hAnsi="Aptos" w:cs="Arial"/>
          <w:sz w:val="24"/>
          <w:szCs w:val="24"/>
          <w:lang w:eastAsia="ja-JP"/>
        </w:rPr>
      </w:pPr>
      <w:r w:rsidRPr="005238B4">
        <w:rPr>
          <w:rFonts w:ascii="Aptos" w:eastAsia="Times New Roman" w:hAnsi="Aptos" w:cs="Arial"/>
          <w:sz w:val="24"/>
          <w:szCs w:val="24"/>
          <w:lang w:eastAsia="ja-JP"/>
        </w:rPr>
        <w:t>Universities welcome</w:t>
      </w:r>
      <w:r w:rsidR="00042B05">
        <w:rPr>
          <w:rFonts w:ascii="Aptos" w:eastAsia="Times New Roman" w:hAnsi="Aptos" w:cs="Arial"/>
          <w:sz w:val="24"/>
          <w:szCs w:val="24"/>
          <w:lang w:eastAsia="ja-JP"/>
        </w:rPr>
        <w:t>d</w:t>
      </w:r>
      <w:r w:rsidRPr="005238B4">
        <w:rPr>
          <w:rFonts w:ascii="Aptos" w:eastAsia="Times New Roman" w:hAnsi="Aptos" w:cs="Arial"/>
          <w:sz w:val="24"/>
          <w:szCs w:val="24"/>
          <w:lang w:eastAsia="ja-JP"/>
        </w:rPr>
        <w:t xml:space="preserve"> further collaboration with other universities and government to share best-practice, with 97% expressing interest in a department-led </w:t>
      </w:r>
      <w:r w:rsidR="00703598" w:rsidRPr="008D0120">
        <w:rPr>
          <w:rFonts w:ascii="Aptos" w:eastAsia="Times New Roman" w:hAnsi="Aptos" w:cs="Arial"/>
          <w:sz w:val="24"/>
          <w:szCs w:val="24"/>
          <w:lang w:eastAsia="ja-JP"/>
        </w:rPr>
        <w:t>C</w:t>
      </w:r>
      <w:r w:rsidRPr="008D0120">
        <w:rPr>
          <w:rFonts w:ascii="Aptos" w:eastAsia="Times New Roman" w:hAnsi="Aptos" w:cs="Arial"/>
          <w:sz w:val="24"/>
          <w:szCs w:val="24"/>
          <w:lang w:eastAsia="ja-JP"/>
        </w:rPr>
        <w:t>ommunities of</w:t>
      </w:r>
      <w:r w:rsidR="00703598" w:rsidRPr="008D0120">
        <w:rPr>
          <w:rFonts w:ascii="Aptos" w:eastAsia="Times New Roman" w:hAnsi="Aptos" w:cs="Arial"/>
          <w:sz w:val="24"/>
          <w:szCs w:val="24"/>
          <w:lang w:eastAsia="ja-JP"/>
        </w:rPr>
        <w:t xml:space="preserve"> P</w:t>
      </w:r>
      <w:r w:rsidRPr="008D0120">
        <w:rPr>
          <w:rFonts w:ascii="Aptos" w:eastAsia="Times New Roman" w:hAnsi="Aptos" w:cs="Arial"/>
          <w:sz w:val="24"/>
          <w:szCs w:val="24"/>
          <w:lang w:eastAsia="ja-JP"/>
        </w:rPr>
        <w:t xml:space="preserve">ractice </w:t>
      </w:r>
      <w:r w:rsidR="00703598" w:rsidRPr="008D0120">
        <w:rPr>
          <w:rFonts w:ascii="Aptos" w:eastAsia="Times New Roman" w:hAnsi="Aptos" w:cs="Arial"/>
          <w:sz w:val="24"/>
          <w:szCs w:val="24"/>
          <w:lang w:eastAsia="ja-JP"/>
        </w:rPr>
        <w:t>F</w:t>
      </w:r>
      <w:r w:rsidRPr="008D0120">
        <w:rPr>
          <w:rFonts w:ascii="Aptos" w:eastAsia="Times New Roman" w:hAnsi="Aptos" w:cs="Arial"/>
          <w:sz w:val="24"/>
          <w:szCs w:val="24"/>
          <w:lang w:eastAsia="ja-JP"/>
        </w:rPr>
        <w:t>orum.</w:t>
      </w:r>
    </w:p>
    <w:p w14:paraId="22C10EE0" w14:textId="58BFBE9A" w:rsidR="00301476" w:rsidRPr="00301476" w:rsidRDefault="00301476" w:rsidP="00301476">
      <w:pPr>
        <w:numPr>
          <w:ilvl w:val="0"/>
          <w:numId w:val="20"/>
        </w:numPr>
        <w:spacing w:after="160" w:line="278" w:lineRule="auto"/>
        <w:rPr>
          <w:rFonts w:ascii="Aptos" w:eastAsia="Times New Roman" w:hAnsi="Aptos" w:cs="Arial"/>
          <w:sz w:val="24"/>
          <w:szCs w:val="24"/>
          <w:lang w:val="en-US" w:eastAsia="ja-JP"/>
        </w:rPr>
      </w:pPr>
      <w:r w:rsidRPr="00BA326D">
        <w:rPr>
          <w:rFonts w:ascii="Aptos" w:eastAsia="Times New Roman" w:hAnsi="Aptos" w:cs="Arial"/>
          <w:sz w:val="24"/>
          <w:szCs w:val="24"/>
          <w:lang w:eastAsia="ja-JP"/>
        </w:rPr>
        <w:t xml:space="preserve">Universities commonly requested further due diligence and risk assessment guidance, with 26% reporting this to be the most beneficial form of </w:t>
      </w:r>
      <w:r>
        <w:rPr>
          <w:rFonts w:ascii="Aptos" w:eastAsia="Times New Roman" w:hAnsi="Aptos" w:cs="Arial"/>
          <w:sz w:val="24"/>
          <w:szCs w:val="24"/>
          <w:lang w:eastAsia="ja-JP"/>
        </w:rPr>
        <w:t>g</w:t>
      </w:r>
      <w:r w:rsidRPr="00BA326D">
        <w:rPr>
          <w:rFonts w:ascii="Aptos" w:eastAsia="Times New Roman" w:hAnsi="Aptos" w:cs="Arial"/>
          <w:sz w:val="24"/>
          <w:szCs w:val="24"/>
          <w:lang w:eastAsia="ja-JP"/>
        </w:rPr>
        <w:t xml:space="preserve">overnment </w:t>
      </w:r>
      <w:r w:rsidR="00C66B07">
        <w:rPr>
          <w:rFonts w:ascii="Aptos" w:eastAsia="Times New Roman" w:hAnsi="Aptos" w:cs="Arial"/>
          <w:sz w:val="24"/>
          <w:szCs w:val="24"/>
          <w:lang w:eastAsia="ja-JP"/>
        </w:rPr>
        <w:t>advice</w:t>
      </w:r>
      <w:r w:rsidRPr="00BA326D">
        <w:rPr>
          <w:rFonts w:ascii="Aptos" w:eastAsia="Times New Roman" w:hAnsi="Aptos" w:cs="Arial"/>
          <w:sz w:val="24"/>
          <w:szCs w:val="24"/>
          <w:lang w:eastAsia="ja-JP"/>
        </w:rPr>
        <w:t xml:space="preserve"> in implementation of the Guidelines.</w:t>
      </w:r>
    </w:p>
    <w:p w14:paraId="2D37D209" w14:textId="115FF06F" w:rsidR="00685F61" w:rsidRDefault="00301476" w:rsidP="00685F61">
      <w:pPr>
        <w:numPr>
          <w:ilvl w:val="0"/>
          <w:numId w:val="20"/>
        </w:numPr>
        <w:spacing w:after="160" w:line="278" w:lineRule="auto"/>
        <w:rPr>
          <w:rFonts w:ascii="Aptos" w:eastAsia="Times New Roman" w:hAnsi="Aptos" w:cs="Arial"/>
          <w:sz w:val="24"/>
          <w:szCs w:val="24"/>
          <w:lang w:val="en-US" w:eastAsia="ja-JP"/>
        </w:rPr>
      </w:pPr>
      <w:r>
        <w:rPr>
          <w:rFonts w:ascii="Aptos" w:eastAsia="Times New Roman" w:hAnsi="Aptos" w:cs="Arial"/>
          <w:sz w:val="24"/>
          <w:szCs w:val="24"/>
          <w:lang w:val="en-US" w:eastAsia="ja-JP"/>
        </w:rPr>
        <w:t>4</w:t>
      </w:r>
      <w:r w:rsidR="00141B6F">
        <w:rPr>
          <w:rFonts w:ascii="Aptos" w:eastAsia="Times New Roman" w:hAnsi="Aptos" w:cs="Arial"/>
          <w:sz w:val="24"/>
          <w:szCs w:val="24"/>
          <w:lang w:val="en-US" w:eastAsia="ja-JP"/>
        </w:rPr>
        <w:t>9%</w:t>
      </w:r>
      <w:r w:rsidR="00685F61">
        <w:rPr>
          <w:rFonts w:ascii="Aptos" w:eastAsia="Times New Roman" w:hAnsi="Aptos" w:cs="Arial"/>
          <w:sz w:val="24"/>
          <w:szCs w:val="24"/>
          <w:lang w:val="en-US" w:eastAsia="ja-JP"/>
        </w:rPr>
        <w:t xml:space="preserve"> of universities reported experiencing new or emerging barriers to implementing the Guidelines</w:t>
      </w:r>
      <w:r w:rsidR="0084048D">
        <w:rPr>
          <w:rFonts w:ascii="Aptos" w:eastAsia="Times New Roman" w:hAnsi="Aptos" w:cs="Arial"/>
          <w:sz w:val="24"/>
          <w:szCs w:val="24"/>
          <w:lang w:val="en-US" w:eastAsia="ja-JP"/>
        </w:rPr>
        <w:t xml:space="preserve">, typically related to resource considerations. </w:t>
      </w:r>
    </w:p>
    <w:p w14:paraId="085AFFC2" w14:textId="77777777" w:rsidR="00301476" w:rsidRDefault="00301476" w:rsidP="0027698C">
      <w:pPr>
        <w:pStyle w:val="Heading3"/>
        <w:rPr>
          <w:rFonts w:ascii="Aptos" w:hAnsi="Aptos"/>
          <w:bCs/>
          <w:sz w:val="36"/>
          <w:szCs w:val="28"/>
        </w:rPr>
      </w:pPr>
    </w:p>
    <w:p w14:paraId="141E313E" w14:textId="77777777" w:rsidR="00301476" w:rsidRDefault="00301476" w:rsidP="00301476"/>
    <w:p w14:paraId="23E1EBCF" w14:textId="77777777" w:rsidR="00301476" w:rsidRDefault="00301476" w:rsidP="00301476"/>
    <w:p w14:paraId="749DFDF4" w14:textId="77777777" w:rsidR="00301476" w:rsidRDefault="00301476" w:rsidP="00301476"/>
    <w:p w14:paraId="0080229E" w14:textId="77777777" w:rsidR="00301476" w:rsidRDefault="00301476" w:rsidP="00301476"/>
    <w:p w14:paraId="10454E6A" w14:textId="77777777" w:rsidR="00301476" w:rsidRPr="005238B4" w:rsidRDefault="00301476" w:rsidP="005238B4"/>
    <w:p w14:paraId="70FB3B17" w14:textId="1CF1EE98" w:rsidR="00CE2F5D" w:rsidRDefault="00CE2F5D" w:rsidP="0027698C">
      <w:pPr>
        <w:pStyle w:val="Heading3"/>
        <w:rPr>
          <w:rFonts w:ascii="Aptos" w:eastAsia="Aptos" w:hAnsi="Aptos"/>
          <w:lang w:val="en-US" w:eastAsia="ja-JP"/>
        </w:rPr>
      </w:pPr>
      <w:bookmarkStart w:id="8" w:name="_Toc179799973"/>
      <w:r>
        <w:rPr>
          <w:rFonts w:ascii="Aptos" w:hAnsi="Aptos"/>
          <w:bCs/>
          <w:sz w:val="36"/>
          <w:szCs w:val="28"/>
        </w:rPr>
        <w:t>Consultation</w:t>
      </w:r>
      <w:bookmarkEnd w:id="8"/>
      <w:r>
        <w:rPr>
          <w:rFonts w:ascii="Aptos" w:hAnsi="Aptos"/>
          <w:bCs/>
          <w:sz w:val="36"/>
          <w:szCs w:val="28"/>
        </w:rPr>
        <w:t xml:space="preserve"> </w:t>
      </w:r>
    </w:p>
    <w:p w14:paraId="3A06A7D9" w14:textId="77777777" w:rsidR="00A15779" w:rsidRPr="00905D1F" w:rsidRDefault="00A15779" w:rsidP="00CA1BCC">
      <w:pPr>
        <w:pStyle w:val="Heading4"/>
        <w:rPr>
          <w:rFonts w:ascii="Aptos" w:eastAsia="Aptos" w:hAnsi="Aptos"/>
          <w:lang w:val="en-US" w:eastAsia="ja-JP"/>
        </w:rPr>
      </w:pPr>
      <w:bookmarkStart w:id="9" w:name="_Toc179799974"/>
      <w:r w:rsidRPr="00905D1F">
        <w:rPr>
          <w:rFonts w:ascii="Aptos" w:eastAsia="Aptos" w:hAnsi="Aptos"/>
          <w:lang w:val="en-US" w:eastAsia="ja-JP"/>
        </w:rPr>
        <w:t>Annual Pulse Survey</w:t>
      </w:r>
      <w:bookmarkEnd w:id="9"/>
      <w:r w:rsidRPr="00905D1F">
        <w:rPr>
          <w:rFonts w:ascii="Aptos" w:eastAsia="Aptos" w:hAnsi="Aptos"/>
          <w:lang w:val="en-US" w:eastAsia="ja-JP"/>
        </w:rPr>
        <w:t xml:space="preserve"> </w:t>
      </w:r>
    </w:p>
    <w:p w14:paraId="2C620BFF" w14:textId="15B71BDA" w:rsidR="00A15779" w:rsidRPr="00EA2B75" w:rsidRDefault="00CE2F5D" w:rsidP="00A15779">
      <w:p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 xml:space="preserve">In </w:t>
      </w:r>
      <w:r w:rsidR="00A15779" w:rsidRPr="00EA2B75">
        <w:rPr>
          <w:rFonts w:ascii="Aptos" w:eastAsia="MS Mincho" w:hAnsi="Aptos" w:cs="Arial"/>
          <w:sz w:val="24"/>
          <w:szCs w:val="24"/>
          <w:lang w:val="en-US" w:eastAsia="ja-JP"/>
        </w:rPr>
        <w:t xml:space="preserve">April </w:t>
      </w:r>
      <w:r>
        <w:rPr>
          <w:rFonts w:ascii="Aptos" w:eastAsia="MS Mincho" w:hAnsi="Aptos" w:cs="Arial"/>
          <w:sz w:val="24"/>
          <w:szCs w:val="24"/>
          <w:lang w:val="en-US" w:eastAsia="ja-JP"/>
        </w:rPr>
        <w:t>and</w:t>
      </w:r>
      <w:r w:rsidR="00A15779" w:rsidRPr="00EA2B75">
        <w:rPr>
          <w:rFonts w:ascii="Aptos" w:eastAsia="MS Mincho" w:hAnsi="Aptos" w:cs="Arial"/>
          <w:sz w:val="24"/>
          <w:szCs w:val="24"/>
          <w:lang w:val="en-US" w:eastAsia="ja-JP"/>
        </w:rPr>
        <w:t xml:space="preserve"> May 2024</w:t>
      </w:r>
      <w:r w:rsidR="00E04C4C">
        <w:rPr>
          <w:rFonts w:ascii="Aptos" w:eastAsia="MS Mincho" w:hAnsi="Aptos" w:cs="Arial"/>
          <w:sz w:val="24"/>
          <w:szCs w:val="24"/>
          <w:lang w:val="en-US" w:eastAsia="ja-JP"/>
        </w:rPr>
        <w:t>,</w:t>
      </w:r>
      <w:r w:rsidR="00A15779" w:rsidRPr="00EA2B75">
        <w:rPr>
          <w:rFonts w:ascii="Aptos" w:eastAsia="MS Mincho" w:hAnsi="Aptos" w:cs="Arial"/>
          <w:sz w:val="24"/>
          <w:szCs w:val="24"/>
          <w:lang w:val="en-US" w:eastAsia="ja-JP"/>
        </w:rPr>
        <w:t xml:space="preserve"> the department conducted the </w:t>
      </w:r>
      <w:r w:rsidR="00E04C4C" w:rsidRPr="00B60761">
        <w:rPr>
          <w:rFonts w:ascii="Aptos" w:eastAsia="MS Mincho" w:hAnsi="Aptos" w:cs="Arial"/>
          <w:i/>
          <w:iCs/>
          <w:sz w:val="24"/>
          <w:szCs w:val="24"/>
          <w:lang w:val="en-US" w:eastAsia="ja-JP"/>
        </w:rPr>
        <w:t>Annual Pulse Survey on implementation of the Guidelines to Counter Foreign Interference in the Australian University Sector</w:t>
      </w:r>
      <w:r w:rsidR="00E04C4C">
        <w:rPr>
          <w:rFonts w:ascii="Aptos" w:eastAsia="MS Mincho" w:hAnsi="Aptos" w:cs="Arial"/>
          <w:sz w:val="24"/>
          <w:szCs w:val="24"/>
          <w:lang w:val="en-US" w:eastAsia="ja-JP"/>
        </w:rPr>
        <w:t xml:space="preserve">, which assessed the progress of implementation of the Guidelines from </w:t>
      </w:r>
      <w:r w:rsidR="00A15779">
        <w:rPr>
          <w:rFonts w:ascii="Aptos" w:eastAsia="MS Mincho" w:hAnsi="Aptos" w:cs="Arial"/>
          <w:sz w:val="24"/>
          <w:szCs w:val="24"/>
          <w:lang w:val="en-US" w:eastAsia="ja-JP"/>
        </w:rPr>
        <w:t>April 2023 – April 2024</w:t>
      </w:r>
      <w:r w:rsidR="00E04C4C">
        <w:rPr>
          <w:rFonts w:ascii="Aptos" w:eastAsia="MS Mincho" w:hAnsi="Aptos" w:cs="Arial"/>
          <w:sz w:val="24"/>
          <w:szCs w:val="24"/>
          <w:lang w:val="en-US" w:eastAsia="ja-JP"/>
        </w:rPr>
        <w:t>.</w:t>
      </w:r>
      <w:r>
        <w:rPr>
          <w:rStyle w:val="FootnoteReference"/>
          <w:rFonts w:ascii="Aptos" w:eastAsia="MS Mincho" w:hAnsi="Aptos" w:cs="Arial"/>
          <w:sz w:val="24"/>
          <w:szCs w:val="24"/>
          <w:lang w:val="en-US" w:eastAsia="ja-JP"/>
        </w:rPr>
        <w:footnoteReference w:id="3"/>
      </w:r>
      <w:r w:rsidR="00A15779">
        <w:rPr>
          <w:rFonts w:ascii="Aptos" w:eastAsia="MS Mincho" w:hAnsi="Aptos" w:cs="Arial"/>
          <w:sz w:val="24"/>
          <w:szCs w:val="24"/>
          <w:lang w:val="en-US" w:eastAsia="ja-JP"/>
        </w:rPr>
        <w:t xml:space="preserve"> </w:t>
      </w:r>
    </w:p>
    <w:p w14:paraId="0FC05DEF" w14:textId="67250D07" w:rsidR="00A15779" w:rsidRPr="00EA2B75" w:rsidRDefault="00E8036E" w:rsidP="00A15779">
      <w:p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 xml:space="preserve">The </w:t>
      </w:r>
      <w:r w:rsidR="00042B05">
        <w:rPr>
          <w:rFonts w:ascii="Aptos" w:eastAsia="MS Mincho" w:hAnsi="Aptos" w:cs="Arial"/>
          <w:sz w:val="24"/>
          <w:szCs w:val="24"/>
          <w:lang w:val="en-US" w:eastAsia="ja-JP"/>
        </w:rPr>
        <w:t xml:space="preserve">Annual </w:t>
      </w:r>
      <w:r>
        <w:rPr>
          <w:rFonts w:ascii="Aptos" w:eastAsia="MS Mincho" w:hAnsi="Aptos" w:cs="Arial"/>
          <w:sz w:val="24"/>
          <w:szCs w:val="24"/>
          <w:lang w:val="en-US" w:eastAsia="ja-JP"/>
        </w:rPr>
        <w:t>Survey contained five questions</w:t>
      </w:r>
      <w:r w:rsidR="00CE2F5D">
        <w:rPr>
          <w:rFonts w:ascii="Aptos" w:eastAsia="MS Mincho" w:hAnsi="Aptos" w:cs="Arial"/>
          <w:sz w:val="24"/>
          <w:szCs w:val="24"/>
          <w:lang w:val="en-US" w:eastAsia="ja-JP"/>
        </w:rPr>
        <w:t xml:space="preserve"> seeking </w:t>
      </w:r>
      <w:r w:rsidR="00D91BA2" w:rsidRPr="00D91BA2">
        <w:rPr>
          <w:rFonts w:ascii="Aptos" w:eastAsia="MS Mincho" w:hAnsi="Aptos" w:cs="Arial"/>
          <w:sz w:val="24"/>
          <w:szCs w:val="24"/>
          <w:lang w:val="en-US" w:eastAsia="ja-JP"/>
        </w:rPr>
        <w:t xml:space="preserve">feedback from universities on </w:t>
      </w:r>
      <w:r w:rsidR="00D91BA2">
        <w:rPr>
          <w:rFonts w:ascii="Aptos" w:eastAsia="MS Mincho" w:hAnsi="Aptos" w:cs="Arial"/>
          <w:sz w:val="24"/>
          <w:szCs w:val="24"/>
          <w:lang w:val="en-US" w:eastAsia="ja-JP"/>
        </w:rPr>
        <w:t>implementation of the Guidelines</w:t>
      </w:r>
      <w:r w:rsidR="00E04C4C">
        <w:rPr>
          <w:rFonts w:ascii="Aptos" w:eastAsia="MS Mincho" w:hAnsi="Aptos" w:cs="Arial"/>
          <w:sz w:val="24"/>
          <w:szCs w:val="24"/>
          <w:lang w:val="en-US" w:eastAsia="ja-JP"/>
        </w:rPr>
        <w:t>:</w:t>
      </w:r>
      <w:r w:rsidR="00CE2F5D">
        <w:rPr>
          <w:rFonts w:ascii="Aptos" w:eastAsia="MS Mincho" w:hAnsi="Aptos" w:cs="Arial"/>
          <w:sz w:val="24"/>
          <w:szCs w:val="24"/>
          <w:lang w:val="en-US" w:eastAsia="ja-JP"/>
        </w:rPr>
        <w:t xml:space="preserve"> </w:t>
      </w:r>
      <w:r w:rsidR="00D91BA2" w:rsidRPr="00D91BA2">
        <w:rPr>
          <w:rFonts w:ascii="Aptos" w:eastAsia="MS Mincho" w:hAnsi="Aptos" w:cs="Arial"/>
          <w:sz w:val="24"/>
          <w:szCs w:val="24"/>
          <w:lang w:val="en-US" w:eastAsia="ja-JP"/>
        </w:rPr>
        <w:t>key measures and initiatives to address the risk of foreign interference</w:t>
      </w:r>
      <w:r w:rsidR="00CE2F5D">
        <w:rPr>
          <w:rFonts w:ascii="Aptos" w:eastAsia="MS Mincho" w:hAnsi="Aptos" w:cs="Arial"/>
          <w:sz w:val="24"/>
          <w:szCs w:val="24"/>
          <w:lang w:val="en-US" w:eastAsia="ja-JP"/>
        </w:rPr>
        <w:t xml:space="preserve">; </w:t>
      </w:r>
      <w:r w:rsidR="00D91BA2" w:rsidRPr="00D91BA2">
        <w:rPr>
          <w:rFonts w:ascii="Aptos" w:eastAsia="MS Mincho" w:hAnsi="Aptos" w:cs="Arial"/>
          <w:sz w:val="24"/>
          <w:szCs w:val="24"/>
          <w:lang w:val="en-US" w:eastAsia="ja-JP"/>
        </w:rPr>
        <w:t>new or emerging barriers to implementation</w:t>
      </w:r>
      <w:r w:rsidR="00CE2F5D">
        <w:rPr>
          <w:rFonts w:ascii="Aptos" w:eastAsia="MS Mincho" w:hAnsi="Aptos" w:cs="Arial"/>
          <w:sz w:val="24"/>
          <w:szCs w:val="24"/>
          <w:lang w:val="en-US" w:eastAsia="ja-JP"/>
        </w:rPr>
        <w:t>;</w:t>
      </w:r>
      <w:r w:rsidR="00D91BA2" w:rsidRPr="00D91BA2">
        <w:rPr>
          <w:rFonts w:ascii="Aptos" w:eastAsia="MS Mincho" w:hAnsi="Aptos" w:cs="Arial"/>
          <w:sz w:val="24"/>
          <w:szCs w:val="24"/>
          <w:lang w:val="en-US" w:eastAsia="ja-JP"/>
        </w:rPr>
        <w:t xml:space="preserve"> </w:t>
      </w:r>
      <w:r w:rsidR="00C320DC">
        <w:rPr>
          <w:rFonts w:ascii="Aptos" w:eastAsia="MS Mincho" w:hAnsi="Aptos" w:cs="Arial"/>
          <w:sz w:val="24"/>
          <w:szCs w:val="24"/>
          <w:lang w:val="en-US" w:eastAsia="ja-JP"/>
        </w:rPr>
        <w:t>m</w:t>
      </w:r>
      <w:r w:rsidR="00C320DC" w:rsidRPr="00C320DC">
        <w:rPr>
          <w:rFonts w:ascii="Aptos" w:eastAsia="MS Mincho" w:hAnsi="Aptos" w:cs="Arial"/>
          <w:sz w:val="24"/>
          <w:szCs w:val="24"/>
          <w:lang w:val="en-US" w:eastAsia="ja-JP"/>
        </w:rPr>
        <w:t>ost significant pillar of the Guidelines</w:t>
      </w:r>
      <w:r w:rsidR="00C320DC">
        <w:rPr>
          <w:rFonts w:ascii="Aptos" w:eastAsia="MS Mincho" w:hAnsi="Aptos" w:cs="Arial"/>
          <w:sz w:val="24"/>
          <w:szCs w:val="24"/>
          <w:lang w:val="en-US" w:eastAsia="ja-JP"/>
        </w:rPr>
        <w:t xml:space="preserve"> in terms of investment;</w:t>
      </w:r>
      <w:r w:rsidR="00C320DC" w:rsidRPr="00C320DC">
        <w:rPr>
          <w:rFonts w:ascii="Aptos" w:eastAsia="MS Mincho" w:hAnsi="Aptos" w:cs="Arial"/>
          <w:sz w:val="24"/>
          <w:szCs w:val="24"/>
          <w:lang w:val="en-US" w:eastAsia="ja-JP"/>
        </w:rPr>
        <w:t xml:space="preserve"> </w:t>
      </w:r>
      <w:r w:rsidR="00D91BA2" w:rsidRPr="00D91BA2">
        <w:rPr>
          <w:rFonts w:ascii="Aptos" w:eastAsia="MS Mincho" w:hAnsi="Aptos" w:cs="Arial"/>
          <w:sz w:val="24"/>
          <w:szCs w:val="24"/>
          <w:lang w:val="en-US" w:eastAsia="ja-JP"/>
        </w:rPr>
        <w:t xml:space="preserve">and avenues for further government </w:t>
      </w:r>
      <w:r w:rsidR="00D91BA2">
        <w:rPr>
          <w:rFonts w:ascii="Aptos" w:eastAsia="MS Mincho" w:hAnsi="Aptos" w:cs="Arial"/>
          <w:sz w:val="24"/>
          <w:szCs w:val="24"/>
          <w:lang w:val="en-US" w:eastAsia="ja-JP"/>
        </w:rPr>
        <w:t>support</w:t>
      </w:r>
      <w:r w:rsidR="00C320DC">
        <w:rPr>
          <w:rFonts w:ascii="Aptos" w:eastAsia="MS Mincho" w:hAnsi="Aptos" w:cs="Arial"/>
          <w:sz w:val="24"/>
          <w:szCs w:val="24"/>
          <w:lang w:val="en-US" w:eastAsia="ja-JP"/>
        </w:rPr>
        <w:t>, including communities of practice</w:t>
      </w:r>
      <w:r w:rsidR="00D91BA2">
        <w:rPr>
          <w:rFonts w:ascii="Aptos" w:eastAsia="MS Mincho" w:hAnsi="Aptos" w:cs="Arial"/>
          <w:sz w:val="24"/>
          <w:szCs w:val="24"/>
          <w:lang w:val="en-US" w:eastAsia="ja-JP"/>
        </w:rPr>
        <w:t>.</w:t>
      </w:r>
      <w:r w:rsidR="00CE2F5D">
        <w:rPr>
          <w:rFonts w:ascii="Aptos" w:eastAsia="MS Mincho" w:hAnsi="Aptos" w:cs="Arial"/>
          <w:sz w:val="24"/>
          <w:szCs w:val="24"/>
          <w:lang w:val="en-US" w:eastAsia="ja-JP"/>
        </w:rPr>
        <w:t xml:space="preserve"> </w:t>
      </w:r>
      <w:r w:rsidR="00A15779" w:rsidRPr="00EA2B75">
        <w:rPr>
          <w:rFonts w:ascii="Aptos" w:eastAsia="MS Mincho" w:hAnsi="Aptos" w:cs="Arial"/>
          <w:sz w:val="24"/>
          <w:szCs w:val="24"/>
          <w:lang w:val="en-US" w:eastAsia="ja-JP"/>
        </w:rPr>
        <w:t>The department received completed surveys from 39 universities</w:t>
      </w:r>
      <w:r w:rsidR="00A15779">
        <w:rPr>
          <w:rFonts w:ascii="Aptos" w:eastAsia="MS Mincho" w:hAnsi="Aptos" w:cs="Arial"/>
          <w:sz w:val="24"/>
          <w:szCs w:val="24"/>
          <w:lang w:val="en-US" w:eastAsia="ja-JP"/>
        </w:rPr>
        <w:t xml:space="preserve"> (93</w:t>
      </w:r>
      <w:r w:rsidR="000F6174">
        <w:rPr>
          <w:rFonts w:ascii="Aptos" w:eastAsia="MS Mincho" w:hAnsi="Aptos" w:cs="Arial"/>
          <w:sz w:val="24"/>
          <w:szCs w:val="24"/>
          <w:lang w:val="en-US" w:eastAsia="ja-JP"/>
        </w:rPr>
        <w:t xml:space="preserve">% </w:t>
      </w:r>
      <w:r w:rsidR="00A15779">
        <w:rPr>
          <w:rFonts w:ascii="Aptos" w:eastAsia="MS Mincho" w:hAnsi="Aptos" w:cs="Arial"/>
          <w:sz w:val="24"/>
          <w:szCs w:val="24"/>
          <w:lang w:val="en-US" w:eastAsia="ja-JP"/>
        </w:rPr>
        <w:t>response rate).</w:t>
      </w:r>
    </w:p>
    <w:p w14:paraId="7576CFC8" w14:textId="70E4FDFB" w:rsidR="003422E7" w:rsidRPr="003422E7" w:rsidRDefault="00A15779" w:rsidP="003422E7">
      <w:pPr>
        <w:pStyle w:val="Heading4"/>
        <w:rPr>
          <w:rFonts w:ascii="Aptos" w:eastAsia="Aptos" w:hAnsi="Aptos"/>
          <w:lang w:val="en-US" w:eastAsia="ja-JP"/>
        </w:rPr>
      </w:pPr>
      <w:bookmarkStart w:id="10" w:name="_Toc179799975"/>
      <w:r w:rsidRPr="00905D1F">
        <w:rPr>
          <w:rFonts w:ascii="Aptos" w:eastAsia="Aptos" w:hAnsi="Aptos"/>
          <w:lang w:val="en-US" w:eastAsia="ja-JP"/>
        </w:rPr>
        <w:t>Countering Foreign Interference Workshop Series</w:t>
      </w:r>
      <w:bookmarkEnd w:id="10"/>
      <w:r w:rsidRPr="00905D1F">
        <w:rPr>
          <w:rFonts w:ascii="Aptos" w:eastAsia="Aptos" w:hAnsi="Aptos"/>
          <w:lang w:val="en-US" w:eastAsia="ja-JP"/>
        </w:rPr>
        <w:t xml:space="preserve"> </w:t>
      </w:r>
    </w:p>
    <w:p w14:paraId="18D24704" w14:textId="7FDA31D1" w:rsidR="00CE2F5D" w:rsidRDefault="00A15779" w:rsidP="00A15779">
      <w:pPr>
        <w:spacing w:after="160" w:line="279" w:lineRule="auto"/>
        <w:rPr>
          <w:rFonts w:ascii="Aptos" w:eastAsia="Aptos" w:hAnsi="Aptos" w:cs="Aptos"/>
          <w:sz w:val="24"/>
          <w:szCs w:val="24"/>
          <w:lang w:val="en-US" w:eastAsia="ja-JP"/>
        </w:rPr>
      </w:pPr>
      <w:r>
        <w:rPr>
          <w:rFonts w:ascii="Aptos" w:eastAsia="Aptos" w:hAnsi="Aptos" w:cs="Aptos"/>
          <w:sz w:val="24"/>
          <w:szCs w:val="24"/>
          <w:lang w:val="en-US" w:eastAsia="ja-JP"/>
        </w:rPr>
        <w:t>In</w:t>
      </w:r>
      <w:r w:rsidRPr="00EA2B75">
        <w:rPr>
          <w:rFonts w:ascii="Aptos" w:eastAsia="Aptos" w:hAnsi="Aptos" w:cs="Aptos"/>
          <w:sz w:val="24"/>
          <w:szCs w:val="24"/>
          <w:lang w:val="en-US" w:eastAsia="ja-JP"/>
        </w:rPr>
        <w:t xml:space="preserve"> June 2024</w:t>
      </w:r>
      <w:r w:rsidR="00042B05">
        <w:rPr>
          <w:rFonts w:ascii="Aptos" w:eastAsia="Aptos" w:hAnsi="Aptos" w:cs="Aptos"/>
          <w:sz w:val="24"/>
          <w:szCs w:val="24"/>
          <w:lang w:val="en-US" w:eastAsia="ja-JP"/>
        </w:rPr>
        <w:t>,</w:t>
      </w:r>
      <w:r w:rsidRPr="00EA2B75">
        <w:rPr>
          <w:rFonts w:ascii="Aptos" w:eastAsia="Aptos" w:hAnsi="Aptos" w:cs="Aptos"/>
          <w:sz w:val="24"/>
          <w:szCs w:val="24"/>
          <w:lang w:val="en-US" w:eastAsia="ja-JP"/>
        </w:rPr>
        <w:t xml:space="preserve"> </w:t>
      </w:r>
      <w:r w:rsidRPr="00EA2B75">
        <w:rPr>
          <w:rFonts w:ascii="Aptos" w:eastAsia="Aptos" w:hAnsi="Aptos" w:cs="Aptos"/>
          <w:sz w:val="24"/>
          <w:szCs w:val="24"/>
          <w:lang w:eastAsia="ja-JP"/>
        </w:rPr>
        <w:t xml:space="preserve">the department led a series of workshops around Australia </w:t>
      </w:r>
      <w:r w:rsidR="00CE2F5D">
        <w:rPr>
          <w:rFonts w:ascii="Aptos" w:eastAsia="Aptos" w:hAnsi="Aptos" w:cs="Aptos"/>
          <w:sz w:val="24"/>
          <w:szCs w:val="24"/>
          <w:lang w:eastAsia="ja-JP"/>
        </w:rPr>
        <w:t xml:space="preserve">(Brisbane, Melbourne, Perth, Sydney, </w:t>
      </w:r>
      <w:r w:rsidR="00C320DC">
        <w:rPr>
          <w:rFonts w:ascii="Aptos" w:eastAsia="Aptos" w:hAnsi="Aptos" w:cs="Aptos"/>
          <w:sz w:val="24"/>
          <w:szCs w:val="24"/>
          <w:lang w:eastAsia="ja-JP"/>
        </w:rPr>
        <w:t xml:space="preserve">and </w:t>
      </w:r>
      <w:r w:rsidR="00CE2F5D">
        <w:rPr>
          <w:rFonts w:ascii="Aptos" w:eastAsia="Aptos" w:hAnsi="Aptos" w:cs="Aptos"/>
          <w:sz w:val="24"/>
          <w:szCs w:val="24"/>
          <w:lang w:eastAsia="ja-JP"/>
        </w:rPr>
        <w:t xml:space="preserve">virtual) </w:t>
      </w:r>
      <w:r w:rsidRPr="00EA2B75">
        <w:rPr>
          <w:rFonts w:ascii="Aptos" w:eastAsia="Aptos" w:hAnsi="Aptos" w:cs="Aptos"/>
          <w:sz w:val="24"/>
          <w:szCs w:val="24"/>
          <w:lang w:eastAsia="ja-JP"/>
        </w:rPr>
        <w:t>with</w:t>
      </w:r>
      <w:r>
        <w:rPr>
          <w:rFonts w:ascii="Aptos" w:eastAsia="Aptos" w:hAnsi="Aptos" w:cs="Aptos"/>
          <w:sz w:val="24"/>
          <w:szCs w:val="24"/>
          <w:lang w:eastAsia="ja-JP"/>
        </w:rPr>
        <w:t xml:space="preserve"> the</w:t>
      </w:r>
      <w:r w:rsidRPr="00EA2B75">
        <w:rPr>
          <w:rFonts w:ascii="Aptos" w:eastAsia="Aptos" w:hAnsi="Aptos" w:cs="Aptos"/>
          <w:sz w:val="24"/>
          <w:szCs w:val="24"/>
          <w:lang w:eastAsia="ja-JP"/>
        </w:rPr>
        <w:t xml:space="preserve"> university sector</w:t>
      </w:r>
      <w:r w:rsidR="00C320DC">
        <w:rPr>
          <w:rFonts w:ascii="Aptos" w:eastAsia="Aptos" w:hAnsi="Aptos" w:cs="Aptos"/>
          <w:sz w:val="24"/>
          <w:szCs w:val="24"/>
          <w:lang w:eastAsia="ja-JP"/>
        </w:rPr>
        <w:t>,</w:t>
      </w:r>
      <w:r w:rsidRPr="00EA2B75">
        <w:rPr>
          <w:rFonts w:ascii="Aptos" w:eastAsia="Aptos" w:hAnsi="Aptos" w:cs="Aptos"/>
          <w:sz w:val="24"/>
          <w:szCs w:val="24"/>
          <w:lang w:eastAsia="ja-JP"/>
        </w:rPr>
        <w:t xml:space="preserve"> focused on enhancing universities’ understanding of the foreign interference risk environment. </w:t>
      </w:r>
      <w:r w:rsidR="00CE2F5D">
        <w:rPr>
          <w:rFonts w:ascii="Aptos" w:eastAsia="Aptos" w:hAnsi="Aptos" w:cs="Aptos"/>
          <w:sz w:val="24"/>
          <w:szCs w:val="24"/>
          <w:lang w:val="en-US" w:eastAsia="ja-JP"/>
        </w:rPr>
        <w:t xml:space="preserve"> </w:t>
      </w:r>
    </w:p>
    <w:p w14:paraId="3039E262" w14:textId="5353BA00" w:rsidR="00CE2F5D" w:rsidRDefault="00CE2F5D" w:rsidP="00A15779">
      <w:pPr>
        <w:spacing w:after="160" w:line="279" w:lineRule="auto"/>
        <w:rPr>
          <w:rFonts w:ascii="Aptos" w:eastAsia="Aptos" w:hAnsi="Aptos" w:cs="Aptos"/>
          <w:sz w:val="24"/>
          <w:szCs w:val="24"/>
          <w:lang w:val="en-US" w:eastAsia="ja-JP"/>
        </w:rPr>
      </w:pPr>
      <w:r w:rsidRPr="00EA2B75">
        <w:rPr>
          <w:rFonts w:ascii="Aptos" w:eastAsia="Aptos" w:hAnsi="Aptos" w:cs="Aptos"/>
          <w:sz w:val="24"/>
          <w:szCs w:val="24"/>
          <w:lang w:eastAsia="ja-JP"/>
        </w:rPr>
        <w:t xml:space="preserve">The </w:t>
      </w:r>
      <w:bookmarkStart w:id="11" w:name="_Hlk174633120"/>
      <w:r w:rsidRPr="00EA2B75">
        <w:rPr>
          <w:rFonts w:ascii="Aptos" w:eastAsia="Aptos" w:hAnsi="Aptos" w:cs="Aptos"/>
          <w:sz w:val="24"/>
          <w:szCs w:val="24"/>
          <w:lang w:eastAsia="ja-JP"/>
        </w:rPr>
        <w:t xml:space="preserve">Workshop Series was delivered in collaboration with the </w:t>
      </w:r>
      <w:bookmarkStart w:id="12" w:name="_Hlk174633446"/>
      <w:r w:rsidRPr="00EA2B75">
        <w:rPr>
          <w:rFonts w:ascii="Aptos" w:eastAsia="Aptos" w:hAnsi="Aptos" w:cs="Aptos"/>
          <w:sz w:val="24"/>
          <w:szCs w:val="24"/>
          <w:lang w:eastAsia="ja-JP"/>
        </w:rPr>
        <w:t xml:space="preserve">National Office of Cyber Security (NOCS) and the Countering Foreign Interference Coordination Centre </w:t>
      </w:r>
      <w:r w:rsidR="00042B05">
        <w:rPr>
          <w:rFonts w:ascii="Aptos" w:eastAsia="Aptos" w:hAnsi="Aptos" w:cs="Aptos"/>
          <w:sz w:val="24"/>
          <w:szCs w:val="24"/>
          <w:lang w:eastAsia="ja-JP"/>
        </w:rPr>
        <w:t xml:space="preserve">(CFICC) </w:t>
      </w:r>
      <w:r>
        <w:rPr>
          <w:rFonts w:ascii="Aptos" w:eastAsia="Aptos" w:hAnsi="Aptos" w:cs="Aptos"/>
          <w:sz w:val="24"/>
          <w:szCs w:val="24"/>
          <w:lang w:eastAsia="ja-JP"/>
        </w:rPr>
        <w:t>within the</w:t>
      </w:r>
      <w:r w:rsidRPr="00EA2B75">
        <w:rPr>
          <w:rFonts w:ascii="Aptos" w:eastAsia="Aptos" w:hAnsi="Aptos" w:cs="Aptos"/>
          <w:sz w:val="24"/>
          <w:szCs w:val="24"/>
          <w:lang w:eastAsia="ja-JP"/>
        </w:rPr>
        <w:t xml:space="preserve"> Department of Home Affairs, </w:t>
      </w:r>
      <w:r w:rsidR="00C320DC">
        <w:rPr>
          <w:rFonts w:ascii="Aptos" w:eastAsia="Aptos" w:hAnsi="Aptos" w:cs="Aptos"/>
          <w:sz w:val="24"/>
          <w:szCs w:val="24"/>
          <w:lang w:eastAsia="ja-JP"/>
        </w:rPr>
        <w:t>and</w:t>
      </w:r>
      <w:r w:rsidRPr="00EA2B75">
        <w:rPr>
          <w:rFonts w:ascii="Aptos" w:eastAsia="Aptos" w:hAnsi="Aptos" w:cs="Aptos"/>
          <w:sz w:val="24"/>
          <w:szCs w:val="24"/>
          <w:lang w:eastAsia="ja-JP"/>
        </w:rPr>
        <w:t xml:space="preserve"> the Australian Cyber Security Centre</w:t>
      </w:r>
      <w:r w:rsidR="00042B05">
        <w:rPr>
          <w:rFonts w:ascii="Aptos" w:eastAsia="Aptos" w:hAnsi="Aptos" w:cs="Aptos"/>
          <w:sz w:val="24"/>
          <w:szCs w:val="24"/>
          <w:lang w:eastAsia="ja-JP"/>
        </w:rPr>
        <w:t xml:space="preserve"> (ACSC)</w:t>
      </w:r>
      <w:r w:rsidR="00144D2C">
        <w:rPr>
          <w:rFonts w:ascii="Aptos" w:eastAsia="Aptos" w:hAnsi="Aptos" w:cs="Aptos"/>
          <w:sz w:val="24"/>
          <w:szCs w:val="24"/>
          <w:lang w:eastAsia="ja-JP"/>
        </w:rPr>
        <w:t>.</w:t>
      </w:r>
      <w:r w:rsidR="00C320DC">
        <w:rPr>
          <w:rFonts w:ascii="Aptos" w:eastAsia="Aptos" w:hAnsi="Aptos" w:cs="Aptos"/>
          <w:sz w:val="24"/>
          <w:szCs w:val="24"/>
          <w:lang w:eastAsia="ja-JP"/>
        </w:rPr>
        <w:t xml:space="preserve"> </w:t>
      </w:r>
      <w:r>
        <w:rPr>
          <w:rFonts w:ascii="Aptos" w:eastAsia="Aptos" w:hAnsi="Aptos" w:cs="Aptos"/>
          <w:sz w:val="24"/>
          <w:szCs w:val="24"/>
          <w:lang w:eastAsia="ja-JP"/>
        </w:rPr>
        <w:t xml:space="preserve"> </w:t>
      </w:r>
      <w:bookmarkEnd w:id="11"/>
      <w:bookmarkEnd w:id="12"/>
    </w:p>
    <w:p w14:paraId="74E9DA31" w14:textId="4320AE70" w:rsidR="00FD6A55" w:rsidRPr="00EA2B75" w:rsidRDefault="00FD6A55" w:rsidP="00FD6A55">
      <w:pPr>
        <w:spacing w:after="160" w:line="279" w:lineRule="auto"/>
        <w:rPr>
          <w:rFonts w:ascii="Aptos" w:eastAsia="Aptos" w:hAnsi="Aptos" w:cs="Aptos"/>
          <w:sz w:val="24"/>
          <w:szCs w:val="24"/>
          <w:lang w:eastAsia="ja-JP"/>
        </w:rPr>
      </w:pPr>
      <w:r>
        <w:rPr>
          <w:rFonts w:ascii="Aptos" w:eastAsia="Aptos" w:hAnsi="Aptos" w:cs="Aptos"/>
          <w:sz w:val="24"/>
          <w:szCs w:val="24"/>
          <w:lang w:eastAsia="ja-JP"/>
        </w:rPr>
        <w:t>U</w:t>
      </w:r>
      <w:r w:rsidRPr="00EA2B75">
        <w:rPr>
          <w:rFonts w:ascii="Aptos" w:eastAsia="Aptos" w:hAnsi="Aptos" w:cs="Aptos"/>
          <w:sz w:val="24"/>
          <w:szCs w:val="24"/>
          <w:lang w:eastAsia="ja-JP"/>
        </w:rPr>
        <w:t>niversities were encouraged to share their own perspectives and approaches to foreign interference risk management</w:t>
      </w:r>
      <w:r>
        <w:rPr>
          <w:rFonts w:ascii="Aptos" w:eastAsia="Aptos" w:hAnsi="Aptos" w:cs="Aptos"/>
          <w:sz w:val="24"/>
          <w:szCs w:val="24"/>
          <w:lang w:eastAsia="ja-JP"/>
        </w:rPr>
        <w:t xml:space="preserve"> to inform case studies developed by the </w:t>
      </w:r>
      <w:proofErr w:type="gramStart"/>
      <w:r>
        <w:rPr>
          <w:rFonts w:ascii="Aptos" w:eastAsia="Aptos" w:hAnsi="Aptos" w:cs="Aptos"/>
          <w:sz w:val="24"/>
          <w:szCs w:val="24"/>
          <w:lang w:eastAsia="ja-JP"/>
        </w:rPr>
        <w:t xml:space="preserve">department, </w:t>
      </w:r>
      <w:r w:rsidRPr="00EA2B75">
        <w:rPr>
          <w:rFonts w:ascii="Aptos" w:eastAsia="Aptos" w:hAnsi="Aptos" w:cs="Aptos"/>
          <w:sz w:val="24"/>
          <w:szCs w:val="24"/>
          <w:lang w:eastAsia="ja-JP"/>
        </w:rPr>
        <w:t>and</w:t>
      </w:r>
      <w:proofErr w:type="gramEnd"/>
      <w:r w:rsidRPr="00EA2B75">
        <w:rPr>
          <w:rFonts w:ascii="Aptos" w:eastAsia="Aptos" w:hAnsi="Aptos" w:cs="Aptos"/>
          <w:sz w:val="24"/>
          <w:szCs w:val="24"/>
          <w:lang w:eastAsia="ja-JP"/>
        </w:rPr>
        <w:t xml:space="preserve"> provide feedback relating to their experiences </w:t>
      </w:r>
      <w:r>
        <w:rPr>
          <w:rFonts w:ascii="Aptos" w:eastAsia="Aptos" w:hAnsi="Aptos" w:cs="Aptos"/>
          <w:sz w:val="24"/>
          <w:szCs w:val="24"/>
          <w:lang w:eastAsia="ja-JP"/>
        </w:rPr>
        <w:t>navigating</w:t>
      </w:r>
      <w:r w:rsidRPr="00EA2B75">
        <w:rPr>
          <w:rFonts w:ascii="Aptos" w:eastAsia="Aptos" w:hAnsi="Aptos" w:cs="Aptos"/>
          <w:sz w:val="24"/>
          <w:szCs w:val="24"/>
          <w:lang w:eastAsia="ja-JP"/>
        </w:rPr>
        <w:t xml:space="preserve"> the national security ecosystem.</w:t>
      </w:r>
    </w:p>
    <w:p w14:paraId="5102A7A3" w14:textId="591EF600" w:rsidR="00A15779" w:rsidRDefault="000F6174" w:rsidP="00A15779">
      <w:pPr>
        <w:spacing w:after="160" w:line="279" w:lineRule="auto"/>
        <w:rPr>
          <w:rFonts w:ascii="Aptos" w:eastAsia="Aptos" w:hAnsi="Aptos" w:cs="Aptos"/>
          <w:sz w:val="24"/>
          <w:szCs w:val="24"/>
          <w:lang w:val="en-US" w:eastAsia="ja-JP"/>
        </w:rPr>
      </w:pPr>
      <w:r>
        <w:rPr>
          <w:rFonts w:ascii="Aptos" w:eastAsia="Aptos" w:hAnsi="Aptos" w:cs="Aptos"/>
          <w:sz w:val="24"/>
          <w:szCs w:val="24"/>
          <w:lang w:val="en-US" w:eastAsia="ja-JP"/>
        </w:rPr>
        <w:t xml:space="preserve">The Workshop Series </w:t>
      </w:r>
      <w:r w:rsidR="004C571F">
        <w:rPr>
          <w:rFonts w:ascii="Aptos" w:eastAsia="Aptos" w:hAnsi="Aptos" w:cs="Aptos"/>
          <w:sz w:val="24"/>
          <w:szCs w:val="24"/>
          <w:lang w:val="en-US" w:eastAsia="ja-JP"/>
        </w:rPr>
        <w:t>w</w:t>
      </w:r>
      <w:r w:rsidR="005037CE">
        <w:rPr>
          <w:rFonts w:ascii="Aptos" w:eastAsia="Aptos" w:hAnsi="Aptos" w:cs="Aptos"/>
          <w:sz w:val="24"/>
          <w:szCs w:val="24"/>
          <w:lang w:val="en-US" w:eastAsia="ja-JP"/>
        </w:rPr>
        <w:t>as</w:t>
      </w:r>
      <w:r>
        <w:rPr>
          <w:rFonts w:ascii="Aptos" w:eastAsia="Aptos" w:hAnsi="Aptos" w:cs="Aptos"/>
          <w:sz w:val="24"/>
          <w:szCs w:val="24"/>
          <w:lang w:val="en-US" w:eastAsia="ja-JP"/>
        </w:rPr>
        <w:t xml:space="preserve"> attended by </w:t>
      </w:r>
      <w:r w:rsidR="00A15779" w:rsidRPr="00EA2B75">
        <w:rPr>
          <w:rFonts w:ascii="Aptos" w:eastAsia="Aptos" w:hAnsi="Aptos" w:cs="Aptos"/>
          <w:sz w:val="24"/>
          <w:szCs w:val="24"/>
          <w:lang w:val="en-US" w:eastAsia="ja-JP"/>
        </w:rPr>
        <w:t xml:space="preserve">113 </w:t>
      </w:r>
      <w:r w:rsidR="00A15779">
        <w:rPr>
          <w:rFonts w:ascii="Aptos" w:eastAsia="Aptos" w:hAnsi="Aptos" w:cs="Aptos"/>
          <w:sz w:val="24"/>
          <w:szCs w:val="24"/>
          <w:lang w:val="en-US" w:eastAsia="ja-JP"/>
        </w:rPr>
        <w:t>representatives</w:t>
      </w:r>
      <w:r>
        <w:rPr>
          <w:rFonts w:ascii="Aptos" w:eastAsia="Aptos" w:hAnsi="Aptos" w:cs="Aptos"/>
          <w:sz w:val="24"/>
          <w:szCs w:val="24"/>
          <w:lang w:val="en-US" w:eastAsia="ja-JP"/>
        </w:rPr>
        <w:t xml:space="preserve"> of the university sector</w:t>
      </w:r>
      <w:r w:rsidR="00A15779" w:rsidRPr="00EA2B75">
        <w:rPr>
          <w:rFonts w:ascii="Aptos" w:eastAsia="Aptos" w:hAnsi="Aptos" w:cs="Aptos"/>
          <w:sz w:val="24"/>
          <w:szCs w:val="24"/>
          <w:lang w:val="en-US" w:eastAsia="ja-JP"/>
        </w:rPr>
        <w:t>, representing 36 of the 42 invited universities</w:t>
      </w:r>
      <w:r w:rsidR="00D3018E">
        <w:rPr>
          <w:rFonts w:ascii="Aptos" w:eastAsia="Aptos" w:hAnsi="Aptos" w:cs="Aptos"/>
          <w:sz w:val="24"/>
          <w:szCs w:val="24"/>
          <w:lang w:val="en-US" w:eastAsia="ja-JP"/>
        </w:rPr>
        <w:t xml:space="preserve"> (86% engagement rate). </w:t>
      </w:r>
      <w:r w:rsidR="001C598B">
        <w:rPr>
          <w:rFonts w:ascii="Aptos" w:eastAsia="Aptos" w:hAnsi="Aptos" w:cs="Aptos"/>
          <w:sz w:val="24"/>
          <w:szCs w:val="24"/>
          <w:lang w:val="en-US" w:eastAsia="ja-JP"/>
        </w:rPr>
        <w:br/>
      </w:r>
      <w:r w:rsidR="001C598B">
        <w:rPr>
          <w:rFonts w:ascii="Aptos" w:eastAsia="Aptos" w:hAnsi="Aptos" w:cs="Aptos"/>
          <w:sz w:val="24"/>
          <w:szCs w:val="24"/>
          <w:lang w:val="en-US" w:eastAsia="ja-JP"/>
        </w:rPr>
        <w:br/>
      </w:r>
      <w:r w:rsidR="001C598B">
        <w:rPr>
          <w:rFonts w:ascii="Aptos" w:eastAsia="Aptos" w:hAnsi="Aptos" w:cs="Aptos"/>
          <w:sz w:val="24"/>
          <w:szCs w:val="24"/>
          <w:lang w:val="en-US" w:eastAsia="ja-JP"/>
        </w:rPr>
        <w:br/>
      </w:r>
    </w:p>
    <w:p w14:paraId="6074A7D7" w14:textId="09EF236E" w:rsidR="00222F80" w:rsidRPr="00222F80" w:rsidRDefault="009A45D6" w:rsidP="00222F80">
      <w:pPr>
        <w:pStyle w:val="Heading3"/>
        <w:rPr>
          <w:rFonts w:ascii="Aptos" w:eastAsia="Aptos" w:hAnsi="Aptos"/>
          <w:sz w:val="36"/>
          <w:szCs w:val="28"/>
          <w:lang w:val="en-US" w:eastAsia="ja-JP"/>
        </w:rPr>
      </w:pPr>
      <w:bookmarkStart w:id="13" w:name="_Toc179799976"/>
      <w:r>
        <w:rPr>
          <w:rFonts w:ascii="Aptos" w:eastAsia="Aptos" w:hAnsi="Aptos"/>
          <w:sz w:val="36"/>
          <w:szCs w:val="28"/>
          <w:lang w:val="en-US" w:eastAsia="ja-JP"/>
        </w:rPr>
        <w:t xml:space="preserve">Consultation </w:t>
      </w:r>
      <w:r w:rsidR="00A15779" w:rsidRPr="00520230">
        <w:rPr>
          <w:rFonts w:ascii="Aptos" w:eastAsia="Aptos" w:hAnsi="Aptos"/>
          <w:sz w:val="36"/>
          <w:szCs w:val="28"/>
          <w:lang w:val="en-US" w:eastAsia="ja-JP"/>
        </w:rPr>
        <w:t>Findings</w:t>
      </w:r>
      <w:bookmarkEnd w:id="13"/>
      <w:r w:rsidR="00A15779" w:rsidRPr="00520230">
        <w:rPr>
          <w:rFonts w:ascii="Aptos" w:eastAsia="Aptos" w:hAnsi="Aptos"/>
          <w:sz w:val="36"/>
          <w:szCs w:val="28"/>
          <w:lang w:val="en-US" w:eastAsia="ja-JP"/>
        </w:rPr>
        <w:t xml:space="preserve"> </w:t>
      </w:r>
    </w:p>
    <w:p w14:paraId="14669D83" w14:textId="76E129A4" w:rsidR="00A15779" w:rsidRPr="000D22A4" w:rsidRDefault="00A15779" w:rsidP="00A15779">
      <w:pPr>
        <w:spacing w:before="160" w:after="160" w:line="279" w:lineRule="auto"/>
        <w:rPr>
          <w:rFonts w:ascii="Aptos" w:eastAsia="MS Mincho" w:hAnsi="Aptos" w:cs="Arial"/>
          <w:sz w:val="24"/>
          <w:szCs w:val="24"/>
          <w:lang w:val="en-US" w:eastAsia="ja-JP"/>
        </w:rPr>
      </w:pPr>
      <w:r w:rsidRPr="000D22A4">
        <w:rPr>
          <w:rFonts w:ascii="Aptos" w:eastAsia="MS Mincho" w:hAnsi="Aptos" w:cs="Arial"/>
          <w:sz w:val="24"/>
          <w:szCs w:val="24"/>
          <w:lang w:val="en-US" w:eastAsia="ja-JP"/>
        </w:rPr>
        <w:t>Across the breadth of universities, there remains a strong understanding of the threats posed by foreign interference</w:t>
      </w:r>
      <w:r>
        <w:rPr>
          <w:rFonts w:ascii="Aptos" w:eastAsia="MS Mincho" w:hAnsi="Aptos" w:cs="Arial"/>
          <w:sz w:val="24"/>
          <w:szCs w:val="24"/>
          <w:lang w:val="en-US" w:eastAsia="ja-JP"/>
        </w:rPr>
        <w:t>,</w:t>
      </w:r>
      <w:r w:rsidRPr="000D22A4">
        <w:rPr>
          <w:rFonts w:ascii="Aptos" w:eastAsia="MS Mincho" w:hAnsi="Aptos" w:cs="Arial"/>
          <w:sz w:val="24"/>
          <w:szCs w:val="24"/>
          <w:lang w:val="en-US" w:eastAsia="ja-JP"/>
        </w:rPr>
        <w:t xml:space="preserve"> and </w:t>
      </w:r>
      <w:r>
        <w:rPr>
          <w:rFonts w:ascii="Aptos" w:eastAsia="MS Mincho" w:hAnsi="Aptos" w:cs="Arial"/>
          <w:sz w:val="24"/>
          <w:szCs w:val="24"/>
          <w:lang w:val="en-US" w:eastAsia="ja-JP"/>
        </w:rPr>
        <w:t xml:space="preserve">active </w:t>
      </w:r>
      <w:r w:rsidRPr="000D22A4">
        <w:rPr>
          <w:rFonts w:ascii="Aptos" w:eastAsia="MS Mincho" w:hAnsi="Aptos" w:cs="Arial"/>
          <w:sz w:val="24"/>
          <w:szCs w:val="24"/>
          <w:lang w:val="en-US" w:eastAsia="ja-JP"/>
        </w:rPr>
        <w:t xml:space="preserve">engagement with the Guidelines. </w:t>
      </w:r>
      <w:r>
        <w:rPr>
          <w:rFonts w:ascii="Aptos" w:eastAsia="MS Mincho" w:hAnsi="Aptos" w:cs="Arial"/>
          <w:sz w:val="24"/>
          <w:szCs w:val="24"/>
          <w:lang w:val="en-US" w:eastAsia="ja-JP"/>
        </w:rPr>
        <w:t>U</w:t>
      </w:r>
      <w:r w:rsidRPr="000D22A4">
        <w:rPr>
          <w:rFonts w:ascii="Aptos" w:eastAsia="MS Mincho" w:hAnsi="Aptos" w:cs="Arial"/>
          <w:sz w:val="24"/>
          <w:szCs w:val="24"/>
          <w:lang w:val="en-US" w:eastAsia="ja-JP"/>
        </w:rPr>
        <w:t xml:space="preserve">niversities continue to strengthen foreign interference risk mitigations, although implementation continues to vary </w:t>
      </w:r>
      <w:r>
        <w:rPr>
          <w:rFonts w:ascii="Aptos" w:eastAsia="MS Mincho" w:hAnsi="Aptos" w:cs="Arial"/>
          <w:sz w:val="24"/>
          <w:szCs w:val="24"/>
          <w:lang w:val="en-US" w:eastAsia="ja-JP"/>
        </w:rPr>
        <w:t xml:space="preserve">depending on scale and </w:t>
      </w:r>
      <w:r w:rsidRPr="000D22A4">
        <w:rPr>
          <w:rFonts w:ascii="Aptos" w:eastAsia="MS Mincho" w:hAnsi="Aptos" w:cs="Arial"/>
          <w:sz w:val="24"/>
          <w:szCs w:val="24"/>
          <w:lang w:val="en-US" w:eastAsia="ja-JP"/>
        </w:rPr>
        <w:t>maturity</w:t>
      </w:r>
      <w:r>
        <w:rPr>
          <w:rFonts w:ascii="Aptos" w:eastAsia="MS Mincho" w:hAnsi="Aptos" w:cs="Arial"/>
          <w:sz w:val="24"/>
          <w:szCs w:val="24"/>
          <w:lang w:val="en-US" w:eastAsia="ja-JP"/>
        </w:rPr>
        <w:t xml:space="preserve"> within universities</w:t>
      </w:r>
      <w:r w:rsidR="003423B3">
        <w:rPr>
          <w:rFonts w:ascii="Aptos" w:eastAsia="MS Mincho" w:hAnsi="Aptos" w:cs="Arial"/>
          <w:sz w:val="24"/>
          <w:szCs w:val="24"/>
          <w:lang w:val="en-US" w:eastAsia="ja-JP"/>
        </w:rPr>
        <w:t xml:space="preserve">, as per the design of the Guidelines. </w:t>
      </w:r>
    </w:p>
    <w:p w14:paraId="3FB55B5E" w14:textId="7FDD7E90" w:rsidR="00A15779" w:rsidRDefault="00A15779" w:rsidP="00A15779">
      <w:pPr>
        <w:spacing w:before="160" w:after="160" w:line="279" w:lineRule="auto"/>
        <w:rPr>
          <w:rFonts w:ascii="Aptos" w:eastAsia="MS Mincho" w:hAnsi="Aptos" w:cs="Arial"/>
          <w:sz w:val="24"/>
          <w:szCs w:val="24"/>
          <w:lang w:val="en-US" w:eastAsia="ja-JP"/>
        </w:rPr>
      </w:pPr>
      <w:r w:rsidRPr="000D22A4">
        <w:rPr>
          <w:rFonts w:ascii="Aptos" w:eastAsia="MS Mincho" w:hAnsi="Aptos" w:cs="Arial"/>
          <w:sz w:val="24"/>
          <w:szCs w:val="24"/>
          <w:lang w:val="en-US" w:eastAsia="ja-JP"/>
        </w:rPr>
        <w:t xml:space="preserve">Universities acknowledge countering foreign interference is an ongoing process, </w:t>
      </w:r>
      <w:r>
        <w:rPr>
          <w:rFonts w:ascii="Aptos" w:eastAsia="MS Mincho" w:hAnsi="Aptos" w:cs="Arial"/>
          <w:sz w:val="24"/>
          <w:szCs w:val="24"/>
          <w:lang w:val="en-US" w:eastAsia="ja-JP"/>
        </w:rPr>
        <w:br/>
      </w:r>
      <w:r w:rsidRPr="000D22A4">
        <w:rPr>
          <w:rFonts w:ascii="Aptos" w:eastAsia="MS Mincho" w:hAnsi="Aptos" w:cs="Arial"/>
          <w:sz w:val="24"/>
          <w:szCs w:val="24"/>
          <w:lang w:val="en-US" w:eastAsia="ja-JP"/>
        </w:rPr>
        <w:t>and implementation of the Guidelines requires adaptability in approach. As the threat environment evolves, universities understand foreign interference initiatives and measures will need to be reviewed, updated</w:t>
      </w:r>
      <w:r w:rsidR="00357A4F">
        <w:rPr>
          <w:rFonts w:ascii="Aptos" w:eastAsia="MS Mincho" w:hAnsi="Aptos" w:cs="Arial"/>
          <w:sz w:val="24"/>
          <w:szCs w:val="24"/>
          <w:lang w:val="en-US" w:eastAsia="ja-JP"/>
        </w:rPr>
        <w:t>,</w:t>
      </w:r>
      <w:r w:rsidRPr="000D22A4">
        <w:rPr>
          <w:rFonts w:ascii="Aptos" w:eastAsia="MS Mincho" w:hAnsi="Aptos" w:cs="Arial"/>
          <w:sz w:val="24"/>
          <w:szCs w:val="24"/>
          <w:lang w:val="en-US" w:eastAsia="ja-JP"/>
        </w:rPr>
        <w:t xml:space="preserve"> or developed accordingly. </w:t>
      </w:r>
    </w:p>
    <w:p w14:paraId="45F594AE" w14:textId="77777777" w:rsidR="006756EC" w:rsidRDefault="005107F4" w:rsidP="00512081">
      <w:pPr>
        <w:rPr>
          <w:rFonts w:ascii="Aptos" w:eastAsia="Times New Roman" w:hAnsi="Aptos" w:cs="Arial"/>
          <w:sz w:val="24"/>
          <w:szCs w:val="24"/>
          <w:lang w:val="en-US" w:eastAsia="ja-JP"/>
        </w:rPr>
      </w:pPr>
      <w:r>
        <w:rPr>
          <w:rFonts w:ascii="Aptos" w:eastAsia="Times New Roman" w:hAnsi="Aptos" w:cs="Arial"/>
          <w:sz w:val="24"/>
          <w:szCs w:val="24"/>
          <w:lang w:val="en-US" w:eastAsia="ja-JP"/>
        </w:rPr>
        <w:t xml:space="preserve">This section will </w:t>
      </w:r>
      <w:r w:rsidR="00974347">
        <w:rPr>
          <w:rFonts w:ascii="Aptos" w:eastAsia="Times New Roman" w:hAnsi="Aptos" w:cs="Arial"/>
          <w:sz w:val="24"/>
          <w:szCs w:val="24"/>
          <w:lang w:val="en-US" w:eastAsia="ja-JP"/>
        </w:rPr>
        <w:t xml:space="preserve">expand on the key findings </w:t>
      </w:r>
      <w:r w:rsidR="001311F6">
        <w:rPr>
          <w:rFonts w:ascii="Aptos" w:eastAsia="Times New Roman" w:hAnsi="Aptos" w:cs="Arial"/>
          <w:sz w:val="24"/>
          <w:szCs w:val="24"/>
          <w:lang w:val="en-US" w:eastAsia="ja-JP"/>
        </w:rPr>
        <w:t xml:space="preserve">from the consultation, </w:t>
      </w:r>
      <w:proofErr w:type="spellStart"/>
      <w:r w:rsidR="001311F6">
        <w:rPr>
          <w:rFonts w:ascii="Aptos" w:eastAsia="Times New Roman" w:hAnsi="Aptos" w:cs="Arial"/>
          <w:sz w:val="24"/>
          <w:szCs w:val="24"/>
          <w:lang w:val="en-US" w:eastAsia="ja-JP"/>
        </w:rPr>
        <w:t>analysing</w:t>
      </w:r>
      <w:proofErr w:type="spellEnd"/>
      <w:r w:rsidR="006756EC">
        <w:rPr>
          <w:rFonts w:ascii="Aptos" w:eastAsia="Times New Roman" w:hAnsi="Aptos" w:cs="Arial"/>
          <w:sz w:val="24"/>
          <w:szCs w:val="24"/>
          <w:lang w:val="en-US" w:eastAsia="ja-JP"/>
        </w:rPr>
        <w:t>:</w:t>
      </w:r>
    </w:p>
    <w:p w14:paraId="3BC60E4B" w14:textId="4A5E715E" w:rsidR="006756EC" w:rsidRDefault="006756EC" w:rsidP="006756EC">
      <w:pPr>
        <w:pStyle w:val="ListParagraph"/>
        <w:numPr>
          <w:ilvl w:val="0"/>
          <w:numId w:val="35"/>
        </w:numPr>
        <w:rPr>
          <w:rFonts w:ascii="Aptos" w:eastAsia="Times New Roman" w:hAnsi="Aptos" w:cs="Arial"/>
          <w:sz w:val="24"/>
          <w:szCs w:val="24"/>
          <w:lang w:val="en-US" w:eastAsia="ja-JP"/>
        </w:rPr>
      </w:pPr>
      <w:r>
        <w:rPr>
          <w:rFonts w:ascii="Aptos" w:eastAsia="Times New Roman" w:hAnsi="Aptos" w:cs="Arial"/>
          <w:sz w:val="24"/>
          <w:szCs w:val="24"/>
          <w:lang w:val="en-US" w:eastAsia="ja-JP"/>
        </w:rPr>
        <w:t>R</w:t>
      </w:r>
      <w:r w:rsidR="006D59E0" w:rsidRPr="006756EC">
        <w:rPr>
          <w:rFonts w:ascii="Aptos" w:eastAsia="Times New Roman" w:hAnsi="Aptos" w:cs="Arial"/>
          <w:sz w:val="24"/>
          <w:szCs w:val="24"/>
          <w:lang w:val="en-US" w:eastAsia="ja-JP"/>
        </w:rPr>
        <w:t xml:space="preserve">ecent initiatives or measures </w:t>
      </w:r>
      <w:r w:rsidR="001311F6" w:rsidRPr="006756EC">
        <w:rPr>
          <w:rFonts w:ascii="Aptos" w:eastAsia="Times New Roman" w:hAnsi="Aptos" w:cs="Arial"/>
          <w:sz w:val="24"/>
          <w:szCs w:val="24"/>
          <w:lang w:val="en-US" w:eastAsia="ja-JP"/>
        </w:rPr>
        <w:t xml:space="preserve">by universities </w:t>
      </w:r>
      <w:r w:rsidR="006D59E0" w:rsidRPr="006756EC">
        <w:rPr>
          <w:rFonts w:ascii="Aptos" w:eastAsia="Times New Roman" w:hAnsi="Aptos" w:cs="Arial"/>
          <w:sz w:val="24"/>
          <w:szCs w:val="24"/>
          <w:lang w:val="en-US" w:eastAsia="ja-JP"/>
        </w:rPr>
        <w:t>to address foreign interference</w:t>
      </w:r>
      <w:r w:rsidR="00CB54D6">
        <w:rPr>
          <w:rFonts w:ascii="Aptos" w:eastAsia="Times New Roman" w:hAnsi="Aptos" w:cs="Arial"/>
          <w:sz w:val="24"/>
          <w:szCs w:val="24"/>
          <w:lang w:val="en-US" w:eastAsia="ja-JP"/>
        </w:rPr>
        <w:t xml:space="preserve">. </w:t>
      </w:r>
    </w:p>
    <w:p w14:paraId="4E44709C" w14:textId="77777777" w:rsidR="00AD0371" w:rsidRPr="00AD0371" w:rsidRDefault="00AD0371" w:rsidP="00AD0371">
      <w:pPr>
        <w:pStyle w:val="ListParagraph"/>
        <w:numPr>
          <w:ilvl w:val="0"/>
          <w:numId w:val="35"/>
        </w:numPr>
        <w:rPr>
          <w:rFonts w:ascii="Aptos" w:eastAsia="Times New Roman" w:hAnsi="Aptos" w:cs="Arial"/>
          <w:sz w:val="24"/>
          <w:szCs w:val="24"/>
          <w:lang w:val="en-US" w:eastAsia="ja-JP"/>
        </w:rPr>
      </w:pPr>
      <w:r w:rsidRPr="00AD0371">
        <w:rPr>
          <w:rFonts w:ascii="Aptos" w:eastAsia="Times New Roman" w:hAnsi="Aptos" w:cs="Arial"/>
          <w:sz w:val="24"/>
          <w:szCs w:val="24"/>
          <w:lang w:val="en-US" w:eastAsia="ja-JP"/>
        </w:rPr>
        <w:t xml:space="preserve">Areas in which universities have invested the most resources in implementing the Guidelines. </w:t>
      </w:r>
    </w:p>
    <w:p w14:paraId="37850375" w14:textId="446089CE" w:rsidR="00AD0371" w:rsidRPr="008D0120" w:rsidRDefault="00AD0371" w:rsidP="00AD0371">
      <w:pPr>
        <w:pStyle w:val="ListParagraph"/>
        <w:numPr>
          <w:ilvl w:val="0"/>
          <w:numId w:val="35"/>
        </w:numPr>
        <w:rPr>
          <w:rFonts w:ascii="Aptos" w:eastAsia="Times New Roman" w:hAnsi="Aptos" w:cs="Arial"/>
          <w:sz w:val="24"/>
          <w:szCs w:val="24"/>
          <w:lang w:val="en-US" w:eastAsia="ja-JP"/>
        </w:rPr>
      </w:pPr>
      <w:r w:rsidRPr="00AD0371">
        <w:rPr>
          <w:rFonts w:ascii="Aptos" w:eastAsia="Times New Roman" w:hAnsi="Aptos" w:cs="Arial"/>
          <w:sz w:val="24"/>
          <w:szCs w:val="24"/>
          <w:lang w:val="en-US" w:eastAsia="ja-JP"/>
        </w:rPr>
        <w:t xml:space="preserve">Opportunities for further government-sector collaboration, including </w:t>
      </w:r>
      <w:r w:rsidR="00703598" w:rsidRPr="008D0120">
        <w:rPr>
          <w:rFonts w:ascii="Aptos" w:eastAsia="Times New Roman" w:hAnsi="Aptos" w:cs="Arial"/>
          <w:sz w:val="24"/>
          <w:szCs w:val="24"/>
          <w:lang w:val="en-US" w:eastAsia="ja-JP"/>
        </w:rPr>
        <w:t>c</w:t>
      </w:r>
      <w:r w:rsidRPr="008D0120">
        <w:rPr>
          <w:rFonts w:ascii="Aptos" w:eastAsia="Times New Roman" w:hAnsi="Aptos" w:cs="Arial"/>
          <w:sz w:val="24"/>
          <w:szCs w:val="24"/>
          <w:lang w:val="en-US" w:eastAsia="ja-JP"/>
        </w:rPr>
        <w:t xml:space="preserve">ommunities of </w:t>
      </w:r>
      <w:r w:rsidR="00703598" w:rsidRPr="008D0120">
        <w:rPr>
          <w:rFonts w:ascii="Aptos" w:eastAsia="Times New Roman" w:hAnsi="Aptos" w:cs="Arial"/>
          <w:sz w:val="24"/>
          <w:szCs w:val="24"/>
          <w:lang w:val="en-US" w:eastAsia="ja-JP"/>
        </w:rPr>
        <w:t>p</w:t>
      </w:r>
      <w:r w:rsidRPr="008D0120">
        <w:rPr>
          <w:rFonts w:ascii="Aptos" w:eastAsia="Times New Roman" w:hAnsi="Aptos" w:cs="Arial"/>
          <w:sz w:val="24"/>
          <w:szCs w:val="24"/>
          <w:lang w:val="en-US" w:eastAsia="ja-JP"/>
        </w:rPr>
        <w:t xml:space="preserve">ractice. </w:t>
      </w:r>
    </w:p>
    <w:p w14:paraId="709F1703" w14:textId="5E28C04D" w:rsidR="00AD0371" w:rsidRPr="005238B4" w:rsidRDefault="00AD0371" w:rsidP="00AD0371">
      <w:pPr>
        <w:pStyle w:val="ListParagraph"/>
        <w:numPr>
          <w:ilvl w:val="0"/>
          <w:numId w:val="35"/>
        </w:numPr>
        <w:rPr>
          <w:rFonts w:ascii="Aptos" w:eastAsia="Times New Roman" w:hAnsi="Aptos" w:cs="Arial"/>
          <w:sz w:val="24"/>
          <w:szCs w:val="24"/>
          <w:lang w:val="en-US" w:eastAsia="ja-JP"/>
        </w:rPr>
      </w:pPr>
      <w:r w:rsidRPr="00AD0371">
        <w:rPr>
          <w:rFonts w:ascii="Aptos" w:eastAsia="Times New Roman" w:hAnsi="Aptos" w:cs="Arial"/>
          <w:sz w:val="24"/>
          <w:szCs w:val="24"/>
          <w:lang w:val="en-US" w:eastAsia="ja-JP"/>
        </w:rPr>
        <w:t xml:space="preserve">Areas where universities have requested further guidance from government. </w:t>
      </w:r>
    </w:p>
    <w:p w14:paraId="54C02842" w14:textId="334B739D" w:rsidR="006A660E" w:rsidRDefault="006756EC" w:rsidP="006756EC">
      <w:pPr>
        <w:pStyle w:val="ListParagraph"/>
        <w:numPr>
          <w:ilvl w:val="0"/>
          <w:numId w:val="35"/>
        </w:numPr>
        <w:rPr>
          <w:rFonts w:ascii="Aptos" w:eastAsia="Times New Roman" w:hAnsi="Aptos" w:cs="Arial"/>
          <w:sz w:val="24"/>
          <w:szCs w:val="24"/>
          <w:lang w:val="en-US" w:eastAsia="ja-JP"/>
        </w:rPr>
      </w:pPr>
      <w:r>
        <w:rPr>
          <w:rFonts w:ascii="Aptos" w:eastAsia="Times New Roman" w:hAnsi="Aptos" w:cs="Arial"/>
          <w:sz w:val="24"/>
          <w:szCs w:val="24"/>
          <w:lang w:val="en-US" w:eastAsia="ja-JP"/>
        </w:rPr>
        <w:t>N</w:t>
      </w:r>
      <w:r w:rsidR="006A660E" w:rsidRPr="006756EC">
        <w:rPr>
          <w:rFonts w:ascii="Aptos" w:eastAsia="Times New Roman" w:hAnsi="Aptos" w:cs="Arial"/>
          <w:sz w:val="24"/>
          <w:szCs w:val="24"/>
          <w:lang w:val="en-US" w:eastAsia="ja-JP"/>
        </w:rPr>
        <w:t xml:space="preserve">ew or emerging barriers to </w:t>
      </w:r>
      <w:r w:rsidR="00607F58" w:rsidRPr="006756EC">
        <w:rPr>
          <w:rFonts w:ascii="Aptos" w:eastAsia="Times New Roman" w:hAnsi="Aptos" w:cs="Arial"/>
          <w:sz w:val="24"/>
          <w:szCs w:val="24"/>
          <w:lang w:val="en-US" w:eastAsia="ja-JP"/>
        </w:rPr>
        <w:t>universities’</w:t>
      </w:r>
      <w:r w:rsidR="006A660E" w:rsidRPr="006756EC">
        <w:rPr>
          <w:rFonts w:ascii="Aptos" w:eastAsia="Times New Roman" w:hAnsi="Aptos" w:cs="Arial"/>
          <w:sz w:val="24"/>
          <w:szCs w:val="24"/>
          <w:lang w:val="en-US" w:eastAsia="ja-JP"/>
        </w:rPr>
        <w:t xml:space="preserve"> </w:t>
      </w:r>
      <w:r w:rsidR="00D720F7">
        <w:rPr>
          <w:rFonts w:ascii="Aptos" w:eastAsia="Times New Roman" w:hAnsi="Aptos" w:cs="Arial"/>
          <w:sz w:val="24"/>
          <w:szCs w:val="24"/>
          <w:lang w:val="en-US" w:eastAsia="ja-JP"/>
        </w:rPr>
        <w:t xml:space="preserve">implementation of </w:t>
      </w:r>
      <w:r w:rsidR="006A660E" w:rsidRPr="006756EC">
        <w:rPr>
          <w:rFonts w:ascii="Aptos" w:eastAsia="Times New Roman" w:hAnsi="Aptos" w:cs="Arial"/>
          <w:sz w:val="24"/>
          <w:szCs w:val="24"/>
          <w:lang w:val="en-US" w:eastAsia="ja-JP"/>
        </w:rPr>
        <w:t>the Guidelines</w:t>
      </w:r>
      <w:r w:rsidR="00CB54D6">
        <w:rPr>
          <w:rFonts w:ascii="Aptos" w:eastAsia="Times New Roman" w:hAnsi="Aptos" w:cs="Arial"/>
          <w:sz w:val="24"/>
          <w:szCs w:val="24"/>
          <w:lang w:val="en-US" w:eastAsia="ja-JP"/>
        </w:rPr>
        <w:t>.</w:t>
      </w:r>
    </w:p>
    <w:p w14:paraId="3E7C5D2E" w14:textId="0A2A66BD" w:rsidR="00222F80" w:rsidRPr="000D22A4" w:rsidRDefault="00A15779" w:rsidP="00A15779">
      <w:pPr>
        <w:spacing w:before="160" w:after="160" w:line="279" w:lineRule="auto"/>
        <w:rPr>
          <w:rFonts w:ascii="Aptos" w:eastAsia="MS Mincho" w:hAnsi="Aptos" w:cs="Arial"/>
          <w:sz w:val="24"/>
          <w:szCs w:val="24"/>
          <w:lang w:val="en-US" w:eastAsia="ja-JP"/>
        </w:rPr>
      </w:pPr>
      <w:r w:rsidRPr="000D22A4">
        <w:rPr>
          <w:rFonts w:ascii="Aptos" w:eastAsia="MS Mincho" w:hAnsi="Aptos" w:cs="Arial"/>
          <w:sz w:val="24"/>
          <w:szCs w:val="24"/>
          <w:lang w:val="en-US" w:eastAsia="ja-JP"/>
        </w:rPr>
        <w:t xml:space="preserve">The </w:t>
      </w:r>
      <w:r w:rsidR="00042B05">
        <w:rPr>
          <w:rFonts w:ascii="Aptos" w:eastAsia="MS Mincho" w:hAnsi="Aptos" w:cs="Arial"/>
          <w:sz w:val="24"/>
          <w:szCs w:val="24"/>
          <w:lang w:val="en-US" w:eastAsia="ja-JP"/>
        </w:rPr>
        <w:t xml:space="preserve">Annual </w:t>
      </w:r>
      <w:r w:rsidRPr="000D22A4">
        <w:rPr>
          <w:rFonts w:ascii="Aptos" w:eastAsia="MS Mincho" w:hAnsi="Aptos" w:cs="Arial"/>
          <w:sz w:val="24"/>
          <w:szCs w:val="24"/>
          <w:lang w:val="en-US" w:eastAsia="ja-JP"/>
        </w:rPr>
        <w:t xml:space="preserve">Survey and </w:t>
      </w:r>
      <w:r>
        <w:rPr>
          <w:rFonts w:ascii="Aptos" w:eastAsia="MS Mincho" w:hAnsi="Aptos" w:cs="Arial"/>
          <w:sz w:val="24"/>
          <w:szCs w:val="24"/>
          <w:lang w:val="en-US" w:eastAsia="ja-JP"/>
        </w:rPr>
        <w:t>W</w:t>
      </w:r>
      <w:r w:rsidRPr="000D22A4">
        <w:rPr>
          <w:rFonts w:ascii="Aptos" w:eastAsia="MS Mincho" w:hAnsi="Aptos" w:cs="Arial"/>
          <w:sz w:val="24"/>
          <w:szCs w:val="24"/>
          <w:lang w:val="en-US" w:eastAsia="ja-JP"/>
        </w:rPr>
        <w:t xml:space="preserve">orkshop </w:t>
      </w:r>
      <w:r>
        <w:rPr>
          <w:rFonts w:ascii="Aptos" w:eastAsia="MS Mincho" w:hAnsi="Aptos" w:cs="Arial"/>
          <w:sz w:val="24"/>
          <w:szCs w:val="24"/>
          <w:lang w:val="en-US" w:eastAsia="ja-JP"/>
        </w:rPr>
        <w:t>S</w:t>
      </w:r>
      <w:r w:rsidRPr="000D22A4">
        <w:rPr>
          <w:rFonts w:ascii="Aptos" w:eastAsia="MS Mincho" w:hAnsi="Aptos" w:cs="Arial"/>
          <w:sz w:val="24"/>
          <w:szCs w:val="24"/>
          <w:lang w:val="en-US" w:eastAsia="ja-JP"/>
        </w:rPr>
        <w:t xml:space="preserve">eries demonstrated the value of engagement between the sector and government in </w:t>
      </w:r>
      <w:r w:rsidR="006C2DFE">
        <w:rPr>
          <w:rFonts w:ascii="Aptos" w:eastAsia="MS Mincho" w:hAnsi="Aptos" w:cs="Arial"/>
          <w:sz w:val="24"/>
          <w:szCs w:val="24"/>
          <w:lang w:val="en-US" w:eastAsia="ja-JP"/>
        </w:rPr>
        <w:t>building</w:t>
      </w:r>
      <w:r w:rsidRPr="000D22A4">
        <w:rPr>
          <w:rFonts w:ascii="Aptos" w:eastAsia="MS Mincho" w:hAnsi="Aptos" w:cs="Arial"/>
          <w:sz w:val="24"/>
          <w:szCs w:val="24"/>
          <w:lang w:val="en-US" w:eastAsia="ja-JP"/>
        </w:rPr>
        <w:t xml:space="preserve"> foreign interference </w:t>
      </w:r>
      <w:r w:rsidR="006C2DFE">
        <w:rPr>
          <w:rFonts w:ascii="Aptos" w:eastAsia="MS Mincho" w:hAnsi="Aptos" w:cs="Arial"/>
          <w:sz w:val="24"/>
          <w:szCs w:val="24"/>
          <w:lang w:val="en-US" w:eastAsia="ja-JP"/>
        </w:rPr>
        <w:t xml:space="preserve">resilience, </w:t>
      </w:r>
      <w:r w:rsidRPr="000D22A4">
        <w:rPr>
          <w:rFonts w:ascii="Aptos" w:eastAsia="MS Mincho" w:hAnsi="Aptos" w:cs="Arial"/>
          <w:sz w:val="24"/>
          <w:szCs w:val="24"/>
          <w:lang w:val="en-US" w:eastAsia="ja-JP"/>
        </w:rPr>
        <w:t xml:space="preserve">and the benefits of continued collaboration. </w:t>
      </w:r>
    </w:p>
    <w:p w14:paraId="43761128" w14:textId="5293489E" w:rsidR="00A15779" w:rsidRDefault="00A15779" w:rsidP="00A15779">
      <w:pPr>
        <w:rPr>
          <w:rFonts w:ascii="Aptos" w:hAnsi="Aptos"/>
          <w:sz w:val="24"/>
          <w:szCs w:val="24"/>
        </w:rPr>
      </w:pPr>
      <w:r w:rsidRPr="000D22A4">
        <w:rPr>
          <w:rFonts w:ascii="Aptos" w:hAnsi="Aptos"/>
          <w:b/>
          <w:bCs/>
          <w:color w:val="004C6C" w:themeColor="background2"/>
          <w:sz w:val="28"/>
          <w:szCs w:val="28"/>
          <w:lang w:val="en-US" w:eastAsia="ja-JP"/>
        </w:rPr>
        <w:t xml:space="preserve">Recent </w:t>
      </w:r>
      <w:r>
        <w:rPr>
          <w:rFonts w:ascii="Aptos" w:hAnsi="Aptos"/>
          <w:b/>
          <w:bCs/>
          <w:color w:val="004C6C" w:themeColor="background2"/>
          <w:sz w:val="28"/>
          <w:szCs w:val="28"/>
          <w:lang w:val="en-US" w:eastAsia="ja-JP"/>
        </w:rPr>
        <w:t>i</w:t>
      </w:r>
      <w:r w:rsidRPr="000D22A4">
        <w:rPr>
          <w:rFonts w:ascii="Aptos" w:hAnsi="Aptos"/>
          <w:b/>
          <w:bCs/>
          <w:color w:val="004C6C" w:themeColor="background2"/>
          <w:sz w:val="28"/>
          <w:szCs w:val="28"/>
          <w:lang w:val="en-US" w:eastAsia="ja-JP"/>
        </w:rPr>
        <w:t xml:space="preserve">nitiatives or </w:t>
      </w:r>
      <w:r>
        <w:rPr>
          <w:rFonts w:ascii="Aptos" w:hAnsi="Aptos"/>
          <w:b/>
          <w:bCs/>
          <w:color w:val="004C6C" w:themeColor="background2"/>
          <w:sz w:val="28"/>
          <w:szCs w:val="28"/>
          <w:lang w:val="en-US" w:eastAsia="ja-JP"/>
        </w:rPr>
        <w:t>m</w:t>
      </w:r>
      <w:r w:rsidRPr="000D22A4">
        <w:rPr>
          <w:rFonts w:ascii="Aptos" w:hAnsi="Aptos"/>
          <w:b/>
          <w:bCs/>
          <w:color w:val="004C6C" w:themeColor="background2"/>
          <w:sz w:val="28"/>
          <w:szCs w:val="28"/>
          <w:lang w:val="en-US" w:eastAsia="ja-JP"/>
        </w:rPr>
        <w:t xml:space="preserve">easures to </w:t>
      </w:r>
      <w:r>
        <w:rPr>
          <w:rFonts w:ascii="Aptos" w:hAnsi="Aptos"/>
          <w:b/>
          <w:bCs/>
          <w:color w:val="004C6C" w:themeColor="background2"/>
          <w:sz w:val="28"/>
          <w:szCs w:val="28"/>
          <w:lang w:val="en-US" w:eastAsia="ja-JP"/>
        </w:rPr>
        <w:t>a</w:t>
      </w:r>
      <w:r w:rsidRPr="000D22A4">
        <w:rPr>
          <w:rFonts w:ascii="Aptos" w:hAnsi="Aptos"/>
          <w:b/>
          <w:bCs/>
          <w:color w:val="004C6C" w:themeColor="background2"/>
          <w:sz w:val="28"/>
          <w:szCs w:val="28"/>
          <w:lang w:val="en-US" w:eastAsia="ja-JP"/>
        </w:rPr>
        <w:t xml:space="preserve">ddress </w:t>
      </w:r>
      <w:r>
        <w:rPr>
          <w:rFonts w:ascii="Aptos" w:hAnsi="Aptos"/>
          <w:b/>
          <w:bCs/>
          <w:color w:val="004C6C" w:themeColor="background2"/>
          <w:sz w:val="28"/>
          <w:szCs w:val="28"/>
          <w:lang w:val="en-US" w:eastAsia="ja-JP"/>
        </w:rPr>
        <w:t>f</w:t>
      </w:r>
      <w:r w:rsidRPr="000D22A4">
        <w:rPr>
          <w:rFonts w:ascii="Aptos" w:hAnsi="Aptos"/>
          <w:b/>
          <w:bCs/>
          <w:color w:val="004C6C" w:themeColor="background2"/>
          <w:sz w:val="28"/>
          <w:szCs w:val="28"/>
          <w:lang w:val="en-US" w:eastAsia="ja-JP"/>
        </w:rPr>
        <w:t xml:space="preserve">oreign </w:t>
      </w:r>
      <w:r>
        <w:rPr>
          <w:rFonts w:ascii="Aptos" w:hAnsi="Aptos"/>
          <w:b/>
          <w:bCs/>
          <w:color w:val="004C6C" w:themeColor="background2"/>
          <w:sz w:val="28"/>
          <w:szCs w:val="28"/>
          <w:lang w:val="en-US" w:eastAsia="ja-JP"/>
        </w:rPr>
        <w:t>i</w:t>
      </w:r>
      <w:r w:rsidRPr="000D22A4">
        <w:rPr>
          <w:rFonts w:ascii="Aptos" w:hAnsi="Aptos"/>
          <w:b/>
          <w:bCs/>
          <w:color w:val="004C6C" w:themeColor="background2"/>
          <w:sz w:val="28"/>
          <w:szCs w:val="28"/>
          <w:lang w:val="en-US" w:eastAsia="ja-JP"/>
        </w:rPr>
        <w:t>nterference</w:t>
      </w:r>
      <w:r>
        <w:rPr>
          <w:rFonts w:ascii="Aptos" w:hAnsi="Aptos"/>
          <w:sz w:val="24"/>
          <w:szCs w:val="24"/>
        </w:rPr>
        <w:br/>
      </w:r>
      <w:r w:rsidR="00713BF2">
        <w:rPr>
          <w:rFonts w:ascii="Aptos" w:hAnsi="Aptos"/>
          <w:sz w:val="24"/>
          <w:szCs w:val="24"/>
        </w:rPr>
        <w:t>36</w:t>
      </w:r>
      <w:r w:rsidR="00010142">
        <w:rPr>
          <w:rFonts w:ascii="Aptos" w:hAnsi="Aptos"/>
          <w:sz w:val="24"/>
          <w:szCs w:val="24"/>
        </w:rPr>
        <w:t xml:space="preserve"> </w:t>
      </w:r>
      <w:r w:rsidR="0009302B">
        <w:rPr>
          <w:rFonts w:ascii="Aptos" w:hAnsi="Aptos"/>
          <w:sz w:val="24"/>
          <w:szCs w:val="24"/>
        </w:rPr>
        <w:t>(</w:t>
      </w:r>
      <w:r w:rsidR="002A00DE">
        <w:rPr>
          <w:rFonts w:ascii="Aptos" w:hAnsi="Aptos"/>
          <w:sz w:val="24"/>
          <w:szCs w:val="24"/>
        </w:rPr>
        <w:t xml:space="preserve">92%) </w:t>
      </w:r>
      <w:r w:rsidRPr="000D22A4">
        <w:rPr>
          <w:rFonts w:ascii="Aptos" w:hAnsi="Aptos"/>
          <w:sz w:val="24"/>
          <w:szCs w:val="24"/>
        </w:rPr>
        <w:t xml:space="preserve">universities reported establishing, reviewing or updating key initiatives or measures to address the risk of foreign interference in the past </w:t>
      </w:r>
      <w:r w:rsidR="00D567DD">
        <w:rPr>
          <w:rFonts w:ascii="Aptos" w:hAnsi="Aptos"/>
          <w:sz w:val="24"/>
          <w:szCs w:val="24"/>
        </w:rPr>
        <w:t>twelve</w:t>
      </w:r>
      <w:r w:rsidRPr="000D22A4">
        <w:rPr>
          <w:rFonts w:ascii="Aptos" w:hAnsi="Aptos"/>
          <w:sz w:val="24"/>
          <w:szCs w:val="24"/>
        </w:rPr>
        <w:t xml:space="preserve"> months. </w:t>
      </w:r>
    </w:p>
    <w:p w14:paraId="4B1BF43E" w14:textId="2E73BAC6" w:rsidR="00D706BE" w:rsidRPr="000D22A4" w:rsidRDefault="008A7094" w:rsidP="008A7094">
      <w:pPr>
        <w:rPr>
          <w:rFonts w:ascii="Aptos" w:hAnsi="Aptos"/>
          <w:sz w:val="24"/>
          <w:szCs w:val="24"/>
        </w:rPr>
      </w:pPr>
      <w:r w:rsidRPr="00403663">
        <w:rPr>
          <w:noProof/>
          <w:shd w:val="clear" w:color="auto" w:fill="FFFFFF" w:themeFill="background1"/>
        </w:rPr>
        <w:drawing>
          <wp:inline distT="0" distB="0" distL="0" distR="0" wp14:anchorId="28D0FC46" wp14:editId="730FDF2C">
            <wp:extent cx="5695950" cy="1987550"/>
            <wp:effectExtent l="0" t="0" r="0" b="12700"/>
            <wp:docPr id="1089529210" name="Chart 1" descr="A bar graph that is entitled: Has your university established, reviewed or updated any key initiatives or measures to address the risk of foreign interference in the past 12 months? The graph measures the number of universities which responded with 'Yes' or 'No'. 92% of universities responded with 'Yes'. 8% of universities responded with 'No'.">
              <a:extLst xmlns:a="http://schemas.openxmlformats.org/drawingml/2006/main">
                <a:ext uri="{FF2B5EF4-FFF2-40B4-BE49-F238E27FC236}">
                  <a16:creationId xmlns:a16="http://schemas.microsoft.com/office/drawing/2014/main" id="{723F7A25-8821-420A-0920-2B4701C4A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EC14E1" w14:textId="77777777" w:rsidR="008A1215" w:rsidRDefault="008A1215">
      <w:pPr>
        <w:spacing w:after="160"/>
        <w:rPr>
          <w:rFonts w:ascii="Aptos" w:hAnsi="Aptos"/>
          <w:sz w:val="24"/>
          <w:szCs w:val="24"/>
        </w:rPr>
      </w:pPr>
      <w:r>
        <w:rPr>
          <w:rFonts w:ascii="Aptos" w:hAnsi="Aptos"/>
          <w:sz w:val="24"/>
          <w:szCs w:val="24"/>
        </w:rPr>
        <w:br w:type="page"/>
      </w:r>
    </w:p>
    <w:p w14:paraId="237D12A2" w14:textId="1DE95199" w:rsidR="00A15779" w:rsidRPr="000D22A4" w:rsidRDefault="00713BF2" w:rsidP="00A15779">
      <w:pPr>
        <w:numPr>
          <w:ilvl w:val="0"/>
          <w:numId w:val="21"/>
        </w:numPr>
        <w:spacing w:after="160" w:line="279" w:lineRule="auto"/>
        <w:rPr>
          <w:rFonts w:ascii="Aptos" w:hAnsi="Aptos"/>
          <w:sz w:val="24"/>
          <w:szCs w:val="24"/>
        </w:rPr>
      </w:pPr>
      <w:r>
        <w:rPr>
          <w:rFonts w:ascii="Aptos" w:hAnsi="Aptos"/>
          <w:sz w:val="24"/>
          <w:szCs w:val="24"/>
        </w:rPr>
        <w:t>26</w:t>
      </w:r>
      <w:r w:rsidR="00A15779" w:rsidRPr="000D22A4">
        <w:rPr>
          <w:rFonts w:ascii="Aptos" w:hAnsi="Aptos"/>
          <w:sz w:val="24"/>
          <w:szCs w:val="24"/>
        </w:rPr>
        <w:t xml:space="preserve"> </w:t>
      </w:r>
      <w:r w:rsidR="00D54608">
        <w:rPr>
          <w:rFonts w:ascii="Aptos" w:hAnsi="Aptos"/>
          <w:sz w:val="24"/>
          <w:szCs w:val="24"/>
        </w:rPr>
        <w:t>(</w:t>
      </w:r>
      <w:r w:rsidR="00FF2419">
        <w:rPr>
          <w:rFonts w:ascii="Aptos" w:hAnsi="Aptos"/>
          <w:sz w:val="24"/>
          <w:szCs w:val="24"/>
        </w:rPr>
        <w:t xml:space="preserve">67%) </w:t>
      </w:r>
      <w:r w:rsidR="00BB59CA">
        <w:rPr>
          <w:rFonts w:ascii="Aptos" w:hAnsi="Aptos"/>
          <w:sz w:val="24"/>
          <w:szCs w:val="24"/>
        </w:rPr>
        <w:t xml:space="preserve">universities </w:t>
      </w:r>
      <w:r w:rsidR="00A15779" w:rsidRPr="000D22A4">
        <w:rPr>
          <w:rFonts w:ascii="Aptos" w:hAnsi="Aptos"/>
          <w:sz w:val="24"/>
          <w:szCs w:val="24"/>
        </w:rPr>
        <w:t>reported updating or reviewing existing countering foreign interference initiatives and measures.</w:t>
      </w:r>
    </w:p>
    <w:p w14:paraId="1040A84C" w14:textId="05DA5D16" w:rsidR="00A15779" w:rsidRPr="000D22A4" w:rsidRDefault="00713BF2" w:rsidP="00A15779">
      <w:pPr>
        <w:numPr>
          <w:ilvl w:val="0"/>
          <w:numId w:val="21"/>
        </w:numPr>
        <w:spacing w:after="160" w:line="279" w:lineRule="auto"/>
        <w:rPr>
          <w:rFonts w:ascii="Aptos" w:hAnsi="Aptos"/>
          <w:sz w:val="24"/>
          <w:szCs w:val="24"/>
        </w:rPr>
      </w:pPr>
      <w:r>
        <w:rPr>
          <w:rFonts w:ascii="Aptos" w:hAnsi="Aptos"/>
          <w:sz w:val="24"/>
          <w:szCs w:val="24"/>
        </w:rPr>
        <w:t>20</w:t>
      </w:r>
      <w:r w:rsidR="00A15779" w:rsidRPr="000D22A4">
        <w:rPr>
          <w:rFonts w:ascii="Aptos" w:hAnsi="Aptos"/>
          <w:sz w:val="24"/>
          <w:szCs w:val="24"/>
        </w:rPr>
        <w:t xml:space="preserve"> </w:t>
      </w:r>
      <w:r w:rsidR="00FD1FB4">
        <w:rPr>
          <w:rFonts w:ascii="Aptos" w:hAnsi="Aptos"/>
          <w:sz w:val="24"/>
          <w:szCs w:val="24"/>
        </w:rPr>
        <w:t xml:space="preserve">(51%) </w:t>
      </w:r>
      <w:r w:rsidR="00BB59CA">
        <w:rPr>
          <w:rFonts w:ascii="Aptos" w:hAnsi="Aptos"/>
          <w:sz w:val="24"/>
          <w:szCs w:val="24"/>
        </w:rPr>
        <w:t xml:space="preserve">universities </w:t>
      </w:r>
      <w:r w:rsidR="00A15779" w:rsidRPr="000D22A4">
        <w:rPr>
          <w:rFonts w:ascii="Aptos" w:hAnsi="Aptos"/>
          <w:sz w:val="24"/>
          <w:szCs w:val="24"/>
        </w:rPr>
        <w:t>reported developing or establishing countering foreign interference policies or frameworks, including due diligence and risk assessment procedures.</w:t>
      </w:r>
    </w:p>
    <w:p w14:paraId="1B851E1D" w14:textId="278E77FD" w:rsidR="00A15779" w:rsidRPr="000D22A4" w:rsidRDefault="00713BF2" w:rsidP="00A15779">
      <w:pPr>
        <w:numPr>
          <w:ilvl w:val="0"/>
          <w:numId w:val="21"/>
        </w:numPr>
        <w:spacing w:after="160" w:line="279" w:lineRule="auto"/>
        <w:rPr>
          <w:rFonts w:ascii="Aptos" w:hAnsi="Aptos"/>
          <w:sz w:val="24"/>
          <w:szCs w:val="24"/>
        </w:rPr>
      </w:pPr>
      <w:r>
        <w:rPr>
          <w:rFonts w:ascii="Aptos" w:hAnsi="Aptos"/>
          <w:sz w:val="24"/>
          <w:szCs w:val="24"/>
        </w:rPr>
        <w:t>17</w:t>
      </w:r>
      <w:r w:rsidR="00A15779" w:rsidRPr="000D22A4">
        <w:rPr>
          <w:rFonts w:ascii="Aptos" w:hAnsi="Aptos"/>
          <w:sz w:val="24"/>
          <w:szCs w:val="24"/>
        </w:rPr>
        <w:t xml:space="preserve"> </w:t>
      </w:r>
      <w:r w:rsidR="00FD1FB4">
        <w:rPr>
          <w:rFonts w:ascii="Aptos" w:hAnsi="Aptos"/>
          <w:sz w:val="24"/>
          <w:szCs w:val="24"/>
        </w:rPr>
        <w:t xml:space="preserve">(44%) </w:t>
      </w:r>
      <w:r w:rsidR="00BB59CA">
        <w:rPr>
          <w:rFonts w:ascii="Aptos" w:hAnsi="Aptos"/>
          <w:sz w:val="24"/>
          <w:szCs w:val="24"/>
        </w:rPr>
        <w:t xml:space="preserve">universities </w:t>
      </w:r>
      <w:r w:rsidR="00A15779" w:rsidRPr="000D22A4">
        <w:rPr>
          <w:rFonts w:ascii="Aptos" w:hAnsi="Aptos"/>
          <w:sz w:val="24"/>
          <w:szCs w:val="24"/>
        </w:rPr>
        <w:t>reported developing or establishing staff and student communication campaigns, including online training and education on foreign interference risk.</w:t>
      </w:r>
    </w:p>
    <w:p w14:paraId="764CE740" w14:textId="77777777" w:rsidR="00373F8E" w:rsidRDefault="00713BF2" w:rsidP="00373F8E">
      <w:pPr>
        <w:numPr>
          <w:ilvl w:val="0"/>
          <w:numId w:val="21"/>
        </w:numPr>
        <w:spacing w:after="160" w:line="279" w:lineRule="auto"/>
        <w:rPr>
          <w:rFonts w:ascii="Aptos" w:hAnsi="Aptos"/>
          <w:sz w:val="24"/>
          <w:szCs w:val="24"/>
        </w:rPr>
      </w:pPr>
      <w:r>
        <w:rPr>
          <w:rFonts w:ascii="Aptos" w:hAnsi="Aptos"/>
          <w:sz w:val="24"/>
          <w:szCs w:val="24"/>
        </w:rPr>
        <w:t>9</w:t>
      </w:r>
      <w:r w:rsidR="00A15779" w:rsidRPr="000D22A4">
        <w:rPr>
          <w:rFonts w:ascii="Aptos" w:hAnsi="Aptos"/>
          <w:sz w:val="24"/>
          <w:szCs w:val="24"/>
        </w:rPr>
        <w:t xml:space="preserve"> </w:t>
      </w:r>
      <w:r w:rsidR="00FD1FB4">
        <w:rPr>
          <w:rFonts w:ascii="Aptos" w:hAnsi="Aptos"/>
          <w:sz w:val="24"/>
          <w:szCs w:val="24"/>
        </w:rPr>
        <w:t>(</w:t>
      </w:r>
      <w:r w:rsidR="00BB59CA">
        <w:rPr>
          <w:rFonts w:ascii="Aptos" w:hAnsi="Aptos"/>
          <w:sz w:val="24"/>
          <w:szCs w:val="24"/>
        </w:rPr>
        <w:t xml:space="preserve">23%) universities </w:t>
      </w:r>
      <w:r w:rsidR="00A15779" w:rsidRPr="000D22A4">
        <w:rPr>
          <w:rFonts w:ascii="Aptos" w:hAnsi="Aptos"/>
          <w:sz w:val="24"/>
          <w:szCs w:val="24"/>
        </w:rPr>
        <w:t>reported developing or establishing countering foreign interference committees, working groups or risk management teams.</w:t>
      </w:r>
      <w:bookmarkStart w:id="14" w:name="_Hlk174971620"/>
    </w:p>
    <w:bookmarkEnd w:id="14"/>
    <w:p w14:paraId="59DE37B1" w14:textId="67C194CB" w:rsidR="00F713C2" w:rsidRDefault="002B50C7" w:rsidP="00A15779">
      <w:pPr>
        <w:spacing w:after="160" w:line="279" w:lineRule="auto"/>
        <w:rPr>
          <w:rFonts w:ascii="Aptos" w:hAnsi="Aptos"/>
          <w:sz w:val="24"/>
          <w:szCs w:val="24"/>
          <w:lang w:val="en-US"/>
        </w:rPr>
      </w:pPr>
      <w:r>
        <w:rPr>
          <w:rFonts w:ascii="Aptos" w:hAnsi="Aptos"/>
          <w:b/>
          <w:bCs/>
          <w:color w:val="004C6C" w:themeColor="background2"/>
          <w:sz w:val="28"/>
          <w:szCs w:val="28"/>
        </w:rPr>
        <w:t>Cyber security r</w:t>
      </w:r>
      <w:r w:rsidR="00A15779" w:rsidRPr="000D22A4">
        <w:rPr>
          <w:rFonts w:ascii="Aptos" w:hAnsi="Aptos"/>
          <w:b/>
          <w:bCs/>
          <w:color w:val="004C6C" w:themeColor="background2"/>
          <w:sz w:val="28"/>
          <w:szCs w:val="28"/>
        </w:rPr>
        <w:t xml:space="preserve">esource </w:t>
      </w:r>
      <w:r w:rsidR="00A15779">
        <w:rPr>
          <w:rFonts w:ascii="Aptos" w:hAnsi="Aptos"/>
          <w:b/>
          <w:bCs/>
          <w:color w:val="004C6C" w:themeColor="background2"/>
          <w:sz w:val="28"/>
          <w:szCs w:val="28"/>
        </w:rPr>
        <w:t>p</w:t>
      </w:r>
      <w:r w:rsidR="00A15779" w:rsidRPr="000D22A4">
        <w:rPr>
          <w:rFonts w:ascii="Aptos" w:hAnsi="Aptos"/>
          <w:b/>
          <w:bCs/>
          <w:color w:val="004C6C" w:themeColor="background2"/>
          <w:sz w:val="28"/>
          <w:szCs w:val="28"/>
        </w:rPr>
        <w:t xml:space="preserve">riority </w:t>
      </w:r>
      <w:r w:rsidR="00A15779">
        <w:rPr>
          <w:rFonts w:ascii="Aptos" w:eastAsia="MS Mincho" w:hAnsi="Aptos" w:cs="Aptos"/>
          <w:sz w:val="24"/>
          <w:szCs w:val="24"/>
          <w:lang w:val="en-US" w:eastAsia="ja-JP"/>
        </w:rPr>
        <w:br/>
      </w:r>
      <w:r w:rsidR="0058293F">
        <w:rPr>
          <w:rFonts w:ascii="Aptos" w:hAnsi="Aptos"/>
          <w:sz w:val="24"/>
          <w:szCs w:val="24"/>
          <w:lang w:val="en-US"/>
        </w:rPr>
        <w:t>20</w:t>
      </w:r>
      <w:r w:rsidR="002A00DE">
        <w:rPr>
          <w:rFonts w:ascii="Aptos" w:hAnsi="Aptos"/>
          <w:sz w:val="24"/>
          <w:szCs w:val="24"/>
          <w:lang w:val="en-US"/>
        </w:rPr>
        <w:t xml:space="preserve"> (5</w:t>
      </w:r>
      <w:r w:rsidR="00887B94">
        <w:rPr>
          <w:rFonts w:ascii="Aptos" w:hAnsi="Aptos"/>
          <w:sz w:val="24"/>
          <w:szCs w:val="24"/>
          <w:lang w:val="en-US"/>
        </w:rPr>
        <w:t>2</w:t>
      </w:r>
      <w:r w:rsidR="002A00DE">
        <w:rPr>
          <w:rFonts w:ascii="Aptos" w:hAnsi="Aptos"/>
          <w:sz w:val="24"/>
          <w:szCs w:val="24"/>
          <w:lang w:val="en-US"/>
        </w:rPr>
        <w:t>%)</w:t>
      </w:r>
      <w:r w:rsidR="0058293F">
        <w:rPr>
          <w:rFonts w:ascii="Aptos" w:hAnsi="Aptos"/>
          <w:sz w:val="24"/>
          <w:szCs w:val="24"/>
          <w:lang w:val="en-US"/>
        </w:rPr>
        <w:t xml:space="preserve"> </w:t>
      </w:r>
      <w:r w:rsidR="00A15779" w:rsidRPr="00905D1F">
        <w:rPr>
          <w:rFonts w:ascii="Aptos" w:hAnsi="Aptos"/>
          <w:sz w:val="24"/>
          <w:szCs w:val="24"/>
          <w:lang w:val="en-US"/>
        </w:rPr>
        <w:t xml:space="preserve">universities stated cyber security was the area </w:t>
      </w:r>
      <w:r w:rsidR="003D3C7C">
        <w:rPr>
          <w:rFonts w:ascii="Aptos" w:hAnsi="Aptos"/>
          <w:sz w:val="24"/>
          <w:szCs w:val="24"/>
          <w:lang w:val="en-US"/>
        </w:rPr>
        <w:t>in w</w:t>
      </w:r>
      <w:r w:rsidR="00A15779" w:rsidRPr="00905D1F">
        <w:rPr>
          <w:rFonts w:ascii="Aptos" w:hAnsi="Aptos"/>
          <w:sz w:val="24"/>
          <w:szCs w:val="24"/>
          <w:lang w:val="en-US"/>
        </w:rPr>
        <w:t>hich they had invested the most resources in the past 12 months. This finding is consistent with university responses during the 2023 consultation</w:t>
      </w:r>
      <w:r w:rsidR="004F423B">
        <w:rPr>
          <w:rFonts w:ascii="Aptos" w:hAnsi="Aptos"/>
          <w:sz w:val="24"/>
          <w:szCs w:val="24"/>
          <w:lang w:val="en-US"/>
        </w:rPr>
        <w:t xml:space="preserve">, </w:t>
      </w:r>
      <w:r w:rsidR="00A15779" w:rsidRPr="00905D1F">
        <w:rPr>
          <w:rFonts w:ascii="Aptos" w:hAnsi="Aptos"/>
          <w:sz w:val="24"/>
          <w:szCs w:val="24"/>
          <w:lang w:val="en-US"/>
        </w:rPr>
        <w:t xml:space="preserve">and indicates cyber security continues to be a priority for the sector in 2024. </w:t>
      </w:r>
    </w:p>
    <w:p w14:paraId="58F9340E" w14:textId="15001286" w:rsidR="008A7094" w:rsidRDefault="00403663" w:rsidP="00A15779">
      <w:pPr>
        <w:spacing w:after="160" w:line="279" w:lineRule="auto"/>
        <w:rPr>
          <w:rFonts w:ascii="Aptos" w:hAnsi="Aptos"/>
          <w:sz w:val="24"/>
          <w:szCs w:val="24"/>
          <w:lang w:val="en-US"/>
        </w:rPr>
      </w:pPr>
      <w:r>
        <w:rPr>
          <w:noProof/>
        </w:rPr>
        <w:drawing>
          <wp:inline distT="0" distB="0" distL="0" distR="0" wp14:anchorId="3ED35202" wp14:editId="46F6029E">
            <wp:extent cx="5779698" cy="2838091"/>
            <wp:effectExtent l="0" t="0" r="12065" b="635"/>
            <wp:docPr id="2089395287" name="Chart 1" descr="A pie graph measuring the percentage of universities which ranked a certain Guidelines pillar as first priority for investment. The results are: Cyber Security (52%); Governance and Risk Frameworks (18%); Communication, education and knowledge sharing (15%), Due diligence, risk assessments and management (15%).">
              <a:extLst xmlns:a="http://schemas.openxmlformats.org/drawingml/2006/main">
                <a:ext uri="{FF2B5EF4-FFF2-40B4-BE49-F238E27FC236}">
                  <a16:creationId xmlns:a16="http://schemas.microsoft.com/office/drawing/2014/main" id="{CF2658A8-B898-5644-5AAD-DEE4064B3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2A051E" w14:textId="11A10D29" w:rsidR="0087580A" w:rsidRDefault="00A15779" w:rsidP="00A15779">
      <w:pPr>
        <w:spacing w:after="160" w:line="279" w:lineRule="auto"/>
        <w:rPr>
          <w:rFonts w:ascii="Aptos" w:hAnsi="Aptos"/>
          <w:sz w:val="24"/>
          <w:szCs w:val="24"/>
          <w:lang w:val="en-US"/>
        </w:rPr>
      </w:pPr>
      <w:r w:rsidRPr="00905D1F">
        <w:rPr>
          <w:rFonts w:ascii="Aptos" w:hAnsi="Aptos"/>
          <w:sz w:val="24"/>
          <w:szCs w:val="24"/>
          <w:lang w:val="en-US"/>
        </w:rPr>
        <w:t xml:space="preserve">A significant number of universities reported investing resources into due diligence, risk assessments and management, </w:t>
      </w:r>
      <w:r w:rsidR="00BE7C06">
        <w:rPr>
          <w:rFonts w:ascii="Aptos" w:hAnsi="Aptos"/>
          <w:sz w:val="24"/>
          <w:szCs w:val="24"/>
          <w:lang w:val="en-US"/>
        </w:rPr>
        <w:t xml:space="preserve">with 19 </w:t>
      </w:r>
      <w:r w:rsidR="002A00DE">
        <w:rPr>
          <w:rFonts w:ascii="Aptos" w:hAnsi="Aptos"/>
          <w:sz w:val="24"/>
          <w:szCs w:val="24"/>
          <w:lang w:val="en-US"/>
        </w:rPr>
        <w:t xml:space="preserve">(49%) </w:t>
      </w:r>
      <w:r w:rsidR="00BE7C06">
        <w:rPr>
          <w:rFonts w:ascii="Aptos" w:hAnsi="Aptos"/>
          <w:sz w:val="24"/>
          <w:szCs w:val="24"/>
          <w:lang w:val="en-US"/>
        </w:rPr>
        <w:t>universities reporting this pillar of the Guidelines as their second highest priority for investment of resources</w:t>
      </w:r>
      <w:r w:rsidR="006E16C4">
        <w:rPr>
          <w:rFonts w:ascii="Aptos" w:hAnsi="Aptos"/>
          <w:sz w:val="24"/>
          <w:szCs w:val="24"/>
          <w:lang w:val="en-US"/>
        </w:rPr>
        <w:t xml:space="preserve">, </w:t>
      </w:r>
      <w:r w:rsidRPr="00905D1F">
        <w:rPr>
          <w:rFonts w:ascii="Aptos" w:hAnsi="Aptos"/>
          <w:sz w:val="24"/>
          <w:szCs w:val="24"/>
          <w:lang w:val="en-US"/>
        </w:rPr>
        <w:t xml:space="preserve">reflecting an increased focus and understanding of research security risks within the sector. </w:t>
      </w:r>
    </w:p>
    <w:p w14:paraId="454F85E7" w14:textId="70E6F69D" w:rsidR="003422E7" w:rsidRDefault="003422E7" w:rsidP="00A15779">
      <w:pPr>
        <w:spacing w:after="160" w:line="279" w:lineRule="auto"/>
        <w:rPr>
          <w:rFonts w:ascii="Aptos" w:hAnsi="Aptos"/>
          <w:sz w:val="24"/>
          <w:szCs w:val="24"/>
          <w:lang w:val="en-US"/>
        </w:rPr>
      </w:pPr>
      <w:r>
        <w:rPr>
          <w:noProof/>
        </w:rPr>
        <w:drawing>
          <wp:inline distT="0" distB="0" distL="0" distR="0" wp14:anchorId="678FD1E7" wp14:editId="4E35221D">
            <wp:extent cx="5905500" cy="2162175"/>
            <wp:effectExtent l="0" t="0" r="0" b="9525"/>
            <wp:docPr id="355109082" name="Chart 1" descr="A bar graph measuring the percentage of universities which ranked each Guidelines pillar by priority for investment. The results are below.&#10;&#10;Cyber security:&#10;- Priority 1: 52%&#10;- Priority 2: 15%&#10;- Priority 3: 20%&#10;- Priority 4: 13%&#10;&#10;Due diligence, risk assessments, and management:&#10;- Priority 1: 15%&#10;- Priority 2: 49%&#10;- Priority 3: 26%&#10;- Priority 4: 10%&#10;&#10;Communication, education and knowledge sharing: &#10;- Priority 1: 15%&#10;- Priority 2: 13%&#10;- Priorirty 3: 33%&#10;- Priority 4: 39%&#10;&#10;Governance and risk frameworks:&#10;- Priority 1: 18%&#10;- Priority 2: 23%&#10;- Priority 3: 21%&#10;- Priority 4: 38%&#10;">
              <a:extLst xmlns:a="http://schemas.openxmlformats.org/drawingml/2006/main">
                <a:ext uri="{FF2B5EF4-FFF2-40B4-BE49-F238E27FC236}">
                  <a16:creationId xmlns:a16="http://schemas.microsoft.com/office/drawing/2014/main" id="{80B64295-6310-837B-4495-EC53E3DAA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84BD86" w14:textId="22CB98BA" w:rsidR="00A15779" w:rsidRDefault="00A15779" w:rsidP="00A15779">
      <w:pPr>
        <w:spacing w:after="160" w:line="279" w:lineRule="auto"/>
        <w:rPr>
          <w:rFonts w:ascii="Aptos" w:hAnsi="Aptos"/>
          <w:sz w:val="24"/>
          <w:szCs w:val="24"/>
          <w:lang w:val="en-US"/>
        </w:rPr>
      </w:pPr>
      <w:r w:rsidRPr="00905D1F">
        <w:rPr>
          <w:rFonts w:ascii="Aptos" w:hAnsi="Aptos"/>
          <w:sz w:val="24"/>
          <w:szCs w:val="24"/>
          <w:lang w:val="en-US"/>
        </w:rPr>
        <w:t>Universities also reported invest</w:t>
      </w:r>
      <w:r w:rsidR="004F423B">
        <w:rPr>
          <w:rFonts w:ascii="Aptos" w:hAnsi="Aptos"/>
          <w:sz w:val="24"/>
          <w:szCs w:val="24"/>
          <w:lang w:val="en-US"/>
        </w:rPr>
        <w:t>ing</w:t>
      </w:r>
      <w:r w:rsidRPr="00905D1F">
        <w:rPr>
          <w:rFonts w:ascii="Aptos" w:hAnsi="Aptos"/>
          <w:sz w:val="24"/>
          <w:szCs w:val="24"/>
          <w:lang w:val="en-US"/>
        </w:rPr>
        <w:t xml:space="preserve"> time, energy and resources into implementing governance and risk frameworks, and in communication, education and knowledge sharing. </w:t>
      </w:r>
    </w:p>
    <w:p w14:paraId="139ABA6B" w14:textId="77777777" w:rsidR="00AD0371" w:rsidRDefault="00AD0371" w:rsidP="00AD0371">
      <w:pPr>
        <w:spacing w:after="160" w:line="279" w:lineRule="auto"/>
        <w:rPr>
          <w:rFonts w:ascii="Aptos" w:hAnsi="Aptos"/>
          <w:b/>
          <w:bCs/>
          <w:color w:val="004C6C" w:themeColor="background2"/>
          <w:sz w:val="28"/>
          <w:szCs w:val="28"/>
        </w:rPr>
      </w:pPr>
      <w:r w:rsidRPr="00FA178F">
        <w:rPr>
          <w:rFonts w:ascii="Aptos" w:hAnsi="Aptos"/>
          <w:b/>
          <w:bCs/>
          <w:color w:val="004C6C" w:themeColor="background2"/>
          <w:sz w:val="28"/>
          <w:szCs w:val="28"/>
        </w:rPr>
        <w:t xml:space="preserve">Collaboration with </w:t>
      </w:r>
      <w:r>
        <w:rPr>
          <w:rFonts w:ascii="Aptos" w:hAnsi="Aptos"/>
          <w:b/>
          <w:bCs/>
          <w:color w:val="004C6C" w:themeColor="background2"/>
          <w:sz w:val="28"/>
          <w:szCs w:val="28"/>
        </w:rPr>
        <w:t>g</w:t>
      </w:r>
      <w:r w:rsidRPr="00FA178F">
        <w:rPr>
          <w:rFonts w:ascii="Aptos" w:hAnsi="Aptos"/>
          <w:b/>
          <w:bCs/>
          <w:color w:val="004C6C" w:themeColor="background2"/>
          <w:sz w:val="28"/>
          <w:szCs w:val="28"/>
        </w:rPr>
        <w:t xml:space="preserve">overnment </w:t>
      </w:r>
    </w:p>
    <w:p w14:paraId="6E705873" w14:textId="10D20EB8" w:rsidR="00AD0371" w:rsidRDefault="00AD0371" w:rsidP="00AD0371">
      <w:pPr>
        <w:spacing w:after="160" w:line="279" w:lineRule="auto"/>
        <w:rPr>
          <w:rFonts w:ascii="Aptos" w:hAnsi="Aptos"/>
          <w:sz w:val="24"/>
          <w:szCs w:val="24"/>
        </w:rPr>
      </w:pPr>
      <w:r w:rsidRPr="00FA178F">
        <w:rPr>
          <w:rFonts w:ascii="Aptos" w:hAnsi="Aptos"/>
          <w:sz w:val="24"/>
          <w:szCs w:val="24"/>
        </w:rPr>
        <w:t xml:space="preserve">Respondents were strongly interested in collaborating with other universities and government to share best-practice approaches through a </w:t>
      </w:r>
      <w:r w:rsidR="00703598" w:rsidRPr="008D0120">
        <w:rPr>
          <w:rFonts w:ascii="Aptos" w:hAnsi="Aptos"/>
          <w:sz w:val="24"/>
          <w:szCs w:val="24"/>
        </w:rPr>
        <w:t>C</w:t>
      </w:r>
      <w:r w:rsidRPr="008D0120">
        <w:rPr>
          <w:rFonts w:ascii="Aptos" w:hAnsi="Aptos"/>
          <w:sz w:val="24"/>
          <w:szCs w:val="24"/>
        </w:rPr>
        <w:t xml:space="preserve">ommunities of </w:t>
      </w:r>
      <w:r w:rsidR="00703598" w:rsidRPr="008D0120">
        <w:rPr>
          <w:rFonts w:ascii="Aptos" w:hAnsi="Aptos"/>
          <w:sz w:val="24"/>
          <w:szCs w:val="24"/>
        </w:rPr>
        <w:t>P</w:t>
      </w:r>
      <w:r w:rsidRPr="008D0120">
        <w:rPr>
          <w:rFonts w:ascii="Aptos" w:hAnsi="Aptos"/>
          <w:sz w:val="24"/>
          <w:szCs w:val="24"/>
        </w:rPr>
        <w:t>ractice</w:t>
      </w:r>
      <w:r w:rsidRPr="008D0120">
        <w:rPr>
          <w:rFonts w:ascii="Aptos" w:hAnsi="Aptos"/>
          <w:sz w:val="24"/>
          <w:szCs w:val="24"/>
        </w:rPr>
        <w:br/>
        <w:t xml:space="preserve">(CoP) </w:t>
      </w:r>
      <w:r w:rsidR="00703598" w:rsidRPr="008D0120">
        <w:rPr>
          <w:rFonts w:ascii="Aptos" w:hAnsi="Aptos"/>
          <w:sz w:val="24"/>
          <w:szCs w:val="24"/>
        </w:rPr>
        <w:t>F</w:t>
      </w:r>
      <w:r w:rsidRPr="008D0120">
        <w:rPr>
          <w:rFonts w:ascii="Aptos" w:hAnsi="Aptos"/>
          <w:sz w:val="24"/>
          <w:szCs w:val="24"/>
        </w:rPr>
        <w:t>orum.</w:t>
      </w:r>
      <w:r w:rsidRPr="00FA178F">
        <w:rPr>
          <w:rFonts w:ascii="Aptos" w:hAnsi="Aptos"/>
          <w:sz w:val="24"/>
          <w:szCs w:val="24"/>
        </w:rPr>
        <w:t xml:space="preserve"> </w:t>
      </w:r>
    </w:p>
    <w:p w14:paraId="31EE4D73" w14:textId="29F93FAB" w:rsidR="00AD0371" w:rsidRPr="00FA178F" w:rsidRDefault="00AD0371" w:rsidP="00AD0371">
      <w:pPr>
        <w:spacing w:after="160" w:line="279" w:lineRule="auto"/>
        <w:rPr>
          <w:rFonts w:ascii="Aptos" w:hAnsi="Aptos"/>
          <w:sz w:val="24"/>
          <w:szCs w:val="24"/>
        </w:rPr>
      </w:pPr>
      <w:r w:rsidRPr="00FA178F">
        <w:rPr>
          <w:rFonts w:ascii="Aptos" w:hAnsi="Aptos"/>
          <w:sz w:val="24"/>
          <w:szCs w:val="24"/>
        </w:rPr>
        <w:t xml:space="preserve">38 </w:t>
      </w:r>
      <w:r>
        <w:rPr>
          <w:rFonts w:ascii="Aptos" w:hAnsi="Aptos"/>
          <w:sz w:val="24"/>
          <w:szCs w:val="24"/>
        </w:rPr>
        <w:t xml:space="preserve">(97%) </w:t>
      </w:r>
      <w:r w:rsidRPr="00FA178F">
        <w:rPr>
          <w:rFonts w:ascii="Aptos" w:hAnsi="Aptos"/>
          <w:sz w:val="24"/>
          <w:szCs w:val="24"/>
        </w:rPr>
        <w:t xml:space="preserve">universities expressed interest in a department-led </w:t>
      </w:r>
      <w:r w:rsidR="00703598">
        <w:rPr>
          <w:rFonts w:ascii="Aptos" w:hAnsi="Aptos"/>
          <w:sz w:val="24"/>
          <w:szCs w:val="24"/>
        </w:rPr>
        <w:t>CoP Forum</w:t>
      </w:r>
      <w:r w:rsidRPr="00FA178F">
        <w:rPr>
          <w:rFonts w:ascii="Aptos" w:hAnsi="Aptos"/>
          <w:sz w:val="24"/>
          <w:szCs w:val="24"/>
        </w:rPr>
        <w:t xml:space="preserve">, and 33 </w:t>
      </w:r>
      <w:r>
        <w:rPr>
          <w:rFonts w:ascii="Aptos" w:hAnsi="Aptos"/>
          <w:sz w:val="24"/>
          <w:szCs w:val="24"/>
        </w:rPr>
        <w:t xml:space="preserve">(85%) </w:t>
      </w:r>
      <w:r w:rsidRPr="00FA178F">
        <w:rPr>
          <w:rFonts w:ascii="Aptos" w:hAnsi="Aptos"/>
          <w:sz w:val="24"/>
          <w:szCs w:val="24"/>
        </w:rPr>
        <w:t xml:space="preserve">indicated they would be willing to share resources and foreign interference mitigation measures at a CoP forum. </w:t>
      </w:r>
    </w:p>
    <w:p w14:paraId="1E1DFF8F" w14:textId="77777777" w:rsidR="00AD0371" w:rsidRPr="008B5716" w:rsidRDefault="00AD0371" w:rsidP="00AD0371">
      <w:pPr>
        <w:rPr>
          <w:rFonts w:ascii="Aptos" w:eastAsia="Times New Roman" w:hAnsi="Aptos" w:cs="Arial"/>
          <w:sz w:val="24"/>
          <w:szCs w:val="24"/>
          <w:lang w:val="en-US" w:eastAsia="ja-JP"/>
        </w:rPr>
      </w:pPr>
      <w:r w:rsidRPr="00B21A2A">
        <w:rPr>
          <w:noProof/>
          <w:color w:val="FFFFFF" w:themeColor="background1"/>
        </w:rPr>
        <w:drawing>
          <wp:inline distT="0" distB="0" distL="0" distR="0" wp14:anchorId="457DFBEE" wp14:editId="3BB9F3B1">
            <wp:extent cx="6072996" cy="2984740"/>
            <wp:effectExtent l="0" t="0" r="4445" b="6350"/>
            <wp:docPr id="1840265745" name="Chart 1" descr="A series of three bar graphs measuring university interest in a communities of practice (CoP) forum. The results correspond to three questions and are below. &#10;&#10;Would your university participate in an initial CoP forum established by the Department of Education?&#10;- Yes: 97%&#10;- No: 3%&#10;&#10;Would your university participate in ongoing (e.g. quarterly) CoPs, independent of Department of Education involvement? &#10;- Yes: 90%&#10;- No: 10%&#10;&#10;Would your university be willing to share resources and/or foreign interference mitigations at a CoP forum? &#10;- Yes: 85%&#10;- No: 15%">
              <a:extLst xmlns:a="http://schemas.openxmlformats.org/drawingml/2006/main">
                <a:ext uri="{FF2B5EF4-FFF2-40B4-BE49-F238E27FC236}">
                  <a16:creationId xmlns:a16="http://schemas.microsoft.com/office/drawing/2014/main" id="{9B548093-69C9-BD18-7DF3-724E0C38B8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036E1E" w14:textId="77777777" w:rsidR="005A2761" w:rsidRDefault="005A2761" w:rsidP="00AD0371">
      <w:pPr>
        <w:spacing w:after="160" w:line="279" w:lineRule="auto"/>
        <w:rPr>
          <w:rFonts w:ascii="Aptos" w:eastAsia="MS Mincho" w:hAnsi="Aptos" w:cs="Arial"/>
          <w:sz w:val="24"/>
          <w:szCs w:val="24"/>
          <w:lang w:eastAsia="ja-JP"/>
        </w:rPr>
      </w:pPr>
    </w:p>
    <w:p w14:paraId="7FE1CF10" w14:textId="6AA06304" w:rsidR="00AD0371" w:rsidRDefault="00AD0371" w:rsidP="00AD0371">
      <w:pPr>
        <w:spacing w:after="160" w:line="279" w:lineRule="auto"/>
        <w:rPr>
          <w:rFonts w:ascii="Aptos" w:eastAsia="MS Mincho" w:hAnsi="Aptos" w:cs="Arial"/>
          <w:sz w:val="24"/>
          <w:szCs w:val="24"/>
          <w:lang w:eastAsia="ja-JP"/>
        </w:rPr>
      </w:pPr>
      <w:r w:rsidRPr="001439E7">
        <w:rPr>
          <w:rFonts w:ascii="Aptos" w:eastAsia="MS Mincho" w:hAnsi="Aptos" w:cs="Arial"/>
          <w:sz w:val="24"/>
          <w:szCs w:val="24"/>
          <w:lang w:eastAsia="ja-JP"/>
        </w:rPr>
        <w:t xml:space="preserve">Universities agreed the </w:t>
      </w:r>
      <w:r>
        <w:rPr>
          <w:rFonts w:ascii="Aptos" w:eastAsia="MS Mincho" w:hAnsi="Aptos" w:cs="Arial"/>
          <w:sz w:val="24"/>
          <w:szCs w:val="24"/>
          <w:lang w:eastAsia="ja-JP"/>
        </w:rPr>
        <w:t>UFIT</w:t>
      </w:r>
      <w:r w:rsidRPr="001439E7">
        <w:rPr>
          <w:rFonts w:ascii="Aptos" w:eastAsia="MS Mincho" w:hAnsi="Aptos" w:cs="Arial"/>
          <w:sz w:val="24"/>
          <w:szCs w:val="24"/>
          <w:lang w:eastAsia="ja-JP"/>
        </w:rPr>
        <w:t xml:space="preserve"> remains a successful model for </w:t>
      </w:r>
      <w:r>
        <w:rPr>
          <w:rFonts w:ascii="Aptos" w:eastAsia="MS Mincho" w:hAnsi="Aptos" w:cs="Arial"/>
          <w:sz w:val="24"/>
          <w:szCs w:val="24"/>
          <w:lang w:eastAsia="ja-JP"/>
        </w:rPr>
        <w:t>g</w:t>
      </w:r>
      <w:r w:rsidRPr="001439E7">
        <w:rPr>
          <w:rFonts w:ascii="Aptos" w:eastAsia="MS Mincho" w:hAnsi="Aptos" w:cs="Arial"/>
          <w:sz w:val="24"/>
          <w:szCs w:val="24"/>
          <w:lang w:eastAsia="ja-JP"/>
        </w:rPr>
        <w:t>overnment-</w:t>
      </w:r>
      <w:r>
        <w:rPr>
          <w:rFonts w:ascii="Aptos" w:eastAsia="MS Mincho" w:hAnsi="Aptos" w:cs="Arial"/>
          <w:sz w:val="24"/>
          <w:szCs w:val="24"/>
          <w:lang w:eastAsia="ja-JP"/>
        </w:rPr>
        <w:t>s</w:t>
      </w:r>
      <w:r w:rsidRPr="001439E7">
        <w:rPr>
          <w:rFonts w:ascii="Aptos" w:eastAsia="MS Mincho" w:hAnsi="Aptos" w:cs="Arial"/>
          <w:sz w:val="24"/>
          <w:szCs w:val="24"/>
          <w:lang w:eastAsia="ja-JP"/>
        </w:rPr>
        <w:t>ector collaboration on countering foreign interference and support its continuation.</w:t>
      </w:r>
      <w:r>
        <w:rPr>
          <w:rFonts w:ascii="Aptos" w:eastAsia="MS Mincho" w:hAnsi="Aptos" w:cs="Arial"/>
          <w:sz w:val="24"/>
          <w:szCs w:val="24"/>
          <w:lang w:eastAsia="ja-JP"/>
        </w:rPr>
        <w:t xml:space="preserve"> </w:t>
      </w:r>
    </w:p>
    <w:p w14:paraId="659CF534" w14:textId="59656C04" w:rsidR="00AD0371" w:rsidRPr="005238B4" w:rsidRDefault="00AD0371" w:rsidP="00A15779">
      <w:pPr>
        <w:spacing w:after="160" w:line="279" w:lineRule="auto"/>
        <w:rPr>
          <w:rFonts w:ascii="Aptos" w:eastAsia="MS Mincho" w:hAnsi="Aptos" w:cs="Arial"/>
          <w:sz w:val="24"/>
          <w:szCs w:val="24"/>
          <w:lang w:eastAsia="ja-JP"/>
        </w:rPr>
      </w:pPr>
      <w:r w:rsidRPr="001439E7">
        <w:rPr>
          <w:rFonts w:ascii="Aptos" w:eastAsia="MS Mincho" w:hAnsi="Aptos" w:cs="Arial"/>
          <w:sz w:val="24"/>
          <w:szCs w:val="24"/>
          <w:lang w:eastAsia="ja-JP"/>
        </w:rPr>
        <w:t xml:space="preserve">Workshop discussions did, however, indicate universities would benefit from greater dissemination of information to practitioner-level staff to support the continued work of the UFIT. </w:t>
      </w:r>
    </w:p>
    <w:p w14:paraId="19028DDA" w14:textId="56B3BF10" w:rsidR="00B2160D" w:rsidRDefault="00ED5771" w:rsidP="00A15779">
      <w:pPr>
        <w:spacing w:after="160" w:line="279" w:lineRule="auto"/>
        <w:rPr>
          <w:rFonts w:ascii="Aptos" w:hAnsi="Aptos"/>
          <w:sz w:val="24"/>
          <w:szCs w:val="24"/>
          <w:lang w:val="en-US"/>
        </w:rPr>
      </w:pPr>
      <w:r>
        <w:rPr>
          <w:rFonts w:ascii="Aptos" w:hAnsi="Aptos"/>
          <w:b/>
          <w:bCs/>
          <w:color w:val="004C6C" w:themeColor="background2"/>
          <w:sz w:val="28"/>
          <w:szCs w:val="28"/>
        </w:rPr>
        <w:t>Further</w:t>
      </w:r>
      <w:r w:rsidR="00A15779">
        <w:rPr>
          <w:rFonts w:ascii="Aptos" w:hAnsi="Aptos"/>
          <w:b/>
          <w:bCs/>
          <w:color w:val="004C6C" w:themeColor="background2"/>
          <w:sz w:val="28"/>
          <w:szCs w:val="28"/>
        </w:rPr>
        <w:t xml:space="preserve"> </w:t>
      </w:r>
      <w:r w:rsidR="00C550E0">
        <w:rPr>
          <w:rFonts w:ascii="Aptos" w:hAnsi="Aptos"/>
          <w:b/>
          <w:bCs/>
          <w:color w:val="004C6C" w:themeColor="background2"/>
          <w:sz w:val="28"/>
          <w:szCs w:val="28"/>
        </w:rPr>
        <w:t>g</w:t>
      </w:r>
      <w:r w:rsidR="00A15779">
        <w:rPr>
          <w:rFonts w:ascii="Aptos" w:hAnsi="Aptos"/>
          <w:b/>
          <w:bCs/>
          <w:color w:val="004C6C" w:themeColor="background2"/>
          <w:sz w:val="28"/>
          <w:szCs w:val="28"/>
        </w:rPr>
        <w:t xml:space="preserve">overnment </w:t>
      </w:r>
      <w:r w:rsidR="00C550E0">
        <w:rPr>
          <w:rFonts w:ascii="Aptos" w:hAnsi="Aptos"/>
          <w:b/>
          <w:bCs/>
          <w:color w:val="004C6C" w:themeColor="background2"/>
          <w:sz w:val="28"/>
          <w:szCs w:val="28"/>
        </w:rPr>
        <w:t>g</w:t>
      </w:r>
      <w:r>
        <w:rPr>
          <w:rFonts w:ascii="Aptos" w:hAnsi="Aptos"/>
          <w:b/>
          <w:bCs/>
          <w:color w:val="004C6C" w:themeColor="background2"/>
          <w:sz w:val="28"/>
          <w:szCs w:val="28"/>
        </w:rPr>
        <w:t>uidance</w:t>
      </w:r>
      <w:r w:rsidR="00A15779">
        <w:rPr>
          <w:rFonts w:ascii="Aptos" w:hAnsi="Aptos"/>
          <w:sz w:val="24"/>
          <w:szCs w:val="24"/>
          <w:lang w:val="en-US"/>
        </w:rPr>
        <w:br/>
      </w:r>
      <w:r w:rsidR="0023546C">
        <w:rPr>
          <w:rFonts w:ascii="Aptos" w:hAnsi="Aptos"/>
          <w:sz w:val="24"/>
          <w:szCs w:val="24"/>
          <w:lang w:val="en-US"/>
        </w:rPr>
        <w:t xml:space="preserve">Reflecting </w:t>
      </w:r>
      <w:r w:rsidR="001E06D8">
        <w:rPr>
          <w:rFonts w:ascii="Aptos" w:hAnsi="Aptos"/>
          <w:sz w:val="24"/>
          <w:szCs w:val="24"/>
          <w:lang w:val="en-US"/>
        </w:rPr>
        <w:t>feedback relating to new or emerging barriers,</w:t>
      </w:r>
      <w:r w:rsidR="007F733F">
        <w:rPr>
          <w:rFonts w:ascii="Aptos" w:hAnsi="Aptos"/>
          <w:sz w:val="24"/>
          <w:szCs w:val="24"/>
          <w:lang w:val="en-US"/>
        </w:rPr>
        <w:t xml:space="preserve"> </w:t>
      </w:r>
      <w:r w:rsidR="001E06D8">
        <w:rPr>
          <w:rFonts w:ascii="Aptos" w:hAnsi="Aptos"/>
          <w:sz w:val="24"/>
          <w:szCs w:val="24"/>
          <w:lang w:val="en-US"/>
        </w:rPr>
        <w:t>u</w:t>
      </w:r>
      <w:r w:rsidR="00A15779" w:rsidRPr="000F52A4">
        <w:rPr>
          <w:rFonts w:ascii="Aptos" w:hAnsi="Aptos"/>
          <w:sz w:val="24"/>
          <w:szCs w:val="24"/>
          <w:lang w:val="en-US"/>
        </w:rPr>
        <w:t xml:space="preserve">niversities </w:t>
      </w:r>
      <w:r w:rsidR="001E06D8">
        <w:rPr>
          <w:rFonts w:ascii="Aptos" w:hAnsi="Aptos"/>
          <w:sz w:val="24"/>
          <w:szCs w:val="24"/>
          <w:lang w:val="en-US"/>
        </w:rPr>
        <w:t xml:space="preserve">reported that </w:t>
      </w:r>
      <w:r w:rsidR="00A15779" w:rsidRPr="000F52A4">
        <w:rPr>
          <w:rFonts w:ascii="Aptos" w:hAnsi="Aptos"/>
          <w:sz w:val="24"/>
          <w:szCs w:val="24"/>
          <w:lang w:val="en-US"/>
        </w:rPr>
        <w:t>further government guidance regarding due diligence and risk assessments</w:t>
      </w:r>
      <w:r w:rsidR="00275791">
        <w:rPr>
          <w:rFonts w:ascii="Aptos" w:hAnsi="Aptos"/>
          <w:sz w:val="24"/>
          <w:szCs w:val="24"/>
          <w:lang w:val="en-US"/>
        </w:rPr>
        <w:t xml:space="preserve"> </w:t>
      </w:r>
      <w:r w:rsidR="00A15779" w:rsidRPr="000F52A4">
        <w:rPr>
          <w:rFonts w:ascii="Aptos" w:hAnsi="Aptos"/>
          <w:sz w:val="24"/>
          <w:szCs w:val="24"/>
          <w:lang w:val="en-US"/>
        </w:rPr>
        <w:t xml:space="preserve">would be </w:t>
      </w:r>
      <w:r w:rsidR="004F423B">
        <w:rPr>
          <w:rFonts w:ascii="Aptos" w:hAnsi="Aptos"/>
          <w:sz w:val="24"/>
          <w:szCs w:val="24"/>
          <w:lang w:val="en-US"/>
        </w:rPr>
        <w:t xml:space="preserve">the </w:t>
      </w:r>
      <w:r w:rsidR="00A15779" w:rsidRPr="000F52A4">
        <w:rPr>
          <w:rFonts w:ascii="Aptos" w:hAnsi="Aptos"/>
          <w:sz w:val="24"/>
          <w:szCs w:val="24"/>
          <w:lang w:val="en-US"/>
        </w:rPr>
        <w:t xml:space="preserve">most beneficial </w:t>
      </w:r>
      <w:r w:rsidR="00C66B07">
        <w:rPr>
          <w:rFonts w:ascii="Aptos" w:hAnsi="Aptos"/>
          <w:sz w:val="24"/>
          <w:szCs w:val="24"/>
          <w:lang w:val="en-US"/>
        </w:rPr>
        <w:t>measure</w:t>
      </w:r>
      <w:r w:rsidR="004A4279">
        <w:rPr>
          <w:rFonts w:ascii="Aptos" w:hAnsi="Aptos"/>
          <w:sz w:val="24"/>
          <w:szCs w:val="24"/>
          <w:lang w:val="en-US"/>
        </w:rPr>
        <w:t xml:space="preserve"> to enhance </w:t>
      </w:r>
      <w:r w:rsidR="005F497F">
        <w:rPr>
          <w:rFonts w:ascii="Aptos" w:hAnsi="Aptos"/>
          <w:sz w:val="24"/>
          <w:szCs w:val="24"/>
          <w:lang w:val="en-US"/>
        </w:rPr>
        <w:t xml:space="preserve">countering foreign interference capability in the sector. </w:t>
      </w:r>
    </w:p>
    <w:p w14:paraId="0F2EBAC6" w14:textId="23ECBC38" w:rsidR="00800214" w:rsidRDefault="00F537D0" w:rsidP="00A15779">
      <w:pPr>
        <w:spacing w:after="160" w:line="279" w:lineRule="auto"/>
        <w:rPr>
          <w:rFonts w:ascii="Aptos" w:hAnsi="Aptos"/>
          <w:sz w:val="24"/>
          <w:szCs w:val="24"/>
          <w:lang w:val="en-US"/>
        </w:rPr>
      </w:pPr>
      <w:r>
        <w:rPr>
          <w:rFonts w:ascii="Aptos" w:hAnsi="Aptos"/>
          <w:sz w:val="24"/>
          <w:szCs w:val="24"/>
          <w:lang w:val="en-US"/>
        </w:rPr>
        <w:t xml:space="preserve">Consistent with reporting during the 2023 consultation, universities </w:t>
      </w:r>
      <w:r w:rsidR="00335C4D">
        <w:rPr>
          <w:rFonts w:ascii="Aptos" w:hAnsi="Aptos"/>
          <w:sz w:val="24"/>
          <w:szCs w:val="24"/>
          <w:lang w:val="en-US"/>
        </w:rPr>
        <w:t>noted the benefit</w:t>
      </w:r>
      <w:r w:rsidR="00E84B0D">
        <w:rPr>
          <w:rFonts w:ascii="Aptos" w:hAnsi="Aptos"/>
          <w:sz w:val="24"/>
          <w:szCs w:val="24"/>
          <w:lang w:val="en-US"/>
        </w:rPr>
        <w:t xml:space="preserve"> </w:t>
      </w:r>
      <w:r w:rsidR="00335C4D">
        <w:rPr>
          <w:rFonts w:ascii="Aptos" w:hAnsi="Aptos"/>
          <w:sz w:val="24"/>
          <w:szCs w:val="24"/>
          <w:lang w:val="en-US"/>
        </w:rPr>
        <w:t>of</w:t>
      </w:r>
      <w:r>
        <w:rPr>
          <w:rFonts w:ascii="Aptos" w:hAnsi="Aptos"/>
          <w:sz w:val="24"/>
          <w:szCs w:val="24"/>
          <w:lang w:val="en-US"/>
        </w:rPr>
        <w:t xml:space="preserve"> further foreign interference threat briefings</w:t>
      </w:r>
      <w:r w:rsidR="00335C4D">
        <w:rPr>
          <w:rFonts w:ascii="Aptos" w:hAnsi="Aptos"/>
          <w:sz w:val="24"/>
          <w:szCs w:val="24"/>
          <w:lang w:val="en-US"/>
        </w:rPr>
        <w:t xml:space="preserve"> to ensure </w:t>
      </w:r>
      <w:r w:rsidR="00AE275B">
        <w:rPr>
          <w:rFonts w:ascii="Aptos" w:hAnsi="Aptos"/>
          <w:sz w:val="24"/>
          <w:szCs w:val="24"/>
          <w:lang w:val="en-US"/>
        </w:rPr>
        <w:t xml:space="preserve">they are </w:t>
      </w:r>
      <w:r w:rsidR="00955250">
        <w:rPr>
          <w:rFonts w:ascii="Aptos" w:hAnsi="Aptos"/>
          <w:sz w:val="24"/>
          <w:szCs w:val="24"/>
          <w:lang w:val="en-US"/>
        </w:rPr>
        <w:t>appropriately informed of the evolving risk</w:t>
      </w:r>
      <w:r w:rsidR="00D74F51">
        <w:rPr>
          <w:rFonts w:ascii="Aptos" w:hAnsi="Aptos"/>
          <w:sz w:val="24"/>
          <w:szCs w:val="24"/>
          <w:lang w:val="en-US"/>
        </w:rPr>
        <w:t xml:space="preserve">. </w:t>
      </w:r>
    </w:p>
    <w:p w14:paraId="25F85E1F" w14:textId="48B5A3C6" w:rsidR="00373F8E" w:rsidRDefault="00EF741B" w:rsidP="00FA178F">
      <w:pPr>
        <w:spacing w:after="160" w:line="279" w:lineRule="auto"/>
        <w:rPr>
          <w:rFonts w:ascii="Aptos" w:hAnsi="Aptos"/>
          <w:b/>
          <w:bCs/>
          <w:color w:val="004C6C" w:themeColor="background2"/>
          <w:sz w:val="28"/>
          <w:szCs w:val="28"/>
        </w:rPr>
      </w:pPr>
      <w:r>
        <w:rPr>
          <w:noProof/>
        </w:rPr>
        <w:drawing>
          <wp:inline distT="0" distB="0" distL="0" distR="0" wp14:anchorId="57F9C582" wp14:editId="232C0B30">
            <wp:extent cx="5796951" cy="2501660"/>
            <wp:effectExtent l="0" t="0" r="13335" b="13335"/>
            <wp:docPr id="641320716" name="Chart 1" descr="A bar graph measuring the most beneficial form of government support, ranked by university first preference. The results are below. &#10;- Due diligence and risk assessment guidance: 26%&#10;- Foreign interference threat briefings: 23%&#10;- Establishment of Communities of Practice: 18%&#10;- Countering foreign interference case studies: 13%&#10;- Other: 7.5%&#10;- Incident reporting guidance: 7.5%&#10;- Cyber security training and exercises: 5%&#10;">
              <a:extLst xmlns:a="http://schemas.openxmlformats.org/drawingml/2006/main">
                <a:ext uri="{FF2B5EF4-FFF2-40B4-BE49-F238E27FC236}">
                  <a16:creationId xmlns:a16="http://schemas.microsoft.com/office/drawing/2014/main" id="{C7EAB2D6-46B3-2512-4C9A-64E3B1845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F8792F" w14:textId="77777777" w:rsidR="005A2761" w:rsidRDefault="005A2761" w:rsidP="00AD0371">
      <w:pPr>
        <w:spacing w:after="160" w:line="279" w:lineRule="auto"/>
        <w:rPr>
          <w:rFonts w:ascii="Aptos" w:hAnsi="Aptos"/>
          <w:b/>
          <w:bCs/>
          <w:color w:val="004C6C" w:themeColor="background2"/>
          <w:sz w:val="28"/>
          <w:szCs w:val="28"/>
        </w:rPr>
      </w:pPr>
    </w:p>
    <w:p w14:paraId="51CD2AD2" w14:textId="77777777" w:rsidR="005A2761" w:rsidRDefault="005A2761" w:rsidP="00AD0371">
      <w:pPr>
        <w:spacing w:after="160" w:line="279" w:lineRule="auto"/>
        <w:rPr>
          <w:rFonts w:ascii="Aptos" w:hAnsi="Aptos"/>
          <w:b/>
          <w:bCs/>
          <w:color w:val="004C6C" w:themeColor="background2"/>
          <w:sz w:val="28"/>
          <w:szCs w:val="28"/>
        </w:rPr>
      </w:pPr>
    </w:p>
    <w:p w14:paraId="18E50B57" w14:textId="77777777" w:rsidR="005A2761" w:rsidRDefault="005A2761" w:rsidP="00AD0371">
      <w:pPr>
        <w:spacing w:after="160" w:line="279" w:lineRule="auto"/>
        <w:rPr>
          <w:rFonts w:ascii="Aptos" w:hAnsi="Aptos"/>
          <w:b/>
          <w:bCs/>
          <w:color w:val="004C6C" w:themeColor="background2"/>
          <w:sz w:val="28"/>
          <w:szCs w:val="28"/>
        </w:rPr>
      </w:pPr>
    </w:p>
    <w:p w14:paraId="221584A7" w14:textId="77777777" w:rsidR="005A2761" w:rsidRDefault="005A2761" w:rsidP="00AD0371">
      <w:pPr>
        <w:spacing w:after="160" w:line="279" w:lineRule="auto"/>
        <w:rPr>
          <w:rFonts w:ascii="Aptos" w:hAnsi="Aptos"/>
          <w:b/>
          <w:bCs/>
          <w:color w:val="004C6C" w:themeColor="background2"/>
          <w:sz w:val="28"/>
          <w:szCs w:val="28"/>
        </w:rPr>
      </w:pPr>
    </w:p>
    <w:p w14:paraId="35C69011" w14:textId="77777777" w:rsidR="005A2761" w:rsidRDefault="005A2761" w:rsidP="00AD0371">
      <w:pPr>
        <w:spacing w:after="160" w:line="279" w:lineRule="auto"/>
        <w:rPr>
          <w:rFonts w:ascii="Aptos" w:hAnsi="Aptos"/>
          <w:b/>
          <w:bCs/>
          <w:color w:val="004C6C" w:themeColor="background2"/>
          <w:sz w:val="28"/>
          <w:szCs w:val="28"/>
        </w:rPr>
      </w:pPr>
    </w:p>
    <w:p w14:paraId="794B7145" w14:textId="77777777" w:rsidR="005A2761" w:rsidRDefault="005A2761" w:rsidP="00AD0371">
      <w:pPr>
        <w:spacing w:after="160" w:line="279" w:lineRule="auto"/>
        <w:rPr>
          <w:rFonts w:ascii="Aptos" w:hAnsi="Aptos"/>
          <w:b/>
          <w:bCs/>
          <w:color w:val="004C6C" w:themeColor="background2"/>
          <w:sz w:val="28"/>
          <w:szCs w:val="28"/>
        </w:rPr>
      </w:pPr>
    </w:p>
    <w:p w14:paraId="73F4766F" w14:textId="1D91B14C" w:rsidR="00AD0371" w:rsidRPr="00373F8E" w:rsidRDefault="00AD0371" w:rsidP="00AD0371">
      <w:pPr>
        <w:spacing w:after="160" w:line="279" w:lineRule="auto"/>
        <w:rPr>
          <w:rFonts w:ascii="Aptos" w:hAnsi="Aptos"/>
          <w:sz w:val="24"/>
          <w:szCs w:val="24"/>
        </w:rPr>
      </w:pPr>
      <w:r w:rsidRPr="00373F8E">
        <w:rPr>
          <w:rFonts w:ascii="Aptos" w:hAnsi="Aptos"/>
          <w:b/>
          <w:bCs/>
          <w:color w:val="004C6C" w:themeColor="background2"/>
          <w:sz w:val="28"/>
          <w:szCs w:val="28"/>
        </w:rPr>
        <w:t>New or emerging barriers to implementing the Guidelines</w:t>
      </w:r>
      <w:r w:rsidRPr="00373F8E">
        <w:rPr>
          <w:rFonts w:ascii="Aptos" w:eastAsia="MS Mincho" w:hAnsi="Aptos" w:cs="Arial"/>
          <w:sz w:val="24"/>
          <w:szCs w:val="24"/>
          <w:lang w:val="en-US" w:eastAsia="ja-JP"/>
        </w:rPr>
        <w:br/>
        <w:t>19 (49%) universities reported experiencing new or emerging barriers to implementation the Guidelines.</w:t>
      </w:r>
      <w:r w:rsidRPr="00D706BE">
        <w:rPr>
          <w:noProof/>
        </w:rPr>
        <w:t xml:space="preserve"> </w:t>
      </w:r>
    </w:p>
    <w:p w14:paraId="04708567" w14:textId="77777777" w:rsidR="00AD0371" w:rsidRPr="000D22A4" w:rsidRDefault="00AD0371" w:rsidP="00AD0371">
      <w:pPr>
        <w:rPr>
          <w:rFonts w:ascii="Aptos" w:eastAsia="MS Mincho" w:hAnsi="Aptos" w:cs="Arial"/>
          <w:sz w:val="24"/>
          <w:szCs w:val="24"/>
          <w:lang w:val="en-US" w:eastAsia="ja-JP"/>
        </w:rPr>
      </w:pPr>
      <w:r>
        <w:rPr>
          <w:noProof/>
        </w:rPr>
        <w:drawing>
          <wp:inline distT="0" distB="0" distL="0" distR="0" wp14:anchorId="3EA860BC" wp14:editId="797A707E">
            <wp:extent cx="5607170" cy="2186305"/>
            <wp:effectExtent l="0" t="0" r="12700" b="4445"/>
            <wp:docPr id="1375136600" name="Chart 1" descr="A bar graph that is entitled: Has your university experienced any new or emerging barriers to implementing the Guidelines? The graph measures the number of universities which responded with 'Yes' or 'No'. 49% of universities responded with 'Yes'. 51% of universities responded with 'No'.">
              <a:extLst xmlns:a="http://schemas.openxmlformats.org/drawingml/2006/main">
                <a:ext uri="{FF2B5EF4-FFF2-40B4-BE49-F238E27FC236}">
                  <a16:creationId xmlns:a16="http://schemas.microsoft.com/office/drawing/2014/main" id="{6EA2EE8A-6B98-9914-C851-C75A893E2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BA644E" w14:textId="77777777" w:rsidR="00AD0371" w:rsidRPr="000D22A4" w:rsidRDefault="00AD0371" w:rsidP="00AD0371">
      <w:pPr>
        <w:numPr>
          <w:ilvl w:val="0"/>
          <w:numId w:val="21"/>
        </w:num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11</w:t>
      </w:r>
      <w:r w:rsidRPr="000D22A4">
        <w:rPr>
          <w:rFonts w:ascii="Aptos" w:eastAsia="MS Mincho" w:hAnsi="Aptos" w:cs="Arial"/>
          <w:sz w:val="24"/>
          <w:szCs w:val="24"/>
          <w:lang w:val="en-US" w:eastAsia="ja-JP"/>
        </w:rPr>
        <w:t xml:space="preserve"> </w:t>
      </w:r>
      <w:r>
        <w:rPr>
          <w:rFonts w:ascii="Aptos" w:eastAsia="MS Mincho" w:hAnsi="Aptos" w:cs="Arial"/>
          <w:sz w:val="24"/>
          <w:szCs w:val="24"/>
          <w:lang w:val="en-US" w:eastAsia="ja-JP"/>
        </w:rPr>
        <w:t xml:space="preserve">(28%) universities </w:t>
      </w:r>
      <w:r w:rsidRPr="000D22A4">
        <w:rPr>
          <w:rFonts w:ascii="Aptos" w:eastAsia="MS Mincho" w:hAnsi="Aptos" w:cs="Arial"/>
          <w:sz w:val="24"/>
          <w:szCs w:val="24"/>
          <w:lang w:val="en-US" w:eastAsia="ja-JP"/>
        </w:rPr>
        <w:t>reported difficulties undertaking due diligence, including access to information and expertise, burdens on time and resources, and navigating partner institutions’ policies.</w:t>
      </w:r>
    </w:p>
    <w:p w14:paraId="2F1FFCA4" w14:textId="77777777" w:rsidR="00AD0371" w:rsidRPr="000D22A4" w:rsidRDefault="00AD0371" w:rsidP="00AD0371">
      <w:pPr>
        <w:numPr>
          <w:ilvl w:val="0"/>
          <w:numId w:val="21"/>
        </w:num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10</w:t>
      </w:r>
      <w:r w:rsidRPr="000D22A4">
        <w:rPr>
          <w:rFonts w:ascii="Aptos" w:eastAsia="MS Mincho" w:hAnsi="Aptos" w:cs="Arial"/>
          <w:sz w:val="24"/>
          <w:szCs w:val="24"/>
          <w:lang w:val="en-US" w:eastAsia="ja-JP"/>
        </w:rPr>
        <w:t xml:space="preserve"> </w:t>
      </w:r>
      <w:r>
        <w:rPr>
          <w:rFonts w:ascii="Aptos" w:eastAsia="MS Mincho" w:hAnsi="Aptos" w:cs="Arial"/>
          <w:sz w:val="24"/>
          <w:szCs w:val="24"/>
          <w:lang w:val="en-US" w:eastAsia="ja-JP"/>
        </w:rPr>
        <w:t xml:space="preserve">(26%) universities </w:t>
      </w:r>
      <w:r w:rsidRPr="000D22A4">
        <w:rPr>
          <w:rFonts w:ascii="Aptos" w:eastAsia="MS Mincho" w:hAnsi="Aptos" w:cs="Arial"/>
          <w:sz w:val="24"/>
          <w:szCs w:val="24"/>
          <w:lang w:val="en-US" w:eastAsia="ja-JP"/>
        </w:rPr>
        <w:t>reported expanded compliance burdens due to evolving regulations and reporting requirements.</w:t>
      </w:r>
    </w:p>
    <w:p w14:paraId="792BE6AF" w14:textId="77777777" w:rsidR="00AD0371" w:rsidRPr="000D22A4" w:rsidRDefault="00AD0371" w:rsidP="00AD0371">
      <w:pPr>
        <w:numPr>
          <w:ilvl w:val="0"/>
          <w:numId w:val="21"/>
        </w:num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10</w:t>
      </w:r>
      <w:r w:rsidRPr="000D22A4">
        <w:rPr>
          <w:rFonts w:ascii="Aptos" w:eastAsia="MS Mincho" w:hAnsi="Aptos" w:cs="Arial"/>
          <w:sz w:val="24"/>
          <w:szCs w:val="24"/>
          <w:lang w:val="en-US" w:eastAsia="ja-JP"/>
        </w:rPr>
        <w:t xml:space="preserve"> </w:t>
      </w:r>
      <w:r>
        <w:rPr>
          <w:rFonts w:ascii="Aptos" w:eastAsia="MS Mincho" w:hAnsi="Aptos" w:cs="Arial"/>
          <w:sz w:val="24"/>
          <w:szCs w:val="24"/>
          <w:lang w:val="en-US" w:eastAsia="ja-JP"/>
        </w:rPr>
        <w:t xml:space="preserve">(26%) universities </w:t>
      </w:r>
      <w:r w:rsidRPr="000D22A4">
        <w:rPr>
          <w:rFonts w:ascii="Aptos" w:eastAsia="MS Mincho" w:hAnsi="Aptos" w:cs="Arial"/>
          <w:sz w:val="24"/>
          <w:szCs w:val="24"/>
          <w:lang w:val="en-US" w:eastAsia="ja-JP"/>
        </w:rPr>
        <w:t xml:space="preserve">reported a need for more resources, such as training, briefings and case studies, to guide operational implementation of the Guidelines. </w:t>
      </w:r>
    </w:p>
    <w:p w14:paraId="6D8F5FFF" w14:textId="158C6FA3" w:rsidR="00AD0371" w:rsidRPr="00DA14AC" w:rsidRDefault="00AD0371" w:rsidP="005238B4">
      <w:p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Universities also reported</w:t>
      </w:r>
      <w:r w:rsidR="006A41E2">
        <w:rPr>
          <w:rFonts w:ascii="Aptos" w:eastAsia="MS Mincho" w:hAnsi="Aptos" w:cs="Arial"/>
          <w:sz w:val="24"/>
          <w:szCs w:val="24"/>
          <w:lang w:val="en-US" w:eastAsia="ja-JP"/>
        </w:rPr>
        <w:t xml:space="preserve"> c</w:t>
      </w:r>
      <w:r w:rsidRPr="00DA14AC">
        <w:rPr>
          <w:rFonts w:ascii="Aptos" w:eastAsia="MS Mincho" w:hAnsi="Aptos" w:cs="Arial"/>
          <w:sz w:val="24"/>
          <w:szCs w:val="24"/>
          <w:lang w:val="en-US" w:eastAsia="ja-JP"/>
        </w:rPr>
        <w:t>oncerns about effectively communicating foreign interference considerations to staff, students and partners</w:t>
      </w:r>
      <w:r w:rsidR="006A41E2">
        <w:rPr>
          <w:rFonts w:ascii="Aptos" w:eastAsia="MS Mincho" w:hAnsi="Aptos" w:cs="Arial"/>
          <w:sz w:val="24"/>
          <w:szCs w:val="24"/>
          <w:lang w:val="en-US" w:eastAsia="ja-JP"/>
        </w:rPr>
        <w:t>, including s</w:t>
      </w:r>
      <w:r w:rsidRPr="00DA14AC">
        <w:rPr>
          <w:rFonts w:ascii="Aptos" w:eastAsia="MS Mincho" w:hAnsi="Aptos" w:cs="Arial"/>
          <w:sz w:val="24"/>
          <w:szCs w:val="24"/>
          <w:lang w:val="en-US" w:eastAsia="ja-JP"/>
        </w:rPr>
        <w:t>ensitively communicating r</w:t>
      </w:r>
      <w:r w:rsidR="006A41E2">
        <w:rPr>
          <w:rFonts w:ascii="Aptos" w:eastAsia="MS Mincho" w:hAnsi="Aptos" w:cs="Arial"/>
          <w:sz w:val="24"/>
          <w:szCs w:val="24"/>
          <w:lang w:val="en-US" w:eastAsia="ja-JP"/>
        </w:rPr>
        <w:t>i</w:t>
      </w:r>
      <w:r w:rsidRPr="00DA14AC">
        <w:rPr>
          <w:rFonts w:ascii="Aptos" w:eastAsia="MS Mincho" w:hAnsi="Aptos" w:cs="Arial"/>
          <w:sz w:val="24"/>
          <w:szCs w:val="24"/>
          <w:lang w:val="en-US" w:eastAsia="ja-JP"/>
        </w:rPr>
        <w:t>sk</w:t>
      </w:r>
      <w:r w:rsidR="006A41E2">
        <w:rPr>
          <w:rFonts w:ascii="Aptos" w:eastAsia="MS Mincho" w:hAnsi="Aptos" w:cs="Arial"/>
          <w:sz w:val="24"/>
          <w:szCs w:val="24"/>
          <w:lang w:val="en-US" w:eastAsia="ja-JP"/>
        </w:rPr>
        <w:t>s</w:t>
      </w:r>
      <w:r w:rsidRPr="00DA14AC">
        <w:rPr>
          <w:rFonts w:ascii="Aptos" w:eastAsia="MS Mincho" w:hAnsi="Aptos" w:cs="Arial"/>
          <w:sz w:val="24"/>
          <w:szCs w:val="24"/>
          <w:lang w:val="en-US" w:eastAsia="ja-JP"/>
        </w:rPr>
        <w:t xml:space="preserve"> to international student cohorts</w:t>
      </w:r>
      <w:r w:rsidR="006A41E2">
        <w:rPr>
          <w:rFonts w:ascii="Aptos" w:eastAsia="MS Mincho" w:hAnsi="Aptos" w:cs="Arial"/>
          <w:sz w:val="24"/>
          <w:szCs w:val="24"/>
          <w:lang w:val="en-US" w:eastAsia="ja-JP"/>
        </w:rPr>
        <w:t xml:space="preserve">. </w:t>
      </w:r>
      <w:r w:rsidRPr="00DA14AC">
        <w:rPr>
          <w:rFonts w:ascii="Aptos" w:eastAsia="MS Mincho" w:hAnsi="Aptos" w:cs="Arial"/>
          <w:sz w:val="24"/>
          <w:szCs w:val="24"/>
          <w:lang w:val="en-US" w:eastAsia="ja-JP"/>
        </w:rPr>
        <w:t xml:space="preserve"> </w:t>
      </w:r>
    </w:p>
    <w:p w14:paraId="1C9DC82C" w14:textId="30923CC8" w:rsidR="00A15779" w:rsidRPr="00520230" w:rsidRDefault="00EF0FC0" w:rsidP="00A15779">
      <w:pPr>
        <w:pStyle w:val="Heading3"/>
        <w:rPr>
          <w:rFonts w:ascii="Aptos" w:hAnsi="Aptos"/>
          <w:sz w:val="36"/>
          <w:szCs w:val="28"/>
        </w:rPr>
      </w:pPr>
      <w:bookmarkStart w:id="15" w:name="_Toc179799977"/>
      <w:r>
        <w:rPr>
          <w:rFonts w:ascii="Aptos" w:hAnsi="Aptos"/>
          <w:sz w:val="36"/>
          <w:szCs w:val="28"/>
        </w:rPr>
        <w:t>Next Steps</w:t>
      </w:r>
      <w:bookmarkEnd w:id="15"/>
      <w:r>
        <w:rPr>
          <w:rFonts w:ascii="Aptos" w:hAnsi="Aptos"/>
          <w:sz w:val="36"/>
          <w:szCs w:val="28"/>
        </w:rPr>
        <w:t xml:space="preserve"> </w:t>
      </w:r>
    </w:p>
    <w:p w14:paraId="7FAC4F68" w14:textId="35670D83" w:rsidR="00A15779" w:rsidRPr="001439E7" w:rsidRDefault="001474FB" w:rsidP="00A15779">
      <w:pPr>
        <w:spacing w:after="160" w:line="278" w:lineRule="auto"/>
        <w:rPr>
          <w:rFonts w:ascii="Aptos" w:eastAsia="MS Mincho" w:hAnsi="Aptos" w:cs="Arial"/>
          <w:sz w:val="24"/>
          <w:szCs w:val="24"/>
          <w:lang w:val="en-US" w:eastAsia="ja-JP"/>
        </w:rPr>
      </w:pPr>
      <w:r>
        <w:rPr>
          <w:rFonts w:ascii="Aptos" w:eastAsia="MS Mincho" w:hAnsi="Aptos" w:cs="Arial"/>
          <w:sz w:val="24"/>
          <w:szCs w:val="24"/>
          <w:lang w:val="en-US" w:eastAsia="ja-JP"/>
        </w:rPr>
        <w:t xml:space="preserve">In response to the consultation findings, </w:t>
      </w:r>
      <w:r w:rsidR="00332EE1">
        <w:rPr>
          <w:rFonts w:ascii="Aptos" w:eastAsia="MS Mincho" w:hAnsi="Aptos" w:cs="Arial"/>
          <w:sz w:val="24"/>
          <w:szCs w:val="24"/>
          <w:lang w:val="en-US" w:eastAsia="ja-JP"/>
        </w:rPr>
        <w:t>t</w:t>
      </w:r>
      <w:r w:rsidR="00BB40C0">
        <w:rPr>
          <w:rFonts w:ascii="Aptos" w:eastAsia="MS Mincho" w:hAnsi="Aptos" w:cs="Arial"/>
          <w:sz w:val="24"/>
          <w:szCs w:val="24"/>
          <w:lang w:val="en-US" w:eastAsia="ja-JP"/>
        </w:rPr>
        <w:t xml:space="preserve">he department </w:t>
      </w:r>
      <w:r w:rsidR="00041CF6">
        <w:rPr>
          <w:rFonts w:ascii="Aptos" w:eastAsia="MS Mincho" w:hAnsi="Aptos" w:cs="Arial"/>
          <w:sz w:val="24"/>
          <w:szCs w:val="24"/>
          <w:lang w:val="en-US" w:eastAsia="ja-JP"/>
        </w:rPr>
        <w:t xml:space="preserve">has delivered </w:t>
      </w:r>
      <w:r w:rsidR="00BB40C0">
        <w:rPr>
          <w:rFonts w:ascii="Aptos" w:eastAsia="MS Mincho" w:hAnsi="Aptos" w:cs="Arial"/>
          <w:sz w:val="24"/>
          <w:szCs w:val="24"/>
          <w:lang w:val="en-US" w:eastAsia="ja-JP"/>
        </w:rPr>
        <w:t>the following</w:t>
      </w:r>
      <w:r w:rsidR="00A15779" w:rsidRPr="001439E7">
        <w:rPr>
          <w:rFonts w:ascii="Aptos" w:eastAsia="MS Mincho" w:hAnsi="Aptos" w:cs="Arial"/>
          <w:sz w:val="24"/>
          <w:szCs w:val="24"/>
          <w:lang w:val="en-US" w:eastAsia="ja-JP"/>
        </w:rPr>
        <w:t xml:space="preserve"> </w:t>
      </w:r>
      <w:r w:rsidR="002E0D11">
        <w:rPr>
          <w:rFonts w:ascii="Aptos" w:eastAsia="MS Mincho" w:hAnsi="Aptos" w:cs="Arial"/>
          <w:sz w:val="24"/>
          <w:szCs w:val="24"/>
          <w:lang w:val="en-US" w:eastAsia="ja-JP"/>
        </w:rPr>
        <w:t>products</w:t>
      </w:r>
      <w:r w:rsidR="002E0D11" w:rsidRPr="001439E7">
        <w:rPr>
          <w:rFonts w:ascii="Aptos" w:eastAsia="MS Mincho" w:hAnsi="Aptos" w:cs="Arial"/>
          <w:sz w:val="24"/>
          <w:szCs w:val="24"/>
          <w:lang w:val="en-US" w:eastAsia="ja-JP"/>
        </w:rPr>
        <w:t xml:space="preserve"> </w:t>
      </w:r>
      <w:r w:rsidR="00A15779" w:rsidRPr="001439E7">
        <w:rPr>
          <w:rFonts w:ascii="Aptos" w:eastAsia="MS Mincho" w:hAnsi="Aptos" w:cs="Arial"/>
          <w:sz w:val="24"/>
          <w:szCs w:val="24"/>
          <w:lang w:val="en-US" w:eastAsia="ja-JP"/>
        </w:rPr>
        <w:t xml:space="preserve">to </w:t>
      </w:r>
      <w:r w:rsidR="00C66B07">
        <w:rPr>
          <w:rFonts w:ascii="Aptos" w:eastAsia="MS Mincho" w:hAnsi="Aptos" w:cs="Arial"/>
          <w:sz w:val="24"/>
          <w:szCs w:val="24"/>
          <w:lang w:val="en-US" w:eastAsia="ja-JP"/>
        </w:rPr>
        <w:t xml:space="preserve">assist </w:t>
      </w:r>
      <w:r w:rsidR="00BB40C0">
        <w:rPr>
          <w:rFonts w:ascii="Aptos" w:eastAsia="MS Mincho" w:hAnsi="Aptos" w:cs="Arial"/>
          <w:sz w:val="24"/>
          <w:szCs w:val="24"/>
          <w:lang w:val="en-US" w:eastAsia="ja-JP"/>
        </w:rPr>
        <w:t xml:space="preserve">universities to uplift countering foreign interference capability. </w:t>
      </w:r>
    </w:p>
    <w:p w14:paraId="41D38A0C" w14:textId="79C3DE49" w:rsidR="00A15779" w:rsidRPr="00116A23" w:rsidRDefault="00A15779" w:rsidP="00A15779">
      <w:pPr>
        <w:numPr>
          <w:ilvl w:val="0"/>
          <w:numId w:val="21"/>
        </w:numPr>
        <w:spacing w:after="160" w:line="279" w:lineRule="auto"/>
        <w:rPr>
          <w:rFonts w:ascii="Aptos" w:eastAsia="MS Mincho" w:hAnsi="Aptos" w:cs="Arial"/>
          <w:sz w:val="24"/>
          <w:szCs w:val="24"/>
          <w:lang w:val="en-US" w:eastAsia="ja-JP"/>
        </w:rPr>
      </w:pPr>
      <w:r w:rsidRPr="001439E7">
        <w:rPr>
          <w:rFonts w:ascii="Aptos" w:eastAsia="MS Mincho" w:hAnsi="Aptos" w:cs="Arial"/>
          <w:sz w:val="24"/>
          <w:szCs w:val="24"/>
          <w:lang w:val="en-US" w:eastAsia="ja-JP"/>
        </w:rPr>
        <w:t xml:space="preserve">Refreshed and updated </w:t>
      </w:r>
      <w:r w:rsidR="00F572E5">
        <w:rPr>
          <w:rFonts w:ascii="Aptos" w:eastAsia="MS Mincho" w:hAnsi="Aptos" w:cs="Arial"/>
          <w:sz w:val="24"/>
          <w:szCs w:val="24"/>
          <w:lang w:val="en-US" w:eastAsia="ja-JP"/>
        </w:rPr>
        <w:t xml:space="preserve">the Australian </w:t>
      </w:r>
      <w:r w:rsidR="002E0D11">
        <w:rPr>
          <w:rFonts w:ascii="Aptos" w:eastAsia="MS Mincho" w:hAnsi="Aptos" w:cs="Arial"/>
          <w:sz w:val="24"/>
          <w:szCs w:val="24"/>
          <w:lang w:val="en-US" w:eastAsia="ja-JP"/>
        </w:rPr>
        <w:t>National Security Architecture Placemat to</w:t>
      </w:r>
      <w:r>
        <w:rPr>
          <w:rFonts w:ascii="Aptos" w:eastAsia="MS Mincho" w:hAnsi="Aptos" w:cs="Arial"/>
          <w:sz w:val="24"/>
          <w:szCs w:val="24"/>
          <w:lang w:val="en-US" w:eastAsia="ja-JP"/>
        </w:rPr>
        <w:t xml:space="preserve"> reflect the </w:t>
      </w:r>
      <w:r w:rsidR="00B72C5C">
        <w:rPr>
          <w:rFonts w:ascii="Aptos" w:eastAsia="MS Mincho" w:hAnsi="Aptos" w:cs="Arial"/>
          <w:sz w:val="24"/>
          <w:szCs w:val="24"/>
          <w:lang w:val="en-US" w:eastAsia="ja-JP"/>
        </w:rPr>
        <w:t xml:space="preserve">current </w:t>
      </w:r>
      <w:r w:rsidRPr="00116A23">
        <w:rPr>
          <w:rFonts w:ascii="Aptos" w:eastAsia="MS Mincho" w:hAnsi="Aptos" w:cs="Arial"/>
          <w:sz w:val="24"/>
          <w:szCs w:val="24"/>
          <w:lang w:val="en-US" w:eastAsia="ja-JP"/>
        </w:rPr>
        <w:t>national security ecosystem</w:t>
      </w:r>
      <w:r>
        <w:rPr>
          <w:rFonts w:ascii="Aptos" w:eastAsia="MS Mincho" w:hAnsi="Aptos" w:cs="Arial"/>
          <w:sz w:val="24"/>
          <w:szCs w:val="24"/>
          <w:lang w:val="en-US" w:eastAsia="ja-JP"/>
        </w:rPr>
        <w:t>,</w:t>
      </w:r>
      <w:r w:rsidRPr="00116A23">
        <w:rPr>
          <w:rFonts w:ascii="Aptos" w:eastAsia="MS Mincho" w:hAnsi="Aptos" w:cs="Arial"/>
          <w:sz w:val="24"/>
          <w:szCs w:val="24"/>
          <w:lang w:val="en-US" w:eastAsia="ja-JP"/>
        </w:rPr>
        <w:t xml:space="preserve"> </w:t>
      </w:r>
      <w:r>
        <w:rPr>
          <w:rFonts w:ascii="Aptos" w:eastAsia="MS Mincho" w:hAnsi="Aptos" w:cs="Arial"/>
          <w:sz w:val="24"/>
          <w:szCs w:val="24"/>
          <w:lang w:val="en-US" w:eastAsia="ja-JP"/>
        </w:rPr>
        <w:t>as well as</w:t>
      </w:r>
      <w:r w:rsidRPr="00116A23">
        <w:rPr>
          <w:rFonts w:ascii="Aptos" w:eastAsia="MS Mincho" w:hAnsi="Aptos" w:cs="Arial"/>
          <w:sz w:val="24"/>
          <w:szCs w:val="24"/>
          <w:lang w:val="en-US" w:eastAsia="ja-JP"/>
        </w:rPr>
        <w:t xml:space="preserve"> the evolving foreign interference threat context. </w:t>
      </w:r>
    </w:p>
    <w:p w14:paraId="56D0CA92" w14:textId="0FB39202" w:rsidR="00E6011B" w:rsidRPr="00E6011B" w:rsidRDefault="00B72C5C" w:rsidP="00E6011B">
      <w:pPr>
        <w:numPr>
          <w:ilvl w:val="0"/>
          <w:numId w:val="21"/>
        </w:num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T</w:t>
      </w:r>
      <w:r w:rsidR="00A15779" w:rsidRPr="001439E7">
        <w:rPr>
          <w:rFonts w:ascii="Aptos" w:eastAsia="MS Mincho" w:hAnsi="Aptos" w:cs="Arial"/>
          <w:sz w:val="24"/>
          <w:szCs w:val="24"/>
          <w:lang w:val="en-US" w:eastAsia="ja-JP"/>
        </w:rPr>
        <w:t>ailored countering foreign interference case studies to the sector</w:t>
      </w:r>
      <w:r w:rsidR="00A15779">
        <w:rPr>
          <w:rFonts w:ascii="Aptos" w:eastAsia="MS Mincho" w:hAnsi="Aptos" w:cs="Arial"/>
          <w:sz w:val="24"/>
          <w:szCs w:val="24"/>
          <w:lang w:val="en-US" w:eastAsia="ja-JP"/>
        </w:rPr>
        <w:t xml:space="preserve"> providing practical guidance to universities on staff and student communications</w:t>
      </w:r>
      <w:r w:rsidR="007C534B">
        <w:rPr>
          <w:rFonts w:ascii="Aptos" w:eastAsia="MS Mincho" w:hAnsi="Aptos" w:cs="Arial"/>
          <w:sz w:val="24"/>
          <w:szCs w:val="24"/>
          <w:lang w:val="en-US" w:eastAsia="ja-JP"/>
        </w:rPr>
        <w:t>,</w:t>
      </w:r>
      <w:r w:rsidR="00A15779">
        <w:rPr>
          <w:rFonts w:ascii="Aptos" w:eastAsia="MS Mincho" w:hAnsi="Aptos" w:cs="Arial"/>
          <w:sz w:val="24"/>
          <w:szCs w:val="24"/>
          <w:lang w:val="en-US" w:eastAsia="ja-JP"/>
        </w:rPr>
        <w:t xml:space="preserve"> and </w:t>
      </w:r>
      <w:r w:rsidR="00E6011B" w:rsidRPr="00E6011B">
        <w:rPr>
          <w:rFonts w:ascii="Aptos" w:eastAsia="MS Mincho" w:hAnsi="Aptos" w:cs="Arial"/>
          <w:sz w:val="24"/>
          <w:szCs w:val="24"/>
          <w:lang w:val="en-US" w:eastAsia="ja-JP"/>
        </w:rPr>
        <w:t>due diligence and risk assessment guidance</w:t>
      </w:r>
      <w:r w:rsidR="00EE4E72">
        <w:rPr>
          <w:rFonts w:ascii="Aptos" w:eastAsia="MS Mincho" w:hAnsi="Aptos" w:cs="Arial"/>
          <w:sz w:val="24"/>
          <w:szCs w:val="24"/>
          <w:lang w:val="en-US" w:eastAsia="ja-JP"/>
        </w:rPr>
        <w:t>,</w:t>
      </w:r>
      <w:r w:rsidR="00E6011B" w:rsidRPr="00E6011B">
        <w:rPr>
          <w:rFonts w:ascii="Aptos" w:eastAsia="MS Mincho" w:hAnsi="Aptos" w:cs="Arial"/>
          <w:sz w:val="24"/>
          <w:szCs w:val="24"/>
          <w:lang w:val="en-US" w:eastAsia="ja-JP"/>
        </w:rPr>
        <w:t xml:space="preserve"> specific to the risks associated with dual-use technology and research. </w:t>
      </w:r>
    </w:p>
    <w:p w14:paraId="14BE832C" w14:textId="19689128" w:rsidR="0003530B" w:rsidRPr="001439E7" w:rsidRDefault="00EF0FC0" w:rsidP="005238B4">
      <w:p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Government will also:</w:t>
      </w:r>
    </w:p>
    <w:p w14:paraId="7076C201" w14:textId="0EA98789" w:rsidR="00A15779" w:rsidRDefault="00A15779" w:rsidP="00684E8B">
      <w:pPr>
        <w:numPr>
          <w:ilvl w:val="0"/>
          <w:numId w:val="21"/>
        </w:numPr>
        <w:spacing w:after="160" w:line="279" w:lineRule="auto"/>
        <w:rPr>
          <w:rFonts w:ascii="Aptos" w:eastAsia="MS Mincho" w:hAnsi="Aptos" w:cs="Arial"/>
          <w:sz w:val="24"/>
          <w:szCs w:val="24"/>
          <w:lang w:val="en-US" w:eastAsia="ja-JP"/>
        </w:rPr>
      </w:pPr>
      <w:r w:rsidRPr="005238B4">
        <w:rPr>
          <w:rFonts w:ascii="Aptos" w:eastAsia="MS Mincho" w:hAnsi="Aptos" w:cs="Arial"/>
          <w:sz w:val="24"/>
          <w:szCs w:val="24"/>
          <w:lang w:val="en-US" w:eastAsia="ja-JP"/>
        </w:rPr>
        <w:t>Continu</w:t>
      </w:r>
      <w:r w:rsidR="00EF0FC0">
        <w:rPr>
          <w:rFonts w:ascii="Aptos" w:eastAsia="MS Mincho" w:hAnsi="Aptos" w:cs="Arial"/>
          <w:sz w:val="24"/>
          <w:szCs w:val="24"/>
          <w:lang w:val="en-US" w:eastAsia="ja-JP"/>
        </w:rPr>
        <w:t>e</w:t>
      </w:r>
      <w:r w:rsidRPr="005238B4">
        <w:rPr>
          <w:rFonts w:ascii="Aptos" w:eastAsia="MS Mincho" w:hAnsi="Aptos" w:cs="Arial"/>
          <w:sz w:val="24"/>
          <w:szCs w:val="24"/>
          <w:lang w:val="en-US" w:eastAsia="ja-JP"/>
        </w:rPr>
        <w:t xml:space="preserve"> sector engagement on the foreign interference threat environment and universities’ implementation of the Guidelines, including delivery of the Annual Pulse Survey and Workshop</w:t>
      </w:r>
      <w:r w:rsidR="000F6174" w:rsidRPr="005238B4">
        <w:rPr>
          <w:rFonts w:ascii="Aptos" w:eastAsia="MS Mincho" w:hAnsi="Aptos" w:cs="Arial"/>
          <w:sz w:val="24"/>
          <w:szCs w:val="24"/>
          <w:lang w:val="en-US" w:eastAsia="ja-JP"/>
        </w:rPr>
        <w:t xml:space="preserve"> Serie</w:t>
      </w:r>
      <w:r w:rsidRPr="005238B4">
        <w:rPr>
          <w:rFonts w:ascii="Aptos" w:eastAsia="MS Mincho" w:hAnsi="Aptos" w:cs="Arial"/>
          <w:sz w:val="24"/>
          <w:szCs w:val="24"/>
          <w:lang w:val="en-US" w:eastAsia="ja-JP"/>
        </w:rPr>
        <w:t xml:space="preserve">s in 2025. </w:t>
      </w:r>
    </w:p>
    <w:p w14:paraId="5F7B9833" w14:textId="0BDBA82F" w:rsidR="00C13E2D" w:rsidRPr="005238B4" w:rsidRDefault="00C13E2D" w:rsidP="00C13E2D">
      <w:pPr>
        <w:numPr>
          <w:ilvl w:val="1"/>
          <w:numId w:val="21"/>
        </w:numPr>
        <w:spacing w:after="160" w:line="279" w:lineRule="auto"/>
        <w:rPr>
          <w:rFonts w:ascii="Aptos" w:eastAsia="MS Mincho" w:hAnsi="Aptos" w:cs="Arial"/>
          <w:sz w:val="24"/>
          <w:szCs w:val="24"/>
          <w:lang w:val="en-US" w:eastAsia="ja-JP"/>
        </w:rPr>
      </w:pPr>
      <w:r>
        <w:rPr>
          <w:rFonts w:ascii="Aptos" w:eastAsia="MS Mincho" w:hAnsi="Aptos" w:cs="Arial"/>
          <w:sz w:val="24"/>
          <w:szCs w:val="24"/>
          <w:lang w:val="en-US" w:eastAsia="ja-JP"/>
        </w:rPr>
        <w:t xml:space="preserve">Continue engagement and provide tailored guidance materials on due diligence and risk assessments to support sector capability.  </w:t>
      </w:r>
    </w:p>
    <w:p w14:paraId="16FD9016" w14:textId="19D12844" w:rsidR="00A15779" w:rsidRPr="00905D1F" w:rsidRDefault="00A15779" w:rsidP="005238B4">
      <w:pPr>
        <w:numPr>
          <w:ilvl w:val="1"/>
          <w:numId w:val="21"/>
        </w:numPr>
        <w:spacing w:after="160" w:line="279" w:lineRule="auto"/>
        <w:rPr>
          <w:rFonts w:ascii="Aptos" w:eastAsia="MS Mincho" w:hAnsi="Aptos" w:cs="Arial"/>
          <w:sz w:val="24"/>
          <w:szCs w:val="24"/>
          <w:lang w:val="en-US" w:eastAsia="ja-JP"/>
        </w:rPr>
      </w:pPr>
      <w:r w:rsidRPr="00905D1F">
        <w:rPr>
          <w:rFonts w:ascii="Aptos" w:eastAsia="MS Mincho" w:hAnsi="Aptos" w:cs="Arial"/>
          <w:sz w:val="24"/>
          <w:szCs w:val="24"/>
          <w:lang w:val="en-US" w:eastAsia="ja-JP"/>
        </w:rPr>
        <w:t xml:space="preserve">Continue </w:t>
      </w:r>
      <w:r w:rsidR="00C13E2D">
        <w:rPr>
          <w:rFonts w:ascii="Aptos" w:eastAsia="MS Mincho" w:hAnsi="Aptos" w:cs="Arial"/>
          <w:sz w:val="24"/>
          <w:szCs w:val="24"/>
          <w:lang w:val="en-US" w:eastAsia="ja-JP"/>
        </w:rPr>
        <w:t>inter-agency engagement and collaboration</w:t>
      </w:r>
      <w:r w:rsidRPr="00905D1F">
        <w:rPr>
          <w:rFonts w:ascii="Aptos" w:eastAsia="MS Mincho" w:hAnsi="Aptos" w:cs="Arial"/>
          <w:sz w:val="24"/>
          <w:szCs w:val="24"/>
          <w:lang w:val="en-US" w:eastAsia="ja-JP"/>
        </w:rPr>
        <w:t xml:space="preserve"> to ensure a coordinated, whole-of-government approach to sector outreach and consultation</w:t>
      </w:r>
      <w:r>
        <w:rPr>
          <w:rFonts w:ascii="Aptos" w:eastAsia="MS Mincho" w:hAnsi="Aptos" w:cs="Arial"/>
          <w:sz w:val="24"/>
          <w:szCs w:val="24"/>
          <w:lang w:val="en-US" w:eastAsia="ja-JP"/>
        </w:rPr>
        <w:t xml:space="preserve"> on countering foreign interference.</w:t>
      </w:r>
    </w:p>
    <w:p w14:paraId="188D48E1" w14:textId="77777777" w:rsidR="00A15779" w:rsidRPr="001073B7" w:rsidRDefault="00A15779" w:rsidP="00A15779">
      <w:pPr>
        <w:numPr>
          <w:ilvl w:val="0"/>
          <w:numId w:val="21"/>
        </w:numPr>
        <w:spacing w:after="160" w:line="279" w:lineRule="auto"/>
        <w:rPr>
          <w:rFonts w:ascii="Aptos" w:eastAsia="MS Mincho" w:hAnsi="Aptos" w:cs="Arial"/>
          <w:sz w:val="24"/>
          <w:szCs w:val="24"/>
          <w:lang w:val="en-US" w:eastAsia="ja-JP"/>
        </w:rPr>
      </w:pPr>
      <w:r w:rsidRPr="001439E7">
        <w:rPr>
          <w:rFonts w:ascii="Aptos" w:eastAsia="MS Mincho" w:hAnsi="Aptos" w:cs="Arial"/>
          <w:sz w:val="24"/>
          <w:szCs w:val="24"/>
          <w:lang w:val="en-US" w:eastAsia="ja-JP"/>
        </w:rPr>
        <w:t>Support the sector in facilitating countering foreign interference communities of practice</w:t>
      </w:r>
      <w:r>
        <w:rPr>
          <w:rFonts w:ascii="Aptos" w:eastAsia="MS Mincho" w:hAnsi="Aptos" w:cs="Arial"/>
          <w:sz w:val="24"/>
          <w:szCs w:val="24"/>
          <w:lang w:val="en-US" w:eastAsia="ja-JP"/>
        </w:rPr>
        <w:t xml:space="preserve">, allowing for an uplift in capability and Guidelines implementation.  </w:t>
      </w:r>
    </w:p>
    <w:p w14:paraId="2AC723B7" w14:textId="4C964F31" w:rsidR="00FD6A55" w:rsidRPr="005238B4" w:rsidRDefault="00A15779" w:rsidP="005238B4">
      <w:pPr>
        <w:numPr>
          <w:ilvl w:val="0"/>
          <w:numId w:val="21"/>
        </w:numPr>
        <w:spacing w:after="160" w:line="279" w:lineRule="auto"/>
        <w:rPr>
          <w:rFonts w:ascii="Aptos" w:eastAsia="MS Mincho" w:hAnsi="Aptos" w:cs="Arial"/>
          <w:sz w:val="24"/>
          <w:szCs w:val="24"/>
          <w:lang w:val="en-US" w:eastAsia="ja-JP"/>
        </w:rPr>
      </w:pPr>
      <w:r w:rsidRPr="001439E7">
        <w:rPr>
          <w:rFonts w:ascii="Aptos" w:eastAsia="MS Mincho" w:hAnsi="Aptos" w:cs="Arial"/>
          <w:sz w:val="24"/>
          <w:szCs w:val="24"/>
          <w:lang w:val="en-US" w:eastAsia="ja-JP"/>
        </w:rPr>
        <w:t>Enhance information sharing with the sector in respect to discussions at UFIT</w:t>
      </w:r>
      <w:r w:rsidR="002724B0">
        <w:rPr>
          <w:rFonts w:ascii="Aptos" w:eastAsia="MS Mincho" w:hAnsi="Aptos" w:cs="Arial"/>
          <w:sz w:val="24"/>
          <w:szCs w:val="24"/>
          <w:lang w:val="en-US" w:eastAsia="ja-JP"/>
        </w:rPr>
        <w:t xml:space="preserve">, </w:t>
      </w:r>
      <w:r w:rsidR="00CB2E33">
        <w:rPr>
          <w:rFonts w:ascii="Aptos" w:eastAsia="MS Mincho" w:hAnsi="Aptos" w:cs="Arial"/>
          <w:sz w:val="24"/>
          <w:szCs w:val="24"/>
          <w:lang w:val="en-US" w:eastAsia="ja-JP"/>
        </w:rPr>
        <w:t>strengthening</w:t>
      </w:r>
      <w:r w:rsidRPr="005238B4">
        <w:rPr>
          <w:rFonts w:ascii="Aptos" w:eastAsia="MS Mincho" w:hAnsi="Aptos" w:cs="Arial"/>
          <w:sz w:val="24"/>
          <w:szCs w:val="24"/>
          <w:lang w:val="en-US" w:eastAsia="ja-JP"/>
        </w:rPr>
        <w:t xml:space="preserve"> countering foreign interference capability within universities at the practitioner-level. </w:t>
      </w:r>
    </w:p>
    <w:p w14:paraId="6E32E009" w14:textId="77777777" w:rsidR="00FD6A55" w:rsidRDefault="00FD6A55">
      <w:pPr>
        <w:spacing w:after="160"/>
        <w:rPr>
          <w:rFonts w:ascii="Aptos" w:eastAsia="MS Mincho" w:hAnsi="Aptos" w:cs="Arial"/>
          <w:sz w:val="24"/>
          <w:szCs w:val="24"/>
          <w:lang w:val="en-US" w:eastAsia="ja-JP"/>
        </w:rPr>
      </w:pPr>
      <w:r>
        <w:rPr>
          <w:rFonts w:ascii="Aptos" w:eastAsia="MS Mincho" w:hAnsi="Aptos" w:cs="Arial"/>
          <w:sz w:val="24"/>
          <w:szCs w:val="24"/>
          <w:lang w:val="en-US" w:eastAsia="ja-JP"/>
        </w:rPr>
        <w:br w:type="page"/>
      </w:r>
    </w:p>
    <w:p w14:paraId="17F91B0A" w14:textId="6F4521F2" w:rsidR="00B07EA9" w:rsidRPr="00B07EA9" w:rsidRDefault="00B07EA9" w:rsidP="00B07EA9">
      <w:pPr>
        <w:pStyle w:val="Heading2"/>
        <w:rPr>
          <w:rFonts w:ascii="Aptos" w:hAnsi="Aptos"/>
        </w:rPr>
      </w:pPr>
      <w:bookmarkStart w:id="16" w:name="_Toc179799978"/>
      <w:r w:rsidRPr="00B07EA9">
        <w:rPr>
          <w:rFonts w:ascii="Aptos" w:hAnsi="Aptos"/>
        </w:rPr>
        <w:t>Annexure A</w:t>
      </w:r>
      <w:bookmarkEnd w:id="16"/>
    </w:p>
    <w:p w14:paraId="6022B5BF" w14:textId="5C788E54" w:rsidR="00FD6A55" w:rsidRPr="00520230" w:rsidRDefault="00FD6A55" w:rsidP="00FD6A55">
      <w:pPr>
        <w:pStyle w:val="Heading3"/>
        <w:rPr>
          <w:rFonts w:ascii="Aptos" w:hAnsi="Aptos"/>
          <w:sz w:val="36"/>
          <w:szCs w:val="28"/>
        </w:rPr>
      </w:pPr>
      <w:bookmarkStart w:id="17" w:name="_Toc179799979"/>
      <w:r w:rsidRPr="00520230">
        <w:rPr>
          <w:rFonts w:ascii="Aptos" w:hAnsi="Aptos"/>
          <w:sz w:val="36"/>
          <w:szCs w:val="28"/>
        </w:rPr>
        <w:t>Achievements 2023-24</w:t>
      </w:r>
      <w:bookmarkEnd w:id="17"/>
    </w:p>
    <w:p w14:paraId="2EA344CB" w14:textId="5D99D04C" w:rsidR="00FD6A55" w:rsidRPr="001439E7" w:rsidRDefault="00FD6A55" w:rsidP="00FD6A55">
      <w:pPr>
        <w:spacing w:after="160" w:line="279" w:lineRule="auto"/>
        <w:rPr>
          <w:rFonts w:ascii="Aptos" w:eastAsia="MS Mincho" w:hAnsi="Aptos" w:cs="Arial"/>
          <w:sz w:val="24"/>
          <w:szCs w:val="24"/>
          <w:lang w:val="en-US" w:eastAsia="ja-JP"/>
        </w:rPr>
      </w:pPr>
      <w:r w:rsidRPr="001439E7">
        <w:rPr>
          <w:rFonts w:ascii="Aptos" w:eastAsia="MS Mincho" w:hAnsi="Aptos" w:cs="Arial"/>
          <w:sz w:val="24"/>
          <w:szCs w:val="24"/>
          <w:lang w:val="en-US" w:eastAsia="ja-JP"/>
        </w:rPr>
        <w:t xml:space="preserve">Following the 2023 consultation, the department </w:t>
      </w:r>
      <w:r>
        <w:rPr>
          <w:rFonts w:ascii="Aptos" w:eastAsia="MS Mincho" w:hAnsi="Aptos" w:cs="Arial"/>
          <w:sz w:val="24"/>
          <w:szCs w:val="24"/>
          <w:lang w:val="en-US" w:eastAsia="ja-JP"/>
        </w:rPr>
        <w:t xml:space="preserve">supported </w:t>
      </w:r>
      <w:r w:rsidRPr="001439E7">
        <w:rPr>
          <w:rFonts w:ascii="Aptos" w:eastAsia="MS Mincho" w:hAnsi="Aptos" w:cs="Arial"/>
          <w:sz w:val="24"/>
          <w:szCs w:val="24"/>
          <w:lang w:val="en-US" w:eastAsia="ja-JP"/>
        </w:rPr>
        <w:t xml:space="preserve">the sector </w:t>
      </w:r>
      <w:r>
        <w:rPr>
          <w:rFonts w:ascii="Aptos" w:eastAsia="MS Mincho" w:hAnsi="Aptos" w:cs="Arial"/>
          <w:sz w:val="24"/>
          <w:szCs w:val="24"/>
          <w:lang w:val="en-US" w:eastAsia="ja-JP"/>
        </w:rPr>
        <w:t>to implement the Guidelines and</w:t>
      </w:r>
      <w:r w:rsidRPr="001439E7">
        <w:rPr>
          <w:rFonts w:ascii="Aptos" w:eastAsia="MS Mincho" w:hAnsi="Aptos" w:cs="Arial"/>
          <w:sz w:val="24"/>
          <w:szCs w:val="24"/>
          <w:lang w:val="en-US" w:eastAsia="ja-JP"/>
        </w:rPr>
        <w:t xml:space="preserve"> fulfil opportunities identified within the previous Report</w:t>
      </w:r>
      <w:r>
        <w:rPr>
          <w:rFonts w:ascii="Aptos" w:eastAsia="MS Mincho" w:hAnsi="Aptos" w:cs="Arial"/>
          <w:sz w:val="24"/>
          <w:szCs w:val="24"/>
          <w:lang w:val="en-US" w:eastAsia="ja-JP"/>
        </w:rPr>
        <w:t xml:space="preserve">. </w:t>
      </w:r>
      <w:r w:rsidRPr="001439E7">
        <w:rPr>
          <w:rFonts w:ascii="Aptos" w:eastAsia="MS Mincho" w:hAnsi="Aptos" w:cs="Arial"/>
          <w:sz w:val="24"/>
          <w:szCs w:val="24"/>
          <w:lang w:val="en-US" w:eastAsia="ja-JP"/>
        </w:rPr>
        <w:t>This has led to the following achievements</w:t>
      </w:r>
      <w:r w:rsidR="002F2B22">
        <w:rPr>
          <w:rFonts w:ascii="Aptos" w:eastAsia="MS Mincho" w:hAnsi="Aptos" w:cs="Arial"/>
          <w:sz w:val="24"/>
          <w:szCs w:val="24"/>
          <w:lang w:val="en-US" w:eastAsia="ja-JP"/>
        </w:rPr>
        <w:t>.</w:t>
      </w:r>
    </w:p>
    <w:tbl>
      <w:tblPr>
        <w:tblStyle w:val="TableGrid2"/>
        <w:tblW w:w="9209" w:type="dxa"/>
        <w:tblLook w:val="04A0" w:firstRow="1" w:lastRow="0" w:firstColumn="1" w:lastColumn="0" w:noHBand="0" w:noVBand="1"/>
      </w:tblPr>
      <w:tblGrid>
        <w:gridCol w:w="4488"/>
        <w:gridCol w:w="4721"/>
      </w:tblGrid>
      <w:tr w:rsidR="00FD6A55" w:rsidRPr="001439E7" w14:paraId="4BB0DB53" w14:textId="77777777" w:rsidTr="005A7073">
        <w:trPr>
          <w:trHeight w:val="429"/>
        </w:trPr>
        <w:tc>
          <w:tcPr>
            <w:tcW w:w="4488" w:type="dxa"/>
            <w:shd w:val="clear" w:color="auto" w:fill="002536" w:themeFill="background2" w:themeFillShade="80"/>
          </w:tcPr>
          <w:p w14:paraId="4892E282" w14:textId="77777777" w:rsidR="00FD6A55" w:rsidRPr="001439E7" w:rsidRDefault="00FD6A55">
            <w:pPr>
              <w:spacing w:after="0"/>
              <w:contextualSpacing/>
              <w:rPr>
                <w:rFonts w:ascii="Aptos" w:hAnsi="Aptos" w:cs="Arial"/>
                <w:b/>
                <w:bCs/>
              </w:rPr>
            </w:pPr>
            <w:r w:rsidRPr="001439E7">
              <w:rPr>
                <w:rFonts w:ascii="Aptos" w:hAnsi="Aptos" w:cs="Arial"/>
                <w:b/>
                <w:bCs/>
              </w:rPr>
              <w:t xml:space="preserve">Pillars </w:t>
            </w:r>
          </w:p>
        </w:tc>
        <w:tc>
          <w:tcPr>
            <w:tcW w:w="4721" w:type="dxa"/>
            <w:shd w:val="clear" w:color="auto" w:fill="002536" w:themeFill="background2" w:themeFillShade="80"/>
          </w:tcPr>
          <w:p w14:paraId="460868FF" w14:textId="77777777" w:rsidR="00FD6A55" w:rsidRPr="001439E7" w:rsidRDefault="00FD6A55">
            <w:pPr>
              <w:spacing w:after="0"/>
              <w:contextualSpacing/>
              <w:rPr>
                <w:rFonts w:ascii="Aptos" w:hAnsi="Aptos" w:cs="Arial"/>
                <w:b/>
                <w:bCs/>
              </w:rPr>
            </w:pPr>
            <w:r w:rsidRPr="001439E7">
              <w:rPr>
                <w:rFonts w:ascii="Aptos" w:hAnsi="Aptos" w:cs="Arial"/>
                <w:b/>
                <w:bCs/>
              </w:rPr>
              <w:t xml:space="preserve">Achievements </w:t>
            </w:r>
          </w:p>
        </w:tc>
      </w:tr>
      <w:tr w:rsidR="00FD6A55" w:rsidRPr="001439E7" w14:paraId="04522EF3" w14:textId="77777777" w:rsidTr="005A7073">
        <w:trPr>
          <w:trHeight w:val="429"/>
        </w:trPr>
        <w:tc>
          <w:tcPr>
            <w:tcW w:w="4488" w:type="dxa"/>
          </w:tcPr>
          <w:p w14:paraId="5ADACD14" w14:textId="77777777" w:rsidR="00FD6A55" w:rsidRDefault="00FD6A55">
            <w:pPr>
              <w:spacing w:after="0"/>
              <w:contextualSpacing/>
              <w:rPr>
                <w:rFonts w:ascii="Aptos" w:hAnsi="Aptos" w:cs="Arial"/>
              </w:rPr>
            </w:pPr>
            <w:r>
              <w:rPr>
                <w:rFonts w:ascii="Aptos" w:hAnsi="Aptos" w:cs="Arial"/>
              </w:rPr>
              <w:t xml:space="preserve">Threat context </w:t>
            </w:r>
          </w:p>
          <w:p w14:paraId="16FA4E83" w14:textId="77777777" w:rsidR="00FD6A55" w:rsidRDefault="00FD6A55">
            <w:pPr>
              <w:spacing w:after="0"/>
              <w:contextualSpacing/>
              <w:rPr>
                <w:rFonts w:ascii="Aptos" w:hAnsi="Aptos" w:cs="Arial"/>
              </w:rPr>
            </w:pPr>
          </w:p>
          <w:p w14:paraId="1BA2ADB1" w14:textId="77777777" w:rsidR="00FD6A55" w:rsidRDefault="00FD6A55">
            <w:pPr>
              <w:spacing w:after="0"/>
              <w:contextualSpacing/>
              <w:rPr>
                <w:rFonts w:ascii="Aptos" w:hAnsi="Aptos" w:cs="Arial"/>
              </w:rPr>
            </w:pPr>
          </w:p>
          <w:p w14:paraId="4AEE1852" w14:textId="77777777" w:rsidR="00FD6A55" w:rsidRDefault="00FD6A55">
            <w:pPr>
              <w:spacing w:after="0"/>
              <w:contextualSpacing/>
              <w:rPr>
                <w:rFonts w:ascii="Aptos" w:hAnsi="Aptos" w:cs="Arial"/>
              </w:rPr>
            </w:pPr>
          </w:p>
          <w:p w14:paraId="2B27E465" w14:textId="77777777" w:rsidR="00FD6A55" w:rsidRDefault="00FD6A55">
            <w:pPr>
              <w:spacing w:after="0"/>
              <w:contextualSpacing/>
              <w:rPr>
                <w:rFonts w:ascii="Aptos" w:hAnsi="Aptos" w:cs="Arial"/>
              </w:rPr>
            </w:pPr>
          </w:p>
          <w:p w14:paraId="3471D208" w14:textId="77777777" w:rsidR="00FD6A55" w:rsidRPr="001439E7" w:rsidRDefault="00FD6A55">
            <w:pPr>
              <w:spacing w:after="0"/>
              <w:contextualSpacing/>
              <w:rPr>
                <w:rFonts w:ascii="Aptos" w:hAnsi="Aptos" w:cs="Arial"/>
              </w:rPr>
            </w:pPr>
          </w:p>
        </w:tc>
        <w:tc>
          <w:tcPr>
            <w:tcW w:w="4721" w:type="dxa"/>
            <w:vMerge w:val="restart"/>
          </w:tcPr>
          <w:p w14:paraId="0D93407F"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 xml:space="preserve">Continued engagement with the </w:t>
            </w:r>
            <w:r>
              <w:rPr>
                <w:rFonts w:ascii="Aptos" w:hAnsi="Aptos" w:cs="Arial"/>
              </w:rPr>
              <w:t>UFIT</w:t>
            </w:r>
            <w:r w:rsidRPr="001439E7">
              <w:rPr>
                <w:rFonts w:ascii="Aptos" w:hAnsi="Aptos" w:cs="Arial"/>
              </w:rPr>
              <w:t xml:space="preserve"> and other national security stakeholders.</w:t>
            </w:r>
          </w:p>
          <w:p w14:paraId="495ED250"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Participation in a cyber incident response desktop exercise with a university and other government agencies.</w:t>
            </w:r>
          </w:p>
          <w:p w14:paraId="55B7191C"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 xml:space="preserve">Production of the </w:t>
            </w:r>
            <w:hyperlink r:id="rId21" w:history="1">
              <w:r w:rsidRPr="001439E7">
                <w:rPr>
                  <w:rFonts w:ascii="Aptos" w:hAnsi="Aptos" w:cs="Arial"/>
                </w:rPr>
                <w:t>Foreign Interference Impacts on Campus Culture Guidance Note</w:t>
              </w:r>
            </w:hyperlink>
            <w:r>
              <w:rPr>
                <w:rFonts w:ascii="Aptos" w:hAnsi="Aptos" w:cs="Arial"/>
              </w:rPr>
              <w:t>.</w:t>
            </w:r>
          </w:p>
          <w:p w14:paraId="6C4B1D0A"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 xml:space="preserve">Production of the </w:t>
            </w:r>
            <w:hyperlink r:id="rId22" w:history="1">
              <w:r w:rsidRPr="001439E7">
                <w:rPr>
                  <w:rFonts w:ascii="Aptos" w:hAnsi="Aptos" w:cs="Arial"/>
                </w:rPr>
                <w:t>Australian National Security Architecture Placemat</w:t>
              </w:r>
            </w:hyperlink>
            <w:r>
              <w:rPr>
                <w:rFonts w:ascii="Aptos" w:hAnsi="Aptos" w:cs="Arial"/>
              </w:rPr>
              <w:t>.</w:t>
            </w:r>
          </w:p>
          <w:p w14:paraId="18A5E89E"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Completion of the 2024 Annual Pulse Survey.</w:t>
            </w:r>
          </w:p>
          <w:p w14:paraId="2FD9C31A" w14:textId="77777777" w:rsidR="00FD6A55" w:rsidRPr="001439E7" w:rsidRDefault="00FD6A55">
            <w:pPr>
              <w:numPr>
                <w:ilvl w:val="0"/>
                <w:numId w:val="23"/>
              </w:numPr>
              <w:spacing w:after="0"/>
              <w:contextualSpacing/>
              <w:rPr>
                <w:rFonts w:ascii="Aptos" w:hAnsi="Aptos" w:cs="Arial"/>
              </w:rPr>
            </w:pPr>
            <w:r w:rsidRPr="001439E7">
              <w:rPr>
                <w:rFonts w:ascii="Aptos" w:hAnsi="Aptos" w:cs="Arial"/>
              </w:rPr>
              <w:t>Delivery of the Countering Foreign Interference Workshops in June 2024.</w:t>
            </w:r>
          </w:p>
          <w:p w14:paraId="501E7DC8" w14:textId="77777777" w:rsidR="00FD6A55" w:rsidRPr="001439E7" w:rsidRDefault="00FD6A55">
            <w:pPr>
              <w:numPr>
                <w:ilvl w:val="0"/>
                <w:numId w:val="23"/>
              </w:numPr>
              <w:spacing w:after="0"/>
              <w:contextualSpacing/>
              <w:rPr>
                <w:rFonts w:ascii="Aptos" w:hAnsi="Aptos" w:cs="Arial"/>
              </w:rPr>
            </w:pPr>
            <w:r>
              <w:rPr>
                <w:rFonts w:ascii="Aptos" w:hAnsi="Aptos" w:cs="Arial"/>
              </w:rPr>
              <w:t>Collaboration</w:t>
            </w:r>
            <w:r w:rsidRPr="001439E7">
              <w:rPr>
                <w:rFonts w:ascii="Aptos" w:hAnsi="Aptos" w:cs="Arial"/>
              </w:rPr>
              <w:t xml:space="preserve"> with </w:t>
            </w:r>
            <w:r>
              <w:rPr>
                <w:rFonts w:ascii="Aptos" w:hAnsi="Aptos" w:cs="Arial"/>
              </w:rPr>
              <w:t xml:space="preserve">the Department of </w:t>
            </w:r>
            <w:r w:rsidRPr="001439E7">
              <w:rPr>
                <w:rFonts w:ascii="Aptos" w:hAnsi="Aptos" w:cs="Arial"/>
              </w:rPr>
              <w:t xml:space="preserve">Home Affairs </w:t>
            </w:r>
            <w:r>
              <w:rPr>
                <w:rFonts w:ascii="Aptos" w:hAnsi="Aptos" w:cs="Arial"/>
              </w:rPr>
              <w:t xml:space="preserve">(Home Affairs) </w:t>
            </w:r>
            <w:r w:rsidRPr="001439E7">
              <w:rPr>
                <w:rFonts w:ascii="Aptos" w:hAnsi="Aptos" w:cs="Arial"/>
              </w:rPr>
              <w:t xml:space="preserve">on </w:t>
            </w:r>
            <w:r w:rsidRPr="001439E7">
              <w:rPr>
                <w:rFonts w:ascii="Aptos" w:hAnsi="Aptos" w:cs="Arial"/>
                <w:i/>
                <w:iCs/>
              </w:rPr>
              <w:t>the 2023-2030 Australian Cyber Security Strategy</w:t>
            </w:r>
            <w:r w:rsidRPr="001439E7">
              <w:rPr>
                <w:rFonts w:ascii="Aptos" w:hAnsi="Aptos" w:cs="Arial"/>
              </w:rPr>
              <w:t xml:space="preserve"> and continues to support Home Affairs to implement items under </w:t>
            </w:r>
            <w:r w:rsidRPr="001439E7">
              <w:rPr>
                <w:rFonts w:ascii="Aptos" w:hAnsi="Aptos" w:cs="Arial"/>
                <w:i/>
                <w:iCs/>
              </w:rPr>
              <w:t>the Cyber Security Strategy Action Plan</w:t>
            </w:r>
            <w:r>
              <w:rPr>
                <w:rFonts w:ascii="Aptos" w:hAnsi="Aptos" w:cs="Arial"/>
              </w:rPr>
              <w:t>.</w:t>
            </w:r>
          </w:p>
          <w:p w14:paraId="3CCC4A7B" w14:textId="77777777" w:rsidR="00FD6A55" w:rsidRPr="001439E7" w:rsidRDefault="00FD6A55">
            <w:pPr>
              <w:numPr>
                <w:ilvl w:val="0"/>
                <w:numId w:val="23"/>
              </w:numPr>
              <w:spacing w:after="0"/>
              <w:contextualSpacing/>
              <w:rPr>
                <w:rFonts w:ascii="Aptos" w:hAnsi="Aptos" w:cs="Arial"/>
              </w:rPr>
            </w:pPr>
            <w:r>
              <w:rPr>
                <w:rFonts w:ascii="Aptos" w:hAnsi="Aptos" w:cs="Arial"/>
              </w:rPr>
              <w:t>Enhancing the department’s</w:t>
            </w:r>
            <w:r w:rsidRPr="001439E7">
              <w:rPr>
                <w:rFonts w:ascii="Aptos" w:hAnsi="Aptos" w:cs="Arial"/>
              </w:rPr>
              <w:t xml:space="preserve"> internal guidance for officials undertaking due diligence for grant assessments, elevating the profile of foreign interference considerations across the department’s work.</w:t>
            </w:r>
          </w:p>
        </w:tc>
      </w:tr>
      <w:tr w:rsidR="00FD6A55" w:rsidRPr="001439E7" w14:paraId="199788C6" w14:textId="77777777" w:rsidTr="005A7073">
        <w:trPr>
          <w:trHeight w:val="429"/>
        </w:trPr>
        <w:tc>
          <w:tcPr>
            <w:tcW w:w="4488" w:type="dxa"/>
          </w:tcPr>
          <w:p w14:paraId="5FDFC0B8" w14:textId="77777777" w:rsidR="00FD6A55" w:rsidRDefault="00FD6A55">
            <w:pPr>
              <w:spacing w:after="0"/>
              <w:contextualSpacing/>
              <w:rPr>
                <w:rFonts w:ascii="Aptos" w:hAnsi="Aptos" w:cs="Arial"/>
              </w:rPr>
            </w:pPr>
            <w:r w:rsidRPr="001439E7">
              <w:rPr>
                <w:rFonts w:ascii="Aptos" w:hAnsi="Aptos" w:cs="Arial"/>
              </w:rPr>
              <w:t>Governance and risk frameworks</w:t>
            </w:r>
          </w:p>
          <w:p w14:paraId="25F145A3" w14:textId="77777777" w:rsidR="00FD6A55" w:rsidRDefault="00FD6A55">
            <w:pPr>
              <w:spacing w:after="0"/>
              <w:contextualSpacing/>
              <w:rPr>
                <w:rFonts w:ascii="Aptos" w:hAnsi="Aptos" w:cs="Arial"/>
              </w:rPr>
            </w:pPr>
          </w:p>
          <w:p w14:paraId="34093C2E" w14:textId="77777777" w:rsidR="00FD6A55" w:rsidRDefault="00FD6A55">
            <w:pPr>
              <w:spacing w:after="0"/>
              <w:contextualSpacing/>
              <w:rPr>
                <w:rFonts w:ascii="Aptos" w:hAnsi="Aptos" w:cs="Arial"/>
              </w:rPr>
            </w:pPr>
          </w:p>
          <w:p w14:paraId="615692DE" w14:textId="77777777" w:rsidR="00FD6A55" w:rsidRDefault="00FD6A55">
            <w:pPr>
              <w:spacing w:after="0"/>
              <w:contextualSpacing/>
              <w:rPr>
                <w:rFonts w:ascii="Aptos" w:hAnsi="Aptos" w:cs="Arial"/>
              </w:rPr>
            </w:pPr>
          </w:p>
          <w:p w14:paraId="514D268A" w14:textId="77777777" w:rsidR="00FD6A55" w:rsidRDefault="00FD6A55">
            <w:pPr>
              <w:spacing w:after="0"/>
              <w:contextualSpacing/>
              <w:rPr>
                <w:rFonts w:ascii="Aptos" w:hAnsi="Aptos" w:cs="Arial"/>
              </w:rPr>
            </w:pPr>
          </w:p>
          <w:p w14:paraId="17CC5872" w14:textId="77777777" w:rsidR="00FD6A55" w:rsidRPr="001439E7" w:rsidRDefault="00FD6A55">
            <w:pPr>
              <w:spacing w:after="0"/>
              <w:contextualSpacing/>
              <w:rPr>
                <w:rFonts w:ascii="Aptos" w:hAnsi="Aptos" w:cs="Arial"/>
              </w:rPr>
            </w:pPr>
          </w:p>
        </w:tc>
        <w:tc>
          <w:tcPr>
            <w:tcW w:w="4721" w:type="dxa"/>
            <w:vMerge/>
          </w:tcPr>
          <w:p w14:paraId="1569DEDD" w14:textId="77777777" w:rsidR="00FD6A55" w:rsidRPr="001439E7" w:rsidRDefault="00FD6A55">
            <w:pPr>
              <w:numPr>
                <w:ilvl w:val="0"/>
                <w:numId w:val="23"/>
              </w:numPr>
              <w:spacing w:after="0"/>
              <w:contextualSpacing/>
              <w:rPr>
                <w:rFonts w:ascii="Aptos" w:hAnsi="Aptos" w:cs="Arial"/>
              </w:rPr>
            </w:pPr>
          </w:p>
        </w:tc>
      </w:tr>
      <w:tr w:rsidR="00FD6A55" w:rsidRPr="001439E7" w14:paraId="22636C9E" w14:textId="77777777" w:rsidTr="005A7073">
        <w:trPr>
          <w:trHeight w:val="688"/>
        </w:trPr>
        <w:tc>
          <w:tcPr>
            <w:tcW w:w="4488" w:type="dxa"/>
          </w:tcPr>
          <w:p w14:paraId="6566C827" w14:textId="77777777" w:rsidR="00FD6A55" w:rsidRDefault="00FD6A55">
            <w:pPr>
              <w:spacing w:after="0"/>
              <w:contextualSpacing/>
              <w:rPr>
                <w:rFonts w:ascii="Aptos" w:hAnsi="Aptos" w:cs="Arial"/>
              </w:rPr>
            </w:pPr>
            <w:r w:rsidRPr="001439E7">
              <w:rPr>
                <w:rFonts w:ascii="Aptos" w:hAnsi="Aptos" w:cs="Arial"/>
              </w:rPr>
              <w:t>Communication, education and knowledge sharing</w:t>
            </w:r>
          </w:p>
          <w:p w14:paraId="33197129" w14:textId="77777777" w:rsidR="00FD6A55" w:rsidRDefault="00FD6A55">
            <w:pPr>
              <w:spacing w:after="0"/>
              <w:contextualSpacing/>
              <w:rPr>
                <w:rFonts w:ascii="Aptos" w:hAnsi="Aptos" w:cs="Arial"/>
              </w:rPr>
            </w:pPr>
          </w:p>
          <w:p w14:paraId="7217086F" w14:textId="77777777" w:rsidR="00FD6A55" w:rsidRDefault="00FD6A55">
            <w:pPr>
              <w:spacing w:after="0"/>
              <w:contextualSpacing/>
              <w:rPr>
                <w:rFonts w:ascii="Aptos" w:hAnsi="Aptos" w:cs="Arial"/>
              </w:rPr>
            </w:pPr>
          </w:p>
          <w:p w14:paraId="78AB82A8" w14:textId="77777777" w:rsidR="00FD6A55" w:rsidRDefault="00FD6A55">
            <w:pPr>
              <w:spacing w:after="0"/>
              <w:contextualSpacing/>
              <w:rPr>
                <w:rFonts w:ascii="Aptos" w:hAnsi="Aptos" w:cs="Arial"/>
              </w:rPr>
            </w:pPr>
          </w:p>
          <w:p w14:paraId="66C05C71" w14:textId="77777777" w:rsidR="00FD6A55" w:rsidRDefault="00FD6A55">
            <w:pPr>
              <w:spacing w:after="0"/>
              <w:contextualSpacing/>
              <w:rPr>
                <w:rFonts w:ascii="Aptos" w:hAnsi="Aptos" w:cs="Arial"/>
              </w:rPr>
            </w:pPr>
          </w:p>
          <w:p w14:paraId="7CA74D2A" w14:textId="77777777" w:rsidR="00FD6A55" w:rsidRPr="001439E7" w:rsidRDefault="00FD6A55">
            <w:pPr>
              <w:spacing w:after="0"/>
              <w:contextualSpacing/>
              <w:rPr>
                <w:rFonts w:ascii="Aptos" w:hAnsi="Aptos" w:cs="Arial"/>
              </w:rPr>
            </w:pPr>
          </w:p>
        </w:tc>
        <w:tc>
          <w:tcPr>
            <w:tcW w:w="4721" w:type="dxa"/>
            <w:vMerge/>
          </w:tcPr>
          <w:p w14:paraId="39483699" w14:textId="77777777" w:rsidR="00FD6A55" w:rsidRPr="001439E7" w:rsidRDefault="00FD6A55">
            <w:pPr>
              <w:spacing w:after="0"/>
              <w:rPr>
                <w:rFonts w:ascii="Aptos" w:hAnsi="Aptos" w:cs="Arial"/>
              </w:rPr>
            </w:pPr>
          </w:p>
        </w:tc>
      </w:tr>
      <w:tr w:rsidR="00FD6A55" w:rsidRPr="001439E7" w14:paraId="6582D9F0" w14:textId="77777777" w:rsidTr="005A7073">
        <w:trPr>
          <w:trHeight w:val="700"/>
        </w:trPr>
        <w:tc>
          <w:tcPr>
            <w:tcW w:w="4488" w:type="dxa"/>
          </w:tcPr>
          <w:p w14:paraId="5B4AA57D" w14:textId="77777777" w:rsidR="00FD6A55" w:rsidRDefault="00FD6A55">
            <w:pPr>
              <w:spacing w:after="0"/>
              <w:contextualSpacing/>
              <w:rPr>
                <w:rFonts w:ascii="Aptos" w:hAnsi="Aptos" w:cs="Arial"/>
              </w:rPr>
            </w:pPr>
            <w:r w:rsidRPr="001439E7">
              <w:rPr>
                <w:rFonts w:ascii="Aptos" w:hAnsi="Aptos" w:cs="Arial"/>
              </w:rPr>
              <w:t>Due diligence, risk assessments and management</w:t>
            </w:r>
          </w:p>
          <w:p w14:paraId="59BBA02C" w14:textId="77777777" w:rsidR="00FD6A55" w:rsidRDefault="00FD6A55">
            <w:pPr>
              <w:spacing w:after="0"/>
              <w:contextualSpacing/>
              <w:rPr>
                <w:rFonts w:ascii="Aptos" w:hAnsi="Aptos" w:cs="Arial"/>
              </w:rPr>
            </w:pPr>
          </w:p>
          <w:p w14:paraId="0DFCAA2E" w14:textId="77777777" w:rsidR="00FD6A55" w:rsidRDefault="00FD6A55">
            <w:pPr>
              <w:spacing w:after="0"/>
              <w:contextualSpacing/>
              <w:rPr>
                <w:rFonts w:ascii="Aptos" w:hAnsi="Aptos" w:cs="Arial"/>
              </w:rPr>
            </w:pPr>
          </w:p>
          <w:p w14:paraId="3119534B" w14:textId="77777777" w:rsidR="00FD6A55" w:rsidRDefault="00FD6A55">
            <w:pPr>
              <w:spacing w:after="0"/>
              <w:contextualSpacing/>
              <w:rPr>
                <w:rFonts w:ascii="Aptos" w:hAnsi="Aptos" w:cs="Arial"/>
              </w:rPr>
            </w:pPr>
          </w:p>
          <w:p w14:paraId="339D4102" w14:textId="77777777" w:rsidR="00FD6A55" w:rsidRDefault="00FD6A55">
            <w:pPr>
              <w:spacing w:after="0"/>
              <w:contextualSpacing/>
              <w:rPr>
                <w:rFonts w:ascii="Aptos" w:hAnsi="Aptos" w:cs="Arial"/>
              </w:rPr>
            </w:pPr>
          </w:p>
          <w:p w14:paraId="32D3BE9F" w14:textId="77777777" w:rsidR="00FD6A55" w:rsidRPr="001439E7" w:rsidRDefault="00FD6A55">
            <w:pPr>
              <w:spacing w:after="0"/>
              <w:contextualSpacing/>
              <w:rPr>
                <w:rFonts w:ascii="Aptos" w:hAnsi="Aptos" w:cs="Arial"/>
              </w:rPr>
            </w:pPr>
          </w:p>
        </w:tc>
        <w:tc>
          <w:tcPr>
            <w:tcW w:w="4721" w:type="dxa"/>
            <w:vMerge/>
          </w:tcPr>
          <w:p w14:paraId="0044ABE3" w14:textId="77777777" w:rsidR="00FD6A55" w:rsidRPr="001439E7" w:rsidRDefault="00FD6A55">
            <w:pPr>
              <w:spacing w:after="0"/>
              <w:rPr>
                <w:rFonts w:ascii="Aptos" w:hAnsi="Aptos" w:cs="Arial"/>
              </w:rPr>
            </w:pPr>
          </w:p>
        </w:tc>
      </w:tr>
      <w:tr w:rsidR="00FD6A55" w:rsidRPr="001439E7" w14:paraId="318F2F6E" w14:textId="77777777" w:rsidTr="005A7073">
        <w:tc>
          <w:tcPr>
            <w:tcW w:w="4488" w:type="dxa"/>
          </w:tcPr>
          <w:p w14:paraId="67EFA80D" w14:textId="77777777" w:rsidR="00FD6A55" w:rsidRDefault="00FD6A55">
            <w:pPr>
              <w:spacing w:after="0"/>
              <w:contextualSpacing/>
              <w:rPr>
                <w:rFonts w:ascii="Aptos" w:hAnsi="Aptos" w:cs="Arial"/>
              </w:rPr>
            </w:pPr>
            <w:r>
              <w:rPr>
                <w:rFonts w:ascii="Aptos" w:hAnsi="Aptos" w:cs="Arial"/>
              </w:rPr>
              <w:t>National security ecosystem</w:t>
            </w:r>
          </w:p>
          <w:p w14:paraId="700ED71B" w14:textId="77777777" w:rsidR="00FD6A55" w:rsidRDefault="00FD6A55">
            <w:pPr>
              <w:spacing w:after="0"/>
              <w:contextualSpacing/>
              <w:rPr>
                <w:rFonts w:ascii="Aptos" w:hAnsi="Aptos" w:cs="Arial"/>
              </w:rPr>
            </w:pPr>
          </w:p>
          <w:p w14:paraId="045F2597" w14:textId="77777777" w:rsidR="00FD6A55" w:rsidRDefault="00FD6A55">
            <w:pPr>
              <w:spacing w:after="0"/>
              <w:contextualSpacing/>
              <w:rPr>
                <w:rFonts w:ascii="Aptos" w:hAnsi="Aptos" w:cs="Arial"/>
              </w:rPr>
            </w:pPr>
          </w:p>
          <w:p w14:paraId="5131D238" w14:textId="77777777" w:rsidR="00FD6A55" w:rsidRDefault="00FD6A55">
            <w:pPr>
              <w:spacing w:after="0"/>
              <w:contextualSpacing/>
              <w:rPr>
                <w:rFonts w:ascii="Aptos" w:hAnsi="Aptos" w:cs="Arial"/>
              </w:rPr>
            </w:pPr>
          </w:p>
          <w:p w14:paraId="7F5A894E" w14:textId="77777777" w:rsidR="00FD6A55" w:rsidRDefault="00FD6A55">
            <w:pPr>
              <w:spacing w:after="0"/>
              <w:contextualSpacing/>
              <w:rPr>
                <w:rFonts w:ascii="Aptos" w:hAnsi="Aptos" w:cs="Arial"/>
              </w:rPr>
            </w:pPr>
          </w:p>
          <w:p w14:paraId="4F5262CE" w14:textId="77777777" w:rsidR="00FD6A55" w:rsidRPr="001439E7" w:rsidRDefault="00FD6A55">
            <w:pPr>
              <w:spacing w:after="0"/>
              <w:contextualSpacing/>
              <w:rPr>
                <w:rFonts w:ascii="Aptos" w:hAnsi="Aptos" w:cs="Arial"/>
              </w:rPr>
            </w:pPr>
          </w:p>
        </w:tc>
        <w:tc>
          <w:tcPr>
            <w:tcW w:w="4721" w:type="dxa"/>
            <w:vMerge/>
          </w:tcPr>
          <w:p w14:paraId="26A56137" w14:textId="77777777" w:rsidR="00FD6A55" w:rsidRPr="001439E7" w:rsidRDefault="00FD6A55">
            <w:pPr>
              <w:spacing w:after="0"/>
              <w:rPr>
                <w:rFonts w:ascii="Aptos" w:hAnsi="Aptos" w:cs="Arial"/>
              </w:rPr>
            </w:pPr>
          </w:p>
        </w:tc>
      </w:tr>
      <w:tr w:rsidR="00FD6A55" w:rsidRPr="001439E7" w14:paraId="5ABF549B" w14:textId="77777777" w:rsidTr="005A7073">
        <w:tc>
          <w:tcPr>
            <w:tcW w:w="4488" w:type="dxa"/>
          </w:tcPr>
          <w:p w14:paraId="1B939E86" w14:textId="3DB21BDB" w:rsidR="0059787A" w:rsidRPr="001439E7" w:rsidRDefault="00FD6A55">
            <w:pPr>
              <w:spacing w:after="0"/>
              <w:contextualSpacing/>
              <w:rPr>
                <w:rFonts w:ascii="Aptos" w:hAnsi="Aptos" w:cs="Arial"/>
              </w:rPr>
            </w:pPr>
            <w:r w:rsidRPr="001439E7">
              <w:rPr>
                <w:rFonts w:ascii="Aptos" w:hAnsi="Aptos" w:cs="Arial"/>
              </w:rPr>
              <w:t>Cyber</w:t>
            </w:r>
            <w:r>
              <w:rPr>
                <w:rFonts w:ascii="Aptos" w:hAnsi="Aptos" w:cs="Arial"/>
              </w:rPr>
              <w:t xml:space="preserve"> </w:t>
            </w:r>
            <w:r w:rsidRPr="001439E7">
              <w:rPr>
                <w:rFonts w:ascii="Aptos" w:hAnsi="Aptos" w:cs="Arial"/>
              </w:rPr>
              <w:t>security</w:t>
            </w:r>
          </w:p>
        </w:tc>
        <w:tc>
          <w:tcPr>
            <w:tcW w:w="4721" w:type="dxa"/>
            <w:vMerge/>
          </w:tcPr>
          <w:p w14:paraId="09353F05" w14:textId="77777777" w:rsidR="00FD6A55" w:rsidRPr="001439E7" w:rsidRDefault="00FD6A55">
            <w:pPr>
              <w:spacing w:after="0"/>
              <w:rPr>
                <w:rFonts w:ascii="Aptos" w:hAnsi="Aptos" w:cs="Arial"/>
              </w:rPr>
            </w:pPr>
          </w:p>
        </w:tc>
      </w:tr>
    </w:tbl>
    <w:p w14:paraId="6CC7DE36" w14:textId="42A71A90" w:rsidR="0017134D" w:rsidRDefault="0017134D" w:rsidP="0059787A">
      <w:pPr>
        <w:pStyle w:val="TOCHeading"/>
      </w:pPr>
    </w:p>
    <w:sectPr w:rsidR="0017134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F86F4" w14:textId="77777777" w:rsidR="00FD1D57" w:rsidRDefault="00FD1D57" w:rsidP="000A6228">
      <w:pPr>
        <w:spacing w:after="0" w:line="240" w:lineRule="auto"/>
      </w:pPr>
      <w:r>
        <w:separator/>
      </w:r>
    </w:p>
  </w:endnote>
  <w:endnote w:type="continuationSeparator" w:id="0">
    <w:p w14:paraId="7E9A3370" w14:textId="77777777" w:rsidR="00FD1D57" w:rsidRDefault="00FD1D5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F636A"/>
      </w:rPr>
      <w:id w:val="1282689520"/>
      <w:docPartObj>
        <w:docPartGallery w:val="Page Numbers (Bottom of Page)"/>
        <w:docPartUnique/>
      </w:docPartObj>
    </w:sdtPr>
    <w:sdtEndPr>
      <w:rPr>
        <w:noProof/>
      </w:rPr>
    </w:sdtEndPr>
    <w:sdtContent>
      <w:p w14:paraId="5ABE5C4C" w14:textId="77777777" w:rsidR="0008764C" w:rsidRPr="0008764C" w:rsidRDefault="0008764C" w:rsidP="0008764C">
        <w:pPr>
          <w:pStyle w:val="Header"/>
          <w:rPr>
            <w:rFonts w:ascii="Aptos" w:hAnsi="Aptos"/>
          </w:rPr>
        </w:pPr>
        <w:r w:rsidRPr="0008764C">
          <w:rPr>
            <w:rFonts w:ascii="Aptos" w:hAnsi="Aptos"/>
          </w:rPr>
          <w:t xml:space="preserve">Pulse Check on the implementation of the Guidelines to Counter Foreign Interference </w:t>
        </w:r>
      </w:p>
      <w:p w14:paraId="53E7C64B" w14:textId="77777777" w:rsidR="0008764C" w:rsidRPr="0008764C" w:rsidRDefault="0008764C" w:rsidP="0008764C">
        <w:pPr>
          <w:pStyle w:val="Header"/>
          <w:rPr>
            <w:rFonts w:ascii="Aptos" w:hAnsi="Aptos"/>
          </w:rPr>
        </w:pPr>
        <w:r w:rsidRPr="0008764C">
          <w:rPr>
            <w:rFonts w:ascii="Aptos" w:hAnsi="Aptos"/>
          </w:rPr>
          <w:t>in the Australian University Sector</w:t>
        </w:r>
      </w:p>
      <w:p w14:paraId="60021D0F" w14:textId="7DAF20A8" w:rsidR="00434831" w:rsidRDefault="00434831">
        <w:pPr>
          <w:pStyle w:val="Footer"/>
        </w:pPr>
        <w:r>
          <w:fldChar w:fldCharType="begin"/>
        </w:r>
        <w:r>
          <w:instrText xml:space="preserve"> PAGE   \* MERGEFORMAT </w:instrText>
        </w:r>
        <w:r>
          <w:fldChar w:fldCharType="separate"/>
        </w:r>
        <w:r>
          <w:rPr>
            <w:noProof/>
          </w:rPr>
          <w:t>2</w:t>
        </w:r>
        <w:r>
          <w:rPr>
            <w:noProof/>
          </w:rPr>
          <w:fldChar w:fldCharType="end"/>
        </w:r>
      </w:p>
    </w:sdtContent>
  </w:sdt>
  <w:p w14:paraId="38DEAF7A" w14:textId="0AD9C909" w:rsidR="00221D8F" w:rsidRDefault="00221D8F" w:rsidP="0008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6474E" w14:textId="77777777" w:rsidR="00FD1D57" w:rsidRDefault="00FD1D57" w:rsidP="000A6228">
      <w:pPr>
        <w:spacing w:after="0" w:line="240" w:lineRule="auto"/>
      </w:pPr>
      <w:r>
        <w:separator/>
      </w:r>
    </w:p>
  </w:footnote>
  <w:footnote w:type="continuationSeparator" w:id="0">
    <w:p w14:paraId="25C04998" w14:textId="77777777" w:rsidR="00FD1D57" w:rsidRDefault="00FD1D57" w:rsidP="000A6228">
      <w:pPr>
        <w:spacing w:after="0" w:line="240" w:lineRule="auto"/>
      </w:pPr>
      <w:r>
        <w:continuationSeparator/>
      </w:r>
    </w:p>
  </w:footnote>
  <w:footnote w:id="1">
    <w:p w14:paraId="725085DC" w14:textId="2AAFCD55" w:rsidR="00DC5F7C" w:rsidRDefault="00DC5F7C">
      <w:pPr>
        <w:pStyle w:val="FootnoteText"/>
      </w:pPr>
      <w:r>
        <w:rPr>
          <w:rStyle w:val="FootnoteReference"/>
        </w:rPr>
        <w:footnoteRef/>
      </w:r>
      <w:r>
        <w:t xml:space="preserve"> </w:t>
      </w:r>
      <w:hyperlink r:id="rId1" w:history="1">
        <w:r w:rsidR="00685F61" w:rsidRPr="00685F61">
          <w:rPr>
            <w:rStyle w:val="Hyperlink"/>
          </w:rPr>
          <w:t>Countering foreign interference in education and research (homeaffairs.gov.au)</w:t>
        </w:r>
      </w:hyperlink>
      <w:r w:rsidR="00685F61">
        <w:t xml:space="preserve">; </w:t>
      </w:r>
      <w:hyperlink r:id="rId2" w:history="1">
        <w:r w:rsidRPr="00DC5F7C">
          <w:rPr>
            <w:rStyle w:val="Hyperlink"/>
          </w:rPr>
          <w:t>University Foreign Interference Taskforce - Department of Education, Australian Government</w:t>
        </w:r>
      </w:hyperlink>
    </w:p>
  </w:footnote>
  <w:footnote w:id="2">
    <w:p w14:paraId="3109F9E9" w14:textId="2CA13C06" w:rsidR="005E39F7" w:rsidRDefault="005E39F7">
      <w:pPr>
        <w:pStyle w:val="FootnoteText"/>
      </w:pPr>
      <w:r>
        <w:rPr>
          <w:rStyle w:val="FootnoteReference"/>
        </w:rPr>
        <w:footnoteRef/>
      </w:r>
      <w:r>
        <w:t xml:space="preserve"> </w:t>
      </w:r>
      <w:hyperlink r:id="rId3" w:history="1">
        <w:r w:rsidRPr="0036629D">
          <w:rPr>
            <w:rStyle w:val="Hyperlink"/>
          </w:rPr>
          <w:t>https://www.education.gov.au/guidelines-counter-foreign-interference-australian-university-sector/resources/report-implementation-guidelines-counter-foreign-interference-australian-university-sector</w:t>
        </w:r>
      </w:hyperlink>
      <w:r>
        <w:t xml:space="preserve"> </w:t>
      </w:r>
    </w:p>
    <w:p w14:paraId="01BFF836" w14:textId="77777777" w:rsidR="00D1422F" w:rsidRDefault="00D1422F">
      <w:pPr>
        <w:pStyle w:val="FootnoteText"/>
      </w:pPr>
    </w:p>
  </w:footnote>
  <w:footnote w:id="3">
    <w:p w14:paraId="4BDAC9F9" w14:textId="3E2E14F7" w:rsidR="00CE2F5D" w:rsidRDefault="00CE2F5D">
      <w:pPr>
        <w:pStyle w:val="FootnoteText"/>
        <w:rPr>
          <w:rFonts w:ascii="Aptos" w:eastAsia="MS Mincho" w:hAnsi="Aptos" w:cs="Arial"/>
          <w:i/>
          <w:iCs/>
          <w:lang w:val="en-US" w:eastAsia="ja-JP"/>
        </w:rPr>
      </w:pPr>
      <w:r>
        <w:rPr>
          <w:rStyle w:val="FootnoteReference"/>
        </w:rPr>
        <w:footnoteRef/>
      </w:r>
      <w:r>
        <w:t xml:space="preserve"> </w:t>
      </w:r>
      <w:r w:rsidRPr="00DA14AC">
        <w:rPr>
          <w:rFonts w:ascii="Aptos" w:eastAsia="MS Mincho" w:hAnsi="Aptos" w:cs="Arial"/>
          <w:i/>
          <w:iCs/>
          <w:lang w:val="en-US" w:eastAsia="ja-JP"/>
        </w:rPr>
        <w:t>Survey responses were self-reported by universities and many of the below outcomes are based on responses provided in free text boxes. In many cases universities reported multiple initiatives and/or measures, and therefore the data provided should not be considered quantitative or final.</w:t>
      </w:r>
    </w:p>
    <w:p w14:paraId="26E2E04E" w14:textId="77777777" w:rsidR="00D1422F" w:rsidRDefault="00D142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395B" w14:textId="1E46C254" w:rsidR="00434831" w:rsidRPr="00B60761" w:rsidRDefault="00434831" w:rsidP="00B60761">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D05216"/>
    <w:multiLevelType w:val="hybridMultilevel"/>
    <w:tmpl w:val="65D2B3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7C035A"/>
    <w:multiLevelType w:val="hybridMultilevel"/>
    <w:tmpl w:val="65D2B3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E2E324B"/>
    <w:multiLevelType w:val="hybridMultilevel"/>
    <w:tmpl w:val="D436D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0D0402"/>
    <w:multiLevelType w:val="hybridMultilevel"/>
    <w:tmpl w:val="E2547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4A18DA"/>
    <w:multiLevelType w:val="hybridMultilevel"/>
    <w:tmpl w:val="219251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946BD7"/>
    <w:multiLevelType w:val="hybridMultilevel"/>
    <w:tmpl w:val="B282C91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3F6AF2"/>
    <w:multiLevelType w:val="hybridMultilevel"/>
    <w:tmpl w:val="FFB43A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CF65ED5"/>
    <w:multiLevelType w:val="hybridMultilevel"/>
    <w:tmpl w:val="54BE594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8657E0"/>
    <w:multiLevelType w:val="hybridMultilevel"/>
    <w:tmpl w:val="79947E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D4443"/>
    <w:multiLevelType w:val="hybridMultilevel"/>
    <w:tmpl w:val="42FE7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FE6582"/>
    <w:multiLevelType w:val="hybridMultilevel"/>
    <w:tmpl w:val="65D2B3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4624D2"/>
    <w:multiLevelType w:val="hybridMultilevel"/>
    <w:tmpl w:val="A768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F4F93"/>
    <w:multiLevelType w:val="hybridMultilevel"/>
    <w:tmpl w:val="14CAF618"/>
    <w:lvl w:ilvl="0" w:tplc="2E724038">
      <w:start w:val="1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9D947E0"/>
    <w:multiLevelType w:val="hybridMultilevel"/>
    <w:tmpl w:val="39C80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167F12"/>
    <w:multiLevelType w:val="hybridMultilevel"/>
    <w:tmpl w:val="70A27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1C5058"/>
    <w:multiLevelType w:val="hybridMultilevel"/>
    <w:tmpl w:val="26F4D2A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60524279">
    <w:abstractNumId w:val="15"/>
  </w:num>
  <w:num w:numId="2" w16cid:durableId="436947581">
    <w:abstractNumId w:val="5"/>
  </w:num>
  <w:num w:numId="3" w16cid:durableId="75826877">
    <w:abstractNumId w:val="4"/>
  </w:num>
  <w:num w:numId="4" w16cid:durableId="306322255">
    <w:abstractNumId w:val="3"/>
  </w:num>
  <w:num w:numId="5" w16cid:durableId="75978829">
    <w:abstractNumId w:val="17"/>
  </w:num>
  <w:num w:numId="6" w16cid:durableId="932514008">
    <w:abstractNumId w:val="2"/>
  </w:num>
  <w:num w:numId="7" w16cid:durableId="1936595011">
    <w:abstractNumId w:val="1"/>
  </w:num>
  <w:num w:numId="8" w16cid:durableId="499849793">
    <w:abstractNumId w:val="0"/>
  </w:num>
  <w:num w:numId="9" w16cid:durableId="1493595375">
    <w:abstractNumId w:val="16"/>
  </w:num>
  <w:num w:numId="10" w16cid:durableId="1807892893">
    <w:abstractNumId w:val="7"/>
  </w:num>
  <w:num w:numId="11" w16cid:durableId="1829053031">
    <w:abstractNumId w:val="29"/>
  </w:num>
  <w:num w:numId="12" w16cid:durableId="1117526806">
    <w:abstractNumId w:val="14"/>
  </w:num>
  <w:num w:numId="13" w16cid:durableId="2129464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30"/>
  </w:num>
  <w:num w:numId="17" w16cid:durableId="801265162">
    <w:abstractNumId w:val="20"/>
  </w:num>
  <w:num w:numId="18" w16cid:durableId="1928150622">
    <w:abstractNumId w:val="9"/>
  </w:num>
  <w:num w:numId="19" w16cid:durableId="476995438">
    <w:abstractNumId w:val="25"/>
  </w:num>
  <w:num w:numId="20" w16cid:durableId="380832969">
    <w:abstractNumId w:val="21"/>
  </w:num>
  <w:num w:numId="21" w16cid:durableId="1687710710">
    <w:abstractNumId w:val="24"/>
  </w:num>
  <w:num w:numId="22" w16cid:durableId="56901112">
    <w:abstractNumId w:val="28"/>
  </w:num>
  <w:num w:numId="23" w16cid:durableId="1748847107">
    <w:abstractNumId w:val="22"/>
  </w:num>
  <w:num w:numId="24" w16cid:durableId="2052151126">
    <w:abstractNumId w:val="23"/>
  </w:num>
  <w:num w:numId="25" w16cid:durableId="355084927">
    <w:abstractNumId w:val="33"/>
  </w:num>
  <w:num w:numId="26" w16cid:durableId="1338267075">
    <w:abstractNumId w:val="21"/>
  </w:num>
  <w:num w:numId="27" w16cid:durableId="1792242789">
    <w:abstractNumId w:val="12"/>
  </w:num>
  <w:num w:numId="28" w16cid:durableId="725181978">
    <w:abstractNumId w:val="19"/>
  </w:num>
  <w:num w:numId="29" w16cid:durableId="1217621193">
    <w:abstractNumId w:val="18"/>
  </w:num>
  <w:num w:numId="30" w16cid:durableId="946815230">
    <w:abstractNumId w:val="13"/>
  </w:num>
  <w:num w:numId="31" w16cid:durableId="1097554622">
    <w:abstractNumId w:val="31"/>
  </w:num>
  <w:num w:numId="32" w16cid:durableId="950480527">
    <w:abstractNumId w:val="11"/>
  </w:num>
  <w:num w:numId="33" w16cid:durableId="1829789160">
    <w:abstractNumId w:val="8"/>
  </w:num>
  <w:num w:numId="34" w16cid:durableId="2129543043">
    <w:abstractNumId w:val="26"/>
  </w:num>
  <w:num w:numId="35" w16cid:durableId="725030245">
    <w:abstractNumId w:val="32"/>
  </w:num>
  <w:num w:numId="36" w16cid:durableId="1997227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142"/>
    <w:rsid w:val="000120D5"/>
    <w:rsid w:val="00012366"/>
    <w:rsid w:val="00020252"/>
    <w:rsid w:val="00021FBE"/>
    <w:rsid w:val="00025EAF"/>
    <w:rsid w:val="00031C11"/>
    <w:rsid w:val="00033B0F"/>
    <w:rsid w:val="0003530B"/>
    <w:rsid w:val="00041CF6"/>
    <w:rsid w:val="00042B05"/>
    <w:rsid w:val="000521D7"/>
    <w:rsid w:val="0006407F"/>
    <w:rsid w:val="00081154"/>
    <w:rsid w:val="000855E9"/>
    <w:rsid w:val="0008764C"/>
    <w:rsid w:val="0009302B"/>
    <w:rsid w:val="000A0B58"/>
    <w:rsid w:val="000A3B31"/>
    <w:rsid w:val="000A5DB8"/>
    <w:rsid w:val="000A6228"/>
    <w:rsid w:val="000B1C50"/>
    <w:rsid w:val="000B5D40"/>
    <w:rsid w:val="000B7EC6"/>
    <w:rsid w:val="000C04DE"/>
    <w:rsid w:val="000D54D0"/>
    <w:rsid w:val="000E05DB"/>
    <w:rsid w:val="000E6D2F"/>
    <w:rsid w:val="000F1BD3"/>
    <w:rsid w:val="000F4D45"/>
    <w:rsid w:val="000F6174"/>
    <w:rsid w:val="000F6AD5"/>
    <w:rsid w:val="00105338"/>
    <w:rsid w:val="00107D87"/>
    <w:rsid w:val="00107DD5"/>
    <w:rsid w:val="001117E7"/>
    <w:rsid w:val="00111EF6"/>
    <w:rsid w:val="00115FE2"/>
    <w:rsid w:val="0012343A"/>
    <w:rsid w:val="00130C24"/>
    <w:rsid w:val="001311F6"/>
    <w:rsid w:val="00133B8D"/>
    <w:rsid w:val="00135FDD"/>
    <w:rsid w:val="0013611E"/>
    <w:rsid w:val="00141B6F"/>
    <w:rsid w:val="001445A6"/>
    <w:rsid w:val="00144D2C"/>
    <w:rsid w:val="0014710F"/>
    <w:rsid w:val="001474FB"/>
    <w:rsid w:val="00147F50"/>
    <w:rsid w:val="001515BF"/>
    <w:rsid w:val="001625B3"/>
    <w:rsid w:val="0017134D"/>
    <w:rsid w:val="00185864"/>
    <w:rsid w:val="00194885"/>
    <w:rsid w:val="001C1523"/>
    <w:rsid w:val="001C1810"/>
    <w:rsid w:val="001C286E"/>
    <w:rsid w:val="001C41F9"/>
    <w:rsid w:val="001C598B"/>
    <w:rsid w:val="001D0639"/>
    <w:rsid w:val="001E01AA"/>
    <w:rsid w:val="001E06D8"/>
    <w:rsid w:val="001F3F8C"/>
    <w:rsid w:val="00212B3C"/>
    <w:rsid w:val="00221D8F"/>
    <w:rsid w:val="00222F80"/>
    <w:rsid w:val="002272DB"/>
    <w:rsid w:val="0023546C"/>
    <w:rsid w:val="00236E98"/>
    <w:rsid w:val="00237D9A"/>
    <w:rsid w:val="00263ED7"/>
    <w:rsid w:val="002718A5"/>
    <w:rsid w:val="002724B0"/>
    <w:rsid w:val="00275791"/>
    <w:rsid w:val="00276047"/>
    <w:rsid w:val="0027698C"/>
    <w:rsid w:val="002775D1"/>
    <w:rsid w:val="00291FC4"/>
    <w:rsid w:val="0029269D"/>
    <w:rsid w:val="00294515"/>
    <w:rsid w:val="002A00DE"/>
    <w:rsid w:val="002A4458"/>
    <w:rsid w:val="002A5390"/>
    <w:rsid w:val="002A562F"/>
    <w:rsid w:val="002A73DB"/>
    <w:rsid w:val="002B445A"/>
    <w:rsid w:val="002B50C7"/>
    <w:rsid w:val="002D040B"/>
    <w:rsid w:val="002D589A"/>
    <w:rsid w:val="002D599D"/>
    <w:rsid w:val="002E024D"/>
    <w:rsid w:val="002E0D11"/>
    <w:rsid w:val="002F2B22"/>
    <w:rsid w:val="003009CE"/>
    <w:rsid w:val="00300FC9"/>
    <w:rsid w:val="00301067"/>
    <w:rsid w:val="00301476"/>
    <w:rsid w:val="00320BE3"/>
    <w:rsid w:val="0032395D"/>
    <w:rsid w:val="00325C01"/>
    <w:rsid w:val="00332EE1"/>
    <w:rsid w:val="00335C4D"/>
    <w:rsid w:val="00336751"/>
    <w:rsid w:val="003422E7"/>
    <w:rsid w:val="003423B3"/>
    <w:rsid w:val="00343B55"/>
    <w:rsid w:val="0035769F"/>
    <w:rsid w:val="00357A4F"/>
    <w:rsid w:val="00361AE3"/>
    <w:rsid w:val="00361B18"/>
    <w:rsid w:val="0036269A"/>
    <w:rsid w:val="00362AC4"/>
    <w:rsid w:val="003649AC"/>
    <w:rsid w:val="0037204A"/>
    <w:rsid w:val="00373F8E"/>
    <w:rsid w:val="00375039"/>
    <w:rsid w:val="003810EE"/>
    <w:rsid w:val="00386995"/>
    <w:rsid w:val="0039302A"/>
    <w:rsid w:val="003A1DA7"/>
    <w:rsid w:val="003A6F5D"/>
    <w:rsid w:val="003B6AC8"/>
    <w:rsid w:val="003C528F"/>
    <w:rsid w:val="003C5C69"/>
    <w:rsid w:val="003D11E9"/>
    <w:rsid w:val="003D3C7C"/>
    <w:rsid w:val="003E46FB"/>
    <w:rsid w:val="003F1D54"/>
    <w:rsid w:val="0040155D"/>
    <w:rsid w:val="00403663"/>
    <w:rsid w:val="00413545"/>
    <w:rsid w:val="0041492C"/>
    <w:rsid w:val="0041713E"/>
    <w:rsid w:val="00421392"/>
    <w:rsid w:val="00421D3F"/>
    <w:rsid w:val="00423227"/>
    <w:rsid w:val="00423785"/>
    <w:rsid w:val="004324B6"/>
    <w:rsid w:val="00434831"/>
    <w:rsid w:val="00435BBF"/>
    <w:rsid w:val="004402EE"/>
    <w:rsid w:val="004432A5"/>
    <w:rsid w:val="00450B4E"/>
    <w:rsid w:val="00452258"/>
    <w:rsid w:val="00452D26"/>
    <w:rsid w:val="00454269"/>
    <w:rsid w:val="004560B5"/>
    <w:rsid w:val="00462185"/>
    <w:rsid w:val="00470CC6"/>
    <w:rsid w:val="004763CD"/>
    <w:rsid w:val="004846C8"/>
    <w:rsid w:val="00487474"/>
    <w:rsid w:val="004936FB"/>
    <w:rsid w:val="004A06CD"/>
    <w:rsid w:val="004A4192"/>
    <w:rsid w:val="004A4279"/>
    <w:rsid w:val="004A4B6F"/>
    <w:rsid w:val="004A4CF9"/>
    <w:rsid w:val="004B3EF1"/>
    <w:rsid w:val="004B5220"/>
    <w:rsid w:val="004C1046"/>
    <w:rsid w:val="004C571F"/>
    <w:rsid w:val="004D0C03"/>
    <w:rsid w:val="004D2965"/>
    <w:rsid w:val="004D41A4"/>
    <w:rsid w:val="004F423B"/>
    <w:rsid w:val="004F5755"/>
    <w:rsid w:val="00503767"/>
    <w:rsid w:val="005037CE"/>
    <w:rsid w:val="00507D29"/>
    <w:rsid w:val="005107F4"/>
    <w:rsid w:val="00512081"/>
    <w:rsid w:val="0051287A"/>
    <w:rsid w:val="005238B4"/>
    <w:rsid w:val="0052487F"/>
    <w:rsid w:val="00525D5A"/>
    <w:rsid w:val="00546E17"/>
    <w:rsid w:val="00547603"/>
    <w:rsid w:val="00553BE0"/>
    <w:rsid w:val="00561359"/>
    <w:rsid w:val="00565ED4"/>
    <w:rsid w:val="0056614B"/>
    <w:rsid w:val="0057030B"/>
    <w:rsid w:val="00570317"/>
    <w:rsid w:val="005731E3"/>
    <w:rsid w:val="0058293F"/>
    <w:rsid w:val="00596CC0"/>
    <w:rsid w:val="0059787A"/>
    <w:rsid w:val="005A24FB"/>
    <w:rsid w:val="005A2761"/>
    <w:rsid w:val="005A7073"/>
    <w:rsid w:val="005A75C9"/>
    <w:rsid w:val="005B12D9"/>
    <w:rsid w:val="005B187D"/>
    <w:rsid w:val="005B3720"/>
    <w:rsid w:val="005C1C25"/>
    <w:rsid w:val="005C2486"/>
    <w:rsid w:val="005C66A5"/>
    <w:rsid w:val="005D7975"/>
    <w:rsid w:val="005E39F7"/>
    <w:rsid w:val="005E4A19"/>
    <w:rsid w:val="005F497F"/>
    <w:rsid w:val="005F768C"/>
    <w:rsid w:val="00607F58"/>
    <w:rsid w:val="00610136"/>
    <w:rsid w:val="0061603D"/>
    <w:rsid w:val="006232DC"/>
    <w:rsid w:val="006305AE"/>
    <w:rsid w:val="0063094F"/>
    <w:rsid w:val="0065423C"/>
    <w:rsid w:val="00656125"/>
    <w:rsid w:val="00657988"/>
    <w:rsid w:val="00673830"/>
    <w:rsid w:val="00673C64"/>
    <w:rsid w:val="006756EC"/>
    <w:rsid w:val="00684E8B"/>
    <w:rsid w:val="00685F61"/>
    <w:rsid w:val="00690E2E"/>
    <w:rsid w:val="006927E6"/>
    <w:rsid w:val="006A41E2"/>
    <w:rsid w:val="006A660E"/>
    <w:rsid w:val="006A790C"/>
    <w:rsid w:val="006C2C71"/>
    <w:rsid w:val="006C2DFE"/>
    <w:rsid w:val="006D008F"/>
    <w:rsid w:val="006D3F5C"/>
    <w:rsid w:val="006D4D37"/>
    <w:rsid w:val="006D59E0"/>
    <w:rsid w:val="006D67F3"/>
    <w:rsid w:val="006E16C4"/>
    <w:rsid w:val="006F1FFF"/>
    <w:rsid w:val="006F666E"/>
    <w:rsid w:val="006F6D10"/>
    <w:rsid w:val="00703598"/>
    <w:rsid w:val="00712B94"/>
    <w:rsid w:val="00713024"/>
    <w:rsid w:val="00713BF2"/>
    <w:rsid w:val="00713EE4"/>
    <w:rsid w:val="007151F5"/>
    <w:rsid w:val="0072083C"/>
    <w:rsid w:val="00722428"/>
    <w:rsid w:val="007248B0"/>
    <w:rsid w:val="007357E0"/>
    <w:rsid w:val="00736E5A"/>
    <w:rsid w:val="00741A9E"/>
    <w:rsid w:val="00745D92"/>
    <w:rsid w:val="00751EA1"/>
    <w:rsid w:val="00753893"/>
    <w:rsid w:val="00754C60"/>
    <w:rsid w:val="007554A9"/>
    <w:rsid w:val="00764497"/>
    <w:rsid w:val="00775606"/>
    <w:rsid w:val="0079324B"/>
    <w:rsid w:val="0079590D"/>
    <w:rsid w:val="007A169C"/>
    <w:rsid w:val="007A4186"/>
    <w:rsid w:val="007B1E29"/>
    <w:rsid w:val="007B2CA1"/>
    <w:rsid w:val="007B49A7"/>
    <w:rsid w:val="007B62AE"/>
    <w:rsid w:val="007C1144"/>
    <w:rsid w:val="007C534B"/>
    <w:rsid w:val="007D0ABC"/>
    <w:rsid w:val="007D719E"/>
    <w:rsid w:val="007D7FD0"/>
    <w:rsid w:val="007F733F"/>
    <w:rsid w:val="00800214"/>
    <w:rsid w:val="00800EC6"/>
    <w:rsid w:val="00800F8B"/>
    <w:rsid w:val="008042F5"/>
    <w:rsid w:val="00817A4C"/>
    <w:rsid w:val="00817BE7"/>
    <w:rsid w:val="00826661"/>
    <w:rsid w:val="0084048D"/>
    <w:rsid w:val="00845B1B"/>
    <w:rsid w:val="00847AE3"/>
    <w:rsid w:val="00850AC3"/>
    <w:rsid w:val="008553CF"/>
    <w:rsid w:val="00861534"/>
    <w:rsid w:val="00865067"/>
    <w:rsid w:val="008732F6"/>
    <w:rsid w:val="008736E7"/>
    <w:rsid w:val="00874165"/>
    <w:rsid w:val="00874748"/>
    <w:rsid w:val="0087500C"/>
    <w:rsid w:val="0087580A"/>
    <w:rsid w:val="00886959"/>
    <w:rsid w:val="00887B94"/>
    <w:rsid w:val="008937A6"/>
    <w:rsid w:val="00895823"/>
    <w:rsid w:val="008A1215"/>
    <w:rsid w:val="008A36E1"/>
    <w:rsid w:val="008A37A7"/>
    <w:rsid w:val="008A7094"/>
    <w:rsid w:val="008B0736"/>
    <w:rsid w:val="008B5716"/>
    <w:rsid w:val="008B607D"/>
    <w:rsid w:val="008C74AA"/>
    <w:rsid w:val="008D0120"/>
    <w:rsid w:val="008D5FA1"/>
    <w:rsid w:val="008E088D"/>
    <w:rsid w:val="008F0A37"/>
    <w:rsid w:val="008F29D1"/>
    <w:rsid w:val="008F3051"/>
    <w:rsid w:val="008F3197"/>
    <w:rsid w:val="008F6D4A"/>
    <w:rsid w:val="00903AF8"/>
    <w:rsid w:val="009047B6"/>
    <w:rsid w:val="00915612"/>
    <w:rsid w:val="00921C84"/>
    <w:rsid w:val="00927345"/>
    <w:rsid w:val="0093018D"/>
    <w:rsid w:val="0093091C"/>
    <w:rsid w:val="00931E82"/>
    <w:rsid w:val="00942141"/>
    <w:rsid w:val="00942567"/>
    <w:rsid w:val="0094353B"/>
    <w:rsid w:val="00944A49"/>
    <w:rsid w:val="009452C6"/>
    <w:rsid w:val="0095066C"/>
    <w:rsid w:val="00950B06"/>
    <w:rsid w:val="00953E71"/>
    <w:rsid w:val="00955250"/>
    <w:rsid w:val="00970069"/>
    <w:rsid w:val="009714C1"/>
    <w:rsid w:val="009721EB"/>
    <w:rsid w:val="00974130"/>
    <w:rsid w:val="00974347"/>
    <w:rsid w:val="0097438D"/>
    <w:rsid w:val="00984321"/>
    <w:rsid w:val="009A2D04"/>
    <w:rsid w:val="009A45D6"/>
    <w:rsid w:val="009A530A"/>
    <w:rsid w:val="009A67DC"/>
    <w:rsid w:val="009B0B85"/>
    <w:rsid w:val="009B706E"/>
    <w:rsid w:val="009B711D"/>
    <w:rsid w:val="009C423A"/>
    <w:rsid w:val="009E79ED"/>
    <w:rsid w:val="009F4347"/>
    <w:rsid w:val="00A07596"/>
    <w:rsid w:val="00A15779"/>
    <w:rsid w:val="00A17A08"/>
    <w:rsid w:val="00A20ED1"/>
    <w:rsid w:val="00A25E6E"/>
    <w:rsid w:val="00A27EAD"/>
    <w:rsid w:val="00A341F8"/>
    <w:rsid w:val="00A35CB3"/>
    <w:rsid w:val="00A44745"/>
    <w:rsid w:val="00A466DB"/>
    <w:rsid w:val="00A53607"/>
    <w:rsid w:val="00A54B8A"/>
    <w:rsid w:val="00A563DC"/>
    <w:rsid w:val="00A56558"/>
    <w:rsid w:val="00A60673"/>
    <w:rsid w:val="00A60EA5"/>
    <w:rsid w:val="00A669B6"/>
    <w:rsid w:val="00A7279D"/>
    <w:rsid w:val="00A72F07"/>
    <w:rsid w:val="00A73C61"/>
    <w:rsid w:val="00A90311"/>
    <w:rsid w:val="00AA34B5"/>
    <w:rsid w:val="00AA6ED4"/>
    <w:rsid w:val="00AB4B80"/>
    <w:rsid w:val="00AC09FC"/>
    <w:rsid w:val="00AC1872"/>
    <w:rsid w:val="00AC4C69"/>
    <w:rsid w:val="00AD0371"/>
    <w:rsid w:val="00AD631F"/>
    <w:rsid w:val="00AD6B59"/>
    <w:rsid w:val="00AD7F2C"/>
    <w:rsid w:val="00AE21FF"/>
    <w:rsid w:val="00AE275B"/>
    <w:rsid w:val="00AE4F93"/>
    <w:rsid w:val="00AE6733"/>
    <w:rsid w:val="00AE6796"/>
    <w:rsid w:val="00AF1F18"/>
    <w:rsid w:val="00AF2944"/>
    <w:rsid w:val="00AF32E0"/>
    <w:rsid w:val="00AF33B3"/>
    <w:rsid w:val="00B04646"/>
    <w:rsid w:val="00B05C37"/>
    <w:rsid w:val="00B0726E"/>
    <w:rsid w:val="00B07EA9"/>
    <w:rsid w:val="00B2160D"/>
    <w:rsid w:val="00B219D1"/>
    <w:rsid w:val="00B21A2A"/>
    <w:rsid w:val="00B26C3A"/>
    <w:rsid w:val="00B37335"/>
    <w:rsid w:val="00B55B26"/>
    <w:rsid w:val="00B60761"/>
    <w:rsid w:val="00B6787D"/>
    <w:rsid w:val="00B72C5C"/>
    <w:rsid w:val="00B81FA4"/>
    <w:rsid w:val="00B8794C"/>
    <w:rsid w:val="00B95EF4"/>
    <w:rsid w:val="00B9706C"/>
    <w:rsid w:val="00B97B7E"/>
    <w:rsid w:val="00BA15B1"/>
    <w:rsid w:val="00BA326D"/>
    <w:rsid w:val="00BB40C0"/>
    <w:rsid w:val="00BB59CA"/>
    <w:rsid w:val="00BB6509"/>
    <w:rsid w:val="00BC248C"/>
    <w:rsid w:val="00BC4E7A"/>
    <w:rsid w:val="00BC64B9"/>
    <w:rsid w:val="00BD65C8"/>
    <w:rsid w:val="00BE1622"/>
    <w:rsid w:val="00BE4F02"/>
    <w:rsid w:val="00BE7C06"/>
    <w:rsid w:val="00BF2605"/>
    <w:rsid w:val="00BF3361"/>
    <w:rsid w:val="00C01EC0"/>
    <w:rsid w:val="00C11A11"/>
    <w:rsid w:val="00C13E22"/>
    <w:rsid w:val="00C13E2D"/>
    <w:rsid w:val="00C1761F"/>
    <w:rsid w:val="00C244EE"/>
    <w:rsid w:val="00C313BB"/>
    <w:rsid w:val="00C320DC"/>
    <w:rsid w:val="00C444D5"/>
    <w:rsid w:val="00C45CCE"/>
    <w:rsid w:val="00C5265C"/>
    <w:rsid w:val="00C550E0"/>
    <w:rsid w:val="00C61105"/>
    <w:rsid w:val="00C61BCF"/>
    <w:rsid w:val="00C62CB8"/>
    <w:rsid w:val="00C643E2"/>
    <w:rsid w:val="00C66B07"/>
    <w:rsid w:val="00C717B5"/>
    <w:rsid w:val="00C71960"/>
    <w:rsid w:val="00C72224"/>
    <w:rsid w:val="00C7482C"/>
    <w:rsid w:val="00C75706"/>
    <w:rsid w:val="00C816A4"/>
    <w:rsid w:val="00C8695A"/>
    <w:rsid w:val="00C90244"/>
    <w:rsid w:val="00C944DD"/>
    <w:rsid w:val="00C97751"/>
    <w:rsid w:val="00CA03A0"/>
    <w:rsid w:val="00CA1BCC"/>
    <w:rsid w:val="00CA20C0"/>
    <w:rsid w:val="00CA4815"/>
    <w:rsid w:val="00CB2E33"/>
    <w:rsid w:val="00CB4DBD"/>
    <w:rsid w:val="00CB54D6"/>
    <w:rsid w:val="00CC702B"/>
    <w:rsid w:val="00CD0027"/>
    <w:rsid w:val="00CE2F5D"/>
    <w:rsid w:val="00CE35E9"/>
    <w:rsid w:val="00CE589F"/>
    <w:rsid w:val="00CE6ECD"/>
    <w:rsid w:val="00CF0D75"/>
    <w:rsid w:val="00CF4948"/>
    <w:rsid w:val="00CF6562"/>
    <w:rsid w:val="00CF7375"/>
    <w:rsid w:val="00D03990"/>
    <w:rsid w:val="00D06121"/>
    <w:rsid w:val="00D10C19"/>
    <w:rsid w:val="00D11101"/>
    <w:rsid w:val="00D1198A"/>
    <w:rsid w:val="00D1422F"/>
    <w:rsid w:val="00D17D5F"/>
    <w:rsid w:val="00D25537"/>
    <w:rsid w:val="00D25A16"/>
    <w:rsid w:val="00D3018E"/>
    <w:rsid w:val="00D34E9C"/>
    <w:rsid w:val="00D36077"/>
    <w:rsid w:val="00D47B8F"/>
    <w:rsid w:val="00D54608"/>
    <w:rsid w:val="00D567DD"/>
    <w:rsid w:val="00D5688A"/>
    <w:rsid w:val="00D61618"/>
    <w:rsid w:val="00D706BE"/>
    <w:rsid w:val="00D720F7"/>
    <w:rsid w:val="00D74968"/>
    <w:rsid w:val="00D74F51"/>
    <w:rsid w:val="00D77F16"/>
    <w:rsid w:val="00D84BE5"/>
    <w:rsid w:val="00D8503A"/>
    <w:rsid w:val="00D91BA2"/>
    <w:rsid w:val="00DA1147"/>
    <w:rsid w:val="00DA14AC"/>
    <w:rsid w:val="00DA462B"/>
    <w:rsid w:val="00DB15A9"/>
    <w:rsid w:val="00DC4283"/>
    <w:rsid w:val="00DC5980"/>
    <w:rsid w:val="00DC5F7C"/>
    <w:rsid w:val="00DD025B"/>
    <w:rsid w:val="00DD2B46"/>
    <w:rsid w:val="00DD4F7E"/>
    <w:rsid w:val="00DF3B9C"/>
    <w:rsid w:val="00E02080"/>
    <w:rsid w:val="00E04C4C"/>
    <w:rsid w:val="00E05C4B"/>
    <w:rsid w:val="00E06814"/>
    <w:rsid w:val="00E072CC"/>
    <w:rsid w:val="00E2190F"/>
    <w:rsid w:val="00E24D4A"/>
    <w:rsid w:val="00E443FB"/>
    <w:rsid w:val="00E447D0"/>
    <w:rsid w:val="00E529E5"/>
    <w:rsid w:val="00E6011B"/>
    <w:rsid w:val="00E8036E"/>
    <w:rsid w:val="00E80FE7"/>
    <w:rsid w:val="00E84B0D"/>
    <w:rsid w:val="00E90F8E"/>
    <w:rsid w:val="00E941E8"/>
    <w:rsid w:val="00E96967"/>
    <w:rsid w:val="00EA5CB1"/>
    <w:rsid w:val="00EB26F0"/>
    <w:rsid w:val="00EB4C2F"/>
    <w:rsid w:val="00EC28F3"/>
    <w:rsid w:val="00ED0DDF"/>
    <w:rsid w:val="00ED5771"/>
    <w:rsid w:val="00ED5F22"/>
    <w:rsid w:val="00ED6AB9"/>
    <w:rsid w:val="00EE021B"/>
    <w:rsid w:val="00EE4E72"/>
    <w:rsid w:val="00EE5D8C"/>
    <w:rsid w:val="00EF0FC0"/>
    <w:rsid w:val="00EF217D"/>
    <w:rsid w:val="00EF741B"/>
    <w:rsid w:val="00F1000D"/>
    <w:rsid w:val="00F13419"/>
    <w:rsid w:val="00F164B2"/>
    <w:rsid w:val="00F25C6C"/>
    <w:rsid w:val="00F311A4"/>
    <w:rsid w:val="00F34D7C"/>
    <w:rsid w:val="00F5097D"/>
    <w:rsid w:val="00F537D0"/>
    <w:rsid w:val="00F572E5"/>
    <w:rsid w:val="00F713C2"/>
    <w:rsid w:val="00F739FF"/>
    <w:rsid w:val="00F82C2C"/>
    <w:rsid w:val="00F85913"/>
    <w:rsid w:val="00F91CC8"/>
    <w:rsid w:val="00F93928"/>
    <w:rsid w:val="00F9790A"/>
    <w:rsid w:val="00FA02ED"/>
    <w:rsid w:val="00FA178F"/>
    <w:rsid w:val="00FA6842"/>
    <w:rsid w:val="00FD1D57"/>
    <w:rsid w:val="00FD1FB4"/>
    <w:rsid w:val="00FD4A50"/>
    <w:rsid w:val="00FD4D6E"/>
    <w:rsid w:val="00FD6A55"/>
    <w:rsid w:val="00FE6D62"/>
    <w:rsid w:val="00FF2419"/>
    <w:rsid w:val="00FF4249"/>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A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1B"/>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CommentText">
    <w:name w:val="annotation text"/>
    <w:basedOn w:val="Normal"/>
    <w:link w:val="CommentTextChar"/>
    <w:uiPriority w:val="99"/>
    <w:unhideWhenUsed/>
    <w:rsid w:val="00A15779"/>
    <w:pPr>
      <w:spacing w:line="240" w:lineRule="auto"/>
    </w:pPr>
    <w:rPr>
      <w:sz w:val="20"/>
      <w:szCs w:val="20"/>
    </w:rPr>
  </w:style>
  <w:style w:type="character" w:customStyle="1" w:styleId="CommentTextChar">
    <w:name w:val="Comment Text Char"/>
    <w:basedOn w:val="DefaultParagraphFont"/>
    <w:link w:val="CommentText"/>
    <w:uiPriority w:val="99"/>
    <w:rsid w:val="00A15779"/>
    <w:rPr>
      <w:sz w:val="20"/>
      <w:szCs w:val="20"/>
    </w:rPr>
  </w:style>
  <w:style w:type="character" w:styleId="CommentReference">
    <w:name w:val="annotation reference"/>
    <w:basedOn w:val="DefaultParagraphFont"/>
    <w:uiPriority w:val="99"/>
    <w:semiHidden/>
    <w:unhideWhenUsed/>
    <w:rsid w:val="00A15779"/>
    <w:rPr>
      <w:sz w:val="16"/>
      <w:szCs w:val="16"/>
    </w:rPr>
  </w:style>
  <w:style w:type="table" w:customStyle="1" w:styleId="TableGrid1">
    <w:name w:val="Table Grid1"/>
    <w:basedOn w:val="TableNormal"/>
    <w:next w:val="TableGrid"/>
    <w:uiPriority w:val="39"/>
    <w:rsid w:val="00A15779"/>
    <w:pPr>
      <w:spacing w:after="0" w:line="240" w:lineRule="auto"/>
    </w:pPr>
    <w:rPr>
      <w:rFonts w:eastAsia="MS Mincho"/>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15779"/>
    <w:pPr>
      <w:spacing w:after="0" w:line="240" w:lineRule="auto"/>
    </w:pPr>
    <w:rPr>
      <w:rFonts w:eastAsia="MS Mincho"/>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15779"/>
    <w:pPr>
      <w:ind w:left="720"/>
      <w:contextualSpacing/>
    </w:pPr>
  </w:style>
  <w:style w:type="paragraph" w:styleId="Revision">
    <w:name w:val="Revision"/>
    <w:hidden/>
    <w:uiPriority w:val="99"/>
    <w:semiHidden/>
    <w:rsid w:val="00745D92"/>
    <w:pPr>
      <w:spacing w:after="0" w:line="240" w:lineRule="auto"/>
    </w:pPr>
  </w:style>
  <w:style w:type="paragraph" w:styleId="CommentSubject">
    <w:name w:val="annotation subject"/>
    <w:basedOn w:val="CommentText"/>
    <w:next w:val="CommentText"/>
    <w:link w:val="CommentSubjectChar"/>
    <w:uiPriority w:val="99"/>
    <w:semiHidden/>
    <w:unhideWhenUsed/>
    <w:rsid w:val="00D91BA2"/>
    <w:rPr>
      <w:b/>
      <w:bCs/>
    </w:rPr>
  </w:style>
  <w:style w:type="character" w:customStyle="1" w:styleId="CommentSubjectChar">
    <w:name w:val="Comment Subject Char"/>
    <w:basedOn w:val="CommentTextChar"/>
    <w:link w:val="CommentSubject"/>
    <w:uiPriority w:val="99"/>
    <w:semiHidden/>
    <w:rsid w:val="00D91BA2"/>
    <w:rPr>
      <w:b/>
      <w:bCs/>
      <w:sz w:val="20"/>
      <w:szCs w:val="20"/>
    </w:rPr>
  </w:style>
  <w:style w:type="paragraph" w:styleId="FootnoteText">
    <w:name w:val="footnote text"/>
    <w:basedOn w:val="Normal"/>
    <w:link w:val="FootnoteTextChar"/>
    <w:uiPriority w:val="99"/>
    <w:semiHidden/>
    <w:unhideWhenUsed/>
    <w:rsid w:val="00DC5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F7C"/>
    <w:rPr>
      <w:sz w:val="20"/>
      <w:szCs w:val="20"/>
    </w:rPr>
  </w:style>
  <w:style w:type="character" w:styleId="FootnoteReference">
    <w:name w:val="footnote reference"/>
    <w:basedOn w:val="DefaultParagraphFont"/>
    <w:uiPriority w:val="99"/>
    <w:semiHidden/>
    <w:unhideWhenUsed/>
    <w:rsid w:val="00DC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reativecommons.org/licenses/by/4.0/"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www.education.gov.au/guidelines-counter-foreign-interference-australian-university-sector/resources/campus-culture-guidance-not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hyperlink" Target="https://www.education.gov.au/guidelines-counter-foreign-interference-australian-university-sector/resources/national-security-architecture-placem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guidelines-counter-foreign-interference-australian-university-sector/resources/report-implementation-guidelines-counter-foreign-interference-australian-university-sector" TargetMode="External"/><Relationship Id="rId2" Type="http://schemas.openxmlformats.org/officeDocument/2006/relationships/hyperlink" Target="https://www.education.gov.au/guidelines-counter-foreign-interference-australian-university-sector/university-foreign-interference-taskforce" TargetMode="External"/><Relationship Id="rId1" Type="http://schemas.openxmlformats.org/officeDocument/2006/relationships/hyperlink" Target="https://www.homeaffairs.gov.au/about-us/our-portfolios/national-security/countering-foreign-interference/in-education-and-researc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bg2"/>
                </a:solidFill>
                <a:latin typeface="Aptos" panose="020B0004020202020204" pitchFamily="34" charset="0"/>
              </a:rPr>
              <a:t>Has your university established,</a:t>
            </a:r>
            <a:r>
              <a:rPr lang="en-US" sz="1200" b="1" baseline="0">
                <a:solidFill>
                  <a:schemeClr val="bg2"/>
                </a:solidFill>
                <a:latin typeface="Aptos" panose="020B0004020202020204" pitchFamily="34" charset="0"/>
              </a:rPr>
              <a:t> reviewed or updated any key initiatives or measures to address the risk of foreign interference in the past 12 months?</a:t>
            </a:r>
            <a:endParaRPr lang="en-US" sz="1200" b="1">
              <a:solidFill>
                <a:schemeClr val="bg2"/>
              </a:solidFill>
              <a:latin typeface="Aptos" panose="020B0004020202020204" pitchFamily="34" charset="0"/>
            </a:endParaRPr>
          </a:p>
        </c:rich>
      </c:tx>
      <c:layout>
        <c:manualLayout>
          <c:xMode val="edge"/>
          <c:yMode val="edge"/>
          <c:x val="0.11427404700963248"/>
          <c:y val="7.87037037037037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0"/>
          <c:tx>
            <c:strRef>
              <c:f>Sheet1!$B$1</c:f>
              <c:strCache>
                <c:ptCount val="1"/>
                <c:pt idx="0">
                  <c:v>No</c:v>
                </c:pt>
              </c:strCache>
            </c:strRef>
          </c:tx>
          <c:spPr>
            <a:solidFill>
              <a:srgbClr val="008599"/>
            </a:solidFill>
            <a:ln>
              <a:noFill/>
            </a:ln>
            <a:effectLst/>
          </c:spPr>
          <c:invertIfNegative val="0"/>
          <c:dLbls>
            <c:dLbl>
              <c:idx val="0"/>
              <c:layout>
                <c:manualLayout>
                  <c:x val="-6.2430147736549653E-2"/>
                  <c:y val="-3.289476994289569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r>
                      <a:rPr lang="en-US">
                        <a:solidFill>
                          <a:schemeClr val="bg1"/>
                        </a:solidFill>
                      </a:rPr>
                      <a:t>8%</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219620958751391E-2"/>
                      <c:h val="8.542789059262329E-2"/>
                    </c:manualLayout>
                  </c15:layout>
                  <c15:showDataLabelsRange val="0"/>
                </c:ext>
                <c:ext xmlns:c16="http://schemas.microsoft.com/office/drawing/2014/chart" uri="{C3380CC4-5D6E-409C-BE32-E72D297353CC}">
                  <c16:uniqueId val="{00000003-89F3-403A-96EE-492D991E87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3</c:v>
                </c:pt>
              </c:numCache>
            </c:numRef>
          </c:val>
          <c:extLst>
            <c:ext xmlns:c16="http://schemas.microsoft.com/office/drawing/2014/chart" uri="{C3380CC4-5D6E-409C-BE32-E72D297353CC}">
              <c16:uniqueId val="{00000000-89F3-403A-96EE-492D991E8704}"/>
            </c:ext>
          </c:extLst>
        </c:ser>
        <c:ser>
          <c:idx val="0"/>
          <c:order val="1"/>
          <c:tx>
            <c:strRef>
              <c:f>Sheet1!$A$1</c:f>
              <c:strCache>
                <c:ptCount val="1"/>
                <c:pt idx="0">
                  <c:v>Yes</c:v>
                </c:pt>
              </c:strCache>
            </c:strRef>
          </c:tx>
          <c:spPr>
            <a:solidFill>
              <a:schemeClr val="tx2"/>
            </a:solidFill>
            <a:ln>
              <a:noFill/>
            </a:ln>
            <a:effectLst/>
          </c:spPr>
          <c:invertIfNegative val="0"/>
          <c:dLbls>
            <c:dLbl>
              <c:idx val="0"/>
              <c:layout>
                <c:manualLayout>
                  <c:x val="-6.4659977703455968E-2"/>
                  <c:y val="1.8917763075142763E-4"/>
                </c:manualLayout>
              </c:layout>
              <c:tx>
                <c:rich>
                  <a:bodyPr/>
                  <a:lstStyle/>
                  <a:p>
                    <a:r>
                      <a:rPr lang="en-US" b="1">
                        <a:solidFill>
                          <a:schemeClr val="bg1"/>
                        </a:solidFill>
                      </a:rPr>
                      <a:t>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9F3-403A-96EE-492D991E87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36</c:v>
                </c:pt>
              </c:numCache>
            </c:numRef>
          </c:val>
          <c:extLst>
            <c:ext xmlns:c16="http://schemas.microsoft.com/office/drawing/2014/chart" uri="{C3380CC4-5D6E-409C-BE32-E72D297353CC}">
              <c16:uniqueId val="{00000001-89F3-403A-96EE-492D991E8704}"/>
            </c:ext>
          </c:extLst>
        </c:ser>
        <c:dLbls>
          <c:showLegendKey val="0"/>
          <c:showVal val="0"/>
          <c:showCatName val="0"/>
          <c:showSerName val="0"/>
          <c:showPercent val="0"/>
          <c:showBubbleSize val="0"/>
        </c:dLbls>
        <c:gapWidth val="182"/>
        <c:axId val="4189327"/>
        <c:axId val="110107263"/>
      </c:barChart>
      <c:catAx>
        <c:axId val="4189327"/>
        <c:scaling>
          <c:orientation val="minMax"/>
        </c:scaling>
        <c:delete val="1"/>
        <c:axPos val="l"/>
        <c:majorTickMark val="none"/>
        <c:minorTickMark val="none"/>
        <c:tickLblPos val="nextTo"/>
        <c:crossAx val="110107263"/>
        <c:crosses val="autoZero"/>
        <c:auto val="1"/>
        <c:lblAlgn val="ctr"/>
        <c:lblOffset val="100"/>
        <c:noMultiLvlLbl val="0"/>
      </c:catAx>
      <c:valAx>
        <c:axId val="110107263"/>
        <c:scaling>
          <c:orientation val="minMax"/>
        </c:scaling>
        <c:delete val="1"/>
        <c:axPos val="b"/>
        <c:majorGridlines>
          <c:spPr>
            <a:ln w="9525" cap="flat" cmpd="sng" algn="ctr">
              <a:noFill/>
              <a:round/>
            </a:ln>
            <a:effectLst/>
          </c:spPr>
        </c:majorGridlines>
        <c:numFmt formatCode="General" sourceLinked="1"/>
        <c:majorTickMark val="none"/>
        <c:minorTickMark val="none"/>
        <c:tickLblPos val="nextTo"/>
        <c:crossAx val="4189327"/>
        <c:crosses val="autoZero"/>
        <c:crossBetween val="between"/>
      </c:valAx>
      <c:spPr>
        <a:noFill/>
        <a:ln>
          <a:noFill/>
        </a:ln>
        <a:effectLst/>
      </c:spPr>
    </c:plotArea>
    <c:legend>
      <c:legendPos val="l"/>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1.3377926421404682E-2"/>
          <c:y val="0.51022263590853068"/>
          <c:w val="6.3035841255628999E-2"/>
          <c:h val="0.292333777766597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solidFill>
                  <a:schemeClr val="bg2"/>
                </a:solidFill>
              </a:rPr>
              <a:t>Percentage of universities which ranked Guidelines pillar as first priority for investment.</a:t>
            </a:r>
          </a:p>
        </c:rich>
      </c:tx>
      <c:layout>
        <c:manualLayout>
          <c:xMode val="edge"/>
          <c:yMode val="edge"/>
          <c:x val="0.10213436478334943"/>
          <c:y val="2.97029702970297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838167104111985"/>
          <c:y val="0.19719444444444445"/>
          <c:w val="0.39712554680664924"/>
          <c:h val="0.56668476903870169"/>
        </c:manualLayout>
      </c:layout>
      <c:pieChart>
        <c:varyColors val="1"/>
        <c:ser>
          <c:idx val="0"/>
          <c:order val="0"/>
          <c:dPt>
            <c:idx val="0"/>
            <c:bubble3D val="0"/>
            <c:spPr>
              <a:solidFill>
                <a:srgbClr val="47BFAF"/>
              </a:solidFill>
              <a:ln w="19050">
                <a:solidFill>
                  <a:schemeClr val="lt1"/>
                </a:solidFill>
              </a:ln>
              <a:effectLst/>
            </c:spPr>
            <c:extLst>
              <c:ext xmlns:c16="http://schemas.microsoft.com/office/drawing/2014/chart" uri="{C3380CC4-5D6E-409C-BE32-E72D297353CC}">
                <c16:uniqueId val="{00000001-5A07-4003-9BF9-3E2DF7E21795}"/>
              </c:ext>
            </c:extLst>
          </c:dPt>
          <c:dPt>
            <c:idx val="1"/>
            <c:bubble3D val="0"/>
            <c:spPr>
              <a:solidFill>
                <a:srgbClr val="008599"/>
              </a:solidFill>
              <a:ln w="19050">
                <a:solidFill>
                  <a:schemeClr val="lt1"/>
                </a:solidFill>
              </a:ln>
              <a:effectLst/>
            </c:spPr>
            <c:extLst>
              <c:ext xmlns:c16="http://schemas.microsoft.com/office/drawing/2014/chart" uri="{C3380CC4-5D6E-409C-BE32-E72D297353CC}">
                <c16:uniqueId val="{00000003-5A07-4003-9BF9-3E2DF7E21795}"/>
              </c:ext>
            </c:extLst>
          </c:dPt>
          <c:dPt>
            <c:idx val="2"/>
            <c:bubble3D val="0"/>
            <c:spPr>
              <a:solidFill>
                <a:srgbClr val="55437E"/>
              </a:solidFill>
              <a:ln w="19050">
                <a:solidFill>
                  <a:schemeClr val="lt1"/>
                </a:solidFill>
              </a:ln>
              <a:effectLst/>
            </c:spPr>
            <c:extLst>
              <c:ext xmlns:c16="http://schemas.microsoft.com/office/drawing/2014/chart" uri="{C3380CC4-5D6E-409C-BE32-E72D297353CC}">
                <c16:uniqueId val="{00000005-5A07-4003-9BF9-3E2DF7E21795}"/>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5A07-4003-9BF9-3E2DF7E21795}"/>
              </c:ext>
            </c:extLst>
          </c:dPt>
          <c:dLbls>
            <c:dLbl>
              <c:idx val="0"/>
              <c:layout>
                <c:manualLayout>
                  <c:x val="-5.7919313456604442E-2"/>
                  <c:y val="0.12958317035424569"/>
                </c:manualLayout>
              </c:layout>
              <c:tx>
                <c:rich>
                  <a:bodyPr/>
                  <a:lstStyle/>
                  <a:p>
                    <a:r>
                      <a:rPr lang="en-US" sz="1100" b="1">
                        <a:solidFill>
                          <a:schemeClr val="tx1"/>
                        </a:solidFill>
                      </a:rPr>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A07-4003-9BF9-3E2DF7E21795}"/>
                </c:ext>
              </c:extLst>
            </c:dLbl>
            <c:dLbl>
              <c:idx val="1"/>
              <c:layout>
                <c:manualLayout>
                  <c:x val="-0.13050880297266212"/>
                  <c:y val="-1.2789068213125627E-2"/>
                </c:manualLayout>
              </c:layout>
              <c:tx>
                <c:rich>
                  <a:bodyPr/>
                  <a:lstStyle/>
                  <a:p>
                    <a:r>
                      <a:rPr lang="en-US" sz="1100" b="1">
                        <a:solidFill>
                          <a:schemeClr val="bg1"/>
                        </a:solidFill>
                      </a:rPr>
                      <a:t>15%</a:t>
                    </a:r>
                  </a:p>
                </c:rich>
              </c:tx>
              <c:showLegendKey val="0"/>
              <c:showVal val="1"/>
              <c:showCatName val="0"/>
              <c:showSerName val="0"/>
              <c:showPercent val="0"/>
              <c:showBubbleSize val="0"/>
              <c:extLst>
                <c:ext xmlns:c15="http://schemas.microsoft.com/office/drawing/2012/chart" uri="{CE6537A1-D6FC-4f65-9D91-7224C49458BB}">
                  <c15:layout>
                    <c:manualLayout>
                      <c:w val="0.15416666666666667"/>
                      <c:h val="6.597222222222221E-2"/>
                    </c:manualLayout>
                  </c15:layout>
                  <c15:showDataLabelsRange val="0"/>
                </c:ext>
                <c:ext xmlns:c16="http://schemas.microsoft.com/office/drawing/2014/chart" uri="{C3380CC4-5D6E-409C-BE32-E72D297353CC}">
                  <c16:uniqueId val="{00000003-5A07-4003-9BF9-3E2DF7E21795}"/>
                </c:ext>
              </c:extLst>
            </c:dLbl>
            <c:dLbl>
              <c:idx val="2"/>
              <c:layout>
                <c:manualLayout>
                  <c:x val="-0.16111111111111112"/>
                  <c:y val="-0.12709706616729088"/>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sz="1100" b="1"/>
                      <a:t>15%</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25277777777777777"/>
                      <c:h val="5.3511235955056177E-2"/>
                    </c:manualLayout>
                  </c15:layout>
                  <c15:showDataLabelsRange val="0"/>
                </c:ext>
                <c:ext xmlns:c16="http://schemas.microsoft.com/office/drawing/2014/chart" uri="{C3380CC4-5D6E-409C-BE32-E72D297353CC}">
                  <c16:uniqueId val="{00000005-5A07-4003-9BF9-3E2DF7E21795}"/>
                </c:ext>
              </c:extLst>
            </c:dLbl>
            <c:dLbl>
              <c:idx val="3"/>
              <c:layout>
                <c:manualLayout>
                  <c:x val="0.11192356011678316"/>
                  <c:y val="-1.2537882008809374E-2"/>
                </c:manualLayout>
              </c:layout>
              <c:tx>
                <c:rich>
                  <a:bodyPr/>
                  <a:lstStyle/>
                  <a:p>
                    <a:r>
                      <a:rPr lang="en-US" sz="1100" b="1">
                        <a:solidFill>
                          <a:schemeClr val="bg1"/>
                        </a:solidFill>
                      </a:rPr>
                      <a:t>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A07-4003-9BF9-3E2DF7E217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Sheet1!$A$1:$D$1</c:f>
              <c:strCache>
                <c:ptCount val="4"/>
                <c:pt idx="0">
                  <c:v>Governance and Risk Frameworks</c:v>
                </c:pt>
                <c:pt idx="1">
                  <c:v>Communication, education and knowledge sharing</c:v>
                </c:pt>
                <c:pt idx="2">
                  <c:v>Due diligence, risk assessments and management</c:v>
                </c:pt>
                <c:pt idx="3">
                  <c:v>Cyber security </c:v>
                </c:pt>
              </c:strCache>
            </c:strRef>
          </c:cat>
          <c:val>
            <c:numRef>
              <c:f>Sheet1!$A$2:$D$2</c:f>
              <c:numCache>
                <c:formatCode>General</c:formatCode>
                <c:ptCount val="4"/>
                <c:pt idx="0">
                  <c:v>7</c:v>
                </c:pt>
                <c:pt idx="1">
                  <c:v>6</c:v>
                </c:pt>
                <c:pt idx="2">
                  <c:v>6</c:v>
                </c:pt>
                <c:pt idx="3">
                  <c:v>20</c:v>
                </c:pt>
              </c:numCache>
            </c:numRef>
          </c:val>
          <c:extLst>
            <c:ext xmlns:c16="http://schemas.microsoft.com/office/drawing/2014/chart" uri="{C3380CC4-5D6E-409C-BE32-E72D297353CC}">
              <c16:uniqueId val="{00000008-5A07-4003-9BF9-3E2DF7E21795}"/>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legendEntry>
      <c:legendEntry>
        <c:idx val="3"/>
        <c:txPr>
          <a:bodyPr rot="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legendEntry>
      <c:layout>
        <c:manualLayout>
          <c:xMode val="edge"/>
          <c:yMode val="edge"/>
          <c:x val="0.10891294838145232"/>
          <c:y val="0.79388077403245938"/>
          <c:w val="0.77939632545931758"/>
          <c:h val="0.1744088639200998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solidFill>
                  <a:schemeClr val="bg2"/>
                </a:solidFill>
                <a:latin typeface="Aptos" panose="020B0004020202020204" pitchFamily="34" charset="0"/>
              </a:rPr>
              <a:t>Percentage</a:t>
            </a:r>
            <a:r>
              <a:rPr lang="en-AU" b="1" baseline="0">
                <a:solidFill>
                  <a:schemeClr val="bg2"/>
                </a:solidFill>
                <a:latin typeface="Aptos" panose="020B0004020202020204" pitchFamily="34" charset="0"/>
              </a:rPr>
              <a:t> of universities which ranked each Guidelines pillar by priority for investment. </a:t>
            </a:r>
            <a:endParaRPr lang="en-AU" b="1">
              <a:solidFill>
                <a:schemeClr val="bg2"/>
              </a:solidFill>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Priority 1</c:v>
                </c:pt>
              </c:strCache>
            </c:strRef>
          </c:tx>
          <c:spPr>
            <a:solidFill>
              <a:schemeClr val="accent1"/>
            </a:solidFill>
            <a:ln>
              <a:noFill/>
            </a:ln>
            <a:effectLst/>
          </c:spPr>
          <c:invertIfNegative val="0"/>
          <c:dLbls>
            <c:dLbl>
              <c:idx val="3"/>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9B-4FA8-9C03-8A91BD0892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Governance and risk frameworks </c:v>
                </c:pt>
                <c:pt idx="1">
                  <c:v>Communication, education and knowledge sharing</c:v>
                </c:pt>
                <c:pt idx="2">
                  <c:v>Due diligence, risk assessments, and management</c:v>
                </c:pt>
                <c:pt idx="3">
                  <c:v>Cyber security </c:v>
                </c:pt>
              </c:strCache>
            </c:strRef>
          </c:cat>
          <c:val>
            <c:numRef>
              <c:f>Sheet1!$B$2:$B$5</c:f>
              <c:numCache>
                <c:formatCode>0%</c:formatCode>
                <c:ptCount val="4"/>
                <c:pt idx="0">
                  <c:v>0.17948717948717949</c:v>
                </c:pt>
                <c:pt idx="1">
                  <c:v>0.15384615384615385</c:v>
                </c:pt>
                <c:pt idx="2">
                  <c:v>0.15384615384615385</c:v>
                </c:pt>
                <c:pt idx="3">
                  <c:v>0.51282051282051277</c:v>
                </c:pt>
              </c:numCache>
            </c:numRef>
          </c:val>
          <c:extLst>
            <c:ext xmlns:c16="http://schemas.microsoft.com/office/drawing/2014/chart" uri="{C3380CC4-5D6E-409C-BE32-E72D297353CC}">
              <c16:uniqueId val="{00000000-FC95-4DA4-9BC9-50BD497AD6E8}"/>
            </c:ext>
          </c:extLst>
        </c:ser>
        <c:ser>
          <c:idx val="1"/>
          <c:order val="1"/>
          <c:tx>
            <c:strRef>
              <c:f>Sheet1!$C$1</c:f>
              <c:strCache>
                <c:ptCount val="1"/>
                <c:pt idx="0">
                  <c:v>Priority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Governance and risk frameworks </c:v>
                </c:pt>
                <c:pt idx="1">
                  <c:v>Communication, education and knowledge sharing</c:v>
                </c:pt>
                <c:pt idx="2">
                  <c:v>Due diligence, risk assessments, and management</c:v>
                </c:pt>
                <c:pt idx="3">
                  <c:v>Cyber security </c:v>
                </c:pt>
              </c:strCache>
            </c:strRef>
          </c:cat>
          <c:val>
            <c:numRef>
              <c:f>Sheet1!$C$2:$C$5</c:f>
              <c:numCache>
                <c:formatCode>0%</c:formatCode>
                <c:ptCount val="4"/>
                <c:pt idx="0">
                  <c:v>0.23076923076923078</c:v>
                </c:pt>
                <c:pt idx="1">
                  <c:v>0.12820512820512819</c:v>
                </c:pt>
                <c:pt idx="2">
                  <c:v>0.48717948717948717</c:v>
                </c:pt>
                <c:pt idx="3">
                  <c:v>0.15384615384615385</c:v>
                </c:pt>
              </c:numCache>
            </c:numRef>
          </c:val>
          <c:extLst>
            <c:ext xmlns:c16="http://schemas.microsoft.com/office/drawing/2014/chart" uri="{C3380CC4-5D6E-409C-BE32-E72D297353CC}">
              <c16:uniqueId val="{00000001-FC95-4DA4-9BC9-50BD497AD6E8}"/>
            </c:ext>
          </c:extLst>
        </c:ser>
        <c:ser>
          <c:idx val="2"/>
          <c:order val="2"/>
          <c:tx>
            <c:strRef>
              <c:f>Sheet1!$D$1</c:f>
              <c:strCache>
                <c:ptCount val="1"/>
                <c:pt idx="0">
                  <c:v>Priority 3</c:v>
                </c:pt>
              </c:strCache>
            </c:strRef>
          </c:tx>
          <c:spPr>
            <a:solidFill>
              <a:schemeClr val="accent3"/>
            </a:solidFill>
            <a:ln>
              <a:noFill/>
            </a:ln>
            <a:effectLst/>
          </c:spPr>
          <c:invertIfNegative val="0"/>
          <c:dLbls>
            <c:dLbl>
              <c:idx val="3"/>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9B-4FA8-9C03-8A91BD0892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Governance and risk frameworks </c:v>
                </c:pt>
                <c:pt idx="1">
                  <c:v>Communication, education and knowledge sharing</c:v>
                </c:pt>
                <c:pt idx="2">
                  <c:v>Due diligence, risk assessments, and management</c:v>
                </c:pt>
                <c:pt idx="3">
                  <c:v>Cyber security </c:v>
                </c:pt>
              </c:strCache>
            </c:strRef>
          </c:cat>
          <c:val>
            <c:numRef>
              <c:f>Sheet1!$D$2:$D$5</c:f>
              <c:numCache>
                <c:formatCode>0%</c:formatCode>
                <c:ptCount val="4"/>
                <c:pt idx="0">
                  <c:v>0.20512820512820512</c:v>
                </c:pt>
                <c:pt idx="1">
                  <c:v>0.33333333333333331</c:v>
                </c:pt>
                <c:pt idx="2">
                  <c:v>0.25641025641025639</c:v>
                </c:pt>
                <c:pt idx="3">
                  <c:v>0.20512820512820512</c:v>
                </c:pt>
              </c:numCache>
            </c:numRef>
          </c:val>
          <c:extLst>
            <c:ext xmlns:c16="http://schemas.microsoft.com/office/drawing/2014/chart" uri="{C3380CC4-5D6E-409C-BE32-E72D297353CC}">
              <c16:uniqueId val="{00000002-FC95-4DA4-9BC9-50BD497AD6E8}"/>
            </c:ext>
          </c:extLst>
        </c:ser>
        <c:ser>
          <c:idx val="3"/>
          <c:order val="3"/>
          <c:tx>
            <c:strRef>
              <c:f>Sheet1!$E$1</c:f>
              <c:strCache>
                <c:ptCount val="1"/>
                <c:pt idx="0">
                  <c:v>Priority 4</c:v>
                </c:pt>
              </c:strCache>
            </c:strRef>
          </c:tx>
          <c:spPr>
            <a:solidFill>
              <a:schemeClr val="accent4"/>
            </a:solidFill>
            <a:ln>
              <a:noFill/>
            </a:ln>
            <a:effectLst/>
          </c:spPr>
          <c:invertIfNegative val="0"/>
          <c:dLbls>
            <c:dLbl>
              <c:idx val="1"/>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69B-4FA8-9C03-8A91BD0892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Governance and risk frameworks </c:v>
                </c:pt>
                <c:pt idx="1">
                  <c:v>Communication, education and knowledge sharing</c:v>
                </c:pt>
                <c:pt idx="2">
                  <c:v>Due diligence, risk assessments, and management</c:v>
                </c:pt>
                <c:pt idx="3">
                  <c:v>Cyber security </c:v>
                </c:pt>
              </c:strCache>
            </c:strRef>
          </c:cat>
          <c:val>
            <c:numRef>
              <c:f>Sheet1!$E$2:$E$5</c:f>
              <c:numCache>
                <c:formatCode>0%</c:formatCode>
                <c:ptCount val="4"/>
                <c:pt idx="0">
                  <c:v>0.38461538461538464</c:v>
                </c:pt>
                <c:pt idx="1">
                  <c:v>0.38461538461538464</c:v>
                </c:pt>
                <c:pt idx="2">
                  <c:v>0.10256410256410256</c:v>
                </c:pt>
                <c:pt idx="3">
                  <c:v>0.12820512820512819</c:v>
                </c:pt>
              </c:numCache>
            </c:numRef>
          </c:val>
          <c:extLst>
            <c:ext xmlns:c16="http://schemas.microsoft.com/office/drawing/2014/chart" uri="{C3380CC4-5D6E-409C-BE32-E72D297353CC}">
              <c16:uniqueId val="{00000003-FC95-4DA4-9BC9-50BD497AD6E8}"/>
            </c:ext>
          </c:extLst>
        </c:ser>
        <c:dLbls>
          <c:showLegendKey val="0"/>
          <c:showVal val="0"/>
          <c:showCatName val="0"/>
          <c:showSerName val="0"/>
          <c:showPercent val="0"/>
          <c:showBubbleSize val="0"/>
        </c:dLbls>
        <c:gapWidth val="150"/>
        <c:overlap val="100"/>
        <c:axId val="253042175"/>
        <c:axId val="253043135"/>
      </c:barChart>
      <c:catAx>
        <c:axId val="253042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crossAx val="253043135"/>
        <c:crosses val="autoZero"/>
        <c:auto val="1"/>
        <c:lblAlgn val="ctr"/>
        <c:lblOffset val="100"/>
        <c:noMultiLvlLbl val="0"/>
      </c:catAx>
      <c:valAx>
        <c:axId val="253043135"/>
        <c:scaling>
          <c:orientation val="minMax"/>
        </c:scaling>
        <c:delete val="1"/>
        <c:axPos val="b"/>
        <c:numFmt formatCode="0%" sourceLinked="1"/>
        <c:majorTickMark val="none"/>
        <c:minorTickMark val="none"/>
        <c:tickLblPos val="nextTo"/>
        <c:crossAx val="25304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solidFill>
                  <a:schemeClr val="bg2"/>
                </a:solidFill>
                <a:latin typeface="Aptos" panose="020B0004020202020204" pitchFamily="34" charset="0"/>
              </a:rPr>
              <a:t>University</a:t>
            </a:r>
            <a:r>
              <a:rPr lang="en-AU" b="1" baseline="0">
                <a:solidFill>
                  <a:schemeClr val="bg2"/>
                </a:solidFill>
                <a:latin typeface="Aptos" panose="020B0004020202020204" pitchFamily="34" charset="0"/>
              </a:rPr>
              <a:t> interest in a </a:t>
            </a:r>
            <a:r>
              <a:rPr lang="en-AU" b="1">
                <a:solidFill>
                  <a:schemeClr val="bg2"/>
                </a:solidFill>
                <a:latin typeface="Aptos" panose="020B0004020202020204" pitchFamily="34" charset="0"/>
              </a:rPr>
              <a:t>CoP</a:t>
            </a:r>
            <a:r>
              <a:rPr lang="en-AU" b="1" baseline="0">
                <a:solidFill>
                  <a:schemeClr val="bg2"/>
                </a:solidFill>
                <a:latin typeface="Aptos" panose="020B0004020202020204" pitchFamily="34" charset="0"/>
              </a:rPr>
              <a:t> Forum </a:t>
            </a:r>
            <a:endParaRPr lang="en-AU" b="1">
              <a:solidFill>
                <a:schemeClr val="bg2"/>
              </a:solidFill>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853129122890776"/>
          <c:y val="0.12461455026455026"/>
          <c:w val="0.5114687087710923"/>
          <c:h val="0.81196904761904765"/>
        </c:manualLayout>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Would your university be willing to share resources and/or foreign interference mitigations at a CoP forum?</c:v>
                </c:pt>
                <c:pt idx="1">
                  <c:v>Would your university participate in ongoing (e.g. quarterly) CoPs, independent of Department of Education involvement?</c:v>
                </c:pt>
                <c:pt idx="2">
                  <c:v>Would your university participate in an initial CoP forum established by the Department of Education?</c:v>
                </c:pt>
              </c:strCache>
            </c:strRef>
          </c:cat>
          <c:val>
            <c:numRef>
              <c:f>Sheet1!$B$2:$B$4</c:f>
              <c:numCache>
                <c:formatCode>0%</c:formatCode>
                <c:ptCount val="3"/>
                <c:pt idx="0">
                  <c:v>0.85</c:v>
                </c:pt>
                <c:pt idx="1">
                  <c:v>0.9</c:v>
                </c:pt>
                <c:pt idx="2">
                  <c:v>0.97</c:v>
                </c:pt>
              </c:numCache>
            </c:numRef>
          </c:val>
          <c:extLst>
            <c:ext xmlns:c16="http://schemas.microsoft.com/office/drawing/2014/chart" uri="{C3380CC4-5D6E-409C-BE32-E72D297353CC}">
              <c16:uniqueId val="{00000000-4F33-46AB-B377-18811DC6D09B}"/>
            </c:ext>
          </c:extLst>
        </c:ser>
        <c:ser>
          <c:idx val="1"/>
          <c:order val="1"/>
          <c:tx>
            <c:strRef>
              <c:f>Sheet1!$C$1</c:f>
              <c:strCache>
                <c:ptCount val="1"/>
                <c:pt idx="0">
                  <c:v>No</c:v>
                </c:pt>
              </c:strCache>
            </c:strRef>
          </c:tx>
          <c:spPr>
            <a:solidFill>
              <a:schemeClr val="accent2"/>
            </a:solidFill>
            <a:ln>
              <a:noFill/>
            </a:ln>
            <a:effectLst/>
          </c:spPr>
          <c:invertIfNegative val="0"/>
          <c:dLbls>
            <c:dLbl>
              <c:idx val="2"/>
              <c:layout>
                <c:manualLayout>
                  <c:x val="-2.519428799092744E-2"/>
                  <c:y val="6.147702336388279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Aptos" panose="020B0004020202020204" pitchFamily="34" charset="0"/>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5.6796070761992445E-2"/>
                      <c:h val="0.13172002065315605"/>
                    </c:manualLayout>
                  </c15:layout>
                </c:ext>
                <c:ext xmlns:c16="http://schemas.microsoft.com/office/drawing/2014/chart" uri="{C3380CC4-5D6E-409C-BE32-E72D297353CC}">
                  <c16:uniqueId val="{00000001-4F33-46AB-B377-18811DC6D0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Sheet1!$A$2:$A$4</c:f>
              <c:strCache>
                <c:ptCount val="3"/>
                <c:pt idx="0">
                  <c:v>Would your university be willing to share resources and/or foreign interference mitigations at a CoP forum?</c:v>
                </c:pt>
                <c:pt idx="1">
                  <c:v>Would your university participate in ongoing (e.g. quarterly) CoPs, independent of Department of Education involvement?</c:v>
                </c:pt>
                <c:pt idx="2">
                  <c:v>Would your university participate in an initial CoP forum established by the Department of Education?</c:v>
                </c:pt>
              </c:strCache>
            </c:strRef>
          </c:cat>
          <c:val>
            <c:numRef>
              <c:f>Sheet1!$C$2:$C$4</c:f>
              <c:numCache>
                <c:formatCode>0%</c:formatCode>
                <c:ptCount val="3"/>
                <c:pt idx="0">
                  <c:v>0.15</c:v>
                </c:pt>
                <c:pt idx="1">
                  <c:v>0.1</c:v>
                </c:pt>
                <c:pt idx="2">
                  <c:v>0.03</c:v>
                </c:pt>
              </c:numCache>
            </c:numRef>
          </c:val>
          <c:extLst>
            <c:ext xmlns:c16="http://schemas.microsoft.com/office/drawing/2014/chart" uri="{C3380CC4-5D6E-409C-BE32-E72D297353CC}">
              <c16:uniqueId val="{00000002-4F33-46AB-B377-18811DC6D09B}"/>
            </c:ext>
          </c:extLst>
        </c:ser>
        <c:dLbls>
          <c:showLegendKey val="0"/>
          <c:showVal val="0"/>
          <c:showCatName val="0"/>
          <c:showSerName val="0"/>
          <c:showPercent val="0"/>
          <c:showBubbleSize val="0"/>
        </c:dLbls>
        <c:gapWidth val="25"/>
        <c:overlap val="100"/>
        <c:axId val="1922440736"/>
        <c:axId val="1922441216"/>
      </c:barChart>
      <c:catAx>
        <c:axId val="192244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1" i="0" u="none" strike="noStrike" kern="1200" baseline="0">
                <a:solidFill>
                  <a:sysClr val="windowText" lastClr="000000"/>
                </a:solidFill>
                <a:latin typeface="Aptos" panose="020B0004020202020204" pitchFamily="34" charset="0"/>
                <a:ea typeface="+mn-ea"/>
                <a:cs typeface="+mn-cs"/>
              </a:defRPr>
            </a:pPr>
            <a:endParaRPr lang="en-US"/>
          </a:p>
        </c:txPr>
        <c:crossAx val="1922441216"/>
        <c:crosses val="autoZero"/>
        <c:auto val="1"/>
        <c:lblAlgn val="ctr"/>
        <c:lblOffset val="100"/>
        <c:noMultiLvlLbl val="0"/>
      </c:catAx>
      <c:valAx>
        <c:axId val="1922441216"/>
        <c:scaling>
          <c:orientation val="minMax"/>
          <c:max val="1"/>
          <c:min val="0"/>
        </c:scaling>
        <c:delete val="1"/>
        <c:axPos val="b"/>
        <c:majorGridlines>
          <c:spPr>
            <a:ln w="9525" cap="flat" cmpd="sng" algn="ctr">
              <a:noFill/>
              <a:round/>
            </a:ln>
            <a:effectLst/>
          </c:spPr>
        </c:majorGridlines>
        <c:numFmt formatCode="0%" sourceLinked="1"/>
        <c:majorTickMark val="none"/>
        <c:minorTickMark val="none"/>
        <c:tickLblPos val="nextTo"/>
        <c:crossAx val="1922440736"/>
        <c:crosses val="autoZero"/>
        <c:crossBetween val="between"/>
      </c:valAx>
      <c:spPr>
        <a:noFill/>
        <a:ln>
          <a:noFill/>
        </a:ln>
        <a:effectLst/>
      </c:spPr>
    </c:plotArea>
    <c:legend>
      <c:legendPos val="b"/>
      <c:layout>
        <c:manualLayout>
          <c:xMode val="edge"/>
          <c:yMode val="edge"/>
          <c:x val="0.63806649527268744"/>
          <c:y val="0.92277222222222222"/>
          <c:w val="0.23185540971655474"/>
          <c:h val="5.6914394975501596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bg2"/>
                </a:solidFill>
                <a:latin typeface="Aptos" panose="020B0004020202020204" pitchFamily="34" charset="0"/>
              </a:rPr>
              <a:t>Most beneficial form of </a:t>
            </a:r>
            <a:r>
              <a:rPr lang="en-US" b="1" baseline="0">
                <a:solidFill>
                  <a:schemeClr val="bg2"/>
                </a:solidFill>
                <a:latin typeface="Aptos" panose="020B0004020202020204" pitchFamily="34" charset="0"/>
              </a:rPr>
              <a:t>government support, ranked by university first preference    </a:t>
            </a:r>
            <a:endParaRPr lang="en-US" b="1">
              <a:solidFill>
                <a:schemeClr val="bg2"/>
              </a:solidFill>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Universities</c:v>
                </c:pt>
              </c:strCache>
            </c:strRef>
          </c:tx>
          <c:spPr>
            <a:solidFill>
              <a:schemeClr val="accent1"/>
            </a:solidFill>
            <a:ln>
              <a:noFill/>
            </a:ln>
            <a:effectLst/>
          </c:spPr>
          <c:invertIfNegative val="0"/>
          <c:dLbls>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9330-4E14-B6F8-1E8CDCD35ADA}"/>
                </c:ext>
              </c:extLst>
            </c:dLbl>
            <c:dLbl>
              <c:idx val="2"/>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9330-4E14-B6F8-1E8CDCD35AD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Cyber Security Training and Exercises </c:v>
                </c:pt>
                <c:pt idx="1">
                  <c:v>Incident Reporting Guidance</c:v>
                </c:pt>
                <c:pt idx="2">
                  <c:v>Other</c:v>
                </c:pt>
                <c:pt idx="3">
                  <c:v>Countering Foreign Interference Case Studies </c:v>
                </c:pt>
                <c:pt idx="4">
                  <c:v>Establishment of Communities of Practice </c:v>
                </c:pt>
                <c:pt idx="5">
                  <c:v>Foreign Interference Threat Briefings </c:v>
                </c:pt>
                <c:pt idx="6">
                  <c:v>Due Diligence and Risk Assessment Guidance</c:v>
                </c:pt>
              </c:strCache>
            </c:strRef>
          </c:cat>
          <c:val>
            <c:numRef>
              <c:f>Sheet1!$B$2:$B$8</c:f>
              <c:numCache>
                <c:formatCode>0.00%</c:formatCode>
                <c:ptCount val="7"/>
                <c:pt idx="0" formatCode="0%">
                  <c:v>0.05</c:v>
                </c:pt>
                <c:pt idx="1">
                  <c:v>7.4999999999999997E-2</c:v>
                </c:pt>
                <c:pt idx="2">
                  <c:v>7.4999999999999997E-2</c:v>
                </c:pt>
                <c:pt idx="3" formatCode="0%">
                  <c:v>0.13</c:v>
                </c:pt>
                <c:pt idx="4" formatCode="0%">
                  <c:v>0.18</c:v>
                </c:pt>
                <c:pt idx="5" formatCode="0%">
                  <c:v>0.23</c:v>
                </c:pt>
                <c:pt idx="6" formatCode="0%">
                  <c:v>0.26</c:v>
                </c:pt>
              </c:numCache>
            </c:numRef>
          </c:val>
          <c:extLst>
            <c:ext xmlns:c16="http://schemas.microsoft.com/office/drawing/2014/chart" uri="{C3380CC4-5D6E-409C-BE32-E72D297353CC}">
              <c16:uniqueId val="{00000002-9330-4E14-B6F8-1E8CDCD35ADA}"/>
            </c:ext>
          </c:extLst>
        </c:ser>
        <c:dLbls>
          <c:showLegendKey val="0"/>
          <c:showVal val="0"/>
          <c:showCatName val="0"/>
          <c:showSerName val="0"/>
          <c:showPercent val="0"/>
          <c:showBubbleSize val="0"/>
        </c:dLbls>
        <c:gapWidth val="182"/>
        <c:axId val="1588252496"/>
        <c:axId val="1588253456"/>
      </c:barChart>
      <c:catAx>
        <c:axId val="1588252496"/>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ptos" panose="020B0004020202020204" pitchFamily="34" charset="0"/>
                <a:ea typeface="+mn-ea"/>
                <a:cs typeface="+mn-cs"/>
              </a:defRPr>
            </a:pPr>
            <a:endParaRPr lang="en-US"/>
          </a:p>
        </c:txPr>
        <c:crossAx val="1588253456"/>
        <c:crosses val="autoZero"/>
        <c:auto val="1"/>
        <c:lblAlgn val="ctr"/>
        <c:lblOffset val="100"/>
        <c:noMultiLvlLbl val="0"/>
      </c:catAx>
      <c:valAx>
        <c:axId val="1588253456"/>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1588252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b="1">
                <a:solidFill>
                  <a:schemeClr val="bg2"/>
                </a:solidFill>
                <a:latin typeface="Aptos" panose="020B0004020202020204" pitchFamily="34" charset="0"/>
              </a:rPr>
              <a:t>Has</a:t>
            </a:r>
            <a:r>
              <a:rPr lang="en-AU" sz="1200" b="1" baseline="0">
                <a:solidFill>
                  <a:schemeClr val="bg2"/>
                </a:solidFill>
                <a:latin typeface="Aptos" panose="020B0004020202020204" pitchFamily="34" charset="0"/>
              </a:rPr>
              <a:t> your university</a:t>
            </a:r>
            <a:r>
              <a:rPr lang="en-AU" sz="1200" b="1">
                <a:solidFill>
                  <a:schemeClr val="bg2"/>
                </a:solidFill>
                <a:latin typeface="Aptos" panose="020B0004020202020204" pitchFamily="34" charset="0"/>
              </a:rPr>
              <a:t> experienced any new or emerging barriers to implementing the Guidelines?</a:t>
            </a:r>
          </a:p>
        </c:rich>
      </c:tx>
      <c:layout>
        <c:manualLayout>
          <c:xMode val="edge"/>
          <c:yMode val="edge"/>
          <c:x val="0.12886870078740156"/>
          <c:y val="7.74487471526195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0"/>
          <c:tx>
            <c:strRef>
              <c:f>Sheet1!$B$1</c:f>
              <c:strCache>
                <c:ptCount val="1"/>
                <c:pt idx="0">
                  <c:v>No</c:v>
                </c:pt>
              </c:strCache>
            </c:strRef>
          </c:tx>
          <c:spPr>
            <a:solidFill>
              <a:srgbClr val="008599"/>
            </a:solidFill>
            <a:ln>
              <a:noFill/>
            </a:ln>
            <a:effectLst/>
          </c:spPr>
          <c:invertIfNegative val="0"/>
          <c:dLbls>
            <c:dLbl>
              <c:idx val="0"/>
              <c:layout>
                <c:manualLayout>
                  <c:x val="-4.3083900226757371E-2"/>
                  <c:y val="5.4794520547945206E-3"/>
                </c:manualLayout>
              </c:layout>
              <c:tx>
                <c:rich>
                  <a:bodyPr/>
                  <a:lstStyle/>
                  <a:p>
                    <a:r>
                      <a:rPr lang="en-US" b="1">
                        <a:solidFill>
                          <a:schemeClr val="bg1"/>
                        </a:solidFill>
                      </a:rPr>
                      <a:t>51%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4DD-4D34-A808-CCCD52DF0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20</c:v>
                </c:pt>
              </c:numCache>
            </c:numRef>
          </c:val>
          <c:extLst>
            <c:ext xmlns:c16="http://schemas.microsoft.com/office/drawing/2014/chart" uri="{C3380CC4-5D6E-409C-BE32-E72D297353CC}">
              <c16:uniqueId val="{00000001-64DD-4D34-A808-CCCD52DF01A3}"/>
            </c:ext>
          </c:extLst>
        </c:ser>
        <c:ser>
          <c:idx val="0"/>
          <c:order val="1"/>
          <c:tx>
            <c:strRef>
              <c:f>Sheet1!$A$1</c:f>
              <c:strCache>
                <c:ptCount val="1"/>
                <c:pt idx="0">
                  <c:v>Yes</c:v>
                </c:pt>
              </c:strCache>
            </c:strRef>
          </c:tx>
          <c:spPr>
            <a:solidFill>
              <a:srgbClr val="00254A"/>
            </a:solidFill>
            <a:ln>
              <a:noFill/>
            </a:ln>
            <a:effectLst/>
          </c:spPr>
          <c:invertIfNegative val="0"/>
          <c:dLbls>
            <c:dLbl>
              <c:idx val="0"/>
              <c:layout>
                <c:manualLayout>
                  <c:x val="-7.2562358276643993E-2"/>
                  <c:y val="5.4794520547945206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b="1">
                        <a:solidFill>
                          <a:schemeClr val="bg1"/>
                        </a:solidFill>
                      </a:rPr>
                      <a:t>49%</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4DD-4D34-A808-CCCD52DF0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19</c:v>
                </c:pt>
              </c:numCache>
            </c:numRef>
          </c:val>
          <c:extLst>
            <c:ext xmlns:c16="http://schemas.microsoft.com/office/drawing/2014/chart" uri="{C3380CC4-5D6E-409C-BE32-E72D297353CC}">
              <c16:uniqueId val="{00000003-64DD-4D34-A808-CCCD52DF01A3}"/>
            </c:ext>
          </c:extLst>
        </c:ser>
        <c:dLbls>
          <c:showLegendKey val="0"/>
          <c:showVal val="0"/>
          <c:showCatName val="0"/>
          <c:showSerName val="0"/>
          <c:showPercent val="0"/>
          <c:showBubbleSize val="0"/>
        </c:dLbls>
        <c:gapWidth val="182"/>
        <c:axId val="7877055"/>
        <c:axId val="6025023"/>
      </c:barChart>
      <c:catAx>
        <c:axId val="7877055"/>
        <c:scaling>
          <c:orientation val="minMax"/>
        </c:scaling>
        <c:delete val="1"/>
        <c:axPos val="l"/>
        <c:numFmt formatCode="General" sourceLinked="1"/>
        <c:majorTickMark val="none"/>
        <c:minorTickMark val="none"/>
        <c:tickLblPos val="nextTo"/>
        <c:crossAx val="6025023"/>
        <c:crosses val="autoZero"/>
        <c:auto val="1"/>
        <c:lblAlgn val="ctr"/>
        <c:lblOffset val="100"/>
        <c:noMultiLvlLbl val="0"/>
      </c:catAx>
      <c:valAx>
        <c:axId val="6025023"/>
        <c:scaling>
          <c:orientation val="minMax"/>
          <c:max val="20"/>
          <c:min val="0"/>
        </c:scaling>
        <c:delete val="1"/>
        <c:axPos val="b"/>
        <c:majorGridlines>
          <c:spPr>
            <a:ln w="9525" cap="flat" cmpd="sng" algn="ctr">
              <a:noFill/>
              <a:round/>
            </a:ln>
            <a:effectLst/>
          </c:spPr>
        </c:majorGridlines>
        <c:numFmt formatCode="General" sourceLinked="1"/>
        <c:majorTickMark val="none"/>
        <c:minorTickMark val="none"/>
        <c:tickLblPos val="nextTo"/>
        <c:crossAx val="7877055"/>
        <c:crosses val="autoZero"/>
        <c:crossBetween val="between"/>
      </c:valAx>
      <c:spPr>
        <a:noFill/>
        <a:ln>
          <a:noFill/>
        </a:ln>
        <a:effectLst/>
      </c:spPr>
    </c:plotArea>
    <c:legend>
      <c:legendPos val="l"/>
      <c:layout>
        <c:manualLayout>
          <c:xMode val="edge"/>
          <c:yMode val="edge"/>
          <c:x val="1.8140589569160998E-2"/>
          <c:y val="0.42795213590427178"/>
          <c:w val="6.410787937222133E-2"/>
          <c:h val="0.355644284621902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0.96158</cdr:x>
      <cdr:y>0.26639</cdr:y>
    </cdr:from>
    <cdr:to>
      <cdr:x>0.99097</cdr:x>
      <cdr:y>0.26639</cdr:y>
    </cdr:to>
    <cdr:cxnSp macro="">
      <cdr:nvCxnSpPr>
        <cdr:cNvPr id="3" name="Straight Connector 2"/>
        <cdr:cNvCxnSpPr/>
      </cdr:nvCxnSpPr>
      <cdr:spPr>
        <a:xfrm xmlns:a="http://schemas.openxmlformats.org/drawingml/2006/main">
          <a:off x="5816600" y="825500"/>
          <a:ext cx="177800" cy="0"/>
        </a:xfrm>
        <a:prstGeom xmlns:a="http://schemas.openxmlformats.org/drawingml/2006/main" prst="line">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2341</Words>
  <Characters>13348</Characters>
  <Application>Microsoft Office Word</Application>
  <DocSecurity>4</DocSecurity>
  <Lines>111</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Pulse Check on the implementation of the Guidelines to Counter Foreign Interference in the Australian University Sector</dc:title>
  <dc:subject/>
  <dc:creator/>
  <cp:keywords/>
  <dc:description/>
  <cp:lastModifiedBy/>
  <cp:revision>1</cp:revision>
  <dcterms:created xsi:type="dcterms:W3CDTF">2024-10-17T22:13:00Z</dcterms:created>
  <dcterms:modified xsi:type="dcterms:W3CDTF">2024-10-17T22:13:00Z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2024-10-17T22:13:23Z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54584ce5-2c34-45a2-9cd7-1608ddf0e4bd</vt:lpwstr>
  </property>
  <property fmtid="{D5CDD505-2E9C-101B-9397-08002B2CF9AE}" pid="8" name="MSIP_Label_5f877481-9e35-4b68-b667-876a73c6db41_ContentBits">
    <vt:lpwstr>0</vt:lpwstr>
  </property>
</Properties>
</file>