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C26469F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6674D784">
            <wp:simplePos x="0" y="0"/>
            <wp:positionH relativeFrom="column">
              <wp:posOffset>-914400</wp:posOffset>
            </wp:positionH>
            <wp:positionV relativeFrom="paragraph">
              <wp:posOffset>-1151890</wp:posOffset>
            </wp:positionV>
            <wp:extent cx="7542000" cy="10666800"/>
            <wp:effectExtent l="0" t="0" r="1905" b="127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3F200D7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rFonts w:eastAsiaTheme="minorHAnsi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40867717" w:rsidR="00221D8F" w:rsidRDefault="00864A44" w:rsidP="00221D8F">
          <w:pPr>
            <w:pStyle w:val="Heading1"/>
          </w:pPr>
          <w:r>
            <w:rPr>
              <w:rFonts w:eastAsiaTheme="minorHAnsi"/>
            </w:rPr>
            <w:t>Compute and AI</w:t>
          </w:r>
          <w:r w:rsidR="008F03B4">
            <w:rPr>
              <w:rFonts w:eastAsiaTheme="minorHAnsi"/>
            </w:rPr>
            <w:t xml:space="preserve"> – Summary</w:t>
          </w:r>
        </w:p>
      </w:sdtContent>
    </w:sdt>
    <w:bookmarkEnd w:id="0" w:displacedByCustomXml="prev"/>
    <w:bookmarkEnd w:id="1" w:displacedByCustomXml="prev"/>
    <w:p w14:paraId="21C1556E" w14:textId="2B04CF08" w:rsidR="0017134D" w:rsidRDefault="008F03B4" w:rsidP="00EB4C2F">
      <w:pPr>
        <w:pStyle w:val="Subtitle"/>
      </w:pPr>
      <w:r>
        <w:t>Targeted Discussion Series (September</w:t>
      </w:r>
      <w:r w:rsidR="00923E11">
        <w:t xml:space="preserve"> 2024</w:t>
      </w:r>
      <w:r>
        <w:t>)</w:t>
      </w:r>
    </w:p>
    <w:p w14:paraId="0600EC06" w14:textId="77777777" w:rsidR="00107D87" w:rsidRDefault="00107D87">
      <w:pPr>
        <w:sectPr w:rsidR="00107D87" w:rsidSect="00221D8F">
          <w:pgSz w:w="11906" w:h="16838"/>
          <w:pgMar w:top="1814" w:right="1440" w:bottom="1440" w:left="1440" w:header="709" w:footer="709" w:gutter="0"/>
          <w:cols w:space="708"/>
          <w:docGrid w:linePitch="360"/>
        </w:sectPr>
      </w:pPr>
    </w:p>
    <w:p w14:paraId="005F87D5" w14:textId="43A43F81" w:rsidR="0017134D" w:rsidRDefault="008F03B4" w:rsidP="00AD631F">
      <w:pPr>
        <w:pStyle w:val="Heading2"/>
      </w:pPr>
      <w:r>
        <w:lastRenderedPageBreak/>
        <w:t>Summary</w:t>
      </w:r>
    </w:p>
    <w:p w14:paraId="6558E48B" w14:textId="7E4F61B1" w:rsidR="009647CB" w:rsidRPr="004A6D40" w:rsidRDefault="00530F0C" w:rsidP="009647CB">
      <w:r w:rsidRPr="00B02D4F">
        <w:t>The consultation identified several key considerations and potential investment priorities for digital research infrastructure</w:t>
      </w:r>
      <w:r>
        <w:t>:</w:t>
      </w:r>
    </w:p>
    <w:p w14:paraId="1E448EB3" w14:textId="216F8C25" w:rsidR="009647CB" w:rsidRDefault="009647CB" w:rsidP="0014355C">
      <w:pPr>
        <w:spacing w:after="0" w:line="240" w:lineRule="auto"/>
      </w:pPr>
      <w:r w:rsidRPr="00572249">
        <w:rPr>
          <w:b/>
          <w:bCs/>
        </w:rPr>
        <w:t xml:space="preserve">Tier 1 </w:t>
      </w:r>
      <w:r w:rsidR="00572249">
        <w:rPr>
          <w:b/>
          <w:bCs/>
        </w:rPr>
        <w:t>c</w:t>
      </w:r>
      <w:r w:rsidRPr="00572249">
        <w:rPr>
          <w:b/>
          <w:bCs/>
        </w:rPr>
        <w:t xml:space="preserve">omputing </w:t>
      </w:r>
      <w:r w:rsidR="00572249">
        <w:rPr>
          <w:b/>
          <w:bCs/>
        </w:rPr>
        <w:t>r</w:t>
      </w:r>
      <w:r w:rsidRPr="00572249">
        <w:rPr>
          <w:b/>
          <w:bCs/>
        </w:rPr>
        <w:t>efresh:</w:t>
      </w:r>
      <w:r w:rsidRPr="003107D8">
        <w:t xml:space="preserve"> Upgrading </w:t>
      </w:r>
      <w:r w:rsidR="00125EB0">
        <w:t>HPC</w:t>
      </w:r>
      <w:r w:rsidRPr="003107D8">
        <w:t xml:space="preserve"> facilities to maintain cutting-edge capabilities and competitive purchasing power.</w:t>
      </w:r>
    </w:p>
    <w:p w14:paraId="66CC3576" w14:textId="77777777" w:rsidR="0014355C" w:rsidRPr="003107D8" w:rsidRDefault="0014355C" w:rsidP="0014355C">
      <w:pPr>
        <w:spacing w:after="0" w:line="240" w:lineRule="auto"/>
      </w:pPr>
    </w:p>
    <w:p w14:paraId="47233993" w14:textId="17AC0A6E" w:rsidR="009647CB" w:rsidRDefault="009647CB" w:rsidP="0014355C">
      <w:pPr>
        <w:spacing w:after="0" w:line="240" w:lineRule="auto"/>
      </w:pPr>
      <w:r w:rsidRPr="00572249">
        <w:rPr>
          <w:b/>
          <w:bCs/>
        </w:rPr>
        <w:t xml:space="preserve">Unified </w:t>
      </w:r>
      <w:r w:rsidR="00572249">
        <w:rPr>
          <w:b/>
          <w:bCs/>
        </w:rPr>
        <w:t>d</w:t>
      </w:r>
      <w:r w:rsidRPr="00572249">
        <w:rPr>
          <w:b/>
          <w:bCs/>
        </w:rPr>
        <w:t xml:space="preserve">ata </w:t>
      </w:r>
      <w:r w:rsidR="00572249">
        <w:rPr>
          <w:b/>
          <w:bCs/>
        </w:rPr>
        <w:t>f</w:t>
      </w:r>
      <w:r w:rsidRPr="00572249">
        <w:rPr>
          <w:b/>
          <w:bCs/>
        </w:rPr>
        <w:t>abric:</w:t>
      </w:r>
      <w:r w:rsidRPr="003107D8">
        <w:t xml:space="preserve"> Establishing a nationwide integrated environment for data management and access.</w:t>
      </w:r>
    </w:p>
    <w:p w14:paraId="0771F68B" w14:textId="77777777" w:rsidR="0014355C" w:rsidRPr="003107D8" w:rsidRDefault="0014355C" w:rsidP="0014355C">
      <w:pPr>
        <w:spacing w:after="0" w:line="240" w:lineRule="auto"/>
      </w:pPr>
    </w:p>
    <w:p w14:paraId="2D64A05C" w14:textId="593306D7" w:rsidR="009647CB" w:rsidRDefault="009647CB" w:rsidP="0014355C">
      <w:pPr>
        <w:spacing w:after="0" w:line="240" w:lineRule="auto"/>
        <w:rPr>
          <w:rFonts w:cs="Segoe UI"/>
          <w:color w:val="242424"/>
        </w:rPr>
      </w:pPr>
      <w:r w:rsidRPr="00572249">
        <w:rPr>
          <w:b/>
          <w:bCs/>
        </w:rPr>
        <w:t xml:space="preserve">Skills and </w:t>
      </w:r>
      <w:r w:rsidR="00572249">
        <w:rPr>
          <w:b/>
          <w:bCs/>
        </w:rPr>
        <w:t>t</w:t>
      </w:r>
      <w:r w:rsidRPr="00572249">
        <w:rPr>
          <w:b/>
          <w:bCs/>
        </w:rPr>
        <w:t>raining:</w:t>
      </w:r>
      <w:r w:rsidRPr="003107D8">
        <w:t xml:space="preserve"> Investing in workforce development, addressing the skills gap, and training the next generation of HPC professionals </w:t>
      </w:r>
      <w:r w:rsidRPr="003107D8">
        <w:rPr>
          <w:rFonts w:cs="Segoe UI"/>
          <w:color w:val="242424"/>
        </w:rPr>
        <w:t>to accelerate and prepare the scientific workforce for advanced compute, migration to GPU, and the adoption of AI.</w:t>
      </w:r>
    </w:p>
    <w:p w14:paraId="750F584D" w14:textId="77777777" w:rsidR="0014355C" w:rsidRPr="003107D8" w:rsidRDefault="0014355C" w:rsidP="0014355C">
      <w:pPr>
        <w:spacing w:after="0" w:line="240" w:lineRule="auto"/>
      </w:pPr>
    </w:p>
    <w:p w14:paraId="0868A8BD" w14:textId="7FDD2550" w:rsidR="009647CB" w:rsidRDefault="009647CB" w:rsidP="0014355C">
      <w:pPr>
        <w:spacing w:after="0" w:line="240" w:lineRule="auto"/>
      </w:pPr>
      <w:r w:rsidRPr="00572249">
        <w:rPr>
          <w:b/>
          <w:bCs/>
        </w:rPr>
        <w:t xml:space="preserve">R&amp;D for </w:t>
      </w:r>
      <w:r w:rsidR="00572249">
        <w:rPr>
          <w:b/>
          <w:bCs/>
        </w:rPr>
        <w:t>s</w:t>
      </w:r>
      <w:r w:rsidRPr="00572249">
        <w:rPr>
          <w:b/>
          <w:bCs/>
        </w:rPr>
        <w:t xml:space="preserve">overeign </w:t>
      </w:r>
      <w:r w:rsidR="00572249">
        <w:rPr>
          <w:b/>
          <w:bCs/>
        </w:rPr>
        <w:t>c</w:t>
      </w:r>
      <w:r w:rsidRPr="00572249">
        <w:rPr>
          <w:b/>
          <w:bCs/>
        </w:rPr>
        <w:t>apability:</w:t>
      </w:r>
      <w:r w:rsidRPr="004A6D40">
        <w:t xml:space="preserve"> Developing domestic expertise to strengthen Australia's position in international collaborations.</w:t>
      </w:r>
    </w:p>
    <w:p w14:paraId="7861B96D" w14:textId="77777777" w:rsidR="0014355C" w:rsidRPr="004A6D40" w:rsidRDefault="0014355C" w:rsidP="0014355C">
      <w:pPr>
        <w:spacing w:after="0" w:line="240" w:lineRule="auto"/>
      </w:pPr>
    </w:p>
    <w:p w14:paraId="321E20CB" w14:textId="7D7C852C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Global </w:t>
      </w:r>
      <w:r w:rsidR="00572249" w:rsidRPr="009933DC">
        <w:rPr>
          <w:b/>
          <w:bCs/>
        </w:rPr>
        <w:t>r</w:t>
      </w:r>
      <w:r w:rsidRPr="009933DC">
        <w:rPr>
          <w:b/>
          <w:bCs/>
        </w:rPr>
        <w:t xml:space="preserve">anking in </w:t>
      </w:r>
      <w:r w:rsidR="00572249" w:rsidRPr="009933DC">
        <w:rPr>
          <w:b/>
          <w:bCs/>
        </w:rPr>
        <w:t>s</w:t>
      </w:r>
      <w:r w:rsidRPr="009933DC">
        <w:rPr>
          <w:b/>
          <w:bCs/>
        </w:rPr>
        <w:t xml:space="preserve">pecific </w:t>
      </w:r>
      <w:r w:rsidR="00572249" w:rsidRPr="009933DC">
        <w:rPr>
          <w:b/>
          <w:bCs/>
        </w:rPr>
        <w:t>a</w:t>
      </w:r>
      <w:r w:rsidRPr="009933DC">
        <w:rPr>
          <w:b/>
          <w:bCs/>
        </w:rPr>
        <w:t>reas:</w:t>
      </w:r>
      <w:r w:rsidRPr="004A6D40">
        <w:t xml:space="preserve"> Focusing on achieving true global ranking in select research domains.</w:t>
      </w:r>
    </w:p>
    <w:p w14:paraId="7DCCAE27" w14:textId="77777777" w:rsidR="0014355C" w:rsidRPr="004A6D40" w:rsidRDefault="0014355C" w:rsidP="0014355C">
      <w:pPr>
        <w:spacing w:after="0" w:line="240" w:lineRule="auto"/>
      </w:pPr>
    </w:p>
    <w:p w14:paraId="48DCE62F" w14:textId="0A69E02B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Inter-institutional </w:t>
      </w:r>
      <w:r w:rsidR="00572249" w:rsidRPr="009933DC">
        <w:rPr>
          <w:b/>
          <w:bCs/>
        </w:rPr>
        <w:t>c</w:t>
      </w:r>
      <w:r w:rsidRPr="009933DC">
        <w:rPr>
          <w:b/>
          <w:bCs/>
        </w:rPr>
        <w:t>onnections:</w:t>
      </w:r>
      <w:r w:rsidRPr="004A6D40">
        <w:t xml:space="preserve"> Building stronger links between cent</w:t>
      </w:r>
      <w:r>
        <w:t>re</w:t>
      </w:r>
      <w:r w:rsidRPr="004A6D40">
        <w:t>s of excellence in various fields.</w:t>
      </w:r>
    </w:p>
    <w:p w14:paraId="728FB46C" w14:textId="77777777" w:rsidR="0014355C" w:rsidRPr="004A6D40" w:rsidRDefault="0014355C" w:rsidP="0014355C">
      <w:pPr>
        <w:spacing w:after="0" w:line="240" w:lineRule="auto"/>
      </w:pPr>
    </w:p>
    <w:p w14:paraId="5D777C21" w14:textId="42F22000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Software </w:t>
      </w:r>
      <w:r w:rsidR="00572249" w:rsidRPr="009933DC">
        <w:rPr>
          <w:b/>
          <w:bCs/>
        </w:rPr>
        <w:t>d</w:t>
      </w:r>
      <w:r w:rsidRPr="009933DC">
        <w:rPr>
          <w:b/>
          <w:bCs/>
        </w:rPr>
        <w:t>evelopment:</w:t>
      </w:r>
      <w:r w:rsidRPr="004A6D40">
        <w:t xml:space="preserve"> Allocating a significant portion of the budget to software, following successful models like the US Exascale project.</w:t>
      </w:r>
    </w:p>
    <w:p w14:paraId="21361854" w14:textId="77777777" w:rsidR="0014355C" w:rsidRPr="004A6D40" w:rsidRDefault="0014355C" w:rsidP="0014355C">
      <w:pPr>
        <w:spacing w:after="0" w:line="240" w:lineRule="auto"/>
      </w:pPr>
    </w:p>
    <w:p w14:paraId="4BE1DCC6" w14:textId="47EABFBB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Federated </w:t>
      </w:r>
      <w:r w:rsidR="00572249" w:rsidRPr="009933DC">
        <w:rPr>
          <w:b/>
          <w:bCs/>
        </w:rPr>
        <w:t>d</w:t>
      </w:r>
      <w:r w:rsidRPr="009933DC">
        <w:rPr>
          <w:b/>
          <w:bCs/>
        </w:rPr>
        <w:t xml:space="preserve">ata </w:t>
      </w:r>
      <w:r w:rsidR="00572249" w:rsidRPr="009933DC">
        <w:rPr>
          <w:b/>
          <w:bCs/>
        </w:rPr>
        <w:t>l</w:t>
      </w:r>
      <w:r w:rsidRPr="009933DC">
        <w:rPr>
          <w:b/>
          <w:bCs/>
        </w:rPr>
        <w:t>ayer:</w:t>
      </w:r>
      <w:r w:rsidRPr="004A6D40">
        <w:t xml:space="preserve"> Creating a system that allows integration with Tier 2 and commercial sector resources.</w:t>
      </w:r>
    </w:p>
    <w:p w14:paraId="2393AEF8" w14:textId="77777777" w:rsidR="0014355C" w:rsidRPr="004A6D40" w:rsidRDefault="0014355C" w:rsidP="0014355C">
      <w:pPr>
        <w:spacing w:after="0" w:line="240" w:lineRule="auto"/>
      </w:pPr>
    </w:p>
    <w:p w14:paraId="32DF6927" w14:textId="1475A1F8" w:rsidR="009647CB" w:rsidRDefault="009647CB" w:rsidP="0014355C">
      <w:pPr>
        <w:spacing w:after="0" w:line="240" w:lineRule="auto"/>
      </w:pPr>
      <w:r w:rsidRPr="009933DC">
        <w:rPr>
          <w:b/>
          <w:bCs/>
        </w:rPr>
        <w:t>Human-</w:t>
      </w:r>
      <w:r w:rsidR="00572249" w:rsidRPr="009933DC">
        <w:rPr>
          <w:b/>
          <w:bCs/>
        </w:rPr>
        <w:t>c</w:t>
      </w:r>
      <w:r w:rsidRPr="009933DC">
        <w:rPr>
          <w:b/>
          <w:bCs/>
        </w:rPr>
        <w:t xml:space="preserve">entered </w:t>
      </w:r>
      <w:r w:rsidR="00572249" w:rsidRPr="009933DC">
        <w:rPr>
          <w:b/>
          <w:bCs/>
        </w:rPr>
        <w:t>d</w:t>
      </w:r>
      <w:r w:rsidRPr="009933DC">
        <w:rPr>
          <w:b/>
          <w:bCs/>
        </w:rPr>
        <w:t>esign:</w:t>
      </w:r>
      <w:r w:rsidRPr="004A6D40">
        <w:t xml:space="preserve"> Maintaining focus on user-centric approaches in technology development.</w:t>
      </w:r>
    </w:p>
    <w:p w14:paraId="49C196AE" w14:textId="77777777" w:rsidR="004C4178" w:rsidRPr="004A6D40" w:rsidRDefault="004C4178" w:rsidP="0014355C">
      <w:pPr>
        <w:spacing w:after="0" w:line="240" w:lineRule="auto"/>
      </w:pPr>
    </w:p>
    <w:p w14:paraId="3FD1D31C" w14:textId="6A7462A4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Data </w:t>
      </w:r>
      <w:r w:rsidR="00572249" w:rsidRPr="009933DC">
        <w:rPr>
          <w:b/>
          <w:bCs/>
        </w:rPr>
        <w:t>s</w:t>
      </w:r>
      <w:r w:rsidRPr="009933DC">
        <w:rPr>
          <w:b/>
          <w:bCs/>
        </w:rPr>
        <w:t>torage:</w:t>
      </w:r>
      <w:r w:rsidRPr="004A6D40">
        <w:t xml:space="preserve"> Addressing urgent storage needs, particularly in climate research.</w:t>
      </w:r>
    </w:p>
    <w:p w14:paraId="2C3DF0CA" w14:textId="77777777" w:rsidR="0014355C" w:rsidRPr="004A6D40" w:rsidRDefault="0014355C" w:rsidP="0014355C">
      <w:pPr>
        <w:spacing w:after="0" w:line="240" w:lineRule="auto"/>
      </w:pPr>
    </w:p>
    <w:p w14:paraId="6F9CC01F" w14:textId="2730D370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Vendor </w:t>
      </w:r>
      <w:r w:rsidR="00572249" w:rsidRPr="009933DC">
        <w:rPr>
          <w:b/>
          <w:bCs/>
        </w:rPr>
        <w:t>r</w:t>
      </w:r>
      <w:r w:rsidRPr="009933DC">
        <w:rPr>
          <w:b/>
          <w:bCs/>
        </w:rPr>
        <w:t>elationships:</w:t>
      </w:r>
      <w:r w:rsidRPr="004A6D40">
        <w:t xml:space="preserve"> Fostering closer ties with technology vendors for better evaluation and implementation of new architectures.</w:t>
      </w:r>
    </w:p>
    <w:p w14:paraId="64BE2B50" w14:textId="77777777" w:rsidR="0014355C" w:rsidRPr="004A6D40" w:rsidRDefault="0014355C" w:rsidP="0014355C">
      <w:pPr>
        <w:spacing w:after="0" w:line="240" w:lineRule="auto"/>
      </w:pPr>
    </w:p>
    <w:p w14:paraId="6B835521" w14:textId="77777777" w:rsidR="009647CB" w:rsidRDefault="009647CB" w:rsidP="0014355C">
      <w:pPr>
        <w:spacing w:after="0" w:line="240" w:lineRule="auto"/>
      </w:pPr>
      <w:r w:rsidRPr="009933DC">
        <w:rPr>
          <w:b/>
          <w:bCs/>
        </w:rPr>
        <w:t>Cybersecurity:</w:t>
      </w:r>
      <w:r w:rsidRPr="004A6D40">
        <w:t xml:space="preserve"> Continued investment in securing HPC resources against potential threats.</w:t>
      </w:r>
    </w:p>
    <w:p w14:paraId="3821A3EB" w14:textId="77777777" w:rsidR="0014355C" w:rsidRPr="004A6D40" w:rsidRDefault="0014355C" w:rsidP="0014355C">
      <w:pPr>
        <w:spacing w:after="0" w:line="240" w:lineRule="auto"/>
      </w:pPr>
    </w:p>
    <w:p w14:paraId="2865B42C" w14:textId="18C2D514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Workforce </w:t>
      </w:r>
      <w:r w:rsidR="00572249" w:rsidRPr="009933DC">
        <w:rPr>
          <w:b/>
          <w:bCs/>
        </w:rPr>
        <w:t>s</w:t>
      </w:r>
      <w:r w:rsidRPr="009933DC">
        <w:rPr>
          <w:b/>
          <w:bCs/>
        </w:rPr>
        <w:t>ustainability:</w:t>
      </w:r>
      <w:r w:rsidRPr="004A6D40">
        <w:t xml:space="preserve"> Addressing the aging workforce issue and attracting new talent to the field.</w:t>
      </w:r>
    </w:p>
    <w:p w14:paraId="1FB7B4FC" w14:textId="77777777" w:rsidR="0014355C" w:rsidRPr="004A6D40" w:rsidRDefault="0014355C" w:rsidP="0014355C">
      <w:pPr>
        <w:spacing w:after="0" w:line="240" w:lineRule="auto"/>
      </w:pPr>
    </w:p>
    <w:p w14:paraId="60BDC616" w14:textId="7C00FDF6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Infrastructure </w:t>
      </w:r>
      <w:r w:rsidR="00572249" w:rsidRPr="009933DC">
        <w:rPr>
          <w:b/>
          <w:bCs/>
        </w:rPr>
        <w:t>e</w:t>
      </w:r>
      <w:r w:rsidRPr="009933DC">
        <w:rPr>
          <w:b/>
          <w:bCs/>
        </w:rPr>
        <w:t>xpertise:</w:t>
      </w:r>
      <w:r w:rsidRPr="004A6D40">
        <w:t xml:space="preserve"> Developing programs to train specialists in HPC infrastructure.</w:t>
      </w:r>
    </w:p>
    <w:p w14:paraId="50DC1C6F" w14:textId="77777777" w:rsidR="0014355C" w:rsidRPr="004A6D40" w:rsidRDefault="0014355C" w:rsidP="0014355C">
      <w:pPr>
        <w:spacing w:after="0" w:line="240" w:lineRule="auto"/>
      </w:pPr>
    </w:p>
    <w:p w14:paraId="6B652C7B" w14:textId="09C1769B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Rapid </w:t>
      </w:r>
      <w:r w:rsidR="00572249" w:rsidRPr="009933DC">
        <w:rPr>
          <w:b/>
          <w:bCs/>
        </w:rPr>
        <w:t>t</w:t>
      </w:r>
      <w:r w:rsidRPr="009933DC">
        <w:rPr>
          <w:b/>
          <w:bCs/>
        </w:rPr>
        <w:t xml:space="preserve">raining </w:t>
      </w:r>
      <w:r w:rsidR="00572249" w:rsidRPr="009933DC">
        <w:rPr>
          <w:b/>
          <w:bCs/>
        </w:rPr>
        <w:t>s</w:t>
      </w:r>
      <w:r w:rsidRPr="009933DC">
        <w:rPr>
          <w:b/>
          <w:bCs/>
        </w:rPr>
        <w:t>olutions:</w:t>
      </w:r>
      <w:r w:rsidRPr="004A6D40">
        <w:t xml:space="preserve"> Implementing NCRIS-led training initiatives to address the gap left by slow university curriculum reforms.</w:t>
      </w:r>
    </w:p>
    <w:p w14:paraId="3544F53A" w14:textId="77777777" w:rsidR="0014355C" w:rsidRPr="004A6D40" w:rsidRDefault="0014355C" w:rsidP="0014355C">
      <w:pPr>
        <w:spacing w:after="0" w:line="240" w:lineRule="auto"/>
      </w:pPr>
    </w:p>
    <w:p w14:paraId="753E7636" w14:textId="7D3142A1" w:rsidR="009647CB" w:rsidRDefault="009647CB" w:rsidP="0014355C">
      <w:pPr>
        <w:spacing w:after="0" w:line="240" w:lineRule="auto"/>
      </w:pPr>
      <w:r w:rsidRPr="009933DC">
        <w:rPr>
          <w:b/>
          <w:bCs/>
        </w:rPr>
        <w:t xml:space="preserve">Access to </w:t>
      </w:r>
      <w:r w:rsidR="00572249" w:rsidRPr="009933DC">
        <w:rPr>
          <w:b/>
          <w:bCs/>
        </w:rPr>
        <w:t>l</w:t>
      </w:r>
      <w:r w:rsidRPr="009933DC">
        <w:rPr>
          <w:b/>
          <w:bCs/>
        </w:rPr>
        <w:t xml:space="preserve">arge </w:t>
      </w:r>
      <w:r w:rsidR="00572249" w:rsidRPr="009933DC">
        <w:rPr>
          <w:b/>
          <w:bCs/>
        </w:rPr>
        <w:t>l</w:t>
      </w:r>
      <w:r w:rsidRPr="009933DC">
        <w:rPr>
          <w:b/>
          <w:bCs/>
        </w:rPr>
        <w:t xml:space="preserve">anguage </w:t>
      </w:r>
      <w:r w:rsidR="00572249" w:rsidRPr="009933DC">
        <w:rPr>
          <w:b/>
          <w:bCs/>
        </w:rPr>
        <w:t>m</w:t>
      </w:r>
      <w:r w:rsidRPr="009933DC">
        <w:rPr>
          <w:b/>
          <w:bCs/>
        </w:rPr>
        <w:t>odels (LLMs):</w:t>
      </w:r>
      <w:r w:rsidRPr="004A6D40">
        <w:t xml:space="preserve"> Ensuring broader access to LLMs, recognizing their growing importance in the AI landscape.</w:t>
      </w:r>
    </w:p>
    <w:p w14:paraId="28C6DAE0" w14:textId="77777777" w:rsidR="0014355C" w:rsidRDefault="0014355C" w:rsidP="0014355C">
      <w:pPr>
        <w:spacing w:after="0" w:line="240" w:lineRule="auto"/>
      </w:pPr>
    </w:p>
    <w:p w14:paraId="0B304AC1" w14:textId="77777777" w:rsidR="009647CB" w:rsidRDefault="009647CB" w:rsidP="009647CB">
      <w:pPr>
        <w:spacing w:after="0" w:line="240" w:lineRule="auto"/>
        <w:ind w:left="720"/>
      </w:pPr>
    </w:p>
    <w:p w14:paraId="13923D59" w14:textId="7A99AEFD" w:rsidR="00864A44" w:rsidRDefault="001A7CD3" w:rsidP="008F03B4">
      <w:r>
        <w:t xml:space="preserve">In summary, </w:t>
      </w:r>
      <w:r w:rsidR="00722820">
        <w:t>t</w:t>
      </w:r>
      <w:r w:rsidR="009647CB" w:rsidRPr="004A6D40">
        <w:t xml:space="preserve">hese investments </w:t>
      </w:r>
      <w:r w:rsidR="00722820">
        <w:t xml:space="preserve">would </w:t>
      </w:r>
      <w:r w:rsidR="009647CB" w:rsidRPr="004A6D40">
        <w:t>aim to enhance Australia's computational capabilities, data infrastructure, and human resources in the supercomputing and AI sectors, addressing both immediate needs and long-term strategic goals.</w:t>
      </w:r>
    </w:p>
    <w:p w14:paraId="193999B1" w14:textId="6493C24F" w:rsidR="008F03B4" w:rsidRPr="008F03B4" w:rsidRDefault="008F03B4" w:rsidP="008F03B4">
      <w:pPr>
        <w:rPr>
          <w:b/>
          <w:bCs/>
        </w:rPr>
      </w:pPr>
      <w:r w:rsidRPr="008F03B4">
        <w:rPr>
          <w:b/>
          <w:bCs/>
        </w:rPr>
        <w:t>If you’d like to provide any additional comments or feedback on the above summary, you’re invited to provide these views via the online NDRI Investment Plan Consultation Survey</w:t>
      </w:r>
      <w:r w:rsidR="003A5057">
        <w:rPr>
          <w:b/>
          <w:bCs/>
        </w:rPr>
        <w:t>, which can be found on the department’s NDRI webpage.</w:t>
      </w:r>
      <w:r w:rsidRPr="008F03B4">
        <w:rPr>
          <w:b/>
          <w:bCs/>
        </w:rPr>
        <w:t xml:space="preserve">  </w:t>
      </w:r>
    </w:p>
    <w:sectPr w:rsidR="008F03B4" w:rsidRPr="008F03B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BAD4" w14:textId="77777777" w:rsidR="00925633" w:rsidRDefault="00925633" w:rsidP="000A6228">
      <w:pPr>
        <w:spacing w:after="0" w:line="240" w:lineRule="auto"/>
      </w:pPr>
      <w:r>
        <w:separator/>
      </w:r>
    </w:p>
  </w:endnote>
  <w:endnote w:type="continuationSeparator" w:id="0">
    <w:p w14:paraId="4913C569" w14:textId="77777777" w:rsidR="00925633" w:rsidRDefault="00925633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B1FF" w14:textId="6D7613EC" w:rsidR="00221D8F" w:rsidRDefault="00864A44">
    <w:pPr>
      <w:pStyle w:val="Footer"/>
    </w:pPr>
    <w:r>
      <w:t>Compute and AI</w:t>
    </w:r>
    <w:r w:rsidR="008F03B4">
      <w:t xml:space="preserve"> – Targeted Discussion Summary</w:t>
    </w:r>
    <w:r w:rsidR="00221D8F">
      <w:t xml:space="preserve">| </w:t>
    </w:r>
    <w:r w:rsidR="00221D8F" w:rsidRPr="00AF1F18">
      <w:fldChar w:fldCharType="begin"/>
    </w:r>
    <w:r w:rsidR="00221D8F" w:rsidRPr="00AF1F18">
      <w:instrText xml:space="preserve"> PAGE   \* MERGEFORMAT </w:instrText>
    </w:r>
    <w:r w:rsidR="00221D8F" w:rsidRPr="00AF1F18">
      <w:fldChar w:fldCharType="separate"/>
    </w:r>
    <w:r w:rsidR="00221D8F" w:rsidRPr="00AF1F18">
      <w:t>1</w:t>
    </w:r>
    <w:r w:rsidR="00221D8F" w:rsidRPr="00AF1F18">
      <w:fldChar w:fldCharType="end"/>
    </w:r>
    <w:r w:rsidR="00221D8F">
      <w:rPr>
        <w:noProof/>
      </w:rPr>
      <w:drawing>
        <wp:anchor distT="0" distB="0" distL="114300" distR="114300" simplePos="0" relativeHeight="251658240" behindDoc="1" locked="1" layoutInCell="1" allowOverlap="1" wp14:anchorId="5B404273" wp14:editId="738FF0A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20400" cy="6516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52A0" w14:textId="77777777" w:rsidR="00925633" w:rsidRDefault="00925633" w:rsidP="000A6228">
      <w:pPr>
        <w:spacing w:after="0" w:line="240" w:lineRule="auto"/>
      </w:pPr>
      <w:r>
        <w:separator/>
      </w:r>
    </w:p>
  </w:footnote>
  <w:footnote w:type="continuationSeparator" w:id="0">
    <w:p w14:paraId="56DEE7B6" w14:textId="77777777" w:rsidR="00925633" w:rsidRDefault="00925633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C2018"/>
    <w:multiLevelType w:val="multilevel"/>
    <w:tmpl w:val="3FB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7D78CE"/>
    <w:multiLevelType w:val="multilevel"/>
    <w:tmpl w:val="9612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524279">
    <w:abstractNumId w:val="11"/>
  </w:num>
  <w:num w:numId="2" w16cid:durableId="436947581">
    <w:abstractNumId w:val="5"/>
  </w:num>
  <w:num w:numId="3" w16cid:durableId="75826877">
    <w:abstractNumId w:val="4"/>
  </w:num>
  <w:num w:numId="4" w16cid:durableId="306322255">
    <w:abstractNumId w:val="3"/>
  </w:num>
  <w:num w:numId="5" w16cid:durableId="75978829">
    <w:abstractNumId w:val="13"/>
  </w:num>
  <w:num w:numId="6" w16cid:durableId="932514008">
    <w:abstractNumId w:val="2"/>
  </w:num>
  <w:num w:numId="7" w16cid:durableId="1936595011">
    <w:abstractNumId w:val="1"/>
  </w:num>
  <w:num w:numId="8" w16cid:durableId="499849793">
    <w:abstractNumId w:val="0"/>
  </w:num>
  <w:num w:numId="9" w16cid:durableId="1493595375">
    <w:abstractNumId w:val="12"/>
  </w:num>
  <w:num w:numId="10" w16cid:durableId="1807892893">
    <w:abstractNumId w:val="7"/>
  </w:num>
  <w:num w:numId="11" w16cid:durableId="1829053031">
    <w:abstractNumId w:val="16"/>
  </w:num>
  <w:num w:numId="12" w16cid:durableId="1117526806">
    <w:abstractNumId w:val="10"/>
  </w:num>
  <w:num w:numId="13" w16cid:durableId="2129464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6242624">
    <w:abstractNumId w:val="9"/>
  </w:num>
  <w:num w:numId="15" w16cid:durableId="158424565">
    <w:abstractNumId w:val="6"/>
  </w:num>
  <w:num w:numId="16" w16cid:durableId="807010820">
    <w:abstractNumId w:val="18"/>
  </w:num>
  <w:num w:numId="17" w16cid:durableId="801265162">
    <w:abstractNumId w:val="14"/>
  </w:num>
  <w:num w:numId="18" w16cid:durableId="1928150622">
    <w:abstractNumId w:val="8"/>
  </w:num>
  <w:num w:numId="19" w16cid:durableId="476995438">
    <w:abstractNumId w:val="15"/>
  </w:num>
  <w:num w:numId="20" w16cid:durableId="1691106475">
    <w:abstractNumId w:val="19"/>
  </w:num>
  <w:num w:numId="21" w16cid:durableId="1612318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25EB0"/>
    <w:rsid w:val="00133B8D"/>
    <w:rsid w:val="0013611E"/>
    <w:rsid w:val="0014355C"/>
    <w:rsid w:val="001515BF"/>
    <w:rsid w:val="0017134D"/>
    <w:rsid w:val="001A7CD3"/>
    <w:rsid w:val="001C1523"/>
    <w:rsid w:val="00221D8F"/>
    <w:rsid w:val="002272DB"/>
    <w:rsid w:val="00276047"/>
    <w:rsid w:val="002A4458"/>
    <w:rsid w:val="002D589A"/>
    <w:rsid w:val="00341C5E"/>
    <w:rsid w:val="003A5057"/>
    <w:rsid w:val="0040155D"/>
    <w:rsid w:val="0041713E"/>
    <w:rsid w:val="00421D3F"/>
    <w:rsid w:val="00423785"/>
    <w:rsid w:val="00452D26"/>
    <w:rsid w:val="004A06CD"/>
    <w:rsid w:val="004A4B6F"/>
    <w:rsid w:val="004A4CF9"/>
    <w:rsid w:val="004C4178"/>
    <w:rsid w:val="004D2965"/>
    <w:rsid w:val="004E327A"/>
    <w:rsid w:val="00530F0C"/>
    <w:rsid w:val="00572249"/>
    <w:rsid w:val="005A75C9"/>
    <w:rsid w:val="005B187D"/>
    <w:rsid w:val="00613536"/>
    <w:rsid w:val="006232DC"/>
    <w:rsid w:val="0063094F"/>
    <w:rsid w:val="006D67F3"/>
    <w:rsid w:val="006F170A"/>
    <w:rsid w:val="006F1FFF"/>
    <w:rsid w:val="006F3C59"/>
    <w:rsid w:val="006F63DA"/>
    <w:rsid w:val="006F6D10"/>
    <w:rsid w:val="00712B94"/>
    <w:rsid w:val="00722820"/>
    <w:rsid w:val="00754C60"/>
    <w:rsid w:val="007B2CA1"/>
    <w:rsid w:val="007D0ABC"/>
    <w:rsid w:val="008042F5"/>
    <w:rsid w:val="00826DF0"/>
    <w:rsid w:val="00864A44"/>
    <w:rsid w:val="00886959"/>
    <w:rsid w:val="008A36E1"/>
    <w:rsid w:val="008A37A7"/>
    <w:rsid w:val="008B0736"/>
    <w:rsid w:val="008F03B4"/>
    <w:rsid w:val="00923E11"/>
    <w:rsid w:val="00925633"/>
    <w:rsid w:val="00950B06"/>
    <w:rsid w:val="009647CB"/>
    <w:rsid w:val="00970069"/>
    <w:rsid w:val="0097022B"/>
    <w:rsid w:val="009721EB"/>
    <w:rsid w:val="009933DC"/>
    <w:rsid w:val="009B706E"/>
    <w:rsid w:val="009C423A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57E62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C5980"/>
    <w:rsid w:val="00DD2B46"/>
    <w:rsid w:val="00DD46D7"/>
    <w:rsid w:val="00E02A34"/>
    <w:rsid w:val="00E361B0"/>
    <w:rsid w:val="00E529E5"/>
    <w:rsid w:val="00EA13D4"/>
    <w:rsid w:val="00EB4C2F"/>
    <w:rsid w:val="00ED0DDF"/>
    <w:rsid w:val="00F1000D"/>
    <w:rsid w:val="00F311A4"/>
    <w:rsid w:val="00F82C2C"/>
    <w:rsid w:val="00F85913"/>
    <w:rsid w:val="00FD4D6E"/>
    <w:rsid w:val="00FF5BC8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1E012E88-1206-480A-8B9B-6A8CBAD6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D26"/>
    <w:pPr>
      <w:keepNext/>
      <w:keepLines/>
      <w:spacing w:before="1320" w:after="0" w:line="940" w:lineRule="exact"/>
      <w:outlineLvl w:val="0"/>
    </w:pPr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2DB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2DB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254A" w:themeColor="tex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2D26"/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2DB"/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72DB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11A4"/>
    <w:rPr>
      <w:rFonts w:asciiTheme="majorHAnsi" w:eastAsiaTheme="majorEastAsia" w:hAnsiTheme="majorHAnsi" w:cstheme="majorBidi"/>
      <w:b/>
      <w:color w:val="00254A" w:themeColor="tex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8F"/>
    <w:pPr>
      <w:numPr>
        <w:ilvl w:val="1"/>
      </w:numPr>
      <w:spacing w:before="160" w:after="140"/>
    </w:pPr>
    <w:rPr>
      <w:rFonts w:eastAsiaTheme="minorEastAsia"/>
      <w:color w:val="47BFAF" w:themeColor="accent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21D8F"/>
    <w:rPr>
      <w:rFonts w:eastAsiaTheme="minorEastAsia"/>
      <w:color w:val="47BFAF" w:themeColor="accent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NormalWeb">
    <w:name w:val="Normal (Web)"/>
    <w:basedOn w:val="Normal"/>
    <w:uiPriority w:val="99"/>
    <w:unhideWhenUsed/>
    <w:rsid w:val="008F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6F3C59"/>
    <w:rsid w:val="006F63DA"/>
    <w:rsid w:val="00785B1E"/>
    <w:rsid w:val="007A5B9E"/>
    <w:rsid w:val="00A15C0F"/>
    <w:rsid w:val="00C0108D"/>
    <w:rsid w:val="00D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C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4B70-725C-41C3-BF4B-169E8CC1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BB6F5-7FFB-4D8D-BC32-70C2E055A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74EC-F0D7-4D79-BCF8-A441AD43D098}">
  <ds:schemaRefs>
    <ds:schemaRef ds:uri="6db76dfe-0b17-40d1-a7b1-ac1e5e02a400"/>
    <ds:schemaRef ds:uri="http://schemas.microsoft.com/office/2006/documentManagement/types"/>
    <ds:schemaRef ds:uri="http://purl.org/dc/elements/1.1/"/>
    <ds:schemaRef ds:uri="81d707e8-d43a-4c1e-95a7-0bf23a0d792f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goes here over a couple of lines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 and AI – Summary</dc:title>
  <dc:subject/>
  <dc:creator>ASHTON,Michael</dc:creator>
  <cp:keywords/>
  <dc:description/>
  <cp:lastModifiedBy>PALAZZOLO,Jason</cp:lastModifiedBy>
  <cp:revision>14</cp:revision>
  <dcterms:created xsi:type="dcterms:W3CDTF">2024-10-18T05:01:00Z</dcterms:created>
  <dcterms:modified xsi:type="dcterms:W3CDTF">2024-10-21T23:36:00Z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