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6F4EEC" w14:textId="7C26469F" w:rsidR="00107DD5" w:rsidRDefault="00221D8F" w:rsidP="00CA4815">
      <w:r w:rsidRPr="00CA4815">
        <w:rPr>
          <w:b/>
          <w:bCs/>
          <w:noProof/>
        </w:rPr>
        <w:drawing>
          <wp:anchor distT="0" distB="0" distL="114300" distR="114300" simplePos="0" relativeHeight="251658240" behindDoc="1" locked="1" layoutInCell="1" allowOverlap="1" wp14:anchorId="4A1B45CD" wp14:editId="6674D784">
            <wp:simplePos x="0" y="0"/>
            <wp:positionH relativeFrom="column">
              <wp:posOffset>-914400</wp:posOffset>
            </wp:positionH>
            <wp:positionV relativeFrom="paragraph">
              <wp:posOffset>-1151890</wp:posOffset>
            </wp:positionV>
            <wp:extent cx="7542000" cy="10666800"/>
            <wp:effectExtent l="0" t="0" r="1905" b="127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42000" cy="106668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4911BBB9" wp14:editId="3F200D7F">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bookmarkStart w:id="0" w:name="_Toc126923157" w:displacedByCustomXml="next"/>
    <w:bookmarkStart w:id="1" w:name="_Toc126923146" w:displacedByCustomXml="next"/>
    <w:sdt>
      <w:sdtPr>
        <w:rPr>
          <w:rFonts w:eastAsiaTheme="minorHAnsi"/>
        </w:rPr>
        <w:alias w:val="Title"/>
        <w:tag w:val=""/>
        <w:id w:val="1478495247"/>
        <w:placeholder>
          <w:docPart w:val="026D9A923AB949B48FD45161E4265184"/>
        </w:placeholder>
        <w:dataBinding w:prefixMappings="xmlns:ns0='http://purl.org/dc/elements/1.1/' xmlns:ns1='http://schemas.openxmlformats.org/package/2006/metadata/core-properties' " w:xpath="/ns1:coreProperties[1]/ns0:title[1]" w:storeItemID="{6C3C8BC8-F283-45AE-878A-BAB7291924A1}"/>
        <w:text/>
      </w:sdtPr>
      <w:sdtContent>
        <w:p w14:paraId="00166DE0" w14:textId="417B640D" w:rsidR="00221D8F" w:rsidRDefault="00EB57C0" w:rsidP="0091036E">
          <w:pPr>
            <w:pStyle w:val="Heading1"/>
          </w:pPr>
          <w:r w:rsidRPr="00EB57C0">
            <w:rPr>
              <w:rFonts w:eastAsiaTheme="minorHAnsi"/>
            </w:rPr>
            <w:t>Aboriginal and Torres Strait Islander Peoples NDRI – Summary</w:t>
          </w:r>
        </w:p>
      </w:sdtContent>
    </w:sdt>
    <w:bookmarkEnd w:id="0" w:displacedByCustomXml="prev"/>
    <w:bookmarkEnd w:id="1" w:displacedByCustomXml="prev"/>
    <w:p w14:paraId="21C1556E" w14:textId="6F921E27" w:rsidR="0017134D" w:rsidRDefault="008F03B4" w:rsidP="00EB4C2F">
      <w:pPr>
        <w:pStyle w:val="Subtitle"/>
      </w:pPr>
      <w:r>
        <w:t>Targeted Discussion Series (September</w:t>
      </w:r>
      <w:r w:rsidR="0091036E">
        <w:t xml:space="preserve"> 2024</w:t>
      </w:r>
      <w:r>
        <w:t>)</w:t>
      </w:r>
    </w:p>
    <w:p w14:paraId="0600EC06" w14:textId="77777777" w:rsidR="00107D87" w:rsidRDefault="00107D87">
      <w:pPr>
        <w:sectPr w:rsidR="00107D87" w:rsidSect="00221D8F">
          <w:pgSz w:w="11906" w:h="16838"/>
          <w:pgMar w:top="1814" w:right="1440" w:bottom="1440" w:left="1440" w:header="709" w:footer="709" w:gutter="0"/>
          <w:cols w:space="708"/>
          <w:docGrid w:linePitch="360"/>
        </w:sectPr>
      </w:pPr>
    </w:p>
    <w:p w14:paraId="005F87D5" w14:textId="43A43F81" w:rsidR="0017134D" w:rsidRDefault="008F03B4" w:rsidP="00AD631F">
      <w:pPr>
        <w:pStyle w:val="Heading2"/>
      </w:pPr>
      <w:r>
        <w:lastRenderedPageBreak/>
        <w:t>Summary</w:t>
      </w:r>
    </w:p>
    <w:p w14:paraId="125F4A87" w14:textId="77777777" w:rsidR="008F6739" w:rsidRDefault="008F6739" w:rsidP="008F6739">
      <w:r w:rsidRPr="00935A3D">
        <w:t xml:space="preserve">The consultation identified several </w:t>
      </w:r>
      <w:r>
        <w:t xml:space="preserve">key considerations and potential </w:t>
      </w:r>
      <w:r w:rsidRPr="00935A3D">
        <w:t>investment priorities for digital research infrastructure:</w:t>
      </w:r>
    </w:p>
    <w:p w14:paraId="588ED4FD" w14:textId="3970C28F" w:rsidR="00996568" w:rsidRPr="00AC5F8C" w:rsidRDefault="00996568" w:rsidP="00996568">
      <w:pPr>
        <w:pStyle w:val="NormalWeb"/>
        <w:spacing w:before="0" w:beforeAutospacing="0" w:after="240" w:afterAutospacing="0"/>
        <w:rPr>
          <w:rFonts w:ascii="Calibri" w:hAnsi="Calibri" w:cs="Calibri"/>
          <w:color w:val="000000"/>
          <w:sz w:val="22"/>
          <w:szCs w:val="22"/>
        </w:rPr>
      </w:pPr>
      <w:r w:rsidRPr="00AC5F8C">
        <w:rPr>
          <w:rStyle w:val="Strong"/>
          <w:rFonts w:ascii="Calibri" w:eastAsiaTheme="majorEastAsia" w:hAnsi="Calibri" w:cs="Calibri"/>
          <w:color w:val="000000"/>
          <w:sz w:val="22"/>
          <w:szCs w:val="22"/>
        </w:rPr>
        <w:t xml:space="preserve">Indigenous-led </w:t>
      </w:r>
      <w:r w:rsidR="008E5C18">
        <w:rPr>
          <w:rStyle w:val="Strong"/>
          <w:rFonts w:ascii="Calibri" w:eastAsiaTheme="majorEastAsia" w:hAnsi="Calibri" w:cs="Calibri"/>
          <w:color w:val="000000"/>
          <w:sz w:val="22"/>
          <w:szCs w:val="22"/>
        </w:rPr>
        <w:t>p</w:t>
      </w:r>
      <w:r w:rsidRPr="00AC5F8C">
        <w:rPr>
          <w:rStyle w:val="Strong"/>
          <w:rFonts w:ascii="Calibri" w:eastAsiaTheme="majorEastAsia" w:hAnsi="Calibri" w:cs="Calibri"/>
          <w:color w:val="000000"/>
          <w:sz w:val="22"/>
          <w:szCs w:val="22"/>
        </w:rPr>
        <w:t>rograms</w:t>
      </w:r>
      <w:r w:rsidRPr="00AC5F8C">
        <w:rPr>
          <w:rFonts w:ascii="Calibri" w:hAnsi="Calibri" w:cs="Calibri"/>
          <w:color w:val="000000"/>
          <w:sz w:val="22"/>
          <w:szCs w:val="22"/>
        </w:rPr>
        <w:t xml:space="preserve">: Further investment should be directed into </w:t>
      </w:r>
      <w:r>
        <w:rPr>
          <w:rFonts w:ascii="Calibri" w:hAnsi="Calibri" w:cs="Calibri"/>
          <w:color w:val="000000"/>
          <w:sz w:val="22"/>
          <w:szCs w:val="22"/>
        </w:rPr>
        <w:t>I</w:t>
      </w:r>
      <w:r w:rsidRPr="00AC5F8C">
        <w:rPr>
          <w:rFonts w:ascii="Calibri" w:hAnsi="Calibri" w:cs="Calibri"/>
          <w:color w:val="000000"/>
          <w:sz w:val="22"/>
          <w:szCs w:val="22"/>
        </w:rPr>
        <w:t>ndigenous-led programs of work</w:t>
      </w:r>
      <w:r>
        <w:rPr>
          <w:rFonts w:ascii="Calibri" w:hAnsi="Calibri" w:cs="Calibri"/>
          <w:color w:val="000000"/>
          <w:sz w:val="22"/>
          <w:szCs w:val="22"/>
        </w:rPr>
        <w:t xml:space="preserve">. </w:t>
      </w:r>
      <w:r w:rsidRPr="00166775">
        <w:rPr>
          <w:rFonts w:ascii="Calibri" w:hAnsi="Calibri" w:cs="Calibri"/>
          <w:color w:val="000000"/>
          <w:sz w:val="22"/>
          <w:szCs w:val="22"/>
        </w:rPr>
        <w:t>Empowering Indigenous leadership in these programs promotes self-determination and ensures that data practices align with community values and needs.</w:t>
      </w:r>
    </w:p>
    <w:p w14:paraId="7A8DC0A1" w14:textId="6DCF8324" w:rsidR="00996568" w:rsidRPr="00AC5F8C" w:rsidRDefault="00996568" w:rsidP="00996568">
      <w:pPr>
        <w:pStyle w:val="NormalWeb"/>
        <w:spacing w:before="0" w:beforeAutospacing="0" w:after="240" w:afterAutospacing="0" w:line="300" w:lineRule="atLeast"/>
        <w:rPr>
          <w:rFonts w:ascii="Calibri" w:hAnsi="Calibri" w:cs="Calibri"/>
          <w:color w:val="242424"/>
          <w:sz w:val="22"/>
          <w:szCs w:val="22"/>
        </w:rPr>
      </w:pPr>
      <w:r w:rsidRPr="00AC5F8C">
        <w:rPr>
          <w:rStyle w:val="Strong"/>
          <w:rFonts w:ascii="Calibri" w:eastAsiaTheme="majorEastAsia" w:hAnsi="Calibri" w:cs="Calibri"/>
          <w:color w:val="000000"/>
          <w:sz w:val="22"/>
          <w:szCs w:val="22"/>
        </w:rPr>
        <w:t xml:space="preserve">Capability </w:t>
      </w:r>
      <w:r w:rsidR="008E5C18">
        <w:rPr>
          <w:rStyle w:val="Strong"/>
          <w:rFonts w:ascii="Calibri" w:eastAsiaTheme="majorEastAsia" w:hAnsi="Calibri" w:cs="Calibri"/>
          <w:color w:val="000000"/>
          <w:sz w:val="22"/>
          <w:szCs w:val="22"/>
        </w:rPr>
        <w:t>b</w:t>
      </w:r>
      <w:r w:rsidRPr="00AC5F8C">
        <w:rPr>
          <w:rStyle w:val="Strong"/>
          <w:rFonts w:ascii="Calibri" w:eastAsiaTheme="majorEastAsia" w:hAnsi="Calibri" w:cs="Calibri"/>
          <w:color w:val="000000"/>
          <w:sz w:val="22"/>
          <w:szCs w:val="22"/>
        </w:rPr>
        <w:t>uilding</w:t>
      </w:r>
      <w:r w:rsidRPr="00AC5F8C">
        <w:rPr>
          <w:rFonts w:ascii="Calibri" w:hAnsi="Calibri" w:cs="Calibri"/>
          <w:color w:val="000000"/>
          <w:sz w:val="22"/>
          <w:szCs w:val="22"/>
        </w:rPr>
        <w:t xml:space="preserve">: Building capabilities of </w:t>
      </w:r>
      <w:r w:rsidRPr="00AC5F8C">
        <w:rPr>
          <w:rFonts w:ascii="Calibri" w:hAnsi="Calibri" w:cs="Calibri"/>
          <w:color w:val="242424"/>
          <w:sz w:val="22"/>
          <w:szCs w:val="22"/>
        </w:rPr>
        <w:t xml:space="preserve">NDRI users, data suppliers (researchers) and operators, </w:t>
      </w:r>
      <w:r w:rsidRPr="00AC5F8C">
        <w:rPr>
          <w:rFonts w:ascii="Calibri" w:hAnsi="Calibri" w:cs="Calibri"/>
          <w:color w:val="000000"/>
          <w:sz w:val="22"/>
          <w:szCs w:val="22"/>
        </w:rPr>
        <w:t xml:space="preserve">and ensuring cultural safety and competencies for Indigenous people working on country. This includes training Indigenous communities on their rights under Free, Prior, and Informed Consent (FPIC) and Indigenous Cultural and Intellectual Property (ICIP) principles, ensuring that the university sector and other institutions </w:t>
      </w:r>
      <w:r w:rsidRPr="00166775">
        <w:rPr>
          <w:rFonts w:ascii="Calibri" w:hAnsi="Calibri" w:cs="Calibri"/>
          <w:color w:val="000000"/>
          <w:sz w:val="22"/>
          <w:szCs w:val="22"/>
        </w:rPr>
        <w:t>develop cultural safety competencies to ethically handle Indigenous knowledge and data,</w:t>
      </w:r>
      <w:r>
        <w:rPr>
          <w:rFonts w:ascii="Calibri" w:hAnsi="Calibri" w:cs="Calibri"/>
          <w:color w:val="000000"/>
          <w:sz w:val="22"/>
          <w:szCs w:val="22"/>
        </w:rPr>
        <w:t xml:space="preserve"> </w:t>
      </w:r>
      <w:r w:rsidRPr="00AC5F8C">
        <w:rPr>
          <w:rFonts w:ascii="Calibri" w:hAnsi="Calibri" w:cs="Calibri"/>
          <w:color w:val="000000"/>
          <w:sz w:val="22"/>
          <w:szCs w:val="22"/>
        </w:rPr>
        <w:t xml:space="preserve">aligning with priority reform </w:t>
      </w:r>
      <w:r w:rsidR="00513410">
        <w:rPr>
          <w:rFonts w:ascii="Calibri" w:hAnsi="Calibri" w:cs="Calibri"/>
          <w:color w:val="000000"/>
          <w:sz w:val="22"/>
          <w:szCs w:val="22"/>
        </w:rPr>
        <w:t>4</w:t>
      </w:r>
      <w:r w:rsidRPr="00AC5F8C">
        <w:rPr>
          <w:rFonts w:ascii="Calibri" w:hAnsi="Calibri" w:cs="Calibri"/>
          <w:color w:val="000000"/>
          <w:sz w:val="22"/>
          <w:szCs w:val="22"/>
        </w:rPr>
        <w:t xml:space="preserve"> in the Closing the Gap initiative and the AIATSIS Code of Ethics.</w:t>
      </w:r>
    </w:p>
    <w:p w14:paraId="2B23CEB6" w14:textId="547A09C2" w:rsidR="00996568" w:rsidRPr="00AC5F8C" w:rsidRDefault="00996568" w:rsidP="00996568">
      <w:pPr>
        <w:pStyle w:val="NormalWeb"/>
        <w:spacing w:before="0" w:beforeAutospacing="0" w:after="240" w:afterAutospacing="0"/>
        <w:rPr>
          <w:rFonts w:ascii="Calibri" w:hAnsi="Calibri" w:cs="Calibri"/>
          <w:color w:val="000000"/>
          <w:sz w:val="22"/>
          <w:szCs w:val="22"/>
        </w:rPr>
      </w:pPr>
      <w:r w:rsidRPr="00AC5F8C">
        <w:rPr>
          <w:rStyle w:val="Strong"/>
          <w:rFonts w:ascii="Calibri" w:eastAsiaTheme="majorEastAsia" w:hAnsi="Calibri" w:cs="Calibri"/>
          <w:color w:val="000000"/>
          <w:sz w:val="22"/>
          <w:szCs w:val="22"/>
        </w:rPr>
        <w:t xml:space="preserve">Indigenous </w:t>
      </w:r>
      <w:r w:rsidR="008E5C18">
        <w:rPr>
          <w:rStyle w:val="Strong"/>
          <w:rFonts w:ascii="Calibri" w:eastAsiaTheme="majorEastAsia" w:hAnsi="Calibri" w:cs="Calibri"/>
          <w:color w:val="000000"/>
          <w:sz w:val="22"/>
          <w:szCs w:val="22"/>
        </w:rPr>
        <w:t>d</w:t>
      </w:r>
      <w:r w:rsidRPr="00AC5F8C">
        <w:rPr>
          <w:rStyle w:val="Strong"/>
          <w:rFonts w:ascii="Calibri" w:eastAsiaTheme="majorEastAsia" w:hAnsi="Calibri" w:cs="Calibri"/>
          <w:color w:val="000000"/>
          <w:sz w:val="22"/>
          <w:szCs w:val="22"/>
        </w:rPr>
        <w:t xml:space="preserve">ata </w:t>
      </w:r>
      <w:r w:rsidR="008E5C18">
        <w:rPr>
          <w:rStyle w:val="Strong"/>
          <w:rFonts w:ascii="Calibri" w:eastAsiaTheme="majorEastAsia" w:hAnsi="Calibri" w:cs="Calibri"/>
          <w:color w:val="000000"/>
          <w:sz w:val="22"/>
          <w:szCs w:val="22"/>
        </w:rPr>
        <w:t>g</w:t>
      </w:r>
      <w:r w:rsidRPr="00AC5F8C">
        <w:rPr>
          <w:rStyle w:val="Strong"/>
          <w:rFonts w:ascii="Calibri" w:eastAsiaTheme="majorEastAsia" w:hAnsi="Calibri" w:cs="Calibri"/>
          <w:color w:val="000000"/>
          <w:sz w:val="22"/>
          <w:szCs w:val="22"/>
        </w:rPr>
        <w:t>overnance</w:t>
      </w:r>
      <w:r w:rsidRPr="00AC5F8C">
        <w:rPr>
          <w:rFonts w:ascii="Calibri" w:hAnsi="Calibri" w:cs="Calibri"/>
          <w:color w:val="000000"/>
          <w:sz w:val="22"/>
          <w:szCs w:val="22"/>
        </w:rPr>
        <w:t xml:space="preserve">: Elevate </w:t>
      </w:r>
      <w:r w:rsidR="009503A1">
        <w:rPr>
          <w:rFonts w:ascii="Calibri" w:hAnsi="Calibri" w:cs="Calibri"/>
          <w:color w:val="000000"/>
          <w:sz w:val="22"/>
          <w:szCs w:val="22"/>
        </w:rPr>
        <w:t>I</w:t>
      </w:r>
      <w:r w:rsidRPr="00AC5F8C">
        <w:rPr>
          <w:rFonts w:ascii="Calibri" w:hAnsi="Calibri" w:cs="Calibri"/>
          <w:color w:val="000000"/>
          <w:sz w:val="22"/>
          <w:szCs w:val="22"/>
        </w:rPr>
        <w:t xml:space="preserve">ndigenous data governance across the </w:t>
      </w:r>
      <w:r w:rsidR="002B7ED1">
        <w:rPr>
          <w:rFonts w:ascii="Calibri" w:hAnsi="Calibri" w:cs="Calibri"/>
          <w:color w:val="000000"/>
          <w:sz w:val="22"/>
          <w:szCs w:val="22"/>
        </w:rPr>
        <w:t>national research infrastructure (</w:t>
      </w:r>
      <w:r w:rsidRPr="00AC5F8C">
        <w:rPr>
          <w:rFonts w:ascii="Calibri" w:hAnsi="Calibri" w:cs="Calibri"/>
          <w:color w:val="000000"/>
          <w:sz w:val="22"/>
          <w:szCs w:val="22"/>
        </w:rPr>
        <w:t>NRI</w:t>
      </w:r>
      <w:r w:rsidR="002B7ED1">
        <w:rPr>
          <w:rFonts w:ascii="Calibri" w:hAnsi="Calibri" w:cs="Calibri"/>
          <w:color w:val="000000"/>
          <w:sz w:val="22"/>
          <w:szCs w:val="22"/>
        </w:rPr>
        <w:t>)</w:t>
      </w:r>
      <w:r w:rsidRPr="00AC5F8C">
        <w:rPr>
          <w:rFonts w:ascii="Calibri" w:hAnsi="Calibri" w:cs="Calibri"/>
          <w:color w:val="000000"/>
          <w:sz w:val="22"/>
          <w:szCs w:val="22"/>
        </w:rPr>
        <w:t xml:space="preserve"> landscape for all disciplines. This includes adopting and adapting </w:t>
      </w:r>
      <w:r w:rsidR="009503A1">
        <w:rPr>
          <w:rFonts w:ascii="Calibri" w:hAnsi="Calibri" w:cs="Calibri"/>
          <w:color w:val="000000"/>
          <w:sz w:val="22"/>
          <w:szCs w:val="22"/>
        </w:rPr>
        <w:t>I</w:t>
      </w:r>
      <w:r w:rsidRPr="00AC5F8C">
        <w:rPr>
          <w:rFonts w:ascii="Calibri" w:hAnsi="Calibri" w:cs="Calibri"/>
          <w:color w:val="000000"/>
          <w:sz w:val="22"/>
          <w:szCs w:val="22"/>
        </w:rPr>
        <w:t xml:space="preserve">ndigenous data governance frameworks and investing in training for their application. </w:t>
      </w:r>
      <w:r>
        <w:rPr>
          <w:rFonts w:ascii="Calibri" w:hAnsi="Calibri" w:cs="Calibri"/>
          <w:color w:val="000000"/>
          <w:sz w:val="22"/>
          <w:szCs w:val="22"/>
        </w:rPr>
        <w:t xml:space="preserve">Governance includes effective process for discovery and triage of Indigenous Knowledge that may be unknowingly stored in existing systems. </w:t>
      </w:r>
    </w:p>
    <w:p w14:paraId="17BDD717" w14:textId="30422625" w:rsidR="00996568" w:rsidRPr="00AC5F8C" w:rsidRDefault="00996568" w:rsidP="00996568">
      <w:pPr>
        <w:pStyle w:val="NormalWeb"/>
        <w:spacing w:before="0" w:beforeAutospacing="0" w:after="240" w:afterAutospacing="0"/>
        <w:rPr>
          <w:rFonts w:ascii="Calibri" w:hAnsi="Calibri" w:cs="Calibri"/>
          <w:color w:val="000000"/>
          <w:sz w:val="22"/>
          <w:szCs w:val="22"/>
        </w:rPr>
      </w:pPr>
      <w:r w:rsidRPr="00AC5F8C">
        <w:rPr>
          <w:rStyle w:val="Strong"/>
          <w:rFonts w:ascii="Calibri" w:eastAsiaTheme="majorEastAsia" w:hAnsi="Calibri" w:cs="Calibri"/>
          <w:color w:val="000000"/>
          <w:sz w:val="22"/>
          <w:szCs w:val="22"/>
        </w:rPr>
        <w:t xml:space="preserve">Equity of </w:t>
      </w:r>
      <w:r w:rsidR="008E5C18">
        <w:rPr>
          <w:rStyle w:val="Strong"/>
          <w:rFonts w:ascii="Calibri" w:eastAsiaTheme="majorEastAsia" w:hAnsi="Calibri" w:cs="Calibri"/>
          <w:color w:val="000000"/>
          <w:sz w:val="22"/>
          <w:szCs w:val="22"/>
        </w:rPr>
        <w:t>a</w:t>
      </w:r>
      <w:r w:rsidRPr="00AC5F8C">
        <w:rPr>
          <w:rStyle w:val="Strong"/>
          <w:rFonts w:ascii="Calibri" w:eastAsiaTheme="majorEastAsia" w:hAnsi="Calibri" w:cs="Calibri"/>
          <w:color w:val="000000"/>
          <w:sz w:val="22"/>
          <w:szCs w:val="22"/>
        </w:rPr>
        <w:t xml:space="preserve">ccess to </w:t>
      </w:r>
      <w:r w:rsidR="008E5C18">
        <w:rPr>
          <w:rStyle w:val="Strong"/>
          <w:rFonts w:ascii="Calibri" w:eastAsiaTheme="majorEastAsia" w:hAnsi="Calibri" w:cs="Calibri"/>
          <w:color w:val="000000"/>
          <w:sz w:val="22"/>
          <w:szCs w:val="22"/>
        </w:rPr>
        <w:t>m</w:t>
      </w:r>
      <w:r w:rsidRPr="00AC5F8C">
        <w:rPr>
          <w:rStyle w:val="Strong"/>
          <w:rFonts w:ascii="Calibri" w:eastAsiaTheme="majorEastAsia" w:hAnsi="Calibri" w:cs="Calibri"/>
          <w:color w:val="000000"/>
          <w:sz w:val="22"/>
          <w:szCs w:val="22"/>
        </w:rPr>
        <w:t>aterials</w:t>
      </w:r>
      <w:r w:rsidRPr="00AC5F8C">
        <w:rPr>
          <w:rFonts w:ascii="Calibri" w:hAnsi="Calibri" w:cs="Calibri"/>
          <w:color w:val="000000"/>
          <w:sz w:val="22"/>
          <w:szCs w:val="22"/>
        </w:rPr>
        <w:t>: Support efficient delivery of cultural and language materials. This includes upgrading the way holding institutions produce material, identifying what material they have, and recognising that Indigenous people seeking materials for language revitali</w:t>
      </w:r>
      <w:r w:rsidR="004A7C9A">
        <w:rPr>
          <w:rFonts w:ascii="Calibri" w:hAnsi="Calibri" w:cs="Calibri"/>
          <w:color w:val="000000"/>
          <w:sz w:val="22"/>
          <w:szCs w:val="22"/>
        </w:rPr>
        <w:t>z</w:t>
      </w:r>
      <w:r w:rsidRPr="00AC5F8C">
        <w:rPr>
          <w:rFonts w:ascii="Calibri" w:hAnsi="Calibri" w:cs="Calibri"/>
          <w:color w:val="000000"/>
          <w:sz w:val="22"/>
          <w:szCs w:val="22"/>
        </w:rPr>
        <w:t xml:space="preserve">ation programs often face delays in accessing these resources. </w:t>
      </w:r>
    </w:p>
    <w:p w14:paraId="68F13EF5" w14:textId="6239340B" w:rsidR="00996568" w:rsidRPr="00AC5F8C" w:rsidRDefault="00996568" w:rsidP="00996568">
      <w:pPr>
        <w:pStyle w:val="NormalWeb"/>
        <w:spacing w:before="0" w:beforeAutospacing="0" w:after="240" w:afterAutospacing="0"/>
        <w:rPr>
          <w:rFonts w:ascii="Calibri" w:hAnsi="Calibri" w:cs="Calibri"/>
          <w:color w:val="000000"/>
          <w:sz w:val="22"/>
          <w:szCs w:val="22"/>
        </w:rPr>
      </w:pPr>
      <w:r w:rsidRPr="00AC5F8C">
        <w:rPr>
          <w:rStyle w:val="Strong"/>
          <w:rFonts w:ascii="Calibri" w:eastAsiaTheme="majorEastAsia" w:hAnsi="Calibri" w:cs="Calibri"/>
          <w:color w:val="000000"/>
          <w:sz w:val="22"/>
          <w:szCs w:val="22"/>
        </w:rPr>
        <w:t xml:space="preserve">Indigenous </w:t>
      </w:r>
      <w:r w:rsidR="008E5C18">
        <w:rPr>
          <w:rStyle w:val="Strong"/>
          <w:rFonts w:ascii="Calibri" w:eastAsiaTheme="majorEastAsia" w:hAnsi="Calibri" w:cs="Calibri"/>
          <w:color w:val="000000"/>
          <w:sz w:val="22"/>
          <w:szCs w:val="22"/>
        </w:rPr>
        <w:t>d</w:t>
      </w:r>
      <w:r w:rsidRPr="00AC5F8C">
        <w:rPr>
          <w:rStyle w:val="Strong"/>
          <w:rFonts w:ascii="Calibri" w:eastAsiaTheme="majorEastAsia" w:hAnsi="Calibri" w:cs="Calibri"/>
          <w:color w:val="000000"/>
          <w:sz w:val="22"/>
          <w:szCs w:val="22"/>
        </w:rPr>
        <w:t xml:space="preserve">ata </w:t>
      </w:r>
      <w:r w:rsidR="008E5C18">
        <w:rPr>
          <w:rStyle w:val="Strong"/>
          <w:rFonts w:ascii="Calibri" w:eastAsiaTheme="majorEastAsia" w:hAnsi="Calibri" w:cs="Calibri"/>
          <w:color w:val="000000"/>
          <w:sz w:val="22"/>
          <w:szCs w:val="22"/>
        </w:rPr>
        <w:t>c</w:t>
      </w:r>
      <w:r w:rsidRPr="00AC5F8C">
        <w:rPr>
          <w:rStyle w:val="Strong"/>
          <w:rFonts w:ascii="Calibri" w:eastAsiaTheme="majorEastAsia" w:hAnsi="Calibri" w:cs="Calibri"/>
          <w:color w:val="000000"/>
          <w:sz w:val="22"/>
          <w:szCs w:val="22"/>
        </w:rPr>
        <w:t>atalogue</w:t>
      </w:r>
      <w:r w:rsidRPr="00AC5F8C">
        <w:rPr>
          <w:rFonts w:ascii="Calibri" w:hAnsi="Calibri" w:cs="Calibri"/>
          <w:color w:val="000000"/>
          <w:sz w:val="22"/>
          <w:szCs w:val="22"/>
        </w:rPr>
        <w:t>: Support the development of an Indigenous data catalogue that is tailored to support Aboriginal and Torres Strait Islander knowledge systems.</w:t>
      </w:r>
      <w:r>
        <w:rPr>
          <w:rFonts w:ascii="Calibri" w:hAnsi="Calibri" w:cs="Calibri"/>
          <w:color w:val="000000"/>
          <w:sz w:val="22"/>
          <w:szCs w:val="22"/>
        </w:rPr>
        <w:t xml:space="preserve"> </w:t>
      </w:r>
      <w:r w:rsidRPr="00AC5F8C">
        <w:rPr>
          <w:rFonts w:ascii="Calibri" w:hAnsi="Calibri" w:cs="Calibri"/>
          <w:color w:val="000000"/>
          <w:sz w:val="22"/>
          <w:szCs w:val="22"/>
        </w:rPr>
        <w:t xml:space="preserve">Important </w:t>
      </w:r>
      <w:r w:rsidRPr="00996568">
        <w:rPr>
          <w:rStyle w:val="Strong"/>
          <w:rFonts w:ascii="Calibri" w:eastAsiaTheme="majorEastAsia" w:hAnsi="Calibri" w:cs="Calibri"/>
          <w:b w:val="0"/>
          <w:bCs w:val="0"/>
          <w:color w:val="000000"/>
          <w:sz w:val="22"/>
          <w:szCs w:val="22"/>
        </w:rPr>
        <w:t>to address</w:t>
      </w:r>
      <w:r w:rsidRPr="00AC5F8C">
        <w:rPr>
          <w:rStyle w:val="Strong"/>
          <w:rFonts w:ascii="Calibri" w:eastAsiaTheme="majorEastAsia" w:hAnsi="Calibri" w:cs="Calibri"/>
          <w:color w:val="000000"/>
          <w:sz w:val="22"/>
          <w:szCs w:val="22"/>
        </w:rPr>
        <w:t xml:space="preserve"> </w:t>
      </w:r>
      <w:r w:rsidRPr="00AC5F8C">
        <w:rPr>
          <w:rFonts w:ascii="Calibri" w:hAnsi="Calibri" w:cs="Calibri"/>
          <w:color w:val="000000"/>
          <w:sz w:val="22"/>
          <w:szCs w:val="22"/>
        </w:rPr>
        <w:t xml:space="preserve">the issue of legacy data, which often gets lost or becomes inaccessible after project funding ends, and to recognise that many corporations (e.g., BHP and Rio Tinto) hold significant amounts of </w:t>
      </w:r>
      <w:r w:rsidR="00F81DA7">
        <w:rPr>
          <w:rFonts w:ascii="Calibri" w:hAnsi="Calibri" w:cs="Calibri"/>
          <w:color w:val="000000"/>
          <w:sz w:val="22"/>
          <w:szCs w:val="22"/>
        </w:rPr>
        <w:t>I</w:t>
      </w:r>
      <w:r w:rsidRPr="00AC5F8C">
        <w:rPr>
          <w:rFonts w:ascii="Calibri" w:hAnsi="Calibri" w:cs="Calibri"/>
          <w:color w:val="000000"/>
          <w:sz w:val="22"/>
          <w:szCs w:val="22"/>
        </w:rPr>
        <w:t xml:space="preserve">ndigenous knowledge, often without the communities' awareness. Noted that the Office of the National Data Commissioner (ONDC) is currently collecting information from government agencies </w:t>
      </w:r>
      <w:r w:rsidR="00D72ECA">
        <w:rPr>
          <w:rFonts w:ascii="Calibri" w:hAnsi="Calibri" w:cs="Calibri"/>
          <w:color w:val="000000"/>
          <w:sz w:val="22"/>
          <w:szCs w:val="22"/>
        </w:rPr>
        <w:t xml:space="preserve">regarding Aboriginal and Torres Strait Islander </w:t>
      </w:r>
      <w:r w:rsidR="00F475C3">
        <w:rPr>
          <w:rFonts w:ascii="Calibri" w:hAnsi="Calibri" w:cs="Calibri"/>
          <w:color w:val="000000"/>
          <w:sz w:val="22"/>
          <w:szCs w:val="22"/>
        </w:rPr>
        <w:t>people’s</w:t>
      </w:r>
      <w:r w:rsidRPr="00AC5F8C">
        <w:rPr>
          <w:rFonts w:ascii="Calibri" w:hAnsi="Calibri" w:cs="Calibri"/>
          <w:color w:val="000000"/>
          <w:sz w:val="22"/>
          <w:szCs w:val="22"/>
        </w:rPr>
        <w:t xml:space="preserve"> data holding</w:t>
      </w:r>
      <w:r w:rsidR="00D72ECA">
        <w:rPr>
          <w:rFonts w:ascii="Calibri" w:hAnsi="Calibri" w:cs="Calibri"/>
          <w:color w:val="000000"/>
          <w:sz w:val="22"/>
          <w:szCs w:val="22"/>
        </w:rPr>
        <w:t>s</w:t>
      </w:r>
      <w:r w:rsidRPr="00AC5F8C">
        <w:rPr>
          <w:rFonts w:ascii="Calibri" w:hAnsi="Calibri" w:cs="Calibri"/>
          <w:color w:val="000000"/>
          <w:sz w:val="22"/>
          <w:szCs w:val="22"/>
        </w:rPr>
        <w:t>.</w:t>
      </w:r>
    </w:p>
    <w:p w14:paraId="0A09204A" w14:textId="6943DF13" w:rsidR="00996568" w:rsidRPr="00AC5F8C" w:rsidRDefault="00996568" w:rsidP="00996568">
      <w:pPr>
        <w:pStyle w:val="NormalWeb"/>
        <w:spacing w:before="0" w:beforeAutospacing="0" w:after="240" w:afterAutospacing="0" w:line="300" w:lineRule="atLeast"/>
        <w:rPr>
          <w:rFonts w:ascii="Calibri" w:hAnsi="Calibri" w:cs="Calibri"/>
          <w:color w:val="242424"/>
          <w:sz w:val="22"/>
          <w:szCs w:val="22"/>
        </w:rPr>
      </w:pPr>
      <w:r w:rsidRPr="00AC5F8C">
        <w:rPr>
          <w:rStyle w:val="Strong"/>
          <w:rFonts w:ascii="Calibri" w:eastAsiaTheme="majorEastAsia" w:hAnsi="Calibri" w:cs="Calibri"/>
          <w:color w:val="242424"/>
          <w:sz w:val="22"/>
          <w:szCs w:val="22"/>
        </w:rPr>
        <w:t xml:space="preserve">Indigenous </w:t>
      </w:r>
      <w:r w:rsidR="008E5C18">
        <w:rPr>
          <w:rStyle w:val="Strong"/>
          <w:rFonts w:ascii="Calibri" w:eastAsiaTheme="majorEastAsia" w:hAnsi="Calibri" w:cs="Calibri"/>
          <w:color w:val="242424"/>
          <w:sz w:val="22"/>
          <w:szCs w:val="22"/>
        </w:rPr>
        <w:t>d</w:t>
      </w:r>
      <w:r w:rsidRPr="00AC5F8C">
        <w:rPr>
          <w:rStyle w:val="Strong"/>
          <w:rFonts w:ascii="Calibri" w:eastAsiaTheme="majorEastAsia" w:hAnsi="Calibri" w:cs="Calibri"/>
          <w:color w:val="242424"/>
          <w:sz w:val="22"/>
          <w:szCs w:val="22"/>
        </w:rPr>
        <w:t xml:space="preserve">ata </w:t>
      </w:r>
      <w:r w:rsidR="008E5C18">
        <w:rPr>
          <w:rStyle w:val="Strong"/>
          <w:rFonts w:ascii="Calibri" w:eastAsiaTheme="majorEastAsia" w:hAnsi="Calibri" w:cs="Calibri"/>
          <w:color w:val="242424"/>
          <w:sz w:val="22"/>
          <w:szCs w:val="22"/>
        </w:rPr>
        <w:t>se</w:t>
      </w:r>
      <w:r w:rsidRPr="00AC5F8C">
        <w:rPr>
          <w:rStyle w:val="Strong"/>
          <w:rFonts w:ascii="Calibri" w:eastAsiaTheme="majorEastAsia" w:hAnsi="Calibri" w:cs="Calibri"/>
          <w:color w:val="242424"/>
          <w:sz w:val="22"/>
          <w:szCs w:val="22"/>
        </w:rPr>
        <w:t>curity</w:t>
      </w:r>
      <w:r w:rsidRPr="00623DFC">
        <w:t xml:space="preserve"> </w:t>
      </w:r>
      <w:r w:rsidRPr="00623DFC">
        <w:rPr>
          <w:rFonts w:ascii="Calibri" w:eastAsiaTheme="majorEastAsia" w:hAnsi="Calibri" w:cs="Calibri"/>
          <w:b/>
          <w:bCs/>
          <w:color w:val="242424"/>
          <w:sz w:val="22"/>
          <w:szCs w:val="22"/>
        </w:rPr>
        <w:t xml:space="preserve">and </w:t>
      </w:r>
      <w:r w:rsidR="008E5C18">
        <w:rPr>
          <w:rFonts w:ascii="Calibri" w:eastAsiaTheme="majorEastAsia" w:hAnsi="Calibri" w:cs="Calibri"/>
          <w:b/>
          <w:bCs/>
          <w:color w:val="242424"/>
          <w:sz w:val="22"/>
          <w:szCs w:val="22"/>
        </w:rPr>
        <w:t>p</w:t>
      </w:r>
      <w:r w:rsidRPr="00623DFC">
        <w:rPr>
          <w:rFonts w:ascii="Calibri" w:eastAsiaTheme="majorEastAsia" w:hAnsi="Calibri" w:cs="Calibri"/>
          <w:b/>
          <w:bCs/>
          <w:color w:val="242424"/>
          <w:sz w:val="22"/>
          <w:szCs w:val="22"/>
        </w:rPr>
        <w:t xml:space="preserve">rotection of </w:t>
      </w:r>
      <w:r w:rsidR="008E5C18">
        <w:rPr>
          <w:rFonts w:ascii="Calibri" w:eastAsiaTheme="majorEastAsia" w:hAnsi="Calibri" w:cs="Calibri"/>
          <w:b/>
          <w:bCs/>
          <w:color w:val="242424"/>
          <w:sz w:val="22"/>
          <w:szCs w:val="22"/>
        </w:rPr>
        <w:t>s</w:t>
      </w:r>
      <w:r>
        <w:rPr>
          <w:rFonts w:ascii="Calibri" w:eastAsiaTheme="majorEastAsia" w:hAnsi="Calibri" w:cs="Calibri"/>
          <w:b/>
          <w:bCs/>
          <w:color w:val="242424"/>
          <w:sz w:val="22"/>
          <w:szCs w:val="22"/>
        </w:rPr>
        <w:t>ecret/</w:t>
      </w:r>
      <w:r w:rsidR="008E5C18">
        <w:rPr>
          <w:rFonts w:ascii="Calibri" w:eastAsiaTheme="majorEastAsia" w:hAnsi="Calibri" w:cs="Calibri"/>
          <w:b/>
          <w:bCs/>
          <w:color w:val="242424"/>
          <w:sz w:val="22"/>
          <w:szCs w:val="22"/>
        </w:rPr>
        <w:t>s</w:t>
      </w:r>
      <w:r w:rsidRPr="00623DFC">
        <w:rPr>
          <w:rFonts w:ascii="Calibri" w:eastAsiaTheme="majorEastAsia" w:hAnsi="Calibri" w:cs="Calibri"/>
          <w:b/>
          <w:bCs/>
          <w:color w:val="242424"/>
          <w:sz w:val="22"/>
          <w:szCs w:val="22"/>
        </w:rPr>
        <w:t xml:space="preserve">acred </w:t>
      </w:r>
      <w:r w:rsidR="008E5C18">
        <w:rPr>
          <w:rFonts w:ascii="Calibri" w:eastAsiaTheme="majorEastAsia" w:hAnsi="Calibri" w:cs="Calibri"/>
          <w:b/>
          <w:bCs/>
          <w:color w:val="242424"/>
          <w:sz w:val="22"/>
          <w:szCs w:val="22"/>
        </w:rPr>
        <w:t>d</w:t>
      </w:r>
      <w:r w:rsidRPr="00623DFC">
        <w:rPr>
          <w:rFonts w:ascii="Calibri" w:eastAsiaTheme="majorEastAsia" w:hAnsi="Calibri" w:cs="Calibri"/>
          <w:b/>
          <w:bCs/>
          <w:color w:val="242424"/>
          <w:sz w:val="22"/>
          <w:szCs w:val="22"/>
        </w:rPr>
        <w:t>ata</w:t>
      </w:r>
      <w:r w:rsidRPr="00AC5F8C">
        <w:rPr>
          <w:rFonts w:ascii="Calibri" w:hAnsi="Calibri" w:cs="Calibri"/>
          <w:color w:val="242424"/>
          <w:sz w:val="22"/>
          <w:szCs w:val="22"/>
        </w:rPr>
        <w:t xml:space="preserve">: Educate Traditional Custodians that their data will be secure and that they will retain the rights to how, who, when, where, and what it is used for. </w:t>
      </w:r>
      <w:r w:rsidRPr="00AC5F8C">
        <w:rPr>
          <w:rFonts w:ascii="Calibri" w:hAnsi="Calibri" w:cs="Calibri"/>
          <w:color w:val="000000"/>
          <w:sz w:val="22"/>
          <w:szCs w:val="22"/>
        </w:rPr>
        <w:t xml:space="preserve">Also important to recognise that some data is secret and sacred, needing specialised access control. </w:t>
      </w:r>
      <w:r w:rsidRPr="00AC5F8C">
        <w:rPr>
          <w:rFonts w:ascii="Calibri" w:hAnsi="Calibri" w:cs="Calibri"/>
          <w:color w:val="242424"/>
          <w:sz w:val="22"/>
          <w:szCs w:val="22"/>
        </w:rPr>
        <w:t xml:space="preserve">Trust and identity systems need to go beyond </w:t>
      </w:r>
      <w:r w:rsidR="005F396C">
        <w:rPr>
          <w:rFonts w:ascii="Calibri" w:hAnsi="Calibri" w:cs="Calibri"/>
          <w:color w:val="242424"/>
          <w:sz w:val="22"/>
          <w:szCs w:val="22"/>
        </w:rPr>
        <w:t>the Australian Access Federation</w:t>
      </w:r>
      <w:r w:rsidRPr="00AC5F8C">
        <w:rPr>
          <w:rFonts w:ascii="Calibri" w:hAnsi="Calibri" w:cs="Calibri"/>
          <w:color w:val="242424"/>
          <w:sz w:val="22"/>
          <w:szCs w:val="22"/>
        </w:rPr>
        <w:t xml:space="preserve"> and include communities.</w:t>
      </w:r>
      <w:r>
        <w:rPr>
          <w:rFonts w:ascii="Calibri" w:hAnsi="Calibri" w:cs="Calibri"/>
          <w:color w:val="242424"/>
          <w:sz w:val="22"/>
          <w:szCs w:val="22"/>
        </w:rPr>
        <w:t xml:space="preserve"> </w:t>
      </w:r>
      <w:r>
        <w:rPr>
          <w:rFonts w:ascii="Calibri" w:hAnsi="Calibri" w:cs="Calibri"/>
          <w:color w:val="000000"/>
          <w:sz w:val="22"/>
          <w:szCs w:val="22"/>
        </w:rPr>
        <w:t>Create data classifications for Indigenous Knowledge to allow it to be discovered and labelled as such in-situ prior to any further action to secure and repatriate.</w:t>
      </w:r>
    </w:p>
    <w:p w14:paraId="1B285DD9" w14:textId="42C36543" w:rsidR="00996568" w:rsidRPr="00AC5F8C" w:rsidRDefault="00996568" w:rsidP="00996568">
      <w:pPr>
        <w:pStyle w:val="NormalWeb"/>
        <w:spacing w:before="0" w:beforeAutospacing="0" w:after="240" w:afterAutospacing="0" w:line="300" w:lineRule="atLeast"/>
        <w:rPr>
          <w:rFonts w:ascii="Calibri" w:hAnsi="Calibri" w:cs="Calibri"/>
          <w:color w:val="242424"/>
          <w:sz w:val="22"/>
          <w:szCs w:val="22"/>
        </w:rPr>
      </w:pPr>
      <w:r w:rsidRPr="00AC5F8C">
        <w:rPr>
          <w:rStyle w:val="Strong"/>
          <w:rFonts w:ascii="Calibri" w:eastAsiaTheme="majorEastAsia" w:hAnsi="Calibri" w:cs="Calibri"/>
          <w:color w:val="242424"/>
          <w:sz w:val="22"/>
          <w:szCs w:val="22"/>
        </w:rPr>
        <w:t xml:space="preserve">Inclusion and </w:t>
      </w:r>
      <w:r w:rsidR="008E5C18">
        <w:rPr>
          <w:rStyle w:val="Strong"/>
          <w:rFonts w:ascii="Calibri" w:eastAsiaTheme="majorEastAsia" w:hAnsi="Calibri" w:cs="Calibri"/>
          <w:color w:val="242424"/>
          <w:sz w:val="22"/>
          <w:szCs w:val="22"/>
        </w:rPr>
        <w:t>p</w:t>
      </w:r>
      <w:r w:rsidRPr="00AC5F8C">
        <w:rPr>
          <w:rStyle w:val="Strong"/>
          <w:rFonts w:ascii="Calibri" w:eastAsiaTheme="majorEastAsia" w:hAnsi="Calibri" w:cs="Calibri"/>
          <w:color w:val="242424"/>
          <w:sz w:val="22"/>
          <w:szCs w:val="22"/>
        </w:rPr>
        <w:t>articipation</w:t>
      </w:r>
      <w:r w:rsidRPr="00AC5F8C">
        <w:rPr>
          <w:rFonts w:ascii="Calibri" w:hAnsi="Calibri" w:cs="Calibri"/>
          <w:color w:val="242424"/>
          <w:sz w:val="22"/>
          <w:szCs w:val="22"/>
        </w:rPr>
        <w:t xml:space="preserve">: Move from consultation and engagement with Indigenous communities to inclusion and participation, ideally </w:t>
      </w:r>
      <w:r w:rsidR="00F475C3" w:rsidRPr="00AC5F8C">
        <w:rPr>
          <w:rFonts w:ascii="Calibri" w:hAnsi="Calibri" w:cs="Calibri"/>
          <w:color w:val="242424"/>
          <w:sz w:val="22"/>
          <w:szCs w:val="22"/>
        </w:rPr>
        <w:t>Indigenous led</w:t>
      </w:r>
      <w:r w:rsidRPr="00AC5F8C">
        <w:rPr>
          <w:rFonts w:ascii="Calibri" w:hAnsi="Calibri" w:cs="Calibri"/>
          <w:color w:val="242424"/>
          <w:sz w:val="22"/>
          <w:szCs w:val="22"/>
        </w:rPr>
        <w:t xml:space="preserve">. Control over data is the sovereign right and responsibility of Indigenous communities, and it is not a jurisdictional decision but a place-based </w:t>
      </w:r>
      <w:r w:rsidRPr="00AC5F8C">
        <w:rPr>
          <w:rFonts w:ascii="Calibri" w:hAnsi="Calibri" w:cs="Calibri"/>
          <w:color w:val="242424"/>
          <w:sz w:val="22"/>
          <w:szCs w:val="22"/>
        </w:rPr>
        <w:lastRenderedPageBreak/>
        <w:t>decision. Gaining consent from Indigenous communities is generally managed well, but withdrawing consent can cause issues, especially when the data was collected with public funds</w:t>
      </w:r>
    </w:p>
    <w:p w14:paraId="76A512B0" w14:textId="76862E94" w:rsidR="00996568" w:rsidRDefault="00996568" w:rsidP="00996568">
      <w:pPr>
        <w:pStyle w:val="NormalWeb"/>
        <w:spacing w:before="0" w:beforeAutospacing="0" w:after="240" w:afterAutospacing="0"/>
        <w:rPr>
          <w:rFonts w:ascii="Calibri" w:hAnsi="Calibri" w:cs="Calibri"/>
          <w:color w:val="000000"/>
          <w:sz w:val="22"/>
          <w:szCs w:val="22"/>
        </w:rPr>
      </w:pPr>
      <w:r w:rsidRPr="00AC5F8C">
        <w:rPr>
          <w:rStyle w:val="Strong"/>
          <w:rFonts w:ascii="Calibri" w:eastAsiaTheme="majorEastAsia" w:hAnsi="Calibri" w:cs="Calibri"/>
          <w:color w:val="000000"/>
          <w:sz w:val="22"/>
          <w:szCs w:val="22"/>
        </w:rPr>
        <w:t xml:space="preserve">Long-term </w:t>
      </w:r>
      <w:r w:rsidR="008E5C18">
        <w:rPr>
          <w:rStyle w:val="Strong"/>
          <w:rFonts w:ascii="Calibri" w:eastAsiaTheme="majorEastAsia" w:hAnsi="Calibri" w:cs="Calibri"/>
          <w:color w:val="000000"/>
          <w:sz w:val="22"/>
          <w:szCs w:val="22"/>
        </w:rPr>
        <w:t>i</w:t>
      </w:r>
      <w:r w:rsidRPr="00AC5F8C">
        <w:rPr>
          <w:rStyle w:val="Strong"/>
          <w:rFonts w:ascii="Calibri" w:eastAsiaTheme="majorEastAsia" w:hAnsi="Calibri" w:cs="Calibri"/>
          <w:color w:val="000000"/>
          <w:sz w:val="22"/>
          <w:szCs w:val="22"/>
        </w:rPr>
        <w:t>nvestment</w:t>
      </w:r>
      <w:r w:rsidRPr="00AC5F8C">
        <w:rPr>
          <w:rFonts w:ascii="Calibri" w:hAnsi="Calibri" w:cs="Calibri"/>
          <w:color w:val="000000"/>
          <w:sz w:val="22"/>
          <w:szCs w:val="22"/>
        </w:rPr>
        <w:t xml:space="preserve">: Ensuring that investments in Indigenous data governance and infrastructure are not funded on an ad hoc basis but are seen as a permanent part of the </w:t>
      </w:r>
      <w:r w:rsidR="00D14ABF">
        <w:rPr>
          <w:rFonts w:ascii="Calibri" w:hAnsi="Calibri" w:cs="Calibri"/>
          <w:color w:val="000000"/>
          <w:sz w:val="22"/>
          <w:szCs w:val="22"/>
        </w:rPr>
        <w:t>NRI</w:t>
      </w:r>
      <w:r>
        <w:rPr>
          <w:rFonts w:ascii="Calibri" w:hAnsi="Calibri" w:cs="Calibri"/>
          <w:color w:val="000000"/>
          <w:sz w:val="22"/>
          <w:szCs w:val="22"/>
        </w:rPr>
        <w:t xml:space="preserve">. </w:t>
      </w:r>
      <w:r w:rsidRPr="00623DFC">
        <w:rPr>
          <w:rFonts w:ascii="Calibri" w:hAnsi="Calibri" w:cs="Calibri"/>
          <w:color w:val="000000"/>
          <w:sz w:val="22"/>
          <w:szCs w:val="22"/>
        </w:rPr>
        <w:t>Long-term funding ensures the sustainability of data initiatives, supports continuous community engagement, and upholds ethical standards in handling Indigenous data.</w:t>
      </w:r>
    </w:p>
    <w:p w14:paraId="35CAE75E" w14:textId="4FDD8FF2" w:rsidR="00996568" w:rsidRDefault="00996568" w:rsidP="00996568">
      <w:pPr>
        <w:pStyle w:val="NormalWeb"/>
        <w:spacing w:before="0" w:beforeAutospacing="0" w:after="240" w:afterAutospacing="0"/>
        <w:rPr>
          <w:rFonts w:ascii="Calibri" w:hAnsi="Calibri" w:cs="Calibri"/>
          <w:color w:val="000000"/>
          <w:sz w:val="22"/>
          <w:szCs w:val="22"/>
        </w:rPr>
      </w:pPr>
      <w:r w:rsidRPr="00623DFC">
        <w:rPr>
          <w:rFonts w:ascii="Calibri" w:hAnsi="Calibri" w:cs="Calibri"/>
          <w:b/>
          <w:bCs/>
          <w:color w:val="000000"/>
          <w:sz w:val="22"/>
          <w:szCs w:val="22"/>
        </w:rPr>
        <w:t xml:space="preserve">Risk </w:t>
      </w:r>
      <w:r w:rsidR="008E5C18">
        <w:rPr>
          <w:rFonts w:ascii="Calibri" w:hAnsi="Calibri" w:cs="Calibri"/>
          <w:b/>
          <w:bCs/>
          <w:color w:val="000000"/>
          <w:sz w:val="22"/>
          <w:szCs w:val="22"/>
        </w:rPr>
        <w:t>m</w:t>
      </w:r>
      <w:r w:rsidRPr="00623DFC">
        <w:rPr>
          <w:rFonts w:ascii="Calibri" w:hAnsi="Calibri" w:cs="Calibri"/>
          <w:b/>
          <w:bCs/>
          <w:color w:val="000000"/>
          <w:sz w:val="22"/>
          <w:szCs w:val="22"/>
        </w:rPr>
        <w:t xml:space="preserve">anagement and </w:t>
      </w:r>
      <w:r w:rsidR="008E5C18">
        <w:rPr>
          <w:rFonts w:ascii="Calibri" w:hAnsi="Calibri" w:cs="Calibri"/>
          <w:b/>
          <w:bCs/>
          <w:color w:val="000000"/>
          <w:sz w:val="22"/>
          <w:szCs w:val="22"/>
        </w:rPr>
        <w:t>a</w:t>
      </w:r>
      <w:r w:rsidRPr="00623DFC">
        <w:rPr>
          <w:rFonts w:ascii="Calibri" w:hAnsi="Calibri" w:cs="Calibri"/>
          <w:b/>
          <w:bCs/>
          <w:color w:val="000000"/>
          <w:sz w:val="22"/>
          <w:szCs w:val="22"/>
        </w:rPr>
        <w:t xml:space="preserve">lgorithmic </w:t>
      </w:r>
      <w:r w:rsidR="008E5C18">
        <w:rPr>
          <w:rFonts w:ascii="Calibri" w:hAnsi="Calibri" w:cs="Calibri"/>
          <w:b/>
          <w:bCs/>
          <w:color w:val="000000"/>
          <w:sz w:val="22"/>
          <w:szCs w:val="22"/>
        </w:rPr>
        <w:t>g</w:t>
      </w:r>
      <w:r w:rsidRPr="00623DFC">
        <w:rPr>
          <w:rFonts w:ascii="Calibri" w:hAnsi="Calibri" w:cs="Calibri"/>
          <w:b/>
          <w:bCs/>
          <w:color w:val="000000"/>
          <w:sz w:val="22"/>
          <w:szCs w:val="22"/>
        </w:rPr>
        <w:t>overnance</w:t>
      </w:r>
      <w:r w:rsidRPr="00623DFC">
        <w:rPr>
          <w:rFonts w:ascii="Calibri" w:hAnsi="Calibri" w:cs="Calibri"/>
          <w:color w:val="000000"/>
          <w:sz w:val="22"/>
          <w:szCs w:val="22"/>
        </w:rPr>
        <w:t xml:space="preserve"> There is an urgent need to invest in algorithmic governance to safeguard Indigenous knowledge in the age of AI. Without proper protections, Indigenous data can be misappropriated or misused, leading to irreversible consequences. Strengthening AI guardrails and implementing robust governance frameworks are necessary to prevent the exploitation of Indigenous data.</w:t>
      </w:r>
    </w:p>
    <w:p w14:paraId="441ADDAF" w14:textId="18FE5D4D" w:rsidR="00996568" w:rsidRPr="00623DFC" w:rsidRDefault="00996568" w:rsidP="00996568">
      <w:pPr>
        <w:pStyle w:val="NormalWeb"/>
        <w:spacing w:before="0" w:beforeAutospacing="0" w:after="240" w:afterAutospacing="0"/>
        <w:rPr>
          <w:rFonts w:ascii="Calibri" w:hAnsi="Calibri" w:cs="Calibri"/>
          <w:color w:val="000000"/>
          <w:sz w:val="22"/>
          <w:szCs w:val="22"/>
        </w:rPr>
      </w:pPr>
      <w:r w:rsidRPr="00623DFC">
        <w:rPr>
          <w:rFonts w:ascii="Calibri" w:hAnsi="Calibri" w:cs="Calibri"/>
          <w:b/>
          <w:bCs/>
          <w:color w:val="000000"/>
          <w:sz w:val="22"/>
          <w:szCs w:val="22"/>
        </w:rPr>
        <w:t xml:space="preserve">Collaboration and </w:t>
      </w:r>
      <w:r w:rsidR="008E5C18">
        <w:rPr>
          <w:rFonts w:ascii="Calibri" w:hAnsi="Calibri" w:cs="Calibri"/>
          <w:b/>
          <w:bCs/>
          <w:color w:val="000000"/>
          <w:sz w:val="22"/>
          <w:szCs w:val="22"/>
        </w:rPr>
        <w:t>i</w:t>
      </w:r>
      <w:r w:rsidRPr="00623DFC">
        <w:rPr>
          <w:rFonts w:ascii="Calibri" w:hAnsi="Calibri" w:cs="Calibri"/>
          <w:b/>
          <w:bCs/>
          <w:color w:val="000000"/>
          <w:sz w:val="22"/>
          <w:szCs w:val="22"/>
        </w:rPr>
        <w:t xml:space="preserve">ntegration </w:t>
      </w:r>
      <w:r w:rsidR="008E5C18">
        <w:rPr>
          <w:rFonts w:ascii="Calibri" w:hAnsi="Calibri" w:cs="Calibri"/>
          <w:b/>
          <w:bCs/>
          <w:color w:val="000000"/>
          <w:sz w:val="22"/>
          <w:szCs w:val="22"/>
        </w:rPr>
        <w:t>a</w:t>
      </w:r>
      <w:r w:rsidRPr="00623DFC">
        <w:rPr>
          <w:rFonts w:ascii="Calibri" w:hAnsi="Calibri" w:cs="Calibri"/>
          <w:b/>
          <w:bCs/>
          <w:color w:val="000000"/>
          <w:sz w:val="22"/>
          <w:szCs w:val="22"/>
        </w:rPr>
        <w:t xml:space="preserve">cross </w:t>
      </w:r>
      <w:r w:rsidR="008E5C18">
        <w:rPr>
          <w:rFonts w:ascii="Calibri" w:hAnsi="Calibri" w:cs="Calibri"/>
          <w:b/>
          <w:bCs/>
          <w:color w:val="000000"/>
          <w:sz w:val="22"/>
          <w:szCs w:val="22"/>
        </w:rPr>
        <w:t>d</w:t>
      </w:r>
      <w:r w:rsidRPr="00623DFC">
        <w:rPr>
          <w:rFonts w:ascii="Calibri" w:hAnsi="Calibri" w:cs="Calibri"/>
          <w:b/>
          <w:bCs/>
          <w:color w:val="000000"/>
          <w:sz w:val="22"/>
          <w:szCs w:val="22"/>
        </w:rPr>
        <w:t xml:space="preserve">epartments and </w:t>
      </w:r>
      <w:r w:rsidR="008E5C18">
        <w:rPr>
          <w:rFonts w:ascii="Calibri" w:hAnsi="Calibri" w:cs="Calibri"/>
          <w:b/>
          <w:bCs/>
          <w:color w:val="000000"/>
          <w:sz w:val="22"/>
          <w:szCs w:val="22"/>
        </w:rPr>
        <w:t>i</w:t>
      </w:r>
      <w:r w:rsidRPr="00623DFC">
        <w:rPr>
          <w:rFonts w:ascii="Calibri" w:hAnsi="Calibri" w:cs="Calibri"/>
          <w:b/>
          <w:bCs/>
          <w:color w:val="000000"/>
          <w:sz w:val="22"/>
          <w:szCs w:val="22"/>
        </w:rPr>
        <w:t>nitiatives</w:t>
      </w:r>
      <w:r w:rsidRPr="00623DFC">
        <w:rPr>
          <w:rFonts w:ascii="Calibri" w:hAnsi="Calibri" w:cs="Calibri"/>
          <w:color w:val="000000"/>
          <w:sz w:val="22"/>
          <w:szCs w:val="22"/>
        </w:rPr>
        <w:t xml:space="preserve"> Promoting collaboration between government departments, research institutions, and Indigenous communities is vital. Building on existing initiatives, such as those by the Australian Research Data Commons (ARDC), and integrating efforts can reduce fragmentation, avoid duplication, and enhance the effectiveness of Indigenous data governance. A focused yet integrated approach ensures that data practices respect Indigenous sovereignty and support broader research efforts.</w:t>
      </w:r>
    </w:p>
    <w:p w14:paraId="78412A94" w14:textId="3FE7A0BF" w:rsidR="00996568" w:rsidRPr="00DB2146" w:rsidRDefault="00AB4A99" w:rsidP="00996568">
      <w:pPr>
        <w:pStyle w:val="NormalWeb"/>
        <w:spacing w:before="0" w:beforeAutospacing="0" w:after="240" w:afterAutospacing="0"/>
        <w:rPr>
          <w:rFonts w:ascii="Calibri" w:hAnsi="Calibri" w:cs="Calibri"/>
          <w:color w:val="000000"/>
          <w:sz w:val="22"/>
          <w:szCs w:val="22"/>
        </w:rPr>
      </w:pPr>
      <w:r>
        <w:rPr>
          <w:rFonts w:ascii="Calibri" w:hAnsi="Calibri" w:cs="Calibri"/>
          <w:color w:val="000000"/>
          <w:sz w:val="22"/>
          <w:szCs w:val="22"/>
        </w:rPr>
        <w:t>In summary, t</w:t>
      </w:r>
      <w:r w:rsidR="00EF7F08">
        <w:rPr>
          <w:rFonts w:ascii="Calibri" w:hAnsi="Calibri" w:cs="Calibri"/>
          <w:color w:val="000000"/>
          <w:sz w:val="22"/>
          <w:szCs w:val="22"/>
        </w:rPr>
        <w:t xml:space="preserve">hese </w:t>
      </w:r>
      <w:r w:rsidR="00996568" w:rsidRPr="00AC5F8C">
        <w:rPr>
          <w:rFonts w:ascii="Calibri" w:hAnsi="Calibri" w:cs="Calibri"/>
          <w:color w:val="000000"/>
          <w:sz w:val="22"/>
          <w:szCs w:val="22"/>
        </w:rPr>
        <w:t xml:space="preserve">investments </w:t>
      </w:r>
      <w:r>
        <w:rPr>
          <w:rFonts w:ascii="Calibri" w:hAnsi="Calibri" w:cs="Calibri"/>
          <w:color w:val="000000"/>
          <w:sz w:val="22"/>
          <w:szCs w:val="22"/>
        </w:rPr>
        <w:t xml:space="preserve">would </w:t>
      </w:r>
      <w:r w:rsidR="00996568" w:rsidRPr="00AC5F8C">
        <w:rPr>
          <w:rFonts w:ascii="Calibri" w:hAnsi="Calibri" w:cs="Calibri"/>
          <w:color w:val="000000"/>
          <w:sz w:val="22"/>
          <w:szCs w:val="22"/>
        </w:rPr>
        <w:t>aim to make NDRI more culturally appropriate and aligned, build capabilities within communities, and ensure the sustainability and ethical use of Indigenous data and knowledge systems. It should be acknowledged that a good start has been made with recent investments managed through ARDC.</w:t>
      </w:r>
    </w:p>
    <w:p w14:paraId="193999B1" w14:textId="523C1935" w:rsidR="008F03B4" w:rsidRPr="008F03B4" w:rsidRDefault="008F03B4" w:rsidP="008F03B4">
      <w:pPr>
        <w:rPr>
          <w:b/>
          <w:bCs/>
        </w:rPr>
      </w:pPr>
      <w:r w:rsidRPr="008F03B4">
        <w:rPr>
          <w:b/>
          <w:bCs/>
        </w:rPr>
        <w:t>If you’d like to provide any additional comments or feedback on the above summary, you’re invited to provide these views via the online NDRI Investment Plan Consultation Survey</w:t>
      </w:r>
      <w:r w:rsidR="003A5057">
        <w:rPr>
          <w:b/>
          <w:bCs/>
        </w:rPr>
        <w:t>, which can be found on the department’s NDRI webpage.</w:t>
      </w:r>
      <w:r w:rsidRPr="008F03B4">
        <w:rPr>
          <w:b/>
          <w:bCs/>
        </w:rPr>
        <w:t xml:space="preserve">  </w:t>
      </w:r>
    </w:p>
    <w:sectPr w:rsidR="008F03B4" w:rsidRPr="008F03B4">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B8B60D" w14:textId="77777777" w:rsidR="009D2AD6" w:rsidRDefault="009D2AD6" w:rsidP="000A6228">
      <w:pPr>
        <w:spacing w:after="0" w:line="240" w:lineRule="auto"/>
      </w:pPr>
      <w:r>
        <w:separator/>
      </w:r>
    </w:p>
  </w:endnote>
  <w:endnote w:type="continuationSeparator" w:id="0">
    <w:p w14:paraId="2ACDD7E5" w14:textId="77777777" w:rsidR="009D2AD6" w:rsidRDefault="009D2AD6"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4CB1FF" w14:textId="7D7DE4F8" w:rsidR="00221D8F" w:rsidRDefault="00EB57C0">
    <w:pPr>
      <w:pStyle w:val="Footer"/>
    </w:pPr>
    <w:r w:rsidRPr="00EB57C0">
      <w:t>Aboriginal and Torres Strait Islander Peoples NDRI</w:t>
    </w:r>
    <w:r w:rsidR="008F03B4">
      <w:t xml:space="preserve"> – Targeted Discussion Summary</w:t>
    </w:r>
    <w:r w:rsidR="00221D8F">
      <w:t xml:space="preserve">| </w:t>
    </w:r>
    <w:r w:rsidR="00221D8F" w:rsidRPr="00AF1F18">
      <w:fldChar w:fldCharType="begin"/>
    </w:r>
    <w:r w:rsidR="00221D8F" w:rsidRPr="00AF1F18">
      <w:instrText xml:space="preserve"> PAGE   \* MERGEFORMAT </w:instrText>
    </w:r>
    <w:r w:rsidR="00221D8F" w:rsidRPr="00AF1F18">
      <w:fldChar w:fldCharType="separate"/>
    </w:r>
    <w:r w:rsidR="00221D8F" w:rsidRPr="00AF1F18">
      <w:t>1</w:t>
    </w:r>
    <w:r w:rsidR="00221D8F" w:rsidRPr="00AF1F18">
      <w:fldChar w:fldCharType="end"/>
    </w:r>
    <w:r w:rsidR="00221D8F">
      <w:rPr>
        <w:noProof/>
      </w:rPr>
      <w:drawing>
        <wp:anchor distT="0" distB="0" distL="114300" distR="114300" simplePos="0" relativeHeight="251658240" behindDoc="1" locked="1" layoutInCell="1" allowOverlap="1" wp14:anchorId="5B404273" wp14:editId="738FF0AD">
          <wp:simplePos x="0" y="0"/>
          <wp:positionH relativeFrom="page">
            <wp:align>right</wp:align>
          </wp:positionH>
          <wp:positionV relativeFrom="page">
            <wp:align>bottom</wp:align>
          </wp:positionV>
          <wp:extent cx="1220400" cy="6516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20400" cy="651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18A910" w14:textId="77777777" w:rsidR="009D2AD6" w:rsidRDefault="009D2AD6" w:rsidP="000A6228">
      <w:pPr>
        <w:spacing w:after="0" w:line="240" w:lineRule="auto"/>
      </w:pPr>
      <w:r>
        <w:separator/>
      </w:r>
    </w:p>
  </w:footnote>
  <w:footnote w:type="continuationSeparator" w:id="0">
    <w:p w14:paraId="52D0A10C" w14:textId="77777777" w:rsidR="009D2AD6" w:rsidRDefault="009D2AD6" w:rsidP="000A6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1"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9335743"/>
    <w:multiLevelType w:val="multilevel"/>
    <w:tmpl w:val="C12EA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4"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5B023FE"/>
    <w:multiLevelType w:val="hybridMultilevel"/>
    <w:tmpl w:val="8C7C09C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7AE3C45"/>
    <w:multiLevelType w:val="multilevel"/>
    <w:tmpl w:val="D4A65D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1" w15:restartNumberingAfterBreak="0">
    <w:nsid w:val="758B21C8"/>
    <w:multiLevelType w:val="hybridMultilevel"/>
    <w:tmpl w:val="E90E6E64"/>
    <w:lvl w:ilvl="0" w:tplc="BE9AA17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97D78CE"/>
    <w:multiLevelType w:val="multilevel"/>
    <w:tmpl w:val="96129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60524279">
    <w:abstractNumId w:val="11"/>
  </w:num>
  <w:num w:numId="2" w16cid:durableId="436947581">
    <w:abstractNumId w:val="5"/>
  </w:num>
  <w:num w:numId="3" w16cid:durableId="75826877">
    <w:abstractNumId w:val="4"/>
  </w:num>
  <w:num w:numId="4" w16cid:durableId="306322255">
    <w:abstractNumId w:val="3"/>
  </w:num>
  <w:num w:numId="5" w16cid:durableId="75978829">
    <w:abstractNumId w:val="14"/>
  </w:num>
  <w:num w:numId="6" w16cid:durableId="932514008">
    <w:abstractNumId w:val="2"/>
  </w:num>
  <w:num w:numId="7" w16cid:durableId="1936595011">
    <w:abstractNumId w:val="1"/>
  </w:num>
  <w:num w:numId="8" w16cid:durableId="499849793">
    <w:abstractNumId w:val="0"/>
  </w:num>
  <w:num w:numId="9" w16cid:durableId="1493595375">
    <w:abstractNumId w:val="13"/>
  </w:num>
  <w:num w:numId="10" w16cid:durableId="1807892893">
    <w:abstractNumId w:val="7"/>
  </w:num>
  <w:num w:numId="11" w16cid:durableId="1829053031">
    <w:abstractNumId w:val="19"/>
  </w:num>
  <w:num w:numId="12" w16cid:durableId="1117526806">
    <w:abstractNumId w:val="10"/>
  </w:num>
  <w:num w:numId="13" w16cid:durableId="21294643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86242624">
    <w:abstractNumId w:val="9"/>
  </w:num>
  <w:num w:numId="15" w16cid:durableId="158424565">
    <w:abstractNumId w:val="6"/>
  </w:num>
  <w:num w:numId="16" w16cid:durableId="807010820">
    <w:abstractNumId w:val="20"/>
  </w:num>
  <w:num w:numId="17" w16cid:durableId="801265162">
    <w:abstractNumId w:val="15"/>
  </w:num>
  <w:num w:numId="18" w16cid:durableId="1928150622">
    <w:abstractNumId w:val="8"/>
  </w:num>
  <w:num w:numId="19" w16cid:durableId="476995438">
    <w:abstractNumId w:val="17"/>
  </w:num>
  <w:num w:numId="20" w16cid:durableId="1691106475">
    <w:abstractNumId w:val="22"/>
  </w:num>
  <w:num w:numId="21" w16cid:durableId="14642310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32276266">
    <w:abstractNumId w:val="21"/>
  </w:num>
  <w:num w:numId="23" w16cid:durableId="2067802426">
    <w:abstractNumId w:val="16"/>
  </w:num>
  <w:num w:numId="24" w16cid:durableId="17291866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2366"/>
    <w:rsid w:val="00021FBE"/>
    <w:rsid w:val="000521D7"/>
    <w:rsid w:val="000A0B58"/>
    <w:rsid w:val="000A6228"/>
    <w:rsid w:val="000B5D40"/>
    <w:rsid w:val="000B7EC6"/>
    <w:rsid w:val="00107D87"/>
    <w:rsid w:val="00107DD5"/>
    <w:rsid w:val="0012343A"/>
    <w:rsid w:val="00125EB0"/>
    <w:rsid w:val="00133B8D"/>
    <w:rsid w:val="0013611E"/>
    <w:rsid w:val="001410D6"/>
    <w:rsid w:val="001515BF"/>
    <w:rsid w:val="0017134D"/>
    <w:rsid w:val="0018667D"/>
    <w:rsid w:val="001C1523"/>
    <w:rsid w:val="00221D8F"/>
    <w:rsid w:val="002272DB"/>
    <w:rsid w:val="00276047"/>
    <w:rsid w:val="002A4458"/>
    <w:rsid w:val="002B7ED1"/>
    <w:rsid w:val="002D589A"/>
    <w:rsid w:val="00340337"/>
    <w:rsid w:val="003A5057"/>
    <w:rsid w:val="003C6402"/>
    <w:rsid w:val="003D0F74"/>
    <w:rsid w:val="003D23AE"/>
    <w:rsid w:val="003F5BF3"/>
    <w:rsid w:val="0040155D"/>
    <w:rsid w:val="0041713E"/>
    <w:rsid w:val="00421D3F"/>
    <w:rsid w:val="00423785"/>
    <w:rsid w:val="00452D26"/>
    <w:rsid w:val="004A06CD"/>
    <w:rsid w:val="004A4B6F"/>
    <w:rsid w:val="004A4CF9"/>
    <w:rsid w:val="004A7C9A"/>
    <w:rsid w:val="004D2965"/>
    <w:rsid w:val="00513410"/>
    <w:rsid w:val="00572249"/>
    <w:rsid w:val="0057343B"/>
    <w:rsid w:val="005A75C9"/>
    <w:rsid w:val="005B187D"/>
    <w:rsid w:val="005F396C"/>
    <w:rsid w:val="006232DC"/>
    <w:rsid w:val="0063094F"/>
    <w:rsid w:val="00630BD0"/>
    <w:rsid w:val="006A0477"/>
    <w:rsid w:val="006D67F3"/>
    <w:rsid w:val="006F1FFF"/>
    <w:rsid w:val="006F3C59"/>
    <w:rsid w:val="006F6D10"/>
    <w:rsid w:val="00712B94"/>
    <w:rsid w:val="00754C60"/>
    <w:rsid w:val="007B2CA1"/>
    <w:rsid w:val="007D0ABC"/>
    <w:rsid w:val="007D32B8"/>
    <w:rsid w:val="007E17CA"/>
    <w:rsid w:val="008042F5"/>
    <w:rsid w:val="00826DF0"/>
    <w:rsid w:val="00864A44"/>
    <w:rsid w:val="00886959"/>
    <w:rsid w:val="008A36E1"/>
    <w:rsid w:val="008A37A7"/>
    <w:rsid w:val="008B0736"/>
    <w:rsid w:val="008E5C18"/>
    <w:rsid w:val="008E70DB"/>
    <w:rsid w:val="008F03B4"/>
    <w:rsid w:val="008F6739"/>
    <w:rsid w:val="0091036E"/>
    <w:rsid w:val="009503A1"/>
    <w:rsid w:val="00950B06"/>
    <w:rsid w:val="009647CB"/>
    <w:rsid w:val="00970069"/>
    <w:rsid w:val="0097022B"/>
    <w:rsid w:val="009721EB"/>
    <w:rsid w:val="009865AC"/>
    <w:rsid w:val="009933DC"/>
    <w:rsid w:val="00996568"/>
    <w:rsid w:val="009A04A9"/>
    <w:rsid w:val="009B706E"/>
    <w:rsid w:val="009C423A"/>
    <w:rsid w:val="009D2AD6"/>
    <w:rsid w:val="009E79ED"/>
    <w:rsid w:val="00A05A14"/>
    <w:rsid w:val="00A07596"/>
    <w:rsid w:val="00A17A08"/>
    <w:rsid w:val="00A23AED"/>
    <w:rsid w:val="00A55B25"/>
    <w:rsid w:val="00A60673"/>
    <w:rsid w:val="00AB4A99"/>
    <w:rsid w:val="00AB55C5"/>
    <w:rsid w:val="00AC1872"/>
    <w:rsid w:val="00AD631F"/>
    <w:rsid w:val="00AE21FF"/>
    <w:rsid w:val="00AF1F18"/>
    <w:rsid w:val="00B015AF"/>
    <w:rsid w:val="00B0726E"/>
    <w:rsid w:val="00B219D1"/>
    <w:rsid w:val="00B31FE5"/>
    <w:rsid w:val="00B81FA4"/>
    <w:rsid w:val="00B8794C"/>
    <w:rsid w:val="00B95EF4"/>
    <w:rsid w:val="00BB6509"/>
    <w:rsid w:val="00BC248C"/>
    <w:rsid w:val="00C01EC0"/>
    <w:rsid w:val="00C067B8"/>
    <w:rsid w:val="00C244EE"/>
    <w:rsid w:val="00C627CB"/>
    <w:rsid w:val="00C72224"/>
    <w:rsid w:val="00C75706"/>
    <w:rsid w:val="00C842DD"/>
    <w:rsid w:val="00CA4815"/>
    <w:rsid w:val="00CC33AF"/>
    <w:rsid w:val="00CF6562"/>
    <w:rsid w:val="00D14ABF"/>
    <w:rsid w:val="00D5688A"/>
    <w:rsid w:val="00D72ECA"/>
    <w:rsid w:val="00DC5980"/>
    <w:rsid w:val="00DD2B46"/>
    <w:rsid w:val="00DD46D7"/>
    <w:rsid w:val="00E02A34"/>
    <w:rsid w:val="00E04935"/>
    <w:rsid w:val="00E20CF1"/>
    <w:rsid w:val="00E361B0"/>
    <w:rsid w:val="00E529E5"/>
    <w:rsid w:val="00E60E5B"/>
    <w:rsid w:val="00EA13D4"/>
    <w:rsid w:val="00EB4C2F"/>
    <w:rsid w:val="00EB57C0"/>
    <w:rsid w:val="00ED0DDF"/>
    <w:rsid w:val="00EF7F08"/>
    <w:rsid w:val="00F1000D"/>
    <w:rsid w:val="00F311A4"/>
    <w:rsid w:val="00F475C3"/>
    <w:rsid w:val="00F81DA7"/>
    <w:rsid w:val="00F82C2C"/>
    <w:rsid w:val="00F85913"/>
    <w:rsid w:val="00FD4D6E"/>
    <w:rsid w:val="00FF5BC8"/>
    <w:rsid w:val="00FF5E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15:docId w15:val="{1E012E88-1206-480A-8B9B-6A8CBAD68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452D26"/>
    <w:pPr>
      <w:keepNext/>
      <w:keepLines/>
      <w:spacing w:before="1320" w:after="0" w:line="940" w:lineRule="exact"/>
      <w:outlineLvl w:val="0"/>
    </w:pPr>
    <w:rPr>
      <w:rFonts w:ascii="Calibri" w:eastAsiaTheme="majorEastAsia" w:hAnsi="Calibri" w:cstheme="majorBidi"/>
      <w:b/>
      <w:color w:val="FFFFFF" w:themeColor="background1"/>
      <w:sz w:val="84"/>
      <w:szCs w:val="32"/>
    </w:rPr>
  </w:style>
  <w:style w:type="paragraph" w:styleId="Heading2">
    <w:name w:val="heading 2"/>
    <w:basedOn w:val="Normal"/>
    <w:next w:val="Normal"/>
    <w:link w:val="Heading2Char"/>
    <w:uiPriority w:val="9"/>
    <w:unhideWhenUsed/>
    <w:qFormat/>
    <w:rsid w:val="002272DB"/>
    <w:pPr>
      <w:keepNext/>
      <w:keepLines/>
      <w:spacing w:before="720"/>
      <w:outlineLvl w:val="1"/>
    </w:pPr>
    <w:rPr>
      <w:rFonts w:asciiTheme="majorHAnsi" w:eastAsiaTheme="majorEastAsia" w:hAnsiTheme="majorHAnsi" w:cstheme="majorBidi"/>
      <w:b/>
      <w:color w:val="55437E" w:themeColor="accent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2272DB"/>
    <w:pPr>
      <w:keepNext/>
      <w:keepLines/>
      <w:spacing w:before="360" w:after="0"/>
      <w:outlineLvl w:val="3"/>
    </w:pPr>
    <w:rPr>
      <w:rFonts w:asciiTheme="majorHAnsi" w:eastAsiaTheme="majorEastAsia" w:hAnsiTheme="majorHAnsi" w:cstheme="majorBidi"/>
      <w:b/>
      <w:iCs/>
      <w:color w:val="004C6C" w:themeColor="background2"/>
      <w:sz w:val="28"/>
    </w:rPr>
  </w:style>
  <w:style w:type="paragraph" w:styleId="Heading5">
    <w:name w:val="heading 5"/>
    <w:basedOn w:val="Normal"/>
    <w:next w:val="Normal"/>
    <w:link w:val="Heading5Char"/>
    <w:uiPriority w:val="9"/>
    <w:unhideWhenUsed/>
    <w:qFormat/>
    <w:rsid w:val="00F311A4"/>
    <w:pPr>
      <w:keepNext/>
      <w:keepLines/>
      <w:spacing w:before="40" w:after="0"/>
      <w:outlineLvl w:val="4"/>
    </w:pPr>
    <w:rPr>
      <w:rFonts w:asciiTheme="majorHAnsi" w:eastAsiaTheme="majorEastAsia" w:hAnsiTheme="majorHAnsi" w:cstheme="majorBidi"/>
      <w:b/>
      <w:color w:val="00254A" w:themeColor="text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52D26"/>
    <w:rPr>
      <w:rFonts w:ascii="Calibri" w:eastAsiaTheme="majorEastAsia" w:hAnsi="Calibri" w:cstheme="majorBidi"/>
      <w:b/>
      <w:color w:val="FFFFFF" w:themeColor="background1"/>
      <w:sz w:val="84"/>
      <w:szCs w:val="32"/>
    </w:rPr>
  </w:style>
  <w:style w:type="character" w:customStyle="1" w:styleId="Heading2Char">
    <w:name w:val="Heading 2 Char"/>
    <w:basedOn w:val="DefaultParagraphFont"/>
    <w:link w:val="Heading2"/>
    <w:uiPriority w:val="9"/>
    <w:rsid w:val="002272DB"/>
    <w:rPr>
      <w:rFonts w:asciiTheme="majorHAnsi" w:eastAsiaTheme="majorEastAsia" w:hAnsiTheme="majorHAnsi" w:cstheme="majorBidi"/>
      <w:b/>
      <w:color w:val="55437E" w:themeColor="accent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2272DB"/>
    <w:rPr>
      <w:rFonts w:asciiTheme="majorHAnsi" w:eastAsiaTheme="majorEastAsia" w:hAnsiTheme="majorHAnsi" w:cstheme="majorBidi"/>
      <w:b/>
      <w:iCs/>
      <w:color w:val="004C6C" w:themeColor="background2"/>
      <w:sz w:val="28"/>
    </w:rPr>
  </w:style>
  <w:style w:type="character" w:customStyle="1" w:styleId="Heading5Char">
    <w:name w:val="Heading 5 Char"/>
    <w:basedOn w:val="DefaultParagraphFont"/>
    <w:link w:val="Heading5"/>
    <w:uiPriority w:val="9"/>
    <w:rsid w:val="00F311A4"/>
    <w:rPr>
      <w:rFonts w:asciiTheme="majorHAnsi" w:eastAsiaTheme="majorEastAsia" w:hAnsiTheme="majorHAnsi" w:cstheme="majorBidi"/>
      <w:b/>
      <w:color w:val="00254A" w:themeColor="text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221D8F"/>
    <w:pPr>
      <w:numPr>
        <w:ilvl w:val="1"/>
      </w:numPr>
      <w:spacing w:before="160" w:after="140"/>
    </w:pPr>
    <w:rPr>
      <w:rFonts w:eastAsiaTheme="minorEastAsia"/>
      <w:color w:val="47BFAF" w:themeColor="accent4"/>
      <w:spacing w:val="15"/>
      <w:sz w:val="40"/>
    </w:rPr>
  </w:style>
  <w:style w:type="character" w:customStyle="1" w:styleId="SubtitleChar">
    <w:name w:val="Subtitle Char"/>
    <w:basedOn w:val="DefaultParagraphFont"/>
    <w:link w:val="Subtitle"/>
    <w:uiPriority w:val="11"/>
    <w:rsid w:val="00221D8F"/>
    <w:rPr>
      <w:rFonts w:eastAsiaTheme="minorEastAsia"/>
      <w:color w:val="47BFAF" w:themeColor="accent4"/>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NormalWeb">
    <w:name w:val="Normal (Web)"/>
    <w:basedOn w:val="Normal"/>
    <w:uiPriority w:val="99"/>
    <w:unhideWhenUsed/>
    <w:rsid w:val="008F03B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B55C5"/>
    <w:pPr>
      <w:spacing w:after="160"/>
      <w:ind w:left="720"/>
      <w:contextualSpacing/>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5631491">
      <w:bodyDiv w:val="1"/>
      <w:marLeft w:val="0"/>
      <w:marRight w:val="0"/>
      <w:marTop w:val="0"/>
      <w:marBottom w:val="0"/>
      <w:divBdr>
        <w:top w:val="none" w:sz="0" w:space="0" w:color="auto"/>
        <w:left w:val="none" w:sz="0" w:space="0" w:color="auto"/>
        <w:bottom w:val="none" w:sz="0" w:space="0" w:color="auto"/>
        <w:right w:val="none" w:sz="0" w:space="0" w:color="auto"/>
      </w:divBdr>
    </w:div>
    <w:div w:id="2080127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w:rsidR="002B3ACA" w:rsidRDefault="00785B1E">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0A6E4F"/>
    <w:rsid w:val="00230C55"/>
    <w:rsid w:val="002B3ACA"/>
    <w:rsid w:val="004428EC"/>
    <w:rsid w:val="00527017"/>
    <w:rsid w:val="006F3C59"/>
    <w:rsid w:val="00785B1E"/>
    <w:rsid w:val="007A5B9E"/>
    <w:rsid w:val="00A15C0F"/>
    <w:rsid w:val="00C842DD"/>
    <w:rsid w:val="00DD46D7"/>
    <w:rsid w:val="00F335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5C0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b76dfe-0b17-40d1-a7b1-ac1e5e02a400">
      <Terms xmlns="http://schemas.microsoft.com/office/infopath/2007/PartnerControls"/>
    </lcf76f155ced4ddcb4097134ff3c332f>
    <TaxCatchAll xmlns="81d707e8-d43a-4c1e-95a7-0bf23a0d792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BDF0A0F264FFD47A25234CC8EADBA89" ma:contentTypeVersion="19" ma:contentTypeDescription="Create a new document." ma:contentTypeScope="" ma:versionID="b925b15902e2ba4c8f68fd159e922def">
  <xsd:schema xmlns:xsd="http://www.w3.org/2001/XMLSchema" xmlns:xs="http://www.w3.org/2001/XMLSchema" xmlns:p="http://schemas.microsoft.com/office/2006/metadata/properties" xmlns:ns2="6db76dfe-0b17-40d1-a7b1-ac1e5e02a400" xmlns:ns3="81d707e8-d43a-4c1e-95a7-0bf23a0d792f" targetNamespace="http://schemas.microsoft.com/office/2006/metadata/properties" ma:root="true" ma:fieldsID="3e1aa8f51b88c5eb7ca86a3f9dfdd1c0" ns2:_="" ns3:_="">
    <xsd:import namespace="6db76dfe-0b17-40d1-a7b1-ac1e5e02a400"/>
    <xsd:import namespace="81d707e8-d43a-4c1e-95a7-0bf23a0d79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b76dfe-0b17-40d1-a7b1-ac1e5e02a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d707e8-d43a-4c1e-95a7-0bf23a0d79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9bc7c6c-7c03-4b76-89f1-dd5deb0d2478}" ma:internalName="TaxCatchAll" ma:showField="CatchAllData" ma:web="81d707e8-d43a-4c1e-95a7-0bf23a0d792f">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7E74EC-F0D7-4D79-BCF8-A441AD43D098}">
  <ds:schemaRefs>
    <ds:schemaRef ds:uri="http://schemas.microsoft.com/office/2006/metadata/properties"/>
    <ds:schemaRef ds:uri="http://schemas.microsoft.com/office/infopath/2007/PartnerControls"/>
    <ds:schemaRef ds:uri="6db76dfe-0b17-40d1-a7b1-ac1e5e02a400"/>
    <ds:schemaRef ds:uri="81d707e8-d43a-4c1e-95a7-0bf23a0d792f"/>
  </ds:schemaRefs>
</ds:datastoreItem>
</file>

<file path=customXml/itemProps2.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3.xml><?xml version="1.0" encoding="utf-8"?>
<ds:datastoreItem xmlns:ds="http://schemas.openxmlformats.org/officeDocument/2006/customXml" ds:itemID="{99984B70-725C-41C3-BF4B-169E8CC1D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b76dfe-0b17-40d1-a7b1-ac1e5e02a400"/>
    <ds:schemaRef ds:uri="81d707e8-d43a-4c1e-95a7-0bf23a0d7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BBB6F5-7FFB-4D8D-BC32-70C2E055AD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807</Words>
  <Characters>4604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Report title goes here over a couple of lines</vt:lpstr>
    </vt:vector>
  </TitlesOfParts>
  <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Aboriginal and Torres Strait Islander Peoples NDRI – Summary</dc:title>
  <dc:subject/>
  <dc:creator>ASHTON,Michael</dc:creator>
  <cp:keywords/>
  <dc:description/>
  <cp:lastModifiedBy>PALAZZOLO,Jason</cp:lastModifiedBy>
  <cp:revision>40</cp:revision>
  <dcterms:created xsi:type="dcterms:W3CDTF">2024-10-18T05:01:00Z</dcterms:created>
  <dcterms:modified xsi:type="dcterms:W3CDTF">2024-10-21T23:33:00Z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0x0101009BDF0A0F264FFD47A25234CC8EADBA89</vt:lpwstr>
  </property>
  <property fmtid="{D5CDD505-2E9C-101B-9397-08002B2CF9AE}" pid="11" name="IntranetKeywords">
    <vt:lpwstr/>
  </property>
  <property fmtid="{D5CDD505-2E9C-101B-9397-08002B2CF9AE}" pid="12" name="DocumentType">
    <vt:lpwstr/>
  </property>
  <property fmtid="{D5CDD505-2E9C-101B-9397-08002B2CF9AE}" pid="13" name="Stream">
    <vt:lpwstr>4;#Communication and media|a829aae0-f6fe-4929-b33d-dad77c6e3f71</vt:lpwstr>
  </property>
</Properties>
</file>