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F4EEC" w14:textId="74C691E8" w:rsidR="00107DD5" w:rsidRDefault="00221D8F" w:rsidP="00CA4815">
      <w:r w:rsidRPr="00CA4815">
        <w:rPr>
          <w:b/>
          <w:bCs/>
          <w:noProof/>
        </w:rPr>
        <w:drawing>
          <wp:anchor distT="0" distB="0" distL="114300" distR="114300" simplePos="0" relativeHeight="251658240" behindDoc="1" locked="1" layoutInCell="1" allowOverlap="1" wp14:anchorId="4A1B45CD" wp14:editId="4F48F196">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59DD914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p w14:paraId="106CED8B" w14:textId="77777777" w:rsidR="00FC168E" w:rsidRPr="004274F2" w:rsidRDefault="00FC168E" w:rsidP="00FC168E">
      <w:pPr>
        <w:tabs>
          <w:tab w:val="left" w:pos="9639"/>
        </w:tabs>
        <w:spacing w:after="0" w:line="240" w:lineRule="auto"/>
        <w:ind w:left="567" w:right="827"/>
        <w:rPr>
          <w:rFonts w:cstheme="minorHAnsi"/>
          <w:b/>
          <w:bCs/>
        </w:rPr>
      </w:pPr>
      <w:bookmarkStart w:id="0" w:name="_Hlk149579534"/>
    </w:p>
    <w:p w14:paraId="3DE1A89D" w14:textId="756FEC5A" w:rsidR="00FC168E" w:rsidRDefault="00FC168E" w:rsidP="003732F5">
      <w:pPr>
        <w:pStyle w:val="Heading1"/>
        <w:spacing w:before="960"/>
      </w:pPr>
      <w:r w:rsidRPr="00FC168E">
        <w:t>Higher Education Continuity Guarantee funding 2024-2025</w:t>
      </w:r>
    </w:p>
    <w:p w14:paraId="2221A26C" w14:textId="65A8399E" w:rsidR="00FC168E" w:rsidRDefault="00FC168E" w:rsidP="00FC168E">
      <w:pPr>
        <w:pStyle w:val="Heading2"/>
        <w:spacing w:before="240"/>
      </w:pPr>
      <w:r>
        <w:t>Introduction</w:t>
      </w:r>
    </w:p>
    <w:bookmarkEnd w:id="0"/>
    <w:p w14:paraId="150E74F1" w14:textId="795A0A0A" w:rsidR="00FC168E" w:rsidRPr="004274F2" w:rsidRDefault="00FC168E" w:rsidP="00FC168E">
      <w:pPr>
        <w:pStyle w:val="paragraph"/>
        <w:tabs>
          <w:tab w:val="left" w:pos="9639"/>
        </w:tabs>
        <w:spacing w:before="0" w:beforeAutospacing="0" w:after="0" w:afterAutospacing="0"/>
        <w:ind w:right="827"/>
        <w:textAlignment w:val="baseline"/>
        <w:rPr>
          <w:rFonts w:asciiTheme="minorHAnsi" w:hAnsiTheme="minorHAnsi" w:cstheme="minorHAnsi"/>
          <w:sz w:val="22"/>
          <w:szCs w:val="22"/>
          <w:lang w:eastAsia="en-US"/>
          <w14:ligatures w14:val="standardContextual"/>
        </w:rPr>
      </w:pPr>
      <w:r w:rsidRPr="004274F2">
        <w:rPr>
          <w:rFonts w:asciiTheme="minorHAnsi" w:hAnsiTheme="minorHAnsi" w:cstheme="minorHAnsi"/>
          <w:sz w:val="22"/>
          <w:szCs w:val="22"/>
          <w:lang w:eastAsia="en-US"/>
          <w14:ligatures w14:val="standardContextual"/>
        </w:rPr>
        <w:t>The Government is extending the Higher Education Continuity Guarantee (HECG) for 2024 and 2025. This will ensure the sustainability of, and avoid disruption to, the higher education sector while future funding arrangements are considered through the Government’s response to the Australian Universities Accord process. The HECG guarantees the Maximum Basic Grant Amount (MBGA) under the Commonwealth Grant Scheme (CGS) for higher education courses, designated higher education courses and medical student loading regardless of whether a provider has enrolled up to their approved funding level.  </w:t>
      </w:r>
    </w:p>
    <w:p w14:paraId="66A8F639" w14:textId="77777777" w:rsidR="00FC168E" w:rsidRPr="004274F2" w:rsidRDefault="00FC168E" w:rsidP="00FC168E">
      <w:pPr>
        <w:keepLines/>
        <w:tabs>
          <w:tab w:val="left" w:pos="9639"/>
        </w:tabs>
        <w:spacing w:before="120" w:after="0" w:line="240" w:lineRule="auto"/>
        <w:ind w:right="827"/>
        <w:textAlignment w:val="baseline"/>
        <w:rPr>
          <w:rFonts w:cstheme="minorHAnsi"/>
        </w:rPr>
      </w:pPr>
      <w:r w:rsidRPr="004274F2">
        <w:rPr>
          <w:rFonts w:eastAsia="Times New Roman" w:cstheme="minorHAnsi"/>
        </w:rPr>
        <w:t>For 2024 and 2025, a</w:t>
      </w:r>
      <w:r w:rsidRPr="004274F2">
        <w:rPr>
          <w:rFonts w:cstheme="minorHAnsi"/>
        </w:rPr>
        <w:t xml:space="preserve">ny providers not enrolled up to their approved funding level will be required to allocate funding to support equity outcomes for under-represented groups. Providers will be required to complete a HECG Equity Plan, for review by the Department. The parameters around what specific kinds of equity support will be eligible under these requirements are outlined below. </w:t>
      </w:r>
      <w:r w:rsidRPr="004274F2">
        <w:rPr>
          <w:rFonts w:eastAsia="Times New Roman" w:cstheme="minorHAnsi"/>
          <w:lang w:eastAsia="en-AU"/>
        </w:rPr>
        <w:t xml:space="preserve">The </w:t>
      </w:r>
      <w:r w:rsidRPr="004274F2">
        <w:rPr>
          <w:rFonts w:cstheme="minorHAnsi"/>
          <w:i/>
          <w:iCs/>
          <w:lang w:val="en-US"/>
        </w:rPr>
        <w:t xml:space="preserve">Higher Education Support (Other Grants) </w:t>
      </w:r>
      <w:r w:rsidRPr="004274F2">
        <w:rPr>
          <w:rFonts w:cstheme="minorHAnsi"/>
          <w:i/>
          <w:iCs/>
          <w:lang w:val="en-US"/>
        </w:rPr>
        <w:br/>
        <w:t xml:space="preserve">Guidelines 2022 </w:t>
      </w:r>
      <w:r w:rsidRPr="004274F2">
        <w:rPr>
          <w:rFonts w:cstheme="minorHAnsi"/>
          <w:lang w:val="en-US"/>
        </w:rPr>
        <w:t>(</w:t>
      </w:r>
      <w:r w:rsidRPr="004274F2">
        <w:rPr>
          <w:rFonts w:eastAsia="Times New Roman" w:cstheme="minorHAnsi"/>
          <w:lang w:eastAsia="en-AU"/>
        </w:rPr>
        <w:t xml:space="preserve">Other Grant Guidelines) will be updated to reflect these requirements.  </w:t>
      </w:r>
    </w:p>
    <w:p w14:paraId="7AFADD24" w14:textId="77777777" w:rsidR="00FC168E" w:rsidRPr="004274F2" w:rsidRDefault="00FC168E" w:rsidP="00FC168E">
      <w:pPr>
        <w:tabs>
          <w:tab w:val="left" w:pos="9639"/>
        </w:tabs>
        <w:spacing w:before="120" w:line="240" w:lineRule="auto"/>
        <w:ind w:right="827"/>
        <w:textAlignment w:val="baseline"/>
        <w:rPr>
          <w:rFonts w:eastAsia="Times New Roman" w:cstheme="minorHAnsi"/>
          <w:color w:val="000000"/>
          <w:lang w:eastAsia="en-AU"/>
        </w:rPr>
      </w:pPr>
      <w:r w:rsidRPr="004274F2">
        <w:rPr>
          <w:rFonts w:cstheme="minorHAnsi"/>
        </w:rPr>
        <w:t xml:space="preserve">Providers will be required to report on </w:t>
      </w:r>
      <w:r w:rsidRPr="003732F5">
        <w:rPr>
          <w:rFonts w:cstheme="minorHAnsi"/>
        </w:rPr>
        <w:t>the use of their HECG funding. Reporting requirements will be specified in their CGS Funding Agreements. Providers will have four years to spend HECG funding.</w:t>
      </w:r>
    </w:p>
    <w:p w14:paraId="0502B8A0" w14:textId="77777777" w:rsidR="00FC168E" w:rsidRPr="00FC168E" w:rsidRDefault="00FC168E" w:rsidP="00FC168E">
      <w:pPr>
        <w:pStyle w:val="Heading2"/>
        <w:spacing w:before="240"/>
      </w:pPr>
      <w:r w:rsidRPr="00FC168E">
        <w:t>Proposed equity target groups </w:t>
      </w:r>
    </w:p>
    <w:p w14:paraId="5471800E" w14:textId="77777777" w:rsidR="00FC168E" w:rsidRPr="004274F2" w:rsidRDefault="00FC168E" w:rsidP="00FC168E">
      <w:pPr>
        <w:numPr>
          <w:ilvl w:val="0"/>
          <w:numId w:val="20"/>
        </w:numPr>
        <w:tabs>
          <w:tab w:val="left" w:pos="9639"/>
        </w:tabs>
        <w:spacing w:after="60" w:line="240" w:lineRule="auto"/>
        <w:ind w:left="709" w:right="828" w:hanging="283"/>
        <w:textAlignment w:val="baseline"/>
        <w:rPr>
          <w:rFonts w:eastAsia="Times New Roman" w:cstheme="minorHAnsi"/>
          <w:color w:val="000000"/>
          <w:lang w:eastAsia="en-AU"/>
        </w:rPr>
      </w:pPr>
      <w:r w:rsidRPr="004274F2">
        <w:rPr>
          <w:rFonts w:eastAsia="Times New Roman" w:cstheme="minorHAnsi"/>
          <w:color w:val="000000"/>
          <w:lang w:eastAsia="en-AU"/>
        </w:rPr>
        <w:t>Low socio-economic status (low SES) backgrounds </w:t>
      </w:r>
    </w:p>
    <w:p w14:paraId="214A8031" w14:textId="77777777" w:rsidR="00FC168E" w:rsidRPr="004274F2" w:rsidRDefault="00FC168E" w:rsidP="00FC168E">
      <w:pPr>
        <w:numPr>
          <w:ilvl w:val="0"/>
          <w:numId w:val="20"/>
        </w:numPr>
        <w:tabs>
          <w:tab w:val="left" w:pos="9639"/>
        </w:tabs>
        <w:spacing w:after="60" w:line="240" w:lineRule="auto"/>
        <w:ind w:left="709" w:right="828" w:hanging="283"/>
        <w:textAlignment w:val="baseline"/>
        <w:rPr>
          <w:rFonts w:eastAsia="Times New Roman" w:cstheme="minorHAnsi"/>
          <w:color w:val="000000"/>
          <w:lang w:eastAsia="en-AU"/>
        </w:rPr>
      </w:pPr>
      <w:r w:rsidRPr="004274F2">
        <w:rPr>
          <w:rFonts w:eastAsia="Times New Roman" w:cstheme="minorHAnsi"/>
          <w:color w:val="000000"/>
          <w:lang w:eastAsia="en-AU"/>
        </w:rPr>
        <w:t>Students from inner regional, outer regional, remote and very remote areas </w:t>
      </w:r>
    </w:p>
    <w:p w14:paraId="422488E1" w14:textId="77777777" w:rsidR="00FC168E" w:rsidRPr="004274F2" w:rsidRDefault="00FC168E" w:rsidP="00FC168E">
      <w:pPr>
        <w:numPr>
          <w:ilvl w:val="0"/>
          <w:numId w:val="20"/>
        </w:numPr>
        <w:tabs>
          <w:tab w:val="left" w:pos="9639"/>
        </w:tabs>
        <w:spacing w:after="60" w:line="240" w:lineRule="auto"/>
        <w:ind w:left="709" w:right="828" w:hanging="283"/>
        <w:textAlignment w:val="baseline"/>
        <w:rPr>
          <w:rFonts w:eastAsia="Times New Roman" w:cstheme="minorHAnsi"/>
          <w:color w:val="000000"/>
          <w:lang w:eastAsia="en-AU"/>
        </w:rPr>
      </w:pPr>
      <w:r w:rsidRPr="004274F2">
        <w:rPr>
          <w:rFonts w:eastAsia="Times New Roman" w:cstheme="minorHAnsi"/>
          <w:color w:val="000000"/>
          <w:lang w:eastAsia="en-AU"/>
        </w:rPr>
        <w:t>First in family to access higher education </w:t>
      </w:r>
    </w:p>
    <w:p w14:paraId="0EA3F89B" w14:textId="77777777" w:rsidR="00FC168E" w:rsidRPr="004274F2" w:rsidRDefault="00FC168E" w:rsidP="00FC168E">
      <w:pPr>
        <w:numPr>
          <w:ilvl w:val="0"/>
          <w:numId w:val="20"/>
        </w:numPr>
        <w:tabs>
          <w:tab w:val="left" w:pos="9639"/>
        </w:tabs>
        <w:spacing w:after="60" w:line="240" w:lineRule="auto"/>
        <w:ind w:left="709" w:right="828" w:hanging="283"/>
        <w:textAlignment w:val="baseline"/>
        <w:rPr>
          <w:rFonts w:eastAsia="Times New Roman" w:cstheme="minorHAnsi"/>
          <w:color w:val="000000"/>
          <w:lang w:eastAsia="en-AU"/>
        </w:rPr>
      </w:pPr>
      <w:r w:rsidRPr="004274F2">
        <w:rPr>
          <w:rFonts w:eastAsia="Times New Roman" w:cstheme="minorHAnsi"/>
          <w:color w:val="000000"/>
          <w:lang w:eastAsia="en-AU"/>
        </w:rPr>
        <w:t>First Nations Australians </w:t>
      </w:r>
    </w:p>
    <w:p w14:paraId="4385161E" w14:textId="77777777" w:rsidR="00FC168E" w:rsidRPr="004274F2" w:rsidRDefault="00FC168E" w:rsidP="00FC168E">
      <w:pPr>
        <w:numPr>
          <w:ilvl w:val="0"/>
          <w:numId w:val="20"/>
        </w:numPr>
        <w:tabs>
          <w:tab w:val="left" w:pos="9639"/>
        </w:tabs>
        <w:spacing w:after="60" w:line="240" w:lineRule="auto"/>
        <w:ind w:left="709" w:right="828" w:hanging="283"/>
        <w:textAlignment w:val="baseline"/>
        <w:rPr>
          <w:rFonts w:eastAsia="Times New Roman" w:cstheme="minorHAnsi"/>
          <w:color w:val="000000"/>
          <w:lang w:eastAsia="en-AU"/>
        </w:rPr>
      </w:pPr>
      <w:r w:rsidRPr="004274F2">
        <w:rPr>
          <w:rFonts w:eastAsia="Times New Roman" w:cstheme="minorHAnsi"/>
          <w:color w:val="000000"/>
          <w:lang w:eastAsia="en-AU"/>
        </w:rPr>
        <w:t>People with disability </w:t>
      </w:r>
    </w:p>
    <w:p w14:paraId="63AE657F" w14:textId="77777777" w:rsidR="00FC168E" w:rsidRPr="004274F2" w:rsidRDefault="00FC168E" w:rsidP="00FC168E">
      <w:pPr>
        <w:numPr>
          <w:ilvl w:val="0"/>
          <w:numId w:val="20"/>
        </w:numPr>
        <w:tabs>
          <w:tab w:val="left" w:pos="9639"/>
        </w:tabs>
        <w:spacing w:after="120" w:line="240" w:lineRule="auto"/>
        <w:ind w:left="709" w:right="828" w:hanging="283"/>
        <w:textAlignment w:val="baseline"/>
        <w:rPr>
          <w:rFonts w:eastAsia="Times New Roman" w:cstheme="minorHAnsi"/>
          <w:color w:val="000000"/>
          <w:lang w:eastAsia="en-AU"/>
        </w:rPr>
      </w:pPr>
      <w:r w:rsidRPr="004274F2">
        <w:rPr>
          <w:rFonts w:eastAsia="Times New Roman" w:cstheme="minorHAnsi"/>
          <w:color w:val="000000"/>
          <w:lang w:eastAsia="en-AU"/>
        </w:rPr>
        <w:t>Students who experience cumulative disadvantage, such as regional First Nations students transitioning into university and people with disability transitioning out of university into employment. </w:t>
      </w:r>
    </w:p>
    <w:p w14:paraId="3478A8DB" w14:textId="4A4E0781" w:rsidR="00FC168E" w:rsidRPr="00FC168E" w:rsidRDefault="00FC168E" w:rsidP="00FC168E">
      <w:pPr>
        <w:pStyle w:val="Heading2"/>
        <w:spacing w:before="240"/>
      </w:pPr>
      <w:r>
        <w:lastRenderedPageBreak/>
        <w:t>Permissible l</w:t>
      </w:r>
      <w:r w:rsidRPr="00FC168E">
        <w:t>ist of uses for HECG funding </w:t>
      </w:r>
    </w:p>
    <w:p w14:paraId="13F2ACBB" w14:textId="4A048FD8" w:rsidR="00FC168E" w:rsidRPr="004274F2" w:rsidRDefault="00FC168E" w:rsidP="00FC168E">
      <w:pPr>
        <w:tabs>
          <w:tab w:val="left" w:pos="9639"/>
        </w:tabs>
        <w:spacing w:after="120" w:line="240" w:lineRule="auto"/>
        <w:ind w:right="827"/>
        <w:textAlignment w:val="baseline"/>
        <w:rPr>
          <w:rFonts w:eastAsia="Times New Roman" w:cstheme="minorHAnsi"/>
          <w:color w:val="000000"/>
          <w:lang w:eastAsia="en-AU"/>
        </w:rPr>
      </w:pPr>
      <w:r w:rsidRPr="004274F2">
        <w:rPr>
          <w:rFonts w:eastAsia="Times New Roman" w:cstheme="minorHAnsi"/>
          <w:color w:val="000000"/>
          <w:lang w:eastAsia="en-AU"/>
        </w:rPr>
        <w:t xml:space="preserve">Activities funded under the HECG must </w:t>
      </w:r>
      <w:r w:rsidRPr="00DA3EFF">
        <w:rPr>
          <w:rFonts w:eastAsia="Times New Roman" w:cstheme="minorHAnsi"/>
          <w:lang w:eastAsia="en-AU"/>
        </w:rPr>
        <w:t xml:space="preserve">directly support under-represented or disadvantaged students. </w:t>
      </w:r>
      <w:bookmarkStart w:id="1" w:name="_Hlk150945669"/>
      <w:r w:rsidRPr="00DA3EFF">
        <w:rPr>
          <w:rFonts w:eastAsia="Times New Roman" w:cstheme="minorHAnsi"/>
          <w:lang w:eastAsia="en-AU"/>
        </w:rPr>
        <w:t>T</w:t>
      </w:r>
      <w:bookmarkEnd w:id="1"/>
      <w:r w:rsidRPr="00DA3EFF">
        <w:rPr>
          <w:rFonts w:eastAsia="Times New Roman" w:cstheme="minorHAnsi"/>
          <w:lang w:eastAsia="en-AU"/>
        </w:rPr>
        <w:t xml:space="preserve">his funding cannot be used </w:t>
      </w:r>
      <w:r w:rsidR="00B01B98" w:rsidRPr="00DA3EFF">
        <w:rPr>
          <w:rFonts w:eastAsia="Times New Roman" w:cstheme="minorHAnsi"/>
          <w:lang w:eastAsia="en-AU"/>
        </w:rPr>
        <w:t xml:space="preserve">for </w:t>
      </w:r>
      <w:r w:rsidRPr="00DA3EFF">
        <w:rPr>
          <w:rFonts w:eastAsia="Times New Roman" w:cstheme="minorHAnsi"/>
          <w:lang w:eastAsia="en-AU"/>
        </w:rPr>
        <w:t xml:space="preserve">activities that </w:t>
      </w:r>
      <w:r w:rsidRPr="004274F2">
        <w:rPr>
          <w:rFonts w:eastAsia="Times New Roman" w:cstheme="minorHAnsi"/>
          <w:color w:val="000000"/>
          <w:lang w:eastAsia="en-AU"/>
        </w:rPr>
        <w:t>are currently funded through other Government equity programs (such as Higher Education Participation and Partnerships Program (HEPPP) and the Disability Support Program (DSP)) </w:t>
      </w:r>
      <w:r w:rsidRPr="004274F2" w:rsidDel="005E03E6">
        <w:rPr>
          <w:rFonts w:eastAsia="Times New Roman" w:cstheme="minorHAnsi"/>
          <w:color w:val="000000"/>
          <w:lang w:eastAsia="en-AU"/>
        </w:rPr>
        <w:t xml:space="preserve"> </w:t>
      </w:r>
    </w:p>
    <w:p w14:paraId="5FD94D3C" w14:textId="77777777" w:rsidR="00FC168E" w:rsidRDefault="00FC168E" w:rsidP="0070762C">
      <w:pPr>
        <w:tabs>
          <w:tab w:val="left" w:pos="9639"/>
        </w:tabs>
        <w:spacing w:after="0" w:line="240" w:lineRule="auto"/>
        <w:ind w:right="827"/>
        <w:textAlignment w:val="baseline"/>
        <w:rPr>
          <w:rFonts w:eastAsia="Times New Roman" w:cstheme="minorHAnsi"/>
          <w:color w:val="000000"/>
          <w:lang w:eastAsia="en-AU"/>
        </w:rPr>
      </w:pPr>
      <w:r w:rsidRPr="004274F2">
        <w:rPr>
          <w:rFonts w:eastAsia="Times New Roman" w:cstheme="minorHAnsi"/>
          <w:color w:val="000000"/>
          <w:lang w:eastAsia="en-AU"/>
        </w:rPr>
        <w:t xml:space="preserve">Emphasis should be placed on Tier 1 initiatives in the first instance. Tier 2 initiatives may then be proposed for the Department’s consideration. </w:t>
      </w:r>
    </w:p>
    <w:p w14:paraId="6B33C630" w14:textId="77777777" w:rsidR="00C50B26" w:rsidRPr="004274F2" w:rsidRDefault="00C50B26" w:rsidP="0070762C">
      <w:pPr>
        <w:tabs>
          <w:tab w:val="left" w:pos="9639"/>
        </w:tabs>
        <w:spacing w:after="0" w:line="240" w:lineRule="auto"/>
        <w:ind w:right="827"/>
        <w:textAlignment w:val="baseline"/>
        <w:rPr>
          <w:rFonts w:eastAsia="Times New Roman" w:cstheme="minorHAnsi"/>
          <w:color w:val="000000"/>
          <w:lang w:eastAsia="en-AU"/>
        </w:rPr>
      </w:pPr>
    </w:p>
    <w:p w14:paraId="58C9DC62" w14:textId="65D89BE7" w:rsidR="00FC168E" w:rsidRPr="00FC168E" w:rsidRDefault="00FC168E" w:rsidP="00B01B98">
      <w:pPr>
        <w:pStyle w:val="Heading3"/>
        <w:spacing w:before="240"/>
      </w:pPr>
      <w:r w:rsidRPr="00FC168E">
        <w:t xml:space="preserve">Tier 1 </w:t>
      </w:r>
    </w:p>
    <w:p w14:paraId="04E3097F" w14:textId="14F01106" w:rsidR="00FC168E" w:rsidRDefault="00FC168E" w:rsidP="00FC168E">
      <w:pPr>
        <w:keepLines/>
        <w:tabs>
          <w:tab w:val="left" w:pos="9639"/>
        </w:tabs>
        <w:spacing w:after="60" w:line="240" w:lineRule="auto"/>
        <w:ind w:right="828"/>
        <w:textAlignment w:val="baseline"/>
        <w:rPr>
          <w:rFonts w:eastAsia="Times New Roman" w:cstheme="minorHAnsi"/>
          <w:color w:val="000000"/>
          <w:lang w:eastAsia="en-AU"/>
        </w:rPr>
      </w:pPr>
      <w:r w:rsidRPr="004274F2">
        <w:rPr>
          <w:rFonts w:eastAsia="Times New Roman" w:cstheme="minorHAnsi"/>
          <w:color w:val="000000"/>
          <w:lang w:eastAsia="en-AU"/>
        </w:rPr>
        <w:t xml:space="preserve">Providers must make reasonable efforts to use HECG funding on new initiatives or to bolster existing initiatives to provide additional support for equity cohorts that focus on building the pipeline and ensuring success and outcomes for students. </w:t>
      </w:r>
    </w:p>
    <w:p w14:paraId="6DE3578C" w14:textId="45A27804" w:rsidR="00FC168E" w:rsidRDefault="00FC168E" w:rsidP="00FC168E">
      <w:pPr>
        <w:keepLines/>
        <w:tabs>
          <w:tab w:val="left" w:pos="9639"/>
        </w:tabs>
        <w:spacing w:after="60" w:line="240" w:lineRule="auto"/>
        <w:ind w:right="828"/>
        <w:textAlignment w:val="baseline"/>
        <w:rPr>
          <w:rFonts w:eastAsia="Times New Roman" w:cstheme="minorHAnsi"/>
          <w:color w:val="000000"/>
          <w:lang w:eastAsia="en-AU"/>
        </w:rPr>
      </w:pPr>
      <w:r w:rsidRPr="004274F2">
        <w:rPr>
          <w:rFonts w:eastAsia="Times New Roman" w:cstheme="minorHAnsi"/>
          <w:color w:val="000000"/>
          <w:lang w:eastAsia="en-AU"/>
        </w:rPr>
        <w:t xml:space="preserve">Initiatives and interventions should aim to address barriers and meet the needs of targeted groups, to improve the number of prospective students accessing education, and provide support for students to succeed. </w:t>
      </w:r>
    </w:p>
    <w:p w14:paraId="2E74E5B1" w14:textId="54EB9C98" w:rsidR="00FC168E" w:rsidRPr="004274F2" w:rsidRDefault="00FC168E" w:rsidP="00FC168E">
      <w:pPr>
        <w:keepLines/>
        <w:tabs>
          <w:tab w:val="left" w:pos="9639"/>
        </w:tabs>
        <w:spacing w:after="60" w:line="240" w:lineRule="auto"/>
        <w:ind w:right="828"/>
        <w:textAlignment w:val="baseline"/>
        <w:rPr>
          <w:rFonts w:eastAsia="Times New Roman" w:cstheme="minorHAnsi"/>
          <w:lang w:eastAsia="en-AU"/>
        </w:rPr>
      </w:pPr>
      <w:r w:rsidRPr="004274F2">
        <w:rPr>
          <w:rFonts w:eastAsia="Times New Roman" w:cstheme="minorHAnsi"/>
          <w:color w:val="000000"/>
          <w:lang w:eastAsia="en-AU"/>
        </w:rPr>
        <w:t>Examples of equity initiatives include, but are not limited to: </w:t>
      </w:r>
    </w:p>
    <w:p w14:paraId="559C8A8C" w14:textId="77777777" w:rsidR="00FC168E" w:rsidRPr="004274F2" w:rsidRDefault="00FC168E" w:rsidP="00FC168E">
      <w:pPr>
        <w:numPr>
          <w:ilvl w:val="0"/>
          <w:numId w:val="20"/>
        </w:numPr>
        <w:tabs>
          <w:tab w:val="left" w:pos="9639"/>
        </w:tabs>
        <w:spacing w:after="60" w:line="240" w:lineRule="auto"/>
        <w:ind w:left="709" w:right="828" w:hanging="283"/>
        <w:textAlignment w:val="baseline"/>
        <w:rPr>
          <w:rFonts w:eastAsia="Times New Roman" w:cstheme="minorHAnsi"/>
          <w:lang w:eastAsia="en-AU"/>
        </w:rPr>
      </w:pPr>
      <w:r w:rsidRPr="004274F2">
        <w:rPr>
          <w:rFonts w:eastAsia="Times New Roman" w:cstheme="minorHAnsi"/>
          <w:color w:val="000000"/>
          <w:lang w:eastAsia="en-AU"/>
        </w:rPr>
        <w:t>Outreach and pre-access activities focused on building the pipeline, such as working with young people and non-school leavers, schools, career advisors, community, TAFEs and local/state government.  </w:t>
      </w:r>
    </w:p>
    <w:p w14:paraId="717BEF21" w14:textId="77777777" w:rsidR="00FC168E" w:rsidRPr="004274F2" w:rsidRDefault="00FC168E" w:rsidP="00FC168E">
      <w:pPr>
        <w:numPr>
          <w:ilvl w:val="0"/>
          <w:numId w:val="20"/>
        </w:numPr>
        <w:tabs>
          <w:tab w:val="left" w:pos="9639"/>
        </w:tabs>
        <w:spacing w:after="60" w:line="240" w:lineRule="auto"/>
        <w:ind w:left="709" w:right="828" w:hanging="283"/>
        <w:textAlignment w:val="baseline"/>
        <w:rPr>
          <w:rFonts w:eastAsia="Times New Roman" w:cstheme="minorHAnsi"/>
          <w:lang w:eastAsia="en-AU"/>
        </w:rPr>
      </w:pPr>
      <w:r w:rsidRPr="004274F2">
        <w:rPr>
          <w:rFonts w:eastAsia="Times New Roman" w:cstheme="minorHAnsi"/>
          <w:color w:val="000000"/>
          <w:lang w:eastAsia="en-AU"/>
        </w:rPr>
        <w:t>Initiatives that promote access and participation, such as support for students as they explore educational options and navigate the admissions process, including career and pathways advice. </w:t>
      </w:r>
    </w:p>
    <w:p w14:paraId="3A91AFC3" w14:textId="77777777" w:rsidR="00FC168E" w:rsidRPr="004274F2" w:rsidRDefault="00FC168E" w:rsidP="00FC168E">
      <w:pPr>
        <w:numPr>
          <w:ilvl w:val="0"/>
          <w:numId w:val="20"/>
        </w:numPr>
        <w:tabs>
          <w:tab w:val="left" w:pos="9639"/>
        </w:tabs>
        <w:spacing w:after="60" w:line="240" w:lineRule="auto"/>
        <w:ind w:left="709" w:right="828" w:hanging="283"/>
        <w:textAlignment w:val="baseline"/>
        <w:rPr>
          <w:rFonts w:eastAsia="Times New Roman" w:cstheme="minorHAnsi"/>
          <w:lang w:eastAsia="en-AU"/>
        </w:rPr>
      </w:pPr>
      <w:r w:rsidRPr="004274F2">
        <w:rPr>
          <w:rFonts w:eastAsia="Times New Roman" w:cstheme="minorHAnsi"/>
          <w:color w:val="000000"/>
          <w:lang w:eastAsia="en-AU"/>
        </w:rPr>
        <w:t>Additional enabling course costs (NB: limited by student demand) including: </w:t>
      </w:r>
    </w:p>
    <w:p w14:paraId="02109F8A" w14:textId="77777777" w:rsidR="00FC168E" w:rsidRPr="004274F2" w:rsidRDefault="00FC168E" w:rsidP="00FC168E">
      <w:pPr>
        <w:pStyle w:val="ListParagraph"/>
        <w:numPr>
          <w:ilvl w:val="1"/>
          <w:numId w:val="20"/>
        </w:numPr>
        <w:tabs>
          <w:tab w:val="left" w:pos="9639"/>
        </w:tabs>
        <w:spacing w:after="60" w:line="240" w:lineRule="auto"/>
        <w:ind w:left="1418" w:right="828" w:hanging="284"/>
        <w:contextualSpacing w:val="0"/>
        <w:textAlignment w:val="baseline"/>
        <w:rPr>
          <w:rFonts w:eastAsia="Times New Roman" w:cstheme="minorHAnsi"/>
          <w:kern w:val="0"/>
          <w:lang w:eastAsia="en-AU"/>
          <w14:ligatures w14:val="none"/>
        </w:rPr>
      </w:pPr>
      <w:r w:rsidRPr="004274F2">
        <w:rPr>
          <w:rFonts w:eastAsia="Times New Roman" w:cstheme="minorHAnsi"/>
          <w:color w:val="000000"/>
          <w:kern w:val="0"/>
          <w:lang w:eastAsia="en-AU"/>
          <w14:ligatures w14:val="none"/>
        </w:rPr>
        <w:t>course development and support for students  </w:t>
      </w:r>
    </w:p>
    <w:p w14:paraId="52C5207D" w14:textId="77777777" w:rsidR="00FC168E" w:rsidRPr="004274F2" w:rsidRDefault="00FC168E" w:rsidP="00FC168E">
      <w:pPr>
        <w:pStyle w:val="ListParagraph"/>
        <w:numPr>
          <w:ilvl w:val="1"/>
          <w:numId w:val="20"/>
        </w:numPr>
        <w:tabs>
          <w:tab w:val="left" w:pos="9639"/>
        </w:tabs>
        <w:spacing w:after="60" w:line="240" w:lineRule="auto"/>
        <w:ind w:left="1418" w:right="828" w:hanging="284"/>
        <w:contextualSpacing w:val="0"/>
        <w:textAlignment w:val="baseline"/>
        <w:rPr>
          <w:rFonts w:eastAsia="Times New Roman" w:cstheme="minorHAnsi"/>
          <w:kern w:val="0"/>
          <w:lang w:eastAsia="en-AU"/>
          <w14:ligatures w14:val="none"/>
        </w:rPr>
      </w:pPr>
      <w:r w:rsidRPr="004274F2">
        <w:rPr>
          <w:rFonts w:eastAsia="Times New Roman" w:cstheme="minorHAnsi"/>
          <w:color w:val="000000"/>
          <w:kern w:val="0"/>
          <w:lang w:eastAsia="en-AU"/>
          <w14:ligatures w14:val="none"/>
        </w:rPr>
        <w:t>use as enabling loading for universities that exhaust, or do not have, allocations (noting the Commonwealth contribution is already covered by funding of Commonwealth Supported Places (CSPs), which can be used for enabling courses). </w:t>
      </w:r>
    </w:p>
    <w:p w14:paraId="6F7C2D75" w14:textId="77777777" w:rsidR="00FC168E" w:rsidRPr="004274F2" w:rsidRDefault="00FC168E" w:rsidP="00FC168E">
      <w:pPr>
        <w:numPr>
          <w:ilvl w:val="0"/>
          <w:numId w:val="20"/>
        </w:numPr>
        <w:tabs>
          <w:tab w:val="left" w:pos="9639"/>
        </w:tabs>
        <w:spacing w:after="60" w:line="240" w:lineRule="auto"/>
        <w:ind w:left="709" w:right="828" w:hanging="283"/>
        <w:textAlignment w:val="baseline"/>
        <w:rPr>
          <w:rFonts w:eastAsia="Times New Roman" w:cstheme="minorHAnsi"/>
          <w:color w:val="000000"/>
          <w:lang w:eastAsia="en-AU"/>
        </w:rPr>
      </w:pPr>
      <w:r w:rsidRPr="004274F2">
        <w:rPr>
          <w:rFonts w:eastAsia="Times New Roman" w:cstheme="minorHAnsi"/>
          <w:color w:val="000000"/>
          <w:lang w:eastAsia="en-AU"/>
        </w:rPr>
        <w:t>Cost of study e.g. scholarships and/or bursaries, assistance with accommodation and other living expenses) to incentivise students to enrol.</w:t>
      </w:r>
    </w:p>
    <w:p w14:paraId="09E8CE61" w14:textId="77777777" w:rsidR="00FC168E" w:rsidRPr="004274F2" w:rsidRDefault="00FC168E" w:rsidP="00FC168E">
      <w:pPr>
        <w:numPr>
          <w:ilvl w:val="0"/>
          <w:numId w:val="20"/>
        </w:numPr>
        <w:tabs>
          <w:tab w:val="left" w:pos="9639"/>
        </w:tabs>
        <w:spacing w:after="60" w:line="240" w:lineRule="auto"/>
        <w:ind w:left="709" w:right="828" w:hanging="283"/>
        <w:textAlignment w:val="baseline"/>
        <w:rPr>
          <w:rFonts w:eastAsia="Times New Roman" w:cstheme="minorHAnsi"/>
          <w:color w:val="000000"/>
          <w:lang w:eastAsia="en-AU"/>
        </w:rPr>
      </w:pPr>
      <w:r w:rsidRPr="004274F2">
        <w:rPr>
          <w:rFonts w:eastAsia="Times New Roman" w:cstheme="minorHAnsi"/>
          <w:color w:val="000000"/>
          <w:lang w:eastAsia="en-AU"/>
        </w:rPr>
        <w:t>Emergency cost of living support so students can keep studying. </w:t>
      </w:r>
    </w:p>
    <w:p w14:paraId="43420FDE" w14:textId="77777777" w:rsidR="00FC168E" w:rsidRPr="004274F2" w:rsidRDefault="00FC168E" w:rsidP="00FC168E">
      <w:pPr>
        <w:numPr>
          <w:ilvl w:val="0"/>
          <w:numId w:val="20"/>
        </w:numPr>
        <w:tabs>
          <w:tab w:val="left" w:pos="9639"/>
        </w:tabs>
        <w:spacing w:after="60" w:line="240" w:lineRule="auto"/>
        <w:ind w:left="709" w:right="828" w:hanging="283"/>
        <w:textAlignment w:val="baseline"/>
        <w:rPr>
          <w:rFonts w:eastAsia="Times New Roman" w:cstheme="minorHAnsi"/>
          <w:color w:val="000000"/>
          <w:lang w:eastAsia="en-AU"/>
        </w:rPr>
      </w:pPr>
      <w:r w:rsidRPr="004274F2">
        <w:rPr>
          <w:rFonts w:eastAsia="Times New Roman" w:cstheme="minorHAnsi"/>
          <w:color w:val="000000"/>
          <w:lang w:eastAsia="en-AU"/>
        </w:rPr>
        <w:t xml:space="preserve">Student belonging and engagement services and support, including those designed to assist under-represented groups in areas such career planning, employability and job readiness (e.g. mentoring, </w:t>
      </w:r>
      <w:proofErr w:type="gramStart"/>
      <w:r w:rsidRPr="004274F2">
        <w:rPr>
          <w:rFonts w:eastAsia="Times New Roman" w:cstheme="minorHAnsi"/>
          <w:color w:val="000000"/>
          <w:lang w:eastAsia="en-AU"/>
        </w:rPr>
        <w:t>drop in</w:t>
      </w:r>
      <w:proofErr w:type="gramEnd"/>
      <w:r w:rsidRPr="004274F2">
        <w:rPr>
          <w:rFonts w:eastAsia="Times New Roman" w:cstheme="minorHAnsi"/>
          <w:color w:val="000000"/>
          <w:lang w:eastAsia="en-AU"/>
        </w:rPr>
        <w:t xml:space="preserve"> services, networking, study help). </w:t>
      </w:r>
    </w:p>
    <w:p w14:paraId="58678D11" w14:textId="77777777" w:rsidR="00FC168E" w:rsidRPr="004274F2" w:rsidRDefault="00FC168E" w:rsidP="00FC168E">
      <w:pPr>
        <w:numPr>
          <w:ilvl w:val="0"/>
          <w:numId w:val="20"/>
        </w:numPr>
        <w:tabs>
          <w:tab w:val="left" w:pos="9639"/>
        </w:tabs>
        <w:spacing w:after="60" w:line="240" w:lineRule="auto"/>
        <w:ind w:left="709" w:right="828" w:hanging="283"/>
        <w:textAlignment w:val="baseline"/>
        <w:rPr>
          <w:rFonts w:eastAsia="Times New Roman" w:cstheme="minorHAnsi"/>
          <w:color w:val="000000"/>
          <w:lang w:eastAsia="en-AU"/>
        </w:rPr>
      </w:pPr>
      <w:r w:rsidRPr="004274F2">
        <w:rPr>
          <w:rFonts w:eastAsia="Times New Roman" w:cstheme="minorHAnsi"/>
          <w:color w:val="000000"/>
          <w:lang w:eastAsia="en-AU"/>
        </w:rPr>
        <w:t>Innovative delivery models such as equity arrangements in the Victoria University block model, and addressing barriers to student success to promote completion and optimise completion time. </w:t>
      </w:r>
    </w:p>
    <w:p w14:paraId="179BA1B7" w14:textId="77777777" w:rsidR="00FC168E" w:rsidRPr="004274F2" w:rsidRDefault="00FC168E" w:rsidP="00FC168E">
      <w:pPr>
        <w:numPr>
          <w:ilvl w:val="0"/>
          <w:numId w:val="20"/>
        </w:numPr>
        <w:tabs>
          <w:tab w:val="left" w:pos="9639"/>
        </w:tabs>
        <w:spacing w:after="60" w:line="240" w:lineRule="auto"/>
        <w:ind w:left="709" w:right="828" w:hanging="283"/>
        <w:textAlignment w:val="baseline"/>
        <w:rPr>
          <w:rFonts w:eastAsia="Times New Roman" w:cstheme="minorHAnsi"/>
          <w:color w:val="000000"/>
          <w:lang w:eastAsia="en-AU"/>
        </w:rPr>
      </w:pPr>
      <w:r w:rsidRPr="004274F2">
        <w:rPr>
          <w:rFonts w:eastAsia="Times New Roman" w:cstheme="minorHAnsi"/>
          <w:color w:val="000000"/>
          <w:lang w:eastAsia="en-AU"/>
        </w:rPr>
        <w:t>Support for accessible and financially viable work integrated learning for equity students, such as job brokering, bursaries, staff and/or systems to coordinate student placements. </w:t>
      </w:r>
    </w:p>
    <w:p w14:paraId="4897A978" w14:textId="77777777" w:rsidR="00FC168E" w:rsidRPr="004274F2" w:rsidRDefault="00FC168E" w:rsidP="00FC168E">
      <w:pPr>
        <w:numPr>
          <w:ilvl w:val="0"/>
          <w:numId w:val="20"/>
        </w:numPr>
        <w:tabs>
          <w:tab w:val="left" w:pos="9639"/>
        </w:tabs>
        <w:spacing w:after="60" w:line="240" w:lineRule="auto"/>
        <w:ind w:left="709" w:right="828" w:hanging="283"/>
        <w:textAlignment w:val="baseline"/>
        <w:rPr>
          <w:rFonts w:eastAsia="Times New Roman" w:cstheme="minorHAnsi"/>
          <w:color w:val="000000"/>
          <w:lang w:eastAsia="en-AU"/>
        </w:rPr>
      </w:pPr>
      <w:r w:rsidRPr="004274F2">
        <w:rPr>
          <w:rFonts w:eastAsia="Times New Roman" w:cstheme="minorHAnsi"/>
          <w:color w:val="000000"/>
          <w:lang w:eastAsia="en-AU"/>
        </w:rPr>
        <w:t>Support for transition to employment. </w:t>
      </w:r>
    </w:p>
    <w:p w14:paraId="48AFE7BF" w14:textId="77777777" w:rsidR="00C50B26" w:rsidRDefault="00C50B26" w:rsidP="00B01B98">
      <w:pPr>
        <w:pStyle w:val="Heading3"/>
        <w:spacing w:before="240"/>
      </w:pPr>
    </w:p>
    <w:p w14:paraId="0A5663D9" w14:textId="6EC9A445" w:rsidR="00FC168E" w:rsidRPr="0070762C" w:rsidRDefault="00FC168E" w:rsidP="00B01B98">
      <w:pPr>
        <w:pStyle w:val="Heading3"/>
        <w:spacing w:before="240"/>
      </w:pPr>
      <w:r w:rsidRPr="0070762C">
        <w:t xml:space="preserve">Tier 2 </w:t>
      </w:r>
    </w:p>
    <w:p w14:paraId="7D4D3F13" w14:textId="4DBDEDBE" w:rsidR="00FC168E" w:rsidRPr="00FC168E" w:rsidRDefault="00FC168E" w:rsidP="00FC168E">
      <w:pPr>
        <w:keepLines/>
        <w:tabs>
          <w:tab w:val="left" w:pos="9639"/>
        </w:tabs>
        <w:spacing w:after="60" w:line="240" w:lineRule="auto"/>
        <w:ind w:right="828"/>
        <w:textAlignment w:val="baseline"/>
        <w:rPr>
          <w:rFonts w:eastAsia="Times New Roman" w:cstheme="minorHAnsi"/>
          <w:color w:val="000000"/>
          <w:lang w:eastAsia="en-AU"/>
        </w:rPr>
      </w:pPr>
      <w:r w:rsidRPr="00FC168E">
        <w:rPr>
          <w:rFonts w:eastAsia="Times New Roman" w:cstheme="minorHAnsi"/>
          <w:color w:val="000000"/>
          <w:lang w:eastAsia="en-AU"/>
        </w:rPr>
        <w:t>The following activities can be considered once providers have made reasonable</w:t>
      </w:r>
      <w:r w:rsidRPr="004274F2">
        <w:rPr>
          <w:rFonts w:eastAsia="Times New Roman" w:cstheme="minorHAnsi"/>
          <w:color w:val="000000"/>
          <w:lang w:eastAsia="en-AU"/>
        </w:rPr>
        <w:t xml:space="preserve"> effort to identify Tier 1 activities.</w:t>
      </w:r>
    </w:p>
    <w:p w14:paraId="1779BDFB" w14:textId="77777777" w:rsidR="00FC168E" w:rsidRPr="004274F2" w:rsidRDefault="00FC168E" w:rsidP="00FC168E">
      <w:pPr>
        <w:numPr>
          <w:ilvl w:val="0"/>
          <w:numId w:val="20"/>
        </w:numPr>
        <w:tabs>
          <w:tab w:val="left" w:pos="9639"/>
        </w:tabs>
        <w:spacing w:after="60" w:line="240" w:lineRule="auto"/>
        <w:ind w:left="709" w:right="828" w:hanging="283"/>
        <w:textAlignment w:val="baseline"/>
        <w:rPr>
          <w:rFonts w:eastAsia="Times New Roman" w:cstheme="minorHAnsi"/>
          <w:color w:val="000000"/>
          <w:lang w:eastAsia="en-AU"/>
        </w:rPr>
      </w:pPr>
      <w:r w:rsidRPr="004274F2">
        <w:rPr>
          <w:rFonts w:eastAsia="Times New Roman" w:cstheme="minorHAnsi"/>
          <w:color w:val="000000"/>
          <w:lang w:eastAsia="en-AU"/>
        </w:rPr>
        <w:t xml:space="preserve">Capital works such as construction of, or upgrades to, capital and infrastructure for the specific purpose of “improving access and outcomes for equity groups”. This could include a contribution towards equity student </w:t>
      </w:r>
      <w:proofErr w:type="gramStart"/>
      <w:r w:rsidRPr="004274F2">
        <w:rPr>
          <w:rFonts w:eastAsia="Times New Roman" w:cstheme="minorHAnsi"/>
          <w:color w:val="000000"/>
          <w:lang w:eastAsia="en-AU"/>
        </w:rPr>
        <w:t>accommodation, or</w:t>
      </w:r>
      <w:proofErr w:type="gramEnd"/>
      <w:r w:rsidRPr="004274F2">
        <w:rPr>
          <w:rFonts w:eastAsia="Times New Roman" w:cstheme="minorHAnsi"/>
          <w:color w:val="000000"/>
          <w:lang w:eastAsia="en-AU"/>
        </w:rPr>
        <w:t xml:space="preserve"> fit out for study areas (similar to the capital works for study hubs) and blended learning, and upgrades to digital equipment to improve access and quality of experience. </w:t>
      </w:r>
    </w:p>
    <w:p w14:paraId="347A0640" w14:textId="77777777" w:rsidR="00FC168E" w:rsidRPr="004274F2" w:rsidRDefault="00FC168E" w:rsidP="00FC168E">
      <w:pPr>
        <w:numPr>
          <w:ilvl w:val="0"/>
          <w:numId w:val="20"/>
        </w:numPr>
        <w:tabs>
          <w:tab w:val="left" w:pos="9639"/>
        </w:tabs>
        <w:spacing w:after="60" w:line="240" w:lineRule="auto"/>
        <w:ind w:left="709" w:right="828" w:hanging="283"/>
        <w:textAlignment w:val="baseline"/>
        <w:rPr>
          <w:rFonts w:eastAsia="Times New Roman" w:cstheme="minorHAnsi"/>
          <w:color w:val="000000"/>
          <w:lang w:eastAsia="en-AU"/>
        </w:rPr>
      </w:pPr>
      <w:r w:rsidRPr="004274F2">
        <w:rPr>
          <w:rFonts w:eastAsia="Times New Roman" w:cstheme="minorHAnsi"/>
          <w:color w:val="000000"/>
          <w:lang w:eastAsia="en-AU"/>
        </w:rPr>
        <w:t>Improved transport facilities specifically designed to assist targeted groups. </w:t>
      </w:r>
    </w:p>
    <w:p w14:paraId="484E8457" w14:textId="77777777" w:rsidR="00FC168E" w:rsidRPr="004274F2" w:rsidRDefault="00FC168E" w:rsidP="00FC168E">
      <w:pPr>
        <w:numPr>
          <w:ilvl w:val="0"/>
          <w:numId w:val="20"/>
        </w:numPr>
        <w:tabs>
          <w:tab w:val="left" w:pos="9639"/>
        </w:tabs>
        <w:spacing w:after="60" w:line="240" w:lineRule="auto"/>
        <w:ind w:left="709" w:right="828" w:hanging="283"/>
        <w:textAlignment w:val="baseline"/>
        <w:rPr>
          <w:rFonts w:eastAsia="Times New Roman" w:cstheme="minorHAnsi"/>
          <w:color w:val="000000"/>
          <w:lang w:eastAsia="en-AU"/>
        </w:rPr>
      </w:pPr>
      <w:r w:rsidRPr="004274F2">
        <w:rPr>
          <w:rFonts w:eastAsia="Times New Roman" w:cstheme="minorHAnsi"/>
          <w:color w:val="000000"/>
          <w:lang w:eastAsia="en-AU"/>
        </w:rPr>
        <w:t>Improved capabilities for online, remote or other innovative learning environments. </w:t>
      </w:r>
    </w:p>
    <w:p w14:paraId="5762ACAD" w14:textId="77777777" w:rsidR="00DA3EFF" w:rsidRDefault="00FC168E" w:rsidP="00FC168E">
      <w:pPr>
        <w:numPr>
          <w:ilvl w:val="0"/>
          <w:numId w:val="20"/>
        </w:numPr>
        <w:tabs>
          <w:tab w:val="left" w:pos="9639"/>
        </w:tabs>
        <w:spacing w:after="60" w:line="240" w:lineRule="auto"/>
        <w:ind w:left="709" w:right="828" w:hanging="283"/>
        <w:textAlignment w:val="baseline"/>
        <w:rPr>
          <w:rFonts w:eastAsia="Times New Roman" w:cstheme="minorHAnsi"/>
          <w:color w:val="000000"/>
          <w:lang w:eastAsia="en-AU"/>
        </w:rPr>
      </w:pPr>
      <w:r w:rsidRPr="004274F2">
        <w:rPr>
          <w:rFonts w:eastAsia="Times New Roman" w:cstheme="minorHAnsi"/>
          <w:color w:val="000000"/>
          <w:lang w:eastAsia="en-AU"/>
        </w:rPr>
        <w:t>Curriculum development to make courses more inclusive and support universal course design.</w:t>
      </w:r>
    </w:p>
    <w:p w14:paraId="781E1E2A" w14:textId="77777777" w:rsidR="00DA3EFF" w:rsidRDefault="00DA3EFF" w:rsidP="00DA3EFF">
      <w:pPr>
        <w:pStyle w:val="s27"/>
        <w:spacing w:before="240" w:beforeAutospacing="0" w:after="45" w:afterAutospacing="0" w:line="324" w:lineRule="atLeast"/>
        <w:rPr>
          <w:sz w:val="27"/>
          <w:szCs w:val="27"/>
        </w:rPr>
      </w:pPr>
      <w:r>
        <w:rPr>
          <w:rStyle w:val="bumpedfont15"/>
          <w:rFonts w:ascii="Calibri Light" w:hAnsi="Calibri Light" w:cs="Calibri Light"/>
          <w:b/>
          <w:bCs/>
          <w:color w:val="008599"/>
          <w:sz w:val="36"/>
          <w:szCs w:val="36"/>
        </w:rPr>
        <w:t>Other</w:t>
      </w:r>
      <w:r>
        <w:rPr>
          <w:rStyle w:val="apple-converted-space"/>
          <w:rFonts w:ascii="Calibri Light" w:hAnsi="Calibri Light" w:cs="Calibri Light"/>
          <w:b/>
          <w:bCs/>
          <w:color w:val="008599"/>
          <w:sz w:val="36"/>
          <w:szCs w:val="36"/>
        </w:rPr>
        <w:t> </w:t>
      </w:r>
    </w:p>
    <w:p w14:paraId="0737D533" w14:textId="65EAEE6E" w:rsidR="00FC168E" w:rsidRPr="004274F2" w:rsidRDefault="00DA3EFF" w:rsidP="00DA3EFF">
      <w:pPr>
        <w:keepNext/>
        <w:tabs>
          <w:tab w:val="left" w:pos="9639"/>
        </w:tabs>
        <w:spacing w:after="0" w:line="240" w:lineRule="auto"/>
        <w:ind w:right="827"/>
        <w:textAlignment w:val="baseline"/>
        <w:rPr>
          <w:rFonts w:eastAsia="Times New Roman" w:cstheme="minorHAnsi"/>
          <w:color w:val="000000"/>
          <w:lang w:eastAsia="en-AU"/>
        </w:rPr>
      </w:pPr>
      <w:r w:rsidRPr="00DA3EFF">
        <w:rPr>
          <w:rFonts w:eastAsia="Times New Roman" w:cstheme="minorHAnsi"/>
          <w:color w:val="000000"/>
          <w:lang w:eastAsia="en-AU"/>
        </w:rPr>
        <w:t>Providers may also propose other equity-related initiatives that are not funded from another continuing source for discussion with the Department.</w:t>
      </w:r>
    </w:p>
    <w:p w14:paraId="03FAC5F8" w14:textId="2BFD359C" w:rsidR="00FC168E" w:rsidRPr="0070762C" w:rsidRDefault="00351866" w:rsidP="0070762C">
      <w:pPr>
        <w:pStyle w:val="Heading3"/>
      </w:pPr>
      <w:r>
        <w:t>Questions</w:t>
      </w:r>
      <w:r w:rsidR="00FC168E" w:rsidRPr="0070762C">
        <w:t xml:space="preserve"> </w:t>
      </w:r>
    </w:p>
    <w:p w14:paraId="5FA3D3B2" w14:textId="01EA3031" w:rsidR="00351866" w:rsidRPr="004274F2" w:rsidRDefault="00351866" w:rsidP="00FC168E">
      <w:pPr>
        <w:keepNext/>
        <w:tabs>
          <w:tab w:val="left" w:pos="9639"/>
        </w:tabs>
        <w:spacing w:after="0" w:line="240" w:lineRule="auto"/>
        <w:ind w:right="827"/>
        <w:textAlignment w:val="baseline"/>
        <w:rPr>
          <w:rFonts w:eastAsia="Times New Roman" w:cstheme="minorHAnsi"/>
          <w:color w:val="000000"/>
          <w:lang w:eastAsia="en-AU"/>
        </w:rPr>
      </w:pPr>
      <w:r>
        <w:rPr>
          <w:rFonts w:eastAsia="Times New Roman" w:cstheme="minorHAnsi"/>
          <w:color w:val="000000"/>
          <w:lang w:eastAsia="en-AU"/>
        </w:rPr>
        <w:t xml:space="preserve">If providers have any questions or concerns about the permissible uses for equity </w:t>
      </w:r>
      <w:proofErr w:type="gramStart"/>
      <w:r>
        <w:rPr>
          <w:rFonts w:eastAsia="Times New Roman" w:cstheme="minorHAnsi"/>
          <w:color w:val="000000"/>
          <w:lang w:eastAsia="en-AU"/>
        </w:rPr>
        <w:t>funding</w:t>
      </w:r>
      <w:proofErr w:type="gramEnd"/>
      <w:r>
        <w:rPr>
          <w:rFonts w:eastAsia="Times New Roman" w:cstheme="minorHAnsi"/>
          <w:color w:val="000000"/>
          <w:lang w:eastAsia="en-AU"/>
        </w:rPr>
        <w:t xml:space="preserve"> please contact cgs@education.gov.au.</w:t>
      </w:r>
    </w:p>
    <w:p w14:paraId="229A1ABF" w14:textId="77777777" w:rsidR="00FC168E" w:rsidRPr="004274F2" w:rsidRDefault="00FC168E" w:rsidP="00FC168E">
      <w:pPr>
        <w:keepNext/>
        <w:tabs>
          <w:tab w:val="left" w:pos="9639"/>
        </w:tabs>
        <w:spacing w:after="120" w:line="240" w:lineRule="auto"/>
        <w:ind w:left="567" w:right="828"/>
        <w:textAlignment w:val="baseline"/>
        <w:rPr>
          <w:rFonts w:cstheme="minorHAnsi"/>
        </w:rPr>
      </w:pPr>
    </w:p>
    <w:p w14:paraId="53966706" w14:textId="1AD8F648" w:rsidR="0017134D" w:rsidRDefault="0017134D" w:rsidP="00FC168E"/>
    <w:sectPr w:rsidR="0017134D" w:rsidSect="00D86284">
      <w:footerReference w:type="default" r:id="rId14"/>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409026" w14:textId="77777777" w:rsidR="00370271" w:rsidRDefault="00370271" w:rsidP="000A6228">
      <w:pPr>
        <w:spacing w:after="0" w:line="240" w:lineRule="auto"/>
      </w:pPr>
      <w:r>
        <w:separator/>
      </w:r>
    </w:p>
  </w:endnote>
  <w:endnote w:type="continuationSeparator" w:id="0">
    <w:p w14:paraId="0C4EFF9B" w14:textId="77777777" w:rsidR="00370271" w:rsidRDefault="00370271"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04C76" w14:textId="32C5A28D" w:rsidR="00D86284" w:rsidRDefault="00D86284">
    <w:pPr>
      <w:pStyle w:val="Footer"/>
    </w:pPr>
    <w:r>
      <w:rPr>
        <w:noProof/>
      </w:rPr>
      <w:drawing>
        <wp:anchor distT="0" distB="0" distL="114300" distR="114300" simplePos="0" relativeHeight="251658240" behindDoc="1" locked="1" layoutInCell="1" allowOverlap="1" wp14:anchorId="62F9C1CE" wp14:editId="3831EC6A">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80B8FB" w14:textId="77777777" w:rsidR="00370271" w:rsidRDefault="00370271" w:rsidP="000A6228">
      <w:pPr>
        <w:spacing w:after="0" w:line="240" w:lineRule="auto"/>
      </w:pPr>
      <w:r>
        <w:separator/>
      </w:r>
    </w:p>
  </w:footnote>
  <w:footnote w:type="continuationSeparator" w:id="0">
    <w:p w14:paraId="253CB095" w14:textId="77777777" w:rsidR="00370271" w:rsidRDefault="00370271"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A2265B6"/>
    <w:multiLevelType w:val="hybridMultilevel"/>
    <w:tmpl w:val="930CA612"/>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16" w15:restartNumberingAfterBreak="0">
    <w:nsid w:val="524F6BC2"/>
    <w:multiLevelType w:val="hybridMultilevel"/>
    <w:tmpl w:val="EE4A1D02"/>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870803065">
    <w:abstractNumId w:val="11"/>
  </w:num>
  <w:num w:numId="2" w16cid:durableId="1144616732">
    <w:abstractNumId w:val="5"/>
  </w:num>
  <w:num w:numId="3" w16cid:durableId="979309186">
    <w:abstractNumId w:val="4"/>
  </w:num>
  <w:num w:numId="4" w16cid:durableId="144787752">
    <w:abstractNumId w:val="3"/>
  </w:num>
  <w:num w:numId="5" w16cid:durableId="934556078">
    <w:abstractNumId w:val="13"/>
  </w:num>
  <w:num w:numId="6" w16cid:durableId="816344236">
    <w:abstractNumId w:val="2"/>
  </w:num>
  <w:num w:numId="7" w16cid:durableId="1908612059">
    <w:abstractNumId w:val="1"/>
  </w:num>
  <w:num w:numId="8" w16cid:durableId="1618215078">
    <w:abstractNumId w:val="0"/>
  </w:num>
  <w:num w:numId="9" w16cid:durableId="1850677422">
    <w:abstractNumId w:val="12"/>
  </w:num>
  <w:num w:numId="10" w16cid:durableId="1599946406">
    <w:abstractNumId w:val="7"/>
  </w:num>
  <w:num w:numId="11" w16cid:durableId="714038629">
    <w:abstractNumId w:val="18"/>
  </w:num>
  <w:num w:numId="12" w16cid:durableId="1728914001">
    <w:abstractNumId w:val="10"/>
  </w:num>
  <w:num w:numId="13" w16cid:durableId="17856119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9"/>
  </w:num>
  <w:num w:numId="15" w16cid:durableId="268391646">
    <w:abstractNumId w:val="6"/>
  </w:num>
  <w:num w:numId="16" w16cid:durableId="1261833621">
    <w:abstractNumId w:val="19"/>
  </w:num>
  <w:num w:numId="17" w16cid:durableId="2029670193">
    <w:abstractNumId w:val="14"/>
  </w:num>
  <w:num w:numId="18" w16cid:durableId="887570554">
    <w:abstractNumId w:val="8"/>
  </w:num>
  <w:num w:numId="19" w16cid:durableId="147789394">
    <w:abstractNumId w:val="17"/>
  </w:num>
  <w:num w:numId="20" w16cid:durableId="2024819375">
    <w:abstractNumId w:val="16"/>
  </w:num>
  <w:num w:numId="21" w16cid:durableId="15850663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521D7"/>
    <w:rsid w:val="000A0B58"/>
    <w:rsid w:val="000A6228"/>
    <w:rsid w:val="000B5D40"/>
    <w:rsid w:val="000B7EC6"/>
    <w:rsid w:val="000C106F"/>
    <w:rsid w:val="00107D87"/>
    <w:rsid w:val="00107DD5"/>
    <w:rsid w:val="0012343A"/>
    <w:rsid w:val="00133B8D"/>
    <w:rsid w:val="0013611E"/>
    <w:rsid w:val="001515BF"/>
    <w:rsid w:val="0017134D"/>
    <w:rsid w:val="001B3523"/>
    <w:rsid w:val="001C1523"/>
    <w:rsid w:val="001E1BBD"/>
    <w:rsid w:val="00221D8F"/>
    <w:rsid w:val="002272DB"/>
    <w:rsid w:val="002447B9"/>
    <w:rsid w:val="00276047"/>
    <w:rsid w:val="002A4458"/>
    <w:rsid w:val="002D589A"/>
    <w:rsid w:val="002E491A"/>
    <w:rsid w:val="00351866"/>
    <w:rsid w:val="00370271"/>
    <w:rsid w:val="003732F5"/>
    <w:rsid w:val="003832D9"/>
    <w:rsid w:val="0040155D"/>
    <w:rsid w:val="0041713E"/>
    <w:rsid w:val="00421D3F"/>
    <w:rsid w:val="00423785"/>
    <w:rsid w:val="00452D26"/>
    <w:rsid w:val="004A06CD"/>
    <w:rsid w:val="004A4B6F"/>
    <w:rsid w:val="004A4CF9"/>
    <w:rsid w:val="004D2965"/>
    <w:rsid w:val="004D2D9D"/>
    <w:rsid w:val="005A75C9"/>
    <w:rsid w:val="005B187D"/>
    <w:rsid w:val="00611032"/>
    <w:rsid w:val="006232DC"/>
    <w:rsid w:val="0063094F"/>
    <w:rsid w:val="0067701C"/>
    <w:rsid w:val="006D67F3"/>
    <w:rsid w:val="006F1FFF"/>
    <w:rsid w:val="006F6D10"/>
    <w:rsid w:val="0070762C"/>
    <w:rsid w:val="00712B94"/>
    <w:rsid w:val="007B2CA1"/>
    <w:rsid w:val="007D0ABC"/>
    <w:rsid w:val="008042F5"/>
    <w:rsid w:val="00886959"/>
    <w:rsid w:val="00893A34"/>
    <w:rsid w:val="008A36E1"/>
    <w:rsid w:val="008A37A7"/>
    <w:rsid w:val="008B0736"/>
    <w:rsid w:val="008E70F5"/>
    <w:rsid w:val="00916F50"/>
    <w:rsid w:val="00950B06"/>
    <w:rsid w:val="00970069"/>
    <w:rsid w:val="009721EB"/>
    <w:rsid w:val="009B706E"/>
    <w:rsid w:val="009C423A"/>
    <w:rsid w:val="009E79ED"/>
    <w:rsid w:val="00A07596"/>
    <w:rsid w:val="00A17A08"/>
    <w:rsid w:val="00A60673"/>
    <w:rsid w:val="00AA6920"/>
    <w:rsid w:val="00AC1872"/>
    <w:rsid w:val="00AD631F"/>
    <w:rsid w:val="00AE21FF"/>
    <w:rsid w:val="00AF1F18"/>
    <w:rsid w:val="00B01B98"/>
    <w:rsid w:val="00B0726E"/>
    <w:rsid w:val="00B219D1"/>
    <w:rsid w:val="00B67516"/>
    <w:rsid w:val="00B81FA4"/>
    <w:rsid w:val="00B8794C"/>
    <w:rsid w:val="00B95EF4"/>
    <w:rsid w:val="00BB6509"/>
    <w:rsid w:val="00BC248C"/>
    <w:rsid w:val="00BE36C3"/>
    <w:rsid w:val="00C01EC0"/>
    <w:rsid w:val="00C244EE"/>
    <w:rsid w:val="00C50B26"/>
    <w:rsid w:val="00C72224"/>
    <w:rsid w:val="00C75706"/>
    <w:rsid w:val="00CA4815"/>
    <w:rsid w:val="00CE17FD"/>
    <w:rsid w:val="00CF6562"/>
    <w:rsid w:val="00D5688A"/>
    <w:rsid w:val="00D86284"/>
    <w:rsid w:val="00DA3EFF"/>
    <w:rsid w:val="00DC5980"/>
    <w:rsid w:val="00DD2B46"/>
    <w:rsid w:val="00DE1A11"/>
    <w:rsid w:val="00E06ED6"/>
    <w:rsid w:val="00E529E5"/>
    <w:rsid w:val="00EA07C0"/>
    <w:rsid w:val="00EB4C2F"/>
    <w:rsid w:val="00ED0DDF"/>
    <w:rsid w:val="00F1000D"/>
    <w:rsid w:val="00F311A4"/>
    <w:rsid w:val="00F45E4C"/>
    <w:rsid w:val="00F82C2C"/>
    <w:rsid w:val="00F85913"/>
    <w:rsid w:val="00FC168E"/>
    <w:rsid w:val="00FD4D6E"/>
    <w:rsid w:val="00FD6383"/>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83AD1039-EBC2-4D09-8E06-F806A430D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aliases w:val="CAB - List Bullet,List Bullet Cab,Bullet point,CV text,Content descriptions,Dot pt,F5 List Paragraph,FooterText,L,List Paragraph1,List Paragraph11,List Paragraph111,Medium Grid 1 - Accent 21,NFP GP Bulleted List,Paragraphe de liste1,列出段落"/>
    <w:basedOn w:val="Normal"/>
    <w:link w:val="ListParagraphChar"/>
    <w:uiPriority w:val="34"/>
    <w:qFormat/>
    <w:rsid w:val="00FC168E"/>
    <w:pPr>
      <w:spacing w:after="160"/>
      <w:ind w:left="720"/>
      <w:contextualSpacing/>
    </w:pPr>
    <w:rPr>
      <w:kern w:val="2"/>
      <w14:ligatures w14:val="standardContextual"/>
    </w:rPr>
  </w:style>
  <w:style w:type="character" w:customStyle="1" w:styleId="ListParagraphChar">
    <w:name w:val="List Paragraph Char"/>
    <w:aliases w:val="CAB - List Bullet Char,List Bullet Cab Char,Bullet point Char,CV text Char,Content descriptions Char,Dot pt Char,F5 List Paragraph Char,FooterText Char,L Char,List Paragraph1 Char,List Paragraph11 Char,List Paragraph111 Char"/>
    <w:basedOn w:val="DefaultParagraphFont"/>
    <w:link w:val="ListParagraph"/>
    <w:uiPriority w:val="34"/>
    <w:qFormat/>
    <w:rsid w:val="00FC168E"/>
    <w:rPr>
      <w:kern w:val="2"/>
      <w14:ligatures w14:val="standardContextual"/>
    </w:rPr>
  </w:style>
  <w:style w:type="paragraph" w:customStyle="1" w:styleId="paragraph">
    <w:name w:val="paragraph"/>
    <w:basedOn w:val="Normal"/>
    <w:rsid w:val="00FC168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27">
    <w:name w:val="s27"/>
    <w:basedOn w:val="Normal"/>
    <w:rsid w:val="00DA3EFF"/>
    <w:pPr>
      <w:spacing w:before="100" w:beforeAutospacing="1" w:after="100" w:afterAutospacing="1" w:line="240" w:lineRule="auto"/>
    </w:pPr>
    <w:rPr>
      <w:rFonts w:ascii="Calibri" w:hAnsi="Calibri" w:cs="Calibri"/>
      <w:lang w:eastAsia="en-AU"/>
    </w:rPr>
  </w:style>
  <w:style w:type="paragraph" w:customStyle="1" w:styleId="s28">
    <w:name w:val="s28"/>
    <w:basedOn w:val="Normal"/>
    <w:rsid w:val="00DA3EFF"/>
    <w:pPr>
      <w:spacing w:before="100" w:beforeAutospacing="1" w:after="100" w:afterAutospacing="1" w:line="240" w:lineRule="auto"/>
    </w:pPr>
    <w:rPr>
      <w:rFonts w:ascii="Calibri" w:hAnsi="Calibri" w:cs="Calibri"/>
      <w:lang w:eastAsia="en-AU"/>
    </w:rPr>
  </w:style>
  <w:style w:type="character" w:customStyle="1" w:styleId="bumpedfont15">
    <w:name w:val="bumpedfont15"/>
    <w:basedOn w:val="DefaultParagraphFont"/>
    <w:rsid w:val="00DA3EFF"/>
  </w:style>
  <w:style w:type="character" w:customStyle="1" w:styleId="apple-converted-space">
    <w:name w:val="apple-converted-space"/>
    <w:basedOn w:val="DefaultParagraphFont"/>
    <w:rsid w:val="00DA3EFF"/>
  </w:style>
  <w:style w:type="character" w:customStyle="1" w:styleId="s16">
    <w:name w:val="s16"/>
    <w:basedOn w:val="DefaultParagraphFont"/>
    <w:rsid w:val="00DA3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119583">
      <w:bodyDiv w:val="1"/>
      <w:marLeft w:val="0"/>
      <w:marRight w:val="0"/>
      <w:marTop w:val="0"/>
      <w:marBottom w:val="0"/>
      <w:divBdr>
        <w:top w:val="none" w:sz="0" w:space="0" w:color="auto"/>
        <w:left w:val="none" w:sz="0" w:space="0" w:color="auto"/>
        <w:bottom w:val="none" w:sz="0" w:space="0" w:color="auto"/>
        <w:right w:val="none" w:sz="0" w:space="0" w:color="auto"/>
      </w:divBdr>
    </w:div>
    <w:div w:id="580870006">
      <w:bodyDiv w:val="1"/>
      <w:marLeft w:val="0"/>
      <w:marRight w:val="0"/>
      <w:marTop w:val="0"/>
      <w:marBottom w:val="0"/>
      <w:divBdr>
        <w:top w:val="none" w:sz="0" w:space="0" w:color="auto"/>
        <w:left w:val="none" w:sz="0" w:space="0" w:color="auto"/>
        <w:bottom w:val="none" w:sz="0" w:space="0" w:color="auto"/>
        <w:right w:val="none" w:sz="0" w:space="0" w:color="auto"/>
      </w:divBdr>
    </w:div>
    <w:div w:id="79452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F215B359-FCCD-42CB-B441-332F06ACF0E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0747F1875BF7D49B77A59640D85D6EF" ma:contentTypeVersion="" ma:contentTypeDescription="PDMS Document Site Content Type" ma:contentTypeScope="" ma:versionID="96a0b1a09cb220a35fa8c86176d60ffd">
  <xsd:schema xmlns:xsd="http://www.w3.org/2001/XMLSchema" xmlns:xs="http://www.w3.org/2001/XMLSchema" xmlns:p="http://schemas.microsoft.com/office/2006/metadata/properties" xmlns:ns2="F215B359-FCCD-42CB-B441-332F06ACF0EB" targetNamespace="http://schemas.microsoft.com/office/2006/metadata/properties" ma:root="true" ma:fieldsID="7c23c4e002fb38470a756654bb64f7e9" ns2:_="">
    <xsd:import namespace="F215B359-FCCD-42CB-B441-332F06ACF0E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5B359-FCCD-42CB-B441-332F06ACF0E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1C3C2E-A515-472E-882F-E756B5F9BD2B}">
  <ds:schemaRefs>
    <ds:schemaRef ds:uri="http://schemas.microsoft.com/sharepoint/v3/contenttype/forms"/>
  </ds:schemaRefs>
</ds:datastoreItem>
</file>

<file path=customXml/itemProps2.xml><?xml version="1.0" encoding="utf-8"?>
<ds:datastoreItem xmlns:ds="http://schemas.openxmlformats.org/officeDocument/2006/customXml" ds:itemID="{8823D9E4-32DC-4084-B08A-28A0DE6BBCF8}">
  <ds:schemaRefs>
    <ds:schemaRef ds:uri="http://schemas.microsoft.com/office/2006/metadata/properties"/>
    <ds:schemaRef ds:uri="http://schemas.microsoft.com/office/infopath/2007/PartnerControls"/>
    <ds:schemaRef ds:uri="F215B359-FCCD-42CB-B441-332F06ACF0EB"/>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0AC3CB25-0DD8-4F91-A0F2-0CC902FE3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5B359-FCCD-42CB-B441-332F06ACF0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A4 portrait fact sheet - dark</vt:lpstr>
    </vt:vector>
  </TitlesOfParts>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portrait fact sheet - dark</dc:title>
  <dc:subject/>
  <dc:creator>ASHTON,Michael</dc:creator>
  <cp:keywords/>
  <dc:description/>
  <cp:lastModifiedBy>Abryella Franks</cp:lastModifiedBy>
  <cp:revision>6</cp:revision>
  <cp:lastPrinted>2024-06-18T06:39:00Z</cp:lastPrinted>
  <dcterms:created xsi:type="dcterms:W3CDTF">2024-01-24T09:13:00Z</dcterms:created>
  <dcterms:modified xsi:type="dcterms:W3CDTF">2024-08-30T00:04:00Z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0x010100266966F133664895A6EE3632470D45F500C0747F1875BF7D49B77A59640D85D6EF</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