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759F9" w14:textId="77777777" w:rsidR="00107DD5" w:rsidRDefault="00221D8F" w:rsidP="00CA4815">
      <w:r w:rsidRPr="00CA4815">
        <w:rPr>
          <w:b/>
          <w:bCs/>
          <w:noProof/>
        </w:rPr>
        <w:drawing>
          <wp:anchor distT="0" distB="0" distL="114300" distR="114300" simplePos="0" relativeHeight="251658240" behindDoc="1" locked="1" layoutInCell="1" allowOverlap="1" wp14:anchorId="36AADF32" wp14:editId="54415169">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8DD1796" wp14:editId="04DECBA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9A397E0" w14:textId="6F29CF4C" w:rsidR="00221D8F" w:rsidRDefault="003D714B" w:rsidP="00893A34">
          <w:pPr>
            <w:pStyle w:val="Heading1"/>
          </w:pPr>
          <w:r>
            <w:t>Higher Education Continuity Guarantee 2024-2025</w:t>
          </w:r>
        </w:p>
      </w:sdtContent>
    </w:sdt>
    <w:bookmarkEnd w:id="0" w:displacedByCustomXml="prev"/>
    <w:bookmarkEnd w:id="1" w:displacedByCustomXml="prev"/>
    <w:p w14:paraId="04062DDE" w14:textId="6299DF0F" w:rsidR="0017134D" w:rsidRDefault="00C366E3" w:rsidP="00EB4C2F">
      <w:pPr>
        <w:pStyle w:val="Subtitle"/>
      </w:pPr>
      <w:r>
        <w:t>Frequently Asked Questions</w:t>
      </w:r>
      <w:r w:rsidR="00F34A53">
        <w:t xml:space="preserve"> –</w:t>
      </w:r>
      <w:r w:rsidR="00D03126">
        <w:t xml:space="preserve"> </w:t>
      </w:r>
      <w:r w:rsidR="00741BAA">
        <w:t>Au</w:t>
      </w:r>
      <w:r w:rsidR="0013302D">
        <w:t>gust</w:t>
      </w:r>
      <w:r w:rsidR="00F34A53">
        <w:t xml:space="preserve"> 2024</w:t>
      </w:r>
    </w:p>
    <w:p w14:paraId="7C1A47AE" w14:textId="2A63A79B" w:rsidR="0017134D" w:rsidRPr="00271290" w:rsidRDefault="00C366E3" w:rsidP="00D03126">
      <w:pPr>
        <w:pStyle w:val="Heading2"/>
        <w:spacing w:before="480"/>
        <w:rPr>
          <w:sz w:val="40"/>
          <w:szCs w:val="24"/>
        </w:rPr>
      </w:pPr>
      <w:r w:rsidRPr="00271290">
        <w:rPr>
          <w:sz w:val="40"/>
          <w:szCs w:val="24"/>
        </w:rPr>
        <w:t>What is the Higher Education Continuity Guarantee?</w:t>
      </w:r>
    </w:p>
    <w:p w14:paraId="40A47E8E" w14:textId="09B1689E" w:rsidR="00C21B88" w:rsidRDefault="00CA1A20" w:rsidP="00B90BEA">
      <w:r>
        <w:t>The Higher Education Continuity Guarantee</w:t>
      </w:r>
      <w:r w:rsidR="007F01C7">
        <w:t xml:space="preserve"> program</w:t>
      </w:r>
      <w:r>
        <w:t xml:space="preserve"> (HECG) </w:t>
      </w:r>
      <w:r w:rsidR="00C979BF">
        <w:t>guarantees</w:t>
      </w:r>
      <w:r w:rsidR="00BC7701">
        <w:t xml:space="preserve"> </w:t>
      </w:r>
      <w:r w:rsidR="008D229D">
        <w:t xml:space="preserve">eligible </w:t>
      </w:r>
      <w:r w:rsidR="00DF3CF6">
        <w:t xml:space="preserve">Commonwealth Grant Scheme (CGS) funding for </w:t>
      </w:r>
      <w:r w:rsidR="00A90F63">
        <w:t xml:space="preserve">universities and eligible higher education providers regardless </w:t>
      </w:r>
      <w:r w:rsidR="00A85A60">
        <w:t>of whether a provider delivers up to its approved funding level.</w:t>
      </w:r>
      <w:r w:rsidR="00CB4589">
        <w:t xml:space="preserve"> </w:t>
      </w:r>
      <w:r w:rsidR="006145DB">
        <w:t>There have been two stages of HECG</w:t>
      </w:r>
      <w:r w:rsidR="00E72EC2">
        <w:t>:</w:t>
      </w:r>
      <w:r w:rsidR="006145DB">
        <w:t xml:space="preserve"> </w:t>
      </w:r>
    </w:p>
    <w:p w14:paraId="43D19368" w14:textId="3E7FD5AD" w:rsidR="002D7BF0" w:rsidRDefault="10C29336" w:rsidP="004322CC">
      <w:pPr>
        <w:pStyle w:val="ListParagraph"/>
        <w:numPr>
          <w:ilvl w:val="0"/>
          <w:numId w:val="21"/>
        </w:numPr>
        <w:spacing w:after="120"/>
        <w:ind w:left="714" w:hanging="357"/>
        <w:contextualSpacing w:val="0"/>
      </w:pPr>
      <w:r>
        <w:t xml:space="preserve">The HECG </w:t>
      </w:r>
      <w:r w:rsidR="006145DB">
        <w:t xml:space="preserve">initially </w:t>
      </w:r>
      <w:r>
        <w:t>came in</w:t>
      </w:r>
      <w:r w:rsidR="239871C5">
        <w:t>t</w:t>
      </w:r>
      <w:r>
        <w:t>o effect in 2021</w:t>
      </w:r>
      <w:r w:rsidR="26EBF381">
        <w:t xml:space="preserve"> and </w:t>
      </w:r>
      <w:r>
        <w:t xml:space="preserve">guaranteed </w:t>
      </w:r>
      <w:r w:rsidR="2670AF28">
        <w:t xml:space="preserve">CGS </w:t>
      </w:r>
      <w:r w:rsidR="7C84306C">
        <w:t>funding</w:t>
      </w:r>
      <w:r w:rsidR="0C0FCB4B">
        <w:t xml:space="preserve"> </w:t>
      </w:r>
      <w:r w:rsidR="7DB74C41">
        <w:t xml:space="preserve">for the </w:t>
      </w:r>
      <w:r>
        <w:t>2021, 2022, and 2023</w:t>
      </w:r>
      <w:r w:rsidR="7DB74C41">
        <w:t xml:space="preserve"> grant year</w:t>
      </w:r>
      <w:r>
        <w:t xml:space="preserve">, regardless of the number of students </w:t>
      </w:r>
      <w:r w:rsidR="366BEC97">
        <w:t xml:space="preserve">a </w:t>
      </w:r>
      <w:r w:rsidR="7DB74C41">
        <w:t>provider</w:t>
      </w:r>
      <w:r>
        <w:t xml:space="preserve"> enrol</w:t>
      </w:r>
      <w:r w:rsidR="366BEC97">
        <w:t>led</w:t>
      </w:r>
      <w:r>
        <w:t xml:space="preserve">. This was to provide funding certainty following </w:t>
      </w:r>
      <w:r w:rsidR="5EA3F06A">
        <w:t xml:space="preserve">changes </w:t>
      </w:r>
      <w:r w:rsidR="21A67B1C">
        <w:t>resulting from the Job</w:t>
      </w:r>
      <w:r w:rsidR="00D17B28">
        <w:t>-r</w:t>
      </w:r>
      <w:r w:rsidR="21A67B1C">
        <w:t xml:space="preserve">eady Graduates </w:t>
      </w:r>
      <w:r w:rsidR="63352F5E">
        <w:t xml:space="preserve">package </w:t>
      </w:r>
      <w:r>
        <w:t xml:space="preserve">and </w:t>
      </w:r>
      <w:r w:rsidR="63352F5E">
        <w:t xml:space="preserve">the </w:t>
      </w:r>
      <w:r>
        <w:t>COVID-19 pandemic.</w:t>
      </w:r>
      <w:r w:rsidR="2ECD3389">
        <w:t xml:space="preserve">  </w:t>
      </w:r>
    </w:p>
    <w:p w14:paraId="6810933C" w14:textId="1FD2B714" w:rsidR="00B90BEA" w:rsidRDefault="00FF737B" w:rsidP="004322CC">
      <w:pPr>
        <w:pStyle w:val="ListParagraph"/>
        <w:numPr>
          <w:ilvl w:val="0"/>
          <w:numId w:val="21"/>
        </w:numPr>
        <w:spacing w:after="120"/>
        <w:ind w:left="714" w:hanging="357"/>
        <w:contextualSpacing w:val="0"/>
      </w:pPr>
      <w:r>
        <w:t xml:space="preserve">The HECG has been extended to </w:t>
      </w:r>
      <w:r w:rsidR="00E15A4B">
        <w:t xml:space="preserve">the </w:t>
      </w:r>
      <w:r>
        <w:t>2024 and 2025 grant years</w:t>
      </w:r>
      <w:r w:rsidR="0027673F">
        <w:t>.</w:t>
      </w:r>
      <w:r w:rsidR="00E72EC2">
        <w:t xml:space="preserve"> </w:t>
      </w:r>
      <w:r w:rsidR="0027673F">
        <w:t>H</w:t>
      </w:r>
      <w:r>
        <w:t>igher education provider</w:t>
      </w:r>
      <w:r w:rsidR="0027673F">
        <w:t>s</w:t>
      </w:r>
      <w:r>
        <w:t xml:space="preserve"> will only be eligible for HECG grants </w:t>
      </w:r>
      <w:r w:rsidR="00E72EC2">
        <w:t>for 2024 and 2025</w:t>
      </w:r>
      <w:r>
        <w:t xml:space="preserve"> if the provider has </w:t>
      </w:r>
      <w:r w:rsidR="00D46554">
        <w:t>fund</w:t>
      </w:r>
      <w:r w:rsidR="004B51AF">
        <w:t>s</w:t>
      </w:r>
      <w:r w:rsidR="00D46554">
        <w:t xml:space="preserve"> remaining under their eligible</w:t>
      </w:r>
      <w:r w:rsidR="0032425F">
        <w:t xml:space="preserve"> </w:t>
      </w:r>
      <w:r w:rsidR="00B94990">
        <w:t>Maximum Basic Grant Amount (MBGA)</w:t>
      </w:r>
      <w:r w:rsidR="0027673F">
        <w:t xml:space="preserve">. </w:t>
      </w:r>
      <w:r w:rsidR="00F96046">
        <w:t>Providers</w:t>
      </w:r>
      <w:r w:rsidR="0027673F">
        <w:t xml:space="preserve"> will be required to spend</w:t>
      </w:r>
      <w:r w:rsidR="00F96046">
        <w:t xml:space="preserve"> HECG</w:t>
      </w:r>
      <w:r w:rsidR="0027673F">
        <w:t xml:space="preserve"> funds</w:t>
      </w:r>
      <w:r w:rsidR="0032425F">
        <w:t xml:space="preserve"> </w:t>
      </w:r>
      <w:r>
        <w:t>on initiatives that support equity cohorts</w:t>
      </w:r>
      <w:r w:rsidR="00C86FF8">
        <w:t xml:space="preserve"> within </w:t>
      </w:r>
      <w:r w:rsidR="00023399">
        <w:t>a</w:t>
      </w:r>
      <w:r w:rsidR="00C86FF8">
        <w:t xml:space="preserve"> specified </w:t>
      </w:r>
      <w:proofErr w:type="gramStart"/>
      <w:r w:rsidR="00C86FF8">
        <w:t>time period</w:t>
      </w:r>
      <w:proofErr w:type="gramEnd"/>
      <w:r w:rsidR="00A54D66">
        <w:t xml:space="preserve"> (described below)</w:t>
      </w:r>
      <w:r>
        <w:t>.</w:t>
      </w:r>
    </w:p>
    <w:p w14:paraId="149AC0C7" w14:textId="41159998" w:rsidR="0017134D" w:rsidRDefault="00C366E3" w:rsidP="00EB4C2F">
      <w:pPr>
        <w:pStyle w:val="Heading3"/>
      </w:pPr>
      <w:r>
        <w:t>Why is the HECG being extended?</w:t>
      </w:r>
    </w:p>
    <w:p w14:paraId="42189570" w14:textId="3BE62665" w:rsidR="00AD6F07" w:rsidRDefault="1258DD4B" w:rsidP="005258BE">
      <w:r>
        <w:t>Identified as a priority action in</w:t>
      </w:r>
      <w:r w:rsidR="0183CFC7">
        <w:t xml:space="preserve"> the </w:t>
      </w:r>
      <w:hyperlink r:id="rId14">
        <w:r w:rsidR="1D0137B8" w:rsidRPr="41B5D98F">
          <w:rPr>
            <w:rStyle w:val="Hyperlink"/>
          </w:rPr>
          <w:t>Australian Universities Accord I</w:t>
        </w:r>
        <w:r w:rsidR="7E15B7F4" w:rsidRPr="41B5D98F">
          <w:rPr>
            <w:rStyle w:val="Hyperlink"/>
          </w:rPr>
          <w:t>nterim Report</w:t>
        </w:r>
      </w:hyperlink>
      <w:r>
        <w:t xml:space="preserve">, the </w:t>
      </w:r>
      <w:r w:rsidR="0183CFC7">
        <w:t xml:space="preserve">Review </w:t>
      </w:r>
      <w:r>
        <w:t>recommended extending the HECG into 2024 and 2025 to minimise the risk of unnecessary structural adjustment to the sector</w:t>
      </w:r>
      <w:r w:rsidR="3AF27033">
        <w:t xml:space="preserve"> </w:t>
      </w:r>
      <w:r w:rsidR="0C09A30C">
        <w:t xml:space="preserve">until </w:t>
      </w:r>
      <w:r w:rsidR="3AF27033">
        <w:t>the outcomes of the Accord</w:t>
      </w:r>
      <w:r w:rsidR="0C09A30C">
        <w:t xml:space="preserve"> are known</w:t>
      </w:r>
      <w:r>
        <w:t xml:space="preserve">. The </w:t>
      </w:r>
      <w:r w:rsidR="0183CFC7">
        <w:t xml:space="preserve">Review also </w:t>
      </w:r>
      <w:r>
        <w:t>recommend</w:t>
      </w:r>
      <w:r w:rsidR="2A9003F6">
        <w:t>ed</w:t>
      </w:r>
      <w:r>
        <w:t xml:space="preserve"> that providers should be expected to direct any funding resulting from this guarantee to support greater equity outcomes. </w:t>
      </w:r>
    </w:p>
    <w:p w14:paraId="5C70D36D" w14:textId="0D08DE27" w:rsidR="274EA42B" w:rsidRDefault="00F41563" w:rsidP="6AE2D79B">
      <w:pPr>
        <w:pStyle w:val="Heading3"/>
      </w:pPr>
      <w:r>
        <w:t xml:space="preserve">What are the requirements under </w:t>
      </w:r>
      <w:r w:rsidR="000F08C8">
        <w:t>the</w:t>
      </w:r>
      <w:r w:rsidR="274EA42B">
        <w:t xml:space="preserve"> HECG</w:t>
      </w:r>
      <w:r w:rsidR="000F08C8">
        <w:t xml:space="preserve"> </w:t>
      </w:r>
      <w:r w:rsidR="009C37F7">
        <w:t>2024-2025</w:t>
      </w:r>
      <w:r w:rsidR="000F08C8">
        <w:t>?</w:t>
      </w:r>
      <w:r w:rsidR="274EA42B">
        <w:t xml:space="preserve"> </w:t>
      </w:r>
    </w:p>
    <w:p w14:paraId="266EA837" w14:textId="3F939D72" w:rsidR="000F08C8" w:rsidRDefault="000F08C8" w:rsidP="005B7CEE">
      <w:pPr>
        <w:spacing w:after="0"/>
        <w:rPr>
          <w:rFonts w:eastAsia="Times New Roman"/>
        </w:rPr>
      </w:pPr>
      <w:r w:rsidRPr="00810CD5">
        <w:rPr>
          <w:rFonts w:eastAsia="Times New Roman"/>
        </w:rPr>
        <w:t xml:space="preserve">For 2024 and 2025, providers that are under-enrolled will be required to allocate funding remaining under their </w:t>
      </w:r>
      <w:r w:rsidR="0079329A">
        <w:rPr>
          <w:rFonts w:eastAsia="Times New Roman"/>
        </w:rPr>
        <w:t xml:space="preserve">eligible </w:t>
      </w:r>
      <w:r w:rsidRPr="00810CD5">
        <w:rPr>
          <w:rFonts w:eastAsia="Times New Roman"/>
        </w:rPr>
        <w:t>MBGA to support equity outcomes for under</w:t>
      </w:r>
      <w:r w:rsidR="00CB6D05">
        <w:rPr>
          <w:rFonts w:eastAsia="Times New Roman"/>
        </w:rPr>
        <w:t>-</w:t>
      </w:r>
      <w:r w:rsidRPr="00810CD5">
        <w:rPr>
          <w:rFonts w:eastAsia="Times New Roman"/>
        </w:rPr>
        <w:t>represented groups</w:t>
      </w:r>
      <w:r w:rsidR="009321C7" w:rsidRPr="73F07937">
        <w:rPr>
          <w:rFonts w:eastAsia="Times New Roman"/>
        </w:rPr>
        <w:t xml:space="preserve"> (this is referred to as HECG funding)</w:t>
      </w:r>
      <w:r w:rsidRPr="73F07937">
        <w:rPr>
          <w:rFonts w:eastAsia="Times New Roman"/>
        </w:rPr>
        <w:t>.</w:t>
      </w:r>
      <w:r w:rsidRPr="00810CD5">
        <w:rPr>
          <w:rFonts w:eastAsia="Times New Roman"/>
        </w:rPr>
        <w:t xml:space="preserve"> </w:t>
      </w:r>
    </w:p>
    <w:p w14:paraId="3119EB43" w14:textId="77777777" w:rsidR="00CB6D05" w:rsidRDefault="00CB6D05" w:rsidP="005B7CEE">
      <w:pPr>
        <w:spacing w:after="0"/>
        <w:rPr>
          <w:rFonts w:eastAsia="Times New Roman"/>
        </w:rPr>
      </w:pPr>
    </w:p>
    <w:p w14:paraId="593D5124" w14:textId="77777777" w:rsidR="00262559" w:rsidRDefault="00262559" w:rsidP="005B7CEE">
      <w:pPr>
        <w:spacing w:after="0"/>
        <w:rPr>
          <w:rFonts w:eastAsia="Times New Roman"/>
        </w:rPr>
      </w:pPr>
    </w:p>
    <w:p w14:paraId="6832DCC1" w14:textId="00EE83A7" w:rsidR="00CB6D05" w:rsidRPr="00A50D0F" w:rsidRDefault="7EA68B34" w:rsidP="005B7CEE">
      <w:pPr>
        <w:spacing w:after="0"/>
        <w:rPr>
          <w:rFonts w:eastAsia="Times New Roman"/>
        </w:rPr>
      </w:pPr>
      <w:r w:rsidRPr="41B5D98F">
        <w:rPr>
          <w:rFonts w:eastAsia="Times New Roman"/>
        </w:rPr>
        <w:lastRenderedPageBreak/>
        <w:t>Providers eligible to receive HECG funding will be required to develop an Equity Plan detailing the equity-related initiatives they plan to undertake.</w:t>
      </w:r>
      <w:r w:rsidR="76947887" w:rsidRPr="41B5D98F">
        <w:rPr>
          <w:rFonts w:eastAsia="Times New Roman"/>
        </w:rPr>
        <w:t xml:space="preserve"> </w:t>
      </w:r>
      <w:r w:rsidR="003D0461">
        <w:rPr>
          <w:rFonts w:eastAsia="Times New Roman"/>
        </w:rPr>
        <w:t xml:space="preserve">Equity related initiatives can </w:t>
      </w:r>
      <w:r w:rsidR="00B06D37" w:rsidRPr="00810CD5">
        <w:rPr>
          <w:rFonts w:eastAsia="Times New Roman"/>
        </w:rPr>
        <w:t>include improv</w:t>
      </w:r>
      <w:r w:rsidR="00B06D37">
        <w:rPr>
          <w:rFonts w:eastAsia="Times New Roman"/>
        </w:rPr>
        <w:t>ing</w:t>
      </w:r>
      <w:r w:rsidR="00B06D37" w:rsidRPr="00810CD5">
        <w:rPr>
          <w:rFonts w:eastAsia="Times New Roman"/>
        </w:rPr>
        <w:t xml:space="preserve"> academic advice and learning support</w:t>
      </w:r>
      <w:r w:rsidR="00B06D37">
        <w:rPr>
          <w:rFonts w:eastAsia="Times New Roman"/>
        </w:rPr>
        <w:t xml:space="preserve"> services</w:t>
      </w:r>
      <w:r w:rsidR="00B06D37" w:rsidRPr="00810CD5">
        <w:rPr>
          <w:rFonts w:eastAsia="Times New Roman"/>
        </w:rPr>
        <w:t>, wrap around services (such as mental health</w:t>
      </w:r>
      <w:r w:rsidR="00B06D37">
        <w:rPr>
          <w:rFonts w:eastAsia="Times New Roman"/>
        </w:rPr>
        <w:t xml:space="preserve"> support</w:t>
      </w:r>
      <w:r w:rsidR="00B06D37" w:rsidRPr="00810CD5">
        <w:rPr>
          <w:rFonts w:eastAsia="Times New Roman"/>
        </w:rPr>
        <w:t>)</w:t>
      </w:r>
      <w:r w:rsidR="00B06D37">
        <w:rPr>
          <w:rFonts w:eastAsia="Times New Roman"/>
        </w:rPr>
        <w:t xml:space="preserve"> for equity cohorts</w:t>
      </w:r>
      <w:r w:rsidR="00B06D37" w:rsidRPr="00810CD5">
        <w:rPr>
          <w:rFonts w:eastAsia="Times New Roman"/>
        </w:rPr>
        <w:t xml:space="preserve">, scholarships and support for enabling </w:t>
      </w:r>
      <w:r w:rsidR="00B06D37">
        <w:rPr>
          <w:rFonts w:eastAsia="Times New Roman"/>
        </w:rPr>
        <w:t xml:space="preserve">course </w:t>
      </w:r>
      <w:r w:rsidR="00B06D37" w:rsidRPr="00810CD5">
        <w:rPr>
          <w:rFonts w:eastAsia="Times New Roman"/>
        </w:rPr>
        <w:t>services</w:t>
      </w:r>
      <w:r w:rsidR="00B06D37">
        <w:rPr>
          <w:rFonts w:eastAsia="Times New Roman"/>
        </w:rPr>
        <w:t>.</w:t>
      </w:r>
      <w:r w:rsidR="005A52EB">
        <w:rPr>
          <w:rFonts w:eastAsia="Times New Roman"/>
        </w:rPr>
        <w:t xml:space="preserve"> Providers will</w:t>
      </w:r>
      <w:r w:rsidR="76947887" w:rsidRPr="41B5D98F">
        <w:rPr>
          <w:rFonts w:eastAsia="Times New Roman"/>
        </w:rPr>
        <w:t xml:space="preserve"> be required to report on how this funding has been spent</w:t>
      </w:r>
      <w:r w:rsidR="00EB2660">
        <w:rPr>
          <w:rFonts w:eastAsia="Times New Roman"/>
        </w:rPr>
        <w:t xml:space="preserve"> in line with </w:t>
      </w:r>
      <w:r w:rsidR="004B51AF">
        <w:rPr>
          <w:rFonts w:eastAsia="Times New Roman"/>
        </w:rPr>
        <w:t xml:space="preserve">updates proposed to </w:t>
      </w:r>
      <w:r w:rsidR="00EB2660">
        <w:rPr>
          <w:rFonts w:eastAsia="Times New Roman"/>
        </w:rPr>
        <w:t>the Higher Education Support (Other Grants) Guidelines 2022 (the Guidelines)</w:t>
      </w:r>
      <w:r w:rsidR="76947887" w:rsidRPr="41B5D98F">
        <w:rPr>
          <w:rFonts w:eastAsia="Times New Roman"/>
        </w:rPr>
        <w:t>.</w:t>
      </w:r>
    </w:p>
    <w:p w14:paraId="39D9C10C" w14:textId="14118DDD" w:rsidR="007243A5" w:rsidRDefault="007243A5" w:rsidP="007243A5">
      <w:pPr>
        <w:pStyle w:val="Heading3"/>
      </w:pPr>
      <w:r>
        <w:t xml:space="preserve">Who will receive HECG </w:t>
      </w:r>
      <w:r w:rsidR="00A43432">
        <w:t xml:space="preserve">2024-2025 </w:t>
      </w:r>
      <w:r>
        <w:t>funding?</w:t>
      </w:r>
    </w:p>
    <w:p w14:paraId="1D77D556" w14:textId="52ABDE7D" w:rsidR="007243A5" w:rsidRDefault="00EB2660" w:rsidP="007243A5">
      <w:r>
        <w:t>The department has proposed to make amendments to</w:t>
      </w:r>
      <w:r w:rsidR="007243A5">
        <w:t xml:space="preserve"> the Guidelines, </w:t>
      </w:r>
      <w:r>
        <w:t xml:space="preserve">to provide that any higher education provider </w:t>
      </w:r>
      <w:r w:rsidR="007243A5">
        <w:t>that ha</w:t>
      </w:r>
      <w:r>
        <w:t>s</w:t>
      </w:r>
      <w:r w:rsidR="007243A5">
        <w:t xml:space="preserve"> entered into a </w:t>
      </w:r>
      <w:r>
        <w:t>f</w:t>
      </w:r>
      <w:r w:rsidR="007243A5">
        <w:t xml:space="preserve">unding </w:t>
      </w:r>
      <w:r>
        <w:t>a</w:t>
      </w:r>
      <w:r w:rsidR="007243A5">
        <w:t xml:space="preserve">greement </w:t>
      </w:r>
      <w:r>
        <w:t xml:space="preserve">with the Commonwealth </w:t>
      </w:r>
      <w:r w:rsidR="007243A5">
        <w:t xml:space="preserve">for 2024 </w:t>
      </w:r>
      <w:r>
        <w:t>and</w:t>
      </w:r>
      <w:r w:rsidR="007243A5">
        <w:t xml:space="preserve"> 2025 </w:t>
      </w:r>
      <w:r>
        <w:t xml:space="preserve">grant years, </w:t>
      </w:r>
      <w:r w:rsidR="00023399">
        <w:t xml:space="preserve">is </w:t>
      </w:r>
      <w:r w:rsidR="007243A5">
        <w:t>eligible for the HECG</w:t>
      </w:r>
      <w:r>
        <w:t xml:space="preserve"> (subject to meeting relevant requirements under the Guidelines)</w:t>
      </w:r>
      <w:r w:rsidR="007243A5">
        <w:t>.</w:t>
      </w:r>
    </w:p>
    <w:p w14:paraId="7E8BB661" w14:textId="326A880C" w:rsidR="00C366E3" w:rsidRPr="00A43B05" w:rsidRDefault="008824C2" w:rsidP="00C366E3">
      <w:pPr>
        <w:pStyle w:val="Heading3"/>
        <w:rPr>
          <w:rFonts w:asciiTheme="minorHAnsi" w:hAnsiTheme="minorHAnsi" w:cstheme="minorHAnsi"/>
          <w:b w:val="0"/>
          <w:bCs/>
        </w:rPr>
      </w:pPr>
      <w:r>
        <w:t xml:space="preserve">How are HECG 2024-2025 grant amounts determined? </w:t>
      </w:r>
    </w:p>
    <w:p w14:paraId="745A5944" w14:textId="509E486B" w:rsidR="002D6B4C" w:rsidRPr="00976B32" w:rsidRDefault="002D6B4C" w:rsidP="008A4886">
      <w:pPr>
        <w:rPr>
          <w:rFonts w:cstheme="minorHAnsi"/>
        </w:rPr>
      </w:pPr>
      <w:r w:rsidRPr="00976B32">
        <w:rPr>
          <w:rFonts w:cstheme="minorHAnsi"/>
        </w:rPr>
        <w:t>The department has proposed to make amendments to the Guidelines to provide that</w:t>
      </w:r>
      <w:r w:rsidR="00551203" w:rsidRPr="00976B32">
        <w:rPr>
          <w:rFonts w:cstheme="minorHAnsi"/>
        </w:rPr>
        <w:t xml:space="preserve"> the Minister for Education will determine grant amounts for higher education providers under the HECG for 2024 and 2025.</w:t>
      </w:r>
      <w:r w:rsidRPr="00976B32">
        <w:rPr>
          <w:rFonts w:cstheme="minorHAnsi"/>
        </w:rPr>
        <w:t xml:space="preserve"> </w:t>
      </w:r>
      <w:r w:rsidR="00551203" w:rsidRPr="00976B32">
        <w:rPr>
          <w:rFonts w:cstheme="minorHAnsi"/>
        </w:rPr>
        <w:t xml:space="preserve">The department will make recommendations to the Minister on the HECG grant amounts for each provider </w:t>
      </w:r>
      <w:r w:rsidR="00283972" w:rsidRPr="00976B32">
        <w:rPr>
          <w:rFonts w:cstheme="minorHAnsi"/>
        </w:rPr>
        <w:t>once</w:t>
      </w:r>
      <w:r w:rsidR="003245FE" w:rsidRPr="00976B32">
        <w:rPr>
          <w:rFonts w:cstheme="minorHAnsi"/>
        </w:rPr>
        <w:t xml:space="preserve"> reconciliation</w:t>
      </w:r>
      <w:r w:rsidR="00283972" w:rsidRPr="00976B32">
        <w:rPr>
          <w:rFonts w:cstheme="minorHAnsi"/>
        </w:rPr>
        <w:t xml:space="preserve"> processes are complete</w:t>
      </w:r>
      <w:r w:rsidR="00551203" w:rsidRPr="00976B32">
        <w:rPr>
          <w:rFonts w:cstheme="minorHAnsi"/>
        </w:rPr>
        <w:t xml:space="preserve">. In doing so, the department will consider the Government’s policy intent in relation to this program, which is to guarantee </w:t>
      </w:r>
      <w:r w:rsidR="009762C9" w:rsidRPr="00976B32">
        <w:rPr>
          <w:rFonts w:cstheme="minorHAnsi"/>
        </w:rPr>
        <w:t xml:space="preserve">eligible CGS funding for </w:t>
      </w:r>
      <w:r w:rsidR="000F2BB0" w:rsidRPr="00976B32">
        <w:rPr>
          <w:rFonts w:cstheme="minorHAnsi"/>
        </w:rPr>
        <w:t xml:space="preserve">providers </w:t>
      </w:r>
      <w:r w:rsidR="00345CEB" w:rsidRPr="00976B32">
        <w:rPr>
          <w:rFonts w:cstheme="minorHAnsi"/>
        </w:rPr>
        <w:t>that spend</w:t>
      </w:r>
      <w:r w:rsidR="009762C9" w:rsidRPr="00976B32">
        <w:rPr>
          <w:rFonts w:cstheme="minorHAnsi"/>
        </w:rPr>
        <w:t xml:space="preserve"> </w:t>
      </w:r>
      <w:r w:rsidR="002E64F5" w:rsidRPr="00976B32">
        <w:rPr>
          <w:rFonts w:cstheme="minorHAnsi"/>
        </w:rPr>
        <w:t>their HECG funding</w:t>
      </w:r>
      <w:r w:rsidR="009762C9" w:rsidRPr="00976B32">
        <w:rPr>
          <w:rFonts w:cstheme="minorHAnsi"/>
        </w:rPr>
        <w:t xml:space="preserve"> on initiatives that support equity cohorts</w:t>
      </w:r>
      <w:r w:rsidR="0027296F" w:rsidRPr="00976B32">
        <w:rPr>
          <w:rFonts w:cstheme="minorHAnsi"/>
        </w:rPr>
        <w:t xml:space="preserve"> as outlined in their </w:t>
      </w:r>
      <w:r w:rsidR="00345CEB" w:rsidRPr="00976B32">
        <w:rPr>
          <w:rFonts w:cstheme="minorHAnsi"/>
        </w:rPr>
        <w:t xml:space="preserve">approved </w:t>
      </w:r>
      <w:r w:rsidR="0027296F" w:rsidRPr="00976B32">
        <w:rPr>
          <w:rFonts w:cstheme="minorHAnsi"/>
        </w:rPr>
        <w:t>Equity Plan</w:t>
      </w:r>
      <w:r w:rsidR="009762C9" w:rsidRPr="00976B32">
        <w:rPr>
          <w:rFonts w:cstheme="minorHAnsi"/>
        </w:rPr>
        <w:t>.</w:t>
      </w:r>
    </w:p>
    <w:p w14:paraId="491F7DE3" w14:textId="3C377415" w:rsidR="002D6B4C" w:rsidRPr="00976B32" w:rsidRDefault="003C1568" w:rsidP="002D6B4C">
      <w:pPr>
        <w:rPr>
          <w:rFonts w:cstheme="minorHAnsi"/>
        </w:rPr>
      </w:pPr>
      <w:r w:rsidRPr="00976B32">
        <w:rPr>
          <w:rFonts w:cstheme="minorHAnsi"/>
        </w:rPr>
        <w:t xml:space="preserve">Providers will continue to be paid </w:t>
      </w:r>
      <w:r w:rsidR="0020149D" w:rsidRPr="00976B32">
        <w:rPr>
          <w:rFonts w:cstheme="minorHAnsi"/>
        </w:rPr>
        <w:t xml:space="preserve">their </w:t>
      </w:r>
      <w:r w:rsidRPr="00976B32">
        <w:rPr>
          <w:rFonts w:cstheme="minorHAnsi"/>
        </w:rPr>
        <w:t xml:space="preserve">CGS funding amounts </w:t>
      </w:r>
      <w:r w:rsidR="003A11A6" w:rsidRPr="00976B32">
        <w:rPr>
          <w:rFonts w:cstheme="minorHAnsi"/>
        </w:rPr>
        <w:t xml:space="preserve">through the normal advance payment arrangements </w:t>
      </w:r>
      <w:r w:rsidRPr="00976B32">
        <w:rPr>
          <w:rFonts w:cstheme="minorHAnsi"/>
        </w:rPr>
        <w:t xml:space="preserve">for 2024 and 2025 grant years. </w:t>
      </w:r>
      <w:r w:rsidR="00A54D66" w:rsidRPr="00976B32">
        <w:rPr>
          <w:rFonts w:cstheme="minorHAnsi"/>
        </w:rPr>
        <w:t xml:space="preserve">The HECG grant will be paid to providers following reconciliation of a provider’s </w:t>
      </w:r>
      <w:r w:rsidR="00845850" w:rsidRPr="00976B32">
        <w:rPr>
          <w:rFonts w:cstheme="minorHAnsi"/>
        </w:rPr>
        <w:t xml:space="preserve">CGS </w:t>
      </w:r>
      <w:r w:rsidR="00A54D66" w:rsidRPr="00976B32">
        <w:rPr>
          <w:rFonts w:cstheme="minorHAnsi"/>
        </w:rPr>
        <w:t>funding</w:t>
      </w:r>
      <w:r w:rsidR="00845850" w:rsidRPr="00976B32">
        <w:rPr>
          <w:rFonts w:cstheme="minorHAnsi"/>
        </w:rPr>
        <w:t xml:space="preserve"> relating to a particular grant year</w:t>
      </w:r>
      <w:r w:rsidR="00A54D66" w:rsidRPr="00976B32">
        <w:rPr>
          <w:rFonts w:cstheme="minorHAnsi"/>
        </w:rPr>
        <w:t>.</w:t>
      </w:r>
    </w:p>
    <w:p w14:paraId="5B28BF53" w14:textId="2195DF4F" w:rsidR="003F1C0E" w:rsidRPr="00A43B05" w:rsidRDefault="007B0865" w:rsidP="00346284">
      <w:pPr>
        <w:pStyle w:val="ListParagraph"/>
        <w:numPr>
          <w:ilvl w:val="0"/>
          <w:numId w:val="30"/>
        </w:numPr>
        <w:ind w:left="714" w:hanging="357"/>
        <w:contextualSpacing w:val="0"/>
        <w:rPr>
          <w:rFonts w:cstheme="minorHAnsi"/>
        </w:rPr>
      </w:pPr>
      <w:r w:rsidRPr="00A43B05">
        <w:rPr>
          <w:rFonts w:cstheme="minorHAnsi"/>
        </w:rPr>
        <w:t>F</w:t>
      </w:r>
      <w:r w:rsidR="009762C9" w:rsidRPr="00A43B05">
        <w:rPr>
          <w:rFonts w:cstheme="minorHAnsi"/>
        </w:rPr>
        <w:t>or Table A providers – the amount of their unspent base MBGA for higher education courses</w:t>
      </w:r>
      <w:r w:rsidR="00C93FD6" w:rsidRPr="00A43B05">
        <w:rPr>
          <w:rFonts w:cstheme="minorHAnsi"/>
        </w:rPr>
        <w:t xml:space="preserve">, </w:t>
      </w:r>
      <w:r w:rsidR="009762C9" w:rsidRPr="00A43B05">
        <w:rPr>
          <w:rFonts w:cstheme="minorHAnsi"/>
        </w:rPr>
        <w:t>designated higher education courses and amounts for medical student loading</w:t>
      </w:r>
      <w:r w:rsidR="000516AD" w:rsidRPr="00A43B05">
        <w:rPr>
          <w:rFonts w:cstheme="minorHAnsi"/>
        </w:rPr>
        <w:t xml:space="preserve">. </w:t>
      </w:r>
      <w:r w:rsidR="003A11A6" w:rsidRPr="00A43B05">
        <w:rPr>
          <w:rFonts w:cstheme="minorHAnsi"/>
        </w:rPr>
        <w:t xml:space="preserve">Separate funding arrangements such as National Priority Places, Equity Places (under the </w:t>
      </w:r>
      <w:hyperlink r:id="rId15">
        <w:r w:rsidR="003A11A6" w:rsidRPr="00A43B05">
          <w:rPr>
            <w:rStyle w:val="Hyperlink"/>
            <w:rFonts w:cstheme="minorHAnsi"/>
          </w:rPr>
          <w:t>20,000 additional CSPs</w:t>
        </w:r>
      </w:hyperlink>
      <w:r w:rsidR="003A11A6" w:rsidRPr="00A43B05">
        <w:rPr>
          <w:rStyle w:val="Hyperlink"/>
          <w:rFonts w:cstheme="minorHAnsi"/>
        </w:rPr>
        <w:t xml:space="preserve"> </w:t>
      </w:r>
      <w:r w:rsidR="003A11A6" w:rsidRPr="00A43B05">
        <w:rPr>
          <w:rStyle w:val="Hyperlink"/>
          <w:rFonts w:cstheme="minorHAnsi"/>
          <w:color w:val="auto"/>
          <w:u w:val="none"/>
        </w:rPr>
        <w:t>initiative)</w:t>
      </w:r>
      <w:r w:rsidR="003A11A6" w:rsidRPr="00A43B05">
        <w:rPr>
          <w:rFonts w:cstheme="minorHAnsi"/>
        </w:rPr>
        <w:t xml:space="preserve">, Innovative Places, or the </w:t>
      </w:r>
      <w:hyperlink r:id="rId16">
        <w:r w:rsidR="003A11A6" w:rsidRPr="00A43B05">
          <w:rPr>
            <w:rStyle w:val="Hyperlink"/>
            <w:rFonts w:cstheme="minorHAnsi"/>
          </w:rPr>
          <w:t>Nuclear-Powered Submarine Student Pathways</w:t>
        </w:r>
      </w:hyperlink>
      <w:r w:rsidR="003A11A6" w:rsidRPr="00A43B05">
        <w:rPr>
          <w:rFonts w:cstheme="minorHAnsi"/>
        </w:rPr>
        <w:t xml:space="preserve"> are</w:t>
      </w:r>
      <w:r w:rsidR="000516AD" w:rsidRPr="00A43B05">
        <w:rPr>
          <w:rFonts w:cstheme="minorHAnsi"/>
        </w:rPr>
        <w:t xml:space="preserve"> not part of the base MBGA and</w:t>
      </w:r>
      <w:r w:rsidR="003A11A6" w:rsidRPr="00A43B05">
        <w:rPr>
          <w:rFonts w:cstheme="minorHAnsi"/>
        </w:rPr>
        <w:t xml:space="preserve"> not included in the HECG arrangements for 2024 and 2025.  </w:t>
      </w:r>
    </w:p>
    <w:p w14:paraId="16FA470F" w14:textId="77777777" w:rsidR="00DB0D1E" w:rsidRPr="00A43B05" w:rsidRDefault="00DB0D1E" w:rsidP="00DB0D1E">
      <w:pPr>
        <w:pStyle w:val="ListParagraph"/>
        <w:numPr>
          <w:ilvl w:val="0"/>
          <w:numId w:val="30"/>
        </w:numPr>
        <w:spacing w:after="160" w:line="276" w:lineRule="auto"/>
        <w:rPr>
          <w:rFonts w:eastAsia="Times New Roman" w:cstheme="minorHAnsi"/>
          <w:sz w:val="20"/>
          <w:szCs w:val="20"/>
        </w:rPr>
      </w:pPr>
      <w:r w:rsidRPr="00A43B05">
        <w:rPr>
          <w:rFonts w:cstheme="minorHAnsi"/>
        </w:rPr>
        <w:t>For non-Table A providers – the HECG is the amount of their unspent MBGA allocation, minus any funding allocated to the provider for National Priority Places, Equity Places, Innovative Places or the Nuclear-Powered Submarine places.</w:t>
      </w:r>
    </w:p>
    <w:p w14:paraId="1105B94E" w14:textId="60EA8F55" w:rsidR="00DB0D1E" w:rsidRPr="00BC6A27" w:rsidRDefault="00DB0D1E" w:rsidP="00A43B05">
      <w:pPr>
        <w:pStyle w:val="Heading4"/>
        <w:spacing w:after="120"/>
        <w:rPr>
          <w:rFonts w:asciiTheme="minorHAnsi" w:hAnsiTheme="minorHAnsi" w:cstheme="minorHAnsi"/>
          <w:bCs/>
        </w:rPr>
      </w:pPr>
      <w:r w:rsidRPr="00BC6A27">
        <w:t>Worked example for calculating HECG 2024-2025 for Table A providers</w:t>
      </w:r>
      <w:r w:rsidR="00A43B05" w:rsidRPr="00BC6A27">
        <w:t xml:space="preserve"> [New]</w:t>
      </w:r>
      <w:r w:rsidRPr="00BC6A27">
        <w:t xml:space="preserve"> </w:t>
      </w:r>
    </w:p>
    <w:p w14:paraId="70674099" w14:textId="506FB5B6" w:rsidR="00AD195E" w:rsidRPr="00BC6A27" w:rsidRDefault="003770E7" w:rsidP="00A43B05">
      <w:r w:rsidRPr="00BC6A27">
        <w:t>A</w:t>
      </w:r>
      <w:r w:rsidR="00AD195E" w:rsidRPr="00BC6A27">
        <w:t xml:space="preserve"> </w:t>
      </w:r>
      <w:r w:rsidR="00C11750" w:rsidRPr="00BC6A27">
        <w:t xml:space="preserve">provider’s entitlements for ‘Base MBGA’, designated higher education courses, and medical student loading </w:t>
      </w:r>
      <w:r w:rsidR="00AD195E" w:rsidRPr="00BC6A27">
        <w:t xml:space="preserve">are </w:t>
      </w:r>
      <w:r w:rsidR="00C11750" w:rsidRPr="00BC6A27">
        <w:t>determined through the CGS reconciliation process.</w:t>
      </w:r>
      <w:r w:rsidRPr="00BC6A27">
        <w:t xml:space="preserve"> Noting that medical student loading is not reconciled so providers receive their full allocation regardless of whether they are under or over enrolled.</w:t>
      </w:r>
    </w:p>
    <w:p w14:paraId="70A08D29" w14:textId="77777777" w:rsidR="00C11750" w:rsidRPr="00BC6A27" w:rsidRDefault="00C11750" w:rsidP="003770E7">
      <w:pPr>
        <w:rPr>
          <w:rFonts w:cstheme="minorHAnsi"/>
        </w:rPr>
      </w:pPr>
      <w:r w:rsidRPr="00BC6A27">
        <w:rPr>
          <w:rFonts w:cstheme="minorHAnsi"/>
        </w:rPr>
        <w:t xml:space="preserve">A provider’s entitlement is determined under Section 33-5 of HESA and is </w:t>
      </w:r>
      <w:r w:rsidRPr="00BC6A27">
        <w:rPr>
          <w:rFonts w:cstheme="minorHAnsi"/>
          <w:b/>
          <w:bCs/>
        </w:rPr>
        <w:t>the lesser</w:t>
      </w:r>
      <w:r w:rsidRPr="00BC6A27">
        <w:rPr>
          <w:rFonts w:cstheme="minorHAnsi"/>
        </w:rPr>
        <w:t xml:space="preserve"> </w:t>
      </w:r>
      <w:r w:rsidRPr="00BC6A27">
        <w:rPr>
          <w:rFonts w:cstheme="minorHAnsi"/>
          <w:b/>
          <w:bCs/>
        </w:rPr>
        <w:t>of</w:t>
      </w:r>
      <w:r w:rsidRPr="00BC6A27">
        <w:rPr>
          <w:rFonts w:cstheme="minorHAnsi"/>
        </w:rPr>
        <w:t>:</w:t>
      </w:r>
    </w:p>
    <w:p w14:paraId="5A5462F7" w14:textId="77777777" w:rsidR="00C11750" w:rsidRPr="00BC6A27" w:rsidRDefault="00C11750" w:rsidP="00A43B05">
      <w:pPr>
        <w:pStyle w:val="ListParagraph"/>
        <w:numPr>
          <w:ilvl w:val="0"/>
          <w:numId w:val="47"/>
        </w:numPr>
        <w:spacing w:after="160" w:line="276" w:lineRule="auto"/>
        <w:rPr>
          <w:rFonts w:eastAsia="Times New Roman" w:cstheme="minorHAnsi"/>
        </w:rPr>
      </w:pPr>
      <w:r w:rsidRPr="00BC6A27">
        <w:rPr>
          <w:rFonts w:eastAsia="Times New Roman" w:cstheme="minorHAnsi"/>
        </w:rPr>
        <w:t xml:space="preserve">the amount allocated to a provider in their funding agreement, and </w:t>
      </w:r>
    </w:p>
    <w:p w14:paraId="72658E58" w14:textId="77777777" w:rsidR="00C11750" w:rsidRPr="00BC6A27" w:rsidRDefault="00C11750" w:rsidP="00A43B05">
      <w:pPr>
        <w:pStyle w:val="ListParagraph"/>
        <w:numPr>
          <w:ilvl w:val="0"/>
          <w:numId w:val="47"/>
        </w:numPr>
        <w:spacing w:after="160" w:line="276" w:lineRule="auto"/>
        <w:rPr>
          <w:rFonts w:eastAsia="Times New Roman" w:cstheme="minorHAnsi"/>
        </w:rPr>
      </w:pPr>
      <w:r w:rsidRPr="00BC6A27">
        <w:rPr>
          <w:rFonts w:eastAsia="Times New Roman" w:cstheme="minorHAnsi"/>
        </w:rPr>
        <w:lastRenderedPageBreak/>
        <w:t>the amount calculated by multiplying the number of CSPs delivered by the provider and the relevant Commonwealth contribution amount.</w:t>
      </w:r>
    </w:p>
    <w:p w14:paraId="1451F76C" w14:textId="15F77592" w:rsidR="00C11750" w:rsidRPr="00BC6A27" w:rsidRDefault="00C11750" w:rsidP="00DB0D1E">
      <w:pPr>
        <w:rPr>
          <w:rFonts w:cstheme="minorHAnsi"/>
        </w:rPr>
      </w:pPr>
      <w:r w:rsidRPr="00BC6A27">
        <w:rPr>
          <w:rFonts w:cstheme="minorHAnsi"/>
        </w:rPr>
        <w:t xml:space="preserve">In the example below the provider has over-enrolled against their </w:t>
      </w:r>
      <w:r w:rsidR="003F1C0E" w:rsidRPr="00BC6A27">
        <w:rPr>
          <w:rFonts w:cstheme="minorHAnsi"/>
        </w:rPr>
        <w:t xml:space="preserve">Higher Education Course (HEC) </w:t>
      </w:r>
      <w:r w:rsidRPr="00BC6A27">
        <w:rPr>
          <w:rFonts w:cstheme="minorHAnsi"/>
        </w:rPr>
        <w:t xml:space="preserve">Base MBGA by $20 million, therefore their entitlement is $100m.  The provider has under-enrolled against their designated </w:t>
      </w:r>
      <w:r w:rsidR="003F1C0E" w:rsidRPr="00BC6A27">
        <w:rPr>
          <w:rFonts w:cstheme="minorHAnsi"/>
        </w:rPr>
        <w:t>H</w:t>
      </w:r>
      <w:r w:rsidRPr="00BC6A27">
        <w:rPr>
          <w:rFonts w:cstheme="minorHAnsi"/>
        </w:rPr>
        <w:t>EC MBGA and therefore their entitlement is $15m.  Under section 164-10 of HESA the Commonwealth will make a recovery where the advance exceeds the amount that becomes payable. The HECG calculation therefore is the Max $120 million less the CGS payment of $115 million requiring a HECG grant of $5 million.</w:t>
      </w:r>
    </w:p>
    <w:p w14:paraId="278D9ED6" w14:textId="65DE6132" w:rsidR="00C11750" w:rsidRPr="00BC6A27" w:rsidRDefault="00C11750" w:rsidP="00C11750">
      <w:pPr>
        <w:rPr>
          <w:rFonts w:cstheme="minorHAnsi"/>
        </w:rPr>
      </w:pPr>
      <w:r w:rsidRPr="00BC6A27">
        <w:rPr>
          <w:rFonts w:cstheme="minorHAnsi"/>
        </w:rPr>
        <w:t>The table below provides an example of the CGS reconciliation and pursuant HECG calculation:</w:t>
      </w:r>
    </w:p>
    <w:tbl>
      <w:tblPr>
        <w:tblW w:w="0" w:type="auto"/>
        <w:tblLayout w:type="fixed"/>
        <w:tblCellMar>
          <w:left w:w="0" w:type="dxa"/>
          <w:right w:w="0" w:type="dxa"/>
        </w:tblCellMar>
        <w:tblLook w:val="04A0" w:firstRow="1" w:lastRow="0" w:firstColumn="1" w:lastColumn="0" w:noHBand="0" w:noVBand="1"/>
      </w:tblPr>
      <w:tblGrid>
        <w:gridCol w:w="2400"/>
        <w:gridCol w:w="1276"/>
        <w:gridCol w:w="992"/>
        <w:gridCol w:w="1175"/>
        <w:gridCol w:w="1064"/>
        <w:gridCol w:w="1166"/>
        <w:gridCol w:w="933"/>
      </w:tblGrid>
      <w:tr w:rsidR="00C11750" w:rsidRPr="00BC6A27" w14:paraId="6A92E8D1" w14:textId="77777777" w:rsidTr="00F029A9">
        <w:trPr>
          <w:trHeight w:val="191"/>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133ED8" w14:textId="77777777" w:rsidR="00C11750" w:rsidRPr="00BC6A27" w:rsidRDefault="00C11750" w:rsidP="00A43B05">
            <w:pPr>
              <w:spacing w:before="60" w:after="60"/>
              <w:rPr>
                <w:rFonts w:cstheme="minorHAnsi"/>
              </w:rPr>
            </w:pPr>
          </w:p>
        </w:tc>
        <w:tc>
          <w:tcPr>
            <w:tcW w:w="3443" w:type="dxa"/>
            <w:gridSpan w:val="3"/>
            <w:tcBorders>
              <w:top w:val="single" w:sz="8" w:space="0" w:color="auto"/>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205EF322" w14:textId="77777777" w:rsidR="00C11750" w:rsidRPr="00BC6A27" w:rsidRDefault="00C11750" w:rsidP="00A43B05">
            <w:pPr>
              <w:spacing w:before="60" w:after="60"/>
              <w:jc w:val="center"/>
              <w:rPr>
                <w:rFonts w:cstheme="minorHAnsi"/>
                <w:b/>
                <w:bCs/>
              </w:rPr>
            </w:pPr>
            <w:r w:rsidRPr="00BC6A27">
              <w:rPr>
                <w:rFonts w:cstheme="minorHAnsi"/>
                <w:b/>
                <w:bCs/>
              </w:rPr>
              <w:t>CGS Reconciliation</w:t>
            </w:r>
          </w:p>
        </w:tc>
        <w:tc>
          <w:tcPr>
            <w:tcW w:w="3163" w:type="dxa"/>
            <w:gridSpan w:val="3"/>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75A23332" w14:textId="77777777" w:rsidR="00C11750" w:rsidRPr="00BC6A27" w:rsidRDefault="00C11750" w:rsidP="00A43B05">
            <w:pPr>
              <w:spacing w:before="60" w:after="60"/>
              <w:jc w:val="center"/>
              <w:rPr>
                <w:rFonts w:cstheme="minorHAnsi"/>
                <w:b/>
                <w:bCs/>
              </w:rPr>
            </w:pPr>
            <w:r w:rsidRPr="00BC6A27">
              <w:rPr>
                <w:rFonts w:cstheme="minorHAnsi"/>
                <w:b/>
                <w:bCs/>
                <w:color w:val="000000"/>
              </w:rPr>
              <w:t>HECG Calculation</w:t>
            </w:r>
          </w:p>
        </w:tc>
      </w:tr>
      <w:tr w:rsidR="003F1C0E" w:rsidRPr="00BC6A27" w14:paraId="1493CD6B" w14:textId="77777777" w:rsidTr="00F029A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A8A3F" w14:textId="77777777" w:rsidR="00C11750" w:rsidRPr="00BC6A27" w:rsidRDefault="00C11750" w:rsidP="00A43B05">
            <w:pPr>
              <w:spacing w:before="60" w:after="60"/>
              <w:rPr>
                <w:rFonts w:cstheme="minorHAnsi"/>
              </w:rPr>
            </w:pPr>
          </w:p>
        </w:tc>
        <w:tc>
          <w:tcPr>
            <w:tcW w:w="1276"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46965114" w14:textId="58E81EF3" w:rsidR="00C11750" w:rsidRPr="00BC6A27" w:rsidRDefault="00C11750" w:rsidP="00A43B05">
            <w:pPr>
              <w:spacing w:before="60" w:after="60"/>
              <w:rPr>
                <w:rFonts w:cstheme="minorHAnsi"/>
                <w:b/>
                <w:bCs/>
                <w:vertAlign w:val="superscript"/>
              </w:rPr>
            </w:pPr>
            <w:r w:rsidRPr="00BC6A27">
              <w:rPr>
                <w:rFonts w:cstheme="minorHAnsi"/>
                <w:b/>
                <w:bCs/>
              </w:rPr>
              <w:t>Allocate</w:t>
            </w:r>
            <w:r w:rsidR="00F029A9" w:rsidRPr="00BC6A27">
              <w:rPr>
                <w:rFonts w:cstheme="minorHAnsi"/>
                <w:b/>
                <w:bCs/>
              </w:rPr>
              <w:t>d</w:t>
            </w:r>
            <w:r w:rsidR="009B718F" w:rsidRPr="00BC6A27">
              <w:rPr>
                <w:rFonts w:cstheme="minorHAnsi"/>
                <w:vertAlign w:val="superscript"/>
              </w:rPr>
              <w:t>1</w:t>
            </w:r>
          </w:p>
        </w:tc>
        <w:tc>
          <w:tcPr>
            <w:tcW w:w="992"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0FB13CF7" w14:textId="77777777" w:rsidR="00C11750" w:rsidRPr="00BC6A27" w:rsidRDefault="00C11750" w:rsidP="00A43B05">
            <w:pPr>
              <w:spacing w:before="60" w:after="60"/>
              <w:rPr>
                <w:rFonts w:cstheme="minorHAnsi"/>
                <w:b/>
                <w:bCs/>
              </w:rPr>
            </w:pPr>
            <w:r w:rsidRPr="00BC6A27">
              <w:rPr>
                <w:rFonts w:cstheme="minorHAnsi"/>
                <w:b/>
                <w:bCs/>
              </w:rPr>
              <w:t xml:space="preserve">Actual Delivery </w:t>
            </w:r>
          </w:p>
        </w:tc>
        <w:tc>
          <w:tcPr>
            <w:tcW w:w="1175"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1D7C9B43" w14:textId="77777777" w:rsidR="00C11750" w:rsidRPr="00BC6A27" w:rsidRDefault="00C11750" w:rsidP="00A43B05">
            <w:pPr>
              <w:spacing w:before="60" w:after="60"/>
              <w:rPr>
                <w:rFonts w:cstheme="minorHAnsi"/>
                <w:b/>
                <w:bCs/>
              </w:rPr>
            </w:pPr>
            <w:r w:rsidRPr="00BC6A27">
              <w:rPr>
                <w:rFonts w:cstheme="minorHAnsi"/>
                <w:b/>
                <w:bCs/>
              </w:rPr>
              <w:t>Recovery</w:t>
            </w:r>
          </w:p>
        </w:tc>
        <w:tc>
          <w:tcPr>
            <w:tcW w:w="1064"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505D1069" w14:textId="7BA6AE88" w:rsidR="00C11750" w:rsidRPr="00BC6A27" w:rsidRDefault="00C11750" w:rsidP="00A43B05">
            <w:pPr>
              <w:spacing w:before="60" w:after="60"/>
              <w:rPr>
                <w:rFonts w:cstheme="minorHAnsi"/>
                <w:b/>
                <w:bCs/>
                <w:sz w:val="24"/>
                <w:szCs w:val="24"/>
              </w:rPr>
            </w:pPr>
            <w:r w:rsidRPr="00BC6A27">
              <w:rPr>
                <w:rFonts w:cstheme="minorHAnsi"/>
                <w:b/>
                <w:bCs/>
                <w:color w:val="000000"/>
              </w:rPr>
              <w:t>Max</w:t>
            </w:r>
            <w:r w:rsidR="004F5759" w:rsidRPr="00BC6A27">
              <w:rPr>
                <w:rFonts w:cstheme="minorHAnsi"/>
                <w:b/>
                <w:bCs/>
                <w:vertAlign w:val="superscript"/>
              </w:rPr>
              <w:t>3</w:t>
            </w:r>
          </w:p>
        </w:tc>
        <w:tc>
          <w:tcPr>
            <w:tcW w:w="1166"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1D4B7964" w14:textId="51662181" w:rsidR="00C11750" w:rsidRPr="00BC6A27" w:rsidRDefault="00C11750" w:rsidP="00A43B05">
            <w:pPr>
              <w:spacing w:before="60" w:after="60"/>
              <w:rPr>
                <w:rFonts w:cstheme="minorHAnsi"/>
                <w:b/>
                <w:bCs/>
              </w:rPr>
            </w:pPr>
            <w:r w:rsidRPr="00BC6A27">
              <w:rPr>
                <w:rFonts w:cstheme="minorHAnsi"/>
                <w:b/>
                <w:bCs/>
                <w:color w:val="000000"/>
              </w:rPr>
              <w:t xml:space="preserve">CGS </w:t>
            </w:r>
            <w:r w:rsidR="00DB0D1E" w:rsidRPr="00BC6A27">
              <w:rPr>
                <w:rFonts w:cstheme="minorHAnsi"/>
                <w:b/>
                <w:bCs/>
                <w:color w:val="000000"/>
              </w:rPr>
              <w:br/>
            </w:r>
            <w:r w:rsidRPr="00BC6A27">
              <w:rPr>
                <w:rFonts w:cstheme="minorHAnsi"/>
                <w:b/>
                <w:bCs/>
                <w:color w:val="000000"/>
              </w:rPr>
              <w:t>pay</w:t>
            </w:r>
            <w:r w:rsidR="00DB0D1E" w:rsidRPr="00BC6A27">
              <w:rPr>
                <w:rFonts w:cstheme="minorHAnsi"/>
                <w:b/>
                <w:bCs/>
                <w:color w:val="000000"/>
              </w:rPr>
              <w:t>ment</w:t>
            </w:r>
          </w:p>
        </w:tc>
        <w:tc>
          <w:tcPr>
            <w:tcW w:w="933"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737CC4B8" w14:textId="77777777" w:rsidR="00C11750" w:rsidRPr="00BC6A27" w:rsidRDefault="00C11750" w:rsidP="00A43B05">
            <w:pPr>
              <w:spacing w:before="60" w:after="60"/>
              <w:rPr>
                <w:rFonts w:cstheme="minorHAnsi"/>
                <w:b/>
                <w:bCs/>
              </w:rPr>
            </w:pPr>
            <w:r w:rsidRPr="00BC6A27">
              <w:rPr>
                <w:rFonts w:cstheme="minorHAnsi"/>
                <w:b/>
                <w:bCs/>
                <w:color w:val="000000"/>
              </w:rPr>
              <w:t>HECG</w:t>
            </w:r>
          </w:p>
        </w:tc>
      </w:tr>
      <w:tr w:rsidR="003F1C0E" w:rsidRPr="00BC6A27" w14:paraId="2B5ACCDA" w14:textId="77777777" w:rsidTr="00F029A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4DA00" w14:textId="562025EF" w:rsidR="00C11750" w:rsidRPr="00BC6A27" w:rsidRDefault="00C11750" w:rsidP="00A43B05">
            <w:pPr>
              <w:spacing w:before="60" w:after="60"/>
              <w:rPr>
                <w:rFonts w:cstheme="minorHAnsi"/>
              </w:rPr>
            </w:pPr>
            <w:r w:rsidRPr="00BC6A27">
              <w:rPr>
                <w:rFonts w:cstheme="minorHAnsi"/>
              </w:rPr>
              <w:t>Designated HEC MBGA</w:t>
            </w:r>
          </w:p>
        </w:tc>
        <w:tc>
          <w:tcPr>
            <w:tcW w:w="1276"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67CC2011" w14:textId="77777777" w:rsidR="00C11750" w:rsidRPr="00BC6A27" w:rsidRDefault="00C11750" w:rsidP="00A43B05">
            <w:pPr>
              <w:spacing w:before="60" w:after="60"/>
              <w:rPr>
                <w:rFonts w:cstheme="minorHAnsi"/>
              </w:rPr>
            </w:pPr>
            <w:r w:rsidRPr="00BC6A27">
              <w:rPr>
                <w:rFonts w:cstheme="minorHAnsi"/>
              </w:rPr>
              <w:t>$20m</w:t>
            </w:r>
          </w:p>
        </w:tc>
        <w:tc>
          <w:tcPr>
            <w:tcW w:w="992"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1CF725F0" w14:textId="77777777" w:rsidR="00C11750" w:rsidRPr="00BC6A27" w:rsidRDefault="00C11750" w:rsidP="00A43B05">
            <w:pPr>
              <w:spacing w:before="60" w:after="60"/>
              <w:rPr>
                <w:rFonts w:cstheme="minorHAnsi"/>
              </w:rPr>
            </w:pPr>
            <w:r w:rsidRPr="00BC6A27">
              <w:rPr>
                <w:rFonts w:cstheme="minorHAnsi"/>
              </w:rPr>
              <w:t>$15m</w:t>
            </w:r>
          </w:p>
        </w:tc>
        <w:tc>
          <w:tcPr>
            <w:tcW w:w="1175"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50772208" w14:textId="77777777" w:rsidR="00C11750" w:rsidRPr="00BC6A27" w:rsidRDefault="00C11750" w:rsidP="00A43B05">
            <w:pPr>
              <w:spacing w:before="60" w:after="60"/>
              <w:rPr>
                <w:rFonts w:cstheme="minorHAnsi"/>
              </w:rPr>
            </w:pPr>
            <w:r w:rsidRPr="00BC6A27">
              <w:rPr>
                <w:rFonts w:cstheme="minorHAnsi"/>
              </w:rPr>
              <w:t>$5m</w:t>
            </w:r>
          </w:p>
        </w:tc>
        <w:tc>
          <w:tcPr>
            <w:tcW w:w="1064"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05616F71" w14:textId="77777777" w:rsidR="00C11750" w:rsidRPr="00BC6A27" w:rsidRDefault="00C11750" w:rsidP="00A43B05">
            <w:pPr>
              <w:spacing w:before="60" w:after="60"/>
              <w:rPr>
                <w:rFonts w:cstheme="minorHAnsi"/>
              </w:rPr>
            </w:pPr>
            <w:r w:rsidRPr="00BC6A27">
              <w:rPr>
                <w:rFonts w:cstheme="minorHAnsi"/>
                <w:color w:val="000000"/>
              </w:rPr>
              <w:t>$20m</w:t>
            </w:r>
          </w:p>
        </w:tc>
        <w:tc>
          <w:tcPr>
            <w:tcW w:w="1166"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05FCF010" w14:textId="77777777" w:rsidR="00C11750" w:rsidRPr="00BC6A27" w:rsidRDefault="00C11750" w:rsidP="00A43B05">
            <w:pPr>
              <w:spacing w:before="60" w:after="60"/>
              <w:rPr>
                <w:rFonts w:cstheme="minorHAnsi"/>
              </w:rPr>
            </w:pPr>
            <w:r w:rsidRPr="00BC6A27">
              <w:rPr>
                <w:rFonts w:cstheme="minorHAnsi"/>
                <w:color w:val="000000"/>
              </w:rPr>
              <w:t>$15m</w:t>
            </w:r>
          </w:p>
        </w:tc>
        <w:tc>
          <w:tcPr>
            <w:tcW w:w="933"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53923728" w14:textId="77777777" w:rsidR="00C11750" w:rsidRPr="00BC6A27" w:rsidRDefault="00C11750" w:rsidP="00A43B05">
            <w:pPr>
              <w:spacing w:before="60" w:after="60"/>
              <w:rPr>
                <w:rFonts w:cstheme="minorHAnsi"/>
              </w:rPr>
            </w:pPr>
            <w:r w:rsidRPr="00BC6A27">
              <w:rPr>
                <w:rFonts w:cstheme="minorHAnsi"/>
                <w:color w:val="000000"/>
              </w:rPr>
              <w:t>$5m</w:t>
            </w:r>
          </w:p>
        </w:tc>
      </w:tr>
      <w:tr w:rsidR="003F1C0E" w:rsidRPr="00BC6A27" w14:paraId="4D7CBAFC" w14:textId="77777777" w:rsidTr="00F029A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4A8FB" w14:textId="2A5C1406" w:rsidR="00C11750" w:rsidRPr="00BC6A27" w:rsidRDefault="00C11750" w:rsidP="00A43B05">
            <w:pPr>
              <w:spacing w:before="60" w:after="60"/>
              <w:rPr>
                <w:rFonts w:cstheme="minorHAnsi"/>
              </w:rPr>
            </w:pPr>
            <w:r w:rsidRPr="00BC6A27">
              <w:rPr>
                <w:rFonts w:cstheme="minorHAnsi"/>
              </w:rPr>
              <w:t>HEC Base MBGA</w:t>
            </w:r>
          </w:p>
        </w:tc>
        <w:tc>
          <w:tcPr>
            <w:tcW w:w="1276"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307352D1" w14:textId="77777777" w:rsidR="00C11750" w:rsidRPr="00BC6A27" w:rsidRDefault="00C11750" w:rsidP="00A43B05">
            <w:pPr>
              <w:spacing w:before="60" w:after="60"/>
              <w:rPr>
                <w:rFonts w:cstheme="minorHAnsi"/>
              </w:rPr>
            </w:pPr>
            <w:r w:rsidRPr="00BC6A27">
              <w:rPr>
                <w:rFonts w:cstheme="minorHAnsi"/>
              </w:rPr>
              <w:t>$100m</w:t>
            </w:r>
          </w:p>
        </w:tc>
        <w:tc>
          <w:tcPr>
            <w:tcW w:w="992"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533CE728" w14:textId="5C23BF2C" w:rsidR="00C11750" w:rsidRPr="00BC6A27" w:rsidRDefault="00C11750" w:rsidP="00A43B05">
            <w:pPr>
              <w:spacing w:before="60" w:after="60"/>
              <w:rPr>
                <w:rFonts w:cstheme="minorHAnsi"/>
                <w:vertAlign w:val="superscript"/>
              </w:rPr>
            </w:pPr>
            <w:r w:rsidRPr="00BC6A27">
              <w:rPr>
                <w:rFonts w:cstheme="minorHAnsi"/>
              </w:rPr>
              <w:t>$120m</w:t>
            </w:r>
            <w:r w:rsidR="009B718F" w:rsidRPr="00BC6A27">
              <w:rPr>
                <w:rFonts w:cstheme="minorHAnsi"/>
                <w:vertAlign w:val="superscript"/>
              </w:rPr>
              <w:t>2</w:t>
            </w:r>
          </w:p>
        </w:tc>
        <w:tc>
          <w:tcPr>
            <w:tcW w:w="1175" w:type="dxa"/>
            <w:tcBorders>
              <w:top w:val="nil"/>
              <w:left w:val="nil"/>
              <w:bottom w:val="single" w:sz="8" w:space="0" w:color="auto"/>
              <w:right w:val="single" w:sz="8" w:space="0" w:color="auto"/>
            </w:tcBorders>
            <w:shd w:val="clear" w:color="auto" w:fill="D2E8FF" w:themeFill="text2" w:themeFillTint="1A"/>
            <w:tcMar>
              <w:top w:w="0" w:type="dxa"/>
              <w:left w:w="108" w:type="dxa"/>
              <w:bottom w:w="0" w:type="dxa"/>
              <w:right w:w="108" w:type="dxa"/>
            </w:tcMar>
            <w:hideMark/>
          </w:tcPr>
          <w:p w14:paraId="627CC218" w14:textId="77777777" w:rsidR="00C11750" w:rsidRPr="00BC6A27" w:rsidRDefault="00C11750" w:rsidP="00A43B05">
            <w:pPr>
              <w:spacing w:before="60" w:after="60"/>
              <w:rPr>
                <w:rFonts w:cstheme="minorHAnsi"/>
              </w:rPr>
            </w:pPr>
            <w:r w:rsidRPr="00BC6A27">
              <w:rPr>
                <w:rFonts w:cstheme="minorHAnsi"/>
              </w:rPr>
              <w:t>$0m</w:t>
            </w:r>
          </w:p>
        </w:tc>
        <w:tc>
          <w:tcPr>
            <w:tcW w:w="1064"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672F0761" w14:textId="77777777" w:rsidR="00C11750" w:rsidRPr="00BC6A27" w:rsidRDefault="00C11750" w:rsidP="00A43B05">
            <w:pPr>
              <w:spacing w:before="60" w:after="60"/>
              <w:rPr>
                <w:rFonts w:cstheme="minorHAnsi"/>
              </w:rPr>
            </w:pPr>
            <w:r w:rsidRPr="00BC6A27">
              <w:rPr>
                <w:rFonts w:cstheme="minorHAnsi"/>
                <w:color w:val="000000"/>
              </w:rPr>
              <w:t>$100m</w:t>
            </w:r>
          </w:p>
        </w:tc>
        <w:tc>
          <w:tcPr>
            <w:tcW w:w="1166"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123B0D53" w14:textId="77777777" w:rsidR="00C11750" w:rsidRPr="00BC6A27" w:rsidRDefault="00C11750" w:rsidP="00A43B05">
            <w:pPr>
              <w:spacing w:before="60" w:after="60"/>
              <w:rPr>
                <w:rFonts w:cstheme="minorHAnsi"/>
              </w:rPr>
            </w:pPr>
            <w:r w:rsidRPr="00BC6A27">
              <w:rPr>
                <w:rFonts w:cstheme="minorHAnsi"/>
                <w:color w:val="000000"/>
              </w:rPr>
              <w:t>$100m</w:t>
            </w:r>
          </w:p>
        </w:tc>
        <w:tc>
          <w:tcPr>
            <w:tcW w:w="933"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7E7AF101" w14:textId="77777777" w:rsidR="00C11750" w:rsidRPr="00BC6A27" w:rsidRDefault="00C11750" w:rsidP="00A43B05">
            <w:pPr>
              <w:spacing w:before="60" w:after="60"/>
              <w:rPr>
                <w:rFonts w:cstheme="minorHAnsi"/>
              </w:rPr>
            </w:pPr>
            <w:r w:rsidRPr="00BC6A27">
              <w:rPr>
                <w:rFonts w:cstheme="minorHAnsi"/>
                <w:color w:val="000000"/>
              </w:rPr>
              <w:t>$0m</w:t>
            </w:r>
          </w:p>
        </w:tc>
      </w:tr>
      <w:tr w:rsidR="003F1C0E" w:rsidRPr="00BC6A27" w14:paraId="4DB5AC56" w14:textId="77777777" w:rsidTr="00F029A9">
        <w:tc>
          <w:tcPr>
            <w:tcW w:w="24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51E26B2" w14:textId="77777777" w:rsidR="005C5A50" w:rsidRPr="00BC6A27" w:rsidRDefault="005C5A50" w:rsidP="00A43B05">
            <w:pPr>
              <w:spacing w:before="60" w:after="60"/>
              <w:rPr>
                <w:rFonts w:cstheme="minorHAnsi"/>
                <w:b/>
                <w:bCs/>
              </w:rPr>
            </w:pPr>
            <w:r w:rsidRPr="00BC6A27">
              <w:rPr>
                <w:rFonts w:cstheme="minorHAnsi"/>
                <w:b/>
                <w:bCs/>
              </w:rPr>
              <w:t>Total</w:t>
            </w:r>
          </w:p>
        </w:tc>
        <w:tc>
          <w:tcPr>
            <w:tcW w:w="1276" w:type="dxa"/>
            <w:tcBorders>
              <w:top w:val="single" w:sz="8" w:space="0" w:color="auto"/>
              <w:left w:val="nil"/>
              <w:bottom w:val="single" w:sz="4" w:space="0" w:color="auto"/>
              <w:right w:val="single" w:sz="8" w:space="0" w:color="auto"/>
            </w:tcBorders>
            <w:shd w:val="clear" w:color="auto" w:fill="D2E8FF" w:themeFill="text2" w:themeFillTint="1A"/>
            <w:tcMar>
              <w:top w:w="0" w:type="dxa"/>
              <w:left w:w="108" w:type="dxa"/>
              <w:bottom w:w="0" w:type="dxa"/>
              <w:right w:w="108" w:type="dxa"/>
            </w:tcMar>
            <w:hideMark/>
          </w:tcPr>
          <w:p w14:paraId="30BF49A4" w14:textId="1E5A9681" w:rsidR="005C5A50" w:rsidRPr="00BC6A27" w:rsidRDefault="005C5A50" w:rsidP="00A43B05">
            <w:pPr>
              <w:spacing w:before="60" w:after="60"/>
              <w:rPr>
                <w:rFonts w:cstheme="minorHAnsi"/>
                <w:b/>
                <w:bCs/>
              </w:rPr>
            </w:pPr>
            <w:r w:rsidRPr="00BC6A27">
              <w:rPr>
                <w:rFonts w:cstheme="minorHAnsi"/>
                <w:b/>
                <w:bCs/>
              </w:rPr>
              <w:t>$12</w:t>
            </w:r>
            <w:r w:rsidR="003F1C0E" w:rsidRPr="00BC6A27">
              <w:rPr>
                <w:rFonts w:cstheme="minorHAnsi"/>
                <w:b/>
                <w:bCs/>
              </w:rPr>
              <w:t>0</w:t>
            </w:r>
            <w:r w:rsidRPr="00BC6A27">
              <w:rPr>
                <w:rFonts w:cstheme="minorHAnsi"/>
                <w:b/>
                <w:bCs/>
              </w:rPr>
              <w:t>m</w:t>
            </w:r>
          </w:p>
        </w:tc>
        <w:tc>
          <w:tcPr>
            <w:tcW w:w="992" w:type="dxa"/>
            <w:tcBorders>
              <w:top w:val="single" w:sz="8" w:space="0" w:color="auto"/>
              <w:left w:val="nil"/>
              <w:bottom w:val="single" w:sz="4" w:space="0" w:color="auto"/>
              <w:right w:val="single" w:sz="8" w:space="0" w:color="auto"/>
            </w:tcBorders>
            <w:shd w:val="clear" w:color="auto" w:fill="D2E8FF" w:themeFill="text2" w:themeFillTint="1A"/>
            <w:tcMar>
              <w:top w:w="0" w:type="dxa"/>
              <w:left w:w="108" w:type="dxa"/>
              <w:bottom w:w="0" w:type="dxa"/>
              <w:right w:w="108" w:type="dxa"/>
            </w:tcMar>
            <w:hideMark/>
          </w:tcPr>
          <w:p w14:paraId="3578DD4A" w14:textId="5CCF2238" w:rsidR="005C5A50" w:rsidRPr="00BC6A27" w:rsidRDefault="005C5A50" w:rsidP="00A43B05">
            <w:pPr>
              <w:spacing w:before="60" w:after="60"/>
              <w:rPr>
                <w:rFonts w:cstheme="minorHAnsi"/>
                <w:b/>
                <w:bCs/>
                <w:vertAlign w:val="superscript"/>
              </w:rPr>
            </w:pPr>
            <w:r w:rsidRPr="00BC6A27">
              <w:rPr>
                <w:rFonts w:cstheme="minorHAnsi"/>
                <w:b/>
                <w:bCs/>
              </w:rPr>
              <w:t>$11</w:t>
            </w:r>
            <w:r w:rsidR="003F1C0E" w:rsidRPr="00BC6A27">
              <w:rPr>
                <w:rFonts w:cstheme="minorHAnsi"/>
                <w:b/>
                <w:bCs/>
              </w:rPr>
              <w:t>5</w:t>
            </w:r>
          </w:p>
        </w:tc>
        <w:tc>
          <w:tcPr>
            <w:tcW w:w="1175" w:type="dxa"/>
            <w:tcBorders>
              <w:top w:val="single" w:sz="8" w:space="0" w:color="auto"/>
              <w:left w:val="nil"/>
              <w:bottom w:val="single" w:sz="4" w:space="0" w:color="auto"/>
              <w:right w:val="single" w:sz="8" w:space="0" w:color="auto"/>
            </w:tcBorders>
            <w:shd w:val="clear" w:color="auto" w:fill="D2E8FF" w:themeFill="text2" w:themeFillTint="1A"/>
            <w:tcMar>
              <w:top w:w="0" w:type="dxa"/>
              <w:left w:w="108" w:type="dxa"/>
              <w:bottom w:w="0" w:type="dxa"/>
              <w:right w:w="108" w:type="dxa"/>
            </w:tcMar>
            <w:hideMark/>
          </w:tcPr>
          <w:p w14:paraId="78CE2902" w14:textId="77777777" w:rsidR="005C5A50" w:rsidRPr="00BC6A27" w:rsidRDefault="005C5A50" w:rsidP="00A43B05">
            <w:pPr>
              <w:spacing w:before="60" w:after="60"/>
              <w:rPr>
                <w:rFonts w:cstheme="minorHAnsi"/>
                <w:b/>
                <w:bCs/>
              </w:rPr>
            </w:pPr>
            <w:r w:rsidRPr="00BC6A27">
              <w:rPr>
                <w:rFonts w:cstheme="minorHAnsi"/>
                <w:b/>
                <w:bCs/>
              </w:rPr>
              <w:t>$5m</w:t>
            </w:r>
          </w:p>
        </w:tc>
        <w:tc>
          <w:tcPr>
            <w:tcW w:w="1064" w:type="dxa"/>
            <w:tcBorders>
              <w:top w:val="single" w:sz="8" w:space="0" w:color="auto"/>
              <w:left w:val="nil"/>
              <w:bottom w:val="single" w:sz="4" w:space="0" w:color="auto"/>
              <w:right w:val="single" w:sz="8" w:space="0" w:color="auto"/>
            </w:tcBorders>
            <w:shd w:val="clear" w:color="auto" w:fill="A5C9EB"/>
            <w:tcMar>
              <w:top w:w="0" w:type="dxa"/>
              <w:left w:w="108" w:type="dxa"/>
              <w:bottom w:w="0" w:type="dxa"/>
              <w:right w:w="108" w:type="dxa"/>
            </w:tcMar>
            <w:hideMark/>
          </w:tcPr>
          <w:p w14:paraId="18083CB9" w14:textId="72594C17" w:rsidR="005C5A50" w:rsidRPr="00BC6A27" w:rsidRDefault="005C5A50" w:rsidP="00A43B05">
            <w:pPr>
              <w:spacing w:before="60" w:after="60"/>
              <w:rPr>
                <w:rFonts w:cstheme="minorHAnsi"/>
                <w:b/>
                <w:bCs/>
              </w:rPr>
            </w:pPr>
            <w:r w:rsidRPr="00BC6A27">
              <w:rPr>
                <w:rFonts w:cstheme="minorHAnsi"/>
                <w:b/>
                <w:bCs/>
                <w:color w:val="000000"/>
              </w:rPr>
              <w:t>$12</w:t>
            </w:r>
            <w:r w:rsidR="003F1C0E" w:rsidRPr="00BC6A27">
              <w:rPr>
                <w:rFonts w:cstheme="minorHAnsi"/>
                <w:b/>
                <w:bCs/>
                <w:color w:val="000000"/>
              </w:rPr>
              <w:t>0</w:t>
            </w:r>
            <w:r w:rsidRPr="00BC6A27">
              <w:rPr>
                <w:rFonts w:cstheme="minorHAnsi"/>
                <w:b/>
                <w:bCs/>
                <w:color w:val="000000"/>
              </w:rPr>
              <w:t>m</w:t>
            </w:r>
          </w:p>
        </w:tc>
        <w:tc>
          <w:tcPr>
            <w:tcW w:w="1166" w:type="dxa"/>
            <w:tcBorders>
              <w:top w:val="single" w:sz="8" w:space="0" w:color="auto"/>
              <w:left w:val="nil"/>
              <w:bottom w:val="single" w:sz="4" w:space="0" w:color="auto"/>
              <w:right w:val="single" w:sz="8" w:space="0" w:color="auto"/>
            </w:tcBorders>
            <w:shd w:val="clear" w:color="auto" w:fill="A5C9EB"/>
            <w:tcMar>
              <w:top w:w="0" w:type="dxa"/>
              <w:left w:w="108" w:type="dxa"/>
              <w:bottom w:w="0" w:type="dxa"/>
              <w:right w:w="108" w:type="dxa"/>
            </w:tcMar>
            <w:hideMark/>
          </w:tcPr>
          <w:p w14:paraId="0F0E3697" w14:textId="48660B1C" w:rsidR="005C5A50" w:rsidRPr="00BC6A27" w:rsidRDefault="005C5A50" w:rsidP="00A43B05">
            <w:pPr>
              <w:spacing w:before="60" w:after="60"/>
              <w:rPr>
                <w:rFonts w:cstheme="minorHAnsi"/>
                <w:b/>
                <w:bCs/>
              </w:rPr>
            </w:pPr>
            <w:r w:rsidRPr="00BC6A27">
              <w:rPr>
                <w:rFonts w:cstheme="minorHAnsi"/>
                <w:b/>
                <w:bCs/>
                <w:color w:val="000000"/>
              </w:rPr>
              <w:t>$11</w:t>
            </w:r>
            <w:r w:rsidR="003F1C0E" w:rsidRPr="00BC6A27">
              <w:rPr>
                <w:rFonts w:cstheme="minorHAnsi"/>
                <w:b/>
                <w:bCs/>
                <w:color w:val="000000"/>
              </w:rPr>
              <w:t>5</w:t>
            </w:r>
            <w:r w:rsidRPr="00BC6A27">
              <w:rPr>
                <w:rFonts w:cstheme="minorHAnsi"/>
                <w:b/>
                <w:bCs/>
                <w:color w:val="000000"/>
              </w:rPr>
              <w:t>m</w:t>
            </w:r>
          </w:p>
        </w:tc>
        <w:tc>
          <w:tcPr>
            <w:tcW w:w="933" w:type="dxa"/>
            <w:tcBorders>
              <w:top w:val="single" w:sz="8" w:space="0" w:color="auto"/>
              <w:left w:val="nil"/>
              <w:bottom w:val="single" w:sz="4" w:space="0" w:color="auto"/>
              <w:right w:val="single" w:sz="8" w:space="0" w:color="auto"/>
            </w:tcBorders>
            <w:shd w:val="clear" w:color="auto" w:fill="A5C9EB"/>
            <w:tcMar>
              <w:top w:w="0" w:type="dxa"/>
              <w:left w:w="108" w:type="dxa"/>
              <w:bottom w:w="0" w:type="dxa"/>
              <w:right w:w="108" w:type="dxa"/>
            </w:tcMar>
            <w:hideMark/>
          </w:tcPr>
          <w:p w14:paraId="2F50E6DE" w14:textId="77777777" w:rsidR="005C5A50" w:rsidRPr="00BC6A27" w:rsidRDefault="005C5A50" w:rsidP="00A43B05">
            <w:pPr>
              <w:spacing w:before="60" w:after="60"/>
              <w:rPr>
                <w:rFonts w:cstheme="minorHAnsi"/>
                <w:b/>
                <w:bCs/>
              </w:rPr>
            </w:pPr>
            <w:r w:rsidRPr="00BC6A27">
              <w:rPr>
                <w:rFonts w:cstheme="minorHAnsi"/>
                <w:b/>
                <w:bCs/>
                <w:color w:val="000000"/>
              </w:rPr>
              <w:t>$5m</w:t>
            </w:r>
          </w:p>
        </w:tc>
      </w:tr>
      <w:tr w:rsidR="003F1C0E" w:rsidRPr="00BC6A27" w14:paraId="672DC703" w14:textId="77777777" w:rsidTr="00F029A9">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8B995B" w14:textId="64C0E68D" w:rsidR="003F1C0E" w:rsidRPr="00BC6A27" w:rsidRDefault="003F1C0E" w:rsidP="003A7FA6">
            <w:pPr>
              <w:spacing w:before="60" w:after="60"/>
              <w:rPr>
                <w:rFonts w:cstheme="minorHAnsi"/>
                <w:b/>
                <w:bCs/>
                <w:vertAlign w:val="superscript"/>
              </w:rPr>
            </w:pPr>
            <w:r w:rsidRPr="00BC6A27">
              <w:rPr>
                <w:rFonts w:cstheme="minorHAnsi"/>
              </w:rPr>
              <w:t>Medical Student Loading</w:t>
            </w:r>
            <w:r w:rsidR="009B718F" w:rsidRPr="00BC6A27">
              <w:rPr>
                <w:rFonts w:cstheme="minorHAnsi"/>
                <w:vertAlign w:val="superscript"/>
              </w:rPr>
              <w:t>4</w:t>
            </w:r>
          </w:p>
        </w:tc>
        <w:tc>
          <w:tcPr>
            <w:tcW w:w="12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86F294" w14:textId="77777777" w:rsidR="003F1C0E" w:rsidRPr="00BC6A27" w:rsidRDefault="003F1C0E" w:rsidP="003A7FA6">
            <w:pPr>
              <w:spacing w:before="60" w:after="60"/>
              <w:rPr>
                <w:rFonts w:cstheme="minorHAnsi"/>
                <w:b/>
                <w:bCs/>
              </w:rPr>
            </w:pPr>
            <w:r w:rsidRPr="00BC6A27">
              <w:rPr>
                <w:rFonts w:cstheme="minorHAnsi"/>
              </w:rPr>
              <w:t>$1m</w:t>
            </w:r>
          </w:p>
        </w:tc>
        <w:tc>
          <w:tcPr>
            <w:tcW w:w="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14EC4A" w14:textId="77777777" w:rsidR="003F1C0E" w:rsidRPr="00BC6A27" w:rsidRDefault="003F1C0E" w:rsidP="003A7FA6">
            <w:pPr>
              <w:spacing w:before="60" w:after="60"/>
              <w:rPr>
                <w:rFonts w:cstheme="minorHAnsi"/>
                <w:b/>
                <w:bCs/>
              </w:rPr>
            </w:pPr>
            <w:r w:rsidRPr="00BC6A27">
              <w:rPr>
                <w:rFonts w:cstheme="minorHAnsi"/>
              </w:rPr>
              <w:t>$0.5m</w:t>
            </w:r>
          </w:p>
        </w:tc>
        <w:tc>
          <w:tcPr>
            <w:tcW w:w="117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B9822A" w14:textId="6B4D2318" w:rsidR="003F1C0E" w:rsidRPr="00BC6A27" w:rsidRDefault="003F1C0E" w:rsidP="003A7FA6">
            <w:pPr>
              <w:spacing w:before="60" w:after="60"/>
              <w:rPr>
                <w:rFonts w:cstheme="minorHAnsi"/>
                <w:b/>
                <w:bCs/>
              </w:rPr>
            </w:pPr>
            <w:r w:rsidRPr="00BC6A27">
              <w:rPr>
                <w:rFonts w:cstheme="minorHAnsi"/>
              </w:rPr>
              <w:t>$0m</w:t>
            </w:r>
          </w:p>
        </w:tc>
        <w:tc>
          <w:tcPr>
            <w:tcW w:w="106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C35055" w14:textId="77777777" w:rsidR="003F1C0E" w:rsidRPr="00BC6A27" w:rsidRDefault="003F1C0E" w:rsidP="003A7FA6">
            <w:pPr>
              <w:spacing w:before="60" w:after="60"/>
              <w:rPr>
                <w:rFonts w:cstheme="minorHAnsi"/>
                <w:b/>
                <w:bCs/>
                <w:color w:val="000000"/>
              </w:rPr>
            </w:pPr>
            <w:r w:rsidRPr="00BC6A27">
              <w:rPr>
                <w:rFonts w:cstheme="minorHAnsi"/>
                <w:color w:val="000000"/>
              </w:rPr>
              <w:t>$1m</w:t>
            </w:r>
          </w:p>
        </w:tc>
        <w:tc>
          <w:tcPr>
            <w:tcW w:w="116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EDCD3C" w14:textId="77777777" w:rsidR="003F1C0E" w:rsidRPr="00BC6A27" w:rsidRDefault="003F1C0E" w:rsidP="003A7FA6">
            <w:pPr>
              <w:spacing w:before="60" w:after="60"/>
              <w:rPr>
                <w:rFonts w:cstheme="minorHAnsi"/>
                <w:b/>
                <w:bCs/>
                <w:color w:val="000000"/>
              </w:rPr>
            </w:pPr>
            <w:r w:rsidRPr="00BC6A27">
              <w:rPr>
                <w:rFonts w:cstheme="minorHAnsi"/>
                <w:color w:val="000000"/>
              </w:rPr>
              <w:t>$1m</w:t>
            </w:r>
          </w:p>
        </w:tc>
        <w:tc>
          <w:tcPr>
            <w:tcW w:w="93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7301E" w14:textId="77777777" w:rsidR="003F1C0E" w:rsidRPr="00BC6A27" w:rsidRDefault="003F1C0E" w:rsidP="003A7FA6">
            <w:pPr>
              <w:spacing w:before="60" w:after="60"/>
              <w:rPr>
                <w:rFonts w:cstheme="minorHAnsi"/>
                <w:b/>
                <w:bCs/>
                <w:color w:val="000000"/>
              </w:rPr>
            </w:pPr>
            <w:r w:rsidRPr="00BC6A27">
              <w:rPr>
                <w:rFonts w:cstheme="minorHAnsi"/>
                <w:color w:val="000000"/>
              </w:rPr>
              <w:t>$0m</w:t>
            </w:r>
          </w:p>
        </w:tc>
      </w:tr>
    </w:tbl>
    <w:p w14:paraId="287318D9" w14:textId="77777777" w:rsidR="009B718F" w:rsidRPr="00BC6A27" w:rsidRDefault="009B718F" w:rsidP="009B718F">
      <w:pPr>
        <w:pStyle w:val="ListParagraph"/>
        <w:numPr>
          <w:ilvl w:val="0"/>
          <w:numId w:val="41"/>
        </w:numPr>
        <w:spacing w:after="0" w:line="240" w:lineRule="auto"/>
        <w:ind w:right="-46"/>
        <w:rPr>
          <w:rFonts w:eastAsia="Times New Roman" w:cstheme="minorHAnsi"/>
          <w:sz w:val="20"/>
          <w:szCs w:val="20"/>
        </w:rPr>
      </w:pPr>
      <w:bookmarkStart w:id="2" w:name="_Hlk170480614"/>
      <w:r w:rsidRPr="00BC6A27">
        <w:rPr>
          <w:rFonts w:eastAsia="Times New Roman" w:cstheme="minorHAnsi"/>
          <w:sz w:val="20"/>
          <w:szCs w:val="20"/>
        </w:rPr>
        <w:t xml:space="preserve">The figures in this column are the amounts allocated under each component of their MBGA, as outlined in their funding agreement. </w:t>
      </w:r>
    </w:p>
    <w:p w14:paraId="3B8EDFC6" w14:textId="77777777" w:rsidR="009B718F" w:rsidRPr="00BC6A27" w:rsidRDefault="009B718F" w:rsidP="009B718F">
      <w:pPr>
        <w:pStyle w:val="ListParagraph"/>
        <w:numPr>
          <w:ilvl w:val="0"/>
          <w:numId w:val="41"/>
        </w:numPr>
        <w:spacing w:after="0" w:line="240" w:lineRule="auto"/>
        <w:ind w:right="-46"/>
        <w:rPr>
          <w:rFonts w:eastAsia="Times New Roman" w:cstheme="minorHAnsi"/>
          <w:sz w:val="20"/>
          <w:szCs w:val="20"/>
        </w:rPr>
      </w:pPr>
      <w:r w:rsidRPr="00BC6A27">
        <w:rPr>
          <w:rFonts w:eastAsia="Times New Roman" w:cstheme="minorHAnsi"/>
          <w:sz w:val="20"/>
          <w:szCs w:val="20"/>
        </w:rPr>
        <w:t>This figure is the total funding the provider is entitled to receive as allowed for under Division 33 of HESA.</w:t>
      </w:r>
    </w:p>
    <w:p w14:paraId="4DA14957" w14:textId="59687307" w:rsidR="00C11750" w:rsidRPr="00BC6A27" w:rsidRDefault="00C11750" w:rsidP="00A43B05">
      <w:pPr>
        <w:pStyle w:val="ListParagraph"/>
        <w:numPr>
          <w:ilvl w:val="0"/>
          <w:numId w:val="41"/>
        </w:numPr>
        <w:spacing w:after="0" w:line="240" w:lineRule="auto"/>
        <w:ind w:right="-46"/>
        <w:rPr>
          <w:rFonts w:eastAsia="Times New Roman" w:cstheme="minorHAnsi"/>
          <w:sz w:val="20"/>
          <w:szCs w:val="20"/>
          <w14:ligatures w14:val="standardContextual"/>
        </w:rPr>
      </w:pPr>
      <w:r w:rsidRPr="00BC6A27">
        <w:rPr>
          <w:rFonts w:eastAsia="Times New Roman" w:cstheme="minorHAnsi"/>
          <w:sz w:val="20"/>
          <w:szCs w:val="20"/>
        </w:rPr>
        <w:t xml:space="preserve">This figure is the total funding the provider would receive if they were paid for the EFTSL </w:t>
      </w:r>
      <w:proofErr w:type="gramStart"/>
      <w:r w:rsidRPr="00BC6A27">
        <w:rPr>
          <w:rFonts w:eastAsia="Times New Roman" w:cstheme="minorHAnsi"/>
          <w:sz w:val="20"/>
          <w:szCs w:val="20"/>
        </w:rPr>
        <w:t xml:space="preserve">actually </w:t>
      </w:r>
      <w:r w:rsidR="00A85100" w:rsidRPr="00BC6A27">
        <w:rPr>
          <w:rFonts w:eastAsia="Times New Roman" w:cstheme="minorHAnsi"/>
          <w:sz w:val="20"/>
          <w:szCs w:val="20"/>
        </w:rPr>
        <w:t>delivered</w:t>
      </w:r>
      <w:proofErr w:type="gramEnd"/>
      <w:r w:rsidR="00A85100" w:rsidRPr="00BC6A27">
        <w:rPr>
          <w:rFonts w:eastAsia="Times New Roman" w:cstheme="minorHAnsi"/>
          <w:sz w:val="20"/>
          <w:szCs w:val="20"/>
        </w:rPr>
        <w:t xml:space="preserve"> </w:t>
      </w:r>
      <w:r w:rsidRPr="00BC6A27">
        <w:rPr>
          <w:rFonts w:eastAsia="Times New Roman" w:cstheme="minorHAnsi"/>
          <w:sz w:val="20"/>
          <w:szCs w:val="20"/>
        </w:rPr>
        <w:t>at their institution</w:t>
      </w:r>
      <w:r w:rsidR="00A85100" w:rsidRPr="00BC6A27">
        <w:rPr>
          <w:rFonts w:eastAsia="Times New Roman" w:cstheme="minorHAnsi"/>
          <w:sz w:val="20"/>
          <w:szCs w:val="20"/>
        </w:rPr>
        <w:t>, however, their funding is limited to their HEC Base MBGA allocation</w:t>
      </w:r>
      <w:r w:rsidRPr="00BC6A27">
        <w:rPr>
          <w:rFonts w:eastAsia="Times New Roman" w:cstheme="minorHAnsi"/>
          <w:sz w:val="20"/>
          <w:szCs w:val="20"/>
        </w:rPr>
        <w:t>.</w:t>
      </w:r>
    </w:p>
    <w:bookmarkEnd w:id="2"/>
    <w:p w14:paraId="51E0F8FF" w14:textId="3747DDF9" w:rsidR="005C5A50" w:rsidRPr="00BC6A27" w:rsidRDefault="005C5A50" w:rsidP="00A43B05">
      <w:pPr>
        <w:pStyle w:val="ListParagraph"/>
        <w:numPr>
          <w:ilvl w:val="0"/>
          <w:numId w:val="41"/>
        </w:numPr>
        <w:spacing w:after="0" w:line="240" w:lineRule="auto"/>
        <w:ind w:left="499" w:right="-46" w:hanging="357"/>
        <w:rPr>
          <w:rFonts w:eastAsia="Times New Roman" w:cstheme="minorHAnsi"/>
          <w:sz w:val="20"/>
          <w:szCs w:val="20"/>
        </w:rPr>
      </w:pPr>
      <w:r w:rsidRPr="00BC6A27">
        <w:rPr>
          <w:rFonts w:eastAsia="Times New Roman" w:cstheme="minorHAnsi"/>
          <w:sz w:val="20"/>
          <w:szCs w:val="20"/>
        </w:rPr>
        <w:t>Medical Student Loading is not reconciled.</w:t>
      </w:r>
    </w:p>
    <w:p w14:paraId="607FBF75" w14:textId="0E013336" w:rsidR="00351934" w:rsidRPr="00A43B05" w:rsidRDefault="00351934" w:rsidP="0093622B">
      <w:pPr>
        <w:pStyle w:val="Heading3"/>
      </w:pPr>
      <w:r>
        <w:t xml:space="preserve">How will providers know </w:t>
      </w:r>
      <w:r w:rsidR="00884654">
        <w:t>much HECG funding is available</w:t>
      </w:r>
      <w:r w:rsidRPr="0084454C">
        <w:t>?</w:t>
      </w:r>
    </w:p>
    <w:p w14:paraId="25CAECB9" w14:textId="15640743" w:rsidR="00AC1755" w:rsidRPr="00A43B05" w:rsidRDefault="0093622B" w:rsidP="0093622B">
      <w:pPr>
        <w:rPr>
          <w:rFonts w:eastAsia="Calibri" w:cstheme="minorHAnsi"/>
        </w:rPr>
      </w:pPr>
      <w:r w:rsidRPr="00A43B05">
        <w:rPr>
          <w:rFonts w:eastAsia="Calibri" w:cstheme="minorHAnsi"/>
        </w:rPr>
        <w:t xml:space="preserve">The </w:t>
      </w:r>
      <w:r w:rsidR="003248AB" w:rsidRPr="00A43B05">
        <w:rPr>
          <w:rFonts w:eastAsia="Calibri" w:cstheme="minorHAnsi"/>
        </w:rPr>
        <w:t xml:space="preserve">department </w:t>
      </w:r>
      <w:r w:rsidRPr="00A43B05">
        <w:rPr>
          <w:rFonts w:eastAsia="Calibri" w:cstheme="minorHAnsi"/>
        </w:rPr>
        <w:t xml:space="preserve">will assist providers in identifying </w:t>
      </w:r>
      <w:r w:rsidR="00E0075C" w:rsidRPr="00A43B05">
        <w:rPr>
          <w:rFonts w:eastAsia="Calibri" w:cstheme="minorHAnsi"/>
        </w:rPr>
        <w:t>if they</w:t>
      </w:r>
      <w:r w:rsidRPr="00A43B05">
        <w:rPr>
          <w:rFonts w:eastAsia="Calibri" w:cstheme="minorHAnsi"/>
        </w:rPr>
        <w:t xml:space="preserve"> may be under-enrolled and entitled to the HECG through the bi-annual CGS/HECS-HELP Estimates Collection process</w:t>
      </w:r>
      <w:r w:rsidR="00DD6D37" w:rsidRPr="00A43B05">
        <w:rPr>
          <w:rFonts w:eastAsia="Calibri" w:cstheme="minorHAnsi"/>
        </w:rPr>
        <w:t xml:space="preserve"> (</w:t>
      </w:r>
      <w:r w:rsidR="008C49EC" w:rsidRPr="00A43B05">
        <w:rPr>
          <w:rFonts w:eastAsia="Calibri" w:cstheme="minorHAnsi"/>
        </w:rPr>
        <w:t xml:space="preserve">April </w:t>
      </w:r>
      <w:r w:rsidR="00DD6D37" w:rsidRPr="00A43B05">
        <w:rPr>
          <w:rFonts w:eastAsia="Calibri" w:cstheme="minorHAnsi"/>
        </w:rPr>
        <w:t>and October</w:t>
      </w:r>
      <w:r w:rsidR="00DB7AF6" w:rsidRPr="00A43B05">
        <w:rPr>
          <w:rFonts w:eastAsia="Calibri" w:cstheme="minorHAnsi"/>
        </w:rPr>
        <w:t>)</w:t>
      </w:r>
      <w:r w:rsidR="00F315BC" w:rsidRPr="00A43B05">
        <w:rPr>
          <w:rFonts w:eastAsia="Calibri" w:cstheme="minorHAnsi"/>
        </w:rPr>
        <w:t xml:space="preserve">. </w:t>
      </w:r>
      <w:r w:rsidR="00AA696A" w:rsidRPr="00A43B05">
        <w:rPr>
          <w:rFonts w:eastAsia="Calibri" w:cstheme="minorHAnsi"/>
        </w:rPr>
        <w:t>Information gathered through t</w:t>
      </w:r>
      <w:r w:rsidR="000619CD" w:rsidRPr="00A43B05">
        <w:rPr>
          <w:rFonts w:eastAsia="Calibri" w:cstheme="minorHAnsi"/>
        </w:rPr>
        <w:t xml:space="preserve">he estimates process can help </w:t>
      </w:r>
      <w:r w:rsidR="00AA696A" w:rsidRPr="00A43B05">
        <w:rPr>
          <w:rFonts w:eastAsia="Calibri" w:cstheme="minorHAnsi"/>
        </w:rPr>
        <w:t xml:space="preserve">providers </w:t>
      </w:r>
      <w:r w:rsidR="00F315BC" w:rsidRPr="00A43B05">
        <w:rPr>
          <w:rFonts w:eastAsia="Calibri" w:cstheme="minorHAnsi"/>
        </w:rPr>
        <w:t>develop</w:t>
      </w:r>
      <w:r w:rsidR="00D601D1" w:rsidRPr="00A43B05">
        <w:rPr>
          <w:rFonts w:eastAsia="Calibri" w:cstheme="minorHAnsi"/>
        </w:rPr>
        <w:t xml:space="preserve"> their </w:t>
      </w:r>
      <w:r w:rsidR="00535AAE" w:rsidRPr="00A43B05">
        <w:rPr>
          <w:rFonts w:eastAsia="Calibri" w:cstheme="minorHAnsi"/>
        </w:rPr>
        <w:t>E</w:t>
      </w:r>
      <w:r w:rsidR="00D601D1" w:rsidRPr="00A43B05">
        <w:rPr>
          <w:rFonts w:eastAsia="Calibri" w:cstheme="minorHAnsi"/>
        </w:rPr>
        <w:t xml:space="preserve">quity </w:t>
      </w:r>
      <w:r w:rsidR="00535AAE" w:rsidRPr="00A43B05">
        <w:rPr>
          <w:rFonts w:eastAsia="Calibri" w:cstheme="minorHAnsi"/>
        </w:rPr>
        <w:t>P</w:t>
      </w:r>
      <w:r w:rsidR="00D601D1" w:rsidRPr="00A43B05">
        <w:rPr>
          <w:rFonts w:eastAsia="Calibri" w:cstheme="minorHAnsi"/>
        </w:rPr>
        <w:t>lans for the relevant year.</w:t>
      </w:r>
      <w:r w:rsidRPr="00A43B05">
        <w:rPr>
          <w:rFonts w:eastAsia="Calibri" w:cstheme="minorHAnsi"/>
        </w:rPr>
        <w:t xml:space="preserve"> </w:t>
      </w:r>
    </w:p>
    <w:p w14:paraId="21A68572" w14:textId="0B3BA0DB" w:rsidR="00AC1755" w:rsidRPr="00542EF3" w:rsidRDefault="00AC1755" w:rsidP="00542EF3">
      <w:pPr>
        <w:rPr>
          <w:rFonts w:eastAsia="Times New Roman"/>
        </w:rPr>
      </w:pPr>
      <w:r w:rsidRPr="00542EF3">
        <w:rPr>
          <w:rFonts w:eastAsia="Times New Roman"/>
        </w:rPr>
        <w:t xml:space="preserve">This estimate is indicative only, based on the </w:t>
      </w:r>
      <w:r w:rsidR="00542EF3" w:rsidRPr="00970A81">
        <w:rPr>
          <w:rFonts w:ascii="Calibri" w:eastAsia="Calibri" w:hAnsi="Calibri" w:cs="Calibri"/>
        </w:rPr>
        <w:t xml:space="preserve">Equivalent Full-Time Student Load </w:t>
      </w:r>
      <w:r w:rsidR="00542EF3">
        <w:rPr>
          <w:rFonts w:ascii="Calibri" w:eastAsia="Calibri" w:hAnsi="Calibri" w:cs="Calibri"/>
        </w:rPr>
        <w:t>(</w:t>
      </w:r>
      <w:r w:rsidRPr="00542EF3">
        <w:rPr>
          <w:rFonts w:eastAsia="Times New Roman"/>
        </w:rPr>
        <w:t>EFTSL</w:t>
      </w:r>
      <w:r w:rsidR="00542EF3">
        <w:rPr>
          <w:rFonts w:eastAsia="Times New Roman"/>
        </w:rPr>
        <w:t>)</w:t>
      </w:r>
      <w:r w:rsidRPr="00542EF3">
        <w:rPr>
          <w:rFonts w:eastAsia="Times New Roman"/>
        </w:rPr>
        <w:t xml:space="preserve"> estimates submitted by each provider, and actual eligibility may differ. Provider eligibility and actual amount of HECG will be calculated </w:t>
      </w:r>
      <w:r w:rsidR="005600AB" w:rsidRPr="00542EF3">
        <w:rPr>
          <w:rFonts w:eastAsia="Times New Roman"/>
        </w:rPr>
        <w:t>following</w:t>
      </w:r>
      <w:r w:rsidRPr="00542EF3">
        <w:rPr>
          <w:rFonts w:eastAsia="Times New Roman"/>
        </w:rPr>
        <w:t xml:space="preserve"> reconciliation of provider CGS entitlements.</w:t>
      </w:r>
    </w:p>
    <w:p w14:paraId="2D570B3C" w14:textId="369772C9" w:rsidR="00573F0D" w:rsidRDefault="00AC1755" w:rsidP="00D03126">
      <w:pPr>
        <w:spacing w:after="160" w:line="252" w:lineRule="auto"/>
        <w:rPr>
          <w:rFonts w:ascii="Calibri" w:eastAsia="Calibri" w:hAnsi="Calibri" w:cs="Calibri"/>
        </w:rPr>
      </w:pPr>
      <w:r w:rsidRPr="00542EF3">
        <w:rPr>
          <w:rFonts w:eastAsia="Times New Roman"/>
        </w:rPr>
        <w:t xml:space="preserve">The CGS reconciliation is undertaken in arrears based on requirements under the </w:t>
      </w:r>
      <w:r w:rsidRPr="00542EF3">
        <w:rPr>
          <w:rFonts w:eastAsia="Times New Roman"/>
          <w:i/>
          <w:iCs/>
        </w:rPr>
        <w:t>Higher Education Support Act 2003</w:t>
      </w:r>
      <w:r w:rsidRPr="00542EF3">
        <w:rPr>
          <w:rFonts w:eastAsia="Times New Roman"/>
        </w:rPr>
        <w:t xml:space="preserve"> and utilises more detailed verified student enrolment data submitted by providers through the Tertiary Collection of Student Information</w:t>
      </w:r>
      <w:r w:rsidR="00F34A53" w:rsidRPr="00542EF3">
        <w:rPr>
          <w:rFonts w:eastAsia="Times New Roman"/>
        </w:rPr>
        <w:t xml:space="preserve"> (TCSI)</w:t>
      </w:r>
      <w:r w:rsidRPr="00542EF3">
        <w:rPr>
          <w:rFonts w:eastAsia="Times New Roman"/>
        </w:rPr>
        <w:t xml:space="preserve"> system.</w:t>
      </w:r>
    </w:p>
    <w:p w14:paraId="3A4B64C9" w14:textId="30D175F2" w:rsidR="008B7F44" w:rsidRPr="0084454C" w:rsidRDefault="005A37C7" w:rsidP="0084454C">
      <w:pPr>
        <w:pStyle w:val="Heading3"/>
      </w:pPr>
      <w:r w:rsidRPr="0084454C">
        <w:t>When will providers be eligible for a HECG grant</w:t>
      </w:r>
      <w:r w:rsidR="008B7F44" w:rsidRPr="0084454C">
        <w:t>?</w:t>
      </w:r>
    </w:p>
    <w:p w14:paraId="20187B7E" w14:textId="79DC5AD2" w:rsidR="007767ED" w:rsidRDefault="00180B35" w:rsidP="00F45FBA">
      <w:r>
        <w:t>F</w:t>
      </w:r>
      <w:r w:rsidR="005A37C7">
        <w:t>or higher education providers to be eligible for a HECG grant for the 2024 and 2025 grant year, the provider</w:t>
      </w:r>
      <w:r w:rsidR="00E56D37">
        <w:t xml:space="preserve"> </w:t>
      </w:r>
      <w:r w:rsidR="008634F3">
        <w:t xml:space="preserve">must </w:t>
      </w:r>
      <w:r w:rsidR="005A37C7" w:rsidRPr="00F315BC">
        <w:t xml:space="preserve">spend </w:t>
      </w:r>
      <w:r w:rsidR="00EF6412" w:rsidRPr="005B7CEE">
        <w:t>fund</w:t>
      </w:r>
      <w:r w:rsidR="003A11A6" w:rsidRPr="005B7CEE">
        <w:t>s</w:t>
      </w:r>
      <w:r w:rsidR="00EF6412" w:rsidRPr="005B7CEE">
        <w:t xml:space="preserve"> remaining under their eligible </w:t>
      </w:r>
      <w:r w:rsidR="00EF6412" w:rsidRPr="00F315BC">
        <w:t xml:space="preserve">MBGA </w:t>
      </w:r>
      <w:r w:rsidR="00C86FF8">
        <w:t xml:space="preserve">within the specified </w:t>
      </w:r>
      <w:proofErr w:type="gramStart"/>
      <w:r w:rsidR="00C86FF8">
        <w:t>time period</w:t>
      </w:r>
      <w:proofErr w:type="gramEnd"/>
      <w:r w:rsidR="00C86FF8">
        <w:t xml:space="preserve"> </w:t>
      </w:r>
      <w:r w:rsidR="005A37C7">
        <w:t xml:space="preserve">to </w:t>
      </w:r>
      <w:r w:rsidR="008634F3">
        <w:t>directly support under-represented or disadvantaged students, referred to as ‘</w:t>
      </w:r>
      <w:r w:rsidR="008C49EC">
        <w:t>Equity Target Groups’</w:t>
      </w:r>
      <w:r w:rsidR="008634F3">
        <w:t xml:space="preserve">. </w:t>
      </w:r>
    </w:p>
    <w:p w14:paraId="3A3A8FEB" w14:textId="1756B525" w:rsidR="00F45FBA" w:rsidRDefault="005A7541" w:rsidP="00374B56">
      <w:r>
        <w:lastRenderedPageBreak/>
        <w:t xml:space="preserve">The Minister for Education has </w:t>
      </w:r>
      <w:r w:rsidRPr="00F315BC">
        <w:t xml:space="preserve">approved a list of </w:t>
      </w:r>
      <w:r w:rsidR="00C759E6" w:rsidRPr="00F315BC">
        <w:t>possible</w:t>
      </w:r>
      <w:r w:rsidRPr="00F315BC">
        <w:t xml:space="preserve"> uses</w:t>
      </w:r>
      <w:r>
        <w:t xml:space="preserve"> </w:t>
      </w:r>
      <w:r w:rsidR="00B34CE0">
        <w:t>of</w:t>
      </w:r>
      <w:r w:rsidR="00F61FC9">
        <w:t xml:space="preserve"> </w:t>
      </w:r>
      <w:r w:rsidR="005A37C7">
        <w:t xml:space="preserve">HECG </w:t>
      </w:r>
      <w:r w:rsidR="00F61FC9">
        <w:t>funding</w:t>
      </w:r>
      <w:r w:rsidR="00F65BDC">
        <w:t xml:space="preserve"> to support equity outcomes</w:t>
      </w:r>
      <w:r w:rsidR="00911121">
        <w:t>. The</w:t>
      </w:r>
      <w:r w:rsidR="00714184">
        <w:t xml:space="preserve"> </w:t>
      </w:r>
      <w:r w:rsidR="005A37C7">
        <w:t>Guidelines</w:t>
      </w:r>
      <w:r w:rsidR="00911121">
        <w:t xml:space="preserve"> </w:t>
      </w:r>
      <w:r w:rsidR="445FB235">
        <w:t xml:space="preserve">will </w:t>
      </w:r>
      <w:r w:rsidR="00911121">
        <w:t xml:space="preserve">be amended </w:t>
      </w:r>
      <w:r w:rsidR="00E118A0">
        <w:t xml:space="preserve">to </w:t>
      </w:r>
      <w:r w:rsidR="0003771B">
        <w:t xml:space="preserve">reflect </w:t>
      </w:r>
      <w:r w:rsidR="00251608">
        <w:t xml:space="preserve">these </w:t>
      </w:r>
      <w:r w:rsidR="00922AFB">
        <w:t>possible</w:t>
      </w:r>
      <w:r w:rsidR="00251608">
        <w:t xml:space="preserve"> uses</w:t>
      </w:r>
      <w:r w:rsidR="00C200DA">
        <w:t>.</w:t>
      </w:r>
      <w:r w:rsidR="00CB7343">
        <w:t xml:space="preserve"> Providers must </w:t>
      </w:r>
      <w:r w:rsidR="005A37C7">
        <w:t xml:space="preserve">include information on </w:t>
      </w:r>
      <w:r w:rsidR="00F77FCB">
        <w:t xml:space="preserve">the equity initiatives </w:t>
      </w:r>
      <w:r w:rsidR="00B96AB6">
        <w:t>in line with the approved list</w:t>
      </w:r>
      <w:r w:rsidR="00B96AB6" w:rsidDel="00F77FCB">
        <w:t xml:space="preserve"> </w:t>
      </w:r>
      <w:r w:rsidR="005A37C7">
        <w:t>in their Equity Plan</w:t>
      </w:r>
      <w:r w:rsidR="00F77FCB">
        <w:t xml:space="preserve">. </w:t>
      </w:r>
      <w:r w:rsidR="004D06E5">
        <w:t>To be eligible for a HECG grant, m</w:t>
      </w:r>
      <w:r w:rsidR="005A37C7">
        <w:t xml:space="preserve">oney </w:t>
      </w:r>
      <w:r w:rsidR="00F77FCB">
        <w:t>must be</w:t>
      </w:r>
      <w:r w:rsidR="005A37C7">
        <w:t xml:space="preserve"> spent on </w:t>
      </w:r>
      <w:r w:rsidR="004D06E5">
        <w:t xml:space="preserve">the </w:t>
      </w:r>
      <w:r w:rsidR="005A37C7">
        <w:t xml:space="preserve">initiatives </w:t>
      </w:r>
      <w:r w:rsidR="004D06E5">
        <w:t>included in provider</w:t>
      </w:r>
      <w:r w:rsidR="005D2C3E">
        <w:t>s’</w:t>
      </w:r>
      <w:r w:rsidR="004D06E5">
        <w:t xml:space="preserve"> approved Equity Plans </w:t>
      </w:r>
      <w:r w:rsidR="00C86FF8">
        <w:t xml:space="preserve">within the specified </w:t>
      </w:r>
      <w:proofErr w:type="gramStart"/>
      <w:r w:rsidR="00C86FF8">
        <w:t>time period</w:t>
      </w:r>
      <w:proofErr w:type="gramEnd"/>
      <w:r w:rsidR="00CB7343">
        <w:t xml:space="preserve">. </w:t>
      </w:r>
    </w:p>
    <w:p w14:paraId="0020272E" w14:textId="3F3D788C" w:rsidR="0010618E" w:rsidRDefault="00AA6B7F" w:rsidP="0010618E">
      <w:hyperlink r:id="rId17" w:history="1">
        <w:r w:rsidR="0010618E" w:rsidRPr="00F023DF">
          <w:rPr>
            <w:rStyle w:val="Hyperlink"/>
          </w:rPr>
          <w:t xml:space="preserve">The </w:t>
        </w:r>
        <w:r w:rsidR="00454F50" w:rsidRPr="00F023DF">
          <w:rPr>
            <w:rStyle w:val="Hyperlink"/>
          </w:rPr>
          <w:t xml:space="preserve">list of </w:t>
        </w:r>
        <w:r w:rsidR="00922AFB" w:rsidRPr="00F023DF">
          <w:rPr>
            <w:rStyle w:val="Hyperlink"/>
          </w:rPr>
          <w:t>possible</w:t>
        </w:r>
        <w:r w:rsidR="00454F50" w:rsidRPr="00F023DF">
          <w:rPr>
            <w:rStyle w:val="Hyperlink"/>
          </w:rPr>
          <w:t xml:space="preserve"> uses of HECG funding 2024-2025</w:t>
        </w:r>
      </w:hyperlink>
      <w:r w:rsidR="00454F50">
        <w:t xml:space="preserve"> i</w:t>
      </w:r>
      <w:r w:rsidR="0010618E">
        <w:t xml:space="preserve">s included in the HECG </w:t>
      </w:r>
      <w:r w:rsidR="00716F80">
        <w:t>information</w:t>
      </w:r>
      <w:r w:rsidR="0010618E">
        <w:t xml:space="preserve"> pack. </w:t>
      </w:r>
    </w:p>
    <w:p w14:paraId="74BA16E1" w14:textId="763920C6" w:rsidR="00F45FBA" w:rsidRDefault="00F45FBA" w:rsidP="005B7CEE">
      <w:pPr>
        <w:pStyle w:val="Heading3"/>
        <w:spacing w:before="360"/>
      </w:pPr>
      <w:r>
        <w:t>What are the Equity Target Groups?</w:t>
      </w:r>
    </w:p>
    <w:p w14:paraId="36A88E69" w14:textId="2C4C25B2" w:rsidR="00F45FBA" w:rsidRDefault="005631EB" w:rsidP="00F45FBA">
      <w:r>
        <w:t xml:space="preserve">‘Equity Target Groups’ are the under-represented or disadvantaged student cohorts that </w:t>
      </w:r>
      <w:r w:rsidR="003411A5">
        <w:t xml:space="preserve">activities funded under the HECG </w:t>
      </w:r>
      <w:r w:rsidR="00F31C8C">
        <w:t>m</w:t>
      </w:r>
      <w:r w:rsidR="003411A5">
        <w:t>ust directly support. The Equity Target Groups are:</w:t>
      </w:r>
    </w:p>
    <w:p w14:paraId="018C9F0B" w14:textId="3CBA67B7" w:rsidR="003411A5" w:rsidRPr="003411A5" w:rsidRDefault="00C92ED6" w:rsidP="0045361D">
      <w:pPr>
        <w:pStyle w:val="ListParagraph"/>
        <w:numPr>
          <w:ilvl w:val="0"/>
          <w:numId w:val="21"/>
        </w:numPr>
      </w:pPr>
      <w:r>
        <w:t>Students from l</w:t>
      </w:r>
      <w:r w:rsidR="003411A5" w:rsidRPr="003411A5">
        <w:t xml:space="preserve">ow socio-economic status (low SES) backgrounds </w:t>
      </w:r>
    </w:p>
    <w:p w14:paraId="0ABE197A" w14:textId="77777777" w:rsidR="003411A5" w:rsidRPr="003411A5" w:rsidRDefault="003411A5" w:rsidP="0045361D">
      <w:pPr>
        <w:pStyle w:val="ListParagraph"/>
        <w:numPr>
          <w:ilvl w:val="0"/>
          <w:numId w:val="21"/>
        </w:numPr>
      </w:pPr>
      <w:r w:rsidRPr="003411A5">
        <w:t xml:space="preserve">Students from inner regional, outer regional, remote and very remote areas </w:t>
      </w:r>
    </w:p>
    <w:p w14:paraId="39E424CE" w14:textId="5629ADB9" w:rsidR="003411A5" w:rsidRPr="003411A5" w:rsidRDefault="00C92ED6" w:rsidP="0045361D">
      <w:pPr>
        <w:pStyle w:val="ListParagraph"/>
        <w:numPr>
          <w:ilvl w:val="0"/>
          <w:numId w:val="21"/>
        </w:numPr>
      </w:pPr>
      <w:r>
        <w:t>Student who are f</w:t>
      </w:r>
      <w:r w:rsidR="003411A5" w:rsidRPr="003411A5">
        <w:t>irst in</w:t>
      </w:r>
      <w:r>
        <w:t xml:space="preserve"> their</w:t>
      </w:r>
      <w:r w:rsidR="003411A5" w:rsidRPr="003411A5">
        <w:t xml:space="preserve"> family to access higher education </w:t>
      </w:r>
    </w:p>
    <w:p w14:paraId="0064BCC2" w14:textId="77777777" w:rsidR="003411A5" w:rsidRPr="003411A5" w:rsidRDefault="003411A5" w:rsidP="0045361D">
      <w:pPr>
        <w:pStyle w:val="ListParagraph"/>
        <w:numPr>
          <w:ilvl w:val="0"/>
          <w:numId w:val="21"/>
        </w:numPr>
      </w:pPr>
      <w:r w:rsidRPr="003411A5">
        <w:t xml:space="preserve">First Nations Australians </w:t>
      </w:r>
    </w:p>
    <w:p w14:paraId="33AA060A" w14:textId="77777777" w:rsidR="003411A5" w:rsidRPr="003411A5" w:rsidRDefault="003411A5" w:rsidP="0045361D">
      <w:pPr>
        <w:pStyle w:val="ListParagraph"/>
        <w:numPr>
          <w:ilvl w:val="0"/>
          <w:numId w:val="21"/>
        </w:numPr>
      </w:pPr>
      <w:r w:rsidRPr="003411A5">
        <w:t xml:space="preserve">People with disability </w:t>
      </w:r>
    </w:p>
    <w:p w14:paraId="1E956B94" w14:textId="77777777" w:rsidR="004E0D5E" w:rsidRDefault="003411A5" w:rsidP="0045361D">
      <w:pPr>
        <w:pStyle w:val="ListParagraph"/>
        <w:numPr>
          <w:ilvl w:val="0"/>
          <w:numId w:val="21"/>
        </w:numPr>
      </w:pPr>
      <w:r w:rsidRPr="003411A5">
        <w:t xml:space="preserve">Students who experience cumulative disadvantage, such as regional First Nations students transitioning into university and people with disability transitioning out of university into employment. </w:t>
      </w:r>
    </w:p>
    <w:p w14:paraId="2AE9C0CB" w14:textId="00C9CF77" w:rsidR="005C1A96" w:rsidRPr="00970A81" w:rsidRDefault="005C1A96" w:rsidP="004322CC">
      <w:pPr>
        <w:pStyle w:val="Heading3"/>
        <w:spacing w:before="360"/>
      </w:pPr>
      <w:r w:rsidRPr="00970A81">
        <w:t>How do we determine which students are from low SES backgrounds or regional areas?</w:t>
      </w:r>
    </w:p>
    <w:p w14:paraId="769493BF" w14:textId="14EA9BBC" w:rsidR="008B6263" w:rsidRPr="00970A81" w:rsidRDefault="008B6263" w:rsidP="00D6123E">
      <w:r w:rsidRPr="00970A81">
        <w:t>The Higher Education Support Act 2003 and Higher Education Support (Other Grants) Guidelines 2022 provide the following definitions for use:</w:t>
      </w:r>
    </w:p>
    <w:p w14:paraId="3CF50E75" w14:textId="33FA7410" w:rsidR="008B6263" w:rsidRPr="00970A81" w:rsidRDefault="008B6263" w:rsidP="00D6123E">
      <w:pPr>
        <w:pStyle w:val="ListParagraph"/>
        <w:numPr>
          <w:ilvl w:val="0"/>
          <w:numId w:val="39"/>
        </w:numPr>
      </w:pPr>
      <w:r w:rsidRPr="00970A81">
        <w:rPr>
          <w:b/>
          <w:bCs/>
        </w:rPr>
        <w:t>Low SES</w:t>
      </w:r>
      <w:r w:rsidRPr="00970A81">
        <w:t xml:space="preserve"> - refers to a person whose residential address is in the lowest quartile, by Statistical Area 1 (SA1), as referred to in the </w:t>
      </w:r>
      <w:hyperlink r:id="rId18" w:history="1">
        <w:r w:rsidRPr="00970A81">
          <w:rPr>
            <w:rStyle w:val="Hyperlink"/>
          </w:rPr>
          <w:t>Socio-Economic Indexes for Areas </w:t>
        </w:r>
      </w:hyperlink>
      <w:r w:rsidRPr="00970A81">
        <w:t>(SEIFA). The relevant SEIFA index is the Index of Education and Occupation.</w:t>
      </w:r>
    </w:p>
    <w:p w14:paraId="703F77F0" w14:textId="77777777" w:rsidR="008B6263" w:rsidRPr="00970A81" w:rsidRDefault="008B6263" w:rsidP="00D6123E">
      <w:pPr>
        <w:pStyle w:val="ListParagraph"/>
        <w:numPr>
          <w:ilvl w:val="0"/>
          <w:numId w:val="39"/>
        </w:numPr>
      </w:pPr>
      <w:r w:rsidRPr="00970A81">
        <w:rPr>
          <w:b/>
          <w:bCs/>
        </w:rPr>
        <w:t>Regional and Remote</w:t>
      </w:r>
      <w:r w:rsidRPr="00970A81">
        <w:t xml:space="preserve"> – refers to students with a permanent residential address in a regional area or a remote area at the time the person first enrols in a course of study with the relevant provider (known as First Address). </w:t>
      </w:r>
    </w:p>
    <w:p w14:paraId="203872F3" w14:textId="43D97AED" w:rsidR="008B6263" w:rsidRPr="00970A81" w:rsidRDefault="008B6263" w:rsidP="00D6123E">
      <w:pPr>
        <w:pStyle w:val="ListParagraph"/>
        <w:numPr>
          <w:ilvl w:val="0"/>
          <w:numId w:val="39"/>
        </w:numPr>
      </w:pPr>
      <w:r w:rsidRPr="00970A81">
        <w:t xml:space="preserve">Regional and remote areas are defined in the ABS Remoteness Structure contained in the </w:t>
      </w:r>
      <w:hyperlink r:id="rId19" w:history="1">
        <w:r w:rsidRPr="00970A81">
          <w:rPr>
            <w:rStyle w:val="Hyperlink"/>
          </w:rPr>
          <w:t>Australian Statistical Geography Standard</w:t>
        </w:r>
      </w:hyperlink>
      <w:r w:rsidRPr="00970A81">
        <w:rPr>
          <w:rStyle w:val="Hyperlink"/>
        </w:rPr>
        <w:t xml:space="preserve"> </w:t>
      </w:r>
      <w:r w:rsidRPr="00970A81">
        <w:t xml:space="preserve">(ASGS). </w:t>
      </w:r>
    </w:p>
    <w:p w14:paraId="309EA2F4" w14:textId="4BFBC831" w:rsidR="008B6263" w:rsidRPr="00970A81" w:rsidRDefault="008B6263" w:rsidP="00D6123E">
      <w:pPr>
        <w:pStyle w:val="ListParagraph"/>
        <w:numPr>
          <w:ilvl w:val="0"/>
          <w:numId w:val="39"/>
        </w:numPr>
      </w:pPr>
      <w:r w:rsidRPr="00970A81">
        <w:rPr>
          <w:b/>
          <w:bCs/>
        </w:rPr>
        <w:t>Indigenous</w:t>
      </w:r>
      <w:r w:rsidRPr="00970A81">
        <w:t xml:space="preserve"> – refers to a person who is a member of the Aboriginal race of Australia or a descendant of the Indigenous inhabitants of the Torres Strait Islands. The </w:t>
      </w:r>
      <w:hyperlink r:id="rId20" w:history="1">
        <w:r w:rsidRPr="00970A81">
          <w:rPr>
            <w:rStyle w:val="Hyperlink"/>
          </w:rPr>
          <w:t>higher education data indicator</w:t>
        </w:r>
      </w:hyperlink>
      <w:r w:rsidRPr="00970A81">
        <w:t xml:space="preserve"> includes that the individual is accepted as Aboriginal and/or Torres Strait Islander by the community in which they live.</w:t>
      </w:r>
    </w:p>
    <w:p w14:paraId="7EB8B8DA" w14:textId="20C1B4F8" w:rsidR="009C2388" w:rsidRPr="00970A81" w:rsidRDefault="009C2388" w:rsidP="009C2388">
      <w:pPr>
        <w:pStyle w:val="Heading3"/>
      </w:pPr>
      <w:r w:rsidRPr="00970A81">
        <w:t>Can</w:t>
      </w:r>
      <w:r w:rsidR="00E52F21" w:rsidRPr="00970A81">
        <w:t xml:space="preserve"> HECG funding be used to support </w:t>
      </w:r>
      <w:r w:rsidR="00E61E8F" w:rsidRPr="00970A81">
        <w:t>p</w:t>
      </w:r>
      <w:r w:rsidR="00E52F21" w:rsidRPr="00970A81">
        <w:t xml:space="preserve">ostgraduate </w:t>
      </w:r>
      <w:r w:rsidR="00E61E8F" w:rsidRPr="00970A81">
        <w:t>s</w:t>
      </w:r>
      <w:r w:rsidR="00E52F21" w:rsidRPr="00970A81">
        <w:t>tudents?</w:t>
      </w:r>
      <w:r w:rsidR="00D03126" w:rsidRPr="00970A81">
        <w:t xml:space="preserve"> </w:t>
      </w:r>
    </w:p>
    <w:p w14:paraId="103E5E0D" w14:textId="414D0A42" w:rsidR="009C2388" w:rsidRPr="00970A81" w:rsidRDefault="003248AB" w:rsidP="004322CC">
      <w:r w:rsidRPr="00970A81">
        <w:t>Yes, t</w:t>
      </w:r>
      <w:r w:rsidR="006A696F" w:rsidRPr="00970A81">
        <w:t xml:space="preserve">he </w:t>
      </w:r>
      <w:r w:rsidRPr="00970A81">
        <w:t>d</w:t>
      </w:r>
      <w:r w:rsidR="006A696F" w:rsidRPr="00970A81">
        <w:t xml:space="preserve">epartment has not differentiated between </w:t>
      </w:r>
      <w:r w:rsidR="005C42BF" w:rsidRPr="00970A81">
        <w:t>u</w:t>
      </w:r>
      <w:r w:rsidR="006A696F" w:rsidRPr="00970A81">
        <w:t xml:space="preserve">ndergraduate and </w:t>
      </w:r>
      <w:r w:rsidR="005C42BF" w:rsidRPr="00970A81">
        <w:t>p</w:t>
      </w:r>
      <w:r w:rsidR="006A696F" w:rsidRPr="00970A81">
        <w:t xml:space="preserve">ostgraduate students for the purposes of spending HECG funding, </w:t>
      </w:r>
      <w:r w:rsidR="005C42BF" w:rsidRPr="00970A81">
        <w:t>as</w:t>
      </w:r>
      <w:r w:rsidR="006A696F" w:rsidRPr="00970A81">
        <w:t xml:space="preserve"> long as funds are used in line with the list of possible </w:t>
      </w:r>
      <w:proofErr w:type="gramStart"/>
      <w:r w:rsidR="006A696F" w:rsidRPr="00970A81">
        <w:t>uses</w:t>
      </w:r>
      <w:r w:rsidR="005C42BF" w:rsidRPr="00970A81">
        <w:t>, and</w:t>
      </w:r>
      <w:proofErr w:type="gramEnd"/>
      <w:r w:rsidR="005C42BF" w:rsidRPr="00970A81">
        <w:t xml:space="preserve"> targeted towards </w:t>
      </w:r>
      <w:r w:rsidR="00573F0D" w:rsidRPr="00970A81">
        <w:t xml:space="preserve">Equity Target Groups </w:t>
      </w:r>
      <w:r w:rsidR="005C42BF" w:rsidRPr="00970A81">
        <w:t>listed above.</w:t>
      </w:r>
    </w:p>
    <w:p w14:paraId="487624A5" w14:textId="0065FF15" w:rsidR="00E61E8F" w:rsidRPr="00970A81" w:rsidRDefault="00E61E8F" w:rsidP="00E61E8F">
      <w:pPr>
        <w:pStyle w:val="Heading3"/>
      </w:pPr>
      <w:r w:rsidRPr="00970A81">
        <w:lastRenderedPageBreak/>
        <w:t xml:space="preserve">Can HECG funding be used to support continuing </w:t>
      </w:r>
      <w:r w:rsidR="00F104DF" w:rsidRPr="00970A81">
        <w:t>as well as</w:t>
      </w:r>
      <w:r w:rsidRPr="00970A81">
        <w:t xml:space="preserve"> commencing students?</w:t>
      </w:r>
      <w:r w:rsidR="00573F0D" w:rsidRPr="00970A81">
        <w:t xml:space="preserve"> </w:t>
      </w:r>
    </w:p>
    <w:p w14:paraId="720A6021" w14:textId="02CF1B21" w:rsidR="00E61E8F" w:rsidRPr="00970A81" w:rsidRDefault="00E61E8F" w:rsidP="00AC5B9F">
      <w:pPr>
        <w:spacing w:after="160"/>
        <w:rPr>
          <w:rFonts w:eastAsia="Times New Roman"/>
          <w:color w:val="000000" w:themeColor="text1"/>
          <w:lang w:eastAsia="en-AU"/>
        </w:rPr>
      </w:pPr>
      <w:r w:rsidRPr="00970A81">
        <w:t xml:space="preserve">Yes, HECG funding can be used to support </w:t>
      </w:r>
      <w:r w:rsidR="00F104DF" w:rsidRPr="00970A81">
        <w:t xml:space="preserve">both </w:t>
      </w:r>
      <w:r w:rsidRPr="00970A81">
        <w:t>continuing and commencing student</w:t>
      </w:r>
      <w:r w:rsidR="00573F0D" w:rsidRPr="00970A81">
        <w:t>s from Equity Target Groups</w:t>
      </w:r>
      <w:r w:rsidRPr="00970A81">
        <w:t xml:space="preserve">. </w:t>
      </w:r>
    </w:p>
    <w:p w14:paraId="0593DAAF" w14:textId="3BB7357D" w:rsidR="00CE71FA" w:rsidRPr="00970A81" w:rsidRDefault="0003718D" w:rsidP="00CE71FA">
      <w:pPr>
        <w:pStyle w:val="Heading3"/>
      </w:pPr>
      <w:r w:rsidRPr="00970A81">
        <w:t xml:space="preserve">Can HECG funding be used </w:t>
      </w:r>
      <w:r w:rsidR="007573A1" w:rsidRPr="00970A81">
        <w:t>for</w:t>
      </w:r>
      <w:r w:rsidRPr="00970A81">
        <w:t xml:space="preserve"> non-award or micro</w:t>
      </w:r>
      <w:r w:rsidR="00446ADB" w:rsidRPr="00970A81">
        <w:t>-</w:t>
      </w:r>
      <w:r w:rsidRPr="00970A81">
        <w:t xml:space="preserve">credential courses that benefit equity </w:t>
      </w:r>
      <w:r w:rsidR="000F6118" w:rsidRPr="00970A81">
        <w:t>cohorts</w:t>
      </w:r>
      <w:r w:rsidRPr="00970A81">
        <w:t>?</w:t>
      </w:r>
    </w:p>
    <w:p w14:paraId="3D0AB3A3" w14:textId="61BB957F" w:rsidR="00F053CA" w:rsidRPr="00970A81" w:rsidRDefault="002140A5" w:rsidP="0003718D">
      <w:pPr>
        <w:spacing w:after="160"/>
        <w:rPr>
          <w:rFonts w:eastAsia="Times New Roman" w:cstheme="minorHAnsi"/>
          <w:color w:val="000000"/>
          <w:lang w:eastAsia="en-AU"/>
        </w:rPr>
      </w:pPr>
      <w:r w:rsidRPr="00970A81">
        <w:rPr>
          <w:lang w:eastAsia="en-AU"/>
        </w:rPr>
        <w:t xml:space="preserve">Providers </w:t>
      </w:r>
      <w:r w:rsidR="00EA0C89" w:rsidRPr="00970A81">
        <w:rPr>
          <w:lang w:eastAsia="en-AU"/>
        </w:rPr>
        <w:t>may</w:t>
      </w:r>
      <w:r w:rsidRPr="00970A81">
        <w:rPr>
          <w:lang w:eastAsia="en-AU"/>
        </w:rPr>
        <w:t xml:space="preserve"> </w:t>
      </w:r>
      <w:r w:rsidR="00CF604F" w:rsidRPr="00970A81">
        <w:rPr>
          <w:lang w:eastAsia="en-AU"/>
        </w:rPr>
        <w:t xml:space="preserve">propose </w:t>
      </w:r>
      <w:r w:rsidR="005A2C90" w:rsidRPr="00970A81">
        <w:rPr>
          <w:lang w:eastAsia="en-AU"/>
        </w:rPr>
        <w:t xml:space="preserve">to use </w:t>
      </w:r>
      <w:r w:rsidR="007B248D" w:rsidRPr="00970A81">
        <w:rPr>
          <w:lang w:eastAsia="en-AU"/>
        </w:rPr>
        <w:t xml:space="preserve">HECG funding for </w:t>
      </w:r>
      <w:r w:rsidR="007B248D" w:rsidRPr="00970A81">
        <w:rPr>
          <w:color w:val="000000" w:themeColor="text1"/>
          <w:lang w:eastAsia="en-AU"/>
        </w:rPr>
        <w:t>course development and student support measures for non-award courses or micro</w:t>
      </w:r>
      <w:r w:rsidR="007B248D" w:rsidRPr="00970A81">
        <w:rPr>
          <w:color w:val="000000" w:themeColor="text1"/>
          <w:lang w:eastAsia="en-AU"/>
        </w:rPr>
        <w:noBreakHyphen/>
        <w:t>credential courses</w:t>
      </w:r>
      <w:r w:rsidR="007136E0" w:rsidRPr="00970A81">
        <w:rPr>
          <w:color w:val="000000" w:themeColor="text1"/>
          <w:lang w:eastAsia="en-AU"/>
        </w:rPr>
        <w:t xml:space="preserve"> as </w:t>
      </w:r>
      <w:proofErr w:type="spellStart"/>
      <w:proofErr w:type="gramStart"/>
      <w:r w:rsidR="007136E0" w:rsidRPr="00970A81">
        <w:rPr>
          <w:color w:val="000000" w:themeColor="text1"/>
          <w:lang w:eastAsia="en-AU"/>
        </w:rPr>
        <w:t>an other</w:t>
      </w:r>
      <w:proofErr w:type="spellEnd"/>
      <w:proofErr w:type="gramEnd"/>
      <w:r w:rsidR="007136E0" w:rsidRPr="00970A81">
        <w:rPr>
          <w:color w:val="000000" w:themeColor="text1"/>
          <w:lang w:eastAsia="en-AU"/>
        </w:rPr>
        <w:t xml:space="preserve"> equity-related </w:t>
      </w:r>
      <w:r w:rsidR="004160E7" w:rsidRPr="00970A81">
        <w:rPr>
          <w:color w:val="000000" w:themeColor="text1"/>
          <w:lang w:eastAsia="en-AU"/>
        </w:rPr>
        <w:t>initiative</w:t>
      </w:r>
      <w:r w:rsidR="007136E0" w:rsidRPr="00970A81">
        <w:rPr>
          <w:color w:val="000000" w:themeColor="text1"/>
          <w:lang w:eastAsia="en-AU"/>
        </w:rPr>
        <w:t xml:space="preserve"> for discussion with the department</w:t>
      </w:r>
      <w:r w:rsidR="007B248D" w:rsidRPr="00970A81">
        <w:rPr>
          <w:color w:val="000000" w:themeColor="text1"/>
          <w:lang w:eastAsia="en-AU"/>
        </w:rPr>
        <w:t xml:space="preserve">. </w:t>
      </w:r>
      <w:r w:rsidR="007673E9" w:rsidRPr="00970A81">
        <w:rPr>
          <w:color w:val="000000" w:themeColor="text1"/>
          <w:lang w:eastAsia="en-AU"/>
        </w:rPr>
        <w:t>D</w:t>
      </w:r>
      <w:r w:rsidR="007B248D" w:rsidRPr="00970A81">
        <w:rPr>
          <w:color w:val="000000" w:themeColor="text1"/>
          <w:lang w:eastAsia="en-AU"/>
        </w:rPr>
        <w:t xml:space="preserve">etailed </w:t>
      </w:r>
      <w:r w:rsidR="007B248D" w:rsidRPr="00970A81">
        <w:rPr>
          <w:lang w:eastAsia="en-AU"/>
        </w:rPr>
        <w:t xml:space="preserve">information </w:t>
      </w:r>
      <w:r w:rsidR="00EE4307" w:rsidRPr="00970A81">
        <w:rPr>
          <w:lang w:eastAsia="en-AU"/>
        </w:rPr>
        <w:t xml:space="preserve">will be </w:t>
      </w:r>
      <w:r w:rsidR="00D4116B" w:rsidRPr="00970A81">
        <w:rPr>
          <w:lang w:eastAsia="en-AU"/>
        </w:rPr>
        <w:t xml:space="preserve">required </w:t>
      </w:r>
      <w:r w:rsidR="007B248D" w:rsidRPr="00970A81">
        <w:rPr>
          <w:lang w:eastAsia="en-AU"/>
        </w:rPr>
        <w:t xml:space="preserve">specifying how the proposed initiatives </w:t>
      </w:r>
      <w:r w:rsidR="007673E9" w:rsidRPr="00970A81">
        <w:rPr>
          <w:lang w:eastAsia="en-AU"/>
        </w:rPr>
        <w:t xml:space="preserve">will </w:t>
      </w:r>
      <w:r w:rsidR="00520451" w:rsidRPr="00970A81">
        <w:rPr>
          <w:rFonts w:eastAsia="Times New Roman" w:cstheme="minorHAnsi"/>
          <w:color w:val="000000"/>
          <w:lang w:eastAsia="en-AU"/>
        </w:rPr>
        <w:t xml:space="preserve">improve the number of prospective students </w:t>
      </w:r>
      <w:r w:rsidR="00EE4307" w:rsidRPr="00970A81">
        <w:rPr>
          <w:rFonts w:eastAsia="Times New Roman" w:cstheme="minorHAnsi"/>
          <w:color w:val="000000"/>
          <w:lang w:eastAsia="en-AU"/>
        </w:rPr>
        <w:t xml:space="preserve">in Equity Target Groups to </w:t>
      </w:r>
      <w:r w:rsidR="00520451" w:rsidRPr="00970A81">
        <w:rPr>
          <w:rFonts w:eastAsia="Times New Roman" w:cstheme="minorHAnsi"/>
          <w:color w:val="000000"/>
          <w:lang w:eastAsia="en-AU"/>
        </w:rPr>
        <w:t xml:space="preserve">access </w:t>
      </w:r>
      <w:r w:rsidR="00646E70" w:rsidRPr="00970A81">
        <w:rPr>
          <w:rFonts w:eastAsia="Times New Roman" w:cstheme="minorHAnsi"/>
          <w:color w:val="000000"/>
          <w:lang w:eastAsia="en-AU"/>
        </w:rPr>
        <w:t xml:space="preserve">higher </w:t>
      </w:r>
      <w:r w:rsidR="00520451" w:rsidRPr="00970A81">
        <w:rPr>
          <w:rFonts w:eastAsia="Times New Roman" w:cstheme="minorHAnsi"/>
          <w:color w:val="000000"/>
          <w:lang w:eastAsia="en-AU"/>
        </w:rPr>
        <w:t>education</w:t>
      </w:r>
      <w:r w:rsidR="00646E70" w:rsidRPr="00970A81">
        <w:rPr>
          <w:rFonts w:eastAsia="Times New Roman" w:cstheme="minorHAnsi"/>
          <w:color w:val="000000"/>
          <w:lang w:eastAsia="en-AU"/>
        </w:rPr>
        <w:t xml:space="preserve"> and support them to succeed</w:t>
      </w:r>
      <w:r w:rsidR="006A1285" w:rsidRPr="00970A81">
        <w:rPr>
          <w:rFonts w:eastAsia="Times New Roman" w:cstheme="minorHAnsi"/>
          <w:color w:val="000000"/>
          <w:lang w:eastAsia="en-AU"/>
        </w:rPr>
        <w:t>.</w:t>
      </w:r>
    </w:p>
    <w:p w14:paraId="7D225ED3" w14:textId="7661EB62" w:rsidR="007573A1" w:rsidRPr="00970A81" w:rsidRDefault="00A40FBB" w:rsidP="0003718D">
      <w:pPr>
        <w:spacing w:after="160"/>
        <w:rPr>
          <w:lang w:eastAsia="en-AU"/>
        </w:rPr>
      </w:pPr>
      <w:r w:rsidRPr="00970A81">
        <w:rPr>
          <w:lang w:eastAsia="en-AU"/>
        </w:rPr>
        <w:t>HECG funding cannot be used in place of Commonwealth contributions for</w:t>
      </w:r>
      <w:r w:rsidR="001F7665" w:rsidRPr="00970A81">
        <w:rPr>
          <w:lang w:eastAsia="en-AU"/>
        </w:rPr>
        <w:t xml:space="preserve"> students in</w:t>
      </w:r>
      <w:r w:rsidRPr="00970A81">
        <w:rPr>
          <w:lang w:eastAsia="en-AU"/>
        </w:rPr>
        <w:t xml:space="preserve"> micro-credential or non-award courses</w:t>
      </w:r>
      <w:r w:rsidR="0003718D" w:rsidRPr="00970A81">
        <w:rPr>
          <w:lang w:eastAsia="en-AU"/>
        </w:rPr>
        <w:t>.</w:t>
      </w:r>
      <w:r w:rsidR="007B248D" w:rsidRPr="00970A81">
        <w:rPr>
          <w:lang w:eastAsia="en-AU"/>
        </w:rPr>
        <w:t xml:space="preserve"> Providers may enrol students in an enabling course of study using the MBGA for higher education courses.</w:t>
      </w:r>
    </w:p>
    <w:p w14:paraId="6C3475F0" w14:textId="3A5708EC" w:rsidR="001E5352" w:rsidRPr="00970A81" w:rsidRDefault="007B248D" w:rsidP="001E5352">
      <w:pPr>
        <w:spacing w:after="160"/>
        <w:rPr>
          <w:lang w:eastAsia="en-AU"/>
        </w:rPr>
      </w:pPr>
      <w:r w:rsidRPr="00970A81">
        <w:rPr>
          <w:lang w:eastAsia="en-AU"/>
        </w:rPr>
        <w:t xml:space="preserve">The existing </w:t>
      </w:r>
      <w:r w:rsidR="001E5352" w:rsidRPr="00970A81">
        <w:rPr>
          <w:lang w:eastAsia="en-AU"/>
        </w:rPr>
        <w:t xml:space="preserve">Enabling </w:t>
      </w:r>
      <w:r w:rsidRPr="00970A81">
        <w:rPr>
          <w:lang w:eastAsia="en-AU"/>
        </w:rPr>
        <w:t xml:space="preserve">Loading Program </w:t>
      </w:r>
      <w:r w:rsidR="001E5352" w:rsidRPr="00970A81">
        <w:rPr>
          <w:lang w:eastAsia="en-AU"/>
        </w:rPr>
        <w:t>will be replaced by FEE-FREE Uni Ready Courses on 1 January 2025 to provide more students with an enabling pathway into higher education, with focus on students from under</w:t>
      </w:r>
      <w:r w:rsidR="001E5352" w:rsidRPr="00970A81">
        <w:rPr>
          <w:lang w:eastAsia="en-AU"/>
        </w:rPr>
        <w:noBreakHyphen/>
        <w:t xml:space="preserve">represented backgrounds. The department will determine allocations of additional </w:t>
      </w:r>
      <w:r w:rsidR="001F7665" w:rsidRPr="00970A81">
        <w:rPr>
          <w:lang w:eastAsia="en-AU"/>
        </w:rPr>
        <w:t>FEE-FREE Uni Ready Course</w:t>
      </w:r>
      <w:r w:rsidR="001E5352" w:rsidRPr="00970A81">
        <w:rPr>
          <w:lang w:eastAsia="en-AU"/>
        </w:rPr>
        <w:t xml:space="preserve"> places for 2025. More information will be available soon.</w:t>
      </w:r>
      <w:r w:rsidRPr="00970A81">
        <w:rPr>
          <w:lang w:eastAsia="en-AU"/>
        </w:rPr>
        <w:t xml:space="preserve"> </w:t>
      </w:r>
    </w:p>
    <w:p w14:paraId="38F90316" w14:textId="750BBC2C" w:rsidR="00AA6FFB" w:rsidRDefault="00AA6FFB" w:rsidP="00AA6FFB">
      <w:pPr>
        <w:pStyle w:val="Heading3"/>
      </w:pPr>
      <w:r>
        <w:t>What is the timeframe to spend the money?</w:t>
      </w:r>
    </w:p>
    <w:p w14:paraId="43F845D3" w14:textId="508AF655" w:rsidR="00AA6FFB" w:rsidRDefault="00AA6FFB" w:rsidP="00AA6FFB">
      <w:r>
        <w:t>Providers have</w:t>
      </w:r>
      <w:r w:rsidR="00922AFB">
        <w:t xml:space="preserve"> four years to spend funds allocated under the HECG. The timeframes extend</w:t>
      </w:r>
      <w:r>
        <w:t xml:space="preserve"> from the beginning of the relevant grant year</w:t>
      </w:r>
      <w:r w:rsidR="008D6CE9">
        <w:t xml:space="preserve"> </w:t>
      </w:r>
      <w:r w:rsidR="00E15A4B">
        <w:t>to the end of the calendar year following the HECG grant payment</w:t>
      </w:r>
      <w:r w:rsidR="00016641">
        <w:t xml:space="preserve"> (made after reconciliation of the CGS grant for that year)</w:t>
      </w:r>
      <w:r w:rsidR="00922AFB">
        <w:t>:</w:t>
      </w:r>
    </w:p>
    <w:p w14:paraId="6DCA5A13" w14:textId="7D5403BB" w:rsidR="00227260" w:rsidRDefault="00AA6FFB" w:rsidP="00454F50">
      <w:pPr>
        <w:pStyle w:val="ListParagraph"/>
        <w:numPr>
          <w:ilvl w:val="0"/>
          <w:numId w:val="21"/>
        </w:numPr>
        <w:spacing w:after="120"/>
        <w:ind w:left="714" w:hanging="357"/>
        <w:contextualSpacing w:val="0"/>
      </w:pPr>
      <w:r>
        <w:t>For a grant relating to eligible unspent funds under the MBGA in 2024,</w:t>
      </w:r>
      <w:r w:rsidR="00355850">
        <w:t xml:space="preserve"> </w:t>
      </w:r>
      <w:r>
        <w:t>providers will be required to spend funding under the HECG by the end of 2027.</w:t>
      </w:r>
    </w:p>
    <w:p w14:paraId="67B201DC" w14:textId="6FD28F6D" w:rsidR="00FF262F" w:rsidRDefault="00AA6FFB" w:rsidP="008A4886">
      <w:pPr>
        <w:pStyle w:val="ListParagraph"/>
        <w:numPr>
          <w:ilvl w:val="0"/>
          <w:numId w:val="21"/>
        </w:numPr>
      </w:pPr>
      <w:r>
        <w:t>For a grant relating to eligible unspent funds the MBGA in 2025,</w:t>
      </w:r>
      <w:r w:rsidR="00E15A4B">
        <w:t xml:space="preserve"> </w:t>
      </w:r>
      <w:r>
        <w:t>providers will be required to spend funding under the HECG by the end of 2028.</w:t>
      </w:r>
    </w:p>
    <w:p w14:paraId="3EA29858" w14:textId="5143B2E7" w:rsidR="008B7F44" w:rsidRPr="008B7F44" w:rsidRDefault="00E11255" w:rsidP="008B6A71">
      <w:pPr>
        <w:pStyle w:val="Heading3"/>
      </w:pPr>
      <w:r>
        <w:t>Can</w:t>
      </w:r>
      <w:r w:rsidR="008B6A71">
        <w:t xml:space="preserve"> HECG funding be </w:t>
      </w:r>
      <w:r w:rsidR="00421294">
        <w:t xml:space="preserve">used for activities </w:t>
      </w:r>
      <w:r w:rsidR="0069497A">
        <w:t>fund</w:t>
      </w:r>
      <w:r w:rsidR="00594DB8">
        <w:t>ed</w:t>
      </w:r>
      <w:r w:rsidR="0069497A">
        <w:t xml:space="preserve"> under other Government</w:t>
      </w:r>
      <w:r w:rsidR="00C92ED6">
        <w:t xml:space="preserve"> grant</w:t>
      </w:r>
      <w:r w:rsidR="0069497A">
        <w:t xml:space="preserve"> programs? </w:t>
      </w:r>
    </w:p>
    <w:p w14:paraId="6C4474B5" w14:textId="6E21418D" w:rsidR="0069497A" w:rsidRDefault="00E500AE" w:rsidP="0069497A">
      <w:r>
        <w:t xml:space="preserve">No. </w:t>
      </w:r>
      <w:r w:rsidR="00101D10">
        <w:t xml:space="preserve">HECG funding </w:t>
      </w:r>
      <w:r w:rsidR="005A4576">
        <w:t>cannot be used for activities that are currently fund</w:t>
      </w:r>
      <w:r w:rsidR="009B6E21">
        <w:t>ed</w:t>
      </w:r>
      <w:r w:rsidR="005A4576">
        <w:t xml:space="preserve"> through other Government </w:t>
      </w:r>
      <w:r w:rsidR="00C92ED6">
        <w:t xml:space="preserve">grant </w:t>
      </w:r>
      <w:r w:rsidR="005A4576">
        <w:t>programs, such as the Higher Education Participation and Partnerships Program (HEPPP) and the Higher Education Disability Support Program (DSP).</w:t>
      </w:r>
    </w:p>
    <w:p w14:paraId="3DFC0954" w14:textId="592A9BDF" w:rsidR="0030662C" w:rsidRPr="00970A81" w:rsidRDefault="0030662C" w:rsidP="0045361D">
      <w:pPr>
        <w:pStyle w:val="Heading3"/>
      </w:pPr>
      <w:r w:rsidRPr="00970A81">
        <w:t xml:space="preserve">How </w:t>
      </w:r>
      <w:r w:rsidR="00607CEB" w:rsidRPr="00970A81">
        <w:t>should providers treat HECG funding in terms of accounting standards such as AAS15?</w:t>
      </w:r>
      <w:r w:rsidR="00A5364C" w:rsidRPr="00970A81">
        <w:t xml:space="preserve"> </w:t>
      </w:r>
    </w:p>
    <w:p w14:paraId="3ACFD057" w14:textId="37D01940" w:rsidR="0030662C" w:rsidRPr="00970A81" w:rsidRDefault="00607CEB" w:rsidP="004322CC">
      <w:r w:rsidRPr="00970A81">
        <w:rPr>
          <w:rFonts w:cs="Times New Roman"/>
        </w:rPr>
        <w:t xml:space="preserve">This is a matter for providers to determine, in consultation with their auditors. The </w:t>
      </w:r>
      <w:r w:rsidR="003248AB" w:rsidRPr="00970A81">
        <w:rPr>
          <w:rFonts w:cs="Times New Roman"/>
        </w:rPr>
        <w:t>d</w:t>
      </w:r>
      <w:r w:rsidRPr="00970A81">
        <w:rPr>
          <w:rFonts w:cs="Times New Roman"/>
        </w:rPr>
        <w:t>epartment does not give specific accounting advice as the exact treatment may vary depending on contract terms and conditions and individual provider circumstances.</w:t>
      </w:r>
    </w:p>
    <w:p w14:paraId="6CDFA0BB" w14:textId="3162FFCC" w:rsidR="00C37B50" w:rsidRPr="00970A81" w:rsidRDefault="00BA20F0" w:rsidP="0045361D">
      <w:pPr>
        <w:pStyle w:val="Heading3"/>
      </w:pPr>
      <w:r w:rsidRPr="00970A81">
        <w:lastRenderedPageBreak/>
        <w:t>When will the HECG funding amounts</w:t>
      </w:r>
      <w:r w:rsidR="00350F7D" w:rsidRPr="00970A81">
        <w:t xml:space="preserve"> for each year</w:t>
      </w:r>
      <w:r w:rsidR="00EB5DB5" w:rsidRPr="00970A81">
        <w:t xml:space="preserve"> be finalised?</w:t>
      </w:r>
    </w:p>
    <w:p w14:paraId="23EFEC45" w14:textId="3C859617" w:rsidR="00A5364C" w:rsidRPr="00970A81" w:rsidRDefault="00DB7AF6" w:rsidP="0030662C">
      <w:pPr>
        <w:spacing w:after="160" w:line="252" w:lineRule="auto"/>
      </w:pPr>
      <w:r w:rsidRPr="00970A81">
        <w:rPr>
          <w:rFonts w:ascii="Calibri" w:eastAsia="Calibri" w:hAnsi="Calibri" w:cs="Calibri"/>
        </w:rPr>
        <w:t xml:space="preserve">The </w:t>
      </w:r>
      <w:r w:rsidR="003248AB" w:rsidRPr="00970A81">
        <w:rPr>
          <w:rFonts w:ascii="Calibri" w:eastAsia="Calibri" w:hAnsi="Calibri" w:cs="Calibri"/>
        </w:rPr>
        <w:t>d</w:t>
      </w:r>
      <w:r w:rsidRPr="00970A81">
        <w:rPr>
          <w:rFonts w:ascii="Calibri" w:eastAsia="Calibri" w:hAnsi="Calibri" w:cs="Calibri"/>
        </w:rPr>
        <w:t>epartment will assist providers in identifying if they may be under-enrolled and entitled to the HECG through the bi-annual CGS/HECS-HELP Estimates Collection process (</w:t>
      </w:r>
      <w:r w:rsidR="00EF4963" w:rsidRPr="00970A81">
        <w:rPr>
          <w:rFonts w:ascii="Calibri" w:eastAsia="Calibri" w:hAnsi="Calibri" w:cs="Calibri"/>
        </w:rPr>
        <w:t>April</w:t>
      </w:r>
      <w:r w:rsidRPr="00970A81">
        <w:rPr>
          <w:rFonts w:ascii="Calibri" w:eastAsia="Calibri" w:hAnsi="Calibri" w:cs="Calibri"/>
        </w:rPr>
        <w:t xml:space="preserve"> and October).</w:t>
      </w:r>
      <w:r w:rsidR="00716D5C" w:rsidRPr="00970A81">
        <w:rPr>
          <w:rFonts w:ascii="Calibri" w:eastAsia="Calibri" w:hAnsi="Calibri" w:cs="Calibri"/>
        </w:rPr>
        <w:t xml:space="preserve"> </w:t>
      </w:r>
      <w:r w:rsidR="0070478E" w:rsidRPr="00970A81">
        <w:rPr>
          <w:rFonts w:ascii="Calibri" w:eastAsia="Calibri" w:hAnsi="Calibri" w:cs="Calibri"/>
        </w:rPr>
        <w:t>This estimate is indicative only, based on the EFTSL estimates submitted by each provider, and actual eligibility may differ.</w:t>
      </w:r>
    </w:p>
    <w:p w14:paraId="510E6331" w14:textId="3889CFA6" w:rsidR="0030662C" w:rsidRPr="00970A81" w:rsidRDefault="0030662C" w:rsidP="0030662C">
      <w:pPr>
        <w:spacing w:after="160" w:line="252" w:lineRule="auto"/>
        <w:rPr>
          <w:rFonts w:eastAsia="Times New Roman"/>
        </w:rPr>
      </w:pPr>
      <w:r w:rsidRPr="00970A81">
        <w:rPr>
          <w:rFonts w:eastAsia="Times New Roman"/>
        </w:rPr>
        <w:t xml:space="preserve">For a grant year, providers are advanced </w:t>
      </w:r>
      <w:proofErr w:type="gramStart"/>
      <w:r w:rsidRPr="00970A81">
        <w:rPr>
          <w:rFonts w:eastAsia="Times New Roman"/>
        </w:rPr>
        <w:t>all of</w:t>
      </w:r>
      <w:proofErr w:type="gramEnd"/>
      <w:r w:rsidRPr="00970A81">
        <w:rPr>
          <w:rFonts w:eastAsia="Times New Roman"/>
        </w:rPr>
        <w:t xml:space="preserve"> their eligible CGS funding in the relevant year</w:t>
      </w:r>
      <w:r w:rsidR="00A5364C" w:rsidRPr="00970A81">
        <w:rPr>
          <w:rFonts w:eastAsia="Times New Roman"/>
        </w:rPr>
        <w:t xml:space="preserve">. </w:t>
      </w:r>
      <w:r w:rsidR="00434FAB" w:rsidRPr="00970A81">
        <w:rPr>
          <w:rFonts w:eastAsia="Times New Roman"/>
        </w:rPr>
        <w:br/>
      </w:r>
      <w:r w:rsidR="00A5364C" w:rsidRPr="00970A81">
        <w:rPr>
          <w:rFonts w:eastAsia="Times New Roman"/>
        </w:rPr>
        <w:t xml:space="preserve">The </w:t>
      </w:r>
      <w:r w:rsidRPr="00970A81">
        <w:rPr>
          <w:rFonts w:eastAsia="Times New Roman"/>
        </w:rPr>
        <w:t xml:space="preserve">amounts advanced </w:t>
      </w:r>
      <w:r w:rsidR="00A5364C" w:rsidRPr="00970A81">
        <w:rPr>
          <w:rFonts w:eastAsia="Times New Roman"/>
        </w:rPr>
        <w:t xml:space="preserve">are </w:t>
      </w:r>
      <w:r w:rsidRPr="00970A81">
        <w:rPr>
          <w:rFonts w:eastAsia="Times New Roman"/>
        </w:rPr>
        <w:t xml:space="preserve">based on the MBGA outlined in </w:t>
      </w:r>
      <w:r w:rsidR="00A5364C" w:rsidRPr="00970A81">
        <w:rPr>
          <w:rFonts w:eastAsia="Times New Roman"/>
        </w:rPr>
        <w:t>providers</w:t>
      </w:r>
      <w:r w:rsidR="000E3E27" w:rsidRPr="00970A81">
        <w:rPr>
          <w:rFonts w:eastAsia="Times New Roman"/>
        </w:rPr>
        <w:t>’</w:t>
      </w:r>
      <w:r w:rsidR="00A5364C" w:rsidRPr="00970A81">
        <w:rPr>
          <w:rFonts w:eastAsia="Times New Roman"/>
        </w:rPr>
        <w:t xml:space="preserve"> CGS</w:t>
      </w:r>
      <w:r w:rsidRPr="00970A81">
        <w:rPr>
          <w:rFonts w:eastAsia="Times New Roman"/>
        </w:rPr>
        <w:t xml:space="preserve"> funding agreements. </w:t>
      </w:r>
      <w:r w:rsidR="000E3E27" w:rsidRPr="00970A81">
        <w:rPr>
          <w:rFonts w:eastAsia="Times New Roman"/>
        </w:rPr>
        <w:br/>
      </w:r>
      <w:r w:rsidRPr="00970A81">
        <w:rPr>
          <w:rFonts w:eastAsia="Times New Roman"/>
        </w:rPr>
        <w:t>CGS funding is reconciled and recovered in arrears once verified enrolment data for the year is available.  </w:t>
      </w:r>
    </w:p>
    <w:p w14:paraId="04DEA8AF" w14:textId="16E4CED0" w:rsidR="0030662C" w:rsidRPr="00970A81" w:rsidRDefault="0030662C" w:rsidP="004322CC">
      <w:pPr>
        <w:spacing w:after="160" w:line="252" w:lineRule="auto"/>
      </w:pPr>
      <w:r w:rsidRPr="00970A81">
        <w:rPr>
          <w:rFonts w:eastAsia="Times New Roman"/>
        </w:rPr>
        <w:t>Final HECG eligibility and payments for 2024 and 2025 will be determined as part of the CGS reconciliation of enrolment data. This will occur once verified data becomes available. Only providers who are under-enrolled are eligible to receive a HECG payment.</w:t>
      </w:r>
    </w:p>
    <w:p w14:paraId="59BE3BC3" w14:textId="68E9C49D" w:rsidR="00271290" w:rsidRDefault="00271290" w:rsidP="00271290">
      <w:pPr>
        <w:pStyle w:val="Heading3"/>
      </w:pPr>
      <w:r>
        <w:t xml:space="preserve">What if enrolments </w:t>
      </w:r>
      <w:r w:rsidR="0070478E">
        <w:t xml:space="preserve">at my institution </w:t>
      </w:r>
      <w:r>
        <w:t>are higher than expected and HECG funding</w:t>
      </w:r>
      <w:r w:rsidR="00564406">
        <w:t xml:space="preserve"> for equity purposes</w:t>
      </w:r>
      <w:r w:rsidR="0070478E">
        <w:t xml:space="preserve"> has already been committed</w:t>
      </w:r>
      <w:r>
        <w:t>?</w:t>
      </w:r>
    </w:p>
    <w:p w14:paraId="7EDD64E5" w14:textId="77777777" w:rsidR="00CC3BEE" w:rsidRPr="00CE7026" w:rsidRDefault="00564406" w:rsidP="00B90BEA">
      <w:r>
        <w:t xml:space="preserve">The HECG has been established to cover </w:t>
      </w:r>
      <w:r w:rsidR="0072423C">
        <w:t xml:space="preserve">only </w:t>
      </w:r>
      <w:r>
        <w:t xml:space="preserve">the shortfall between a provider’s </w:t>
      </w:r>
      <w:r w:rsidR="0072423C">
        <w:t xml:space="preserve">eligible </w:t>
      </w:r>
      <w:r>
        <w:t xml:space="preserve">maximum funding amounts and their actual enrolments. There are no provisions to reimburse providers for </w:t>
      </w:r>
      <w:r w:rsidR="00E4386F" w:rsidRPr="00CE7026">
        <w:t xml:space="preserve">any other </w:t>
      </w:r>
      <w:r w:rsidR="00E5520D" w:rsidRPr="00CE7026">
        <w:t>funding spent</w:t>
      </w:r>
      <w:r w:rsidR="00D64136" w:rsidRPr="00CE7026">
        <w:t>,</w:t>
      </w:r>
      <w:r w:rsidR="00C4413A" w:rsidRPr="00CE7026">
        <w:t xml:space="preserve"> including </w:t>
      </w:r>
      <w:r w:rsidR="0072423C" w:rsidRPr="00CE7026">
        <w:t xml:space="preserve">any </w:t>
      </w:r>
      <w:r w:rsidR="00D64136" w:rsidRPr="00CE7026">
        <w:t>over-</w:t>
      </w:r>
      <w:r w:rsidR="00C4413A" w:rsidRPr="00CE7026">
        <w:t>commitment of fund</w:t>
      </w:r>
      <w:r w:rsidR="00577BE6" w:rsidRPr="00CE7026">
        <w:t xml:space="preserve">ing </w:t>
      </w:r>
      <w:r w:rsidR="005930B1" w:rsidRPr="00CE7026">
        <w:t>as part of the</w:t>
      </w:r>
      <w:r w:rsidR="005263D5" w:rsidRPr="00CE7026">
        <w:t xml:space="preserve"> </w:t>
      </w:r>
      <w:r w:rsidR="006A7661" w:rsidRPr="00CE7026">
        <w:t>HECG</w:t>
      </w:r>
      <w:r w:rsidR="00E5520D" w:rsidRPr="00CE7026">
        <w:t>.</w:t>
      </w:r>
    </w:p>
    <w:p w14:paraId="0F7D1788" w14:textId="28183B6B" w:rsidR="00283AAF" w:rsidRPr="00CE7026" w:rsidRDefault="00363C23" w:rsidP="00B90BEA">
      <w:r w:rsidRPr="00CE7026">
        <w:t>Providers are encouraged to contact the department if their circumstances change</w:t>
      </w:r>
      <w:r w:rsidR="00CE7026" w:rsidRPr="00CE7026">
        <w:t xml:space="preserve"> and</w:t>
      </w:r>
      <w:r w:rsidRPr="00CE7026">
        <w:t xml:space="preserve"> </w:t>
      </w:r>
      <w:r w:rsidR="00A87FA9" w:rsidRPr="00CE7026">
        <w:t xml:space="preserve">can request to update their </w:t>
      </w:r>
      <w:r w:rsidR="009E620F" w:rsidRPr="00CE7026">
        <w:t>e</w:t>
      </w:r>
      <w:r w:rsidR="00A87FA9" w:rsidRPr="00CE7026">
        <w:t xml:space="preserve">quity </w:t>
      </w:r>
      <w:r w:rsidR="009E620F" w:rsidRPr="00CE7026">
        <w:t>p</w:t>
      </w:r>
      <w:r w:rsidR="00A87FA9" w:rsidRPr="00CE7026">
        <w:t>lan to reflect changed circumstances if required</w:t>
      </w:r>
      <w:r w:rsidR="00430615" w:rsidRPr="00CE7026">
        <w:t>.</w:t>
      </w:r>
      <w:r w:rsidR="00A87FA9" w:rsidRPr="00CE7026">
        <w:t xml:space="preserve"> </w:t>
      </w:r>
    </w:p>
    <w:p w14:paraId="26EF792E" w14:textId="53E97DF8" w:rsidR="00271290" w:rsidRDefault="00271290" w:rsidP="00271290">
      <w:pPr>
        <w:pStyle w:val="Heading3"/>
      </w:pPr>
      <w:r>
        <w:t xml:space="preserve">Can HECG funding be used </w:t>
      </w:r>
      <w:r w:rsidR="00293B00">
        <w:t>for</w:t>
      </w:r>
      <w:r>
        <w:t xml:space="preserve"> staff</w:t>
      </w:r>
      <w:r w:rsidR="00293B00">
        <w:t>ing purposes</w:t>
      </w:r>
      <w:r>
        <w:t>?</w:t>
      </w:r>
    </w:p>
    <w:p w14:paraId="4CE74725" w14:textId="2D943BC6" w:rsidR="00271290" w:rsidRDefault="00A50D0F" w:rsidP="00E5520D">
      <w:r>
        <w:t xml:space="preserve">Provider spending of funds must be in line with the </w:t>
      </w:r>
      <w:r w:rsidR="004F291F">
        <w:t xml:space="preserve">list of </w:t>
      </w:r>
      <w:r w:rsidR="00C74100">
        <w:t>possible</w:t>
      </w:r>
      <w:r w:rsidR="00FD11DE">
        <w:t xml:space="preserve"> </w:t>
      </w:r>
      <w:r>
        <w:t>uses</w:t>
      </w:r>
      <w:r w:rsidR="005C5FA7">
        <w:t xml:space="preserve"> </w:t>
      </w:r>
      <w:r w:rsidR="00FD11DE">
        <w:t xml:space="preserve">approved by the Minister </w:t>
      </w:r>
      <w:r w:rsidR="005C5FA7">
        <w:t>to be eligible for a HECG grant</w:t>
      </w:r>
      <w:r>
        <w:t>. If providers can demonstrate that funding for staffing has a strong relationship with at least one of these uses (for example, staff employed to administer a program aimed at supporting students with disability), then it is</w:t>
      </w:r>
      <w:r w:rsidR="005C5FA7">
        <w:t xml:space="preserve"> eligible for a grant</w:t>
      </w:r>
      <w:r>
        <w:t xml:space="preserve"> under the HECG.</w:t>
      </w:r>
    </w:p>
    <w:p w14:paraId="45986C11" w14:textId="425D178D" w:rsidR="00271290" w:rsidRDefault="00271290" w:rsidP="00271290">
      <w:pPr>
        <w:pStyle w:val="Heading3"/>
      </w:pPr>
      <w:r>
        <w:t xml:space="preserve">Does HECG from </w:t>
      </w:r>
      <w:r w:rsidR="00200F86">
        <w:t xml:space="preserve">designated </w:t>
      </w:r>
      <w:r>
        <w:t xml:space="preserve">medical </w:t>
      </w:r>
      <w:r w:rsidR="00200F86">
        <w:t>funding and the medical loading</w:t>
      </w:r>
      <w:r>
        <w:t xml:space="preserve"> need to be used for medical students?</w:t>
      </w:r>
    </w:p>
    <w:p w14:paraId="7B4DE0FA" w14:textId="6708C03A" w:rsidR="00D72647" w:rsidRDefault="00293B00" w:rsidP="0039230B">
      <w:r>
        <w:t xml:space="preserve">There is no requirement that </w:t>
      </w:r>
      <w:r w:rsidR="005C5FA7">
        <w:t xml:space="preserve">spending </w:t>
      </w:r>
      <w:r w:rsidR="0056029C">
        <w:t xml:space="preserve">relating to </w:t>
      </w:r>
      <w:r w:rsidR="007D76BB">
        <w:t xml:space="preserve">designated higher education courses or medical student loading </w:t>
      </w:r>
      <w:r w:rsidR="005C5FA7">
        <w:t>must</w:t>
      </w:r>
      <w:r w:rsidR="007D76BB">
        <w:t xml:space="preserve"> be used for medical students</w:t>
      </w:r>
      <w:r w:rsidR="00311EB4">
        <w:t xml:space="preserve"> only</w:t>
      </w:r>
      <w:r w:rsidR="00234345">
        <w:t xml:space="preserve">, </w:t>
      </w:r>
      <w:proofErr w:type="gramStart"/>
      <w:r w:rsidR="005C5FA7">
        <w:t>in order to</w:t>
      </w:r>
      <w:proofErr w:type="gramEnd"/>
      <w:r w:rsidR="005C5FA7">
        <w:t xml:space="preserve"> be eligible for a HECG grant</w:t>
      </w:r>
      <w:r w:rsidR="0039230B" w:rsidRPr="001968B6">
        <w:t xml:space="preserve">. </w:t>
      </w:r>
      <w:r w:rsidR="00E966AD">
        <w:t xml:space="preserve">Likewise, </w:t>
      </w:r>
      <w:r w:rsidR="005C5FA7">
        <w:t>spending of unused funds under</w:t>
      </w:r>
      <w:r w:rsidR="002431EF">
        <w:t xml:space="preserve"> base MBGA may be used </w:t>
      </w:r>
      <w:r w:rsidR="006545CA">
        <w:t xml:space="preserve">to support </w:t>
      </w:r>
      <w:r w:rsidR="00D57E7E">
        <w:t xml:space="preserve">Equity Target Groups within </w:t>
      </w:r>
      <w:r w:rsidR="00D72647">
        <w:t xml:space="preserve">designated </w:t>
      </w:r>
      <w:r w:rsidR="00D57E7E">
        <w:t>medical courses</w:t>
      </w:r>
      <w:r w:rsidR="005C5FA7">
        <w:t xml:space="preserve"> and be eligible for a HECG grant</w:t>
      </w:r>
      <w:r w:rsidR="00686925">
        <w:t xml:space="preserve">; </w:t>
      </w:r>
      <w:r w:rsidR="008D6CE9">
        <w:t>however,</w:t>
      </w:r>
      <w:r w:rsidR="005C5FA7">
        <w:t xml:space="preserve"> such spending </w:t>
      </w:r>
      <w:r w:rsidR="00523EDD">
        <w:t xml:space="preserve">cannot be used to create new medical CSPs. </w:t>
      </w:r>
    </w:p>
    <w:p w14:paraId="441FCB89" w14:textId="2AC5E99B" w:rsidR="00293B00" w:rsidRDefault="00A27D95" w:rsidP="00271290">
      <w:r>
        <w:t>All</w:t>
      </w:r>
      <w:r w:rsidR="00701D84" w:rsidRPr="00701D84">
        <w:t xml:space="preserve"> </w:t>
      </w:r>
      <w:r w:rsidR="005C5FA7">
        <w:t>spending</w:t>
      </w:r>
      <w:r w:rsidR="0039230B" w:rsidRPr="001968B6">
        <w:t xml:space="preserve"> must be spent in line with the </w:t>
      </w:r>
      <w:r w:rsidR="005C5FA7">
        <w:t xml:space="preserve">list of </w:t>
      </w:r>
      <w:r w:rsidR="005258BE">
        <w:t>possible</w:t>
      </w:r>
      <w:r w:rsidR="00FF5FC3" w:rsidRPr="001968B6">
        <w:t xml:space="preserve"> </w:t>
      </w:r>
      <w:r w:rsidR="0039230B" w:rsidRPr="001968B6">
        <w:t>uses</w:t>
      </w:r>
      <w:r w:rsidR="005C5FA7">
        <w:t xml:space="preserve"> to be eligible for a HECG grant</w:t>
      </w:r>
      <w:r w:rsidR="007D76BB" w:rsidRPr="00701D84">
        <w:t>.</w:t>
      </w:r>
    </w:p>
    <w:p w14:paraId="371FE456" w14:textId="50720180" w:rsidR="00271290" w:rsidRDefault="00271290" w:rsidP="00271290">
      <w:pPr>
        <w:pStyle w:val="Heading2"/>
        <w:rPr>
          <w:sz w:val="40"/>
          <w:szCs w:val="24"/>
        </w:rPr>
      </w:pPr>
      <w:r>
        <w:rPr>
          <w:sz w:val="40"/>
          <w:szCs w:val="24"/>
        </w:rPr>
        <w:t xml:space="preserve">What is the </w:t>
      </w:r>
      <w:r w:rsidR="00440347">
        <w:rPr>
          <w:sz w:val="40"/>
          <w:szCs w:val="24"/>
        </w:rPr>
        <w:t xml:space="preserve">HECG </w:t>
      </w:r>
      <w:r>
        <w:rPr>
          <w:sz w:val="40"/>
          <w:szCs w:val="24"/>
        </w:rPr>
        <w:t>Equity Plan</w:t>
      </w:r>
      <w:r w:rsidRPr="00C366E3">
        <w:rPr>
          <w:sz w:val="40"/>
          <w:szCs w:val="24"/>
        </w:rPr>
        <w:t>?</w:t>
      </w:r>
    </w:p>
    <w:p w14:paraId="54709709" w14:textId="52382F7A" w:rsidR="00271290" w:rsidRDefault="007025E3" w:rsidP="00F05F35">
      <w:r>
        <w:t>A provider’s HECG</w:t>
      </w:r>
      <w:r w:rsidR="00F05F35">
        <w:t xml:space="preserve"> Equity Plan </w:t>
      </w:r>
      <w:r w:rsidR="000A3E44">
        <w:t xml:space="preserve">must </w:t>
      </w:r>
      <w:r w:rsidR="00F05F35">
        <w:t xml:space="preserve">outline how the institution will </w:t>
      </w:r>
      <w:r w:rsidR="002D0ADB">
        <w:t>spend amounts equivalent to their unspent</w:t>
      </w:r>
      <w:r w:rsidR="00F05F35">
        <w:t xml:space="preserve"> </w:t>
      </w:r>
      <w:r w:rsidR="00C44963">
        <w:t xml:space="preserve">eligible </w:t>
      </w:r>
      <w:r w:rsidR="00F05F35">
        <w:t xml:space="preserve">MBGA towards improving access and outcomes for students from identified </w:t>
      </w:r>
      <w:r w:rsidR="00BC4D89">
        <w:t>Equity Target G</w:t>
      </w:r>
      <w:r w:rsidR="00F05F35">
        <w:t xml:space="preserve">roups. It also provides the department with additional information about how these </w:t>
      </w:r>
      <w:r w:rsidR="00644CD4">
        <w:lastRenderedPageBreak/>
        <w:t xml:space="preserve">equity </w:t>
      </w:r>
      <w:r w:rsidR="00F05F35">
        <w:t xml:space="preserve">initiatives will support the </w:t>
      </w:r>
      <w:r w:rsidR="00EA7257">
        <w:t>provider</w:t>
      </w:r>
      <w:r w:rsidR="00F05F35">
        <w:t>’s existing strategies for improving equality of opportunity in higher education.</w:t>
      </w:r>
    </w:p>
    <w:p w14:paraId="7EEEBED7" w14:textId="586A7C41" w:rsidR="0028757F" w:rsidRPr="005C7D29" w:rsidRDefault="00B16839" w:rsidP="00F05F35">
      <w:r w:rsidRPr="005C7D29">
        <w:t>T</w:t>
      </w:r>
      <w:r w:rsidR="006847D3" w:rsidRPr="005C7D29">
        <w:t>he Equity Plan template w</w:t>
      </w:r>
      <w:r w:rsidR="00B83C8D" w:rsidRPr="005C7D29">
        <w:t>as</w:t>
      </w:r>
      <w:r w:rsidR="006847D3" w:rsidRPr="005C7D29">
        <w:t xml:space="preserve"> revised</w:t>
      </w:r>
      <w:r w:rsidR="00D90752" w:rsidRPr="005C7D29">
        <w:t xml:space="preserve"> </w:t>
      </w:r>
      <w:r w:rsidR="00C6268D" w:rsidRPr="005C7D29">
        <w:t xml:space="preserve">following consultation </w:t>
      </w:r>
      <w:r w:rsidR="00D90752" w:rsidRPr="005C7D29">
        <w:t xml:space="preserve">to include opportunities </w:t>
      </w:r>
      <w:r w:rsidR="00BC4D89" w:rsidRPr="005C7D29">
        <w:t xml:space="preserve">for providers to submit </w:t>
      </w:r>
      <w:r w:rsidR="00D90752" w:rsidRPr="005C7D29">
        <w:t>case studie</w:t>
      </w:r>
      <w:r w:rsidR="00BC4D89" w:rsidRPr="005C7D29">
        <w:t>s, and to add a declaration</w:t>
      </w:r>
      <w:r w:rsidR="00482BB1" w:rsidRPr="005C7D29">
        <w:t xml:space="preserve"> to confirm the accuracy of submitted Equity Plans</w:t>
      </w:r>
      <w:r w:rsidR="00BC4D89" w:rsidRPr="005C7D29">
        <w:t xml:space="preserve">. </w:t>
      </w:r>
      <w:r w:rsidR="00AA0AB8" w:rsidRPr="005C7D29">
        <w:br/>
      </w:r>
      <w:r w:rsidR="005C42BF" w:rsidRPr="005C7D29">
        <w:t>The</w:t>
      </w:r>
      <w:r w:rsidR="7E8BF87F" w:rsidRPr="005C7D29">
        <w:t xml:space="preserve"> </w:t>
      </w:r>
      <w:r w:rsidR="006847D3" w:rsidRPr="005C7D29">
        <w:t xml:space="preserve">revised </w:t>
      </w:r>
      <w:r w:rsidR="48C74ADC" w:rsidRPr="005C7D29">
        <w:t xml:space="preserve">HECG </w:t>
      </w:r>
      <w:r w:rsidR="7C63DDDB" w:rsidRPr="005C7D29">
        <w:t>Equity Plan</w:t>
      </w:r>
      <w:r w:rsidR="48C74ADC" w:rsidRPr="005C7D29">
        <w:t xml:space="preserve"> template</w:t>
      </w:r>
      <w:r w:rsidR="002A1DCC" w:rsidRPr="005C7D29">
        <w:t>s are</w:t>
      </w:r>
      <w:r w:rsidR="48C74ADC" w:rsidRPr="005C7D29">
        <w:t xml:space="preserve"> included in the</w:t>
      </w:r>
      <w:r w:rsidR="005C42BF" w:rsidRPr="005C7D29">
        <w:t xml:space="preserve"> final</w:t>
      </w:r>
      <w:r w:rsidR="48C74ADC" w:rsidRPr="005C7D29">
        <w:t xml:space="preserve"> HECG </w:t>
      </w:r>
      <w:r w:rsidR="009E6CD2" w:rsidRPr="005C7D29">
        <w:t>information</w:t>
      </w:r>
      <w:r w:rsidR="00644CD4" w:rsidRPr="005C7D29">
        <w:t xml:space="preserve"> </w:t>
      </w:r>
      <w:r w:rsidR="48C74ADC" w:rsidRPr="005C7D29">
        <w:t>pack</w:t>
      </w:r>
      <w:r w:rsidR="00256448" w:rsidRPr="005C7D29">
        <w:t xml:space="preserve"> emailed to providers in May</w:t>
      </w:r>
      <w:r w:rsidR="00C77686" w:rsidRPr="005C7D29">
        <w:t xml:space="preserve"> 2024</w:t>
      </w:r>
      <w:r w:rsidR="00256448" w:rsidRPr="005C7D29">
        <w:t xml:space="preserve">. </w:t>
      </w:r>
      <w:r w:rsidR="005B4B5A" w:rsidRPr="005C7D29">
        <w:t>Copies of the template are available by c</w:t>
      </w:r>
      <w:r w:rsidR="00256448" w:rsidRPr="005C7D29">
        <w:t>ontact</w:t>
      </w:r>
      <w:r w:rsidR="005B4B5A" w:rsidRPr="005C7D29">
        <w:t>ing</w:t>
      </w:r>
      <w:r w:rsidR="00256448" w:rsidRPr="005C7D29">
        <w:t xml:space="preserve"> </w:t>
      </w:r>
      <w:hyperlink r:id="rId21" w:history="1">
        <w:r w:rsidR="005A3195" w:rsidRPr="005C7D29">
          <w:rPr>
            <w:rStyle w:val="Hyperlink"/>
          </w:rPr>
          <w:t>CGS@education.gov.au</w:t>
        </w:r>
      </w:hyperlink>
      <w:r w:rsidR="48C74ADC" w:rsidRPr="005C7D29">
        <w:t xml:space="preserve">. </w:t>
      </w:r>
    </w:p>
    <w:p w14:paraId="31F4E30F" w14:textId="31DC43DB" w:rsidR="00271290" w:rsidRDefault="5D4DF9A5" w:rsidP="00271290">
      <w:pPr>
        <w:pStyle w:val="Heading3"/>
      </w:pPr>
      <w:r>
        <w:t xml:space="preserve">Who will </w:t>
      </w:r>
      <w:r w:rsidR="00342204">
        <w:t xml:space="preserve">need to create an </w:t>
      </w:r>
      <w:r w:rsidR="00440347">
        <w:t xml:space="preserve">HECG </w:t>
      </w:r>
      <w:r w:rsidR="00342204">
        <w:t>Equity Plan?</w:t>
      </w:r>
    </w:p>
    <w:p w14:paraId="54626432" w14:textId="69EFF656" w:rsidR="005F1B33" w:rsidRDefault="008B1299" w:rsidP="005F1B33">
      <w:r w:rsidRPr="005C7D29">
        <w:t>To</w:t>
      </w:r>
      <w:r w:rsidR="008E5059" w:rsidRPr="005C7D29" w:rsidDel="005F1B33">
        <w:t xml:space="preserve"> </w:t>
      </w:r>
      <w:r w:rsidR="002768D9" w:rsidRPr="005C7D29">
        <w:t xml:space="preserve">ensure that a provider will </w:t>
      </w:r>
      <w:r w:rsidR="008E5059" w:rsidRPr="005C7D29" w:rsidDel="005F1B33">
        <w:t xml:space="preserve">be </w:t>
      </w:r>
      <w:r w:rsidRPr="005C7D29">
        <w:t xml:space="preserve">eligible </w:t>
      </w:r>
      <w:r w:rsidR="008918C2" w:rsidRPr="005C7D29">
        <w:t xml:space="preserve">for the </w:t>
      </w:r>
      <w:r w:rsidR="008E5059" w:rsidRPr="005C7D29" w:rsidDel="005F1B33">
        <w:t xml:space="preserve">HECG </w:t>
      </w:r>
      <w:r w:rsidR="008918C2" w:rsidRPr="005C7D29">
        <w:t xml:space="preserve">grant, </w:t>
      </w:r>
      <w:r w:rsidR="003B5116" w:rsidRPr="005C7D29">
        <w:t>a p</w:t>
      </w:r>
      <w:r w:rsidR="005F1B33" w:rsidRPr="005C7D29">
        <w:t xml:space="preserve">rovider </w:t>
      </w:r>
      <w:r w:rsidRPr="005C7D29">
        <w:t>must</w:t>
      </w:r>
      <w:r w:rsidR="005F1B33" w:rsidRPr="005C7D29">
        <w:t xml:space="preserve"> complete a</w:t>
      </w:r>
      <w:r w:rsidR="00745B1B" w:rsidRPr="005C7D29">
        <w:t xml:space="preserve"> HECG</w:t>
      </w:r>
      <w:r w:rsidR="00074264" w:rsidRPr="005C7D29">
        <w:t xml:space="preserve"> </w:t>
      </w:r>
      <w:r w:rsidR="00745B1B" w:rsidRPr="005C7D29">
        <w:t xml:space="preserve">Equity Plan </w:t>
      </w:r>
      <w:r w:rsidR="005F1B33" w:rsidRPr="005C7D29">
        <w:t xml:space="preserve">if </w:t>
      </w:r>
      <w:r w:rsidR="003B5116" w:rsidRPr="005C7D29">
        <w:t>it</w:t>
      </w:r>
      <w:r w:rsidR="005F1B33" w:rsidRPr="005C7D29">
        <w:t xml:space="preserve"> estimates it will have funds unspent from its MBGA allocation in the year, or if notified </w:t>
      </w:r>
      <w:r w:rsidR="00DB7AF6" w:rsidRPr="005C7D29">
        <w:t xml:space="preserve">of under-enrolment </w:t>
      </w:r>
      <w:r w:rsidR="005F1B33" w:rsidRPr="005C7D29">
        <w:t>by the Commonwealth.</w:t>
      </w:r>
      <w:r w:rsidR="00EA7257" w:rsidRPr="005C7D29">
        <w:t xml:space="preserve"> This requirement is outlined</w:t>
      </w:r>
      <w:r w:rsidR="002768D9" w:rsidRPr="005C7D29">
        <w:t xml:space="preserve"> in</w:t>
      </w:r>
      <w:r w:rsidR="00EA7257" w:rsidRPr="005C7D29">
        <w:t xml:space="preserve"> provider</w:t>
      </w:r>
      <w:r w:rsidR="003B5116" w:rsidRPr="005C7D29">
        <w:t>s’</w:t>
      </w:r>
      <w:r w:rsidR="00834546" w:rsidRPr="005C7D29">
        <w:br/>
      </w:r>
      <w:r w:rsidR="00EA7257" w:rsidRPr="005C7D29">
        <w:t>CGS Funding Agreement</w:t>
      </w:r>
      <w:r w:rsidR="00965A65" w:rsidRPr="005C7D29">
        <w:t>s</w:t>
      </w:r>
      <w:r w:rsidR="00EA7257" w:rsidRPr="005C7D29">
        <w:t>.</w:t>
      </w:r>
    </w:p>
    <w:p w14:paraId="2A31EB7F" w14:textId="134D5FE9" w:rsidR="005F1B33" w:rsidRDefault="00E927CC" w:rsidP="008E5059">
      <w:r w:rsidRPr="005C7D29">
        <w:t>I</w:t>
      </w:r>
      <w:r w:rsidR="005F1B33" w:rsidRPr="005C7D29">
        <w:t xml:space="preserve">f </w:t>
      </w:r>
      <w:r w:rsidRPr="005C7D29">
        <w:t>a provider is</w:t>
      </w:r>
      <w:r w:rsidR="005F1B33" w:rsidRPr="005C7D29">
        <w:t xml:space="preserve"> unlikely to be under-enrolled against their MBGA for that year</w:t>
      </w:r>
      <w:r w:rsidR="00966F00" w:rsidRPr="005C7D29">
        <w:t xml:space="preserve">, </w:t>
      </w:r>
      <w:r w:rsidR="00834546" w:rsidRPr="005C7D29">
        <w:t xml:space="preserve">or under-enrolled by </w:t>
      </w:r>
      <w:r w:rsidR="00531136" w:rsidRPr="005C7D29">
        <w:t xml:space="preserve">only </w:t>
      </w:r>
      <w:r w:rsidR="00834546" w:rsidRPr="005C7D29">
        <w:t xml:space="preserve">a small amount, </w:t>
      </w:r>
      <w:r w:rsidR="00966F00" w:rsidRPr="005C7D29">
        <w:t>they may choose not to develop an Equity Plan.</w:t>
      </w:r>
      <w:r w:rsidR="005F1B33" w:rsidRPr="005C7D29">
        <w:t xml:space="preserve"> However, providers that do not</w:t>
      </w:r>
      <w:r w:rsidR="005F1B33">
        <w:t xml:space="preserve"> have an Equity Plan submitted to the department when the department finalises HECG payments for that year (following reconciliation of enrolment data) will not be eligible for a HECG grant.</w:t>
      </w:r>
    </w:p>
    <w:p w14:paraId="4D655C60" w14:textId="121FE2EE" w:rsidR="005F1B33" w:rsidRDefault="005F1B33" w:rsidP="005F1B33">
      <w:pPr>
        <w:pStyle w:val="Heading3"/>
      </w:pPr>
      <w:r>
        <w:t xml:space="preserve">When does </w:t>
      </w:r>
      <w:r w:rsidR="00417DED">
        <w:t>the</w:t>
      </w:r>
      <w:r>
        <w:t xml:space="preserve"> </w:t>
      </w:r>
      <w:r w:rsidR="00606D49">
        <w:t>HECG Equity Plan</w:t>
      </w:r>
      <w:r>
        <w:t xml:space="preserve"> need to be developed?</w:t>
      </w:r>
    </w:p>
    <w:p w14:paraId="0C320ABF" w14:textId="302ECE37" w:rsidR="009F6200" w:rsidRPr="005C7D29" w:rsidRDefault="009F6200" w:rsidP="005600AB">
      <w:r w:rsidRPr="005C7D29">
        <w:t>To</w:t>
      </w:r>
      <w:r w:rsidR="005F1B33" w:rsidRPr="005C7D29">
        <w:t xml:space="preserve"> receive a grant under the HECG for 2024, providers </w:t>
      </w:r>
      <w:r w:rsidR="005A3195" w:rsidRPr="005C7D29">
        <w:t xml:space="preserve">under-enrolled against their MBGA in 2024 </w:t>
      </w:r>
      <w:r w:rsidR="005F1B33" w:rsidRPr="005C7D29">
        <w:t xml:space="preserve">will be required to submit an initial Equity Plan </w:t>
      </w:r>
      <w:r w:rsidR="00DB7AF6" w:rsidRPr="005C7D29">
        <w:t>by</w:t>
      </w:r>
      <w:r w:rsidR="005F1B33" w:rsidRPr="005C7D29">
        <w:t xml:space="preserve"> </w:t>
      </w:r>
      <w:r w:rsidR="00DB7AF6" w:rsidRPr="005C7D29">
        <w:t>30 June</w:t>
      </w:r>
      <w:r w:rsidR="00C523B4" w:rsidRPr="005C7D29">
        <w:t xml:space="preserve"> </w:t>
      </w:r>
      <w:r w:rsidR="005F1B33" w:rsidRPr="005C7D29">
        <w:t>2024</w:t>
      </w:r>
      <w:r w:rsidR="00977BB3" w:rsidRPr="005C7D29">
        <w:t>.</w:t>
      </w:r>
      <w:r w:rsidR="00DB7AF6" w:rsidRPr="005C7D29">
        <w:t xml:space="preserve"> This deadline has been extended based on provider feedback during the consultation period.</w:t>
      </w:r>
      <w:r w:rsidR="00977BB3" w:rsidRPr="005C7D29">
        <w:t xml:space="preserve"> </w:t>
      </w:r>
      <w:r w:rsidR="005F1B33" w:rsidRPr="005C7D29">
        <w:t xml:space="preserve"> </w:t>
      </w:r>
    </w:p>
    <w:p w14:paraId="050028DD" w14:textId="134F13C3" w:rsidR="003A6DAE" w:rsidRPr="005C7D29" w:rsidRDefault="00977BB3" w:rsidP="005600AB">
      <w:r w:rsidRPr="005C7D29">
        <w:t>U</w:t>
      </w:r>
      <w:r w:rsidR="005F1B33" w:rsidRPr="005C7D29">
        <w:t xml:space="preserve">pdates to the Plan </w:t>
      </w:r>
      <w:r w:rsidRPr="005C7D29">
        <w:t xml:space="preserve">will be required </w:t>
      </w:r>
      <w:r w:rsidR="005F1B33" w:rsidRPr="005C7D29">
        <w:t xml:space="preserve">in </w:t>
      </w:r>
      <w:r w:rsidR="00C523B4" w:rsidRPr="005C7D29">
        <w:t>May</w:t>
      </w:r>
      <w:r w:rsidR="005F1B33" w:rsidRPr="005C7D29">
        <w:t xml:space="preserve"> 2025</w:t>
      </w:r>
      <w:r w:rsidR="009F6200" w:rsidRPr="005C7D29">
        <w:t xml:space="preserve">, </w:t>
      </w:r>
      <w:r w:rsidR="00C523B4" w:rsidRPr="005C7D29">
        <w:t xml:space="preserve">May </w:t>
      </w:r>
      <w:r w:rsidR="00127B74" w:rsidRPr="005C7D29">
        <w:t>2026</w:t>
      </w:r>
      <w:r w:rsidR="000E069C" w:rsidRPr="005C7D29">
        <w:t xml:space="preserve"> </w:t>
      </w:r>
      <w:r w:rsidR="009F6200" w:rsidRPr="005C7D29">
        <w:t xml:space="preserve">and May 2027 </w:t>
      </w:r>
      <w:r w:rsidRPr="005C7D29">
        <w:t>to ensure the Plan reflect</w:t>
      </w:r>
      <w:r w:rsidR="00E63EED" w:rsidRPr="005C7D29">
        <w:t>s</w:t>
      </w:r>
      <w:r w:rsidRPr="005C7D29">
        <w:t xml:space="preserve"> </w:t>
      </w:r>
      <w:r w:rsidR="00E63EED" w:rsidRPr="005C7D29">
        <w:t xml:space="preserve">the </w:t>
      </w:r>
      <w:r w:rsidRPr="005C7D29">
        <w:t xml:space="preserve">current </w:t>
      </w:r>
      <w:r w:rsidR="00965A65" w:rsidRPr="005C7D29">
        <w:t xml:space="preserve">proposed </w:t>
      </w:r>
      <w:r w:rsidRPr="005C7D29">
        <w:t>activities</w:t>
      </w:r>
      <w:r w:rsidR="00965A65" w:rsidRPr="005C7D29">
        <w:t xml:space="preserve"> to</w:t>
      </w:r>
      <w:r w:rsidRPr="005C7D29">
        <w:t xml:space="preserve"> be undertaken</w:t>
      </w:r>
      <w:r w:rsidR="00B51B74" w:rsidRPr="005C7D29">
        <w:t xml:space="preserve">, </w:t>
      </w:r>
      <w:r w:rsidR="00461011" w:rsidRPr="005C7D29">
        <w:t xml:space="preserve">including for any </w:t>
      </w:r>
      <w:r w:rsidR="00E12734" w:rsidRPr="005C7D29">
        <w:t xml:space="preserve">HECG funding providers may be eligible for in 2025 </w:t>
      </w:r>
      <w:r w:rsidR="00B51B74" w:rsidRPr="005C7D29">
        <w:t>and any update</w:t>
      </w:r>
      <w:r w:rsidR="004923B3" w:rsidRPr="005C7D29">
        <w:t>d estimates of</w:t>
      </w:r>
      <w:r w:rsidR="00B51B74" w:rsidRPr="005C7D29">
        <w:t xml:space="preserve"> enrolment data that are available</w:t>
      </w:r>
      <w:r w:rsidRPr="005C7D29">
        <w:t>.</w:t>
      </w:r>
      <w:r w:rsidR="000E069C" w:rsidRPr="005C7D29">
        <w:t xml:space="preserve"> </w:t>
      </w:r>
    </w:p>
    <w:p w14:paraId="2C446E70" w14:textId="15ED2416" w:rsidR="00401DC0" w:rsidRDefault="00401DC0" w:rsidP="00401DC0">
      <w:r w:rsidRPr="005C7D29">
        <w:t>Providers must ensure that any revisions to an Equity Plan already approved by the department are highlighted with a short statement explaining the change. Appropriate justification is needed for any new initiatives in line with the Equity Plan template.</w:t>
      </w:r>
      <w:r>
        <w:t xml:space="preserve"> </w:t>
      </w:r>
    </w:p>
    <w:p w14:paraId="15ED6178" w14:textId="2B829222" w:rsidR="00054245" w:rsidRDefault="00054245" w:rsidP="00054245">
      <w:pPr>
        <w:pStyle w:val="Heading3"/>
      </w:pPr>
      <w:r>
        <w:t xml:space="preserve">What needs to be </w:t>
      </w:r>
      <w:r w:rsidR="002768D9">
        <w:t xml:space="preserve">considered </w:t>
      </w:r>
      <w:r>
        <w:t>when developing a HECG Equity Plan?</w:t>
      </w:r>
    </w:p>
    <w:p w14:paraId="4EC0F177" w14:textId="4E1B9C35" w:rsidR="00054245" w:rsidRDefault="00054245" w:rsidP="00054245">
      <w:r>
        <w:t>It is recommended that providers u</w:t>
      </w:r>
      <w:r w:rsidR="0CD05674">
        <w:t>se</w:t>
      </w:r>
      <w:r>
        <w:t xml:space="preserve"> the </w:t>
      </w:r>
      <w:hyperlink r:id="rId22" w:history="1">
        <w:r w:rsidRPr="19A9D5F1">
          <w:rPr>
            <w:rStyle w:val="Hyperlink"/>
          </w:rPr>
          <w:t>Student Equity in Higher Education Evaluation Framework</w:t>
        </w:r>
      </w:hyperlink>
      <w:r>
        <w:t xml:space="preserve"> (SEHEEF) in the planning, implementation and evaluation phases. The SEHEEF provides a robust framework for evaluation of </w:t>
      </w:r>
      <w:r w:rsidR="00745B1B">
        <w:t xml:space="preserve">Commonwealth funded </w:t>
      </w:r>
      <w:r>
        <w:t xml:space="preserve">equity programs. The Continuous Quality Improvement (CQI) tools within the SEHEEF can also assist to improve the design, implementation, and performance of initiatives. </w:t>
      </w:r>
      <w:r w:rsidR="0F176D50">
        <w:t xml:space="preserve">The </w:t>
      </w:r>
      <w:r w:rsidR="00516995">
        <w:t xml:space="preserve">Australian Centre for Student Equity and Success (ASCES) </w:t>
      </w:r>
      <w:r w:rsidR="62297E53" w:rsidRPr="007124FD">
        <w:rPr>
          <w:rFonts w:eastAsiaTheme="minorEastAsia"/>
        </w:rPr>
        <w:t xml:space="preserve">offers a range of </w:t>
      </w:r>
      <w:r w:rsidR="309C1503" w:rsidRPr="5D9BBB94">
        <w:rPr>
          <w:rFonts w:eastAsiaTheme="minorEastAsia"/>
        </w:rPr>
        <w:t>resources</w:t>
      </w:r>
      <w:r w:rsidR="62297E53" w:rsidRPr="007124FD">
        <w:rPr>
          <w:rFonts w:eastAsiaTheme="minorEastAsia"/>
        </w:rPr>
        <w:t xml:space="preserve"> for institutions implementing the SEHEEF</w:t>
      </w:r>
      <w:r w:rsidR="67389819">
        <w:t>.</w:t>
      </w:r>
    </w:p>
    <w:p w14:paraId="5829C7C7" w14:textId="2D611820" w:rsidR="00D26C9B" w:rsidRPr="00DC10D5" w:rsidRDefault="00D26C9B" w:rsidP="00D26C9B">
      <w:pPr>
        <w:pStyle w:val="Heading3"/>
      </w:pPr>
      <w:r w:rsidRPr="00DC10D5">
        <w:t xml:space="preserve">How will the HECG Equity </w:t>
      </w:r>
      <w:r>
        <w:t>Plan</w:t>
      </w:r>
      <w:r w:rsidRPr="00DC10D5">
        <w:t xml:space="preserve"> be assessed?</w:t>
      </w:r>
    </w:p>
    <w:p w14:paraId="03218BA7" w14:textId="0FAB526E" w:rsidR="00422A7A" w:rsidRDefault="00D26C9B" w:rsidP="00D26C9B">
      <w:r>
        <w:t xml:space="preserve">Departmental officers will assess the HECG Equity Plan </w:t>
      </w:r>
      <w:r w:rsidR="009A5DFE">
        <w:t xml:space="preserve">to ensure </w:t>
      </w:r>
      <w:r w:rsidR="0081360D">
        <w:t xml:space="preserve">all requested information is provided and that </w:t>
      </w:r>
      <w:r w:rsidR="009A5DFE">
        <w:t xml:space="preserve">the </w:t>
      </w:r>
      <w:r w:rsidR="00A7602D">
        <w:t xml:space="preserve">proposed equity initiatives are in line with </w:t>
      </w:r>
      <w:r w:rsidR="005D3A39">
        <w:t xml:space="preserve">the list of </w:t>
      </w:r>
      <w:r w:rsidR="009F6200">
        <w:t>possible</w:t>
      </w:r>
      <w:r w:rsidR="005D3A39">
        <w:t xml:space="preserve"> </w:t>
      </w:r>
      <w:r>
        <w:t>uses</w:t>
      </w:r>
      <w:r w:rsidR="0081360D">
        <w:t>.</w:t>
      </w:r>
      <w:r>
        <w:t xml:space="preserve"> </w:t>
      </w:r>
    </w:p>
    <w:p w14:paraId="36A82073" w14:textId="0483BE52" w:rsidR="00256448" w:rsidRDefault="00D75CCE" w:rsidP="00D26C9B">
      <w:r>
        <w:t xml:space="preserve">The department </w:t>
      </w:r>
      <w:r w:rsidR="00B0274D">
        <w:t xml:space="preserve">will </w:t>
      </w:r>
      <w:r>
        <w:t>preference spending on</w:t>
      </w:r>
      <w:r w:rsidR="00B0274D">
        <w:t xml:space="preserve"> Tier 1 </w:t>
      </w:r>
      <w:r w:rsidR="000F7FEE">
        <w:t>initiatives</w:t>
      </w:r>
      <w:r>
        <w:t xml:space="preserve"> where possible</w:t>
      </w:r>
      <w:r w:rsidR="00920D4A">
        <w:t xml:space="preserve"> </w:t>
      </w:r>
      <w:r w:rsidR="00B0274D">
        <w:t>in the first instance</w:t>
      </w:r>
      <w:r w:rsidR="000E5ADB">
        <w:t xml:space="preserve">. A stronger rationale </w:t>
      </w:r>
      <w:r w:rsidR="00D36329">
        <w:t xml:space="preserve">that clearly </w:t>
      </w:r>
      <w:r w:rsidR="008B66B4">
        <w:t xml:space="preserve">demonstrates need </w:t>
      </w:r>
      <w:r w:rsidR="000E5ADB">
        <w:t xml:space="preserve">will be required for Tier 2 </w:t>
      </w:r>
      <w:r w:rsidR="00F104DF">
        <w:t xml:space="preserve">or ‘Other’ </w:t>
      </w:r>
      <w:r w:rsidR="00920D4A">
        <w:t>initiatives</w:t>
      </w:r>
      <w:r w:rsidR="000E5ADB">
        <w:t xml:space="preserve">. </w:t>
      </w:r>
      <w:r w:rsidR="00D26C9B">
        <w:t xml:space="preserve"> </w:t>
      </w:r>
    </w:p>
    <w:p w14:paraId="0326B902" w14:textId="593A8A98" w:rsidR="00F104DF" w:rsidRDefault="00F104DF" w:rsidP="00D26C9B">
      <w:r w:rsidRPr="005C7D29">
        <w:lastRenderedPageBreak/>
        <w:t xml:space="preserve">Providers may propose other equity-related initiatives </w:t>
      </w:r>
      <w:r w:rsidR="00256448" w:rsidRPr="005C7D29">
        <w:t xml:space="preserve">that are not funded from another continuing source and </w:t>
      </w:r>
      <w:r w:rsidRPr="005C7D29">
        <w:t>that are not listed</w:t>
      </w:r>
      <w:r w:rsidR="005210AD" w:rsidRPr="005C7D29">
        <w:t xml:space="preserve"> against Tier 1 or Tier 2</w:t>
      </w:r>
      <w:r w:rsidR="005B4B5A" w:rsidRPr="005C7D29">
        <w:t xml:space="preserve"> for discussion with the department.</w:t>
      </w:r>
      <w:r w:rsidRPr="005C7D29">
        <w:t xml:space="preserve"> </w:t>
      </w:r>
      <w:r w:rsidR="005B4B5A" w:rsidRPr="005C7D29">
        <w:t xml:space="preserve">These initiatives should be included in Equity Plan and will </w:t>
      </w:r>
      <w:r w:rsidRPr="005C7D29">
        <w:t xml:space="preserve">require additional evidence to </w:t>
      </w:r>
      <w:r w:rsidR="005B4B5A" w:rsidRPr="005C7D29">
        <w:t>justify why funding is required</w:t>
      </w:r>
      <w:r w:rsidRPr="005C7D29">
        <w:t xml:space="preserve"> </w:t>
      </w:r>
      <w:r w:rsidR="00256448" w:rsidRPr="005C7D29">
        <w:t xml:space="preserve">such as financial or management reports </w:t>
      </w:r>
      <w:r w:rsidR="005B4B5A" w:rsidRPr="005C7D29">
        <w:t xml:space="preserve">that demonstrate </w:t>
      </w:r>
      <w:r w:rsidR="00BB3753" w:rsidRPr="005C7D29">
        <w:t xml:space="preserve">continuing </w:t>
      </w:r>
      <w:r w:rsidR="005B4B5A" w:rsidRPr="005C7D29">
        <w:t>funding is no</w:t>
      </w:r>
      <w:r w:rsidR="00BB3753" w:rsidRPr="005C7D29">
        <w:t xml:space="preserve"> longer</w:t>
      </w:r>
      <w:r w:rsidR="005B4B5A" w:rsidRPr="005C7D29">
        <w:t xml:space="preserve"> available.</w:t>
      </w:r>
      <w:r w:rsidR="005B4B5A">
        <w:t xml:space="preserve"> </w:t>
      </w:r>
    </w:p>
    <w:p w14:paraId="49C1ABBB" w14:textId="484D8DE5" w:rsidR="00271290" w:rsidRPr="0045361D" w:rsidRDefault="00271290" w:rsidP="008E5059">
      <w:pPr>
        <w:pStyle w:val="Heading3"/>
      </w:pPr>
      <w:r w:rsidRPr="0045361D">
        <w:t xml:space="preserve">Can </w:t>
      </w:r>
      <w:r w:rsidR="003F45A7">
        <w:t>a provider</w:t>
      </w:r>
      <w:r w:rsidR="003F45A7" w:rsidRPr="0045361D">
        <w:t xml:space="preserve"> </w:t>
      </w:r>
      <w:r w:rsidRPr="0045361D">
        <w:t xml:space="preserve">revise </w:t>
      </w:r>
      <w:r w:rsidR="003F45A7">
        <w:t>its</w:t>
      </w:r>
      <w:r w:rsidR="003F45A7" w:rsidRPr="0045361D">
        <w:t xml:space="preserve"> </w:t>
      </w:r>
      <w:r w:rsidR="00440347" w:rsidRPr="0045361D">
        <w:t>HECG</w:t>
      </w:r>
      <w:r w:rsidRPr="0045361D">
        <w:t xml:space="preserve"> Equity Plan</w:t>
      </w:r>
      <w:r w:rsidR="00C70232">
        <w:t xml:space="preserve"> </w:t>
      </w:r>
      <w:r w:rsidR="00E53939">
        <w:t xml:space="preserve">once it has been </w:t>
      </w:r>
      <w:r w:rsidR="00586770">
        <w:t xml:space="preserve">approved by the </w:t>
      </w:r>
      <w:r w:rsidR="003248AB">
        <w:t>d</w:t>
      </w:r>
      <w:r w:rsidR="00586770">
        <w:t>epartment</w:t>
      </w:r>
      <w:r w:rsidR="000706D9">
        <w:t xml:space="preserve"> </w:t>
      </w:r>
      <w:r w:rsidR="00BC4FB9">
        <w:t xml:space="preserve">or </w:t>
      </w:r>
      <w:r w:rsidR="000706D9">
        <w:t>if circumstances change</w:t>
      </w:r>
      <w:r w:rsidR="001E7355">
        <w:t xml:space="preserve"> their eligibility for HECG funding</w:t>
      </w:r>
      <w:r w:rsidRPr="0045361D">
        <w:t>?</w:t>
      </w:r>
    </w:p>
    <w:p w14:paraId="64CBA090" w14:textId="77777777" w:rsidR="00513230" w:rsidRDefault="000706D9" w:rsidP="006F4AE8">
      <w:r w:rsidRPr="005258BE">
        <w:t xml:space="preserve">Providers </w:t>
      </w:r>
      <w:r w:rsidR="00BC4FB9">
        <w:t>can</w:t>
      </w:r>
      <w:r w:rsidRPr="005258BE">
        <w:t xml:space="preserve"> contact the department </w:t>
      </w:r>
      <w:r w:rsidR="00BC4FB9">
        <w:t>regarding</w:t>
      </w:r>
      <w:r w:rsidR="00B368F7">
        <w:t xml:space="preserve"> changed circumstances and </w:t>
      </w:r>
      <w:r w:rsidR="00BC4FB9">
        <w:t xml:space="preserve">proposed changes to approved HECG Equity Plans. Any revisions must occur before the HECG amounts are finalised through the reconciliation of the CGS grant for that year. </w:t>
      </w:r>
    </w:p>
    <w:p w14:paraId="684AFD3A" w14:textId="780902C9" w:rsidR="00E53939" w:rsidRDefault="00902D34" w:rsidP="006F4AE8">
      <w:r>
        <w:t xml:space="preserve">Providers are encouraged to progress </w:t>
      </w:r>
      <w:r w:rsidR="00B86220">
        <w:t>new</w:t>
      </w:r>
      <w:r w:rsidR="00A319F3">
        <w:t xml:space="preserve"> </w:t>
      </w:r>
      <w:r>
        <w:t>equity initiatives</w:t>
      </w:r>
      <w:r w:rsidR="00B86220">
        <w:t xml:space="preserve"> without needing formal approval from the </w:t>
      </w:r>
      <w:r w:rsidR="003248AB">
        <w:t>department</w:t>
      </w:r>
      <w:r w:rsidR="00222E67">
        <w:t xml:space="preserve">. However, </w:t>
      </w:r>
      <w:r w:rsidR="00A319F3">
        <w:t xml:space="preserve">if the </w:t>
      </w:r>
      <w:r w:rsidR="003248AB">
        <w:t xml:space="preserve">department </w:t>
      </w:r>
      <w:r w:rsidR="001B2AC1">
        <w:t xml:space="preserve">determines that </w:t>
      </w:r>
      <w:r w:rsidR="00067974">
        <w:t>a</w:t>
      </w:r>
      <w:r w:rsidR="001B2AC1">
        <w:t xml:space="preserve"> </w:t>
      </w:r>
      <w:r w:rsidR="00B86220">
        <w:t>new</w:t>
      </w:r>
      <w:r w:rsidR="001B2AC1">
        <w:t xml:space="preserve"> initiative do</w:t>
      </w:r>
      <w:r w:rsidR="00B86220">
        <w:t>es</w:t>
      </w:r>
      <w:r w:rsidR="001B2AC1">
        <w:t xml:space="preserve"> not align with the </w:t>
      </w:r>
      <w:r w:rsidR="000706D9">
        <w:t>possible</w:t>
      </w:r>
      <w:r w:rsidR="00600D8F">
        <w:t xml:space="preserve"> </w:t>
      </w:r>
      <w:r w:rsidR="001B2AC1">
        <w:t xml:space="preserve">uses as part of the annual </w:t>
      </w:r>
      <w:r w:rsidR="00A16C78">
        <w:t xml:space="preserve">review </w:t>
      </w:r>
      <w:r w:rsidR="001B2AC1">
        <w:t>process</w:t>
      </w:r>
      <w:r w:rsidR="00A16C78">
        <w:t xml:space="preserve"> in </w:t>
      </w:r>
      <w:r w:rsidR="00600D8F">
        <w:t>May</w:t>
      </w:r>
      <w:r w:rsidR="00A16C78">
        <w:t xml:space="preserve">, </w:t>
      </w:r>
      <w:r w:rsidR="00D75CCE">
        <w:t>that initiative will not be eligible for a HECG grant</w:t>
      </w:r>
      <w:r w:rsidR="00A16C78" w:rsidRPr="006F4AE8">
        <w:t>.</w:t>
      </w:r>
      <w:r w:rsidR="00B86220">
        <w:t xml:space="preserve"> </w:t>
      </w:r>
      <w:r w:rsidR="00750FC4">
        <w:t>Providers will be not reimbursed</w:t>
      </w:r>
      <w:r w:rsidR="00174DE1">
        <w:t xml:space="preserve"> for any funding committed or spent on a new initiative that the </w:t>
      </w:r>
      <w:r w:rsidR="003248AB">
        <w:t xml:space="preserve">department </w:t>
      </w:r>
      <w:r w:rsidR="00174DE1">
        <w:t xml:space="preserve">determines does not align with the </w:t>
      </w:r>
      <w:r w:rsidR="000706D9">
        <w:t xml:space="preserve">possible </w:t>
      </w:r>
      <w:r w:rsidR="00174DE1">
        <w:t>uses.</w:t>
      </w:r>
    </w:p>
    <w:p w14:paraId="2B714E52" w14:textId="0EED6388" w:rsidR="00BC4FB9" w:rsidRDefault="00BC4FB9" w:rsidP="00BC4FB9">
      <w:pPr>
        <w:rPr>
          <w:rFonts w:ascii="Calibri" w:eastAsia="Calibri" w:hAnsi="Calibri" w:cs="Calibri"/>
        </w:rPr>
      </w:pPr>
      <w:r>
        <w:t xml:space="preserve">If a provider’s </w:t>
      </w:r>
      <w:r w:rsidRPr="005258BE">
        <w:t>circumstances change</w:t>
      </w:r>
      <w:r>
        <w:t xml:space="preserve"> outside the </w:t>
      </w:r>
      <w:r w:rsidRPr="24495D2D">
        <w:rPr>
          <w:rFonts w:ascii="Calibri" w:eastAsia="Calibri" w:hAnsi="Calibri" w:cs="Calibri"/>
        </w:rPr>
        <w:t>bi</w:t>
      </w:r>
      <w:r>
        <w:rPr>
          <w:rFonts w:ascii="Calibri" w:eastAsia="Calibri" w:hAnsi="Calibri" w:cs="Calibri"/>
        </w:rPr>
        <w:t>-annual</w:t>
      </w:r>
      <w:r w:rsidRPr="24495D2D">
        <w:rPr>
          <w:rFonts w:ascii="Calibri" w:eastAsia="Calibri" w:hAnsi="Calibri" w:cs="Calibri"/>
        </w:rPr>
        <w:t xml:space="preserve"> CGS/HECS-HELP Estimates Collection process</w:t>
      </w:r>
      <w:r>
        <w:rPr>
          <w:rFonts w:ascii="Calibri" w:eastAsia="Calibri" w:hAnsi="Calibri" w:cs="Calibri"/>
        </w:rPr>
        <w:t xml:space="preserve"> (</w:t>
      </w:r>
      <w:r w:rsidR="008C49EC">
        <w:rPr>
          <w:rFonts w:ascii="Calibri" w:eastAsia="Calibri" w:hAnsi="Calibri" w:cs="Calibri"/>
        </w:rPr>
        <w:t xml:space="preserve">April </w:t>
      </w:r>
      <w:r>
        <w:rPr>
          <w:rFonts w:ascii="Calibri" w:eastAsia="Calibri" w:hAnsi="Calibri" w:cs="Calibri"/>
        </w:rPr>
        <w:t>and October)</w:t>
      </w:r>
      <w:r w:rsidR="0009550C">
        <w:rPr>
          <w:rFonts w:ascii="Calibri" w:eastAsia="Calibri" w:hAnsi="Calibri" w:cs="Calibri"/>
        </w:rPr>
        <w:t xml:space="preserve"> likely</w:t>
      </w:r>
      <w:r>
        <w:rPr>
          <w:rFonts w:ascii="Calibri" w:eastAsia="Calibri" w:hAnsi="Calibri" w:cs="Calibri"/>
        </w:rPr>
        <w:t xml:space="preserve"> impacting their </w:t>
      </w:r>
      <w:r>
        <w:t xml:space="preserve">HECG funding </w:t>
      </w:r>
      <w:r>
        <w:rPr>
          <w:rFonts w:ascii="Calibri" w:eastAsia="Calibri" w:hAnsi="Calibri" w:cs="Calibri"/>
        </w:rPr>
        <w:t xml:space="preserve">eligibility, they should contact the department. </w:t>
      </w:r>
    </w:p>
    <w:p w14:paraId="09889221" w14:textId="5DE5E01A" w:rsidR="000F6118" w:rsidRPr="005C7D29" w:rsidRDefault="000F6118" w:rsidP="000F6118">
      <w:pPr>
        <w:pStyle w:val="Heading3"/>
      </w:pPr>
      <w:r w:rsidRPr="005C7D29">
        <w:t>What happens to HECG funding allocated if it is not utilised by the students?</w:t>
      </w:r>
      <w:r w:rsidR="00847822" w:rsidRPr="005C7D29">
        <w:t xml:space="preserve"> </w:t>
      </w:r>
    </w:p>
    <w:p w14:paraId="29C06B36" w14:textId="38DC61B8" w:rsidR="000F6118" w:rsidRPr="005C7D29" w:rsidRDefault="00026221" w:rsidP="003E4011">
      <w:r w:rsidRPr="005C7D29">
        <w:t xml:space="preserve">Providers </w:t>
      </w:r>
      <w:r w:rsidR="002535A3" w:rsidRPr="005C7D29">
        <w:t>can</w:t>
      </w:r>
      <w:r w:rsidR="005A3195" w:rsidRPr="005C7D29">
        <w:t xml:space="preserve"> redirect or reallocate any unspent funds </w:t>
      </w:r>
      <w:r w:rsidR="001D7368" w:rsidRPr="005C7D29">
        <w:t>from a</w:t>
      </w:r>
      <w:r w:rsidR="00961A65" w:rsidRPr="005C7D29">
        <w:t>n a</w:t>
      </w:r>
      <w:r w:rsidR="001D7368" w:rsidRPr="005C7D29">
        <w:t xml:space="preserve">pproved initiative </w:t>
      </w:r>
      <w:r w:rsidR="001626D5" w:rsidRPr="005C7D29">
        <w:t xml:space="preserve">to support other </w:t>
      </w:r>
      <w:r w:rsidR="00C66E8A" w:rsidRPr="005C7D29">
        <w:t>initiatives</w:t>
      </w:r>
      <w:r w:rsidR="005D173B" w:rsidRPr="005C7D29">
        <w:t xml:space="preserve"> outlined in their Equity Plan. </w:t>
      </w:r>
      <w:r w:rsidR="003E4011" w:rsidRPr="005C7D29">
        <w:t xml:space="preserve">Providers are encouraged to contact the department if their circumstances change and </w:t>
      </w:r>
      <w:r w:rsidR="00CA48E5" w:rsidRPr="005C7D29">
        <w:t>to</w:t>
      </w:r>
      <w:r w:rsidR="003E4011" w:rsidRPr="005C7D29">
        <w:t xml:space="preserve"> update their Equity Plan</w:t>
      </w:r>
      <w:r w:rsidR="00E02464" w:rsidRPr="005C7D29">
        <w:t>,</w:t>
      </w:r>
      <w:r w:rsidR="003E4011" w:rsidRPr="005C7D29">
        <w:t xml:space="preserve"> to reflect changed circumstances</w:t>
      </w:r>
      <w:r w:rsidR="00E02464" w:rsidRPr="005C7D29">
        <w:t>,</w:t>
      </w:r>
      <w:r w:rsidR="003E4011" w:rsidRPr="005C7D29">
        <w:t xml:space="preserve"> if required. </w:t>
      </w:r>
    </w:p>
    <w:p w14:paraId="788A43F0" w14:textId="6B5D3F8D" w:rsidR="00951E9B" w:rsidRPr="005C7D29" w:rsidRDefault="00951E9B" w:rsidP="004322CC">
      <w:r w:rsidRPr="005C7D29">
        <w:t>There are no provisions to reimburse providers for any other funding spent, including any over-commitment of funding as part of the HECG.</w:t>
      </w:r>
    </w:p>
    <w:p w14:paraId="185C0F51" w14:textId="3D70F5D9" w:rsidR="00D53F1F" w:rsidRDefault="00D53F1F" w:rsidP="00D53F1F">
      <w:pPr>
        <w:pStyle w:val="Heading3"/>
      </w:pPr>
      <w:r>
        <w:t xml:space="preserve">Can </w:t>
      </w:r>
      <w:r w:rsidR="003F45A7">
        <w:t xml:space="preserve">a provider </w:t>
      </w:r>
      <w:r>
        <w:t>access HECG funding without a HECG Equity Plan?</w:t>
      </w:r>
    </w:p>
    <w:p w14:paraId="1EC443D6" w14:textId="77777777" w:rsidR="00D53F1F" w:rsidRDefault="00D53F1F" w:rsidP="00D53F1F">
      <w:r>
        <w:t>No. Providers that do not have an Equity Plan in place at the time the department finalises HECG amounts for a relevant year will not be eligible for a HECG grant in respect of that year.</w:t>
      </w:r>
    </w:p>
    <w:p w14:paraId="0D46BF3B" w14:textId="118CABC5" w:rsidR="008D75C1" w:rsidRPr="0045361D" w:rsidRDefault="00E34865" w:rsidP="008D75C1">
      <w:pPr>
        <w:pStyle w:val="Heading3"/>
      </w:pPr>
      <w:r w:rsidRPr="0045361D">
        <w:t>Do</w:t>
      </w:r>
      <w:r w:rsidR="009663D9">
        <w:t>es our</w:t>
      </w:r>
      <w:r w:rsidR="008D75C1">
        <w:t xml:space="preserve"> </w:t>
      </w:r>
      <w:r w:rsidR="008D75C1" w:rsidRPr="0045361D">
        <w:t>HECG Equity Plan</w:t>
      </w:r>
      <w:r w:rsidRPr="0045361D">
        <w:t xml:space="preserve"> need to</w:t>
      </w:r>
      <w:r w:rsidR="008D75C1" w:rsidRPr="0045361D">
        <w:t xml:space="preserve"> align with </w:t>
      </w:r>
      <w:r w:rsidR="009663D9">
        <w:t xml:space="preserve">our </w:t>
      </w:r>
      <w:r w:rsidR="008D75C1" w:rsidRPr="0045361D">
        <w:t>Mission Based Compact?</w:t>
      </w:r>
    </w:p>
    <w:p w14:paraId="1331EC75" w14:textId="77777777" w:rsidR="00E72BE5" w:rsidRDefault="006254E1" w:rsidP="007D405C">
      <w:pPr>
        <w:rPr>
          <w:rStyle w:val="ui-provider"/>
        </w:rPr>
      </w:pPr>
      <w:r w:rsidRPr="0045361D">
        <w:rPr>
          <w:rStyle w:val="ui-provider"/>
        </w:rPr>
        <w:t>Yes. Mission Based Compacts require providers to include a statement</w:t>
      </w:r>
      <w:r w:rsidR="00ED7325" w:rsidRPr="0045361D">
        <w:rPr>
          <w:rStyle w:val="ui-provider"/>
        </w:rPr>
        <w:t xml:space="preserve"> of </w:t>
      </w:r>
      <w:r w:rsidR="00D13D87" w:rsidRPr="0045361D">
        <w:rPr>
          <w:rStyle w:val="ui-provider"/>
        </w:rPr>
        <w:t>their</w:t>
      </w:r>
      <w:r w:rsidR="00ED7325" w:rsidRPr="0045361D">
        <w:rPr>
          <w:rStyle w:val="ui-provider"/>
        </w:rPr>
        <w:t xml:space="preserve"> mission and details of the</w:t>
      </w:r>
      <w:r w:rsidR="00D13D87" w:rsidRPr="0045361D">
        <w:rPr>
          <w:rStyle w:val="ui-provider"/>
        </w:rPr>
        <w:t>ir</w:t>
      </w:r>
      <w:r w:rsidR="00ED7325" w:rsidRPr="0045361D">
        <w:rPr>
          <w:rStyle w:val="ui-provider"/>
        </w:rPr>
        <w:t xml:space="preserve"> strategies for improving equity of opportunity in higher education. </w:t>
      </w:r>
    </w:p>
    <w:p w14:paraId="5AB62774" w14:textId="16DAF17C" w:rsidR="00CB506D" w:rsidRDefault="00CB506D" w:rsidP="007D405C">
      <w:pPr>
        <w:rPr>
          <w:rStyle w:val="ui-provider"/>
        </w:rPr>
      </w:pPr>
      <w:r w:rsidRPr="0045361D">
        <w:rPr>
          <w:rStyle w:val="ui-provider"/>
        </w:rPr>
        <w:t>For p</w:t>
      </w:r>
      <w:r w:rsidR="007D405C" w:rsidRPr="00D13D87">
        <w:rPr>
          <w:rStyle w:val="ui-provider"/>
        </w:rPr>
        <w:t>roviders in receipt of, or likely to be</w:t>
      </w:r>
      <w:r w:rsidR="001E7355">
        <w:rPr>
          <w:rStyle w:val="ui-provider"/>
        </w:rPr>
        <w:t xml:space="preserve"> in receipt of</w:t>
      </w:r>
      <w:r w:rsidR="007D405C" w:rsidRPr="00D13D87">
        <w:rPr>
          <w:rStyle w:val="ui-provider"/>
        </w:rPr>
        <w:t xml:space="preserve">, a HECG </w:t>
      </w:r>
      <w:r w:rsidR="00652F62" w:rsidRPr="0045361D">
        <w:rPr>
          <w:rStyle w:val="ui-provider"/>
        </w:rPr>
        <w:t xml:space="preserve">grant </w:t>
      </w:r>
      <w:r w:rsidR="007D405C" w:rsidRPr="00D13D87">
        <w:rPr>
          <w:rStyle w:val="ui-provider"/>
        </w:rPr>
        <w:t>in 2024 and 2025</w:t>
      </w:r>
      <w:r w:rsidRPr="0045361D">
        <w:rPr>
          <w:rStyle w:val="ui-provider"/>
        </w:rPr>
        <w:t xml:space="preserve">, this statement should include reference to the HECG Equity Plan. </w:t>
      </w:r>
    </w:p>
    <w:p w14:paraId="464292DB" w14:textId="53321F55" w:rsidR="002819D8" w:rsidRDefault="002819D8" w:rsidP="002819D8">
      <w:r>
        <w:rPr>
          <w:rStyle w:val="ui-provider"/>
        </w:rPr>
        <w:lastRenderedPageBreak/>
        <w:t xml:space="preserve">The HECG Equity Plan should contain more detailed information on </w:t>
      </w:r>
      <w:r>
        <w:t xml:space="preserve">the specific equity-related initiatives to be funded under any potential HECG grant for 2024 and 2025.  </w:t>
      </w:r>
    </w:p>
    <w:p w14:paraId="0308AEF5" w14:textId="6893E05E" w:rsidR="002819D8" w:rsidRDefault="00D03411" w:rsidP="002819D8">
      <w:r>
        <w:t>R</w:t>
      </w:r>
      <w:r w:rsidR="002819D8">
        <w:t xml:space="preserve">eference in the Mission Based Compact to the HECG Equity Plan alone, without providing details of the </w:t>
      </w:r>
      <w:r>
        <w:t xml:space="preserve">provider’s </w:t>
      </w:r>
      <w:r w:rsidR="002819D8">
        <w:t xml:space="preserve">overarching institutional equity strategy, does not meet </w:t>
      </w:r>
      <w:r w:rsidR="00F62239">
        <w:t>requirements.</w:t>
      </w:r>
    </w:p>
    <w:p w14:paraId="4A887B4B" w14:textId="31D589CE" w:rsidR="00BB022A" w:rsidRDefault="00BB022A" w:rsidP="008A4886">
      <w:pPr>
        <w:pStyle w:val="Heading3"/>
      </w:pPr>
      <w:r>
        <w:t xml:space="preserve">How do the expectations of the </w:t>
      </w:r>
      <w:r w:rsidRPr="0045361D">
        <w:t xml:space="preserve">HECG Equity Plan </w:t>
      </w:r>
      <w:r>
        <w:t xml:space="preserve">differ from the </w:t>
      </w:r>
      <w:r w:rsidRPr="0045361D">
        <w:t>Mission Based Compact?</w:t>
      </w:r>
    </w:p>
    <w:p w14:paraId="0B939B1E" w14:textId="36134A63" w:rsidR="00871D0D" w:rsidRDefault="005B7CEE" w:rsidP="00845B1A">
      <w:r w:rsidRPr="0045361D">
        <w:rPr>
          <w:rStyle w:val="ui-provider"/>
        </w:rPr>
        <w:t xml:space="preserve">Mission Based Compacts </w:t>
      </w:r>
      <w:r>
        <w:rPr>
          <w:rStyle w:val="ui-provider"/>
        </w:rPr>
        <w:t xml:space="preserve">are the principal strategic document, setting out how each provider’s mission aligns with the Commonwealth’s goals for higher education, innovation, teaching and learning, research and research training and equity. </w:t>
      </w:r>
      <w:r w:rsidR="00BB022A">
        <w:t>Providers should clearly detail their overarching institutional equity strategy in their Mission Based Compact</w:t>
      </w:r>
      <w:r>
        <w:t xml:space="preserve"> and include reference to the Equity Plan if applicable</w:t>
      </w:r>
      <w:r w:rsidR="00BB022A">
        <w:t>.</w:t>
      </w:r>
      <w:r w:rsidR="00871D0D">
        <w:t xml:space="preserve"> </w:t>
      </w:r>
    </w:p>
    <w:p w14:paraId="44926674" w14:textId="35174535" w:rsidR="00BB022A" w:rsidRDefault="005B7CEE" w:rsidP="00BB022A">
      <w:r>
        <w:t xml:space="preserve">Equity Plans are a subsidiary document that link to the provider’s overarching institutional equity strategy but provide </w:t>
      </w:r>
      <w:r w:rsidR="00BB022A">
        <w:t xml:space="preserve">more detailed information on the specific equity-related initiatives to be funded under any potential HECG grant for 2024 and 2025.  </w:t>
      </w:r>
    </w:p>
    <w:p w14:paraId="54FB5F4C" w14:textId="5A2453DD" w:rsidR="00F06D11" w:rsidRPr="005C7D29" w:rsidRDefault="00F06D11" w:rsidP="00F06D11">
      <w:pPr>
        <w:pStyle w:val="Heading3"/>
      </w:pPr>
      <w:r w:rsidRPr="005C7D29">
        <w:t>Do</w:t>
      </w:r>
      <w:r w:rsidR="00907627" w:rsidRPr="005C7D29">
        <w:t xml:space="preserve"> providers </w:t>
      </w:r>
      <w:r w:rsidR="00F76CB9" w:rsidRPr="005C7D29">
        <w:t>need to mention the HECG Equity Plan in their Mission Based Compact i</w:t>
      </w:r>
      <w:r w:rsidR="007746FE" w:rsidRPr="005C7D29">
        <w:t>f they are like</w:t>
      </w:r>
      <w:r w:rsidR="00681755" w:rsidRPr="005C7D29">
        <w:t>ly</w:t>
      </w:r>
      <w:r w:rsidR="007746FE" w:rsidRPr="005C7D29">
        <w:t xml:space="preserve"> to be ineligible for HECG?</w:t>
      </w:r>
    </w:p>
    <w:p w14:paraId="690AF09B" w14:textId="677F7C59" w:rsidR="00E61E8F" w:rsidRPr="005C7D29" w:rsidRDefault="00845B1A">
      <w:pPr>
        <w:pStyle w:val="paragraph"/>
        <w:spacing w:before="0" w:beforeAutospacing="0" w:after="240" w:afterAutospacing="0"/>
        <w:textAlignment w:val="baseline"/>
        <w:rPr>
          <w:rStyle w:val="normaltextrun"/>
          <w:rFonts w:ascii="Calibri" w:hAnsi="Calibri" w:cs="Calibri"/>
          <w:sz w:val="22"/>
          <w:szCs w:val="22"/>
        </w:rPr>
      </w:pPr>
      <w:r w:rsidRPr="005C7D29">
        <w:rPr>
          <w:rStyle w:val="normaltextrun"/>
          <w:rFonts w:ascii="Calibri" w:hAnsi="Calibri" w:cs="Calibri"/>
          <w:sz w:val="22"/>
          <w:szCs w:val="22"/>
        </w:rPr>
        <w:t xml:space="preserve">If a provider anticipates that </w:t>
      </w:r>
      <w:r w:rsidR="00E759B3" w:rsidRPr="005C7D29">
        <w:rPr>
          <w:rStyle w:val="normaltextrun"/>
          <w:rFonts w:ascii="Calibri" w:hAnsi="Calibri" w:cs="Calibri"/>
          <w:sz w:val="22"/>
          <w:szCs w:val="22"/>
        </w:rPr>
        <w:t>they</w:t>
      </w:r>
      <w:r w:rsidRPr="005C7D29">
        <w:rPr>
          <w:rStyle w:val="normaltextrun"/>
          <w:rFonts w:ascii="Calibri" w:hAnsi="Calibri" w:cs="Calibri"/>
          <w:sz w:val="22"/>
          <w:szCs w:val="22"/>
        </w:rPr>
        <w:t xml:space="preserve"> will not be eligible for HECG grant funding, then there is no need to </w:t>
      </w:r>
      <w:r w:rsidR="00E61E8F" w:rsidRPr="005C7D29">
        <w:rPr>
          <w:rStyle w:val="normaltextrun"/>
          <w:rFonts w:ascii="Calibri" w:hAnsi="Calibri" w:cs="Calibri"/>
          <w:sz w:val="22"/>
          <w:szCs w:val="22"/>
        </w:rPr>
        <w:t>reference</w:t>
      </w:r>
      <w:r w:rsidRPr="005C7D29">
        <w:rPr>
          <w:rStyle w:val="normaltextrun"/>
          <w:rFonts w:ascii="Calibri" w:hAnsi="Calibri" w:cs="Calibri"/>
          <w:sz w:val="22"/>
          <w:szCs w:val="22"/>
        </w:rPr>
        <w:t xml:space="preserve"> </w:t>
      </w:r>
      <w:r w:rsidR="00E61E8F" w:rsidRPr="005C7D29">
        <w:rPr>
          <w:rStyle w:val="normaltextrun"/>
          <w:rFonts w:ascii="Calibri" w:hAnsi="Calibri" w:cs="Calibri"/>
          <w:sz w:val="22"/>
          <w:szCs w:val="22"/>
        </w:rPr>
        <w:t>an</w:t>
      </w:r>
      <w:r w:rsidR="005A3195" w:rsidRPr="005C7D29">
        <w:rPr>
          <w:rStyle w:val="normaltextrun"/>
          <w:rFonts w:ascii="Calibri" w:hAnsi="Calibri" w:cs="Calibri"/>
          <w:sz w:val="22"/>
          <w:szCs w:val="22"/>
        </w:rPr>
        <w:t xml:space="preserve"> </w:t>
      </w:r>
      <w:r w:rsidRPr="005C7D29">
        <w:rPr>
          <w:rStyle w:val="normaltextrun"/>
          <w:rFonts w:ascii="Calibri" w:hAnsi="Calibri" w:cs="Calibri"/>
          <w:sz w:val="22"/>
          <w:szCs w:val="22"/>
        </w:rPr>
        <w:t>Equity Plan in the 2024 Mission</w:t>
      </w:r>
      <w:r w:rsidR="00E61E8F" w:rsidRPr="005C7D29">
        <w:rPr>
          <w:rStyle w:val="normaltextrun"/>
          <w:rFonts w:ascii="Calibri" w:hAnsi="Calibri" w:cs="Calibri"/>
          <w:sz w:val="22"/>
          <w:szCs w:val="22"/>
        </w:rPr>
        <w:t xml:space="preserve"> B</w:t>
      </w:r>
      <w:r w:rsidRPr="005C7D29">
        <w:rPr>
          <w:rStyle w:val="normaltextrun"/>
          <w:rFonts w:ascii="Calibri" w:hAnsi="Calibri" w:cs="Calibri"/>
          <w:sz w:val="22"/>
          <w:szCs w:val="22"/>
        </w:rPr>
        <w:t>ased Compact.</w:t>
      </w:r>
    </w:p>
    <w:p w14:paraId="139F9D62" w14:textId="341E0777" w:rsidR="00845B1A" w:rsidRPr="005C7D29" w:rsidRDefault="00845B1A">
      <w:pPr>
        <w:pStyle w:val="paragraph"/>
        <w:spacing w:before="0" w:beforeAutospacing="0" w:after="240" w:afterAutospacing="0"/>
        <w:textAlignment w:val="baseline"/>
        <w:rPr>
          <w:rStyle w:val="eop"/>
          <w:rFonts w:ascii="Calibri" w:hAnsi="Calibri" w:cs="Calibri"/>
          <w:sz w:val="22"/>
          <w:szCs w:val="22"/>
        </w:rPr>
      </w:pPr>
      <w:r w:rsidRPr="005C7D29">
        <w:rPr>
          <w:rStyle w:val="normaltextrun"/>
          <w:rFonts w:ascii="Calibri" w:hAnsi="Calibri" w:cs="Calibri"/>
          <w:sz w:val="22"/>
          <w:szCs w:val="22"/>
        </w:rPr>
        <w:t xml:space="preserve">If a provider </w:t>
      </w:r>
      <w:r w:rsidRPr="005C7D29">
        <w:rPr>
          <w:rStyle w:val="normaltextrun"/>
          <w:rFonts w:ascii="Calibri" w:hAnsi="Calibri" w:cs="Calibri"/>
          <w:i/>
          <w:iCs/>
          <w:sz w:val="22"/>
          <w:szCs w:val="22"/>
        </w:rPr>
        <w:t>does</w:t>
      </w:r>
      <w:r w:rsidRPr="005C7D29">
        <w:rPr>
          <w:rStyle w:val="normaltextrun"/>
          <w:rFonts w:ascii="Calibri" w:hAnsi="Calibri" w:cs="Calibri"/>
          <w:sz w:val="22"/>
          <w:szCs w:val="22"/>
        </w:rPr>
        <w:t xml:space="preserve"> become eligible for HECG grant funding, </w:t>
      </w:r>
      <w:r w:rsidR="00E759B3" w:rsidRPr="005C7D29">
        <w:rPr>
          <w:rStyle w:val="normaltextrun"/>
          <w:rFonts w:ascii="Calibri" w:hAnsi="Calibri" w:cs="Calibri"/>
          <w:sz w:val="22"/>
          <w:szCs w:val="22"/>
        </w:rPr>
        <w:t>they</w:t>
      </w:r>
      <w:r w:rsidRPr="005C7D29">
        <w:rPr>
          <w:rStyle w:val="normaltextrun"/>
          <w:rFonts w:ascii="Calibri" w:hAnsi="Calibri" w:cs="Calibri"/>
          <w:sz w:val="22"/>
          <w:szCs w:val="22"/>
        </w:rPr>
        <w:t xml:space="preserve"> will be required to have an Equity Plan in place as part of </w:t>
      </w:r>
      <w:r w:rsidR="00E759B3" w:rsidRPr="005C7D29">
        <w:rPr>
          <w:rStyle w:val="normaltextrun"/>
          <w:rFonts w:ascii="Calibri" w:hAnsi="Calibri" w:cs="Calibri"/>
          <w:sz w:val="22"/>
          <w:szCs w:val="22"/>
        </w:rPr>
        <w:t xml:space="preserve">their </w:t>
      </w:r>
      <w:r w:rsidRPr="005C7D29">
        <w:rPr>
          <w:rStyle w:val="normaltextrun"/>
          <w:rFonts w:ascii="Calibri" w:hAnsi="Calibri" w:cs="Calibri"/>
          <w:sz w:val="22"/>
          <w:szCs w:val="22"/>
        </w:rPr>
        <w:t>funding requirements. However, there will be no requirement to amend the 2024 Mission</w:t>
      </w:r>
      <w:r w:rsidR="00E61E8F" w:rsidRPr="005C7D29">
        <w:rPr>
          <w:rStyle w:val="normaltextrun"/>
          <w:rFonts w:ascii="Calibri" w:hAnsi="Calibri" w:cs="Calibri"/>
          <w:sz w:val="22"/>
          <w:szCs w:val="22"/>
        </w:rPr>
        <w:t xml:space="preserve"> B</w:t>
      </w:r>
      <w:r w:rsidRPr="005C7D29">
        <w:rPr>
          <w:rStyle w:val="normaltextrun"/>
          <w:rFonts w:ascii="Calibri" w:hAnsi="Calibri" w:cs="Calibri"/>
          <w:sz w:val="22"/>
          <w:szCs w:val="22"/>
        </w:rPr>
        <w:t>ased Compact. </w:t>
      </w:r>
      <w:r w:rsidRPr="005C7D29">
        <w:rPr>
          <w:rStyle w:val="eop"/>
          <w:rFonts w:ascii="Calibri" w:hAnsi="Calibri" w:cs="Calibri"/>
          <w:sz w:val="22"/>
          <w:szCs w:val="22"/>
        </w:rPr>
        <w:t> </w:t>
      </w:r>
    </w:p>
    <w:p w14:paraId="1C29E11B" w14:textId="43C825F4" w:rsidR="00E61E8F" w:rsidRDefault="00E61E8F" w:rsidP="00E61E8F">
      <w:pPr>
        <w:rPr>
          <w:rStyle w:val="ui-provider"/>
        </w:rPr>
      </w:pPr>
      <w:r w:rsidRPr="005C7D29">
        <w:t>For further information on Mission Based Compacts, contact</w:t>
      </w:r>
      <w:r w:rsidR="005600AB" w:rsidRPr="005C7D29">
        <w:t xml:space="preserve"> </w:t>
      </w:r>
      <w:hyperlink r:id="rId23" w:history="1">
        <w:r w:rsidR="005600AB" w:rsidRPr="005C7D29">
          <w:rPr>
            <w:rStyle w:val="Hyperlink"/>
            <w:b/>
            <w:bCs/>
          </w:rPr>
          <w:t>UniversityCompacts@education.gov.au</w:t>
        </w:r>
      </w:hyperlink>
      <w:r w:rsidRPr="005C7D29">
        <w:rPr>
          <w:b/>
          <w:bCs/>
        </w:rPr>
        <w:t>.</w:t>
      </w:r>
      <w:r>
        <w:t xml:space="preserve"> </w:t>
      </w:r>
    </w:p>
    <w:p w14:paraId="243069F9" w14:textId="4B4FEFD9" w:rsidR="00271290" w:rsidRPr="0045361D" w:rsidRDefault="00271290" w:rsidP="004C641E">
      <w:pPr>
        <w:pStyle w:val="Heading2"/>
        <w:rPr>
          <w:sz w:val="40"/>
          <w:szCs w:val="24"/>
        </w:rPr>
      </w:pPr>
      <w:r w:rsidRPr="0045361D">
        <w:rPr>
          <w:sz w:val="40"/>
          <w:szCs w:val="24"/>
        </w:rPr>
        <w:t xml:space="preserve">What are the </w:t>
      </w:r>
      <w:r w:rsidR="00440347" w:rsidRPr="0045361D">
        <w:rPr>
          <w:sz w:val="40"/>
          <w:szCs w:val="24"/>
        </w:rPr>
        <w:t xml:space="preserve">HECG </w:t>
      </w:r>
      <w:r w:rsidR="00BF7B1B" w:rsidRPr="0045361D">
        <w:rPr>
          <w:sz w:val="40"/>
          <w:szCs w:val="24"/>
        </w:rPr>
        <w:t xml:space="preserve">Annual </w:t>
      </w:r>
      <w:r w:rsidRPr="0045361D">
        <w:rPr>
          <w:sz w:val="40"/>
          <w:szCs w:val="24"/>
        </w:rPr>
        <w:t>Equity Reports?</w:t>
      </w:r>
    </w:p>
    <w:p w14:paraId="02B317E6" w14:textId="64947066" w:rsidR="007814A7" w:rsidRDefault="001A3BF6" w:rsidP="001A3BF6">
      <w:r>
        <w:t xml:space="preserve">Providers will be required to report </w:t>
      </w:r>
      <w:r w:rsidR="00B53FB8">
        <w:t xml:space="preserve">annually </w:t>
      </w:r>
      <w:r>
        <w:t xml:space="preserve">to the department on </w:t>
      </w:r>
      <w:r w:rsidR="00F3458D">
        <w:t xml:space="preserve">progress, </w:t>
      </w:r>
      <w:r>
        <w:t xml:space="preserve">outcomes and </w:t>
      </w:r>
      <w:r w:rsidR="00F3458D">
        <w:t xml:space="preserve">impacts </w:t>
      </w:r>
      <w:r>
        <w:t xml:space="preserve">of equity initiatives </w:t>
      </w:r>
      <w:r w:rsidR="00B53FB8">
        <w:t xml:space="preserve">to be </w:t>
      </w:r>
      <w:r>
        <w:t xml:space="preserve">funded </w:t>
      </w:r>
      <w:r w:rsidR="00B53FB8">
        <w:t>under the HECG</w:t>
      </w:r>
      <w:r>
        <w:t xml:space="preserve"> </w:t>
      </w:r>
      <w:r w:rsidR="00283AAF">
        <w:t>until the year following termination of spending</w:t>
      </w:r>
      <w:r>
        <w:t xml:space="preserve">. </w:t>
      </w:r>
    </w:p>
    <w:p w14:paraId="752245D1" w14:textId="0C656CE5" w:rsidR="009E51F8" w:rsidRDefault="007814A7" w:rsidP="001A3BF6">
      <w:r>
        <w:t xml:space="preserve">The </w:t>
      </w:r>
      <w:r w:rsidR="005A3195">
        <w:t xml:space="preserve">HECG </w:t>
      </w:r>
      <w:r>
        <w:t xml:space="preserve">Annual </w:t>
      </w:r>
      <w:r w:rsidR="00884EDF">
        <w:t xml:space="preserve">Equity </w:t>
      </w:r>
      <w:r>
        <w:t xml:space="preserve">Report will include measurement </w:t>
      </w:r>
      <w:r w:rsidR="38A1ED8F">
        <w:t xml:space="preserve">and </w:t>
      </w:r>
      <w:r>
        <w:t>evaluation of outcomes</w:t>
      </w:r>
      <w:r w:rsidR="3608FDF6">
        <w:t xml:space="preserve">, </w:t>
      </w:r>
      <w:r>
        <w:t>results of initiatives</w:t>
      </w:r>
      <w:r w:rsidR="3316AF2B">
        <w:t>,</w:t>
      </w:r>
      <w:r>
        <w:t xml:space="preserve"> and details on how </w:t>
      </w:r>
      <w:r w:rsidR="00B53FB8">
        <w:t xml:space="preserve">providers have spent amounts equivalent to their unspent eligible </w:t>
      </w:r>
      <w:r w:rsidR="00B53FB8" w:rsidRPr="008523FF">
        <w:t>MBGA</w:t>
      </w:r>
      <w:r w:rsidRPr="008523FF">
        <w:t>.</w:t>
      </w:r>
      <w:r w:rsidR="00B65AB9" w:rsidRPr="008523FF">
        <w:t xml:space="preserve"> There will be no additional financial acquittal process required. The submission of the </w:t>
      </w:r>
      <w:r w:rsidR="005A3195" w:rsidRPr="008523FF">
        <w:t xml:space="preserve">HECG </w:t>
      </w:r>
      <w:r w:rsidR="00B65AB9" w:rsidRPr="008523FF">
        <w:t xml:space="preserve">Annual Equity Report </w:t>
      </w:r>
      <w:r w:rsidR="008960FD" w:rsidRPr="008523FF">
        <w:t xml:space="preserve">that includes all the information required by the department </w:t>
      </w:r>
      <w:r w:rsidR="00B65AB9" w:rsidRPr="008523FF">
        <w:t>will be sufficient for reporting purposes.</w:t>
      </w:r>
      <w:r w:rsidR="00B65AB9">
        <w:t xml:space="preserve">  </w:t>
      </w:r>
    </w:p>
    <w:p w14:paraId="609E1B34" w14:textId="5CF56B13" w:rsidR="00B8629D" w:rsidRPr="0045361D" w:rsidRDefault="00B8629D" w:rsidP="00B8629D">
      <w:pPr>
        <w:pStyle w:val="Heading3"/>
      </w:pPr>
      <w:r w:rsidRPr="0045361D">
        <w:t xml:space="preserve">When will the </w:t>
      </w:r>
      <w:r w:rsidR="0026603E" w:rsidRPr="0045361D">
        <w:t xml:space="preserve">first </w:t>
      </w:r>
      <w:r w:rsidRPr="0045361D">
        <w:t>HECG Annual Equity Report</w:t>
      </w:r>
      <w:r w:rsidR="007814A7" w:rsidRPr="0045361D">
        <w:t xml:space="preserve"> be </w:t>
      </w:r>
      <w:r w:rsidR="009921C4" w:rsidRPr="0045361D">
        <w:t>required</w:t>
      </w:r>
      <w:r w:rsidRPr="0045361D">
        <w:t>?</w:t>
      </w:r>
    </w:p>
    <w:p w14:paraId="2E5C95E4" w14:textId="5764B4E7" w:rsidR="00E62A9E" w:rsidRPr="008523FF" w:rsidRDefault="007814A7" w:rsidP="001A3BF6">
      <w:r w:rsidRPr="008523FF">
        <w:t xml:space="preserve">The first Annual </w:t>
      </w:r>
      <w:r w:rsidR="00B53FB8" w:rsidRPr="008523FF">
        <w:t xml:space="preserve">Equity </w:t>
      </w:r>
      <w:r w:rsidRPr="008523FF">
        <w:t xml:space="preserve">Report </w:t>
      </w:r>
      <w:r w:rsidR="006F0A7E" w:rsidRPr="008523FF">
        <w:t xml:space="preserve">will be due in </w:t>
      </w:r>
      <w:r w:rsidR="00AC1755" w:rsidRPr="008523FF">
        <w:t xml:space="preserve">May </w:t>
      </w:r>
      <w:r w:rsidRPr="008523FF">
        <w:t>2025</w:t>
      </w:r>
      <w:r w:rsidR="006F0A7E" w:rsidRPr="008523FF">
        <w:t xml:space="preserve"> and will cover 2024</w:t>
      </w:r>
      <w:r w:rsidR="008D7B72" w:rsidRPr="008523FF">
        <w:t xml:space="preserve"> HECG equity </w:t>
      </w:r>
      <w:r w:rsidR="55F345DF" w:rsidRPr="008523FF">
        <w:t>initiatives</w:t>
      </w:r>
      <w:r w:rsidR="00B32C9B" w:rsidRPr="008523FF">
        <w:t>.</w:t>
      </w:r>
      <w:r w:rsidR="00BE7E19" w:rsidRPr="008523FF">
        <w:t xml:space="preserve"> </w:t>
      </w:r>
    </w:p>
    <w:p w14:paraId="57FA3059" w14:textId="77777777" w:rsidR="00F53C35" w:rsidRPr="008523FF" w:rsidRDefault="00F53C35" w:rsidP="00F53C35">
      <w:r w:rsidRPr="008523FF">
        <w:t>The HECG Annual Report will require submission of two documents:</w:t>
      </w:r>
    </w:p>
    <w:p w14:paraId="341DB0A8" w14:textId="77777777" w:rsidR="00F53C35" w:rsidRPr="008523FF" w:rsidRDefault="00F53C35" w:rsidP="00F53C35">
      <w:pPr>
        <w:pStyle w:val="ListParagraph"/>
        <w:numPr>
          <w:ilvl w:val="0"/>
          <w:numId w:val="37"/>
        </w:numPr>
      </w:pPr>
      <w:r w:rsidRPr="008523FF">
        <w:lastRenderedPageBreak/>
        <w:t>Annual Report – Summary (Word document)</w:t>
      </w:r>
    </w:p>
    <w:p w14:paraId="720EED34" w14:textId="790CA103" w:rsidR="00F53C35" w:rsidRPr="008523FF" w:rsidRDefault="00F53C35" w:rsidP="00F53C35">
      <w:pPr>
        <w:pStyle w:val="ListParagraph"/>
        <w:numPr>
          <w:ilvl w:val="0"/>
          <w:numId w:val="37"/>
        </w:numPr>
      </w:pPr>
      <w:r w:rsidRPr="008523FF">
        <w:t>Annual Report –</w:t>
      </w:r>
      <w:r w:rsidR="009E7DCD">
        <w:t xml:space="preserve"> </w:t>
      </w:r>
      <w:r w:rsidRPr="008523FF">
        <w:t>Equity Initiatives Outcomes (Excel document)</w:t>
      </w:r>
    </w:p>
    <w:p w14:paraId="5AA194C6" w14:textId="69B4C471" w:rsidR="00AD6AF7" w:rsidRDefault="00AD6AF7" w:rsidP="00AD6AF7">
      <w:pPr>
        <w:pStyle w:val="Heading3"/>
      </w:pPr>
      <w:r>
        <w:t xml:space="preserve">What needs to be considered when </w:t>
      </w:r>
      <w:r w:rsidR="005D4F68">
        <w:t>completing the HECG Annual Equity Report</w:t>
      </w:r>
      <w:r>
        <w:t>?</w:t>
      </w:r>
      <w:r w:rsidR="00646371">
        <w:t xml:space="preserve"> </w:t>
      </w:r>
    </w:p>
    <w:p w14:paraId="7F80EABA" w14:textId="2F9A43B6" w:rsidR="00227260" w:rsidRPr="00D86C1F" w:rsidRDefault="00BC4D89" w:rsidP="41B5D98F">
      <w:r w:rsidRPr="009E7DCD">
        <w:t>The</w:t>
      </w:r>
      <w:r w:rsidR="447D41F0" w:rsidRPr="009E7DCD">
        <w:t xml:space="preserve"> </w:t>
      </w:r>
      <w:r w:rsidR="095674D4" w:rsidRPr="009E7DCD">
        <w:t>HECG Annual Equity Report</w:t>
      </w:r>
      <w:r w:rsidR="447D41F0" w:rsidRPr="009E7DCD">
        <w:t xml:space="preserve"> </w:t>
      </w:r>
      <w:r w:rsidR="00AC1755" w:rsidRPr="009E7DCD">
        <w:t>has been</w:t>
      </w:r>
      <w:r w:rsidR="337A9368" w:rsidRPr="009E7DCD">
        <w:t xml:space="preserve"> developed as part of the HECG </w:t>
      </w:r>
      <w:r w:rsidR="08D93CA1" w:rsidRPr="009E7DCD">
        <w:t>sector</w:t>
      </w:r>
      <w:r w:rsidR="3F12219B" w:rsidRPr="009E7DCD">
        <w:t xml:space="preserve"> consultations</w:t>
      </w:r>
      <w:r w:rsidR="00482BB1" w:rsidRPr="009E7DCD">
        <w:t xml:space="preserve"> and</w:t>
      </w:r>
      <w:r w:rsidR="009E51F8" w:rsidRPr="009E7DCD">
        <w:t xml:space="preserve"> designed to simplify the reporting process while still striving to achieve the transparency and </w:t>
      </w:r>
      <w:r w:rsidR="009E51F8" w:rsidRPr="00D86C1F">
        <w:t>accountability required to demonstrate the effective use of public money.</w:t>
      </w:r>
    </w:p>
    <w:p w14:paraId="3C0DEA2E" w14:textId="528BFDA3" w:rsidR="00DD2329" w:rsidRPr="00D86C1F" w:rsidRDefault="005B0217" w:rsidP="0084454C">
      <w:r w:rsidRPr="00D86C1F">
        <w:t xml:space="preserve">The HECG Annual Equity Report should include a summary of </w:t>
      </w:r>
      <w:r w:rsidR="00CC39C1" w:rsidRPr="00D86C1F">
        <w:t>what the equity initiatives</w:t>
      </w:r>
      <w:r w:rsidR="00F62785" w:rsidRPr="00D86C1F">
        <w:t xml:space="preserve"> included</w:t>
      </w:r>
      <w:r w:rsidR="0084454C" w:rsidRPr="00D86C1F">
        <w:t xml:space="preserve"> </w:t>
      </w:r>
      <w:r w:rsidR="00C522B7" w:rsidRPr="00D86C1F">
        <w:t>in the Equity Plan</w:t>
      </w:r>
      <w:r w:rsidR="00CC39C1" w:rsidRPr="00D86C1F">
        <w:t xml:space="preserve"> have achieved</w:t>
      </w:r>
      <w:r w:rsidR="00A67F14" w:rsidRPr="00D86C1F">
        <w:t>. The</w:t>
      </w:r>
      <w:r w:rsidR="005A3195" w:rsidRPr="00D86C1F">
        <w:t xml:space="preserve"> </w:t>
      </w:r>
      <w:r w:rsidR="0016759B" w:rsidRPr="00D86C1F">
        <w:t xml:space="preserve">Report should also </w:t>
      </w:r>
      <w:r w:rsidR="00A67F14" w:rsidRPr="00D86C1F">
        <w:t xml:space="preserve">address the impact </w:t>
      </w:r>
      <w:r w:rsidR="005A3195" w:rsidRPr="00D86C1F">
        <w:t>on</w:t>
      </w:r>
      <w:r w:rsidR="004254AB" w:rsidRPr="00D86C1F">
        <w:t xml:space="preserve"> Equity Target Groups</w:t>
      </w:r>
      <w:r w:rsidR="0084454C" w:rsidRPr="00D86C1F">
        <w:t xml:space="preserve">, how established Equity Initiatives have contributed to achieving Institutional Equity Targets and supported </w:t>
      </w:r>
      <w:r w:rsidR="003830BD" w:rsidRPr="00D86C1F">
        <w:t>I</w:t>
      </w:r>
      <w:r w:rsidR="0084454C" w:rsidRPr="00D86C1F">
        <w:t>nstitutional goals</w:t>
      </w:r>
      <w:r w:rsidR="004254AB" w:rsidRPr="00D86C1F">
        <w:t xml:space="preserve">. </w:t>
      </w:r>
    </w:p>
    <w:p w14:paraId="149132AA" w14:textId="787601B4" w:rsidR="0084454C" w:rsidRPr="00D86C1F" w:rsidRDefault="0084454C" w:rsidP="41B5D98F">
      <w:r w:rsidRPr="00D86C1F">
        <w:t>The summary should include available statistical evidence to assess performance against targets and providers are strongly encouraged to include specific case studies to support claims.</w:t>
      </w:r>
    </w:p>
    <w:p w14:paraId="3F59B84D" w14:textId="6A8160E8" w:rsidR="00185A3E" w:rsidRPr="00D86C1F" w:rsidRDefault="00185A3E" w:rsidP="41B5D98F">
      <w:r w:rsidRPr="00D86C1F">
        <w:t xml:space="preserve">Providers are </w:t>
      </w:r>
      <w:r w:rsidR="005A12B3" w:rsidRPr="00D86C1F">
        <w:t xml:space="preserve">also </w:t>
      </w:r>
      <w:r w:rsidRPr="00D86C1F">
        <w:t xml:space="preserve">encouraged to include case studies </w:t>
      </w:r>
      <w:r w:rsidR="005A12B3" w:rsidRPr="00D86C1F">
        <w:t xml:space="preserve">to </w:t>
      </w:r>
      <w:r w:rsidR="00D707F6" w:rsidRPr="00D86C1F">
        <w:t>illustrate</w:t>
      </w:r>
      <w:r w:rsidR="005A12B3" w:rsidRPr="00D86C1F">
        <w:t xml:space="preserve"> h</w:t>
      </w:r>
      <w:r w:rsidR="006876FA" w:rsidRPr="00D86C1F">
        <w:t xml:space="preserve">ow </w:t>
      </w:r>
      <w:r w:rsidR="000919EC" w:rsidRPr="00D86C1F">
        <w:t xml:space="preserve">HECG funded equity initiatives have benefited </w:t>
      </w:r>
      <w:r w:rsidR="00D707F6" w:rsidRPr="00D86C1F">
        <w:t xml:space="preserve">under-represented cohorts. </w:t>
      </w:r>
    </w:p>
    <w:p w14:paraId="5F902E38" w14:textId="79FC8928" w:rsidR="00D12F53" w:rsidRPr="00D86C1F" w:rsidRDefault="00D12F53" w:rsidP="00D12F53">
      <w:r w:rsidRPr="00D86C1F">
        <w:t xml:space="preserve">It is recommended that providers use the SEHEEF in the implementation and evaluation phases. The SEHEEF provides a robust framework for evaluation of Commonwealth funded equity programs. The Continuous Quality Improvement (CQI) tools within the SEHEEF can also assist to improve the design, implementation, and performance of initiatives. The </w:t>
      </w:r>
      <w:r w:rsidR="00DD71E4" w:rsidRPr="00D86C1F">
        <w:t xml:space="preserve">Australian </w:t>
      </w:r>
      <w:r w:rsidR="00345831" w:rsidRPr="00D86C1F">
        <w:t>Centre for Student Equity and Success (ASCES)</w:t>
      </w:r>
      <w:r w:rsidRPr="00D86C1F">
        <w:t xml:space="preserve"> offers a range of resources for institutions implementing the SEHEEF.</w:t>
      </w:r>
    </w:p>
    <w:p w14:paraId="1B0491F8" w14:textId="0EC68DCC" w:rsidR="00D71983" w:rsidRPr="00DC10D5" w:rsidRDefault="00D71983" w:rsidP="00D71983">
      <w:pPr>
        <w:pStyle w:val="Heading3"/>
      </w:pPr>
      <w:r w:rsidRPr="00DC10D5">
        <w:t xml:space="preserve">How will the </w:t>
      </w:r>
      <w:r w:rsidR="00D12CC1" w:rsidRPr="00DC10D5">
        <w:t>HECG A</w:t>
      </w:r>
      <w:r w:rsidR="408A1561" w:rsidRPr="00DC10D5">
        <w:t xml:space="preserve">nnual </w:t>
      </w:r>
      <w:r w:rsidR="00D12CC1" w:rsidRPr="00DC10D5">
        <w:t>Equity R</w:t>
      </w:r>
      <w:r w:rsidRPr="00DC10D5">
        <w:t>eports be assessed?</w:t>
      </w:r>
      <w:r w:rsidR="00646371">
        <w:t xml:space="preserve"> </w:t>
      </w:r>
    </w:p>
    <w:p w14:paraId="34DB70E2" w14:textId="04672A9F" w:rsidR="00AA5C8D" w:rsidRDefault="00277B27" w:rsidP="41B5D98F">
      <w:r w:rsidRPr="001050DE">
        <w:t>The department</w:t>
      </w:r>
      <w:r w:rsidR="76F283E4" w:rsidRPr="001050DE">
        <w:t xml:space="preserve"> will assess </w:t>
      </w:r>
      <w:r w:rsidR="00EE4667" w:rsidRPr="001050DE">
        <w:t xml:space="preserve">HECG </w:t>
      </w:r>
      <w:r w:rsidR="1344CD19" w:rsidRPr="001050DE">
        <w:t xml:space="preserve">Annual Equity Reports </w:t>
      </w:r>
      <w:r w:rsidR="33F52A41" w:rsidRPr="001050DE">
        <w:t xml:space="preserve">against the </w:t>
      </w:r>
      <w:r w:rsidR="00B36E55" w:rsidRPr="001050DE">
        <w:t xml:space="preserve">approved </w:t>
      </w:r>
      <w:r w:rsidR="33F52A41" w:rsidRPr="001050DE">
        <w:t>HECG Equity Plans</w:t>
      </w:r>
      <w:r w:rsidR="0000151F" w:rsidRPr="001050DE">
        <w:t xml:space="preserve"> and </w:t>
      </w:r>
      <w:r w:rsidR="00AD45F9" w:rsidRPr="001050DE">
        <w:t>to ensure all requested information is provided</w:t>
      </w:r>
      <w:r w:rsidR="001C1CF9" w:rsidRPr="001050DE">
        <w:t xml:space="preserve">. </w:t>
      </w:r>
      <w:r w:rsidRPr="001050DE">
        <w:t xml:space="preserve">The department will contact providers if requested information is not included or if more information on the outcomes of equity initiatives </w:t>
      </w:r>
      <w:proofErr w:type="gramStart"/>
      <w:r w:rsidRPr="001050DE">
        <w:t>are</w:t>
      </w:r>
      <w:proofErr w:type="gramEnd"/>
      <w:r w:rsidRPr="001050DE">
        <w:t xml:space="preserve"> required.</w:t>
      </w:r>
    </w:p>
    <w:p w14:paraId="076E3962" w14:textId="258E72DB" w:rsidR="00F7760A" w:rsidRPr="0045361D" w:rsidRDefault="00D71983" w:rsidP="003B0439">
      <w:pPr>
        <w:pStyle w:val="Heading3"/>
      </w:pPr>
      <w:r w:rsidRPr="0045361D">
        <w:t xml:space="preserve">Will Equity </w:t>
      </w:r>
      <w:r w:rsidR="003642A9">
        <w:t xml:space="preserve">Plans and </w:t>
      </w:r>
      <w:r w:rsidR="00EE4667">
        <w:t xml:space="preserve">HECG </w:t>
      </w:r>
      <w:r w:rsidR="003642A9">
        <w:t xml:space="preserve">Annual Equity </w:t>
      </w:r>
      <w:r w:rsidRPr="0045361D">
        <w:t xml:space="preserve">Reports be published </w:t>
      </w:r>
      <w:r w:rsidR="0096620E" w:rsidRPr="0045361D">
        <w:t>on the department</w:t>
      </w:r>
      <w:r w:rsidR="0096620E">
        <w:t>’</w:t>
      </w:r>
      <w:r w:rsidR="0096620E" w:rsidRPr="0045361D">
        <w:t>s website</w:t>
      </w:r>
      <w:r w:rsidR="00271290" w:rsidRPr="0045361D">
        <w:t>?</w:t>
      </w:r>
    </w:p>
    <w:p w14:paraId="479C864A" w14:textId="0BE0A858" w:rsidR="00F37B7F" w:rsidRDefault="00F7760A" w:rsidP="007744CD">
      <w:r>
        <w:t xml:space="preserve">No, Equity </w:t>
      </w:r>
      <w:r w:rsidR="003642A9">
        <w:t>Plans and</w:t>
      </w:r>
      <w:r w:rsidR="00EE4667">
        <w:t xml:space="preserve"> HECG</w:t>
      </w:r>
      <w:r w:rsidR="003642A9">
        <w:t xml:space="preserve"> Annual Equity </w:t>
      </w:r>
      <w:r w:rsidR="004763D0">
        <w:t>R</w:t>
      </w:r>
      <w:r>
        <w:t xml:space="preserve">eports </w:t>
      </w:r>
      <w:r w:rsidR="00F06E0F">
        <w:t>provided to the department</w:t>
      </w:r>
      <w:r>
        <w:t xml:space="preserve"> will not be published</w:t>
      </w:r>
      <w:r w:rsidR="00A54C10">
        <w:t xml:space="preserve"> online</w:t>
      </w:r>
      <w:r>
        <w:t xml:space="preserve"> </w:t>
      </w:r>
      <w:r w:rsidR="005E4697">
        <w:t xml:space="preserve">or </w:t>
      </w:r>
      <w:r w:rsidR="00C16B85">
        <w:t xml:space="preserve">otherwise </w:t>
      </w:r>
      <w:r w:rsidR="004763D0">
        <w:t xml:space="preserve">be </w:t>
      </w:r>
      <w:r w:rsidR="005E4697">
        <w:t xml:space="preserve">made publicly </w:t>
      </w:r>
      <w:r w:rsidR="00A54C10">
        <w:t>accessible</w:t>
      </w:r>
      <w:r w:rsidR="00B1018A">
        <w:t>,</w:t>
      </w:r>
      <w:r w:rsidR="00485329">
        <w:t xml:space="preserve"> unless required by law or to satisfy Parliamentary requirements</w:t>
      </w:r>
      <w:r>
        <w:t>.</w:t>
      </w:r>
      <w:r w:rsidR="00483D23">
        <w:t xml:space="preserve"> </w:t>
      </w:r>
      <w:r w:rsidR="00F37B7F">
        <w:t xml:space="preserve">However, providers are encouraged to </w:t>
      </w:r>
      <w:r w:rsidR="00FA3EA8">
        <w:t xml:space="preserve">make information on their equity initiatives </w:t>
      </w:r>
      <w:r w:rsidR="00F548E0">
        <w:t xml:space="preserve">available to </w:t>
      </w:r>
      <w:r w:rsidR="00925F69">
        <w:t xml:space="preserve">their </w:t>
      </w:r>
      <w:r w:rsidR="00F548E0">
        <w:t xml:space="preserve">students and </w:t>
      </w:r>
      <w:r w:rsidR="00925F69">
        <w:t xml:space="preserve">communities to raise awareness of the </w:t>
      </w:r>
      <w:r w:rsidR="00390C39">
        <w:t>supports that will be available.</w:t>
      </w:r>
    </w:p>
    <w:p w14:paraId="5EF04526" w14:textId="4905AB21" w:rsidR="003229DD" w:rsidRPr="001050DE" w:rsidRDefault="00483D23" w:rsidP="007744CD">
      <w:r w:rsidRPr="001050DE">
        <w:t xml:space="preserve">High level information </w:t>
      </w:r>
      <w:r w:rsidR="009E2D74" w:rsidRPr="001050DE">
        <w:t xml:space="preserve">about </w:t>
      </w:r>
      <w:r w:rsidR="00CB042C" w:rsidRPr="001050DE">
        <w:t xml:space="preserve">initiatives </w:t>
      </w:r>
      <w:r w:rsidR="008C327C" w:rsidRPr="001050DE">
        <w:t xml:space="preserve">being </w:t>
      </w:r>
      <w:r w:rsidR="00F3045A" w:rsidRPr="001050DE">
        <w:t>supported through the HECG</w:t>
      </w:r>
      <w:r w:rsidR="008C327C" w:rsidRPr="001050DE">
        <w:t xml:space="preserve"> </w:t>
      </w:r>
      <w:r w:rsidRPr="001050DE">
        <w:t xml:space="preserve">may be </w:t>
      </w:r>
      <w:r w:rsidR="008C327C" w:rsidRPr="001050DE">
        <w:t xml:space="preserve">published </w:t>
      </w:r>
      <w:r w:rsidR="00632C80" w:rsidRPr="001050DE">
        <w:t xml:space="preserve">on the </w:t>
      </w:r>
      <w:r w:rsidR="009545BF" w:rsidRPr="001050DE">
        <w:t>d</w:t>
      </w:r>
      <w:r w:rsidR="00632C80" w:rsidRPr="001050DE">
        <w:t xml:space="preserve">epartment’s </w:t>
      </w:r>
      <w:r w:rsidR="006A2A89" w:rsidRPr="001050DE">
        <w:t>website.</w:t>
      </w:r>
      <w:r w:rsidR="008C327C" w:rsidRPr="001050DE">
        <w:t xml:space="preserve"> </w:t>
      </w:r>
      <w:r w:rsidR="009B3504" w:rsidRPr="001050DE">
        <w:t>T</w:t>
      </w:r>
      <w:r w:rsidR="00DB7AF6" w:rsidRPr="001050DE">
        <w:t>his information will be de-identified</w:t>
      </w:r>
      <w:r w:rsidR="003229DD" w:rsidRPr="001050DE">
        <w:t xml:space="preserve">. </w:t>
      </w:r>
    </w:p>
    <w:p w14:paraId="55F563E0" w14:textId="089DA9F6" w:rsidR="00271290" w:rsidRPr="0045361D" w:rsidRDefault="00271290" w:rsidP="00271290">
      <w:pPr>
        <w:pStyle w:val="Heading3"/>
      </w:pPr>
      <w:r w:rsidRPr="0045361D">
        <w:t>What will happen if HECG funding was not used in line with requirements?</w:t>
      </w:r>
    </w:p>
    <w:p w14:paraId="3FC3C106" w14:textId="29DB9AC5" w:rsidR="00625DB3" w:rsidRDefault="00B36D05" w:rsidP="00271290">
      <w:r>
        <w:t xml:space="preserve">The </w:t>
      </w:r>
      <w:r w:rsidR="00C43CA8">
        <w:t>d</w:t>
      </w:r>
      <w:r>
        <w:t>epartment will work collaboratively with providers to ensure HECG funding is used for appropriate purposes</w:t>
      </w:r>
      <w:r w:rsidR="00E042A3">
        <w:t xml:space="preserve"> and to support </w:t>
      </w:r>
      <w:r w:rsidR="00660E95">
        <w:t>Equity Target Groups</w:t>
      </w:r>
      <w:r w:rsidR="00FC7822">
        <w:t>.</w:t>
      </w:r>
      <w:r w:rsidR="00E74CE2">
        <w:t xml:space="preserve"> </w:t>
      </w:r>
    </w:p>
    <w:p w14:paraId="051AAFF8" w14:textId="35F894E0" w:rsidR="00625588" w:rsidRDefault="001650C7" w:rsidP="00271290">
      <w:r>
        <w:lastRenderedPageBreak/>
        <w:t xml:space="preserve">A provider will not be eligible for a HECG grant if </w:t>
      </w:r>
      <w:r w:rsidR="00BB022A">
        <w:t>it does</w:t>
      </w:r>
      <w:r>
        <w:t xml:space="preserve"> not use funding in line</w:t>
      </w:r>
      <w:r w:rsidR="008C49D8">
        <w:t xml:space="preserve"> with the Equity Plan and </w:t>
      </w:r>
      <w:r w:rsidR="005B7CEE">
        <w:t xml:space="preserve">the </w:t>
      </w:r>
      <w:r w:rsidR="00B368F7">
        <w:t>possible</w:t>
      </w:r>
      <w:r w:rsidR="005B7CEE">
        <w:t xml:space="preserve"> </w:t>
      </w:r>
      <w:r w:rsidR="008C49D8">
        <w:t>uses</w:t>
      </w:r>
      <w:r w:rsidR="005B7CEE">
        <w:t xml:space="preserve"> approved by the Minister</w:t>
      </w:r>
      <w:r w:rsidR="00BC22BB">
        <w:t>.</w:t>
      </w:r>
    </w:p>
    <w:p w14:paraId="0FC84E8A" w14:textId="124A09FB" w:rsidR="05E40D65" w:rsidRPr="0045361D" w:rsidRDefault="05E40D65" w:rsidP="0045361D">
      <w:pPr>
        <w:pStyle w:val="Heading2"/>
        <w:rPr>
          <w:sz w:val="40"/>
          <w:szCs w:val="24"/>
        </w:rPr>
      </w:pPr>
      <w:r w:rsidRPr="0045361D">
        <w:rPr>
          <w:sz w:val="40"/>
          <w:szCs w:val="24"/>
        </w:rPr>
        <w:t>Where to go for more information</w:t>
      </w:r>
    </w:p>
    <w:p w14:paraId="5BA91986" w14:textId="30D2DE03" w:rsidR="003555A4" w:rsidRDefault="05E40D65" w:rsidP="0045361D">
      <w:pPr>
        <w:spacing w:line="257" w:lineRule="auto"/>
      </w:pPr>
      <w:r w:rsidRPr="2342503F">
        <w:rPr>
          <w:rFonts w:ascii="Calibri" w:eastAsia="Calibri" w:hAnsi="Calibri" w:cs="Calibri"/>
        </w:rPr>
        <w:t xml:space="preserve">Contact us at </w:t>
      </w:r>
      <w:hyperlink r:id="rId24" w:history="1">
        <w:r w:rsidR="005A1857" w:rsidRPr="008D3086">
          <w:rPr>
            <w:rStyle w:val="Hyperlink"/>
            <w:rFonts w:ascii="Calibri" w:eastAsia="Calibri" w:hAnsi="Calibri" w:cs="Calibri"/>
          </w:rPr>
          <w:t>CGS@education.gov.au</w:t>
        </w:r>
      </w:hyperlink>
      <w:r w:rsidR="005A1857">
        <w:rPr>
          <w:rFonts w:ascii="Calibri" w:eastAsia="Calibri" w:hAnsi="Calibri" w:cs="Calibri"/>
        </w:rPr>
        <w:t>.</w:t>
      </w:r>
    </w:p>
    <w:sectPr w:rsidR="003555A4" w:rsidSect="0097028A">
      <w:headerReference w:type="even" r:id="rId25"/>
      <w:footerReference w:type="default" r:id="rId26"/>
      <w:pgSz w:w="11906" w:h="16838"/>
      <w:pgMar w:top="1223"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19ADC" w14:textId="77777777" w:rsidR="00225854" w:rsidRDefault="00225854" w:rsidP="000A6228">
      <w:pPr>
        <w:spacing w:after="0" w:line="240" w:lineRule="auto"/>
      </w:pPr>
      <w:r>
        <w:separator/>
      </w:r>
    </w:p>
  </w:endnote>
  <w:endnote w:type="continuationSeparator" w:id="0">
    <w:p w14:paraId="72DB2E4C" w14:textId="77777777" w:rsidR="00225854" w:rsidRDefault="00225854" w:rsidP="000A6228">
      <w:pPr>
        <w:spacing w:after="0" w:line="240" w:lineRule="auto"/>
      </w:pPr>
      <w:r>
        <w:continuationSeparator/>
      </w:r>
    </w:p>
  </w:endnote>
  <w:endnote w:type="continuationNotice" w:id="1">
    <w:p w14:paraId="5F9C76C7" w14:textId="77777777" w:rsidR="00225854" w:rsidRDefault="00225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749565"/>
      <w:docPartObj>
        <w:docPartGallery w:val="Page Numbers (Bottom of Page)"/>
        <w:docPartUnique/>
      </w:docPartObj>
    </w:sdtPr>
    <w:sdtEndPr>
      <w:rPr>
        <w:noProof/>
      </w:rPr>
    </w:sdtEndPr>
    <w:sdtContent>
      <w:p w14:paraId="0C7EE068" w14:textId="2BB9D279" w:rsidR="008B1554" w:rsidRDefault="008B1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C150A" w14:textId="65731F26" w:rsidR="00D86284" w:rsidRDefault="00D8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98CFC" w14:textId="77777777" w:rsidR="00225854" w:rsidRDefault="00225854" w:rsidP="000A6228">
      <w:pPr>
        <w:spacing w:after="0" w:line="240" w:lineRule="auto"/>
      </w:pPr>
      <w:r>
        <w:separator/>
      </w:r>
    </w:p>
  </w:footnote>
  <w:footnote w:type="continuationSeparator" w:id="0">
    <w:p w14:paraId="1C05D07C" w14:textId="77777777" w:rsidR="00225854" w:rsidRDefault="00225854" w:rsidP="000A6228">
      <w:pPr>
        <w:spacing w:after="0" w:line="240" w:lineRule="auto"/>
      </w:pPr>
      <w:r>
        <w:continuationSeparator/>
      </w:r>
    </w:p>
  </w:footnote>
  <w:footnote w:type="continuationNotice" w:id="1">
    <w:p w14:paraId="14AD6599" w14:textId="77777777" w:rsidR="00225854" w:rsidRDefault="00225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BEEF" w14:textId="77777777" w:rsidR="00A02D8B" w:rsidRDefault="00A0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E62483"/>
    <w:multiLevelType w:val="hybridMultilevel"/>
    <w:tmpl w:val="E9B8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12B64A0"/>
    <w:multiLevelType w:val="hybridMultilevel"/>
    <w:tmpl w:val="42589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276BE4"/>
    <w:multiLevelType w:val="hybridMultilevel"/>
    <w:tmpl w:val="9D9C1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72099F"/>
    <w:multiLevelType w:val="multilevel"/>
    <w:tmpl w:val="86F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23067"/>
    <w:multiLevelType w:val="hybridMultilevel"/>
    <w:tmpl w:val="17BE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DD76D8"/>
    <w:multiLevelType w:val="hybridMultilevel"/>
    <w:tmpl w:val="08506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362BC7"/>
    <w:multiLevelType w:val="hybridMultilevel"/>
    <w:tmpl w:val="D0F26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F57D00"/>
    <w:multiLevelType w:val="hybridMultilevel"/>
    <w:tmpl w:val="961A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115E07"/>
    <w:multiLevelType w:val="hybridMultilevel"/>
    <w:tmpl w:val="C7E09256"/>
    <w:lvl w:ilvl="0" w:tplc="3C76F782">
      <w:start w:val="3"/>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FE476B1"/>
    <w:multiLevelType w:val="hybridMultilevel"/>
    <w:tmpl w:val="8A544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671660"/>
    <w:multiLevelType w:val="hybridMultilevel"/>
    <w:tmpl w:val="5AA62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680892"/>
    <w:multiLevelType w:val="hybridMultilevel"/>
    <w:tmpl w:val="157A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8413FC"/>
    <w:multiLevelType w:val="hybridMultilevel"/>
    <w:tmpl w:val="9ADA3616"/>
    <w:lvl w:ilvl="0" w:tplc="1A64B72C">
      <w:start w:val="1"/>
      <w:numFmt w:val="bullet"/>
      <w:pStyle w:val="3Dotpoint"/>
      <w:lvlText w:val=""/>
      <w:lvlJc w:val="left"/>
      <w:pPr>
        <w:ind w:left="360" w:hanging="360"/>
      </w:pPr>
      <w:rPr>
        <w:rFonts w:ascii="Symbol" w:hAnsi="Symbol" w:hint="default"/>
        <w:color w:val="auto"/>
      </w:rPr>
    </w:lvl>
    <w:lvl w:ilvl="1" w:tplc="B59468B8">
      <w:start w:val="1"/>
      <w:numFmt w:val="bullet"/>
      <w:pStyle w:val="4Sub-dotpoint"/>
      <w:lvlText w:val="o"/>
      <w:lvlJc w:val="left"/>
      <w:pPr>
        <w:ind w:left="1080" w:hanging="360"/>
      </w:pPr>
      <w:rPr>
        <w:rFonts w:ascii="Courier New" w:hAnsi="Courier New" w:cs="Courier New" w:hint="default"/>
        <w:color w:val="auto"/>
      </w:rPr>
    </w:lvl>
    <w:lvl w:ilvl="2" w:tplc="C5D63AF0" w:tentative="1">
      <w:start w:val="1"/>
      <w:numFmt w:val="bullet"/>
      <w:lvlText w:val=""/>
      <w:lvlJc w:val="left"/>
      <w:pPr>
        <w:ind w:left="1800" w:hanging="360"/>
      </w:pPr>
      <w:rPr>
        <w:rFonts w:ascii="Wingdings" w:hAnsi="Wingdings" w:hint="default"/>
      </w:rPr>
    </w:lvl>
    <w:lvl w:ilvl="3" w:tplc="7286ED66" w:tentative="1">
      <w:start w:val="1"/>
      <w:numFmt w:val="bullet"/>
      <w:lvlText w:val=""/>
      <w:lvlJc w:val="left"/>
      <w:pPr>
        <w:ind w:left="2520" w:hanging="360"/>
      </w:pPr>
      <w:rPr>
        <w:rFonts w:ascii="Symbol" w:hAnsi="Symbol" w:hint="default"/>
      </w:rPr>
    </w:lvl>
    <w:lvl w:ilvl="4" w:tplc="F8F466B2" w:tentative="1">
      <w:start w:val="1"/>
      <w:numFmt w:val="bullet"/>
      <w:lvlText w:val="o"/>
      <w:lvlJc w:val="left"/>
      <w:pPr>
        <w:ind w:left="3240" w:hanging="360"/>
      </w:pPr>
      <w:rPr>
        <w:rFonts w:ascii="Courier New" w:hAnsi="Courier New" w:cs="Courier New" w:hint="default"/>
      </w:rPr>
    </w:lvl>
    <w:lvl w:ilvl="5" w:tplc="4E92B880" w:tentative="1">
      <w:start w:val="1"/>
      <w:numFmt w:val="bullet"/>
      <w:lvlText w:val=""/>
      <w:lvlJc w:val="left"/>
      <w:pPr>
        <w:ind w:left="3960" w:hanging="360"/>
      </w:pPr>
      <w:rPr>
        <w:rFonts w:ascii="Wingdings" w:hAnsi="Wingdings" w:hint="default"/>
      </w:rPr>
    </w:lvl>
    <w:lvl w:ilvl="6" w:tplc="BA8C1F50" w:tentative="1">
      <w:start w:val="1"/>
      <w:numFmt w:val="bullet"/>
      <w:lvlText w:val=""/>
      <w:lvlJc w:val="left"/>
      <w:pPr>
        <w:ind w:left="4680" w:hanging="360"/>
      </w:pPr>
      <w:rPr>
        <w:rFonts w:ascii="Symbol" w:hAnsi="Symbol" w:hint="default"/>
      </w:rPr>
    </w:lvl>
    <w:lvl w:ilvl="7" w:tplc="8A7A0368" w:tentative="1">
      <w:start w:val="1"/>
      <w:numFmt w:val="bullet"/>
      <w:lvlText w:val="o"/>
      <w:lvlJc w:val="left"/>
      <w:pPr>
        <w:ind w:left="5400" w:hanging="360"/>
      </w:pPr>
      <w:rPr>
        <w:rFonts w:ascii="Courier New" w:hAnsi="Courier New" w:cs="Courier New" w:hint="default"/>
      </w:rPr>
    </w:lvl>
    <w:lvl w:ilvl="8" w:tplc="E6968EAC" w:tentative="1">
      <w:start w:val="1"/>
      <w:numFmt w:val="bullet"/>
      <w:lvlText w:val=""/>
      <w:lvlJc w:val="left"/>
      <w:pPr>
        <w:ind w:left="6120" w:hanging="360"/>
      </w:pPr>
      <w:rPr>
        <w:rFonts w:ascii="Wingdings" w:hAnsi="Wingdings" w:hint="default"/>
      </w:rPr>
    </w:lvl>
  </w:abstractNum>
  <w:abstractNum w:abstractNumId="28" w15:restartNumberingAfterBreak="0">
    <w:nsid w:val="458C4408"/>
    <w:multiLevelType w:val="hybridMultilevel"/>
    <w:tmpl w:val="565A1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E7569E"/>
    <w:multiLevelType w:val="hybridMultilevel"/>
    <w:tmpl w:val="1ED092CE"/>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30" w15:restartNumberingAfterBreak="0">
    <w:nsid w:val="4D620134"/>
    <w:multiLevelType w:val="hybridMultilevel"/>
    <w:tmpl w:val="C1D0C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64145A"/>
    <w:multiLevelType w:val="hybridMultilevel"/>
    <w:tmpl w:val="CC9E4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0120DC"/>
    <w:multiLevelType w:val="hybridMultilevel"/>
    <w:tmpl w:val="9B14B9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6C7CDD"/>
    <w:multiLevelType w:val="hybridMultilevel"/>
    <w:tmpl w:val="11844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75405A"/>
    <w:multiLevelType w:val="hybridMultilevel"/>
    <w:tmpl w:val="05BE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9F6477"/>
    <w:multiLevelType w:val="hybridMultilevel"/>
    <w:tmpl w:val="F3B4D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733CD5"/>
    <w:multiLevelType w:val="hybridMultilevel"/>
    <w:tmpl w:val="E3F48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56359B"/>
    <w:multiLevelType w:val="hybridMultilevel"/>
    <w:tmpl w:val="9652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FC6F8E"/>
    <w:multiLevelType w:val="hybridMultilevel"/>
    <w:tmpl w:val="62DC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C4A7D63"/>
    <w:multiLevelType w:val="hybridMultilevel"/>
    <w:tmpl w:val="1E3E7C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ED2050E"/>
    <w:multiLevelType w:val="hybridMultilevel"/>
    <w:tmpl w:val="1514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4286749">
    <w:abstractNumId w:val="14"/>
  </w:num>
  <w:num w:numId="2" w16cid:durableId="810445290">
    <w:abstractNumId w:val="5"/>
  </w:num>
  <w:num w:numId="3" w16cid:durableId="1422752207">
    <w:abstractNumId w:val="4"/>
  </w:num>
  <w:num w:numId="4" w16cid:durableId="454296820">
    <w:abstractNumId w:val="3"/>
  </w:num>
  <w:num w:numId="5" w16cid:durableId="690300281">
    <w:abstractNumId w:val="21"/>
  </w:num>
  <w:num w:numId="6" w16cid:durableId="1006976389">
    <w:abstractNumId w:val="2"/>
  </w:num>
  <w:num w:numId="7" w16cid:durableId="1805584492">
    <w:abstractNumId w:val="1"/>
  </w:num>
  <w:num w:numId="8" w16cid:durableId="741221241">
    <w:abstractNumId w:val="0"/>
  </w:num>
  <w:num w:numId="9" w16cid:durableId="1535583853">
    <w:abstractNumId w:val="20"/>
  </w:num>
  <w:num w:numId="10" w16cid:durableId="583996866">
    <w:abstractNumId w:val="7"/>
  </w:num>
  <w:num w:numId="11" w16cid:durableId="559370350">
    <w:abstractNumId w:val="39"/>
  </w:num>
  <w:num w:numId="12" w16cid:durableId="1288467083">
    <w:abstractNumId w:val="13"/>
  </w:num>
  <w:num w:numId="13" w16cid:durableId="307252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2741155">
    <w:abstractNumId w:val="10"/>
  </w:num>
  <w:num w:numId="15" w16cid:durableId="1317299735">
    <w:abstractNumId w:val="6"/>
  </w:num>
  <w:num w:numId="16" w16cid:durableId="1512452281">
    <w:abstractNumId w:val="41"/>
  </w:num>
  <w:num w:numId="17" w16cid:durableId="167985996">
    <w:abstractNumId w:val="25"/>
  </w:num>
  <w:num w:numId="18" w16cid:durableId="347417151">
    <w:abstractNumId w:val="8"/>
  </w:num>
  <w:num w:numId="19" w16cid:durableId="1192457478">
    <w:abstractNumId w:val="33"/>
  </w:num>
  <w:num w:numId="20" w16cid:durableId="1011103060">
    <w:abstractNumId w:val="17"/>
  </w:num>
  <w:num w:numId="21" w16cid:durableId="1787119726">
    <w:abstractNumId w:val="37"/>
  </w:num>
  <w:num w:numId="22" w16cid:durableId="821506323">
    <w:abstractNumId w:val="36"/>
  </w:num>
  <w:num w:numId="23" w16cid:durableId="1198854922">
    <w:abstractNumId w:val="11"/>
  </w:num>
  <w:num w:numId="24" w16cid:durableId="1720982088">
    <w:abstractNumId w:val="42"/>
  </w:num>
  <w:num w:numId="25" w16cid:durableId="1196772239">
    <w:abstractNumId w:val="27"/>
  </w:num>
  <w:num w:numId="26" w16cid:durableId="15737313">
    <w:abstractNumId w:val="27"/>
  </w:num>
  <w:num w:numId="27" w16cid:durableId="1337533231">
    <w:abstractNumId w:val="9"/>
  </w:num>
  <w:num w:numId="28" w16cid:durableId="770858411">
    <w:abstractNumId w:val="26"/>
  </w:num>
  <w:num w:numId="29" w16cid:durableId="1083333760">
    <w:abstractNumId w:val="40"/>
  </w:num>
  <w:num w:numId="30" w16cid:durableId="646663454">
    <w:abstractNumId w:val="24"/>
  </w:num>
  <w:num w:numId="31" w16cid:durableId="1522621220">
    <w:abstractNumId w:val="30"/>
  </w:num>
  <w:num w:numId="32" w16cid:durableId="193737977">
    <w:abstractNumId w:val="43"/>
  </w:num>
  <w:num w:numId="33" w16cid:durableId="858158081">
    <w:abstractNumId w:val="18"/>
  </w:num>
  <w:num w:numId="34" w16cid:durableId="551582128">
    <w:abstractNumId w:val="22"/>
  </w:num>
  <w:num w:numId="35" w16cid:durableId="1953628419">
    <w:abstractNumId w:val="18"/>
  </w:num>
  <w:num w:numId="36" w16cid:durableId="218784890">
    <w:abstractNumId w:val="15"/>
  </w:num>
  <w:num w:numId="37" w16cid:durableId="195701154">
    <w:abstractNumId w:val="38"/>
  </w:num>
  <w:num w:numId="38" w16cid:durableId="87888760">
    <w:abstractNumId w:val="23"/>
  </w:num>
  <w:num w:numId="39" w16cid:durableId="1645622502">
    <w:abstractNumId w:val="16"/>
  </w:num>
  <w:num w:numId="40" w16cid:durableId="1818648459">
    <w:abstractNumId w:val="12"/>
  </w:num>
  <w:num w:numId="41" w16cid:durableId="2038046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6423505">
    <w:abstractNumId w:val="35"/>
  </w:num>
  <w:num w:numId="43" w16cid:durableId="33043280">
    <w:abstractNumId w:val="28"/>
  </w:num>
  <w:num w:numId="44" w16cid:durableId="227766320">
    <w:abstractNumId w:val="19"/>
  </w:num>
  <w:num w:numId="45" w16cid:durableId="327289060">
    <w:abstractNumId w:val="31"/>
  </w:num>
  <w:num w:numId="46" w16cid:durableId="1754353477">
    <w:abstractNumId w:val="32"/>
  </w:num>
  <w:num w:numId="47" w16cid:durableId="11204940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10C"/>
    <w:rsid w:val="0000151F"/>
    <w:rsid w:val="00001C19"/>
    <w:rsid w:val="00002BD1"/>
    <w:rsid w:val="00003F83"/>
    <w:rsid w:val="00006F3F"/>
    <w:rsid w:val="000101BB"/>
    <w:rsid w:val="00012366"/>
    <w:rsid w:val="000123AA"/>
    <w:rsid w:val="000147BF"/>
    <w:rsid w:val="00015778"/>
    <w:rsid w:val="00016641"/>
    <w:rsid w:val="00017286"/>
    <w:rsid w:val="00017D8D"/>
    <w:rsid w:val="00017FCD"/>
    <w:rsid w:val="00020A73"/>
    <w:rsid w:val="00021479"/>
    <w:rsid w:val="00021FBE"/>
    <w:rsid w:val="00023399"/>
    <w:rsid w:val="00023D64"/>
    <w:rsid w:val="00025785"/>
    <w:rsid w:val="00026221"/>
    <w:rsid w:val="00030D7B"/>
    <w:rsid w:val="00035684"/>
    <w:rsid w:val="00036664"/>
    <w:rsid w:val="0003718D"/>
    <w:rsid w:val="000373F8"/>
    <w:rsid w:val="0003771B"/>
    <w:rsid w:val="0003797D"/>
    <w:rsid w:val="00040001"/>
    <w:rsid w:val="0004305A"/>
    <w:rsid w:val="00044420"/>
    <w:rsid w:val="00045BBB"/>
    <w:rsid w:val="00045C47"/>
    <w:rsid w:val="00047652"/>
    <w:rsid w:val="00050270"/>
    <w:rsid w:val="000516AD"/>
    <w:rsid w:val="000521D7"/>
    <w:rsid w:val="00054245"/>
    <w:rsid w:val="00055975"/>
    <w:rsid w:val="00056FD6"/>
    <w:rsid w:val="0006122A"/>
    <w:rsid w:val="000619CD"/>
    <w:rsid w:val="000620E2"/>
    <w:rsid w:val="00062568"/>
    <w:rsid w:val="00063A0E"/>
    <w:rsid w:val="00065CAB"/>
    <w:rsid w:val="00065E7A"/>
    <w:rsid w:val="00067974"/>
    <w:rsid w:val="000706D9"/>
    <w:rsid w:val="00074264"/>
    <w:rsid w:val="000751FF"/>
    <w:rsid w:val="0007523C"/>
    <w:rsid w:val="000814D0"/>
    <w:rsid w:val="00081B7F"/>
    <w:rsid w:val="000823E3"/>
    <w:rsid w:val="00082674"/>
    <w:rsid w:val="0008421E"/>
    <w:rsid w:val="000846CE"/>
    <w:rsid w:val="0008795A"/>
    <w:rsid w:val="000919EC"/>
    <w:rsid w:val="00091C03"/>
    <w:rsid w:val="00092026"/>
    <w:rsid w:val="000952C1"/>
    <w:rsid w:val="0009550C"/>
    <w:rsid w:val="000A0B58"/>
    <w:rsid w:val="000A11C3"/>
    <w:rsid w:val="000A32ED"/>
    <w:rsid w:val="000A3E44"/>
    <w:rsid w:val="000A582B"/>
    <w:rsid w:val="000A6228"/>
    <w:rsid w:val="000A6501"/>
    <w:rsid w:val="000B0A02"/>
    <w:rsid w:val="000B18EB"/>
    <w:rsid w:val="000B505C"/>
    <w:rsid w:val="000B5D40"/>
    <w:rsid w:val="000B618B"/>
    <w:rsid w:val="000B7EC6"/>
    <w:rsid w:val="000C039E"/>
    <w:rsid w:val="000C06BA"/>
    <w:rsid w:val="000C0B32"/>
    <w:rsid w:val="000C26F9"/>
    <w:rsid w:val="000C3A38"/>
    <w:rsid w:val="000C4EC6"/>
    <w:rsid w:val="000C5020"/>
    <w:rsid w:val="000C5F92"/>
    <w:rsid w:val="000C7F61"/>
    <w:rsid w:val="000D2B3B"/>
    <w:rsid w:val="000E069C"/>
    <w:rsid w:val="000E0EF1"/>
    <w:rsid w:val="000E3E27"/>
    <w:rsid w:val="000E5578"/>
    <w:rsid w:val="000E59F9"/>
    <w:rsid w:val="000E5ADB"/>
    <w:rsid w:val="000E5D96"/>
    <w:rsid w:val="000E740F"/>
    <w:rsid w:val="000F08C8"/>
    <w:rsid w:val="000F2611"/>
    <w:rsid w:val="000F2BB0"/>
    <w:rsid w:val="000F6118"/>
    <w:rsid w:val="000F6F99"/>
    <w:rsid w:val="000F7FEE"/>
    <w:rsid w:val="00101058"/>
    <w:rsid w:val="001019F7"/>
    <w:rsid w:val="00101D10"/>
    <w:rsid w:val="0010468E"/>
    <w:rsid w:val="001050DE"/>
    <w:rsid w:val="0010618E"/>
    <w:rsid w:val="001072A7"/>
    <w:rsid w:val="00107D87"/>
    <w:rsid w:val="00107DD5"/>
    <w:rsid w:val="00110B33"/>
    <w:rsid w:val="00114A7D"/>
    <w:rsid w:val="00114C8A"/>
    <w:rsid w:val="0012343A"/>
    <w:rsid w:val="001251F7"/>
    <w:rsid w:val="00125225"/>
    <w:rsid w:val="00127B74"/>
    <w:rsid w:val="00127EB2"/>
    <w:rsid w:val="00132370"/>
    <w:rsid w:val="0013268B"/>
    <w:rsid w:val="0013302D"/>
    <w:rsid w:val="00133B8D"/>
    <w:rsid w:val="00134AC9"/>
    <w:rsid w:val="0013611E"/>
    <w:rsid w:val="00140508"/>
    <w:rsid w:val="0014112C"/>
    <w:rsid w:val="0014207A"/>
    <w:rsid w:val="00144D6A"/>
    <w:rsid w:val="001454B5"/>
    <w:rsid w:val="001473F1"/>
    <w:rsid w:val="001515BF"/>
    <w:rsid w:val="001525F4"/>
    <w:rsid w:val="00154943"/>
    <w:rsid w:val="00154AE5"/>
    <w:rsid w:val="00160316"/>
    <w:rsid w:val="001620C8"/>
    <w:rsid w:val="001625B1"/>
    <w:rsid w:val="001626D5"/>
    <w:rsid w:val="0016300A"/>
    <w:rsid w:val="001633A8"/>
    <w:rsid w:val="001650C7"/>
    <w:rsid w:val="00167092"/>
    <w:rsid w:val="0016759B"/>
    <w:rsid w:val="00170C58"/>
    <w:rsid w:val="0017134D"/>
    <w:rsid w:val="001713EF"/>
    <w:rsid w:val="00172DA0"/>
    <w:rsid w:val="00174884"/>
    <w:rsid w:val="00174DE1"/>
    <w:rsid w:val="00180B35"/>
    <w:rsid w:val="0018400C"/>
    <w:rsid w:val="00185A3E"/>
    <w:rsid w:val="001873ED"/>
    <w:rsid w:val="00190673"/>
    <w:rsid w:val="001913F8"/>
    <w:rsid w:val="00192DE2"/>
    <w:rsid w:val="001938BB"/>
    <w:rsid w:val="0019486F"/>
    <w:rsid w:val="001968B6"/>
    <w:rsid w:val="001A3BEF"/>
    <w:rsid w:val="001A3BF6"/>
    <w:rsid w:val="001A40FB"/>
    <w:rsid w:val="001A5B23"/>
    <w:rsid w:val="001A5B2D"/>
    <w:rsid w:val="001A7898"/>
    <w:rsid w:val="001B18DF"/>
    <w:rsid w:val="001B18FF"/>
    <w:rsid w:val="001B1B12"/>
    <w:rsid w:val="001B1ECB"/>
    <w:rsid w:val="001B2AC1"/>
    <w:rsid w:val="001B35B2"/>
    <w:rsid w:val="001B3F8A"/>
    <w:rsid w:val="001B42A2"/>
    <w:rsid w:val="001B50CB"/>
    <w:rsid w:val="001C1523"/>
    <w:rsid w:val="001C1CF9"/>
    <w:rsid w:val="001C231C"/>
    <w:rsid w:val="001C6BD7"/>
    <w:rsid w:val="001D0437"/>
    <w:rsid w:val="001D10A7"/>
    <w:rsid w:val="001D130A"/>
    <w:rsid w:val="001D1C7A"/>
    <w:rsid w:val="001D29C1"/>
    <w:rsid w:val="001D3B46"/>
    <w:rsid w:val="001D732D"/>
    <w:rsid w:val="001D7368"/>
    <w:rsid w:val="001E167A"/>
    <w:rsid w:val="001E1C42"/>
    <w:rsid w:val="001E4AA2"/>
    <w:rsid w:val="001E5352"/>
    <w:rsid w:val="001E7355"/>
    <w:rsid w:val="001E7BA4"/>
    <w:rsid w:val="001F4CDD"/>
    <w:rsid w:val="001F534F"/>
    <w:rsid w:val="001F5D98"/>
    <w:rsid w:val="001F6563"/>
    <w:rsid w:val="001F7665"/>
    <w:rsid w:val="0020001C"/>
    <w:rsid w:val="00200EC3"/>
    <w:rsid w:val="00200F86"/>
    <w:rsid w:val="0020149D"/>
    <w:rsid w:val="002021F1"/>
    <w:rsid w:val="00203346"/>
    <w:rsid w:val="00203EDC"/>
    <w:rsid w:val="00204677"/>
    <w:rsid w:val="00206203"/>
    <w:rsid w:val="002067BD"/>
    <w:rsid w:val="00206FC2"/>
    <w:rsid w:val="002074B6"/>
    <w:rsid w:val="00207733"/>
    <w:rsid w:val="00207FC8"/>
    <w:rsid w:val="002104B0"/>
    <w:rsid w:val="00211B75"/>
    <w:rsid w:val="00212752"/>
    <w:rsid w:val="002140A5"/>
    <w:rsid w:val="00221D8F"/>
    <w:rsid w:val="00222E67"/>
    <w:rsid w:val="0022341F"/>
    <w:rsid w:val="002245A3"/>
    <w:rsid w:val="00225854"/>
    <w:rsid w:val="00226426"/>
    <w:rsid w:val="00226934"/>
    <w:rsid w:val="00227260"/>
    <w:rsid w:val="0022726D"/>
    <w:rsid w:val="002272DB"/>
    <w:rsid w:val="00230678"/>
    <w:rsid w:val="0023073A"/>
    <w:rsid w:val="00231C05"/>
    <w:rsid w:val="00231FFB"/>
    <w:rsid w:val="00232C7B"/>
    <w:rsid w:val="00234345"/>
    <w:rsid w:val="00242FFB"/>
    <w:rsid w:val="002431EF"/>
    <w:rsid w:val="00243324"/>
    <w:rsid w:val="002433BB"/>
    <w:rsid w:val="0024761D"/>
    <w:rsid w:val="00247F5B"/>
    <w:rsid w:val="0025032D"/>
    <w:rsid w:val="00251608"/>
    <w:rsid w:val="002524C2"/>
    <w:rsid w:val="002535A3"/>
    <w:rsid w:val="0025536D"/>
    <w:rsid w:val="00256188"/>
    <w:rsid w:val="00256448"/>
    <w:rsid w:val="002566CD"/>
    <w:rsid w:val="00256FDE"/>
    <w:rsid w:val="002619E2"/>
    <w:rsid w:val="0026230F"/>
    <w:rsid w:val="00262559"/>
    <w:rsid w:val="00263662"/>
    <w:rsid w:val="00264A5F"/>
    <w:rsid w:val="00265CDB"/>
    <w:rsid w:val="0026603E"/>
    <w:rsid w:val="00271290"/>
    <w:rsid w:val="00272054"/>
    <w:rsid w:val="002721C5"/>
    <w:rsid w:val="0027296F"/>
    <w:rsid w:val="00272989"/>
    <w:rsid w:val="00272CEA"/>
    <w:rsid w:val="00275A09"/>
    <w:rsid w:val="00276047"/>
    <w:rsid w:val="0027673F"/>
    <w:rsid w:val="002767CA"/>
    <w:rsid w:val="002768D9"/>
    <w:rsid w:val="0027695C"/>
    <w:rsid w:val="0027711B"/>
    <w:rsid w:val="00277B27"/>
    <w:rsid w:val="00280390"/>
    <w:rsid w:val="002807C5"/>
    <w:rsid w:val="00281035"/>
    <w:rsid w:val="00281595"/>
    <w:rsid w:val="002819D8"/>
    <w:rsid w:val="002823F7"/>
    <w:rsid w:val="00283972"/>
    <w:rsid w:val="00283AAF"/>
    <w:rsid w:val="00283DE8"/>
    <w:rsid w:val="002858DC"/>
    <w:rsid w:val="00286146"/>
    <w:rsid w:val="002873DD"/>
    <w:rsid w:val="0028757F"/>
    <w:rsid w:val="002917C6"/>
    <w:rsid w:val="00292797"/>
    <w:rsid w:val="00293771"/>
    <w:rsid w:val="00293B00"/>
    <w:rsid w:val="00293BAC"/>
    <w:rsid w:val="00295DA6"/>
    <w:rsid w:val="00296252"/>
    <w:rsid w:val="002A1DCC"/>
    <w:rsid w:val="002A2CAB"/>
    <w:rsid w:val="002A2F2F"/>
    <w:rsid w:val="002A3488"/>
    <w:rsid w:val="002A3C9D"/>
    <w:rsid w:val="002A4458"/>
    <w:rsid w:val="002A6862"/>
    <w:rsid w:val="002A7210"/>
    <w:rsid w:val="002B158B"/>
    <w:rsid w:val="002B1F69"/>
    <w:rsid w:val="002B3FFD"/>
    <w:rsid w:val="002B5517"/>
    <w:rsid w:val="002B6914"/>
    <w:rsid w:val="002B6AD8"/>
    <w:rsid w:val="002B7564"/>
    <w:rsid w:val="002C4A44"/>
    <w:rsid w:val="002C5B61"/>
    <w:rsid w:val="002D0ADB"/>
    <w:rsid w:val="002D2A56"/>
    <w:rsid w:val="002D589A"/>
    <w:rsid w:val="002D5B6A"/>
    <w:rsid w:val="002D6A03"/>
    <w:rsid w:val="002D6B4C"/>
    <w:rsid w:val="002D7BF0"/>
    <w:rsid w:val="002D7FAC"/>
    <w:rsid w:val="002E26AF"/>
    <w:rsid w:val="002E28AE"/>
    <w:rsid w:val="002E491A"/>
    <w:rsid w:val="002E64F5"/>
    <w:rsid w:val="002E6EDA"/>
    <w:rsid w:val="002F6594"/>
    <w:rsid w:val="002F6E72"/>
    <w:rsid w:val="002F75A9"/>
    <w:rsid w:val="003013D2"/>
    <w:rsid w:val="00301E8E"/>
    <w:rsid w:val="003024D9"/>
    <w:rsid w:val="0030662C"/>
    <w:rsid w:val="003117BD"/>
    <w:rsid w:val="00311EB4"/>
    <w:rsid w:val="003229DD"/>
    <w:rsid w:val="0032425F"/>
    <w:rsid w:val="003245FE"/>
    <w:rsid w:val="003248AB"/>
    <w:rsid w:val="00325A89"/>
    <w:rsid w:val="003263CE"/>
    <w:rsid w:val="00330A9D"/>
    <w:rsid w:val="003327EE"/>
    <w:rsid w:val="00332A5A"/>
    <w:rsid w:val="00333D0B"/>
    <w:rsid w:val="00334427"/>
    <w:rsid w:val="00335005"/>
    <w:rsid w:val="003402BB"/>
    <w:rsid w:val="00340AFC"/>
    <w:rsid w:val="003411A5"/>
    <w:rsid w:val="00342204"/>
    <w:rsid w:val="0034254D"/>
    <w:rsid w:val="00345831"/>
    <w:rsid w:val="00345CEB"/>
    <w:rsid w:val="00346284"/>
    <w:rsid w:val="00346D38"/>
    <w:rsid w:val="00350F7D"/>
    <w:rsid w:val="00351934"/>
    <w:rsid w:val="003529C7"/>
    <w:rsid w:val="00355449"/>
    <w:rsid w:val="003555A4"/>
    <w:rsid w:val="00355850"/>
    <w:rsid w:val="00355B7B"/>
    <w:rsid w:val="00356D03"/>
    <w:rsid w:val="00360E93"/>
    <w:rsid w:val="003635B3"/>
    <w:rsid w:val="00363C23"/>
    <w:rsid w:val="003642A9"/>
    <w:rsid w:val="003644EA"/>
    <w:rsid w:val="003655C6"/>
    <w:rsid w:val="00366AE5"/>
    <w:rsid w:val="00371ECA"/>
    <w:rsid w:val="00374548"/>
    <w:rsid w:val="00374B56"/>
    <w:rsid w:val="003770E7"/>
    <w:rsid w:val="00377707"/>
    <w:rsid w:val="0038115E"/>
    <w:rsid w:val="0038150F"/>
    <w:rsid w:val="003830BD"/>
    <w:rsid w:val="0038533F"/>
    <w:rsid w:val="00387C56"/>
    <w:rsid w:val="00390034"/>
    <w:rsid w:val="00390C39"/>
    <w:rsid w:val="0039230B"/>
    <w:rsid w:val="00397730"/>
    <w:rsid w:val="003A03F0"/>
    <w:rsid w:val="003A11A6"/>
    <w:rsid w:val="003A4A1D"/>
    <w:rsid w:val="003A5095"/>
    <w:rsid w:val="003A55F4"/>
    <w:rsid w:val="003A6A85"/>
    <w:rsid w:val="003A6DAE"/>
    <w:rsid w:val="003B0439"/>
    <w:rsid w:val="003B0930"/>
    <w:rsid w:val="003B38C1"/>
    <w:rsid w:val="003B4008"/>
    <w:rsid w:val="003B4442"/>
    <w:rsid w:val="003B5116"/>
    <w:rsid w:val="003C1568"/>
    <w:rsid w:val="003C2357"/>
    <w:rsid w:val="003C2FF3"/>
    <w:rsid w:val="003C709E"/>
    <w:rsid w:val="003C737F"/>
    <w:rsid w:val="003C785B"/>
    <w:rsid w:val="003D0235"/>
    <w:rsid w:val="003D0461"/>
    <w:rsid w:val="003D0C99"/>
    <w:rsid w:val="003D258E"/>
    <w:rsid w:val="003D3E34"/>
    <w:rsid w:val="003D714B"/>
    <w:rsid w:val="003D776C"/>
    <w:rsid w:val="003D7CC4"/>
    <w:rsid w:val="003E09B8"/>
    <w:rsid w:val="003E4011"/>
    <w:rsid w:val="003E6CC2"/>
    <w:rsid w:val="003F1C0E"/>
    <w:rsid w:val="003F45A7"/>
    <w:rsid w:val="003F49C4"/>
    <w:rsid w:val="003F4A31"/>
    <w:rsid w:val="003F4B11"/>
    <w:rsid w:val="003F5707"/>
    <w:rsid w:val="0040155D"/>
    <w:rsid w:val="00401DC0"/>
    <w:rsid w:val="00402F0A"/>
    <w:rsid w:val="0040302C"/>
    <w:rsid w:val="004059E0"/>
    <w:rsid w:val="00406631"/>
    <w:rsid w:val="0041389F"/>
    <w:rsid w:val="004160E7"/>
    <w:rsid w:val="0041713E"/>
    <w:rsid w:val="00417DED"/>
    <w:rsid w:val="00421294"/>
    <w:rsid w:val="00421D3F"/>
    <w:rsid w:val="00422A7A"/>
    <w:rsid w:val="00423785"/>
    <w:rsid w:val="00424255"/>
    <w:rsid w:val="004251A0"/>
    <w:rsid w:val="004254AB"/>
    <w:rsid w:val="00425CEA"/>
    <w:rsid w:val="00425E44"/>
    <w:rsid w:val="00430615"/>
    <w:rsid w:val="00431728"/>
    <w:rsid w:val="004320B6"/>
    <w:rsid w:val="004322CC"/>
    <w:rsid w:val="00432D2F"/>
    <w:rsid w:val="00433D7C"/>
    <w:rsid w:val="00434FAB"/>
    <w:rsid w:val="00435683"/>
    <w:rsid w:val="00437867"/>
    <w:rsid w:val="00440347"/>
    <w:rsid w:val="00441AF5"/>
    <w:rsid w:val="00443247"/>
    <w:rsid w:val="00443EC2"/>
    <w:rsid w:val="004443B8"/>
    <w:rsid w:val="00446ADB"/>
    <w:rsid w:val="00446E5F"/>
    <w:rsid w:val="00452843"/>
    <w:rsid w:val="00452D26"/>
    <w:rsid w:val="0045361D"/>
    <w:rsid w:val="00453C0E"/>
    <w:rsid w:val="00453F76"/>
    <w:rsid w:val="004541F3"/>
    <w:rsid w:val="00454F50"/>
    <w:rsid w:val="004560E5"/>
    <w:rsid w:val="0046004F"/>
    <w:rsid w:val="00461011"/>
    <w:rsid w:val="00462C48"/>
    <w:rsid w:val="0046320D"/>
    <w:rsid w:val="00463CB0"/>
    <w:rsid w:val="004642B0"/>
    <w:rsid w:val="00470369"/>
    <w:rsid w:val="0047082C"/>
    <w:rsid w:val="004709C7"/>
    <w:rsid w:val="004710FE"/>
    <w:rsid w:val="00471CA2"/>
    <w:rsid w:val="00471E36"/>
    <w:rsid w:val="004728FD"/>
    <w:rsid w:val="00473746"/>
    <w:rsid w:val="004763D0"/>
    <w:rsid w:val="0047742E"/>
    <w:rsid w:val="00480B18"/>
    <w:rsid w:val="004825C5"/>
    <w:rsid w:val="00482BB1"/>
    <w:rsid w:val="004830BD"/>
    <w:rsid w:val="0048344E"/>
    <w:rsid w:val="00483D23"/>
    <w:rsid w:val="0048449C"/>
    <w:rsid w:val="00484E6A"/>
    <w:rsid w:val="00485329"/>
    <w:rsid w:val="0048674D"/>
    <w:rsid w:val="00487942"/>
    <w:rsid w:val="004923B3"/>
    <w:rsid w:val="0049258F"/>
    <w:rsid w:val="004973DF"/>
    <w:rsid w:val="00497AC9"/>
    <w:rsid w:val="004A06CD"/>
    <w:rsid w:val="004A3323"/>
    <w:rsid w:val="004A46AA"/>
    <w:rsid w:val="004A4B6F"/>
    <w:rsid w:val="004A4CF9"/>
    <w:rsid w:val="004B00D0"/>
    <w:rsid w:val="004B09AC"/>
    <w:rsid w:val="004B10BD"/>
    <w:rsid w:val="004B15EA"/>
    <w:rsid w:val="004B1A0C"/>
    <w:rsid w:val="004B2F1D"/>
    <w:rsid w:val="004B4A99"/>
    <w:rsid w:val="004B51AF"/>
    <w:rsid w:val="004B52C5"/>
    <w:rsid w:val="004B6322"/>
    <w:rsid w:val="004B6716"/>
    <w:rsid w:val="004B78CD"/>
    <w:rsid w:val="004C03AF"/>
    <w:rsid w:val="004C20C1"/>
    <w:rsid w:val="004C39FE"/>
    <w:rsid w:val="004C43CB"/>
    <w:rsid w:val="004C5F82"/>
    <w:rsid w:val="004C60F8"/>
    <w:rsid w:val="004C641E"/>
    <w:rsid w:val="004C7082"/>
    <w:rsid w:val="004D06E5"/>
    <w:rsid w:val="004D1465"/>
    <w:rsid w:val="004D1EB8"/>
    <w:rsid w:val="004D260C"/>
    <w:rsid w:val="004D2965"/>
    <w:rsid w:val="004D2D9D"/>
    <w:rsid w:val="004D421E"/>
    <w:rsid w:val="004D5903"/>
    <w:rsid w:val="004D5A15"/>
    <w:rsid w:val="004D7F90"/>
    <w:rsid w:val="004E0D5E"/>
    <w:rsid w:val="004E1D98"/>
    <w:rsid w:val="004E21EE"/>
    <w:rsid w:val="004E2DD3"/>
    <w:rsid w:val="004E35EC"/>
    <w:rsid w:val="004E4015"/>
    <w:rsid w:val="004E57C2"/>
    <w:rsid w:val="004F28A3"/>
    <w:rsid w:val="004F291F"/>
    <w:rsid w:val="004F4387"/>
    <w:rsid w:val="004F545A"/>
    <w:rsid w:val="004F5759"/>
    <w:rsid w:val="004F6712"/>
    <w:rsid w:val="005003B4"/>
    <w:rsid w:val="00502755"/>
    <w:rsid w:val="00507BCC"/>
    <w:rsid w:val="00511FB5"/>
    <w:rsid w:val="00513230"/>
    <w:rsid w:val="005132EE"/>
    <w:rsid w:val="00513722"/>
    <w:rsid w:val="00513787"/>
    <w:rsid w:val="00514FD2"/>
    <w:rsid w:val="00515BDE"/>
    <w:rsid w:val="00516995"/>
    <w:rsid w:val="00517C0E"/>
    <w:rsid w:val="00520451"/>
    <w:rsid w:val="00520582"/>
    <w:rsid w:val="005210AD"/>
    <w:rsid w:val="00522F2A"/>
    <w:rsid w:val="005236A7"/>
    <w:rsid w:val="00523DC5"/>
    <w:rsid w:val="00523EDD"/>
    <w:rsid w:val="00524E17"/>
    <w:rsid w:val="0052534E"/>
    <w:rsid w:val="005258BE"/>
    <w:rsid w:val="005263D5"/>
    <w:rsid w:val="005273DF"/>
    <w:rsid w:val="0053085A"/>
    <w:rsid w:val="00531111"/>
    <w:rsid w:val="00531136"/>
    <w:rsid w:val="00532353"/>
    <w:rsid w:val="00533213"/>
    <w:rsid w:val="00533370"/>
    <w:rsid w:val="00535AAE"/>
    <w:rsid w:val="00536CF2"/>
    <w:rsid w:val="00541390"/>
    <w:rsid w:val="0054185E"/>
    <w:rsid w:val="00542EF3"/>
    <w:rsid w:val="005442EE"/>
    <w:rsid w:val="00545319"/>
    <w:rsid w:val="0054553C"/>
    <w:rsid w:val="00545669"/>
    <w:rsid w:val="005456EE"/>
    <w:rsid w:val="00546029"/>
    <w:rsid w:val="00547047"/>
    <w:rsid w:val="00547FD9"/>
    <w:rsid w:val="0055075A"/>
    <w:rsid w:val="00551203"/>
    <w:rsid w:val="00557E45"/>
    <w:rsid w:val="005600AB"/>
    <w:rsid w:val="0056029C"/>
    <w:rsid w:val="005631EB"/>
    <w:rsid w:val="00563299"/>
    <w:rsid w:val="00564124"/>
    <w:rsid w:val="00564406"/>
    <w:rsid w:val="00566CD9"/>
    <w:rsid w:val="00567551"/>
    <w:rsid w:val="0056773F"/>
    <w:rsid w:val="00571449"/>
    <w:rsid w:val="0057347C"/>
    <w:rsid w:val="00573F0D"/>
    <w:rsid w:val="00575095"/>
    <w:rsid w:val="00577BE6"/>
    <w:rsid w:val="00582DFA"/>
    <w:rsid w:val="0058320F"/>
    <w:rsid w:val="005834FC"/>
    <w:rsid w:val="00584675"/>
    <w:rsid w:val="00585417"/>
    <w:rsid w:val="00586770"/>
    <w:rsid w:val="00586E71"/>
    <w:rsid w:val="00592A38"/>
    <w:rsid w:val="005930B1"/>
    <w:rsid w:val="00594DB8"/>
    <w:rsid w:val="00595BEA"/>
    <w:rsid w:val="005A12B3"/>
    <w:rsid w:val="005A1857"/>
    <w:rsid w:val="005A1F8B"/>
    <w:rsid w:val="005A2C90"/>
    <w:rsid w:val="005A3195"/>
    <w:rsid w:val="005A37C7"/>
    <w:rsid w:val="005A3AD0"/>
    <w:rsid w:val="005A4576"/>
    <w:rsid w:val="005A4720"/>
    <w:rsid w:val="005A52EB"/>
    <w:rsid w:val="005A7541"/>
    <w:rsid w:val="005A75C9"/>
    <w:rsid w:val="005B0217"/>
    <w:rsid w:val="005B075D"/>
    <w:rsid w:val="005B0DB3"/>
    <w:rsid w:val="005B187D"/>
    <w:rsid w:val="005B2665"/>
    <w:rsid w:val="005B2C91"/>
    <w:rsid w:val="005B39B9"/>
    <w:rsid w:val="005B49C1"/>
    <w:rsid w:val="005B4B5A"/>
    <w:rsid w:val="005B562F"/>
    <w:rsid w:val="005B60CC"/>
    <w:rsid w:val="005B7CEE"/>
    <w:rsid w:val="005C1A96"/>
    <w:rsid w:val="005C2628"/>
    <w:rsid w:val="005C34BF"/>
    <w:rsid w:val="005C3E7D"/>
    <w:rsid w:val="005C42BF"/>
    <w:rsid w:val="005C43F1"/>
    <w:rsid w:val="005C49F9"/>
    <w:rsid w:val="005C4E8F"/>
    <w:rsid w:val="005C4FE9"/>
    <w:rsid w:val="005C5A50"/>
    <w:rsid w:val="005C5E41"/>
    <w:rsid w:val="005C5FA7"/>
    <w:rsid w:val="005C6996"/>
    <w:rsid w:val="005C6CB4"/>
    <w:rsid w:val="005C7512"/>
    <w:rsid w:val="005C7D29"/>
    <w:rsid w:val="005D04B1"/>
    <w:rsid w:val="005D083A"/>
    <w:rsid w:val="005D14F7"/>
    <w:rsid w:val="005D173B"/>
    <w:rsid w:val="005D241E"/>
    <w:rsid w:val="005D293F"/>
    <w:rsid w:val="005D2C3E"/>
    <w:rsid w:val="005D3A39"/>
    <w:rsid w:val="005D47A6"/>
    <w:rsid w:val="005D4F68"/>
    <w:rsid w:val="005E4697"/>
    <w:rsid w:val="005E5CBC"/>
    <w:rsid w:val="005E62FE"/>
    <w:rsid w:val="005E7FEC"/>
    <w:rsid w:val="005F1B33"/>
    <w:rsid w:val="005F69DC"/>
    <w:rsid w:val="005F75B9"/>
    <w:rsid w:val="005F7E4A"/>
    <w:rsid w:val="00600D8F"/>
    <w:rsid w:val="00601AC5"/>
    <w:rsid w:val="006034EB"/>
    <w:rsid w:val="00603BEA"/>
    <w:rsid w:val="00603CA7"/>
    <w:rsid w:val="00603D00"/>
    <w:rsid w:val="00604C31"/>
    <w:rsid w:val="00604D36"/>
    <w:rsid w:val="00606D49"/>
    <w:rsid w:val="00607CEB"/>
    <w:rsid w:val="00610071"/>
    <w:rsid w:val="0061043F"/>
    <w:rsid w:val="00611032"/>
    <w:rsid w:val="006145DB"/>
    <w:rsid w:val="00616763"/>
    <w:rsid w:val="00622221"/>
    <w:rsid w:val="006232DC"/>
    <w:rsid w:val="006254E1"/>
    <w:rsid w:val="00625588"/>
    <w:rsid w:val="00625DB3"/>
    <w:rsid w:val="00627C34"/>
    <w:rsid w:val="0063094F"/>
    <w:rsid w:val="00631361"/>
    <w:rsid w:val="00631BD7"/>
    <w:rsid w:val="00632201"/>
    <w:rsid w:val="00632C80"/>
    <w:rsid w:val="00632D9E"/>
    <w:rsid w:val="00634C03"/>
    <w:rsid w:val="00635417"/>
    <w:rsid w:val="0063638B"/>
    <w:rsid w:val="00640598"/>
    <w:rsid w:val="00640A96"/>
    <w:rsid w:val="006410E6"/>
    <w:rsid w:val="0064171E"/>
    <w:rsid w:val="006418DC"/>
    <w:rsid w:val="00643FBE"/>
    <w:rsid w:val="00644CD4"/>
    <w:rsid w:val="00645C13"/>
    <w:rsid w:val="00646371"/>
    <w:rsid w:val="00646E70"/>
    <w:rsid w:val="006508E2"/>
    <w:rsid w:val="006517EE"/>
    <w:rsid w:val="00651D2B"/>
    <w:rsid w:val="00651D2D"/>
    <w:rsid w:val="00651F48"/>
    <w:rsid w:val="00652F62"/>
    <w:rsid w:val="00653B8F"/>
    <w:rsid w:val="006545CA"/>
    <w:rsid w:val="00654B76"/>
    <w:rsid w:val="00656B41"/>
    <w:rsid w:val="00657149"/>
    <w:rsid w:val="00660175"/>
    <w:rsid w:val="00660E95"/>
    <w:rsid w:val="00663621"/>
    <w:rsid w:val="006652DB"/>
    <w:rsid w:val="006661E6"/>
    <w:rsid w:val="006709E8"/>
    <w:rsid w:val="006723A9"/>
    <w:rsid w:val="0067517E"/>
    <w:rsid w:val="006759E6"/>
    <w:rsid w:val="00676C60"/>
    <w:rsid w:val="00676E3A"/>
    <w:rsid w:val="0068119F"/>
    <w:rsid w:val="00681755"/>
    <w:rsid w:val="00681B8F"/>
    <w:rsid w:val="00681D86"/>
    <w:rsid w:val="006829F4"/>
    <w:rsid w:val="0068312E"/>
    <w:rsid w:val="006847D3"/>
    <w:rsid w:val="006851E1"/>
    <w:rsid w:val="00686925"/>
    <w:rsid w:val="006876FA"/>
    <w:rsid w:val="00691E8C"/>
    <w:rsid w:val="00692273"/>
    <w:rsid w:val="006922B2"/>
    <w:rsid w:val="00693FAA"/>
    <w:rsid w:val="0069497A"/>
    <w:rsid w:val="006975EC"/>
    <w:rsid w:val="006A1285"/>
    <w:rsid w:val="006A17D7"/>
    <w:rsid w:val="006A262C"/>
    <w:rsid w:val="006A2A89"/>
    <w:rsid w:val="006A376C"/>
    <w:rsid w:val="006A38AA"/>
    <w:rsid w:val="006A3CB9"/>
    <w:rsid w:val="006A696F"/>
    <w:rsid w:val="006A73CD"/>
    <w:rsid w:val="006A7661"/>
    <w:rsid w:val="006B320F"/>
    <w:rsid w:val="006B58B2"/>
    <w:rsid w:val="006B58EA"/>
    <w:rsid w:val="006B7809"/>
    <w:rsid w:val="006C65AF"/>
    <w:rsid w:val="006C6CAB"/>
    <w:rsid w:val="006D41B5"/>
    <w:rsid w:val="006D67F3"/>
    <w:rsid w:val="006D6D3A"/>
    <w:rsid w:val="006E1891"/>
    <w:rsid w:val="006E6DD5"/>
    <w:rsid w:val="006E72B4"/>
    <w:rsid w:val="006F0A7E"/>
    <w:rsid w:val="006F10F6"/>
    <w:rsid w:val="006F1D0C"/>
    <w:rsid w:val="006F1FFF"/>
    <w:rsid w:val="006F240B"/>
    <w:rsid w:val="006F2F0F"/>
    <w:rsid w:val="006F3D27"/>
    <w:rsid w:val="006F4AE8"/>
    <w:rsid w:val="006F5D86"/>
    <w:rsid w:val="006F6D10"/>
    <w:rsid w:val="00701695"/>
    <w:rsid w:val="00701D84"/>
    <w:rsid w:val="007025E3"/>
    <w:rsid w:val="00702648"/>
    <w:rsid w:val="007031CC"/>
    <w:rsid w:val="0070478E"/>
    <w:rsid w:val="007051B6"/>
    <w:rsid w:val="007069B8"/>
    <w:rsid w:val="007108FC"/>
    <w:rsid w:val="0071122E"/>
    <w:rsid w:val="007124FD"/>
    <w:rsid w:val="00712B94"/>
    <w:rsid w:val="007136E0"/>
    <w:rsid w:val="00714184"/>
    <w:rsid w:val="007157DC"/>
    <w:rsid w:val="00716D5C"/>
    <w:rsid w:val="00716F80"/>
    <w:rsid w:val="007174F0"/>
    <w:rsid w:val="00717927"/>
    <w:rsid w:val="00720176"/>
    <w:rsid w:val="0072052D"/>
    <w:rsid w:val="00721AFF"/>
    <w:rsid w:val="00723843"/>
    <w:rsid w:val="0072423C"/>
    <w:rsid w:val="007243A5"/>
    <w:rsid w:val="00731091"/>
    <w:rsid w:val="0073129C"/>
    <w:rsid w:val="00732F7E"/>
    <w:rsid w:val="00740D4F"/>
    <w:rsid w:val="00741BAA"/>
    <w:rsid w:val="00742186"/>
    <w:rsid w:val="00744904"/>
    <w:rsid w:val="00745B1B"/>
    <w:rsid w:val="00745BBC"/>
    <w:rsid w:val="0074681E"/>
    <w:rsid w:val="00747286"/>
    <w:rsid w:val="0075051D"/>
    <w:rsid w:val="00750FC4"/>
    <w:rsid w:val="00752A23"/>
    <w:rsid w:val="00757167"/>
    <w:rsid w:val="007573A1"/>
    <w:rsid w:val="0075784E"/>
    <w:rsid w:val="00762177"/>
    <w:rsid w:val="0076425C"/>
    <w:rsid w:val="007673E9"/>
    <w:rsid w:val="007710EA"/>
    <w:rsid w:val="00773FCA"/>
    <w:rsid w:val="007744CD"/>
    <w:rsid w:val="007746FE"/>
    <w:rsid w:val="00774B87"/>
    <w:rsid w:val="00775CBF"/>
    <w:rsid w:val="007767ED"/>
    <w:rsid w:val="00776C2D"/>
    <w:rsid w:val="00777C48"/>
    <w:rsid w:val="00780894"/>
    <w:rsid w:val="007814A7"/>
    <w:rsid w:val="00781870"/>
    <w:rsid w:val="00781C17"/>
    <w:rsid w:val="007827F2"/>
    <w:rsid w:val="007843A9"/>
    <w:rsid w:val="00784922"/>
    <w:rsid w:val="00785B1E"/>
    <w:rsid w:val="00785B8C"/>
    <w:rsid w:val="00786E64"/>
    <w:rsid w:val="0078745C"/>
    <w:rsid w:val="00790B18"/>
    <w:rsid w:val="00790B35"/>
    <w:rsid w:val="007920BB"/>
    <w:rsid w:val="0079329A"/>
    <w:rsid w:val="007940E1"/>
    <w:rsid w:val="00796394"/>
    <w:rsid w:val="007A11B7"/>
    <w:rsid w:val="007A383B"/>
    <w:rsid w:val="007A3974"/>
    <w:rsid w:val="007A3E4C"/>
    <w:rsid w:val="007A5D58"/>
    <w:rsid w:val="007A7630"/>
    <w:rsid w:val="007B03BF"/>
    <w:rsid w:val="007B0865"/>
    <w:rsid w:val="007B2385"/>
    <w:rsid w:val="007B248D"/>
    <w:rsid w:val="007B2763"/>
    <w:rsid w:val="007B2CA1"/>
    <w:rsid w:val="007B39BA"/>
    <w:rsid w:val="007C09BF"/>
    <w:rsid w:val="007C1B0E"/>
    <w:rsid w:val="007C302F"/>
    <w:rsid w:val="007C304B"/>
    <w:rsid w:val="007C5EED"/>
    <w:rsid w:val="007C6515"/>
    <w:rsid w:val="007C70A3"/>
    <w:rsid w:val="007D0ABC"/>
    <w:rsid w:val="007D174B"/>
    <w:rsid w:val="007D3B5F"/>
    <w:rsid w:val="007D405C"/>
    <w:rsid w:val="007D56A5"/>
    <w:rsid w:val="007D6615"/>
    <w:rsid w:val="007D76BB"/>
    <w:rsid w:val="007D7868"/>
    <w:rsid w:val="007E005F"/>
    <w:rsid w:val="007E25D1"/>
    <w:rsid w:val="007E25E5"/>
    <w:rsid w:val="007E2A01"/>
    <w:rsid w:val="007F01C7"/>
    <w:rsid w:val="007F088D"/>
    <w:rsid w:val="008018CE"/>
    <w:rsid w:val="008019F6"/>
    <w:rsid w:val="00801E7D"/>
    <w:rsid w:val="00803040"/>
    <w:rsid w:val="0080336A"/>
    <w:rsid w:val="008037E8"/>
    <w:rsid w:val="008042F5"/>
    <w:rsid w:val="00805925"/>
    <w:rsid w:val="00805C86"/>
    <w:rsid w:val="00806E33"/>
    <w:rsid w:val="00807290"/>
    <w:rsid w:val="00807A47"/>
    <w:rsid w:val="00810EDD"/>
    <w:rsid w:val="00811F42"/>
    <w:rsid w:val="0081360D"/>
    <w:rsid w:val="00813969"/>
    <w:rsid w:val="00814A82"/>
    <w:rsid w:val="008201E7"/>
    <w:rsid w:val="00823B89"/>
    <w:rsid w:val="00823C60"/>
    <w:rsid w:val="00824139"/>
    <w:rsid w:val="0082653A"/>
    <w:rsid w:val="00826A4D"/>
    <w:rsid w:val="00827A56"/>
    <w:rsid w:val="00830FED"/>
    <w:rsid w:val="008326BC"/>
    <w:rsid w:val="00832B5E"/>
    <w:rsid w:val="008342E1"/>
    <w:rsid w:val="00834546"/>
    <w:rsid w:val="008348B6"/>
    <w:rsid w:val="008373D6"/>
    <w:rsid w:val="0084454C"/>
    <w:rsid w:val="00844A79"/>
    <w:rsid w:val="00845850"/>
    <w:rsid w:val="00845B1A"/>
    <w:rsid w:val="00845E0B"/>
    <w:rsid w:val="00847822"/>
    <w:rsid w:val="008523FF"/>
    <w:rsid w:val="008573EC"/>
    <w:rsid w:val="00861EA7"/>
    <w:rsid w:val="008623B3"/>
    <w:rsid w:val="008634F3"/>
    <w:rsid w:val="00865C56"/>
    <w:rsid w:val="0087075A"/>
    <w:rsid w:val="0087198A"/>
    <w:rsid w:val="00871D0D"/>
    <w:rsid w:val="00877622"/>
    <w:rsid w:val="00877959"/>
    <w:rsid w:val="00881122"/>
    <w:rsid w:val="00881CCD"/>
    <w:rsid w:val="008824C2"/>
    <w:rsid w:val="00884654"/>
    <w:rsid w:val="00884EDF"/>
    <w:rsid w:val="00885E90"/>
    <w:rsid w:val="008860AC"/>
    <w:rsid w:val="00886959"/>
    <w:rsid w:val="0089034D"/>
    <w:rsid w:val="00890DD7"/>
    <w:rsid w:val="008918C2"/>
    <w:rsid w:val="00891E3C"/>
    <w:rsid w:val="00891FAF"/>
    <w:rsid w:val="00893A34"/>
    <w:rsid w:val="008960FD"/>
    <w:rsid w:val="00897233"/>
    <w:rsid w:val="008A13D9"/>
    <w:rsid w:val="008A36E1"/>
    <w:rsid w:val="008A37A7"/>
    <w:rsid w:val="008A42C5"/>
    <w:rsid w:val="008A4886"/>
    <w:rsid w:val="008A64DC"/>
    <w:rsid w:val="008A7099"/>
    <w:rsid w:val="008B0736"/>
    <w:rsid w:val="008B0E28"/>
    <w:rsid w:val="008B1299"/>
    <w:rsid w:val="008B1554"/>
    <w:rsid w:val="008B5240"/>
    <w:rsid w:val="008B5902"/>
    <w:rsid w:val="008B6263"/>
    <w:rsid w:val="008B66B4"/>
    <w:rsid w:val="008B6A71"/>
    <w:rsid w:val="008B764B"/>
    <w:rsid w:val="008B7A4C"/>
    <w:rsid w:val="008B7D9C"/>
    <w:rsid w:val="008B7F44"/>
    <w:rsid w:val="008C097A"/>
    <w:rsid w:val="008C1BA6"/>
    <w:rsid w:val="008C1CA6"/>
    <w:rsid w:val="008C2869"/>
    <w:rsid w:val="008C327C"/>
    <w:rsid w:val="008C49D8"/>
    <w:rsid w:val="008C49EC"/>
    <w:rsid w:val="008C53A2"/>
    <w:rsid w:val="008C590A"/>
    <w:rsid w:val="008D01C3"/>
    <w:rsid w:val="008D229D"/>
    <w:rsid w:val="008D2FDF"/>
    <w:rsid w:val="008D4676"/>
    <w:rsid w:val="008D5F5A"/>
    <w:rsid w:val="008D6CE9"/>
    <w:rsid w:val="008D6D14"/>
    <w:rsid w:val="008D704A"/>
    <w:rsid w:val="008D75C1"/>
    <w:rsid w:val="008D7B72"/>
    <w:rsid w:val="008E18A5"/>
    <w:rsid w:val="008E1C4A"/>
    <w:rsid w:val="008E2BAE"/>
    <w:rsid w:val="008E5059"/>
    <w:rsid w:val="008E694E"/>
    <w:rsid w:val="008E70F5"/>
    <w:rsid w:val="008F298A"/>
    <w:rsid w:val="008F3944"/>
    <w:rsid w:val="008F6AA0"/>
    <w:rsid w:val="008F76D4"/>
    <w:rsid w:val="00900D8F"/>
    <w:rsid w:val="0090155B"/>
    <w:rsid w:val="00902D34"/>
    <w:rsid w:val="009059E7"/>
    <w:rsid w:val="00906B5B"/>
    <w:rsid w:val="00907627"/>
    <w:rsid w:val="00911121"/>
    <w:rsid w:val="00911F65"/>
    <w:rsid w:val="009172EB"/>
    <w:rsid w:val="009203B8"/>
    <w:rsid w:val="009204BF"/>
    <w:rsid w:val="00920637"/>
    <w:rsid w:val="00920D4A"/>
    <w:rsid w:val="00922AFB"/>
    <w:rsid w:val="00925208"/>
    <w:rsid w:val="00925F69"/>
    <w:rsid w:val="009321C7"/>
    <w:rsid w:val="009321E7"/>
    <w:rsid w:val="00933E75"/>
    <w:rsid w:val="0093622B"/>
    <w:rsid w:val="009373C5"/>
    <w:rsid w:val="00942C4D"/>
    <w:rsid w:val="00943D26"/>
    <w:rsid w:val="00944C11"/>
    <w:rsid w:val="009460AC"/>
    <w:rsid w:val="0094688F"/>
    <w:rsid w:val="00946EA4"/>
    <w:rsid w:val="00947511"/>
    <w:rsid w:val="00947983"/>
    <w:rsid w:val="00950B06"/>
    <w:rsid w:val="009516F3"/>
    <w:rsid w:val="00951E9B"/>
    <w:rsid w:val="00952D66"/>
    <w:rsid w:val="009545BF"/>
    <w:rsid w:val="0095650A"/>
    <w:rsid w:val="009566BD"/>
    <w:rsid w:val="00956C50"/>
    <w:rsid w:val="00956CA1"/>
    <w:rsid w:val="00956E94"/>
    <w:rsid w:val="009614F0"/>
    <w:rsid w:val="00961A65"/>
    <w:rsid w:val="00963EDA"/>
    <w:rsid w:val="00965A65"/>
    <w:rsid w:val="0096620E"/>
    <w:rsid w:val="009663D9"/>
    <w:rsid w:val="00966F00"/>
    <w:rsid w:val="00970069"/>
    <w:rsid w:val="0097028A"/>
    <w:rsid w:val="00970A81"/>
    <w:rsid w:val="009721EB"/>
    <w:rsid w:val="00972DF4"/>
    <w:rsid w:val="00973155"/>
    <w:rsid w:val="009744C6"/>
    <w:rsid w:val="009756E4"/>
    <w:rsid w:val="009762C9"/>
    <w:rsid w:val="00976B32"/>
    <w:rsid w:val="00977BB3"/>
    <w:rsid w:val="00977D5C"/>
    <w:rsid w:val="0098016D"/>
    <w:rsid w:val="00981F3D"/>
    <w:rsid w:val="0098309D"/>
    <w:rsid w:val="00983CB8"/>
    <w:rsid w:val="00984FF0"/>
    <w:rsid w:val="00987730"/>
    <w:rsid w:val="00987BCE"/>
    <w:rsid w:val="00990832"/>
    <w:rsid w:val="009921C4"/>
    <w:rsid w:val="009926B4"/>
    <w:rsid w:val="0099622C"/>
    <w:rsid w:val="009A0DB3"/>
    <w:rsid w:val="009A50B4"/>
    <w:rsid w:val="009A595A"/>
    <w:rsid w:val="009A5DD7"/>
    <w:rsid w:val="009A5DFE"/>
    <w:rsid w:val="009A66FA"/>
    <w:rsid w:val="009B014B"/>
    <w:rsid w:val="009B12CB"/>
    <w:rsid w:val="009B2484"/>
    <w:rsid w:val="009B29FA"/>
    <w:rsid w:val="009B3504"/>
    <w:rsid w:val="009B3B4D"/>
    <w:rsid w:val="009B4636"/>
    <w:rsid w:val="009B4FAE"/>
    <w:rsid w:val="009B54A6"/>
    <w:rsid w:val="009B6E21"/>
    <w:rsid w:val="009B706E"/>
    <w:rsid w:val="009B718F"/>
    <w:rsid w:val="009C0A71"/>
    <w:rsid w:val="009C2388"/>
    <w:rsid w:val="009C2B53"/>
    <w:rsid w:val="009C37F7"/>
    <w:rsid w:val="009C423A"/>
    <w:rsid w:val="009C431C"/>
    <w:rsid w:val="009C76D2"/>
    <w:rsid w:val="009D03F7"/>
    <w:rsid w:val="009D07CD"/>
    <w:rsid w:val="009D27A3"/>
    <w:rsid w:val="009D2F9E"/>
    <w:rsid w:val="009D454F"/>
    <w:rsid w:val="009E10FB"/>
    <w:rsid w:val="009E2D74"/>
    <w:rsid w:val="009E31C0"/>
    <w:rsid w:val="009E51F8"/>
    <w:rsid w:val="009E5D29"/>
    <w:rsid w:val="009E620F"/>
    <w:rsid w:val="009E685C"/>
    <w:rsid w:val="009E6CD2"/>
    <w:rsid w:val="009E7404"/>
    <w:rsid w:val="009E75E0"/>
    <w:rsid w:val="009E79ED"/>
    <w:rsid w:val="009E7DCD"/>
    <w:rsid w:val="009F1069"/>
    <w:rsid w:val="009F6200"/>
    <w:rsid w:val="009F68E1"/>
    <w:rsid w:val="00A00FD1"/>
    <w:rsid w:val="00A02D8B"/>
    <w:rsid w:val="00A04DEF"/>
    <w:rsid w:val="00A07596"/>
    <w:rsid w:val="00A07602"/>
    <w:rsid w:val="00A11BC3"/>
    <w:rsid w:val="00A14336"/>
    <w:rsid w:val="00A1467A"/>
    <w:rsid w:val="00A16C78"/>
    <w:rsid w:val="00A17A08"/>
    <w:rsid w:val="00A26D9F"/>
    <w:rsid w:val="00A27359"/>
    <w:rsid w:val="00A27929"/>
    <w:rsid w:val="00A27D95"/>
    <w:rsid w:val="00A3132B"/>
    <w:rsid w:val="00A319F3"/>
    <w:rsid w:val="00A35329"/>
    <w:rsid w:val="00A3685C"/>
    <w:rsid w:val="00A40FBB"/>
    <w:rsid w:val="00A41DCF"/>
    <w:rsid w:val="00A43432"/>
    <w:rsid w:val="00A43B05"/>
    <w:rsid w:val="00A50D0F"/>
    <w:rsid w:val="00A51EF3"/>
    <w:rsid w:val="00A5225B"/>
    <w:rsid w:val="00A52ADD"/>
    <w:rsid w:val="00A53374"/>
    <w:rsid w:val="00A5364C"/>
    <w:rsid w:val="00A54C10"/>
    <w:rsid w:val="00A54D66"/>
    <w:rsid w:val="00A551F7"/>
    <w:rsid w:val="00A55367"/>
    <w:rsid w:val="00A5550E"/>
    <w:rsid w:val="00A60673"/>
    <w:rsid w:val="00A62031"/>
    <w:rsid w:val="00A6516E"/>
    <w:rsid w:val="00A66451"/>
    <w:rsid w:val="00A666E1"/>
    <w:rsid w:val="00A67F14"/>
    <w:rsid w:val="00A70B14"/>
    <w:rsid w:val="00A719D5"/>
    <w:rsid w:val="00A720B1"/>
    <w:rsid w:val="00A727D4"/>
    <w:rsid w:val="00A73C75"/>
    <w:rsid w:val="00A75562"/>
    <w:rsid w:val="00A7602D"/>
    <w:rsid w:val="00A7760A"/>
    <w:rsid w:val="00A77CD8"/>
    <w:rsid w:val="00A81AA5"/>
    <w:rsid w:val="00A822AE"/>
    <w:rsid w:val="00A82FD0"/>
    <w:rsid w:val="00A835E9"/>
    <w:rsid w:val="00A83D15"/>
    <w:rsid w:val="00A83E07"/>
    <w:rsid w:val="00A85100"/>
    <w:rsid w:val="00A85529"/>
    <w:rsid w:val="00A85A60"/>
    <w:rsid w:val="00A85BD3"/>
    <w:rsid w:val="00A85D15"/>
    <w:rsid w:val="00A85DC4"/>
    <w:rsid w:val="00A87800"/>
    <w:rsid w:val="00A87FA9"/>
    <w:rsid w:val="00A90063"/>
    <w:rsid w:val="00A90F63"/>
    <w:rsid w:val="00A90F66"/>
    <w:rsid w:val="00A9223C"/>
    <w:rsid w:val="00A924C5"/>
    <w:rsid w:val="00A926BA"/>
    <w:rsid w:val="00A93312"/>
    <w:rsid w:val="00A935A1"/>
    <w:rsid w:val="00A960F7"/>
    <w:rsid w:val="00A97739"/>
    <w:rsid w:val="00A97AFF"/>
    <w:rsid w:val="00AA0AB8"/>
    <w:rsid w:val="00AA1A30"/>
    <w:rsid w:val="00AA2B0C"/>
    <w:rsid w:val="00AA3615"/>
    <w:rsid w:val="00AA3922"/>
    <w:rsid w:val="00AA3CFB"/>
    <w:rsid w:val="00AA5C8D"/>
    <w:rsid w:val="00AA696A"/>
    <w:rsid w:val="00AA6B7F"/>
    <w:rsid w:val="00AA6FFB"/>
    <w:rsid w:val="00AA7F10"/>
    <w:rsid w:val="00AB0701"/>
    <w:rsid w:val="00AB1577"/>
    <w:rsid w:val="00AB2223"/>
    <w:rsid w:val="00AB34C2"/>
    <w:rsid w:val="00AB534D"/>
    <w:rsid w:val="00AB5A7F"/>
    <w:rsid w:val="00AB7573"/>
    <w:rsid w:val="00AB772D"/>
    <w:rsid w:val="00AC1755"/>
    <w:rsid w:val="00AC1872"/>
    <w:rsid w:val="00AC2C52"/>
    <w:rsid w:val="00AC353C"/>
    <w:rsid w:val="00AC3E27"/>
    <w:rsid w:val="00AC4034"/>
    <w:rsid w:val="00AC4634"/>
    <w:rsid w:val="00AC5B9F"/>
    <w:rsid w:val="00AC7490"/>
    <w:rsid w:val="00AD0DDC"/>
    <w:rsid w:val="00AD195E"/>
    <w:rsid w:val="00AD29FF"/>
    <w:rsid w:val="00AD45F9"/>
    <w:rsid w:val="00AD631F"/>
    <w:rsid w:val="00AD6479"/>
    <w:rsid w:val="00AD6AF7"/>
    <w:rsid w:val="00AD6F07"/>
    <w:rsid w:val="00AD736F"/>
    <w:rsid w:val="00AD759C"/>
    <w:rsid w:val="00AE19BB"/>
    <w:rsid w:val="00AE21FF"/>
    <w:rsid w:val="00AE4D60"/>
    <w:rsid w:val="00AE5181"/>
    <w:rsid w:val="00AE52EA"/>
    <w:rsid w:val="00AE537F"/>
    <w:rsid w:val="00AE6017"/>
    <w:rsid w:val="00AE764E"/>
    <w:rsid w:val="00AF100A"/>
    <w:rsid w:val="00AF1F18"/>
    <w:rsid w:val="00AF3507"/>
    <w:rsid w:val="00AF5EC6"/>
    <w:rsid w:val="00AF6C47"/>
    <w:rsid w:val="00B0135B"/>
    <w:rsid w:val="00B0274D"/>
    <w:rsid w:val="00B04A5E"/>
    <w:rsid w:val="00B06D37"/>
    <w:rsid w:val="00B0726E"/>
    <w:rsid w:val="00B07466"/>
    <w:rsid w:val="00B1018A"/>
    <w:rsid w:val="00B101ED"/>
    <w:rsid w:val="00B1087C"/>
    <w:rsid w:val="00B128F1"/>
    <w:rsid w:val="00B1330F"/>
    <w:rsid w:val="00B13E3F"/>
    <w:rsid w:val="00B16839"/>
    <w:rsid w:val="00B2019A"/>
    <w:rsid w:val="00B219D1"/>
    <w:rsid w:val="00B21B59"/>
    <w:rsid w:val="00B25B17"/>
    <w:rsid w:val="00B32C9B"/>
    <w:rsid w:val="00B34B83"/>
    <w:rsid w:val="00B34CE0"/>
    <w:rsid w:val="00B368F7"/>
    <w:rsid w:val="00B36D05"/>
    <w:rsid w:val="00B36E55"/>
    <w:rsid w:val="00B3745D"/>
    <w:rsid w:val="00B44D0C"/>
    <w:rsid w:val="00B47BCF"/>
    <w:rsid w:val="00B5010D"/>
    <w:rsid w:val="00B51B74"/>
    <w:rsid w:val="00B52FC0"/>
    <w:rsid w:val="00B53FB8"/>
    <w:rsid w:val="00B56F5D"/>
    <w:rsid w:val="00B576DB"/>
    <w:rsid w:val="00B601B2"/>
    <w:rsid w:val="00B634C4"/>
    <w:rsid w:val="00B63C16"/>
    <w:rsid w:val="00B63F94"/>
    <w:rsid w:val="00B655C1"/>
    <w:rsid w:val="00B65AB9"/>
    <w:rsid w:val="00B72F1C"/>
    <w:rsid w:val="00B74058"/>
    <w:rsid w:val="00B7560D"/>
    <w:rsid w:val="00B770B5"/>
    <w:rsid w:val="00B77245"/>
    <w:rsid w:val="00B77AA6"/>
    <w:rsid w:val="00B77F68"/>
    <w:rsid w:val="00B81FA4"/>
    <w:rsid w:val="00B82B90"/>
    <w:rsid w:val="00B83C8D"/>
    <w:rsid w:val="00B841CE"/>
    <w:rsid w:val="00B85E1C"/>
    <w:rsid w:val="00B86220"/>
    <w:rsid w:val="00B8629D"/>
    <w:rsid w:val="00B8635E"/>
    <w:rsid w:val="00B87845"/>
    <w:rsid w:val="00B8794C"/>
    <w:rsid w:val="00B90BEA"/>
    <w:rsid w:val="00B94990"/>
    <w:rsid w:val="00B95EF4"/>
    <w:rsid w:val="00B96AB6"/>
    <w:rsid w:val="00BA20F0"/>
    <w:rsid w:val="00BA274F"/>
    <w:rsid w:val="00BA3D07"/>
    <w:rsid w:val="00BB022A"/>
    <w:rsid w:val="00BB05C5"/>
    <w:rsid w:val="00BB05D2"/>
    <w:rsid w:val="00BB326A"/>
    <w:rsid w:val="00BB3753"/>
    <w:rsid w:val="00BB6509"/>
    <w:rsid w:val="00BB7F51"/>
    <w:rsid w:val="00BC0518"/>
    <w:rsid w:val="00BC053E"/>
    <w:rsid w:val="00BC22BB"/>
    <w:rsid w:val="00BC22DD"/>
    <w:rsid w:val="00BC248C"/>
    <w:rsid w:val="00BC3331"/>
    <w:rsid w:val="00BC4D89"/>
    <w:rsid w:val="00BC4FB9"/>
    <w:rsid w:val="00BC6A27"/>
    <w:rsid w:val="00BC7346"/>
    <w:rsid w:val="00BC7701"/>
    <w:rsid w:val="00BD3DA1"/>
    <w:rsid w:val="00BD44F8"/>
    <w:rsid w:val="00BD4B73"/>
    <w:rsid w:val="00BD7A27"/>
    <w:rsid w:val="00BE3E3B"/>
    <w:rsid w:val="00BE6C39"/>
    <w:rsid w:val="00BE7E19"/>
    <w:rsid w:val="00BF2EC7"/>
    <w:rsid w:val="00BF52B0"/>
    <w:rsid w:val="00BF7B1B"/>
    <w:rsid w:val="00C00E60"/>
    <w:rsid w:val="00C01EC0"/>
    <w:rsid w:val="00C02207"/>
    <w:rsid w:val="00C029C9"/>
    <w:rsid w:val="00C03BBC"/>
    <w:rsid w:val="00C03F92"/>
    <w:rsid w:val="00C040A2"/>
    <w:rsid w:val="00C04BF3"/>
    <w:rsid w:val="00C071B8"/>
    <w:rsid w:val="00C0784F"/>
    <w:rsid w:val="00C11160"/>
    <w:rsid w:val="00C11750"/>
    <w:rsid w:val="00C1281B"/>
    <w:rsid w:val="00C1420B"/>
    <w:rsid w:val="00C15371"/>
    <w:rsid w:val="00C16B85"/>
    <w:rsid w:val="00C17BD4"/>
    <w:rsid w:val="00C200DA"/>
    <w:rsid w:val="00C215A8"/>
    <w:rsid w:val="00C21B88"/>
    <w:rsid w:val="00C23CF8"/>
    <w:rsid w:val="00C241D2"/>
    <w:rsid w:val="00C244EE"/>
    <w:rsid w:val="00C27884"/>
    <w:rsid w:val="00C3101E"/>
    <w:rsid w:val="00C31113"/>
    <w:rsid w:val="00C32786"/>
    <w:rsid w:val="00C32A2F"/>
    <w:rsid w:val="00C34C22"/>
    <w:rsid w:val="00C366E3"/>
    <w:rsid w:val="00C37B50"/>
    <w:rsid w:val="00C409C3"/>
    <w:rsid w:val="00C42C5E"/>
    <w:rsid w:val="00C43CA8"/>
    <w:rsid w:val="00C440F5"/>
    <w:rsid w:val="00C4413A"/>
    <w:rsid w:val="00C44729"/>
    <w:rsid w:val="00C44843"/>
    <w:rsid w:val="00C44963"/>
    <w:rsid w:val="00C46117"/>
    <w:rsid w:val="00C47CCE"/>
    <w:rsid w:val="00C522B7"/>
    <w:rsid w:val="00C523B4"/>
    <w:rsid w:val="00C529F9"/>
    <w:rsid w:val="00C52AF2"/>
    <w:rsid w:val="00C53966"/>
    <w:rsid w:val="00C54099"/>
    <w:rsid w:val="00C54AD1"/>
    <w:rsid w:val="00C60F43"/>
    <w:rsid w:val="00C61FD0"/>
    <w:rsid w:val="00C6268D"/>
    <w:rsid w:val="00C63B95"/>
    <w:rsid w:val="00C63DD8"/>
    <w:rsid w:val="00C66B07"/>
    <w:rsid w:val="00C66E8A"/>
    <w:rsid w:val="00C70232"/>
    <w:rsid w:val="00C7131C"/>
    <w:rsid w:val="00C72224"/>
    <w:rsid w:val="00C72CE7"/>
    <w:rsid w:val="00C73263"/>
    <w:rsid w:val="00C74100"/>
    <w:rsid w:val="00C75706"/>
    <w:rsid w:val="00C758EB"/>
    <w:rsid w:val="00C759E6"/>
    <w:rsid w:val="00C77686"/>
    <w:rsid w:val="00C777CF"/>
    <w:rsid w:val="00C80062"/>
    <w:rsid w:val="00C83575"/>
    <w:rsid w:val="00C85DA9"/>
    <w:rsid w:val="00C866B0"/>
    <w:rsid w:val="00C86FF8"/>
    <w:rsid w:val="00C872D5"/>
    <w:rsid w:val="00C904ED"/>
    <w:rsid w:val="00C91F72"/>
    <w:rsid w:val="00C92B92"/>
    <w:rsid w:val="00C92ED6"/>
    <w:rsid w:val="00C93FD6"/>
    <w:rsid w:val="00C9488D"/>
    <w:rsid w:val="00C949DD"/>
    <w:rsid w:val="00C979BF"/>
    <w:rsid w:val="00CA1A20"/>
    <w:rsid w:val="00CA2CCA"/>
    <w:rsid w:val="00CA4815"/>
    <w:rsid w:val="00CA48E5"/>
    <w:rsid w:val="00CA5160"/>
    <w:rsid w:val="00CA63FA"/>
    <w:rsid w:val="00CB042C"/>
    <w:rsid w:val="00CB3106"/>
    <w:rsid w:val="00CB36CC"/>
    <w:rsid w:val="00CB39A0"/>
    <w:rsid w:val="00CB3D5C"/>
    <w:rsid w:val="00CB4589"/>
    <w:rsid w:val="00CB4957"/>
    <w:rsid w:val="00CB4BB2"/>
    <w:rsid w:val="00CB506D"/>
    <w:rsid w:val="00CB6188"/>
    <w:rsid w:val="00CB6D05"/>
    <w:rsid w:val="00CB7343"/>
    <w:rsid w:val="00CB769E"/>
    <w:rsid w:val="00CC02B2"/>
    <w:rsid w:val="00CC1F73"/>
    <w:rsid w:val="00CC2B03"/>
    <w:rsid w:val="00CC39C1"/>
    <w:rsid w:val="00CC3BEE"/>
    <w:rsid w:val="00CC465F"/>
    <w:rsid w:val="00CC4C4A"/>
    <w:rsid w:val="00CD0320"/>
    <w:rsid w:val="00CD0E1A"/>
    <w:rsid w:val="00CD2FF3"/>
    <w:rsid w:val="00CD4DCA"/>
    <w:rsid w:val="00CD5E55"/>
    <w:rsid w:val="00CE1A8F"/>
    <w:rsid w:val="00CE256E"/>
    <w:rsid w:val="00CE327C"/>
    <w:rsid w:val="00CE37C3"/>
    <w:rsid w:val="00CE518D"/>
    <w:rsid w:val="00CE52E8"/>
    <w:rsid w:val="00CE7026"/>
    <w:rsid w:val="00CE71FA"/>
    <w:rsid w:val="00CE7F4F"/>
    <w:rsid w:val="00CF0173"/>
    <w:rsid w:val="00CF0681"/>
    <w:rsid w:val="00CF0E08"/>
    <w:rsid w:val="00CF104F"/>
    <w:rsid w:val="00CF1782"/>
    <w:rsid w:val="00CF1ABA"/>
    <w:rsid w:val="00CF1F4B"/>
    <w:rsid w:val="00CF50FC"/>
    <w:rsid w:val="00CF53BB"/>
    <w:rsid w:val="00CF55E6"/>
    <w:rsid w:val="00CF5F42"/>
    <w:rsid w:val="00CF604F"/>
    <w:rsid w:val="00CF6562"/>
    <w:rsid w:val="00CF72EA"/>
    <w:rsid w:val="00CF76F8"/>
    <w:rsid w:val="00CF778A"/>
    <w:rsid w:val="00CF7BF0"/>
    <w:rsid w:val="00D00188"/>
    <w:rsid w:val="00D03126"/>
    <w:rsid w:val="00D03411"/>
    <w:rsid w:val="00D0454B"/>
    <w:rsid w:val="00D04729"/>
    <w:rsid w:val="00D10270"/>
    <w:rsid w:val="00D10758"/>
    <w:rsid w:val="00D10B84"/>
    <w:rsid w:val="00D12CC1"/>
    <w:rsid w:val="00D12F53"/>
    <w:rsid w:val="00D13B72"/>
    <w:rsid w:val="00D13D87"/>
    <w:rsid w:val="00D179C8"/>
    <w:rsid w:val="00D17B28"/>
    <w:rsid w:val="00D21AB1"/>
    <w:rsid w:val="00D22403"/>
    <w:rsid w:val="00D267C0"/>
    <w:rsid w:val="00D26C9B"/>
    <w:rsid w:val="00D2797C"/>
    <w:rsid w:val="00D325EE"/>
    <w:rsid w:val="00D336F7"/>
    <w:rsid w:val="00D349B0"/>
    <w:rsid w:val="00D36329"/>
    <w:rsid w:val="00D366AB"/>
    <w:rsid w:val="00D37873"/>
    <w:rsid w:val="00D4056A"/>
    <w:rsid w:val="00D4116B"/>
    <w:rsid w:val="00D42447"/>
    <w:rsid w:val="00D43700"/>
    <w:rsid w:val="00D46554"/>
    <w:rsid w:val="00D47CD6"/>
    <w:rsid w:val="00D5253B"/>
    <w:rsid w:val="00D53DB7"/>
    <w:rsid w:val="00D53F1F"/>
    <w:rsid w:val="00D55F26"/>
    <w:rsid w:val="00D5688A"/>
    <w:rsid w:val="00D57CE5"/>
    <w:rsid w:val="00D57E7E"/>
    <w:rsid w:val="00D601D1"/>
    <w:rsid w:val="00D6123E"/>
    <w:rsid w:val="00D622F3"/>
    <w:rsid w:val="00D626B8"/>
    <w:rsid w:val="00D630CC"/>
    <w:rsid w:val="00D64136"/>
    <w:rsid w:val="00D653C5"/>
    <w:rsid w:val="00D66BFC"/>
    <w:rsid w:val="00D678F5"/>
    <w:rsid w:val="00D707F6"/>
    <w:rsid w:val="00D71088"/>
    <w:rsid w:val="00D71983"/>
    <w:rsid w:val="00D72647"/>
    <w:rsid w:val="00D728E6"/>
    <w:rsid w:val="00D72971"/>
    <w:rsid w:val="00D73D91"/>
    <w:rsid w:val="00D73E7E"/>
    <w:rsid w:val="00D74BB4"/>
    <w:rsid w:val="00D75CCE"/>
    <w:rsid w:val="00D76774"/>
    <w:rsid w:val="00D768D1"/>
    <w:rsid w:val="00D77721"/>
    <w:rsid w:val="00D8251F"/>
    <w:rsid w:val="00D82A50"/>
    <w:rsid w:val="00D83935"/>
    <w:rsid w:val="00D86284"/>
    <w:rsid w:val="00D86C1F"/>
    <w:rsid w:val="00D90752"/>
    <w:rsid w:val="00D937D8"/>
    <w:rsid w:val="00D94BFE"/>
    <w:rsid w:val="00D9503F"/>
    <w:rsid w:val="00D97698"/>
    <w:rsid w:val="00DA06B2"/>
    <w:rsid w:val="00DA06E6"/>
    <w:rsid w:val="00DA44A4"/>
    <w:rsid w:val="00DA4F6E"/>
    <w:rsid w:val="00DA502C"/>
    <w:rsid w:val="00DA6A36"/>
    <w:rsid w:val="00DB0D1E"/>
    <w:rsid w:val="00DB730A"/>
    <w:rsid w:val="00DB7AF6"/>
    <w:rsid w:val="00DC10D5"/>
    <w:rsid w:val="00DC1CCA"/>
    <w:rsid w:val="00DC208F"/>
    <w:rsid w:val="00DC4A30"/>
    <w:rsid w:val="00DC5980"/>
    <w:rsid w:val="00DC7079"/>
    <w:rsid w:val="00DC73BD"/>
    <w:rsid w:val="00DC7B41"/>
    <w:rsid w:val="00DD0F3D"/>
    <w:rsid w:val="00DD19A7"/>
    <w:rsid w:val="00DD2329"/>
    <w:rsid w:val="00DD2B46"/>
    <w:rsid w:val="00DD3032"/>
    <w:rsid w:val="00DD4454"/>
    <w:rsid w:val="00DD45E0"/>
    <w:rsid w:val="00DD5350"/>
    <w:rsid w:val="00DD6D37"/>
    <w:rsid w:val="00DD71E4"/>
    <w:rsid w:val="00DD7A9E"/>
    <w:rsid w:val="00DE43D5"/>
    <w:rsid w:val="00DE4A60"/>
    <w:rsid w:val="00DF21B3"/>
    <w:rsid w:val="00DF2264"/>
    <w:rsid w:val="00DF3CF6"/>
    <w:rsid w:val="00DF4C1E"/>
    <w:rsid w:val="00DF5B4E"/>
    <w:rsid w:val="00DF5D64"/>
    <w:rsid w:val="00DF6C98"/>
    <w:rsid w:val="00E00313"/>
    <w:rsid w:val="00E0075C"/>
    <w:rsid w:val="00E00BB4"/>
    <w:rsid w:val="00E02464"/>
    <w:rsid w:val="00E042A3"/>
    <w:rsid w:val="00E04E78"/>
    <w:rsid w:val="00E06ED6"/>
    <w:rsid w:val="00E10CBF"/>
    <w:rsid w:val="00E11255"/>
    <w:rsid w:val="00E118A0"/>
    <w:rsid w:val="00E12734"/>
    <w:rsid w:val="00E15A4B"/>
    <w:rsid w:val="00E161AA"/>
    <w:rsid w:val="00E16410"/>
    <w:rsid w:val="00E16650"/>
    <w:rsid w:val="00E17CEA"/>
    <w:rsid w:val="00E21A38"/>
    <w:rsid w:val="00E22C76"/>
    <w:rsid w:val="00E248CD"/>
    <w:rsid w:val="00E2552B"/>
    <w:rsid w:val="00E25AC6"/>
    <w:rsid w:val="00E30709"/>
    <w:rsid w:val="00E32F85"/>
    <w:rsid w:val="00E34865"/>
    <w:rsid w:val="00E36630"/>
    <w:rsid w:val="00E409D3"/>
    <w:rsid w:val="00E40CD0"/>
    <w:rsid w:val="00E4386F"/>
    <w:rsid w:val="00E468E6"/>
    <w:rsid w:val="00E46E06"/>
    <w:rsid w:val="00E500AE"/>
    <w:rsid w:val="00E50663"/>
    <w:rsid w:val="00E51E6D"/>
    <w:rsid w:val="00E529E5"/>
    <w:rsid w:val="00E52F21"/>
    <w:rsid w:val="00E53939"/>
    <w:rsid w:val="00E54289"/>
    <w:rsid w:val="00E5520D"/>
    <w:rsid w:val="00E558C8"/>
    <w:rsid w:val="00E56D37"/>
    <w:rsid w:val="00E6002D"/>
    <w:rsid w:val="00E61E8F"/>
    <w:rsid w:val="00E62A9E"/>
    <w:rsid w:val="00E63EED"/>
    <w:rsid w:val="00E646D3"/>
    <w:rsid w:val="00E66892"/>
    <w:rsid w:val="00E70E28"/>
    <w:rsid w:val="00E72BE5"/>
    <w:rsid w:val="00E72EC2"/>
    <w:rsid w:val="00E74CE2"/>
    <w:rsid w:val="00E74E56"/>
    <w:rsid w:val="00E759B3"/>
    <w:rsid w:val="00E82380"/>
    <w:rsid w:val="00E856D6"/>
    <w:rsid w:val="00E86E2C"/>
    <w:rsid w:val="00E90243"/>
    <w:rsid w:val="00E927C1"/>
    <w:rsid w:val="00E927CC"/>
    <w:rsid w:val="00E9331C"/>
    <w:rsid w:val="00E933E3"/>
    <w:rsid w:val="00E94826"/>
    <w:rsid w:val="00E966AD"/>
    <w:rsid w:val="00EA0C89"/>
    <w:rsid w:val="00EA229E"/>
    <w:rsid w:val="00EA25DF"/>
    <w:rsid w:val="00EA41EB"/>
    <w:rsid w:val="00EA49AA"/>
    <w:rsid w:val="00EA6100"/>
    <w:rsid w:val="00EA66BE"/>
    <w:rsid w:val="00EA6CBD"/>
    <w:rsid w:val="00EA7257"/>
    <w:rsid w:val="00EB0A0D"/>
    <w:rsid w:val="00EB2660"/>
    <w:rsid w:val="00EB4721"/>
    <w:rsid w:val="00EB4C2A"/>
    <w:rsid w:val="00EB4C2F"/>
    <w:rsid w:val="00EB529A"/>
    <w:rsid w:val="00EB5C1F"/>
    <w:rsid w:val="00EB5DB5"/>
    <w:rsid w:val="00EB7670"/>
    <w:rsid w:val="00EC03C7"/>
    <w:rsid w:val="00EC2ADC"/>
    <w:rsid w:val="00ED0DDF"/>
    <w:rsid w:val="00ED1689"/>
    <w:rsid w:val="00ED1D33"/>
    <w:rsid w:val="00ED23FB"/>
    <w:rsid w:val="00ED2C82"/>
    <w:rsid w:val="00ED7325"/>
    <w:rsid w:val="00ED73F7"/>
    <w:rsid w:val="00ED7789"/>
    <w:rsid w:val="00EE0FF0"/>
    <w:rsid w:val="00EE4307"/>
    <w:rsid w:val="00EE4667"/>
    <w:rsid w:val="00EE4A6C"/>
    <w:rsid w:val="00EE6D0B"/>
    <w:rsid w:val="00EE7FB1"/>
    <w:rsid w:val="00EF04E4"/>
    <w:rsid w:val="00EF4206"/>
    <w:rsid w:val="00EF4963"/>
    <w:rsid w:val="00EF6412"/>
    <w:rsid w:val="00EF6D25"/>
    <w:rsid w:val="00EF73FD"/>
    <w:rsid w:val="00F00E05"/>
    <w:rsid w:val="00F023DF"/>
    <w:rsid w:val="00F029A9"/>
    <w:rsid w:val="00F04503"/>
    <w:rsid w:val="00F05277"/>
    <w:rsid w:val="00F053CA"/>
    <w:rsid w:val="00F05F35"/>
    <w:rsid w:val="00F06A60"/>
    <w:rsid w:val="00F06D11"/>
    <w:rsid w:val="00F06E0F"/>
    <w:rsid w:val="00F06E8C"/>
    <w:rsid w:val="00F07CEA"/>
    <w:rsid w:val="00F1000D"/>
    <w:rsid w:val="00F104DF"/>
    <w:rsid w:val="00F16AC2"/>
    <w:rsid w:val="00F171C4"/>
    <w:rsid w:val="00F207BB"/>
    <w:rsid w:val="00F21428"/>
    <w:rsid w:val="00F21449"/>
    <w:rsid w:val="00F22D7A"/>
    <w:rsid w:val="00F23E86"/>
    <w:rsid w:val="00F25052"/>
    <w:rsid w:val="00F3045A"/>
    <w:rsid w:val="00F311A4"/>
    <w:rsid w:val="00F315BC"/>
    <w:rsid w:val="00F31C8C"/>
    <w:rsid w:val="00F33465"/>
    <w:rsid w:val="00F33B93"/>
    <w:rsid w:val="00F3458D"/>
    <w:rsid w:val="00F34A53"/>
    <w:rsid w:val="00F3653A"/>
    <w:rsid w:val="00F378DE"/>
    <w:rsid w:val="00F37A29"/>
    <w:rsid w:val="00F37B7F"/>
    <w:rsid w:val="00F37F4E"/>
    <w:rsid w:val="00F407A1"/>
    <w:rsid w:val="00F41563"/>
    <w:rsid w:val="00F43182"/>
    <w:rsid w:val="00F4570C"/>
    <w:rsid w:val="00F45FBA"/>
    <w:rsid w:val="00F4617E"/>
    <w:rsid w:val="00F510CF"/>
    <w:rsid w:val="00F51301"/>
    <w:rsid w:val="00F51C36"/>
    <w:rsid w:val="00F52082"/>
    <w:rsid w:val="00F53C35"/>
    <w:rsid w:val="00F548E0"/>
    <w:rsid w:val="00F55C93"/>
    <w:rsid w:val="00F560A3"/>
    <w:rsid w:val="00F56FAE"/>
    <w:rsid w:val="00F61FC9"/>
    <w:rsid w:val="00F62239"/>
    <w:rsid w:val="00F62785"/>
    <w:rsid w:val="00F6539E"/>
    <w:rsid w:val="00F65BDC"/>
    <w:rsid w:val="00F66F1B"/>
    <w:rsid w:val="00F70231"/>
    <w:rsid w:val="00F70358"/>
    <w:rsid w:val="00F7448F"/>
    <w:rsid w:val="00F74792"/>
    <w:rsid w:val="00F74EA9"/>
    <w:rsid w:val="00F7587E"/>
    <w:rsid w:val="00F75E9B"/>
    <w:rsid w:val="00F7682A"/>
    <w:rsid w:val="00F76CB9"/>
    <w:rsid w:val="00F7760A"/>
    <w:rsid w:val="00F77FCB"/>
    <w:rsid w:val="00F80041"/>
    <w:rsid w:val="00F803C0"/>
    <w:rsid w:val="00F80857"/>
    <w:rsid w:val="00F80E39"/>
    <w:rsid w:val="00F82C2C"/>
    <w:rsid w:val="00F8356C"/>
    <w:rsid w:val="00F84531"/>
    <w:rsid w:val="00F85913"/>
    <w:rsid w:val="00F85E47"/>
    <w:rsid w:val="00F87256"/>
    <w:rsid w:val="00F87415"/>
    <w:rsid w:val="00F9130B"/>
    <w:rsid w:val="00F9158C"/>
    <w:rsid w:val="00F91FD5"/>
    <w:rsid w:val="00F94E8C"/>
    <w:rsid w:val="00F96046"/>
    <w:rsid w:val="00F97A7A"/>
    <w:rsid w:val="00FA0689"/>
    <w:rsid w:val="00FA1E49"/>
    <w:rsid w:val="00FA2421"/>
    <w:rsid w:val="00FA3EA8"/>
    <w:rsid w:val="00FB19DF"/>
    <w:rsid w:val="00FB1E6D"/>
    <w:rsid w:val="00FB7459"/>
    <w:rsid w:val="00FC0FDE"/>
    <w:rsid w:val="00FC4F30"/>
    <w:rsid w:val="00FC6682"/>
    <w:rsid w:val="00FC7811"/>
    <w:rsid w:val="00FC7822"/>
    <w:rsid w:val="00FD11DE"/>
    <w:rsid w:val="00FD3927"/>
    <w:rsid w:val="00FD4D6E"/>
    <w:rsid w:val="00FD6383"/>
    <w:rsid w:val="00FD658B"/>
    <w:rsid w:val="00FD6609"/>
    <w:rsid w:val="00FE0A84"/>
    <w:rsid w:val="00FE0D51"/>
    <w:rsid w:val="00FE2912"/>
    <w:rsid w:val="00FE38A8"/>
    <w:rsid w:val="00FE4D8E"/>
    <w:rsid w:val="00FE4DE2"/>
    <w:rsid w:val="00FE5473"/>
    <w:rsid w:val="00FE769A"/>
    <w:rsid w:val="00FF19F6"/>
    <w:rsid w:val="00FF262F"/>
    <w:rsid w:val="00FF2E0F"/>
    <w:rsid w:val="00FF5BC8"/>
    <w:rsid w:val="00FF5FC3"/>
    <w:rsid w:val="00FF737B"/>
    <w:rsid w:val="0183CFC7"/>
    <w:rsid w:val="01A3C5C6"/>
    <w:rsid w:val="036B8DE9"/>
    <w:rsid w:val="0386F933"/>
    <w:rsid w:val="046E2A51"/>
    <w:rsid w:val="04BE42D7"/>
    <w:rsid w:val="05E40D65"/>
    <w:rsid w:val="066DE17F"/>
    <w:rsid w:val="06AD2B00"/>
    <w:rsid w:val="06C66BA2"/>
    <w:rsid w:val="06EE1B48"/>
    <w:rsid w:val="07B09340"/>
    <w:rsid w:val="0855351B"/>
    <w:rsid w:val="08BFD37E"/>
    <w:rsid w:val="08D93CA1"/>
    <w:rsid w:val="0908261A"/>
    <w:rsid w:val="095674D4"/>
    <w:rsid w:val="0A0BE9F1"/>
    <w:rsid w:val="0AD0D400"/>
    <w:rsid w:val="0AF84576"/>
    <w:rsid w:val="0B8EAC79"/>
    <w:rsid w:val="0C09A30C"/>
    <w:rsid w:val="0C0FCB4B"/>
    <w:rsid w:val="0C749642"/>
    <w:rsid w:val="0C93E067"/>
    <w:rsid w:val="0CD05674"/>
    <w:rsid w:val="0F176D50"/>
    <w:rsid w:val="0F6FE851"/>
    <w:rsid w:val="0FCB9F0B"/>
    <w:rsid w:val="10C29336"/>
    <w:rsid w:val="11676F6C"/>
    <w:rsid w:val="1258DD4B"/>
    <w:rsid w:val="12A2687E"/>
    <w:rsid w:val="12CCD61D"/>
    <w:rsid w:val="1344CD19"/>
    <w:rsid w:val="14A31546"/>
    <w:rsid w:val="15B57A32"/>
    <w:rsid w:val="169650DD"/>
    <w:rsid w:val="173646B5"/>
    <w:rsid w:val="1745742F"/>
    <w:rsid w:val="17E5A23D"/>
    <w:rsid w:val="18B7C105"/>
    <w:rsid w:val="18C223D1"/>
    <w:rsid w:val="18E5B955"/>
    <w:rsid w:val="19576123"/>
    <w:rsid w:val="19A9D5F1"/>
    <w:rsid w:val="1A068FF4"/>
    <w:rsid w:val="1A6C7F56"/>
    <w:rsid w:val="1CC93F55"/>
    <w:rsid w:val="1D0137B8"/>
    <w:rsid w:val="1D05FADC"/>
    <w:rsid w:val="1E902856"/>
    <w:rsid w:val="1EB78816"/>
    <w:rsid w:val="1F5868D4"/>
    <w:rsid w:val="20D15A5A"/>
    <w:rsid w:val="21A67B1C"/>
    <w:rsid w:val="2342503F"/>
    <w:rsid w:val="2361C03D"/>
    <w:rsid w:val="239871C5"/>
    <w:rsid w:val="24495D2D"/>
    <w:rsid w:val="24EAF1AA"/>
    <w:rsid w:val="24FE5AE7"/>
    <w:rsid w:val="25ADAB08"/>
    <w:rsid w:val="2670AF28"/>
    <w:rsid w:val="26A4925B"/>
    <w:rsid w:val="26EBF381"/>
    <w:rsid w:val="274EA42B"/>
    <w:rsid w:val="27F73DB1"/>
    <w:rsid w:val="280E397E"/>
    <w:rsid w:val="28EE287F"/>
    <w:rsid w:val="29567EB5"/>
    <w:rsid w:val="296D33CD"/>
    <w:rsid w:val="29AA09DF"/>
    <w:rsid w:val="29CF59FE"/>
    <w:rsid w:val="2A9003F6"/>
    <w:rsid w:val="2A9B2641"/>
    <w:rsid w:val="2BFF1012"/>
    <w:rsid w:val="2D081DDF"/>
    <w:rsid w:val="2D3F53F3"/>
    <w:rsid w:val="2D9A5DEA"/>
    <w:rsid w:val="2D9D1623"/>
    <w:rsid w:val="2ECD3389"/>
    <w:rsid w:val="2EE14324"/>
    <w:rsid w:val="2FB2D976"/>
    <w:rsid w:val="309C1503"/>
    <w:rsid w:val="330BF6B7"/>
    <w:rsid w:val="3310336A"/>
    <w:rsid w:val="3316AF2B"/>
    <w:rsid w:val="336C1ACC"/>
    <w:rsid w:val="337A9368"/>
    <w:rsid w:val="33CEA551"/>
    <w:rsid w:val="33F52A41"/>
    <w:rsid w:val="3454EF51"/>
    <w:rsid w:val="34C7A947"/>
    <w:rsid w:val="35973DE9"/>
    <w:rsid w:val="3608FDF6"/>
    <w:rsid w:val="36430001"/>
    <w:rsid w:val="366BEC97"/>
    <w:rsid w:val="3743DE44"/>
    <w:rsid w:val="37C8DA83"/>
    <w:rsid w:val="388710A1"/>
    <w:rsid w:val="38A1ED8F"/>
    <w:rsid w:val="38E14F10"/>
    <w:rsid w:val="39D2B130"/>
    <w:rsid w:val="3AF27033"/>
    <w:rsid w:val="3B54D5B2"/>
    <w:rsid w:val="3BA6EC03"/>
    <w:rsid w:val="3C4543F7"/>
    <w:rsid w:val="3C505190"/>
    <w:rsid w:val="3DC7736F"/>
    <w:rsid w:val="3EECB0BF"/>
    <w:rsid w:val="3F12219B"/>
    <w:rsid w:val="3F316D88"/>
    <w:rsid w:val="3FF85E6B"/>
    <w:rsid w:val="40659EFF"/>
    <w:rsid w:val="408A1561"/>
    <w:rsid w:val="415AA0E9"/>
    <w:rsid w:val="41B5D98F"/>
    <w:rsid w:val="4307E27E"/>
    <w:rsid w:val="43C71F10"/>
    <w:rsid w:val="4439374A"/>
    <w:rsid w:val="445FB235"/>
    <w:rsid w:val="447D41F0"/>
    <w:rsid w:val="44CB6713"/>
    <w:rsid w:val="4514FD16"/>
    <w:rsid w:val="452CC1F7"/>
    <w:rsid w:val="45B380F3"/>
    <w:rsid w:val="46757BC2"/>
    <w:rsid w:val="47C7C4D4"/>
    <w:rsid w:val="47D37BDE"/>
    <w:rsid w:val="4835D629"/>
    <w:rsid w:val="483EBC49"/>
    <w:rsid w:val="48C74ADC"/>
    <w:rsid w:val="496923E0"/>
    <w:rsid w:val="49FC82E9"/>
    <w:rsid w:val="4C89B57B"/>
    <w:rsid w:val="4E9F79AC"/>
    <w:rsid w:val="4ED789AB"/>
    <w:rsid w:val="4F2B52A7"/>
    <w:rsid w:val="4F5E2102"/>
    <w:rsid w:val="4FCD3D29"/>
    <w:rsid w:val="4FD7C8B8"/>
    <w:rsid w:val="50E17A51"/>
    <w:rsid w:val="50F8A443"/>
    <w:rsid w:val="51CCD822"/>
    <w:rsid w:val="52A1611C"/>
    <w:rsid w:val="52B0D8E2"/>
    <w:rsid w:val="53561244"/>
    <w:rsid w:val="536B457F"/>
    <w:rsid w:val="53A827AA"/>
    <w:rsid w:val="53DE394A"/>
    <w:rsid w:val="545C7468"/>
    <w:rsid w:val="546F6496"/>
    <w:rsid w:val="54E9C182"/>
    <w:rsid w:val="55F345DF"/>
    <w:rsid w:val="579FEECD"/>
    <w:rsid w:val="57C17795"/>
    <w:rsid w:val="5915D973"/>
    <w:rsid w:val="598B4E93"/>
    <w:rsid w:val="59A6D212"/>
    <w:rsid w:val="59EFB455"/>
    <w:rsid w:val="5AE115B0"/>
    <w:rsid w:val="5B056CE7"/>
    <w:rsid w:val="5B271EF4"/>
    <w:rsid w:val="5D37AA18"/>
    <w:rsid w:val="5D4DF9A5"/>
    <w:rsid w:val="5D9BBB94"/>
    <w:rsid w:val="5DAA365E"/>
    <w:rsid w:val="5DC547D3"/>
    <w:rsid w:val="5EA3F06A"/>
    <w:rsid w:val="5F1191B3"/>
    <w:rsid w:val="5F3D6181"/>
    <w:rsid w:val="5F4046C7"/>
    <w:rsid w:val="5FD11D7F"/>
    <w:rsid w:val="5FE4D63B"/>
    <w:rsid w:val="60691707"/>
    <w:rsid w:val="60A5DA30"/>
    <w:rsid w:val="60B678C9"/>
    <w:rsid w:val="60D931E2"/>
    <w:rsid w:val="61DD96F8"/>
    <w:rsid w:val="62297E53"/>
    <w:rsid w:val="629BD6B2"/>
    <w:rsid w:val="63083D31"/>
    <w:rsid w:val="630DC144"/>
    <w:rsid w:val="63352F5E"/>
    <w:rsid w:val="6562553D"/>
    <w:rsid w:val="65EA2F26"/>
    <w:rsid w:val="662E0946"/>
    <w:rsid w:val="66917195"/>
    <w:rsid w:val="67389819"/>
    <w:rsid w:val="679C44AD"/>
    <w:rsid w:val="68168CAE"/>
    <w:rsid w:val="68CC7991"/>
    <w:rsid w:val="69786A9B"/>
    <w:rsid w:val="69EDDDE3"/>
    <w:rsid w:val="6AE2D79B"/>
    <w:rsid w:val="6BDC6775"/>
    <w:rsid w:val="6C3F5B2F"/>
    <w:rsid w:val="6E9D25E0"/>
    <w:rsid w:val="71661A76"/>
    <w:rsid w:val="7174343B"/>
    <w:rsid w:val="72152A72"/>
    <w:rsid w:val="728245F9"/>
    <w:rsid w:val="737155BC"/>
    <w:rsid w:val="73D8418D"/>
    <w:rsid w:val="73E93AF0"/>
    <w:rsid w:val="73F07937"/>
    <w:rsid w:val="751B0B8A"/>
    <w:rsid w:val="758CCD86"/>
    <w:rsid w:val="76599966"/>
    <w:rsid w:val="76947887"/>
    <w:rsid w:val="76F0710F"/>
    <w:rsid w:val="76F283E4"/>
    <w:rsid w:val="76F4279C"/>
    <w:rsid w:val="77A83246"/>
    <w:rsid w:val="7837E641"/>
    <w:rsid w:val="7878510E"/>
    <w:rsid w:val="7936FAA2"/>
    <w:rsid w:val="794E39B5"/>
    <w:rsid w:val="7BA7B492"/>
    <w:rsid w:val="7C63DDDB"/>
    <w:rsid w:val="7C84306C"/>
    <w:rsid w:val="7D32FCA8"/>
    <w:rsid w:val="7DB74C41"/>
    <w:rsid w:val="7E0E899D"/>
    <w:rsid w:val="7E15B7F4"/>
    <w:rsid w:val="7E8BF87F"/>
    <w:rsid w:val="7EA68B34"/>
    <w:rsid w:val="7ECEBCFE"/>
    <w:rsid w:val="7F1303DA"/>
    <w:rsid w:val="7F696A7D"/>
    <w:rsid w:val="7FD1B686"/>
    <w:rsid w:val="7FDB37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452F0"/>
  <w15:docId w15:val="{D8D4B9B4-DD32-4CAD-9CFD-9CBF1EE9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FollowedHyperlink">
    <w:name w:val="FollowedHyperlink"/>
    <w:basedOn w:val="DefaultParagraphFont"/>
    <w:uiPriority w:val="99"/>
    <w:semiHidden/>
    <w:unhideWhenUsed/>
    <w:rsid w:val="00B90BEA"/>
    <w:rPr>
      <w:color w:val="CE372F" w:themeColor="followedHyperlink"/>
      <w:u w:val="single"/>
    </w:rPr>
  </w:style>
  <w:style w:type="paragraph" w:styleId="ListParagraph">
    <w:name w:val="List Paragraph"/>
    <w:basedOn w:val="Normal"/>
    <w:uiPriority w:val="34"/>
    <w:qFormat/>
    <w:rsid w:val="007243A5"/>
    <w:pPr>
      <w:ind w:left="720"/>
      <w:contextualSpacing/>
    </w:pPr>
  </w:style>
  <w:style w:type="character" w:styleId="CommentReference">
    <w:name w:val="annotation reference"/>
    <w:basedOn w:val="DefaultParagraphFont"/>
    <w:uiPriority w:val="99"/>
    <w:unhideWhenUsed/>
    <w:rsid w:val="001525F4"/>
    <w:rPr>
      <w:sz w:val="16"/>
      <w:szCs w:val="16"/>
    </w:rPr>
  </w:style>
  <w:style w:type="paragraph" w:styleId="CommentText">
    <w:name w:val="annotation text"/>
    <w:basedOn w:val="Normal"/>
    <w:link w:val="CommentTextChar"/>
    <w:uiPriority w:val="99"/>
    <w:unhideWhenUsed/>
    <w:rsid w:val="001525F4"/>
    <w:pPr>
      <w:spacing w:line="240" w:lineRule="auto"/>
    </w:pPr>
    <w:rPr>
      <w:sz w:val="20"/>
      <w:szCs w:val="20"/>
    </w:rPr>
  </w:style>
  <w:style w:type="character" w:customStyle="1" w:styleId="CommentTextChar">
    <w:name w:val="Comment Text Char"/>
    <w:basedOn w:val="DefaultParagraphFont"/>
    <w:link w:val="CommentText"/>
    <w:uiPriority w:val="99"/>
    <w:rsid w:val="001525F4"/>
    <w:rPr>
      <w:sz w:val="20"/>
      <w:szCs w:val="20"/>
    </w:rPr>
  </w:style>
  <w:style w:type="paragraph" w:styleId="CommentSubject">
    <w:name w:val="annotation subject"/>
    <w:basedOn w:val="CommentText"/>
    <w:next w:val="CommentText"/>
    <w:link w:val="CommentSubjectChar"/>
    <w:uiPriority w:val="99"/>
    <w:semiHidden/>
    <w:unhideWhenUsed/>
    <w:rsid w:val="001525F4"/>
    <w:rPr>
      <w:b/>
      <w:bCs/>
    </w:rPr>
  </w:style>
  <w:style w:type="character" w:customStyle="1" w:styleId="CommentSubjectChar">
    <w:name w:val="Comment Subject Char"/>
    <w:basedOn w:val="CommentTextChar"/>
    <w:link w:val="CommentSubject"/>
    <w:uiPriority w:val="99"/>
    <w:semiHidden/>
    <w:rsid w:val="001525F4"/>
    <w:rPr>
      <w:b/>
      <w:bCs/>
      <w:sz w:val="20"/>
      <w:szCs w:val="20"/>
    </w:rPr>
  </w:style>
  <w:style w:type="paragraph" w:styleId="Revision">
    <w:name w:val="Revision"/>
    <w:hidden/>
    <w:uiPriority w:val="99"/>
    <w:semiHidden/>
    <w:rsid w:val="00325A89"/>
    <w:pPr>
      <w:spacing w:after="0" w:line="240" w:lineRule="auto"/>
    </w:pPr>
  </w:style>
  <w:style w:type="paragraph" w:customStyle="1" w:styleId="xmsonormal">
    <w:name w:val="x_msonormal"/>
    <w:basedOn w:val="Normal"/>
    <w:rsid w:val="003D714B"/>
    <w:pPr>
      <w:spacing w:after="0" w:line="240" w:lineRule="auto"/>
    </w:pPr>
    <w:rPr>
      <w:rFonts w:ascii="Calibri" w:hAnsi="Calibri" w:cs="Calibri"/>
      <w:lang w:eastAsia="en-AU"/>
    </w:rPr>
  </w:style>
  <w:style w:type="paragraph" w:customStyle="1" w:styleId="3Dotpoint">
    <w:name w:val="3. Dot point"/>
    <w:basedOn w:val="ListParagraph"/>
    <w:link w:val="3DotpointChar"/>
    <w:qFormat/>
    <w:rsid w:val="003D714B"/>
    <w:pPr>
      <w:numPr>
        <w:numId w:val="25"/>
      </w:numPr>
      <w:tabs>
        <w:tab w:val="left" w:pos="426"/>
        <w:tab w:val="left" w:pos="1560"/>
      </w:tabs>
      <w:spacing w:after="120" w:line="240" w:lineRule="auto"/>
      <w:contextualSpacing w:val="0"/>
    </w:pPr>
    <w:rPr>
      <w:rFonts w:ascii="Arial" w:hAnsi="Arial" w:cs="Arial"/>
      <w:color w:val="000000" w:themeColor="text1"/>
      <w:sz w:val="28"/>
      <w:szCs w:val="28"/>
    </w:rPr>
  </w:style>
  <w:style w:type="paragraph" w:customStyle="1" w:styleId="4Sub-dotpoint">
    <w:name w:val="4. Sub-dot point"/>
    <w:basedOn w:val="ListParagraph"/>
    <w:qFormat/>
    <w:rsid w:val="003D714B"/>
    <w:pPr>
      <w:numPr>
        <w:ilvl w:val="1"/>
        <w:numId w:val="25"/>
      </w:numPr>
      <w:tabs>
        <w:tab w:val="left" w:pos="426"/>
        <w:tab w:val="left" w:pos="1560"/>
      </w:tabs>
      <w:spacing w:after="60" w:line="240" w:lineRule="auto"/>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3D714B"/>
    <w:rPr>
      <w:rFonts w:ascii="Arial" w:hAnsi="Arial" w:cs="Arial"/>
      <w:color w:val="000000" w:themeColor="text1"/>
      <w:sz w:val="28"/>
      <w:szCs w:val="28"/>
    </w:rPr>
  </w:style>
  <w:style w:type="character" w:customStyle="1" w:styleId="ui-provider">
    <w:name w:val="ui-provider"/>
    <w:basedOn w:val="DefaultParagraphFont"/>
    <w:rsid w:val="007D405C"/>
  </w:style>
  <w:style w:type="paragraph" w:styleId="BodyText">
    <w:name w:val="Body Text"/>
    <w:basedOn w:val="Normal"/>
    <w:link w:val="BodyTextChar"/>
    <w:uiPriority w:val="99"/>
    <w:unhideWhenUsed/>
    <w:rsid w:val="00747286"/>
    <w:pPr>
      <w:spacing w:after="120"/>
    </w:pPr>
  </w:style>
  <w:style w:type="character" w:customStyle="1" w:styleId="BodyTextChar">
    <w:name w:val="Body Text Char"/>
    <w:basedOn w:val="DefaultParagraphFont"/>
    <w:link w:val="BodyText"/>
    <w:uiPriority w:val="99"/>
    <w:rsid w:val="00747286"/>
  </w:style>
  <w:style w:type="paragraph" w:styleId="NormalWeb">
    <w:name w:val="Normal (Web)"/>
    <w:basedOn w:val="Normal"/>
    <w:uiPriority w:val="99"/>
    <w:unhideWhenUsed/>
    <w:rsid w:val="00A16C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16C78"/>
    <w:rPr>
      <w:rFonts w:ascii="Segoe UI" w:hAnsi="Segoe UI" w:cs="Segoe UI" w:hint="default"/>
      <w:sz w:val="18"/>
      <w:szCs w:val="18"/>
    </w:rPr>
  </w:style>
  <w:style w:type="character" w:styleId="Mention">
    <w:name w:val="Mention"/>
    <w:basedOn w:val="DefaultParagraphFont"/>
    <w:uiPriority w:val="99"/>
    <w:unhideWhenUsed/>
    <w:rsid w:val="004D421E"/>
    <w:rPr>
      <w:color w:val="2B579A"/>
      <w:shd w:val="clear" w:color="auto" w:fill="E1DFDD"/>
    </w:rPr>
  </w:style>
  <w:style w:type="paragraph" w:customStyle="1" w:styleId="Interpretation">
    <w:name w:val="Interpretation"/>
    <w:basedOn w:val="Normal"/>
    <w:link w:val="InterpretationChar"/>
    <w:rsid w:val="00845850"/>
    <w:pPr>
      <w:widowControl w:val="0"/>
      <w:spacing w:after="120" w:line="240" w:lineRule="auto"/>
      <w:ind w:left="567"/>
    </w:pPr>
    <w:rPr>
      <w:rFonts w:ascii="Garamond" w:eastAsia="Times New Roman" w:hAnsi="Garamond" w:cs="Times New Roman"/>
      <w:sz w:val="24"/>
      <w:szCs w:val="20"/>
    </w:rPr>
  </w:style>
  <w:style w:type="character" w:customStyle="1" w:styleId="InterpretationChar">
    <w:name w:val="Interpretation Char"/>
    <w:basedOn w:val="DefaultParagraphFont"/>
    <w:link w:val="Interpretation"/>
    <w:rsid w:val="00845850"/>
    <w:rPr>
      <w:rFonts w:ascii="Garamond" w:eastAsia="Times New Roman" w:hAnsi="Garamond" w:cs="Times New Roman"/>
      <w:sz w:val="24"/>
      <w:szCs w:val="20"/>
    </w:rPr>
  </w:style>
  <w:style w:type="character" w:customStyle="1" w:styleId="normaltextrun">
    <w:name w:val="normaltextrun"/>
    <w:basedOn w:val="DefaultParagraphFont"/>
    <w:rsid w:val="00845B1A"/>
  </w:style>
  <w:style w:type="character" w:customStyle="1" w:styleId="eop">
    <w:name w:val="eop"/>
    <w:basedOn w:val="DefaultParagraphFont"/>
    <w:rsid w:val="00845B1A"/>
  </w:style>
  <w:style w:type="paragraph" w:customStyle="1" w:styleId="paragraph">
    <w:name w:val="paragraph"/>
    <w:basedOn w:val="Normal"/>
    <w:rsid w:val="00845B1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4F57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5759"/>
    <w:rPr>
      <w:sz w:val="20"/>
      <w:szCs w:val="20"/>
    </w:rPr>
  </w:style>
  <w:style w:type="character" w:styleId="EndnoteReference">
    <w:name w:val="endnote reference"/>
    <w:basedOn w:val="DefaultParagraphFont"/>
    <w:uiPriority w:val="99"/>
    <w:semiHidden/>
    <w:unhideWhenUsed/>
    <w:rsid w:val="004F5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09786">
      <w:bodyDiv w:val="1"/>
      <w:marLeft w:val="0"/>
      <w:marRight w:val="0"/>
      <w:marTop w:val="0"/>
      <w:marBottom w:val="0"/>
      <w:divBdr>
        <w:top w:val="none" w:sz="0" w:space="0" w:color="auto"/>
        <w:left w:val="none" w:sz="0" w:space="0" w:color="auto"/>
        <w:bottom w:val="none" w:sz="0" w:space="0" w:color="auto"/>
        <w:right w:val="none" w:sz="0" w:space="0" w:color="auto"/>
      </w:divBdr>
    </w:div>
    <w:div w:id="332418423">
      <w:bodyDiv w:val="1"/>
      <w:marLeft w:val="0"/>
      <w:marRight w:val="0"/>
      <w:marTop w:val="0"/>
      <w:marBottom w:val="0"/>
      <w:divBdr>
        <w:top w:val="none" w:sz="0" w:space="0" w:color="auto"/>
        <w:left w:val="none" w:sz="0" w:space="0" w:color="auto"/>
        <w:bottom w:val="none" w:sz="0" w:space="0" w:color="auto"/>
        <w:right w:val="none" w:sz="0" w:space="0" w:color="auto"/>
      </w:divBdr>
    </w:div>
    <w:div w:id="338702798">
      <w:bodyDiv w:val="1"/>
      <w:marLeft w:val="0"/>
      <w:marRight w:val="0"/>
      <w:marTop w:val="0"/>
      <w:marBottom w:val="0"/>
      <w:divBdr>
        <w:top w:val="none" w:sz="0" w:space="0" w:color="auto"/>
        <w:left w:val="none" w:sz="0" w:space="0" w:color="auto"/>
        <w:bottom w:val="none" w:sz="0" w:space="0" w:color="auto"/>
        <w:right w:val="none" w:sz="0" w:space="0" w:color="auto"/>
      </w:divBdr>
    </w:div>
    <w:div w:id="455758003">
      <w:bodyDiv w:val="1"/>
      <w:marLeft w:val="0"/>
      <w:marRight w:val="0"/>
      <w:marTop w:val="0"/>
      <w:marBottom w:val="0"/>
      <w:divBdr>
        <w:top w:val="none" w:sz="0" w:space="0" w:color="auto"/>
        <w:left w:val="none" w:sz="0" w:space="0" w:color="auto"/>
        <w:bottom w:val="none" w:sz="0" w:space="0" w:color="auto"/>
        <w:right w:val="none" w:sz="0" w:space="0" w:color="auto"/>
      </w:divBdr>
    </w:div>
    <w:div w:id="618340715">
      <w:bodyDiv w:val="1"/>
      <w:marLeft w:val="0"/>
      <w:marRight w:val="0"/>
      <w:marTop w:val="0"/>
      <w:marBottom w:val="0"/>
      <w:divBdr>
        <w:top w:val="none" w:sz="0" w:space="0" w:color="auto"/>
        <w:left w:val="none" w:sz="0" w:space="0" w:color="auto"/>
        <w:bottom w:val="none" w:sz="0" w:space="0" w:color="auto"/>
        <w:right w:val="none" w:sz="0" w:space="0" w:color="auto"/>
      </w:divBdr>
    </w:div>
    <w:div w:id="675116818">
      <w:bodyDiv w:val="1"/>
      <w:marLeft w:val="0"/>
      <w:marRight w:val="0"/>
      <w:marTop w:val="0"/>
      <w:marBottom w:val="0"/>
      <w:divBdr>
        <w:top w:val="none" w:sz="0" w:space="0" w:color="auto"/>
        <w:left w:val="none" w:sz="0" w:space="0" w:color="auto"/>
        <w:bottom w:val="none" w:sz="0" w:space="0" w:color="auto"/>
        <w:right w:val="none" w:sz="0" w:space="0" w:color="auto"/>
      </w:divBdr>
    </w:div>
    <w:div w:id="814562549">
      <w:bodyDiv w:val="1"/>
      <w:marLeft w:val="0"/>
      <w:marRight w:val="0"/>
      <w:marTop w:val="0"/>
      <w:marBottom w:val="0"/>
      <w:divBdr>
        <w:top w:val="none" w:sz="0" w:space="0" w:color="auto"/>
        <w:left w:val="none" w:sz="0" w:space="0" w:color="auto"/>
        <w:bottom w:val="none" w:sz="0" w:space="0" w:color="auto"/>
        <w:right w:val="none" w:sz="0" w:space="0" w:color="auto"/>
      </w:divBdr>
    </w:div>
    <w:div w:id="841167051">
      <w:bodyDiv w:val="1"/>
      <w:marLeft w:val="0"/>
      <w:marRight w:val="0"/>
      <w:marTop w:val="0"/>
      <w:marBottom w:val="0"/>
      <w:divBdr>
        <w:top w:val="none" w:sz="0" w:space="0" w:color="auto"/>
        <w:left w:val="none" w:sz="0" w:space="0" w:color="auto"/>
        <w:bottom w:val="none" w:sz="0" w:space="0" w:color="auto"/>
        <w:right w:val="none" w:sz="0" w:space="0" w:color="auto"/>
      </w:divBdr>
    </w:div>
    <w:div w:id="903494524">
      <w:bodyDiv w:val="1"/>
      <w:marLeft w:val="0"/>
      <w:marRight w:val="0"/>
      <w:marTop w:val="0"/>
      <w:marBottom w:val="0"/>
      <w:divBdr>
        <w:top w:val="none" w:sz="0" w:space="0" w:color="auto"/>
        <w:left w:val="none" w:sz="0" w:space="0" w:color="auto"/>
        <w:bottom w:val="none" w:sz="0" w:space="0" w:color="auto"/>
        <w:right w:val="none" w:sz="0" w:space="0" w:color="auto"/>
      </w:divBdr>
    </w:div>
    <w:div w:id="1024673844">
      <w:bodyDiv w:val="1"/>
      <w:marLeft w:val="0"/>
      <w:marRight w:val="0"/>
      <w:marTop w:val="0"/>
      <w:marBottom w:val="0"/>
      <w:divBdr>
        <w:top w:val="none" w:sz="0" w:space="0" w:color="auto"/>
        <w:left w:val="none" w:sz="0" w:space="0" w:color="auto"/>
        <w:bottom w:val="none" w:sz="0" w:space="0" w:color="auto"/>
        <w:right w:val="none" w:sz="0" w:space="0" w:color="auto"/>
      </w:divBdr>
    </w:div>
    <w:div w:id="1106314375">
      <w:bodyDiv w:val="1"/>
      <w:marLeft w:val="0"/>
      <w:marRight w:val="0"/>
      <w:marTop w:val="0"/>
      <w:marBottom w:val="0"/>
      <w:divBdr>
        <w:top w:val="none" w:sz="0" w:space="0" w:color="auto"/>
        <w:left w:val="none" w:sz="0" w:space="0" w:color="auto"/>
        <w:bottom w:val="none" w:sz="0" w:space="0" w:color="auto"/>
        <w:right w:val="none" w:sz="0" w:space="0" w:color="auto"/>
      </w:divBdr>
    </w:div>
    <w:div w:id="1248728928">
      <w:bodyDiv w:val="1"/>
      <w:marLeft w:val="0"/>
      <w:marRight w:val="0"/>
      <w:marTop w:val="0"/>
      <w:marBottom w:val="0"/>
      <w:divBdr>
        <w:top w:val="none" w:sz="0" w:space="0" w:color="auto"/>
        <w:left w:val="none" w:sz="0" w:space="0" w:color="auto"/>
        <w:bottom w:val="none" w:sz="0" w:space="0" w:color="auto"/>
        <w:right w:val="none" w:sz="0" w:space="0" w:color="auto"/>
      </w:divBdr>
    </w:div>
    <w:div w:id="1706635707">
      <w:bodyDiv w:val="1"/>
      <w:marLeft w:val="0"/>
      <w:marRight w:val="0"/>
      <w:marTop w:val="0"/>
      <w:marBottom w:val="0"/>
      <w:divBdr>
        <w:top w:val="none" w:sz="0" w:space="0" w:color="auto"/>
        <w:left w:val="none" w:sz="0" w:space="0" w:color="auto"/>
        <w:bottom w:val="none" w:sz="0" w:space="0" w:color="auto"/>
        <w:right w:val="none" w:sz="0" w:space="0" w:color="auto"/>
      </w:divBdr>
    </w:div>
    <w:div w:id="1751658225">
      <w:bodyDiv w:val="1"/>
      <w:marLeft w:val="0"/>
      <w:marRight w:val="0"/>
      <w:marTop w:val="0"/>
      <w:marBottom w:val="0"/>
      <w:divBdr>
        <w:top w:val="none" w:sz="0" w:space="0" w:color="auto"/>
        <w:left w:val="none" w:sz="0" w:space="0" w:color="auto"/>
        <w:bottom w:val="none" w:sz="0" w:space="0" w:color="auto"/>
        <w:right w:val="none" w:sz="0" w:space="0" w:color="auto"/>
      </w:divBdr>
    </w:div>
    <w:div w:id="1849832321">
      <w:bodyDiv w:val="1"/>
      <w:marLeft w:val="0"/>
      <w:marRight w:val="0"/>
      <w:marTop w:val="0"/>
      <w:marBottom w:val="0"/>
      <w:divBdr>
        <w:top w:val="none" w:sz="0" w:space="0" w:color="auto"/>
        <w:left w:val="none" w:sz="0" w:space="0" w:color="auto"/>
        <w:bottom w:val="none" w:sz="0" w:space="0" w:color="auto"/>
        <w:right w:val="none" w:sz="0" w:space="0" w:color="auto"/>
      </w:divBdr>
    </w:div>
    <w:div w:id="1858426812">
      <w:bodyDiv w:val="1"/>
      <w:marLeft w:val="0"/>
      <w:marRight w:val="0"/>
      <w:marTop w:val="0"/>
      <w:marBottom w:val="0"/>
      <w:divBdr>
        <w:top w:val="none" w:sz="0" w:space="0" w:color="auto"/>
        <w:left w:val="none" w:sz="0" w:space="0" w:color="auto"/>
        <w:bottom w:val="none" w:sz="0" w:space="0" w:color="auto"/>
        <w:right w:val="none" w:sz="0" w:space="0" w:color="auto"/>
      </w:divBdr>
    </w:div>
    <w:div w:id="1892424408">
      <w:bodyDiv w:val="1"/>
      <w:marLeft w:val="0"/>
      <w:marRight w:val="0"/>
      <w:marTop w:val="0"/>
      <w:marBottom w:val="0"/>
      <w:divBdr>
        <w:top w:val="none" w:sz="0" w:space="0" w:color="auto"/>
        <w:left w:val="none" w:sz="0" w:space="0" w:color="auto"/>
        <w:bottom w:val="none" w:sz="0" w:space="0" w:color="auto"/>
        <w:right w:val="none" w:sz="0" w:space="0" w:color="auto"/>
      </w:divBdr>
    </w:div>
    <w:div w:id="2108379350">
      <w:bodyDiv w:val="1"/>
      <w:marLeft w:val="0"/>
      <w:marRight w:val="0"/>
      <w:marTop w:val="0"/>
      <w:marBottom w:val="0"/>
      <w:divBdr>
        <w:top w:val="none" w:sz="0" w:space="0" w:color="auto"/>
        <w:left w:val="none" w:sz="0" w:space="0" w:color="auto"/>
        <w:bottom w:val="none" w:sz="0" w:space="0" w:color="auto"/>
        <w:right w:val="none" w:sz="0" w:space="0" w:color="auto"/>
      </w:divBdr>
    </w:div>
    <w:div w:id="2123959753">
      <w:bodyDiv w:val="1"/>
      <w:marLeft w:val="0"/>
      <w:marRight w:val="0"/>
      <w:marTop w:val="0"/>
      <w:marBottom w:val="0"/>
      <w:divBdr>
        <w:top w:val="none" w:sz="0" w:space="0" w:color="auto"/>
        <w:left w:val="none" w:sz="0" w:space="0" w:color="auto"/>
        <w:bottom w:val="none" w:sz="0" w:space="0" w:color="auto"/>
        <w:right w:val="none" w:sz="0" w:space="0" w:color="auto"/>
      </w:divBdr>
    </w:div>
    <w:div w:id="214534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abs.gov.au/websitedbs/censushome.nsf/home/seif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GS@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higher-education-funding/resources/hecg-possible-us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gov.au/higher-education-funding/commonwealth-grant-scheme-cgs/nuclearpowered-submarine-student-pathways" TargetMode="External"/><Relationship Id="rId20" Type="http://schemas.openxmlformats.org/officeDocument/2006/relationships/hyperlink" Target="https://www.tcsisupport.gov.au/glossary/glossaryterm/Aboriginal%20and%20Torres%20Strait%20Island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GS@education.gov.au" TargetMode="External"/><Relationship Id="rId5" Type="http://schemas.openxmlformats.org/officeDocument/2006/relationships/numbering" Target="numbering.xml"/><Relationship Id="rId15" Type="http://schemas.openxmlformats.org/officeDocument/2006/relationships/hyperlink" Target="https://www.education.gov.au/higher-education-funding/commonwealth-grant-scheme-cgs/20000-additional-commonwealth-supported-places" TargetMode="External"/><Relationship Id="rId23" Type="http://schemas.openxmlformats.org/officeDocument/2006/relationships/hyperlink" Target="mailto:UniversityCompacts@education.gov.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bs.gov.au/statistics/statistical-geography/australian-statistical-geography-standard-as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australian-universities-accord/resources/accord-interim-report" TargetMode="External"/><Relationship Id="rId22" Type="http://schemas.openxmlformats.org/officeDocument/2006/relationships/hyperlink" Target="https://www.ncsehe.edu.au/trials-and-evaluation/equity-hub/"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5778"/>
    <w:rsid w:val="00017D8D"/>
    <w:rsid w:val="0006122A"/>
    <w:rsid w:val="000D3ED3"/>
    <w:rsid w:val="00154AE5"/>
    <w:rsid w:val="001D130A"/>
    <w:rsid w:val="001F7665"/>
    <w:rsid w:val="00242FFB"/>
    <w:rsid w:val="00287BE6"/>
    <w:rsid w:val="002B3ACA"/>
    <w:rsid w:val="002B7564"/>
    <w:rsid w:val="003A1EC9"/>
    <w:rsid w:val="00424E9F"/>
    <w:rsid w:val="004D7520"/>
    <w:rsid w:val="004F1D2F"/>
    <w:rsid w:val="004F2933"/>
    <w:rsid w:val="00503942"/>
    <w:rsid w:val="005442EE"/>
    <w:rsid w:val="00580A5D"/>
    <w:rsid w:val="00611032"/>
    <w:rsid w:val="006B6A38"/>
    <w:rsid w:val="00785B1E"/>
    <w:rsid w:val="007C09BF"/>
    <w:rsid w:val="007C3743"/>
    <w:rsid w:val="007E25E5"/>
    <w:rsid w:val="008A64DC"/>
    <w:rsid w:val="008D0721"/>
    <w:rsid w:val="00955729"/>
    <w:rsid w:val="009D307F"/>
    <w:rsid w:val="009D4150"/>
    <w:rsid w:val="00A11BC3"/>
    <w:rsid w:val="00AD736F"/>
    <w:rsid w:val="00B93636"/>
    <w:rsid w:val="00C7131C"/>
    <w:rsid w:val="00D97D79"/>
    <w:rsid w:val="00DE5FB5"/>
    <w:rsid w:val="00EA22C2"/>
    <w:rsid w:val="00EB02B2"/>
    <w:rsid w:val="00F00405"/>
    <w:rsid w:val="00FC6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65f17947ac63586c425c75b49f0b4b55">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c85e23e6ba32d86a20bf6f6396da365a"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C6DEA-16EE-48A1-8030-4298AF82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9E6353C-4362-41A3-8CF5-6506B39D5F64}">
  <ds:schemaRefs>
    <ds:schemaRef ds:uri="http://schemas.microsoft.com/sharepoint/v3/contenttype/forms"/>
  </ds:schemaRefs>
</ds:datastoreItem>
</file>

<file path=customXml/itemProps4.xml><?xml version="1.0" encoding="utf-8"?>
<ds:datastoreItem xmlns:ds="http://schemas.openxmlformats.org/officeDocument/2006/customXml" ds:itemID="{5B543421-5DE1-4D41-9622-40274853D428}">
  <ds:schemaRefs>
    <ds:schemaRef ds:uri="http://purl.org/dc/elements/1.1/"/>
    <ds:schemaRef ds:uri="http://schemas.openxmlformats.org/package/2006/metadata/core-properties"/>
    <ds:schemaRef ds:uri="http://schemas.microsoft.com/office/infopath/2007/PartnerControls"/>
    <ds:schemaRef ds:uri="http://www.w3.org/XML/1998/namespace"/>
    <ds:schemaRef ds:uri="3d8b6ef0-0a64-4aaa-b7a4-a607e594cd2e"/>
    <ds:schemaRef ds:uri="http://schemas.microsoft.com/office/2006/documentManagement/types"/>
    <ds:schemaRef ds:uri="http://schemas.microsoft.com/office/2006/metadata/properties"/>
    <ds:schemaRef ds:uri="79d3e328-fa8e-4ff2-823e-4d632b790d1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4200</Words>
  <Characters>23027</Characters>
  <Application>Microsoft Office Word</Application>
  <DocSecurity>0</DocSecurity>
  <Lines>393</Lines>
  <Paragraphs>176</Paragraphs>
  <ScaleCrop>false</ScaleCrop>
  <HeadingPairs>
    <vt:vector size="2" baseType="variant">
      <vt:variant>
        <vt:lpstr>Title</vt:lpstr>
      </vt:variant>
      <vt:variant>
        <vt:i4>1</vt:i4>
      </vt:variant>
    </vt:vector>
  </HeadingPairs>
  <TitlesOfParts>
    <vt:vector size="1" baseType="lpstr">
      <vt:lpstr>Higher Education Continuity Guarantee 2024-2025</vt:lpstr>
    </vt:vector>
  </TitlesOfParts>
  <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Continuity Guarantee 2024-2025</dc:title>
  <dc:subject/>
  <dc:creator>HYDE,Clae</dc:creator>
  <cp:keywords/>
  <dc:description/>
  <cp:lastModifiedBy>Abryella Franks</cp:lastModifiedBy>
  <cp:revision>6</cp:revision>
  <cp:lastPrinted>2024-09-12T01:34:00Z</cp:lastPrinted>
  <dcterms:created xsi:type="dcterms:W3CDTF">2024-09-12T00:46:00Z</dcterms:created>
  <dcterms:modified xsi:type="dcterms:W3CDTF">2024-09-12T01:34:00Z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0x0101006FE010B47C92A54292E8BA91D284D39E</vt:lpwstr>
  </property>
</Properties>
</file>